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B2E69">
      <w:pPr>
        <w:pStyle w:val="6"/>
        <w:spacing w:before="93"/>
        <w:rPr>
          <w:rFonts w:hint="default" w:ascii="Times New Roman" w:hAnsi="Times New Roman" w:eastAsia="方正小标宋简体" w:cs="Times New Roman"/>
          <w:kern w:val="2"/>
          <w:sz w:val="72"/>
          <w:szCs w:val="72"/>
        </w:rPr>
      </w:pPr>
      <w:bookmarkStart w:id="0" w:name="_Toc15378441"/>
      <w:bookmarkStart w:id="1" w:name="_Toc15396475"/>
      <w:bookmarkStart w:id="2" w:name="_Toc15377425"/>
      <w:bookmarkStart w:id="3" w:name="_Toc15377193"/>
      <w:bookmarkStart w:id="4" w:name="_Toc15396597"/>
      <w:bookmarkStart w:id="5" w:name="_Toc15306267"/>
    </w:p>
    <w:p w14:paraId="37708626">
      <w:pPr>
        <w:pStyle w:val="6"/>
        <w:spacing w:before="93"/>
        <w:rPr>
          <w:rFonts w:hint="default" w:ascii="Times New Roman" w:hAnsi="Times New Roman" w:eastAsia="方正小标宋简体" w:cs="Times New Roman"/>
          <w:kern w:val="2"/>
          <w:sz w:val="72"/>
          <w:szCs w:val="72"/>
        </w:rPr>
      </w:pPr>
    </w:p>
    <w:p w14:paraId="2EA4DCE0">
      <w:pPr>
        <w:pStyle w:val="6"/>
        <w:spacing w:before="93"/>
        <w:rPr>
          <w:rFonts w:hint="default" w:ascii="Times New Roman" w:hAnsi="Times New Roman" w:eastAsia="方正小标宋简体" w:cs="Times New Roman"/>
          <w:kern w:val="2"/>
          <w:sz w:val="72"/>
          <w:szCs w:val="72"/>
        </w:rPr>
      </w:pPr>
    </w:p>
    <w:p w14:paraId="657F2A02">
      <w:pPr>
        <w:pStyle w:val="6"/>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14:paraId="2724AD10">
      <w:pPr>
        <w:pStyle w:val="6"/>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中国共产党盐边县委宣传部部门决算公开</w:t>
      </w:r>
    </w:p>
    <w:p w14:paraId="19A37AB9">
      <w:pPr>
        <w:pStyle w:val="6"/>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编制说明</w:t>
      </w:r>
    </w:p>
    <w:p w14:paraId="6E4E7BDA">
      <w:pPr>
        <w:spacing w:line="600" w:lineRule="exact"/>
        <w:jc w:val="center"/>
        <w:outlineLvl w:val="0"/>
        <w:rPr>
          <w:rFonts w:hint="default" w:ascii="Times New Roman" w:hAnsi="Times New Roman" w:eastAsia="方正小标宋简体" w:cs="Times New Roman"/>
          <w:sz w:val="72"/>
          <w:szCs w:val="72"/>
        </w:rPr>
      </w:pPr>
    </w:p>
    <w:p w14:paraId="42F4C6CA">
      <w:pPr>
        <w:pStyle w:val="2"/>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5ACDB04D">
      <w:pPr>
        <w:rPr>
          <w:rFonts w:hint="default" w:ascii="Times New Roman" w:hAnsi="Times New Roman" w:cs="Times New Roman"/>
        </w:rPr>
      </w:pPr>
    </w:p>
    <w:bookmarkEnd w:id="0"/>
    <w:bookmarkEnd w:id="1"/>
    <w:bookmarkEnd w:id="2"/>
    <w:bookmarkEnd w:id="3"/>
    <w:bookmarkEnd w:id="4"/>
    <w:bookmarkEnd w:id="5"/>
    <w:p w14:paraId="41008CE5">
      <w:pPr>
        <w:widowControl/>
        <w:jc w:val="center"/>
        <w:rPr>
          <w:rFonts w:hint="default" w:ascii="Times New Roman" w:hAnsi="Times New Roman" w:eastAsia="黑体" w:cs="Times New Roman"/>
          <w:sz w:val="48"/>
          <w:szCs w:val="48"/>
        </w:rPr>
      </w:pPr>
      <w:r>
        <w:rPr>
          <w:rFonts w:hint="default" w:ascii="Times New Roman" w:hAnsi="Times New Roman" w:eastAsia="黑体" w:cs="Times New Roman"/>
          <w:sz w:val="48"/>
          <w:szCs w:val="48"/>
        </w:rPr>
        <w:t>目录</w:t>
      </w:r>
    </w:p>
    <w:p w14:paraId="4850D739">
      <w:pPr>
        <w:widowControl/>
        <w:jc w:val="center"/>
        <w:rPr>
          <w:rFonts w:hint="default" w:ascii="Times New Roman" w:hAnsi="Times New Roman" w:eastAsia="黑体" w:cs="Times New Roman"/>
          <w:sz w:val="28"/>
          <w:szCs w:val="28"/>
        </w:rPr>
      </w:pPr>
    </w:p>
    <w:p w14:paraId="41FBE788">
      <w:pPr>
        <w:pStyle w:val="1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公开时间：2025年10月28日</w:t>
      </w:r>
    </w:p>
    <w:p w14:paraId="4DCEC698">
      <w:pPr>
        <w:rPr>
          <w:rFonts w:hint="default" w:ascii="Times New Roman" w:hAnsi="Times New Roman" w:cs="Times New Roman"/>
        </w:rPr>
      </w:pPr>
    </w:p>
    <w:p w14:paraId="457C8069">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第一部分 部门概况</w:t>
      </w:r>
      <w:r>
        <w:rPr>
          <w:rFonts w:hint="eastAsia" w:ascii="Times New Roman" w:hAnsi="Times New Roman" w:eastAsia="黑体" w:cs="Times New Roman"/>
          <w:sz w:val="32"/>
          <w:szCs w:val="32"/>
          <w:lang w:val="en-US" w:eastAsia="zh-CN"/>
        </w:rPr>
        <w:t>...................................................................3</w:t>
      </w:r>
    </w:p>
    <w:p w14:paraId="12FE22C6">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一、部门职责</w:t>
      </w:r>
      <w:r>
        <w:rPr>
          <w:rFonts w:hint="eastAsia" w:eastAsia="仿宋_GB2312" w:cs="Times New Roman"/>
          <w:sz w:val="32"/>
          <w:szCs w:val="32"/>
          <w:lang w:val="en-US" w:eastAsia="zh-CN"/>
        </w:rPr>
        <w:t>.......................................................................3</w:t>
      </w:r>
    </w:p>
    <w:p w14:paraId="3CD34D24">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二、机构设置</w:t>
      </w:r>
      <w:r>
        <w:rPr>
          <w:rFonts w:hint="eastAsia" w:eastAsia="仿宋_GB2312" w:cs="Times New Roman"/>
          <w:sz w:val="32"/>
          <w:szCs w:val="32"/>
          <w:lang w:val="en-US" w:eastAsia="zh-CN"/>
        </w:rPr>
        <w:t>.......................................................................3</w:t>
      </w:r>
    </w:p>
    <w:p w14:paraId="4B226863">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第二部分 2024年度部门决算情况说明</w:t>
      </w:r>
      <w:r>
        <w:rPr>
          <w:rFonts w:hint="eastAsia" w:ascii="Times New Roman" w:hAnsi="Times New Roman" w:eastAsia="黑体" w:cs="Times New Roman"/>
          <w:sz w:val="32"/>
          <w:szCs w:val="32"/>
          <w:lang w:val="en-US" w:eastAsia="zh-CN"/>
        </w:rPr>
        <w:t>...................................3</w:t>
      </w:r>
    </w:p>
    <w:p w14:paraId="58F4D971">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一、收入支出决算总体情况说明</w:t>
      </w:r>
      <w:r>
        <w:rPr>
          <w:rFonts w:hint="eastAsia" w:eastAsia="仿宋_GB2312" w:cs="Times New Roman"/>
          <w:sz w:val="32"/>
          <w:szCs w:val="32"/>
          <w:lang w:val="en-US" w:eastAsia="zh-CN"/>
        </w:rPr>
        <w:t>.......................................3</w:t>
      </w:r>
    </w:p>
    <w:p w14:paraId="16634AEB">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二、收入决算情况说明</w:t>
      </w:r>
      <w:r>
        <w:rPr>
          <w:rFonts w:hint="eastAsia" w:eastAsia="仿宋_GB2312" w:cs="Times New Roman"/>
          <w:sz w:val="32"/>
          <w:szCs w:val="32"/>
          <w:lang w:val="en-US" w:eastAsia="zh-CN"/>
        </w:rPr>
        <w:t>.......................................................4</w:t>
      </w:r>
    </w:p>
    <w:p w14:paraId="61F3859B">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三、支出决算情况说明</w:t>
      </w:r>
      <w:r>
        <w:rPr>
          <w:rFonts w:hint="eastAsia" w:eastAsia="仿宋_GB2312" w:cs="Times New Roman"/>
          <w:sz w:val="32"/>
          <w:szCs w:val="32"/>
          <w:lang w:val="en-US" w:eastAsia="zh-CN"/>
        </w:rPr>
        <w:t>.......................................................5</w:t>
      </w:r>
    </w:p>
    <w:p w14:paraId="414CF811">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四、财政拨款收入支出决算总体情况说明</w:t>
      </w:r>
      <w:r>
        <w:rPr>
          <w:rFonts w:hint="eastAsia" w:eastAsia="仿宋_GB2312" w:cs="Times New Roman"/>
          <w:sz w:val="32"/>
          <w:szCs w:val="32"/>
          <w:lang w:val="en-US" w:eastAsia="zh-CN"/>
        </w:rPr>
        <w:t>.......................6</w:t>
      </w:r>
    </w:p>
    <w:p w14:paraId="5E1A10A7">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五、一般公共预算财政拨款支出决算情况说明</w:t>
      </w:r>
      <w:r>
        <w:rPr>
          <w:rFonts w:hint="eastAsia" w:eastAsia="仿宋_GB2312" w:cs="Times New Roman"/>
          <w:sz w:val="32"/>
          <w:szCs w:val="32"/>
          <w:lang w:val="en-US" w:eastAsia="zh-CN"/>
        </w:rPr>
        <w:t>...............6</w:t>
      </w:r>
    </w:p>
    <w:p w14:paraId="257F0AC3">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六、一般公共预算财政拨款基本支出决算情况说明</w:t>
      </w:r>
      <w:r>
        <w:rPr>
          <w:rFonts w:hint="eastAsia" w:eastAsia="仿宋_GB2312" w:cs="Times New Roman"/>
          <w:sz w:val="32"/>
          <w:szCs w:val="32"/>
          <w:lang w:eastAsia="zh-CN"/>
        </w:rPr>
        <w:t>……</w:t>
      </w:r>
      <w:r>
        <w:rPr>
          <w:rFonts w:hint="eastAsia" w:eastAsia="仿宋_GB2312" w:cs="Times New Roman"/>
          <w:sz w:val="32"/>
          <w:szCs w:val="32"/>
          <w:lang w:val="en-US" w:eastAsia="zh-CN"/>
        </w:rPr>
        <w:t>10</w:t>
      </w:r>
    </w:p>
    <w:p w14:paraId="17915BFE">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七、财政拨款“三公”经费支出决算情况说明</w:t>
      </w:r>
      <w:r>
        <w:rPr>
          <w:rFonts w:hint="eastAsia" w:eastAsia="仿宋_GB2312" w:cs="Times New Roman"/>
          <w:sz w:val="32"/>
          <w:szCs w:val="32"/>
          <w:lang w:val="en-US" w:eastAsia="zh-CN"/>
        </w:rPr>
        <w:t>..................11</w:t>
      </w:r>
    </w:p>
    <w:p w14:paraId="37466F2E">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八、政府性基金预算支出决算情况说明</w:t>
      </w:r>
      <w:r>
        <w:rPr>
          <w:rFonts w:hint="eastAsia" w:eastAsia="仿宋_GB2312" w:cs="Times New Roman"/>
          <w:sz w:val="32"/>
          <w:szCs w:val="32"/>
          <w:lang w:val="en-US" w:eastAsia="zh-CN"/>
        </w:rPr>
        <w:t>.........................13</w:t>
      </w:r>
    </w:p>
    <w:p w14:paraId="5EA1CF7D">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九、国有资本经营预算支出决算情况说明</w:t>
      </w:r>
      <w:r>
        <w:rPr>
          <w:rFonts w:hint="eastAsia" w:eastAsia="仿宋_GB2312" w:cs="Times New Roman"/>
          <w:sz w:val="32"/>
          <w:szCs w:val="32"/>
          <w:lang w:val="en-US" w:eastAsia="zh-CN"/>
        </w:rPr>
        <w:t>.....................13</w:t>
      </w:r>
    </w:p>
    <w:p w14:paraId="2965FD43">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十、其他重要事项的情况说明</w:t>
      </w:r>
      <w:r>
        <w:rPr>
          <w:rFonts w:hint="eastAsia" w:eastAsia="仿宋_GB2312" w:cs="Times New Roman"/>
          <w:sz w:val="32"/>
          <w:szCs w:val="32"/>
          <w:lang w:val="en-US" w:eastAsia="zh-CN"/>
        </w:rPr>
        <w:t>.........................................13</w:t>
      </w:r>
    </w:p>
    <w:p w14:paraId="3077BD7B">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第三部分 名词解释</w:t>
      </w:r>
      <w:r>
        <w:rPr>
          <w:rFonts w:hint="eastAsia" w:ascii="Times New Roman" w:hAnsi="Times New Roman" w:eastAsia="黑体" w:cs="Times New Roman"/>
          <w:sz w:val="32"/>
          <w:szCs w:val="32"/>
          <w:lang w:val="en-US" w:eastAsia="zh-CN"/>
        </w:rPr>
        <w:t>.................................................................18</w:t>
      </w:r>
    </w:p>
    <w:p w14:paraId="1A074745">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第四部分 附件</w:t>
      </w:r>
      <w:r>
        <w:rPr>
          <w:rFonts w:hint="eastAsia" w:ascii="Times New Roman" w:hAnsi="Times New Roman" w:eastAsia="黑体" w:cs="Times New Roman"/>
          <w:sz w:val="32"/>
          <w:szCs w:val="32"/>
          <w:lang w:val="en-US" w:eastAsia="zh-CN"/>
        </w:rPr>
        <w:t>.........................................................................22</w:t>
      </w:r>
    </w:p>
    <w:p w14:paraId="7D8F1C37">
      <w:pPr>
        <w:pStyle w:val="13"/>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第五部分 附表</w:t>
      </w:r>
      <w:r>
        <w:rPr>
          <w:rFonts w:hint="eastAsia" w:ascii="Times New Roman" w:hAnsi="Times New Roman" w:eastAsia="黑体" w:cs="Times New Roman"/>
          <w:sz w:val="32"/>
          <w:szCs w:val="32"/>
          <w:lang w:val="en-US" w:eastAsia="zh-CN"/>
        </w:rPr>
        <w:t>.........................................................................40</w:t>
      </w:r>
    </w:p>
    <w:p w14:paraId="486D80B6">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一、收入支出决算总表</w:t>
      </w:r>
      <w:r>
        <w:rPr>
          <w:rFonts w:hint="eastAsia" w:eastAsia="仿宋_GB2312" w:cs="Times New Roman"/>
          <w:sz w:val="32"/>
          <w:szCs w:val="32"/>
          <w:lang w:val="en-US" w:eastAsia="zh-CN"/>
        </w:rPr>
        <w:t>.....................................................40</w:t>
      </w:r>
    </w:p>
    <w:p w14:paraId="1E7B2334">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二、收入决算表</w:t>
      </w:r>
      <w:r>
        <w:rPr>
          <w:rFonts w:hint="eastAsia" w:eastAsia="仿宋_GB2312" w:cs="Times New Roman"/>
          <w:sz w:val="32"/>
          <w:szCs w:val="32"/>
          <w:lang w:val="en-US" w:eastAsia="zh-CN"/>
        </w:rPr>
        <w:t>.................................................................40</w:t>
      </w:r>
    </w:p>
    <w:p w14:paraId="114C6FDF">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三、支出决算表</w:t>
      </w:r>
      <w:r>
        <w:rPr>
          <w:rFonts w:hint="eastAsia" w:eastAsia="仿宋_GB2312" w:cs="Times New Roman"/>
          <w:sz w:val="32"/>
          <w:szCs w:val="32"/>
          <w:lang w:val="en-US" w:eastAsia="zh-CN"/>
        </w:rPr>
        <w:t>.................................................................40</w:t>
      </w:r>
    </w:p>
    <w:p w14:paraId="21A8E7E3">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四、财政拨款收入支出决算总表</w:t>
      </w:r>
      <w:r>
        <w:rPr>
          <w:rFonts w:hint="eastAsia" w:eastAsia="仿宋_GB2312" w:cs="Times New Roman"/>
          <w:sz w:val="32"/>
          <w:szCs w:val="32"/>
          <w:lang w:val="en-US" w:eastAsia="zh-CN"/>
        </w:rPr>
        <w:t>.....................................40</w:t>
      </w:r>
    </w:p>
    <w:p w14:paraId="3D32E131">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五、财政拨款支出决算明细表</w:t>
      </w:r>
      <w:r>
        <w:rPr>
          <w:rFonts w:hint="eastAsia" w:eastAsia="仿宋_GB2312" w:cs="Times New Roman"/>
          <w:sz w:val="32"/>
          <w:szCs w:val="32"/>
          <w:lang w:val="en-US" w:eastAsia="zh-CN"/>
        </w:rPr>
        <w:t>.........................................40</w:t>
      </w:r>
    </w:p>
    <w:p w14:paraId="223956A1">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六、一般公共预算财政拨款支出决算表</w:t>
      </w:r>
      <w:r>
        <w:rPr>
          <w:rFonts w:hint="eastAsia" w:eastAsia="仿宋_GB2312" w:cs="Times New Roman"/>
          <w:sz w:val="32"/>
          <w:szCs w:val="32"/>
          <w:lang w:val="en-US" w:eastAsia="zh-CN"/>
        </w:rPr>
        <w:t>.........................40</w:t>
      </w:r>
    </w:p>
    <w:p w14:paraId="1EDF4393">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七、一般公共预算财政拨款支出决算明细表</w:t>
      </w:r>
      <w:r>
        <w:rPr>
          <w:rFonts w:hint="eastAsia" w:eastAsia="仿宋_GB2312" w:cs="Times New Roman"/>
          <w:sz w:val="32"/>
          <w:szCs w:val="32"/>
          <w:lang w:val="en-US" w:eastAsia="zh-CN"/>
        </w:rPr>
        <w:t>.................40</w:t>
      </w:r>
    </w:p>
    <w:p w14:paraId="77B2EE7C">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八、一般公共预算财政拨款基本支出决算明细表</w:t>
      </w:r>
      <w:r>
        <w:rPr>
          <w:rFonts w:hint="eastAsia" w:eastAsia="仿宋_GB2312" w:cs="Times New Roman"/>
          <w:sz w:val="32"/>
          <w:szCs w:val="32"/>
          <w:lang w:val="en-US" w:eastAsia="zh-CN"/>
        </w:rPr>
        <w:t>.........40</w:t>
      </w:r>
    </w:p>
    <w:p w14:paraId="7556C1F7">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九、一般公共预算财政拨款项目支出决算表</w:t>
      </w:r>
      <w:r>
        <w:rPr>
          <w:rFonts w:hint="eastAsia" w:eastAsia="仿宋_GB2312" w:cs="Times New Roman"/>
          <w:sz w:val="32"/>
          <w:szCs w:val="32"/>
          <w:lang w:val="en-US" w:eastAsia="zh-CN"/>
        </w:rPr>
        <w:t>.................40</w:t>
      </w:r>
    </w:p>
    <w:p w14:paraId="70B6E6BE">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十、政府性基金预算财政拨款收入支出决算表</w:t>
      </w:r>
      <w:r>
        <w:rPr>
          <w:rFonts w:hint="eastAsia" w:eastAsia="仿宋_GB2312" w:cs="Times New Roman"/>
          <w:sz w:val="32"/>
          <w:szCs w:val="32"/>
          <w:lang w:val="en-US" w:eastAsia="zh-CN"/>
        </w:rPr>
        <w:t>.............40</w:t>
      </w:r>
    </w:p>
    <w:p w14:paraId="76596FC7">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十一、国有资本经营预算财政拨款收入支出决算表</w:t>
      </w:r>
      <w:r>
        <w:rPr>
          <w:rFonts w:hint="eastAsia" w:eastAsia="仿宋_GB2312" w:cs="Times New Roman"/>
          <w:sz w:val="32"/>
          <w:szCs w:val="32"/>
          <w:lang w:eastAsia="zh-CN"/>
        </w:rPr>
        <w:t>……</w:t>
      </w:r>
      <w:r>
        <w:rPr>
          <w:rFonts w:hint="eastAsia" w:eastAsia="仿宋_GB2312" w:cs="Times New Roman"/>
          <w:sz w:val="32"/>
          <w:szCs w:val="32"/>
          <w:lang w:val="en-US" w:eastAsia="zh-CN"/>
        </w:rPr>
        <w:t>40</w:t>
      </w:r>
    </w:p>
    <w:p w14:paraId="7A7B4F06">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十二、国有资本经营预算财政拨款支出决算表</w:t>
      </w:r>
      <w:r>
        <w:rPr>
          <w:rFonts w:hint="eastAsia" w:eastAsia="仿宋_GB2312" w:cs="Times New Roman"/>
          <w:sz w:val="32"/>
          <w:szCs w:val="32"/>
          <w:lang w:val="en-US" w:eastAsia="zh-CN"/>
        </w:rPr>
        <w:t>.............40</w:t>
      </w:r>
    </w:p>
    <w:p w14:paraId="7D27C571">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十三、财政拨款“三公”经费支出决算表</w:t>
      </w:r>
      <w:r>
        <w:rPr>
          <w:rFonts w:hint="eastAsia" w:eastAsia="仿宋_GB2312" w:cs="Times New Roman"/>
          <w:sz w:val="32"/>
          <w:szCs w:val="32"/>
          <w:lang w:val="en-US" w:eastAsia="zh-CN"/>
        </w:rPr>
        <w:t>..........................40</w:t>
      </w:r>
    </w:p>
    <w:p w14:paraId="3562EBF0">
      <w:pPr>
        <w:widowControl/>
        <w:spacing w:line="560" w:lineRule="exact"/>
        <w:jc w:val="left"/>
        <w:rPr>
          <w:rFonts w:hint="default" w:ascii="Times New Roman" w:hAnsi="Times New Roman" w:eastAsia="仿宋_GB2312" w:cs="Times New Roman"/>
          <w:bCs/>
          <w:kern w:val="44"/>
          <w:sz w:val="32"/>
          <w:szCs w:val="32"/>
        </w:rPr>
      </w:pPr>
      <w:bookmarkStart w:id="6" w:name="_Toc15377196"/>
      <w:bookmarkStart w:id="7" w:name="_Toc15396599"/>
      <w:r>
        <w:rPr>
          <w:rFonts w:hint="default" w:ascii="Times New Roman" w:hAnsi="Times New Roman" w:eastAsia="仿宋_GB2312" w:cs="Times New Roman"/>
          <w:b/>
          <w:sz w:val="32"/>
          <w:szCs w:val="32"/>
        </w:rPr>
        <w:br w:type="page"/>
      </w:r>
    </w:p>
    <w:p w14:paraId="55B64DB1">
      <w:pPr>
        <w:pStyle w:val="3"/>
        <w:jc w:val="center"/>
        <w:rPr>
          <w:rFonts w:hint="default" w:ascii="Times New Roman" w:hAnsi="Times New Roman" w:eastAsia="黑体" w:cs="Times New Roman"/>
          <w:sz w:val="32"/>
          <w:szCs w:val="32"/>
        </w:rPr>
      </w:pPr>
      <w:r>
        <w:rPr>
          <w:rFonts w:hint="default" w:ascii="Times New Roman" w:hAnsi="Times New Roman" w:eastAsia="方正小标宋简体" w:cs="Times New Roman"/>
          <w:b w:val="0"/>
        </w:rPr>
        <w:t xml:space="preserve">第一部分  </w:t>
      </w:r>
      <w:r>
        <w:rPr>
          <w:rStyle w:val="28"/>
          <w:rFonts w:hint="default" w:ascii="Times New Roman" w:hAnsi="Times New Roman" w:eastAsia="方正小标宋简体" w:cs="Times New Roman"/>
          <w:b w:val="0"/>
          <w:bCs w:val="0"/>
        </w:rPr>
        <w:t>部门概况</w:t>
      </w:r>
      <w:bookmarkEnd w:id="6"/>
      <w:bookmarkEnd w:id="7"/>
    </w:p>
    <w:p w14:paraId="512ED905">
      <w:pPr>
        <w:pStyle w:val="4"/>
        <w:ind w:firstLine="640" w:firstLineChars="200"/>
        <w:rPr>
          <w:rFonts w:hint="default" w:ascii="Times New Roman" w:hAnsi="Times New Roman" w:eastAsia="黑体" w:cs="Times New Roman"/>
          <w:b w:val="0"/>
        </w:rPr>
      </w:pPr>
      <w:bookmarkStart w:id="8" w:name="_Toc15396600"/>
      <w:bookmarkStart w:id="9" w:name="_Toc15377197"/>
      <w:r>
        <w:rPr>
          <w:rFonts w:hint="default" w:ascii="Times New Roman" w:hAnsi="Times New Roman" w:eastAsia="黑体" w:cs="Times New Roman"/>
          <w:b w:val="0"/>
        </w:rPr>
        <w:t>一、</w:t>
      </w:r>
      <w:bookmarkEnd w:id="8"/>
      <w:bookmarkEnd w:id="9"/>
      <w:r>
        <w:rPr>
          <w:rFonts w:hint="default" w:ascii="Times New Roman" w:hAnsi="Times New Roman" w:eastAsia="黑体" w:cs="Times New Roman"/>
          <w:b w:val="0"/>
        </w:rPr>
        <w:t>部门职责</w:t>
      </w:r>
    </w:p>
    <w:p w14:paraId="6C8C1089">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（1）宣传贯彻党的路线、方针、政策。</w:t>
      </w:r>
    </w:p>
    <w:p w14:paraId="30E61973">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（2）掌握全县党员、干部和人民群众的思想状态，及时向县委和上级有关部门反馈。</w:t>
      </w:r>
    </w:p>
    <w:p w14:paraId="08D0BBEA">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（3）负责理论教育、新闻报道、</w:t>
      </w:r>
      <w:r>
        <w:rPr>
          <w:rFonts w:hint="eastAsia" w:ascii="Times New Roman" w:hAnsi="Times New Roman" w:eastAsia="仿宋_GB2312" w:cs="Times New Roman"/>
          <w:color w:val="auto"/>
          <w:sz w:val="32"/>
          <w:szCs w:val="32"/>
          <w:lang w:eastAsia="zh-CN"/>
        </w:rPr>
        <w:t>宣传思想文化工作</w:t>
      </w:r>
      <w:r>
        <w:rPr>
          <w:rFonts w:hint="default" w:ascii="Times New Roman" w:hAnsi="Times New Roman" w:eastAsia="仿宋_GB2312" w:cs="Times New Roman"/>
          <w:color w:val="auto"/>
          <w:sz w:val="32"/>
          <w:szCs w:val="32"/>
        </w:rPr>
        <w:t>。</w:t>
      </w:r>
    </w:p>
    <w:p w14:paraId="205C9AEC">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（4）规划部署、组织实施全县群众社会主义精神文明建设活动。</w:t>
      </w:r>
    </w:p>
    <w:p w14:paraId="1E3EDBBF">
      <w:pPr>
        <w:rPr>
          <w:rFonts w:hint="default" w:ascii="Times New Roman" w:hAnsi="Times New Roman" w:cs="Times New Roman"/>
        </w:rPr>
      </w:pPr>
      <w:r>
        <w:rPr>
          <w:rFonts w:hint="default" w:ascii="Times New Roman" w:hAnsi="Times New Roman" w:eastAsia="仿宋_GB2312" w:cs="Times New Roman"/>
          <w:sz w:val="32"/>
          <w:szCs w:val="32"/>
        </w:rPr>
        <w:t>（5）培育文学艺术人才，加强县内外文学艺术交流。</w:t>
      </w:r>
    </w:p>
    <w:p w14:paraId="499298A1">
      <w:pPr>
        <w:pStyle w:val="4"/>
        <w:rPr>
          <w:rStyle w:val="29"/>
          <w:rFonts w:hint="default" w:ascii="Times New Roman" w:hAnsi="Times New Roman" w:cs="Times New Roman"/>
          <w:b w:val="0"/>
          <w:bCs w:val="0"/>
        </w:rPr>
      </w:pPr>
      <w:bookmarkStart w:id="10" w:name="_Toc15396601"/>
      <w:bookmarkStart w:id="11" w:name="_Toc15377200"/>
      <w:r>
        <w:rPr>
          <w:rFonts w:hint="default" w:ascii="Times New Roman" w:hAnsi="Times New Roman" w:eastAsia="黑体" w:cs="Times New Roman"/>
          <w:b w:val="0"/>
        </w:rPr>
        <w:t>二、机</w:t>
      </w:r>
      <w:r>
        <w:rPr>
          <w:rStyle w:val="29"/>
          <w:rFonts w:hint="default" w:ascii="Times New Roman" w:hAnsi="Times New Roman" w:eastAsia="黑体" w:cs="Times New Roman"/>
          <w:b w:val="0"/>
          <w:bCs w:val="0"/>
        </w:rPr>
        <w:t>构设置</w:t>
      </w:r>
      <w:bookmarkEnd w:id="10"/>
      <w:bookmarkEnd w:id="11"/>
    </w:p>
    <w:p w14:paraId="607932E7">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中共盐边县委宣传部下属二级预算单位0个，其中行政单位0个，参照公务员法管理的事业单位</w:t>
      </w:r>
      <w:r>
        <w:rPr>
          <w:rFonts w:hint="default" w:ascii="Times New Roman" w:hAnsi="Times New Roman" w:eastAsia="仿宋_GB2312" w:cs="Times New Roman"/>
          <w:bCs/>
          <w:sz w:val="32"/>
          <w:szCs w:val="32"/>
        </w:rPr>
        <w:t>0</w:t>
      </w:r>
      <w:r>
        <w:rPr>
          <w:rFonts w:hint="default" w:ascii="Times New Roman" w:hAnsi="Times New Roman" w:eastAsia="仿宋_GB2312" w:cs="Times New Roman"/>
          <w:sz w:val="32"/>
          <w:szCs w:val="32"/>
        </w:rPr>
        <w:t>个，其他事业单位0个。</w:t>
      </w:r>
    </w:p>
    <w:p w14:paraId="014E489F">
      <w:pPr>
        <w:pStyle w:val="6"/>
        <w:adjustRightInd w:val="0"/>
        <w:snapToGrid w:val="0"/>
        <w:spacing w:before="93" w:line="600" w:lineRule="exact"/>
        <w:outlineLvl w:val="2"/>
        <w:rPr>
          <w:rFonts w:hint="default" w:ascii="Times New Roman" w:hAnsi="Times New Roman" w:eastAsia="仿宋" w:cs="Times New Roman"/>
          <w:kern w:val="0"/>
          <w:sz w:val="32"/>
          <w:szCs w:val="32"/>
        </w:rPr>
      </w:pPr>
      <w:r>
        <w:rPr>
          <w:rFonts w:hint="default" w:ascii="Times New Roman" w:hAnsi="Times New Roman" w:cs="Times New Roman"/>
          <w:sz w:val="32"/>
          <w:szCs w:val="32"/>
        </w:rPr>
        <w:t xml:space="preserve">    我部门无下属二级预算单位。</w:t>
      </w:r>
    </w:p>
    <w:p w14:paraId="518E6B25">
      <w:pPr>
        <w:pStyle w:val="3"/>
        <w:jc w:val="center"/>
        <w:rPr>
          <w:rFonts w:hint="default" w:ascii="Times New Roman" w:hAnsi="Times New Roman" w:eastAsia="方正小标宋简体" w:cs="Times New Roman"/>
          <w:b w:val="0"/>
        </w:rPr>
      </w:pPr>
      <w:bookmarkStart w:id="12" w:name="_Toc15377204"/>
      <w:bookmarkStart w:id="13" w:name="_Toc15396602"/>
      <w:bookmarkStart w:id="14" w:name="_Toc15377226"/>
      <w:r>
        <w:rPr>
          <w:rFonts w:hint="default" w:ascii="Times New Roman" w:hAnsi="Times New Roman" w:eastAsia="方正小标宋简体" w:cs="Times New Roman"/>
          <w:b w:val="0"/>
        </w:rPr>
        <w:t>第二部分  2024年度部门决算情况说明</w:t>
      </w:r>
      <w:bookmarkEnd w:id="12"/>
      <w:bookmarkEnd w:id="13"/>
    </w:p>
    <w:p w14:paraId="4AD5D07B">
      <w:pPr>
        <w:pStyle w:val="27"/>
        <w:spacing w:line="600" w:lineRule="exact"/>
        <w:ind w:firstLine="640"/>
        <w:outlineLvl w:val="1"/>
        <w:rPr>
          <w:rStyle w:val="29"/>
          <w:rFonts w:hint="default" w:ascii="Times New Roman" w:hAnsi="Times New Roman" w:eastAsia="黑体" w:cs="Times New Roman"/>
          <w:b w:val="0"/>
        </w:rPr>
      </w:pPr>
      <w:bookmarkStart w:id="15" w:name="_Toc15377205"/>
      <w:bookmarkStart w:id="16" w:name="_Toc15396603"/>
      <w:r>
        <w:rPr>
          <w:rFonts w:hint="default" w:ascii="Times New Roman" w:hAnsi="Times New Roman" w:eastAsia="黑体" w:cs="Times New Roman"/>
          <w:sz w:val="32"/>
          <w:szCs w:val="32"/>
        </w:rPr>
        <w:t>一、收</w:t>
      </w:r>
      <w:r>
        <w:rPr>
          <w:rStyle w:val="29"/>
          <w:rFonts w:hint="default" w:ascii="Times New Roman" w:hAnsi="Times New Roman" w:eastAsia="黑体" w:cs="Times New Roman"/>
          <w:b w:val="0"/>
        </w:rPr>
        <w:t>入支出决算总体情况说明</w:t>
      </w:r>
      <w:bookmarkEnd w:id="15"/>
      <w:bookmarkEnd w:id="16"/>
    </w:p>
    <w:p w14:paraId="499365DC">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2024年度收入、支出总计均为1109.21万元。与2023年度相比，收入、支出总计各增加134.01万元，增长13.73%。主要变动原因是增加了项目经费。</w:t>
      </w:r>
    </w:p>
    <w:p w14:paraId="1A1CB899">
      <w:pPr>
        <w:pStyle w:val="27"/>
        <w:spacing w:line="600" w:lineRule="exact"/>
        <w:ind w:firstLine="640"/>
        <w:outlineLvl w:val="1"/>
        <w:rPr>
          <w:rFonts w:hint="default" w:ascii="Times New Roman" w:hAnsi="Times New Roman" w:eastAsia="仿宋_GB2312" w:cs="Times New Roman"/>
          <w:sz w:val="32"/>
          <w:szCs w:val="32"/>
        </w:rPr>
      </w:pPr>
    </w:p>
    <w:p w14:paraId="291B8AA5">
      <w:pPr>
        <w:pStyle w:val="8"/>
        <w:ind w:left="420"/>
        <w:rPr>
          <w:rFonts w:hint="default" w:ascii="Times New Roman" w:hAnsi="Times New Roman" w:cs="Times New Roman"/>
        </w:rPr>
      </w:pPr>
      <w:r>
        <w:rPr>
          <w:rFonts w:hint="default" w:ascii="Times New Roman" w:hAnsi="Times New Roman" w:cs="Times New Roman"/>
        </w:rPr>
        <w:drawing>
          <wp:inline distT="0" distB="0" distL="0" distR="0">
            <wp:extent cx="4676775" cy="3219450"/>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97D01B">
      <w:pPr>
        <w:pStyle w:val="27"/>
        <w:spacing w:line="600" w:lineRule="exact"/>
        <w:ind w:firstLine="640"/>
        <w:outlineLvl w:val="1"/>
        <w:rPr>
          <w:rFonts w:hint="default" w:ascii="Times New Roman" w:hAnsi="Times New Roman" w:eastAsia="黑体" w:cs="Times New Roman"/>
          <w:sz w:val="32"/>
          <w:szCs w:val="32"/>
        </w:rPr>
      </w:pPr>
      <w:bookmarkStart w:id="17" w:name="_Toc15396604"/>
      <w:bookmarkStart w:id="18" w:name="_Toc15377206"/>
      <w:r>
        <w:rPr>
          <w:rFonts w:hint="default" w:ascii="Times New Roman" w:hAnsi="Times New Roman" w:eastAsia="黑体" w:cs="Times New Roman"/>
          <w:sz w:val="32"/>
          <w:szCs w:val="32"/>
        </w:rPr>
        <w:t>二、收入决算情况说明</w:t>
      </w:r>
      <w:bookmarkEnd w:id="17"/>
      <w:bookmarkEnd w:id="18"/>
    </w:p>
    <w:p w14:paraId="01C251E9">
      <w:pPr>
        <w:pStyle w:val="27"/>
        <w:spacing w:line="600" w:lineRule="exact"/>
        <w:ind w:firstLine="640"/>
        <w:jc w:val="left"/>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本年收入合计1109.21万元，其中：一般公共预算财政拨款收入1108.21万元，占99.91%；政府性基金预算财政拨款收入1万元，占0.09%；国有资本经营预算财政拨款收入0万元，占0%；上级补助收入0万元，占0%；事业收入0万元，占0%；经营收入0万元，占0%；附属单位上缴收入0万元，占0%；其他收入0万元，占0%。</w:t>
      </w:r>
    </w:p>
    <w:p w14:paraId="34FE8685">
      <w:pPr>
        <w:ind w:firstLine="800" w:firstLineChars="250"/>
        <w:rPr>
          <w:rFonts w:hint="default" w:ascii="Times New Roman" w:hAnsi="Times New Roman" w:eastAsia="仿宋_GB2312" w:cs="Times New Roman"/>
          <w:sz w:val="32"/>
          <w:szCs w:val="32"/>
        </w:rPr>
      </w:pPr>
    </w:p>
    <w:p w14:paraId="49F41B2C">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0" distR="0">
            <wp:extent cx="4352925" cy="2962275"/>
            <wp:effectExtent l="19050" t="0" r="952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A0DD24">
      <w:pPr>
        <w:pStyle w:val="27"/>
        <w:spacing w:line="600" w:lineRule="exact"/>
        <w:ind w:firstLine="640"/>
        <w:outlineLvl w:val="1"/>
        <w:rPr>
          <w:rStyle w:val="29"/>
          <w:rFonts w:hint="default" w:ascii="Times New Roman" w:hAnsi="Times New Roman" w:eastAsia="黑体" w:cs="Times New Roman"/>
          <w:b w:val="0"/>
        </w:rPr>
      </w:pPr>
      <w:bookmarkStart w:id="19" w:name="_Toc15377207"/>
      <w:bookmarkStart w:id="20" w:name="_Toc15396605"/>
      <w:r>
        <w:rPr>
          <w:rFonts w:hint="default" w:ascii="Times New Roman" w:hAnsi="Times New Roman" w:eastAsia="黑体" w:cs="Times New Roman"/>
          <w:sz w:val="32"/>
          <w:szCs w:val="32"/>
        </w:rPr>
        <w:t>三、支</w:t>
      </w:r>
      <w:r>
        <w:rPr>
          <w:rStyle w:val="29"/>
          <w:rFonts w:hint="default" w:ascii="Times New Roman" w:hAnsi="Times New Roman" w:eastAsia="黑体" w:cs="Times New Roman"/>
          <w:b w:val="0"/>
        </w:rPr>
        <w:t>出决算情况说明</w:t>
      </w:r>
      <w:bookmarkEnd w:id="19"/>
      <w:bookmarkEnd w:id="20"/>
    </w:p>
    <w:p w14:paraId="01A0553E">
      <w:pPr>
        <w:pStyle w:val="27"/>
        <w:spacing w:line="600" w:lineRule="exact"/>
        <w:ind w:firstLine="640"/>
        <w:jc w:val="left"/>
        <w:outlineLvl w:val="1"/>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2024年度本年支出合计1109.21万元，其中：基本支出408.4万元，占36.82%；项目支出700.81万元，占63.18%；上缴上级支出0万元，占0%；经营支出0万元，占0%；对附属单位补助支出0万元，占0%。</w:t>
      </w:r>
      <w:r>
        <w:rPr>
          <w:rFonts w:hint="default" w:ascii="Times New Roman" w:hAnsi="Times New Roman" w:eastAsia="仿宋_GB2312" w:cs="Times New Roman"/>
          <w:sz w:val="32"/>
          <w:szCs w:val="32"/>
        </w:rPr>
        <w:drawing>
          <wp:anchor distT="0" distB="0" distL="114300" distR="114300" simplePos="0" relativeHeight="251659264" behindDoc="1" locked="0" layoutInCell="1" allowOverlap="1">
            <wp:simplePos x="0" y="0"/>
            <wp:positionH relativeFrom="column">
              <wp:posOffset>236855</wp:posOffset>
            </wp:positionH>
            <wp:positionV relativeFrom="paragraph">
              <wp:posOffset>704850</wp:posOffset>
            </wp:positionV>
            <wp:extent cx="5086985" cy="3406775"/>
            <wp:effectExtent l="19050" t="0" r="0" b="0"/>
            <wp:wrapTight wrapText="bothSides">
              <wp:wrapPolygon>
                <wp:start x="-81" y="0"/>
                <wp:lineTo x="-81" y="21499"/>
                <wp:lineTo x="21597" y="21499"/>
                <wp:lineTo x="21597" y="0"/>
                <wp:lineTo x="-81" y="0"/>
              </wp:wrapPolygon>
            </wp:wrapTight>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noChangeArrowheads="1"/>
                    </pic:cNvPicPr>
                  </pic:nvPicPr>
                  <pic:blipFill>
                    <a:blip r:embed="rId10"/>
                    <a:srcRect/>
                    <a:stretch>
                      <a:fillRect/>
                    </a:stretch>
                  </pic:blipFill>
                  <pic:spPr>
                    <a:xfrm>
                      <a:off x="0" y="0"/>
                      <a:ext cx="5086985" cy="3406775"/>
                    </a:xfrm>
                    <a:prstGeom prst="rect">
                      <a:avLst/>
                    </a:prstGeom>
                    <a:noFill/>
                  </pic:spPr>
                </pic:pic>
              </a:graphicData>
            </a:graphic>
          </wp:anchor>
        </w:drawing>
      </w:r>
      <w:bookmarkStart w:id="21" w:name="_Toc15396606"/>
      <w:bookmarkStart w:id="22" w:name="_Toc15377208"/>
    </w:p>
    <w:p w14:paraId="4DB05EDA">
      <w:pPr>
        <w:pStyle w:val="27"/>
        <w:spacing w:line="600" w:lineRule="exact"/>
        <w:ind w:firstLine="640"/>
        <w:jc w:val="left"/>
        <w:outlineLvl w:val="1"/>
        <w:rPr>
          <w:rStyle w:val="29"/>
          <w:rFonts w:hint="default" w:ascii="Times New Roman" w:hAnsi="Times New Roman" w:eastAsia="黑体" w:cs="Times New Roman"/>
          <w:b w:val="0"/>
        </w:rPr>
      </w:pPr>
      <w:r>
        <w:rPr>
          <w:rFonts w:hint="default" w:ascii="Times New Roman" w:hAnsi="Times New Roman" w:eastAsia="黑体" w:cs="Times New Roman"/>
          <w:sz w:val="32"/>
          <w:szCs w:val="32"/>
        </w:rPr>
        <w:t>四、财</w:t>
      </w:r>
      <w:r>
        <w:rPr>
          <w:rStyle w:val="29"/>
          <w:rFonts w:hint="default" w:ascii="Times New Roman" w:hAnsi="Times New Roman" w:eastAsia="黑体" w:cs="Times New Roman"/>
          <w:b w:val="0"/>
        </w:rPr>
        <w:t>政拨款收入支出决算总体情况说明</w:t>
      </w:r>
      <w:bookmarkEnd w:id="21"/>
      <w:bookmarkEnd w:id="22"/>
    </w:p>
    <w:p w14:paraId="4AF4246B">
      <w:pPr>
        <w:spacing w:line="600" w:lineRule="exact"/>
        <w:ind w:firstLine="640"/>
        <w:rPr>
          <w:rFonts w:hint="default" w:ascii="Times New Roman" w:hAnsi="Times New Roman" w:cs="Times New Roman"/>
        </w:rPr>
      </w:pPr>
      <w:r>
        <w:rPr>
          <w:rFonts w:hint="default" w:ascii="Times New Roman" w:hAnsi="Times New Roman" w:eastAsia="仿宋_GB2312" w:cs="Times New Roman"/>
          <w:sz w:val="32"/>
          <w:szCs w:val="32"/>
        </w:rPr>
        <w:t>2024年度财政拨款收入、支出总计均为</w:t>
      </w:r>
      <w:r>
        <w:rPr>
          <w:rFonts w:hint="default" w:ascii="Times New Roman" w:hAnsi="Times New Roman" w:eastAsia="仿宋_GB2312" w:cs="Times New Roman"/>
          <w:kern w:val="2"/>
          <w:sz w:val="32"/>
          <w:szCs w:val="32"/>
          <w:lang w:val="en-US" w:eastAsia="zh-CN" w:bidi="ar-SA"/>
        </w:rPr>
        <w:t>1109.21</w:t>
      </w:r>
      <w:r>
        <w:rPr>
          <w:rFonts w:hint="default" w:ascii="Times New Roman" w:hAnsi="Times New Roman" w:eastAsia="仿宋_GB2312" w:cs="Times New Roman"/>
          <w:sz w:val="32"/>
          <w:szCs w:val="32"/>
        </w:rPr>
        <w:t>万元。与2023年度相比，财政拨款收入总计、支出总计各增加</w:t>
      </w:r>
      <w:r>
        <w:rPr>
          <w:rFonts w:hint="default" w:ascii="Times New Roman" w:hAnsi="Times New Roman" w:eastAsia="仿宋_GB2312" w:cs="Times New Roman"/>
          <w:kern w:val="2"/>
          <w:sz w:val="32"/>
          <w:szCs w:val="32"/>
          <w:lang w:val="en-US" w:eastAsia="zh-CN" w:bidi="ar-SA"/>
        </w:rPr>
        <w:t>134.01</w:t>
      </w:r>
      <w:r>
        <w:rPr>
          <w:rFonts w:hint="default" w:ascii="Times New Roman" w:hAnsi="Times New Roman" w:eastAsia="仿宋_GB2312" w:cs="Times New Roman"/>
          <w:sz w:val="32"/>
          <w:szCs w:val="32"/>
        </w:rPr>
        <w:t>万元，增长13.73%。主要变动原因是增加了项目经费。</w:t>
      </w:r>
    </w:p>
    <w:p w14:paraId="0224DEBE">
      <w:pPr>
        <w:pStyle w:val="8"/>
        <w:ind w:left="420"/>
        <w:rPr>
          <w:rFonts w:hint="default" w:ascii="Times New Roman" w:hAnsi="Times New Roman" w:cs="Times New Roman"/>
        </w:rPr>
      </w:pPr>
    </w:p>
    <w:p w14:paraId="1D5C0482">
      <w:pPr>
        <w:pStyle w:val="8"/>
        <w:ind w:left="420"/>
        <w:rPr>
          <w:rFonts w:hint="default" w:ascii="Times New Roman" w:hAnsi="Times New Roman" w:cs="Times New Roman"/>
        </w:rPr>
      </w:pPr>
      <w:r>
        <w:rPr>
          <w:rFonts w:hint="default" w:ascii="Times New Roman" w:hAnsi="Times New Roman" w:cs="Times New Roman"/>
        </w:rPr>
        <w:drawing>
          <wp:inline distT="0" distB="0" distL="0" distR="0">
            <wp:extent cx="4676775" cy="3000375"/>
            <wp:effectExtent l="19050" t="0" r="9525" b="0"/>
            <wp:docPr id="22"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DC0F49">
      <w:pPr>
        <w:spacing w:line="600" w:lineRule="exact"/>
        <w:rPr>
          <w:rFonts w:hint="default" w:ascii="Times New Roman" w:hAnsi="Times New Roman" w:eastAsia="仿宋_GB2312" w:cs="Times New Roman"/>
          <w:sz w:val="32"/>
          <w:szCs w:val="32"/>
        </w:rPr>
      </w:pPr>
    </w:p>
    <w:p w14:paraId="543CEE82">
      <w:pPr>
        <w:spacing w:line="600" w:lineRule="exact"/>
        <w:ind w:firstLine="640" w:firstLineChars="200"/>
        <w:outlineLvl w:val="1"/>
        <w:rPr>
          <w:rStyle w:val="29"/>
          <w:rFonts w:hint="default" w:ascii="Times New Roman" w:hAnsi="Times New Roman" w:eastAsia="黑体" w:cs="Times New Roman"/>
          <w:b w:val="0"/>
        </w:rPr>
      </w:pPr>
      <w:bookmarkStart w:id="23" w:name="_Toc15377209"/>
      <w:bookmarkStart w:id="24"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般公共预算财政拨款支出决算情况说明</w:t>
      </w:r>
      <w:bookmarkEnd w:id="23"/>
      <w:bookmarkEnd w:id="24"/>
    </w:p>
    <w:p w14:paraId="54575981">
      <w:pPr>
        <w:spacing w:line="600" w:lineRule="exact"/>
        <w:ind w:firstLine="643" w:firstLineChars="200"/>
        <w:outlineLvl w:val="2"/>
        <w:rPr>
          <w:rFonts w:hint="default" w:ascii="Times New Roman" w:hAnsi="Times New Roman" w:eastAsia="楷体_GB2312" w:cs="Times New Roman"/>
          <w:b/>
          <w:sz w:val="32"/>
          <w:szCs w:val="32"/>
        </w:rPr>
      </w:pPr>
      <w:bookmarkStart w:id="25" w:name="_Toc15377210"/>
      <w:r>
        <w:rPr>
          <w:rFonts w:hint="default" w:ascii="Times New Roman" w:hAnsi="Times New Roman" w:eastAsia="楷体_GB2312" w:cs="Times New Roman"/>
          <w:b/>
          <w:sz w:val="32"/>
          <w:szCs w:val="32"/>
        </w:rPr>
        <w:t>（一）一般公共预算财政拨款支出决算总体情况</w:t>
      </w:r>
      <w:bookmarkEnd w:id="25"/>
    </w:p>
    <w:p w14:paraId="7FDEAF1F">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2024</w:t>
      </w:r>
      <w:r>
        <w:rPr>
          <w:rFonts w:hint="default" w:ascii="Times New Roman" w:hAnsi="Times New Roman" w:eastAsia="仿宋_GB2312" w:cs="Times New Roman"/>
          <w:sz w:val="32"/>
          <w:szCs w:val="32"/>
        </w:rPr>
        <w:t>年度一般公共预算财政拨款支出</w:t>
      </w:r>
      <w:r>
        <w:rPr>
          <w:rFonts w:hint="default" w:ascii="Times New Roman" w:hAnsi="Times New Roman" w:eastAsia="仿宋_GB2312" w:cs="Times New Roman"/>
          <w:kern w:val="2"/>
          <w:sz w:val="32"/>
          <w:szCs w:val="32"/>
          <w:lang w:val="en-US" w:eastAsia="zh-CN" w:bidi="ar-SA"/>
        </w:rPr>
        <w:t>1108.21</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kern w:val="2"/>
          <w:sz w:val="32"/>
          <w:szCs w:val="32"/>
          <w:lang w:val="en-US" w:eastAsia="zh-CN" w:bidi="ar-SA"/>
        </w:rPr>
        <w:t>99.91%</w:t>
      </w:r>
      <w:r>
        <w:rPr>
          <w:rFonts w:hint="default" w:ascii="Times New Roman" w:hAnsi="Times New Roman" w:eastAsia="仿宋_GB2312" w:cs="Times New Roman"/>
          <w:sz w:val="32"/>
          <w:szCs w:val="32"/>
        </w:rPr>
        <w:t>。与</w:t>
      </w:r>
      <w:r>
        <w:rPr>
          <w:rFonts w:hint="default" w:ascii="Times New Roman" w:hAnsi="Times New Roman" w:eastAsia="仿宋_GB2312" w:cs="Times New Roman"/>
          <w:kern w:val="2"/>
          <w:sz w:val="32"/>
          <w:szCs w:val="32"/>
          <w:lang w:val="en-US" w:eastAsia="zh-CN" w:bidi="ar-SA"/>
        </w:rPr>
        <w:t>2023</w:t>
      </w:r>
      <w:r>
        <w:rPr>
          <w:rFonts w:hint="default" w:ascii="Times New Roman" w:hAnsi="Times New Roman" w:eastAsia="仿宋_GB2312" w:cs="Times New Roman"/>
          <w:sz w:val="32"/>
          <w:szCs w:val="32"/>
        </w:rPr>
        <w:t>年度相比，一般公共预算财政拨款支出增加</w:t>
      </w:r>
      <w:r>
        <w:rPr>
          <w:rFonts w:hint="default" w:ascii="Times New Roman" w:hAnsi="Times New Roman" w:eastAsia="仿宋_GB2312" w:cs="Times New Roman"/>
          <w:kern w:val="2"/>
          <w:sz w:val="32"/>
          <w:szCs w:val="32"/>
          <w:lang w:val="en-US" w:eastAsia="zh-CN" w:bidi="ar-SA"/>
        </w:rPr>
        <w:t>132.59</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kern w:val="2"/>
          <w:sz w:val="32"/>
          <w:szCs w:val="32"/>
          <w:lang w:val="en-US" w:eastAsia="zh-CN" w:bidi="ar-SA"/>
        </w:rPr>
        <w:t>13.59%</w:t>
      </w:r>
      <w:r>
        <w:rPr>
          <w:rFonts w:hint="default" w:ascii="Times New Roman" w:hAnsi="Times New Roman" w:eastAsia="仿宋_GB2312" w:cs="Times New Roman"/>
          <w:sz w:val="32"/>
          <w:szCs w:val="32"/>
        </w:rPr>
        <w:t>。主要变动原因是增加了项目经费。</w:t>
      </w:r>
    </w:p>
    <w:p w14:paraId="4AE71DD4">
      <w:pPr>
        <w:pStyle w:val="14"/>
        <w:rPr>
          <w:rFonts w:hint="default" w:ascii="Times New Roman" w:hAnsi="Times New Roman" w:cs="Times New Roman"/>
        </w:rPr>
      </w:pPr>
    </w:p>
    <w:p w14:paraId="6DC88E44">
      <w:pPr>
        <w:pStyle w:val="8"/>
        <w:ind w:left="420"/>
        <w:rPr>
          <w:rFonts w:hint="default" w:ascii="Times New Roman" w:hAnsi="Times New Roman" w:cs="Times New Roman"/>
        </w:rPr>
      </w:pPr>
    </w:p>
    <w:p w14:paraId="70D365D3">
      <w:pPr>
        <w:pStyle w:val="8"/>
        <w:ind w:left="420"/>
        <w:rPr>
          <w:rFonts w:hint="default" w:ascii="Times New Roman" w:hAnsi="Times New Roman" w:cs="Times New Roman"/>
        </w:rPr>
      </w:pPr>
      <w:r>
        <w:rPr>
          <w:rFonts w:hint="default" w:ascii="Times New Roman" w:hAnsi="Times New Roman" w:cs="Times New Roman"/>
        </w:rPr>
        <w:drawing>
          <wp:inline distT="0" distB="0" distL="0" distR="0">
            <wp:extent cx="4495800" cy="2590800"/>
            <wp:effectExtent l="19050" t="0" r="19050" b="0"/>
            <wp:docPr id="23"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5915A6">
      <w:pPr>
        <w:spacing w:line="600" w:lineRule="exact"/>
        <w:ind w:firstLine="643" w:firstLineChars="200"/>
        <w:outlineLvl w:val="2"/>
        <w:rPr>
          <w:rFonts w:hint="default" w:ascii="Times New Roman" w:hAnsi="Times New Roman" w:eastAsia="楷体_GB2312" w:cs="Times New Roman"/>
          <w:b/>
          <w:sz w:val="32"/>
          <w:szCs w:val="32"/>
        </w:rPr>
      </w:pPr>
      <w:bookmarkStart w:id="26" w:name="_Toc15377211"/>
      <w:r>
        <w:rPr>
          <w:rFonts w:hint="default" w:ascii="Times New Roman" w:hAnsi="Times New Roman" w:eastAsia="楷体_GB2312" w:cs="Times New Roman"/>
          <w:b/>
          <w:sz w:val="32"/>
          <w:szCs w:val="32"/>
        </w:rPr>
        <w:t>（二）一般公共预算财政拨款支出决算结构情况</w:t>
      </w:r>
      <w:bookmarkEnd w:id="26"/>
    </w:p>
    <w:p w14:paraId="76FE0933">
      <w:pPr>
        <w:spacing w:line="600" w:lineRule="exact"/>
        <w:ind w:firstLine="64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一般公共预算财政拨款支出1108.21万元，主要用于以下方面：一般公共服务支出864.41万元，占78%；教育支出0万元，占0%；科学技术支出0万元，占0%；文化旅游体育与传媒支出124.66万元，占11.25%；社会保障和就业支出58.2万元，占5.25%；卫生健康支出31.79万元，占2.87%；住房保障支出29.14万元，占2.63%。</w:t>
      </w:r>
    </w:p>
    <w:p w14:paraId="3A1E75B9">
      <w:pPr>
        <w:pStyle w:val="14"/>
        <w:rPr>
          <w:rFonts w:hint="default" w:ascii="Times New Roman" w:hAnsi="Times New Roman" w:cs="Times New Roman"/>
        </w:rPr>
      </w:pPr>
    </w:p>
    <w:p w14:paraId="1E20F775">
      <w:pPr>
        <w:pStyle w:val="8"/>
        <w:ind w:left="420"/>
        <w:rPr>
          <w:rFonts w:hint="default" w:ascii="Times New Roman" w:hAnsi="Times New Roman" w:cs="Times New Roman"/>
        </w:rPr>
      </w:pPr>
    </w:p>
    <w:p w14:paraId="7C968AFC">
      <w:pPr>
        <w:pStyle w:val="8"/>
        <w:ind w:left="420"/>
        <w:rPr>
          <w:rFonts w:hint="default" w:ascii="Times New Roman" w:hAnsi="Times New Roman" w:cs="Times New Roman"/>
        </w:rPr>
      </w:pPr>
    </w:p>
    <w:p w14:paraId="46888304">
      <w:pPr>
        <w:pStyle w:val="8"/>
        <w:ind w:left="420"/>
        <w:rPr>
          <w:rFonts w:hint="default" w:ascii="Times New Roman" w:hAnsi="Times New Roman" w:cs="Times New Roman"/>
        </w:rPr>
      </w:pPr>
    </w:p>
    <w:p w14:paraId="2EB50884">
      <w:pPr>
        <w:pStyle w:val="8"/>
        <w:ind w:left="420"/>
        <w:rPr>
          <w:rFonts w:hint="default" w:ascii="Times New Roman" w:hAnsi="Times New Roman" w:cs="Times New Roman"/>
        </w:rPr>
      </w:pPr>
    </w:p>
    <w:p w14:paraId="0B5C0D66">
      <w:pPr>
        <w:pStyle w:val="8"/>
        <w:ind w:left="420"/>
        <w:rPr>
          <w:rFonts w:hint="default" w:ascii="Times New Roman" w:hAnsi="Times New Roman" w:cs="Times New Roman"/>
        </w:rPr>
      </w:pPr>
    </w:p>
    <w:p w14:paraId="64F1ECE6">
      <w:pPr>
        <w:pStyle w:val="8"/>
        <w:ind w:left="420"/>
        <w:rPr>
          <w:rFonts w:hint="default" w:ascii="Times New Roman" w:hAnsi="Times New Roman" w:cs="Times New Roman"/>
        </w:rPr>
      </w:pPr>
      <w:r>
        <w:rPr>
          <w:rFonts w:hint="default" w:ascii="Times New Roman" w:hAnsi="Times New Roman" w:cs="Times New Roman"/>
        </w:rPr>
        <w:drawing>
          <wp:inline distT="0" distB="0" distL="0" distR="0">
            <wp:extent cx="4676775" cy="3557905"/>
            <wp:effectExtent l="19050" t="0" r="9525" b="4445"/>
            <wp:docPr id="25"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2B8670">
      <w:pPr>
        <w:spacing w:line="600" w:lineRule="exact"/>
        <w:ind w:firstLine="643" w:firstLineChars="200"/>
        <w:outlineLvl w:val="2"/>
        <w:rPr>
          <w:rFonts w:hint="default" w:ascii="Times New Roman" w:hAnsi="Times New Roman" w:eastAsia="楷体_GB2312" w:cs="Times New Roman"/>
          <w:b/>
          <w:sz w:val="32"/>
          <w:szCs w:val="32"/>
        </w:rPr>
      </w:pPr>
      <w:bookmarkStart w:id="27" w:name="_Toc15377212"/>
      <w:r>
        <w:rPr>
          <w:rFonts w:hint="default" w:ascii="Times New Roman" w:hAnsi="Times New Roman" w:eastAsia="楷体_GB2312" w:cs="Times New Roman"/>
          <w:b/>
          <w:sz w:val="32"/>
          <w:szCs w:val="32"/>
        </w:rPr>
        <w:t>（三）一般公共预算财政拨款支出决算具体情况</w:t>
      </w:r>
      <w:bookmarkEnd w:id="27"/>
    </w:p>
    <w:p w14:paraId="303E8603">
      <w:pPr>
        <w:spacing w:line="600" w:lineRule="exact"/>
        <w:ind w:firstLine="640"/>
        <w:rPr>
          <w:rFonts w:hint="default" w:ascii="Times New Roman" w:hAnsi="Times New Roman" w:eastAsia="仿宋_GB2312" w:cs="Times New Roman"/>
          <w:sz w:val="32"/>
          <w:szCs w:val="32"/>
        </w:rPr>
      </w:pPr>
      <w:bookmarkStart w:id="28" w:name="_Toc15377444"/>
      <w:bookmarkStart w:id="29" w:name="_Toc15377213"/>
      <w:bookmarkStart w:id="30" w:name="_Toc15378460"/>
      <w:r>
        <w:rPr>
          <w:rFonts w:hint="default" w:ascii="Times New Roman" w:hAnsi="Times New Roman" w:eastAsia="仿宋_GB2312" w:cs="Times New Roman"/>
          <w:sz w:val="32"/>
          <w:szCs w:val="32"/>
        </w:rPr>
        <w:t>2024年度一般公共预算财政拨款支出决算数为1108.21万元，完成预算100%。其中：</w:t>
      </w:r>
      <w:bookmarkEnd w:id="28"/>
      <w:bookmarkEnd w:id="29"/>
      <w:bookmarkEnd w:id="30"/>
    </w:p>
    <w:p w14:paraId="5F4898E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1.一般公共服务（类）宣传事务（款）行政运行（项）：支出决算为180.36万元，完成预算100%，决算数与预算数持平。</w:t>
      </w:r>
    </w:p>
    <w:p w14:paraId="66E2A306">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2.一般公共服务（类）宣传事务（款）一般行政管理事务（项）：支出决算为57.69万元，完成预算100%，决算数与预算数持平。</w:t>
      </w:r>
    </w:p>
    <w:p w14:paraId="68267097">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3.一般公共服务（类）宣传事务（款）宣传管理（项）：支出决算为301.2万元，完成预算100%，决算数与预算数持平。</w:t>
      </w:r>
    </w:p>
    <w:p w14:paraId="1F20751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4.一般公共服务（类）宣传事务（款）事业运行（项）：支出决算为108.9万元，完成预算100%，决算数与预算数持平。</w:t>
      </w:r>
    </w:p>
    <w:p w14:paraId="0EFA3A28">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5.一般公共服务（类）宣传事务（款）其他宣传事务支出（项）：支出决算为216.26万元，完成预算100%，决算数与预算数持平。</w:t>
      </w:r>
    </w:p>
    <w:p w14:paraId="2CCF5FEE">
      <w:pPr>
        <w:pStyle w:val="14"/>
        <w:rPr>
          <w:rFonts w:hint="default" w:ascii="Times New Roman" w:hAnsi="Times New Roman" w:cs="Times New Roman"/>
        </w:rPr>
      </w:pPr>
    </w:p>
    <w:p w14:paraId="616007AB">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6.文化旅游体育与传媒支出（类）其他文化旅游体育与传媒支出（款）宣传文化发展专项支出（项）：支出决算为23.2万元，完成预算100%，决算数与预算数持平。</w:t>
      </w:r>
    </w:p>
    <w:p w14:paraId="4C62ED4E">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7.文化旅游体育与传媒支出（类）其他文化旅游体育与传媒支出（款）其他文化旅游体育与传媒支出（项）：支出决算为101.44万元，完成预算100%，决算数与预算数持平。</w:t>
      </w:r>
    </w:p>
    <w:p w14:paraId="3439AE55">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8.社会保障和就业（类）行政事业单位养老支出（款）行政单位离退休费（项）：支出决算为14.84万元，完成预算100%，决算数与预算数持平。</w:t>
      </w:r>
    </w:p>
    <w:p w14:paraId="46C5B850">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9.社会保障和就业（类）行政事业单位养老支出（款）机关事业单位基本养老保险缴费支出（项）：支出决算为35.79万元，完成预算100%，决算数与预算数持平。</w:t>
      </w:r>
    </w:p>
    <w:p w14:paraId="6A982C73">
      <w:pPr>
        <w:spacing w:line="600" w:lineRule="exact"/>
        <w:ind w:firstLine="640"/>
        <w:rPr>
          <w:rFonts w:hint="default" w:ascii="Times New Roman" w:hAnsi="Times New Roman" w:cs="Times New Roman"/>
        </w:rPr>
      </w:pPr>
      <w:r>
        <w:rPr>
          <w:rFonts w:hint="default" w:ascii="Times New Roman" w:hAnsi="Times New Roman" w:eastAsia="仿宋_GB2312" w:cs="Times New Roman"/>
          <w:sz w:val="32"/>
          <w:szCs w:val="32"/>
        </w:rPr>
        <w:t>10.社会保障和就业（类）行政事业单位养老支出（款）机关事业单位职业年金缴费支出（项）：支出决算为7.57万元，完成预算100%，决算数与预算数持平。</w:t>
      </w:r>
    </w:p>
    <w:p w14:paraId="7585091E">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11.卫生健康支出（类）行政事业单位医疗（款）行政单位医疗（项）：支出决算为11.79万元，完成预算100%，决算数与预算数持平。</w:t>
      </w:r>
    </w:p>
    <w:p w14:paraId="08B6A41A">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12.卫生健康支出（类）行政事业单位医疗（款）事业单位医疗（项）：支出决算为7.66万元，完成预算100%，决算数与预算数持平。</w:t>
      </w:r>
    </w:p>
    <w:p w14:paraId="6F66AF4C">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13.卫生健康支出（类）行政事业单位医疗（款）公务员医疗补助（项）：支出决算为1.2万元，完成预算100%，决算数与预算数持平。</w:t>
      </w:r>
    </w:p>
    <w:p w14:paraId="2C4416BD">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14.卫生健康支出（类）行政事业单位医疗（款）公务员医疗补助（项）：支出决算为1.2万元，完成预算100%，决算数与预算数持平。</w:t>
      </w:r>
    </w:p>
    <w:p w14:paraId="1C885BE9">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15.卫生健康支出（类）行政事业单位医疗（款）其他行政事业单位医疗支出（项）：支出决算为11.22万元，完成预算100%，决算数与预算数持平。</w:t>
      </w:r>
    </w:p>
    <w:p w14:paraId="3F8D912B">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16.住房保障支出（类）住房改革支出（款）住房公积金（项）：支出决算为29.14万元，完成预算100%，决算数与预算数持平。</w:t>
      </w:r>
    </w:p>
    <w:p w14:paraId="744C9BA2">
      <w:pPr>
        <w:tabs>
          <w:tab w:val="right" w:pos="8306"/>
        </w:tabs>
        <w:spacing w:line="600" w:lineRule="exact"/>
        <w:ind w:firstLine="640"/>
        <w:outlineLvl w:val="1"/>
        <w:rPr>
          <w:rStyle w:val="29"/>
          <w:rFonts w:hint="default" w:ascii="Times New Roman" w:hAnsi="Times New Roman" w:cs="Times New Roman"/>
        </w:rPr>
      </w:pPr>
      <w:bookmarkStart w:id="31" w:name="_Toc15396608"/>
      <w:bookmarkStart w:id="32"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般公共预算财政拨款基本支出决算情况说明</w:t>
      </w:r>
      <w:bookmarkEnd w:id="31"/>
      <w:bookmarkEnd w:id="32"/>
      <w:r>
        <w:rPr>
          <w:rStyle w:val="29"/>
          <w:rFonts w:hint="default" w:ascii="Times New Roman" w:hAnsi="Times New Roman" w:eastAsia="黑体" w:cs="Times New Roman"/>
          <w:b w:val="0"/>
        </w:rPr>
        <w:tab/>
      </w:r>
    </w:p>
    <w:p w14:paraId="3453C177">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2024年度一般公共预算财政拨款基本支出408.4万元，其中：</w:t>
      </w:r>
    </w:p>
    <w:p w14:paraId="663C33F6">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人员经费361.94万元，主要包括：基本工资、津贴补贴、奖金、绩效工资、机关事业单位基本养老保险缴费、职业年金缴费、其他社会保障缴费、职工基本医疗保险缴费、  公务员医疗补助缴费、医疗费、其他工资福利支出、离休生活补助、医疗费补助、奖励金、住房公积金支出等。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公用经费31.85万元，主要包括：办公费、水费、差旅费、维修（护）费、租赁费、会议费、培训费、公务接待费、劳务费、委托业务费、工会经费、福利费、其他交通费、其他商品和服务支出等。</w:t>
      </w:r>
    </w:p>
    <w:p w14:paraId="672DCDA5">
      <w:pPr>
        <w:pStyle w:val="14"/>
        <w:rPr>
          <w:rFonts w:hint="default" w:ascii="Times New Roman" w:hAnsi="Times New Roman" w:cs="Times New Roman"/>
        </w:rPr>
      </w:pPr>
    </w:p>
    <w:p w14:paraId="66F5DF24">
      <w:pPr>
        <w:spacing w:line="600" w:lineRule="exact"/>
        <w:ind w:firstLine="640"/>
        <w:outlineLvl w:val="1"/>
        <w:rPr>
          <w:rStyle w:val="29"/>
          <w:rFonts w:hint="default" w:ascii="Times New Roman" w:hAnsi="Times New Roman" w:eastAsia="黑体" w:cs="Times New Roman"/>
          <w:b w:val="0"/>
        </w:rPr>
      </w:pPr>
      <w:bookmarkStart w:id="33" w:name="_Toc15396609"/>
      <w:bookmarkStart w:id="34" w:name="_Toc15377215"/>
      <w:r>
        <w:rPr>
          <w:rFonts w:hint="default" w:ascii="Times New Roman" w:hAnsi="Times New Roman" w:eastAsia="黑体" w:cs="Times New Roman"/>
          <w:sz w:val="32"/>
          <w:szCs w:val="32"/>
        </w:rPr>
        <w:t>七、</w:t>
      </w:r>
      <w:r>
        <w:rPr>
          <w:rStyle w:val="29"/>
          <w:rFonts w:hint="default" w:ascii="Times New Roman" w:hAnsi="Times New Roman" w:eastAsia="黑体" w:cs="Times New Roman"/>
          <w:b w:val="0"/>
        </w:rPr>
        <w:t>财政拨款</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三公”经费支出决算情况说明</w:t>
      </w:r>
      <w:bookmarkEnd w:id="33"/>
      <w:bookmarkEnd w:id="34"/>
    </w:p>
    <w:p w14:paraId="56624D7D">
      <w:pPr>
        <w:spacing w:line="600" w:lineRule="exact"/>
        <w:ind w:firstLine="643" w:firstLineChars="200"/>
        <w:outlineLvl w:val="2"/>
        <w:rPr>
          <w:rFonts w:hint="default" w:ascii="Times New Roman" w:hAnsi="Times New Roman" w:eastAsia="楷体_GB2312" w:cs="Times New Roman"/>
          <w:b/>
          <w:sz w:val="32"/>
          <w:szCs w:val="32"/>
        </w:rPr>
      </w:pPr>
      <w:bookmarkStart w:id="35" w:name="_Toc15377216"/>
      <w:r>
        <w:rPr>
          <w:rFonts w:hint="default" w:ascii="Times New Roman" w:hAnsi="Times New Roman" w:eastAsia="楷体_GB2312" w:cs="Times New Roman"/>
          <w:b/>
          <w:sz w:val="32"/>
          <w:szCs w:val="32"/>
        </w:rPr>
        <w:t>（一）“三公”经费财政拨款支出决算总体情况说明</w:t>
      </w:r>
      <w:bookmarkEnd w:id="35"/>
    </w:p>
    <w:p w14:paraId="6DE806B9">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2024年度“三公”经费财政拨款支出决算为0.18万元，完成预算100%，较上年度增加0.18万元，增长100%。决算数与预算数持平。</w:t>
      </w:r>
    </w:p>
    <w:p w14:paraId="307EE4CF">
      <w:pPr>
        <w:spacing w:line="600" w:lineRule="exact"/>
        <w:ind w:firstLine="643" w:firstLineChars="200"/>
        <w:outlineLvl w:val="2"/>
        <w:rPr>
          <w:rFonts w:hint="default" w:ascii="Times New Roman" w:hAnsi="Times New Roman" w:eastAsia="楷体_GB2312" w:cs="Times New Roman"/>
          <w:b/>
          <w:sz w:val="32"/>
          <w:szCs w:val="32"/>
        </w:rPr>
      </w:pPr>
      <w:bookmarkStart w:id="36" w:name="_Toc15377217"/>
      <w:r>
        <w:rPr>
          <w:rFonts w:hint="default" w:ascii="Times New Roman" w:hAnsi="Times New Roman" w:eastAsia="楷体_GB2312" w:cs="Times New Roman"/>
          <w:b/>
          <w:sz w:val="32"/>
          <w:szCs w:val="32"/>
        </w:rPr>
        <w:t>（二）“三公”经费财政拨款支出决算具体情况说明</w:t>
      </w:r>
      <w:bookmarkEnd w:id="36"/>
    </w:p>
    <w:p w14:paraId="1E596EFD">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2024年度“三公”经费财政拨款支出决算中，因公出国（境）费支出决算0万元，占0%；公务用车购置及运行维护费支出决算0万元，占0%；公务接待费支出决算0.18万元，占100%。具体情况如下：</w:t>
      </w:r>
    </w:p>
    <w:p w14:paraId="18D3B1CE">
      <w:pPr>
        <w:pStyle w:val="14"/>
        <w:rPr>
          <w:rFonts w:hint="default" w:ascii="Times New Roman" w:hAnsi="Times New Roman" w:cs="Times New Roman"/>
        </w:rPr>
      </w:pPr>
    </w:p>
    <w:p w14:paraId="4E279EED">
      <w:pPr>
        <w:pStyle w:val="8"/>
        <w:ind w:left="420"/>
        <w:rPr>
          <w:rFonts w:hint="default" w:ascii="Times New Roman" w:hAnsi="Times New Roman" w:cs="Times New Roman"/>
        </w:rPr>
      </w:pPr>
    </w:p>
    <w:p w14:paraId="7D9FC41E">
      <w:pPr>
        <w:pStyle w:val="8"/>
        <w:ind w:left="420"/>
        <w:rPr>
          <w:rFonts w:hint="default" w:ascii="Times New Roman" w:hAnsi="Times New Roman" w:cs="Times New Roman"/>
        </w:rPr>
      </w:pPr>
    </w:p>
    <w:p w14:paraId="726E35E8">
      <w:pPr>
        <w:pStyle w:val="8"/>
        <w:ind w:left="420"/>
        <w:rPr>
          <w:rFonts w:hint="default" w:ascii="Times New Roman" w:hAnsi="Times New Roman" w:cs="Times New Roman"/>
        </w:rPr>
      </w:pPr>
    </w:p>
    <w:p w14:paraId="38D59DF3">
      <w:pPr>
        <w:pStyle w:val="8"/>
        <w:ind w:left="420"/>
        <w:rPr>
          <w:rFonts w:hint="default" w:ascii="Times New Roman" w:hAnsi="Times New Roman" w:cs="Times New Roman"/>
        </w:rPr>
      </w:pPr>
    </w:p>
    <w:p w14:paraId="6F5EB735">
      <w:pPr>
        <w:pStyle w:val="8"/>
        <w:ind w:left="420"/>
        <w:rPr>
          <w:rFonts w:hint="default" w:ascii="Times New Roman" w:hAnsi="Times New Roman" w:cs="Times New Roman"/>
        </w:rPr>
      </w:pPr>
      <w:r>
        <w:rPr>
          <w:rFonts w:hint="default" w:ascii="Times New Roman" w:hAnsi="Times New Roman" w:cs="Times New Roman"/>
        </w:rPr>
        <w:drawing>
          <wp:inline distT="0" distB="0" distL="0" distR="0">
            <wp:extent cx="4495800" cy="2924175"/>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00B697">
      <w:pPr>
        <w:spacing w:line="600" w:lineRule="exact"/>
        <w:ind w:firstLine="640"/>
        <w:rPr>
          <w:rFonts w:hint="default" w:ascii="Times New Roman" w:hAnsi="Times New Roman" w:eastAsia="仿宋_GB2312" w:cs="Times New Roman"/>
          <w:sz w:val="32"/>
          <w:szCs w:val="32"/>
        </w:rPr>
      </w:pPr>
    </w:p>
    <w:p w14:paraId="63F29137">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.因公出国（境）经费支出0万元，完成预算100%。</w:t>
      </w:r>
      <w:r>
        <w:rPr>
          <w:rFonts w:hint="default" w:ascii="Times New Roman" w:hAnsi="Times New Roman" w:eastAsia="仿宋_GB2312" w:cs="Times New Roman"/>
          <w:sz w:val="32"/>
          <w:szCs w:val="32"/>
        </w:rPr>
        <w:t>全年安排因公出国（境）团组0次，出国（境）0人。因公出国（境）支出决算与2023年持平。</w:t>
      </w:r>
    </w:p>
    <w:p w14:paraId="266F3266">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2024年我单位无因公出国（境）工作安排。</w:t>
      </w:r>
    </w:p>
    <w:p w14:paraId="67C72F1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2.公务用车购置及运行维护费支出0万元，完成预算100%。</w:t>
      </w:r>
      <w:r>
        <w:rPr>
          <w:rFonts w:hint="default" w:ascii="Times New Roman" w:hAnsi="Times New Roman" w:eastAsia="仿宋_GB2312" w:cs="Times New Roman"/>
          <w:sz w:val="32"/>
          <w:szCs w:val="32"/>
        </w:rPr>
        <w:t>公务用车购置及运行维护费支出决算与2023年度持平。</w:t>
      </w:r>
    </w:p>
    <w:p w14:paraId="4FDB7ABD">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0FA9A05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公务用车运行维护费支出0万元。</w:t>
      </w:r>
    </w:p>
    <w:p w14:paraId="1122AD7F">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3.公务接待费支出0.18万元，完成预算100%。</w:t>
      </w:r>
      <w:r>
        <w:rPr>
          <w:rFonts w:hint="default" w:ascii="Times New Roman" w:hAnsi="Times New Roman" w:eastAsia="仿宋_GB2312" w:cs="Times New Roman"/>
          <w:sz w:val="32"/>
          <w:szCs w:val="32"/>
        </w:rPr>
        <w:t>公务接待费支出决算比2023年度增加0.18万元，增长100%。主要原因是因工作需要接待。其中：</w:t>
      </w:r>
    </w:p>
    <w:p w14:paraId="41E978A6">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0.18万元，主要用于攀枝花市委宣传部来盐参加2024年全民国防教育日主题活动及国防进校园活动，四川川上有方品牌管理有限公司专家来攀指导文明创建工作。国内公务接待2批次，22人次（不包括陪同人员），共计支出0.18万元，具体内容包括：接待攀枝花市委宣传部来盐参加2024年全民国防教育日主题活动及国防进校园活动，公务接待费0.14万元。接待四川川上有方品牌管理有限公司专家来攀指导文明创建工作，公务接待费0.04万元。</w:t>
      </w:r>
    </w:p>
    <w:p w14:paraId="34FFBC91">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外事接待支出0万元。</w:t>
      </w:r>
      <w:bookmarkStart w:id="37" w:name="_Toc15396610"/>
      <w:bookmarkStart w:id="38" w:name="_Toc15377218"/>
    </w:p>
    <w:p w14:paraId="19499118">
      <w:pPr>
        <w:spacing w:line="600" w:lineRule="exact"/>
        <w:ind w:firstLine="640"/>
        <w:outlineLvl w:val="1"/>
        <w:rPr>
          <w:rStyle w:val="29"/>
          <w:rFonts w:hint="default" w:ascii="Times New Roman" w:hAnsi="Times New Roman" w:eastAsia="黑体" w:cs="Times New Roman"/>
        </w:rPr>
      </w:pPr>
      <w:r>
        <w:rPr>
          <w:rFonts w:hint="default" w:ascii="Times New Roman" w:hAnsi="Times New Roman" w:eastAsia="黑体" w:cs="Times New Roman"/>
          <w:sz w:val="32"/>
          <w:szCs w:val="32"/>
        </w:rPr>
        <w:t>八、</w:t>
      </w:r>
      <w:r>
        <w:rPr>
          <w:rStyle w:val="29"/>
          <w:rFonts w:hint="default" w:ascii="Times New Roman" w:hAnsi="Times New Roman" w:eastAsia="黑体" w:cs="Times New Roman"/>
          <w:b w:val="0"/>
        </w:rPr>
        <w:t>政府性基金预算支出决算情况说明</w:t>
      </w:r>
      <w:bookmarkEnd w:id="37"/>
      <w:bookmarkEnd w:id="38"/>
    </w:p>
    <w:p w14:paraId="01164D52">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2024年度政府性基金预算财政拨款支出1万元，占本年支出合计的0.09%。与2023年度相比，政府性基金预算财政拨款支出增加0.8万元，增长400%。主要变动原因是增加了2024年度公益电影专项经费。</w:t>
      </w:r>
    </w:p>
    <w:p w14:paraId="1DDD7788">
      <w:pPr>
        <w:spacing w:line="600" w:lineRule="exact"/>
        <w:ind w:left="630"/>
        <w:outlineLvl w:val="1"/>
        <w:rPr>
          <w:rStyle w:val="29"/>
          <w:rFonts w:hint="default" w:ascii="Times New Roman" w:hAnsi="Times New Roman" w:eastAsia="黑体" w:cs="Times New Roman"/>
          <w:b w:val="0"/>
        </w:rPr>
      </w:pPr>
      <w:bookmarkStart w:id="39" w:name="_Toc15377219"/>
      <w:bookmarkStart w:id="40" w:name="_Toc15396611"/>
      <w:r>
        <w:rPr>
          <w:rStyle w:val="29"/>
          <w:rFonts w:hint="default" w:ascii="Times New Roman" w:hAnsi="Times New Roman" w:eastAsia="黑体" w:cs="Times New Roman"/>
          <w:b w:val="0"/>
        </w:rPr>
        <w:t>九、国有资本经营预算支出决算情况说明</w:t>
      </w:r>
      <w:bookmarkEnd w:id="39"/>
      <w:bookmarkEnd w:id="40"/>
    </w:p>
    <w:p w14:paraId="64F90408">
      <w:pPr>
        <w:pBdr>
          <w:bottom w:val="single" w:color="FFFFFF" w:sz="4" w:space="31"/>
        </w:pBdr>
        <w:shd w:val="clear" w:color="auto" w:fill="FFFFFF"/>
        <w:tabs>
          <w:tab w:val="left" w:pos="1440"/>
        </w:tabs>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2024年度国有资本经营预算财政拨款支出0万元，</w:t>
      </w:r>
      <w:r>
        <w:rPr>
          <w:rFonts w:hint="default" w:ascii="Times New Roman" w:hAnsi="Times New Roman" w:eastAsia="仿宋_GB2312" w:cs="Times New Roman"/>
          <w:kern w:val="0"/>
          <w:sz w:val="32"/>
          <w:szCs w:val="32"/>
        </w:rPr>
        <w:t>本单位没有国有资本经营预算</w:t>
      </w:r>
      <w:r>
        <w:rPr>
          <w:rFonts w:hint="eastAsia" w:eastAsia="仿宋_GB2312" w:cs="Times New Roman"/>
          <w:kern w:val="0"/>
          <w:sz w:val="32"/>
          <w:szCs w:val="32"/>
          <w:lang w:eastAsia="zh-CN"/>
        </w:rPr>
        <w:t>拨款</w:t>
      </w:r>
      <w:r>
        <w:rPr>
          <w:rFonts w:hint="default" w:ascii="Times New Roman" w:hAnsi="Times New Roman" w:eastAsia="仿宋_GB2312" w:cs="Times New Roman"/>
          <w:kern w:val="0"/>
          <w:sz w:val="32"/>
          <w:szCs w:val="32"/>
        </w:rPr>
        <w:t>收入，也没有使用国有资本经营预算</w:t>
      </w:r>
      <w:r>
        <w:rPr>
          <w:rFonts w:hint="eastAsia" w:eastAsia="仿宋_GB2312" w:cs="Times New Roman"/>
          <w:kern w:val="0"/>
          <w:sz w:val="32"/>
          <w:szCs w:val="32"/>
          <w:lang w:eastAsia="zh-CN"/>
        </w:rPr>
        <w:t>拨款</w:t>
      </w:r>
      <w:r>
        <w:rPr>
          <w:rFonts w:hint="default" w:ascii="Times New Roman" w:hAnsi="Times New Roman" w:eastAsia="仿宋_GB2312" w:cs="Times New Roman"/>
          <w:kern w:val="0"/>
          <w:sz w:val="32"/>
          <w:szCs w:val="32"/>
        </w:rPr>
        <w:t>安排的支出。</w:t>
      </w:r>
      <w:bookmarkStart w:id="41" w:name="_Toc15377221"/>
      <w:bookmarkStart w:id="42" w:name="_Toc15396612"/>
    </w:p>
    <w:p w14:paraId="09D49D4B">
      <w:pPr>
        <w:pBdr>
          <w:bottom w:val="single" w:color="FFFFFF" w:sz="4" w:space="31"/>
        </w:pBdr>
        <w:shd w:val="clear" w:color="auto" w:fill="FFFFFF"/>
        <w:tabs>
          <w:tab w:val="left" w:pos="1440"/>
        </w:tabs>
        <w:adjustRightInd w:val="0"/>
        <w:snapToGrid w:val="0"/>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十、其他重要事项的情况说明</w:t>
      </w:r>
      <w:bookmarkEnd w:id="41"/>
      <w:bookmarkEnd w:id="42"/>
      <w:bookmarkStart w:id="43" w:name="_Toc15377222"/>
    </w:p>
    <w:p w14:paraId="043DBB4F">
      <w:pPr>
        <w:pBdr>
          <w:bottom w:val="single" w:color="FFFFFF" w:sz="4" w:space="31"/>
        </w:pBdr>
        <w:shd w:val="clear" w:color="auto" w:fill="FFFFFF"/>
        <w:tabs>
          <w:tab w:val="left" w:pos="1440"/>
        </w:tabs>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（一）机关运行经费支出情况</w:t>
      </w:r>
      <w:bookmarkEnd w:id="43"/>
    </w:p>
    <w:p w14:paraId="1E1F4FD4">
      <w:pPr>
        <w:pBdr>
          <w:bottom w:val="single" w:color="FFFFFF" w:sz="4" w:space="31"/>
        </w:pBdr>
        <w:shd w:val="clear" w:color="auto" w:fill="FFFFFF"/>
        <w:tabs>
          <w:tab w:val="left" w:pos="1440"/>
        </w:tabs>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2024年度，中国共产党盐边县委宣传部机关运行经费支出31.85万元，比2023年度增加0.33万元，增1.05%。主要原因是增加了人员。</w:t>
      </w:r>
      <w:bookmarkStart w:id="44" w:name="_Toc15377223"/>
    </w:p>
    <w:p w14:paraId="7B58BB0D">
      <w:pPr>
        <w:pBdr>
          <w:bottom w:val="single" w:color="FFFFFF" w:sz="4" w:space="31"/>
        </w:pBdr>
        <w:shd w:val="clear" w:color="auto" w:fill="FFFFFF"/>
        <w:tabs>
          <w:tab w:val="left" w:pos="1440"/>
        </w:tabs>
        <w:adjustRightInd w:val="0"/>
        <w:snapToGrid w:val="0"/>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（二）政府采购支出情况</w:t>
      </w:r>
      <w:bookmarkEnd w:id="44"/>
    </w:p>
    <w:p w14:paraId="2233562A">
      <w:pPr>
        <w:pBdr>
          <w:bottom w:val="single" w:color="FFFFFF" w:sz="4" w:space="31"/>
        </w:pBdr>
        <w:shd w:val="clear" w:color="auto" w:fill="FFFFFF"/>
        <w:tabs>
          <w:tab w:val="left" w:pos="1440"/>
        </w:tabs>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中国共产党盐边县委宣传部政府采购支出总额50万元，其中：政府采购货物支出0万元、政府采购工程支出0万元、政府采购服务支出50万元。主要用于”暖暖花城、滋味盐边“城市品牌宣传制作项目。授予中小企业合同金额0万元，占政府采购支出总额的0%，其中：授予小微企业合同金额0万元，占政府采购支出总额的0%。</w:t>
      </w:r>
      <w:bookmarkStart w:id="45" w:name="_Toc15377224"/>
    </w:p>
    <w:p w14:paraId="246C84B2">
      <w:pPr>
        <w:pBdr>
          <w:bottom w:val="single" w:color="FFFFFF" w:sz="4" w:space="31"/>
        </w:pBdr>
        <w:shd w:val="clear" w:color="auto" w:fill="FFFFFF"/>
        <w:tabs>
          <w:tab w:val="left" w:pos="1440"/>
        </w:tabs>
        <w:adjustRightInd w:val="0"/>
        <w:snapToGrid w:val="0"/>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（三）国有资产占有使用情况</w:t>
      </w:r>
      <w:bookmarkEnd w:id="45"/>
    </w:p>
    <w:p w14:paraId="59B2F56A">
      <w:pPr>
        <w:pBdr>
          <w:bottom w:val="single" w:color="FFFFFF" w:sz="4" w:space="31"/>
        </w:pBdr>
        <w:shd w:val="clear" w:color="auto" w:fill="FFFFFF"/>
        <w:tabs>
          <w:tab w:val="left" w:pos="1440"/>
        </w:tabs>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截至2024年12月31日，中国共产党盐边县委宣传部共有车辆0辆，其中：主要负责人用车0辆、机要通信用车0辆、应急保障用车0辆、其他用车0辆。单价100万元（含）以上设备（不含车辆）0台（套）。</w:t>
      </w:r>
    </w:p>
    <w:p w14:paraId="0671910C">
      <w:pPr>
        <w:pBdr>
          <w:bottom w:val="single" w:color="FFFFFF" w:sz="4" w:space="31"/>
        </w:pBdr>
        <w:shd w:val="clear" w:color="auto" w:fill="FFFFFF"/>
        <w:tabs>
          <w:tab w:val="left" w:pos="1440"/>
        </w:tabs>
        <w:adjustRightInd w:val="0"/>
        <w:snapToGrid w:val="0"/>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14:paraId="3D1D3DFB">
      <w:pPr>
        <w:pBdr>
          <w:bottom w:val="single" w:color="FFFFFF" w:sz="4" w:space="31"/>
        </w:pBdr>
        <w:shd w:val="clear" w:color="auto" w:fill="FFFFFF"/>
        <w:tabs>
          <w:tab w:val="left" w:pos="1440"/>
        </w:tabs>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中国共产党盐边县委宣传部在2024年度预算编制阶段，组织对2024年度全县党报党刊统一征订项目等20个项目开展了预算事前绩效评估，对2024年度全县党报党刊统一征订项目等20个项目编制了绩效目标，预算执行过程中，选取15个项目开展绩效监控。</w:t>
      </w:r>
    </w:p>
    <w:p w14:paraId="304F9BBE">
      <w:pPr>
        <w:pBdr>
          <w:bottom w:val="single" w:color="FFFFFF" w:sz="4" w:space="31"/>
        </w:pBdr>
        <w:shd w:val="clear" w:color="auto" w:fill="FFFFFF"/>
        <w:tabs>
          <w:tab w:val="left" w:pos="1440"/>
        </w:tabs>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2024年度一般公共预算、政府性基金预算等全面开展绩效自评，形成中国共产党盐边县委宣传部部门整体（含部门预算项目）绩效自评报告、新时代文明实践中心建设项目等专项预算项目绩效自评报告，其中，中国共产党盐边县委宣传部部门整体（含部门预算项目）绩效自评得分为94分，绩效自评综述：根据年初绩效目标，按照经费管理使用要求和相应项目实施方案要求进行收支管理，做到专款专用，投入到位，发挥效益。围绕预算编制、预算执行、支出绩效三个方面对2024年度预算绩效进行了认真自评，完成较好；网络舆情监测服务合作费专项预算项目绩效自评得分为96分，绩效自评综述：借助专业人士和团队进一步夯实我县网信工作业务能力，确保2024年全年不发生重大网络舆情，项目完成较好；</w:t>
      </w:r>
      <w:r>
        <w:rPr>
          <w:rFonts w:hint="eastAsia" w:eastAsia="仿宋_GB2312" w:cs="Times New Roman"/>
          <w:sz w:val="32"/>
          <w:szCs w:val="32"/>
          <w:lang w:eastAsia="zh-CN"/>
        </w:rPr>
        <w:t>理论学习中心组</w:t>
      </w:r>
      <w:r>
        <w:rPr>
          <w:rFonts w:hint="default" w:ascii="Times New Roman" w:hAnsi="Times New Roman" w:eastAsia="仿宋_GB2312" w:cs="Times New Roman"/>
          <w:sz w:val="32"/>
          <w:szCs w:val="32"/>
        </w:rPr>
        <w:t>学习经费专项预算项目绩效自评得分为97分，绩效自评综述：按照上级要求，安排中心组学习所产生的办公费、差旅费、会议费、劳务费等费用，项目完成较好；公共文化专项相关项目专项预算项目绩效自评得分为98分，绩效自评综述：实现80个建制村农村公益电影放映1440场，8个社区放映120场，23所学校放映92场，共播放1652场次，项目完成较好；春节走访慰问专项预算项目绩效自评得分为97分，绩效自评综述：慰问道德模范、好人榜共计8人，每人600元。项目完成较好；2024年对外宣传专项经费专项预算项目绩效自评得分为96分，绩效自评综述：为持续提升盐边对外宣传工作力度，最大限度地讲好盐边故事，传递好盐边声音，形成助推经济社会持续健康发展的良好舆论氛围。项目完成较好；宣传工作及媒体协作专项预算项目绩效自评得分95分，绩效自评综述：按照市委建设“共同富裕试验区”的决策部署，紧扣“钒钛首县、滋味盐边”发展定位，宣传全县经济社会发展取得历史性成就，奋力开启全面建设社会主义现代化盐边新征程生动画面。项目完成较好；全县党报、党刊、报刊杂志征订专项预算项目绩效自评得分97分，绩效自评综述：全县乡镇和县级部门党报党刊征订，切实发挥好党报党刊的主流引领作用，在全县形成积极健康向上的思想舆论环境。项目完成较好；2023年度未结算媒体合作经费专项预算项目自评得分98分，绩效自评综述：用于2023年度未结算的媒体合作经费。项目完成较好；2024年精神文明体系建设专项预算项目绩效自评得分96分，绩效自评综述：统筹推动文明培育、文明实践、文明创建，推进城乡精神文明建设融合发展，项目完成较好；2023年房屋维修维护费专项预算项目自评得分96分，绩效自评综述：县委宣传部会议室的升级改造。项目完成较好；县社科联启动经费专项预算项目绩效自评得分95分，绩效自评综述：县社科联围绕“钒钛首县、滋味盐边”发展定位，积极服务中国式现代化盐边篇章发展大局，项目完成较好；网络舆情热点信息分析研判指导、网络安全攻防演练专项预算项目自评得分93分，绩效自评综述：主要开展网络舆情热点信息分析研判指导、网络安全攻防演练、有害信息收集治理、网络安全检查、网络应急演练、教育培训、舆情事件处置。项目完成较好；“大笮文化”生态修复工程专项预算项目自评得分96分，绩效自评综述：主要开展与大笮相关的文化，项目</w:t>
      </w:r>
      <w:r>
        <w:rPr>
          <w:rFonts w:hint="eastAsia" w:eastAsia="仿宋_GB2312" w:cs="Times New Roman"/>
          <w:sz w:val="32"/>
          <w:szCs w:val="32"/>
          <w:lang w:eastAsia="zh-CN"/>
        </w:rPr>
        <w:t>完成</w:t>
      </w:r>
      <w:r>
        <w:rPr>
          <w:rFonts w:hint="default" w:ascii="Times New Roman" w:hAnsi="Times New Roman" w:eastAsia="仿宋_GB2312" w:cs="Times New Roman"/>
          <w:sz w:val="32"/>
          <w:szCs w:val="32"/>
        </w:rPr>
        <w:t>较好；中央支持地方公共文化服务体系建设补助专项预算项目自评得分97分，绩效自评综述：全县一个新时代文明实践中心、12个新时代文明实践站、88个新时代文明实践所规范化、标准化建设。项目完成较好；省级补助地方国家电影事业发展专项预算项目自评得分95分，绩效自评综述：完成</w:t>
      </w:r>
      <w:r>
        <w:rPr>
          <w:rFonts w:hint="eastAsia" w:eastAsia="仿宋_GB2312" w:cs="Times New Roman"/>
          <w:sz w:val="32"/>
          <w:szCs w:val="32"/>
          <w:lang w:eastAsia="zh-CN"/>
        </w:rPr>
        <w:t>时限</w:t>
      </w:r>
      <w:r>
        <w:rPr>
          <w:rFonts w:hint="default" w:ascii="Times New Roman" w:hAnsi="Times New Roman" w:eastAsia="仿宋_GB2312" w:cs="Times New Roman"/>
          <w:sz w:val="32"/>
          <w:szCs w:val="32"/>
        </w:rPr>
        <w:t>80个建制村农村公益电影放映1440场，8个社区放映120场，23所学校放映92场，共播放1652场次。项目完成较好；2024年解决以前年度媒体合作历史遗留专项预算项目自评得分97分，绩效自评综述：用于解决2019年、2021年、2023年媒体合作遗留问题。项目完成较好；2019年县级融媒体中心建设专项预算项目自评得分96分，绩效自评综述：用于2019年县级融媒体中心建设经费，该项目完成较好；2024年央级媒体共同富裕专栏宣传专项预算项目自评得分96分，绩效自评综述：与央视CCTV17频道共同富裕专栏开展合作，宣传盐边在共同富裕试验区建设中的特色、亮点产业。项目完成较好；2024年盐边县桑蚕产业、文旅融合促共富配合拍摄专项预算项目自评得分96分，绩效自评综述：按照央级媒体制作发布要求完成桑蚕产业、文旅融合促共富两部纪录片的视频、图片、声音拍摄和收集。项目完成较好；2024年媒体合作缺口资金专项预算项目自评得分95分，绩效自评综述：2024年与各级媒体合作开展对外宣传工作，加强盐边对外宣传影响，扩大盐边新闻信息传播率，提升盐边形象。该项目完成较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绩效自评报告详见附件。</w:t>
      </w:r>
    </w:p>
    <w:p w14:paraId="51E0CA18">
      <w:pPr>
        <w:spacing w:line="600" w:lineRule="exact"/>
        <w:ind w:firstLine="640"/>
        <w:rPr>
          <w:rFonts w:hint="default" w:ascii="Times New Roman" w:hAnsi="Times New Roman" w:eastAsia="仿宋_GB2312" w:cs="Times New Roman"/>
          <w:sz w:val="32"/>
          <w:szCs w:val="32"/>
        </w:rPr>
      </w:pPr>
    </w:p>
    <w:p w14:paraId="7F2EB0A6">
      <w:pPr>
        <w:spacing w:line="600" w:lineRule="exact"/>
        <w:ind w:firstLine="640"/>
        <w:rPr>
          <w:rFonts w:hint="default" w:ascii="Times New Roman" w:hAnsi="Times New Roman" w:eastAsia="仿宋_GB2312" w:cs="Times New Roman"/>
          <w:sz w:val="32"/>
          <w:szCs w:val="32"/>
        </w:rPr>
      </w:pPr>
    </w:p>
    <w:p w14:paraId="79BB7E6F">
      <w:pPr>
        <w:pStyle w:val="14"/>
        <w:rPr>
          <w:rFonts w:hint="default" w:ascii="Times New Roman" w:hAnsi="Times New Roman" w:cs="Times New Roman"/>
        </w:rPr>
      </w:pPr>
    </w:p>
    <w:p w14:paraId="1C242DA2">
      <w:pPr>
        <w:spacing w:line="600" w:lineRule="exact"/>
        <w:jc w:val="center"/>
        <w:outlineLvl w:val="0"/>
        <w:rPr>
          <w:rFonts w:hint="default" w:ascii="Times New Roman" w:hAnsi="Times New Roman" w:eastAsia="黑体" w:cs="Times New Roman"/>
          <w:sz w:val="44"/>
          <w:szCs w:val="44"/>
        </w:rPr>
      </w:pPr>
      <w:bookmarkStart w:id="46" w:name="_Toc15377225"/>
      <w:bookmarkStart w:id="47" w:name="_Toc15396613"/>
      <w:r>
        <w:rPr>
          <w:rFonts w:hint="default" w:ascii="Times New Roman" w:hAnsi="Times New Roman" w:eastAsia="黑体" w:cs="Times New Roman"/>
          <w:sz w:val="44"/>
          <w:szCs w:val="44"/>
        </w:rPr>
        <w:t>第三部分  名词解释</w:t>
      </w:r>
      <w:bookmarkEnd w:id="46"/>
      <w:bookmarkEnd w:id="47"/>
    </w:p>
    <w:p w14:paraId="17B4AF7E">
      <w:pPr>
        <w:spacing w:line="600" w:lineRule="exact"/>
        <w:jc w:val="left"/>
        <w:rPr>
          <w:rFonts w:hint="default" w:ascii="Times New Roman" w:hAnsi="Times New Roman" w:cs="Times New Roman"/>
          <w:b/>
          <w:sz w:val="44"/>
          <w:szCs w:val="44"/>
        </w:rPr>
      </w:pPr>
    </w:p>
    <w:p w14:paraId="4331979B">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rPr>
        <w:t>.财政拨款收入：指单位从同级财政部门取得的财政预算资金。</w:t>
      </w:r>
    </w:p>
    <w:p w14:paraId="264C458A">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sz w:val="32"/>
          <w:szCs w:val="32"/>
        </w:rPr>
        <w:t>.事业收入：指事业单位开展专业业务活动及辅助活动取得的收入。</w:t>
      </w:r>
    </w:p>
    <w:p w14:paraId="18EBCB50">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sz w:val="32"/>
          <w:szCs w:val="32"/>
        </w:rPr>
        <w:t xml:space="preserve">.年初结转和结余：指以前年度尚未完成、结转到本年按有关规定继续使用的资金。 </w:t>
      </w:r>
    </w:p>
    <w:p w14:paraId="265E2A93">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kern w:val="0"/>
          <w:sz w:val="32"/>
          <w:szCs w:val="32"/>
        </w:rPr>
        <w:t>年末结转和结余：指单位按有关规定结转到下年或以后年度继续使用的资金。</w:t>
      </w:r>
    </w:p>
    <w:p w14:paraId="7386E864">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kern w:val="0"/>
          <w:sz w:val="32"/>
          <w:szCs w:val="32"/>
        </w:rPr>
        <w:t>一般公共服务支出（类）宣传事务</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款</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行政运行（项）指反映行政单位（包括实行公务员管理的事业单位）的基本支出。</w:t>
      </w:r>
    </w:p>
    <w:p w14:paraId="431AB3FC">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kern w:val="0"/>
          <w:sz w:val="32"/>
          <w:szCs w:val="32"/>
        </w:rPr>
        <w:t xml:space="preserve"> 一般公共服务支出（类）宣传事务</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款</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一般行政管理事务（项）反映行政单位（包括实行公务管理的事业单位）未单独设置项级科目的其他项目支出。</w:t>
      </w:r>
    </w:p>
    <w:p w14:paraId="018A958F">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kern w:val="0"/>
          <w:sz w:val="32"/>
          <w:szCs w:val="32"/>
        </w:rPr>
        <w:t xml:space="preserve"> 一般公共服务支出（类）宣传事务</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款</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宣传管理（项）反映宣传事务管理方面的支出。</w:t>
      </w:r>
    </w:p>
    <w:p w14:paraId="73C24445">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 xml:space="preserve">8. </w:t>
      </w:r>
      <w:r>
        <w:rPr>
          <w:rFonts w:hint="default" w:ascii="Times New Roman" w:hAnsi="Times New Roman" w:eastAsia="仿宋_GB2312" w:cs="Times New Roman"/>
          <w:kern w:val="0"/>
          <w:sz w:val="32"/>
          <w:szCs w:val="32"/>
        </w:rPr>
        <w:t>一般公共服务支出（类）宣传事务</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款</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事业运行（项）指反映事业单位的基本支出，不包括行政单位（包括实行公务员管理的事业单位）后勤服务中心、医务室等附属事业单位。</w:t>
      </w:r>
    </w:p>
    <w:p w14:paraId="2E3B4103">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kern w:val="0"/>
          <w:sz w:val="32"/>
          <w:szCs w:val="32"/>
        </w:rPr>
        <w:t xml:space="preserve"> 一般公共服务支出（类）宣传事务</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款</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其他宣传事务支出（项）指反映除上述项目以外其他用于中国共产党宣传部门的事务支出。</w:t>
      </w:r>
    </w:p>
    <w:p w14:paraId="6331271C">
      <w:pPr>
        <w:pStyle w:val="6"/>
        <w:spacing w:before="93"/>
        <w:ind w:firstLine="540"/>
        <w:rPr>
          <w:rFonts w:hint="default" w:ascii="Times New Roman" w:hAnsi="Times New Roman" w:cs="Times New Roman"/>
          <w:sz w:val="32"/>
          <w:szCs w:val="32"/>
        </w:rPr>
      </w:pPr>
      <w:r>
        <w:rPr>
          <w:rFonts w:hint="default" w:ascii="Times New Roman" w:hAnsi="Times New Roman" w:eastAsia="仿宋_GB2312" w:cs="Times New Roman"/>
          <w:color w:val="auto"/>
          <w:kern w:val="2"/>
          <w:sz w:val="32"/>
          <w:szCs w:val="32"/>
          <w:lang w:val="en-US" w:eastAsia="zh-CN" w:bidi="ar-SA"/>
        </w:rPr>
        <w:t>10.</w:t>
      </w:r>
      <w:r>
        <w:rPr>
          <w:rFonts w:hint="default" w:ascii="Times New Roman" w:hAnsi="Times New Roman" w:cs="Times New Roman"/>
          <w:sz w:val="32"/>
          <w:szCs w:val="32"/>
        </w:rPr>
        <w:t>文化旅游体育与传媒支出（类）其他文化旅游体育与传媒支出（款）宣传文化发展专项支出（项）指反映按照国家有关政策支持宣传文化单位发展的专项支出。</w:t>
      </w:r>
    </w:p>
    <w:p w14:paraId="10D58C98">
      <w:pPr>
        <w:pStyle w:val="6"/>
        <w:spacing w:before="93"/>
        <w:ind w:firstLine="540"/>
        <w:rPr>
          <w:rFonts w:hint="default" w:ascii="Times New Roman" w:hAnsi="Times New Roman" w:cs="Times New Roman"/>
          <w:sz w:val="32"/>
          <w:szCs w:val="32"/>
        </w:rPr>
      </w:pPr>
      <w:r>
        <w:rPr>
          <w:rFonts w:hint="default" w:ascii="Times New Roman" w:hAnsi="Times New Roman" w:eastAsia="仿宋_GB2312" w:cs="Times New Roman"/>
          <w:color w:val="auto"/>
          <w:kern w:val="2"/>
          <w:sz w:val="32"/>
          <w:szCs w:val="32"/>
          <w:lang w:val="en-US" w:eastAsia="zh-CN" w:bidi="ar-SA"/>
        </w:rPr>
        <w:t xml:space="preserve">11. </w:t>
      </w:r>
      <w:r>
        <w:rPr>
          <w:rFonts w:hint="default" w:ascii="Times New Roman" w:hAnsi="Times New Roman" w:cs="Times New Roman"/>
          <w:sz w:val="32"/>
          <w:szCs w:val="32"/>
        </w:rPr>
        <w:t>文化旅游体育与传媒支出（类）其他文化旅游体育与传媒支出（款）其他文化旅游体育与传媒支出（项）反映除上述项目以外其他用于文化旅游体育与传媒方面的支出。</w:t>
      </w:r>
    </w:p>
    <w:p w14:paraId="599A160C">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12.</w:t>
      </w:r>
      <w:r>
        <w:rPr>
          <w:rFonts w:hint="default" w:ascii="Times New Roman" w:hAnsi="Times New Roman" w:eastAsia="仿宋_GB2312" w:cs="Times New Roman"/>
          <w:kern w:val="0"/>
          <w:sz w:val="32"/>
          <w:szCs w:val="32"/>
        </w:rPr>
        <w:t>社会保障和就业支出（类）行政事业单位养老支出（款）行政单位离退休（项）指反映行政单位（包括实行公务员管理的事业单位）开支了离退休经费。</w:t>
      </w:r>
    </w:p>
    <w:p w14:paraId="6EF4C3C0">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 xml:space="preserve">13. </w:t>
      </w:r>
      <w:r>
        <w:rPr>
          <w:rFonts w:hint="default" w:ascii="Times New Roman" w:hAnsi="Times New Roman" w:eastAsia="仿宋_GB2312" w:cs="Times New Roman"/>
          <w:kern w:val="0"/>
          <w:sz w:val="32"/>
          <w:szCs w:val="32"/>
        </w:rPr>
        <w:t>社会保障和就业支出（类）行政事业单位养老支出（款）机关事业单位基本养老保险缴费支出指反映机关事业单位实施养老保险制度由单位缴纳的基本养老保险费支出。</w:t>
      </w:r>
    </w:p>
    <w:p w14:paraId="356F1CA6">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 xml:space="preserve">14. </w:t>
      </w:r>
      <w:r>
        <w:rPr>
          <w:rFonts w:hint="default" w:ascii="Times New Roman" w:hAnsi="Times New Roman" w:eastAsia="仿宋_GB2312" w:cs="Times New Roman"/>
          <w:kern w:val="0"/>
          <w:sz w:val="32"/>
          <w:szCs w:val="32"/>
        </w:rPr>
        <w:t>社会保障和就业支出（类）行政事业单位养老支出（款）机关事业单位职业年金缴费支出（项）反映机关事业单位实施养老保险制度由单位实际缴纳的职业年金支出（含职业年金补记支出）。</w:t>
      </w:r>
    </w:p>
    <w:p w14:paraId="06AF1930">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15.</w:t>
      </w:r>
      <w:r>
        <w:rPr>
          <w:rFonts w:hint="default" w:ascii="Times New Roman" w:hAnsi="Times New Roman" w:eastAsia="仿宋_GB2312" w:cs="Times New Roman"/>
          <w:kern w:val="0"/>
          <w:sz w:val="32"/>
          <w:szCs w:val="32"/>
        </w:rPr>
        <w:t>卫生健康支出（类）行政事业单位医疗（款）行政单位医疗（款）指反映财政部门安排的行政单位（包括实行公务员管理的事业单位，下同）基本医疗保险缴费经费，未参加医疗保险的行政单位的公费医疗经费，按国家规定享受离休人员、</w:t>
      </w:r>
      <w:r>
        <w:rPr>
          <w:rFonts w:hint="eastAsia" w:eastAsia="仿宋_GB2312" w:cs="Times New Roman"/>
          <w:kern w:val="0"/>
          <w:sz w:val="32"/>
          <w:szCs w:val="32"/>
          <w:lang w:eastAsia="zh-CN"/>
        </w:rPr>
        <w:t>红军</w:t>
      </w:r>
      <w:r>
        <w:rPr>
          <w:rFonts w:hint="default" w:ascii="Times New Roman" w:hAnsi="Times New Roman" w:eastAsia="仿宋_GB2312" w:cs="Times New Roman"/>
          <w:kern w:val="0"/>
          <w:sz w:val="32"/>
          <w:szCs w:val="32"/>
        </w:rPr>
        <w:t>战士待遇人员的医疗经费。</w:t>
      </w:r>
    </w:p>
    <w:p w14:paraId="0F0504D0">
      <w:pPr>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16. </w:t>
      </w:r>
      <w:r>
        <w:rPr>
          <w:rFonts w:hint="default" w:ascii="Times New Roman" w:hAnsi="Times New Roman" w:eastAsia="仿宋_GB2312" w:cs="Times New Roman"/>
          <w:kern w:val="0"/>
          <w:sz w:val="32"/>
          <w:szCs w:val="32"/>
        </w:rPr>
        <w:t>卫生健康支出（类）行政事业单位医疗（款）事业单位医疗（款）指反映财政部门安排的事业单位基本医疗保险缴费经费，未参加医疗保险的事业单位的公费医疗经费，</w:t>
      </w:r>
      <w:r>
        <w:rPr>
          <w:rFonts w:hint="default" w:ascii="Times New Roman" w:hAnsi="Times New Roman" w:eastAsia="仿宋_GB2312" w:cs="Times New Roman"/>
          <w:color w:val="auto"/>
          <w:kern w:val="2"/>
          <w:sz w:val="32"/>
          <w:szCs w:val="32"/>
          <w:lang w:val="en-US" w:eastAsia="zh-CN" w:bidi="ar-SA"/>
        </w:rPr>
        <w:t>按国家规定享受离休人员待遇的医疗经费。</w:t>
      </w:r>
    </w:p>
    <w:p w14:paraId="2DE43B64">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 xml:space="preserve">17. </w:t>
      </w:r>
      <w:r>
        <w:rPr>
          <w:rFonts w:hint="default" w:ascii="Times New Roman" w:hAnsi="Times New Roman" w:eastAsia="仿宋_GB2312" w:cs="Times New Roman"/>
          <w:kern w:val="0"/>
          <w:sz w:val="32"/>
          <w:szCs w:val="32"/>
        </w:rPr>
        <w:t>卫生健康支出（类）行政事业单位医疗（款）公务员医疗补助（款）指反映财政部门安排的公务员医疗补助经费。</w:t>
      </w:r>
    </w:p>
    <w:p w14:paraId="26448DCA">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 xml:space="preserve">18. </w:t>
      </w:r>
      <w:r>
        <w:rPr>
          <w:rFonts w:hint="default" w:ascii="Times New Roman" w:hAnsi="Times New Roman" w:eastAsia="仿宋_GB2312" w:cs="Times New Roman"/>
          <w:kern w:val="0"/>
          <w:sz w:val="32"/>
          <w:szCs w:val="32"/>
        </w:rPr>
        <w:t>卫生健康支出（类）行政事业单位医疗（款）其他行政事业单位医疗支出（款）指反映除上述项目以外的其他用于行政事业单位医疗方面的支出。</w:t>
      </w:r>
    </w:p>
    <w:p w14:paraId="5C4539D6">
      <w:pPr>
        <w:pStyle w:val="6"/>
        <w:spacing w:before="93"/>
        <w:ind w:firstLine="640" w:firstLineChars="200"/>
        <w:rPr>
          <w:rFonts w:hint="default" w:ascii="Times New Roman" w:hAnsi="Times New Roman" w:cs="Times New Roman"/>
          <w:sz w:val="32"/>
          <w:szCs w:val="32"/>
        </w:rPr>
      </w:pPr>
      <w:r>
        <w:rPr>
          <w:rFonts w:hint="default" w:ascii="Times New Roman" w:hAnsi="Times New Roman" w:eastAsia="仿宋_GB2312" w:cs="Times New Roman"/>
          <w:color w:val="auto"/>
          <w:kern w:val="2"/>
          <w:sz w:val="32"/>
          <w:szCs w:val="32"/>
          <w:lang w:val="en-US" w:eastAsia="zh-CN" w:bidi="ar-SA"/>
        </w:rPr>
        <w:t>19.</w:t>
      </w:r>
      <w:r>
        <w:rPr>
          <w:rFonts w:hint="default" w:ascii="Times New Roman" w:hAnsi="Times New Roman" w:cs="Times New Roman"/>
          <w:sz w:val="32"/>
          <w:szCs w:val="32"/>
        </w:rPr>
        <w:t>住房保障支出（类）住房改革支出（款）住房公积金（项）指反映行政事业单位</w:t>
      </w:r>
      <w:r>
        <w:rPr>
          <w:rFonts w:hint="eastAsia" w:ascii="Times New Roman" w:cs="Times New Roman"/>
          <w:sz w:val="32"/>
          <w:szCs w:val="32"/>
          <w:lang w:eastAsia="zh-CN"/>
        </w:rPr>
        <w:t>按人力资源和社会保障部</w:t>
      </w:r>
      <w:r>
        <w:rPr>
          <w:rFonts w:hint="default" w:ascii="Times New Roman" w:hAnsi="Times New Roman" w:cs="Times New Roman"/>
          <w:sz w:val="32"/>
          <w:szCs w:val="32"/>
        </w:rPr>
        <w:t>、财政部规定的基本工资和津贴补贴以及规定比例为职工缴纳的住房公积金。</w:t>
      </w:r>
    </w:p>
    <w:p w14:paraId="3E2D0D77">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20.</w:t>
      </w:r>
      <w:r>
        <w:rPr>
          <w:rFonts w:hint="default" w:ascii="Times New Roman" w:hAnsi="Times New Roman" w:eastAsia="仿宋_GB2312" w:cs="Times New Roman"/>
          <w:kern w:val="0"/>
          <w:sz w:val="32"/>
          <w:szCs w:val="32"/>
        </w:rPr>
        <w:t>基本支出：指为保障机构正常运转、完成日常工作任务而发生的人员支出和公用支出。</w:t>
      </w:r>
    </w:p>
    <w:p w14:paraId="4DD49E5B">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auto"/>
          <w:kern w:val="2"/>
          <w:sz w:val="32"/>
          <w:szCs w:val="32"/>
          <w:lang w:val="en-US" w:eastAsia="zh-CN" w:bidi="ar-SA"/>
        </w:rPr>
        <w:t>21.</w:t>
      </w:r>
      <w:r>
        <w:rPr>
          <w:rFonts w:hint="default" w:ascii="Times New Roman" w:hAnsi="Times New Roman" w:eastAsia="仿宋_GB2312" w:cs="Times New Roman"/>
          <w:kern w:val="0"/>
          <w:sz w:val="32"/>
          <w:szCs w:val="32"/>
        </w:rPr>
        <w:t xml:space="preserve">项目支出：指在基本支出之外为完成特定行政任务和事业发展目标所发生的支出。 </w:t>
      </w:r>
    </w:p>
    <w:p w14:paraId="428C8FCA">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22.</w:t>
      </w:r>
      <w:r>
        <w:rPr>
          <w:rFonts w:hint="default" w:ascii="Times New Roman" w:hAnsi="Times New Roman" w:eastAsia="仿宋_GB2312"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费用。</w:t>
      </w:r>
    </w:p>
    <w:p w14:paraId="0AD8FA42">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2"/>
          <w:sz w:val="32"/>
          <w:szCs w:val="32"/>
          <w:lang w:val="en-US" w:eastAsia="zh-CN" w:bidi="ar-SA"/>
        </w:rPr>
        <w:t>23.</w:t>
      </w:r>
      <w:r>
        <w:rPr>
          <w:rFonts w:hint="default"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0119D27">
      <w:pPr>
        <w:spacing w:line="600" w:lineRule="exact"/>
        <w:jc w:val="center"/>
        <w:rPr>
          <w:rFonts w:hint="default" w:ascii="Times New Roman" w:hAnsi="Times New Roman" w:eastAsia="黑体" w:cs="Times New Roman"/>
          <w:sz w:val="44"/>
          <w:szCs w:val="44"/>
        </w:rPr>
      </w:pPr>
      <w:bookmarkStart w:id="48" w:name="_Toc15396614"/>
    </w:p>
    <w:p w14:paraId="627871AE">
      <w:pPr>
        <w:spacing w:line="600" w:lineRule="exact"/>
        <w:jc w:val="center"/>
        <w:rPr>
          <w:rFonts w:hint="default" w:ascii="Times New Roman" w:hAnsi="Times New Roman" w:eastAsia="黑体" w:cs="Times New Roman"/>
          <w:sz w:val="44"/>
          <w:szCs w:val="44"/>
        </w:rPr>
      </w:pPr>
    </w:p>
    <w:p w14:paraId="217B6A2F">
      <w:pPr>
        <w:spacing w:line="600" w:lineRule="exact"/>
        <w:jc w:val="center"/>
        <w:rPr>
          <w:rFonts w:hint="default" w:ascii="Times New Roman" w:hAnsi="Times New Roman" w:eastAsia="黑体" w:cs="Times New Roman"/>
          <w:sz w:val="44"/>
          <w:szCs w:val="44"/>
        </w:rPr>
      </w:pPr>
    </w:p>
    <w:p w14:paraId="69DD0B5B">
      <w:pPr>
        <w:spacing w:line="600" w:lineRule="exact"/>
        <w:jc w:val="center"/>
        <w:rPr>
          <w:rFonts w:hint="default" w:ascii="Times New Roman" w:hAnsi="Times New Roman" w:eastAsia="黑体" w:cs="Times New Roman"/>
          <w:sz w:val="44"/>
          <w:szCs w:val="44"/>
        </w:rPr>
      </w:pPr>
    </w:p>
    <w:p w14:paraId="461974F9">
      <w:pPr>
        <w:spacing w:line="600" w:lineRule="exact"/>
        <w:jc w:val="center"/>
        <w:rPr>
          <w:rFonts w:hint="default" w:ascii="Times New Roman" w:hAnsi="Times New Roman" w:eastAsia="黑体" w:cs="Times New Roman"/>
          <w:sz w:val="44"/>
          <w:szCs w:val="44"/>
        </w:rPr>
      </w:pPr>
    </w:p>
    <w:p w14:paraId="7706C947">
      <w:pPr>
        <w:spacing w:line="600" w:lineRule="exact"/>
        <w:jc w:val="center"/>
        <w:rPr>
          <w:rFonts w:hint="default" w:ascii="Times New Roman" w:hAnsi="Times New Roman" w:eastAsia="黑体" w:cs="Times New Roman"/>
          <w:sz w:val="44"/>
          <w:szCs w:val="44"/>
        </w:rPr>
      </w:pPr>
    </w:p>
    <w:p w14:paraId="1085691B">
      <w:pPr>
        <w:spacing w:line="600" w:lineRule="exact"/>
        <w:jc w:val="center"/>
        <w:rPr>
          <w:rFonts w:hint="default" w:ascii="Times New Roman" w:hAnsi="Times New Roman" w:eastAsia="黑体" w:cs="Times New Roman"/>
          <w:sz w:val="44"/>
          <w:szCs w:val="44"/>
        </w:rPr>
      </w:pPr>
    </w:p>
    <w:p w14:paraId="0D60892D">
      <w:pPr>
        <w:spacing w:line="600" w:lineRule="exact"/>
        <w:jc w:val="center"/>
        <w:rPr>
          <w:rFonts w:hint="default" w:ascii="Times New Roman" w:hAnsi="Times New Roman" w:eastAsia="黑体" w:cs="Times New Roman"/>
          <w:sz w:val="44"/>
          <w:szCs w:val="44"/>
        </w:rPr>
      </w:pPr>
    </w:p>
    <w:p w14:paraId="5BD9667B">
      <w:pPr>
        <w:spacing w:line="600" w:lineRule="exact"/>
        <w:jc w:val="center"/>
        <w:rPr>
          <w:rFonts w:hint="default" w:ascii="Times New Roman" w:hAnsi="Times New Roman" w:eastAsia="黑体" w:cs="Times New Roman"/>
          <w:sz w:val="44"/>
          <w:szCs w:val="44"/>
        </w:rPr>
      </w:pPr>
    </w:p>
    <w:p w14:paraId="32EC9360">
      <w:pPr>
        <w:spacing w:line="600" w:lineRule="exact"/>
        <w:jc w:val="center"/>
        <w:rPr>
          <w:rFonts w:hint="default" w:ascii="Times New Roman" w:hAnsi="Times New Roman" w:eastAsia="黑体" w:cs="Times New Roman"/>
          <w:sz w:val="44"/>
          <w:szCs w:val="44"/>
        </w:rPr>
      </w:pPr>
    </w:p>
    <w:p w14:paraId="118CE4B2">
      <w:pPr>
        <w:spacing w:line="600" w:lineRule="exact"/>
        <w:jc w:val="center"/>
        <w:rPr>
          <w:rFonts w:hint="default" w:ascii="Times New Roman" w:hAnsi="Times New Roman" w:eastAsia="黑体" w:cs="Times New Roman"/>
          <w:sz w:val="44"/>
          <w:szCs w:val="44"/>
        </w:rPr>
      </w:pPr>
    </w:p>
    <w:p w14:paraId="6D66A788">
      <w:pPr>
        <w:spacing w:line="600" w:lineRule="exact"/>
        <w:jc w:val="center"/>
        <w:rPr>
          <w:rFonts w:hint="default" w:ascii="Times New Roman" w:hAnsi="Times New Roman" w:eastAsia="黑体" w:cs="Times New Roman"/>
          <w:sz w:val="44"/>
          <w:szCs w:val="44"/>
        </w:rPr>
      </w:pPr>
    </w:p>
    <w:p w14:paraId="34E534DB">
      <w:pPr>
        <w:spacing w:line="600" w:lineRule="exact"/>
        <w:jc w:val="center"/>
        <w:rPr>
          <w:rFonts w:hint="default" w:ascii="Times New Roman" w:hAnsi="Times New Roman" w:eastAsia="黑体" w:cs="Times New Roman"/>
          <w:sz w:val="44"/>
          <w:szCs w:val="44"/>
        </w:rPr>
      </w:pPr>
    </w:p>
    <w:p w14:paraId="5CB47BFE">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44"/>
          <w:szCs w:val="44"/>
        </w:rPr>
        <w:t>第四部分  附件</w:t>
      </w:r>
      <w:bookmarkEnd w:id="48"/>
    </w:p>
    <w:p w14:paraId="27DF94BD">
      <w:pPr>
        <w:widowControl/>
        <w:spacing w:line="578" w:lineRule="exact"/>
        <w:contextualSpacing/>
        <w:rPr>
          <w:rFonts w:hint="default" w:ascii="Times New Roman" w:hAnsi="Times New Roman" w:cs="Times New Roman"/>
          <w:b/>
          <w:sz w:val="44"/>
          <w:szCs w:val="44"/>
          <w:shd w:val="clear" w:color="auto" w:fill="FFFFFF"/>
        </w:rPr>
      </w:pPr>
    </w:p>
    <w:p w14:paraId="367C4E03">
      <w:pPr>
        <w:spacing w:line="0" w:lineRule="atLeas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b/>
          <w:sz w:val="44"/>
          <w:szCs w:val="44"/>
        </w:rPr>
        <w:t>中共盐边县委宣传部</w:t>
      </w:r>
    </w:p>
    <w:p w14:paraId="1EF9C733">
      <w:pPr>
        <w:spacing w:line="0" w:lineRule="atLeast"/>
        <w:jc w:val="center"/>
        <w:rPr>
          <w:rFonts w:hint="default" w:ascii="Times New Roman" w:hAnsi="Times New Roman" w:eastAsia="方正楷体_GBK" w:cs="Times New Roman"/>
          <w:b/>
        </w:rPr>
      </w:pPr>
      <w:r>
        <w:rPr>
          <w:rFonts w:hint="default" w:ascii="Times New Roman" w:hAnsi="Times New Roman" w:eastAsia="方正小标宋_GBK" w:cs="Times New Roman"/>
          <w:b/>
          <w:sz w:val="44"/>
          <w:szCs w:val="44"/>
        </w:rPr>
        <w:t>2024年度部门预算绩效自评报告</w:t>
      </w:r>
    </w:p>
    <w:p w14:paraId="1858E19D">
      <w:pPr>
        <w:widowControl/>
        <w:adjustRightInd w:val="0"/>
        <w:snapToGrid w:val="0"/>
        <w:spacing w:line="578" w:lineRule="exact"/>
        <w:ind w:firstLine="480" w:firstLineChars="200"/>
        <w:contextualSpacing/>
        <w:jc w:val="left"/>
        <w:rPr>
          <w:rFonts w:hint="default" w:ascii="Times New Roman" w:hAnsi="Times New Roman" w:eastAsia="黑体" w:cs="Times New Roman"/>
          <w:color w:val="000000"/>
          <w:kern w:val="0"/>
          <w:sz w:val="24"/>
          <w:szCs w:val="32"/>
          <w:shd w:val="clear" w:color="auto" w:fill="FFFFFF"/>
        </w:rPr>
      </w:pPr>
    </w:p>
    <w:p w14:paraId="6FF56C6D">
      <w:pPr>
        <w:spacing w:line="55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一、部门（单位）基本情况</w:t>
      </w:r>
    </w:p>
    <w:p w14:paraId="369D56E6">
      <w:pPr>
        <w:spacing w:line="56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（一）机构组成。</w:t>
      </w:r>
    </w:p>
    <w:p w14:paraId="5B7B965A">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我单位属于一级预算单位。内设股室</w:t>
      </w:r>
      <w:r>
        <w:rPr>
          <w:rFonts w:hint="default"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kern w:val="0"/>
          <w:sz w:val="32"/>
          <w:szCs w:val="32"/>
        </w:rPr>
        <w:t>个，即办公室、宣传股、文化电影出版管理股、精神文明建设股。下属非独立核算其他事业单位</w:t>
      </w: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kern w:val="0"/>
          <w:sz w:val="32"/>
          <w:szCs w:val="32"/>
        </w:rPr>
        <w:t>个，即县对外宣传服务中心、新时代文明实践服务中心。另代管</w:t>
      </w: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kern w:val="0"/>
          <w:sz w:val="32"/>
          <w:szCs w:val="32"/>
        </w:rPr>
        <w:t xml:space="preserve">个群团组织，县社科联和县文学艺术界联合会。 </w:t>
      </w:r>
    </w:p>
    <w:p w14:paraId="11D86472">
      <w:pPr>
        <w:spacing w:line="56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（二）机构职能。</w:t>
      </w:r>
    </w:p>
    <w:p w14:paraId="63504161">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宣传贯彻党的路线、方针、政策。</w:t>
      </w:r>
    </w:p>
    <w:p w14:paraId="3AF11C75">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（2）掌握全县党员、干部和人民群众的思想状态，及时向县委和上级有关部门反馈。</w:t>
      </w:r>
    </w:p>
    <w:p w14:paraId="7EBB473D">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（3）负责理论教育、新闻报道、</w:t>
      </w:r>
      <w:r>
        <w:rPr>
          <w:rFonts w:hint="eastAsia" w:eastAsia="仿宋_GB2312" w:cs="Times New Roman"/>
          <w:kern w:val="0"/>
          <w:sz w:val="32"/>
          <w:szCs w:val="32"/>
          <w:lang w:eastAsia="zh-CN"/>
        </w:rPr>
        <w:t>宣传思想文化工作</w:t>
      </w:r>
      <w:r>
        <w:rPr>
          <w:rFonts w:hint="default" w:ascii="Times New Roman" w:hAnsi="Times New Roman" w:eastAsia="仿宋_GB2312" w:cs="Times New Roman"/>
          <w:kern w:val="0"/>
          <w:sz w:val="32"/>
          <w:szCs w:val="32"/>
        </w:rPr>
        <w:t>。</w:t>
      </w:r>
    </w:p>
    <w:p w14:paraId="31D94119">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（4）规划部署、组织实施全县群众社会主义精神文明建设活动。</w:t>
      </w:r>
    </w:p>
    <w:p w14:paraId="6BD361AD">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（5）培育文学艺术人才，加强县内外文学艺术交流。</w:t>
      </w:r>
    </w:p>
    <w:p w14:paraId="6ED1C236">
      <w:pPr>
        <w:spacing w:line="56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（三）人员概况。</w:t>
      </w:r>
    </w:p>
    <w:p w14:paraId="775D8D96">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w:t>
      </w:r>
      <w:r>
        <w:rPr>
          <w:rFonts w:hint="default" w:ascii="Times New Roman" w:hAnsi="Times New Roman" w:eastAsia="仿宋_GB2312" w:cs="Times New Roman"/>
          <w:color w:val="auto"/>
          <w:kern w:val="2"/>
          <w:sz w:val="32"/>
          <w:szCs w:val="32"/>
          <w:lang w:val="en-US" w:eastAsia="zh-CN" w:bidi="ar-SA"/>
        </w:rPr>
        <w:t>2024</w:t>
      </w:r>
      <w:r>
        <w:rPr>
          <w:rFonts w:hint="default" w:ascii="Times New Roman" w:hAnsi="Times New Roman" w:eastAsia="仿宋_GB2312" w:cs="Times New Roman"/>
          <w:kern w:val="0"/>
          <w:sz w:val="32"/>
          <w:szCs w:val="32"/>
        </w:rPr>
        <w:t>年末，盐边县委宣传部及下属单位编制情况及年末实有人数情况。宣传部核定编制</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含群团组织、下属事业单位）包括：行政编制</w:t>
      </w:r>
      <w:r>
        <w:rPr>
          <w:rFonts w:hint="default"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kern w:val="0"/>
          <w:sz w:val="32"/>
          <w:szCs w:val="32"/>
        </w:rPr>
        <w:t>名，参公编制</w:t>
      </w: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kern w:val="0"/>
          <w:sz w:val="32"/>
          <w:szCs w:val="32"/>
        </w:rPr>
        <w:t>名，事业编制</w:t>
      </w:r>
      <w:r>
        <w:rPr>
          <w:rFonts w:hint="default"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kern w:val="0"/>
          <w:sz w:val="32"/>
          <w:szCs w:val="32"/>
        </w:rPr>
        <w:t>名，机关工勤</w:t>
      </w: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kern w:val="0"/>
          <w:sz w:val="32"/>
          <w:szCs w:val="32"/>
        </w:rPr>
        <w:t>名。</w:t>
      </w:r>
      <w:r>
        <w:rPr>
          <w:rFonts w:hint="default" w:ascii="Times New Roman" w:hAnsi="Times New Roman" w:eastAsia="仿宋_GB2312" w:cs="Times New Roman"/>
          <w:color w:val="auto"/>
          <w:kern w:val="2"/>
          <w:sz w:val="32"/>
          <w:szCs w:val="32"/>
          <w:lang w:val="en-US" w:eastAsia="zh-CN" w:bidi="ar-SA"/>
        </w:rPr>
        <w:t>2024</w:t>
      </w:r>
      <w:r>
        <w:rPr>
          <w:rFonts w:hint="default" w:ascii="Times New Roman" w:hAnsi="Times New Roman" w:eastAsia="仿宋_GB2312" w:cs="Times New Roman"/>
          <w:kern w:val="0"/>
          <w:sz w:val="32"/>
          <w:szCs w:val="32"/>
        </w:rPr>
        <w:t>年末在岗</w:t>
      </w:r>
      <w:r>
        <w:rPr>
          <w:rFonts w:hint="default" w:ascii="Times New Roman" w:hAnsi="Times New Roman" w:eastAsia="仿宋_GB2312" w:cs="Times New Roman"/>
          <w:color w:val="auto"/>
          <w:kern w:val="2"/>
          <w:sz w:val="32"/>
          <w:szCs w:val="32"/>
          <w:lang w:val="en-US" w:eastAsia="zh-CN" w:bidi="ar-SA"/>
        </w:rPr>
        <w:t>16</w:t>
      </w:r>
      <w:r>
        <w:rPr>
          <w:rFonts w:hint="default" w:ascii="Times New Roman" w:hAnsi="Times New Roman" w:eastAsia="仿宋_GB2312" w:cs="Times New Roman"/>
          <w:kern w:val="0"/>
          <w:sz w:val="32"/>
          <w:szCs w:val="32"/>
        </w:rPr>
        <w:t>名：其中公务员</w:t>
      </w: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kern w:val="0"/>
          <w:sz w:val="32"/>
          <w:szCs w:val="32"/>
        </w:rPr>
        <w:t>名，参公人员</w:t>
      </w: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kern w:val="0"/>
          <w:sz w:val="32"/>
          <w:szCs w:val="32"/>
        </w:rPr>
        <w:t>名，事业人员</w:t>
      </w:r>
      <w:r>
        <w:rPr>
          <w:rFonts w:hint="default"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kern w:val="0"/>
          <w:sz w:val="32"/>
          <w:szCs w:val="32"/>
        </w:rPr>
        <w:t>名，机关工勤</w:t>
      </w: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kern w:val="0"/>
          <w:sz w:val="32"/>
          <w:szCs w:val="32"/>
        </w:rPr>
        <w:t xml:space="preserve">名。 </w:t>
      </w:r>
    </w:p>
    <w:p w14:paraId="06BE3102">
      <w:pPr>
        <w:spacing w:line="55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二、部门资金收支情况</w:t>
      </w:r>
    </w:p>
    <w:p w14:paraId="4DFE45E3">
      <w:pPr>
        <w:spacing w:line="56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（一）收入情况。</w:t>
      </w:r>
    </w:p>
    <w:p w14:paraId="26C83509">
      <w:pPr>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盐边县委宣传部</w:t>
      </w:r>
      <w:r>
        <w:rPr>
          <w:rFonts w:hint="default" w:ascii="Times New Roman" w:hAnsi="Times New Roman" w:eastAsia="仿宋_GB2312" w:cs="Times New Roman"/>
          <w:color w:val="auto"/>
          <w:kern w:val="2"/>
          <w:sz w:val="32"/>
          <w:szCs w:val="32"/>
          <w:lang w:val="en-US" w:eastAsia="zh-CN" w:bidi="ar-SA"/>
        </w:rPr>
        <w:t>2024</w:t>
      </w:r>
      <w:r>
        <w:rPr>
          <w:rFonts w:hint="default" w:ascii="Times New Roman" w:hAnsi="Times New Roman" w:eastAsia="仿宋_GB2312" w:cs="Times New Roman"/>
          <w:kern w:val="0"/>
          <w:sz w:val="32"/>
          <w:szCs w:val="32"/>
        </w:rPr>
        <w:t>年收入年初预算安排</w:t>
      </w:r>
      <w:r>
        <w:rPr>
          <w:rFonts w:hint="default" w:ascii="Times New Roman" w:hAnsi="Times New Roman" w:eastAsia="仿宋_GB2312" w:cs="Times New Roman"/>
          <w:color w:val="auto"/>
          <w:kern w:val="2"/>
          <w:sz w:val="32"/>
          <w:szCs w:val="32"/>
          <w:lang w:val="en-US" w:eastAsia="zh-CN" w:bidi="ar-SA"/>
        </w:rPr>
        <w:t>906.2</w:t>
      </w:r>
      <w:r>
        <w:rPr>
          <w:rFonts w:hint="default" w:ascii="Times New Roman" w:hAnsi="Times New Roman" w:eastAsia="仿宋_GB2312" w:cs="Times New Roman"/>
          <w:kern w:val="0"/>
          <w:sz w:val="32"/>
          <w:szCs w:val="32"/>
        </w:rPr>
        <w:t>万元（其中人员经费</w:t>
      </w:r>
      <w:r>
        <w:rPr>
          <w:rFonts w:hint="default" w:ascii="Times New Roman" w:hAnsi="Times New Roman" w:eastAsia="仿宋_GB2312" w:cs="Times New Roman"/>
          <w:color w:val="auto"/>
          <w:kern w:val="2"/>
          <w:sz w:val="32"/>
          <w:szCs w:val="32"/>
          <w:lang w:val="en-US" w:eastAsia="zh-CN" w:bidi="ar-SA"/>
        </w:rPr>
        <w:t>352.55</w:t>
      </w:r>
      <w:r>
        <w:rPr>
          <w:rFonts w:hint="default" w:ascii="Times New Roman" w:hAnsi="Times New Roman" w:eastAsia="仿宋_GB2312" w:cs="Times New Roman"/>
          <w:kern w:val="0"/>
          <w:sz w:val="32"/>
          <w:szCs w:val="32"/>
        </w:rPr>
        <w:t>万元，公用经费</w:t>
      </w:r>
      <w:r>
        <w:rPr>
          <w:rFonts w:hint="default" w:ascii="Times New Roman" w:hAnsi="Times New Roman" w:eastAsia="仿宋_GB2312" w:cs="Times New Roman"/>
          <w:color w:val="auto"/>
          <w:kern w:val="2"/>
          <w:sz w:val="32"/>
          <w:szCs w:val="32"/>
          <w:lang w:val="en-US" w:eastAsia="zh-CN" w:bidi="ar-SA"/>
        </w:rPr>
        <w:t>34.66</w:t>
      </w:r>
      <w:r>
        <w:rPr>
          <w:rFonts w:hint="default" w:ascii="Times New Roman" w:hAnsi="Times New Roman" w:eastAsia="仿宋_GB2312" w:cs="Times New Roman"/>
          <w:kern w:val="0"/>
          <w:sz w:val="32"/>
          <w:szCs w:val="32"/>
        </w:rPr>
        <w:t>万元，项目经费</w:t>
      </w:r>
      <w:r>
        <w:rPr>
          <w:rFonts w:hint="default" w:ascii="Times New Roman" w:hAnsi="Times New Roman" w:eastAsia="仿宋_GB2312" w:cs="Times New Roman"/>
          <w:color w:val="auto"/>
          <w:kern w:val="2"/>
          <w:sz w:val="32"/>
          <w:szCs w:val="32"/>
          <w:lang w:val="en-US" w:eastAsia="zh-CN" w:bidi="ar-SA"/>
        </w:rPr>
        <w:t>518.98</w:t>
      </w:r>
      <w:r>
        <w:rPr>
          <w:rFonts w:hint="default" w:ascii="Times New Roman" w:hAnsi="Times New Roman" w:eastAsia="仿宋_GB2312" w:cs="Times New Roman"/>
          <w:kern w:val="0"/>
          <w:sz w:val="32"/>
          <w:szCs w:val="32"/>
        </w:rPr>
        <w:t>万元）。年中调整预算数</w:t>
      </w:r>
      <w:r>
        <w:rPr>
          <w:rFonts w:hint="default" w:ascii="Times New Roman" w:hAnsi="Times New Roman" w:eastAsia="仿宋_GB2312" w:cs="Times New Roman"/>
          <w:color w:val="auto"/>
          <w:kern w:val="2"/>
          <w:sz w:val="32"/>
          <w:szCs w:val="32"/>
          <w:lang w:val="en-US" w:eastAsia="zh-CN" w:bidi="ar-SA"/>
        </w:rPr>
        <w:t>202.99</w:t>
      </w:r>
      <w:r>
        <w:rPr>
          <w:rFonts w:hint="default" w:ascii="Times New Roman" w:hAnsi="Times New Roman" w:eastAsia="仿宋_GB2312" w:cs="Times New Roman"/>
          <w:kern w:val="0"/>
          <w:sz w:val="32"/>
          <w:szCs w:val="32"/>
        </w:rPr>
        <w:t>万元（其中人员经费</w:t>
      </w:r>
      <w:r>
        <w:rPr>
          <w:rFonts w:hint="default" w:ascii="Times New Roman" w:hAnsi="Times New Roman" w:eastAsia="仿宋_GB2312" w:cs="Times New Roman"/>
          <w:color w:val="auto"/>
          <w:kern w:val="2"/>
          <w:sz w:val="32"/>
          <w:szCs w:val="32"/>
          <w:lang w:val="en-US" w:eastAsia="zh-CN" w:bidi="ar-SA"/>
        </w:rPr>
        <w:t>21.19</w:t>
      </w:r>
      <w:r>
        <w:rPr>
          <w:rFonts w:hint="default" w:ascii="Times New Roman" w:hAnsi="Times New Roman" w:eastAsia="仿宋_GB2312" w:cs="Times New Roman"/>
          <w:kern w:val="0"/>
          <w:sz w:val="32"/>
          <w:szCs w:val="32"/>
        </w:rPr>
        <w:t>万元，项目支出</w:t>
      </w:r>
      <w:r>
        <w:rPr>
          <w:rFonts w:hint="default" w:ascii="Times New Roman" w:hAnsi="Times New Roman" w:eastAsia="仿宋_GB2312" w:cs="Times New Roman"/>
          <w:color w:val="auto"/>
          <w:kern w:val="2"/>
          <w:sz w:val="32"/>
          <w:szCs w:val="32"/>
          <w:lang w:val="en-US" w:eastAsia="zh-CN" w:bidi="ar-SA"/>
        </w:rPr>
        <w:t>181.8</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color w:val="auto"/>
          <w:kern w:val="2"/>
          <w:sz w:val="32"/>
          <w:szCs w:val="32"/>
          <w:lang w:val="en-US" w:eastAsia="zh-CN" w:bidi="ar-SA"/>
        </w:rPr>
        <w:t>2024</w:t>
      </w:r>
      <w:r>
        <w:rPr>
          <w:rFonts w:hint="default" w:ascii="Times New Roman" w:hAnsi="Times New Roman" w:eastAsia="仿宋_GB2312" w:cs="Times New Roman"/>
          <w:kern w:val="0"/>
          <w:sz w:val="32"/>
          <w:szCs w:val="32"/>
        </w:rPr>
        <w:t>年全年预算收入</w:t>
      </w:r>
      <w:r>
        <w:rPr>
          <w:rFonts w:hint="default" w:ascii="Times New Roman" w:hAnsi="Times New Roman" w:eastAsia="仿宋_GB2312" w:cs="Times New Roman"/>
          <w:color w:val="auto"/>
          <w:kern w:val="2"/>
          <w:sz w:val="32"/>
          <w:szCs w:val="32"/>
          <w:lang w:val="en-US" w:eastAsia="zh-CN" w:bidi="ar-SA"/>
        </w:rPr>
        <w:t>1109.21</w:t>
      </w:r>
      <w:r>
        <w:rPr>
          <w:rFonts w:hint="default" w:ascii="Times New Roman" w:hAnsi="Times New Roman" w:eastAsia="仿宋_GB2312" w:cs="Times New Roman"/>
          <w:kern w:val="0"/>
          <w:sz w:val="32"/>
          <w:szCs w:val="32"/>
        </w:rPr>
        <w:t>万元（其中基本支出</w:t>
      </w:r>
      <w:r>
        <w:rPr>
          <w:rFonts w:hint="default" w:ascii="Times New Roman" w:hAnsi="Times New Roman" w:eastAsia="仿宋_GB2312" w:cs="Times New Roman"/>
          <w:color w:val="auto"/>
          <w:kern w:val="2"/>
          <w:sz w:val="32"/>
          <w:szCs w:val="32"/>
          <w:lang w:val="en-US" w:eastAsia="zh-CN" w:bidi="ar-SA"/>
        </w:rPr>
        <w:t>408.4</w:t>
      </w:r>
      <w:r>
        <w:rPr>
          <w:rFonts w:hint="default" w:ascii="Times New Roman" w:hAnsi="Times New Roman" w:eastAsia="仿宋_GB2312" w:cs="Times New Roman"/>
          <w:kern w:val="0"/>
          <w:sz w:val="32"/>
          <w:szCs w:val="32"/>
        </w:rPr>
        <w:t>万元，项目支出</w:t>
      </w:r>
      <w:r>
        <w:rPr>
          <w:rFonts w:hint="default" w:ascii="Times New Roman" w:hAnsi="Times New Roman" w:eastAsia="仿宋_GB2312" w:cs="Times New Roman"/>
          <w:color w:val="auto"/>
          <w:kern w:val="2"/>
          <w:sz w:val="32"/>
          <w:szCs w:val="32"/>
          <w:lang w:val="en-US" w:eastAsia="zh-CN" w:bidi="ar-SA"/>
        </w:rPr>
        <w:t>700.81</w:t>
      </w:r>
      <w:r>
        <w:rPr>
          <w:rFonts w:hint="default" w:ascii="Times New Roman" w:hAnsi="Times New Roman" w:eastAsia="仿宋_GB2312" w:cs="Times New Roman"/>
          <w:kern w:val="0"/>
          <w:sz w:val="32"/>
          <w:szCs w:val="32"/>
        </w:rPr>
        <w:t>万元）。</w:t>
      </w:r>
    </w:p>
    <w:p w14:paraId="13141B3D">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（二）支出情况。</w:t>
      </w:r>
    </w:p>
    <w:p w14:paraId="6F83BF9B">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盐边县委宣传部</w:t>
      </w:r>
      <w:r>
        <w:rPr>
          <w:rFonts w:hint="default" w:ascii="Times New Roman" w:hAnsi="Times New Roman" w:eastAsia="仿宋_GB2312" w:cs="Times New Roman"/>
          <w:color w:val="auto"/>
          <w:kern w:val="2"/>
          <w:sz w:val="32"/>
          <w:szCs w:val="32"/>
          <w:lang w:val="en-US" w:eastAsia="zh-CN" w:bidi="ar-SA"/>
        </w:rPr>
        <w:t>2024</w:t>
      </w:r>
      <w:r>
        <w:rPr>
          <w:rFonts w:hint="default" w:ascii="Times New Roman" w:hAnsi="Times New Roman" w:eastAsia="仿宋_GB2312" w:cs="Times New Roman"/>
          <w:kern w:val="0"/>
          <w:sz w:val="32"/>
          <w:szCs w:val="32"/>
          <w:lang w:eastAsia="zh-CN"/>
        </w:rPr>
        <w:t>年年初预算支出</w:t>
      </w:r>
      <w:r>
        <w:rPr>
          <w:rFonts w:hint="default" w:ascii="Times New Roman" w:hAnsi="Times New Roman" w:eastAsia="仿宋_GB2312" w:cs="Times New Roman"/>
          <w:color w:val="auto"/>
          <w:kern w:val="2"/>
          <w:sz w:val="32"/>
          <w:szCs w:val="32"/>
          <w:lang w:val="en-US" w:eastAsia="zh-CN" w:bidi="ar-SA"/>
        </w:rPr>
        <w:t>906.2</w:t>
      </w:r>
      <w:r>
        <w:rPr>
          <w:rFonts w:hint="default" w:ascii="Times New Roman" w:hAnsi="Times New Roman" w:eastAsia="仿宋_GB2312" w:cs="Times New Roman"/>
          <w:kern w:val="0"/>
          <w:sz w:val="32"/>
          <w:szCs w:val="32"/>
          <w:lang w:eastAsia="zh-CN"/>
        </w:rPr>
        <w:t>万元（其中人员经费</w:t>
      </w:r>
      <w:r>
        <w:rPr>
          <w:rFonts w:hint="default" w:ascii="Times New Roman" w:hAnsi="Times New Roman" w:eastAsia="仿宋_GB2312" w:cs="Times New Roman"/>
          <w:color w:val="auto"/>
          <w:kern w:val="2"/>
          <w:sz w:val="32"/>
          <w:szCs w:val="32"/>
          <w:lang w:val="en-US" w:eastAsia="zh-CN" w:bidi="ar-SA"/>
        </w:rPr>
        <w:t>352.55</w:t>
      </w:r>
      <w:r>
        <w:rPr>
          <w:rFonts w:hint="default" w:ascii="Times New Roman" w:hAnsi="Times New Roman" w:eastAsia="仿宋_GB2312" w:cs="Times New Roman"/>
          <w:kern w:val="0"/>
          <w:sz w:val="32"/>
          <w:szCs w:val="32"/>
          <w:lang w:eastAsia="zh-CN"/>
        </w:rPr>
        <w:t>万元，公用经费</w:t>
      </w:r>
      <w:r>
        <w:rPr>
          <w:rFonts w:hint="default" w:ascii="Times New Roman" w:hAnsi="Times New Roman" w:eastAsia="仿宋_GB2312" w:cs="Times New Roman"/>
          <w:color w:val="auto"/>
          <w:kern w:val="2"/>
          <w:sz w:val="32"/>
          <w:szCs w:val="32"/>
          <w:lang w:val="en-US" w:eastAsia="zh-CN" w:bidi="ar-SA"/>
        </w:rPr>
        <w:t>34.66</w:t>
      </w:r>
      <w:r>
        <w:rPr>
          <w:rFonts w:hint="default" w:ascii="Times New Roman" w:hAnsi="Times New Roman" w:eastAsia="仿宋_GB2312" w:cs="Times New Roman"/>
          <w:kern w:val="0"/>
          <w:sz w:val="32"/>
          <w:szCs w:val="32"/>
          <w:lang w:eastAsia="zh-CN"/>
        </w:rPr>
        <w:t>万元，项目经费</w:t>
      </w:r>
      <w:r>
        <w:rPr>
          <w:rFonts w:hint="default" w:ascii="Times New Roman" w:hAnsi="Times New Roman" w:eastAsia="仿宋_GB2312" w:cs="Times New Roman"/>
          <w:color w:val="auto"/>
          <w:kern w:val="2"/>
          <w:sz w:val="32"/>
          <w:szCs w:val="32"/>
          <w:lang w:val="en-US" w:eastAsia="zh-CN" w:bidi="ar-SA"/>
        </w:rPr>
        <w:t>518.98</w:t>
      </w:r>
      <w:r>
        <w:rPr>
          <w:rFonts w:hint="default" w:ascii="Times New Roman" w:hAnsi="Times New Roman" w:eastAsia="仿宋_GB2312" w:cs="Times New Roman"/>
          <w:kern w:val="0"/>
          <w:sz w:val="32"/>
          <w:szCs w:val="32"/>
          <w:lang w:eastAsia="zh-CN"/>
        </w:rPr>
        <w:t>万元）。</w:t>
      </w:r>
      <w:r>
        <w:rPr>
          <w:rFonts w:hint="default" w:ascii="Times New Roman" w:hAnsi="Times New Roman" w:eastAsia="仿宋_GB2312" w:cs="Times New Roman"/>
          <w:color w:val="auto"/>
          <w:kern w:val="2"/>
          <w:sz w:val="32"/>
          <w:szCs w:val="32"/>
          <w:lang w:val="en-US" w:eastAsia="zh-CN" w:bidi="ar-SA"/>
        </w:rPr>
        <w:t>2024</w:t>
      </w:r>
      <w:r>
        <w:rPr>
          <w:rFonts w:hint="default" w:ascii="Times New Roman" w:hAnsi="Times New Roman" w:eastAsia="仿宋_GB2312" w:cs="Times New Roman"/>
          <w:kern w:val="0"/>
          <w:sz w:val="32"/>
          <w:szCs w:val="32"/>
          <w:lang w:eastAsia="zh-CN"/>
        </w:rPr>
        <w:t>年决算支出</w:t>
      </w:r>
      <w:r>
        <w:rPr>
          <w:rFonts w:hint="default" w:ascii="Times New Roman" w:hAnsi="Times New Roman" w:eastAsia="仿宋_GB2312" w:cs="Times New Roman"/>
          <w:color w:val="auto"/>
          <w:kern w:val="2"/>
          <w:sz w:val="32"/>
          <w:szCs w:val="32"/>
          <w:lang w:val="en-US" w:eastAsia="zh-CN" w:bidi="ar-SA"/>
        </w:rPr>
        <w:t>1109.21</w:t>
      </w:r>
      <w:r>
        <w:rPr>
          <w:rFonts w:hint="default" w:ascii="Times New Roman" w:hAnsi="Times New Roman" w:eastAsia="仿宋_GB2312" w:cs="Times New Roman"/>
          <w:kern w:val="0"/>
          <w:sz w:val="32"/>
          <w:szCs w:val="32"/>
          <w:lang w:eastAsia="zh-CN"/>
        </w:rPr>
        <w:t>万元，其中基本支出</w:t>
      </w:r>
      <w:r>
        <w:rPr>
          <w:rFonts w:hint="default" w:ascii="Times New Roman" w:hAnsi="Times New Roman" w:eastAsia="仿宋_GB2312" w:cs="Times New Roman"/>
          <w:color w:val="auto"/>
          <w:kern w:val="2"/>
          <w:sz w:val="32"/>
          <w:szCs w:val="32"/>
          <w:lang w:val="en-US" w:eastAsia="zh-CN" w:bidi="ar-SA"/>
        </w:rPr>
        <w:t>408.4</w:t>
      </w:r>
      <w:r>
        <w:rPr>
          <w:rFonts w:hint="default" w:ascii="Times New Roman" w:hAnsi="Times New Roman" w:eastAsia="仿宋_GB2312" w:cs="Times New Roman"/>
          <w:kern w:val="0"/>
          <w:sz w:val="32"/>
          <w:szCs w:val="32"/>
          <w:lang w:eastAsia="zh-CN"/>
        </w:rPr>
        <w:t>万元，主要用于单位</w:t>
      </w:r>
      <w:r>
        <w:rPr>
          <w:rFonts w:hint="default" w:ascii="Times New Roman" w:hAnsi="Times New Roman" w:eastAsia="仿宋_GB2312" w:cs="Times New Roman"/>
          <w:color w:val="auto"/>
          <w:kern w:val="2"/>
          <w:sz w:val="32"/>
          <w:szCs w:val="32"/>
          <w:lang w:val="en-US" w:eastAsia="zh-CN" w:bidi="ar-SA"/>
        </w:rPr>
        <w:t>16</w:t>
      </w:r>
      <w:r>
        <w:rPr>
          <w:rFonts w:hint="default" w:ascii="Times New Roman" w:hAnsi="Times New Roman" w:eastAsia="仿宋_GB2312" w:cs="Times New Roman"/>
          <w:kern w:val="0"/>
          <w:sz w:val="32"/>
          <w:szCs w:val="32"/>
          <w:lang w:eastAsia="zh-CN"/>
        </w:rPr>
        <w:t>名在职职工及</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lang w:eastAsia="zh-CN"/>
        </w:rPr>
        <w:t>名退休职工的工资、保险等人员经费以及办公费、水电费、差旅费等日常公用经费支出。项目支出</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color w:val="auto"/>
          <w:kern w:val="2"/>
          <w:sz w:val="32"/>
          <w:szCs w:val="32"/>
          <w:lang w:val="en-US" w:eastAsia="zh-CN" w:bidi="ar-SA"/>
        </w:rPr>
        <w:t>00.81</w:t>
      </w:r>
      <w:r>
        <w:rPr>
          <w:rFonts w:hint="default" w:ascii="Times New Roman" w:hAnsi="Times New Roman" w:eastAsia="仿宋_GB2312" w:cs="Times New Roman"/>
          <w:kern w:val="0"/>
          <w:sz w:val="32"/>
          <w:szCs w:val="32"/>
          <w:lang w:eastAsia="zh-CN"/>
        </w:rPr>
        <w:t>万元，主要用于新时代文明实践中心建设项目、理论专项学习项目、</w:t>
      </w:r>
      <w:r>
        <w:rPr>
          <w:rFonts w:hint="eastAsia" w:eastAsia="仿宋_GB2312" w:cs="Times New Roman"/>
          <w:kern w:val="0"/>
          <w:sz w:val="32"/>
          <w:szCs w:val="32"/>
          <w:lang w:eastAsia="zh-CN"/>
        </w:rPr>
        <w:t>网络舆情监测</w:t>
      </w:r>
      <w:r>
        <w:rPr>
          <w:rFonts w:hint="default" w:ascii="Times New Roman" w:hAnsi="Times New Roman" w:eastAsia="仿宋_GB2312" w:cs="Times New Roman"/>
          <w:kern w:val="0"/>
          <w:sz w:val="32"/>
          <w:szCs w:val="32"/>
          <w:lang w:eastAsia="zh-CN"/>
        </w:rPr>
        <w:t>项目、公共文化专项项目、社会科学研究专项项目、精神文明体系建设项目、全县党报、党刊、报刊杂志征订工作、对外宣传工作、媒体合作工作、“大笮文化”生态修复工作、房屋维修维护项目、融媒体中心建设项目、央级媒体共同富裕宣传</w:t>
      </w:r>
      <w:r>
        <w:rPr>
          <w:rFonts w:hint="eastAsia" w:eastAsia="仿宋_GB2312" w:cs="Times New Roman"/>
          <w:kern w:val="0"/>
          <w:sz w:val="32"/>
          <w:szCs w:val="32"/>
          <w:lang w:eastAsia="zh-CN"/>
        </w:rPr>
        <w:t>专项项</w:t>
      </w:r>
      <w:r>
        <w:rPr>
          <w:rFonts w:hint="default" w:ascii="Times New Roman" w:hAnsi="Times New Roman" w:eastAsia="仿宋_GB2312" w:cs="Times New Roman"/>
          <w:kern w:val="0"/>
          <w:sz w:val="32"/>
          <w:szCs w:val="32"/>
          <w:lang w:eastAsia="zh-CN"/>
        </w:rPr>
        <w:t>、电影放映工作等项目建设。</w:t>
      </w:r>
    </w:p>
    <w:p w14:paraId="1D481E65">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（三）结余分配和结转结余情况。</w:t>
      </w:r>
    </w:p>
    <w:p w14:paraId="330F7B8E">
      <w:pPr>
        <w:spacing w:line="55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盐边县委宣传部</w:t>
      </w:r>
      <w:r>
        <w:rPr>
          <w:rFonts w:hint="default" w:ascii="Times New Roman" w:hAnsi="Times New Roman" w:eastAsia="仿宋_GB2312" w:cs="Times New Roman"/>
          <w:color w:val="auto"/>
          <w:kern w:val="2"/>
          <w:sz w:val="32"/>
          <w:szCs w:val="32"/>
          <w:lang w:val="en-US" w:eastAsia="zh-CN" w:bidi="ar-SA"/>
        </w:rPr>
        <w:t>2024</w:t>
      </w:r>
      <w:r>
        <w:rPr>
          <w:rFonts w:hint="default" w:ascii="Times New Roman" w:hAnsi="Times New Roman" w:eastAsia="仿宋_GB2312" w:cs="Times New Roman"/>
          <w:kern w:val="0"/>
          <w:sz w:val="32"/>
          <w:szCs w:val="32"/>
        </w:rPr>
        <w:t>年度无结转结余。</w:t>
      </w:r>
    </w:p>
    <w:p w14:paraId="26322D24">
      <w:pPr>
        <w:spacing w:line="55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三、部门预算绩效分析</w:t>
      </w:r>
    </w:p>
    <w:p w14:paraId="52341A9C">
      <w:pPr>
        <w:spacing w:line="550" w:lineRule="exact"/>
        <w:ind w:firstLine="643" w:firstLineChars="200"/>
        <w:rPr>
          <w:rFonts w:hint="default" w:ascii="Times New Roman" w:hAnsi="Times New Roman" w:cs="Times New Roman"/>
          <w:sz w:val="32"/>
          <w:szCs w:val="32"/>
        </w:rPr>
      </w:pPr>
      <w:r>
        <w:rPr>
          <w:rFonts w:hint="default" w:ascii="Times New Roman" w:hAnsi="Times New Roman" w:eastAsia="方正楷体_GBK" w:cs="Times New Roman"/>
          <w:b/>
          <w:sz w:val="32"/>
          <w:szCs w:val="32"/>
        </w:rPr>
        <w:t>（一）部门预算总体绩效分析。</w:t>
      </w:r>
    </w:p>
    <w:p w14:paraId="656F394B">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1.履职效能方面</w:t>
      </w:r>
    </w:p>
    <w:p w14:paraId="09773075">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①</w:t>
      </w:r>
      <w:r>
        <w:rPr>
          <w:rFonts w:hint="default" w:ascii="Times New Roman" w:hAnsi="Times New Roman" w:eastAsia="仿宋_GB2312" w:cs="Times New Roman"/>
          <w:kern w:val="0"/>
          <w:sz w:val="32"/>
          <w:szCs w:val="32"/>
          <w:lang w:eastAsia="zh-CN"/>
        </w:rPr>
        <w:t>培育文学艺术人才，加强县内外文学艺术交流履职方面。持续实施大笮文化生态修复工程，央视非遗纪录片傈僳婚俗《喜事》荣获中央广播电视总台优秀传统文化视听展播节目，傈僳族非物质文化遗产传习中心负责人谷艳获评第四届“十大天府人物”，傈僳族服饰制作技艺入选第二批“非遗四川·百城百艺”品牌名单。成功举办首届“天府文艺村晚”盐边站、《我们的村歌》</w:t>
      </w:r>
      <w:r>
        <w:rPr>
          <w:rFonts w:hint="default" w:ascii="Times New Roman" w:hAnsi="Times New Roman" w:eastAsia="仿宋_GB2312" w:cs="Times New Roman"/>
          <w:color w:val="auto"/>
          <w:kern w:val="2"/>
          <w:sz w:val="32"/>
          <w:szCs w:val="32"/>
          <w:lang w:val="en-US" w:eastAsia="zh-CN" w:bidi="ar-SA"/>
        </w:rPr>
        <w:t>2024</w:t>
      </w:r>
      <w:r>
        <w:rPr>
          <w:rFonts w:hint="default" w:ascii="Times New Roman" w:hAnsi="Times New Roman" w:eastAsia="仿宋_GB2312" w:cs="Times New Roman"/>
          <w:kern w:val="0"/>
          <w:sz w:val="32"/>
          <w:szCs w:val="32"/>
          <w:lang w:eastAsia="zh-CN"/>
        </w:rPr>
        <w:t>年第一季第一期及 “攀枝花，不止阳光”全国艺术摄影大赛等文化活动，被评为巴蜀十佳摄影目的地。邀请创作《笮山古风新盐边》《乡村记忆》等文化作品，收集整理《笮山民谣》《大笮坊—盐边风物志》等文化瑰宝，创作《慢漫》《笮酒赋》等本土歌曲，推出电影《美味人生》等全新文化IP，被命名为“四川大笮文化之乡”。打造金芋别院、傈僳族非遗传习中心等文化新空间，创建省、市级研学基地</w:t>
      </w: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kern w:val="0"/>
          <w:sz w:val="32"/>
          <w:szCs w:val="32"/>
          <w:lang w:eastAsia="zh-CN"/>
        </w:rPr>
        <w:t>个，吸引清华大学乡村振兴工作站、中国传媒大学等学校学生</w:t>
      </w:r>
      <w:r>
        <w:rPr>
          <w:rFonts w:hint="default" w:ascii="Times New Roman" w:hAnsi="Times New Roman" w:eastAsia="仿宋_GB2312" w:cs="Times New Roman"/>
          <w:color w:val="auto"/>
          <w:kern w:val="2"/>
          <w:sz w:val="32"/>
          <w:szCs w:val="32"/>
          <w:lang w:val="en-US" w:eastAsia="zh-CN" w:bidi="ar-SA"/>
        </w:rPr>
        <w:t>3000</w:t>
      </w:r>
      <w:r>
        <w:rPr>
          <w:rFonts w:hint="default" w:ascii="Times New Roman" w:hAnsi="Times New Roman" w:eastAsia="仿宋_GB2312" w:cs="Times New Roman"/>
          <w:kern w:val="0"/>
          <w:sz w:val="32"/>
          <w:szCs w:val="32"/>
          <w:lang w:eastAsia="zh-CN"/>
        </w:rPr>
        <w:t>余人次到盐开展乡村实践研学活动。争取共同富裕和美乡村联合村农文旅融合资金1000万元，探索“传统村落+有机农业+艺术乡创”发展模式，打造联合村创富实验室+三味“蔬”屋+运营中心+艺术大菜场。深挖非遗等特色优势，培育以国胜茶、索玛花为代表的文旅活动新地标，联合村被确定为第二批四川作家“深入生活 扎根人民”新时代文学实践点。特聘著名书籍设计师朱赢椿、知名油画家杨六平等</w:t>
      </w:r>
      <w:r>
        <w:rPr>
          <w:rFonts w:hint="default" w:ascii="Times New Roman" w:hAnsi="Times New Roman" w:eastAsia="仿宋_GB2312" w:cs="Times New Roman"/>
          <w:color w:val="auto"/>
          <w:kern w:val="2"/>
          <w:sz w:val="32"/>
          <w:szCs w:val="32"/>
          <w:lang w:val="en-US" w:eastAsia="zh-CN" w:bidi="ar-SA"/>
        </w:rPr>
        <w:t>6</w:t>
      </w:r>
      <w:r>
        <w:rPr>
          <w:rFonts w:hint="default" w:ascii="Times New Roman" w:hAnsi="Times New Roman" w:eastAsia="仿宋_GB2312" w:cs="Times New Roman"/>
          <w:kern w:val="0"/>
          <w:sz w:val="32"/>
          <w:szCs w:val="32"/>
          <w:lang w:eastAsia="zh-CN"/>
        </w:rPr>
        <w:t>名艺术家为盐边“艺术大使”，选派文艺工作者开展“组团式支教 送文艺下乡”，培养罗顺兵、周均莉等致力于挖掘和传承本土文化的主理人队伍，形成以王彪、程文峰为代表的一批青年创客群体。</w:t>
      </w:r>
    </w:p>
    <w:p w14:paraId="5B681AA3">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②掌握全县党员、干部和人民群众的思想状态，及时向县委和上级有关部门反馈履职方面。</w:t>
      </w:r>
    </w:p>
    <w:p w14:paraId="7E6E4469">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③充分发挥县委理论学习中心组龙头带动作用，组织专题集中学习研讨</w:t>
      </w:r>
      <w:r>
        <w:rPr>
          <w:rFonts w:hint="default" w:ascii="Times New Roman" w:hAnsi="Times New Roman" w:eastAsia="仿宋_GB2312" w:cs="Times New Roman"/>
          <w:color w:val="auto"/>
          <w:kern w:val="2"/>
          <w:sz w:val="32"/>
          <w:szCs w:val="32"/>
          <w:lang w:val="en-US" w:eastAsia="zh-CN" w:bidi="ar-SA"/>
        </w:rPr>
        <w:t>7</w:t>
      </w:r>
      <w:r>
        <w:rPr>
          <w:rFonts w:hint="default" w:ascii="Times New Roman" w:hAnsi="Times New Roman" w:eastAsia="仿宋_GB2312" w:cs="Times New Roman"/>
          <w:kern w:val="0"/>
          <w:sz w:val="32"/>
          <w:szCs w:val="32"/>
          <w:lang w:eastAsia="zh-CN"/>
        </w:rPr>
        <w:t>次，全县党委（党组）理论学习中心组共开展专题学习</w:t>
      </w:r>
      <w:r>
        <w:rPr>
          <w:rFonts w:hint="default" w:ascii="Times New Roman" w:hAnsi="Times New Roman" w:eastAsia="仿宋_GB2312" w:cs="Times New Roman"/>
          <w:color w:val="auto"/>
          <w:kern w:val="2"/>
          <w:sz w:val="32"/>
          <w:szCs w:val="32"/>
          <w:lang w:val="en-US" w:eastAsia="zh-CN" w:bidi="ar-SA"/>
        </w:rPr>
        <w:t>315</w:t>
      </w:r>
      <w:r>
        <w:rPr>
          <w:rFonts w:hint="default" w:ascii="Times New Roman" w:hAnsi="Times New Roman" w:eastAsia="仿宋_GB2312" w:cs="Times New Roman"/>
          <w:kern w:val="0"/>
          <w:sz w:val="32"/>
          <w:szCs w:val="32"/>
          <w:lang w:eastAsia="zh-CN"/>
        </w:rPr>
        <w:t>次，列席旁听</w:t>
      </w:r>
      <w:r>
        <w:rPr>
          <w:rFonts w:hint="default" w:ascii="Times New Roman" w:hAnsi="Times New Roman" w:eastAsia="仿宋_GB2312" w:cs="Times New Roman"/>
          <w:color w:val="auto"/>
          <w:kern w:val="2"/>
          <w:sz w:val="32"/>
          <w:szCs w:val="32"/>
          <w:lang w:val="en-US" w:eastAsia="zh-CN" w:bidi="ar-SA"/>
        </w:rPr>
        <w:t>35</w:t>
      </w:r>
      <w:r>
        <w:rPr>
          <w:rFonts w:hint="default" w:ascii="Times New Roman" w:hAnsi="Times New Roman" w:eastAsia="仿宋_GB2312" w:cs="Times New Roman"/>
          <w:kern w:val="0"/>
          <w:sz w:val="32"/>
          <w:szCs w:val="32"/>
          <w:lang w:eastAsia="zh-CN"/>
        </w:rPr>
        <w:t>次。着力加强“笮悦慧大讲堂”基层理论宣讲品牌建设，构建县、乡（镇）、村（社区）三级全覆盖宣讲网络，组建宣讲队伍</w:t>
      </w:r>
      <w:r>
        <w:rPr>
          <w:rFonts w:hint="default" w:ascii="Times New Roman" w:hAnsi="Times New Roman" w:eastAsia="仿宋_GB2312" w:cs="Times New Roman"/>
          <w:color w:val="auto"/>
          <w:kern w:val="2"/>
          <w:sz w:val="32"/>
          <w:szCs w:val="32"/>
          <w:lang w:val="en-US" w:eastAsia="zh-CN" w:bidi="ar-SA"/>
        </w:rPr>
        <w:t>150</w:t>
      </w:r>
      <w:r>
        <w:rPr>
          <w:rFonts w:hint="default" w:ascii="Times New Roman" w:hAnsi="Times New Roman" w:eastAsia="仿宋_GB2312" w:cs="Times New Roman"/>
          <w:kern w:val="0"/>
          <w:sz w:val="32"/>
          <w:szCs w:val="32"/>
          <w:lang w:eastAsia="zh-CN"/>
        </w:rPr>
        <w:t>余人，开展党的二十届三中全会及省委十二届五次、六次全会精神等重大主题宣讲</w:t>
      </w:r>
      <w:r>
        <w:rPr>
          <w:rFonts w:hint="default" w:ascii="Times New Roman" w:hAnsi="Times New Roman" w:eastAsia="仿宋_GB2312" w:cs="Times New Roman"/>
          <w:color w:val="auto"/>
          <w:kern w:val="2"/>
          <w:sz w:val="32"/>
          <w:szCs w:val="32"/>
          <w:lang w:val="en-US" w:eastAsia="zh-CN" w:bidi="ar-SA"/>
        </w:rPr>
        <w:t>550</w:t>
      </w:r>
      <w:r>
        <w:rPr>
          <w:rFonts w:hint="default" w:ascii="Times New Roman" w:hAnsi="Times New Roman" w:eastAsia="仿宋_GB2312" w:cs="Times New Roman"/>
          <w:kern w:val="0"/>
          <w:sz w:val="32"/>
          <w:szCs w:val="32"/>
          <w:lang w:eastAsia="zh-CN"/>
        </w:rPr>
        <w:t>余场（次）。“学习强国”平台供稿</w:t>
      </w:r>
      <w:r>
        <w:rPr>
          <w:rFonts w:hint="default" w:ascii="Times New Roman" w:hAnsi="Times New Roman" w:eastAsia="仿宋_GB2312" w:cs="Times New Roman"/>
          <w:color w:val="auto"/>
          <w:kern w:val="2"/>
          <w:sz w:val="32"/>
          <w:szCs w:val="32"/>
          <w:lang w:val="en-US" w:eastAsia="zh-CN" w:bidi="ar-SA"/>
        </w:rPr>
        <w:t>681</w:t>
      </w:r>
      <w:r>
        <w:rPr>
          <w:rFonts w:hint="default" w:ascii="Times New Roman" w:hAnsi="Times New Roman" w:eastAsia="仿宋_GB2312" w:cs="Times New Roman"/>
          <w:kern w:val="0"/>
          <w:sz w:val="32"/>
          <w:szCs w:val="32"/>
          <w:lang w:eastAsia="zh-CN"/>
        </w:rPr>
        <w:t>余条，采用</w:t>
      </w:r>
      <w:r>
        <w:rPr>
          <w:rFonts w:hint="default" w:ascii="Times New Roman" w:hAnsi="Times New Roman" w:eastAsia="仿宋_GB2312" w:cs="Times New Roman"/>
          <w:color w:val="auto"/>
          <w:kern w:val="2"/>
          <w:sz w:val="32"/>
          <w:szCs w:val="32"/>
          <w:lang w:val="en-US" w:eastAsia="zh-CN" w:bidi="ar-SA"/>
        </w:rPr>
        <w:t>161</w:t>
      </w:r>
      <w:r>
        <w:rPr>
          <w:rFonts w:hint="default" w:ascii="Times New Roman" w:hAnsi="Times New Roman" w:eastAsia="仿宋_GB2312" w:cs="Times New Roman"/>
          <w:kern w:val="0"/>
          <w:sz w:val="32"/>
          <w:szCs w:val="32"/>
          <w:lang w:eastAsia="zh-CN"/>
        </w:rPr>
        <w:t>条。</w:t>
      </w:r>
    </w:p>
    <w:p w14:paraId="265B6F15">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预算管理。</w:t>
      </w:r>
    </w:p>
    <w:p w14:paraId="560F9B00">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基本支出</w:t>
      </w:r>
    </w:p>
    <w:p w14:paraId="5F338CC5">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全年预算安排</w:t>
      </w:r>
      <w:r>
        <w:rPr>
          <w:rFonts w:hint="default" w:ascii="Times New Roman" w:hAnsi="Times New Roman" w:eastAsia="仿宋_GB2312" w:cs="Times New Roman"/>
          <w:color w:val="auto"/>
          <w:kern w:val="2"/>
          <w:sz w:val="32"/>
          <w:szCs w:val="32"/>
          <w:lang w:val="en-US" w:eastAsia="zh-CN" w:bidi="ar-SA"/>
        </w:rPr>
        <w:t>408.4</w:t>
      </w:r>
      <w:r>
        <w:rPr>
          <w:rFonts w:hint="default" w:ascii="Times New Roman" w:hAnsi="Times New Roman" w:eastAsia="仿宋_GB2312" w:cs="Times New Roman"/>
          <w:kern w:val="0"/>
          <w:sz w:val="32"/>
          <w:szCs w:val="32"/>
          <w:lang w:eastAsia="zh-CN"/>
        </w:rPr>
        <w:t>万元，主要用于：在职和退休人员基本工资、津贴补贴等人员经费以及办公费、印刷费、水电费、差旅费等日常公用经费。</w:t>
      </w:r>
      <w:r>
        <w:rPr>
          <w:rFonts w:hint="default" w:ascii="Times New Roman" w:hAnsi="Times New Roman" w:eastAsia="仿宋_GB2312" w:cs="Times New Roman"/>
          <w:color w:val="auto"/>
          <w:kern w:val="2"/>
          <w:sz w:val="32"/>
          <w:szCs w:val="32"/>
          <w:lang w:val="en-US" w:eastAsia="zh-CN" w:bidi="ar-SA"/>
        </w:rPr>
        <w:t>2024</w:t>
      </w:r>
      <w:r>
        <w:rPr>
          <w:rFonts w:hint="default" w:ascii="Times New Roman" w:hAnsi="Times New Roman" w:eastAsia="仿宋_GB2312" w:cs="Times New Roman"/>
          <w:kern w:val="0"/>
          <w:sz w:val="32"/>
          <w:szCs w:val="32"/>
          <w:lang w:eastAsia="zh-CN"/>
        </w:rPr>
        <w:t>年一般财政拨款基本支出决算数</w:t>
      </w:r>
      <w:r>
        <w:rPr>
          <w:rFonts w:hint="default" w:ascii="Times New Roman" w:hAnsi="Times New Roman" w:eastAsia="仿宋_GB2312" w:cs="Times New Roman"/>
          <w:color w:val="auto"/>
          <w:kern w:val="2"/>
          <w:sz w:val="32"/>
          <w:szCs w:val="32"/>
          <w:lang w:val="en-US" w:eastAsia="zh-CN" w:bidi="ar-SA"/>
        </w:rPr>
        <w:t>408.4</w:t>
      </w:r>
      <w:r>
        <w:rPr>
          <w:rFonts w:hint="default" w:ascii="Times New Roman" w:hAnsi="Times New Roman" w:eastAsia="仿宋_GB2312" w:cs="Times New Roman"/>
          <w:kern w:val="0"/>
          <w:sz w:val="32"/>
          <w:szCs w:val="32"/>
          <w:lang w:eastAsia="zh-CN"/>
        </w:rPr>
        <w:t>万元，其中工资福利支出</w:t>
      </w:r>
      <w:r>
        <w:rPr>
          <w:rFonts w:hint="default" w:ascii="Times New Roman" w:hAnsi="Times New Roman" w:eastAsia="仿宋_GB2312" w:cs="Times New Roman"/>
          <w:color w:val="auto"/>
          <w:kern w:val="2"/>
          <w:sz w:val="32"/>
          <w:szCs w:val="32"/>
          <w:lang w:val="en-US" w:eastAsia="zh-CN" w:bidi="ar-SA"/>
        </w:rPr>
        <w:t>361.94</w:t>
      </w:r>
      <w:r>
        <w:rPr>
          <w:rFonts w:hint="default" w:ascii="Times New Roman" w:hAnsi="Times New Roman" w:eastAsia="仿宋_GB2312" w:cs="Times New Roman"/>
          <w:kern w:val="0"/>
          <w:sz w:val="32"/>
          <w:szCs w:val="32"/>
          <w:lang w:eastAsia="zh-CN"/>
        </w:rPr>
        <w:t>万元，公用经费支出</w:t>
      </w:r>
      <w:r>
        <w:rPr>
          <w:rFonts w:hint="default" w:ascii="Times New Roman" w:hAnsi="Times New Roman" w:eastAsia="仿宋_GB2312" w:cs="Times New Roman"/>
          <w:color w:val="auto"/>
          <w:kern w:val="2"/>
          <w:sz w:val="32"/>
          <w:szCs w:val="32"/>
          <w:lang w:val="en-US" w:eastAsia="zh-CN" w:bidi="ar-SA"/>
        </w:rPr>
        <w:t>31.85</w:t>
      </w:r>
      <w:r>
        <w:rPr>
          <w:rFonts w:hint="default" w:ascii="Times New Roman" w:hAnsi="Times New Roman" w:eastAsia="仿宋_GB2312" w:cs="Times New Roman"/>
          <w:kern w:val="0"/>
          <w:sz w:val="32"/>
          <w:szCs w:val="32"/>
          <w:lang w:eastAsia="zh-CN"/>
        </w:rPr>
        <w:t>万元，对个人和家庭补助支出</w:t>
      </w:r>
      <w:r>
        <w:rPr>
          <w:rFonts w:hint="default" w:ascii="Times New Roman" w:hAnsi="Times New Roman" w:eastAsia="仿宋_GB2312" w:cs="Times New Roman"/>
          <w:color w:val="auto"/>
          <w:kern w:val="2"/>
          <w:sz w:val="32"/>
          <w:szCs w:val="32"/>
          <w:lang w:val="en-US" w:eastAsia="zh-CN" w:bidi="ar-SA"/>
        </w:rPr>
        <w:t>14.61</w:t>
      </w:r>
      <w:r>
        <w:rPr>
          <w:rFonts w:hint="default" w:ascii="Times New Roman" w:hAnsi="Times New Roman" w:eastAsia="仿宋_GB2312" w:cs="Times New Roman"/>
          <w:kern w:val="0"/>
          <w:sz w:val="32"/>
          <w:szCs w:val="32"/>
          <w:lang w:eastAsia="zh-CN"/>
        </w:rPr>
        <w:t>万元。按经济科目分类如下：</w:t>
      </w:r>
    </w:p>
    <w:p w14:paraId="54BA117A">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工资福利支出</w:t>
      </w:r>
      <w:r>
        <w:rPr>
          <w:rFonts w:hint="default" w:ascii="Times New Roman" w:hAnsi="Times New Roman" w:eastAsia="仿宋_GB2312" w:cs="Times New Roman"/>
          <w:color w:val="auto"/>
          <w:kern w:val="2"/>
          <w:sz w:val="32"/>
          <w:szCs w:val="32"/>
          <w:lang w:val="en-US" w:eastAsia="zh-CN" w:bidi="ar-SA"/>
        </w:rPr>
        <w:t>361.94</w:t>
      </w:r>
      <w:r>
        <w:rPr>
          <w:rFonts w:hint="default" w:ascii="Times New Roman" w:hAnsi="Times New Roman" w:eastAsia="仿宋_GB2312" w:cs="Times New Roman"/>
          <w:kern w:val="0"/>
          <w:sz w:val="32"/>
          <w:szCs w:val="32"/>
          <w:lang w:eastAsia="zh-CN"/>
        </w:rPr>
        <w:t>万元，其中：基本工资81.4万元；津贴补贴53.33元；奖金56.79万元；绩效工资56.47万元；机关事业单位基本养老保险缴费35.79万元；职业年金缴费7.57万元；职工基本医疗保险缴费19.38万元；公务员医疗补助缴费11.49万元；其他社会保障缴费0.91万元；住房公积金29.14万元；医疗费0.93万元；其他工资福利支出8.76万元。</w:t>
      </w:r>
    </w:p>
    <w:p w14:paraId="61FCC45C">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商品和服务支出31.85万元，其中：办公费3.45万元；水费0.46万元；差旅费6.51万元；维修维护费0.37万元；租赁费0.15万元；会议费0.5万元；培训费0.13万元；公务接待费0.18万元；劳务费2.62万元；工会经费5.27万元；福利费1.12万元；其他交通费8.84万元；其他商品和服务支出1.03万元。</w:t>
      </w:r>
    </w:p>
    <w:p w14:paraId="0C6D858D">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对个人和家庭补助支出14.61万元，生活补助11万元；医疗补助3.59万元；奖励金0.02万元。</w:t>
      </w:r>
    </w:p>
    <w:p w14:paraId="091F0FD3">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 xml:space="preserve"> “三公”经费情况</w:t>
      </w:r>
    </w:p>
    <w:p w14:paraId="4003F2F3">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因公出国（境）费0元，公务用车购置及运行维护费0元；公务接待费0.18万元。</w:t>
      </w:r>
    </w:p>
    <w:p w14:paraId="12295B9E">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（2）项目支出</w:t>
      </w:r>
    </w:p>
    <w:p w14:paraId="1DB4B627">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全年预算安排700.81万元，主要用于以下项目：</w:t>
      </w:r>
    </w:p>
    <w:p w14:paraId="57F85BBC">
      <w:pPr>
        <w:ind w:firstLine="640" w:firstLineChars="200"/>
        <w:rPr>
          <w:rFonts w:hint="default" w:ascii="Times New Roman" w:hAnsi="Times New Roman" w:eastAsia="仿宋_GB2312" w:cs="Times New Roman"/>
          <w:kern w:val="0"/>
          <w:sz w:val="32"/>
          <w:szCs w:val="32"/>
          <w:lang w:eastAsia="zh-CN"/>
        </w:rPr>
      </w:pPr>
      <w:r>
        <w:rPr>
          <w:rFonts w:hint="default" w:ascii="Calibri" w:hAnsi="Calibri" w:eastAsia="仿宋_GB2312" w:cs="Calibri"/>
          <w:kern w:val="0"/>
          <w:sz w:val="32"/>
          <w:szCs w:val="32"/>
          <w:lang w:eastAsia="zh-CN"/>
        </w:rPr>
        <w:t>①</w:t>
      </w:r>
      <w:r>
        <w:rPr>
          <w:rFonts w:hint="default" w:ascii="Times New Roman" w:hAnsi="Times New Roman" w:eastAsia="仿宋_GB2312" w:cs="Times New Roman"/>
          <w:kern w:val="0"/>
          <w:sz w:val="32"/>
          <w:szCs w:val="32"/>
          <w:lang w:eastAsia="zh-CN"/>
        </w:rPr>
        <w:t>根据年初部门预算安排网络舆情监测服务合作费6万元，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完成支付6万元，完成率100%。项目资金主要用于借助专业人士和团队进一步夯实我县网信工作业务能力，确保2024年全年不发生重大网络舆情。项目完成较好，自评得分96分。</w:t>
      </w:r>
    </w:p>
    <w:p w14:paraId="55EC8677">
      <w:pPr>
        <w:ind w:firstLine="640" w:firstLineChars="200"/>
        <w:rPr>
          <w:rFonts w:hint="default" w:ascii="Times New Roman" w:hAnsi="Times New Roman" w:eastAsia="仿宋_GB2312" w:cs="Times New Roman"/>
          <w:kern w:val="0"/>
          <w:sz w:val="32"/>
          <w:szCs w:val="32"/>
          <w:lang w:eastAsia="zh-CN"/>
        </w:rPr>
      </w:pPr>
      <w:r>
        <w:rPr>
          <w:rFonts w:hint="default" w:ascii="Calibri" w:hAnsi="Calibri" w:eastAsia="仿宋_GB2312" w:cs="Calibri"/>
          <w:kern w:val="0"/>
          <w:sz w:val="32"/>
          <w:szCs w:val="32"/>
          <w:lang w:eastAsia="zh-CN"/>
        </w:rPr>
        <w:t>②</w:t>
      </w:r>
      <w:r>
        <w:rPr>
          <w:rFonts w:hint="default" w:ascii="Times New Roman" w:hAnsi="Times New Roman" w:eastAsia="仿宋_GB2312" w:cs="Times New Roman"/>
          <w:kern w:val="0"/>
          <w:sz w:val="32"/>
          <w:szCs w:val="32"/>
          <w:lang w:eastAsia="zh-CN"/>
        </w:rPr>
        <w:t>根据年初部门预算安排</w:t>
      </w:r>
      <w:r>
        <w:rPr>
          <w:rFonts w:hint="eastAsia" w:eastAsia="仿宋_GB2312" w:cs="Times New Roman"/>
          <w:kern w:val="0"/>
          <w:sz w:val="32"/>
          <w:szCs w:val="32"/>
          <w:lang w:eastAsia="zh-CN"/>
        </w:rPr>
        <w:t>理论学习中心组</w:t>
      </w:r>
      <w:r>
        <w:rPr>
          <w:rFonts w:hint="default" w:ascii="Times New Roman" w:hAnsi="Times New Roman" w:eastAsia="仿宋_GB2312" w:cs="Times New Roman"/>
          <w:kern w:val="0"/>
          <w:sz w:val="32"/>
          <w:szCs w:val="32"/>
          <w:lang w:eastAsia="zh-CN"/>
        </w:rPr>
        <w:t>学习经费15万元，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完成支付15万元，完成率100%。项目资金主要用于按照上级要求，安排中心组学习所产生的办公费、差旅费、会议费、劳务费等费用。项目完成较好，自评得分97分。</w:t>
      </w:r>
    </w:p>
    <w:p w14:paraId="5F4DF689">
      <w:pPr>
        <w:ind w:firstLine="640" w:firstLineChars="200"/>
        <w:rPr>
          <w:rFonts w:hint="default" w:ascii="Times New Roman" w:hAnsi="Times New Roman" w:eastAsia="仿宋_GB2312" w:cs="Times New Roman"/>
          <w:kern w:val="0"/>
          <w:sz w:val="32"/>
          <w:szCs w:val="32"/>
          <w:lang w:eastAsia="zh-CN"/>
        </w:rPr>
      </w:pPr>
      <w:r>
        <w:rPr>
          <w:rFonts w:hint="default" w:ascii="Calibri" w:hAnsi="Calibri" w:eastAsia="仿宋_GB2312" w:cs="Calibri"/>
          <w:kern w:val="0"/>
          <w:sz w:val="32"/>
          <w:szCs w:val="32"/>
          <w:lang w:eastAsia="zh-CN"/>
        </w:rPr>
        <w:t>③</w:t>
      </w:r>
      <w:r>
        <w:rPr>
          <w:rFonts w:hint="default" w:ascii="Times New Roman" w:hAnsi="Times New Roman" w:eastAsia="仿宋_GB2312" w:cs="Times New Roman"/>
          <w:kern w:val="0"/>
          <w:sz w:val="32"/>
          <w:szCs w:val="32"/>
          <w:lang w:eastAsia="zh-CN"/>
        </w:rPr>
        <w:t>根据年初部门预算安排公共文化专项相关项目经费16.5万元，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16.5万元，完成率100%。该资金主要用于我县80个农家书屋图书补充更新，开展“三下乡”系列活动，魅力乡镇竞演系列活动，全民阅读系列活动，实现全县城乡居民共享公共文化服务成果。实现80个建制村农村公益电影放映1440场，8个社区放映120场，23所学校放映92场，共播放1652场次。项目完成较好，自评得分98分。</w:t>
      </w:r>
    </w:p>
    <w:p w14:paraId="742D674D">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fldChar w:fldCharType="begin"/>
      </w:r>
      <w:r>
        <w:rPr>
          <w:rFonts w:hint="default" w:ascii="Times New Roman" w:hAnsi="Times New Roman" w:eastAsia="仿宋_GB2312" w:cs="Times New Roman"/>
          <w:kern w:val="0"/>
          <w:sz w:val="32"/>
          <w:szCs w:val="32"/>
          <w:lang w:eastAsia="zh-CN"/>
        </w:rPr>
        <w:instrText xml:space="preserve"> = 4 \* GB3 \* MERGEFORMAT </w:instrText>
      </w:r>
      <w:r>
        <w:rPr>
          <w:rFonts w:hint="default" w:ascii="Times New Roman" w:hAnsi="Times New Roman" w:eastAsia="仿宋_GB2312" w:cs="Times New Roman"/>
          <w:kern w:val="0"/>
          <w:sz w:val="32"/>
          <w:szCs w:val="32"/>
          <w:lang w:eastAsia="zh-CN"/>
        </w:rPr>
        <w:fldChar w:fldCharType="separate"/>
      </w:r>
      <w:r>
        <w:rPr>
          <w:sz w:val="32"/>
          <w:szCs w:val="32"/>
        </w:rPr>
        <w:t>④</w:t>
      </w:r>
      <w:r>
        <w:rPr>
          <w:rFonts w:hint="default" w:ascii="Times New Roman" w:hAnsi="Times New Roman" w:eastAsia="仿宋_GB2312" w:cs="Times New Roman"/>
          <w:kern w:val="0"/>
          <w:sz w:val="32"/>
          <w:szCs w:val="32"/>
          <w:lang w:eastAsia="zh-CN"/>
        </w:rPr>
        <w:fldChar w:fldCharType="end"/>
      </w:r>
      <w:r>
        <w:rPr>
          <w:rFonts w:hint="default" w:ascii="Times New Roman" w:hAnsi="Times New Roman" w:eastAsia="仿宋_GB2312" w:cs="Times New Roman"/>
          <w:kern w:val="0"/>
          <w:sz w:val="32"/>
          <w:szCs w:val="32"/>
          <w:lang w:eastAsia="zh-CN"/>
        </w:rPr>
        <w:t>根据年初部门预算安排春节走访慰问金0.48万元，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完成支付0.48万元，完成率100%。项目资金主要用于慰问道德模范、好人榜共计8人，每人600元。项目完成较好，自评得分97分。</w:t>
      </w:r>
    </w:p>
    <w:p w14:paraId="79324D4A">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fldChar w:fldCharType="begin"/>
      </w:r>
      <w:r>
        <w:rPr>
          <w:rFonts w:hint="default" w:ascii="Times New Roman" w:hAnsi="Times New Roman" w:eastAsia="仿宋_GB2312" w:cs="Times New Roman"/>
          <w:kern w:val="0"/>
          <w:sz w:val="32"/>
          <w:szCs w:val="32"/>
          <w:lang w:eastAsia="zh-CN"/>
        </w:rPr>
        <w:instrText xml:space="preserve"> = 5 \* GB3 \* MERGEFORMAT </w:instrText>
      </w:r>
      <w:r>
        <w:rPr>
          <w:rFonts w:hint="default" w:ascii="Times New Roman" w:hAnsi="Times New Roman" w:eastAsia="仿宋_GB2312" w:cs="Times New Roman"/>
          <w:kern w:val="0"/>
          <w:sz w:val="32"/>
          <w:szCs w:val="32"/>
          <w:lang w:eastAsia="zh-CN"/>
        </w:rPr>
        <w:fldChar w:fldCharType="separate"/>
      </w:r>
      <w:r>
        <w:rPr>
          <w:sz w:val="32"/>
          <w:szCs w:val="32"/>
        </w:rPr>
        <w:t>⑤</w:t>
      </w:r>
      <w:r>
        <w:rPr>
          <w:rFonts w:hint="default" w:ascii="Times New Roman" w:hAnsi="Times New Roman" w:eastAsia="仿宋_GB2312" w:cs="Times New Roman"/>
          <w:kern w:val="0"/>
          <w:sz w:val="32"/>
          <w:szCs w:val="32"/>
          <w:lang w:eastAsia="zh-CN"/>
        </w:rPr>
        <w:fldChar w:fldCharType="end"/>
      </w:r>
      <w:r>
        <w:rPr>
          <w:rFonts w:hint="default" w:ascii="Times New Roman" w:hAnsi="Times New Roman" w:eastAsia="仿宋_GB2312" w:cs="Times New Roman"/>
          <w:kern w:val="0"/>
          <w:sz w:val="32"/>
          <w:szCs w:val="32"/>
          <w:lang w:eastAsia="zh-CN"/>
        </w:rPr>
        <w:t>根据年初部门预算安排2024年对外宣传专项经费50万元，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完成支付50万元，完成率100%。项目资金主要</w:t>
      </w:r>
      <w:r>
        <w:rPr>
          <w:rFonts w:hint="eastAsia" w:eastAsia="仿宋_GB2312" w:cs="Times New Roman"/>
          <w:kern w:val="0"/>
          <w:sz w:val="32"/>
          <w:szCs w:val="32"/>
          <w:lang w:eastAsia="zh-CN"/>
        </w:rPr>
        <w:t>用于</w:t>
      </w:r>
      <w:r>
        <w:rPr>
          <w:rFonts w:hint="default" w:ascii="Times New Roman" w:hAnsi="Times New Roman" w:eastAsia="仿宋_GB2312" w:cs="Times New Roman"/>
          <w:kern w:val="0"/>
          <w:sz w:val="32"/>
          <w:szCs w:val="32"/>
          <w:lang w:eastAsia="zh-CN"/>
        </w:rPr>
        <w:t>持续提升盐边对外宣传工作力度，最大限度地讲好盐边故事，传递好盐边声音，形成助推经济社会持续健康发展的良好舆论氛围。项目完成较好，自评得分96分。</w:t>
      </w:r>
    </w:p>
    <w:p w14:paraId="103D18AE">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fldChar w:fldCharType="begin"/>
      </w:r>
      <w:r>
        <w:rPr>
          <w:rFonts w:hint="default" w:ascii="Times New Roman" w:hAnsi="Times New Roman" w:eastAsia="仿宋_GB2312" w:cs="Times New Roman"/>
          <w:kern w:val="0"/>
          <w:sz w:val="32"/>
          <w:szCs w:val="32"/>
          <w:lang w:eastAsia="zh-CN"/>
        </w:rPr>
        <w:instrText xml:space="preserve"> = 6 \* GB3 \* MERGEFORMAT </w:instrText>
      </w:r>
      <w:r>
        <w:rPr>
          <w:rFonts w:hint="default" w:ascii="Times New Roman" w:hAnsi="Times New Roman" w:eastAsia="仿宋_GB2312" w:cs="Times New Roman"/>
          <w:kern w:val="0"/>
          <w:sz w:val="32"/>
          <w:szCs w:val="32"/>
          <w:lang w:eastAsia="zh-CN"/>
        </w:rPr>
        <w:fldChar w:fldCharType="separate"/>
      </w:r>
      <w:r>
        <w:rPr>
          <w:sz w:val="32"/>
          <w:szCs w:val="32"/>
        </w:rPr>
        <w:t>⑥</w:t>
      </w:r>
      <w:r>
        <w:rPr>
          <w:rFonts w:hint="default" w:ascii="Times New Roman" w:hAnsi="Times New Roman" w:eastAsia="仿宋_GB2312" w:cs="Times New Roman"/>
          <w:kern w:val="0"/>
          <w:sz w:val="32"/>
          <w:szCs w:val="32"/>
          <w:lang w:eastAsia="zh-CN"/>
        </w:rPr>
        <w:fldChar w:fldCharType="end"/>
      </w:r>
      <w:r>
        <w:rPr>
          <w:rFonts w:hint="default" w:ascii="Times New Roman" w:hAnsi="Times New Roman" w:eastAsia="仿宋_GB2312" w:cs="Times New Roman"/>
          <w:kern w:val="0"/>
          <w:sz w:val="32"/>
          <w:szCs w:val="32"/>
          <w:lang w:eastAsia="zh-CN"/>
        </w:rPr>
        <w:t>根据年初预算安排宣传工作及媒体协作费80万元，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80万元，完成率100%。项目资金主要用于按照市委建设“共同富裕试验区”的决策部署，紧扣“钒钛首县、滋味盐边”发展定位，宣传全县经济社会发展取得历史性成就，奋力开启全面建设社会主义现代化盐边新征程生动画面。项目完成较好，自评得分95分。</w:t>
      </w:r>
    </w:p>
    <w:p w14:paraId="4AC14E99">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fldChar w:fldCharType="begin"/>
      </w:r>
      <w:r>
        <w:rPr>
          <w:rFonts w:hint="default" w:ascii="Times New Roman" w:hAnsi="Times New Roman" w:eastAsia="仿宋_GB2312" w:cs="Times New Roman"/>
          <w:kern w:val="0"/>
          <w:sz w:val="32"/>
          <w:szCs w:val="32"/>
          <w:lang w:eastAsia="zh-CN"/>
        </w:rPr>
        <w:instrText xml:space="preserve"> = 7 \* GB3 \* MERGEFORMAT </w:instrText>
      </w:r>
      <w:r>
        <w:rPr>
          <w:rFonts w:hint="default" w:ascii="Times New Roman" w:hAnsi="Times New Roman" w:eastAsia="仿宋_GB2312" w:cs="Times New Roman"/>
          <w:kern w:val="0"/>
          <w:sz w:val="32"/>
          <w:szCs w:val="32"/>
          <w:lang w:eastAsia="zh-CN"/>
        </w:rPr>
        <w:fldChar w:fldCharType="separate"/>
      </w:r>
      <w:r>
        <w:rPr>
          <w:sz w:val="32"/>
          <w:szCs w:val="32"/>
        </w:rPr>
        <w:t>⑦</w:t>
      </w:r>
      <w:r>
        <w:rPr>
          <w:rFonts w:hint="default" w:ascii="Times New Roman" w:hAnsi="Times New Roman" w:eastAsia="仿宋_GB2312" w:cs="Times New Roman"/>
          <w:kern w:val="0"/>
          <w:sz w:val="32"/>
          <w:szCs w:val="32"/>
          <w:lang w:eastAsia="zh-CN"/>
        </w:rPr>
        <w:fldChar w:fldCharType="end"/>
      </w:r>
      <w:r>
        <w:rPr>
          <w:rFonts w:hint="default" w:ascii="Times New Roman" w:hAnsi="Times New Roman" w:eastAsia="仿宋_GB2312" w:cs="Times New Roman"/>
          <w:kern w:val="0"/>
          <w:sz w:val="32"/>
          <w:szCs w:val="32"/>
          <w:lang w:eastAsia="zh-CN"/>
        </w:rPr>
        <w:t>根据年初部门预算安排下达全县党报、党刊、报刊杂志征订专项经费158.4万元，完成支付158.4万元，完成率100%。项目资金主要用于全县乡镇和县级部门党报党刊征订，切实发挥好党报党刊的主流引领作用，在全县形成积极健康向上的思想舆论环境。项目完成较好，自评得分97分。</w:t>
      </w:r>
    </w:p>
    <w:p w14:paraId="5383630F">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fldChar w:fldCharType="begin"/>
      </w:r>
      <w:r>
        <w:rPr>
          <w:rFonts w:hint="default" w:ascii="Times New Roman" w:hAnsi="Times New Roman" w:eastAsia="仿宋_GB2312" w:cs="Times New Roman"/>
          <w:kern w:val="0"/>
          <w:sz w:val="32"/>
          <w:szCs w:val="32"/>
          <w:lang w:eastAsia="zh-CN"/>
        </w:rPr>
        <w:instrText xml:space="preserve"> = 8 \* GB3 \* MERGEFORMAT </w:instrText>
      </w:r>
      <w:r>
        <w:rPr>
          <w:rFonts w:hint="default" w:ascii="Times New Roman" w:hAnsi="Times New Roman" w:eastAsia="仿宋_GB2312" w:cs="Times New Roman"/>
          <w:kern w:val="0"/>
          <w:sz w:val="32"/>
          <w:szCs w:val="32"/>
          <w:lang w:eastAsia="zh-CN"/>
        </w:rPr>
        <w:fldChar w:fldCharType="separate"/>
      </w:r>
      <w:r>
        <w:rPr>
          <w:sz w:val="32"/>
          <w:szCs w:val="32"/>
        </w:rPr>
        <w:t>⑧</w:t>
      </w:r>
      <w:r>
        <w:rPr>
          <w:rFonts w:hint="default" w:ascii="Times New Roman" w:hAnsi="Times New Roman" w:eastAsia="仿宋_GB2312" w:cs="Times New Roman"/>
          <w:kern w:val="0"/>
          <w:sz w:val="32"/>
          <w:szCs w:val="32"/>
          <w:lang w:eastAsia="zh-CN"/>
        </w:rPr>
        <w:fldChar w:fldCharType="end"/>
      </w:r>
      <w:r>
        <w:rPr>
          <w:rFonts w:hint="default" w:ascii="Times New Roman" w:hAnsi="Times New Roman" w:eastAsia="仿宋_GB2312" w:cs="Times New Roman"/>
          <w:kern w:val="0"/>
          <w:sz w:val="32"/>
          <w:szCs w:val="32"/>
          <w:lang w:eastAsia="zh-CN"/>
        </w:rPr>
        <w:t>根据年初部门预算安排下达2023年度未结算媒体合作经费12.8万元，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完成支付12.8万元，完成率100%。项目资金主要用于2023年度未结算的媒体合作经费。项目完成较好，自评得分98分。</w:t>
      </w:r>
    </w:p>
    <w:p w14:paraId="5D816CF2">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fldChar w:fldCharType="begin"/>
      </w:r>
      <w:r>
        <w:rPr>
          <w:rFonts w:hint="default" w:ascii="Times New Roman" w:hAnsi="Times New Roman" w:eastAsia="仿宋_GB2312" w:cs="Times New Roman"/>
          <w:kern w:val="0"/>
          <w:sz w:val="32"/>
          <w:szCs w:val="32"/>
          <w:lang w:eastAsia="zh-CN"/>
        </w:rPr>
        <w:instrText xml:space="preserve"> = 9 \* GB3 \* MERGEFORMAT </w:instrText>
      </w:r>
      <w:r>
        <w:rPr>
          <w:rFonts w:hint="default" w:ascii="Times New Roman" w:hAnsi="Times New Roman" w:eastAsia="仿宋_GB2312" w:cs="Times New Roman"/>
          <w:kern w:val="0"/>
          <w:sz w:val="32"/>
          <w:szCs w:val="32"/>
          <w:lang w:eastAsia="zh-CN"/>
        </w:rPr>
        <w:fldChar w:fldCharType="separate"/>
      </w:r>
      <w:r>
        <w:rPr>
          <w:sz w:val="32"/>
          <w:szCs w:val="32"/>
        </w:rPr>
        <w:t>⑨</w:t>
      </w:r>
      <w:r>
        <w:rPr>
          <w:rFonts w:hint="default" w:ascii="Times New Roman" w:hAnsi="Times New Roman" w:eastAsia="仿宋_GB2312" w:cs="Times New Roman"/>
          <w:kern w:val="0"/>
          <w:sz w:val="32"/>
          <w:szCs w:val="32"/>
          <w:lang w:eastAsia="zh-CN"/>
        </w:rPr>
        <w:fldChar w:fldCharType="end"/>
      </w:r>
      <w:r>
        <w:rPr>
          <w:rFonts w:hint="default" w:ascii="Times New Roman" w:hAnsi="Times New Roman" w:eastAsia="仿宋_GB2312" w:cs="Times New Roman"/>
          <w:kern w:val="0"/>
          <w:sz w:val="32"/>
          <w:szCs w:val="32"/>
          <w:lang w:eastAsia="zh-CN"/>
        </w:rPr>
        <w:t>根据盐财资行</w:t>
      </w:r>
      <w:r>
        <w:rPr>
          <w:rFonts w:hint="eastAsia" w:eastAsia="仿宋_GB2312" w:cs="Times New Roman"/>
          <w:kern w:val="0"/>
          <w:sz w:val="32"/>
          <w:szCs w:val="32"/>
          <w:lang w:eastAsia="zh-CN"/>
        </w:rPr>
        <w:t>〔2024〕158号</w:t>
      </w:r>
      <w:r>
        <w:rPr>
          <w:rFonts w:hint="default" w:ascii="Times New Roman" w:hAnsi="Times New Roman" w:eastAsia="仿宋_GB2312" w:cs="Times New Roman"/>
          <w:kern w:val="0"/>
          <w:sz w:val="32"/>
          <w:szCs w:val="32"/>
          <w:lang w:eastAsia="zh-CN"/>
        </w:rPr>
        <w:t>安排下达2024年精神文明体系建设项目经费35.85万元，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 35.85万元，完成率100%。项目资金主要用于统筹推动文明培育、文明实践、文明创建，推进城乡精神文明建设融合发展，在全社会弘扬劳动精神、奋斗精神、奉献精神、创造精神、勤俭节约精神，培育时代新风新貌，全面巩固文明城市创建成果，围绕市容环境治脏、公共秩序治乱、窗口行业治差等重点，全面推行属地管理、门前五包、重点强管、</w:t>
      </w:r>
      <w:r>
        <w:rPr>
          <w:rFonts w:hint="eastAsia" w:eastAsia="仿宋_GB2312" w:cs="Times New Roman"/>
          <w:kern w:val="0"/>
          <w:sz w:val="32"/>
          <w:szCs w:val="32"/>
          <w:lang w:eastAsia="zh-CN"/>
        </w:rPr>
        <w:t>精准</w:t>
      </w:r>
      <w:r>
        <w:rPr>
          <w:rFonts w:hint="default" w:ascii="Times New Roman" w:hAnsi="Times New Roman" w:eastAsia="仿宋_GB2312" w:cs="Times New Roman"/>
          <w:kern w:val="0"/>
          <w:sz w:val="32"/>
          <w:szCs w:val="32"/>
          <w:lang w:eastAsia="zh-CN"/>
        </w:rPr>
        <w:t>落实到个人的管理模式，推动以网格单元为基本单位动态、静态结合的监控管理，不断提高城市管理水平，人民群众满意度不断提高。项目完成较好，自评得分96分。</w:t>
      </w:r>
    </w:p>
    <w:p w14:paraId="088B25D4">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fldChar w:fldCharType="begin"/>
      </w:r>
      <w:r>
        <w:rPr>
          <w:rFonts w:hint="default" w:ascii="Times New Roman" w:hAnsi="Times New Roman" w:eastAsia="仿宋_GB2312" w:cs="Times New Roman"/>
          <w:kern w:val="0"/>
          <w:sz w:val="32"/>
          <w:szCs w:val="32"/>
          <w:lang w:eastAsia="zh-CN"/>
        </w:rPr>
        <w:instrText xml:space="preserve"> = 10 \* GB3 \* MERGEFORMAT </w:instrText>
      </w:r>
      <w:r>
        <w:rPr>
          <w:rFonts w:hint="default" w:ascii="Times New Roman" w:hAnsi="Times New Roman" w:eastAsia="仿宋_GB2312" w:cs="Times New Roman"/>
          <w:kern w:val="0"/>
          <w:sz w:val="32"/>
          <w:szCs w:val="32"/>
          <w:lang w:eastAsia="zh-CN"/>
        </w:rPr>
        <w:fldChar w:fldCharType="separate"/>
      </w:r>
      <w:r>
        <w:rPr>
          <w:sz w:val="32"/>
          <w:szCs w:val="32"/>
        </w:rPr>
        <w:t>⑩</w:t>
      </w:r>
      <w:r>
        <w:rPr>
          <w:rFonts w:hint="default" w:ascii="Times New Roman" w:hAnsi="Times New Roman" w:eastAsia="仿宋_GB2312" w:cs="Times New Roman"/>
          <w:kern w:val="0"/>
          <w:sz w:val="32"/>
          <w:szCs w:val="32"/>
          <w:lang w:eastAsia="zh-CN"/>
        </w:rPr>
        <w:fldChar w:fldCharType="end"/>
      </w:r>
      <w:r>
        <w:rPr>
          <w:rFonts w:hint="default" w:ascii="Times New Roman" w:hAnsi="Times New Roman" w:eastAsia="仿宋_GB2312" w:cs="Times New Roman"/>
          <w:kern w:val="0"/>
          <w:sz w:val="32"/>
          <w:szCs w:val="32"/>
          <w:lang w:eastAsia="zh-CN"/>
        </w:rPr>
        <w:t>根据年初部门预算下达2023年房屋维修维护费10.84万元，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完成支付10.84万元，完成率100%。项目资金主要用于县委宣传部会议室的升级改造。项目完成较好 ，自评得分96分。</w:t>
      </w:r>
    </w:p>
    <w:p w14:paraId="466C7D86">
      <w:pPr>
        <w:ind w:firstLine="640" w:firstLineChars="200"/>
        <w:rPr>
          <w:rFonts w:hint="default" w:ascii="Times New Roman" w:hAnsi="Times New Roman" w:eastAsia="仿宋_GB2312" w:cs="Times New Roman"/>
          <w:kern w:val="0"/>
          <w:sz w:val="32"/>
          <w:szCs w:val="32"/>
          <w:lang w:eastAsia="zh-CN"/>
        </w:rPr>
      </w:pPr>
      <w:r>
        <w:rPr>
          <w:rFonts w:hint="eastAsia" w:eastAsia="仿宋_GB2312" w:cs="Times New Roman"/>
          <w:kern w:val="0"/>
          <w:sz w:val="32"/>
          <w:szCs w:val="32"/>
          <w:lang w:eastAsia="zh-CN"/>
        </w:rPr>
        <w:t>⑪</w:t>
      </w:r>
      <w:r>
        <w:rPr>
          <w:rFonts w:hint="default" w:ascii="Times New Roman" w:hAnsi="Times New Roman" w:eastAsia="仿宋_GB2312" w:cs="Times New Roman"/>
          <w:kern w:val="0"/>
          <w:sz w:val="32"/>
          <w:szCs w:val="32"/>
          <w:lang w:eastAsia="zh-CN"/>
        </w:rPr>
        <w:t>根据盐财资行</w:t>
      </w:r>
      <w:r>
        <w:rPr>
          <w:rFonts w:hint="eastAsia" w:eastAsia="仿宋_GB2312" w:cs="Times New Roman"/>
          <w:kern w:val="0"/>
          <w:sz w:val="32"/>
          <w:szCs w:val="32"/>
          <w:lang w:eastAsia="zh-CN"/>
        </w:rPr>
        <w:t>〔2024〕186号</w:t>
      </w:r>
      <w:r>
        <w:rPr>
          <w:rFonts w:hint="default" w:ascii="Times New Roman" w:hAnsi="Times New Roman" w:eastAsia="仿宋_GB2312" w:cs="Times New Roman"/>
          <w:kern w:val="0"/>
          <w:sz w:val="32"/>
          <w:szCs w:val="32"/>
          <w:lang w:eastAsia="zh-CN"/>
        </w:rPr>
        <w:t>文下达县社科联启动经费4.18万元，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4.18万元，完成率100%。项目资金主要用于县社科联围绕“钒钛首县、滋味盐边”发展定位，积极服务中国式现代化盐边篇章发展大局，选定研究课题，不断探索实践路径，及时总结经验，为盐边高质量发展建设共同富裕试验区提供智力支撑。项目完成较好，自评得分95分。</w:t>
      </w:r>
    </w:p>
    <w:p w14:paraId="20EDB9FF">
      <w:pPr>
        <w:ind w:firstLine="640" w:firstLineChars="200"/>
        <w:rPr>
          <w:rFonts w:hint="default" w:ascii="Times New Roman" w:hAnsi="Times New Roman" w:eastAsia="仿宋_GB2312" w:cs="Times New Roman"/>
          <w:kern w:val="0"/>
          <w:sz w:val="32"/>
          <w:szCs w:val="32"/>
          <w:lang w:eastAsia="zh-CN"/>
        </w:rPr>
      </w:pPr>
      <w:r>
        <w:rPr>
          <w:rFonts w:hint="eastAsia" w:eastAsia="仿宋_GB2312" w:cs="Times New Roman"/>
          <w:kern w:val="0"/>
          <w:sz w:val="32"/>
          <w:szCs w:val="32"/>
          <w:lang w:eastAsia="zh-CN"/>
        </w:rPr>
        <w:t>⑫</w:t>
      </w:r>
      <w:r>
        <w:rPr>
          <w:rFonts w:hint="default" w:ascii="Times New Roman" w:hAnsi="Times New Roman" w:eastAsia="仿宋_GB2312" w:cs="Times New Roman"/>
          <w:kern w:val="0"/>
          <w:sz w:val="32"/>
          <w:szCs w:val="32"/>
          <w:lang w:eastAsia="zh-CN"/>
        </w:rPr>
        <w:t>根据年初部门预算下达网络舆情热点信息分析研判指导、网络安全攻防演练等专项工作5万元，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5万元，完成率100%。项目资金主要用于网络舆情热点信息分析研判指导、网络安全攻防演练、有害信息收集治理、网络安全检查、网络应急演练、教育培训、舆情事件处置。项目完成较好，自评得分93分。</w:t>
      </w:r>
    </w:p>
    <w:p w14:paraId="123CE363">
      <w:pPr>
        <w:ind w:firstLine="640" w:firstLineChars="200"/>
        <w:rPr>
          <w:rFonts w:hint="default" w:ascii="Times New Roman" w:hAnsi="Times New Roman" w:eastAsia="仿宋_GB2312" w:cs="Times New Roman"/>
          <w:kern w:val="0"/>
          <w:sz w:val="32"/>
          <w:szCs w:val="32"/>
          <w:lang w:eastAsia="zh-CN"/>
        </w:rPr>
      </w:pPr>
      <w:r>
        <w:rPr>
          <w:rFonts w:hint="eastAsia" w:eastAsia="仿宋_GB2312" w:cs="Times New Roman"/>
          <w:kern w:val="0"/>
          <w:sz w:val="32"/>
          <w:szCs w:val="32"/>
          <w:lang w:eastAsia="zh-CN"/>
        </w:rPr>
        <w:t>⑬</w:t>
      </w:r>
      <w:r>
        <w:rPr>
          <w:rFonts w:hint="default" w:ascii="Times New Roman" w:hAnsi="Times New Roman" w:eastAsia="仿宋_GB2312" w:cs="Times New Roman"/>
          <w:kern w:val="0"/>
          <w:sz w:val="32"/>
          <w:szCs w:val="32"/>
          <w:lang w:eastAsia="zh-CN"/>
        </w:rPr>
        <w:t>根据年初部门预算下达“大笮文化”生态修复工程37万元，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完成支付37万元，完成率100%。项目资金主要用于1、出版发行《笮山若水》季刊。</w:t>
      </w:r>
      <w:r>
        <w:rPr>
          <w:rFonts w:hint="eastAsia" w:eastAsia="仿宋_GB2312" w:cs="Times New Roman"/>
          <w:kern w:val="0"/>
          <w:sz w:val="32"/>
          <w:szCs w:val="32"/>
          <w:lang w:eastAsia="zh-CN"/>
        </w:rPr>
        <w:t>2</w:t>
      </w:r>
      <w:r>
        <w:rPr>
          <w:rFonts w:hint="default" w:ascii="Times New Roman" w:hAnsi="Times New Roman" w:eastAsia="仿宋_GB2312" w:cs="Times New Roman"/>
          <w:kern w:val="0"/>
          <w:sz w:val="32"/>
          <w:szCs w:val="32"/>
          <w:lang w:eastAsia="zh-CN"/>
        </w:rPr>
        <w:t>、在媒体平台出版电子刊物《笮悦慧》双月刊。</w:t>
      </w:r>
      <w:r>
        <w:rPr>
          <w:rFonts w:hint="eastAsia" w:eastAsia="仿宋_GB2312" w:cs="Times New Roman"/>
          <w:kern w:val="0"/>
          <w:sz w:val="32"/>
          <w:szCs w:val="32"/>
          <w:lang w:eastAsia="zh-CN"/>
        </w:rPr>
        <w:t>3</w:t>
      </w:r>
      <w:r>
        <w:rPr>
          <w:rFonts w:hint="default" w:ascii="Times New Roman" w:hAnsi="Times New Roman" w:eastAsia="仿宋_GB2312" w:cs="Times New Roman"/>
          <w:kern w:val="0"/>
          <w:sz w:val="32"/>
          <w:szCs w:val="32"/>
          <w:lang w:eastAsia="zh-CN"/>
        </w:rPr>
        <w:t>、深入挖掘大笮文化，为《笮山若水》、《笮悦慧》刊物提供鲜活的文稿，开展文化课题调研、专题文艺采风及“笮悦慧”文艺沙龙活动。</w:t>
      </w:r>
      <w:r>
        <w:rPr>
          <w:rFonts w:hint="eastAsia" w:eastAsia="仿宋_GB2312" w:cs="Times New Roman"/>
          <w:kern w:val="0"/>
          <w:sz w:val="32"/>
          <w:szCs w:val="32"/>
          <w:lang w:eastAsia="zh-CN"/>
        </w:rPr>
        <w:t>4</w:t>
      </w:r>
      <w:r>
        <w:rPr>
          <w:rFonts w:hint="default" w:ascii="Times New Roman" w:hAnsi="Times New Roman" w:eastAsia="仿宋_GB2312" w:cs="Times New Roman"/>
          <w:kern w:val="0"/>
          <w:sz w:val="32"/>
          <w:szCs w:val="32"/>
          <w:lang w:eastAsia="zh-CN"/>
        </w:rPr>
        <w:t>、开展“文化联盟”常规性活动、年度活动，开展文艺联谊展演与文艺研讨活动。5、兑现文艺奖励扶持实施办法，激励文艺工作者创作激情，出作品，出人才。项目完成较好，自评得分96分。</w:t>
      </w:r>
    </w:p>
    <w:p w14:paraId="26DB2EC8">
      <w:pPr>
        <w:ind w:firstLine="640" w:firstLineChars="200"/>
        <w:rPr>
          <w:rFonts w:hint="default" w:ascii="Times New Roman" w:hAnsi="Times New Roman" w:eastAsia="仿宋_GB2312" w:cs="Times New Roman"/>
          <w:kern w:val="0"/>
          <w:sz w:val="32"/>
          <w:szCs w:val="32"/>
          <w:lang w:eastAsia="zh-CN"/>
        </w:rPr>
      </w:pPr>
      <w:r>
        <w:rPr>
          <w:rFonts w:hint="eastAsia" w:eastAsia="仿宋_GB2312" w:cs="Times New Roman"/>
          <w:kern w:val="0"/>
          <w:sz w:val="32"/>
          <w:szCs w:val="32"/>
          <w:lang w:eastAsia="zh-CN"/>
        </w:rPr>
        <w:t>⑭</w:t>
      </w:r>
      <w:r>
        <w:rPr>
          <w:rFonts w:hint="default" w:ascii="Times New Roman" w:hAnsi="Times New Roman" w:eastAsia="仿宋_GB2312" w:cs="Times New Roman"/>
          <w:kern w:val="0"/>
          <w:sz w:val="32"/>
          <w:szCs w:val="32"/>
          <w:lang w:eastAsia="zh-CN"/>
        </w:rPr>
        <w:t>根据盐财资行</w:t>
      </w:r>
      <w:r>
        <w:rPr>
          <w:rFonts w:hint="eastAsia" w:eastAsia="仿宋_GB2312" w:cs="Times New Roman"/>
          <w:kern w:val="0"/>
          <w:sz w:val="32"/>
          <w:szCs w:val="32"/>
          <w:lang w:eastAsia="zh-CN"/>
        </w:rPr>
        <w:t>〔2023〕234号</w:t>
      </w:r>
      <w:r>
        <w:rPr>
          <w:rFonts w:hint="default" w:ascii="Times New Roman" w:hAnsi="Times New Roman" w:eastAsia="仿宋_GB2312" w:cs="Times New Roman"/>
          <w:kern w:val="0"/>
          <w:sz w:val="32"/>
          <w:szCs w:val="32"/>
          <w:lang w:eastAsia="zh-CN"/>
        </w:rPr>
        <w:t>安排中央支持地方公共文化服务体系建设补助</w:t>
      </w:r>
      <w:r>
        <w:rPr>
          <w:rFonts w:hint="eastAsia" w:eastAsia="仿宋_GB2312" w:cs="Times New Roman"/>
          <w:kern w:val="0"/>
          <w:sz w:val="32"/>
          <w:szCs w:val="32"/>
          <w:lang w:eastAsia="zh-CN"/>
        </w:rPr>
        <w:t>资金</w:t>
      </w:r>
      <w:r>
        <w:rPr>
          <w:rFonts w:hint="default" w:ascii="Times New Roman" w:hAnsi="Times New Roman" w:eastAsia="仿宋_GB2312" w:cs="Times New Roman"/>
          <w:kern w:val="0"/>
          <w:sz w:val="32"/>
          <w:szCs w:val="32"/>
          <w:lang w:eastAsia="zh-CN"/>
        </w:rPr>
        <w:t>（新时代文明实践中心建设项目）专项经费6.72万元，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完成支付6.72万元，完成率100%。项目资金主要用于全县一个新时代文明实践中心、12个新时代文明实践站、88个新时代文明实践所规范化、标准化建设。项目完成较好，自评得分97分。</w:t>
      </w:r>
    </w:p>
    <w:p w14:paraId="1D69D259">
      <w:pPr>
        <w:ind w:firstLine="640" w:firstLineChars="200"/>
        <w:rPr>
          <w:rFonts w:hint="default" w:ascii="Times New Roman" w:hAnsi="Times New Roman" w:eastAsia="仿宋_GB2312" w:cs="Times New Roman"/>
          <w:kern w:val="0"/>
          <w:sz w:val="32"/>
          <w:szCs w:val="32"/>
          <w:lang w:eastAsia="zh-CN"/>
        </w:rPr>
      </w:pPr>
      <w:r>
        <w:rPr>
          <w:rFonts w:hint="eastAsia" w:eastAsia="仿宋_GB2312" w:cs="Times New Roman"/>
          <w:kern w:val="0"/>
          <w:sz w:val="32"/>
          <w:szCs w:val="32"/>
          <w:lang w:eastAsia="zh-CN"/>
        </w:rPr>
        <w:t>⑮</w:t>
      </w:r>
      <w:r>
        <w:rPr>
          <w:rFonts w:hint="default" w:ascii="Times New Roman" w:hAnsi="Times New Roman" w:eastAsia="仿宋_GB2312" w:cs="Times New Roman"/>
          <w:kern w:val="0"/>
          <w:sz w:val="32"/>
          <w:szCs w:val="32"/>
          <w:lang w:eastAsia="zh-CN"/>
        </w:rPr>
        <w:t>根据盐财资行</w:t>
      </w:r>
      <w:r>
        <w:rPr>
          <w:rFonts w:hint="eastAsia" w:eastAsia="仿宋_GB2312" w:cs="Times New Roman"/>
          <w:kern w:val="0"/>
          <w:sz w:val="32"/>
          <w:szCs w:val="32"/>
          <w:lang w:eastAsia="zh-CN"/>
        </w:rPr>
        <w:t>〔2024〕459号</w:t>
      </w:r>
      <w:r>
        <w:rPr>
          <w:rFonts w:hint="default" w:ascii="Times New Roman" w:hAnsi="Times New Roman" w:eastAsia="仿宋_GB2312" w:cs="Times New Roman"/>
          <w:kern w:val="0"/>
          <w:sz w:val="32"/>
          <w:szCs w:val="32"/>
          <w:lang w:eastAsia="zh-CN"/>
        </w:rPr>
        <w:t>文下达省级补助地方国家电影事业发展专项</w:t>
      </w:r>
      <w:r>
        <w:rPr>
          <w:rFonts w:hint="eastAsia" w:eastAsia="仿宋_GB2312" w:cs="Times New Roman"/>
          <w:kern w:val="0"/>
          <w:sz w:val="32"/>
          <w:szCs w:val="32"/>
          <w:lang w:eastAsia="zh-CN"/>
        </w:rPr>
        <w:t>资金</w:t>
      </w:r>
      <w:r>
        <w:rPr>
          <w:rFonts w:hint="default" w:ascii="Times New Roman" w:hAnsi="Times New Roman" w:eastAsia="仿宋_GB2312" w:cs="Times New Roman"/>
          <w:kern w:val="0"/>
          <w:sz w:val="32"/>
          <w:szCs w:val="32"/>
          <w:lang w:eastAsia="zh-CN"/>
        </w:rPr>
        <w:t>1万元，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完成支付1万元，完成率100%。项目资金主要用于：完成实现80个建制村农村公益电影放映1440场，8个社区放映120场，23所学校放映92场，共播放1652场次。项目完成较好，自评得分95分。</w:t>
      </w:r>
    </w:p>
    <w:p w14:paraId="3D8B8210">
      <w:pPr>
        <w:ind w:firstLine="640" w:firstLineChars="200"/>
        <w:rPr>
          <w:rFonts w:hint="default" w:ascii="Times New Roman" w:hAnsi="Times New Roman" w:eastAsia="仿宋_GB2312" w:cs="Times New Roman"/>
          <w:kern w:val="0"/>
          <w:sz w:val="32"/>
          <w:szCs w:val="32"/>
          <w:lang w:eastAsia="zh-CN"/>
        </w:rPr>
      </w:pPr>
      <w:r>
        <w:rPr>
          <w:rFonts w:hint="eastAsia" w:eastAsia="仿宋_GB2312" w:cs="Times New Roman"/>
          <w:kern w:val="0"/>
          <w:sz w:val="32"/>
          <w:szCs w:val="32"/>
          <w:lang w:eastAsia="zh-CN"/>
        </w:rPr>
        <w:t>⑯</w:t>
      </w:r>
      <w:r>
        <w:rPr>
          <w:rFonts w:hint="default" w:ascii="Times New Roman" w:hAnsi="Times New Roman" w:eastAsia="仿宋_GB2312" w:cs="Times New Roman"/>
          <w:kern w:val="0"/>
          <w:sz w:val="32"/>
          <w:szCs w:val="32"/>
          <w:lang w:eastAsia="zh-CN"/>
        </w:rPr>
        <w:t>根据盐财资行</w:t>
      </w:r>
      <w:r>
        <w:rPr>
          <w:rFonts w:hint="eastAsia" w:eastAsia="仿宋_GB2312" w:cs="Times New Roman"/>
          <w:kern w:val="0"/>
          <w:sz w:val="32"/>
          <w:szCs w:val="32"/>
          <w:lang w:eastAsia="zh-CN"/>
        </w:rPr>
        <w:t>〔2024〕510号</w:t>
      </w:r>
      <w:r>
        <w:rPr>
          <w:rFonts w:hint="default" w:ascii="Times New Roman" w:hAnsi="Times New Roman" w:eastAsia="仿宋_GB2312" w:cs="Times New Roman"/>
          <w:kern w:val="0"/>
          <w:sz w:val="32"/>
          <w:szCs w:val="32"/>
          <w:lang w:eastAsia="zh-CN"/>
        </w:rPr>
        <w:t>文下达2024年解决以前年度媒体合作历史遗留资金46万元，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完成支付46万元，完成率100%。项目资金主要用于解决2019年、2021年、2023年媒体合作遗留问题。项目完成较好，自评得分97分。</w:t>
      </w:r>
    </w:p>
    <w:p w14:paraId="2A0B96BD">
      <w:pPr>
        <w:ind w:firstLine="640" w:firstLineChars="200"/>
        <w:rPr>
          <w:rFonts w:hint="default" w:eastAsia="仿宋_GB2312" w:cs="Times New Roman"/>
          <w:kern w:val="0"/>
          <w:sz w:val="32"/>
          <w:szCs w:val="32"/>
          <w:lang w:eastAsia="zh-CN"/>
        </w:rPr>
      </w:pPr>
      <w:r>
        <w:rPr>
          <w:sz w:val="32"/>
          <w:szCs w:val="32"/>
        </w:rPr>
        <w:fldChar w:fldCharType="begin"/>
      </w:r>
      <w:r>
        <w:rPr>
          <w:sz w:val="32"/>
          <w:szCs w:val="32"/>
        </w:rPr>
        <w:instrText xml:space="preserve"> </w:instrText>
      </w:r>
      <w:r>
        <w:rPr>
          <w:rFonts w:hint="eastAsia"/>
          <w:sz w:val="32"/>
          <w:szCs w:val="32"/>
        </w:rPr>
        <w:instrText xml:space="preserve">eq \o\ac(</w:instrText>
      </w:r>
      <w:r>
        <w:rPr>
          <w:rFonts w:hint="eastAsia" w:ascii="宋体"/>
          <w:position w:val="-6"/>
          <w:sz w:val="48"/>
          <w:szCs w:val="32"/>
        </w:rPr>
        <w:instrText xml:space="preserve">○</w:instrText>
      </w:r>
      <w:r>
        <w:rPr>
          <w:rFonts w:hint="eastAsia"/>
          <w:position w:val="0"/>
          <w:sz w:val="32"/>
          <w:szCs w:val="32"/>
        </w:rPr>
        <w:instrText xml:space="preserve">,17)</w:instrText>
      </w:r>
      <w:r>
        <w:rPr>
          <w:sz w:val="32"/>
          <w:szCs w:val="32"/>
        </w:rPr>
        <w:fldChar w:fldCharType="end"/>
      </w:r>
      <w:r>
        <w:rPr>
          <w:rFonts w:hint="default" w:eastAsia="仿宋_GB2312" w:cs="Times New Roman"/>
          <w:kern w:val="0"/>
          <w:sz w:val="32"/>
          <w:szCs w:val="32"/>
          <w:lang w:eastAsia="zh-CN"/>
        </w:rPr>
        <w:t>根据年初部门预算下达2019年县级融媒体中心建设经费101.44万元，</w:t>
      </w:r>
      <w:r>
        <w:rPr>
          <w:rFonts w:hint="eastAsia" w:eastAsia="仿宋_GB2312" w:cs="Times New Roman"/>
          <w:kern w:val="0"/>
          <w:sz w:val="32"/>
          <w:szCs w:val="32"/>
          <w:lang w:eastAsia="zh-CN"/>
        </w:rPr>
        <w:t>已</w:t>
      </w:r>
      <w:r>
        <w:rPr>
          <w:rFonts w:hint="default" w:eastAsia="仿宋_GB2312" w:cs="Times New Roman"/>
          <w:kern w:val="0"/>
          <w:sz w:val="32"/>
          <w:szCs w:val="32"/>
          <w:lang w:eastAsia="zh-CN"/>
        </w:rPr>
        <w:t>完成支付101.44万元，完成率100%。项目资金主要用于2019年县级融媒体中心建设经费，该项目完成较好，自评得分96分。</w:t>
      </w:r>
    </w:p>
    <w:p w14:paraId="37FE911E">
      <w:pPr>
        <w:ind w:firstLine="640" w:firstLineChars="200"/>
        <w:rPr>
          <w:rFonts w:hint="default" w:ascii="Times New Roman" w:hAnsi="Times New Roman" w:eastAsia="仿宋_GB2312" w:cs="Times New Roman"/>
          <w:kern w:val="0"/>
          <w:sz w:val="32"/>
          <w:szCs w:val="32"/>
          <w:lang w:eastAsia="zh-CN"/>
        </w:rPr>
      </w:pPr>
      <w:r>
        <w:rPr>
          <w:sz w:val="32"/>
          <w:szCs w:val="32"/>
        </w:rPr>
        <w:fldChar w:fldCharType="begin"/>
      </w:r>
      <w:r>
        <w:rPr>
          <w:sz w:val="32"/>
          <w:szCs w:val="32"/>
        </w:rPr>
        <w:instrText xml:space="preserve"> </w:instrText>
      </w:r>
      <w:r>
        <w:rPr>
          <w:rFonts w:hint="eastAsia"/>
          <w:sz w:val="32"/>
          <w:szCs w:val="32"/>
        </w:rPr>
        <w:instrText xml:space="preserve">eq \o\ac(</w:instrText>
      </w:r>
      <w:r>
        <w:rPr>
          <w:rFonts w:hint="eastAsia" w:ascii="宋体"/>
          <w:position w:val="-6"/>
          <w:sz w:val="48"/>
          <w:szCs w:val="32"/>
        </w:rPr>
        <w:instrText xml:space="preserve">○</w:instrText>
      </w:r>
      <w:r>
        <w:rPr>
          <w:rFonts w:hint="eastAsia"/>
          <w:position w:val="0"/>
          <w:sz w:val="32"/>
          <w:szCs w:val="32"/>
        </w:rPr>
        <w:instrText xml:space="preserve">,18)</w:instrText>
      </w:r>
      <w:r>
        <w:rPr>
          <w:sz w:val="32"/>
          <w:szCs w:val="32"/>
        </w:rPr>
        <w:fldChar w:fldCharType="end"/>
      </w:r>
      <w:r>
        <w:rPr>
          <w:rFonts w:hint="default" w:ascii="Times New Roman" w:hAnsi="Times New Roman" w:eastAsia="仿宋_GB2312" w:cs="Times New Roman"/>
          <w:kern w:val="0"/>
          <w:sz w:val="32"/>
          <w:szCs w:val="32"/>
          <w:lang w:eastAsia="zh-CN"/>
        </w:rPr>
        <w:t>根据盐财资行</w:t>
      </w:r>
      <w:r>
        <w:rPr>
          <w:rFonts w:hint="eastAsia" w:eastAsia="仿宋_GB2312" w:cs="Times New Roman"/>
          <w:kern w:val="0"/>
          <w:sz w:val="32"/>
          <w:szCs w:val="32"/>
          <w:lang w:eastAsia="zh-CN"/>
        </w:rPr>
        <w:t>〔2024〕363号</w:t>
      </w:r>
      <w:r>
        <w:rPr>
          <w:rFonts w:hint="default" w:ascii="Times New Roman" w:hAnsi="Times New Roman" w:eastAsia="仿宋_GB2312" w:cs="Times New Roman"/>
          <w:kern w:val="0"/>
          <w:sz w:val="32"/>
          <w:szCs w:val="32"/>
          <w:lang w:eastAsia="zh-CN"/>
        </w:rPr>
        <w:t>文下达2024年央级媒体共同富裕专栏宣传专项经费50万元，</w:t>
      </w:r>
      <w:r>
        <w:rPr>
          <w:rFonts w:hint="eastAsia" w:eastAsia="仿宋_GB2312" w:cs="Times New Roman"/>
          <w:kern w:val="0"/>
          <w:sz w:val="32"/>
          <w:szCs w:val="32"/>
          <w:lang w:eastAsia="zh-CN"/>
        </w:rPr>
        <w:t>已</w:t>
      </w:r>
      <w:r>
        <w:rPr>
          <w:rFonts w:hint="default" w:ascii="Times New Roman" w:hAnsi="Times New Roman" w:eastAsia="仿宋_GB2312" w:cs="Times New Roman"/>
          <w:kern w:val="0"/>
          <w:sz w:val="32"/>
          <w:szCs w:val="32"/>
          <w:lang w:eastAsia="zh-CN"/>
        </w:rPr>
        <w:t>完成支付50万元，完成率100%。项目资金主要用于与央视CCTV17频道共同富裕专栏开展合作，宣传盐边在共同富裕试验区建设中的特色、亮点产业。项目完成较好，自评得分96分。</w:t>
      </w:r>
    </w:p>
    <w:tbl>
      <w:tblPr>
        <w:tblStyle w:val="16"/>
        <w:tblW w:w="8964" w:type="dxa"/>
        <w:tblCellSpacing w:w="0" w:type="dxa"/>
        <w:tblInd w:w="0" w:type="dxa"/>
        <w:tblLayout w:type="autofit"/>
        <w:tblCellMar>
          <w:top w:w="0" w:type="dxa"/>
          <w:left w:w="0" w:type="dxa"/>
          <w:bottom w:w="0" w:type="dxa"/>
          <w:right w:w="240" w:type="dxa"/>
        </w:tblCellMar>
      </w:tblPr>
      <w:tblGrid>
        <w:gridCol w:w="246"/>
        <w:gridCol w:w="8718"/>
      </w:tblGrid>
      <w:tr w14:paraId="1E877414">
        <w:tblPrEx>
          <w:tblCellMar>
            <w:top w:w="0" w:type="dxa"/>
            <w:left w:w="0" w:type="dxa"/>
            <w:bottom w:w="0" w:type="dxa"/>
            <w:right w:w="240" w:type="dxa"/>
          </w:tblCellMar>
        </w:tblPrEx>
        <w:trPr>
          <w:tblCellSpacing w:w="0" w:type="dxa"/>
        </w:trPr>
        <w:tc>
          <w:tcPr>
            <w:tcW w:w="246" w:type="dxa"/>
            <w:vAlign w:val="center"/>
          </w:tcPr>
          <w:p w14:paraId="2D269402">
            <w:pPr>
              <w:ind w:firstLine="600" w:firstLineChars="200"/>
              <w:rPr>
                <w:rFonts w:hint="default" w:ascii="Times New Roman" w:hAnsi="Times New Roman" w:eastAsia="仿宋_GB2312" w:cs="Times New Roman"/>
                <w:kern w:val="0"/>
                <w:sz w:val="30"/>
                <w:szCs w:val="30"/>
                <w:lang w:eastAsia="zh-CN"/>
              </w:rPr>
            </w:pPr>
          </w:p>
        </w:tc>
        <w:tc>
          <w:tcPr>
            <w:tcW w:w="8718" w:type="dxa"/>
            <w:vAlign w:val="center"/>
          </w:tcPr>
          <w:p w14:paraId="7C28C8DE">
            <w:pPr>
              <w:ind w:firstLine="600" w:firstLineChars="200"/>
              <w:rPr>
                <w:rFonts w:hint="default" w:ascii="Times New Roman" w:hAnsi="Times New Roman" w:eastAsia="仿宋_GB2312" w:cs="Times New Roman"/>
                <w:kern w:val="0"/>
                <w:sz w:val="30"/>
                <w:szCs w:val="30"/>
                <w:lang w:eastAsia="zh-CN"/>
              </w:rPr>
            </w:pPr>
            <w:r>
              <w:rPr>
                <w:rFonts w:hint="eastAsia"/>
                <w:sz w:val="30"/>
                <w:szCs w:val="30"/>
              </w:rPr>
              <w:t xml:space="preserve"> </w:t>
            </w:r>
            <w:r>
              <w:rPr>
                <w:sz w:val="30"/>
                <w:szCs w:val="30"/>
              </w:rPr>
              <w:fldChar w:fldCharType="begin"/>
            </w:r>
            <w:r>
              <w:rPr>
                <w:sz w:val="30"/>
                <w:szCs w:val="30"/>
              </w:rPr>
              <w:instrText xml:space="preserve"> </w:instrText>
            </w:r>
            <w:r>
              <w:rPr>
                <w:rFonts w:hint="eastAsia"/>
                <w:sz w:val="30"/>
                <w:szCs w:val="30"/>
              </w:rPr>
              <w:instrText xml:space="preserve">eq \o\ac(</w:instrText>
            </w:r>
            <w:r>
              <w:rPr>
                <w:rFonts w:hint="eastAsia" w:ascii="宋体"/>
                <w:position w:val="-6"/>
                <w:sz w:val="45"/>
                <w:szCs w:val="30"/>
              </w:rPr>
              <w:instrText xml:space="preserve">○</w:instrText>
            </w:r>
            <w:r>
              <w:rPr>
                <w:rFonts w:hint="eastAsia"/>
                <w:position w:val="0"/>
                <w:sz w:val="30"/>
                <w:szCs w:val="30"/>
              </w:rPr>
              <w:instrText xml:space="preserve">,19)</w:instrText>
            </w:r>
            <w:r>
              <w:rPr>
                <w:sz w:val="30"/>
                <w:szCs w:val="30"/>
              </w:rPr>
              <w:fldChar w:fldCharType="end"/>
            </w:r>
            <w:r>
              <w:rPr>
                <w:rFonts w:hint="default" w:ascii="Times New Roman" w:hAnsi="Times New Roman" w:eastAsia="仿宋_GB2312" w:cs="Times New Roman"/>
                <w:kern w:val="0"/>
                <w:sz w:val="30"/>
                <w:szCs w:val="30"/>
                <w:lang w:eastAsia="zh-CN"/>
              </w:rPr>
              <w:t>根据盐财资行</w:t>
            </w:r>
            <w:r>
              <w:rPr>
                <w:rFonts w:hint="eastAsia" w:eastAsia="仿宋_GB2312" w:cs="Times New Roman"/>
                <w:kern w:val="0"/>
                <w:sz w:val="30"/>
                <w:szCs w:val="30"/>
                <w:lang w:eastAsia="zh-CN"/>
              </w:rPr>
              <w:t>〔2024〕511号</w:t>
            </w:r>
            <w:r>
              <w:rPr>
                <w:rFonts w:hint="default" w:ascii="Times New Roman" w:hAnsi="Times New Roman" w:eastAsia="仿宋_GB2312" w:cs="Times New Roman"/>
                <w:kern w:val="0"/>
                <w:sz w:val="30"/>
                <w:szCs w:val="30"/>
                <w:lang w:eastAsia="zh-CN"/>
              </w:rPr>
              <w:t>下达2024年盐边县桑蚕产业、文旅融合促共富配合拍摄项目经费24万元，</w:t>
            </w:r>
            <w:r>
              <w:rPr>
                <w:rFonts w:hint="eastAsia" w:eastAsia="仿宋_GB2312" w:cs="Times New Roman"/>
                <w:kern w:val="0"/>
                <w:sz w:val="30"/>
                <w:szCs w:val="30"/>
                <w:lang w:eastAsia="zh-CN"/>
              </w:rPr>
              <w:t>已</w:t>
            </w:r>
            <w:r>
              <w:rPr>
                <w:rFonts w:hint="default" w:ascii="Times New Roman" w:hAnsi="Times New Roman" w:eastAsia="仿宋_GB2312" w:cs="Times New Roman"/>
                <w:kern w:val="0"/>
                <w:sz w:val="30"/>
                <w:szCs w:val="30"/>
                <w:lang w:eastAsia="zh-CN"/>
              </w:rPr>
              <w:t>完成支出24万元，完成率100%。项目资金主要用于按照央级媒体制作发布要求完成桑蚕产业、文旅融合促共富两部纪录片的视频、图片、声音拍摄和收集。项目完成较好，自评得分96分。</w:t>
            </w:r>
          </w:p>
          <w:p w14:paraId="336D9965">
            <w:pPr>
              <w:ind w:firstLine="600" w:firstLineChars="200"/>
              <w:rPr>
                <w:rFonts w:hint="default" w:ascii="Times New Roman" w:hAnsi="Times New Roman" w:eastAsia="仿宋_GB2312" w:cs="Times New Roman"/>
                <w:kern w:val="0"/>
                <w:sz w:val="30"/>
                <w:szCs w:val="30"/>
                <w:lang w:eastAsia="zh-CN"/>
              </w:rPr>
            </w:pPr>
            <w:r>
              <w:rPr>
                <w:sz w:val="30"/>
                <w:szCs w:val="30"/>
              </w:rPr>
              <w:fldChar w:fldCharType="begin"/>
            </w:r>
            <w:r>
              <w:rPr>
                <w:sz w:val="30"/>
                <w:szCs w:val="30"/>
              </w:rPr>
              <w:instrText xml:space="preserve"> </w:instrText>
            </w:r>
            <w:r>
              <w:rPr>
                <w:rFonts w:hint="eastAsia"/>
                <w:sz w:val="30"/>
                <w:szCs w:val="30"/>
              </w:rPr>
              <w:instrText xml:space="preserve">eq \o\ac(</w:instrText>
            </w:r>
            <w:r>
              <w:rPr>
                <w:rFonts w:hint="eastAsia" w:ascii="宋体"/>
                <w:position w:val="-6"/>
                <w:sz w:val="45"/>
                <w:szCs w:val="30"/>
              </w:rPr>
              <w:instrText xml:space="preserve">○</w:instrText>
            </w:r>
            <w:r>
              <w:rPr>
                <w:rFonts w:hint="eastAsia"/>
                <w:position w:val="0"/>
                <w:sz w:val="30"/>
                <w:szCs w:val="30"/>
              </w:rPr>
              <w:instrText xml:space="preserve">,20)</w:instrText>
            </w:r>
            <w:r>
              <w:rPr>
                <w:sz w:val="30"/>
                <w:szCs w:val="30"/>
              </w:rPr>
              <w:fldChar w:fldCharType="end"/>
            </w:r>
            <w:r>
              <w:rPr>
                <w:rFonts w:hint="default" w:ascii="Times New Roman" w:hAnsi="Times New Roman" w:eastAsia="仿宋_GB2312" w:cs="Times New Roman"/>
                <w:kern w:val="0"/>
                <w:sz w:val="30"/>
                <w:szCs w:val="30"/>
                <w:lang w:eastAsia="zh-CN"/>
              </w:rPr>
              <w:t>根据盐财资行</w:t>
            </w:r>
            <w:r>
              <w:rPr>
                <w:rFonts w:hint="eastAsia" w:eastAsia="仿宋_GB2312" w:cs="Times New Roman"/>
                <w:kern w:val="0"/>
                <w:sz w:val="30"/>
                <w:szCs w:val="30"/>
                <w:lang w:eastAsia="zh-CN"/>
              </w:rPr>
              <w:t>〔2024〕507号</w:t>
            </w:r>
            <w:r>
              <w:rPr>
                <w:rFonts w:hint="default" w:ascii="Times New Roman" w:hAnsi="Times New Roman" w:eastAsia="仿宋_GB2312" w:cs="Times New Roman"/>
                <w:kern w:val="0"/>
                <w:sz w:val="30"/>
                <w:szCs w:val="30"/>
                <w:lang w:eastAsia="zh-CN"/>
              </w:rPr>
              <w:t>文下达2024年媒体合作缺口资金39.6万元，</w:t>
            </w:r>
            <w:r>
              <w:rPr>
                <w:rFonts w:hint="eastAsia" w:eastAsia="仿宋_GB2312" w:cs="Times New Roman"/>
                <w:kern w:val="0"/>
                <w:sz w:val="30"/>
                <w:szCs w:val="30"/>
                <w:lang w:eastAsia="zh-CN"/>
              </w:rPr>
              <w:t>已</w:t>
            </w:r>
            <w:r>
              <w:rPr>
                <w:rFonts w:hint="default" w:ascii="Times New Roman" w:hAnsi="Times New Roman" w:eastAsia="仿宋_GB2312" w:cs="Times New Roman"/>
                <w:kern w:val="0"/>
                <w:sz w:val="30"/>
                <w:szCs w:val="30"/>
                <w:lang w:eastAsia="zh-CN"/>
              </w:rPr>
              <w:t>完成支出39.6万元，完成率100%。项目资金主要用于2024年与各级媒体合作开展对外宣传工作，加强盐边对外宣传影</w:t>
            </w:r>
            <w:r>
              <w:rPr>
                <w:rFonts w:hint="eastAsia" w:eastAsia="仿宋_GB2312" w:cs="Times New Roman"/>
                <w:kern w:val="0"/>
                <w:sz w:val="30"/>
                <w:szCs w:val="30"/>
                <w:lang w:eastAsia="zh-CN"/>
              </w:rPr>
              <w:t>响力</w:t>
            </w:r>
            <w:r>
              <w:rPr>
                <w:rFonts w:hint="default" w:ascii="Times New Roman" w:hAnsi="Times New Roman" w:eastAsia="仿宋_GB2312" w:cs="Times New Roman"/>
                <w:kern w:val="0"/>
                <w:sz w:val="30"/>
                <w:szCs w:val="30"/>
                <w:lang w:eastAsia="zh-CN"/>
              </w:rPr>
              <w:t>，扩大盐边新闻信息传播率，提升盐边形象。该项目完成较好，自评得分95分。</w:t>
            </w:r>
          </w:p>
        </w:tc>
      </w:tr>
    </w:tbl>
    <w:p w14:paraId="0F484D06">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 xml:space="preserve">  3.财务管理。</w:t>
      </w:r>
    </w:p>
    <w:p w14:paraId="1A2197A6">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本单位严格按照《财政总预算会计制度》和本单位财务管理制度执行，资金支付均采用“一支笔”审批制度；严格按照预算规定的支出用途使用资金；会计核算按权责发生制的确认原则按新行政单位会计制度执行。部门决算的组织、编报按程序进行并且审核已通过。</w:t>
      </w:r>
    </w:p>
    <w:p w14:paraId="1B87AFA0">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4.资产管理</w:t>
      </w:r>
    </w:p>
    <w:p w14:paraId="01F634EF">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建立规范的国有资产管理制度，按照规定对单位资产的账卡管理、清查登记、统计报告及日常监督检查，单位处置资产时严格审批程序，并将资产处置费上缴财政。接受财政部门的指导和监督。</w:t>
      </w:r>
    </w:p>
    <w:p w14:paraId="01A99E33">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5.采购管理。</w:t>
      </w:r>
    </w:p>
    <w:p w14:paraId="2AA30F17">
      <w:pPr>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根据实际需求明确采购项目、预算及时间安排，并经领导审批后根据采购金额和性质选择采购方式。2024年采购服务支出50万元，其中授予小微企业合同金额0万元。</w:t>
      </w:r>
    </w:p>
    <w:p w14:paraId="6222E0C2">
      <w:pPr>
        <w:spacing w:line="550" w:lineRule="exact"/>
        <w:ind w:firstLine="602" w:firstLineChars="200"/>
        <w:rPr>
          <w:rFonts w:hint="default" w:ascii="Times New Roman" w:hAnsi="Times New Roman" w:cs="Times New Roman"/>
          <w:sz w:val="30"/>
          <w:szCs w:val="30"/>
        </w:rPr>
      </w:pPr>
      <w:r>
        <w:rPr>
          <w:rFonts w:hint="default" w:ascii="Times New Roman" w:hAnsi="Times New Roman" w:eastAsia="方正楷体_GBK" w:cs="Times New Roman"/>
          <w:b/>
          <w:sz w:val="30"/>
          <w:szCs w:val="30"/>
        </w:rPr>
        <w:t>（二）部门预算项目绩效分析。</w:t>
      </w:r>
    </w:p>
    <w:p w14:paraId="4F63536D">
      <w:pPr>
        <w:spacing w:line="55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常年项目绩效分析。该类项目总数 13  个，涉及预算总金额416.13万元，1—12月预算执行总体进度为 100 %，其中：预算结余率大于10%的项目共计0个。</w:t>
      </w:r>
    </w:p>
    <w:p w14:paraId="6712D17E">
      <w:pPr>
        <w:spacing w:line="55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阶段（含一次性）项目绩效分析。该类项目总数 7个，涉及预算总金额 284.68    万元，1—12月预算执行总体进度为 100 %，其中：预算结余率大于10%的项目共计 0 个。</w:t>
      </w:r>
    </w:p>
    <w:p w14:paraId="1D4B97A4">
      <w:pPr>
        <w:spacing w:line="550" w:lineRule="exact"/>
        <w:ind w:firstLine="643" w:firstLineChars="200"/>
        <w:rPr>
          <w:rFonts w:hint="default" w:ascii="Times New Roman" w:hAnsi="Times New Roman" w:cs="Times New Roman"/>
          <w:sz w:val="32"/>
          <w:szCs w:val="32"/>
        </w:rPr>
      </w:pPr>
      <w:r>
        <w:rPr>
          <w:rFonts w:hint="default" w:ascii="Times New Roman" w:hAnsi="Times New Roman" w:eastAsia="方正楷体_GBK" w:cs="Times New Roman"/>
          <w:b/>
          <w:sz w:val="32"/>
          <w:szCs w:val="32"/>
        </w:rPr>
        <w:t>（三）绩效结果应用情况。</w:t>
      </w:r>
    </w:p>
    <w:p w14:paraId="1812BE4B">
      <w:pPr>
        <w:widowControl/>
        <w:adjustRightInd w:val="0"/>
        <w:snapToGrid w:val="0"/>
        <w:spacing w:line="580" w:lineRule="exact"/>
        <w:ind w:firstLine="640" w:firstLineChars="200"/>
        <w:contextualSpacing/>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根据年初绩效目标，参照经费管理使用要求和相应项目实施方案要求进行收支管理，做到专款专用，投入到位，发挥效益。</w:t>
      </w:r>
    </w:p>
    <w:p w14:paraId="2F7C16E0">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黑体_GBK" w:cs="Times New Roman"/>
          <w:sz w:val="32"/>
          <w:szCs w:val="32"/>
        </w:rPr>
        <w:t>四、</w:t>
      </w:r>
      <w:r>
        <w:rPr>
          <w:rFonts w:hint="default" w:ascii="Times New Roman" w:hAnsi="Times New Roman" w:eastAsia="仿宋_GB2312" w:cs="Times New Roman"/>
          <w:sz w:val="32"/>
          <w:szCs w:val="32"/>
        </w:rPr>
        <w:t>评价结论及建议</w:t>
      </w:r>
    </w:p>
    <w:p w14:paraId="326B1E44">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（一）评价结论。</w:t>
      </w:r>
    </w:p>
    <w:p w14:paraId="15B7F8AA">
      <w:pPr>
        <w:widowControl/>
        <w:adjustRightInd w:val="0"/>
        <w:snapToGrid w:val="0"/>
        <w:spacing w:line="580" w:lineRule="exact"/>
        <w:ind w:firstLine="640" w:firstLineChars="200"/>
        <w:contextualSpacing/>
        <w:jc w:val="left"/>
        <w:rPr>
          <w:rFonts w:hint="default" w:ascii="Times New Roman" w:hAnsi="Times New Roman" w:cs="Times New Roman"/>
        </w:rPr>
      </w:pPr>
      <w:r>
        <w:rPr>
          <w:rFonts w:hint="default" w:ascii="Times New Roman" w:hAnsi="Times New Roman" w:eastAsia="仿宋_GB2312" w:cs="Times New Roman"/>
          <w:sz w:val="32"/>
        </w:rPr>
        <w:t>我单位根据盐边县财政局《关于开展2024年度预算绩效自评工作的通知》（盐边财绩</w:t>
      </w:r>
      <w:r>
        <w:rPr>
          <w:rFonts w:hint="eastAsia" w:eastAsia="仿宋_GB2312" w:cs="Times New Roman"/>
          <w:sz w:val="32"/>
          <w:lang w:eastAsia="zh-CN"/>
        </w:rPr>
        <w:t>〔2025〕2号</w:t>
      </w:r>
      <w:r>
        <w:rPr>
          <w:rFonts w:hint="default" w:ascii="Times New Roman" w:hAnsi="Times New Roman" w:eastAsia="仿宋_GB2312" w:cs="Times New Roman"/>
          <w:sz w:val="32"/>
        </w:rPr>
        <w:t>文件精神，围绕预算编制、预算执行、支出绩效三个方面对2023年度预算绩效进行了认真自评，完成较好，自评得分94分。</w:t>
      </w:r>
    </w:p>
    <w:p w14:paraId="30C9B629">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（二）存在问题。</w:t>
      </w:r>
    </w:p>
    <w:p w14:paraId="2488FC44">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项目的经济社会效益指标、可持续影响力指标难以量化评估。</w:t>
      </w:r>
    </w:p>
    <w:p w14:paraId="55A2A99E">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（三）改进建议。</w:t>
      </w:r>
    </w:p>
    <w:p w14:paraId="2FD3F2E1">
      <w:pPr>
        <w:spacing w:line="55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无</w:t>
      </w:r>
    </w:p>
    <w:p w14:paraId="33A286AC">
      <w:pPr>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14:paraId="0A2A12C5">
      <w:pPr>
        <w:pStyle w:val="6"/>
        <w:spacing w:before="93"/>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2</w:t>
      </w:r>
    </w:p>
    <w:p w14:paraId="23B9DC20">
      <w:pPr>
        <w:pStyle w:val="34"/>
        <w:spacing w:line="578" w:lineRule="exact"/>
        <w:jc w:val="center"/>
        <w:rPr>
          <w:rFonts w:hint="default" w:ascii="Times New Roman" w:hAnsi="Times New Roman" w:eastAsia="方正小标宋简体" w:cs="Times New Roman"/>
          <w:color w:val="auto"/>
          <w:kern w:val="2"/>
          <w:sz w:val="44"/>
          <w:szCs w:val="44"/>
          <w:lang w:val="en-US"/>
        </w:rPr>
      </w:pPr>
    </w:p>
    <w:p w14:paraId="581B6907">
      <w:pPr>
        <w:spacing w:line="600"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公益电影放映项目2024年度绩效</w:t>
      </w:r>
    </w:p>
    <w:p w14:paraId="6B298917">
      <w:pPr>
        <w:spacing w:line="600"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自评报告</w:t>
      </w:r>
    </w:p>
    <w:p w14:paraId="7F041B31">
      <w:pPr>
        <w:pStyle w:val="34"/>
        <w:spacing w:line="600" w:lineRule="exact"/>
        <w:ind w:firstLine="640"/>
        <w:jc w:val="center"/>
        <w:rPr>
          <w:rFonts w:hint="default" w:ascii="Times New Roman" w:hAnsi="Times New Roman" w:cs="Times New Roman"/>
          <w:color w:val="auto"/>
          <w:kern w:val="2"/>
          <w:sz w:val="32"/>
          <w:szCs w:val="32"/>
        </w:rPr>
      </w:pPr>
    </w:p>
    <w:p w14:paraId="56611F3B">
      <w:pPr>
        <w:adjustRightInd w:val="0"/>
        <w:snapToGrid w:val="0"/>
        <w:spacing w:line="600" w:lineRule="exact"/>
        <w:ind w:firstLine="720"/>
        <w:rPr>
          <w:rFonts w:hint="default" w:ascii="Times New Roman" w:hAnsi="Times New Roman" w:eastAsia="方正黑体_GBK" w:cs="Times New Roman"/>
          <w:lang w:val="zh-CN"/>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zh-CN"/>
        </w:rPr>
        <w:t>项目概况</w:t>
      </w:r>
    </w:p>
    <w:p w14:paraId="578C7840">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（一）项目基本情况。</w:t>
      </w:r>
    </w:p>
    <w:p w14:paraId="2BE085F8">
      <w:pPr>
        <w:spacing w:line="590" w:lineRule="exact"/>
        <w:ind w:firstLine="640" w:firstLineChars="200"/>
        <w:rPr>
          <w:rFonts w:hint="default" w:ascii="Times New Roman" w:hAnsi="Times New Roman" w:cs="Times New Roman"/>
          <w:color w:val="000000"/>
          <w:sz w:val="33"/>
          <w:szCs w:val="33"/>
        </w:rPr>
      </w:pPr>
      <w:r>
        <w:rPr>
          <w:rFonts w:hint="default" w:ascii="Times New Roman" w:hAnsi="Times New Roman" w:eastAsia="仿宋_GB2312" w:cs="Times New Roman"/>
          <w:sz w:val="32"/>
          <w:szCs w:val="32"/>
        </w:rPr>
        <w:t>本项目的主要内容是：</w:t>
      </w:r>
      <w:r>
        <w:rPr>
          <w:rFonts w:hint="default" w:ascii="Times New Roman" w:hAnsi="Times New Roman" w:eastAsia="仿宋_GB2312" w:cs="Times New Roman"/>
          <w:color w:val="000000"/>
          <w:sz w:val="33"/>
          <w:szCs w:val="33"/>
        </w:rPr>
        <w:t>根据按照《中共攀枝花市委宣传部关于做好2024年度公益电影放映工作的通知》（攀委宣发〔2024〕21号）文件要求，实现80个建制村农村公益电影放映1440场，</w:t>
      </w:r>
      <w:r>
        <w:rPr>
          <w:rFonts w:hint="default" w:ascii="Times New Roman" w:hAnsi="Times New Roman" w:cs="Times New Roman"/>
          <w:color w:val="000000"/>
          <w:sz w:val="33"/>
          <w:szCs w:val="33"/>
        </w:rPr>
        <w:t>中央省级资金29.304</w:t>
      </w:r>
      <w:r>
        <w:rPr>
          <w:rFonts w:hint="default" w:ascii="Times New Roman" w:hAnsi="Times New Roman" w:eastAsia="仿宋_GB2312" w:cs="Times New Roman"/>
          <w:color w:val="000000"/>
          <w:sz w:val="33"/>
          <w:szCs w:val="33"/>
        </w:rPr>
        <w:t>万元。</w:t>
      </w:r>
      <w:r>
        <w:rPr>
          <w:rFonts w:hint="default" w:ascii="Times New Roman" w:hAnsi="Times New Roman" w:cs="Times New Roman"/>
          <w:color w:val="000000"/>
          <w:sz w:val="33"/>
          <w:szCs w:val="33"/>
        </w:rPr>
        <w:t>从省级资金支付1万元用于公益电影。</w:t>
      </w:r>
    </w:p>
    <w:p w14:paraId="45F740E5">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（二）项目绩效目标。</w:t>
      </w:r>
    </w:p>
    <w:p w14:paraId="315F38A0">
      <w:pPr>
        <w:adjustRightInd w:val="0"/>
        <w:snapToGrid w:val="0"/>
        <w:spacing w:line="600" w:lineRule="exact"/>
        <w:ind w:firstLine="720"/>
        <w:rPr>
          <w:rFonts w:hint="default" w:ascii="Times New Roman" w:hAnsi="Times New Roman" w:eastAsia="方正仿宋_GBK" w:cs="Times New Roman"/>
          <w:lang w:val="zh-CN"/>
        </w:rPr>
      </w:pPr>
      <w:r>
        <w:rPr>
          <w:rFonts w:hint="default" w:ascii="Times New Roman" w:hAnsi="Times New Roman" w:eastAsia="仿宋_GB2312" w:cs="Times New Roman"/>
          <w:sz w:val="32"/>
          <w:szCs w:val="32"/>
        </w:rPr>
        <w:t>公益电影放映资金，确保实现80个建制村农村公益电影放映1440场，丰富百姓精神文化生活。</w:t>
      </w:r>
    </w:p>
    <w:p w14:paraId="3C6E8BCC">
      <w:pPr>
        <w:adjustRightInd w:val="0"/>
        <w:snapToGrid w:val="0"/>
        <w:spacing w:line="600" w:lineRule="exact"/>
        <w:ind w:firstLine="720"/>
        <w:rPr>
          <w:rFonts w:hint="default" w:ascii="Times New Roman" w:hAnsi="Times New Roman" w:eastAsia="方正黑体_GBK" w:cs="Times New Roman"/>
        </w:rPr>
      </w:pPr>
      <w:r>
        <w:rPr>
          <w:rFonts w:hint="default" w:ascii="Times New Roman" w:hAnsi="Times New Roman" w:eastAsia="方正黑体_GBK" w:cs="Times New Roman"/>
          <w:sz w:val="32"/>
          <w:szCs w:val="32"/>
        </w:rPr>
        <w:t>二、项目资金申报及使用情况</w:t>
      </w:r>
    </w:p>
    <w:p w14:paraId="71248619">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w:t>
      </w:r>
      <w:r>
        <w:rPr>
          <w:rFonts w:hint="default" w:ascii="Times New Roman" w:hAnsi="Times New Roman" w:eastAsia="方正楷体_GBK" w:cs="Times New Roman"/>
          <w:b/>
          <w:bCs/>
          <w:sz w:val="32"/>
          <w:szCs w:val="32"/>
        </w:rPr>
        <w:t>一</w:t>
      </w:r>
      <w:r>
        <w:rPr>
          <w:rFonts w:hint="default" w:ascii="Times New Roman" w:hAnsi="Times New Roman" w:eastAsia="方正楷体_GBK" w:cs="Times New Roman"/>
          <w:b/>
          <w:bCs/>
          <w:sz w:val="32"/>
          <w:szCs w:val="32"/>
          <w:lang w:val="zh-CN"/>
        </w:rPr>
        <w:t>）资金计划、到位及使用情况。</w:t>
      </w:r>
    </w:p>
    <w:p w14:paraId="7B10D2D6">
      <w:pPr>
        <w:adjustRightInd w:val="0"/>
        <w:snapToGrid w:val="0"/>
        <w:spacing w:line="600" w:lineRule="exact"/>
        <w:ind w:firstLine="720"/>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rPr>
        <w:t>省级资金1万元，</w:t>
      </w:r>
      <w:r>
        <w:rPr>
          <w:rFonts w:hint="default" w:ascii="Times New Roman" w:hAnsi="Times New Roman" w:eastAsia="方正仿宋_GBK" w:cs="Times New Roman"/>
          <w:sz w:val="32"/>
          <w:szCs w:val="32"/>
          <w:lang w:val="zh-CN"/>
        </w:rPr>
        <w:t>用于支付公益电影放映，</w:t>
      </w:r>
      <w:r>
        <w:rPr>
          <w:rFonts w:hint="default" w:ascii="Times New Roman" w:hAnsi="Times New Roman" w:eastAsia="方正仿宋_GBK" w:cs="Times New Roman"/>
          <w:sz w:val="32"/>
          <w:szCs w:val="32"/>
        </w:rPr>
        <w:t>于2024年5月到位，</w:t>
      </w:r>
      <w:r>
        <w:rPr>
          <w:rFonts w:hint="default" w:ascii="Times New Roman" w:hAnsi="Times New Roman" w:eastAsia="方正仿宋_GBK" w:cs="Times New Roman"/>
          <w:sz w:val="32"/>
          <w:szCs w:val="32"/>
          <w:lang w:val="zh-CN"/>
        </w:rPr>
        <w:t>资金支付率</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lang w:val="zh-CN"/>
        </w:rPr>
        <w:t>%。资金开支范围、标准及支付进度、支付依据合规合法，资金支付与预算相符。</w:t>
      </w:r>
    </w:p>
    <w:p w14:paraId="3E86AC1C">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w:t>
      </w:r>
      <w:r>
        <w:rPr>
          <w:rFonts w:hint="default" w:ascii="Times New Roman" w:hAnsi="Times New Roman" w:eastAsia="方正楷体_GBK" w:cs="Times New Roman"/>
          <w:b/>
          <w:bCs/>
          <w:sz w:val="32"/>
          <w:szCs w:val="32"/>
        </w:rPr>
        <w:t>二</w:t>
      </w:r>
      <w:r>
        <w:rPr>
          <w:rFonts w:hint="default" w:ascii="Times New Roman" w:hAnsi="Times New Roman" w:eastAsia="方正楷体_GBK" w:cs="Times New Roman"/>
          <w:b/>
          <w:bCs/>
          <w:sz w:val="32"/>
          <w:szCs w:val="32"/>
          <w:lang w:val="zh-CN"/>
        </w:rPr>
        <w:t>）项目财务管理情况。</w:t>
      </w:r>
    </w:p>
    <w:p w14:paraId="0C3E0E3B">
      <w:pPr>
        <w:adjustRightInd w:val="0"/>
        <w:snapToGrid w:val="0"/>
        <w:spacing w:line="600" w:lineRule="exact"/>
        <w:ind w:firstLine="720"/>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lang w:val="zh-CN"/>
        </w:rPr>
        <w:t>项目严格按照财务管理制度、会计核算及账务处理等制度进行管理。根据项目资金管理办法，项目严格执行财务管理制度、财务处理及时、会计核算规范。</w:t>
      </w:r>
    </w:p>
    <w:p w14:paraId="1FCEEFA3">
      <w:pPr>
        <w:adjustRightInd w:val="0"/>
        <w:snapToGrid w:val="0"/>
        <w:spacing w:line="600" w:lineRule="exact"/>
        <w:ind w:firstLine="720"/>
        <w:rPr>
          <w:rFonts w:hint="default" w:ascii="Times New Roman" w:hAnsi="Times New Roman" w:eastAsia="方正黑体_GBK" w:cs="Times New Roman"/>
        </w:rPr>
      </w:pPr>
      <w:r>
        <w:rPr>
          <w:rFonts w:hint="default" w:ascii="Times New Roman" w:hAnsi="Times New Roman" w:eastAsia="方正黑体_GBK" w:cs="Times New Roman"/>
          <w:sz w:val="32"/>
          <w:szCs w:val="32"/>
        </w:rPr>
        <w:t>三、项目实施及管理情况</w:t>
      </w:r>
    </w:p>
    <w:p w14:paraId="20324800">
      <w:pPr>
        <w:adjustRightInd w:val="0"/>
        <w:snapToGrid w:val="0"/>
        <w:spacing w:line="600" w:lineRule="exact"/>
        <w:ind w:firstLine="720"/>
        <w:rPr>
          <w:rFonts w:hint="default" w:ascii="Times New Roman" w:hAnsi="Times New Roman" w:eastAsia="方正仿宋_GBK" w:cs="Times New Roman"/>
          <w:lang w:val="zh-CN"/>
        </w:rPr>
      </w:pPr>
      <w:bookmarkStart w:id="49" w:name="OLE_LINK3"/>
      <w:r>
        <w:rPr>
          <w:rFonts w:hint="default" w:ascii="Times New Roman" w:hAnsi="Times New Roman" w:eastAsia="方正仿宋_GBK" w:cs="Times New Roman"/>
          <w:sz w:val="32"/>
          <w:szCs w:val="32"/>
          <w:lang w:val="zh-CN"/>
        </w:rPr>
        <w:t>公益电影放映有详细的实施方案、组织机构健全，职责分工明确，有具体的实施时间，有明确的工作程序，有相应的质量检查，验收等手段。</w:t>
      </w:r>
      <w:bookmarkEnd w:id="49"/>
    </w:p>
    <w:p w14:paraId="34FB90D5">
      <w:pPr>
        <w:adjustRightInd w:val="0"/>
        <w:snapToGrid w:val="0"/>
        <w:spacing w:line="600" w:lineRule="exact"/>
        <w:ind w:firstLine="720"/>
        <w:rPr>
          <w:rFonts w:hint="default" w:ascii="Times New Roman" w:hAnsi="Times New Roman" w:eastAsia="方正黑体_GBK" w:cs="Times New Roman"/>
          <w:lang w:val="zh-CN"/>
        </w:rPr>
      </w:pPr>
      <w:r>
        <w:rPr>
          <w:rFonts w:hint="default" w:ascii="Times New Roman" w:hAnsi="Times New Roman" w:eastAsia="方正黑体_GBK" w:cs="Times New Roman"/>
          <w:sz w:val="32"/>
          <w:szCs w:val="32"/>
        </w:rPr>
        <w:t>四、项目绩效情况</w:t>
      </w:r>
      <w:r>
        <w:rPr>
          <w:rFonts w:hint="default" w:ascii="Times New Roman" w:hAnsi="Times New Roman" w:eastAsia="方正黑体_GBK" w:cs="Times New Roman"/>
          <w:sz w:val="32"/>
          <w:szCs w:val="32"/>
          <w:lang w:val="zh-CN"/>
        </w:rPr>
        <w:tab/>
      </w:r>
    </w:p>
    <w:p w14:paraId="53B540C3">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（一）项目完成情况。</w:t>
      </w:r>
    </w:p>
    <w:p w14:paraId="60241418">
      <w:pPr>
        <w:adjustRightInd w:val="0"/>
        <w:snapToGrid w:val="0"/>
        <w:spacing w:line="600" w:lineRule="exact"/>
        <w:ind w:firstLine="720"/>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lang w:val="zh-CN"/>
        </w:rPr>
        <w:t>于</w:t>
      </w:r>
      <w:r>
        <w:rPr>
          <w:rFonts w:hint="default" w:ascii="Times New Roman" w:hAnsi="Times New Roman" w:eastAsia="方正仿宋_GBK" w:cs="Times New Roman"/>
          <w:sz w:val="32"/>
          <w:szCs w:val="32"/>
        </w:rPr>
        <w:t>2024年12月30日之前全部完成</w:t>
      </w:r>
      <w:r>
        <w:rPr>
          <w:rFonts w:hint="default" w:ascii="Times New Roman" w:hAnsi="Times New Roman" w:eastAsia="方正仿宋_GBK" w:cs="Times New Roman"/>
          <w:sz w:val="32"/>
          <w:szCs w:val="32"/>
          <w:lang w:val="zh-CN"/>
        </w:rPr>
        <w:t>80个建制村农村公益电影放映1440场，丰富了百姓精神文化生活。</w:t>
      </w:r>
    </w:p>
    <w:p w14:paraId="01747881">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（二）项目效益情况。</w:t>
      </w:r>
    </w:p>
    <w:p w14:paraId="3B26F0BB">
      <w:pPr>
        <w:adjustRightInd w:val="0"/>
        <w:snapToGrid w:val="0"/>
        <w:spacing w:line="600" w:lineRule="exact"/>
        <w:ind w:firstLine="720"/>
        <w:rPr>
          <w:rFonts w:hint="default" w:ascii="Times New Roman" w:hAnsi="Times New Roman" w:eastAsia="方正仿宋_GBK" w:cs="Times New Roman"/>
        </w:rPr>
      </w:pPr>
      <w:r>
        <w:rPr>
          <w:rFonts w:hint="default" w:ascii="Times New Roman" w:hAnsi="Times New Roman" w:eastAsia="方正仿宋_GBK" w:cs="Times New Roman"/>
          <w:sz w:val="32"/>
          <w:szCs w:val="32"/>
        </w:rPr>
        <w:t>公益电影放映传承优秀文化、民族文化，丰富基层百姓精神文化生活，促进人民精神生活共同富裕。</w:t>
      </w:r>
    </w:p>
    <w:p w14:paraId="5CA20293">
      <w:pPr>
        <w:adjustRightInd w:val="0"/>
        <w:snapToGrid w:val="0"/>
        <w:spacing w:line="600" w:lineRule="exact"/>
        <w:ind w:firstLine="720"/>
        <w:rPr>
          <w:rFonts w:hint="default" w:ascii="Times New Roman" w:hAnsi="Times New Roman" w:eastAsia="方正黑体_GBK" w:cs="Times New Roman"/>
        </w:rPr>
      </w:pPr>
      <w:r>
        <w:rPr>
          <w:rFonts w:hint="default" w:ascii="Times New Roman" w:hAnsi="Times New Roman" w:eastAsia="方正黑体_GBK" w:cs="Times New Roman"/>
          <w:sz w:val="32"/>
          <w:szCs w:val="32"/>
        </w:rPr>
        <w:t>五、评价结论及建议</w:t>
      </w:r>
    </w:p>
    <w:p w14:paraId="5CC8A6CB">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（一）评价结论。</w:t>
      </w:r>
    </w:p>
    <w:p w14:paraId="3B10CDDC">
      <w:pPr>
        <w:adjustRightInd w:val="0"/>
        <w:snapToGrid w:val="0"/>
        <w:spacing w:line="600" w:lineRule="exact"/>
        <w:ind w:firstLine="720"/>
        <w:rPr>
          <w:rFonts w:hint="default" w:ascii="Times New Roman" w:hAnsi="Times New Roman" w:eastAsia="方正仿宋_GBK" w:cs="Times New Roman"/>
        </w:rPr>
      </w:pPr>
      <w:r>
        <w:rPr>
          <w:rFonts w:hint="default" w:ascii="Times New Roman" w:hAnsi="Times New Roman" w:eastAsia="方正仿宋_GBK" w:cs="Times New Roman"/>
          <w:sz w:val="32"/>
          <w:szCs w:val="32"/>
        </w:rPr>
        <w:t>公益电影放映全部完成放映并验收合格，设定目标绩效指标值均已完成。</w:t>
      </w:r>
    </w:p>
    <w:p w14:paraId="4C2CC944">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（二）存在的问题。</w:t>
      </w:r>
    </w:p>
    <w:p w14:paraId="09BF401D">
      <w:pPr>
        <w:adjustRightInd w:val="0"/>
        <w:snapToGrid w:val="0"/>
        <w:spacing w:line="600" w:lineRule="exact"/>
        <w:ind w:firstLine="720"/>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rPr>
        <w:t>无</w:t>
      </w:r>
      <w:r>
        <w:rPr>
          <w:rFonts w:hint="default" w:ascii="Times New Roman" w:hAnsi="Times New Roman" w:eastAsia="方正仿宋_GBK" w:cs="Times New Roman"/>
          <w:sz w:val="32"/>
          <w:szCs w:val="32"/>
          <w:lang w:val="zh-CN"/>
        </w:rPr>
        <w:tab/>
      </w:r>
    </w:p>
    <w:p w14:paraId="5D35A186">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（三）相关建议。</w:t>
      </w:r>
    </w:p>
    <w:p w14:paraId="7687C84B">
      <w:pPr>
        <w:adjustRightInd w:val="0"/>
        <w:snapToGrid w:val="0"/>
        <w:spacing w:line="600" w:lineRule="exact"/>
        <w:ind w:firstLine="720"/>
        <w:rPr>
          <w:rFonts w:hint="default" w:ascii="Times New Roman" w:hAnsi="Times New Roman" w:eastAsia="方正仿宋_GBK" w:cs="Times New Roman"/>
        </w:rPr>
      </w:pPr>
      <w:r>
        <w:rPr>
          <w:rFonts w:hint="default" w:ascii="Times New Roman" w:hAnsi="Times New Roman" w:eastAsia="方正仿宋_GBK" w:cs="Times New Roman"/>
          <w:sz w:val="32"/>
          <w:szCs w:val="32"/>
        </w:rPr>
        <w:t>无</w:t>
      </w:r>
    </w:p>
    <w:p w14:paraId="49444659">
      <w:pPr>
        <w:spacing w:line="578" w:lineRule="exact"/>
        <w:ind w:firstLine="640"/>
        <w:rPr>
          <w:rFonts w:hint="default" w:ascii="Times New Roman" w:hAnsi="Times New Roman" w:eastAsia="仿宋_GB2312" w:cs="Times New Roman"/>
          <w:kern w:val="0"/>
          <w:sz w:val="32"/>
          <w:szCs w:val="32"/>
        </w:rPr>
      </w:pPr>
    </w:p>
    <w:p w14:paraId="59CFB636">
      <w:pPr>
        <w:spacing w:line="600" w:lineRule="exact"/>
        <w:jc w:val="center"/>
        <w:rPr>
          <w:rFonts w:hint="default" w:ascii="Times New Roman" w:hAnsi="Times New Roman" w:eastAsia="黑体" w:cs="Times New Roman"/>
          <w:b/>
          <w:sz w:val="24"/>
          <w:szCs w:val="28"/>
        </w:rPr>
      </w:pPr>
    </w:p>
    <w:p w14:paraId="3DA409B5">
      <w:pPr>
        <w:pStyle w:val="2"/>
        <w:rPr>
          <w:rFonts w:hint="default" w:ascii="Times New Roman" w:hAnsi="Times New Roman" w:cs="Times New Roman"/>
        </w:rPr>
      </w:pPr>
    </w:p>
    <w:p w14:paraId="63DCA429">
      <w:pPr>
        <w:spacing w:line="600"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新时代文明实践中心建设项目2024年度绩效自评报告</w:t>
      </w:r>
    </w:p>
    <w:p w14:paraId="743BBDE3">
      <w:pPr>
        <w:pStyle w:val="34"/>
        <w:spacing w:line="600" w:lineRule="exact"/>
        <w:ind w:firstLine="640"/>
        <w:jc w:val="center"/>
        <w:rPr>
          <w:rFonts w:hint="default" w:ascii="Times New Roman" w:hAnsi="Times New Roman" w:cs="Times New Roman"/>
          <w:color w:val="auto"/>
          <w:kern w:val="2"/>
          <w:sz w:val="32"/>
          <w:szCs w:val="32"/>
        </w:rPr>
      </w:pPr>
    </w:p>
    <w:p w14:paraId="2A309498">
      <w:pPr>
        <w:adjustRightInd w:val="0"/>
        <w:snapToGrid w:val="0"/>
        <w:spacing w:line="600" w:lineRule="exact"/>
        <w:ind w:firstLine="720"/>
        <w:rPr>
          <w:rFonts w:hint="default" w:ascii="Times New Roman" w:hAnsi="Times New Roman" w:eastAsia="方正黑体_GBK" w:cs="Times New Roman"/>
          <w:lang w:val="zh-CN"/>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zh-CN"/>
        </w:rPr>
        <w:t>项目概况</w:t>
      </w:r>
    </w:p>
    <w:p w14:paraId="295B9A9D">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（一）项目基本情况。</w:t>
      </w:r>
    </w:p>
    <w:p w14:paraId="4E929976">
      <w:pPr>
        <w:adjustRightInd w:val="0"/>
        <w:snapToGrid w:val="0"/>
        <w:spacing w:line="600" w:lineRule="exact"/>
        <w:ind w:firstLine="720"/>
        <w:rPr>
          <w:rFonts w:hint="default" w:ascii="Times New Roman" w:hAnsi="Times New Roman" w:eastAsia="方正仿宋_GBK" w:cs="Times New Roman"/>
        </w:rPr>
      </w:pPr>
      <w:r>
        <w:rPr>
          <w:rFonts w:hint="default" w:ascii="Times New Roman" w:hAnsi="Times New Roman" w:eastAsia="方正仿宋_GBK" w:cs="Times New Roman"/>
          <w:sz w:val="32"/>
          <w:szCs w:val="32"/>
        </w:rPr>
        <w:t>2021年11月6日，中央办公厅印发了《关于拓展新时代文明实践中心建设的意见》。12月10日省委宣传部、省文明办印发了《关于拓展新时代文明实践中心建设的通知》，明确要求2021年12月至2022年3月，各县（市、区）新时代文明实践中心（所、站）挂牌成立投入运行，并长期广泛组织开展各类文明实践活动。</w:t>
      </w:r>
    </w:p>
    <w:p w14:paraId="0F6FB84E">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（二）项目绩效目标。</w:t>
      </w:r>
    </w:p>
    <w:p w14:paraId="296F286E">
      <w:pPr>
        <w:adjustRightInd w:val="0"/>
        <w:snapToGrid w:val="0"/>
        <w:spacing w:line="600" w:lineRule="exact"/>
        <w:ind w:firstLine="720"/>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lang w:val="zh-CN"/>
        </w:rPr>
        <w:t>按照“一个目标、四个定位、五项工作、三个到位、六种能力”的总要求，推动文明实践中心建设各项任务落地落实，探索建立行之有效的工作机制和运行模式，推动新时代文明实践中心建设向深化内涵迈进，从夯实基础向提档升级迈进，从外聚人气向内聚人心迈进，广泛开展形式多样的文明实践活动，更好地组织群众、宣传群众、凝聚群众、服务群众</w:t>
      </w:r>
      <w:r>
        <w:rPr>
          <w:rFonts w:hint="eastAsia" w:eastAsia="方正仿宋_GBK" w:cs="Times New Roman"/>
          <w:sz w:val="32"/>
          <w:szCs w:val="32"/>
          <w:lang w:val="zh-CN"/>
        </w:rPr>
        <w:t>；要</w:t>
      </w:r>
      <w:r>
        <w:rPr>
          <w:rFonts w:hint="default" w:ascii="Times New Roman" w:hAnsi="Times New Roman" w:eastAsia="方正仿宋_GBK" w:cs="Times New Roman"/>
          <w:sz w:val="32"/>
          <w:szCs w:val="32"/>
          <w:lang w:val="zh-CN"/>
        </w:rPr>
        <w:t>充分利用群众喜闻乐见的形式以及百姓化的语言来宣传党的理论，讲解党的方针政策，让理论政策接地气，促进理论进村居、进社区，让群众看得见、听得懂，真正入脑入心，更好地发挥其重要作用。</w:t>
      </w:r>
    </w:p>
    <w:p w14:paraId="7C882BB8">
      <w:pPr>
        <w:spacing w:line="576" w:lineRule="exact"/>
        <w:ind w:firstLine="643" w:firstLineChars="200"/>
        <w:rPr>
          <w:rFonts w:hint="default" w:ascii="Times New Roman" w:hAnsi="Times New Roman" w:eastAsia="方正仿宋_GBK" w:cs="Times New Roman"/>
        </w:rPr>
      </w:pPr>
      <w:r>
        <w:rPr>
          <w:rFonts w:hint="default" w:ascii="Times New Roman" w:hAnsi="Times New Roman" w:eastAsia="方正仿宋_GBK" w:cs="Times New Roman"/>
          <w:b/>
          <w:bCs/>
          <w:sz w:val="32"/>
          <w:szCs w:val="32"/>
        </w:rPr>
        <w:t>第一季度：</w:t>
      </w:r>
      <w:r>
        <w:rPr>
          <w:rFonts w:hint="default" w:ascii="Times New Roman" w:hAnsi="Times New Roman" w:eastAsia="方正仿宋_GBK" w:cs="Times New Roman"/>
          <w:sz w:val="32"/>
          <w:szCs w:val="32"/>
        </w:rPr>
        <w:t>开展学习践行科学理论、宣传宣讲党的政策、培育践行主流价值、丰富活跃文化生活、移风易俗等文明实践活动主题活动；</w:t>
      </w:r>
    </w:p>
    <w:p w14:paraId="71B15DBE">
      <w:pPr>
        <w:spacing w:line="576" w:lineRule="exact"/>
        <w:ind w:firstLine="643" w:firstLineChars="200"/>
        <w:rPr>
          <w:rFonts w:hint="default" w:ascii="Times New Roman" w:hAnsi="Times New Roman" w:eastAsia="方正仿宋_GBK" w:cs="Times New Roman"/>
        </w:rPr>
      </w:pPr>
      <w:r>
        <w:rPr>
          <w:rFonts w:hint="default" w:ascii="Times New Roman" w:hAnsi="Times New Roman" w:eastAsia="方正仿宋_GBK" w:cs="Times New Roman"/>
          <w:b/>
          <w:bCs/>
          <w:sz w:val="32"/>
          <w:szCs w:val="32"/>
        </w:rPr>
        <w:t>第二季度：</w:t>
      </w:r>
      <w:r>
        <w:rPr>
          <w:rFonts w:hint="default" w:ascii="Times New Roman" w:hAnsi="Times New Roman" w:eastAsia="方正仿宋_GBK" w:cs="Times New Roman"/>
          <w:sz w:val="32"/>
          <w:szCs w:val="32"/>
        </w:rPr>
        <w:t>持续开展学习践行科学理论、宣传宣讲党的政策、培育践行主流价值、丰富活跃文化生活、移风易俗等文明实践活动；</w:t>
      </w:r>
    </w:p>
    <w:p w14:paraId="30FE1C4E">
      <w:pPr>
        <w:spacing w:line="576" w:lineRule="exact"/>
        <w:ind w:firstLine="643" w:firstLineChars="200"/>
        <w:rPr>
          <w:rFonts w:hint="default" w:ascii="Times New Roman" w:hAnsi="Times New Roman" w:eastAsia="方正仿宋_GBK" w:cs="Times New Roman"/>
          <w:b/>
          <w:bCs/>
        </w:rPr>
      </w:pPr>
      <w:r>
        <w:rPr>
          <w:rFonts w:hint="default" w:ascii="Times New Roman" w:hAnsi="Times New Roman" w:eastAsia="方正仿宋_GBK" w:cs="Times New Roman"/>
          <w:b/>
          <w:bCs/>
          <w:sz w:val="32"/>
          <w:szCs w:val="32"/>
        </w:rPr>
        <w:t>第三季度：</w:t>
      </w:r>
      <w:r>
        <w:rPr>
          <w:rFonts w:hint="default" w:ascii="Times New Roman" w:hAnsi="Times New Roman" w:eastAsia="方正仿宋_GBK" w:cs="Times New Roman"/>
          <w:sz w:val="32"/>
          <w:szCs w:val="32"/>
        </w:rPr>
        <w:t>持续开展学习践行科学理论、宣传宣讲党的政策、培育践行主流价值、丰富活跃文化生活、移风易俗等文明实践活动；</w:t>
      </w:r>
    </w:p>
    <w:p w14:paraId="4B9872E1">
      <w:pPr>
        <w:spacing w:line="576" w:lineRule="exact"/>
        <w:ind w:firstLine="643" w:firstLineChars="200"/>
        <w:rPr>
          <w:rFonts w:hint="default" w:ascii="Times New Roman" w:hAnsi="Times New Roman" w:eastAsia="方正仿宋_GBK" w:cs="Times New Roman"/>
        </w:rPr>
      </w:pPr>
      <w:r>
        <w:rPr>
          <w:rFonts w:hint="default" w:ascii="Times New Roman" w:hAnsi="Times New Roman" w:eastAsia="方正仿宋_GBK" w:cs="Times New Roman"/>
          <w:b/>
          <w:bCs/>
          <w:sz w:val="32"/>
          <w:szCs w:val="32"/>
        </w:rPr>
        <w:t>第四季度：</w:t>
      </w:r>
      <w:r>
        <w:rPr>
          <w:rFonts w:hint="default" w:ascii="Times New Roman" w:hAnsi="Times New Roman" w:eastAsia="方正仿宋_GBK" w:cs="Times New Roman"/>
          <w:sz w:val="32"/>
          <w:szCs w:val="32"/>
        </w:rPr>
        <w:t>持续开展学习践行科学理论、宣传宣讲党的政策、培育践行主流价值、丰富活跃文化生活、移风易俗等文明实践活动。</w:t>
      </w:r>
    </w:p>
    <w:p w14:paraId="502157E7">
      <w:pPr>
        <w:adjustRightInd w:val="0"/>
        <w:snapToGrid w:val="0"/>
        <w:spacing w:line="600" w:lineRule="exact"/>
        <w:ind w:firstLine="720"/>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lang w:val="zh-CN"/>
        </w:rPr>
        <w:t>申报内容与实际相符，申报目标合理可行。</w:t>
      </w:r>
    </w:p>
    <w:p w14:paraId="2EEB4598">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（三）项目自评步骤及方法。</w:t>
      </w:r>
    </w:p>
    <w:p w14:paraId="67CE481A">
      <w:pPr>
        <w:adjustRightInd w:val="0"/>
        <w:snapToGrid w:val="0"/>
        <w:spacing w:line="600" w:lineRule="exact"/>
        <w:ind w:firstLine="720"/>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lang w:val="zh-CN"/>
        </w:rPr>
        <w:t>根据财政绩效管理要求，成立自评小组，结合评价内容，做到有计划、有安排，扎实开展本次自评工作。自评小组按照项目支出绩效评价指标体系，针对申报内容、实施情况、资金兑现、财务管理、社会效益等内容逐一考核自评。</w:t>
      </w:r>
    </w:p>
    <w:p w14:paraId="492722D4">
      <w:pPr>
        <w:adjustRightInd w:val="0"/>
        <w:snapToGrid w:val="0"/>
        <w:spacing w:line="600" w:lineRule="exact"/>
        <w:ind w:firstLine="720"/>
        <w:rPr>
          <w:rFonts w:hint="default" w:ascii="Times New Roman" w:hAnsi="Times New Roman" w:eastAsia="方正黑体_GBK" w:cs="Times New Roman"/>
        </w:rPr>
      </w:pPr>
      <w:r>
        <w:rPr>
          <w:rFonts w:hint="default" w:ascii="Times New Roman" w:hAnsi="Times New Roman" w:eastAsia="方正黑体_GBK" w:cs="Times New Roman"/>
          <w:sz w:val="32"/>
          <w:szCs w:val="32"/>
        </w:rPr>
        <w:t>二、项目资金申报及使用情况</w:t>
      </w:r>
    </w:p>
    <w:p w14:paraId="032EB5A2">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w:t>
      </w:r>
      <w:r>
        <w:rPr>
          <w:rFonts w:hint="default" w:ascii="Times New Roman" w:hAnsi="Times New Roman" w:eastAsia="方正楷体_GBK" w:cs="Times New Roman"/>
          <w:b/>
          <w:bCs/>
          <w:sz w:val="32"/>
          <w:szCs w:val="32"/>
        </w:rPr>
        <w:t>一</w:t>
      </w:r>
      <w:r>
        <w:rPr>
          <w:rFonts w:hint="default" w:ascii="Times New Roman" w:hAnsi="Times New Roman" w:eastAsia="方正楷体_GBK" w:cs="Times New Roman"/>
          <w:b/>
          <w:bCs/>
          <w:sz w:val="32"/>
          <w:szCs w:val="32"/>
          <w:lang w:val="zh-CN"/>
        </w:rPr>
        <w:t>）资金计划、到位及使用情况。</w:t>
      </w:r>
    </w:p>
    <w:p w14:paraId="36DA81EA">
      <w:pPr>
        <w:adjustRightInd w:val="0"/>
        <w:snapToGrid w:val="0"/>
        <w:spacing w:line="600" w:lineRule="exact"/>
        <w:ind w:firstLine="720"/>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rPr>
        <w:t>中央支持地方公共文化服务体系建设补助资金10.55万元，于2024年5月到位，</w:t>
      </w:r>
      <w:r>
        <w:rPr>
          <w:rFonts w:hint="default" w:ascii="Times New Roman" w:hAnsi="Times New Roman" w:eastAsia="方正仿宋_GBK" w:cs="Times New Roman"/>
          <w:sz w:val="32"/>
          <w:szCs w:val="32"/>
          <w:lang w:val="zh-CN"/>
        </w:rPr>
        <w:t>资金支付率</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rPr>
        <w:t>2024年结合“我们的节日”及科普宣传知识、移风易俗等内容开展新时代文明实践活动5次，心理沙龙活动6次，共支付补助资金10.55万元（大写：拾万伍仟伍佰叁拾捌元柒角），</w:t>
      </w:r>
      <w:r>
        <w:rPr>
          <w:rFonts w:hint="default" w:ascii="Times New Roman" w:hAnsi="Times New Roman" w:eastAsia="方正仿宋_GBK" w:cs="Times New Roman"/>
          <w:sz w:val="32"/>
          <w:szCs w:val="32"/>
          <w:lang w:val="zh-CN"/>
        </w:rPr>
        <w:t>资金开支范围、标准及支付进度、支付依据合规合法，资金支付与预算相符。</w:t>
      </w:r>
    </w:p>
    <w:p w14:paraId="2AF983BD">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w:t>
      </w:r>
      <w:r>
        <w:rPr>
          <w:rFonts w:hint="default" w:ascii="Times New Roman" w:hAnsi="Times New Roman" w:eastAsia="方正楷体_GBK" w:cs="Times New Roman"/>
          <w:b/>
          <w:bCs/>
          <w:sz w:val="32"/>
          <w:szCs w:val="32"/>
        </w:rPr>
        <w:t>二</w:t>
      </w:r>
      <w:r>
        <w:rPr>
          <w:rFonts w:hint="default" w:ascii="Times New Roman" w:hAnsi="Times New Roman" w:eastAsia="方正楷体_GBK" w:cs="Times New Roman"/>
          <w:b/>
          <w:bCs/>
          <w:sz w:val="32"/>
          <w:szCs w:val="32"/>
          <w:lang w:val="zh-CN"/>
        </w:rPr>
        <w:t>）项目财务管理情况。</w:t>
      </w:r>
    </w:p>
    <w:p w14:paraId="2DB89EA6">
      <w:pPr>
        <w:adjustRightInd w:val="0"/>
        <w:snapToGrid w:val="0"/>
        <w:spacing w:line="600" w:lineRule="exact"/>
        <w:ind w:firstLine="720"/>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lang w:val="zh-CN"/>
        </w:rPr>
        <w:t>项目严格按照财务管理制度、会计核算及账务处理等制度进行管理。根据项目资金管理办法，项目严格执行财务管理制度、财务处理及时、会计核算规范。</w:t>
      </w:r>
    </w:p>
    <w:p w14:paraId="26DBF59E">
      <w:pPr>
        <w:adjustRightInd w:val="0"/>
        <w:snapToGrid w:val="0"/>
        <w:spacing w:line="600" w:lineRule="exact"/>
        <w:ind w:firstLine="720"/>
        <w:rPr>
          <w:rFonts w:hint="default" w:ascii="Times New Roman" w:hAnsi="Times New Roman" w:eastAsia="方正黑体_GBK" w:cs="Times New Roman"/>
        </w:rPr>
      </w:pPr>
      <w:r>
        <w:rPr>
          <w:rFonts w:hint="default" w:ascii="Times New Roman" w:hAnsi="Times New Roman" w:eastAsia="方正黑体_GBK" w:cs="Times New Roman"/>
          <w:sz w:val="32"/>
          <w:szCs w:val="32"/>
        </w:rPr>
        <w:t>三、项目实施及管理情况</w:t>
      </w:r>
    </w:p>
    <w:p w14:paraId="0E91BE14">
      <w:pPr>
        <w:adjustRightInd w:val="0"/>
        <w:snapToGrid w:val="0"/>
        <w:spacing w:line="600" w:lineRule="exact"/>
        <w:ind w:firstLine="720"/>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lang w:val="zh-CN"/>
        </w:rPr>
        <w:t>项目设置管理小组、质量监督小组严格按照相关政策规定，程序组织实施，招投标</w:t>
      </w:r>
      <w:r>
        <w:rPr>
          <w:rFonts w:hint="default" w:ascii="Times New Roman" w:hAnsi="Times New Roman" w:eastAsia="方正仿宋_GBK" w:cs="Times New Roman"/>
          <w:sz w:val="32"/>
          <w:szCs w:val="32"/>
        </w:rPr>
        <w:t>严格按照相关规定执行，并全过程公示公开确定项目实施队伍，</w:t>
      </w:r>
      <w:r>
        <w:rPr>
          <w:rFonts w:hint="default" w:ascii="Times New Roman" w:hAnsi="Times New Roman" w:eastAsia="方正仿宋_GBK" w:cs="Times New Roman"/>
          <w:sz w:val="32"/>
          <w:szCs w:val="32"/>
          <w:lang w:val="zh-CN"/>
        </w:rPr>
        <w:t>按程序进行项目公示、监督、验收。</w:t>
      </w:r>
      <w:bookmarkStart w:id="64" w:name="_GoBack"/>
      <w:bookmarkEnd w:id="64"/>
    </w:p>
    <w:p w14:paraId="06127BBF">
      <w:pPr>
        <w:adjustRightInd w:val="0"/>
        <w:snapToGrid w:val="0"/>
        <w:spacing w:line="600" w:lineRule="exact"/>
        <w:ind w:firstLine="720"/>
        <w:rPr>
          <w:rFonts w:hint="default" w:ascii="Times New Roman" w:hAnsi="Times New Roman" w:eastAsia="方正黑体_GBK" w:cs="Times New Roman"/>
          <w:lang w:val="zh-CN"/>
        </w:rPr>
      </w:pPr>
      <w:r>
        <w:rPr>
          <w:rFonts w:hint="default" w:ascii="Times New Roman" w:hAnsi="Times New Roman" w:eastAsia="方正黑体_GBK" w:cs="Times New Roman"/>
          <w:sz w:val="32"/>
          <w:szCs w:val="32"/>
        </w:rPr>
        <w:t>四、项目绩效情况</w:t>
      </w:r>
      <w:r>
        <w:rPr>
          <w:rFonts w:hint="default" w:ascii="Times New Roman" w:hAnsi="Times New Roman" w:eastAsia="方正黑体_GBK" w:cs="Times New Roman"/>
          <w:sz w:val="32"/>
          <w:szCs w:val="32"/>
          <w:lang w:val="zh-CN"/>
        </w:rPr>
        <w:tab/>
      </w:r>
    </w:p>
    <w:p w14:paraId="0CB7D798">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（一）项目完成情况。</w:t>
      </w:r>
    </w:p>
    <w:p w14:paraId="4134B8E8">
      <w:pPr>
        <w:adjustRightInd w:val="0"/>
        <w:snapToGrid w:val="0"/>
        <w:spacing w:line="600" w:lineRule="exact"/>
        <w:ind w:firstLine="720"/>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lang w:val="zh-CN"/>
        </w:rPr>
        <w:t>依托新时代文明实践中心（所、站）为阵地，积极组织开展“笮悦慧大讲堂”“全民阅读”“</w:t>
      </w:r>
      <w:r>
        <w:rPr>
          <w:rFonts w:hint="default" w:ascii="Times New Roman" w:hAnsi="Times New Roman" w:eastAsia="方正仿宋_GBK" w:cs="Times New Roman"/>
          <w:sz w:val="32"/>
          <w:szCs w:val="32"/>
        </w:rPr>
        <w:t>我们的节日</w:t>
      </w:r>
      <w:r>
        <w:rPr>
          <w:rFonts w:hint="default" w:ascii="Times New Roman" w:hAnsi="Times New Roman" w:eastAsia="方正仿宋_GBK" w:cs="Times New Roman"/>
          <w:sz w:val="32"/>
          <w:szCs w:val="32"/>
          <w:lang w:val="zh-CN"/>
        </w:rPr>
        <w:t>”“心理沙龙”等新时代文明实践志愿服务活动</w:t>
      </w:r>
      <w:r>
        <w:rPr>
          <w:rFonts w:hint="default" w:ascii="Times New Roman" w:hAnsi="Times New Roman" w:eastAsia="方正仿宋_GBK" w:cs="Times New Roman"/>
          <w:sz w:val="32"/>
          <w:szCs w:val="32"/>
        </w:rPr>
        <w:t>60</w:t>
      </w:r>
      <w:r>
        <w:rPr>
          <w:rFonts w:hint="default" w:ascii="Times New Roman" w:hAnsi="Times New Roman" w:eastAsia="方正仿宋_GBK" w:cs="Times New Roman"/>
          <w:sz w:val="32"/>
          <w:szCs w:val="32"/>
          <w:lang w:val="zh-CN"/>
        </w:rPr>
        <w:t>余场。</w:t>
      </w:r>
    </w:p>
    <w:p w14:paraId="3B90A86A">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（二）项目效益情况。</w:t>
      </w:r>
    </w:p>
    <w:p w14:paraId="44CF4247">
      <w:pPr>
        <w:adjustRightInd w:val="0"/>
        <w:snapToGrid w:val="0"/>
        <w:spacing w:line="600" w:lineRule="exact"/>
        <w:ind w:firstLine="720"/>
        <w:rPr>
          <w:rFonts w:hint="default" w:ascii="Times New Roman" w:hAnsi="Times New Roman" w:eastAsia="方正仿宋_GBK" w:cs="Times New Roman"/>
        </w:rPr>
      </w:pPr>
      <w:r>
        <w:rPr>
          <w:rFonts w:hint="default" w:ascii="Times New Roman" w:hAnsi="Times New Roman" w:eastAsia="方正仿宋_GBK" w:cs="Times New Roman"/>
          <w:sz w:val="32"/>
          <w:szCs w:val="32"/>
        </w:rPr>
        <w:t>加强文明实践阵地建设，为全县新时代文明实践工作开展奠定了坚实基础，开展业务骨干培训提高了工作人员的业务能力，推进日常管理工作的规范化，持续开展学习践行科学理论、宣传宣讲党的政策、培育践行主流价值、丰富活跃文化生活、移风易俗等文明实践活动持续推进“身边好人”“道德模范”典型选树主题活动，提高了社会文明程度，不断筑牢城乡基层思想文化阵地，促进人民精神生活共同富裕。</w:t>
      </w:r>
    </w:p>
    <w:p w14:paraId="4DF75F3C">
      <w:pPr>
        <w:adjustRightInd w:val="0"/>
        <w:snapToGrid w:val="0"/>
        <w:spacing w:line="600" w:lineRule="exact"/>
        <w:ind w:firstLine="720"/>
        <w:rPr>
          <w:rFonts w:hint="default" w:ascii="Times New Roman" w:hAnsi="Times New Roman" w:eastAsia="方正黑体_GBK" w:cs="Times New Roman"/>
        </w:rPr>
      </w:pPr>
      <w:r>
        <w:rPr>
          <w:rFonts w:hint="default" w:ascii="Times New Roman" w:hAnsi="Times New Roman" w:eastAsia="方正黑体_GBK" w:cs="Times New Roman"/>
          <w:sz w:val="32"/>
          <w:szCs w:val="32"/>
        </w:rPr>
        <w:t>五、评价结论及建议</w:t>
      </w:r>
    </w:p>
    <w:p w14:paraId="4C0E003E">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（一）评价结论。</w:t>
      </w:r>
    </w:p>
    <w:p w14:paraId="1794287B">
      <w:pPr>
        <w:adjustRightInd w:val="0"/>
        <w:snapToGrid w:val="0"/>
        <w:spacing w:line="600" w:lineRule="exact"/>
        <w:ind w:firstLine="720"/>
        <w:rPr>
          <w:rFonts w:hint="default" w:ascii="Times New Roman" w:hAnsi="Times New Roman" w:eastAsia="方正仿宋_GBK" w:cs="Times New Roman"/>
        </w:rPr>
      </w:pPr>
      <w:r>
        <w:rPr>
          <w:rFonts w:hint="default" w:ascii="Times New Roman" w:hAnsi="Times New Roman" w:eastAsia="方正仿宋_GBK" w:cs="Times New Roman"/>
          <w:sz w:val="32"/>
          <w:szCs w:val="32"/>
        </w:rPr>
        <w:t>新时代文明实践中心（所、站）建设工作按照中央标准化建设有序推进，设定目标绩效指标值均已完成</w:t>
      </w:r>
    </w:p>
    <w:p w14:paraId="1A148208">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（二）存在的问题。</w:t>
      </w:r>
    </w:p>
    <w:p w14:paraId="6F488DF4">
      <w:pPr>
        <w:adjustRightInd w:val="0"/>
        <w:snapToGrid w:val="0"/>
        <w:spacing w:line="600" w:lineRule="exact"/>
        <w:ind w:firstLine="720"/>
        <w:rPr>
          <w:rFonts w:hint="default" w:ascii="Times New Roman" w:hAnsi="Times New Roman" w:eastAsia="方正仿宋_GBK" w:cs="Times New Roman"/>
          <w:lang w:val="zh-CN"/>
        </w:rPr>
      </w:pPr>
      <w:r>
        <w:rPr>
          <w:rFonts w:hint="default" w:ascii="Times New Roman" w:hAnsi="Times New Roman" w:eastAsia="方正仿宋_GBK" w:cs="Times New Roman"/>
          <w:sz w:val="32"/>
          <w:szCs w:val="32"/>
        </w:rPr>
        <w:t>无</w:t>
      </w:r>
      <w:r>
        <w:rPr>
          <w:rFonts w:hint="default" w:ascii="Times New Roman" w:hAnsi="Times New Roman" w:eastAsia="方正仿宋_GBK" w:cs="Times New Roman"/>
          <w:sz w:val="32"/>
          <w:szCs w:val="32"/>
          <w:lang w:val="zh-CN"/>
        </w:rPr>
        <w:tab/>
      </w:r>
    </w:p>
    <w:p w14:paraId="46E9571F">
      <w:pPr>
        <w:adjustRightInd w:val="0"/>
        <w:snapToGrid w:val="0"/>
        <w:spacing w:line="600" w:lineRule="exact"/>
        <w:ind w:firstLine="720"/>
        <w:rPr>
          <w:rFonts w:hint="default" w:ascii="Times New Roman" w:hAnsi="Times New Roman" w:eastAsia="方正楷体_GBK" w:cs="Times New Roman"/>
          <w:b/>
          <w:bCs/>
          <w:lang w:val="zh-CN"/>
        </w:rPr>
      </w:pPr>
      <w:r>
        <w:rPr>
          <w:rFonts w:hint="default" w:ascii="Times New Roman" w:hAnsi="Times New Roman" w:eastAsia="方正楷体_GBK" w:cs="Times New Roman"/>
          <w:b/>
          <w:bCs/>
          <w:sz w:val="32"/>
          <w:szCs w:val="32"/>
          <w:lang w:val="zh-CN"/>
        </w:rPr>
        <w:t>（三）相关建议。</w:t>
      </w:r>
    </w:p>
    <w:p w14:paraId="538D5FDD">
      <w:pPr>
        <w:adjustRightInd w:val="0"/>
        <w:snapToGrid w:val="0"/>
        <w:spacing w:line="600" w:lineRule="exact"/>
        <w:ind w:firstLine="720"/>
        <w:rPr>
          <w:rFonts w:hint="default" w:ascii="Times New Roman" w:hAnsi="Times New Roman" w:eastAsia="方正仿宋_GBK" w:cs="Times New Roman"/>
        </w:rPr>
      </w:pPr>
      <w:r>
        <w:rPr>
          <w:rFonts w:hint="default" w:ascii="Times New Roman" w:hAnsi="Times New Roman" w:eastAsia="方正仿宋_GBK" w:cs="Times New Roman"/>
          <w:sz w:val="32"/>
          <w:szCs w:val="32"/>
        </w:rPr>
        <w:t>无</w:t>
      </w:r>
    </w:p>
    <w:p w14:paraId="539A301D">
      <w:pPr>
        <w:rPr>
          <w:rFonts w:hint="default" w:ascii="Times New Roman" w:hAnsi="Times New Roman" w:cs="Times New Roman"/>
        </w:rPr>
      </w:pPr>
    </w:p>
    <w:p w14:paraId="58B08BB5">
      <w:pPr>
        <w:spacing w:line="578" w:lineRule="exact"/>
        <w:ind w:firstLine="640"/>
        <w:rPr>
          <w:rFonts w:hint="default" w:ascii="Times New Roman" w:hAnsi="Times New Roman" w:eastAsia="仿宋_GB2312" w:cs="Times New Roman"/>
          <w:kern w:val="0"/>
          <w:sz w:val="32"/>
          <w:szCs w:val="32"/>
        </w:rPr>
      </w:pPr>
      <w:bookmarkStart w:id="50" w:name="_Toc15396618"/>
      <w:r>
        <w:rPr>
          <w:rFonts w:hint="default" w:ascii="Times New Roman" w:hAnsi="Times New Roman" w:eastAsia="仿宋_GB2312" w:cs="Times New Roman"/>
          <w:kern w:val="0"/>
          <w:sz w:val="32"/>
          <w:szCs w:val="32"/>
        </w:rPr>
        <w:br w:type="page"/>
      </w:r>
    </w:p>
    <w:p w14:paraId="1D10BEFD">
      <w:pPr>
        <w:widowControl/>
        <w:jc w:val="center"/>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28"/>
          <w:rFonts w:hint="default" w:ascii="Times New Roman" w:hAnsi="Times New Roman" w:eastAsia="黑体" w:cs="Times New Roman"/>
          <w:b w:val="0"/>
        </w:rPr>
        <w:t>五部分 附表</w:t>
      </w:r>
      <w:bookmarkEnd w:id="14"/>
      <w:bookmarkEnd w:id="50"/>
      <w:bookmarkStart w:id="51" w:name="_Toc15396619"/>
    </w:p>
    <w:p w14:paraId="1D563B3F">
      <w:pPr>
        <w:pStyle w:val="15"/>
        <w:adjustRightInd w:val="0"/>
        <w:snapToGrid w:val="0"/>
        <w:spacing w:line="560" w:lineRule="exact"/>
        <w:jc w:val="left"/>
        <w:rPr>
          <w:rFonts w:hint="default" w:ascii="Times New Roman" w:hAnsi="Times New Roman" w:eastAsia="仿宋_GB2312" w:cs="Times New Roman"/>
          <w:sz w:val="32"/>
          <w:szCs w:val="32"/>
        </w:rPr>
      </w:pPr>
    </w:p>
    <w:p w14:paraId="65061B5D">
      <w:pPr>
        <w:pStyle w:val="15"/>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51"/>
    </w:p>
    <w:p w14:paraId="52493DC7">
      <w:pPr>
        <w:pStyle w:val="15"/>
        <w:adjustRightInd w:val="0"/>
        <w:snapToGrid w:val="0"/>
        <w:spacing w:line="560" w:lineRule="exact"/>
        <w:jc w:val="left"/>
        <w:rPr>
          <w:rFonts w:hint="default" w:ascii="Times New Roman" w:hAnsi="Times New Roman" w:eastAsia="仿宋_GB2312" w:cs="Times New Roman"/>
          <w:sz w:val="32"/>
          <w:szCs w:val="32"/>
        </w:rPr>
      </w:pPr>
      <w:bookmarkStart w:id="52" w:name="_Toc15396620"/>
      <w:r>
        <w:rPr>
          <w:rFonts w:hint="default" w:ascii="Times New Roman" w:hAnsi="Times New Roman" w:eastAsia="仿宋_GB2312" w:cs="Times New Roman"/>
          <w:sz w:val="32"/>
          <w:szCs w:val="32"/>
        </w:rPr>
        <w:t>二、收入决算表</w:t>
      </w:r>
      <w:bookmarkEnd w:id="52"/>
    </w:p>
    <w:p w14:paraId="5C822C4E">
      <w:pPr>
        <w:pStyle w:val="15"/>
        <w:adjustRightInd w:val="0"/>
        <w:snapToGrid w:val="0"/>
        <w:spacing w:line="560" w:lineRule="exact"/>
        <w:jc w:val="left"/>
        <w:rPr>
          <w:rFonts w:hint="default" w:ascii="Times New Roman" w:hAnsi="Times New Roman" w:eastAsia="仿宋_GB2312" w:cs="Times New Roman"/>
          <w:sz w:val="32"/>
          <w:szCs w:val="32"/>
        </w:rPr>
      </w:pPr>
      <w:bookmarkStart w:id="53" w:name="_Toc15396621"/>
      <w:r>
        <w:rPr>
          <w:rFonts w:hint="default" w:ascii="Times New Roman" w:hAnsi="Times New Roman" w:eastAsia="仿宋_GB2312" w:cs="Times New Roman"/>
          <w:sz w:val="32"/>
          <w:szCs w:val="32"/>
        </w:rPr>
        <w:t>三、支出决算表</w:t>
      </w:r>
      <w:bookmarkEnd w:id="53"/>
    </w:p>
    <w:p w14:paraId="089F20BF">
      <w:pPr>
        <w:pStyle w:val="15"/>
        <w:adjustRightInd w:val="0"/>
        <w:snapToGrid w:val="0"/>
        <w:spacing w:line="560" w:lineRule="exact"/>
        <w:jc w:val="left"/>
        <w:rPr>
          <w:rFonts w:hint="default" w:ascii="Times New Roman" w:hAnsi="Times New Roman" w:eastAsia="仿宋_GB2312" w:cs="Times New Roman"/>
          <w:sz w:val="32"/>
          <w:szCs w:val="32"/>
        </w:rPr>
      </w:pPr>
      <w:bookmarkStart w:id="54" w:name="_Toc15396622"/>
      <w:r>
        <w:rPr>
          <w:rFonts w:hint="default" w:ascii="Times New Roman" w:hAnsi="Times New Roman" w:eastAsia="仿宋_GB2312" w:cs="Times New Roman"/>
          <w:sz w:val="32"/>
          <w:szCs w:val="32"/>
        </w:rPr>
        <w:t>四、财政拨款收入支出决算总表</w:t>
      </w:r>
      <w:bookmarkEnd w:id="54"/>
    </w:p>
    <w:p w14:paraId="7C9F52B3">
      <w:pPr>
        <w:pStyle w:val="15"/>
        <w:adjustRightInd w:val="0"/>
        <w:snapToGrid w:val="0"/>
        <w:spacing w:line="560" w:lineRule="exact"/>
        <w:jc w:val="left"/>
        <w:rPr>
          <w:rFonts w:hint="default" w:ascii="Times New Roman" w:hAnsi="Times New Roman" w:eastAsia="仿宋_GB2312" w:cs="Times New Roman"/>
          <w:sz w:val="32"/>
          <w:szCs w:val="32"/>
        </w:rPr>
      </w:pPr>
      <w:bookmarkStart w:id="55" w:name="_Toc15396623"/>
      <w:r>
        <w:rPr>
          <w:rFonts w:hint="default" w:ascii="Times New Roman" w:hAnsi="Times New Roman" w:eastAsia="仿宋_GB2312" w:cs="Times New Roman"/>
          <w:sz w:val="32"/>
          <w:szCs w:val="32"/>
        </w:rPr>
        <w:t>五、财政拨款支出决算明细表</w:t>
      </w:r>
      <w:bookmarkEnd w:id="55"/>
      <w:bookmarkStart w:id="56" w:name="_Toc15396624"/>
    </w:p>
    <w:p w14:paraId="669D71FF">
      <w:pPr>
        <w:pStyle w:val="15"/>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56"/>
    </w:p>
    <w:p w14:paraId="483D0C70">
      <w:pPr>
        <w:pStyle w:val="15"/>
        <w:adjustRightInd w:val="0"/>
        <w:snapToGrid w:val="0"/>
        <w:spacing w:line="560" w:lineRule="exact"/>
        <w:jc w:val="left"/>
        <w:rPr>
          <w:rFonts w:hint="default" w:ascii="Times New Roman" w:hAnsi="Times New Roman" w:eastAsia="仿宋_GB2312" w:cs="Times New Roman"/>
          <w:sz w:val="32"/>
          <w:szCs w:val="32"/>
        </w:rPr>
      </w:pPr>
      <w:bookmarkStart w:id="57" w:name="_Toc15396625"/>
      <w:r>
        <w:rPr>
          <w:rFonts w:hint="default" w:ascii="Times New Roman" w:hAnsi="Times New Roman" w:eastAsia="仿宋_GB2312" w:cs="Times New Roman"/>
          <w:sz w:val="32"/>
          <w:szCs w:val="32"/>
        </w:rPr>
        <w:t>七、一般公共预算财政拨款支出决算明细表</w:t>
      </w:r>
      <w:bookmarkEnd w:id="57"/>
    </w:p>
    <w:p w14:paraId="1C9074AC">
      <w:pPr>
        <w:pStyle w:val="15"/>
        <w:adjustRightInd w:val="0"/>
        <w:snapToGrid w:val="0"/>
        <w:spacing w:line="560" w:lineRule="exact"/>
        <w:jc w:val="left"/>
        <w:rPr>
          <w:rFonts w:hint="default" w:ascii="Times New Roman" w:hAnsi="Times New Roman" w:eastAsia="仿宋_GB2312" w:cs="Times New Roman"/>
          <w:sz w:val="32"/>
          <w:szCs w:val="32"/>
        </w:rPr>
      </w:pPr>
      <w:bookmarkStart w:id="58" w:name="_Toc15396626"/>
      <w:r>
        <w:rPr>
          <w:rFonts w:hint="default" w:ascii="Times New Roman" w:hAnsi="Times New Roman" w:eastAsia="仿宋_GB2312" w:cs="Times New Roman"/>
          <w:sz w:val="32"/>
          <w:szCs w:val="32"/>
        </w:rPr>
        <w:t>八、一般公共预算财政拨款基本支出决算表</w:t>
      </w:r>
      <w:bookmarkEnd w:id="58"/>
    </w:p>
    <w:p w14:paraId="08AE7FED">
      <w:pPr>
        <w:pStyle w:val="15"/>
        <w:adjustRightInd w:val="0"/>
        <w:snapToGrid w:val="0"/>
        <w:spacing w:line="560" w:lineRule="exact"/>
        <w:jc w:val="left"/>
        <w:rPr>
          <w:rFonts w:hint="default" w:ascii="Times New Roman" w:hAnsi="Times New Roman" w:eastAsia="仿宋_GB2312" w:cs="Times New Roman"/>
          <w:sz w:val="32"/>
          <w:szCs w:val="32"/>
        </w:rPr>
      </w:pPr>
      <w:bookmarkStart w:id="59" w:name="_Toc15396627"/>
      <w:r>
        <w:rPr>
          <w:rFonts w:hint="default" w:ascii="Times New Roman" w:hAnsi="Times New Roman" w:eastAsia="仿宋_GB2312" w:cs="Times New Roman"/>
          <w:sz w:val="32"/>
          <w:szCs w:val="32"/>
        </w:rPr>
        <w:t>九、一般公共预算财政拨款项目支出决算表</w:t>
      </w:r>
      <w:bookmarkEnd w:id="59"/>
    </w:p>
    <w:p w14:paraId="68433498">
      <w:pPr>
        <w:pStyle w:val="15"/>
        <w:adjustRightInd w:val="0"/>
        <w:snapToGrid w:val="0"/>
        <w:spacing w:line="560" w:lineRule="exact"/>
        <w:jc w:val="left"/>
        <w:rPr>
          <w:rFonts w:hint="default" w:ascii="Times New Roman" w:hAnsi="Times New Roman" w:eastAsia="仿宋_GB2312" w:cs="Times New Roman"/>
          <w:sz w:val="32"/>
          <w:szCs w:val="32"/>
        </w:rPr>
      </w:pPr>
      <w:bookmarkStart w:id="60" w:name="_Toc15396628"/>
      <w:r>
        <w:rPr>
          <w:rFonts w:hint="default" w:ascii="Times New Roman" w:hAnsi="Times New Roman" w:eastAsia="仿宋_GB2312" w:cs="Times New Roman"/>
          <w:sz w:val="32"/>
          <w:szCs w:val="32"/>
        </w:rPr>
        <w:t>十、</w:t>
      </w:r>
      <w:bookmarkEnd w:id="60"/>
      <w:r>
        <w:rPr>
          <w:rFonts w:hint="default" w:ascii="Times New Roman" w:hAnsi="Times New Roman" w:eastAsia="仿宋_GB2312" w:cs="Times New Roman"/>
          <w:sz w:val="32"/>
          <w:szCs w:val="32"/>
        </w:rPr>
        <w:t>政府性基金预算财政拨款收入支出决算表</w:t>
      </w:r>
    </w:p>
    <w:p w14:paraId="68959085">
      <w:pPr>
        <w:pStyle w:val="15"/>
        <w:adjustRightInd w:val="0"/>
        <w:snapToGrid w:val="0"/>
        <w:spacing w:line="560" w:lineRule="exact"/>
        <w:jc w:val="left"/>
        <w:rPr>
          <w:rFonts w:hint="default" w:ascii="Times New Roman" w:hAnsi="Times New Roman" w:eastAsia="仿宋_GB2312" w:cs="Times New Roman"/>
          <w:sz w:val="32"/>
          <w:szCs w:val="32"/>
        </w:rPr>
      </w:pPr>
      <w:bookmarkStart w:id="61" w:name="_Toc15396629"/>
      <w:r>
        <w:rPr>
          <w:rFonts w:hint="default" w:ascii="Times New Roman" w:hAnsi="Times New Roman" w:eastAsia="仿宋_GB2312" w:cs="Times New Roman"/>
          <w:sz w:val="32"/>
          <w:szCs w:val="32"/>
        </w:rPr>
        <w:t>十一、</w:t>
      </w:r>
      <w:bookmarkEnd w:id="61"/>
      <w:r>
        <w:rPr>
          <w:rFonts w:hint="default" w:ascii="Times New Roman" w:hAnsi="Times New Roman" w:eastAsia="仿宋_GB2312" w:cs="Times New Roman"/>
          <w:sz w:val="32"/>
          <w:szCs w:val="32"/>
        </w:rPr>
        <w:t>国有资本经营预算财政拨款收入支出决算表</w:t>
      </w:r>
    </w:p>
    <w:p w14:paraId="73E101A7">
      <w:pPr>
        <w:pStyle w:val="15"/>
        <w:adjustRightInd w:val="0"/>
        <w:snapToGrid w:val="0"/>
        <w:spacing w:line="560" w:lineRule="exact"/>
        <w:jc w:val="left"/>
        <w:rPr>
          <w:rFonts w:hint="default" w:ascii="Times New Roman" w:hAnsi="Times New Roman" w:eastAsia="仿宋_GB2312" w:cs="Times New Roman"/>
          <w:sz w:val="32"/>
          <w:szCs w:val="32"/>
        </w:rPr>
      </w:pPr>
      <w:bookmarkStart w:id="62" w:name="_Toc15396630"/>
      <w:r>
        <w:rPr>
          <w:rFonts w:hint="default" w:ascii="Times New Roman" w:hAnsi="Times New Roman" w:eastAsia="仿宋_GB2312" w:cs="Times New Roman"/>
          <w:sz w:val="32"/>
          <w:szCs w:val="32"/>
        </w:rPr>
        <w:t>十二、</w:t>
      </w:r>
      <w:bookmarkEnd w:id="62"/>
      <w:r>
        <w:rPr>
          <w:rFonts w:hint="default" w:ascii="Times New Roman" w:hAnsi="Times New Roman" w:eastAsia="仿宋_GB2312" w:cs="Times New Roman"/>
          <w:sz w:val="32"/>
          <w:szCs w:val="32"/>
        </w:rPr>
        <w:t>国有资本经营预算财政拨款支出决算表</w:t>
      </w:r>
    </w:p>
    <w:p w14:paraId="67D78737">
      <w:pPr>
        <w:pStyle w:val="15"/>
        <w:adjustRightInd w:val="0"/>
        <w:snapToGrid w:val="0"/>
        <w:spacing w:line="560" w:lineRule="exact"/>
        <w:jc w:val="left"/>
        <w:rPr>
          <w:rFonts w:hint="default" w:ascii="Times New Roman" w:hAnsi="Times New Roman" w:eastAsia="仿宋_GB2312" w:cs="Times New Roman"/>
          <w:sz w:val="32"/>
          <w:szCs w:val="32"/>
        </w:rPr>
      </w:pPr>
      <w:bookmarkStart w:id="63" w:name="_Toc15396631"/>
      <w:r>
        <w:rPr>
          <w:rFonts w:hint="default" w:ascii="Times New Roman" w:hAnsi="Times New Roman" w:eastAsia="仿宋_GB2312" w:cs="Times New Roman"/>
          <w:sz w:val="32"/>
          <w:szCs w:val="32"/>
        </w:rPr>
        <w:t>十三、</w:t>
      </w:r>
      <w:bookmarkEnd w:id="63"/>
      <w:r>
        <w:rPr>
          <w:rFonts w:hint="default" w:ascii="Times New Roman" w:hAnsi="Times New Roman" w:eastAsia="仿宋_GB2312" w:cs="Times New Roman"/>
          <w:sz w:val="32"/>
          <w:szCs w:val="32"/>
        </w:rPr>
        <w:t>财政拨款“三公”经费支出决算表</w:t>
      </w:r>
    </w:p>
    <w:p w14:paraId="4154118D">
      <w:pPr>
        <w:rPr>
          <w:rFonts w:hint="default" w:ascii="Times New Roman" w:hAnsi="Times New Roman" w:cs="Times New Roma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61C">
    <w:pPr>
      <w:pStyle w:val="11"/>
      <w:jc w:val="center"/>
    </w:pPr>
  </w:p>
  <w:p w14:paraId="439C8C8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48337"/>
      <w:docPartObj>
        <w:docPartGallery w:val="autotext"/>
      </w:docPartObj>
    </w:sdtPr>
    <w:sdtContent>
      <w:p w14:paraId="26153535">
        <w:pPr>
          <w:pStyle w:val="11"/>
          <w:jc w:val="right"/>
        </w:pPr>
        <w:r>
          <w:fldChar w:fldCharType="begin"/>
        </w:r>
        <w:r>
          <w:instrText xml:space="preserve"> PAGE   \* MERGEFORMAT </w:instrText>
        </w:r>
        <w:r>
          <w:fldChar w:fldCharType="separate"/>
        </w:r>
        <w:r>
          <w:rPr>
            <w:lang w:val="zh-CN"/>
          </w:rPr>
          <w:t>-</w:t>
        </w:r>
        <w:r>
          <w:t xml:space="preserve"> 42 -</w:t>
        </w:r>
        <w:r>
          <w:fldChar w:fldCharType="end"/>
        </w:r>
      </w:p>
    </w:sdtContent>
  </w:sdt>
  <w:p w14:paraId="4228D0FB">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48338"/>
      <w:docPartObj>
        <w:docPartGallery w:val="autotext"/>
      </w:docPartObj>
    </w:sdtPr>
    <w:sdtContent>
      <w:p w14:paraId="62980563">
        <w:pPr>
          <w:pStyle w:val="11"/>
          <w:jc w:val="right"/>
        </w:pPr>
        <w:r>
          <w:fldChar w:fldCharType="begin"/>
        </w:r>
        <w:r>
          <w:instrText xml:space="preserve"> PAGE   \* MERGEFORMAT </w:instrText>
        </w:r>
        <w:r>
          <w:fldChar w:fldCharType="separate"/>
        </w:r>
        <w:r>
          <w:rPr>
            <w:lang w:val="zh-CN"/>
          </w:rPr>
          <w:t>-</w:t>
        </w:r>
        <w:r>
          <w:t xml:space="preserve"> 1 -</w:t>
        </w:r>
        <w:r>
          <w:fldChar w:fldCharType="end"/>
        </w:r>
      </w:p>
    </w:sdtContent>
  </w:sdt>
  <w:p w14:paraId="41DE74B6">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1344C">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E7DBB"/>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3220"/>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86417"/>
    <w:rsid w:val="003A484F"/>
    <w:rsid w:val="003A4883"/>
    <w:rsid w:val="003B0BE0"/>
    <w:rsid w:val="003B0C1B"/>
    <w:rsid w:val="003B688C"/>
    <w:rsid w:val="003C0291"/>
    <w:rsid w:val="003C2A0B"/>
    <w:rsid w:val="003C39AE"/>
    <w:rsid w:val="003C7B60"/>
    <w:rsid w:val="003D0C0F"/>
    <w:rsid w:val="003D1FB2"/>
    <w:rsid w:val="003D241C"/>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E7860"/>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E3BEE"/>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36B3"/>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E5D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692F67"/>
    <w:rsid w:val="16B831D5"/>
    <w:rsid w:val="16BB723D"/>
    <w:rsid w:val="17E50567"/>
    <w:rsid w:val="186504BB"/>
    <w:rsid w:val="19A445FC"/>
    <w:rsid w:val="1BAD4F97"/>
    <w:rsid w:val="1BE8440E"/>
    <w:rsid w:val="1CC6347C"/>
    <w:rsid w:val="1D155CEE"/>
    <w:rsid w:val="1D1638FE"/>
    <w:rsid w:val="1E312DEB"/>
    <w:rsid w:val="1E740ACF"/>
    <w:rsid w:val="1FF35744"/>
    <w:rsid w:val="1FF6BC77"/>
    <w:rsid w:val="2186353C"/>
    <w:rsid w:val="23860B96"/>
    <w:rsid w:val="240371BF"/>
    <w:rsid w:val="244F3473"/>
    <w:rsid w:val="24C97D99"/>
    <w:rsid w:val="259C0C49"/>
    <w:rsid w:val="25A718F0"/>
    <w:rsid w:val="25BB59F6"/>
    <w:rsid w:val="260F557C"/>
    <w:rsid w:val="26970054"/>
    <w:rsid w:val="281408E2"/>
    <w:rsid w:val="283E0C0C"/>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CF1F84"/>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normal"/>
    <w:basedOn w:val="1"/>
    <w:semiHidden/>
    <w:qFormat/>
    <w:uiPriority w:val="99"/>
    <w:pPr>
      <w:spacing w:before="100" w:beforeAutospacing="1" w:after="100" w:afterAutospacing="1"/>
    </w:pPr>
    <w:rPr>
      <w:rFonts w:ascii="Calibri" w:hAnsi="Calibri"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image" Target="media/image1.GI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3459;&#20256;&#37096;&#20915;&#31639;&#22270;&#34920;(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收入、支出决算总计变动情况</a:t>
            </a:r>
            <a:endParaRPr lang="zh-CN" altLang="en-US"/>
          </a:p>
        </c:rich>
      </c:tx>
      <c:layout>
        <c:manualLayout>
          <c:xMode val="edge"/>
          <c:yMode val="edge"/>
          <c:x val="0.275216243593654"/>
          <c:y val="0.0317848410757947"/>
        </c:manualLayout>
      </c:layout>
      <c:overlay val="0"/>
      <c:spPr>
        <a:noFill/>
        <a:ln w="25400">
          <a:noFill/>
        </a:ln>
      </c:spPr>
    </c:title>
    <c:autoTitleDeleted val="0"/>
    <c:plotArea>
      <c:layout>
        <c:manualLayout>
          <c:layoutTarget val="inner"/>
          <c:xMode val="edge"/>
          <c:yMode val="edge"/>
          <c:x val="0.0763689298119836"/>
          <c:y val="0.183374302049471"/>
          <c:w val="0.70028867714385"/>
          <c:h val="0.701712329175974"/>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975.819999999999</c:v>
                </c:pt>
                <c:pt idx="1">
                  <c:v>1109.21</c:v>
                </c:pt>
              </c:numCache>
            </c:numRef>
          </c:val>
        </c:ser>
        <c:dLbls>
          <c:showLegendKey val="0"/>
          <c:showVal val="1"/>
          <c:showCatName val="0"/>
          <c:showSerName val="0"/>
          <c:showPercent val="0"/>
          <c:showBubbleSize val="0"/>
        </c:dLbls>
        <c:gapWidth val="150"/>
        <c:axId val="100063488"/>
        <c:axId val="100204544"/>
      </c:barChart>
      <c:catAx>
        <c:axId val="10006348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0204544"/>
        <c:crosses val="autoZero"/>
        <c:auto val="1"/>
        <c:lblAlgn val="ctr"/>
        <c:lblOffset val="100"/>
        <c:tickLblSkip val="1"/>
        <c:noMultiLvlLbl val="0"/>
      </c:catAx>
      <c:valAx>
        <c:axId val="100204544"/>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0063488"/>
        <c:crosses val="autoZero"/>
        <c:crossBetween val="between"/>
      </c:valAx>
      <c:spPr>
        <a:solidFill>
          <a:srgbClr val="C0C0C0"/>
        </a:solidFill>
        <a:ln w="12700">
          <a:solidFill>
            <a:srgbClr val="808080"/>
          </a:solidFill>
          <a:prstDash val="solid"/>
        </a:ln>
      </c:spPr>
    </c:plotArea>
    <c:legend>
      <c:legendPos val="r"/>
      <c:layout>
        <c:manualLayout>
          <c:xMode val="edge"/>
          <c:yMode val="edge"/>
          <c:x val="0.792507823179204"/>
          <c:y val="0.508557970595974"/>
          <c:w val="0.195965611902529"/>
          <c:h val="0.0537897310513449"/>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6511913c-b1f2-4a11-a03b-3c1cd737d1a1}"/>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收入决算结构图</a:t>
            </a:r>
            <a:endParaRPr lang="zh-CN" altLang="en-US"/>
          </a:p>
        </c:rich>
      </c:tx>
      <c:layout>
        <c:manualLayout>
          <c:xMode val="edge"/>
          <c:yMode val="edge"/>
          <c:x val="0.33760726717671"/>
          <c:y val="0.033240997229917"/>
        </c:manualLayout>
      </c:layout>
      <c:overlay val="0"/>
      <c:spPr>
        <a:noFill/>
        <a:ln w="25400">
          <a:noFill/>
        </a:ln>
      </c:spPr>
    </c:title>
    <c:autoTitleDeleted val="0"/>
    <c:plotArea>
      <c:layout>
        <c:manualLayout>
          <c:layoutTarget val="inner"/>
          <c:xMode val="edge"/>
          <c:yMode val="edge"/>
          <c:x val="0.209402000703905"/>
          <c:y val="0.329640335061482"/>
          <c:w val="0.245014585857631"/>
          <c:h val="0.476454938072058"/>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numFmt formatCode="0%" sourceLinked="0"/>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Sheet1!$C$3:$C$8</c:f>
              <c:numCache>
                <c:formatCode>General</c:formatCode>
                <c:ptCount val="6"/>
                <c:pt idx="0">
                  <c:v>1108.21</c:v>
                </c:pt>
                <c:pt idx="1">
                  <c:v>1</c:v>
                </c:pt>
                <c:pt idx="2">
                  <c:v>0</c:v>
                </c:pt>
                <c:pt idx="3">
                  <c:v>0</c:v>
                </c:pt>
                <c:pt idx="4">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Sheet1!$D$3:$D$8</c:f>
              <c:numCache>
                <c:formatCode>0%</c:formatCode>
                <c:ptCount val="6"/>
                <c:pt idx="0">
                  <c:v>0.99</c:v>
                </c:pt>
                <c:pt idx="1">
                  <c:v>0.01</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8120585990582"/>
          <c:y val="0.243767603841764"/>
          <c:w val="0.33048483833138"/>
          <c:h val="0.650970401552993"/>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3366e27-5f46-4ac8-b2ad-a39f6dbde617}"/>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   收入、支出决算总计变动情况</a:t>
            </a:r>
            <a:endParaRPr lang="zh-CN" altLang="en-US"/>
          </a:p>
        </c:rich>
      </c:tx>
      <c:layout>
        <c:manualLayout>
          <c:xMode val="edge"/>
          <c:yMode val="edge"/>
          <c:x val="0.275216243593654"/>
          <c:y val="0.0317848410757947"/>
        </c:manualLayout>
      </c:layout>
      <c:overlay val="0"/>
      <c:spPr>
        <a:noFill/>
        <a:ln w="25400">
          <a:noFill/>
        </a:ln>
      </c:spPr>
    </c:title>
    <c:autoTitleDeleted val="0"/>
    <c:plotArea>
      <c:layout>
        <c:manualLayout>
          <c:layoutTarget val="inner"/>
          <c:xMode val="edge"/>
          <c:yMode val="edge"/>
          <c:x val="0.0763689298119836"/>
          <c:y val="0.183374302049471"/>
          <c:w val="0.70028867714385"/>
          <c:h val="0.701712329175974"/>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975.819999999999</c:v>
                </c:pt>
                <c:pt idx="1">
                  <c:v>1109.21</c:v>
                </c:pt>
              </c:numCache>
            </c:numRef>
          </c:val>
        </c:ser>
        <c:dLbls>
          <c:showLegendKey val="0"/>
          <c:showVal val="1"/>
          <c:showCatName val="0"/>
          <c:showSerName val="0"/>
          <c:showPercent val="0"/>
          <c:showBubbleSize val="0"/>
        </c:dLbls>
        <c:gapWidth val="150"/>
        <c:axId val="102687488"/>
        <c:axId val="102689408"/>
      </c:barChart>
      <c:catAx>
        <c:axId val="10268748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2689408"/>
        <c:crosses val="autoZero"/>
        <c:auto val="1"/>
        <c:lblAlgn val="ctr"/>
        <c:lblOffset val="100"/>
        <c:tickLblSkip val="1"/>
        <c:noMultiLvlLbl val="0"/>
      </c:catAx>
      <c:valAx>
        <c:axId val="102689408"/>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02687488"/>
        <c:crosses val="autoZero"/>
        <c:crossBetween val="between"/>
      </c:valAx>
      <c:spPr>
        <a:solidFill>
          <a:srgbClr val="C0C0C0"/>
        </a:solidFill>
        <a:ln w="12700">
          <a:solidFill>
            <a:srgbClr val="808080"/>
          </a:solidFill>
          <a:prstDash val="solid"/>
        </a:ln>
      </c:spPr>
    </c:plotArea>
    <c:legend>
      <c:legendPos val="r"/>
      <c:layout>
        <c:manualLayout>
          <c:xMode val="edge"/>
          <c:yMode val="edge"/>
          <c:x val="0.792507823179204"/>
          <c:y val="0.508557970595974"/>
          <c:w val="0.195965611902529"/>
          <c:h val="0.0537897310513449"/>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7ae93a52-2173-45e5-a9af-076235edb843}"/>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rPr>
              <a:t>5      </a:t>
            </a:r>
            <a:r>
              <a:rPr lang="zh-CN" altLang="en-US" sz="1400" b="0" i="0" u="none" strike="noStrike" baseline="0">
                <a:solidFill>
                  <a:srgbClr val="000000"/>
                </a:solidFill>
                <a:latin typeface="宋体" panose="02010600030101010101" charset="-122"/>
                <a:ea typeface="宋体" panose="02010600030101010101" charset="-122"/>
              </a:rPr>
              <a:t>一般公共预算财政拨款支出决算变动情况</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18587903915167"/>
          <c:y val="0.033240997229917"/>
        </c:manualLayout>
      </c:layout>
      <c:overlay val="0"/>
      <c:spPr>
        <a:noFill/>
        <a:ln w="25400">
          <a:noFill/>
        </a:ln>
      </c:spPr>
    </c:title>
    <c:autoTitleDeleted val="0"/>
    <c:plotArea>
      <c:layout>
        <c:manualLayout>
          <c:layoutTarget val="inner"/>
          <c:xMode val="edge"/>
          <c:yMode val="edge"/>
          <c:x val="0.0763689298119836"/>
          <c:y val="0.202216339995699"/>
          <c:w val="0.585014820823873"/>
          <c:h val="0.667590930670733"/>
        </c:manualLayout>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Sheet1!$B$84:$C$84</c:f>
              <c:numCache>
                <c:formatCode>General</c:formatCode>
                <c:ptCount val="2"/>
                <c:pt idx="0">
                  <c:v>2023</c:v>
                </c:pt>
                <c:pt idx="1">
                  <c:v>2024</c:v>
                </c:pt>
              </c:numCache>
            </c:numRef>
          </c:cat>
          <c:val>
            <c:numRef>
              <c:f>Sheet1!$B$85:$C$85</c:f>
              <c:numCache>
                <c:formatCode>General</c:formatCode>
                <c:ptCount val="2"/>
                <c:pt idx="0">
                  <c:v>975.62</c:v>
                </c:pt>
                <c:pt idx="1">
                  <c:v>1108.21</c:v>
                </c:pt>
              </c:numCache>
            </c:numRef>
          </c:val>
        </c:ser>
        <c:dLbls>
          <c:showLegendKey val="0"/>
          <c:showVal val="1"/>
          <c:showCatName val="0"/>
          <c:showSerName val="0"/>
          <c:showPercent val="0"/>
          <c:showBubbleSize val="0"/>
        </c:dLbls>
        <c:gapWidth val="150"/>
        <c:axId val="115940352"/>
        <c:axId val="115956352"/>
      </c:barChart>
      <c:catAx>
        <c:axId val="115940352"/>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15956352"/>
        <c:crosses val="autoZero"/>
        <c:auto val="1"/>
        <c:lblAlgn val="ctr"/>
        <c:lblOffset val="100"/>
        <c:tickLblSkip val="1"/>
        <c:noMultiLvlLbl val="0"/>
      </c:catAx>
      <c:valAx>
        <c:axId val="115956352"/>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15940352"/>
        <c:crosses val="autoZero"/>
        <c:crossBetween val="between"/>
      </c:valAx>
      <c:spPr>
        <a:solidFill>
          <a:srgbClr val="C0C0C0"/>
        </a:solidFill>
        <a:ln w="12700">
          <a:solidFill>
            <a:srgbClr val="808080"/>
          </a:solidFill>
          <a:prstDash val="solid"/>
        </a:ln>
      </c:spPr>
    </c:plotArea>
    <c:legend>
      <c:legendPos val="r"/>
      <c:layout>
        <c:manualLayout>
          <c:xMode val="edge"/>
          <c:yMode val="edge"/>
          <c:x val="0.677233889522777"/>
          <c:y val="0.506925789400979"/>
          <c:w val="0.311239394932161"/>
          <c:h val="0.0609418282548476"/>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7fb252a3-6a22-479f-a8f2-b1037528c157}"/>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25" b="0" i="0" u="none" strike="noStrike" baseline="0">
                <a:solidFill>
                  <a:srgbClr val="000000"/>
                </a:solidFill>
                <a:latin typeface="宋体" panose="02010600030101010101" charset="-122"/>
                <a:ea typeface="宋体" panose="02010600030101010101" charset="-122"/>
              </a:rPr>
              <a:t>图</a:t>
            </a:r>
            <a:r>
              <a:rPr lang="en-US" altLang="zh-CN" sz="1425" b="0" i="0" u="none" strike="noStrike" baseline="0">
                <a:solidFill>
                  <a:srgbClr val="000000"/>
                </a:solidFill>
                <a:latin typeface="宋体" panose="02010600030101010101" charset="-122"/>
                <a:ea typeface="宋体" panose="02010600030101010101" charset="-122"/>
              </a:rPr>
              <a:t>6    </a:t>
            </a:r>
            <a:r>
              <a:rPr lang="zh-CN" altLang="en-US" sz="1425" b="0" i="0" u="none" strike="noStrike" baseline="0">
                <a:solidFill>
                  <a:srgbClr val="000000"/>
                </a:solidFill>
                <a:latin typeface="宋体" panose="02010600030101010101" charset="-122"/>
                <a:ea typeface="宋体" panose="02010600030101010101" charset="-122"/>
              </a:rPr>
              <a:t>一般公共预算财政拨款支出决算结构</a:t>
            </a:r>
            <a:endParaRPr lang="zh-CN" altLang="en-US" sz="1425"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35624129386061"/>
          <c:y val="0.0289855072463768"/>
        </c:manualLayout>
      </c:layout>
      <c:overlay val="0"/>
      <c:spPr>
        <a:noFill/>
        <a:ln w="25400">
          <a:noFill/>
        </a:ln>
      </c:spPr>
    </c:title>
    <c:autoTitleDeleted val="0"/>
    <c:plotArea>
      <c:layout>
        <c:manualLayout>
          <c:layoutTarget val="inner"/>
          <c:xMode val="edge"/>
          <c:yMode val="edge"/>
          <c:x val="0.255259467040673"/>
          <c:y val="0.372671560946317"/>
          <c:w val="0.246844319775597"/>
          <c:h val="0.364389970703067"/>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9999FF"/>
              </a:solidFill>
              <a:ln w="12700">
                <a:solidFill>
                  <a:srgbClr val="000000"/>
                </a:solidFill>
                <a:prstDash val="solid"/>
              </a:ln>
            </c:spPr>
          </c:dPt>
          <c:dLbls>
            <c:numFmt formatCode="0.00%" sourceLinked="0"/>
            <c:spPr>
              <a:noFill/>
              <a:ln w="25400">
                <a:noFill/>
              </a:ln>
              <a:effectLst/>
            </c:spPr>
            <c:txPr>
              <a:bodyPr rot="0" spcFirstLastPara="0" vertOverflow="ellipsis" vert="horz" wrap="square" lIns="38100" tIns="19050" rIns="38100" bIns="19050"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Sheet1!$A$110:$A$116</c:f>
              <c:strCache>
                <c:ptCount val="5"/>
                <c:pt idx="0">
                  <c:v>一般公共服务支出</c:v>
                </c:pt>
                <c:pt idx="1">
                  <c:v>卫生健康支出</c:v>
                </c:pt>
                <c:pt idx="2">
                  <c:v>社会保障和就业支出</c:v>
                </c:pt>
                <c:pt idx="3">
                  <c:v>文化旅游体育与传媒支出</c:v>
                </c:pt>
                <c:pt idx="4">
                  <c:v>住房保障支出</c:v>
                </c:pt>
              </c:strCache>
            </c:strRef>
          </c:cat>
          <c:val>
            <c:numRef>
              <c:f>Sheet1!$B$110:$B$116</c:f>
              <c:numCache>
                <c:formatCode>General</c:formatCode>
                <c:ptCount val="7"/>
                <c:pt idx="0">
                  <c:v>864.41</c:v>
                </c:pt>
                <c:pt idx="1">
                  <c:v>31.79</c:v>
                </c:pt>
                <c:pt idx="2">
                  <c:v>58.2</c:v>
                </c:pt>
                <c:pt idx="3">
                  <c:v>124.66</c:v>
                </c:pt>
                <c:pt idx="4">
                  <c:v>29.15</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Sheet1!$A$111:$A$116</c:f>
              <c:strCache>
                <c:ptCount val="5"/>
                <c:pt idx="0">
                  <c:v>一般公共服务支出</c:v>
                </c:pt>
                <c:pt idx="1">
                  <c:v>卫生健康支出</c:v>
                </c:pt>
                <c:pt idx="2">
                  <c:v>社会保障和就业支出</c:v>
                </c:pt>
                <c:pt idx="3">
                  <c:v>文化旅游体育与传媒支出</c:v>
                </c:pt>
                <c:pt idx="4">
                  <c:v>住房保障支出</c:v>
                </c:pt>
              </c:strCache>
            </c:strRef>
          </c:cat>
          <c:val>
            <c:numRef>
              <c:f>Sheet1!$C$111:$C$116</c:f>
              <c:numCache>
                <c:formatCode>0.00%</c:formatCode>
                <c:ptCount val="6"/>
                <c:pt idx="0">
                  <c:v>0.0287</c:v>
                </c:pt>
                <c:pt idx="1">
                  <c:v>0.0525</c:v>
                </c:pt>
                <c:pt idx="2">
                  <c:v>0.1125</c:v>
                </c:pt>
                <c:pt idx="3">
                  <c:v>0.0213</c:v>
                </c:pt>
                <c:pt idx="4">
                  <c:v>0</c:v>
                </c:pt>
                <c:pt idx="5">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3155618117569"/>
          <c:y val="0.424431511278482"/>
          <c:w val="0.235624129386061"/>
          <c:h val="0.262940393320401"/>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5d3c1687-940e-4483-acbc-744cc1a3da29}"/>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三公经费财政拔款支出</c:v>
                </c:pt>
              </c:strCache>
            </c:strRef>
          </c:tx>
          <c:explosion val="0"/>
          <c:dPt>
            <c:idx val="0"/>
            <c:bubble3D val="0"/>
          </c:dPt>
          <c:dPt>
            <c:idx val="1"/>
            <c:bubble3D val="0"/>
          </c:dPt>
          <c:dPt>
            <c:idx val="2"/>
            <c:bubble3D val="0"/>
          </c:dPt>
          <c:dPt>
            <c:idx val="3"/>
            <c:bubble3D val="0"/>
          </c:dPt>
          <c:dLbls>
            <c:delete val="1"/>
          </c:dLbls>
          <c:cat>
            <c:strRef>
              <c:f>Sheet1!$A$2:$A$5</c:f>
              <c:strCache>
                <c:ptCount val="3"/>
                <c:pt idx="0">
                  <c:v>因公出国（境）费支出</c:v>
                </c:pt>
                <c:pt idx="1">
                  <c:v>公务用车购置及运行维护费支出</c:v>
                </c:pt>
                <c:pt idx="2">
                  <c:v>公务接待费支出</c:v>
                </c:pt>
              </c:strCache>
            </c:strRef>
          </c:cat>
          <c:val>
            <c:numRef>
              <c:f>Sheet1!$B$2:$B$5</c:f>
              <c:numCache>
                <c:formatCode>General</c:formatCode>
                <c:ptCount val="4"/>
                <c:pt idx="0">
                  <c:v>0</c:v>
                </c:pt>
                <c:pt idx="1">
                  <c:v>0</c:v>
                </c:pt>
                <c:pt idx="2">
                  <c:v>0.18</c:v>
                </c:pt>
              </c:numCache>
            </c:numRef>
          </c:val>
        </c:ser>
        <c:ser>
          <c:idx val="1"/>
          <c:order val="1"/>
          <c:tx>
            <c:strRef>
              <c:f>Sheet1!$C$1</c:f>
              <c:strCache>
                <c:ptCount val="1"/>
                <c:pt idx="0">
                  <c:v>列1</c:v>
                </c:pt>
              </c:strCache>
            </c:strRef>
          </c:tx>
          <c:explosion val="0"/>
          <c:dPt>
            <c:idx val="0"/>
            <c:bubble3D val="0"/>
          </c:dPt>
          <c:dPt>
            <c:idx val="1"/>
            <c:bubble3D val="0"/>
          </c:dPt>
          <c:dPt>
            <c:idx val="2"/>
            <c:bubble3D val="0"/>
          </c:dPt>
          <c:dPt>
            <c:idx val="3"/>
            <c:bubble3D val="0"/>
          </c:dPt>
          <c:dLbls>
            <c:delete val="1"/>
          </c:dLbls>
          <c:cat>
            <c:strRef>
              <c:f>Sheet1!$A$2:$A$5</c:f>
              <c:strCache>
                <c:ptCount val="3"/>
                <c:pt idx="0">
                  <c:v>因公出国（境）费支出</c:v>
                </c:pt>
                <c:pt idx="1">
                  <c:v>公务用车购置及运行维护费支出</c:v>
                </c:pt>
                <c:pt idx="2">
                  <c:v>公务接待费支出</c:v>
                </c:pt>
              </c:strCache>
            </c:strRef>
          </c:cat>
          <c:val>
            <c:numRef>
              <c:f>Sheet1!$C$2:$C$5</c:f>
              <c:numCache>
                <c:formatCode>General</c:formatCode>
                <c:ptCount val="4"/>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a69bdb9-be57-45f5-bcce-5027af03822e}"/>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15278</Words>
  <Characters>17753</Characters>
  <Lines>121</Lines>
  <Paragraphs>34</Paragraphs>
  <TotalTime>4</TotalTime>
  <ScaleCrop>false</ScaleCrop>
  <LinksUpToDate>false</LinksUpToDate>
  <CharactersWithSpaces>17821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杨开秀</cp:lastModifiedBy>
  <cp:lastPrinted>2025-08-06T17:34:00Z</cp:lastPrinted>
  <dcterms:modified xsi:type="dcterms:W3CDTF">2025-10-23T01:26:47Z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9A255DE5AC4C4CBCA94C0BE0462C919F_13</vt:lpwstr>
  </property>
  <property fmtid="{D5CDD505-2E9C-101B-9397-08002B2CF9AE}" pid="4" name="KSOTemplateDocerSaveRecord">
    <vt:lpwstr>eyJoZGlkIjoiY2QwNDBhYmYwODMxYmNhNzY1MzM0NGI4MGExZTlkODkiLCJ1c2VySWQiOiIzODQwNTkyMjgifQ==</vt:lpwstr>
  </property>
</Properties>
</file>