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4F439">
      <w:pPr>
        <w:pStyle w:val="6"/>
        <w:spacing w:before="93"/>
        <w:rPr>
          <w:rFonts w:ascii="Times New Roman" w:eastAsia="方正小标宋简体"/>
          <w:kern w:val="2"/>
          <w:sz w:val="72"/>
          <w:szCs w:val="72"/>
        </w:rPr>
      </w:pPr>
      <w:bookmarkStart w:id="0" w:name="_Toc15378441"/>
      <w:bookmarkStart w:id="1" w:name="_Toc15377425"/>
      <w:bookmarkStart w:id="2" w:name="_Toc15396475"/>
      <w:bookmarkStart w:id="3" w:name="_Toc15306267"/>
      <w:bookmarkStart w:id="4" w:name="_Toc15396597"/>
      <w:bookmarkStart w:id="5" w:name="_Toc15377193"/>
    </w:p>
    <w:p w14:paraId="67D6EE60">
      <w:pPr>
        <w:pStyle w:val="6"/>
        <w:spacing w:before="93"/>
        <w:rPr>
          <w:rFonts w:ascii="Times New Roman" w:eastAsia="方正小标宋简体"/>
          <w:kern w:val="2"/>
          <w:sz w:val="72"/>
          <w:szCs w:val="72"/>
        </w:rPr>
      </w:pPr>
    </w:p>
    <w:p w14:paraId="7ECD8C81">
      <w:pPr>
        <w:pStyle w:val="6"/>
        <w:spacing w:before="93"/>
        <w:rPr>
          <w:rFonts w:ascii="Times New Roman" w:eastAsia="方正小标宋简体"/>
          <w:kern w:val="2"/>
          <w:sz w:val="72"/>
          <w:szCs w:val="72"/>
        </w:rPr>
      </w:pPr>
    </w:p>
    <w:p w14:paraId="0C578F16">
      <w:pPr>
        <w:pStyle w:val="6"/>
        <w:spacing w:before="93"/>
        <w:jc w:val="center"/>
        <w:rPr>
          <w:rFonts w:hint="default" w:ascii="Times New Roman" w:hAnsi="Times New Roman" w:eastAsia="方正小标宋_GBK" w:cs="Times New Roman"/>
          <w:kern w:val="2"/>
          <w:sz w:val="72"/>
          <w:szCs w:val="72"/>
        </w:rPr>
      </w:pPr>
      <w:r>
        <w:rPr>
          <w:rFonts w:hint="default" w:ascii="Times New Roman" w:hAnsi="Times New Roman" w:eastAsia="方正小标宋_GBK" w:cs="Times New Roman"/>
          <w:kern w:val="2"/>
          <w:sz w:val="72"/>
          <w:szCs w:val="72"/>
        </w:rPr>
        <w:t>2024年度</w:t>
      </w:r>
    </w:p>
    <w:p w14:paraId="6A36A056">
      <w:pPr>
        <w:pStyle w:val="6"/>
        <w:spacing w:before="93"/>
        <w:jc w:val="center"/>
        <w:rPr>
          <w:rFonts w:hint="default" w:ascii="Times New Roman" w:hAnsi="Times New Roman" w:eastAsia="方正小标宋_GBK" w:cs="Times New Roman"/>
          <w:kern w:val="2"/>
          <w:sz w:val="72"/>
          <w:szCs w:val="72"/>
        </w:rPr>
      </w:pPr>
      <w:r>
        <w:rPr>
          <w:rFonts w:hint="default" w:ascii="Times New Roman" w:hAnsi="Times New Roman" w:eastAsia="方正小标宋_GBK" w:cs="Times New Roman"/>
          <w:kern w:val="2"/>
          <w:sz w:val="72"/>
          <w:szCs w:val="72"/>
        </w:rPr>
        <w:t>盐边县交通运输局单位决算公开编制说明</w:t>
      </w:r>
    </w:p>
    <w:p w14:paraId="0434A9D1">
      <w:pPr>
        <w:spacing w:line="600" w:lineRule="exact"/>
        <w:jc w:val="center"/>
        <w:outlineLvl w:val="0"/>
        <w:rPr>
          <w:rFonts w:eastAsia="方正小标宋简体"/>
          <w:sz w:val="72"/>
          <w:szCs w:val="72"/>
        </w:rPr>
      </w:pPr>
    </w:p>
    <w:p w14:paraId="40FC08E5">
      <w:pPr>
        <w:pStyle w:val="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3508FD29"/>
    <w:bookmarkEnd w:id="0"/>
    <w:bookmarkEnd w:id="1"/>
    <w:bookmarkEnd w:id="2"/>
    <w:bookmarkEnd w:id="3"/>
    <w:bookmarkEnd w:id="4"/>
    <w:bookmarkEnd w:id="5"/>
    <w:p w14:paraId="5539444E">
      <w:pPr>
        <w:widowControl/>
        <w:jc w:val="center"/>
        <w:rPr>
          <w:rFonts w:eastAsia="黑体"/>
          <w:sz w:val="48"/>
          <w:szCs w:val="48"/>
        </w:rPr>
      </w:pPr>
      <w:r>
        <w:rPr>
          <w:rFonts w:hint="eastAsia" w:eastAsia="黑体"/>
          <w:sz w:val="48"/>
          <w:szCs w:val="48"/>
        </w:rPr>
        <w:t>目录</w:t>
      </w:r>
    </w:p>
    <w:p w14:paraId="22D25B7A">
      <w:pPr>
        <w:widowControl/>
        <w:jc w:val="center"/>
        <w:rPr>
          <w:rFonts w:eastAsia="黑体" w:cstheme="minorBidi"/>
          <w:sz w:val="28"/>
          <w:szCs w:val="28"/>
        </w:rPr>
      </w:pPr>
    </w:p>
    <w:p w14:paraId="1DA83A40">
      <w:pPr>
        <w:pStyle w:val="13"/>
        <w:rPr>
          <w:rFonts w:ascii="Times New Roman" w:hAnsi="Times New Roman" w:eastAsia="仿宋_GB2312" w:cs="仿宋_GB2312"/>
        </w:rPr>
      </w:pPr>
      <w:r>
        <w:rPr>
          <w:rFonts w:hint="default" w:ascii="Times New Roman" w:hAnsi="Times New Roman" w:eastAsia="方正仿宋_GBK" w:cs="Times New Roman"/>
          <w:sz w:val="32"/>
          <w:szCs w:val="32"/>
        </w:rPr>
        <w:t>公开时间：2025年10月 28 日</w:t>
      </w:r>
    </w:p>
    <w:p w14:paraId="35341516">
      <w:pPr>
        <w:rPr>
          <w:sz w:val="28"/>
          <w:szCs w:val="28"/>
        </w:rPr>
      </w:pPr>
    </w:p>
    <w:p w14:paraId="70BCD3AF">
      <w:pPr>
        <w:pStyle w:val="13"/>
        <w:adjustRightInd w:val="0"/>
        <w:snapToGrid w:val="0"/>
        <w:spacing w:before="0" w:line="560" w:lineRule="exact"/>
        <w:jc w:val="left"/>
        <w:rPr>
          <w:rFonts w:hint="default" w:ascii="Times New Roman" w:hAnsi="Times New Roman" w:eastAsia="黑体" w:cs="黑体"/>
          <w:lang w:val="en-US" w:eastAsia="zh-CN"/>
        </w:rPr>
      </w:pPr>
      <w:r>
        <w:rPr>
          <w:rFonts w:hint="eastAsia" w:ascii="Times New Roman" w:hAnsi="Times New Roman" w:eastAsia="黑体" w:cs="黑体"/>
        </w:rPr>
        <w:t>第一部分 单位概况</w:t>
      </w:r>
      <w:r>
        <w:rPr>
          <w:rFonts w:hint="eastAsia" w:ascii="Times New Roman" w:hAnsi="Times New Roman" w:eastAsia="黑体" w:cs="黑体"/>
          <w:lang w:eastAsia="zh-CN"/>
        </w:rPr>
        <w:t>……………………………………………………（</w:t>
      </w:r>
      <w:r>
        <w:rPr>
          <w:rFonts w:hint="eastAsia" w:ascii="Times New Roman" w:hAnsi="Times New Roman" w:eastAsia="黑体" w:cs="黑体"/>
          <w:lang w:val="en-US" w:eastAsia="zh-CN"/>
        </w:rPr>
        <w:t>1</w:t>
      </w:r>
      <w:r>
        <w:rPr>
          <w:rFonts w:hint="eastAsia" w:ascii="Times New Roman" w:hAnsi="Times New Roman" w:eastAsia="黑体" w:cs="黑体"/>
          <w:lang w:eastAsia="zh-CN"/>
        </w:rPr>
        <w:t>）</w:t>
      </w:r>
    </w:p>
    <w:p w14:paraId="060D8C6D">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一、主要职责</w:t>
      </w:r>
      <w:r>
        <w:rPr>
          <w:rFonts w:hint="eastAsia" w:eastAsia="仿宋_GB2312" w:cs="仿宋_GB2312"/>
          <w:sz w:val="28"/>
          <w:szCs w:val="28"/>
          <w:lang w:eastAsia="zh-CN"/>
        </w:rPr>
        <w:t>………………………………………………………（</w:t>
      </w:r>
      <w:r>
        <w:rPr>
          <w:rFonts w:hint="eastAsia" w:eastAsia="仿宋_GB2312" w:cs="仿宋_GB2312"/>
          <w:sz w:val="28"/>
          <w:szCs w:val="28"/>
          <w:lang w:val="en-US" w:eastAsia="zh-CN"/>
        </w:rPr>
        <w:t>1</w:t>
      </w:r>
      <w:r>
        <w:rPr>
          <w:rFonts w:hint="eastAsia" w:eastAsia="仿宋_GB2312" w:cs="仿宋_GB2312"/>
          <w:sz w:val="28"/>
          <w:szCs w:val="28"/>
          <w:lang w:eastAsia="zh-CN"/>
        </w:rPr>
        <w:t>）</w:t>
      </w:r>
    </w:p>
    <w:p w14:paraId="2AACE7E3">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二、机构设置</w:t>
      </w:r>
      <w:r>
        <w:rPr>
          <w:rFonts w:hint="eastAsia" w:eastAsia="仿宋_GB2312" w:cs="仿宋_GB2312"/>
          <w:sz w:val="28"/>
          <w:szCs w:val="28"/>
          <w:lang w:eastAsia="zh-CN"/>
        </w:rPr>
        <w:t>………………………………………………………（</w:t>
      </w:r>
      <w:r>
        <w:rPr>
          <w:rFonts w:hint="eastAsia" w:eastAsia="仿宋_GB2312" w:cs="仿宋_GB2312"/>
          <w:sz w:val="28"/>
          <w:szCs w:val="28"/>
          <w:lang w:val="en-US" w:eastAsia="zh-CN"/>
        </w:rPr>
        <w:t>1</w:t>
      </w:r>
      <w:r>
        <w:rPr>
          <w:rFonts w:hint="eastAsia" w:eastAsia="仿宋_GB2312" w:cs="仿宋_GB2312"/>
          <w:sz w:val="28"/>
          <w:szCs w:val="28"/>
          <w:lang w:eastAsia="zh-CN"/>
        </w:rPr>
        <w:t>）</w:t>
      </w:r>
    </w:p>
    <w:p w14:paraId="347B6ACF">
      <w:pPr>
        <w:pStyle w:val="13"/>
        <w:adjustRightInd w:val="0"/>
        <w:snapToGrid w:val="0"/>
        <w:spacing w:before="0" w:line="560" w:lineRule="exact"/>
        <w:jc w:val="left"/>
        <w:rPr>
          <w:rFonts w:hint="eastAsia" w:ascii="Times New Roman" w:hAnsi="Times New Roman" w:eastAsia="黑体" w:cs="黑体"/>
          <w:lang w:eastAsia="zh-CN"/>
        </w:rPr>
      </w:pPr>
      <w:r>
        <w:rPr>
          <w:rFonts w:hint="eastAsia" w:ascii="Times New Roman" w:hAnsi="Times New Roman" w:eastAsia="黑体" w:cs="黑体"/>
        </w:rPr>
        <w:t>第二部分 2024年度部门决算情况说明</w:t>
      </w:r>
      <w:r>
        <w:rPr>
          <w:rFonts w:hint="eastAsia" w:ascii="Times New Roman" w:hAnsi="Times New Roman" w:eastAsia="黑体" w:cs="黑体"/>
          <w:lang w:eastAsia="zh-CN"/>
        </w:rPr>
        <w:t>………………………………（</w:t>
      </w:r>
      <w:r>
        <w:rPr>
          <w:rFonts w:hint="eastAsia" w:ascii="Times New Roman" w:hAnsi="Times New Roman" w:eastAsia="黑体" w:cs="黑体"/>
          <w:lang w:val="en-US" w:eastAsia="zh-CN"/>
        </w:rPr>
        <w:t>2</w:t>
      </w:r>
      <w:r>
        <w:rPr>
          <w:rFonts w:hint="eastAsia" w:ascii="Times New Roman" w:hAnsi="Times New Roman" w:eastAsia="黑体" w:cs="黑体"/>
          <w:lang w:eastAsia="zh-CN"/>
        </w:rPr>
        <w:t>）</w:t>
      </w:r>
    </w:p>
    <w:p w14:paraId="42CC9A9C">
      <w:pPr>
        <w:pStyle w:val="15"/>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一、收入支出决算总体情况说明</w:t>
      </w:r>
      <w:r>
        <w:rPr>
          <w:rFonts w:hint="eastAsia" w:eastAsia="仿宋_GB2312" w:cs="仿宋_GB2312"/>
          <w:sz w:val="28"/>
          <w:szCs w:val="28"/>
          <w:lang w:eastAsia="zh-CN"/>
        </w:rPr>
        <w:t>…………………………………（</w:t>
      </w:r>
      <w:r>
        <w:rPr>
          <w:rFonts w:hint="eastAsia" w:eastAsia="仿宋_GB2312" w:cs="仿宋_GB2312"/>
          <w:sz w:val="28"/>
          <w:szCs w:val="28"/>
          <w:lang w:val="en-US" w:eastAsia="zh-CN"/>
        </w:rPr>
        <w:t>2</w:t>
      </w:r>
      <w:r>
        <w:rPr>
          <w:rFonts w:hint="eastAsia" w:eastAsia="仿宋_GB2312" w:cs="仿宋_GB2312"/>
          <w:sz w:val="28"/>
          <w:szCs w:val="28"/>
          <w:lang w:eastAsia="zh-CN"/>
        </w:rPr>
        <w:t>）</w:t>
      </w:r>
    </w:p>
    <w:p w14:paraId="393091AB">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二、收入决算情况说明</w:t>
      </w:r>
      <w:r>
        <w:rPr>
          <w:rFonts w:hint="eastAsia" w:eastAsia="仿宋_GB2312" w:cs="仿宋_GB2312"/>
          <w:sz w:val="28"/>
          <w:szCs w:val="28"/>
          <w:lang w:eastAsia="zh-CN"/>
        </w:rPr>
        <w:t>……………………………………………（</w:t>
      </w:r>
      <w:r>
        <w:rPr>
          <w:rFonts w:hint="eastAsia" w:eastAsia="仿宋_GB2312" w:cs="仿宋_GB2312"/>
          <w:sz w:val="28"/>
          <w:szCs w:val="28"/>
          <w:lang w:val="en-US" w:eastAsia="zh-CN"/>
        </w:rPr>
        <w:t>2</w:t>
      </w:r>
      <w:r>
        <w:rPr>
          <w:rFonts w:hint="eastAsia" w:eastAsia="仿宋_GB2312" w:cs="仿宋_GB2312"/>
          <w:sz w:val="28"/>
          <w:szCs w:val="28"/>
          <w:lang w:eastAsia="zh-CN"/>
        </w:rPr>
        <w:t>）</w:t>
      </w:r>
    </w:p>
    <w:p w14:paraId="50F5DF1E">
      <w:pPr>
        <w:pStyle w:val="15"/>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三、支出决算情况说明</w:t>
      </w:r>
      <w:r>
        <w:rPr>
          <w:rFonts w:hint="eastAsia" w:eastAsia="仿宋_GB2312" w:cs="仿宋_GB2312"/>
          <w:sz w:val="28"/>
          <w:szCs w:val="28"/>
          <w:lang w:eastAsia="zh-CN"/>
        </w:rPr>
        <w:t>……………………………………………（</w:t>
      </w:r>
      <w:r>
        <w:rPr>
          <w:rFonts w:hint="eastAsia" w:eastAsia="仿宋_GB2312" w:cs="仿宋_GB2312"/>
          <w:sz w:val="28"/>
          <w:szCs w:val="28"/>
          <w:lang w:val="en-US" w:eastAsia="zh-CN"/>
        </w:rPr>
        <w:t>3</w:t>
      </w:r>
      <w:r>
        <w:rPr>
          <w:rFonts w:hint="eastAsia" w:eastAsia="仿宋_GB2312" w:cs="仿宋_GB2312"/>
          <w:sz w:val="28"/>
          <w:szCs w:val="28"/>
          <w:lang w:eastAsia="zh-CN"/>
        </w:rPr>
        <w:t>）</w:t>
      </w:r>
    </w:p>
    <w:p w14:paraId="7BF6DF91">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四、财政拨款收入支出决算总体情况说明</w:t>
      </w:r>
      <w:r>
        <w:rPr>
          <w:rFonts w:hint="eastAsia" w:eastAsia="仿宋_GB2312" w:cs="仿宋_GB2312"/>
          <w:sz w:val="28"/>
          <w:szCs w:val="28"/>
          <w:lang w:eastAsia="zh-CN"/>
        </w:rPr>
        <w:t>………………………（</w:t>
      </w:r>
      <w:r>
        <w:rPr>
          <w:rFonts w:hint="eastAsia" w:eastAsia="仿宋_GB2312" w:cs="仿宋_GB2312"/>
          <w:sz w:val="28"/>
          <w:szCs w:val="28"/>
          <w:lang w:val="en-US" w:eastAsia="zh-CN"/>
        </w:rPr>
        <w:t>4</w:t>
      </w:r>
      <w:r>
        <w:rPr>
          <w:rFonts w:hint="eastAsia" w:eastAsia="仿宋_GB2312" w:cs="仿宋_GB2312"/>
          <w:sz w:val="28"/>
          <w:szCs w:val="28"/>
          <w:lang w:eastAsia="zh-CN"/>
        </w:rPr>
        <w:t>）</w:t>
      </w:r>
    </w:p>
    <w:p w14:paraId="61D01931">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五、一般公共预算财政拨款支出决算情况说明</w:t>
      </w:r>
      <w:r>
        <w:rPr>
          <w:rFonts w:hint="eastAsia" w:eastAsia="仿宋_GB2312" w:cs="仿宋_GB2312"/>
          <w:sz w:val="28"/>
          <w:szCs w:val="28"/>
          <w:lang w:eastAsia="zh-CN"/>
        </w:rPr>
        <w:t>…………………（</w:t>
      </w:r>
      <w:r>
        <w:rPr>
          <w:rFonts w:hint="eastAsia" w:eastAsia="仿宋_GB2312" w:cs="仿宋_GB2312"/>
          <w:sz w:val="28"/>
          <w:szCs w:val="28"/>
          <w:lang w:val="en-US" w:eastAsia="zh-CN"/>
        </w:rPr>
        <w:t>4</w:t>
      </w:r>
      <w:r>
        <w:rPr>
          <w:rFonts w:hint="eastAsia" w:eastAsia="仿宋_GB2312" w:cs="仿宋_GB2312"/>
          <w:sz w:val="28"/>
          <w:szCs w:val="28"/>
          <w:lang w:eastAsia="zh-CN"/>
        </w:rPr>
        <w:t>）</w:t>
      </w:r>
    </w:p>
    <w:p w14:paraId="452A9ABD">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六、一般公共预算财政拨款基本支出决算情况说明</w:t>
      </w:r>
      <w:r>
        <w:rPr>
          <w:rFonts w:hint="eastAsia" w:eastAsia="仿宋_GB2312" w:cs="仿宋_GB2312"/>
          <w:sz w:val="28"/>
          <w:szCs w:val="28"/>
          <w:lang w:eastAsia="zh-CN"/>
        </w:rPr>
        <w:t>……………（</w:t>
      </w:r>
      <w:r>
        <w:rPr>
          <w:rFonts w:hint="eastAsia" w:eastAsia="仿宋_GB2312" w:cs="仿宋_GB2312"/>
          <w:sz w:val="28"/>
          <w:szCs w:val="28"/>
          <w:lang w:val="en-US" w:eastAsia="zh-CN"/>
        </w:rPr>
        <w:t>8</w:t>
      </w:r>
      <w:r>
        <w:rPr>
          <w:rFonts w:hint="eastAsia" w:eastAsia="仿宋_GB2312" w:cs="仿宋_GB2312"/>
          <w:sz w:val="28"/>
          <w:szCs w:val="28"/>
          <w:lang w:eastAsia="zh-CN"/>
        </w:rPr>
        <w:t>）</w:t>
      </w:r>
    </w:p>
    <w:p w14:paraId="5EF1F5BF">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七、财政拨款“三公”经费支出决算情况说明</w:t>
      </w:r>
      <w:r>
        <w:rPr>
          <w:rFonts w:hint="eastAsia" w:eastAsia="仿宋_GB2312" w:cs="仿宋_GB2312"/>
          <w:sz w:val="28"/>
          <w:szCs w:val="28"/>
          <w:lang w:eastAsia="zh-CN"/>
        </w:rPr>
        <w:t>…………………（</w:t>
      </w:r>
      <w:r>
        <w:rPr>
          <w:rFonts w:hint="eastAsia" w:eastAsia="仿宋_GB2312" w:cs="仿宋_GB2312"/>
          <w:sz w:val="28"/>
          <w:szCs w:val="28"/>
          <w:lang w:val="en-US" w:eastAsia="zh-CN"/>
        </w:rPr>
        <w:t>9</w:t>
      </w:r>
      <w:r>
        <w:rPr>
          <w:rFonts w:hint="eastAsia" w:eastAsia="仿宋_GB2312" w:cs="仿宋_GB2312"/>
          <w:sz w:val="28"/>
          <w:szCs w:val="28"/>
          <w:lang w:eastAsia="zh-CN"/>
        </w:rPr>
        <w:t>）</w:t>
      </w:r>
    </w:p>
    <w:p w14:paraId="18AF90B8">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八、政府性基金预算支出决算情况说明</w:t>
      </w:r>
      <w:r>
        <w:rPr>
          <w:rFonts w:hint="eastAsia" w:eastAsia="仿宋_GB2312" w:cs="仿宋_GB2312"/>
          <w:sz w:val="28"/>
          <w:szCs w:val="28"/>
          <w:lang w:eastAsia="zh-CN"/>
        </w:rPr>
        <w:t>………………………（</w:t>
      </w:r>
      <w:r>
        <w:rPr>
          <w:rFonts w:hint="eastAsia" w:eastAsia="仿宋_GB2312" w:cs="仿宋_GB2312"/>
          <w:sz w:val="28"/>
          <w:szCs w:val="28"/>
          <w:lang w:val="en-US" w:eastAsia="zh-CN"/>
        </w:rPr>
        <w:t>11</w:t>
      </w:r>
      <w:r>
        <w:rPr>
          <w:rFonts w:hint="eastAsia" w:eastAsia="仿宋_GB2312" w:cs="仿宋_GB2312"/>
          <w:sz w:val="28"/>
          <w:szCs w:val="28"/>
          <w:lang w:eastAsia="zh-CN"/>
        </w:rPr>
        <w:t>）</w:t>
      </w:r>
    </w:p>
    <w:p w14:paraId="5A47A836">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九、国有资本经营预算支出决算情况说明</w:t>
      </w:r>
      <w:r>
        <w:rPr>
          <w:rFonts w:hint="eastAsia" w:eastAsia="仿宋_GB2312" w:cs="仿宋_GB2312"/>
          <w:sz w:val="28"/>
          <w:szCs w:val="28"/>
          <w:lang w:eastAsia="zh-CN"/>
        </w:rPr>
        <w:t>……………………（</w:t>
      </w:r>
      <w:r>
        <w:rPr>
          <w:rFonts w:hint="eastAsia" w:eastAsia="仿宋_GB2312" w:cs="仿宋_GB2312"/>
          <w:sz w:val="28"/>
          <w:szCs w:val="28"/>
          <w:lang w:val="en-US" w:eastAsia="zh-CN"/>
        </w:rPr>
        <w:t>11</w:t>
      </w:r>
      <w:r>
        <w:rPr>
          <w:rFonts w:hint="eastAsia" w:eastAsia="仿宋_GB2312" w:cs="仿宋_GB2312"/>
          <w:sz w:val="28"/>
          <w:szCs w:val="28"/>
          <w:lang w:eastAsia="zh-CN"/>
        </w:rPr>
        <w:t>）</w:t>
      </w:r>
    </w:p>
    <w:p w14:paraId="23DD4F71">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十、其他重要事项的情况说明</w:t>
      </w:r>
      <w:r>
        <w:rPr>
          <w:rFonts w:hint="eastAsia" w:eastAsia="仿宋_GB2312" w:cs="仿宋_GB2312"/>
          <w:sz w:val="28"/>
          <w:szCs w:val="28"/>
          <w:lang w:eastAsia="zh-CN"/>
        </w:rPr>
        <w:t>…………………………………（</w:t>
      </w:r>
      <w:r>
        <w:rPr>
          <w:rFonts w:hint="eastAsia" w:eastAsia="仿宋_GB2312" w:cs="仿宋_GB2312"/>
          <w:sz w:val="28"/>
          <w:szCs w:val="28"/>
          <w:lang w:val="en-US" w:eastAsia="zh-CN"/>
        </w:rPr>
        <w:t>11</w:t>
      </w:r>
      <w:r>
        <w:rPr>
          <w:rFonts w:hint="eastAsia" w:eastAsia="仿宋_GB2312" w:cs="仿宋_GB2312"/>
          <w:sz w:val="28"/>
          <w:szCs w:val="28"/>
          <w:lang w:eastAsia="zh-CN"/>
        </w:rPr>
        <w:t>）</w:t>
      </w:r>
    </w:p>
    <w:p w14:paraId="691FDAFF">
      <w:pPr>
        <w:pStyle w:val="13"/>
        <w:adjustRightInd w:val="0"/>
        <w:snapToGrid w:val="0"/>
        <w:spacing w:before="0" w:line="560" w:lineRule="exact"/>
        <w:jc w:val="left"/>
        <w:rPr>
          <w:rFonts w:hint="eastAsia" w:ascii="Times New Roman" w:hAnsi="Times New Roman" w:eastAsia="黑体" w:cs="黑体"/>
          <w:lang w:eastAsia="zh-CN"/>
        </w:rPr>
      </w:pPr>
      <w:r>
        <w:rPr>
          <w:rFonts w:hint="eastAsia" w:ascii="Times New Roman" w:hAnsi="Times New Roman" w:eastAsia="黑体" w:cs="黑体"/>
        </w:rPr>
        <w:t>第三部分 名词解释</w:t>
      </w:r>
      <w:r>
        <w:rPr>
          <w:rFonts w:hint="eastAsia" w:ascii="Times New Roman" w:hAnsi="Times New Roman" w:eastAsia="黑体" w:cs="黑体"/>
          <w:lang w:eastAsia="zh-CN"/>
        </w:rPr>
        <w:t>…………………………………………………（</w:t>
      </w:r>
      <w:r>
        <w:rPr>
          <w:rFonts w:hint="eastAsia" w:ascii="Times New Roman" w:hAnsi="Times New Roman" w:eastAsia="黑体" w:cs="黑体"/>
          <w:lang w:val="en-US" w:eastAsia="zh-CN"/>
        </w:rPr>
        <w:t>14</w:t>
      </w:r>
      <w:r>
        <w:rPr>
          <w:rFonts w:hint="eastAsia" w:ascii="Times New Roman" w:hAnsi="Times New Roman" w:eastAsia="黑体" w:cs="黑体"/>
          <w:lang w:eastAsia="zh-CN"/>
        </w:rPr>
        <w:t>）</w:t>
      </w:r>
    </w:p>
    <w:p w14:paraId="31CF5F65">
      <w:pPr>
        <w:pStyle w:val="13"/>
        <w:adjustRightInd w:val="0"/>
        <w:snapToGrid w:val="0"/>
        <w:spacing w:before="0" w:line="560" w:lineRule="exact"/>
        <w:jc w:val="left"/>
        <w:rPr>
          <w:rFonts w:hint="default" w:ascii="Times New Roman" w:hAnsi="Times New Roman" w:eastAsia="黑体" w:cs="黑体"/>
          <w:lang w:val="en-US" w:eastAsia="zh-CN"/>
        </w:rPr>
      </w:pPr>
      <w:r>
        <w:rPr>
          <w:rFonts w:hint="eastAsia" w:ascii="Times New Roman" w:hAnsi="Times New Roman" w:eastAsia="黑体" w:cs="黑体"/>
        </w:rPr>
        <w:t>第四部分 附件</w:t>
      </w:r>
      <w:r>
        <w:rPr>
          <w:rFonts w:hint="eastAsia" w:ascii="Times New Roman" w:hAnsi="Times New Roman" w:eastAsia="黑体" w:cs="黑体"/>
          <w:lang w:eastAsia="zh-CN"/>
        </w:rPr>
        <w:t>………………………………………………………（</w:t>
      </w:r>
      <w:r>
        <w:rPr>
          <w:rFonts w:hint="eastAsia" w:ascii="Times New Roman" w:hAnsi="Times New Roman" w:eastAsia="黑体" w:cs="黑体"/>
          <w:lang w:val="en-US" w:eastAsia="zh-CN"/>
        </w:rPr>
        <w:t>19</w:t>
      </w:r>
      <w:r>
        <w:rPr>
          <w:rFonts w:hint="eastAsia" w:ascii="Times New Roman" w:hAnsi="Times New Roman" w:eastAsia="黑体" w:cs="黑体"/>
          <w:lang w:eastAsia="zh-CN"/>
        </w:rPr>
        <w:t>）</w:t>
      </w:r>
    </w:p>
    <w:p w14:paraId="0279CDD5">
      <w:pPr>
        <w:pStyle w:val="13"/>
        <w:adjustRightInd w:val="0"/>
        <w:snapToGrid w:val="0"/>
        <w:spacing w:before="0" w:line="560" w:lineRule="exact"/>
        <w:jc w:val="left"/>
        <w:rPr>
          <w:rFonts w:hint="eastAsia" w:ascii="Times New Roman" w:hAnsi="Times New Roman" w:eastAsia="黑体" w:cs="黑体"/>
          <w:lang w:eastAsia="zh-CN"/>
        </w:rPr>
      </w:pPr>
      <w:r>
        <w:rPr>
          <w:rFonts w:hint="eastAsia" w:ascii="Times New Roman" w:hAnsi="Times New Roman" w:eastAsia="黑体" w:cs="黑体"/>
        </w:rPr>
        <w:t>第五部分 附表</w:t>
      </w:r>
      <w:r>
        <w:rPr>
          <w:rFonts w:hint="eastAsia" w:ascii="Times New Roman" w:hAnsi="Times New Roman" w:eastAsia="黑体" w:cs="黑体"/>
          <w:lang w:eastAsia="zh-CN"/>
        </w:rPr>
        <w:t>………………………………………………………（</w:t>
      </w:r>
      <w:r>
        <w:rPr>
          <w:rFonts w:hint="eastAsia" w:ascii="Times New Roman" w:hAnsi="Times New Roman" w:eastAsia="黑体" w:cs="黑体"/>
          <w:lang w:val="en-US" w:eastAsia="zh-CN"/>
        </w:rPr>
        <w:t>20</w:t>
      </w:r>
      <w:r>
        <w:rPr>
          <w:rFonts w:hint="eastAsia" w:ascii="Times New Roman" w:hAnsi="Times New Roman" w:eastAsia="黑体" w:cs="黑体"/>
          <w:lang w:eastAsia="zh-CN"/>
        </w:rPr>
        <w:t>）</w:t>
      </w:r>
    </w:p>
    <w:p w14:paraId="731572C7">
      <w:pPr>
        <w:pStyle w:val="15"/>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一、收入支出决算总表</w:t>
      </w:r>
      <w:r>
        <w:rPr>
          <w:rFonts w:hint="eastAsia" w:eastAsia="仿宋_GB2312" w:cs="仿宋_GB2312"/>
          <w:sz w:val="28"/>
          <w:szCs w:val="28"/>
          <w:lang w:eastAsia="zh-CN"/>
        </w:rPr>
        <w:t>…………………………………………</w:t>
      </w:r>
      <w:r>
        <w:rPr>
          <w:rFonts w:hint="eastAsia" w:eastAsia="仿宋_GB2312" w:cs="仿宋_GB2312"/>
          <w:sz w:val="28"/>
          <w:szCs w:val="28"/>
          <w:lang w:val="en-US" w:eastAsia="zh-CN"/>
        </w:rPr>
        <w:t>(20)</w:t>
      </w:r>
    </w:p>
    <w:p w14:paraId="109F3F16">
      <w:pPr>
        <w:pStyle w:val="15"/>
        <w:adjustRightInd w:val="0"/>
        <w:snapToGrid w:val="0"/>
        <w:spacing w:line="560" w:lineRule="exact"/>
        <w:ind w:left="0" w:leftChars="0" w:firstLine="560" w:firstLineChars="200"/>
        <w:jc w:val="left"/>
        <w:rPr>
          <w:rFonts w:hint="eastAsia" w:eastAsia="仿宋_GB2312" w:cs="仿宋_GB2312"/>
          <w:sz w:val="28"/>
          <w:szCs w:val="28"/>
          <w:lang w:val="en-US" w:eastAsia="zh-CN"/>
        </w:rPr>
      </w:pPr>
      <w:r>
        <w:rPr>
          <w:rFonts w:hint="eastAsia" w:eastAsia="仿宋_GB2312" w:cs="仿宋_GB2312"/>
          <w:sz w:val="28"/>
          <w:szCs w:val="28"/>
        </w:rPr>
        <w:t>二、收入决算表</w:t>
      </w:r>
      <w:r>
        <w:rPr>
          <w:rFonts w:hint="eastAsia" w:eastAsia="仿宋_GB2312" w:cs="仿宋_GB2312"/>
          <w:sz w:val="28"/>
          <w:szCs w:val="28"/>
          <w:lang w:eastAsia="zh-CN"/>
        </w:rPr>
        <w:t>…………………………………………………（</w:t>
      </w:r>
      <w:r>
        <w:rPr>
          <w:rFonts w:hint="eastAsia" w:eastAsia="仿宋_GB2312" w:cs="仿宋_GB2312"/>
          <w:sz w:val="28"/>
          <w:szCs w:val="28"/>
          <w:lang w:val="en-US" w:eastAsia="zh-CN"/>
        </w:rPr>
        <w:t>20</w:t>
      </w:r>
      <w:r>
        <w:rPr>
          <w:rFonts w:hint="eastAsia" w:eastAsia="仿宋_GB2312" w:cs="仿宋_GB2312"/>
          <w:sz w:val="28"/>
          <w:szCs w:val="28"/>
          <w:lang w:eastAsia="zh-CN"/>
        </w:rPr>
        <w:t>）</w:t>
      </w:r>
    </w:p>
    <w:p w14:paraId="7D1BB8C6">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三、支出决算表</w:t>
      </w:r>
      <w:r>
        <w:rPr>
          <w:rFonts w:hint="eastAsia" w:eastAsia="仿宋_GB2312" w:cs="仿宋_GB2312"/>
          <w:sz w:val="28"/>
          <w:szCs w:val="28"/>
          <w:lang w:eastAsia="zh-CN"/>
        </w:rPr>
        <w:t>…………………………………………………（</w:t>
      </w:r>
      <w:r>
        <w:rPr>
          <w:rFonts w:hint="eastAsia" w:eastAsia="仿宋_GB2312" w:cs="仿宋_GB2312"/>
          <w:sz w:val="28"/>
          <w:szCs w:val="28"/>
          <w:lang w:val="en-US" w:eastAsia="zh-CN"/>
        </w:rPr>
        <w:t>20</w:t>
      </w:r>
      <w:r>
        <w:rPr>
          <w:rFonts w:hint="eastAsia" w:eastAsia="仿宋_GB2312" w:cs="仿宋_GB2312"/>
          <w:sz w:val="28"/>
          <w:szCs w:val="28"/>
          <w:lang w:eastAsia="zh-CN"/>
        </w:rPr>
        <w:t>）</w:t>
      </w:r>
    </w:p>
    <w:p w14:paraId="43513C2A">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四、财政拨款收入支出决算总表</w:t>
      </w:r>
      <w:r>
        <w:rPr>
          <w:rFonts w:hint="eastAsia" w:eastAsia="仿宋_GB2312" w:cs="仿宋_GB2312"/>
          <w:sz w:val="28"/>
          <w:szCs w:val="28"/>
          <w:lang w:eastAsia="zh-CN"/>
        </w:rPr>
        <w:t>………………………………（</w:t>
      </w:r>
      <w:r>
        <w:rPr>
          <w:rFonts w:hint="eastAsia" w:eastAsia="仿宋_GB2312" w:cs="仿宋_GB2312"/>
          <w:sz w:val="28"/>
          <w:szCs w:val="28"/>
          <w:lang w:val="en-US" w:eastAsia="zh-CN"/>
        </w:rPr>
        <w:t>20</w:t>
      </w:r>
      <w:r>
        <w:rPr>
          <w:rFonts w:hint="eastAsia" w:eastAsia="仿宋_GB2312" w:cs="仿宋_GB2312"/>
          <w:sz w:val="28"/>
          <w:szCs w:val="28"/>
          <w:lang w:eastAsia="zh-CN"/>
        </w:rPr>
        <w:t>）</w:t>
      </w:r>
    </w:p>
    <w:p w14:paraId="3A7639F3">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五、财政拨款支出决算明细表</w:t>
      </w:r>
      <w:r>
        <w:rPr>
          <w:rFonts w:hint="eastAsia" w:eastAsia="仿宋_GB2312" w:cs="仿宋_GB2312"/>
          <w:sz w:val="28"/>
          <w:szCs w:val="28"/>
          <w:lang w:eastAsia="zh-CN"/>
        </w:rPr>
        <w:t>…………………………………（</w:t>
      </w:r>
      <w:r>
        <w:rPr>
          <w:rFonts w:hint="eastAsia" w:eastAsia="仿宋_GB2312" w:cs="仿宋_GB2312"/>
          <w:sz w:val="28"/>
          <w:szCs w:val="28"/>
          <w:lang w:val="en-US" w:eastAsia="zh-CN"/>
        </w:rPr>
        <w:t>20</w:t>
      </w:r>
      <w:r>
        <w:rPr>
          <w:rFonts w:hint="eastAsia" w:eastAsia="仿宋_GB2312" w:cs="仿宋_GB2312"/>
          <w:sz w:val="28"/>
          <w:szCs w:val="28"/>
          <w:lang w:eastAsia="zh-CN"/>
        </w:rPr>
        <w:t>）</w:t>
      </w:r>
    </w:p>
    <w:p w14:paraId="228312AD">
      <w:pPr>
        <w:pStyle w:val="15"/>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六、一般公共预算财政拨款支出决算表</w:t>
      </w:r>
      <w:r>
        <w:rPr>
          <w:rFonts w:hint="eastAsia" w:eastAsia="仿宋_GB2312" w:cs="仿宋_GB2312"/>
          <w:sz w:val="28"/>
          <w:szCs w:val="28"/>
          <w:lang w:eastAsia="zh-CN"/>
        </w:rPr>
        <w:t>………………………（</w:t>
      </w:r>
      <w:r>
        <w:rPr>
          <w:rFonts w:hint="eastAsia" w:eastAsia="仿宋_GB2312" w:cs="仿宋_GB2312"/>
          <w:sz w:val="28"/>
          <w:szCs w:val="28"/>
          <w:lang w:val="en-US" w:eastAsia="zh-CN"/>
        </w:rPr>
        <w:t>20</w:t>
      </w:r>
      <w:r>
        <w:rPr>
          <w:rFonts w:hint="eastAsia" w:eastAsia="仿宋_GB2312" w:cs="仿宋_GB2312"/>
          <w:sz w:val="28"/>
          <w:szCs w:val="28"/>
          <w:lang w:eastAsia="zh-CN"/>
        </w:rPr>
        <w:t>）</w:t>
      </w:r>
    </w:p>
    <w:p w14:paraId="1ABB2CAF">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七、一般公共预算财政拨款支出决算明细表</w:t>
      </w:r>
      <w:r>
        <w:rPr>
          <w:rFonts w:hint="eastAsia" w:eastAsia="仿宋_GB2312" w:cs="仿宋_GB2312"/>
          <w:sz w:val="28"/>
          <w:szCs w:val="28"/>
          <w:lang w:eastAsia="zh-CN"/>
        </w:rPr>
        <w:t>…………………（</w:t>
      </w:r>
      <w:r>
        <w:rPr>
          <w:rFonts w:hint="eastAsia" w:eastAsia="仿宋_GB2312" w:cs="仿宋_GB2312"/>
          <w:sz w:val="28"/>
          <w:szCs w:val="28"/>
          <w:lang w:val="en-US" w:eastAsia="zh-CN"/>
        </w:rPr>
        <w:t>20</w:t>
      </w:r>
      <w:r>
        <w:rPr>
          <w:rFonts w:hint="eastAsia" w:eastAsia="仿宋_GB2312" w:cs="仿宋_GB2312"/>
          <w:sz w:val="28"/>
          <w:szCs w:val="28"/>
          <w:lang w:eastAsia="zh-CN"/>
        </w:rPr>
        <w:t>）</w:t>
      </w:r>
    </w:p>
    <w:p w14:paraId="08A03C4A">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八、一般公共预算财政拨款基本支出决算明细表</w:t>
      </w:r>
      <w:r>
        <w:rPr>
          <w:rFonts w:hint="eastAsia" w:eastAsia="仿宋_GB2312" w:cs="仿宋_GB2312"/>
          <w:sz w:val="28"/>
          <w:szCs w:val="28"/>
          <w:lang w:eastAsia="zh-CN"/>
        </w:rPr>
        <w:t>……………（</w:t>
      </w:r>
      <w:r>
        <w:rPr>
          <w:rFonts w:hint="eastAsia" w:eastAsia="仿宋_GB2312" w:cs="仿宋_GB2312"/>
          <w:sz w:val="28"/>
          <w:szCs w:val="28"/>
          <w:lang w:val="en-US" w:eastAsia="zh-CN"/>
        </w:rPr>
        <w:t>20</w:t>
      </w:r>
      <w:r>
        <w:rPr>
          <w:rFonts w:hint="eastAsia" w:eastAsia="仿宋_GB2312" w:cs="仿宋_GB2312"/>
          <w:sz w:val="28"/>
          <w:szCs w:val="28"/>
          <w:lang w:eastAsia="zh-CN"/>
        </w:rPr>
        <w:t>）</w:t>
      </w:r>
    </w:p>
    <w:p w14:paraId="7D4C6677">
      <w:pPr>
        <w:pStyle w:val="15"/>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九、一般公共预算财政拨款项目支出决算表</w:t>
      </w:r>
      <w:r>
        <w:rPr>
          <w:rFonts w:hint="eastAsia" w:eastAsia="仿宋_GB2312" w:cs="仿宋_GB2312"/>
          <w:sz w:val="28"/>
          <w:szCs w:val="28"/>
          <w:lang w:eastAsia="zh-CN"/>
        </w:rPr>
        <w:t>…………………</w:t>
      </w:r>
      <w:r>
        <w:rPr>
          <w:rFonts w:hint="eastAsia" w:eastAsia="仿宋_GB2312" w:cs="仿宋_GB2312"/>
          <w:sz w:val="28"/>
          <w:szCs w:val="28"/>
          <w:lang w:val="en-US" w:eastAsia="zh-CN"/>
        </w:rPr>
        <w:t>(20)</w:t>
      </w:r>
    </w:p>
    <w:p w14:paraId="250B5C44">
      <w:pPr>
        <w:pStyle w:val="15"/>
        <w:adjustRightInd w:val="0"/>
        <w:snapToGrid w:val="0"/>
        <w:spacing w:line="560" w:lineRule="exact"/>
        <w:ind w:left="0" w:leftChars="0" w:firstLine="560" w:firstLineChars="200"/>
        <w:jc w:val="left"/>
        <w:rPr>
          <w:rFonts w:hint="eastAsia" w:eastAsia="仿宋_GB2312" w:cs="仿宋_GB2312"/>
          <w:sz w:val="28"/>
          <w:szCs w:val="28"/>
          <w:lang w:val="en-US" w:eastAsia="zh-CN"/>
        </w:rPr>
      </w:pPr>
      <w:r>
        <w:rPr>
          <w:rFonts w:hint="eastAsia" w:eastAsia="仿宋_GB2312" w:cs="仿宋_GB2312"/>
          <w:sz w:val="28"/>
          <w:szCs w:val="28"/>
        </w:rPr>
        <w:t>十、政府性基金预算财政拨款收入支出决算表</w:t>
      </w:r>
      <w:r>
        <w:rPr>
          <w:rFonts w:hint="eastAsia" w:eastAsia="仿宋_GB2312" w:cs="仿宋_GB2312"/>
          <w:sz w:val="28"/>
          <w:szCs w:val="28"/>
          <w:lang w:eastAsia="zh-CN"/>
        </w:rPr>
        <w:t>………………（</w:t>
      </w:r>
      <w:r>
        <w:rPr>
          <w:rFonts w:hint="eastAsia" w:eastAsia="仿宋_GB2312" w:cs="仿宋_GB2312"/>
          <w:sz w:val="28"/>
          <w:szCs w:val="28"/>
          <w:lang w:val="en-US" w:eastAsia="zh-CN"/>
        </w:rPr>
        <w:t>20</w:t>
      </w:r>
      <w:r>
        <w:rPr>
          <w:rFonts w:hint="eastAsia" w:eastAsia="仿宋_GB2312" w:cs="仿宋_GB2312"/>
          <w:sz w:val="28"/>
          <w:szCs w:val="28"/>
          <w:lang w:eastAsia="zh-CN"/>
        </w:rPr>
        <w:t>）</w:t>
      </w:r>
    </w:p>
    <w:p w14:paraId="6E24B850">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十一、国有资本经营预算财政拨款收入支出决算表</w:t>
      </w:r>
      <w:r>
        <w:rPr>
          <w:rFonts w:hint="eastAsia" w:eastAsia="仿宋_GB2312" w:cs="仿宋_GB2312"/>
          <w:sz w:val="28"/>
          <w:szCs w:val="28"/>
          <w:lang w:eastAsia="zh-CN"/>
        </w:rPr>
        <w:t>………（</w:t>
      </w:r>
      <w:r>
        <w:rPr>
          <w:rFonts w:hint="eastAsia" w:eastAsia="仿宋_GB2312" w:cs="仿宋_GB2312"/>
          <w:sz w:val="28"/>
          <w:szCs w:val="28"/>
          <w:lang w:val="en-US" w:eastAsia="zh-CN"/>
        </w:rPr>
        <w:t>20</w:t>
      </w:r>
      <w:r>
        <w:rPr>
          <w:rFonts w:hint="eastAsia" w:eastAsia="仿宋_GB2312" w:cs="仿宋_GB2312"/>
          <w:sz w:val="28"/>
          <w:szCs w:val="28"/>
          <w:lang w:eastAsia="zh-CN"/>
        </w:rPr>
        <w:t>）</w:t>
      </w:r>
    </w:p>
    <w:p w14:paraId="43733AEC">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十二、国有资本经营预算财政拨款支出决算表</w:t>
      </w:r>
      <w:r>
        <w:rPr>
          <w:rFonts w:hint="eastAsia" w:eastAsia="仿宋_GB2312" w:cs="仿宋_GB2312"/>
          <w:sz w:val="28"/>
          <w:szCs w:val="28"/>
          <w:lang w:eastAsia="zh-CN"/>
        </w:rPr>
        <w:t>………………（</w:t>
      </w:r>
      <w:r>
        <w:rPr>
          <w:rFonts w:hint="eastAsia" w:eastAsia="仿宋_GB2312" w:cs="仿宋_GB2312"/>
          <w:sz w:val="28"/>
          <w:szCs w:val="28"/>
          <w:lang w:val="en-US" w:eastAsia="zh-CN"/>
        </w:rPr>
        <w:t>20</w:t>
      </w:r>
      <w:r>
        <w:rPr>
          <w:rFonts w:hint="eastAsia" w:eastAsia="仿宋_GB2312" w:cs="仿宋_GB2312"/>
          <w:sz w:val="28"/>
          <w:szCs w:val="28"/>
          <w:lang w:eastAsia="zh-CN"/>
        </w:rPr>
        <w:t>）</w:t>
      </w:r>
    </w:p>
    <w:p w14:paraId="7800C34C">
      <w:pPr>
        <w:pStyle w:val="15"/>
        <w:adjustRightInd w:val="0"/>
        <w:snapToGrid w:val="0"/>
        <w:spacing w:line="560" w:lineRule="exact"/>
        <w:ind w:left="0" w:leftChars="0" w:firstLine="560" w:firstLineChars="200"/>
        <w:jc w:val="left"/>
        <w:rPr>
          <w:rFonts w:hint="eastAsia" w:eastAsia="仿宋_GB2312" w:cs="仿宋_GB2312"/>
          <w:sz w:val="28"/>
          <w:szCs w:val="28"/>
          <w:lang w:eastAsia="zh-CN"/>
        </w:rPr>
      </w:pPr>
      <w:r>
        <w:rPr>
          <w:rFonts w:hint="eastAsia" w:eastAsia="仿宋_GB2312" w:cs="仿宋_GB2312"/>
          <w:sz w:val="28"/>
          <w:szCs w:val="28"/>
        </w:rPr>
        <w:t>十三、财政拨款“三公”经费支出决算表</w:t>
      </w:r>
      <w:r>
        <w:rPr>
          <w:rFonts w:hint="eastAsia" w:eastAsia="仿宋_GB2312" w:cs="仿宋_GB2312"/>
          <w:sz w:val="28"/>
          <w:szCs w:val="28"/>
          <w:lang w:eastAsia="zh-CN"/>
        </w:rPr>
        <w:t>………………………（</w:t>
      </w:r>
      <w:r>
        <w:rPr>
          <w:rFonts w:hint="eastAsia" w:eastAsia="仿宋_GB2312" w:cs="仿宋_GB2312"/>
          <w:sz w:val="28"/>
          <w:szCs w:val="28"/>
          <w:lang w:val="en-US" w:eastAsia="zh-CN"/>
        </w:rPr>
        <w:t>20</w:t>
      </w:r>
      <w:r>
        <w:rPr>
          <w:rFonts w:hint="eastAsia" w:eastAsia="仿宋_GB2312" w:cs="仿宋_GB2312"/>
          <w:sz w:val="28"/>
          <w:szCs w:val="28"/>
          <w:lang w:eastAsia="zh-CN"/>
        </w:rPr>
        <w:t>）</w:t>
      </w:r>
    </w:p>
    <w:p w14:paraId="133A4A75">
      <w:pPr>
        <w:pStyle w:val="3"/>
        <w:jc w:val="center"/>
        <w:rPr>
          <w:rFonts w:hint="eastAsia" w:eastAsia="方正小标宋简体" w:cs="方正小标宋简体"/>
          <w:b w:val="0"/>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6" w:name="_Toc15396599"/>
      <w:bookmarkStart w:id="7" w:name="_Toc15377196"/>
    </w:p>
    <w:p w14:paraId="370BB1C6">
      <w:pPr>
        <w:pStyle w:val="3"/>
        <w:jc w:val="center"/>
        <w:rPr>
          <w:rFonts w:hint="eastAsia" w:ascii="方正小标宋_GBK" w:hAnsi="方正小标宋_GBK" w:eastAsia="方正小标宋_GBK" w:cs="方正小标宋_GBK"/>
          <w:b/>
          <w:bCs w:val="0"/>
        </w:rPr>
      </w:pPr>
      <w:r>
        <w:rPr>
          <w:rFonts w:hint="eastAsia" w:ascii="方正小标宋_GBK" w:hAnsi="方正小标宋_GBK" w:eastAsia="方正小标宋_GBK" w:cs="方正小标宋_GBK"/>
          <w:b/>
          <w:bCs w:val="0"/>
        </w:rPr>
        <w:t xml:space="preserve">第一部分  </w:t>
      </w:r>
      <w:r>
        <w:rPr>
          <w:rStyle w:val="29"/>
          <w:rFonts w:hint="eastAsia" w:ascii="方正小标宋_GBK" w:hAnsi="方正小标宋_GBK" w:eastAsia="方正小标宋_GBK" w:cs="方正小标宋_GBK"/>
          <w:b/>
          <w:bCs w:val="0"/>
        </w:rPr>
        <w:t>单位概况</w:t>
      </w:r>
      <w:bookmarkEnd w:id="6"/>
      <w:bookmarkEnd w:id="7"/>
    </w:p>
    <w:p w14:paraId="27B2DFD0">
      <w:pPr>
        <w:pStyle w:val="4"/>
        <w:keepNext/>
        <w:keepLines/>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方正黑体_GBK" w:hAnsi="方正黑体_GBK" w:eastAsia="方正黑体_GBK" w:cs="方正黑体_GBK"/>
          <w:b w:val="0"/>
        </w:rPr>
      </w:pPr>
      <w:r>
        <w:rPr>
          <w:rFonts w:hint="eastAsia" w:ascii="方正黑体_GBK" w:hAnsi="方正黑体_GBK" w:eastAsia="方正黑体_GBK" w:cs="方正黑体_GBK"/>
          <w:b w:val="0"/>
          <w:bCs/>
          <w:kern w:val="2"/>
          <w:sz w:val="32"/>
          <w:szCs w:val="32"/>
          <w:lang w:val="en-US" w:eastAsia="zh-CN" w:bidi="ar-SA"/>
        </w:rPr>
        <w:t>一、</w:t>
      </w:r>
      <w:r>
        <w:rPr>
          <w:rFonts w:hint="eastAsia" w:ascii="方正黑体_GBK" w:hAnsi="方正黑体_GBK" w:eastAsia="方正黑体_GBK" w:cs="方正黑体_GBK"/>
          <w:b w:val="0"/>
        </w:rPr>
        <w:t>主要职责</w:t>
      </w:r>
    </w:p>
    <w:p w14:paraId="6EADC7B9">
      <w:pPr>
        <w:pStyle w:val="6"/>
        <w:keepNext w:val="0"/>
        <w:keepLines w:val="0"/>
        <w:pageBreakBefore w:val="0"/>
        <w:widowControl w:val="0"/>
        <w:kinsoku/>
        <w:wordWrap/>
        <w:overflowPunct/>
        <w:topLinePunct w:val="0"/>
        <w:autoSpaceDE/>
        <w:autoSpaceDN/>
        <w:bidi w:val="0"/>
        <w:adjustRightInd w:val="0"/>
        <w:snapToGrid/>
        <w:spacing w:before="93" w:line="576" w:lineRule="exact"/>
        <w:ind w:firstLine="640" w:firstLineChars="200"/>
        <w:textAlignment w:val="auto"/>
        <w:outlineLvl w:val="1"/>
        <w:rPr>
          <w:rFonts w:hint="eastAsia" w:ascii="方正仿宋_GBK" w:hAnsi="方正仿宋_GBK" w:eastAsia="方正仿宋_GBK" w:cs="方正仿宋_GBK"/>
          <w:b w:val="0"/>
          <w:bCs w:val="0"/>
          <w:kern w:val="2"/>
          <w:sz w:val="32"/>
          <w:szCs w:val="32"/>
        </w:rPr>
      </w:pPr>
      <w:r>
        <w:rPr>
          <w:rFonts w:hint="eastAsia" w:ascii="方正仿宋_GBK" w:hAnsi="方正仿宋_GBK" w:eastAsia="方正仿宋_GBK" w:cs="方正仿宋_GBK"/>
          <w:b w:val="0"/>
          <w:bCs w:val="0"/>
          <w:kern w:val="2"/>
          <w:sz w:val="32"/>
          <w:szCs w:val="32"/>
          <w:lang w:eastAsia="zh-CN"/>
        </w:rPr>
        <w:t>（一）</w:t>
      </w:r>
      <w:r>
        <w:rPr>
          <w:rFonts w:hint="eastAsia" w:ascii="方正仿宋_GBK" w:hAnsi="方正仿宋_GBK" w:eastAsia="方正仿宋_GBK" w:cs="方正仿宋_GBK"/>
          <w:b w:val="0"/>
          <w:bCs w:val="0"/>
          <w:kern w:val="2"/>
          <w:sz w:val="32"/>
          <w:szCs w:val="32"/>
        </w:rPr>
        <w:t>负责交通运输领域综合行政执法工作。</w:t>
      </w:r>
    </w:p>
    <w:p w14:paraId="6C730BD4">
      <w:pPr>
        <w:pStyle w:val="6"/>
        <w:keepNext w:val="0"/>
        <w:keepLines w:val="0"/>
        <w:pageBreakBefore w:val="0"/>
        <w:widowControl w:val="0"/>
        <w:kinsoku/>
        <w:wordWrap/>
        <w:overflowPunct/>
        <w:topLinePunct w:val="0"/>
        <w:autoSpaceDE/>
        <w:autoSpaceDN/>
        <w:bidi w:val="0"/>
        <w:adjustRightInd w:val="0"/>
        <w:snapToGrid/>
        <w:spacing w:before="93" w:line="576" w:lineRule="exact"/>
        <w:ind w:firstLine="640" w:firstLineChars="200"/>
        <w:textAlignment w:val="auto"/>
        <w:outlineLvl w:val="1"/>
        <w:rPr>
          <w:rFonts w:hint="eastAsia" w:ascii="方正仿宋_GBK" w:hAnsi="方正仿宋_GBK" w:eastAsia="方正仿宋_GBK" w:cs="方正仿宋_GBK"/>
          <w:b w:val="0"/>
          <w:bCs w:val="0"/>
          <w:kern w:val="2"/>
          <w:sz w:val="32"/>
          <w:szCs w:val="32"/>
          <w:lang w:eastAsia="zh-CN"/>
        </w:rPr>
      </w:pPr>
      <w:r>
        <w:rPr>
          <w:rFonts w:hint="eastAsia" w:ascii="方正仿宋_GBK" w:hAnsi="方正仿宋_GBK" w:eastAsia="方正仿宋_GBK" w:cs="方正仿宋_GBK"/>
          <w:b w:val="0"/>
          <w:bCs w:val="0"/>
          <w:kern w:val="2"/>
          <w:sz w:val="32"/>
          <w:szCs w:val="32"/>
          <w:lang w:eastAsia="zh-CN"/>
        </w:rPr>
        <w:t>（二）负责职责范围内的安全生产和职业健康、生态环境保护、审批服务便民化等工作。</w:t>
      </w:r>
    </w:p>
    <w:p w14:paraId="6981C191">
      <w:pPr>
        <w:pStyle w:val="6"/>
        <w:keepNext w:val="0"/>
        <w:keepLines w:val="0"/>
        <w:pageBreakBefore w:val="0"/>
        <w:widowControl w:val="0"/>
        <w:kinsoku/>
        <w:wordWrap/>
        <w:overflowPunct/>
        <w:topLinePunct w:val="0"/>
        <w:autoSpaceDE/>
        <w:autoSpaceDN/>
        <w:bidi w:val="0"/>
        <w:adjustRightInd w:val="0"/>
        <w:snapToGrid/>
        <w:spacing w:before="93" w:line="576" w:lineRule="exact"/>
        <w:ind w:firstLine="640" w:firstLineChars="200"/>
        <w:textAlignment w:val="auto"/>
        <w:outlineLvl w:val="1"/>
        <w:rPr>
          <w:rFonts w:hint="eastAsia" w:ascii="方正仿宋_GBK" w:hAnsi="方正仿宋_GBK" w:eastAsia="方正仿宋_GBK" w:cs="方正仿宋_GBK"/>
          <w:b w:val="0"/>
          <w:bCs w:val="0"/>
          <w:kern w:val="2"/>
          <w:sz w:val="32"/>
          <w:szCs w:val="32"/>
          <w:lang w:eastAsia="zh-CN"/>
        </w:rPr>
      </w:pPr>
      <w:r>
        <w:rPr>
          <w:rFonts w:hint="eastAsia" w:ascii="方正仿宋_GBK" w:hAnsi="方正仿宋_GBK" w:eastAsia="方正仿宋_GBK" w:cs="方正仿宋_GBK"/>
          <w:b w:val="0"/>
          <w:bCs w:val="0"/>
          <w:kern w:val="2"/>
          <w:sz w:val="32"/>
          <w:szCs w:val="32"/>
          <w:lang w:eastAsia="zh-CN"/>
        </w:rPr>
        <w:t>（三）渔船检验监督管理和行业指导等职责。</w:t>
      </w:r>
    </w:p>
    <w:p w14:paraId="69BBAE84">
      <w:pPr>
        <w:pStyle w:val="6"/>
        <w:keepNext w:val="0"/>
        <w:keepLines w:val="0"/>
        <w:pageBreakBefore w:val="0"/>
        <w:widowControl w:val="0"/>
        <w:kinsoku/>
        <w:wordWrap/>
        <w:overflowPunct/>
        <w:topLinePunct w:val="0"/>
        <w:autoSpaceDE/>
        <w:autoSpaceDN/>
        <w:bidi w:val="0"/>
        <w:adjustRightInd w:val="0"/>
        <w:snapToGrid/>
        <w:spacing w:before="93" w:line="576" w:lineRule="exact"/>
        <w:ind w:firstLine="640" w:firstLineChars="200"/>
        <w:textAlignment w:val="auto"/>
        <w:outlineLvl w:val="1"/>
        <w:rPr>
          <w:rFonts w:hint="eastAsia" w:ascii="方正仿宋_GBK" w:hAnsi="方正仿宋_GBK" w:eastAsia="方正仿宋_GBK" w:cs="方正仿宋_GBK"/>
          <w:b w:val="0"/>
          <w:bCs w:val="0"/>
          <w:kern w:val="2"/>
          <w:sz w:val="32"/>
          <w:szCs w:val="32"/>
          <w:lang w:eastAsia="zh-CN"/>
        </w:rPr>
      </w:pPr>
      <w:r>
        <w:rPr>
          <w:rFonts w:hint="eastAsia" w:ascii="方正仿宋_GBK" w:hAnsi="方正仿宋_GBK" w:eastAsia="方正仿宋_GBK" w:cs="方正仿宋_GBK"/>
          <w:b w:val="0"/>
          <w:bCs w:val="0"/>
          <w:kern w:val="2"/>
          <w:sz w:val="32"/>
          <w:szCs w:val="32"/>
          <w:lang w:eastAsia="zh-CN"/>
        </w:rPr>
        <w:t>（四）承担水路运输及水上安全监督管理、船舶监督管理以及港口、航道建设、养护监督管理等职责。</w:t>
      </w:r>
    </w:p>
    <w:p w14:paraId="067D6CD4">
      <w:pPr>
        <w:pStyle w:val="6"/>
        <w:keepNext w:val="0"/>
        <w:keepLines w:val="0"/>
        <w:pageBreakBefore w:val="0"/>
        <w:widowControl w:val="0"/>
        <w:kinsoku/>
        <w:wordWrap/>
        <w:overflowPunct/>
        <w:topLinePunct w:val="0"/>
        <w:autoSpaceDE/>
        <w:autoSpaceDN/>
        <w:bidi w:val="0"/>
        <w:adjustRightInd w:val="0"/>
        <w:snapToGrid/>
        <w:spacing w:before="93" w:line="576" w:lineRule="exact"/>
        <w:ind w:firstLine="640" w:firstLineChars="200"/>
        <w:textAlignment w:val="auto"/>
        <w:outlineLvl w:val="1"/>
        <w:rPr>
          <w:rFonts w:hint="eastAsia" w:ascii="方正仿宋_GBK" w:hAnsi="方正仿宋_GBK" w:eastAsia="方正仿宋_GBK" w:cs="方正仿宋_GBK"/>
          <w:b w:val="0"/>
          <w:bCs w:val="0"/>
          <w:kern w:val="2"/>
          <w:sz w:val="32"/>
          <w:szCs w:val="32"/>
          <w:lang w:eastAsia="zh-CN"/>
        </w:rPr>
      </w:pPr>
      <w:r>
        <w:rPr>
          <w:rFonts w:hint="eastAsia" w:ascii="方正仿宋_GBK" w:hAnsi="方正仿宋_GBK" w:eastAsia="方正仿宋_GBK" w:cs="方正仿宋_GBK"/>
          <w:b w:val="0"/>
          <w:bCs w:val="0"/>
          <w:kern w:val="2"/>
          <w:sz w:val="32"/>
          <w:szCs w:val="32"/>
          <w:lang w:eastAsia="zh-CN"/>
        </w:rPr>
        <w:t>（五）承担道路运输行业监督管理及全县公路行政审批等职责。</w:t>
      </w:r>
    </w:p>
    <w:p w14:paraId="02D8E835">
      <w:pPr>
        <w:pStyle w:val="4"/>
        <w:keepNext/>
        <w:keepLines/>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方正黑体_GBK" w:hAnsi="方正黑体_GBK" w:eastAsia="方正黑体_GBK" w:cs="方正黑体_GBK"/>
          <w:b w:val="0"/>
          <w:bCs/>
          <w:kern w:val="2"/>
          <w:sz w:val="32"/>
          <w:szCs w:val="32"/>
          <w:lang w:val="en-US" w:eastAsia="zh-CN" w:bidi="ar-SA"/>
        </w:rPr>
      </w:pPr>
      <w:bookmarkStart w:id="8" w:name="_Toc15377200"/>
      <w:bookmarkStart w:id="9" w:name="_Toc15396601"/>
      <w:r>
        <w:rPr>
          <w:rFonts w:hint="eastAsia" w:ascii="方正黑体_GBK" w:hAnsi="方正黑体_GBK" w:eastAsia="方正黑体_GBK" w:cs="方正黑体_GBK"/>
          <w:b w:val="0"/>
          <w:bCs/>
          <w:kern w:val="2"/>
          <w:sz w:val="32"/>
          <w:szCs w:val="32"/>
          <w:lang w:val="en-US" w:eastAsia="zh-CN" w:bidi="ar-SA"/>
        </w:rPr>
        <w:t>二、机构设置</w:t>
      </w:r>
      <w:bookmarkEnd w:id="8"/>
      <w:bookmarkEnd w:id="9"/>
    </w:p>
    <w:p w14:paraId="592F96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盐边县交通运输局为行政单位，下属单位包括参照公务员法管理的事业单位2个，其他事业单位1个。主要包括：       盐边县航务海事中心、盐边县交通运输服务中心、盐边县养路队。</w:t>
      </w:r>
    </w:p>
    <w:p w14:paraId="34E0567E">
      <w:pPr>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cs="仿宋_GB2312"/>
          <w:sz w:val="32"/>
          <w:szCs w:val="32"/>
        </w:rPr>
      </w:pPr>
    </w:p>
    <w:p w14:paraId="4F95840F">
      <w:pPr>
        <w:pStyle w:val="14"/>
      </w:pPr>
    </w:p>
    <w:p w14:paraId="1CFE2FD3">
      <w:pPr>
        <w:pStyle w:val="8"/>
        <w:ind w:left="420"/>
      </w:pPr>
    </w:p>
    <w:p w14:paraId="28618811">
      <w:pPr>
        <w:pStyle w:val="8"/>
        <w:ind w:left="420"/>
      </w:pPr>
    </w:p>
    <w:p w14:paraId="4D06DCD6">
      <w:pPr>
        <w:pStyle w:val="8"/>
        <w:ind w:left="420"/>
      </w:pPr>
    </w:p>
    <w:p w14:paraId="09E39C39">
      <w:pPr>
        <w:pStyle w:val="8"/>
        <w:ind w:left="420"/>
      </w:pPr>
    </w:p>
    <w:p w14:paraId="60948D43">
      <w:pPr>
        <w:pStyle w:val="8"/>
        <w:ind w:left="0" w:leftChars="0" w:firstLine="0" w:firstLineChars="0"/>
      </w:pPr>
    </w:p>
    <w:p w14:paraId="442C9800">
      <w:pPr>
        <w:pStyle w:val="8"/>
        <w:ind w:left="420"/>
      </w:pPr>
    </w:p>
    <w:p w14:paraId="615F7905">
      <w:pPr>
        <w:pStyle w:val="8"/>
        <w:ind w:left="420"/>
      </w:pPr>
    </w:p>
    <w:p w14:paraId="40BA2B8E">
      <w:pPr>
        <w:pStyle w:val="3"/>
        <w:jc w:val="center"/>
        <w:rPr>
          <w:rFonts w:hint="eastAsia" w:ascii="方正小标宋_GBK" w:hAnsi="方正小标宋_GBK" w:eastAsia="方正小标宋_GBK" w:cs="方正小标宋_GBK"/>
          <w:b/>
          <w:bCs w:val="0"/>
        </w:rPr>
      </w:pPr>
      <w:bookmarkStart w:id="10" w:name="_Toc15377204"/>
      <w:bookmarkStart w:id="11" w:name="_Toc15396602"/>
      <w:r>
        <w:rPr>
          <w:rFonts w:hint="eastAsia" w:ascii="方正小标宋_GBK" w:hAnsi="方正小标宋_GBK" w:eastAsia="方正小标宋_GBK" w:cs="方正小标宋_GBK"/>
          <w:b/>
          <w:bCs w:val="0"/>
        </w:rPr>
        <w:t>第二部分  2024年度部门决算情况说明</w:t>
      </w:r>
      <w:bookmarkEnd w:id="10"/>
      <w:bookmarkEnd w:id="11"/>
    </w:p>
    <w:p w14:paraId="2FE5E664"/>
    <w:p w14:paraId="206FBDFE">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0"/>
          <w:rFonts w:hint="eastAsia" w:ascii="方正黑体_GBK" w:hAnsi="方正黑体_GBK" w:eastAsia="方正黑体_GBK" w:cs="方正黑体_GBK"/>
          <w:b w:val="0"/>
        </w:rPr>
      </w:pPr>
      <w:bookmarkStart w:id="12" w:name="_Toc15377205"/>
      <w:bookmarkStart w:id="13" w:name="_Toc15396603"/>
      <w:r>
        <w:rPr>
          <w:rFonts w:hint="eastAsia" w:ascii="方正黑体_GBK" w:hAnsi="方正黑体_GBK" w:eastAsia="方正黑体_GBK" w:cs="方正黑体_GBK"/>
          <w:sz w:val="32"/>
          <w:szCs w:val="32"/>
        </w:rPr>
        <w:t>一、收</w:t>
      </w:r>
      <w:r>
        <w:rPr>
          <w:rStyle w:val="30"/>
          <w:rFonts w:hint="eastAsia" w:ascii="方正黑体_GBK" w:hAnsi="方正黑体_GBK" w:eastAsia="方正黑体_GBK" w:cs="方正黑体_GBK"/>
          <w:b w:val="0"/>
        </w:rPr>
        <w:t>入支出决算总体情况说明</w:t>
      </w:r>
      <w:bookmarkEnd w:id="12"/>
      <w:bookmarkEnd w:id="13"/>
    </w:p>
    <w:p w14:paraId="751C9A46">
      <w:pPr>
        <w:pStyle w:val="28"/>
        <w:spacing w:line="600" w:lineRule="exact"/>
        <w:ind w:firstLine="640"/>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2024年度收入、支出总计均为15070.70万元。与2023年度相比，收入、支出总计各增加8745.9万元，增长138%。主要变动原因是2024年增加了政府性基金预算和市级资金收入。</w:t>
      </w:r>
    </w:p>
    <w:p w14:paraId="0B67F49E">
      <w:pPr>
        <w:pStyle w:val="28"/>
        <w:spacing w:line="600" w:lineRule="exact"/>
        <w:ind w:firstLine="640"/>
        <w:outlineLvl w:val="1"/>
        <w:rPr>
          <w:rFonts w:eastAsia="仿宋"/>
          <w:sz w:val="32"/>
          <w:szCs w:val="32"/>
        </w:rPr>
      </w:pPr>
      <w:r>
        <w:rPr>
          <w:rFonts w:hint="eastAsia" w:eastAsia="仿宋"/>
          <w:sz w:val="32"/>
          <w:szCs w:val="32"/>
        </w:rPr>
        <w:drawing>
          <wp:anchor distT="0" distB="0" distL="114300" distR="114300" simplePos="0" relativeHeight="251659264" behindDoc="1" locked="0" layoutInCell="1" allowOverlap="1">
            <wp:simplePos x="0" y="0"/>
            <wp:positionH relativeFrom="column">
              <wp:posOffset>47625</wp:posOffset>
            </wp:positionH>
            <wp:positionV relativeFrom="paragraph">
              <wp:posOffset>131445</wp:posOffset>
            </wp:positionV>
            <wp:extent cx="5334000" cy="3219450"/>
            <wp:effectExtent l="0" t="0" r="0" b="0"/>
            <wp:wrapNone/>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E002C8B">
      <w:pPr>
        <w:pStyle w:val="28"/>
        <w:spacing w:line="600" w:lineRule="exact"/>
        <w:ind w:firstLine="640"/>
        <w:outlineLvl w:val="1"/>
        <w:rPr>
          <w:rFonts w:eastAsia="仿宋"/>
          <w:sz w:val="32"/>
          <w:szCs w:val="32"/>
        </w:rPr>
      </w:pPr>
    </w:p>
    <w:p w14:paraId="05ABA209">
      <w:pPr>
        <w:pStyle w:val="28"/>
        <w:spacing w:line="600" w:lineRule="exact"/>
        <w:ind w:firstLine="640"/>
        <w:outlineLvl w:val="1"/>
        <w:rPr>
          <w:rFonts w:eastAsia="仿宋"/>
          <w:sz w:val="32"/>
          <w:szCs w:val="32"/>
        </w:rPr>
      </w:pPr>
    </w:p>
    <w:p w14:paraId="2F4E883A">
      <w:pPr>
        <w:pStyle w:val="28"/>
        <w:spacing w:line="600" w:lineRule="exact"/>
        <w:ind w:firstLine="640"/>
        <w:outlineLvl w:val="1"/>
        <w:rPr>
          <w:rFonts w:eastAsia="仿宋"/>
          <w:sz w:val="32"/>
          <w:szCs w:val="32"/>
        </w:rPr>
      </w:pPr>
    </w:p>
    <w:p w14:paraId="1C4925A3">
      <w:pPr>
        <w:pStyle w:val="28"/>
        <w:spacing w:line="600" w:lineRule="exact"/>
        <w:ind w:firstLine="640"/>
        <w:outlineLvl w:val="1"/>
        <w:rPr>
          <w:rFonts w:eastAsia="仿宋"/>
          <w:sz w:val="32"/>
          <w:szCs w:val="32"/>
        </w:rPr>
      </w:pPr>
    </w:p>
    <w:p w14:paraId="786BEF34">
      <w:pPr>
        <w:pStyle w:val="28"/>
        <w:spacing w:line="600" w:lineRule="exact"/>
        <w:ind w:firstLine="640"/>
        <w:outlineLvl w:val="1"/>
        <w:rPr>
          <w:rFonts w:eastAsia="仿宋"/>
          <w:sz w:val="32"/>
          <w:szCs w:val="32"/>
        </w:rPr>
      </w:pPr>
    </w:p>
    <w:p w14:paraId="7C2FB7AE">
      <w:pPr>
        <w:pStyle w:val="28"/>
        <w:spacing w:line="600" w:lineRule="exact"/>
        <w:ind w:firstLine="640"/>
        <w:outlineLvl w:val="1"/>
        <w:rPr>
          <w:rFonts w:eastAsia="仿宋"/>
          <w:sz w:val="32"/>
          <w:szCs w:val="32"/>
        </w:rPr>
      </w:pPr>
    </w:p>
    <w:p w14:paraId="45C477BD">
      <w:pPr>
        <w:pStyle w:val="28"/>
        <w:spacing w:line="600" w:lineRule="exact"/>
        <w:ind w:firstLine="640"/>
        <w:outlineLvl w:val="1"/>
        <w:rPr>
          <w:rFonts w:eastAsia="仿宋"/>
          <w:sz w:val="32"/>
          <w:szCs w:val="32"/>
        </w:rPr>
      </w:pPr>
    </w:p>
    <w:p w14:paraId="36B3FFC0">
      <w:pPr>
        <w:pStyle w:val="28"/>
        <w:spacing w:line="600" w:lineRule="exact"/>
        <w:ind w:firstLine="640"/>
        <w:outlineLvl w:val="1"/>
        <w:rPr>
          <w:rFonts w:eastAsia="仿宋_GB2312" w:cs="仿宋_GB2312"/>
          <w:sz w:val="32"/>
          <w:szCs w:val="32"/>
        </w:rPr>
      </w:pPr>
    </w:p>
    <w:p w14:paraId="670C2196">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48756089">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方正黑体_GBK" w:hAnsi="方正黑体_GBK" w:eastAsia="方正黑体_GBK" w:cs="方正黑体_GBK"/>
          <w:sz w:val="32"/>
          <w:szCs w:val="32"/>
        </w:rPr>
      </w:pPr>
      <w:bookmarkStart w:id="14" w:name="_Toc15396604"/>
      <w:bookmarkStart w:id="15" w:name="_Toc15377206"/>
      <w:r>
        <w:rPr>
          <w:rFonts w:hint="eastAsia" w:ascii="方正黑体_GBK" w:hAnsi="方正黑体_GBK" w:eastAsia="方正黑体_GBK" w:cs="方正黑体_GBK"/>
          <w:sz w:val="32"/>
          <w:szCs w:val="32"/>
        </w:rPr>
        <w:t>二、收入决算情况说明</w:t>
      </w:r>
      <w:bookmarkEnd w:id="14"/>
      <w:bookmarkEnd w:id="15"/>
    </w:p>
    <w:p w14:paraId="32C83A08">
      <w:pPr>
        <w:pStyle w:val="28"/>
        <w:spacing w:line="600" w:lineRule="exact"/>
        <w:ind w:firstLine="640"/>
        <w:outlineLvl w:val="1"/>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2024年度本年收入合计15070.70万元，其中：一般公共预算财政拨款收入8304.32万元，占55.1%</w:t>
      </w:r>
      <w:r>
        <w:rPr>
          <w:rFonts w:hint="default" w:ascii="Times New Roman" w:hAnsi="Times New Roman" w:eastAsia="方正仿宋_GBK" w:cs="Times New Roman"/>
          <w:sz w:val="32"/>
          <w:szCs w:val="32"/>
        </w:rPr>
        <w:t>；政府性基金预算财政拨款收入</w:t>
      </w:r>
      <w:r>
        <w:rPr>
          <w:rFonts w:hint="eastAsia" w:ascii="Times New Roman" w:hAnsi="Times New Roman" w:eastAsia="方正仿宋_GBK" w:cs="Times New Roman"/>
          <w:sz w:val="32"/>
          <w:szCs w:val="32"/>
        </w:rPr>
        <w:t>3176.86万元，占21.08%；</w:t>
      </w:r>
      <w:r>
        <w:rPr>
          <w:rFonts w:hint="default" w:ascii="Times New Roman" w:hAnsi="Times New Roman" w:eastAsia="方正仿宋_GBK" w:cs="Times New Roman"/>
          <w:sz w:val="32"/>
          <w:szCs w:val="32"/>
        </w:rPr>
        <w:t>其他收入</w:t>
      </w:r>
      <w:r>
        <w:rPr>
          <w:rFonts w:hint="eastAsia" w:ascii="Times New Roman" w:hAnsi="Times New Roman" w:eastAsia="方正仿宋_GBK" w:cs="Times New Roman"/>
          <w:sz w:val="32"/>
          <w:szCs w:val="32"/>
        </w:rPr>
        <w:t>3589.52万元，占23.82%。</w:t>
      </w:r>
    </w:p>
    <w:p w14:paraId="38FAF9F6">
      <w:pPr>
        <w:spacing w:line="600" w:lineRule="exact"/>
        <w:jc w:val="left"/>
        <w:outlineLvl w:val="1"/>
        <w:rPr>
          <w:rFonts w:eastAsia="仿宋_GB2312" w:cs="仿宋_GB2312"/>
          <w:b/>
          <w:bCs/>
          <w:sz w:val="32"/>
          <w:szCs w:val="32"/>
        </w:rPr>
      </w:pPr>
      <w:r>
        <w:drawing>
          <wp:anchor distT="0" distB="0" distL="114300" distR="114300" simplePos="0" relativeHeight="251660288" behindDoc="1" locked="0" layoutInCell="1" allowOverlap="1">
            <wp:simplePos x="0" y="0"/>
            <wp:positionH relativeFrom="column">
              <wp:posOffset>0</wp:posOffset>
            </wp:positionH>
            <wp:positionV relativeFrom="paragraph">
              <wp:posOffset>19050</wp:posOffset>
            </wp:positionV>
            <wp:extent cx="5276850" cy="2990850"/>
            <wp:effectExtent l="0" t="0" r="19050" b="1905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A8718AF">
      <w:pPr>
        <w:pStyle w:val="28"/>
        <w:spacing w:line="600" w:lineRule="exact"/>
        <w:ind w:firstLine="643"/>
        <w:jc w:val="left"/>
        <w:outlineLvl w:val="1"/>
        <w:rPr>
          <w:rFonts w:eastAsia="仿宋_GB2312" w:cs="仿宋_GB2312"/>
          <w:b/>
          <w:bCs/>
          <w:sz w:val="32"/>
          <w:szCs w:val="32"/>
        </w:rPr>
      </w:pPr>
    </w:p>
    <w:p w14:paraId="410FDE35">
      <w:pPr>
        <w:pStyle w:val="28"/>
        <w:spacing w:line="600" w:lineRule="exact"/>
        <w:ind w:firstLine="643"/>
        <w:jc w:val="left"/>
        <w:outlineLvl w:val="1"/>
        <w:rPr>
          <w:rFonts w:eastAsia="仿宋_GB2312" w:cs="仿宋_GB2312"/>
          <w:b/>
          <w:bCs/>
          <w:sz w:val="32"/>
          <w:szCs w:val="32"/>
        </w:rPr>
      </w:pPr>
    </w:p>
    <w:p w14:paraId="5C50272D">
      <w:pPr>
        <w:pStyle w:val="28"/>
        <w:spacing w:line="600" w:lineRule="exact"/>
        <w:ind w:firstLine="643"/>
        <w:jc w:val="left"/>
        <w:outlineLvl w:val="1"/>
        <w:rPr>
          <w:rFonts w:eastAsia="仿宋_GB2312" w:cs="仿宋_GB2312"/>
          <w:b/>
          <w:bCs/>
          <w:sz w:val="32"/>
          <w:szCs w:val="32"/>
        </w:rPr>
      </w:pPr>
    </w:p>
    <w:p w14:paraId="13115D79">
      <w:pPr>
        <w:pStyle w:val="28"/>
        <w:spacing w:line="600" w:lineRule="exact"/>
        <w:ind w:firstLine="643"/>
        <w:jc w:val="left"/>
        <w:outlineLvl w:val="1"/>
        <w:rPr>
          <w:rFonts w:eastAsia="仿宋_GB2312" w:cs="仿宋_GB2312"/>
          <w:b/>
          <w:bCs/>
          <w:sz w:val="32"/>
          <w:szCs w:val="32"/>
        </w:rPr>
      </w:pPr>
    </w:p>
    <w:p w14:paraId="5EF84A14">
      <w:pPr>
        <w:pStyle w:val="28"/>
        <w:spacing w:line="600" w:lineRule="exact"/>
        <w:ind w:firstLine="643"/>
        <w:jc w:val="left"/>
        <w:outlineLvl w:val="1"/>
        <w:rPr>
          <w:rFonts w:eastAsia="仿宋_GB2312" w:cs="仿宋_GB2312"/>
          <w:b/>
          <w:bCs/>
          <w:sz w:val="32"/>
          <w:szCs w:val="32"/>
        </w:rPr>
      </w:pPr>
    </w:p>
    <w:p w14:paraId="07FA172D">
      <w:pPr>
        <w:pStyle w:val="28"/>
        <w:spacing w:line="600" w:lineRule="exact"/>
        <w:ind w:firstLine="643"/>
        <w:jc w:val="left"/>
        <w:outlineLvl w:val="1"/>
        <w:rPr>
          <w:rFonts w:eastAsia="仿宋_GB2312" w:cs="仿宋_GB2312"/>
          <w:b/>
          <w:bCs/>
          <w:sz w:val="32"/>
          <w:szCs w:val="32"/>
        </w:rPr>
      </w:pPr>
    </w:p>
    <w:p w14:paraId="6027732E">
      <w:pPr>
        <w:ind w:firstLine="800" w:firstLineChars="250"/>
        <w:rPr>
          <w:rFonts w:eastAsia="仿宋_GB2312" w:cs="仿宋_GB2312"/>
          <w:sz w:val="32"/>
          <w:szCs w:val="32"/>
        </w:rPr>
      </w:pPr>
    </w:p>
    <w:p w14:paraId="5ADB22A6">
      <w:pPr>
        <w:pStyle w:val="28"/>
        <w:spacing w:line="600" w:lineRule="exact"/>
        <w:ind w:firstLine="640"/>
        <w:outlineLvl w:val="1"/>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（图2：收入决算结构图）（饼状图）</w:t>
      </w:r>
    </w:p>
    <w:p w14:paraId="324D51E0">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方正黑体_GBK" w:hAnsi="方正黑体_GBK" w:eastAsia="方正黑体_GBK" w:cs="方正黑体_GBK"/>
          <w:sz w:val="32"/>
          <w:szCs w:val="32"/>
        </w:rPr>
      </w:pPr>
      <w:bookmarkStart w:id="16" w:name="_Toc15396605"/>
      <w:bookmarkStart w:id="17" w:name="_Toc15377207"/>
      <w:r>
        <w:rPr>
          <w:rFonts w:hint="eastAsia" w:ascii="方正黑体_GBK" w:hAnsi="方正黑体_GBK" w:eastAsia="方正黑体_GBK" w:cs="方正黑体_GBK"/>
          <w:sz w:val="32"/>
          <w:szCs w:val="32"/>
        </w:rPr>
        <w:t>三、支出决算情况说明</w:t>
      </w:r>
      <w:bookmarkEnd w:id="16"/>
      <w:bookmarkEnd w:id="17"/>
    </w:p>
    <w:p w14:paraId="66B06FB5">
      <w:pPr>
        <w:pStyle w:val="28"/>
        <w:spacing w:line="600" w:lineRule="exact"/>
        <w:ind w:firstLine="640"/>
        <w:outlineLvl w:val="1"/>
        <w:rPr>
          <w:rFonts w:eastAsia="仿宋_GB2312" w:cs="仿宋_GB2312"/>
          <w:b/>
          <w:bCs/>
          <w:sz w:val="32"/>
          <w:szCs w:val="32"/>
        </w:rPr>
      </w:pPr>
      <w:r>
        <w:rPr>
          <w:rFonts w:hint="eastAsia" w:ascii="Times New Roman" w:hAnsi="Times New Roman" w:eastAsia="方正仿宋_GBK" w:cs="Times New Roman"/>
          <w:sz w:val="32"/>
          <w:szCs w:val="32"/>
        </w:rPr>
        <w:t>2024年度本年支出合计15070.70万元，其中：基本支出516.37万元，占3.49%，项目支出14554.32万元，占98.42%。</w:t>
      </w:r>
    </w:p>
    <w:p w14:paraId="7BE9A20F">
      <w:pPr>
        <w:pStyle w:val="28"/>
        <w:spacing w:line="600" w:lineRule="exact"/>
        <w:jc w:val="left"/>
        <w:outlineLvl w:val="1"/>
        <w:rPr>
          <w:rFonts w:eastAsia="仿宋_GB2312" w:cs="仿宋_GB2312"/>
          <w:b/>
          <w:bCs/>
          <w:sz w:val="32"/>
          <w:szCs w:val="32"/>
        </w:rPr>
      </w:pPr>
      <w:r>
        <w:drawing>
          <wp:anchor distT="0" distB="0" distL="114300" distR="114300" simplePos="0" relativeHeight="251661312" behindDoc="1" locked="0" layoutInCell="1" allowOverlap="1">
            <wp:simplePos x="0" y="0"/>
            <wp:positionH relativeFrom="column">
              <wp:posOffset>123825</wp:posOffset>
            </wp:positionH>
            <wp:positionV relativeFrom="paragraph">
              <wp:posOffset>216535</wp:posOffset>
            </wp:positionV>
            <wp:extent cx="5276850" cy="2828925"/>
            <wp:effectExtent l="0" t="0" r="19050" b="952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15D1A4B">
      <w:pPr>
        <w:pStyle w:val="28"/>
        <w:spacing w:line="600" w:lineRule="exact"/>
        <w:ind w:firstLine="643"/>
        <w:jc w:val="left"/>
        <w:outlineLvl w:val="1"/>
        <w:rPr>
          <w:rFonts w:eastAsia="仿宋_GB2312" w:cs="仿宋_GB2312"/>
          <w:b/>
          <w:bCs/>
          <w:sz w:val="32"/>
          <w:szCs w:val="32"/>
        </w:rPr>
      </w:pPr>
    </w:p>
    <w:p w14:paraId="59AE4C2B">
      <w:pPr>
        <w:pStyle w:val="28"/>
        <w:spacing w:line="600" w:lineRule="exact"/>
        <w:ind w:firstLine="643"/>
        <w:jc w:val="left"/>
        <w:outlineLvl w:val="1"/>
        <w:rPr>
          <w:rFonts w:eastAsia="仿宋_GB2312" w:cs="仿宋_GB2312"/>
          <w:b/>
          <w:bCs/>
          <w:sz w:val="32"/>
          <w:szCs w:val="32"/>
        </w:rPr>
      </w:pPr>
    </w:p>
    <w:p w14:paraId="505DFB33">
      <w:pPr>
        <w:pStyle w:val="28"/>
        <w:spacing w:line="600" w:lineRule="exact"/>
        <w:ind w:firstLine="643"/>
        <w:jc w:val="left"/>
        <w:outlineLvl w:val="1"/>
        <w:rPr>
          <w:rFonts w:eastAsia="仿宋_GB2312" w:cs="仿宋_GB2312"/>
          <w:b/>
          <w:bCs/>
          <w:sz w:val="32"/>
          <w:szCs w:val="32"/>
        </w:rPr>
      </w:pPr>
    </w:p>
    <w:p w14:paraId="7D63A16D">
      <w:pPr>
        <w:pStyle w:val="28"/>
        <w:spacing w:line="600" w:lineRule="exact"/>
        <w:ind w:firstLine="643"/>
        <w:jc w:val="left"/>
        <w:outlineLvl w:val="1"/>
        <w:rPr>
          <w:rFonts w:eastAsia="仿宋_GB2312" w:cs="仿宋_GB2312"/>
          <w:b/>
          <w:bCs/>
          <w:sz w:val="32"/>
          <w:szCs w:val="32"/>
        </w:rPr>
      </w:pPr>
    </w:p>
    <w:p w14:paraId="78294362">
      <w:pPr>
        <w:pStyle w:val="28"/>
        <w:spacing w:line="600" w:lineRule="exact"/>
        <w:ind w:firstLine="643"/>
        <w:jc w:val="left"/>
        <w:outlineLvl w:val="1"/>
        <w:rPr>
          <w:rFonts w:eastAsia="仿宋_GB2312" w:cs="仿宋_GB2312"/>
          <w:b/>
          <w:bCs/>
          <w:sz w:val="32"/>
          <w:szCs w:val="32"/>
        </w:rPr>
      </w:pPr>
    </w:p>
    <w:p w14:paraId="344650AA">
      <w:pPr>
        <w:pStyle w:val="28"/>
        <w:spacing w:line="600" w:lineRule="exact"/>
        <w:ind w:firstLine="640"/>
        <w:jc w:val="left"/>
        <w:outlineLvl w:val="1"/>
        <w:rPr>
          <w:rFonts w:eastAsia="仿宋_GB2312" w:cs="仿宋_GB2312"/>
          <w:sz w:val="32"/>
          <w:szCs w:val="32"/>
        </w:rPr>
      </w:pPr>
    </w:p>
    <w:p w14:paraId="6CB08406">
      <w:pPr>
        <w:ind w:firstLine="800" w:firstLineChars="250"/>
        <w:rPr>
          <w:rFonts w:eastAsia="仿宋_GB2312" w:cs="仿宋_GB2312"/>
          <w:sz w:val="32"/>
          <w:szCs w:val="32"/>
        </w:rPr>
      </w:pPr>
    </w:p>
    <w:p w14:paraId="78B2033B">
      <w:pPr>
        <w:pStyle w:val="28"/>
        <w:spacing w:line="600" w:lineRule="exact"/>
        <w:ind w:firstLine="640"/>
        <w:outlineLvl w:val="1"/>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（图3：支出决算结构图）（饼状图）</w:t>
      </w:r>
    </w:p>
    <w:p w14:paraId="292C13C6">
      <w:pPr>
        <w:tabs>
          <w:tab w:val="left" w:pos="546"/>
        </w:tabs>
        <w:spacing w:line="600" w:lineRule="exact"/>
        <w:ind w:firstLine="640" w:firstLineChars="200"/>
        <w:outlineLvl w:val="1"/>
        <w:rPr>
          <w:rFonts w:hint="eastAsia" w:eastAsia="黑体"/>
          <w:sz w:val="32"/>
          <w:szCs w:val="32"/>
          <w:lang w:eastAsia="zh-CN"/>
        </w:rPr>
      </w:pPr>
      <w:bookmarkStart w:id="18" w:name="_Toc15377208"/>
      <w:bookmarkStart w:id="19" w:name="_Toc15396606"/>
      <w:r>
        <w:rPr>
          <w:rFonts w:hint="eastAsia" w:eastAsia="黑体"/>
          <w:sz w:val="32"/>
          <w:szCs w:val="32"/>
          <w:lang w:eastAsia="zh-CN"/>
        </w:rPr>
        <w:tab/>
      </w:r>
    </w:p>
    <w:p w14:paraId="4D14320C">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四、财政拨款收入支出决算总体情况说明</w:t>
      </w:r>
      <w:bookmarkEnd w:id="18"/>
      <w:bookmarkEnd w:id="19"/>
    </w:p>
    <w:p w14:paraId="6174CB2B">
      <w:pPr>
        <w:pStyle w:val="28"/>
        <w:spacing w:line="600" w:lineRule="exact"/>
        <w:ind w:firstLine="640"/>
        <w:outlineLvl w:val="1"/>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2024年度财政拨款收入、支出总计均为15070.70万元。与2023年度相比，财政拨款收入总计、支出总计各增加8745.9万元，增长138%。主要变动原因是2024年增加了政府性基金预算和市级资金收入。</w:t>
      </w:r>
    </w:p>
    <w:p w14:paraId="231A2FFD">
      <w:pPr>
        <w:pStyle w:val="14"/>
      </w:pPr>
    </w:p>
    <w:p w14:paraId="086F806A">
      <w:pPr>
        <w:pStyle w:val="8"/>
        <w:ind w:left="420"/>
      </w:pPr>
      <w:r>
        <w:rPr>
          <w:rFonts w:hint="eastAsia"/>
        </w:rPr>
        <w:drawing>
          <wp:anchor distT="0" distB="0" distL="114300" distR="114300" simplePos="0" relativeHeight="251662336" behindDoc="1" locked="0" layoutInCell="1" allowOverlap="1">
            <wp:simplePos x="0" y="0"/>
            <wp:positionH relativeFrom="column">
              <wp:posOffset>-28575</wp:posOffset>
            </wp:positionH>
            <wp:positionV relativeFrom="paragraph">
              <wp:posOffset>135255</wp:posOffset>
            </wp:positionV>
            <wp:extent cx="5715000" cy="2990850"/>
            <wp:effectExtent l="0" t="0" r="0" b="0"/>
            <wp:wrapNone/>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BE6028C">
      <w:pPr>
        <w:pStyle w:val="8"/>
        <w:ind w:left="420"/>
      </w:pPr>
    </w:p>
    <w:p w14:paraId="0C31E50A">
      <w:pPr>
        <w:pStyle w:val="8"/>
        <w:ind w:left="420"/>
      </w:pPr>
    </w:p>
    <w:p w14:paraId="0E2A845C">
      <w:pPr>
        <w:pStyle w:val="8"/>
        <w:ind w:left="420"/>
      </w:pPr>
    </w:p>
    <w:p w14:paraId="7F024AAB">
      <w:pPr>
        <w:pStyle w:val="8"/>
        <w:ind w:left="420"/>
      </w:pPr>
    </w:p>
    <w:p w14:paraId="3A725B61">
      <w:pPr>
        <w:pStyle w:val="8"/>
        <w:ind w:left="420"/>
      </w:pPr>
    </w:p>
    <w:p w14:paraId="186BE9E9">
      <w:pPr>
        <w:pStyle w:val="8"/>
        <w:ind w:left="420"/>
      </w:pPr>
    </w:p>
    <w:p w14:paraId="1FAEE4C4">
      <w:pPr>
        <w:pStyle w:val="8"/>
        <w:ind w:left="420"/>
      </w:pPr>
    </w:p>
    <w:p w14:paraId="2F4238DD">
      <w:pPr>
        <w:pStyle w:val="8"/>
        <w:ind w:left="420"/>
      </w:pPr>
    </w:p>
    <w:p w14:paraId="153F361E">
      <w:pPr>
        <w:pStyle w:val="8"/>
        <w:ind w:left="420"/>
      </w:pPr>
    </w:p>
    <w:p w14:paraId="2455ECA8">
      <w:pPr>
        <w:spacing w:line="600" w:lineRule="exact"/>
        <w:ind w:firstLine="640" w:firstLineChars="200"/>
        <w:rPr>
          <w:rFonts w:eastAsia="仿宋_GB2312" w:cs="仿宋_GB2312"/>
          <w:sz w:val="32"/>
          <w:szCs w:val="32"/>
        </w:rPr>
      </w:pPr>
    </w:p>
    <w:p w14:paraId="649A5DA8">
      <w:pPr>
        <w:pStyle w:val="28"/>
        <w:spacing w:line="600" w:lineRule="exact"/>
        <w:ind w:firstLine="640"/>
        <w:outlineLvl w:val="1"/>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（图4：财政拨款收、支决算总计变动情况）（柱状图）</w:t>
      </w:r>
    </w:p>
    <w:p w14:paraId="534D3532">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方正黑体_GBK" w:hAnsi="方正黑体_GBK" w:eastAsia="方正黑体_GBK" w:cs="方正黑体_GBK"/>
          <w:sz w:val="32"/>
          <w:szCs w:val="32"/>
        </w:rPr>
      </w:pPr>
      <w:bookmarkStart w:id="20" w:name="_Toc15396607"/>
      <w:bookmarkStart w:id="21" w:name="_Toc15377209"/>
      <w:r>
        <w:rPr>
          <w:rFonts w:hint="eastAsia" w:ascii="方正黑体_GBK" w:hAnsi="方正黑体_GBK" w:eastAsia="方正黑体_GBK" w:cs="方正黑体_GBK"/>
          <w:sz w:val="32"/>
          <w:szCs w:val="32"/>
        </w:rPr>
        <w:t>五、一般公共预算财政拨款支出决算情况说明</w:t>
      </w:r>
      <w:bookmarkEnd w:id="20"/>
      <w:bookmarkEnd w:id="21"/>
    </w:p>
    <w:p w14:paraId="2183E8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eastAsia="楷体_GB2312" w:cs="楷体_GB2312"/>
          <w:b/>
          <w:sz w:val="32"/>
          <w:szCs w:val="32"/>
        </w:rPr>
      </w:pPr>
      <w:bookmarkStart w:id="22" w:name="_Toc15377210"/>
      <w:r>
        <w:rPr>
          <w:rFonts w:hint="eastAsia" w:ascii="方正楷体_GBK" w:hAnsi="方正楷体_GBK" w:eastAsia="方正楷体_GBK" w:cs="方正楷体_GBK"/>
          <w:b/>
          <w:sz w:val="32"/>
          <w:szCs w:val="32"/>
        </w:rPr>
        <w:t>（一）一般公共预算财政拨款支出决算总体情况</w:t>
      </w:r>
      <w:bookmarkEnd w:id="22"/>
    </w:p>
    <w:p w14:paraId="2A501A5C">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2024年度一般公共预算财政拨款支出8304.32万元，占本年支出合计的55.1%。与2023年度相比，一般公共预算财政拨款支出增加1979.52万元，增长31.3%。主要变动原因是本年度项目预算增加。</w:t>
      </w:r>
    </w:p>
    <w:p w14:paraId="42F3E06B">
      <w:pPr>
        <w:pStyle w:val="14"/>
      </w:pPr>
    </w:p>
    <w:p w14:paraId="78AA9B7D">
      <w:pPr>
        <w:pStyle w:val="8"/>
        <w:ind w:left="420"/>
      </w:pPr>
    </w:p>
    <w:p w14:paraId="5FC8E3E1">
      <w:pPr>
        <w:pStyle w:val="8"/>
        <w:ind w:left="420"/>
      </w:pPr>
    </w:p>
    <w:p w14:paraId="666B313F">
      <w:pPr>
        <w:pStyle w:val="8"/>
        <w:ind w:left="0" w:leftChars="0" w:firstLine="0" w:firstLineChars="0"/>
      </w:pPr>
    </w:p>
    <w:p w14:paraId="0B0B3BB9">
      <w:pPr>
        <w:pStyle w:val="8"/>
        <w:ind w:left="0" w:leftChars="0" w:firstLine="0" w:firstLineChars="0"/>
      </w:pPr>
      <w:r>
        <w:drawing>
          <wp:inline distT="0" distB="0" distL="0" distR="0">
            <wp:extent cx="5276850" cy="2905125"/>
            <wp:effectExtent l="0" t="0" r="1905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E48935">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（图5：一般公共预算财政拨款支出决算变动情况）（柱状图）</w:t>
      </w:r>
    </w:p>
    <w:p w14:paraId="0BE4F8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_GBK" w:hAnsi="方正楷体_GBK" w:eastAsia="方正楷体_GBK" w:cs="方正楷体_GBK"/>
          <w:b/>
          <w:sz w:val="32"/>
          <w:szCs w:val="32"/>
        </w:rPr>
      </w:pPr>
      <w:bookmarkStart w:id="23" w:name="_Toc15377211"/>
      <w:r>
        <w:rPr>
          <w:rFonts w:hint="eastAsia" w:ascii="方正楷体_GBK" w:hAnsi="方正楷体_GBK" w:eastAsia="方正楷体_GBK" w:cs="方正楷体_GBK"/>
          <w:b/>
          <w:sz w:val="32"/>
          <w:szCs w:val="32"/>
        </w:rPr>
        <w:t>（二）一般公共预算财政拨款支出决算结构情况</w:t>
      </w:r>
      <w:bookmarkEnd w:id="23"/>
    </w:p>
    <w:p w14:paraId="20F0ACAB">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支出8304.32万元，主要用于以下方面：一般公共服务支出2.00万元，占0.02%；社会保障和就业支出161.52万元，占1.95%；卫生健康支出31.91万元，占0.38%；住房保障支出28.47万元，占0.34%；农林水支出2.00万元，占0.02%；交通运输支出8078.42万元，占97.28%。</w:t>
      </w:r>
    </w:p>
    <w:p w14:paraId="1CB29608">
      <w:pPr>
        <w:pStyle w:val="14"/>
      </w:pPr>
      <w:r>
        <w:rPr>
          <w:rFonts w:hint="eastAsia" w:eastAsia="宋体"/>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B28EB1">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6AAD1B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_GBK" w:hAnsi="方正楷体_GBK" w:eastAsia="方正楷体_GBK" w:cs="方正楷体_GBK"/>
          <w:b/>
          <w:sz w:val="32"/>
          <w:szCs w:val="32"/>
        </w:rPr>
      </w:pPr>
      <w:bookmarkStart w:id="24" w:name="_Toc15377212"/>
      <w:r>
        <w:rPr>
          <w:rFonts w:hint="eastAsia" w:ascii="方正楷体_GBK" w:hAnsi="方正楷体_GBK" w:eastAsia="方正楷体_GBK" w:cs="方正楷体_GBK"/>
          <w:b/>
          <w:sz w:val="32"/>
          <w:szCs w:val="32"/>
        </w:rPr>
        <w:t>（三）一般公共预算财政拨款支出决算具体情况</w:t>
      </w:r>
      <w:bookmarkEnd w:id="24"/>
    </w:p>
    <w:p w14:paraId="3284568C">
      <w:pPr>
        <w:spacing w:line="600" w:lineRule="exact"/>
        <w:ind w:firstLine="640"/>
        <w:rPr>
          <w:rFonts w:hint="default" w:ascii="Times New Roman" w:hAnsi="Times New Roman" w:eastAsia="方正仿宋_GBK" w:cs="Times New Roman"/>
          <w:sz w:val="32"/>
          <w:szCs w:val="32"/>
        </w:rPr>
      </w:pPr>
      <w:bookmarkStart w:id="25" w:name="_Toc15378460"/>
      <w:bookmarkStart w:id="26" w:name="_Toc15377213"/>
      <w:bookmarkStart w:id="27" w:name="_Toc15377444"/>
      <w:r>
        <w:rPr>
          <w:rFonts w:hint="eastAsia" w:ascii="Times New Roman" w:hAnsi="Times New Roman" w:eastAsia="方正仿宋_GBK" w:cs="Times New Roman"/>
          <w:sz w:val="32"/>
          <w:szCs w:val="32"/>
        </w:rPr>
        <w:t>2024年度一般公共预算财政拨款支出决算数为8304.32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，完成预算100%。其中：</w:t>
      </w:r>
      <w:bookmarkEnd w:id="25"/>
      <w:bookmarkEnd w:id="26"/>
      <w:bookmarkEnd w:id="27"/>
    </w:p>
    <w:p w14:paraId="5F64D7AE">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1.一般公共服务（201类）宣传事务（33款）一般行政管理事务（02项）：支出决算为2.00万元，完成预算100%，决算数等于预算数。</w:t>
      </w:r>
    </w:p>
    <w:p w14:paraId="61844701">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2.社会保障和就业支出（208类）行政事业单位养老支出（05款）行政单位离退休（01项）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支出决算为40.58万元，完成预算100%，决算数等于预算数。</w:t>
      </w:r>
    </w:p>
    <w:p w14:paraId="6DB319A9">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3.社会保障和就业支出（类208）行政事业单位养老支出（05款）机关事业单位基本养老保险缴费（05项）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支出决算为34.69万元，完成预算100%，决算数等于预算数。</w:t>
      </w:r>
    </w:p>
    <w:p w14:paraId="079BB2CD">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4.社会保障和就业支出（208类）行政事业单位养老支出（05款）机关事业单位职业年金缴费（06项）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支出决算为20.77万元，完成预算100%，决算数等于预算数。</w:t>
      </w:r>
    </w:p>
    <w:p w14:paraId="7C627466">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5.社会保障和就业支出（208类）抚恤（08款）死亡抚恤（01项）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支出决算为64.35万元，完成预算100%，决算数等于预算数。</w:t>
      </w:r>
    </w:p>
    <w:p w14:paraId="5E7BA1F1">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sz w:val="32"/>
          <w:szCs w:val="32"/>
        </w:rPr>
        <w:t>6</w:t>
      </w:r>
      <w:r>
        <w:rPr>
          <w:rFonts w:hint="default" w:ascii="Times New Roman" w:hAnsi="Times New Roman" w:eastAsia="方正仿宋_GBK" w:cs="Times New Roman"/>
          <w:sz w:val="32"/>
          <w:szCs w:val="32"/>
        </w:rPr>
        <w:t>.社会保障和就业支出（208类）抚恤（08款）伤残抚恤（02）</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支出决算为1.14万元，完成预算100%，决算数等于预算数</w:t>
      </w:r>
      <w:r>
        <w:rPr>
          <w:rFonts w:hint="default" w:ascii="Times New Roman" w:hAnsi="Times New Roman" w:eastAsia="方正仿宋_GBK" w:cs="Times New Roman"/>
          <w:b/>
          <w:sz w:val="32"/>
          <w:szCs w:val="32"/>
        </w:rPr>
        <w:t>。</w:t>
      </w:r>
    </w:p>
    <w:p w14:paraId="52D02610">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7.卫生健康支出（210类）行政事业单位医疗（11款）行政单位医疗（01项）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支出决算为18.85万元，完成预算100%，决算数等于预算数。</w:t>
      </w:r>
    </w:p>
    <w:p w14:paraId="58B6C765">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8.卫生健康支出（210类）行政事业单位医疗（11款）公务员医疗补助（03项）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支出决算为2.15万元，完成预算100%，决算数等于预算数。</w:t>
      </w:r>
    </w:p>
    <w:p w14:paraId="6D43DA8F">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9.卫生健康支出（210类）行政事业单位医疗（11款）其他行政事业单位医疗支出（99项）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支出决算为10.91万元，完成预算100%，决算数等于预算数。</w:t>
      </w:r>
    </w:p>
    <w:p w14:paraId="3A84D342">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10.农林水支出（213类）其他农林水支出（99款）其他农林水支出（99项）：支出决算为2.00万元，完成预算100%，决算数等于预算数。</w:t>
      </w:r>
    </w:p>
    <w:p w14:paraId="3AA7D06F">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11.交通运输支出（214类）公路水路运输（01款）行政运行（01项）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 xml:space="preserve"> 支出决算为294.47万元，完成预算100%，决算数等于预算数。</w:t>
      </w:r>
    </w:p>
    <w:p w14:paraId="7596F21D">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12.交通运输支出（214类）公路水路运输（01款）公路建设（04项）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 xml:space="preserve"> 支出决算为4555.78万元，完成预算100%，决算数等于预算数。</w:t>
      </w:r>
    </w:p>
    <w:p w14:paraId="27F0E3A6">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13.交通运输支出（214类）公路水路运输（01款）公路养护（06项）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支出决算为899.82万元，完成预算100%，决算数等于预算数。</w:t>
      </w:r>
    </w:p>
    <w:p w14:paraId="42765CAE">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14.交通运输支出（214类）公路水路运输（01款）公路和运输安全（10项）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支出决算为1121.73万元，完成预算100%，决算数等于预算数。</w:t>
      </w:r>
    </w:p>
    <w:p w14:paraId="40FB4A6B">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15.交通运输支出（214类）公路水路运输（01款）公路运输管理（12项）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 xml:space="preserve"> 支出决算为381.21万元，完成预算100%，决算数等于预算数。</w:t>
      </w:r>
    </w:p>
    <w:p w14:paraId="077EB85F">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w:t>
      </w:r>
      <w:r>
        <w:rPr>
          <w:rFonts w:hint="eastAsia" w:eastAsia="方正仿宋_GBK" w:cs="Times New Roman"/>
          <w:sz w:val="32"/>
          <w:szCs w:val="32"/>
          <w:lang w:eastAsia="zh-CN"/>
        </w:rPr>
        <w:t>.交</w:t>
      </w:r>
      <w:r>
        <w:rPr>
          <w:rFonts w:hint="default" w:ascii="Times New Roman" w:hAnsi="Times New Roman" w:eastAsia="方正仿宋_GBK" w:cs="Times New Roman"/>
          <w:sz w:val="32"/>
          <w:szCs w:val="32"/>
        </w:rPr>
        <w:t>通运输支出（214类）公路水路运输（01款）其他公路水路运输支出（99项）：支出决算为625.42万元，完成预算100%，决算数等于预算数。</w:t>
      </w:r>
    </w:p>
    <w:p w14:paraId="2FA4848E">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17.交通运输支出（214类）铁路运输（02款）其他铁路水路运输支出（99项）：支出决算为200.00万元，完成预算100%，决算数等于预算数。</w:t>
      </w:r>
    </w:p>
    <w:p w14:paraId="2220B04C">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18.住房保障支出（221类）住房改革支出（02款）住房公积金（01项）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 xml:space="preserve"> 支出决算为28.47万元，完成预算100%，决算数等于预算数。</w:t>
      </w:r>
    </w:p>
    <w:p w14:paraId="68AE58DF">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0"/>
          <w:rFonts w:ascii="Times New Roman" w:hAnsi="Times New Roman"/>
        </w:rPr>
      </w:pPr>
      <w:bookmarkStart w:id="28" w:name="_Toc15377214"/>
      <w:bookmarkStart w:id="29" w:name="_Toc15396608"/>
      <w:r>
        <w:rPr>
          <w:rFonts w:hint="eastAsia" w:ascii="方正黑体_GBK" w:hAnsi="方正黑体_GBK" w:eastAsia="方正黑体_GBK" w:cs="方正黑体_GBK"/>
          <w:sz w:val="32"/>
          <w:szCs w:val="32"/>
        </w:rPr>
        <w:t>六、一般公共预算财政拨款基本支出决算情况说明</w:t>
      </w:r>
      <w:bookmarkEnd w:id="28"/>
      <w:bookmarkEnd w:id="29"/>
      <w:r>
        <w:rPr>
          <w:rFonts w:hint="eastAsia" w:ascii="方正黑体_GBK" w:hAnsi="方正黑体_GBK" w:eastAsia="方正黑体_GBK" w:cs="方正黑体_GBK"/>
          <w:sz w:val="32"/>
          <w:szCs w:val="32"/>
        </w:rPr>
        <w:tab/>
      </w:r>
    </w:p>
    <w:p w14:paraId="399A8D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2024年度一般公共预算财政拨款基本支出516.37万元，其中：</w:t>
      </w:r>
    </w:p>
    <w:p w14:paraId="60C7E7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cs="仿宋_GB2312"/>
          <w:sz w:val="32"/>
          <w:szCs w:val="32"/>
        </w:rPr>
      </w:pPr>
      <w:r>
        <w:rPr>
          <w:rFonts w:hint="default" w:ascii="Times New Roman" w:hAnsi="Times New Roman" w:eastAsia="方正仿宋_GBK" w:cs="Times New Roman"/>
          <w:sz w:val="32"/>
          <w:szCs w:val="32"/>
        </w:rPr>
        <w:t>人员经费479.08万元，主要包括：基本工资、津贴补贴、奖金、机关事业单位基本养老保险缴费、职业年金缴费、其他社会保障缴费、其他工资福利支出、抚恤金、生活补助、医疗费补助、奖励金、住房公积金等。</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公用经费37.29万元，主要包括：办公费、水费、电费、邮电费、差旅费、维修（护）费、培训费、工会经费、福利费、其他交通费、其他商品和服务支出等。</w:t>
      </w:r>
    </w:p>
    <w:p w14:paraId="6D4E8768">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方正黑体_GBK" w:hAnsi="方正黑体_GBK" w:eastAsia="方正黑体_GBK" w:cs="方正黑体_GBK"/>
          <w:sz w:val="32"/>
          <w:szCs w:val="32"/>
        </w:rPr>
      </w:pPr>
      <w:bookmarkStart w:id="30" w:name="_Toc15396609"/>
      <w:bookmarkStart w:id="31" w:name="_Toc15377215"/>
      <w:r>
        <w:rPr>
          <w:rFonts w:hint="eastAsia" w:ascii="方正黑体_GBK" w:hAnsi="方正黑体_GBK" w:eastAsia="方正黑体_GBK" w:cs="方正黑体_GBK"/>
          <w:sz w:val="32"/>
          <w:szCs w:val="32"/>
        </w:rPr>
        <w:t>七、财政拨款“三公”经费支出决算情况说明</w:t>
      </w:r>
      <w:bookmarkEnd w:id="30"/>
      <w:bookmarkEnd w:id="31"/>
    </w:p>
    <w:p w14:paraId="3A2EE2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_GBK" w:hAnsi="方正楷体_GBK" w:eastAsia="方正楷体_GBK" w:cs="方正楷体_GBK"/>
          <w:b/>
          <w:sz w:val="32"/>
          <w:szCs w:val="32"/>
        </w:rPr>
      </w:pPr>
      <w:bookmarkStart w:id="32" w:name="_Toc15377216"/>
      <w:r>
        <w:rPr>
          <w:rFonts w:hint="eastAsia" w:ascii="方正楷体_GBK" w:hAnsi="方正楷体_GBK" w:eastAsia="方正楷体_GBK" w:cs="方正楷体_GBK"/>
          <w:b/>
          <w:sz w:val="32"/>
          <w:szCs w:val="32"/>
        </w:rPr>
        <w:t>（一）“三公”经费财政拨款支出决算总体情况说明</w:t>
      </w:r>
      <w:bookmarkEnd w:id="32"/>
    </w:p>
    <w:p w14:paraId="3BE6EA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2024年度“三公”经费财政拨款支出决算为0万元，完成预算0%，与2023年持平。</w:t>
      </w:r>
    </w:p>
    <w:p w14:paraId="330673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_GBK" w:hAnsi="方正楷体_GBK" w:eastAsia="方正楷体_GBK" w:cs="方正楷体_GBK"/>
          <w:b/>
          <w:sz w:val="32"/>
          <w:szCs w:val="32"/>
        </w:rPr>
      </w:pPr>
      <w:bookmarkStart w:id="33" w:name="_Toc15377217"/>
      <w:r>
        <w:rPr>
          <w:rFonts w:hint="eastAsia" w:ascii="方正楷体_GBK" w:hAnsi="方正楷体_GBK" w:eastAsia="方正楷体_GBK" w:cs="方正楷体_GBK"/>
          <w:b/>
          <w:sz w:val="32"/>
          <w:szCs w:val="32"/>
        </w:rPr>
        <w:t>（二）“三公”经费财政拨款支出决算具体情况说明</w:t>
      </w:r>
      <w:bookmarkEnd w:id="33"/>
    </w:p>
    <w:p w14:paraId="14F4C8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2024年度“三公”经费财政拨款支出决算中，因公出国（境）费支出决算0万元，占0%；公务用车购置及运行维护费支出决算0万元，占0%；公务接待费支出决算0万元，占0%。具体情况如下：</w:t>
      </w:r>
    </w:p>
    <w:p w14:paraId="7FB6CEF3">
      <w:pPr>
        <w:pStyle w:val="14"/>
      </w:pPr>
    </w:p>
    <w:p w14:paraId="3736FA99">
      <w:pPr>
        <w:pStyle w:val="8"/>
        <w:ind w:left="420"/>
      </w:pPr>
    </w:p>
    <w:p w14:paraId="417DADCB">
      <w:pPr>
        <w:pStyle w:val="8"/>
        <w:ind w:left="420"/>
      </w:pPr>
    </w:p>
    <w:p w14:paraId="2FCA344E">
      <w:pPr>
        <w:pStyle w:val="8"/>
        <w:ind w:left="420"/>
      </w:pPr>
    </w:p>
    <w:p w14:paraId="47D6AFA6">
      <w:pPr>
        <w:pStyle w:val="8"/>
        <w:ind w:left="420"/>
      </w:pPr>
    </w:p>
    <w:p w14:paraId="6E51949A">
      <w:pPr>
        <w:pStyle w:val="8"/>
        <w:ind w:left="420"/>
      </w:pPr>
    </w:p>
    <w:p w14:paraId="2116742A">
      <w:pPr>
        <w:pStyle w:val="8"/>
        <w:ind w:left="0" w:leftChars="0" w:firstLine="0" w:firstLineChars="0"/>
      </w:pPr>
      <w:r>
        <w:drawing>
          <wp:inline distT="0" distB="0" distL="0" distR="0">
            <wp:extent cx="5274310" cy="2931795"/>
            <wp:effectExtent l="4445" t="4445" r="17145" b="1651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4A8C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（图7：“三公”经费财政拨款支出结构）（饼状图）</w:t>
      </w:r>
    </w:p>
    <w:p w14:paraId="4ECDD74F">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1.因公出国（境）经费支出0万元，完成预算0%。</w:t>
      </w:r>
      <w:r>
        <w:rPr>
          <w:rFonts w:hint="default" w:ascii="Times New Roman" w:hAnsi="Times New Roman" w:eastAsia="方正仿宋_GBK" w:cs="Times New Roman"/>
          <w:sz w:val="32"/>
          <w:szCs w:val="32"/>
        </w:rPr>
        <w:t>全年安排因公出国（境）团组0次，出国（境）0人。因公出国（境）支出决算与2023年持平。</w:t>
      </w:r>
    </w:p>
    <w:p w14:paraId="2208F88F">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2.公务用车购置及运行维护费支出0万元，完成预算0%。</w:t>
      </w:r>
      <w:r>
        <w:rPr>
          <w:rFonts w:hint="default" w:ascii="Times New Roman" w:hAnsi="Times New Roman" w:eastAsia="方正仿宋_GBK" w:cs="Times New Roman"/>
          <w:sz w:val="32"/>
          <w:szCs w:val="32"/>
        </w:rPr>
        <w:t>公务用车购置及运行维护费支出决算与2023年度持平。</w:t>
      </w:r>
    </w:p>
    <w:p w14:paraId="1AC0C917">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487CEB8F">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公务用车运行维护费支出0万元。</w:t>
      </w:r>
    </w:p>
    <w:p w14:paraId="38AB3F4C">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3.公务接待费支出0万元，完成预算0%。公务接待费支出决算与2023年度持平。其中：</w:t>
      </w:r>
    </w:p>
    <w:p w14:paraId="1ED320BD">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国内公务接待支出0万元，国内公务接待0批次，0人次（不包括陪同人员），共计支出0万元。</w:t>
      </w:r>
    </w:p>
    <w:p w14:paraId="20386B43">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外事接待支出0万元，外事接待0批次，0人次（不包括陪同人员），共计支出0万元。</w:t>
      </w:r>
      <w:bookmarkStart w:id="34" w:name="_Toc15377218"/>
      <w:bookmarkStart w:id="35" w:name="_Toc15396610"/>
    </w:p>
    <w:p w14:paraId="5FDC7796">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八、政府性基金预算支出决算情况说明</w:t>
      </w:r>
      <w:bookmarkEnd w:id="34"/>
      <w:bookmarkEnd w:id="35"/>
    </w:p>
    <w:p w14:paraId="392934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2024年度政府性基金预算财政拨款支出3176.86万元，占本年支出合计的21.08%。与2023年度相比，政府性基金预算财政拨款支出增加3176.86万元，增长100%。主要变动原因是2023年未安排政府性基金预算财政拨款。</w:t>
      </w:r>
    </w:p>
    <w:p w14:paraId="1460024A">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方正黑体_GBK" w:hAnsi="方正黑体_GBK" w:eastAsia="方正黑体_GBK" w:cs="方正黑体_GBK"/>
          <w:sz w:val="32"/>
          <w:szCs w:val="32"/>
        </w:rPr>
      </w:pPr>
      <w:bookmarkStart w:id="36" w:name="_Toc15377219"/>
      <w:bookmarkStart w:id="37" w:name="_Toc15396611"/>
      <w:r>
        <w:rPr>
          <w:rFonts w:hint="eastAsia" w:ascii="方正黑体_GBK" w:hAnsi="方正黑体_GBK" w:eastAsia="方正黑体_GBK" w:cs="方正黑体_GBK"/>
          <w:sz w:val="32"/>
          <w:szCs w:val="32"/>
        </w:rPr>
        <w:t>九、国有资本经营预算支出决算情况说明</w:t>
      </w:r>
      <w:bookmarkEnd w:id="36"/>
      <w:bookmarkEnd w:id="37"/>
    </w:p>
    <w:p w14:paraId="7B4C2F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2024年度国有资本经营预算财政拨款支出0万元，占本年支出合计的0%。与2023年度持平。</w:t>
      </w:r>
    </w:p>
    <w:p w14:paraId="6E1462FE">
      <w:pPr>
        <w:pStyle w:val="28"/>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Fonts w:hint="eastAsia" w:ascii="方正黑体_GBK" w:hAnsi="方正黑体_GBK" w:eastAsia="方正黑体_GBK" w:cs="方正黑体_GBK"/>
          <w:sz w:val="32"/>
          <w:szCs w:val="32"/>
        </w:rPr>
      </w:pPr>
      <w:bookmarkStart w:id="38" w:name="_Toc15396612"/>
      <w:bookmarkStart w:id="39" w:name="_Toc15377221"/>
      <w:r>
        <w:rPr>
          <w:rFonts w:hint="eastAsia" w:ascii="方正黑体_GBK" w:hAnsi="方正黑体_GBK" w:eastAsia="方正黑体_GBK" w:cs="方正黑体_GBK"/>
          <w:sz w:val="32"/>
          <w:szCs w:val="32"/>
        </w:rPr>
        <w:t>十、其他重要事项的情况说明</w:t>
      </w:r>
      <w:bookmarkEnd w:id="38"/>
      <w:bookmarkEnd w:id="39"/>
    </w:p>
    <w:p w14:paraId="4E0EEF3B">
      <w:pPr>
        <w:spacing w:line="600" w:lineRule="exact"/>
        <w:ind w:firstLine="640" w:firstLineChars="200"/>
        <w:outlineLvl w:val="2"/>
        <w:rPr>
          <w:rFonts w:hint="eastAsia" w:ascii="方正楷体_GBK" w:hAnsi="方正楷体_GBK" w:eastAsia="方正楷体_GBK" w:cs="方正楷体_GBK"/>
          <w:b/>
          <w:sz w:val="32"/>
          <w:szCs w:val="32"/>
        </w:rPr>
      </w:pPr>
      <w:bookmarkStart w:id="40" w:name="_Toc15377222"/>
      <w:r>
        <w:rPr>
          <w:rFonts w:hint="eastAsia" w:ascii="方正楷体_GBK" w:hAnsi="方正楷体_GBK" w:eastAsia="方正楷体_GBK" w:cs="方正楷体_GBK"/>
          <w:b/>
          <w:sz w:val="32"/>
          <w:szCs w:val="32"/>
        </w:rPr>
        <w:t>（一）机关运行经费支出情况</w:t>
      </w:r>
      <w:bookmarkEnd w:id="40"/>
    </w:p>
    <w:p w14:paraId="7973BA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2024年度，盐边县交通运输局机关运行经费支出37.29万元，比2023年度减少4.07万元，下降9.84%。主要原因是</w:t>
      </w:r>
      <w:r>
        <w:rPr>
          <w:rFonts w:hint="eastAsia" w:ascii="Times New Roman" w:hAnsi="Times New Roman" w:eastAsia="方正仿宋_GBK" w:cs="Times New Roman"/>
          <w:sz w:val="32"/>
          <w:szCs w:val="32"/>
          <w:lang w:val="en-US" w:eastAsia="zh-CN"/>
        </w:rPr>
        <w:t>本年度有人员退休。</w:t>
      </w:r>
    </w:p>
    <w:p w14:paraId="647BBED9">
      <w:pPr>
        <w:spacing w:line="600" w:lineRule="exact"/>
        <w:ind w:firstLine="640" w:firstLineChars="200"/>
        <w:outlineLvl w:val="2"/>
        <w:rPr>
          <w:rFonts w:hint="eastAsia" w:ascii="方正楷体_GBK" w:hAnsi="方正楷体_GBK" w:eastAsia="方正楷体_GBK" w:cs="方正楷体_GBK"/>
          <w:b/>
          <w:sz w:val="32"/>
          <w:szCs w:val="32"/>
        </w:rPr>
      </w:pPr>
      <w:bookmarkStart w:id="41" w:name="_Toc15377223"/>
      <w:r>
        <w:rPr>
          <w:rFonts w:hint="eastAsia" w:ascii="方正楷体_GBK" w:hAnsi="方正楷体_GBK" w:eastAsia="方正楷体_GBK" w:cs="方正楷体_GBK"/>
          <w:b/>
          <w:sz w:val="32"/>
          <w:szCs w:val="32"/>
        </w:rPr>
        <w:t>（二）政府采购支出情况</w:t>
      </w:r>
      <w:bookmarkEnd w:id="41"/>
    </w:p>
    <w:p w14:paraId="10DD98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2024年度，盐边县交通运输局政府采购支出总额122.90万元，其中：政府采购货物支出4.87万元、政府采购工程支出0万元、政府采购服务支出118.03万元。主要用于2024年度全县管养省县道部分桥梁定期检查。</w:t>
      </w:r>
      <w:r>
        <w:rPr>
          <w:rFonts w:hint="default" w:ascii="Times New Roman" w:hAnsi="Times New Roman" w:eastAsia="方正仿宋_GBK" w:cs="Times New Roman"/>
          <w:sz w:val="32"/>
          <w:szCs w:val="32"/>
        </w:rPr>
        <w:t>授予中小企业合同金额122.90</w:t>
      </w:r>
      <w:bookmarkStart w:id="61" w:name="_GoBack"/>
      <w:bookmarkEnd w:id="61"/>
      <w:r>
        <w:rPr>
          <w:rFonts w:hint="default" w:ascii="Times New Roman" w:hAnsi="Times New Roman" w:eastAsia="方正仿宋_GBK" w:cs="Times New Roman"/>
          <w:sz w:val="32"/>
          <w:szCs w:val="32"/>
        </w:rPr>
        <w:t>万元，占政府采购支出总额的100%，其中：授予小微企业合同金额4.89万元，占政府采购支出总额的3.98%。</w:t>
      </w:r>
    </w:p>
    <w:p w14:paraId="215AA05F">
      <w:pPr>
        <w:spacing w:line="600" w:lineRule="exact"/>
        <w:ind w:firstLine="640"/>
        <w:rPr>
          <w:rFonts w:eastAsia="仿宋_GB2312" w:cs="仿宋_GB2312"/>
          <w:sz w:val="32"/>
          <w:szCs w:val="32"/>
        </w:rPr>
      </w:pPr>
    </w:p>
    <w:p w14:paraId="239042EF">
      <w:pPr>
        <w:spacing w:line="600" w:lineRule="exact"/>
        <w:ind w:firstLine="640" w:firstLineChars="200"/>
        <w:outlineLvl w:val="2"/>
        <w:rPr>
          <w:rFonts w:hint="eastAsia" w:ascii="方正楷体_GBK" w:hAnsi="方正楷体_GBK" w:eastAsia="方正楷体_GBK" w:cs="方正楷体_GBK"/>
          <w:b/>
          <w:sz w:val="32"/>
          <w:szCs w:val="32"/>
        </w:rPr>
      </w:pPr>
      <w:bookmarkStart w:id="42" w:name="_Toc15377224"/>
      <w:r>
        <w:rPr>
          <w:rFonts w:hint="eastAsia" w:ascii="方正楷体_GBK" w:hAnsi="方正楷体_GBK" w:eastAsia="方正楷体_GBK" w:cs="方正楷体_GBK"/>
          <w:b/>
          <w:sz w:val="32"/>
          <w:szCs w:val="32"/>
        </w:rPr>
        <w:t>（三）国有资产占有使用情况</w:t>
      </w:r>
      <w:bookmarkEnd w:id="42"/>
    </w:p>
    <w:p w14:paraId="12DF25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截至2024年12月31日，盐边县交通运输局共有车辆0辆，其中：主要负责人用车0辆、机要通信用车0辆、应急保障用车0辆、其他用车0辆。单价100万元（含）以上设备（不含车辆）0台（套）。</w:t>
      </w:r>
    </w:p>
    <w:p w14:paraId="052ECC99">
      <w:pPr>
        <w:spacing w:line="600" w:lineRule="exact"/>
        <w:ind w:firstLine="640" w:firstLineChars="20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（四）预算绩效管理情况</w:t>
      </w:r>
    </w:p>
    <w:p w14:paraId="64E34E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盐边县交通运输局在2024年度预算编制阶段，组织对农村客运保险补贴、2023年度政府采购《鳡鱼大桥健康监测》尾款及质保金、2024年度增开攀枝花至成都直达动车补贴分摊、拖欠盐边县虹翔保安服务有限公司劳务费、2024年度S218盐边县城南入口至安宁工业园段新建工程、公路养护专项资金、以前年度工程遗留未付款项目（中小企业欠款）等7个项目开展了预算事前绩效评估，对7个项目编制了绩效目标</w:t>
      </w:r>
      <w:r>
        <w:rPr>
          <w:rFonts w:hint="eastAsia" w:eastAsia="方正仿宋_GBK" w:cs="Times New Roman"/>
          <w:sz w:val="32"/>
          <w:szCs w:val="32"/>
          <w:lang w:eastAsia="zh-CN"/>
        </w:rPr>
        <w:t>，在</w:t>
      </w:r>
      <w:r>
        <w:rPr>
          <w:rFonts w:hint="default" w:ascii="Times New Roman" w:hAnsi="Times New Roman" w:eastAsia="方正仿宋_GBK" w:cs="Times New Roman"/>
          <w:sz w:val="32"/>
          <w:szCs w:val="32"/>
        </w:rPr>
        <w:t>预算执行过程中，选取6个项目开展绩效监控。</w:t>
      </w:r>
    </w:p>
    <w:p w14:paraId="4077A7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组织对</w:t>
      </w:r>
      <w:r>
        <w:rPr>
          <w:rFonts w:hint="default" w:ascii="Times New Roman" w:hAnsi="Times New Roman" w:eastAsia="方正仿宋_GBK" w:cs="Times New Roman"/>
          <w:sz w:val="32"/>
          <w:szCs w:val="32"/>
          <w:lang w:val="en-US"/>
        </w:rPr>
        <w:t>2024</w:t>
      </w:r>
      <w:r>
        <w:rPr>
          <w:rFonts w:hint="default" w:ascii="Times New Roman" w:hAnsi="Times New Roman" w:eastAsia="方正仿宋_GBK" w:cs="Times New Roman"/>
          <w:sz w:val="32"/>
          <w:szCs w:val="32"/>
        </w:rPr>
        <w:t>年度一般公共预算、政府性基金预算、国有资本经营预算、社会保险基金预算以及资本资产、债券资金等全面开展绩效自评，形成盐边县交通运输局部门整体（含部门预算项目）绩效自评报告、桑园大桥拆除重建项目、撤并建制村畅通工程及</w:t>
      </w:r>
      <w:r>
        <w:rPr>
          <w:rFonts w:hint="default" w:ascii="Times New Roman" w:hAnsi="Times New Roman" w:eastAsia="方正仿宋_GBK" w:cs="Times New Roman"/>
          <w:sz w:val="32"/>
          <w:szCs w:val="32"/>
          <w:lang w:val="en-US"/>
        </w:rPr>
        <w:t>30户以上自然村组通硬化路、2020-2023年度农村</w:t>
      </w:r>
      <w:r>
        <w:rPr>
          <w:rFonts w:hint="default" w:ascii="Times New Roman" w:hAnsi="Times New Roman" w:eastAsia="方正仿宋_GBK" w:cs="Times New Roman"/>
          <w:sz w:val="32"/>
          <w:szCs w:val="32"/>
        </w:rPr>
        <w:t>客运补贴和城市交通发展奖励资金、通组路、</w:t>
      </w:r>
      <w:r>
        <w:rPr>
          <w:rFonts w:hint="default" w:ascii="Times New Roman" w:hAnsi="Times New Roman" w:eastAsia="方正仿宋_GBK" w:cs="Times New Roman"/>
          <w:sz w:val="32"/>
          <w:szCs w:val="32"/>
          <w:lang w:val="en-US"/>
        </w:rPr>
        <w:t>2024年度S218</w:t>
      </w:r>
      <w:r>
        <w:rPr>
          <w:rFonts w:hint="default" w:ascii="Times New Roman" w:hAnsi="Times New Roman" w:eastAsia="方正仿宋_GBK" w:cs="Times New Roman"/>
          <w:sz w:val="32"/>
          <w:szCs w:val="32"/>
        </w:rPr>
        <w:t>盐边县城南入口至安宁工业园段</w:t>
      </w:r>
      <w:r>
        <w:rPr>
          <w:rFonts w:hint="default" w:ascii="Times New Roman" w:hAnsi="Times New Roman" w:eastAsia="方正仿宋_GBK" w:cs="Times New Roman"/>
          <w:sz w:val="32"/>
          <w:szCs w:val="32"/>
          <w:lang w:val="en-US"/>
        </w:rPr>
        <w:t>新建工程、2024年农村公路日常养护</w:t>
      </w:r>
      <w:r>
        <w:rPr>
          <w:rFonts w:hint="default" w:ascii="Times New Roman" w:hAnsi="Times New Roman" w:eastAsia="方正仿宋_GBK" w:cs="Times New Roman"/>
          <w:sz w:val="32"/>
          <w:szCs w:val="32"/>
        </w:rPr>
        <w:t>等专项预算项目绩效自评报告，其中，</w:t>
      </w:r>
      <w:r>
        <w:rPr>
          <w:rFonts w:hint="default" w:ascii="Times New Roman" w:hAnsi="Times New Roman" w:eastAsia="方正仿宋_GBK" w:cs="Times New Roman"/>
          <w:sz w:val="32"/>
          <w:szCs w:val="32"/>
          <w:lang w:val="en-US" w:eastAsia="zh-CN"/>
        </w:rPr>
        <w:t>盐边县交通运输局</w:t>
      </w:r>
      <w:r>
        <w:rPr>
          <w:rFonts w:hint="default" w:ascii="Times New Roman" w:hAnsi="Times New Roman" w:eastAsia="方正仿宋_GBK" w:cs="Times New Roman"/>
          <w:sz w:val="32"/>
          <w:szCs w:val="32"/>
        </w:rPr>
        <w:t>部门整体（含部门预算项目）绩效自评得分为</w:t>
      </w:r>
      <w:r>
        <w:rPr>
          <w:rFonts w:hint="default" w:ascii="Times New Roman" w:hAnsi="Times New Roman" w:eastAsia="方正仿宋_GBK" w:cs="Times New Roman"/>
          <w:sz w:val="32"/>
          <w:szCs w:val="32"/>
          <w:lang w:val="en-US" w:eastAsia="zh-CN"/>
        </w:rPr>
        <w:t>98</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zh-CN"/>
        </w:rPr>
        <w:t>我局严格按照《</w:t>
      </w:r>
      <w:r>
        <w:rPr>
          <w:rFonts w:hint="eastAsia" w:eastAsia="方正仿宋_GBK" w:cs="Times New Roman"/>
          <w:sz w:val="32"/>
          <w:szCs w:val="32"/>
          <w:lang w:val="zh-CN"/>
        </w:rPr>
        <w:t>中华人民共和国预算法</w:t>
      </w:r>
      <w:r>
        <w:rPr>
          <w:rFonts w:hint="default" w:ascii="Times New Roman" w:hAnsi="Times New Roman" w:eastAsia="方正仿宋_GBK" w:cs="Times New Roman"/>
          <w:sz w:val="32"/>
          <w:szCs w:val="32"/>
          <w:lang w:val="zh-CN"/>
        </w:rPr>
        <w:t>》按时完成预决算编制。在资金预算编制方面</w:t>
      </w:r>
      <w:r>
        <w:rPr>
          <w:rFonts w:hint="eastAsia" w:eastAsia="方正仿宋_GBK" w:cs="Times New Roman"/>
          <w:sz w:val="32"/>
          <w:szCs w:val="32"/>
          <w:lang w:val="zh-CN"/>
        </w:rPr>
        <w:t>，在</w:t>
      </w:r>
      <w:r>
        <w:rPr>
          <w:rFonts w:hint="default" w:ascii="Times New Roman" w:hAnsi="Times New Roman" w:eastAsia="方正仿宋_GBK" w:cs="Times New Roman"/>
          <w:sz w:val="32"/>
          <w:szCs w:val="32"/>
          <w:lang w:val="zh-CN"/>
        </w:rPr>
        <w:t>预算执行、综合管理、整体绩效方面，均按照国家政策规范规定，结合本单位实际情况及相关规定严格执行，并合理安排项目资金，使财政资金发挥最大的效益，确保我局各项工作高效规范有序推进，圆满完成年初下达的各项工作任务，有效推动工作开展，扎实为全县社会稳定、秩序良好更好地服务好；</w:t>
      </w:r>
      <w:r>
        <w:rPr>
          <w:rFonts w:hint="default" w:ascii="Times New Roman" w:hAnsi="Times New Roman" w:eastAsia="方正仿宋_GBK" w:cs="Times New Roman"/>
          <w:color w:val="auto"/>
          <w:kern w:val="2"/>
          <w:sz w:val="32"/>
          <w:szCs w:val="32"/>
          <w:lang w:val="en-US"/>
        </w:rPr>
        <w:t>2024</w:t>
      </w:r>
      <w:r>
        <w:rPr>
          <w:rFonts w:hint="default" w:ascii="Times New Roman" w:hAnsi="Times New Roman" w:eastAsia="方正仿宋_GBK" w:cs="Times New Roman"/>
          <w:sz w:val="32"/>
          <w:szCs w:val="32"/>
        </w:rPr>
        <w:t>年农村公路日常养护专项预算项目绩效自评得分为</w:t>
      </w:r>
      <w:r>
        <w:rPr>
          <w:rFonts w:hint="default"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en-US" w:eastAsia="zh-CN"/>
        </w:rPr>
        <w:t>提升道路通行安全保障，优化路风路貌；</w:t>
      </w:r>
      <w:r>
        <w:rPr>
          <w:rFonts w:hint="default" w:ascii="Times New Roman" w:hAnsi="Times New Roman" w:eastAsia="方正仿宋_GBK" w:cs="Times New Roman"/>
          <w:sz w:val="32"/>
          <w:szCs w:val="32"/>
          <w:lang w:val="en-US"/>
        </w:rPr>
        <w:t>2024年度S218</w:t>
      </w:r>
      <w:r>
        <w:rPr>
          <w:rFonts w:hint="default" w:ascii="Times New Roman" w:hAnsi="Times New Roman" w:eastAsia="方正仿宋_GBK" w:cs="Times New Roman"/>
          <w:sz w:val="32"/>
          <w:szCs w:val="32"/>
        </w:rPr>
        <w:t>盐边县城南入口至安宁工业园段专项预算项目绩效自评得分为</w:t>
      </w:r>
      <w:r>
        <w:rPr>
          <w:rFonts w:hint="default" w:ascii="Times New Roman" w:hAnsi="Times New Roman" w:eastAsia="方正仿宋_GBK" w:cs="Times New Roman"/>
          <w:sz w:val="32"/>
          <w:szCs w:val="32"/>
          <w:lang w:val="en-US" w:eastAsia="zh-CN"/>
        </w:rPr>
        <w:t>98</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en-US" w:eastAsia="zh-CN"/>
        </w:rPr>
        <w:t>项目主线建成方便群众出行，促进产业发展，降低物流运输成本</w:t>
      </w:r>
      <w:r>
        <w:rPr>
          <w:rFonts w:hint="default" w:ascii="Times New Roman" w:hAnsi="Times New Roman" w:eastAsia="方正仿宋_GBK" w:cs="Times New Roman"/>
          <w:sz w:val="32"/>
          <w:szCs w:val="32"/>
        </w:rPr>
        <w:t>；通组路专项预算项目绩效自评得分为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en-US" w:eastAsia="zh-CN"/>
        </w:rPr>
        <w:t>项目已全面完工，正在开展资金清算工作，项目建成后有效方便群众出行，促进乡村文旅产业发展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rPr>
        <w:t>2020-2023年度农村</w:t>
      </w:r>
      <w:r>
        <w:rPr>
          <w:rFonts w:hint="default" w:ascii="Times New Roman" w:hAnsi="Times New Roman" w:eastAsia="方正仿宋_GBK" w:cs="Times New Roman"/>
          <w:sz w:val="32"/>
          <w:szCs w:val="32"/>
        </w:rPr>
        <w:t>客运补贴和城市交通发展奖励资金专项预算项目绩效自评得分为</w:t>
      </w:r>
      <w:r>
        <w:rPr>
          <w:rFonts w:hint="default" w:ascii="Times New Roman" w:hAnsi="Times New Roman" w:eastAsia="方正仿宋_GBK" w:cs="Times New Roman"/>
          <w:sz w:val="32"/>
          <w:szCs w:val="32"/>
          <w:lang w:val="en-US" w:eastAsia="zh-CN"/>
        </w:rPr>
        <w:t>92</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zh-CN"/>
        </w:rPr>
        <w:t>扎实为全县社会稳定、秩序良好更好地服务好；</w:t>
      </w:r>
      <w:r>
        <w:rPr>
          <w:rFonts w:hint="default" w:ascii="Times New Roman" w:hAnsi="Times New Roman" w:eastAsia="方正仿宋_GBK" w:cs="Times New Roman"/>
          <w:sz w:val="32"/>
          <w:szCs w:val="32"/>
        </w:rPr>
        <w:t>撤并建制村畅通工程及</w:t>
      </w:r>
      <w:r>
        <w:rPr>
          <w:rFonts w:hint="default" w:ascii="Times New Roman" w:hAnsi="Times New Roman" w:eastAsia="方正仿宋_GBK" w:cs="Times New Roman"/>
          <w:color w:val="auto"/>
          <w:kern w:val="2"/>
          <w:sz w:val="32"/>
          <w:szCs w:val="32"/>
          <w:lang w:val="en-US"/>
        </w:rPr>
        <w:t>30户以上自然村组通硬化路</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en-US" w:eastAsia="zh-CN"/>
        </w:rPr>
        <w:t>项目已全面完工，正在开展资金清算工作，项目建成后有效方便群众出行，促进乡村文旅产业发展。</w:t>
      </w:r>
    </w:p>
    <w:p w14:paraId="5E7C19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kern w:val="2"/>
          <w:sz w:val="32"/>
          <w:szCs w:val="32"/>
          <w:lang w:val="en-US"/>
        </w:rPr>
      </w:pPr>
      <w:r>
        <w:rPr>
          <w:rFonts w:hint="default" w:ascii="Times New Roman" w:hAnsi="Times New Roman" w:eastAsia="方正仿宋_GBK" w:cs="Times New Roman"/>
          <w:sz w:val="32"/>
          <w:szCs w:val="32"/>
        </w:rPr>
        <w:t>绩效自评报告详见附件。</w:t>
      </w:r>
    </w:p>
    <w:p w14:paraId="111D44C9">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textAlignment w:val="auto"/>
      </w:pPr>
    </w:p>
    <w:p w14:paraId="4270B29F">
      <w:pPr>
        <w:pStyle w:val="8"/>
        <w:ind w:left="0" w:leftChars="0" w:firstLine="0" w:firstLineChars="0"/>
      </w:pPr>
      <w:bookmarkStart w:id="43" w:name="_Toc15377225"/>
      <w:bookmarkStart w:id="44" w:name="_Toc15396613"/>
    </w:p>
    <w:p w14:paraId="774ACBD3">
      <w:pPr>
        <w:pStyle w:val="8"/>
        <w:ind w:left="420"/>
      </w:pPr>
    </w:p>
    <w:p w14:paraId="79E25595">
      <w:pPr>
        <w:pStyle w:val="3"/>
        <w:jc w:val="center"/>
        <w:rPr>
          <w:rFonts w:hint="eastAsia" w:ascii="方正小标宋_GBK" w:hAnsi="方正小标宋_GBK" w:eastAsia="方正小标宋_GBK" w:cs="方正小标宋_GBK"/>
          <w:b/>
          <w:bCs w:val="0"/>
        </w:rPr>
      </w:pPr>
      <w:r>
        <w:rPr>
          <w:rFonts w:hint="eastAsia" w:ascii="方正小标宋_GBK" w:hAnsi="方正小标宋_GBK" w:eastAsia="方正小标宋_GBK" w:cs="方正小标宋_GBK"/>
          <w:b/>
          <w:bCs w:val="0"/>
        </w:rPr>
        <w:t>第三部分  名词解释</w:t>
      </w:r>
      <w:bookmarkEnd w:id="43"/>
      <w:bookmarkEnd w:id="44"/>
    </w:p>
    <w:p w14:paraId="123A4312">
      <w:pPr>
        <w:spacing w:line="600" w:lineRule="exact"/>
        <w:jc w:val="left"/>
        <w:rPr>
          <w:b/>
          <w:sz w:val="44"/>
          <w:szCs w:val="44"/>
        </w:rPr>
      </w:pPr>
    </w:p>
    <w:p w14:paraId="3DC8C3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1.财政拨款收入：指单位从同级财政部门取得的财政预算资金。</w:t>
      </w:r>
    </w:p>
    <w:p w14:paraId="20AC9F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2.事业收入：指事业单位开展专业业务活动及辅助活动取得的收入。</w:t>
      </w:r>
    </w:p>
    <w:p w14:paraId="7E8E19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3.经营收入：指事业单位在专业业务活动及其辅助活动之外开展非独立核算经营活动取得的收入。</w:t>
      </w:r>
    </w:p>
    <w:p w14:paraId="1D8E88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4.其他收入：指单位取得的除上述收入以外的各项收入。</w:t>
      </w:r>
    </w:p>
    <w:p w14:paraId="789962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5.使用非财政拨款结余（含专用结余）：指事业单位使用以前年度积累的非财政拨款结余弥补当年收支差额的金额。 </w:t>
      </w:r>
    </w:p>
    <w:p w14:paraId="6045F8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6.年初结转和结余：指以前年度尚未完成、结转到本年按有关规定继续使用的资金。 </w:t>
      </w:r>
    </w:p>
    <w:p w14:paraId="2022B6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7.结余分配：指事业单位按照会计制度规定缴纳的所得税、提取的专用结余以及转入非财政拨款结余的金额等。</w:t>
      </w:r>
    </w:p>
    <w:p w14:paraId="410FC0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8.年末结转和结余：指单位按有关规定结转到下年或以后年度继续使用的资金。</w:t>
      </w:r>
    </w:p>
    <w:p w14:paraId="67E015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9.一般公共服务（201类）宣传事务（33款）一般行政管理事务（02项）：指反映行政单位（包括实行公务员管理的事业单位）未单独设置项级科目的其他项目支出。</w:t>
      </w:r>
    </w:p>
    <w:p w14:paraId="2792C1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10.社会保障和就业（208类）</w:t>
      </w:r>
      <w:r>
        <w:rPr>
          <w:rFonts w:hint="default" w:ascii="Times New Roman" w:hAnsi="Times New Roman" w:eastAsia="方正仿宋_GBK" w:cs="Times New Roman"/>
          <w:color w:val="000000"/>
          <w:sz w:val="32"/>
          <w:szCs w:val="32"/>
        </w:rPr>
        <w:t>行政事业单位养老支出</w:t>
      </w:r>
      <w:r>
        <w:rPr>
          <w:rFonts w:hint="default" w:ascii="Times New Roman" w:hAnsi="Times New Roman" w:eastAsia="方正仿宋_GBK" w:cs="Times New Roman"/>
          <w:sz w:val="32"/>
          <w:szCs w:val="32"/>
        </w:rPr>
        <w:t>（05款）</w:t>
      </w:r>
      <w:r>
        <w:rPr>
          <w:rFonts w:hint="default" w:ascii="Times New Roman" w:hAnsi="Times New Roman" w:eastAsia="方正仿宋_GBK" w:cs="Times New Roman"/>
          <w:color w:val="000000"/>
          <w:sz w:val="32"/>
          <w:szCs w:val="32"/>
        </w:rPr>
        <w:t>行政单位离退休</w:t>
      </w:r>
      <w:r>
        <w:rPr>
          <w:rFonts w:hint="default" w:ascii="Times New Roman" w:hAnsi="Times New Roman" w:eastAsia="方正仿宋_GBK" w:cs="Times New Roman"/>
          <w:sz w:val="32"/>
          <w:szCs w:val="32"/>
        </w:rPr>
        <w:t>（01项）：</w:t>
      </w:r>
      <w:r>
        <w:rPr>
          <w:rFonts w:hint="default" w:ascii="Times New Roman" w:hAnsi="Times New Roman" w:eastAsia="方正仿宋_GBK" w:cs="Times New Roman"/>
          <w:color w:val="000000"/>
          <w:sz w:val="32"/>
          <w:szCs w:val="32"/>
        </w:rPr>
        <w:t>指行政单位（包括实行公务员管理的事业单位）开支的离退休经费</w:t>
      </w:r>
      <w:r>
        <w:rPr>
          <w:rFonts w:hint="default" w:ascii="Times New Roman" w:hAnsi="Times New Roman" w:eastAsia="方正仿宋_GBK" w:cs="Times New Roman"/>
          <w:sz w:val="32"/>
          <w:szCs w:val="32"/>
        </w:rPr>
        <w:t>。</w:t>
      </w:r>
    </w:p>
    <w:p w14:paraId="3C52FB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11.</w:t>
      </w:r>
      <w:r>
        <w:rPr>
          <w:rFonts w:hint="default" w:ascii="Times New Roman" w:hAnsi="Times New Roman" w:eastAsia="方正仿宋_GBK" w:cs="Times New Roman"/>
          <w:color w:val="000000"/>
          <w:sz w:val="32"/>
          <w:szCs w:val="32"/>
        </w:rPr>
        <w:t>社会保障和就业（208类）行政事业单位养老支出（05款）机关事业单位基本养老保险缴费支出（05项）：指机关事业单位实施养老保险制度由单位缴纳的基本养老保险费支出。</w:t>
      </w:r>
    </w:p>
    <w:p w14:paraId="72BCD0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12.</w:t>
      </w:r>
      <w:r>
        <w:rPr>
          <w:rFonts w:hint="default" w:ascii="Times New Roman" w:hAnsi="Times New Roman" w:eastAsia="方正仿宋_GBK" w:cs="Times New Roman"/>
          <w:color w:val="000000"/>
          <w:sz w:val="32"/>
          <w:szCs w:val="32"/>
        </w:rPr>
        <w:t>社会保障和就业（208类）行政事业单位养老支出（05款）机关事业单位职业年金缴费支出（06项）：指机关事业单位实施养老保险制度由单位缴纳的职业年金支出。</w:t>
      </w:r>
    </w:p>
    <w:p w14:paraId="1A0FD2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13.</w:t>
      </w:r>
      <w:r>
        <w:rPr>
          <w:rFonts w:hint="default" w:ascii="Times New Roman" w:hAnsi="Times New Roman" w:eastAsia="方正仿宋_GBK" w:cs="Times New Roman"/>
          <w:color w:val="000000"/>
          <w:sz w:val="32"/>
          <w:szCs w:val="32"/>
        </w:rPr>
        <w:t>社会保障和就业支出（208类）抚恤（08款）死亡抚恤（01项）</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指按规定用于烈士和牺牲、病故人员家属的一次性和定期抚恤金、丧葬补助费以及烈士褒扬金。</w:t>
      </w:r>
    </w:p>
    <w:p w14:paraId="1A7C950E">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14.社会保障和就业（208类）行政事业单位养老支出（08款）伤残抚恤（02项）：指按规定用于伤残人员的抚恤金和按规定开支的各种伤残补助费。</w:t>
      </w:r>
    </w:p>
    <w:p w14:paraId="44D084C1">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r>
        <w:rPr>
          <w:rFonts w:hint="default" w:ascii="Times New Roman" w:hAnsi="Times New Roman" w:eastAsia="方正仿宋_GBK" w:cs="Times New Roman"/>
          <w:color w:val="000000"/>
          <w:sz w:val="32"/>
          <w:szCs w:val="32"/>
        </w:rPr>
        <w:t>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14:paraId="7E3BAE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16.</w:t>
      </w:r>
      <w:r>
        <w:rPr>
          <w:rFonts w:hint="default" w:ascii="Times New Roman" w:hAnsi="Times New Roman" w:eastAsia="方正仿宋_GBK" w:cs="Times New Roman"/>
          <w:color w:val="000000"/>
          <w:sz w:val="32"/>
          <w:szCs w:val="32"/>
        </w:rPr>
        <w:t>卫生健康（210类）行政事业单位医疗（11款）公务员医疗补助（03项）：指财政部门安排的公务员医疗补助经费。</w:t>
      </w:r>
    </w:p>
    <w:p w14:paraId="500BFF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17.</w:t>
      </w:r>
      <w:r>
        <w:rPr>
          <w:rFonts w:hint="default" w:ascii="Times New Roman" w:hAnsi="Times New Roman" w:eastAsia="方正仿宋_GBK" w:cs="Times New Roman"/>
          <w:color w:val="000000"/>
          <w:sz w:val="32"/>
          <w:szCs w:val="32"/>
        </w:rPr>
        <w:t>卫生健康（210类）行政事业单位医疗（11款）其他行政事业单位医疗支出（99项）：其他用于行政事业单位医疗方面的支出。</w:t>
      </w:r>
    </w:p>
    <w:p w14:paraId="3BF16A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w:t>
      </w:r>
      <w:r>
        <w:rPr>
          <w:rFonts w:hint="default" w:ascii="Times New Roman" w:hAnsi="Times New Roman" w:eastAsia="方正仿宋_GBK" w:cs="Times New Roman"/>
          <w:color w:val="000000"/>
          <w:sz w:val="32"/>
          <w:szCs w:val="32"/>
        </w:rPr>
        <w:t>城乡社区支出（212类）国有土地使用权出让收入安排的支出（08款）征地和</w:t>
      </w:r>
      <w:r>
        <w:rPr>
          <w:rFonts w:hint="eastAsia" w:eastAsia="方正仿宋_GBK" w:cs="Times New Roman"/>
          <w:color w:val="000000"/>
          <w:sz w:val="32"/>
          <w:szCs w:val="32"/>
          <w:lang w:eastAsia="zh-CN"/>
        </w:rPr>
        <w:t>拆迁补偿</w:t>
      </w:r>
      <w:r>
        <w:rPr>
          <w:rFonts w:hint="default" w:ascii="Times New Roman" w:hAnsi="Times New Roman" w:eastAsia="方正仿宋_GBK" w:cs="Times New Roman"/>
          <w:color w:val="000000"/>
          <w:sz w:val="32"/>
          <w:szCs w:val="32"/>
        </w:rPr>
        <w:t>支出（01项）</w:t>
      </w:r>
      <w:r>
        <w:rPr>
          <w:rFonts w:hint="eastAsia" w:eastAsia="方正仿宋_GBK" w:cs="Times New Roman"/>
          <w:color w:val="000000"/>
          <w:sz w:val="32"/>
          <w:szCs w:val="32"/>
          <w:lang w:eastAsia="zh-CN"/>
        </w:rPr>
        <w:t>：</w:t>
      </w:r>
      <w:r>
        <w:rPr>
          <w:rFonts w:hint="default" w:ascii="Times New Roman" w:hAnsi="Times New Roman" w:eastAsia="方正仿宋_GBK" w:cs="Times New Roman"/>
          <w:sz w:val="32"/>
          <w:szCs w:val="32"/>
        </w:rPr>
        <w:t xml:space="preserve"> 指反映新疆生产建设兵团和地方政府在征地和收购土地过程中支付的土地补偿费、安置补偿费、地上附着和青苗补偿费、拆迁补偿费支出。</w:t>
      </w:r>
    </w:p>
    <w:p w14:paraId="62C3FD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19.</w:t>
      </w:r>
      <w:r>
        <w:rPr>
          <w:rFonts w:hint="default" w:ascii="Times New Roman" w:hAnsi="Times New Roman" w:eastAsia="方正仿宋_GBK" w:cs="Times New Roman"/>
          <w:color w:val="000000"/>
          <w:sz w:val="32"/>
          <w:szCs w:val="32"/>
        </w:rPr>
        <w:t>农林水支出（213类）其他农林水支出（99款）其他农林水支出（99项）</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 xml:space="preserve"> 指反映除化解债务支出以外其他用于农林水方面的支出。</w:t>
      </w:r>
    </w:p>
    <w:p w14:paraId="24CB9A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20.交通运输支出（214类）公路水路运输（01款）行政运行（01项）：指反映行政单位（包括实行公务员管理的事业单位）的基本支出。</w:t>
      </w:r>
    </w:p>
    <w:p w14:paraId="5028A0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21.交通运输支出（214类）公路水路运输（01款）公路建设（04项）：指反映新建公路支出，公路改建支出，特大型桥建设支出，公路客货运站（场）建设支出。</w:t>
      </w:r>
    </w:p>
    <w:p w14:paraId="5BE6DE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22.交通运输支出（214类）公路水路运输（01款）公路养护（06项）：指反映公路养护支出。</w:t>
      </w:r>
    </w:p>
    <w:p w14:paraId="709E49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23.交通运输支出（214类）公路水路运输（01款）公路和运输安全（10项）：指反映公路和运输安全支出。</w:t>
      </w:r>
    </w:p>
    <w:p w14:paraId="71C441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24.交通运输支出（214类）公路水路运输（01款）公路运输管理（12项）：指反映公路运输管理支出和公路路政管理支出。</w:t>
      </w:r>
    </w:p>
    <w:p w14:paraId="5C37C1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25.交通运输支出（214类）公路水路运输（01款）其他公路水路运输支出（99项）：指反映除上述项目以外其他用于公路水路运输的支出。</w:t>
      </w:r>
    </w:p>
    <w:p w14:paraId="166240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 交通运输支出（214类）铁路运输（02款）其他铁路运输支出（99项）：指反映其他用于铁路运输方面的支出。</w:t>
      </w:r>
    </w:p>
    <w:p w14:paraId="21E860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27.住房保障支出（221类）住房改革支出（02款）住房公积金（01项）：指反映行政事业单位按人力资源和社会保障部、财政部规定的基本工资和津贴补贴以及规定比例为职工缴纳的住房公积金。</w:t>
      </w:r>
    </w:p>
    <w:p w14:paraId="5477C9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28.基本支出：指为保障机构正常运转、完成日常工作任务而发生的人员支出和公用支出。</w:t>
      </w:r>
    </w:p>
    <w:p w14:paraId="062BBD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29.项目支出：指在基本支出之外为完成特定行政任务和事业发展目标所发生的支出。 </w:t>
      </w:r>
    </w:p>
    <w:p w14:paraId="1C2EB2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30.经营支出：指事业单位在专业业务活动及其辅助活动之外开展非独立核算经营活动发生的支出。</w:t>
      </w:r>
    </w:p>
    <w:p w14:paraId="49CBED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DC428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62E7DB1">
      <w:pPr>
        <w:spacing w:line="600" w:lineRule="exact"/>
        <w:jc w:val="center"/>
        <w:rPr>
          <w:rFonts w:eastAsia="黑体"/>
          <w:sz w:val="44"/>
          <w:szCs w:val="44"/>
        </w:rPr>
      </w:pPr>
      <w:bookmarkStart w:id="45" w:name="_Toc15396614"/>
      <w:bookmarkStart w:id="46" w:name="_Toc15377226"/>
    </w:p>
    <w:p w14:paraId="04184509">
      <w:pPr>
        <w:spacing w:line="600" w:lineRule="exact"/>
        <w:jc w:val="center"/>
        <w:rPr>
          <w:rFonts w:eastAsia="黑体"/>
          <w:sz w:val="44"/>
          <w:szCs w:val="44"/>
        </w:rPr>
      </w:pPr>
    </w:p>
    <w:p w14:paraId="11417CEB">
      <w:pPr>
        <w:spacing w:line="600" w:lineRule="exact"/>
        <w:jc w:val="center"/>
        <w:rPr>
          <w:rFonts w:eastAsia="黑体"/>
          <w:sz w:val="44"/>
          <w:szCs w:val="44"/>
        </w:rPr>
      </w:pPr>
    </w:p>
    <w:p w14:paraId="7DA155C8">
      <w:pPr>
        <w:pStyle w:val="2"/>
      </w:pPr>
    </w:p>
    <w:p w14:paraId="6B41704F">
      <w:pPr>
        <w:spacing w:line="600" w:lineRule="exact"/>
        <w:jc w:val="center"/>
        <w:rPr>
          <w:rFonts w:eastAsia="黑体"/>
          <w:sz w:val="44"/>
          <w:szCs w:val="44"/>
        </w:rPr>
      </w:pPr>
    </w:p>
    <w:p w14:paraId="31EE0980">
      <w:pPr>
        <w:spacing w:line="600" w:lineRule="exact"/>
        <w:jc w:val="center"/>
        <w:rPr>
          <w:rFonts w:eastAsia="黑体"/>
          <w:sz w:val="44"/>
          <w:szCs w:val="44"/>
        </w:rPr>
      </w:pPr>
    </w:p>
    <w:p w14:paraId="7379E690">
      <w:pPr>
        <w:spacing w:line="600" w:lineRule="exact"/>
        <w:jc w:val="center"/>
        <w:rPr>
          <w:rFonts w:eastAsia="黑体"/>
          <w:sz w:val="44"/>
          <w:szCs w:val="44"/>
        </w:rPr>
      </w:pPr>
    </w:p>
    <w:p w14:paraId="434E261C">
      <w:pPr>
        <w:spacing w:line="600" w:lineRule="exact"/>
        <w:jc w:val="center"/>
        <w:rPr>
          <w:rFonts w:eastAsia="黑体"/>
          <w:sz w:val="44"/>
          <w:szCs w:val="44"/>
        </w:rPr>
      </w:pPr>
    </w:p>
    <w:p w14:paraId="04CB6B93">
      <w:pPr>
        <w:spacing w:line="600" w:lineRule="exact"/>
        <w:jc w:val="center"/>
        <w:rPr>
          <w:rFonts w:eastAsia="黑体"/>
          <w:sz w:val="44"/>
          <w:szCs w:val="44"/>
        </w:rPr>
      </w:pPr>
    </w:p>
    <w:p w14:paraId="4A4F9B34">
      <w:pPr>
        <w:spacing w:line="600" w:lineRule="exact"/>
        <w:jc w:val="center"/>
        <w:rPr>
          <w:rFonts w:eastAsia="黑体"/>
          <w:sz w:val="44"/>
          <w:szCs w:val="44"/>
        </w:rPr>
      </w:pPr>
    </w:p>
    <w:p w14:paraId="32E4889F">
      <w:pPr>
        <w:spacing w:line="600" w:lineRule="exact"/>
        <w:jc w:val="center"/>
        <w:rPr>
          <w:rFonts w:eastAsia="黑体"/>
          <w:sz w:val="44"/>
          <w:szCs w:val="44"/>
        </w:rPr>
      </w:pPr>
    </w:p>
    <w:p w14:paraId="001E218E">
      <w:pPr>
        <w:spacing w:line="600" w:lineRule="exact"/>
        <w:jc w:val="center"/>
        <w:rPr>
          <w:rFonts w:eastAsia="黑体"/>
          <w:sz w:val="44"/>
          <w:szCs w:val="44"/>
        </w:rPr>
      </w:pPr>
    </w:p>
    <w:p w14:paraId="4B025110">
      <w:pPr>
        <w:spacing w:line="600" w:lineRule="exact"/>
        <w:jc w:val="center"/>
        <w:rPr>
          <w:rFonts w:eastAsia="黑体"/>
          <w:sz w:val="44"/>
          <w:szCs w:val="44"/>
        </w:rPr>
      </w:pPr>
    </w:p>
    <w:p w14:paraId="1701E92B">
      <w:pPr>
        <w:spacing w:line="600" w:lineRule="exact"/>
        <w:jc w:val="center"/>
        <w:rPr>
          <w:rFonts w:eastAsia="黑体"/>
          <w:sz w:val="44"/>
          <w:szCs w:val="44"/>
        </w:rPr>
      </w:pPr>
    </w:p>
    <w:p w14:paraId="608BB846">
      <w:pPr>
        <w:spacing w:line="600" w:lineRule="exact"/>
        <w:jc w:val="both"/>
        <w:rPr>
          <w:rFonts w:eastAsia="黑体"/>
          <w:sz w:val="44"/>
          <w:szCs w:val="44"/>
        </w:rPr>
      </w:pPr>
    </w:p>
    <w:p w14:paraId="402EC87F">
      <w:pPr>
        <w:pStyle w:val="3"/>
        <w:jc w:val="center"/>
        <w:rPr>
          <w:rFonts w:hint="eastAsia" w:ascii="方正小标宋_GBK" w:hAnsi="方正小标宋_GBK" w:eastAsia="方正小标宋_GBK" w:cs="方正小标宋_GBK"/>
          <w:b/>
          <w:bCs w:val="0"/>
        </w:rPr>
      </w:pPr>
      <w:r>
        <w:rPr>
          <w:rFonts w:hint="eastAsia" w:ascii="方正小标宋_GBK" w:hAnsi="方正小标宋_GBK" w:eastAsia="方正小标宋_GBK" w:cs="方正小标宋_GBK"/>
          <w:b/>
          <w:bCs w:val="0"/>
        </w:rPr>
        <w:t>第四部分  附件</w:t>
      </w:r>
      <w:bookmarkEnd w:id="45"/>
    </w:p>
    <w:p w14:paraId="6C14A9E7">
      <w:pPr>
        <w:spacing w:line="572" w:lineRule="exact"/>
        <w:jc w:val="left"/>
        <w:outlineLvl w:val="0"/>
        <w:rPr>
          <w:rFonts w:eastAsia="黑体" w:cs="黑体"/>
          <w:sz w:val="32"/>
          <w:szCs w:val="32"/>
        </w:rPr>
      </w:pPr>
    </w:p>
    <w:p w14:paraId="46B3D176">
      <w:pPr>
        <w:widowControl/>
        <w:spacing w:line="578" w:lineRule="exact"/>
        <w:contextualSpacing/>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部门预算项目支出绩效评价表（2024年度）</w:t>
      </w:r>
    </w:p>
    <w:p w14:paraId="0C375120">
      <w:pPr>
        <w:pStyle w:val="8"/>
        <w:spacing w:line="560" w:lineRule="exact"/>
        <w:ind w:left="0" w:leftChars="0" w:firstLine="640"/>
        <w:rPr>
          <w:rFonts w:hint="default" w:ascii="Times New Roman" w:hAnsi="Times New Roman" w:eastAsia="方正仿宋_GBK" w:cs="Times New Roman"/>
          <w:kern w:val="0"/>
          <w:sz w:val="32"/>
          <w:szCs w:val="32"/>
        </w:rPr>
      </w:pPr>
    </w:p>
    <w:p w14:paraId="259D6C3D">
      <w:pPr>
        <w:spacing w:line="600" w:lineRule="exact"/>
        <w:ind w:firstLine="640" w:firstLineChars="200"/>
        <w:outlineLvl w:val="2"/>
        <w:rPr>
          <w:rFonts w:eastAsia="仿宋_GB2312" w:cs="仿宋_GB2312"/>
          <w:kern w:val="0"/>
          <w:sz w:val="32"/>
          <w:szCs w:val="32"/>
        </w:rPr>
      </w:pPr>
      <w:bookmarkStart w:id="47" w:name="_Toc15396618"/>
      <w:r>
        <w:rPr>
          <w:rFonts w:hint="eastAsia" w:eastAsia="仿宋_GB2312" w:cs="仿宋_GB2312"/>
          <w:kern w:val="0"/>
          <w:sz w:val="32"/>
          <w:szCs w:val="32"/>
        </w:rPr>
        <w:br w:type="page"/>
      </w:r>
    </w:p>
    <w:p w14:paraId="6247D1B0">
      <w:pPr>
        <w:pStyle w:val="3"/>
        <w:jc w:val="center"/>
        <w:rPr>
          <w:rFonts w:eastAsia="仿宋_GB2312" w:cs="仿宋_GB2312"/>
          <w:sz w:val="32"/>
          <w:szCs w:val="32"/>
        </w:rPr>
      </w:pPr>
      <w:r>
        <w:rPr>
          <w:rFonts w:hint="eastAsia" w:ascii="方正小标宋_GBK" w:hAnsi="方正小标宋_GBK" w:eastAsia="方正小标宋_GBK" w:cs="方正小标宋_GBK"/>
          <w:b/>
          <w:bCs w:val="0"/>
        </w:rPr>
        <w:t>第五部分 附表</w:t>
      </w:r>
      <w:bookmarkEnd w:id="46"/>
      <w:bookmarkEnd w:id="47"/>
      <w:bookmarkStart w:id="48" w:name="_Toc15396619"/>
    </w:p>
    <w:p w14:paraId="433809F2">
      <w:pPr>
        <w:pStyle w:val="15"/>
        <w:adjustRightInd w:val="0"/>
        <w:snapToGrid w:val="0"/>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一、收入支出决算总表</w:t>
      </w:r>
      <w:bookmarkEnd w:id="48"/>
    </w:p>
    <w:p w14:paraId="04E69B6F">
      <w:pPr>
        <w:pStyle w:val="15"/>
        <w:adjustRightInd w:val="0"/>
        <w:snapToGrid w:val="0"/>
        <w:spacing w:line="560" w:lineRule="exact"/>
        <w:jc w:val="left"/>
        <w:rPr>
          <w:rFonts w:hint="eastAsia" w:ascii="方正仿宋_GBK" w:hAnsi="方正仿宋_GBK" w:eastAsia="方正仿宋_GBK" w:cs="方正仿宋_GBK"/>
          <w:sz w:val="32"/>
          <w:szCs w:val="32"/>
        </w:rPr>
      </w:pPr>
      <w:bookmarkStart w:id="49" w:name="_Toc15396620"/>
      <w:r>
        <w:rPr>
          <w:rFonts w:hint="eastAsia" w:ascii="方正仿宋_GBK" w:hAnsi="方正仿宋_GBK" w:eastAsia="方正仿宋_GBK" w:cs="方正仿宋_GBK"/>
          <w:sz w:val="32"/>
          <w:szCs w:val="32"/>
        </w:rPr>
        <w:t>二、收入决算表</w:t>
      </w:r>
      <w:bookmarkEnd w:id="49"/>
    </w:p>
    <w:p w14:paraId="3B0CE2F9">
      <w:pPr>
        <w:pStyle w:val="15"/>
        <w:adjustRightInd w:val="0"/>
        <w:snapToGrid w:val="0"/>
        <w:spacing w:line="560" w:lineRule="exact"/>
        <w:jc w:val="left"/>
        <w:rPr>
          <w:rFonts w:hint="eastAsia" w:ascii="方正仿宋_GBK" w:hAnsi="方正仿宋_GBK" w:eastAsia="方正仿宋_GBK" w:cs="方正仿宋_GBK"/>
          <w:sz w:val="32"/>
          <w:szCs w:val="32"/>
        </w:rPr>
      </w:pPr>
      <w:bookmarkStart w:id="50" w:name="_Toc15396621"/>
      <w:r>
        <w:rPr>
          <w:rFonts w:hint="eastAsia" w:ascii="方正仿宋_GBK" w:hAnsi="方正仿宋_GBK" w:eastAsia="方正仿宋_GBK" w:cs="方正仿宋_GBK"/>
          <w:sz w:val="32"/>
          <w:szCs w:val="32"/>
        </w:rPr>
        <w:t>三、支出决算表</w:t>
      </w:r>
      <w:bookmarkEnd w:id="50"/>
    </w:p>
    <w:p w14:paraId="022DFE5F">
      <w:pPr>
        <w:pStyle w:val="15"/>
        <w:adjustRightInd w:val="0"/>
        <w:snapToGrid w:val="0"/>
        <w:spacing w:line="560" w:lineRule="exact"/>
        <w:jc w:val="left"/>
        <w:rPr>
          <w:rFonts w:hint="eastAsia" w:ascii="方正仿宋_GBK" w:hAnsi="方正仿宋_GBK" w:eastAsia="方正仿宋_GBK" w:cs="方正仿宋_GBK"/>
          <w:sz w:val="32"/>
          <w:szCs w:val="32"/>
        </w:rPr>
      </w:pPr>
      <w:bookmarkStart w:id="51" w:name="_Toc15396622"/>
      <w:r>
        <w:rPr>
          <w:rFonts w:hint="eastAsia" w:ascii="方正仿宋_GBK" w:hAnsi="方正仿宋_GBK" w:eastAsia="方正仿宋_GBK" w:cs="方正仿宋_GBK"/>
          <w:sz w:val="32"/>
          <w:szCs w:val="32"/>
        </w:rPr>
        <w:t>四、财政拨款收入支出决算总表</w:t>
      </w:r>
      <w:bookmarkEnd w:id="51"/>
    </w:p>
    <w:p w14:paraId="5CB8672F">
      <w:pPr>
        <w:pStyle w:val="15"/>
        <w:adjustRightInd w:val="0"/>
        <w:snapToGrid w:val="0"/>
        <w:spacing w:line="560" w:lineRule="exact"/>
        <w:jc w:val="left"/>
        <w:rPr>
          <w:rFonts w:hint="eastAsia" w:ascii="方正仿宋_GBK" w:hAnsi="方正仿宋_GBK" w:eastAsia="方正仿宋_GBK" w:cs="方正仿宋_GBK"/>
          <w:sz w:val="32"/>
          <w:szCs w:val="32"/>
        </w:rPr>
      </w:pPr>
      <w:bookmarkStart w:id="52" w:name="_Toc15396623"/>
      <w:r>
        <w:rPr>
          <w:rFonts w:hint="eastAsia" w:ascii="方正仿宋_GBK" w:hAnsi="方正仿宋_GBK" w:eastAsia="方正仿宋_GBK" w:cs="方正仿宋_GBK"/>
          <w:sz w:val="32"/>
          <w:szCs w:val="32"/>
        </w:rPr>
        <w:t>五、财政拨款支出决算明细表</w:t>
      </w:r>
      <w:bookmarkEnd w:id="52"/>
      <w:bookmarkStart w:id="53" w:name="_Toc15396624"/>
    </w:p>
    <w:p w14:paraId="0C1735F7">
      <w:pPr>
        <w:pStyle w:val="15"/>
        <w:adjustRightInd w:val="0"/>
        <w:snapToGrid w:val="0"/>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六、一般公共预算财政拨款支出决算表</w:t>
      </w:r>
      <w:bookmarkEnd w:id="53"/>
    </w:p>
    <w:p w14:paraId="2056D717">
      <w:pPr>
        <w:pStyle w:val="15"/>
        <w:adjustRightInd w:val="0"/>
        <w:snapToGrid w:val="0"/>
        <w:spacing w:line="560" w:lineRule="exact"/>
        <w:jc w:val="left"/>
        <w:rPr>
          <w:rFonts w:hint="eastAsia" w:ascii="方正仿宋_GBK" w:hAnsi="方正仿宋_GBK" w:eastAsia="方正仿宋_GBK" w:cs="方正仿宋_GBK"/>
          <w:sz w:val="32"/>
          <w:szCs w:val="32"/>
        </w:rPr>
      </w:pPr>
      <w:bookmarkStart w:id="54" w:name="_Toc15396625"/>
      <w:r>
        <w:rPr>
          <w:rFonts w:hint="eastAsia" w:ascii="方正仿宋_GBK" w:hAnsi="方正仿宋_GBK" w:eastAsia="方正仿宋_GBK" w:cs="方正仿宋_GBK"/>
          <w:sz w:val="32"/>
          <w:szCs w:val="32"/>
        </w:rPr>
        <w:t>七、一般公共预算财政拨款支出决算明细表</w:t>
      </w:r>
      <w:bookmarkEnd w:id="54"/>
    </w:p>
    <w:p w14:paraId="6F5C633F">
      <w:pPr>
        <w:pStyle w:val="15"/>
        <w:adjustRightInd w:val="0"/>
        <w:snapToGrid w:val="0"/>
        <w:spacing w:line="560" w:lineRule="exact"/>
        <w:jc w:val="left"/>
        <w:rPr>
          <w:rFonts w:hint="eastAsia" w:ascii="方正仿宋_GBK" w:hAnsi="方正仿宋_GBK" w:eastAsia="方正仿宋_GBK" w:cs="方正仿宋_GBK"/>
          <w:sz w:val="32"/>
          <w:szCs w:val="32"/>
        </w:rPr>
      </w:pPr>
      <w:bookmarkStart w:id="55" w:name="_Toc15396626"/>
      <w:r>
        <w:rPr>
          <w:rFonts w:hint="eastAsia" w:ascii="方正仿宋_GBK" w:hAnsi="方正仿宋_GBK" w:eastAsia="方正仿宋_GBK" w:cs="方正仿宋_GBK"/>
          <w:sz w:val="32"/>
          <w:szCs w:val="32"/>
        </w:rPr>
        <w:t>八、一般公共预算财政拨款基本支出决算表</w:t>
      </w:r>
      <w:bookmarkEnd w:id="55"/>
    </w:p>
    <w:p w14:paraId="30603C33">
      <w:pPr>
        <w:pStyle w:val="15"/>
        <w:adjustRightInd w:val="0"/>
        <w:snapToGrid w:val="0"/>
        <w:spacing w:line="560" w:lineRule="exact"/>
        <w:jc w:val="left"/>
        <w:rPr>
          <w:rFonts w:hint="eastAsia" w:ascii="方正仿宋_GBK" w:hAnsi="方正仿宋_GBK" w:eastAsia="方正仿宋_GBK" w:cs="方正仿宋_GBK"/>
          <w:sz w:val="32"/>
          <w:szCs w:val="32"/>
        </w:rPr>
      </w:pPr>
      <w:bookmarkStart w:id="56" w:name="_Toc15396627"/>
      <w:r>
        <w:rPr>
          <w:rFonts w:hint="eastAsia" w:ascii="方正仿宋_GBK" w:hAnsi="方正仿宋_GBK" w:eastAsia="方正仿宋_GBK" w:cs="方正仿宋_GBK"/>
          <w:sz w:val="32"/>
          <w:szCs w:val="32"/>
        </w:rPr>
        <w:t>九、一般公共预算财政拨款项目支出决算表</w:t>
      </w:r>
      <w:bookmarkEnd w:id="56"/>
    </w:p>
    <w:p w14:paraId="2DDCD7A3">
      <w:pPr>
        <w:pStyle w:val="15"/>
        <w:adjustRightInd w:val="0"/>
        <w:snapToGrid w:val="0"/>
        <w:spacing w:line="560" w:lineRule="exact"/>
        <w:jc w:val="left"/>
        <w:rPr>
          <w:rFonts w:hint="eastAsia" w:ascii="方正仿宋_GBK" w:hAnsi="方正仿宋_GBK" w:eastAsia="方正仿宋_GBK" w:cs="方正仿宋_GBK"/>
          <w:sz w:val="32"/>
          <w:szCs w:val="32"/>
        </w:rPr>
      </w:pPr>
      <w:bookmarkStart w:id="57" w:name="_Toc15396628"/>
      <w:r>
        <w:rPr>
          <w:rFonts w:hint="eastAsia" w:ascii="方正仿宋_GBK" w:hAnsi="方正仿宋_GBK" w:eastAsia="方正仿宋_GBK" w:cs="方正仿宋_GBK"/>
          <w:sz w:val="32"/>
          <w:szCs w:val="32"/>
        </w:rPr>
        <w:t>十、</w:t>
      </w:r>
      <w:bookmarkEnd w:id="57"/>
      <w:r>
        <w:rPr>
          <w:rFonts w:hint="eastAsia" w:ascii="方正仿宋_GBK" w:hAnsi="方正仿宋_GBK" w:eastAsia="方正仿宋_GBK" w:cs="方正仿宋_GBK"/>
          <w:sz w:val="32"/>
          <w:szCs w:val="32"/>
        </w:rPr>
        <w:t>政府性基金预算财政拨款收入支出决算表</w:t>
      </w:r>
    </w:p>
    <w:p w14:paraId="041A8D05">
      <w:pPr>
        <w:pStyle w:val="15"/>
        <w:adjustRightInd w:val="0"/>
        <w:snapToGrid w:val="0"/>
        <w:spacing w:line="560" w:lineRule="exact"/>
        <w:jc w:val="left"/>
        <w:rPr>
          <w:rFonts w:hint="eastAsia" w:ascii="方正仿宋_GBK" w:hAnsi="方正仿宋_GBK" w:eastAsia="方正仿宋_GBK" w:cs="方正仿宋_GBK"/>
          <w:sz w:val="32"/>
          <w:szCs w:val="32"/>
        </w:rPr>
      </w:pPr>
      <w:bookmarkStart w:id="58" w:name="_Toc15396629"/>
      <w:r>
        <w:rPr>
          <w:rFonts w:hint="eastAsia" w:ascii="方正仿宋_GBK" w:hAnsi="方正仿宋_GBK" w:eastAsia="方正仿宋_GBK" w:cs="方正仿宋_GBK"/>
          <w:sz w:val="32"/>
          <w:szCs w:val="32"/>
        </w:rPr>
        <w:t>十一、</w:t>
      </w:r>
      <w:bookmarkEnd w:id="58"/>
      <w:r>
        <w:rPr>
          <w:rFonts w:hint="eastAsia" w:ascii="方正仿宋_GBK" w:hAnsi="方正仿宋_GBK" w:eastAsia="方正仿宋_GBK" w:cs="方正仿宋_GBK"/>
          <w:sz w:val="32"/>
          <w:szCs w:val="32"/>
        </w:rPr>
        <w:t>国有资本经营预算财政拨款收入支出决算表</w:t>
      </w:r>
    </w:p>
    <w:p w14:paraId="42A08864">
      <w:pPr>
        <w:pStyle w:val="15"/>
        <w:adjustRightInd w:val="0"/>
        <w:snapToGrid w:val="0"/>
        <w:spacing w:line="560" w:lineRule="exact"/>
        <w:jc w:val="left"/>
        <w:rPr>
          <w:rFonts w:hint="eastAsia" w:ascii="方正仿宋_GBK" w:hAnsi="方正仿宋_GBK" w:eastAsia="方正仿宋_GBK" w:cs="方正仿宋_GBK"/>
          <w:sz w:val="32"/>
          <w:szCs w:val="32"/>
        </w:rPr>
      </w:pPr>
      <w:bookmarkStart w:id="59" w:name="_Toc15396630"/>
      <w:r>
        <w:rPr>
          <w:rFonts w:hint="eastAsia" w:ascii="方正仿宋_GBK" w:hAnsi="方正仿宋_GBK" w:eastAsia="方正仿宋_GBK" w:cs="方正仿宋_GBK"/>
          <w:sz w:val="32"/>
          <w:szCs w:val="32"/>
        </w:rPr>
        <w:t>十二、</w:t>
      </w:r>
      <w:bookmarkEnd w:id="59"/>
      <w:r>
        <w:rPr>
          <w:rFonts w:hint="eastAsia" w:ascii="方正仿宋_GBK" w:hAnsi="方正仿宋_GBK" w:eastAsia="方正仿宋_GBK" w:cs="方正仿宋_GBK"/>
          <w:sz w:val="32"/>
          <w:szCs w:val="32"/>
        </w:rPr>
        <w:t>国有资本经营预算财政拨款支出决算表</w:t>
      </w:r>
    </w:p>
    <w:p w14:paraId="115A4892">
      <w:pPr>
        <w:pStyle w:val="15"/>
        <w:adjustRightInd w:val="0"/>
        <w:snapToGrid w:val="0"/>
        <w:spacing w:line="560" w:lineRule="exact"/>
        <w:jc w:val="left"/>
        <w:rPr>
          <w:rFonts w:hint="eastAsia" w:ascii="方正仿宋_GBK" w:hAnsi="方正仿宋_GBK" w:eastAsia="方正仿宋_GBK" w:cs="方正仿宋_GBK"/>
          <w:sz w:val="32"/>
          <w:szCs w:val="32"/>
        </w:rPr>
      </w:pPr>
      <w:bookmarkStart w:id="60" w:name="_Toc15396631"/>
      <w:r>
        <w:rPr>
          <w:rFonts w:hint="eastAsia" w:ascii="方正仿宋_GBK" w:hAnsi="方正仿宋_GBK" w:eastAsia="方正仿宋_GBK" w:cs="方正仿宋_GBK"/>
          <w:sz w:val="32"/>
          <w:szCs w:val="32"/>
        </w:rPr>
        <w:t>十三、</w:t>
      </w:r>
      <w:bookmarkEnd w:id="60"/>
      <w:r>
        <w:rPr>
          <w:rFonts w:hint="eastAsia" w:ascii="方正仿宋_GBK" w:hAnsi="方正仿宋_GBK" w:eastAsia="方正仿宋_GBK" w:cs="方正仿宋_GBK"/>
          <w:sz w:val="32"/>
          <w:szCs w:val="32"/>
        </w:rPr>
        <w:t>财政拨款“三公”经费支出决算表</w:t>
      </w:r>
    </w:p>
    <w:p w14:paraId="08C62BAE">
      <w:pPr>
        <w:rPr>
          <w:rFonts w:hint="eastAsia" w:ascii="方正仿宋_GBK" w:hAnsi="方正仿宋_GBK" w:eastAsia="方正仿宋_GBK" w:cs="方正仿宋_GBK"/>
          <w:sz w:val="32"/>
          <w:szCs w:val="32"/>
        </w:rPr>
      </w:pPr>
    </w:p>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穝灿砰">
    <w:altName w:val="仿宋"/>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1C512">
    <w:pPr>
      <w:pStyle w:val="11"/>
      <w:jc w:val="center"/>
    </w:pPr>
  </w:p>
  <w:p w14:paraId="1265BBE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9CCB">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EE78A">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0DEE78A">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722EEE6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33F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056E1">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1056E1">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9EA9">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3A2E2">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913A2E2">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7A7C5A7C">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9B66">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19DFD">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819DF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07F0D">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65A"/>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267"/>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4FC7"/>
    <w:rsid w:val="003E6F55"/>
    <w:rsid w:val="00406254"/>
    <w:rsid w:val="004223DE"/>
    <w:rsid w:val="00434489"/>
    <w:rsid w:val="00437085"/>
    <w:rsid w:val="00443880"/>
    <w:rsid w:val="004464F4"/>
    <w:rsid w:val="00471401"/>
    <w:rsid w:val="00473F31"/>
    <w:rsid w:val="0048263A"/>
    <w:rsid w:val="00486F84"/>
    <w:rsid w:val="00487E5D"/>
    <w:rsid w:val="004920C5"/>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57140"/>
    <w:rsid w:val="0076182A"/>
    <w:rsid w:val="00767B7E"/>
    <w:rsid w:val="007764D8"/>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2B50"/>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9D2"/>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4D2D"/>
    <w:rsid w:val="00955E37"/>
    <w:rsid w:val="0097099F"/>
    <w:rsid w:val="00971997"/>
    <w:rsid w:val="00971FFC"/>
    <w:rsid w:val="0098660A"/>
    <w:rsid w:val="009931C3"/>
    <w:rsid w:val="009B2C43"/>
    <w:rsid w:val="009B4EAE"/>
    <w:rsid w:val="009B7573"/>
    <w:rsid w:val="009C22F4"/>
    <w:rsid w:val="009C2A4B"/>
    <w:rsid w:val="009C2E98"/>
    <w:rsid w:val="009C6823"/>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84758"/>
    <w:rsid w:val="00A91760"/>
    <w:rsid w:val="00A93B00"/>
    <w:rsid w:val="00A93C21"/>
    <w:rsid w:val="00AB64C9"/>
    <w:rsid w:val="00AC3C6A"/>
    <w:rsid w:val="00AD5620"/>
    <w:rsid w:val="00AD656B"/>
    <w:rsid w:val="00AD7C1B"/>
    <w:rsid w:val="00AE16BA"/>
    <w:rsid w:val="00AE1EBE"/>
    <w:rsid w:val="00B02ED5"/>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2539"/>
    <w:rsid w:val="00CB4E70"/>
    <w:rsid w:val="00CC08D5"/>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36CFD"/>
    <w:rsid w:val="00D51276"/>
    <w:rsid w:val="00D7035F"/>
    <w:rsid w:val="00D929DB"/>
    <w:rsid w:val="00DA634F"/>
    <w:rsid w:val="00DA65AC"/>
    <w:rsid w:val="00DB1913"/>
    <w:rsid w:val="00DC410D"/>
    <w:rsid w:val="00DC5A81"/>
    <w:rsid w:val="00DC68CA"/>
    <w:rsid w:val="00DC7CBA"/>
    <w:rsid w:val="00DD2608"/>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0702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651A80"/>
    <w:rsid w:val="04916F1E"/>
    <w:rsid w:val="061E35DE"/>
    <w:rsid w:val="066E0107"/>
    <w:rsid w:val="07996F6E"/>
    <w:rsid w:val="07DFD8BA"/>
    <w:rsid w:val="09867E8F"/>
    <w:rsid w:val="0A2032A3"/>
    <w:rsid w:val="0A9926DB"/>
    <w:rsid w:val="0CA8290A"/>
    <w:rsid w:val="0D35B1ED"/>
    <w:rsid w:val="0E254B6B"/>
    <w:rsid w:val="0F98263C"/>
    <w:rsid w:val="101860EC"/>
    <w:rsid w:val="101F47CC"/>
    <w:rsid w:val="10C055FF"/>
    <w:rsid w:val="11694EBD"/>
    <w:rsid w:val="11772AA4"/>
    <w:rsid w:val="118107EC"/>
    <w:rsid w:val="118E63BE"/>
    <w:rsid w:val="12E24EE2"/>
    <w:rsid w:val="13D50BC4"/>
    <w:rsid w:val="14B17F78"/>
    <w:rsid w:val="16302145"/>
    <w:rsid w:val="165E0673"/>
    <w:rsid w:val="16B831D5"/>
    <w:rsid w:val="16BB723D"/>
    <w:rsid w:val="17E50567"/>
    <w:rsid w:val="186504BB"/>
    <w:rsid w:val="19A445FC"/>
    <w:rsid w:val="1B741977"/>
    <w:rsid w:val="1BE8440E"/>
    <w:rsid w:val="1CC6347C"/>
    <w:rsid w:val="1D155CEE"/>
    <w:rsid w:val="1D1638FE"/>
    <w:rsid w:val="1E312DEB"/>
    <w:rsid w:val="1E740ACF"/>
    <w:rsid w:val="1FF35744"/>
    <w:rsid w:val="1FF6BC77"/>
    <w:rsid w:val="207F1FFA"/>
    <w:rsid w:val="21261B09"/>
    <w:rsid w:val="2186353C"/>
    <w:rsid w:val="23860B96"/>
    <w:rsid w:val="240371BF"/>
    <w:rsid w:val="244F3473"/>
    <w:rsid w:val="24C97D99"/>
    <w:rsid w:val="2548687D"/>
    <w:rsid w:val="25A718F0"/>
    <w:rsid w:val="25BB59F6"/>
    <w:rsid w:val="260F557C"/>
    <w:rsid w:val="26970054"/>
    <w:rsid w:val="281408E2"/>
    <w:rsid w:val="29FD04D3"/>
    <w:rsid w:val="2BFF7BC6"/>
    <w:rsid w:val="2C8A61B5"/>
    <w:rsid w:val="2DF04E50"/>
    <w:rsid w:val="2E586DFA"/>
    <w:rsid w:val="2F040D46"/>
    <w:rsid w:val="2F1A1B3D"/>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918F2"/>
    <w:rsid w:val="389B6C89"/>
    <w:rsid w:val="38D469F0"/>
    <w:rsid w:val="39627CCD"/>
    <w:rsid w:val="397BAF1F"/>
    <w:rsid w:val="3AB79AF3"/>
    <w:rsid w:val="3AE834C0"/>
    <w:rsid w:val="3B7EF35A"/>
    <w:rsid w:val="3B9FDB6C"/>
    <w:rsid w:val="3BF5BC2F"/>
    <w:rsid w:val="3CEBA265"/>
    <w:rsid w:val="3D98207C"/>
    <w:rsid w:val="3DEE7CF3"/>
    <w:rsid w:val="3E740A63"/>
    <w:rsid w:val="3E78745D"/>
    <w:rsid w:val="3EDA1106"/>
    <w:rsid w:val="3EE17838"/>
    <w:rsid w:val="3F55381A"/>
    <w:rsid w:val="3F7F7599"/>
    <w:rsid w:val="3FF4CAE0"/>
    <w:rsid w:val="3FF7B227"/>
    <w:rsid w:val="447147A5"/>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6A671B"/>
    <w:rsid w:val="567E1AA5"/>
    <w:rsid w:val="56E47B74"/>
    <w:rsid w:val="57175D52"/>
    <w:rsid w:val="57BD3DD4"/>
    <w:rsid w:val="5AF92295"/>
    <w:rsid w:val="5B250254"/>
    <w:rsid w:val="5BDD79E6"/>
    <w:rsid w:val="5BF561CA"/>
    <w:rsid w:val="5BFF5DFC"/>
    <w:rsid w:val="5C31180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3A2E94"/>
    <w:rsid w:val="698D0931"/>
    <w:rsid w:val="69B33D95"/>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D76E0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3A7666"/>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link w:val="36"/>
    <w:qFormat/>
    <w:uiPriority w:val="0"/>
    <w:pPr>
      <w:spacing w:line="0" w:lineRule="atLeast"/>
      <w:jc w:val="center"/>
    </w:pPr>
    <w:rPr>
      <w:rFonts w:ascii="Arial" w:hAnsi="Arial" w:eastAsia="穝灿砰"/>
      <w:sz w:val="5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标题 Char"/>
    <w:basedOn w:val="18"/>
    <w:link w:val="16"/>
    <w:qFormat/>
    <w:uiPriority w:val="0"/>
    <w:rPr>
      <w:rFonts w:ascii="Arial" w:hAnsi="Arial" w:eastAsia="穝灿砰" w:cs="Times New Roman"/>
      <w:kern w:val="2"/>
      <w:sz w:val="52"/>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045801526718"/>
          <c:y val="0.0427631578947368"/>
          <c:w val="0.709923664122137"/>
          <c:h val="0.799342105263158"/>
        </c:manualLayout>
      </c:layout>
      <c:barChart>
        <c:barDir val="col"/>
        <c:grouping val="clustered"/>
        <c:varyColors val="0"/>
        <c:ser>
          <c:idx val="1"/>
          <c:order val="0"/>
          <c:tx>
            <c:strRef>
              <c:f>Sheet1!$A$2</c:f>
              <c:strCache>
                <c:ptCount val="1"/>
                <c:pt idx="0">
                  <c:v>收入</c:v>
                </c:pt>
              </c:strCache>
            </c:strRef>
          </c:tx>
          <c:spPr>
            <a:solidFill>
              <a:srgbClr val="993366"/>
            </a:solidFill>
            <a:ln w="12686">
              <a:solidFill>
                <a:srgbClr val="000000"/>
              </a:solidFill>
              <a:prstDash val="solid"/>
            </a:ln>
          </c:spPr>
          <c:invertIfNegative val="0"/>
          <c:dLbls>
            <c:delete val="1"/>
          </c:dLbls>
          <c:cat>
            <c:strRef>
              <c:f>Sheet1!$B$1:$C$1</c:f>
              <c:strCache>
                <c:ptCount val="2"/>
                <c:pt idx="0">
                  <c:v>2023年</c:v>
                </c:pt>
                <c:pt idx="1">
                  <c:v>2024年</c:v>
                </c:pt>
              </c:strCache>
            </c:strRef>
          </c:cat>
          <c:val>
            <c:numRef>
              <c:f>Sheet1!$B$2:$C$2</c:f>
              <c:numCache>
                <c:formatCode>General</c:formatCode>
                <c:ptCount val="2"/>
                <c:pt idx="0">
                  <c:v>6324.8</c:v>
                </c:pt>
                <c:pt idx="1">
                  <c:v>15070.7</c:v>
                </c:pt>
              </c:numCache>
            </c:numRef>
          </c:val>
        </c:ser>
        <c:ser>
          <c:idx val="2"/>
          <c:order val="1"/>
          <c:tx>
            <c:strRef>
              <c:f>Sheet1!$A$3</c:f>
              <c:strCache>
                <c:ptCount val="1"/>
                <c:pt idx="0">
                  <c:v>支出</c:v>
                </c:pt>
              </c:strCache>
            </c:strRef>
          </c:tx>
          <c:spPr>
            <a:solidFill>
              <a:srgbClr val="FFFFCC"/>
            </a:solidFill>
            <a:ln w="12686">
              <a:solidFill>
                <a:srgbClr val="000000"/>
              </a:solidFill>
              <a:prstDash val="solid"/>
            </a:ln>
          </c:spPr>
          <c:invertIfNegative val="0"/>
          <c:dLbls>
            <c:delete val="1"/>
          </c:dLbls>
          <c:cat>
            <c:strRef>
              <c:f>Sheet1!$B$1:$C$1</c:f>
              <c:strCache>
                <c:ptCount val="2"/>
                <c:pt idx="0">
                  <c:v>2023年</c:v>
                </c:pt>
                <c:pt idx="1">
                  <c:v>2024年</c:v>
                </c:pt>
              </c:strCache>
            </c:strRef>
          </c:cat>
          <c:val>
            <c:numRef>
              <c:f>Sheet1!$B$3:$C$3</c:f>
              <c:numCache>
                <c:formatCode>General</c:formatCode>
                <c:ptCount val="2"/>
                <c:pt idx="0">
                  <c:v>6324.8</c:v>
                </c:pt>
                <c:pt idx="1">
                  <c:v>14787.59</c:v>
                </c:pt>
              </c:numCache>
            </c:numRef>
          </c:val>
        </c:ser>
        <c:dLbls>
          <c:showLegendKey val="0"/>
          <c:showVal val="0"/>
          <c:showCatName val="0"/>
          <c:showSerName val="0"/>
          <c:showPercent val="0"/>
          <c:showBubbleSize val="0"/>
        </c:dLbls>
        <c:gapWidth val="150"/>
        <c:axId val="43876352"/>
        <c:axId val="277731520"/>
      </c:barChart>
      <c:catAx>
        <c:axId val="43876352"/>
        <c:scaling>
          <c:orientation val="minMax"/>
        </c:scaling>
        <c:delete val="0"/>
        <c:axPos val="b"/>
        <c:numFmt formatCode="General" sourceLinked="1"/>
        <c:majorTickMark val="in"/>
        <c:minorTickMark val="none"/>
        <c:tickLblPos val="low"/>
        <c:spPr>
          <a:ln w="3172" cap="flat" cmpd="sng" algn="ctr">
            <a:solidFill>
              <a:srgbClr val="000000"/>
            </a:solidFill>
            <a:prstDash val="solid"/>
            <a:round/>
          </a:ln>
        </c:spPr>
        <c:txPr>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77731520"/>
        <c:crosses val="autoZero"/>
        <c:auto val="1"/>
        <c:lblAlgn val="ctr"/>
        <c:lblOffset val="100"/>
        <c:tickLblSkip val="1"/>
        <c:noMultiLvlLbl val="0"/>
      </c:catAx>
      <c:valAx>
        <c:axId val="277731520"/>
        <c:scaling>
          <c:orientation val="minMax"/>
        </c:scaling>
        <c:delete val="0"/>
        <c:axPos val="l"/>
        <c:majorGridlines>
          <c:spPr>
            <a:ln w="3172" cap="flat" cmpd="sng" algn="ctr">
              <a:solidFill>
                <a:srgbClr val="000000"/>
              </a:solidFill>
              <a:prstDash val="solid"/>
              <a:round/>
            </a:ln>
          </c:spPr>
        </c:majorGridlines>
        <c:numFmt formatCode="General" sourceLinked="1"/>
        <c:majorTickMark val="in"/>
        <c:minorTickMark val="none"/>
        <c:tickLblPos val="nextTo"/>
        <c:spPr>
          <a:ln w="3172" cap="flat" cmpd="sng" algn="ctr">
            <a:solidFill>
              <a:srgbClr val="000000"/>
            </a:solidFill>
            <a:prstDash val="solid"/>
            <a:round/>
          </a:ln>
        </c:spPr>
        <c:txPr>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3876352"/>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854961832061069"/>
          <c:y val="0.404605263157895"/>
          <c:w val="0.137404580152672"/>
          <c:h val="0.194078947368421"/>
        </c:manualLayout>
      </c:layout>
      <c:overlay val="0"/>
      <c:spPr>
        <a:noFill/>
        <a:ln w="3172">
          <a:solidFill>
            <a:srgbClr val="000000"/>
          </a:solidFill>
          <a:prstDash val="solid"/>
        </a:ln>
      </c:spPr>
      <c:txPr>
        <a:bodyPr rot="0" spcFirstLastPara="0" vertOverflow="ellipsis" vert="horz" wrap="square" anchor="ctr" anchorCtr="1"/>
        <a:lstStyle/>
        <a:p>
          <a:pPr>
            <a:defRPr lang="zh-CN" sz="138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4b8c9b8f-2f01-4c71-a752-b60f71623ce2}"/>
      </c:ext>
    </c:extLst>
  </c:chart>
  <c:spPr>
    <a:noFill/>
    <a:ln w="9525" cap="flat" cmpd="sng" algn="ctr">
      <a:noFill/>
      <a:prstDash val="solid"/>
      <a:round/>
    </a:ln>
  </c:spPr>
  <c:txPr>
    <a:bodyPr/>
    <a:lstStyle/>
    <a:p>
      <a:pPr>
        <a:defRPr lang="zh-CN" sz="15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600" b="0" i="0" u="none" strike="noStrike" baseline="0">
                <a:solidFill>
                  <a:srgbClr val="000000"/>
                </a:solidFill>
                <a:latin typeface="宋体" panose="02010600030101010101" charset="-122"/>
                <a:ea typeface="宋体" panose="02010600030101010101" charset="-122"/>
              </a:rPr>
              <a:t>图</a:t>
            </a:r>
            <a:r>
              <a:rPr lang="en-US" altLang="zh-CN" sz="1600" b="0" i="0" u="none" strike="noStrike" baseline="0">
                <a:solidFill>
                  <a:srgbClr val="000000"/>
                </a:solidFill>
                <a:latin typeface="宋体" panose="02010600030101010101" charset="-122"/>
                <a:ea typeface="宋体" panose="02010600030101010101" charset="-122"/>
              </a:rPr>
              <a:t>2    </a:t>
            </a:r>
            <a:r>
              <a:rPr lang="zh-CN" altLang="en-US" sz="1600" b="0" i="0" u="none" strike="noStrike" baseline="0">
                <a:solidFill>
                  <a:srgbClr val="000000"/>
                </a:solidFill>
                <a:latin typeface="宋体" panose="02010600030101010101" charset="-122"/>
                <a:ea typeface="宋体" panose="02010600030101010101" charset="-122"/>
              </a:rPr>
              <a:t>收入决算结构图</a:t>
            </a:r>
            <a:endParaRPr lang="zh-CN" altLang="en-US" sz="16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660066"/>
              </a:solidFill>
              <a:ln w="12700">
                <a:solidFill>
                  <a:srgbClr val="000000">
                    <a:alpha val="100000"/>
                  </a:srgbClr>
                </a:solidFill>
                <a:prstDash val="solid"/>
              </a:ln>
              <a:effectLst/>
            </c:spPr>
          </c:dPt>
          <c:dPt>
            <c:idx val="5"/>
            <c:bubble3D val="0"/>
            <c:spPr>
              <a:solidFill>
                <a:srgbClr val="FF8080"/>
              </a:solidFill>
              <a:ln w="12700">
                <a:solidFill>
                  <a:srgbClr val="000000">
                    <a:alpha val="100000"/>
                  </a:srgbClr>
                </a:solidFill>
                <a:prstDash val="solid"/>
              </a:ln>
              <a:effectLst/>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Sheet1!$C$3:$C$8</c:f>
              <c:numCache>
                <c:formatCode>General</c:formatCode>
                <c:ptCount val="6"/>
                <c:pt idx="0">
                  <c:v>8304.32</c:v>
                </c:pt>
                <c:pt idx="1">
                  <c:v>3176.86</c:v>
                </c:pt>
                <c:pt idx="2">
                  <c:v>0</c:v>
                </c:pt>
                <c:pt idx="3">
                  <c:v>0</c:v>
                </c:pt>
                <c:pt idx="4">
                  <c:v>0</c:v>
                </c:pt>
                <c:pt idx="5">
                  <c:v>3589.52</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Sheet1!$D$3:$D$8</c:f>
              <c:numCache>
                <c:formatCode>0.00%</c:formatCode>
                <c:ptCount val="6"/>
                <c:pt idx="0">
                  <c:v>0.551024172732521</c:v>
                </c:pt>
                <c:pt idx="1">
                  <c:v>0.210797109623309</c:v>
                </c:pt>
                <c:pt idx="2">
                  <c:v>0</c:v>
                </c:pt>
                <c:pt idx="3">
                  <c:v>0</c:v>
                </c:pt>
                <c:pt idx="4">
                  <c:v>0</c:v>
                </c:pt>
                <c:pt idx="5">
                  <c:v>0.23817871764417</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9500023927584"/>
          <c:y val="0.235749921841487"/>
          <c:w val="0.334499968710082"/>
          <c:h val="0.664749856406453"/>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dc061283-b313-4799-ab3c-4b0001554e36}"/>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  支出决算结构图</a:t>
            </a:r>
            <a:endParaRPr lang="zh-CN" altLang="en-US" sz="14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Lbls>
            <c:dLbl>
              <c:idx val="0"/>
              <c:layout>
                <c:manualLayout>
                  <c:x val="-0.0861303111169681"/>
                  <c:y val="0.15159581506605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0847821009821471"/>
                  <c:y val="-0.1865189289012"/>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Sheet1!$B$34:$B$35</c:f>
              <c:strCache>
                <c:ptCount val="2"/>
                <c:pt idx="0">
                  <c:v>基本支出</c:v>
                </c:pt>
                <c:pt idx="1">
                  <c:v>项目支出</c:v>
                </c:pt>
              </c:strCache>
            </c:strRef>
          </c:cat>
          <c:val>
            <c:numRef>
              <c:f>Sheet1!$C$34:$C$35</c:f>
              <c:numCache>
                <c:formatCode>General</c:formatCode>
                <c:ptCount val="2"/>
                <c:pt idx="0">
                  <c:v>516.37</c:v>
                </c:pt>
                <c:pt idx="1">
                  <c:v>14554.32</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elete val="1"/>
          </c:dLbls>
          <c:cat>
            <c:strRef>
              <c:f>Sheet1!$B$34:$B$35</c:f>
              <c:strCache>
                <c:ptCount val="2"/>
                <c:pt idx="0">
                  <c:v>基本支出</c:v>
                </c:pt>
                <c:pt idx="1">
                  <c:v>项目支出</c:v>
                </c:pt>
              </c:strCache>
            </c:strRef>
          </c:cat>
          <c:val>
            <c:numRef>
              <c:f>Sheet1!$D$34:$D$35</c:f>
              <c:numCache>
                <c:formatCode>0.00%</c:formatCode>
                <c:ptCount val="2"/>
                <c:pt idx="0">
                  <c:v>0.0342631729116763</c:v>
                </c:pt>
                <c:pt idx="1">
                  <c:v>0.965736163549138</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000040266933"/>
          <c:y val="0.4175000973543"/>
          <c:w val="0.237249988102952"/>
          <c:h val="0.298249959111194"/>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9a5d19e4-0f4e-4d04-aa13-d497e00e2d3e}"/>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045801526718"/>
          <c:y val="0.0427631578947368"/>
          <c:w val="0.709923664122137"/>
          <c:h val="0.799342105263158"/>
        </c:manualLayout>
      </c:layout>
      <c:barChart>
        <c:barDir val="col"/>
        <c:grouping val="clustered"/>
        <c:varyColors val="0"/>
        <c:ser>
          <c:idx val="1"/>
          <c:order val="0"/>
          <c:tx>
            <c:strRef>
              <c:f>Sheet1!$A$2</c:f>
              <c:strCache>
                <c:ptCount val="1"/>
                <c:pt idx="0">
                  <c:v>收入</c:v>
                </c:pt>
              </c:strCache>
            </c:strRef>
          </c:tx>
          <c:spPr>
            <a:solidFill>
              <a:srgbClr val="993366"/>
            </a:solidFill>
            <a:ln w="12686">
              <a:solidFill>
                <a:srgbClr val="000000"/>
              </a:solidFill>
              <a:prstDash val="solid"/>
            </a:ln>
          </c:spPr>
          <c:invertIfNegative val="0"/>
          <c:dLbls>
            <c:delete val="1"/>
          </c:dLbls>
          <c:cat>
            <c:strRef>
              <c:f>Sheet1!$B$1:$C$1</c:f>
              <c:strCache>
                <c:ptCount val="2"/>
                <c:pt idx="0">
                  <c:v>2023年</c:v>
                </c:pt>
                <c:pt idx="1">
                  <c:v>2024年</c:v>
                </c:pt>
              </c:strCache>
            </c:strRef>
          </c:cat>
          <c:val>
            <c:numRef>
              <c:f>Sheet1!$B$2:$C$2</c:f>
              <c:numCache>
                <c:formatCode>General</c:formatCode>
                <c:ptCount val="2"/>
                <c:pt idx="0">
                  <c:v>6324.8</c:v>
                </c:pt>
                <c:pt idx="1">
                  <c:v>15070.7</c:v>
                </c:pt>
              </c:numCache>
            </c:numRef>
          </c:val>
        </c:ser>
        <c:ser>
          <c:idx val="2"/>
          <c:order val="1"/>
          <c:tx>
            <c:strRef>
              <c:f>Sheet1!$A$3</c:f>
              <c:strCache>
                <c:ptCount val="1"/>
                <c:pt idx="0">
                  <c:v>支出</c:v>
                </c:pt>
              </c:strCache>
            </c:strRef>
          </c:tx>
          <c:spPr>
            <a:solidFill>
              <a:srgbClr val="FFFFCC"/>
            </a:solidFill>
            <a:ln w="12686">
              <a:solidFill>
                <a:srgbClr val="000000"/>
              </a:solidFill>
              <a:prstDash val="solid"/>
            </a:ln>
          </c:spPr>
          <c:invertIfNegative val="0"/>
          <c:dLbls>
            <c:delete val="1"/>
          </c:dLbls>
          <c:cat>
            <c:strRef>
              <c:f>Sheet1!$B$1:$C$1</c:f>
              <c:strCache>
                <c:ptCount val="2"/>
                <c:pt idx="0">
                  <c:v>2023年</c:v>
                </c:pt>
                <c:pt idx="1">
                  <c:v>2024年</c:v>
                </c:pt>
              </c:strCache>
            </c:strRef>
          </c:cat>
          <c:val>
            <c:numRef>
              <c:f>Sheet1!$B$3:$C$3</c:f>
              <c:numCache>
                <c:formatCode>General</c:formatCode>
                <c:ptCount val="2"/>
                <c:pt idx="0">
                  <c:v>6324.8</c:v>
                </c:pt>
                <c:pt idx="1">
                  <c:v>14787.59</c:v>
                </c:pt>
              </c:numCache>
            </c:numRef>
          </c:val>
        </c:ser>
        <c:dLbls>
          <c:showLegendKey val="0"/>
          <c:showVal val="0"/>
          <c:showCatName val="0"/>
          <c:showSerName val="0"/>
          <c:showPercent val="0"/>
          <c:showBubbleSize val="0"/>
        </c:dLbls>
        <c:gapWidth val="150"/>
        <c:axId val="43876864"/>
        <c:axId val="277732672"/>
      </c:barChart>
      <c:catAx>
        <c:axId val="43876864"/>
        <c:scaling>
          <c:orientation val="minMax"/>
        </c:scaling>
        <c:delete val="0"/>
        <c:axPos val="b"/>
        <c:numFmt formatCode="General" sourceLinked="1"/>
        <c:majorTickMark val="in"/>
        <c:minorTickMark val="none"/>
        <c:tickLblPos val="low"/>
        <c:spPr>
          <a:ln w="3172" cap="flat" cmpd="sng" algn="ctr">
            <a:solidFill>
              <a:srgbClr val="000000"/>
            </a:solidFill>
            <a:prstDash val="solid"/>
            <a:round/>
          </a:ln>
        </c:spPr>
        <c:txPr>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77732672"/>
        <c:crosses val="autoZero"/>
        <c:auto val="1"/>
        <c:lblAlgn val="ctr"/>
        <c:lblOffset val="100"/>
        <c:tickLblSkip val="1"/>
        <c:noMultiLvlLbl val="0"/>
      </c:catAx>
      <c:valAx>
        <c:axId val="277732672"/>
        <c:scaling>
          <c:orientation val="minMax"/>
        </c:scaling>
        <c:delete val="0"/>
        <c:axPos val="l"/>
        <c:majorGridlines>
          <c:spPr>
            <a:ln w="3172" cap="flat" cmpd="sng" algn="ctr">
              <a:solidFill>
                <a:srgbClr val="000000"/>
              </a:solidFill>
              <a:prstDash val="solid"/>
              <a:round/>
            </a:ln>
          </c:spPr>
        </c:majorGridlines>
        <c:numFmt formatCode="General" sourceLinked="1"/>
        <c:majorTickMark val="in"/>
        <c:minorTickMark val="none"/>
        <c:tickLblPos val="nextTo"/>
        <c:spPr>
          <a:ln w="3172" cap="flat" cmpd="sng" algn="ctr">
            <a:solidFill>
              <a:srgbClr val="000000"/>
            </a:solidFill>
            <a:prstDash val="solid"/>
            <a:round/>
          </a:ln>
        </c:spPr>
        <c:txPr>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3876864"/>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854961832061069"/>
          <c:y val="0.404605263157895"/>
          <c:w val="0.137404580152672"/>
          <c:h val="0.194078947368421"/>
        </c:manualLayout>
      </c:layout>
      <c:overlay val="0"/>
      <c:spPr>
        <a:noFill/>
        <a:ln w="3172">
          <a:solidFill>
            <a:srgbClr val="000000"/>
          </a:solidFill>
          <a:prstDash val="solid"/>
        </a:ln>
      </c:spPr>
      <c:txPr>
        <a:bodyPr rot="0" spcFirstLastPara="0" vertOverflow="ellipsis" vert="horz" wrap="square" anchor="ctr" anchorCtr="1"/>
        <a:lstStyle/>
        <a:p>
          <a:pPr>
            <a:defRPr lang="zh-CN" sz="138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434b625e-ab7e-40f2-ae50-72b6f19e8880}"/>
      </c:ext>
    </c:extLst>
  </c:chart>
  <c:spPr>
    <a:noFill/>
    <a:ln w="9525" cap="flat" cmpd="sng" algn="ctr">
      <a:noFill/>
      <a:prstDash val="solid"/>
      <a:round/>
    </a:ln>
  </c:spPr>
  <c:txPr>
    <a:bodyPr/>
    <a:lstStyle/>
    <a:p>
      <a:pPr>
        <a:defRPr lang="zh-CN" sz="15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Sheet1!$B$81:$C$81</c:f>
              <c:strCache>
                <c:ptCount val="2"/>
                <c:pt idx="0">
                  <c:v>2023年</c:v>
                </c:pt>
                <c:pt idx="1">
                  <c:v>2024年</c:v>
                </c:pt>
              </c:strCache>
            </c:strRef>
          </c:cat>
          <c:val>
            <c:numRef>
              <c:f>Sheet1!$B$82:$C$82</c:f>
              <c:numCache>
                <c:formatCode>General</c:formatCode>
                <c:ptCount val="2"/>
                <c:pt idx="0">
                  <c:v>6324.8</c:v>
                </c:pt>
                <c:pt idx="1">
                  <c:v>8304.32</c:v>
                </c:pt>
              </c:numCache>
            </c:numRef>
          </c:val>
        </c:ser>
        <c:dLbls>
          <c:showLegendKey val="0"/>
          <c:showVal val="0"/>
          <c:showCatName val="0"/>
          <c:showSerName val="0"/>
          <c:showPercent val="0"/>
          <c:showBubbleSize val="0"/>
        </c:dLbls>
        <c:gapWidth val="150"/>
        <c:axId val="134529536"/>
        <c:axId val="134696896"/>
      </c:barChart>
      <c:catAx>
        <c:axId val="13452953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34696896"/>
        <c:crosses val="autoZero"/>
        <c:auto val="1"/>
        <c:lblAlgn val="ctr"/>
        <c:lblOffset val="100"/>
        <c:noMultiLvlLbl val="0"/>
      </c:catAx>
      <c:valAx>
        <c:axId val="134696896"/>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34529536"/>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78749986038979"/>
          <c:y val="0.505750039035489"/>
          <c:w val="0.315249976731632"/>
          <c:h val="0.0597500241648264"/>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7be76573-127a-4a4e-af44-1ebf99b0d2d1}"/>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delete val="1"/>
          </c:dLbls>
          <c:cat>
            <c:strRef>
              <c:f>Sheet1!$A$2:$A$10</c:f>
              <c:strCache>
                <c:ptCount val="9"/>
                <c:pt idx="0">
                  <c:v>一般公共服务支出</c:v>
                </c:pt>
                <c:pt idx="1">
                  <c:v>社会保障和就业支出</c:v>
                </c:pt>
                <c:pt idx="2">
                  <c:v>卫生健康支出</c:v>
                </c:pt>
                <c:pt idx="3">
                  <c:v>住房保障支出</c:v>
                </c:pt>
                <c:pt idx="4">
                  <c:v>农林水支出</c:v>
                </c:pt>
                <c:pt idx="5">
                  <c:v>交通运输支出</c:v>
                </c:pt>
              </c:strCache>
            </c:strRef>
          </c:cat>
          <c:val>
            <c:numRef>
              <c:f>Sheet1!$B$2:$B$10</c:f>
              <c:numCache>
                <c:formatCode>General</c:formatCode>
                <c:ptCount val="9"/>
                <c:pt idx="0">
                  <c:v>2</c:v>
                </c:pt>
                <c:pt idx="1">
                  <c:v>161.52</c:v>
                </c:pt>
                <c:pt idx="2">
                  <c:v>31.91</c:v>
                </c:pt>
                <c:pt idx="3">
                  <c:v>28.47</c:v>
                </c:pt>
                <c:pt idx="4">
                  <c:v>2</c:v>
                </c:pt>
                <c:pt idx="5">
                  <c:v>8078.42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a28b11-9cfe-41c0-9267-5ac4286b09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333333"/>
                </a:solidFill>
                <a:latin typeface="Arial" panose="020B0604020202020204" pitchFamily="2"/>
                <a:cs typeface="Arial" panose="020B0604020202020204" pitchFamily="2"/>
              </a:rPr>
              <a:t>7</a:t>
            </a:r>
            <a:r>
              <a:rPr lang="en-US" altLang="zh-CN" sz="1400" b="0" i="0" u="none" strike="noStrike" baseline="0">
                <a:solidFill>
                  <a:srgbClr val="000000"/>
                </a:solidFill>
                <a:latin typeface="宋体" panose="02010600030101010101" charset="-122"/>
                <a:ea typeface="宋体" panose="02010600030101010101" charset="-122"/>
              </a:rPr>
              <a:t>  “</a:t>
            </a:r>
            <a:r>
              <a:rPr lang="zh-CN" altLang="en-US" sz="1400" b="0" i="0" u="none" strike="noStrike" baseline="0">
                <a:solidFill>
                  <a:srgbClr val="000000"/>
                </a:solidFill>
                <a:latin typeface="宋体" panose="02010600030101010101" charset="-122"/>
                <a:ea typeface="宋体" panose="02010600030101010101" charset="-122"/>
              </a:rPr>
              <a:t>三公”经费财政拨款支出结构</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00549429349214"/>
          <c:y val="0.0514004309018159"/>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177598430633458"/>
                  <c:y val="0.482439041072467"/>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96845653744281"/>
                  <c:y val="0.1137102014295"/>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153701902239345"/>
                  <c:y val="0.3723011068933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Sheet1!$B$135:$B$137</c:f>
              <c:strCache>
                <c:ptCount val="3"/>
                <c:pt idx="0">
                  <c:v>因公出国（境）费支出</c:v>
                </c:pt>
                <c:pt idx="1">
                  <c:v>公务用车购置及运行维护费支出</c:v>
                </c:pt>
                <c:pt idx="2">
                  <c:v>公务接待费支出</c:v>
                </c:pt>
              </c:strCache>
            </c:strRef>
          </c:cat>
          <c:val>
            <c:numRef>
              <c:f>Sheet1!$C$135:$C$137</c:f>
              <c:numCache>
                <c:formatCode>General</c:formatCode>
                <c:ptCount val="3"/>
                <c:pt idx="0">
                  <c:v>0</c:v>
                </c:pt>
                <c:pt idx="1">
                  <c:v>0</c:v>
                </c:pt>
                <c:pt idx="2">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elete val="1"/>
          </c:dLbls>
          <c:cat>
            <c:strRef>
              <c:f>Sheet1!$B$135:$B$137</c:f>
              <c:strCache>
                <c:ptCount val="3"/>
                <c:pt idx="0">
                  <c:v>因公出国（境）费支出</c:v>
                </c:pt>
                <c:pt idx="1">
                  <c:v>公务用车购置及运行维护费支出</c:v>
                </c:pt>
                <c:pt idx="2">
                  <c:v>公务接待费支出</c:v>
                </c:pt>
              </c:strCache>
            </c:strRef>
          </c:cat>
          <c:val>
            <c:numRef>
              <c:f>Sheet1!$D$135:$D$137</c:f>
              <c:numCache>
                <c:formatCode>General</c:formatCode>
                <c:ptCount val="3"/>
                <c:pt idx="0">
                  <c:v>0</c:v>
                </c:pt>
                <c:pt idx="1" c:formatCode="0%">
                  <c:v>0</c:v>
                </c:pt>
                <c:pt idx="2" c:formatCode="0%">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5499935706884"/>
          <c:y val="0.400499923659127"/>
          <c:w val="0.338499928142988"/>
          <c:h val="0.332500127234788"/>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de9f33c1-28f5-4778-ba97-0288fdad00bf}"/>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1607</Words>
  <Characters>1765</Characters>
  <Lines>9</Lines>
  <Paragraphs>15</Paragraphs>
  <TotalTime>6</TotalTime>
  <ScaleCrop>false</ScaleCrop>
  <LinksUpToDate>false</LinksUpToDate>
  <CharactersWithSpaces>1784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好好</cp:lastModifiedBy>
  <cp:lastPrinted>2025-10-10T03:06:00Z</cp:lastPrinted>
  <dcterms:modified xsi:type="dcterms:W3CDTF">2025-10-28T06:23:15Z</dcterms:modified>
  <dc:title>四川省***</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2217B6E3AA7A48ED9C1FC2231E3B53B9_13</vt:lpwstr>
  </property>
  <property fmtid="{D5CDD505-2E9C-101B-9397-08002B2CF9AE}" pid="4" name="KSOTemplateDocerSaveRecord">
    <vt:lpwstr>eyJoZGlkIjoiOGI4NjI5OTBmMDM1ODFlMDkzNDFlZTFiMWNhZWU5ZTMiLCJ1c2VySWQiOiI1ODU3MjA0MDYifQ==</vt:lpwstr>
  </property>
</Properties>
</file>