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57977">
      <w:pPr>
        <w:pStyle w:val="5"/>
        <w:spacing w:before="93"/>
        <w:rPr>
          <w:rFonts w:ascii="Times New Roman" w:eastAsia="方正小标宋简体"/>
          <w:kern w:val="2"/>
          <w:sz w:val="72"/>
          <w:szCs w:val="72"/>
        </w:rPr>
      </w:pPr>
      <w:bookmarkStart w:id="0" w:name="_Toc15377425"/>
      <w:bookmarkStart w:id="1" w:name="_Toc15378441"/>
      <w:bookmarkStart w:id="2" w:name="_Toc15396597"/>
      <w:bookmarkStart w:id="3" w:name="_Toc15396475"/>
      <w:bookmarkStart w:id="4" w:name="_Toc15377193"/>
      <w:bookmarkStart w:id="5" w:name="_Toc15306267"/>
    </w:p>
    <w:p w14:paraId="1D4DF359">
      <w:pPr>
        <w:pStyle w:val="5"/>
        <w:spacing w:before="93"/>
        <w:rPr>
          <w:rFonts w:ascii="Times New Roman" w:eastAsia="方正小标宋简体"/>
          <w:kern w:val="2"/>
          <w:sz w:val="72"/>
          <w:szCs w:val="72"/>
        </w:rPr>
      </w:pPr>
    </w:p>
    <w:p w14:paraId="204FCE56">
      <w:pPr>
        <w:pStyle w:val="5"/>
        <w:spacing w:before="93"/>
        <w:rPr>
          <w:rFonts w:ascii="Times New Roman" w:eastAsia="方正小标宋简体"/>
          <w:kern w:val="2"/>
          <w:sz w:val="72"/>
          <w:szCs w:val="72"/>
        </w:rPr>
      </w:pPr>
    </w:p>
    <w:p w14:paraId="710B7F65">
      <w:pPr>
        <w:pStyle w:val="5"/>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0FC67810">
      <w:pPr>
        <w:pStyle w:val="5"/>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盐边县交通运输局部门决算公开编制说明</w:t>
      </w:r>
    </w:p>
    <w:p w14:paraId="06F4256A">
      <w:pPr>
        <w:spacing w:line="600" w:lineRule="exact"/>
        <w:jc w:val="center"/>
        <w:outlineLvl w:val="0"/>
        <w:rPr>
          <w:rFonts w:eastAsia="方正小标宋简体"/>
          <w:sz w:val="72"/>
          <w:szCs w:val="72"/>
        </w:rPr>
      </w:pPr>
    </w:p>
    <w:p w14:paraId="3F4731CD">
      <w:pPr>
        <w:pStyle w:val="20"/>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00ED9564"/>
    <w:bookmarkEnd w:id="0"/>
    <w:bookmarkEnd w:id="1"/>
    <w:bookmarkEnd w:id="2"/>
    <w:bookmarkEnd w:id="3"/>
    <w:bookmarkEnd w:id="4"/>
    <w:bookmarkEnd w:id="5"/>
    <w:p w14:paraId="7A293F30">
      <w:pPr>
        <w:widowControl/>
        <w:jc w:val="center"/>
        <w:rPr>
          <w:rFonts w:eastAsia="黑体"/>
          <w:sz w:val="48"/>
          <w:szCs w:val="48"/>
        </w:rPr>
      </w:pPr>
      <w:r>
        <w:rPr>
          <w:rFonts w:hint="eastAsia" w:eastAsia="黑体"/>
          <w:sz w:val="48"/>
          <w:szCs w:val="48"/>
        </w:rPr>
        <w:t>目录</w:t>
      </w:r>
    </w:p>
    <w:p w14:paraId="1D9F2A0C">
      <w:pPr>
        <w:widowControl/>
        <w:jc w:val="center"/>
        <w:rPr>
          <w:rFonts w:eastAsia="黑体" w:cstheme="minorBidi"/>
          <w:sz w:val="28"/>
          <w:szCs w:val="28"/>
        </w:rPr>
      </w:pPr>
    </w:p>
    <w:p w14:paraId="25E99043">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 10 月 28 日</w:t>
      </w:r>
    </w:p>
    <w:p w14:paraId="599BDC98"/>
    <w:p w14:paraId="38558A36">
      <w:pPr>
        <w:pStyle w:val="12"/>
        <w:adjustRightInd w:val="0"/>
        <w:snapToGrid w:val="0"/>
        <w:spacing w:before="0" w:line="560" w:lineRule="exact"/>
        <w:jc w:val="left"/>
        <w:rPr>
          <w:rFonts w:hint="eastAsia" w:ascii="Times New Roman" w:hAnsi="Times New Roman" w:eastAsia="黑体" w:cs="黑体"/>
          <w:sz w:val="32"/>
          <w:szCs w:val="32"/>
          <w:lang w:eastAsia="zh-CN"/>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lang w:val="en-US" w:eastAsia="zh-CN"/>
        </w:rPr>
        <w:t>1</w:t>
      </w:r>
      <w:r>
        <w:rPr>
          <w:rFonts w:hint="eastAsia" w:ascii="Times New Roman" w:hAnsi="Times New Roman" w:eastAsia="黑体" w:cs="黑体"/>
          <w:sz w:val="32"/>
          <w:szCs w:val="32"/>
          <w:lang w:eastAsia="zh-CN"/>
        </w:rPr>
        <w:t>）</w:t>
      </w:r>
    </w:p>
    <w:p w14:paraId="0846789C">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一、部门职责</w:t>
      </w:r>
      <w:r>
        <w:rPr>
          <w:rFonts w:hint="eastAsia" w:eastAsia="仿宋_GB2312" w:cs="仿宋_GB2312"/>
          <w:sz w:val="32"/>
          <w:szCs w:val="32"/>
          <w:lang w:eastAsia="zh-CN"/>
        </w:rPr>
        <w:t>……………………………………………（</w:t>
      </w:r>
      <w:r>
        <w:rPr>
          <w:rFonts w:hint="eastAsia" w:eastAsia="仿宋_GB2312" w:cs="仿宋_GB2312"/>
          <w:sz w:val="32"/>
          <w:szCs w:val="32"/>
          <w:lang w:val="en-US" w:eastAsia="zh-CN"/>
        </w:rPr>
        <w:t>1</w:t>
      </w:r>
      <w:r>
        <w:rPr>
          <w:rFonts w:hint="eastAsia" w:eastAsia="仿宋_GB2312" w:cs="仿宋_GB2312"/>
          <w:sz w:val="32"/>
          <w:szCs w:val="32"/>
          <w:lang w:eastAsia="zh-CN"/>
        </w:rPr>
        <w:t>）</w:t>
      </w:r>
    </w:p>
    <w:p w14:paraId="60CA6E1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hint="eastAsia" w:eastAsia="仿宋_GB2312" w:cs="仿宋_GB2312"/>
          <w:sz w:val="32"/>
          <w:szCs w:val="32"/>
          <w:lang w:eastAsia="zh-CN"/>
        </w:rPr>
        <w:t>……………………………………………（</w:t>
      </w:r>
      <w:r>
        <w:rPr>
          <w:rFonts w:hint="eastAsia" w:eastAsia="仿宋_GB2312" w:cs="仿宋_GB2312"/>
          <w:sz w:val="32"/>
          <w:szCs w:val="32"/>
          <w:lang w:val="en-US" w:eastAsia="zh-CN"/>
        </w:rPr>
        <w:t>1</w:t>
      </w:r>
      <w:r>
        <w:rPr>
          <w:rFonts w:hint="eastAsia" w:eastAsia="仿宋_GB2312" w:cs="仿宋_GB2312"/>
          <w:sz w:val="32"/>
          <w:szCs w:val="32"/>
          <w:lang w:eastAsia="zh-CN"/>
        </w:rPr>
        <w:t>）</w:t>
      </w:r>
    </w:p>
    <w:p w14:paraId="466E7723">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r>
        <w:rPr>
          <w:rFonts w:hint="eastAsia" w:eastAsia="仿宋_GB2312" w:cs="仿宋_GB2312"/>
          <w:sz w:val="32"/>
          <w:szCs w:val="32"/>
          <w:lang w:eastAsia="zh-CN"/>
        </w:rPr>
        <w:t>……………………（</w:t>
      </w:r>
      <w:r>
        <w:rPr>
          <w:rFonts w:hint="eastAsia" w:eastAsia="仿宋_GB2312" w:cs="仿宋_GB2312"/>
          <w:sz w:val="32"/>
          <w:szCs w:val="32"/>
          <w:lang w:val="en-US" w:eastAsia="zh-CN"/>
        </w:rPr>
        <w:t>2</w:t>
      </w:r>
      <w:r>
        <w:rPr>
          <w:rFonts w:hint="eastAsia" w:eastAsia="仿宋_GB2312" w:cs="仿宋_GB2312"/>
          <w:sz w:val="32"/>
          <w:szCs w:val="32"/>
          <w:lang w:eastAsia="zh-CN"/>
        </w:rPr>
        <w:t>）</w:t>
      </w:r>
    </w:p>
    <w:p w14:paraId="06A540B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eastAsia="仿宋_GB2312" w:cs="仿宋_GB2312"/>
          <w:sz w:val="32"/>
          <w:szCs w:val="32"/>
          <w:lang w:eastAsia="zh-CN"/>
        </w:rPr>
        <w:t>………………………（</w:t>
      </w:r>
      <w:r>
        <w:rPr>
          <w:rFonts w:hint="eastAsia" w:eastAsia="仿宋_GB2312" w:cs="仿宋_GB2312"/>
          <w:sz w:val="32"/>
          <w:szCs w:val="32"/>
          <w:lang w:val="en-US" w:eastAsia="zh-CN"/>
        </w:rPr>
        <w:t>2</w:t>
      </w:r>
      <w:r>
        <w:rPr>
          <w:rFonts w:hint="eastAsia" w:eastAsia="仿宋_GB2312" w:cs="仿宋_GB2312"/>
          <w:sz w:val="32"/>
          <w:szCs w:val="32"/>
          <w:lang w:eastAsia="zh-CN"/>
        </w:rPr>
        <w:t>）</w:t>
      </w:r>
    </w:p>
    <w:p w14:paraId="1AE2CDC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仿宋_GB2312" w:cs="仿宋_GB2312"/>
          <w:sz w:val="32"/>
          <w:szCs w:val="32"/>
          <w:lang w:eastAsia="zh-CN"/>
        </w:rPr>
        <w:t>…………………………………（</w:t>
      </w:r>
      <w:r>
        <w:rPr>
          <w:rFonts w:hint="eastAsia" w:eastAsia="仿宋_GB2312" w:cs="仿宋_GB2312"/>
          <w:sz w:val="32"/>
          <w:szCs w:val="32"/>
          <w:lang w:val="en-US" w:eastAsia="zh-CN"/>
        </w:rPr>
        <w:t>2</w:t>
      </w:r>
      <w:r>
        <w:rPr>
          <w:rFonts w:hint="eastAsia" w:eastAsia="仿宋_GB2312" w:cs="仿宋_GB2312"/>
          <w:sz w:val="32"/>
          <w:szCs w:val="32"/>
          <w:lang w:eastAsia="zh-CN"/>
        </w:rPr>
        <w:t>）</w:t>
      </w:r>
    </w:p>
    <w:p w14:paraId="4850BD9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eastAsia="仿宋_GB2312" w:cs="仿宋_GB2312"/>
          <w:sz w:val="32"/>
          <w:szCs w:val="32"/>
          <w:lang w:eastAsia="zh-CN"/>
        </w:rPr>
        <w:t>…………………………………（</w:t>
      </w:r>
      <w:r>
        <w:rPr>
          <w:rFonts w:hint="eastAsia" w:eastAsia="仿宋_GB2312" w:cs="仿宋_GB2312"/>
          <w:sz w:val="32"/>
          <w:szCs w:val="32"/>
          <w:lang w:val="en-US" w:eastAsia="zh-CN"/>
        </w:rPr>
        <w:t>3</w:t>
      </w:r>
      <w:r>
        <w:rPr>
          <w:rFonts w:hint="eastAsia" w:eastAsia="仿宋_GB2312" w:cs="仿宋_GB2312"/>
          <w:sz w:val="32"/>
          <w:szCs w:val="32"/>
          <w:lang w:eastAsia="zh-CN"/>
        </w:rPr>
        <w:t>）</w:t>
      </w:r>
    </w:p>
    <w:p w14:paraId="711ED1A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hint="eastAsia" w:eastAsia="仿宋_GB2312" w:cs="仿宋_GB2312"/>
          <w:sz w:val="32"/>
          <w:szCs w:val="32"/>
          <w:lang w:eastAsia="zh-CN"/>
        </w:rPr>
        <w:t>……………（</w:t>
      </w:r>
      <w:r>
        <w:rPr>
          <w:rFonts w:hint="eastAsia" w:eastAsia="仿宋_GB2312" w:cs="仿宋_GB2312"/>
          <w:sz w:val="32"/>
          <w:szCs w:val="32"/>
          <w:lang w:val="en-US" w:eastAsia="zh-CN"/>
        </w:rPr>
        <w:t>4</w:t>
      </w:r>
      <w:r>
        <w:rPr>
          <w:rFonts w:hint="eastAsia" w:eastAsia="仿宋_GB2312" w:cs="仿宋_GB2312"/>
          <w:sz w:val="32"/>
          <w:szCs w:val="32"/>
          <w:lang w:eastAsia="zh-CN"/>
        </w:rPr>
        <w:t>）</w:t>
      </w:r>
    </w:p>
    <w:p w14:paraId="4BF1FD4C">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仿宋_GB2312" w:cs="仿宋_GB2312"/>
          <w:sz w:val="32"/>
          <w:szCs w:val="32"/>
          <w:lang w:eastAsia="zh-CN"/>
        </w:rPr>
        <w:t>………（</w:t>
      </w:r>
      <w:r>
        <w:rPr>
          <w:rFonts w:hint="eastAsia" w:eastAsia="仿宋_GB2312" w:cs="仿宋_GB2312"/>
          <w:sz w:val="32"/>
          <w:szCs w:val="32"/>
          <w:lang w:val="en-US" w:eastAsia="zh-CN"/>
        </w:rPr>
        <w:t>4</w:t>
      </w:r>
      <w:r>
        <w:rPr>
          <w:rFonts w:hint="eastAsia" w:eastAsia="仿宋_GB2312" w:cs="仿宋_GB2312"/>
          <w:sz w:val="32"/>
          <w:szCs w:val="32"/>
          <w:lang w:eastAsia="zh-CN"/>
        </w:rPr>
        <w:t>）</w:t>
      </w:r>
    </w:p>
    <w:p w14:paraId="22F37A11">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eastAsia="zh-CN"/>
        </w:rPr>
        <w:t>…（</w:t>
      </w:r>
      <w:r>
        <w:rPr>
          <w:rFonts w:hint="eastAsia" w:eastAsia="仿宋_GB2312" w:cs="仿宋_GB2312"/>
          <w:sz w:val="32"/>
          <w:szCs w:val="32"/>
          <w:lang w:val="en-US" w:eastAsia="zh-CN"/>
        </w:rPr>
        <w:t>9</w:t>
      </w:r>
      <w:r>
        <w:rPr>
          <w:rFonts w:hint="eastAsia" w:eastAsia="仿宋_GB2312" w:cs="仿宋_GB2312"/>
          <w:sz w:val="32"/>
          <w:szCs w:val="32"/>
          <w:lang w:eastAsia="zh-CN"/>
        </w:rPr>
        <w:t>）</w:t>
      </w:r>
    </w:p>
    <w:p w14:paraId="674BBBBD">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eastAsia="仿宋_GB2312" w:cs="仿宋_GB2312"/>
          <w:sz w:val="32"/>
          <w:szCs w:val="32"/>
          <w:lang w:eastAsia="zh-CN"/>
        </w:rPr>
        <w:t>………（</w:t>
      </w:r>
      <w:r>
        <w:rPr>
          <w:rFonts w:hint="eastAsia" w:eastAsia="仿宋_GB2312" w:cs="仿宋_GB2312"/>
          <w:sz w:val="32"/>
          <w:szCs w:val="32"/>
          <w:lang w:val="en-US" w:eastAsia="zh-CN"/>
        </w:rPr>
        <w:t>9</w:t>
      </w:r>
      <w:r>
        <w:rPr>
          <w:rFonts w:hint="eastAsia" w:eastAsia="仿宋_GB2312" w:cs="仿宋_GB2312"/>
          <w:sz w:val="32"/>
          <w:szCs w:val="32"/>
          <w:lang w:eastAsia="zh-CN"/>
        </w:rPr>
        <w:t>）</w:t>
      </w:r>
    </w:p>
    <w:p w14:paraId="6CF4601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eastAsia="仿宋_GB2312" w:cs="仿宋_GB2312"/>
          <w:sz w:val="32"/>
          <w:szCs w:val="32"/>
          <w:lang w:eastAsia="zh-CN"/>
        </w:rPr>
        <w:t>……………（</w:t>
      </w:r>
      <w:r>
        <w:rPr>
          <w:rFonts w:hint="eastAsia" w:eastAsia="仿宋_GB2312" w:cs="仿宋_GB2312"/>
          <w:sz w:val="32"/>
          <w:szCs w:val="32"/>
          <w:lang w:val="en-US" w:eastAsia="zh-CN"/>
        </w:rPr>
        <w:t>11</w:t>
      </w:r>
      <w:r>
        <w:rPr>
          <w:rFonts w:hint="eastAsia" w:eastAsia="仿宋_GB2312" w:cs="仿宋_GB2312"/>
          <w:sz w:val="32"/>
          <w:szCs w:val="32"/>
          <w:lang w:eastAsia="zh-CN"/>
        </w:rPr>
        <w:t>）</w:t>
      </w:r>
    </w:p>
    <w:p w14:paraId="32F74DE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eastAsia="仿宋_GB2312" w:cs="仿宋_GB2312"/>
          <w:sz w:val="32"/>
          <w:szCs w:val="32"/>
          <w:lang w:eastAsia="zh-CN"/>
        </w:rPr>
        <w:t>…………（</w:t>
      </w:r>
      <w:r>
        <w:rPr>
          <w:rFonts w:hint="eastAsia" w:eastAsia="仿宋_GB2312" w:cs="仿宋_GB2312"/>
          <w:sz w:val="32"/>
          <w:szCs w:val="32"/>
          <w:lang w:val="en-US" w:eastAsia="zh-CN"/>
        </w:rPr>
        <w:t>11</w:t>
      </w:r>
      <w:r>
        <w:rPr>
          <w:rFonts w:hint="eastAsia" w:eastAsia="仿宋_GB2312" w:cs="仿宋_GB2312"/>
          <w:sz w:val="32"/>
          <w:szCs w:val="32"/>
          <w:lang w:eastAsia="zh-CN"/>
        </w:rPr>
        <w:t>）</w:t>
      </w:r>
    </w:p>
    <w:p w14:paraId="23A320E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十、其他重要事项的情况说明</w:t>
      </w:r>
      <w:r>
        <w:rPr>
          <w:rFonts w:hint="eastAsia" w:eastAsia="仿宋_GB2312" w:cs="仿宋_GB2312"/>
          <w:sz w:val="32"/>
          <w:szCs w:val="32"/>
          <w:lang w:eastAsia="zh-CN"/>
        </w:rPr>
        <w:t>………………………（</w:t>
      </w:r>
      <w:r>
        <w:rPr>
          <w:rFonts w:hint="eastAsia" w:eastAsia="仿宋_GB2312" w:cs="仿宋_GB2312"/>
          <w:sz w:val="32"/>
          <w:szCs w:val="32"/>
          <w:lang w:val="en-US" w:eastAsia="zh-CN"/>
        </w:rPr>
        <w:t>11</w:t>
      </w:r>
      <w:r>
        <w:rPr>
          <w:rFonts w:hint="eastAsia" w:eastAsia="仿宋_GB2312" w:cs="仿宋_GB2312"/>
          <w:sz w:val="32"/>
          <w:szCs w:val="32"/>
          <w:lang w:eastAsia="zh-CN"/>
        </w:rPr>
        <w:t>）</w:t>
      </w:r>
    </w:p>
    <w:p w14:paraId="11A775E0">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第三部分 名词解释</w:t>
      </w:r>
      <w:r>
        <w:rPr>
          <w:rFonts w:hint="eastAsia" w:eastAsia="仿宋_GB2312" w:cs="仿宋_GB2312"/>
          <w:sz w:val="32"/>
          <w:szCs w:val="32"/>
          <w:lang w:eastAsia="zh-CN"/>
        </w:rPr>
        <w:t>………………………………………（</w:t>
      </w:r>
      <w:r>
        <w:rPr>
          <w:rFonts w:hint="eastAsia" w:eastAsia="仿宋_GB2312" w:cs="仿宋_GB2312"/>
          <w:sz w:val="32"/>
          <w:szCs w:val="32"/>
          <w:lang w:val="en-US" w:eastAsia="zh-CN"/>
        </w:rPr>
        <w:t>15</w:t>
      </w:r>
      <w:r>
        <w:rPr>
          <w:rFonts w:hint="eastAsia" w:eastAsia="仿宋_GB2312" w:cs="仿宋_GB2312"/>
          <w:sz w:val="32"/>
          <w:szCs w:val="32"/>
          <w:lang w:eastAsia="zh-CN"/>
        </w:rPr>
        <w:t>）</w:t>
      </w:r>
    </w:p>
    <w:p w14:paraId="7377160F">
      <w:pPr>
        <w:pStyle w:val="12"/>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lang w:val="en-US" w:eastAsia="zh-CN"/>
        </w:rPr>
        <w:t>(20)</w:t>
      </w:r>
    </w:p>
    <w:p w14:paraId="1CBD9657">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第五部分 附表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p>
    <w:p w14:paraId="23900C7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p>
    <w:p w14:paraId="5B8E39B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p>
    <w:p w14:paraId="29B8D34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p>
    <w:p w14:paraId="23DF53D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p>
    <w:p w14:paraId="519C4A5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p>
    <w:p w14:paraId="3349267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p>
    <w:p w14:paraId="2558628B">
      <w:pPr>
        <w:pStyle w:val="14"/>
        <w:adjustRightInd w:val="0"/>
        <w:snapToGrid w:val="0"/>
        <w:spacing w:line="560" w:lineRule="exact"/>
        <w:ind w:left="638" w:leftChars="304" w:firstLine="0" w:firstLineChars="0"/>
        <w:jc w:val="left"/>
        <w:rPr>
          <w:rFonts w:eastAsia="仿宋_GB2312" w:cs="仿宋_GB2312"/>
          <w:sz w:val="32"/>
          <w:szCs w:val="32"/>
        </w:rPr>
      </w:pPr>
      <w:r>
        <w:rPr>
          <w:rFonts w:hint="eastAsia" w:eastAsia="仿宋_GB2312" w:cs="仿宋_GB2312"/>
          <w:sz w:val="32"/>
          <w:szCs w:val="32"/>
        </w:rPr>
        <w:t>七、一般公共预算财政拨款支出决算明细表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r>
        <w:rPr>
          <w:rFonts w:hint="eastAsia" w:eastAsia="仿宋_GB2312" w:cs="仿宋_GB2312"/>
          <w:sz w:val="32"/>
          <w:szCs w:val="32"/>
        </w:rPr>
        <w:t>八、一般公共预算财政拨款基本支出决算明细表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p>
    <w:p w14:paraId="5EE2BF0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p>
    <w:p w14:paraId="04AD723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p>
    <w:p w14:paraId="15F61DB3">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p>
    <w:p w14:paraId="15D977B2">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p>
    <w:p w14:paraId="79BCC94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rFonts w:hint="eastAsia" w:eastAsia="仿宋_GB2312" w:cs="仿宋_GB2312"/>
          <w:sz w:val="32"/>
          <w:szCs w:val="32"/>
          <w:lang w:eastAsia="zh-CN"/>
        </w:rPr>
        <w:t>……………（</w:t>
      </w:r>
      <w:r>
        <w:rPr>
          <w:rFonts w:hint="eastAsia" w:eastAsia="仿宋_GB2312" w:cs="仿宋_GB2312"/>
          <w:sz w:val="32"/>
          <w:szCs w:val="32"/>
          <w:lang w:val="en-US" w:eastAsia="zh-CN"/>
        </w:rPr>
        <w:t>52</w:t>
      </w:r>
      <w:r>
        <w:rPr>
          <w:rFonts w:hint="eastAsia" w:eastAsia="仿宋_GB2312" w:cs="仿宋_GB2312"/>
          <w:sz w:val="32"/>
          <w:szCs w:val="32"/>
          <w:lang w:eastAsia="zh-CN"/>
        </w:rPr>
        <w:t>）</w:t>
      </w:r>
    </w:p>
    <w:p w14:paraId="57C152F0">
      <w:pPr>
        <w:pStyle w:val="2"/>
        <w:jc w:val="center"/>
        <w:rPr>
          <w:rFonts w:hint="eastAsia" w:eastAsia="方正小标宋简体" w:cs="方正小标宋简体"/>
          <w:b w:val="0"/>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bookmarkStart w:id="6" w:name="_Toc15396599"/>
      <w:bookmarkStart w:id="7" w:name="_Toc15377196"/>
    </w:p>
    <w:p w14:paraId="4406D772">
      <w:pPr>
        <w:pStyle w:val="2"/>
        <w:jc w:val="center"/>
        <w:rPr>
          <w:rFonts w:eastAsia="方正小标宋简体" w:cs="方正小标宋简体"/>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6"/>
      <w:bookmarkEnd w:id="7"/>
    </w:p>
    <w:p w14:paraId="49C986D0">
      <w:pPr>
        <w:pStyle w:val="3"/>
        <w:keepNext/>
        <w:keepLines/>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Times New Roman" w:hAnsi="Times New Roman" w:eastAsia="黑体"/>
          <w:b w:val="0"/>
        </w:rPr>
      </w:pPr>
      <w:r>
        <w:rPr>
          <w:rFonts w:hint="default" w:ascii="Times New Roman" w:hAnsi="Times New Roman" w:eastAsia="黑体" w:cstheme="majorBidi"/>
          <w:b w:val="0"/>
          <w:bCs/>
          <w:kern w:val="2"/>
          <w:sz w:val="32"/>
          <w:szCs w:val="32"/>
          <w:lang w:val="en-US" w:eastAsia="zh-CN" w:bidi="ar-SA"/>
        </w:rPr>
        <w:t>一、</w:t>
      </w:r>
      <w:r>
        <w:rPr>
          <w:rFonts w:hint="eastAsia" w:ascii="Times New Roman" w:hAnsi="Times New Roman" w:eastAsia="黑体"/>
          <w:b w:val="0"/>
        </w:rPr>
        <w:t>部门职责</w:t>
      </w:r>
    </w:p>
    <w:p w14:paraId="53E110F0">
      <w:pPr>
        <w:pStyle w:val="5"/>
        <w:keepNext w:val="0"/>
        <w:keepLines w:val="0"/>
        <w:pageBreakBefore w:val="0"/>
        <w:widowControl w:val="0"/>
        <w:kinsoku/>
        <w:wordWrap/>
        <w:overflowPunct/>
        <w:topLinePunct w:val="0"/>
        <w:autoSpaceDE/>
        <w:autoSpaceDN/>
        <w:bidi w:val="0"/>
        <w:adjustRightInd w:val="0"/>
        <w:snapToGrid/>
        <w:spacing w:before="93" w:line="576" w:lineRule="exact"/>
        <w:ind w:firstLine="640" w:firstLineChars="200"/>
        <w:textAlignment w:val="auto"/>
        <w:outlineLvl w:val="1"/>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（一）负责交通运输领域综合行政执法工作。</w:t>
      </w:r>
    </w:p>
    <w:p w14:paraId="4436C09C">
      <w:pPr>
        <w:pStyle w:val="5"/>
        <w:keepNext w:val="0"/>
        <w:keepLines w:val="0"/>
        <w:pageBreakBefore w:val="0"/>
        <w:widowControl w:val="0"/>
        <w:kinsoku/>
        <w:wordWrap/>
        <w:overflowPunct/>
        <w:topLinePunct w:val="0"/>
        <w:autoSpaceDE/>
        <w:autoSpaceDN/>
        <w:bidi w:val="0"/>
        <w:adjustRightInd w:val="0"/>
        <w:spacing w:before="93" w:line="576" w:lineRule="exact"/>
        <w:ind w:firstLine="640" w:firstLineChars="200"/>
        <w:textAlignment w:val="auto"/>
        <w:outlineLvl w:val="1"/>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（二）负责职责范围内的安全生产和职业健康、生态环境保护、审批服务便民化等工作。</w:t>
      </w:r>
    </w:p>
    <w:p w14:paraId="74DECA65">
      <w:pPr>
        <w:pStyle w:val="5"/>
        <w:keepNext w:val="0"/>
        <w:keepLines w:val="0"/>
        <w:pageBreakBefore w:val="0"/>
        <w:widowControl w:val="0"/>
        <w:kinsoku/>
        <w:wordWrap/>
        <w:overflowPunct/>
        <w:topLinePunct w:val="0"/>
        <w:autoSpaceDE/>
        <w:autoSpaceDN/>
        <w:bidi w:val="0"/>
        <w:adjustRightInd w:val="0"/>
        <w:spacing w:before="93" w:line="576" w:lineRule="exact"/>
        <w:ind w:firstLine="640" w:firstLineChars="200"/>
        <w:textAlignment w:val="auto"/>
        <w:outlineLvl w:val="1"/>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（三）渔船检验监督管理和行业指导等职责。</w:t>
      </w:r>
    </w:p>
    <w:p w14:paraId="182CC8AA">
      <w:pPr>
        <w:pStyle w:val="5"/>
        <w:keepNext w:val="0"/>
        <w:keepLines w:val="0"/>
        <w:pageBreakBefore w:val="0"/>
        <w:widowControl w:val="0"/>
        <w:kinsoku/>
        <w:wordWrap/>
        <w:overflowPunct/>
        <w:topLinePunct w:val="0"/>
        <w:autoSpaceDE/>
        <w:autoSpaceDN/>
        <w:bidi w:val="0"/>
        <w:adjustRightInd w:val="0"/>
        <w:spacing w:before="93" w:line="576" w:lineRule="exact"/>
        <w:ind w:firstLine="640" w:firstLineChars="200"/>
        <w:textAlignment w:val="auto"/>
        <w:outlineLvl w:val="1"/>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（四）承担水路运输及水上安全监督管理、船舶监督管理以及港口、航道建设、养护监督管理等职责。</w:t>
      </w:r>
    </w:p>
    <w:p w14:paraId="0E8DFB45">
      <w:pPr>
        <w:keepNext w:val="0"/>
        <w:keepLines w:val="0"/>
        <w:pageBreakBefore w:val="0"/>
        <w:widowControl w:val="0"/>
        <w:kinsoku/>
        <w:wordWrap/>
        <w:overflowPunct/>
        <w:topLinePunct w:val="0"/>
        <w:autoSpaceDE/>
        <w:autoSpaceDN/>
        <w:bidi w:val="0"/>
        <w:snapToGrid w:val="0"/>
        <w:spacing w:line="576" w:lineRule="exact"/>
        <w:ind w:firstLine="640" w:firstLineChars="200"/>
        <w:textAlignment w:val="auto"/>
        <w:outlineLvl w:val="1"/>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（五）承担道路运输行业监督管理及全县公路行政审批等职责。</w:t>
      </w:r>
    </w:p>
    <w:p w14:paraId="7B22B2DC">
      <w:pPr>
        <w:pStyle w:val="3"/>
        <w:pageBreakBefore w:val="0"/>
        <w:widowControl w:val="0"/>
        <w:kinsoku/>
        <w:wordWrap/>
        <w:overflowPunct/>
        <w:topLinePunct w:val="0"/>
        <w:autoSpaceDE/>
        <w:autoSpaceDN/>
        <w:bidi w:val="0"/>
        <w:spacing w:line="576" w:lineRule="exact"/>
        <w:ind w:firstLine="640" w:firstLineChars="200"/>
        <w:textAlignment w:val="auto"/>
        <w:rPr>
          <w:rStyle w:val="30"/>
          <w:rFonts w:ascii="Times New Roman" w:hAnsi="Times New Roman"/>
          <w:b w:val="0"/>
          <w:bCs w:val="0"/>
        </w:rPr>
      </w:pPr>
      <w:bookmarkStart w:id="8" w:name="_Toc15396601"/>
      <w:bookmarkStart w:id="9" w:name="_Toc1537720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8"/>
      <w:bookmarkEnd w:id="9"/>
    </w:p>
    <w:p w14:paraId="3006383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eastAsia="仿宋_GB2312" w:cs="仿宋_GB2312"/>
          <w:sz w:val="32"/>
          <w:szCs w:val="32"/>
        </w:rPr>
      </w:pPr>
      <w:r>
        <w:rPr>
          <w:rFonts w:hint="eastAsia" w:ascii="仿宋_GB2312" w:hAnsi="仿宋" w:eastAsia="仿宋_GB2312"/>
          <w:sz w:val="32"/>
          <w:szCs w:val="32"/>
        </w:rPr>
        <w:t>盐边县交通运输局</w:t>
      </w:r>
      <w:r>
        <w:rPr>
          <w:rFonts w:hint="eastAsia" w:eastAsia="仿宋_GB2312" w:cs="仿宋_GB2312"/>
          <w:sz w:val="32"/>
          <w:szCs w:val="32"/>
        </w:rPr>
        <w:t>下属二级预算单位3个，其中行政单位0个，参照公务员法管理的事业单位</w:t>
      </w:r>
      <w:r>
        <w:rPr>
          <w:rFonts w:hint="eastAsia" w:eastAsia="仿宋_GB2312" w:cs="仿宋_GB2312"/>
          <w:bCs/>
          <w:sz w:val="32"/>
          <w:szCs w:val="32"/>
        </w:rPr>
        <w:t>2</w:t>
      </w:r>
      <w:r>
        <w:rPr>
          <w:rFonts w:hint="eastAsia" w:eastAsia="仿宋_GB2312" w:cs="仿宋_GB2312"/>
          <w:sz w:val="32"/>
          <w:szCs w:val="32"/>
        </w:rPr>
        <w:t>个，其他事业单位1个。</w:t>
      </w:r>
    </w:p>
    <w:p w14:paraId="3826CBC6">
      <w:pPr>
        <w:pStyle w:val="5"/>
        <w:keepNext w:val="0"/>
        <w:keepLines w:val="0"/>
        <w:pageBreakBefore w:val="0"/>
        <w:widowControl w:val="0"/>
        <w:kinsoku/>
        <w:wordWrap/>
        <w:overflowPunct/>
        <w:topLinePunct w:val="0"/>
        <w:autoSpaceDE/>
        <w:autoSpaceDN/>
        <w:bidi w:val="0"/>
        <w:adjustRightInd w:val="0"/>
        <w:snapToGrid w:val="0"/>
        <w:spacing w:before="93" w:line="576" w:lineRule="exact"/>
        <w:ind w:firstLine="640" w:firstLineChars="200"/>
        <w:textAlignment w:val="auto"/>
        <w:rPr>
          <w:rFonts w:ascii="Times New Roman" w:cs="仿宋_GB2312"/>
          <w:sz w:val="32"/>
          <w:szCs w:val="32"/>
        </w:rPr>
      </w:pPr>
      <w:r>
        <w:rPr>
          <w:rFonts w:hint="eastAsia" w:ascii="Times New Roman" w:cs="仿宋_GB2312"/>
          <w:sz w:val="32"/>
          <w:szCs w:val="32"/>
        </w:rPr>
        <w:t>纳入</w:t>
      </w:r>
      <w:r>
        <w:rPr>
          <w:rFonts w:hint="eastAsia" w:hAnsi="仿宋"/>
          <w:sz w:val="32"/>
          <w:szCs w:val="32"/>
        </w:rPr>
        <w:t>盐边县交通运输局</w:t>
      </w:r>
      <w:r>
        <w:rPr>
          <w:rFonts w:hint="eastAsia" w:ascii="Times New Roman" w:cs="仿宋_GB2312"/>
          <w:sz w:val="32"/>
          <w:szCs w:val="32"/>
        </w:rPr>
        <w:t>2024年度部门决算编制范围的二级预算单位包括：</w:t>
      </w:r>
    </w:p>
    <w:p w14:paraId="639C0B75">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93" w:line="576" w:lineRule="exact"/>
        <w:ind w:firstLine="640" w:firstLineChars="200"/>
        <w:textAlignment w:val="auto"/>
        <w:outlineLvl w:val="2"/>
        <w:rPr>
          <w:rFonts w:ascii="Times New Roman" w:cs="仿宋_GB2312"/>
          <w:sz w:val="32"/>
          <w:szCs w:val="32"/>
        </w:rPr>
      </w:pPr>
      <w:r>
        <w:rPr>
          <w:rFonts w:hint="default" w:ascii="Times New Roman" w:hAnsi="Times New Roman" w:eastAsia="仿宋_GB2312" w:cs="仿宋_GB2312"/>
          <w:kern w:val="0"/>
          <w:sz w:val="32"/>
          <w:szCs w:val="32"/>
          <w:lang w:val="en-US" w:eastAsia="zh-CN" w:bidi="ar-SA"/>
        </w:rPr>
        <w:t>1.</w:t>
      </w:r>
      <w:r>
        <w:rPr>
          <w:rFonts w:hint="eastAsia" w:ascii="Times New Roman" w:cs="仿宋_GB2312"/>
          <w:sz w:val="32"/>
          <w:szCs w:val="32"/>
        </w:rPr>
        <w:t>盐边县航务海事中心</w:t>
      </w:r>
    </w:p>
    <w:p w14:paraId="2A5CFE79">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93" w:line="576" w:lineRule="exact"/>
        <w:ind w:firstLine="640" w:firstLineChars="200"/>
        <w:textAlignment w:val="auto"/>
        <w:outlineLvl w:val="2"/>
        <w:rPr>
          <w:rFonts w:ascii="Times New Roman" w:cs="仿宋_GB2312"/>
          <w:sz w:val="32"/>
          <w:szCs w:val="32"/>
        </w:rPr>
      </w:pPr>
      <w:r>
        <w:rPr>
          <w:rFonts w:hint="default" w:ascii="Times New Roman" w:hAnsi="Times New Roman" w:eastAsia="仿宋_GB2312" w:cs="仿宋_GB2312"/>
          <w:kern w:val="0"/>
          <w:sz w:val="32"/>
          <w:szCs w:val="32"/>
          <w:lang w:val="en-US" w:eastAsia="zh-CN" w:bidi="ar-SA"/>
        </w:rPr>
        <w:t>2.</w:t>
      </w:r>
      <w:r>
        <w:rPr>
          <w:rFonts w:hint="eastAsia" w:ascii="Times New Roman" w:cs="仿宋_GB2312"/>
          <w:sz w:val="32"/>
          <w:szCs w:val="32"/>
        </w:rPr>
        <w:t>盐边县交通运输服务中心</w:t>
      </w:r>
    </w:p>
    <w:p w14:paraId="5065CCA7">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93" w:line="576" w:lineRule="exact"/>
        <w:ind w:firstLine="640" w:firstLineChars="200"/>
        <w:textAlignment w:val="auto"/>
        <w:outlineLvl w:val="2"/>
        <w:rPr>
          <w:rFonts w:ascii="Times New Roman" w:cs="仿宋_GB2312"/>
          <w:sz w:val="32"/>
          <w:szCs w:val="32"/>
        </w:rPr>
      </w:pPr>
      <w:r>
        <w:rPr>
          <w:rFonts w:hint="default" w:ascii="Times New Roman" w:hAnsi="Times New Roman" w:eastAsia="仿宋_GB2312" w:cs="仿宋_GB2312"/>
          <w:kern w:val="0"/>
          <w:sz w:val="32"/>
          <w:szCs w:val="32"/>
          <w:lang w:val="en-US" w:eastAsia="zh-CN" w:bidi="ar-SA"/>
        </w:rPr>
        <w:t>3.</w:t>
      </w:r>
      <w:r>
        <w:rPr>
          <w:rFonts w:hint="eastAsia" w:ascii="Times New Roman" w:cs="仿宋_GB2312"/>
          <w:sz w:val="32"/>
          <w:szCs w:val="32"/>
        </w:rPr>
        <w:t>盐边县养路队</w:t>
      </w:r>
    </w:p>
    <w:p w14:paraId="4503BF03">
      <w:pPr>
        <w:pStyle w:val="2"/>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14:paraId="6D0522BB"/>
    <w:p w14:paraId="01A92AD1">
      <w:pPr>
        <w:pStyle w:val="28"/>
        <w:spacing w:line="600" w:lineRule="exact"/>
        <w:ind w:firstLine="640"/>
        <w:outlineLvl w:val="1"/>
        <w:rPr>
          <w:rStyle w:val="30"/>
          <w:rFonts w:ascii="Times New Roman" w:hAnsi="Times New Roman" w:eastAsia="黑体"/>
          <w:b w:val="0"/>
        </w:rPr>
      </w:pPr>
      <w:bookmarkStart w:id="12" w:name="_Toc15396603"/>
      <w:bookmarkStart w:id="13"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2"/>
      <w:bookmarkEnd w:id="13"/>
    </w:p>
    <w:p w14:paraId="3BB011F2">
      <w:pPr>
        <w:pStyle w:val="28"/>
        <w:spacing w:line="600" w:lineRule="exact"/>
        <w:ind w:firstLine="640"/>
        <w:outlineLvl w:val="1"/>
        <w:rPr>
          <w:rFonts w:eastAsia="仿宋"/>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16361.52</w:t>
      </w:r>
      <w:r>
        <w:rPr>
          <w:rFonts w:hint="eastAsia" w:eastAsia="仿宋_GB2312" w:cs="仿宋_GB2312"/>
          <w:sz w:val="32"/>
          <w:szCs w:val="32"/>
        </w:rPr>
        <w:t>万元。与2023年度相比，收入、支出总计各增加10036.72万元，增长159%。主要变动原因是</w:t>
      </w:r>
      <w:r>
        <w:rPr>
          <w:rFonts w:ascii="仿宋_GB2312" w:hAnsi="仿宋" w:eastAsia="仿宋_GB2312"/>
          <w:sz w:val="32"/>
          <w:szCs w:val="32"/>
        </w:rPr>
        <w:t>202</w:t>
      </w:r>
      <w:r>
        <w:rPr>
          <w:rFonts w:hint="eastAsia" w:ascii="仿宋_GB2312" w:hAnsi="仿宋" w:eastAsia="仿宋_GB2312"/>
          <w:sz w:val="32"/>
          <w:szCs w:val="32"/>
        </w:rPr>
        <w:t>4</w:t>
      </w:r>
      <w:r>
        <w:rPr>
          <w:rFonts w:eastAsia="仿宋_GB2312"/>
          <w:sz w:val="32"/>
          <w:szCs w:val="32"/>
        </w:rPr>
        <w:t>年增加了政府性基金预算和市级资金收入</w:t>
      </w:r>
      <w:r>
        <w:rPr>
          <w:rFonts w:eastAsia="仿宋"/>
          <w:sz w:val="32"/>
          <w:szCs w:val="32"/>
        </w:rPr>
        <w:t>。</w:t>
      </w:r>
    </w:p>
    <w:p w14:paraId="45C5A520">
      <w:pPr>
        <w:spacing w:line="600" w:lineRule="exact"/>
        <w:outlineLvl w:val="1"/>
        <w:rPr>
          <w:rFonts w:eastAsia="仿宋"/>
          <w:sz w:val="32"/>
          <w:szCs w:val="32"/>
        </w:rPr>
      </w:pPr>
      <w:r>
        <w:drawing>
          <wp:anchor distT="0" distB="0" distL="114300" distR="114300" simplePos="0" relativeHeight="251659264" behindDoc="1" locked="0" layoutInCell="1" allowOverlap="1">
            <wp:simplePos x="0" y="0"/>
            <wp:positionH relativeFrom="column">
              <wp:posOffset>19050</wp:posOffset>
            </wp:positionH>
            <wp:positionV relativeFrom="paragraph">
              <wp:posOffset>150495</wp:posOffset>
            </wp:positionV>
            <wp:extent cx="5524500" cy="3362325"/>
            <wp:effectExtent l="0" t="0" r="19050" b="9525"/>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1F08598">
      <w:pPr>
        <w:pStyle w:val="20"/>
      </w:pPr>
    </w:p>
    <w:p w14:paraId="5EBA9087"/>
    <w:p w14:paraId="7842E7E7">
      <w:pPr>
        <w:pStyle w:val="20"/>
      </w:pPr>
    </w:p>
    <w:p w14:paraId="4D702FEE"/>
    <w:p w14:paraId="5BF3A1F6">
      <w:pPr>
        <w:pStyle w:val="20"/>
      </w:pPr>
    </w:p>
    <w:p w14:paraId="07782584"/>
    <w:p w14:paraId="253BE770">
      <w:pPr>
        <w:pStyle w:val="28"/>
        <w:spacing w:line="600" w:lineRule="exact"/>
        <w:ind w:firstLine="640"/>
        <w:outlineLvl w:val="1"/>
        <w:rPr>
          <w:rFonts w:eastAsia="仿宋"/>
          <w:sz w:val="32"/>
          <w:szCs w:val="32"/>
        </w:rPr>
      </w:pPr>
    </w:p>
    <w:p w14:paraId="5BBD935B">
      <w:pPr>
        <w:spacing w:line="600" w:lineRule="exact"/>
        <w:outlineLvl w:val="1"/>
        <w:rPr>
          <w:rFonts w:eastAsia="仿宋"/>
          <w:sz w:val="32"/>
          <w:szCs w:val="32"/>
        </w:rPr>
      </w:pPr>
    </w:p>
    <w:p w14:paraId="6282D915">
      <w:pPr>
        <w:pStyle w:val="28"/>
        <w:spacing w:line="600" w:lineRule="exact"/>
        <w:ind w:firstLine="640"/>
        <w:outlineLvl w:val="1"/>
        <w:rPr>
          <w:rFonts w:eastAsia="仿宋_GB2312" w:cs="仿宋_GB2312"/>
          <w:sz w:val="32"/>
          <w:szCs w:val="32"/>
        </w:rPr>
      </w:pPr>
      <w:r>
        <w:rPr>
          <w:rFonts w:hint="eastAsia" w:eastAsia="仿宋_GB2312" w:cs="仿宋_GB2312"/>
          <w:sz w:val="32"/>
          <w:szCs w:val="32"/>
        </w:rPr>
        <w:t>（图1：收入、支出决算总计变动情况图）（柱状图）</w:t>
      </w:r>
    </w:p>
    <w:p w14:paraId="6F828043">
      <w:pPr>
        <w:pStyle w:val="28"/>
        <w:spacing w:line="600" w:lineRule="exact"/>
        <w:ind w:firstLine="640"/>
        <w:outlineLvl w:val="1"/>
        <w:rPr>
          <w:rFonts w:eastAsia="黑体"/>
          <w:sz w:val="32"/>
          <w:szCs w:val="32"/>
        </w:rPr>
      </w:pPr>
      <w:bookmarkStart w:id="14" w:name="_Toc15396604"/>
      <w:bookmarkStart w:id="15" w:name="_Toc15377206"/>
      <w:r>
        <w:rPr>
          <w:rFonts w:hint="eastAsia" w:eastAsia="黑体"/>
          <w:sz w:val="32"/>
          <w:szCs w:val="32"/>
        </w:rPr>
        <w:t>二、收入决算情况说明</w:t>
      </w:r>
      <w:bookmarkEnd w:id="14"/>
      <w:bookmarkEnd w:id="15"/>
    </w:p>
    <w:p w14:paraId="7230A80F">
      <w:pPr>
        <w:pStyle w:val="28"/>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2024年度本年收入合计16361.52万元，其中：一般公共预算财政拨款收入9595.14万元，占58.65%；政府性基金预算财政拨款收入3176.86万元，占19.42%；其他收入3589.52万元，占23.82%。</w:t>
      </w:r>
      <w:bookmarkStart w:id="61" w:name="_GoBack"/>
      <w:bookmarkEnd w:id="61"/>
    </w:p>
    <w:p w14:paraId="5F9C0E99">
      <w:pPr>
        <w:rPr>
          <w:rFonts w:eastAsia="仿宋_GB2312" w:cs="仿宋_GB2312"/>
          <w:sz w:val="32"/>
          <w:szCs w:val="32"/>
        </w:rPr>
      </w:pPr>
      <w:r>
        <w:drawing>
          <wp:inline distT="0" distB="0" distL="0" distR="0">
            <wp:extent cx="5505450" cy="2933700"/>
            <wp:effectExtent l="0" t="0" r="19050" b="1905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79E56F3">
      <w:pPr>
        <w:ind w:firstLine="800" w:firstLineChars="250"/>
        <w:rPr>
          <w:rFonts w:eastAsia="仿宋_GB2312" w:cs="仿宋_GB2312"/>
          <w:sz w:val="32"/>
          <w:szCs w:val="32"/>
        </w:rPr>
      </w:pPr>
      <w:r>
        <w:rPr>
          <w:rFonts w:hint="eastAsia" w:eastAsia="仿宋_GB2312" w:cs="仿宋_GB2312"/>
          <w:sz w:val="32"/>
          <w:szCs w:val="32"/>
        </w:rPr>
        <w:t>（图2：收入决算结构图）（饼状图）</w:t>
      </w:r>
    </w:p>
    <w:p w14:paraId="42FB34B8">
      <w:pPr>
        <w:pStyle w:val="28"/>
        <w:spacing w:line="600" w:lineRule="exact"/>
        <w:ind w:firstLine="640"/>
        <w:outlineLvl w:val="1"/>
        <w:rPr>
          <w:rStyle w:val="30"/>
          <w:rFonts w:ascii="Times New Roman" w:hAnsi="Times New Roman" w:eastAsia="黑体"/>
          <w:b w:val="0"/>
        </w:rPr>
      </w:pPr>
      <w:bookmarkStart w:id="16" w:name="_Toc15396605"/>
      <w:bookmarkStart w:id="17" w:name="_Toc15377207"/>
      <w:r>
        <w:rPr>
          <w:rFonts w:hint="eastAsia" w:eastAsia="黑体"/>
          <w:sz w:val="32"/>
          <w:szCs w:val="32"/>
        </w:rPr>
        <w:t>三、支</w:t>
      </w:r>
      <w:r>
        <w:rPr>
          <w:rStyle w:val="30"/>
          <w:rFonts w:hint="eastAsia" w:ascii="Times New Roman" w:hAnsi="Times New Roman" w:eastAsia="黑体"/>
          <w:b w:val="0"/>
        </w:rPr>
        <w:t>出决算情况说明</w:t>
      </w:r>
      <w:bookmarkEnd w:id="16"/>
      <w:bookmarkEnd w:id="17"/>
    </w:p>
    <w:p w14:paraId="1267F1BE">
      <w:pPr>
        <w:pStyle w:val="28"/>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2024年度本年支出合计16361.52万元，其中：基本支出1143.52万元，占6.99%；项目支出15218.01万元，占93.01%。</w:t>
      </w:r>
    </w:p>
    <w:p w14:paraId="17AE12B1">
      <w:pPr>
        <w:spacing w:line="600" w:lineRule="exact"/>
        <w:jc w:val="left"/>
        <w:outlineLvl w:val="1"/>
        <w:rPr>
          <w:rFonts w:eastAsia="仿宋_GB2312" w:cs="仿宋_GB2312"/>
          <w:b/>
          <w:bCs/>
          <w:sz w:val="32"/>
          <w:szCs w:val="32"/>
        </w:rPr>
      </w:pPr>
      <w:r>
        <w:drawing>
          <wp:anchor distT="0" distB="0" distL="114300" distR="114300" simplePos="0" relativeHeight="251660288" behindDoc="1" locked="0" layoutInCell="1" allowOverlap="1">
            <wp:simplePos x="0" y="0"/>
            <wp:positionH relativeFrom="column">
              <wp:posOffset>0</wp:posOffset>
            </wp:positionH>
            <wp:positionV relativeFrom="paragraph">
              <wp:posOffset>175260</wp:posOffset>
            </wp:positionV>
            <wp:extent cx="5505450" cy="3114675"/>
            <wp:effectExtent l="0" t="0" r="19050" b="9525"/>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76EC9DD">
      <w:pPr>
        <w:pStyle w:val="28"/>
        <w:spacing w:line="600" w:lineRule="exact"/>
        <w:ind w:firstLine="643"/>
        <w:jc w:val="left"/>
        <w:outlineLvl w:val="1"/>
        <w:rPr>
          <w:rFonts w:eastAsia="仿宋_GB2312" w:cs="仿宋_GB2312"/>
          <w:b/>
          <w:bCs/>
          <w:sz w:val="32"/>
          <w:szCs w:val="32"/>
        </w:rPr>
      </w:pPr>
    </w:p>
    <w:p w14:paraId="54B6434D">
      <w:pPr>
        <w:pStyle w:val="28"/>
        <w:spacing w:line="600" w:lineRule="exact"/>
        <w:ind w:firstLine="643"/>
        <w:jc w:val="left"/>
        <w:outlineLvl w:val="1"/>
        <w:rPr>
          <w:rFonts w:eastAsia="仿宋_GB2312" w:cs="仿宋_GB2312"/>
          <w:b/>
          <w:bCs/>
          <w:sz w:val="32"/>
          <w:szCs w:val="32"/>
        </w:rPr>
      </w:pPr>
    </w:p>
    <w:p w14:paraId="753C164D">
      <w:pPr>
        <w:pStyle w:val="28"/>
        <w:spacing w:line="600" w:lineRule="exact"/>
        <w:ind w:firstLine="643"/>
        <w:jc w:val="left"/>
        <w:outlineLvl w:val="1"/>
        <w:rPr>
          <w:rFonts w:eastAsia="仿宋_GB2312" w:cs="仿宋_GB2312"/>
          <w:b/>
          <w:bCs/>
          <w:sz w:val="32"/>
          <w:szCs w:val="32"/>
        </w:rPr>
      </w:pPr>
    </w:p>
    <w:p w14:paraId="7AE5A0E8">
      <w:pPr>
        <w:pStyle w:val="28"/>
        <w:spacing w:line="600" w:lineRule="exact"/>
        <w:ind w:firstLine="643"/>
        <w:jc w:val="left"/>
        <w:outlineLvl w:val="1"/>
        <w:rPr>
          <w:rFonts w:eastAsia="仿宋_GB2312" w:cs="仿宋_GB2312"/>
          <w:b/>
          <w:bCs/>
          <w:sz w:val="32"/>
          <w:szCs w:val="32"/>
        </w:rPr>
      </w:pPr>
    </w:p>
    <w:p w14:paraId="596C0A00">
      <w:pPr>
        <w:pStyle w:val="28"/>
        <w:spacing w:line="600" w:lineRule="exact"/>
        <w:ind w:firstLine="643"/>
        <w:jc w:val="left"/>
        <w:outlineLvl w:val="1"/>
        <w:rPr>
          <w:rFonts w:eastAsia="仿宋_GB2312" w:cs="仿宋_GB2312"/>
          <w:b/>
          <w:bCs/>
          <w:sz w:val="32"/>
          <w:szCs w:val="32"/>
        </w:rPr>
      </w:pPr>
    </w:p>
    <w:p w14:paraId="3B8AA597">
      <w:pPr>
        <w:pStyle w:val="28"/>
        <w:spacing w:line="600" w:lineRule="exact"/>
        <w:ind w:firstLine="643"/>
        <w:jc w:val="left"/>
        <w:outlineLvl w:val="1"/>
        <w:rPr>
          <w:rFonts w:eastAsia="仿宋_GB2312" w:cs="仿宋_GB2312"/>
          <w:b/>
          <w:bCs/>
          <w:sz w:val="32"/>
          <w:szCs w:val="32"/>
        </w:rPr>
      </w:pPr>
    </w:p>
    <w:p w14:paraId="274AD508">
      <w:pPr>
        <w:pStyle w:val="28"/>
        <w:spacing w:line="600" w:lineRule="exact"/>
        <w:ind w:firstLine="643"/>
        <w:jc w:val="left"/>
        <w:outlineLvl w:val="1"/>
        <w:rPr>
          <w:rFonts w:eastAsia="仿宋_GB2312" w:cs="仿宋_GB2312"/>
          <w:b/>
          <w:bCs/>
          <w:sz w:val="32"/>
          <w:szCs w:val="32"/>
        </w:rPr>
      </w:pPr>
    </w:p>
    <w:p w14:paraId="4E3A75B3">
      <w:pPr>
        <w:pStyle w:val="28"/>
        <w:spacing w:line="600" w:lineRule="exact"/>
        <w:ind w:firstLine="640"/>
        <w:jc w:val="left"/>
        <w:outlineLvl w:val="1"/>
        <w:rPr>
          <w:rFonts w:eastAsia="仿宋_GB2312" w:cs="仿宋_GB2312"/>
          <w:sz w:val="32"/>
          <w:szCs w:val="32"/>
        </w:rPr>
      </w:pPr>
    </w:p>
    <w:p w14:paraId="7A6058D6">
      <w:pPr>
        <w:ind w:firstLine="800" w:firstLineChars="250"/>
        <w:rPr>
          <w:rFonts w:eastAsia="仿宋_GB2312" w:cs="仿宋_GB2312"/>
          <w:sz w:val="32"/>
          <w:szCs w:val="32"/>
        </w:rPr>
      </w:pPr>
      <w:r>
        <w:rPr>
          <w:rFonts w:hint="eastAsia" w:eastAsia="仿宋_GB2312" w:cs="仿宋_GB2312"/>
          <w:sz w:val="32"/>
          <w:szCs w:val="32"/>
        </w:rPr>
        <w:t>（图3：支出决算结构图）（饼状图）</w:t>
      </w:r>
    </w:p>
    <w:p w14:paraId="20B391EE">
      <w:pPr>
        <w:spacing w:line="600" w:lineRule="exact"/>
        <w:ind w:firstLine="640" w:firstLineChars="200"/>
        <w:outlineLvl w:val="1"/>
        <w:rPr>
          <w:rStyle w:val="30"/>
          <w:rFonts w:ascii="Times New Roman" w:hAnsi="Times New Roman" w:eastAsia="黑体"/>
          <w:b w:val="0"/>
        </w:rPr>
      </w:pPr>
      <w:bookmarkStart w:id="18" w:name="_Toc15377208"/>
      <w:bookmarkStart w:id="19"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18"/>
      <w:bookmarkEnd w:id="19"/>
    </w:p>
    <w:p w14:paraId="68C761DA">
      <w:pPr>
        <w:pStyle w:val="28"/>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2024年度财政拨款收入、支出总计均为16078.41万元。与2023年度相比，财政拨款收入总计、支出总计各增加9753.61万元，增长154%。主要变动原因是2024年增加了政府性基金预算收入。</w:t>
      </w:r>
    </w:p>
    <w:p w14:paraId="28906AA2">
      <w:pPr>
        <w:spacing w:line="600" w:lineRule="exact"/>
        <w:rPr>
          <w:rFonts w:eastAsia="仿宋_GB2312" w:cs="仿宋_GB2312"/>
          <w:sz w:val="32"/>
          <w:szCs w:val="32"/>
        </w:rPr>
      </w:pPr>
      <w:r>
        <w:drawing>
          <wp:anchor distT="0" distB="0" distL="114300" distR="114300" simplePos="0" relativeHeight="251661312" behindDoc="1" locked="0" layoutInCell="1" allowOverlap="1">
            <wp:simplePos x="0" y="0"/>
            <wp:positionH relativeFrom="column">
              <wp:posOffset>66040</wp:posOffset>
            </wp:positionH>
            <wp:positionV relativeFrom="paragraph">
              <wp:posOffset>171450</wp:posOffset>
            </wp:positionV>
            <wp:extent cx="5419725" cy="3086100"/>
            <wp:effectExtent l="0" t="0" r="9525" b="19050"/>
            <wp:wrapNone/>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4D4080E">
      <w:pPr>
        <w:pStyle w:val="20"/>
      </w:pPr>
    </w:p>
    <w:p w14:paraId="0A3257D2"/>
    <w:p w14:paraId="0B01EBD0">
      <w:pPr>
        <w:pStyle w:val="20"/>
      </w:pPr>
    </w:p>
    <w:p w14:paraId="64F81E42"/>
    <w:p w14:paraId="68232D54">
      <w:pPr>
        <w:pStyle w:val="20"/>
      </w:pPr>
    </w:p>
    <w:p w14:paraId="42009308"/>
    <w:p w14:paraId="297605C8">
      <w:pPr>
        <w:pStyle w:val="20"/>
      </w:pPr>
    </w:p>
    <w:p w14:paraId="07D3F174">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14:paraId="7F5D56A7">
      <w:pPr>
        <w:spacing w:line="600" w:lineRule="exact"/>
        <w:ind w:firstLine="640" w:firstLineChars="200"/>
        <w:outlineLvl w:val="1"/>
        <w:rPr>
          <w:rStyle w:val="30"/>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0"/>
      <w:bookmarkEnd w:id="21"/>
    </w:p>
    <w:p w14:paraId="19C559B6">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636AC191">
      <w:pPr>
        <w:pStyle w:val="28"/>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9595.14万元，占本年支出合计的58.64%。与2023年度相比，一般公共预算财政拨款支出增加3270.34万元，增长51.71%。主要变动原因是2023年下属二级单位是单独上报，2024年下属二级单位汇总上报。</w:t>
      </w:r>
    </w:p>
    <w:p w14:paraId="03F318F1">
      <w:pPr>
        <w:pStyle w:val="20"/>
      </w:pPr>
      <w:r>
        <w:drawing>
          <wp:inline distT="0" distB="0" distL="0" distR="0">
            <wp:extent cx="5457825" cy="3305175"/>
            <wp:effectExtent l="0" t="0" r="9525"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32D7095">
      <w:pPr>
        <w:spacing w:line="600" w:lineRule="exact"/>
        <w:rPr>
          <w:rFonts w:eastAsia="仿宋_GB2312" w:cs="仿宋_GB2312"/>
          <w:sz w:val="32"/>
          <w:szCs w:val="32"/>
        </w:rPr>
      </w:pPr>
      <w:r>
        <w:rPr>
          <w:rFonts w:hint="eastAsia" w:eastAsia="仿宋_GB2312" w:cs="仿宋_GB2312"/>
          <w:sz w:val="32"/>
          <w:szCs w:val="32"/>
        </w:rPr>
        <w:t>（图5：一般公共预算财政拨款支出决算变动情况）（柱状图）</w:t>
      </w:r>
    </w:p>
    <w:p w14:paraId="2E70BC78">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14:paraId="2E4A810D">
      <w:pPr>
        <w:pStyle w:val="28"/>
        <w:keepNext w:val="0"/>
        <w:keepLines w:val="0"/>
        <w:pageBreakBefore w:val="0"/>
        <w:widowControl w:val="0"/>
        <w:kinsoku/>
        <w:wordWrap/>
        <w:overflowPunct/>
        <w:topLinePunct w:val="0"/>
        <w:autoSpaceDE/>
        <w:autoSpaceDN/>
        <w:bidi w:val="0"/>
        <w:adjustRightInd/>
        <w:snapToGrid/>
        <w:spacing w:line="576" w:lineRule="exact"/>
        <w:ind w:firstLine="640"/>
        <w:jc w:val="left"/>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9595.14万元，主要用于以下方面：一般公共服务支出2.00万元，占0.02%；社会保障和就业支出312.32万元，占3.25%；卫生健康支出74.20万元，占0.77%；农林水支出2.00万元，占0.02%；交通运输支出9136.46万元，占95.22%；住房保障支出68.16万元，占0.71%。</w:t>
      </w:r>
    </w:p>
    <w:p w14:paraId="5D97D893">
      <w:pPr>
        <w:spacing w:line="600" w:lineRule="exact"/>
        <w:ind w:firstLine="640"/>
        <w:rPr>
          <w:rFonts w:eastAsia="仿宋_GB2312" w:cs="仿宋_GB2312"/>
          <w:sz w:val="32"/>
          <w:szCs w:val="32"/>
        </w:rPr>
      </w:pPr>
    </w:p>
    <w:p w14:paraId="2F4DA6F9">
      <w:pPr>
        <w:spacing w:line="600" w:lineRule="exact"/>
        <w:ind w:firstLine="640"/>
        <w:rPr>
          <w:rFonts w:hint="eastAsia" w:eastAsia="仿宋_GB2312" w:cs="仿宋_GB2312"/>
          <w:sz w:val="32"/>
          <w:szCs w:val="32"/>
          <w:lang w:eastAsia="zh-CN"/>
        </w:rPr>
      </w:pPr>
    </w:p>
    <w:p w14:paraId="34A79CE5">
      <w:pPr>
        <w:spacing w:line="600" w:lineRule="exact"/>
        <w:ind w:firstLine="640"/>
        <w:rPr>
          <w:rFonts w:eastAsia="仿宋_GB2312" w:cs="仿宋_GB2312"/>
          <w:sz w:val="32"/>
          <w:szCs w:val="32"/>
        </w:rPr>
      </w:pPr>
    </w:p>
    <w:p w14:paraId="55B30A27">
      <w:pPr>
        <w:spacing w:line="600" w:lineRule="exact"/>
        <w:ind w:firstLine="640"/>
        <w:rPr>
          <w:rFonts w:eastAsia="仿宋_GB2312" w:cs="仿宋_GB2312"/>
          <w:sz w:val="32"/>
          <w:szCs w:val="32"/>
        </w:rPr>
      </w:pPr>
    </w:p>
    <w:p w14:paraId="4814E579">
      <w:pPr>
        <w:spacing w:line="600" w:lineRule="exact"/>
        <w:ind w:firstLine="640"/>
        <w:rPr>
          <w:rFonts w:eastAsia="仿宋_GB2312" w:cs="仿宋_GB2312"/>
          <w:sz w:val="32"/>
          <w:szCs w:val="32"/>
        </w:rPr>
      </w:pPr>
    </w:p>
    <w:p w14:paraId="1285A73A">
      <w:pPr>
        <w:spacing w:line="600" w:lineRule="exact"/>
        <w:ind w:firstLine="640"/>
        <w:rPr>
          <w:rFonts w:hint="eastAsia" w:eastAsia="仿宋_GB2312" w:cs="仿宋_GB2312"/>
          <w:sz w:val="32"/>
          <w:szCs w:val="32"/>
          <w:lang w:eastAsia="zh-CN"/>
        </w:rPr>
      </w:pPr>
    </w:p>
    <w:p w14:paraId="082EA48C">
      <w:pPr>
        <w:spacing w:line="600" w:lineRule="exact"/>
        <w:ind w:firstLine="640"/>
        <w:rPr>
          <w:rFonts w:eastAsia="仿宋_GB2312" w:cs="仿宋_GB2312"/>
          <w:sz w:val="32"/>
          <w:szCs w:val="32"/>
        </w:rPr>
      </w:pPr>
      <w:r>
        <w:rPr>
          <w:rFonts w:hint="eastAsia" w:eastAsia="仿宋_GB2312" w:cs="仿宋_GB2312"/>
          <w:sz w:val="32"/>
          <w:szCs w:val="32"/>
          <w:lang w:eastAsia="zh-CN"/>
        </w:rPr>
        <w:drawing>
          <wp:anchor distT="0" distB="0" distL="114300" distR="114300" simplePos="0" relativeHeight="251662336" behindDoc="0" locked="0" layoutInCell="1" allowOverlap="1">
            <wp:simplePos x="0" y="0"/>
            <wp:positionH relativeFrom="column">
              <wp:posOffset>6350</wp:posOffset>
            </wp:positionH>
            <wp:positionV relativeFrom="paragraph">
              <wp:posOffset>299720</wp:posOffset>
            </wp:positionV>
            <wp:extent cx="5256530" cy="2988310"/>
            <wp:effectExtent l="5080" t="4445" r="15240" b="17145"/>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eastAsia="仿宋_GB2312" w:cs="仿宋_GB2312"/>
          <w:sz w:val="32"/>
          <w:szCs w:val="32"/>
        </w:rPr>
        <w:t>（图6：一般公共预算财政拨款支出决算结构）（饼状图）</w:t>
      </w:r>
    </w:p>
    <w:p w14:paraId="229633C9">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5CF2F9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bookmarkStart w:id="25" w:name="_Toc15377213"/>
      <w:bookmarkStart w:id="26" w:name="_Toc15377444"/>
      <w:bookmarkStart w:id="27" w:name="_Toc15378460"/>
      <w:r>
        <w:rPr>
          <w:rFonts w:hint="default" w:ascii="Times New Roman" w:hAnsi="Times New Roman" w:eastAsia="方正仿宋_GBK" w:cs="Times New Roman"/>
          <w:sz w:val="32"/>
          <w:szCs w:val="32"/>
        </w:rPr>
        <w:t>2024年度一般公共预算财政拨款支出决算数为16078.41万元，完成预算100%。其中：</w:t>
      </w:r>
      <w:bookmarkEnd w:id="25"/>
      <w:bookmarkEnd w:id="26"/>
      <w:bookmarkEnd w:id="27"/>
    </w:p>
    <w:p w14:paraId="26DEDF6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1.</w:t>
      </w:r>
      <w:r>
        <w:rPr>
          <w:rFonts w:hint="default" w:ascii="Times New Roman" w:hAnsi="Times New Roman" w:eastAsia="方正仿宋_GBK" w:cs="Times New Roman"/>
          <w:sz w:val="32"/>
          <w:szCs w:val="32"/>
        </w:rPr>
        <w:t>一般公共服务（201类）宣传事务（33款）一般行政管理事务（02项）：支出决算为2万元，完成预算100%，决算数等于预算数。</w:t>
      </w:r>
    </w:p>
    <w:p w14:paraId="529B434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2.社会保障和就业支出（208类）行政事业单位养老支出（05款）行政单位离退休（01项）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支出决算为58.52万元，完成预算100%，决算数等于预算数。</w:t>
      </w:r>
    </w:p>
    <w:p w14:paraId="3240941F">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3.社会保障和就业支出（类208）行政事业单位养老支出（05款）机关事业单位基本养老保险缴费（05项）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支出决算为84.46万元，完成预算100%，决算数等于预算数。</w:t>
      </w:r>
    </w:p>
    <w:p w14:paraId="093EA33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4.社会保障和就业支出（208类）行政事业单位养老支出（05款）机关事业单位职业年金缴费（06项）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支出决算为20.77万元，完成预算100%，决算数等于预算数。</w:t>
      </w:r>
    </w:p>
    <w:p w14:paraId="6F4456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5.社会保障和就业支出（208类）抚恤（08款）死亡抚恤（01项）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支出决算为64.35万元，完成预算100%，决算数等于预算数。</w:t>
      </w:r>
    </w:p>
    <w:p w14:paraId="2C6CED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6.社会保障和就业支出（208类）抚恤（08款）伤残抚恤（02）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支出决算为2.27万元，完成预算100%，决算数等于预算数。</w:t>
      </w:r>
    </w:p>
    <w:p w14:paraId="0D883E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7.卫生健康支出（210类）行政事业单位医疗（11款）行政单位医疗（01项）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支出决算为34.96万元，完成预算100%，决算数等于预算数。</w:t>
      </w:r>
    </w:p>
    <w:p w14:paraId="3C6B99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8.卫生健康支出（210类）行政事业单位医疗（11款）事业单位医疗（02项）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支出决算为9.91万元，完成预算100%，决算数等于预算数。</w:t>
      </w:r>
    </w:p>
    <w:p w14:paraId="1FB752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9.卫生健康支出（210类）行政事业单位医疗（11款）公务员医疗补助（03项）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支出决算为3.99万元，完成预算100%，决算数等于预算数。</w:t>
      </w:r>
    </w:p>
    <w:p w14:paraId="058D1DE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10.卫生健康支出（210类）行政事业单位医疗（11款）其他行政事业单位医疗支出（99项）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支出决算为25.34万元，完成预算100%，决算数等于预算数。</w:t>
      </w:r>
    </w:p>
    <w:p w14:paraId="4E2252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11.城乡社区支出（212类）国有土地使用权出让收入安排（08款）征地和拆迁补偿支出（01项）：支出决算为3176.86万元，完成预算100%，决算数等于预算数。</w:t>
      </w:r>
    </w:p>
    <w:p w14:paraId="4CA5BB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12.农林水支出（213类）其他农林水支出（99款）其他农林水支出（99项）：支出决算为2.00万元，完成预算100%，决算数等于预算数。</w:t>
      </w:r>
    </w:p>
    <w:p w14:paraId="7604E7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13.交通运输支出（214类）公路水路运输（01款）行政运行（01项）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支出决算为535.02万元，完成预算100%，决算数等于预算数。</w:t>
      </w:r>
    </w:p>
    <w:p w14:paraId="2B24BA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14.交通运输支出（214类）公路水路运输（01款）公路建设（04项）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支出决算为7489.78万元，完成预算100%，决算数等于预算数。</w:t>
      </w:r>
    </w:p>
    <w:p w14:paraId="4CC64B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15.交通运输支出（214类）公路水路运输（01款）公路养护（06项）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支出决算为1576.00万元，完成预算100%，决算数等于预算数。</w:t>
      </w:r>
    </w:p>
    <w:p w14:paraId="518FAA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16.交通运输支出（214类）公路水路运输（01款）公路和运输安全（10项）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支出决算为1485.46万元，完成预算100%，决算数等于预算数。</w:t>
      </w:r>
    </w:p>
    <w:p w14:paraId="6E34EC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17.交通运输支出（214类）公路水路运输（01款）公路运输管理（12项）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支出决算为531.21万元，完成预算100%，决算数等于预算数。</w:t>
      </w:r>
    </w:p>
    <w:p w14:paraId="52212D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w:t>
      </w:r>
      <w:r>
        <w:rPr>
          <w:rFonts w:hint="default" w:ascii="Times New Roman" w:hAnsi="Times New Roman" w:eastAsia="方正仿宋_GBK" w:cs="Times New Roman"/>
          <w:sz w:val="32"/>
          <w:szCs w:val="32"/>
          <w:lang w:eastAsia="zh-CN"/>
        </w:rPr>
        <w:t>.交</w:t>
      </w:r>
      <w:r>
        <w:rPr>
          <w:rFonts w:hint="default" w:ascii="Times New Roman" w:hAnsi="Times New Roman" w:eastAsia="方正仿宋_GBK" w:cs="Times New Roman"/>
          <w:sz w:val="32"/>
          <w:szCs w:val="32"/>
        </w:rPr>
        <w:t>通运输支出（214类）公路水路运输（01款）其他公路水路运输支出（99项）：支出决算为625.42万元，完成预算100%，决算数等于预算数。</w:t>
      </w:r>
    </w:p>
    <w:p w14:paraId="6F4723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19.交通运输支出（214类）铁路运输（02款）其他铁路水路运输支出（99项）：支出决算为200.00万元，完成预算100%，决算数等于预算数。</w:t>
      </w:r>
    </w:p>
    <w:p w14:paraId="64D5AFA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20.住房保障支出（221类）住房改革支出（02款）住房公积金（01项）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支出决算为68.16万元，完成预算100%，决算数等于预算数。</w:t>
      </w:r>
    </w:p>
    <w:p w14:paraId="7B6F9CE5">
      <w:pPr>
        <w:keepNext w:val="0"/>
        <w:keepLines w:val="0"/>
        <w:pageBreakBefore w:val="0"/>
        <w:widowControl w:val="0"/>
        <w:tabs>
          <w:tab w:val="right" w:pos="8306"/>
        </w:tabs>
        <w:kinsoku/>
        <w:wordWrap/>
        <w:overflowPunct/>
        <w:topLinePunct w:val="0"/>
        <w:autoSpaceDE/>
        <w:autoSpaceDN/>
        <w:bidi w:val="0"/>
        <w:adjustRightInd/>
        <w:snapToGrid/>
        <w:spacing w:line="576" w:lineRule="exact"/>
        <w:ind w:firstLine="640" w:firstLineChars="200"/>
        <w:textAlignment w:val="auto"/>
        <w:outlineLvl w:val="1"/>
        <w:rPr>
          <w:rStyle w:val="30"/>
          <w:rFonts w:hint="default" w:ascii="Times New Roman" w:hAnsi="Times New Roman" w:eastAsia="方正仿宋_GBK" w:cs="Times New Roman"/>
          <w:sz w:val="32"/>
          <w:szCs w:val="32"/>
        </w:rPr>
      </w:pPr>
      <w:bookmarkStart w:id="28" w:name="_Toc15396608"/>
      <w:bookmarkStart w:id="29" w:name="_Toc15377214"/>
      <w:r>
        <w:rPr>
          <w:rFonts w:hint="default" w:eastAsia="黑体"/>
          <w:sz w:val="32"/>
          <w:szCs w:val="32"/>
        </w:rPr>
        <w:t>六、一般公共预算财政拨款基本支出决算情况说明</w:t>
      </w:r>
      <w:bookmarkEnd w:id="28"/>
      <w:bookmarkEnd w:id="29"/>
      <w:r>
        <w:rPr>
          <w:rStyle w:val="30"/>
          <w:rFonts w:hint="default" w:ascii="Times New Roman" w:hAnsi="Times New Roman" w:eastAsia="方正仿宋_GBK" w:cs="Times New Roman"/>
          <w:b w:val="0"/>
          <w:sz w:val="32"/>
          <w:szCs w:val="32"/>
        </w:rPr>
        <w:tab/>
      </w:r>
    </w:p>
    <w:p w14:paraId="318B9C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2024年度一般公共预算财政拨款基本支出1143.52万元，其中：</w:t>
      </w:r>
    </w:p>
    <w:p w14:paraId="1B92BFF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经费1061.21万元，主要包括：基本工资、津贴补贴、奖金、绩效工资、机关事业单位基本养老保险缴费、职业年金缴费、其他社会保障缴费、其他工资福利支出、抚恤金、生活补助、医疗费补助、奖励金、住房公积金等。</w:t>
      </w:r>
      <w:r>
        <w:rPr>
          <w:rFonts w:hint="default" w:ascii="Times New Roman" w:hAnsi="Times New Roman" w:eastAsia="方正仿宋_GBK" w:cs="Times New Roman"/>
          <w:sz w:val="32"/>
          <w:szCs w:val="32"/>
        </w:rPr>
        <w:br w:type="textWrapping"/>
      </w:r>
      <w:r>
        <w:rPr>
          <w:rFonts w:hint="default" w:ascii="Times New Roman" w:hAnsi="Times New Roman" w:eastAsia="方正仿宋_GBK" w:cs="Times New Roman"/>
          <w:sz w:val="32"/>
          <w:szCs w:val="32"/>
        </w:rPr>
        <w:t>　　公用经费82.30万元，主要包括：办公费、印刷费、水费、电费、邮电费、差旅费、维修（护）费、会议费、培训费、公务接待费、劳务费、工会经费、福利费、其他交通费、其他商品和服务支出等。</w:t>
      </w:r>
    </w:p>
    <w:p w14:paraId="6A7CBDF0">
      <w:pPr>
        <w:spacing w:line="600" w:lineRule="exact"/>
        <w:ind w:firstLine="640"/>
        <w:outlineLvl w:val="1"/>
        <w:rPr>
          <w:rStyle w:val="30"/>
          <w:rFonts w:ascii="Times New Roman" w:hAnsi="Times New Roman" w:eastAsia="黑体"/>
          <w:b w:val="0"/>
        </w:rPr>
      </w:pPr>
      <w:bookmarkStart w:id="30" w:name="_Toc15396609"/>
      <w:bookmarkStart w:id="31"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30"/>
      <w:bookmarkEnd w:id="31"/>
    </w:p>
    <w:p w14:paraId="6926D79A">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54172C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w:t>
      </w:r>
      <w:bookmarkStart w:id="33" w:name="_Toc15377217"/>
      <w:r>
        <w:rPr>
          <w:rFonts w:hint="eastAsia" w:eastAsia="仿宋_GB2312" w:cs="仿宋_GB2312"/>
          <w:sz w:val="32"/>
          <w:szCs w:val="32"/>
        </w:rPr>
        <w:t>与2023年持平。</w:t>
      </w:r>
    </w:p>
    <w:p w14:paraId="1BD61834">
      <w:pPr>
        <w:spacing w:line="600" w:lineRule="exact"/>
        <w:ind w:firstLine="640"/>
        <w:rPr>
          <w:rFonts w:eastAsia="楷体_GB2312" w:cs="楷体_GB2312"/>
          <w:b/>
          <w:sz w:val="32"/>
          <w:szCs w:val="32"/>
        </w:rPr>
      </w:pPr>
      <w:r>
        <w:rPr>
          <w:rFonts w:hint="eastAsia" w:eastAsia="楷体_GB2312" w:cs="楷体_GB2312"/>
          <w:b/>
          <w:sz w:val="32"/>
          <w:szCs w:val="32"/>
        </w:rPr>
        <w:t>（二）“三公”经费财政拨款支出决算具体情况说明</w:t>
      </w:r>
      <w:bookmarkEnd w:id="33"/>
    </w:p>
    <w:p w14:paraId="3E3134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2024年度“三公”经费财政拨款支出决算中，因公出国（境）费支出决算0万元，占0%；公务用车购置及运行维护费支出决算0万元，占0%；公务接待费支出决算0万元，占0%。具体情况如下：</w:t>
      </w:r>
    </w:p>
    <w:p w14:paraId="086FA40E">
      <w:pPr>
        <w:pStyle w:val="20"/>
      </w:pPr>
      <w:r>
        <w:drawing>
          <wp:inline distT="0" distB="0" distL="0" distR="0">
            <wp:extent cx="5572125" cy="3333750"/>
            <wp:effectExtent l="0" t="0" r="9525" b="1905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25E431">
      <w:pPr>
        <w:spacing w:line="600" w:lineRule="exact"/>
        <w:ind w:firstLine="640"/>
        <w:rPr>
          <w:rFonts w:eastAsia="仿宋_GB2312" w:cs="仿宋_GB2312"/>
          <w:sz w:val="32"/>
          <w:szCs w:val="32"/>
        </w:rPr>
      </w:pPr>
      <w:r>
        <w:rPr>
          <w:rFonts w:hint="eastAsia" w:eastAsia="仿宋_GB2312" w:cs="仿宋_GB2312"/>
          <w:sz w:val="32"/>
          <w:szCs w:val="32"/>
        </w:rPr>
        <w:t>（图7：“三公”经费财政拨款支出结构）（饼状图）</w:t>
      </w:r>
    </w:p>
    <w:p w14:paraId="5A507CE1">
      <w:pPr>
        <w:spacing w:line="600" w:lineRule="exact"/>
        <w:ind w:firstLine="640"/>
        <w:rPr>
          <w:rFonts w:hint="eastAsia" w:eastAsia="仿宋_GB2312" w:cs="仿宋_GB2312"/>
          <w:sz w:val="32"/>
          <w:szCs w:val="32"/>
        </w:rPr>
      </w:pP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全年安排因公出国（境）团组0次，出国（境）0人。因公出国（境）支出决算与2023年持平。</w:t>
      </w:r>
    </w:p>
    <w:p w14:paraId="468B8B8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公务用车购置及运行维护费支出决算与2023年度持平。</w:t>
      </w:r>
    </w:p>
    <w:p w14:paraId="148AE7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其中：公务用车购置支出0万元。全年按规定更新购置公务用车0辆，其中：轿车0辆、金额0万元，越野车0辆、金额0万元，载客汽车0辆、金额0万元。截至2024年12月31日，单位共有汽车2辆，其中：轿车0辆、越野车0辆、载客汽车0辆，特种专业技术用车2辆。</w:t>
      </w:r>
    </w:p>
    <w:p w14:paraId="5F43D7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公务用车运行维护费支出0万元。</w:t>
      </w:r>
    </w:p>
    <w:p w14:paraId="32790F3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公务接待费支出决算与2023持平。其中：</w:t>
      </w:r>
    </w:p>
    <w:p w14:paraId="032B02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元。国内公务接</w:t>
      </w:r>
      <w:r>
        <w:rPr>
          <w:rFonts w:hint="eastAsia" w:ascii="仿宋_GB2312" w:hAnsi="仿宋_GB2312" w:eastAsia="仿宋_GB2312" w:cs="仿宋_GB2312"/>
          <w:sz w:val="32"/>
          <w:szCs w:val="32"/>
        </w:rPr>
        <w:t>待0批次，0</w:t>
      </w:r>
      <w:r>
        <w:rPr>
          <w:rFonts w:hint="eastAsia" w:eastAsia="仿宋_GB2312" w:cs="仿宋_GB2312"/>
          <w:sz w:val="32"/>
          <w:szCs w:val="32"/>
        </w:rPr>
        <w:t>人次（不包括陪同人员），共计支出0万元。</w:t>
      </w:r>
    </w:p>
    <w:p w14:paraId="18F7E2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出0万元。外事接待0批次，0人次（不包括陪同人员），共计支出0万</w:t>
      </w:r>
      <w:r>
        <w:rPr>
          <w:rFonts w:hint="eastAsia" w:eastAsia="仿宋_GB2312" w:cs="仿宋_GB2312"/>
          <w:sz w:val="32"/>
          <w:szCs w:val="32"/>
        </w:rPr>
        <w:t>元。</w:t>
      </w:r>
      <w:bookmarkStart w:id="34" w:name="_Toc15396610"/>
      <w:bookmarkStart w:id="35" w:name="_Toc15377218"/>
    </w:p>
    <w:p w14:paraId="10820517">
      <w:pPr>
        <w:spacing w:line="600" w:lineRule="exact"/>
        <w:ind w:firstLine="640"/>
        <w:outlineLvl w:val="1"/>
        <w:rPr>
          <w:rStyle w:val="30"/>
          <w:rFonts w:ascii="Times New Roman" w:hAnsi="Times New Roman" w:eastAsia="黑体"/>
        </w:rPr>
      </w:pPr>
      <w:r>
        <w:rPr>
          <w:rFonts w:hint="eastAsia" w:eastAsia="黑体"/>
          <w:sz w:val="32"/>
          <w:szCs w:val="32"/>
        </w:rPr>
        <w:t>八、</w:t>
      </w:r>
      <w:r>
        <w:rPr>
          <w:rStyle w:val="30"/>
          <w:rFonts w:hint="eastAsia" w:ascii="Times New Roman" w:hAnsi="Times New Roman" w:eastAsia="黑体"/>
          <w:b w:val="0"/>
        </w:rPr>
        <w:t>政府性基金预算支出决算情况说明</w:t>
      </w:r>
      <w:bookmarkEnd w:id="34"/>
      <w:bookmarkEnd w:id="35"/>
    </w:p>
    <w:p w14:paraId="62B0BA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2024年度政府性基金预算财政拨款支出3176.86万元，占本年支出合计的21.08%。与2023年度相比，政府性基金预算财政拨款支出增加3176.86万元，增长100%。主要变动原因是2023年未安排政府性基金预算财政拨款。</w:t>
      </w:r>
    </w:p>
    <w:p w14:paraId="74630B65">
      <w:pPr>
        <w:spacing w:line="600" w:lineRule="exact"/>
        <w:ind w:left="630"/>
        <w:outlineLvl w:val="1"/>
        <w:rPr>
          <w:rStyle w:val="30"/>
          <w:rFonts w:ascii="Times New Roman" w:hAnsi="Times New Roman" w:eastAsia="黑体"/>
          <w:b w:val="0"/>
        </w:rPr>
      </w:pPr>
      <w:bookmarkStart w:id="36" w:name="_Toc15396611"/>
      <w:bookmarkStart w:id="37" w:name="_Toc15377219"/>
      <w:r>
        <w:rPr>
          <w:rStyle w:val="30"/>
          <w:rFonts w:hint="eastAsia" w:ascii="Times New Roman" w:hAnsi="Times New Roman" w:eastAsia="黑体"/>
          <w:b w:val="0"/>
        </w:rPr>
        <w:t>九、国有资本经营预算支出决算情况说明</w:t>
      </w:r>
      <w:bookmarkEnd w:id="36"/>
      <w:bookmarkEnd w:id="37"/>
    </w:p>
    <w:p w14:paraId="2C9955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2024年度国有资本经营预算财政拨款支出0万元，占本年支出合计的0%。与2023年度持平。</w:t>
      </w:r>
    </w:p>
    <w:p w14:paraId="2FA76BBA">
      <w:pPr>
        <w:spacing w:line="600" w:lineRule="exact"/>
        <w:ind w:left="630"/>
        <w:outlineLvl w:val="1"/>
        <w:rPr>
          <w:rStyle w:val="30"/>
          <w:rFonts w:ascii="Times New Roman" w:hAnsi="Times New Roman" w:eastAsia="黑体"/>
          <w:b w:val="0"/>
        </w:rPr>
      </w:pPr>
      <w:bookmarkStart w:id="38" w:name="_Toc15396612"/>
      <w:bookmarkStart w:id="39" w:name="_Toc15377221"/>
      <w:r>
        <w:rPr>
          <w:rStyle w:val="30"/>
          <w:rFonts w:hint="eastAsia" w:ascii="Times New Roman" w:hAnsi="Times New Roman" w:eastAsia="黑体"/>
          <w:b w:val="0"/>
        </w:rPr>
        <w:t>十、其他重要事项的情况说明</w:t>
      </w:r>
      <w:bookmarkEnd w:id="38"/>
      <w:bookmarkEnd w:id="39"/>
    </w:p>
    <w:p w14:paraId="10DD66F2">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6A5816A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2024年度，盐边县交通运输局机关运行经费支出82.30万元，比2023年度增加40.94万元，增长98.98%。主要原因是2023年没有汇总下属二级单位，2024年汇总了下属二级单位的数据。</w:t>
      </w:r>
    </w:p>
    <w:p w14:paraId="4C974562">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14:paraId="348ECA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2024年度，盐边县交通运输</w:t>
      </w:r>
      <w:r>
        <w:rPr>
          <w:rFonts w:hint="eastAsia" w:eastAsia="仿宋_GB2312" w:cs="仿宋_GB2312"/>
          <w:sz w:val="32"/>
          <w:szCs w:val="32"/>
          <w:lang w:eastAsia="zh-CN"/>
        </w:rPr>
        <w:t>局</w:t>
      </w:r>
      <w:r>
        <w:rPr>
          <w:rFonts w:hint="eastAsia" w:eastAsia="仿宋_GB2312" w:cs="仿宋_GB2312"/>
          <w:sz w:val="32"/>
          <w:szCs w:val="32"/>
        </w:rPr>
        <w:t>政府采购支出总额125.90万元，其中：政府采购货物支出4.89万元、政府采购工程支出0万元、政府采购服务支出121.03万元。</w:t>
      </w:r>
      <w:r>
        <w:rPr>
          <w:rFonts w:hint="eastAsia" w:eastAsia="仿宋_GB2312" w:cs="仿宋_GB2312"/>
          <w:sz w:val="32"/>
          <w:szCs w:val="32"/>
          <w:lang w:eastAsia="zh-CN"/>
        </w:rPr>
        <w:t>主要用于</w:t>
      </w:r>
      <w:r>
        <w:rPr>
          <w:rFonts w:hint="eastAsia" w:eastAsia="仿宋_GB2312" w:cs="仿宋_GB2312"/>
          <w:sz w:val="32"/>
          <w:szCs w:val="32"/>
          <w:lang w:val="en-US" w:eastAsia="zh-CN"/>
        </w:rPr>
        <w:t>2024年度全县管养省县道部分桥梁定期检查</w:t>
      </w:r>
      <w:r>
        <w:rPr>
          <w:rFonts w:hint="eastAsia" w:eastAsia="仿宋_GB2312" w:cs="仿宋_GB2312"/>
          <w:sz w:val="32"/>
          <w:szCs w:val="32"/>
        </w:rPr>
        <w:t>。授予中小企业合同金额122.9万元，占政府采购支出总额的100%，其中：授予小微企业合同金额4.89万元，占政府采购支出总额的3.98%。</w:t>
      </w:r>
    </w:p>
    <w:p w14:paraId="051F4B8B">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14:paraId="6F791B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s="仿宋_GB2312"/>
          <w:sz w:val="32"/>
          <w:szCs w:val="32"/>
          <w:lang w:eastAsia="zh-CN"/>
        </w:rPr>
      </w:pPr>
      <w:r>
        <w:rPr>
          <w:rFonts w:hint="eastAsia" w:eastAsia="仿宋_GB2312" w:cs="仿宋_GB2312"/>
          <w:sz w:val="32"/>
          <w:szCs w:val="32"/>
        </w:rPr>
        <w:t>截至2024年12月31日，盐边县交通运输</w:t>
      </w:r>
      <w:r>
        <w:rPr>
          <w:rFonts w:hint="eastAsia" w:eastAsia="仿宋_GB2312" w:cs="仿宋_GB2312"/>
          <w:sz w:val="32"/>
          <w:szCs w:val="32"/>
          <w:lang w:eastAsia="zh-CN"/>
        </w:rPr>
        <w:t>局</w:t>
      </w:r>
      <w:r>
        <w:rPr>
          <w:rFonts w:hint="eastAsia" w:eastAsia="仿宋_GB2312" w:cs="仿宋_GB2312"/>
          <w:sz w:val="32"/>
          <w:szCs w:val="32"/>
        </w:rPr>
        <w:t>共有车辆2辆，其中：主要负责人用车0辆、机要通信用车0辆、应急保障用车0辆、其他用车2辆。单价100万元（含）以上设备（不含车辆）0台（套）</w:t>
      </w:r>
      <w:r>
        <w:rPr>
          <w:rFonts w:hint="eastAsia" w:eastAsia="仿宋_GB2312" w:cs="仿宋_GB2312"/>
          <w:sz w:val="32"/>
          <w:szCs w:val="32"/>
          <w:lang w:eastAsia="zh-CN"/>
        </w:rPr>
        <w:t>。</w:t>
      </w:r>
    </w:p>
    <w:p w14:paraId="42E3EEC3">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72F04A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eastAsia="仿宋_GB2312" w:cs="仿宋_GB2312"/>
          <w:sz w:val="32"/>
          <w:szCs w:val="32"/>
        </w:rPr>
      </w:pPr>
      <w:r>
        <w:rPr>
          <w:rFonts w:hint="eastAsia" w:eastAsia="仿宋_GB2312" w:cs="仿宋_GB2312"/>
          <w:sz w:val="32"/>
          <w:szCs w:val="32"/>
        </w:rPr>
        <w:t>根据预算绩效管理要求，盐边县交通运输局在2024年度预算编制阶段，组织对农村客运保险补贴、2023年度政府采购《鳡鱼大桥健康监测》尾款及质保金、2024年度增开攀枝花至成都直达动车补贴分摊、拖欠盐边县虹翔保安服务有限公司劳务费、2024年度S218盐边县城南入口至安宁工业园段新建工程、公路养护专项资金、以前年度工程遗留未付款项目（中小企业欠款）等7个项目开展了预算事前绩效评估，对7个项目编制了绩效目标</w:t>
      </w:r>
      <w:r>
        <w:rPr>
          <w:rFonts w:hint="eastAsia" w:eastAsia="仿宋_GB2312" w:cs="仿宋_GB2312"/>
          <w:sz w:val="32"/>
          <w:szCs w:val="32"/>
          <w:lang w:eastAsia="zh-CN"/>
        </w:rPr>
        <w:t>，在</w:t>
      </w:r>
      <w:r>
        <w:rPr>
          <w:rFonts w:hint="eastAsia" w:eastAsia="仿宋_GB2312" w:cs="仿宋_GB2312"/>
          <w:sz w:val="32"/>
          <w:szCs w:val="32"/>
        </w:rPr>
        <w:t>预算执行过程中，选取6个项目开展绩效监控。</w:t>
      </w:r>
    </w:p>
    <w:p w14:paraId="0D8451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color w:val="auto"/>
          <w:kern w:val="2"/>
          <w:sz w:val="32"/>
          <w:szCs w:val="32"/>
          <w:lang w:val="en-US" w:eastAsia="zh-CN" w:bidi="ar-SA"/>
        </w:rPr>
        <w:t>组织对2024年度一般公共预算、政府性基金预算、国有资本经营预算、社会保险基金预算以及资本资产、债券资金等全面开展绩效自评，形成盐边县交通运输局部门整体（含部门预算项目）绩效自评报告、桑园大桥拆除重建项目</w:t>
      </w:r>
      <w:r>
        <w:rPr>
          <w:rFonts w:hint="eastAsia"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kern w:val="2"/>
          <w:sz w:val="32"/>
          <w:szCs w:val="32"/>
          <w:lang w:val="en-US" w:eastAsia="zh-CN" w:bidi="ar-SA"/>
        </w:rPr>
        <w:t>撤并建制村畅通工程及30户以上自然村组通硬化路、2020-2023年度农村客运补贴和城市交通发展奖励资金、通    组路、2024年度S218盐边县城南入口至安宁工业园段新建工程、2024年农村公路日常养护等专项预算项目绩效自评报</w:t>
      </w:r>
      <w:r>
        <w:rPr>
          <w:rFonts w:hint="default" w:ascii="Times New Roman" w:hAnsi="Times New Roman" w:eastAsia="方正仿宋_GBK" w:cs="Times New Roman"/>
          <w:sz w:val="32"/>
          <w:szCs w:val="32"/>
        </w:rPr>
        <w:t>告，其中，</w:t>
      </w:r>
      <w:r>
        <w:rPr>
          <w:rFonts w:hint="default" w:ascii="Times New Roman" w:hAnsi="Times New Roman" w:eastAsia="方正仿宋_GBK" w:cs="Times New Roman"/>
          <w:sz w:val="32"/>
          <w:szCs w:val="32"/>
          <w:lang w:val="en-US" w:eastAsia="zh-CN"/>
        </w:rPr>
        <w:t>盐边县交通运输局</w:t>
      </w:r>
      <w:r>
        <w:rPr>
          <w:rFonts w:hint="default" w:ascii="Times New Roman" w:hAnsi="Times New Roman" w:eastAsia="方正仿宋_GBK" w:cs="Times New Roman"/>
          <w:sz w:val="32"/>
          <w:szCs w:val="32"/>
        </w:rPr>
        <w:t>部门整体（含部门预算项目）绩效自评得分为</w:t>
      </w:r>
      <w:r>
        <w:rPr>
          <w:rFonts w:hint="default" w:ascii="Times New Roman" w:hAnsi="Times New Roman" w:eastAsia="方正仿宋_GBK" w:cs="Times New Roman"/>
          <w:sz w:val="32"/>
          <w:szCs w:val="32"/>
          <w:lang w:val="en-US" w:eastAsia="zh-CN"/>
        </w:rPr>
        <w:t>98</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val="zh-CN"/>
        </w:rPr>
        <w:t>我局严格按照《中华人民共和国预算法》按时完成预决算编制。在资金预算编制方面，在预算执行、综合管理、整体绩效方面，均按照国家政策规范规定，结合本单位实际情况及相关规定严格执行，并合理安排项目资金，使财政资金发挥最大的效益，确保我局各项工作高效规范有序推进，圆满完成年初下达的各项工作任务，有效推动工作开展，扎实为全县社会稳定、秩序良好更好地服务好；</w:t>
      </w:r>
      <w:r>
        <w:rPr>
          <w:rFonts w:hint="default" w:ascii="Times New Roman" w:hAnsi="Times New Roman" w:eastAsia="方正仿宋_GBK" w:cs="Times New Roman"/>
          <w:color w:val="auto"/>
          <w:kern w:val="2"/>
          <w:sz w:val="32"/>
          <w:szCs w:val="32"/>
          <w:lang w:val="en-US"/>
        </w:rPr>
        <w:t>2024</w:t>
      </w:r>
      <w:r>
        <w:rPr>
          <w:rFonts w:hint="default" w:ascii="Times New Roman" w:hAnsi="Times New Roman" w:eastAsia="方正仿宋_GBK" w:cs="Times New Roman"/>
          <w:sz w:val="32"/>
          <w:szCs w:val="32"/>
        </w:rPr>
        <w:t>年农村公路日常养护专项预算项目绩效自评得分为</w:t>
      </w:r>
      <w:r>
        <w:rPr>
          <w:rFonts w:hint="default" w:ascii="Times New Roman" w:hAnsi="Times New Roman" w:eastAsia="方正仿宋_GBK" w:cs="Times New Roman"/>
          <w:color w:val="auto"/>
          <w:kern w:val="2"/>
          <w:sz w:val="32"/>
          <w:szCs w:val="32"/>
          <w:lang w:val="en-US" w:eastAsia="zh-CN"/>
        </w:rPr>
        <w:t>99</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val="en-US" w:eastAsia="zh-CN"/>
        </w:rPr>
        <w:t>提升道路通行安全保障，优化路风路貌；</w:t>
      </w:r>
      <w:r>
        <w:rPr>
          <w:rFonts w:hint="default" w:ascii="Times New Roman" w:hAnsi="Times New Roman" w:eastAsia="方正仿宋_GBK" w:cs="Times New Roman"/>
          <w:sz w:val="32"/>
          <w:szCs w:val="32"/>
          <w:lang w:val="en-US"/>
        </w:rPr>
        <w:t>2024年度S218</w:t>
      </w:r>
      <w:r>
        <w:rPr>
          <w:rFonts w:hint="default" w:ascii="Times New Roman" w:hAnsi="Times New Roman" w:eastAsia="方正仿宋_GBK" w:cs="Times New Roman"/>
          <w:sz w:val="32"/>
          <w:szCs w:val="32"/>
        </w:rPr>
        <w:t>盐边县城南入口至安宁工业园段专项预算项目绩效自评得分为</w:t>
      </w:r>
      <w:r>
        <w:rPr>
          <w:rFonts w:hint="default" w:ascii="Times New Roman" w:hAnsi="Times New Roman" w:eastAsia="方正仿宋_GBK" w:cs="Times New Roman"/>
          <w:sz w:val="32"/>
          <w:szCs w:val="32"/>
          <w:lang w:val="en-US" w:eastAsia="zh-CN"/>
        </w:rPr>
        <w:t>98</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val="en-US" w:eastAsia="zh-CN"/>
        </w:rPr>
        <w:t>项目主线建成方便群众出行，促进产业发展，降低物流运输成本</w:t>
      </w:r>
      <w:r>
        <w:rPr>
          <w:rFonts w:hint="default" w:ascii="Times New Roman" w:hAnsi="Times New Roman" w:eastAsia="方正仿宋_GBK" w:cs="Times New Roman"/>
          <w:sz w:val="32"/>
          <w:szCs w:val="32"/>
        </w:rPr>
        <w:t>；通组路专项预算项目绩效自评得分为</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val="en-US" w:eastAsia="zh-CN"/>
        </w:rPr>
        <w:t>项目已全面完工，正在开展资金清算工作，项目建成后有效方便群众出行，促进乡村文旅产业发展</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rPr>
        <w:t>2020-2023年度农村</w:t>
      </w:r>
      <w:r>
        <w:rPr>
          <w:rFonts w:hint="default" w:ascii="Times New Roman" w:hAnsi="Times New Roman" w:eastAsia="方正仿宋_GBK" w:cs="Times New Roman"/>
          <w:sz w:val="32"/>
          <w:szCs w:val="32"/>
        </w:rPr>
        <w:t>客运补贴和城市交通发展奖励资金专项预算项目绩效自评得分为</w:t>
      </w:r>
      <w:r>
        <w:rPr>
          <w:rFonts w:hint="default" w:ascii="Times New Roman" w:hAnsi="Times New Roman" w:eastAsia="方正仿宋_GBK" w:cs="Times New Roman"/>
          <w:color w:val="auto"/>
          <w:kern w:val="2"/>
          <w:sz w:val="32"/>
          <w:szCs w:val="32"/>
          <w:lang w:val="en-US" w:eastAsia="zh-CN"/>
        </w:rPr>
        <w:t>92</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val="zh-CN"/>
        </w:rPr>
        <w:t>扎实为全县社会稳定、秩序良好更好地服务好；</w:t>
      </w:r>
      <w:r>
        <w:rPr>
          <w:rFonts w:hint="default" w:ascii="Times New Roman" w:hAnsi="Times New Roman" w:eastAsia="方正仿宋_GBK" w:cs="Times New Roman"/>
          <w:sz w:val="32"/>
          <w:szCs w:val="32"/>
        </w:rPr>
        <w:t>撤并建制村畅通工程及</w:t>
      </w:r>
      <w:r>
        <w:rPr>
          <w:rFonts w:hint="default" w:ascii="Times New Roman" w:hAnsi="Times New Roman" w:eastAsia="方正仿宋_GBK" w:cs="Times New Roman"/>
          <w:color w:val="auto"/>
          <w:kern w:val="2"/>
          <w:sz w:val="32"/>
          <w:szCs w:val="32"/>
          <w:lang w:val="en-US"/>
        </w:rPr>
        <w:t>30户以上自然村组通硬化路</w:t>
      </w:r>
      <w:r>
        <w:rPr>
          <w:rFonts w:hint="default" w:ascii="Times New Roman" w:hAnsi="Times New Roman" w:eastAsia="方正仿宋_GBK" w:cs="Times New Roman"/>
          <w:sz w:val="32"/>
          <w:szCs w:val="32"/>
        </w:rPr>
        <w:t>专项预算项目绩效自评得分为</w:t>
      </w:r>
      <w:r>
        <w:rPr>
          <w:rFonts w:hint="default" w:ascii="Times New Roman" w:hAnsi="Times New Roman" w:eastAsia="方正仿宋_GBK" w:cs="Times New Roman"/>
          <w:color w:val="auto"/>
          <w:kern w:val="2"/>
          <w:sz w:val="32"/>
          <w:szCs w:val="32"/>
          <w:lang w:val="en-US" w:eastAsia="zh-CN"/>
        </w:rPr>
        <w:t>100</w:t>
      </w:r>
      <w:r>
        <w:rPr>
          <w:rFonts w:hint="default" w:ascii="Times New Roman" w:hAnsi="Times New Roman" w:eastAsia="方正仿宋_GBK" w:cs="Times New Roman"/>
          <w:sz w:val="32"/>
          <w:szCs w:val="32"/>
        </w:rPr>
        <w:t>分，</w:t>
      </w:r>
      <w:r>
        <w:rPr>
          <w:rFonts w:hint="default" w:ascii="Times New Roman" w:hAnsi="Times New Roman" w:eastAsia="方正仿宋_GBK" w:cs="Times New Roman"/>
          <w:sz w:val="32"/>
          <w:szCs w:val="32"/>
          <w:lang w:val="en-US" w:eastAsia="zh-CN"/>
        </w:rPr>
        <w:t>项目已全面完工，正在开展资金清算工作，项目建成后有效方便群众出行，促进乡村</w:t>
      </w:r>
      <w:r>
        <w:rPr>
          <w:rFonts w:hint="eastAsia" w:ascii="Times New Roman" w:hAnsi="Times New Roman" w:eastAsia="方正仿宋_GBK" w:cs="Times New Roman"/>
          <w:sz w:val="32"/>
          <w:szCs w:val="32"/>
          <w:lang w:val="en-US" w:eastAsia="zh-CN"/>
        </w:rPr>
        <w:t>文化</w:t>
      </w:r>
      <w:r>
        <w:rPr>
          <w:rFonts w:hint="default" w:ascii="Times New Roman" w:hAnsi="Times New Roman" w:eastAsia="方正仿宋_GBK" w:cs="Times New Roman"/>
          <w:sz w:val="32"/>
          <w:szCs w:val="32"/>
          <w:lang w:val="en-US" w:eastAsia="zh-CN"/>
        </w:rPr>
        <w:t>旅游产业发展。</w:t>
      </w:r>
    </w:p>
    <w:p w14:paraId="211BC9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auto"/>
          <w:kern w:val="2"/>
          <w:sz w:val="32"/>
          <w:szCs w:val="32"/>
          <w:lang w:val="en-US"/>
        </w:rPr>
      </w:pPr>
      <w:r>
        <w:rPr>
          <w:rFonts w:hint="default" w:ascii="Times New Roman" w:hAnsi="Times New Roman" w:eastAsia="方正仿宋_GBK" w:cs="Times New Roman"/>
          <w:sz w:val="32"/>
          <w:szCs w:val="32"/>
        </w:rPr>
        <w:t>绩效自评报告详见附件。</w:t>
      </w:r>
    </w:p>
    <w:p w14:paraId="0FD135F8">
      <w:pPr>
        <w:spacing w:line="600" w:lineRule="exact"/>
        <w:ind w:firstLine="640"/>
        <w:rPr>
          <w:rFonts w:eastAsia="仿宋_GB2312" w:cs="仿宋_GB2312"/>
          <w:sz w:val="32"/>
          <w:szCs w:val="32"/>
        </w:rPr>
      </w:pPr>
    </w:p>
    <w:p w14:paraId="7FA23049">
      <w:pPr>
        <w:spacing w:line="600" w:lineRule="exact"/>
        <w:jc w:val="both"/>
        <w:outlineLvl w:val="0"/>
        <w:rPr>
          <w:rFonts w:hint="eastAsia" w:eastAsia="黑体"/>
          <w:sz w:val="44"/>
          <w:szCs w:val="44"/>
        </w:rPr>
      </w:pPr>
      <w:bookmarkStart w:id="43" w:name="_Toc15396613"/>
      <w:bookmarkStart w:id="44" w:name="_Toc15377225"/>
    </w:p>
    <w:p w14:paraId="0C75621B">
      <w:pPr>
        <w:spacing w:line="600" w:lineRule="exact"/>
        <w:jc w:val="center"/>
        <w:outlineLvl w:val="0"/>
        <w:rPr>
          <w:rFonts w:eastAsia="黑体"/>
          <w:sz w:val="44"/>
          <w:szCs w:val="44"/>
        </w:rPr>
      </w:pPr>
      <w:r>
        <w:rPr>
          <w:rFonts w:hint="eastAsia" w:eastAsia="黑体"/>
          <w:sz w:val="44"/>
          <w:szCs w:val="44"/>
        </w:rPr>
        <w:t>第三部分  名词解释</w:t>
      </w:r>
      <w:bookmarkEnd w:id="43"/>
      <w:bookmarkEnd w:id="44"/>
    </w:p>
    <w:p w14:paraId="7CDBB8FC">
      <w:pPr>
        <w:spacing w:line="600" w:lineRule="exact"/>
        <w:jc w:val="left"/>
        <w:rPr>
          <w:b/>
          <w:sz w:val="44"/>
          <w:szCs w:val="44"/>
        </w:rPr>
      </w:pPr>
    </w:p>
    <w:p w14:paraId="0238A4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1.财政拨款收入：指单位从同级财政部门取得的财政预算资金。</w:t>
      </w:r>
    </w:p>
    <w:p w14:paraId="31DD342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2.事业收入：指事业单位开展专业业务活动及辅助活动取得的收入。</w:t>
      </w:r>
    </w:p>
    <w:p w14:paraId="638AB28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3.经营收入：指事业单位在专业业务活动及其辅助活动之外开展非独立核算经营活动取得的收入。</w:t>
      </w:r>
    </w:p>
    <w:p w14:paraId="4976BA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4.其他收入：指单位取得的除上述收入以外的各项收入。</w:t>
      </w:r>
    </w:p>
    <w:p w14:paraId="7B68002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5.使用非财政拨款结余（含专用结余）：指事业单位使用以前年度积累的非财政拨款结余弥补当年收支差额的金额。 </w:t>
      </w:r>
    </w:p>
    <w:p w14:paraId="3A2383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6.年初结转和结余：指以前年度尚未完成、结转到本年按有关规定继续使用的资金。 </w:t>
      </w:r>
    </w:p>
    <w:p w14:paraId="600A69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7.结余分配：指事业单位按照会计制度规定缴纳的所得税、提取的专用结余以及转入非财政拨款结余的金额等。</w:t>
      </w:r>
    </w:p>
    <w:p w14:paraId="4704E9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8.年末结转和结余：指单位按有关规定结转到下年或以后年度继续使用的资金。</w:t>
      </w:r>
    </w:p>
    <w:p w14:paraId="3A5C81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9.一般公共服务（201类）宣传事务（33款）一般行政管理事务（02项）：指反映行政单位（包括实行公务员管理的事业单位）未单独设置项级科目的其他项目支出。</w:t>
      </w:r>
    </w:p>
    <w:p w14:paraId="70BAF65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10.社会保障和就业（208类）</w:t>
      </w:r>
      <w:r>
        <w:rPr>
          <w:rFonts w:hint="default" w:ascii="Times New Roman" w:hAnsi="Times New Roman" w:eastAsia="方正仿宋_GBK" w:cs="Times New Roman"/>
          <w:color w:val="000000"/>
          <w:sz w:val="32"/>
          <w:szCs w:val="32"/>
        </w:rPr>
        <w:t>行政事业单位养老支出</w:t>
      </w:r>
      <w:r>
        <w:rPr>
          <w:rFonts w:hint="default" w:ascii="Times New Roman" w:hAnsi="Times New Roman" w:eastAsia="方正仿宋_GBK" w:cs="Times New Roman"/>
          <w:sz w:val="32"/>
          <w:szCs w:val="32"/>
        </w:rPr>
        <w:t>（05款）</w:t>
      </w:r>
      <w:r>
        <w:rPr>
          <w:rFonts w:hint="default" w:ascii="Times New Roman" w:hAnsi="Times New Roman" w:eastAsia="方正仿宋_GBK" w:cs="Times New Roman"/>
          <w:color w:val="000000"/>
          <w:sz w:val="32"/>
          <w:szCs w:val="32"/>
        </w:rPr>
        <w:t>行政单位离退休</w:t>
      </w:r>
      <w:r>
        <w:rPr>
          <w:rFonts w:hint="default" w:ascii="Times New Roman" w:hAnsi="Times New Roman" w:eastAsia="方正仿宋_GBK" w:cs="Times New Roman"/>
          <w:sz w:val="32"/>
          <w:szCs w:val="32"/>
        </w:rPr>
        <w:t>（01项）：</w:t>
      </w:r>
      <w:r>
        <w:rPr>
          <w:rFonts w:hint="default" w:ascii="Times New Roman" w:hAnsi="Times New Roman" w:eastAsia="方正仿宋_GBK" w:cs="Times New Roman"/>
          <w:color w:val="000000"/>
          <w:sz w:val="32"/>
          <w:szCs w:val="32"/>
        </w:rPr>
        <w:t>指行政单位（包括实行公务员管理的事业单位）开支的离退休经费</w:t>
      </w:r>
      <w:r>
        <w:rPr>
          <w:rFonts w:hint="default" w:ascii="Times New Roman" w:hAnsi="Times New Roman" w:eastAsia="方正仿宋_GBK" w:cs="Times New Roman"/>
          <w:sz w:val="32"/>
          <w:szCs w:val="32"/>
        </w:rPr>
        <w:t>。</w:t>
      </w:r>
    </w:p>
    <w:p w14:paraId="474697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color w:val="000000"/>
          <w:sz w:val="32"/>
          <w:szCs w:val="32"/>
        </w:rPr>
        <w:t>11.社会保障和就业（208类）行政事业单位养老支出（05款）事业单位离退休（02项）：指事业单位开支的离退休经费。</w:t>
      </w:r>
    </w:p>
    <w:p w14:paraId="04BB5A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12.</w:t>
      </w:r>
      <w:r>
        <w:rPr>
          <w:rFonts w:hint="default" w:ascii="Times New Roman" w:hAnsi="Times New Roman" w:eastAsia="方正仿宋_GBK" w:cs="Times New Roman"/>
          <w:color w:val="000000"/>
          <w:sz w:val="32"/>
          <w:szCs w:val="32"/>
        </w:rPr>
        <w:t>社会保障和就业（208类）行政事业单位养老支出（05款）机关事业单位基本养老保险缴费支出（05项）：指机关事业单位实施养老保险制度由单位缴纳的基本养老保险费支出。</w:t>
      </w:r>
    </w:p>
    <w:p w14:paraId="6D0EE2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13.</w:t>
      </w:r>
      <w:r>
        <w:rPr>
          <w:rFonts w:hint="default" w:ascii="Times New Roman" w:hAnsi="Times New Roman" w:eastAsia="方正仿宋_GBK" w:cs="Times New Roman"/>
          <w:color w:val="000000"/>
          <w:sz w:val="32"/>
          <w:szCs w:val="32"/>
        </w:rPr>
        <w:t>社会保障和就业（208类）行政事业单位养老支出（05款）机关事业单位职业年金缴费支出（06项）：指机关事业单位实施养老保险制度由单位缴纳的职业年金支出。</w:t>
      </w:r>
    </w:p>
    <w:p w14:paraId="3C5FB6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14.</w:t>
      </w:r>
      <w:r>
        <w:rPr>
          <w:rFonts w:hint="default" w:ascii="Times New Roman" w:hAnsi="Times New Roman" w:eastAsia="方正仿宋_GBK" w:cs="Times New Roman"/>
          <w:color w:val="000000"/>
          <w:sz w:val="32"/>
          <w:szCs w:val="32"/>
        </w:rPr>
        <w:t>社会保障和就业支出（208类）抚恤（08款）死亡抚恤（01项）</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指按规定用于烈士和牺牲、病故人员家属的一次性和定期抚恤金、丧葬补助费以及烈士褒扬金。</w:t>
      </w:r>
    </w:p>
    <w:p w14:paraId="403246B0">
      <w:pPr>
        <w:pStyle w:val="7"/>
        <w:keepNext w:val="0"/>
        <w:keepLines w:val="0"/>
        <w:pageBreakBefore w:val="0"/>
        <w:widowControl w:val="0"/>
        <w:kinsoku/>
        <w:wordWrap/>
        <w:overflowPunct/>
        <w:topLinePunct w:val="0"/>
        <w:autoSpaceDE/>
        <w:autoSpaceDN/>
        <w:bidi w:val="0"/>
        <w:adjustRightInd/>
        <w:snapToGrid/>
        <w:spacing w:before="93" w:line="576"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15.社会保障和就业（208类）行政事业单位养老支出（08款）伤残抚恤（02项）：指按规定用于伤残人员的抚恤金和按规定开支的各种伤残补助费。</w:t>
      </w:r>
    </w:p>
    <w:p w14:paraId="77170796">
      <w:pPr>
        <w:pStyle w:val="7"/>
        <w:keepNext w:val="0"/>
        <w:keepLines w:val="0"/>
        <w:pageBreakBefore w:val="0"/>
        <w:widowControl w:val="0"/>
        <w:kinsoku/>
        <w:wordWrap/>
        <w:overflowPunct/>
        <w:topLinePunct w:val="0"/>
        <w:autoSpaceDE/>
        <w:autoSpaceDN/>
        <w:bidi w:val="0"/>
        <w:adjustRightInd/>
        <w:snapToGrid/>
        <w:spacing w:before="93" w:line="576"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w:t>
      </w:r>
      <w:r>
        <w:rPr>
          <w:rFonts w:hint="default" w:ascii="Times New Roman" w:hAnsi="Times New Roman" w:eastAsia="方正仿宋_GBK" w:cs="Times New Roman"/>
          <w:color w:val="000000"/>
          <w:sz w:val="32"/>
          <w:szCs w:val="32"/>
        </w:rPr>
        <w:t>卫生健康（210类）行政事业单位医疗（11款）行政单位医疗（01项）：指财政部门安排的行政单位（包括实行公务员管理的事业单位）基本医疗保险缴费经费，未参加医疗保险的行政单位的公费医疗经费，按国家规定享受离休人员、红军老战士待遇人员的医疗经费。</w:t>
      </w:r>
    </w:p>
    <w:p w14:paraId="7C888F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17.卫生健康（210类）行政事业单位医疗（11款）事业单位医疗（02项）：指财政部门安排的事业单位基本医疗保险缴费经费，未参加医疗保险的事业单位的公费医疗经费，按国家规定享受离休人员待遇人员的医疗经费。</w:t>
      </w:r>
    </w:p>
    <w:p w14:paraId="5198AF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18.</w:t>
      </w:r>
      <w:r>
        <w:rPr>
          <w:rFonts w:hint="default" w:ascii="Times New Roman" w:hAnsi="Times New Roman" w:eastAsia="方正仿宋_GBK" w:cs="Times New Roman"/>
          <w:color w:val="000000"/>
          <w:sz w:val="32"/>
          <w:szCs w:val="32"/>
        </w:rPr>
        <w:t>卫生健康（210类）行政事业单位医疗（11款）公务员医疗补助（03项）：指财政部门安排的公务员医疗补助经费。</w:t>
      </w:r>
    </w:p>
    <w:p w14:paraId="0699FA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19.</w:t>
      </w:r>
      <w:r>
        <w:rPr>
          <w:rFonts w:hint="default" w:ascii="Times New Roman" w:hAnsi="Times New Roman" w:eastAsia="方正仿宋_GBK" w:cs="Times New Roman"/>
          <w:color w:val="000000"/>
          <w:sz w:val="32"/>
          <w:szCs w:val="32"/>
        </w:rPr>
        <w:t>卫生健康（210类）行政事业单位医疗（11款）其他行政事业单位医疗支出（99项）：其他用于行政事业单位医疗方面的支出。</w:t>
      </w:r>
    </w:p>
    <w:p w14:paraId="7955DF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r>
        <w:rPr>
          <w:rFonts w:hint="default" w:ascii="Times New Roman" w:hAnsi="Times New Roman" w:eastAsia="方正仿宋_GBK" w:cs="Times New Roman"/>
          <w:color w:val="000000"/>
          <w:sz w:val="32"/>
          <w:szCs w:val="32"/>
        </w:rPr>
        <w:t>城乡社区支出（212类）国有土地使用权出让收入安排的支出（08款）征地和</w:t>
      </w:r>
      <w:r>
        <w:rPr>
          <w:rFonts w:hint="default" w:ascii="Times New Roman" w:hAnsi="Times New Roman" w:eastAsia="方正仿宋_GBK" w:cs="Times New Roman"/>
          <w:color w:val="000000"/>
          <w:sz w:val="32"/>
          <w:szCs w:val="32"/>
          <w:lang w:eastAsia="zh-CN"/>
        </w:rPr>
        <w:t>拆迁补偿</w:t>
      </w:r>
      <w:r>
        <w:rPr>
          <w:rFonts w:hint="default" w:ascii="Times New Roman" w:hAnsi="Times New Roman" w:eastAsia="方正仿宋_GBK" w:cs="Times New Roman"/>
          <w:color w:val="000000"/>
          <w:sz w:val="32"/>
          <w:szCs w:val="32"/>
        </w:rPr>
        <w:t>支出（01项）</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sz w:val="32"/>
          <w:szCs w:val="32"/>
        </w:rPr>
        <w:t xml:space="preserve"> 指反映新疆生产建设兵团和地方政府在征地和收购土地过程中支付的土地补偿费、安置补偿费、地上附着和青苗补偿费、拆迁补偿费支出。</w:t>
      </w:r>
    </w:p>
    <w:p w14:paraId="012AE7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21.</w:t>
      </w:r>
      <w:r>
        <w:rPr>
          <w:rFonts w:hint="default" w:ascii="Times New Roman" w:hAnsi="Times New Roman" w:eastAsia="方正仿宋_GBK" w:cs="Times New Roman"/>
          <w:color w:val="000000"/>
          <w:sz w:val="32"/>
          <w:szCs w:val="32"/>
        </w:rPr>
        <w:t>农林水支出（213类）其他农林水支出（99款）其他农林水支出（99项）</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 xml:space="preserve"> 指反映除化解债务支出以外其他用于农林水方面的支出。</w:t>
      </w:r>
    </w:p>
    <w:p w14:paraId="40E267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22.交通运输支出（214类）公路水路运输（01款）行政运行（01项）：指反映行政单位（包括实行公务员管理的事业单位）的基本支出。</w:t>
      </w:r>
    </w:p>
    <w:p w14:paraId="0A2A46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23.交通运输支出（214类）公路水路运输（01款）公路建设（04项）：指反映新建公路支出，公路改建支出，特大型桥建设支出，公路客货运站（场）建设支出。</w:t>
      </w:r>
    </w:p>
    <w:p w14:paraId="5596E1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24.交通运输支出（214类）公路水路运输（01款）公路养护（06项）：指反映公路养护支出。</w:t>
      </w:r>
    </w:p>
    <w:p w14:paraId="32EB1C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25.交通运输支出（214类）公路水路运输（01款）公路和运输安全（10项）：指反映公路和运输安全支出。</w:t>
      </w:r>
    </w:p>
    <w:p w14:paraId="002D01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26.交通运输支出（214类）公路水路运输（01款）公路运输管理（12项）：指反映公路运输管理支出和公路路政管理支出。</w:t>
      </w:r>
    </w:p>
    <w:p w14:paraId="220E90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27.交通运输支出（214类）公路水路运输（01款）其他公路水路运输支出（99项）：指反映除上述项目以外其他用于公路水路运输的支出。</w:t>
      </w:r>
    </w:p>
    <w:p w14:paraId="505A95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28.交通运输支出（214类）铁路运输（02款）其他铁路运输支出（99项）：指反映其他用于铁路运输方面的支出。</w:t>
      </w:r>
    </w:p>
    <w:p w14:paraId="694CF6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29.资源勘探工业信息等支出（215类）制造业（02款）其他制造业支出（99项）；指其他用于资源勘探业方面的支出。</w:t>
      </w:r>
    </w:p>
    <w:p w14:paraId="67BA03F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30.住房保障支出（221类）住房改革支出（02款）住房公积金（01项）：指反映行政事业单位按人力资源和社会保障部、财政部规定的基本工资和津贴补贴以及规定比例为职工缴纳的住房公积金。</w:t>
      </w:r>
    </w:p>
    <w:p w14:paraId="23E3E0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31.基本支出：指为保障机构正常运转、完成日常工作任务而发生的人员支出和公用支出。</w:t>
      </w:r>
    </w:p>
    <w:p w14:paraId="7121F2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32.项目支出：指在基本支出之外为完成特定行政任务和事业发展目标所发生的支出。 </w:t>
      </w:r>
    </w:p>
    <w:p w14:paraId="16F915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33.经营支出：指事业单位在专业业务活动及其辅助活动之外开展非独立核算经营活动发生的支出。</w:t>
      </w:r>
    </w:p>
    <w:p w14:paraId="0E13BA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34.“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C49CD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5E24AA8">
      <w:pPr>
        <w:spacing w:line="600" w:lineRule="exact"/>
        <w:ind w:firstLine="640"/>
        <w:rPr>
          <w:rFonts w:eastAsia="仿宋_GB2312" w:cs="仿宋_GB2312"/>
          <w:b/>
          <w:bCs/>
          <w:sz w:val="32"/>
          <w:szCs w:val="32"/>
        </w:rPr>
      </w:pPr>
    </w:p>
    <w:p w14:paraId="19370855">
      <w:pPr>
        <w:spacing w:line="600" w:lineRule="exact"/>
        <w:jc w:val="center"/>
        <w:rPr>
          <w:rStyle w:val="29"/>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14:paraId="3625946F">
      <w:pPr>
        <w:spacing w:line="572" w:lineRule="exact"/>
        <w:jc w:val="left"/>
        <w:outlineLvl w:val="0"/>
        <w:rPr>
          <w:rFonts w:eastAsia="黑体" w:cs="黑体"/>
          <w:sz w:val="32"/>
          <w:szCs w:val="32"/>
        </w:rPr>
      </w:pPr>
    </w:p>
    <w:p w14:paraId="7401DAE9">
      <w:pPr>
        <w:spacing w:line="572" w:lineRule="exact"/>
        <w:jc w:val="left"/>
        <w:outlineLvl w:val="0"/>
        <w:rPr>
          <w:rFonts w:eastAsia="黑体" w:cs="方正小标宋简体"/>
          <w:sz w:val="44"/>
          <w:szCs w:val="44"/>
        </w:rPr>
      </w:pPr>
      <w:r>
        <w:rPr>
          <w:rFonts w:hint="eastAsia" w:eastAsia="黑体" w:cs="黑体"/>
          <w:sz w:val="32"/>
          <w:szCs w:val="32"/>
        </w:rPr>
        <w:t>附件1</w:t>
      </w:r>
    </w:p>
    <w:p w14:paraId="5532AD75">
      <w:pPr>
        <w:widowControl/>
        <w:spacing w:line="578" w:lineRule="exact"/>
        <w:contextualSpacing/>
        <w:jc w:val="center"/>
        <w:rPr>
          <w:rFonts w:eastAsia="方正小标宋简体"/>
          <w:bCs/>
          <w:sz w:val="44"/>
          <w:szCs w:val="44"/>
          <w:shd w:val="clear" w:color="auto" w:fill="FFFFFF"/>
        </w:rPr>
      </w:pPr>
    </w:p>
    <w:p w14:paraId="01EC6BB9">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报告范本</w:t>
      </w:r>
    </w:p>
    <w:p w14:paraId="5D604C72">
      <w:pPr>
        <w:widowControl/>
        <w:adjustRightInd w:val="0"/>
        <w:snapToGrid w:val="0"/>
        <w:spacing w:line="578" w:lineRule="exact"/>
        <w:ind w:firstLine="480" w:firstLineChars="200"/>
        <w:contextualSpacing/>
        <w:jc w:val="left"/>
        <w:rPr>
          <w:rFonts w:eastAsia="黑体"/>
          <w:kern w:val="0"/>
          <w:sz w:val="24"/>
          <w:szCs w:val="32"/>
          <w:shd w:val="clear" w:color="auto" w:fill="FFFFFF"/>
        </w:rPr>
      </w:pPr>
    </w:p>
    <w:p w14:paraId="3A39BF41">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hint="eastAsia" w:eastAsia="黑体"/>
          <w:kern w:val="0"/>
          <w:sz w:val="32"/>
          <w:szCs w:val="32"/>
          <w:shd w:val="clear" w:color="auto" w:fill="FFFFFF"/>
          <w:lang w:val="zh-CN"/>
        </w:rPr>
        <w:t>一、</w:t>
      </w:r>
      <w:r>
        <w:rPr>
          <w:rFonts w:eastAsia="黑体"/>
          <w:kern w:val="0"/>
          <w:sz w:val="32"/>
          <w:szCs w:val="32"/>
          <w:shd w:val="clear" w:color="auto" w:fill="FFFFFF"/>
          <w:lang w:val="zh-CN"/>
        </w:rPr>
        <w:t>部门（单位）基本情况</w:t>
      </w:r>
    </w:p>
    <w:p w14:paraId="03CC1A04">
      <w:pPr>
        <w:widowControl/>
        <w:adjustRightInd w:val="0"/>
        <w:snapToGrid w:val="0"/>
        <w:spacing w:line="578" w:lineRule="exact"/>
        <w:ind w:firstLine="643" w:firstLineChars="200"/>
        <w:contextualSpacing/>
        <w:jc w:val="left"/>
        <w:rPr>
          <w:rFonts w:eastAsia="楷体_GB2312" w:cs="楷体_GB2312"/>
          <w:b/>
          <w:sz w:val="32"/>
          <w:szCs w:val="32"/>
          <w:lang w:val="zh-CN"/>
        </w:rPr>
      </w:pPr>
      <w:r>
        <w:rPr>
          <w:rFonts w:hint="eastAsia" w:eastAsia="楷体_GB2312" w:cs="楷体_GB2312"/>
          <w:b/>
          <w:sz w:val="32"/>
          <w:szCs w:val="32"/>
          <w:lang w:val="zh-CN"/>
        </w:rPr>
        <w:t>（一）</w:t>
      </w:r>
      <w:r>
        <w:rPr>
          <w:rFonts w:eastAsia="楷体_GB2312" w:cs="楷体_GB2312"/>
          <w:b/>
          <w:sz w:val="32"/>
          <w:szCs w:val="32"/>
          <w:lang w:val="zh-CN"/>
        </w:rPr>
        <w:t>机构组成</w:t>
      </w:r>
    </w:p>
    <w:p w14:paraId="52E9CF3A">
      <w:pPr>
        <w:widowControl/>
        <w:adjustRightInd w:val="0"/>
        <w:snapToGrid w:val="0"/>
        <w:spacing w:line="578" w:lineRule="exact"/>
        <w:ind w:firstLine="640" w:firstLineChars="200"/>
        <w:contextualSpacing/>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盐边县交通运输局</w:t>
      </w:r>
      <w:r>
        <w:rPr>
          <w:rFonts w:hint="default" w:ascii="Times New Roman" w:hAnsi="Times New Roman" w:eastAsia="方正仿宋_GBK" w:cs="Times New Roman"/>
          <w:color w:val="000000" w:themeColor="text1"/>
          <w:sz w:val="32"/>
          <w:szCs w:val="32"/>
          <w14:textFill>
            <w14:solidFill>
              <w14:schemeClr w14:val="tx1"/>
            </w14:solidFill>
          </w14:textFill>
        </w:rPr>
        <w:t>部门（单位）内设股室</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个</w:t>
      </w:r>
      <w:r>
        <w:rPr>
          <w:rFonts w:hint="default" w:ascii="Times New Roman" w:hAnsi="Times New Roman" w:eastAsia="方正仿宋_GBK" w:cs="Times New Roman"/>
          <w:sz w:val="32"/>
          <w:szCs w:val="32"/>
        </w:rPr>
        <w:t>；下属二级预算单位</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个，其中：行政单位</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个，参照公务员法管理的事业单位</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个，其他事业单位</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个。</w:t>
      </w:r>
    </w:p>
    <w:p w14:paraId="76B07FD9">
      <w:pPr>
        <w:widowControl/>
        <w:numPr>
          <w:ilvl w:val="0"/>
          <w:numId w:val="1"/>
        </w:numPr>
        <w:adjustRightInd w:val="0"/>
        <w:snapToGrid w:val="0"/>
        <w:spacing w:line="578" w:lineRule="exact"/>
        <w:ind w:firstLine="643" w:firstLineChars="200"/>
        <w:contextualSpacing/>
        <w:jc w:val="left"/>
        <w:rPr>
          <w:rFonts w:hint="eastAsia" w:eastAsia="楷体_GB2312" w:cs="楷体_GB2312"/>
          <w:b/>
          <w:sz w:val="32"/>
          <w:szCs w:val="32"/>
          <w:lang w:val="zh-CN"/>
        </w:rPr>
      </w:pPr>
      <w:r>
        <w:rPr>
          <w:rFonts w:eastAsia="楷体_GB2312" w:cs="楷体_GB2312"/>
          <w:b/>
          <w:sz w:val="32"/>
          <w:szCs w:val="32"/>
          <w:lang w:val="zh-CN"/>
        </w:rPr>
        <w:t>机构职能</w:t>
      </w:r>
    </w:p>
    <w:p w14:paraId="407067D6">
      <w:pPr>
        <w:pStyle w:val="5"/>
        <w:keepNext w:val="0"/>
        <w:keepLines w:val="0"/>
        <w:pageBreakBefore w:val="0"/>
        <w:widowControl w:val="0"/>
        <w:kinsoku/>
        <w:wordWrap/>
        <w:overflowPunct/>
        <w:topLinePunct w:val="0"/>
        <w:autoSpaceDE/>
        <w:autoSpaceDN/>
        <w:bidi w:val="0"/>
        <w:adjustRightInd w:val="0"/>
        <w:snapToGrid/>
        <w:spacing w:before="93" w:line="576" w:lineRule="atLeast"/>
        <w:ind w:firstLine="640" w:firstLineChars="200"/>
        <w:textAlignment w:val="auto"/>
        <w:outlineLvl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1.负责交通运输领域综合行政执法工作。</w:t>
      </w:r>
    </w:p>
    <w:p w14:paraId="6A15DABD">
      <w:pPr>
        <w:pStyle w:val="5"/>
        <w:keepNext w:val="0"/>
        <w:keepLines w:val="0"/>
        <w:pageBreakBefore w:val="0"/>
        <w:widowControl w:val="0"/>
        <w:kinsoku/>
        <w:wordWrap/>
        <w:overflowPunct/>
        <w:topLinePunct w:val="0"/>
        <w:autoSpaceDE/>
        <w:autoSpaceDN/>
        <w:bidi w:val="0"/>
        <w:adjustRightInd w:val="0"/>
        <w:snapToGrid/>
        <w:spacing w:before="93" w:line="576" w:lineRule="atLeast"/>
        <w:ind w:firstLine="640" w:firstLineChars="200"/>
        <w:textAlignment w:val="auto"/>
        <w:outlineLvl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2.负责职责范围内的安全生产和职业健康、生态环境保护、审批服务便民化等工作。</w:t>
      </w:r>
    </w:p>
    <w:p w14:paraId="5E07B25B">
      <w:pPr>
        <w:pStyle w:val="5"/>
        <w:keepNext w:val="0"/>
        <w:keepLines w:val="0"/>
        <w:pageBreakBefore w:val="0"/>
        <w:widowControl w:val="0"/>
        <w:kinsoku/>
        <w:wordWrap/>
        <w:overflowPunct/>
        <w:topLinePunct w:val="0"/>
        <w:autoSpaceDE/>
        <w:autoSpaceDN/>
        <w:bidi w:val="0"/>
        <w:adjustRightInd w:val="0"/>
        <w:snapToGrid/>
        <w:spacing w:before="93" w:line="576" w:lineRule="atLeast"/>
        <w:ind w:firstLine="640" w:firstLineChars="200"/>
        <w:textAlignment w:val="auto"/>
        <w:outlineLvl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3.渔船检验监督管理和行业指导等职责。</w:t>
      </w:r>
    </w:p>
    <w:p w14:paraId="1B7F693C">
      <w:pPr>
        <w:pStyle w:val="5"/>
        <w:keepNext w:val="0"/>
        <w:keepLines w:val="0"/>
        <w:pageBreakBefore w:val="0"/>
        <w:widowControl w:val="0"/>
        <w:kinsoku/>
        <w:wordWrap/>
        <w:overflowPunct/>
        <w:topLinePunct w:val="0"/>
        <w:autoSpaceDE/>
        <w:autoSpaceDN/>
        <w:bidi w:val="0"/>
        <w:adjustRightInd w:val="0"/>
        <w:snapToGrid/>
        <w:spacing w:before="93" w:line="576" w:lineRule="atLeast"/>
        <w:ind w:firstLine="640" w:firstLineChars="200"/>
        <w:textAlignment w:val="auto"/>
        <w:outlineLvl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4.承担水路运输及水上安全监督管理、船舶监督管理以及港口、航道建设、养护监督管理等职责。</w:t>
      </w:r>
    </w:p>
    <w:p w14:paraId="21BA7F23">
      <w:pPr>
        <w:pStyle w:val="5"/>
        <w:keepNext w:val="0"/>
        <w:keepLines w:val="0"/>
        <w:pageBreakBefore w:val="0"/>
        <w:widowControl w:val="0"/>
        <w:kinsoku/>
        <w:wordWrap/>
        <w:overflowPunct/>
        <w:topLinePunct w:val="0"/>
        <w:autoSpaceDE/>
        <w:autoSpaceDN/>
        <w:bidi w:val="0"/>
        <w:adjustRightInd w:val="0"/>
        <w:snapToGrid/>
        <w:spacing w:before="93" w:line="576" w:lineRule="atLeast"/>
        <w:ind w:firstLine="640" w:firstLineChars="200"/>
        <w:textAlignment w:val="auto"/>
        <w:outlineLvl w:val="2"/>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5.承担道路运输行业监督管理及全县公路行政审批等职责。</w:t>
      </w:r>
    </w:p>
    <w:p w14:paraId="30D69FA2">
      <w:pPr>
        <w:keepNext w:val="0"/>
        <w:keepLines w:val="0"/>
        <w:pageBreakBefore w:val="0"/>
        <w:widowControl w:val="0"/>
        <w:tabs>
          <w:tab w:val="left" w:pos="7545"/>
        </w:tabs>
        <w:kinsoku/>
        <w:wordWrap/>
        <w:overflowPunct/>
        <w:topLinePunct w:val="0"/>
        <w:autoSpaceDE/>
        <w:autoSpaceDN/>
        <w:bidi w:val="0"/>
        <w:adjustRightInd/>
        <w:snapToGrid/>
        <w:spacing w:line="576" w:lineRule="exact"/>
        <w:ind w:firstLine="640" w:firstLineChars="200"/>
        <w:textAlignment w:val="auto"/>
        <w:rPr>
          <w:rFonts w:ascii="仿宋_GB2312" w:hAnsi="仿宋" w:eastAsia="仿宋_GB2312"/>
          <w:sz w:val="32"/>
          <w:szCs w:val="32"/>
        </w:rPr>
      </w:pPr>
      <w:r>
        <w:rPr>
          <w:rFonts w:hint="eastAsia" w:ascii="Times New Roman" w:hAnsi="Times New Roman" w:eastAsia="仿宋_GB2312" w:cs="仿宋_GB2312"/>
          <w:kern w:val="2"/>
          <w:sz w:val="32"/>
          <w:szCs w:val="32"/>
          <w:lang w:val="en-US" w:eastAsia="zh-CN" w:bidi="ar-SA"/>
        </w:rPr>
        <w:t>主要工作：</w:t>
      </w:r>
      <w:r>
        <w:rPr>
          <w:rFonts w:ascii="仿宋_GB2312" w:hAnsi="仿宋" w:eastAsia="仿宋_GB2312"/>
          <w:sz w:val="32"/>
          <w:szCs w:val="32"/>
        </w:rPr>
        <w:tab/>
      </w:r>
    </w:p>
    <w:p w14:paraId="2F37857A">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sz w:val="32"/>
          <w:szCs w:val="32"/>
        </w:rPr>
      </w:pPr>
      <w:r>
        <w:rPr>
          <w:rFonts w:hint="eastAsia" w:eastAsia="仿宋_GB2312"/>
          <w:b/>
          <w:bCs/>
          <w:sz w:val="32"/>
          <w:szCs w:val="32"/>
        </w:rPr>
        <w:t>办公室。</w:t>
      </w:r>
      <w:r>
        <w:rPr>
          <w:rFonts w:hint="eastAsia" w:ascii="仿宋_GB2312" w:hAnsi="仿宋" w:eastAsia="仿宋_GB2312"/>
          <w:sz w:val="32"/>
          <w:szCs w:val="32"/>
        </w:rPr>
        <w:t>负责文电、会务、档案、保密、网络安全等机关日常运转工作。负责局机关会计核算、财务管理、审计、劳动保障和后勤管理工作。负责局机关意识形态、新闻宣传、党务信息、政务信息、精神文明建设、史志年鉴、教育体育和卫生健康工作。负责局机关干部职工学习教育培训、干部人事管理和专业技术职称评审工作。负责局机关信访、平安建设、维护稳定工作。负责重要文稿起草工作。承担全局年度综合目标考核、督察督办和绩效管理工作。承担局党组履行党风廉政建设主体责任的具体事务性工作。组织办理人大代表建议、政协提案。</w:t>
      </w:r>
    </w:p>
    <w:p w14:paraId="5BC71E36">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sz w:val="32"/>
          <w:szCs w:val="32"/>
        </w:rPr>
      </w:pPr>
      <w:r>
        <w:rPr>
          <w:rFonts w:hint="eastAsia" w:eastAsia="仿宋_GB2312"/>
          <w:b/>
          <w:bCs/>
          <w:sz w:val="32"/>
          <w:szCs w:val="32"/>
        </w:rPr>
        <w:t>规划建设股。</w:t>
      </w:r>
      <w:r>
        <w:rPr>
          <w:rFonts w:hint="eastAsia" w:ascii="仿宋_GB2312" w:hAnsi="仿宋" w:eastAsia="仿宋_GB2312"/>
          <w:sz w:val="32"/>
          <w:szCs w:val="32"/>
        </w:rPr>
        <w:t>贯彻执行国家有关交通运输工程项目建设质量、安全生产的</w:t>
      </w:r>
      <w:r>
        <w:rPr>
          <w:rFonts w:hint="eastAsia" w:ascii="仿宋_GB2312" w:hAnsi="仿宋" w:eastAsia="仿宋_GB2312"/>
          <w:sz w:val="32"/>
          <w:szCs w:val="32"/>
          <w:lang w:eastAsia="zh-CN"/>
        </w:rPr>
        <w:t>法律法规</w:t>
      </w:r>
      <w:r>
        <w:rPr>
          <w:rFonts w:hint="eastAsia" w:ascii="仿宋_GB2312" w:hAnsi="仿宋" w:eastAsia="仿宋_GB2312"/>
          <w:sz w:val="32"/>
          <w:szCs w:val="32"/>
        </w:rPr>
        <w:t>、规范及标准。参与组织编制综合运输体系规划，组织研究公路和水路运输行业、物流业的发展战略及发展政策、投融资政策。组织编制公路和水路运输、交通枢纽、站场、物流等行业的发展规划。承担交通项目审查工作并审核专用公路规划。编制交通建设年度实施计划，并监督实施。负责全县交通工程建设行业项目质量、安全生产、生态环境保护等监督管理工作。参与拟订全县农村公路建设管理办法及技术标准并组织实施。负责组织公路、水路项目建设。负责交通建设项目设计文件审查、施工许可审查、竣工验收。监督、指导交通建设项目的建设程序管理和招投标工作。负责组织实施“四好农村路”建设。负责公路、水路建设从业单位和从业人员的信用评价和资质管理。负责公路行业普查、预测工作。负责高速公路和铁路运输等事项的协调联系。负责交通行业综合性的统计上报工作。负责交通运输招商引资工作。承担交通建设攻坚协调服务工作。</w:t>
      </w:r>
    </w:p>
    <w:p w14:paraId="55B31E8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sz w:val="32"/>
          <w:szCs w:val="32"/>
        </w:rPr>
      </w:pPr>
      <w:r>
        <w:rPr>
          <w:rFonts w:hint="eastAsia" w:eastAsia="仿宋_GB2312"/>
          <w:b/>
          <w:bCs/>
          <w:sz w:val="32"/>
          <w:szCs w:val="32"/>
        </w:rPr>
        <w:t>法规安全股。</w:t>
      </w:r>
      <w:r>
        <w:rPr>
          <w:rFonts w:hint="eastAsia" w:ascii="仿宋_GB2312" w:hAnsi="仿宋" w:eastAsia="仿宋_GB2312"/>
          <w:sz w:val="32"/>
          <w:szCs w:val="32"/>
        </w:rPr>
        <w:t>负责全县交通运输行业的安全监督管理、应急管理、反恐维稳和职业健康工作。督促贯彻落实公路、水路安全生产相关政策和制度。指导交通运输行业应急处置体系建设，组织实施安全管理目标责任考核、监督检查和宣传教育工作。依法组织或参与有关事故调查处理工作。牵头负责全县交通运输行业生态环境保护监督管理工作。承担本系统、本部门推进依法行政工作的组织协调和督促指导。承担行政执法监督、行政复议、行政应诉、行政调解和规范性文件审核备案工作。负责机关并指导交通运输行业</w:t>
      </w:r>
      <w:r>
        <w:rPr>
          <w:rFonts w:hint="eastAsia" w:ascii="仿宋_GB2312" w:hAnsi="仿宋" w:eastAsia="仿宋_GB2312"/>
          <w:sz w:val="32"/>
          <w:szCs w:val="32"/>
          <w:lang w:eastAsia="zh-CN"/>
        </w:rPr>
        <w:t>法治宣传教育</w:t>
      </w:r>
      <w:r>
        <w:rPr>
          <w:rFonts w:hint="eastAsia" w:ascii="仿宋_GB2312" w:hAnsi="仿宋" w:eastAsia="仿宋_GB2312"/>
          <w:sz w:val="32"/>
          <w:szCs w:val="32"/>
        </w:rPr>
        <w:t>工作。组织实施并监督交通运输行政执法装备标准规范，督导交通运输文明执法工作。管理交通运输执法证件。牵头负责交通运输信用体系建设。推进“放管服”改革，承担审批服务便民化有关工作。承担县本级交通运输行业有关行政审批事项的受理、审批等工作。负责一体化政务服务平台建设工作，负责组织、协调、管理政务服务窗口交通运输相关业务工作。</w:t>
      </w:r>
    </w:p>
    <w:p w14:paraId="17406FB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eastAsia="仿宋_GB2312"/>
          <w:sz w:val="32"/>
          <w:szCs w:val="32"/>
        </w:rPr>
      </w:pPr>
      <w:r>
        <w:rPr>
          <w:rFonts w:hint="eastAsia" w:eastAsia="仿宋_GB2312"/>
          <w:b/>
          <w:bCs/>
          <w:sz w:val="32"/>
          <w:szCs w:val="32"/>
        </w:rPr>
        <w:t>运输管理股。</w:t>
      </w:r>
      <w:r>
        <w:rPr>
          <w:rFonts w:hint="eastAsia" w:ascii="仿宋_GB2312" w:hAnsi="仿宋" w:eastAsia="仿宋_GB2312"/>
          <w:sz w:val="32"/>
          <w:szCs w:val="32"/>
        </w:rPr>
        <w:t>贯彻执行国家、省、市、县有关公路及水路运输管理</w:t>
      </w:r>
      <w:r>
        <w:rPr>
          <w:rFonts w:hint="eastAsia" w:ascii="仿宋_GB2312" w:hAnsi="仿宋" w:eastAsia="仿宋_GB2312"/>
          <w:sz w:val="32"/>
          <w:szCs w:val="32"/>
          <w:lang w:eastAsia="zh-CN"/>
        </w:rPr>
        <w:t>法律法规</w:t>
      </w:r>
      <w:r>
        <w:rPr>
          <w:rFonts w:hint="eastAsia" w:ascii="仿宋_GB2312" w:hAnsi="仿宋" w:eastAsia="仿宋_GB2312"/>
          <w:sz w:val="32"/>
          <w:szCs w:val="32"/>
        </w:rPr>
        <w:t>、规章及方针政策。参与拟订综合交通运输发展战略，承担综合交通运输体系建设有关协调工作。拟订公路、水路运输行业发展政策、发展规划、年度计划及有关标准规范并监督实施。协调重点运输、紧急客货运输和公路、水路联合运输，参与运输价格管理。协调联系铁路运输。依法承担职责范围内公路水路旅客运输、货物运输、站（场）营运、城市公共交通、出租汽车、机动车维修与综合性能检测、机动车驾驶员培训、汽车租赁等道路水路运输行业监督管理工作。负责道路、水路运输许可项目的实质审查工作。依法承担职责范围内道路、水路运输行业安全监督管理、船舶监督管理等工作。负责全县航道发展、水路运输发展、港航管理等规划编制和相关计划的组织实施。负责全县交通运输行业信息化建设、技术应用和节能减排工作。负责渔船检验监督管理和行业指导工作。负责道路、水路运输统计和运输企业资质核查工作。指导乡（镇）船舶安全管理站开展乡（镇）自用船舶登记检丈和自用船舶、船员管理等工作。负责河（湖）长制职责范围内工作。协调处理水资源综合利用中与航运相关的事宜。负责交通运输市场、运输企业及新型运输方式的培育和促进。组织实施交通运输科技信息交流和科技成果推广应用工作，负责交通运输行业12328 工作。承担交通战备具体事务性工作。</w:t>
      </w:r>
    </w:p>
    <w:p w14:paraId="64E2C3D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ascii="仿宋_GB2312" w:hAnsi="仿宋" w:eastAsia="仿宋_GB2312"/>
          <w:sz w:val="32"/>
          <w:szCs w:val="32"/>
        </w:rPr>
      </w:pPr>
      <w:r>
        <w:rPr>
          <w:rFonts w:hint="eastAsia" w:eastAsia="仿宋_GB2312"/>
          <w:b/>
          <w:bCs/>
          <w:sz w:val="32"/>
          <w:szCs w:val="32"/>
        </w:rPr>
        <w:t>公路水路管理股。</w:t>
      </w:r>
      <w:r>
        <w:rPr>
          <w:rFonts w:hint="eastAsia" w:ascii="仿宋_GB2312" w:hAnsi="仿宋" w:eastAsia="仿宋_GB2312"/>
          <w:sz w:val="32"/>
          <w:szCs w:val="32"/>
        </w:rPr>
        <w:t>贯彻执行国家有关公路水路管理的</w:t>
      </w:r>
      <w:r>
        <w:rPr>
          <w:rFonts w:hint="eastAsia" w:ascii="仿宋_GB2312" w:hAnsi="仿宋" w:eastAsia="仿宋_GB2312"/>
          <w:sz w:val="32"/>
          <w:szCs w:val="32"/>
          <w:lang w:eastAsia="zh-CN"/>
        </w:rPr>
        <w:t>法律法规</w:t>
      </w:r>
      <w:r>
        <w:rPr>
          <w:rFonts w:hint="eastAsia" w:ascii="仿宋_GB2312" w:hAnsi="仿宋" w:eastAsia="仿宋_GB2312"/>
          <w:sz w:val="32"/>
          <w:szCs w:val="32"/>
        </w:rPr>
        <w:t>、规章和方针政策、技术规范、标准。负责县乡公路的行政管理工作。负责超限运输许可和涉路施工许可项目的实质审查工作。负责水上水下活动许可项目的实质审查工作。负责县道养护管理工作，指导乡村公路养护管理工作。组织实施所属航道、港口、码头的养护管理工作。负责公路、水路养护工程管理。</w:t>
      </w:r>
    </w:p>
    <w:p w14:paraId="031FCBF9">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eastAsia="楷体_GB2312"/>
          <w:b/>
          <w:bCs/>
          <w:kern w:val="0"/>
          <w:szCs w:val="32"/>
          <w:shd w:val="clear" w:color="auto" w:fill="FFFFFF"/>
          <w:lang w:val="zh-CN"/>
        </w:rPr>
      </w:pPr>
      <w:r>
        <w:rPr>
          <w:rFonts w:hint="eastAsia"/>
        </w:rPr>
        <w:t xml:space="preserve">   </w:t>
      </w:r>
      <w:r>
        <w:rPr>
          <w:rFonts w:hint="eastAsia" w:eastAsia="仿宋_GB2312"/>
          <w:b/>
          <w:bCs/>
          <w:sz w:val="32"/>
          <w:szCs w:val="32"/>
        </w:rPr>
        <w:t>机关党总支</w:t>
      </w:r>
      <w:r>
        <w:rPr>
          <w:rFonts w:hint="eastAsia" w:ascii="仿宋_GB2312" w:hAnsi="仿宋" w:eastAsia="仿宋_GB2312"/>
          <w:sz w:val="32"/>
          <w:szCs w:val="32"/>
        </w:rPr>
        <w:t>。负责机关和所属事业单位的党群工作。</w:t>
      </w:r>
    </w:p>
    <w:p w14:paraId="4F5A4C2C">
      <w:pPr>
        <w:numPr>
          <w:ilvl w:val="0"/>
          <w:numId w:val="1"/>
        </w:numPr>
        <w:spacing w:line="600" w:lineRule="exact"/>
        <w:ind w:left="0" w:leftChars="0" w:firstLine="643" w:firstLineChars="200"/>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人员概况</w:t>
      </w:r>
    </w:p>
    <w:p w14:paraId="2C243B7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rPr>
        <w:t>截至2024年末，</w:t>
      </w:r>
      <w:r>
        <w:rPr>
          <w:rFonts w:hint="default" w:ascii="Times New Roman" w:hAnsi="Times New Roman" w:eastAsia="方正仿宋_GBK" w:cs="Times New Roman"/>
          <w:color w:val="auto"/>
          <w:sz w:val="32"/>
          <w:szCs w:val="32"/>
          <w:lang w:val="en-US" w:eastAsia="zh-CN"/>
        </w:rPr>
        <w:t>盐边县交通运输局</w:t>
      </w:r>
      <w:r>
        <w:rPr>
          <w:rFonts w:hint="default" w:ascii="Times New Roman" w:hAnsi="Times New Roman" w:eastAsia="方正仿宋_GBK" w:cs="Times New Roman"/>
          <w:color w:val="auto"/>
          <w:sz w:val="32"/>
          <w:szCs w:val="32"/>
        </w:rPr>
        <w:t>及下属单位编制数</w:t>
      </w:r>
      <w:r>
        <w:rPr>
          <w:rFonts w:hint="default" w:ascii="Times New Roman" w:hAnsi="Times New Roman" w:eastAsia="方正仿宋_GBK" w:cs="Times New Roman"/>
          <w:color w:val="auto"/>
          <w:sz w:val="32"/>
          <w:szCs w:val="32"/>
          <w:lang w:val="en-US" w:eastAsia="zh-CN"/>
        </w:rPr>
        <w:t>57</w:t>
      </w:r>
      <w:r>
        <w:rPr>
          <w:rFonts w:hint="default" w:ascii="Times New Roman" w:hAnsi="Times New Roman" w:eastAsia="方正仿宋_GBK" w:cs="Times New Roman"/>
          <w:color w:val="auto"/>
          <w:sz w:val="32"/>
          <w:szCs w:val="32"/>
        </w:rPr>
        <w:t>个，在职人员总数</w:t>
      </w:r>
      <w:r>
        <w:rPr>
          <w:rFonts w:hint="default" w:ascii="Times New Roman" w:hAnsi="Times New Roman" w:eastAsia="方正仿宋_GBK" w:cs="Times New Roman"/>
          <w:color w:val="auto"/>
          <w:sz w:val="32"/>
          <w:szCs w:val="32"/>
          <w:lang w:val="en-US" w:eastAsia="zh-CN"/>
        </w:rPr>
        <w:t>43</w:t>
      </w:r>
      <w:r>
        <w:rPr>
          <w:rFonts w:hint="default" w:ascii="Times New Roman" w:hAnsi="Times New Roman" w:eastAsia="方正仿宋_GBK" w:cs="Times New Roman"/>
          <w:color w:val="auto"/>
          <w:sz w:val="32"/>
          <w:szCs w:val="32"/>
        </w:rPr>
        <w:t>人，其中：行政人员</w:t>
      </w: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人，参照公务员法管理的事业人员</w:t>
      </w:r>
      <w:r>
        <w:rPr>
          <w:rFonts w:hint="default"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rPr>
        <w:t>人，其他事业人员</w:t>
      </w: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人；离（退）休人员</w:t>
      </w:r>
      <w:r>
        <w:rPr>
          <w:rFonts w:hint="default" w:ascii="Times New Roman" w:hAnsi="Times New Roman" w:eastAsia="方正仿宋_GBK" w:cs="Times New Roman"/>
          <w:color w:val="auto"/>
          <w:sz w:val="32"/>
          <w:szCs w:val="32"/>
          <w:lang w:val="en-US" w:eastAsia="zh-CN"/>
        </w:rPr>
        <w:t>56</w:t>
      </w:r>
      <w:r>
        <w:rPr>
          <w:rFonts w:hint="default" w:ascii="Times New Roman" w:hAnsi="Times New Roman" w:eastAsia="方正仿宋_GBK" w:cs="Times New Roman"/>
          <w:color w:val="auto"/>
          <w:sz w:val="32"/>
          <w:szCs w:val="32"/>
        </w:rPr>
        <w:t>人。</w:t>
      </w:r>
    </w:p>
    <w:p w14:paraId="20712342">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二、部门资金收支情况</w:t>
      </w:r>
    </w:p>
    <w:p w14:paraId="041B2285">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kern w:val="0"/>
          <w:sz w:val="32"/>
          <w:szCs w:val="32"/>
          <w:shd w:val="clear" w:color="auto" w:fill="FFFFFF"/>
          <w:lang w:val="zh-CN"/>
        </w:rPr>
        <w:t>（一）收入情况。</w:t>
      </w:r>
      <w:r>
        <w:rPr>
          <w:rFonts w:hint="default" w:ascii="Times New Roman" w:hAnsi="Times New Roman" w:eastAsia="方正仿宋_GBK" w:cs="Times New Roman"/>
          <w:sz w:val="32"/>
          <w:szCs w:val="32"/>
          <w:lang w:val="zh-CN"/>
        </w:rPr>
        <w:t>盐边县交通运输局202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年收入预算安排15070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697</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rPr>
        <w:t>万元，其中：财政拨款收入15070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697</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rPr>
        <w:t>万元，占</w:t>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zh-CN"/>
        </w:rPr>
        <w:t>%。</w:t>
      </w:r>
    </w:p>
    <w:p w14:paraId="106660E7">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kern w:val="0"/>
          <w:sz w:val="32"/>
          <w:szCs w:val="32"/>
          <w:shd w:val="clear" w:color="auto" w:fill="FFFFFF"/>
          <w:lang w:val="zh-CN"/>
        </w:rPr>
        <w:t>（二）支出情况。</w:t>
      </w:r>
      <w:r>
        <w:rPr>
          <w:rFonts w:hint="default" w:ascii="Times New Roman" w:hAnsi="Times New Roman" w:eastAsia="方正仿宋_GBK" w:cs="Times New Roman"/>
          <w:sz w:val="32"/>
          <w:szCs w:val="32"/>
        </w:rPr>
        <w:t>2024年年初预算支出</w:t>
      </w:r>
      <w:r>
        <w:rPr>
          <w:rFonts w:hint="default" w:ascii="Times New Roman" w:hAnsi="Times New Roman" w:eastAsia="方正仿宋_GBK" w:cs="Times New Roman"/>
          <w:sz w:val="32"/>
          <w:szCs w:val="32"/>
          <w:lang w:val="zh-CN"/>
        </w:rPr>
        <w:t>总额15070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697</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rPr>
        <w:t>万元，均为财政拨款支出，占总支出的100%。其中：基本支出</w:t>
      </w:r>
      <w:r>
        <w:rPr>
          <w:rFonts w:hint="default" w:ascii="Times New Roman" w:hAnsi="Times New Roman" w:eastAsia="方正仿宋_GBK" w:cs="Times New Roman"/>
          <w:sz w:val="32"/>
          <w:szCs w:val="32"/>
          <w:lang w:val="en-US" w:eastAsia="zh-CN"/>
        </w:rPr>
        <w:t>516.3733</w:t>
      </w:r>
      <w:r>
        <w:rPr>
          <w:rFonts w:hint="default" w:ascii="Times New Roman" w:hAnsi="Times New Roman" w:eastAsia="方正仿宋_GBK" w:cs="Times New Roman"/>
          <w:sz w:val="32"/>
          <w:szCs w:val="32"/>
          <w:lang w:val="zh-CN"/>
        </w:rPr>
        <w:t>万元，占总支出的</w:t>
      </w:r>
      <w:r>
        <w:rPr>
          <w:rFonts w:hint="default"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lang w:val="zh-CN"/>
        </w:rPr>
        <w:t>%；项目支出14271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217</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zh-CN"/>
        </w:rPr>
        <w:t>万元，占总支出的</w:t>
      </w:r>
      <w:r>
        <w:rPr>
          <w:rFonts w:hint="default" w:ascii="Times New Roman" w:hAnsi="Times New Roman" w:eastAsia="方正仿宋_GBK" w:cs="Times New Roman"/>
          <w:sz w:val="32"/>
          <w:szCs w:val="32"/>
          <w:lang w:val="en-US" w:eastAsia="zh-CN"/>
        </w:rPr>
        <w:t>96.6</w:t>
      </w:r>
      <w:r>
        <w:rPr>
          <w:rFonts w:hint="default" w:ascii="Times New Roman" w:hAnsi="Times New Roman" w:eastAsia="方正仿宋_GBK" w:cs="Times New Roman"/>
          <w:sz w:val="32"/>
          <w:szCs w:val="32"/>
          <w:lang w:val="zh-CN"/>
        </w:rPr>
        <w:t>%。</w:t>
      </w:r>
    </w:p>
    <w:p w14:paraId="73505BC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1.按支出功能分类主要用于以下方面</w:t>
      </w:r>
    </w:p>
    <w:p w14:paraId="60396CF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w:t>
      </w:r>
      <w:r>
        <w:rPr>
          <w:rFonts w:hint="default" w:ascii="Times New Roman" w:hAnsi="Times New Roman" w:eastAsia="方正仿宋_GBK" w:cs="Times New Roman"/>
          <w:sz w:val="32"/>
          <w:szCs w:val="32"/>
          <w:lang w:val="zh-CN" w:eastAsia="zh-CN"/>
        </w:rPr>
        <w:t>一般公共服务支出：</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年收入支出数为</w:t>
      </w:r>
      <w:r>
        <w:rPr>
          <w:rFonts w:hint="default" w:ascii="Times New Roman" w:hAnsi="Times New Roman" w:eastAsia="方正仿宋_GBK" w:cs="Times New Roman"/>
          <w:sz w:val="32"/>
          <w:szCs w:val="32"/>
          <w:lang w:val="en-US" w:eastAsia="zh-CN"/>
        </w:rPr>
        <w:t>1.9981</w:t>
      </w:r>
      <w:r>
        <w:rPr>
          <w:rFonts w:hint="default" w:ascii="Times New Roman" w:hAnsi="Times New Roman" w:eastAsia="方正仿宋_GBK" w:cs="Times New Roman"/>
          <w:sz w:val="32"/>
          <w:szCs w:val="32"/>
          <w:lang w:val="zh-CN"/>
        </w:rPr>
        <w:t>万元。</w:t>
      </w:r>
    </w:p>
    <w:p w14:paraId="7CC2F0A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 社会保障和就业支出： 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年收入支出数为</w:t>
      </w:r>
      <w:r>
        <w:rPr>
          <w:rFonts w:hint="default" w:ascii="Times New Roman" w:hAnsi="Times New Roman" w:eastAsia="方正仿宋_GBK" w:cs="Times New Roman"/>
          <w:sz w:val="32"/>
          <w:szCs w:val="32"/>
          <w:lang w:val="en-US" w:eastAsia="zh-CN"/>
        </w:rPr>
        <w:t>161.5201</w:t>
      </w:r>
      <w:r>
        <w:rPr>
          <w:rFonts w:hint="default" w:ascii="Times New Roman" w:hAnsi="Times New Roman" w:eastAsia="方正仿宋_GBK" w:cs="Times New Roman"/>
          <w:sz w:val="32"/>
          <w:szCs w:val="32"/>
          <w:lang w:val="zh-CN"/>
        </w:rPr>
        <w:t>万元。</w:t>
      </w:r>
    </w:p>
    <w:p w14:paraId="7EE4587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（3）卫生健康支出：202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年收入支出数为</w:t>
      </w:r>
      <w:r>
        <w:rPr>
          <w:rFonts w:hint="default" w:ascii="Times New Roman" w:hAnsi="Times New Roman" w:eastAsia="方正仿宋_GBK" w:cs="Times New Roman"/>
          <w:sz w:val="32"/>
          <w:szCs w:val="32"/>
          <w:lang w:val="en-US" w:eastAsia="zh-CN"/>
        </w:rPr>
        <w:t>31.9137</w:t>
      </w:r>
      <w:r>
        <w:rPr>
          <w:rFonts w:hint="default" w:ascii="Times New Roman" w:hAnsi="Times New Roman" w:eastAsia="方正仿宋_GBK" w:cs="Times New Roman"/>
          <w:sz w:val="32"/>
          <w:szCs w:val="32"/>
          <w:lang w:val="zh-CN"/>
        </w:rPr>
        <w:t>万元。</w:t>
      </w:r>
    </w:p>
    <w:p w14:paraId="0DD8E13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（4）城乡社区支出： 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年收入支出数为3176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856</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rPr>
        <w:t>万元。</w:t>
      </w:r>
    </w:p>
    <w:p w14:paraId="37E2313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（5）农林水支出：202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年收入支出数为</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万元。</w:t>
      </w:r>
    </w:p>
    <w:p w14:paraId="24CBA82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rPr>
        <w:t>）交通运输支出：202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年收入支出数为</w:t>
      </w:r>
      <w:r>
        <w:rPr>
          <w:rFonts w:hint="default" w:ascii="Times New Roman" w:hAnsi="Times New Roman" w:eastAsia="方正仿宋_GBK" w:cs="Times New Roman"/>
          <w:sz w:val="32"/>
          <w:szCs w:val="32"/>
          <w:lang w:val="en-US" w:eastAsia="zh-CN"/>
        </w:rPr>
        <w:t>11384.8356</w:t>
      </w:r>
      <w:r>
        <w:rPr>
          <w:rFonts w:hint="default" w:ascii="Times New Roman" w:hAnsi="Times New Roman" w:eastAsia="方正仿宋_GBK" w:cs="Times New Roman"/>
          <w:sz w:val="32"/>
          <w:szCs w:val="32"/>
          <w:lang w:val="zh-CN"/>
        </w:rPr>
        <w:t>万元。</w:t>
      </w:r>
    </w:p>
    <w:p w14:paraId="7605DD2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zh-CN"/>
        </w:rPr>
        <w:t>）住房保障支出：202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zh-CN"/>
        </w:rPr>
        <w:t>年收入支出数为</w:t>
      </w:r>
      <w:r>
        <w:rPr>
          <w:rFonts w:hint="default" w:ascii="Times New Roman" w:hAnsi="Times New Roman" w:eastAsia="方正仿宋_GBK" w:cs="Times New Roman"/>
          <w:sz w:val="32"/>
          <w:szCs w:val="32"/>
          <w:lang w:val="en-US" w:eastAsia="zh-CN"/>
        </w:rPr>
        <w:t>28.4674</w:t>
      </w:r>
      <w:r>
        <w:rPr>
          <w:rFonts w:hint="default" w:ascii="Times New Roman" w:hAnsi="Times New Roman" w:eastAsia="方正仿宋_GBK" w:cs="Times New Roman"/>
          <w:sz w:val="32"/>
          <w:szCs w:val="32"/>
          <w:lang w:val="zh-CN"/>
        </w:rPr>
        <w:t>万元。</w:t>
      </w:r>
    </w:p>
    <w:p w14:paraId="1279BA2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2.按支出按经济分类主要用于以下方面</w:t>
      </w:r>
    </w:p>
    <w:p w14:paraId="5482D61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我单位本年支出15070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697</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zh-CN"/>
        </w:rPr>
        <w:t>万元，其中：工资福利支出372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248</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zh-CN"/>
        </w:rPr>
        <w:t>万元，商品服务支出774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4218万元，对个人和家庭的补助支出106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zh-CN"/>
        </w:rPr>
        <w:t>8335万元，资本性支出1</w:t>
      </w:r>
      <w:r>
        <w:rPr>
          <w:rFonts w:hint="default" w:ascii="Times New Roman" w:hAnsi="Times New Roman" w:eastAsia="方正仿宋_GBK" w:cs="Times New Roman"/>
          <w:sz w:val="32"/>
          <w:szCs w:val="32"/>
          <w:lang w:val="en-US" w:eastAsia="zh-CN"/>
        </w:rPr>
        <w:t>3036.5470</w:t>
      </w:r>
      <w:r>
        <w:rPr>
          <w:rFonts w:hint="default" w:ascii="Times New Roman" w:hAnsi="Times New Roman" w:eastAsia="方正仿宋_GBK" w:cs="Times New Roman"/>
          <w:sz w:val="32"/>
          <w:szCs w:val="32"/>
          <w:lang w:val="zh-CN"/>
        </w:rPr>
        <w:t>万元，主要的经费支出有以下几方面：</w:t>
      </w:r>
    </w:p>
    <w:p w14:paraId="6A573C6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（1）“三公”经费支出情况：盐边县交通运输局2024年度“三公”经费财政拨款支出决算为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rPr>
        <w:t>万元，人均支出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rPr>
        <w:t>万元。其中：因公出国（境）费支出决算为0万元，与上年支出持平；公务用车购置及运行维护费支出决算为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rPr>
        <w:t>万元，与上年支出增加</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rPr>
        <w:t>%；公务接待费支出决算为</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rPr>
        <w:t>万元，完成预算</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val="zh-CN"/>
        </w:rPr>
        <w:t>%。</w:t>
      </w:r>
    </w:p>
    <w:p w14:paraId="5CB3E06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（2）会议费支出情况：盐边县交通运输局2024年度会议费财政拨款支出决算为0万元。</w:t>
      </w:r>
    </w:p>
    <w:p w14:paraId="23D9825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（3）培训费支出情况：盐边县交通运输局2024年度培训费财政拨款支出决算为2.03万元，人均支出0.03万元。</w:t>
      </w:r>
    </w:p>
    <w:p w14:paraId="32B71D5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3.项目支出</w:t>
      </w:r>
    </w:p>
    <w:p w14:paraId="0951535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我局承担着全县交通运输领域综合行政执法工作。职责范围内的安全生产和职业健康、生态环境保护、审批服务便民化等工作。渔船检验监督管理和行业指导。承担水路运输及水上安全监督管理、船舶监督管理以及港口、航道建设、养护监督管理。承担道路运输行业监督管理及全县公路行政审批等职责以及县委、县政府安排的各项重点工作，2024年完成各项</w:t>
      </w:r>
      <w:r>
        <w:rPr>
          <w:rFonts w:hint="default" w:ascii="Times New Roman" w:hAnsi="Times New Roman" w:eastAsia="方正仿宋_GBK" w:cs="Times New Roman"/>
          <w:sz w:val="32"/>
          <w:szCs w:val="32"/>
          <w:lang w:val="zh-CN" w:eastAsia="zh-CN"/>
        </w:rPr>
        <w:t>交通</w:t>
      </w:r>
      <w:r>
        <w:rPr>
          <w:rFonts w:hint="default" w:ascii="Times New Roman" w:hAnsi="Times New Roman" w:eastAsia="方正仿宋_GBK" w:cs="Times New Roman"/>
          <w:sz w:val="32"/>
          <w:szCs w:val="32"/>
          <w:lang w:val="zh-CN"/>
        </w:rPr>
        <w:t>专项工作开支的县本级项目支出1</w:t>
      </w:r>
      <w:r>
        <w:rPr>
          <w:rFonts w:hint="default" w:ascii="Times New Roman" w:hAnsi="Times New Roman" w:eastAsia="方正仿宋_GBK" w:cs="Times New Roman"/>
          <w:sz w:val="32"/>
          <w:szCs w:val="32"/>
          <w:lang w:val="en-US" w:eastAsia="zh-CN"/>
        </w:rPr>
        <w:t>3036.5470</w:t>
      </w:r>
      <w:r>
        <w:rPr>
          <w:rFonts w:hint="default" w:ascii="Times New Roman" w:hAnsi="Times New Roman" w:eastAsia="方正仿宋_GBK" w:cs="Times New Roman"/>
          <w:sz w:val="32"/>
          <w:szCs w:val="32"/>
          <w:lang w:val="zh-CN"/>
        </w:rPr>
        <w:t>万元，项目支出主要包括了盐边县X001桐银路（桐子林大桥至东区界段）美丽乡村路；项目前期设计；S221盐边县渔门镇桑园大桥拆除重建工程；省级“四好农村路”示范县；2021、2022年度中央财政农村客运补贴和城市交通发展奖励；盐边县X054共鳡路（共和码头至三王庙段）改建工程；农村客运保险补贴；乡镇综合服务站；2023年度政府采购《鳡鱼大桥健康监测》；2024年度增开攀枝花至成都直达动车补贴分摊；农村公路养护；S218盐边县城南入口至安宁工业园段新建工程；S470盐边县红果乡至渔门镇改建工程占用二滩森林公园论证；2024年新九红格片区脏车整治；年度农村客运出租车成品油价格补助；2024年撤并建制村及30户以上自然村组通硬化路；攀枝花二滩库区共和便民码头项目。</w:t>
      </w:r>
    </w:p>
    <w:p w14:paraId="7F11FA12">
      <w:pPr>
        <w:widowControl/>
        <w:numPr>
          <w:ilvl w:val="0"/>
          <w:numId w:val="1"/>
        </w:numPr>
        <w:adjustRightInd w:val="0"/>
        <w:snapToGrid w:val="0"/>
        <w:spacing w:line="578" w:lineRule="exact"/>
        <w:ind w:left="0" w:leftChars="0" w:firstLine="643" w:firstLineChars="200"/>
        <w:contextualSpacing/>
        <w:jc w:val="left"/>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结余分配和结转结余情况</w:t>
      </w:r>
    </w:p>
    <w:p w14:paraId="0965430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eastAsia="仿宋_GB2312"/>
          <w:kern w:val="0"/>
          <w:szCs w:val="32"/>
          <w:shd w:val="clear" w:color="auto" w:fill="FFFFFF"/>
          <w:lang w:val="zh-CN"/>
        </w:rPr>
      </w:pPr>
      <w:r>
        <w:rPr>
          <w:rFonts w:hint="eastAsia" w:ascii="Times New Roman" w:hAnsi="Times New Roman" w:eastAsia="仿宋_GB2312" w:cs="Times New Roman"/>
          <w:sz w:val="32"/>
          <w:szCs w:val="32"/>
          <w:lang w:val="zh-CN"/>
        </w:rPr>
        <w:t>盐边县交通运输局2024年年末结转资金283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zh-CN"/>
        </w:rPr>
        <w:t>1064万元。</w:t>
      </w:r>
    </w:p>
    <w:p w14:paraId="0C282366">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三、部门预算绩效分析</w:t>
      </w:r>
    </w:p>
    <w:p w14:paraId="6F90B6AB">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contextualSpacing/>
        <w:jc w:val="left"/>
        <w:textAlignment w:val="auto"/>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部门预算</w:t>
      </w:r>
      <w:r>
        <w:rPr>
          <w:rFonts w:eastAsia="楷体_GB2312"/>
          <w:b/>
          <w:bCs/>
          <w:kern w:val="0"/>
          <w:sz w:val="32"/>
          <w:szCs w:val="32"/>
          <w:shd w:val="clear" w:color="auto" w:fill="FFFFFF"/>
          <w:lang w:val="zh-CN"/>
        </w:rPr>
        <w:t>总体绩效分析</w:t>
      </w:r>
    </w:p>
    <w:p w14:paraId="1030938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根据部门预算绩效评价指标体系“总体绩效”涉及二、三级指标进行逐项绩效分析并评分，依次包括履职效能、预算管理、财务管理、资产管理、采购管理等情况。</w:t>
      </w:r>
    </w:p>
    <w:p w14:paraId="5C924AF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rPr>
        <w:t>1.</w:t>
      </w:r>
      <w:r>
        <w:rPr>
          <w:rFonts w:hint="default" w:ascii="Times New Roman" w:hAnsi="Times New Roman" w:eastAsia="方正仿宋_GBK" w:cs="Times New Roman"/>
          <w:kern w:val="0"/>
          <w:sz w:val="32"/>
          <w:szCs w:val="32"/>
          <w:shd w:val="clear" w:color="auto" w:fill="FFFFFF"/>
          <w:lang w:val="zh-CN"/>
        </w:rPr>
        <w:t>履职效能。部门整体绩效目标中选定3～5个核心职能目标，对职能目标完成效果情况绩效分析。</w:t>
      </w:r>
    </w:p>
    <w:p w14:paraId="2CE21F91">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rPr>
        <w:t>2.</w:t>
      </w:r>
      <w:r>
        <w:rPr>
          <w:rFonts w:hint="default" w:ascii="Times New Roman" w:hAnsi="Times New Roman" w:eastAsia="方正仿宋_GBK" w:cs="Times New Roman"/>
          <w:kern w:val="0"/>
          <w:sz w:val="32"/>
          <w:szCs w:val="32"/>
          <w:shd w:val="clear" w:color="auto" w:fill="FFFFFF"/>
          <w:lang w:val="zh-CN"/>
        </w:rPr>
        <w:t>预算管理。</w:t>
      </w:r>
    </w:p>
    <w:p w14:paraId="678F83BC">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盐边县</w:t>
      </w:r>
      <w:r>
        <w:rPr>
          <w:rFonts w:hint="default" w:ascii="Times New Roman" w:hAnsi="Times New Roman" w:eastAsia="方正仿宋_GBK" w:cs="Times New Roman"/>
          <w:kern w:val="0"/>
          <w:sz w:val="32"/>
          <w:szCs w:val="32"/>
          <w:shd w:val="clear" w:color="auto" w:fill="FFFFFF"/>
          <w:lang w:val="en-US" w:eastAsia="zh-CN"/>
        </w:rPr>
        <w:t>交通运输</w:t>
      </w:r>
      <w:r>
        <w:rPr>
          <w:rFonts w:hint="default" w:ascii="Times New Roman" w:hAnsi="Times New Roman" w:eastAsia="方正仿宋_GBK" w:cs="Times New Roman"/>
          <w:kern w:val="0"/>
          <w:sz w:val="32"/>
          <w:szCs w:val="32"/>
          <w:shd w:val="clear" w:color="auto" w:fill="FFFFFF"/>
          <w:lang w:val="zh-CN"/>
        </w:rPr>
        <w:t>局预算管理按照“系统内部统筹，对外统一出口”的一体化预算管理模式，采取目标责任制的预算管理方式，对盐边县林业局内部预算的编制、批复、执行、追加、调整、决算考评等进行全过程管理，严格按照财政要求应编尽编，保证单位正常运转；预决算信息也在财政批复下达的规定时间内在政府公众信息网上公开；“三公”经费严格按照落实过紧日子要求，厉行节俭，从严控制和压缩支出原则执行。</w:t>
      </w:r>
    </w:p>
    <w:p w14:paraId="14DB79F2">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3.</w:t>
      </w:r>
      <w:r>
        <w:rPr>
          <w:rFonts w:hint="default" w:ascii="Times New Roman" w:hAnsi="Times New Roman" w:eastAsia="方正仿宋_GBK" w:cs="Times New Roman"/>
          <w:kern w:val="0"/>
          <w:sz w:val="32"/>
          <w:szCs w:val="32"/>
          <w:shd w:val="clear" w:color="auto" w:fill="FFFFFF"/>
          <w:lang w:val="zh-CN"/>
        </w:rPr>
        <w:t>财务管理。</w:t>
      </w:r>
    </w:p>
    <w:p w14:paraId="63A1E5A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盐边县</w:t>
      </w:r>
      <w:r>
        <w:rPr>
          <w:rFonts w:hint="default" w:ascii="Times New Roman" w:hAnsi="Times New Roman" w:eastAsia="方正仿宋_GBK" w:cs="Times New Roman"/>
          <w:kern w:val="0"/>
          <w:sz w:val="32"/>
          <w:szCs w:val="32"/>
          <w:shd w:val="clear" w:color="auto" w:fill="FFFFFF"/>
          <w:lang w:val="en-US" w:eastAsia="zh-CN"/>
        </w:rPr>
        <w:t>交通运输</w:t>
      </w:r>
      <w:r>
        <w:rPr>
          <w:rFonts w:hint="default" w:ascii="Times New Roman" w:hAnsi="Times New Roman" w:eastAsia="方正仿宋_GBK" w:cs="Times New Roman"/>
          <w:kern w:val="0"/>
          <w:sz w:val="32"/>
          <w:szCs w:val="32"/>
          <w:shd w:val="clear" w:color="auto" w:fill="FFFFFF"/>
          <w:lang w:val="zh-CN"/>
        </w:rPr>
        <w:t>局对财务管理进行规范化管理，同财政部门及时沟通学习，合理设置财务工作岗位，明确职责权限，并严格实行不相容岗位分离制度；积极进行财政部门组织的预决算、编报、审核等方面的工作，认真如实填报；资金使用规范，做到专款专用，无乱用资金情况。</w:t>
      </w:r>
    </w:p>
    <w:p w14:paraId="1000164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lang w:val="zh-CN"/>
        </w:rPr>
        <w:t>资产管理。</w:t>
      </w:r>
    </w:p>
    <w:p w14:paraId="40D9A75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盐边县</w:t>
      </w:r>
      <w:r>
        <w:rPr>
          <w:rFonts w:hint="default" w:ascii="Times New Roman" w:hAnsi="Times New Roman" w:eastAsia="方正仿宋_GBK" w:cs="Times New Roman"/>
          <w:kern w:val="0"/>
          <w:sz w:val="32"/>
          <w:szCs w:val="32"/>
          <w:shd w:val="clear" w:color="auto" w:fill="FFFFFF"/>
          <w:lang w:val="en-US" w:eastAsia="zh-CN"/>
        </w:rPr>
        <w:t>交通运输</w:t>
      </w:r>
      <w:r>
        <w:rPr>
          <w:rFonts w:hint="default" w:ascii="Times New Roman" w:hAnsi="Times New Roman" w:eastAsia="方正仿宋_GBK" w:cs="Times New Roman"/>
          <w:kern w:val="0"/>
          <w:sz w:val="32"/>
          <w:szCs w:val="32"/>
          <w:shd w:val="clear" w:color="auto" w:fill="FFFFFF"/>
          <w:lang w:val="zh-CN"/>
        </w:rPr>
        <w:t>局严格按照财政部门相关要求进行资产管理，按单位职能和标准配置资产，明确资产使用、保管、监督责任主体，新购资产及时入账，做到账实相符，并定期检查资产状态，做到保存完整，延长使用寿命，资产处置严格按财政部门要求办理，处置收益按“收支两条线”上缴国库。</w:t>
      </w:r>
    </w:p>
    <w:p w14:paraId="2BB6973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盐边县</w:t>
      </w:r>
      <w:r>
        <w:rPr>
          <w:rFonts w:hint="default" w:ascii="Times New Roman" w:hAnsi="Times New Roman" w:eastAsia="方正仿宋_GBK" w:cs="Times New Roman"/>
          <w:kern w:val="0"/>
          <w:sz w:val="32"/>
          <w:szCs w:val="32"/>
          <w:shd w:val="clear" w:color="auto" w:fill="FFFFFF"/>
          <w:lang w:val="en-US" w:eastAsia="zh-CN"/>
        </w:rPr>
        <w:t>交通运输</w:t>
      </w:r>
      <w:r>
        <w:rPr>
          <w:rFonts w:hint="default" w:ascii="Times New Roman" w:hAnsi="Times New Roman" w:eastAsia="方正仿宋_GBK" w:cs="Times New Roman"/>
          <w:kern w:val="0"/>
          <w:sz w:val="32"/>
          <w:szCs w:val="32"/>
          <w:shd w:val="clear" w:color="auto" w:fill="FFFFFF"/>
          <w:lang w:val="zh-CN"/>
        </w:rPr>
        <w:t>局</w:t>
      </w:r>
      <w:r>
        <w:rPr>
          <w:rFonts w:hint="default" w:ascii="Times New Roman" w:hAnsi="Times New Roman" w:eastAsia="方正仿宋_GBK" w:cs="Times New Roman"/>
          <w:kern w:val="0"/>
          <w:sz w:val="32"/>
          <w:szCs w:val="32"/>
          <w:shd w:val="clear" w:color="auto" w:fill="FFFFFF"/>
          <w:lang w:val="en-US" w:eastAsia="zh-CN"/>
        </w:rPr>
        <w:t>无</w:t>
      </w:r>
      <w:r>
        <w:rPr>
          <w:rFonts w:hint="default" w:ascii="Times New Roman" w:hAnsi="Times New Roman" w:eastAsia="方正仿宋_GBK" w:cs="Times New Roman"/>
          <w:kern w:val="0"/>
          <w:sz w:val="32"/>
          <w:szCs w:val="32"/>
          <w:shd w:val="clear" w:color="auto" w:fill="FFFFFF"/>
          <w:lang w:val="zh-CN"/>
        </w:rPr>
        <w:t>闲置资产，无盘活资产。</w:t>
      </w:r>
    </w:p>
    <w:p w14:paraId="5084B8D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en-US" w:eastAsia="zh-CN"/>
        </w:rPr>
        <w:t>5.</w:t>
      </w:r>
      <w:r>
        <w:rPr>
          <w:rFonts w:hint="default" w:ascii="Times New Roman" w:hAnsi="Times New Roman" w:eastAsia="方正仿宋_GBK" w:cs="Times New Roman"/>
          <w:kern w:val="0"/>
          <w:sz w:val="32"/>
          <w:szCs w:val="32"/>
          <w:shd w:val="clear" w:color="auto" w:fill="FFFFFF"/>
          <w:lang w:val="zh-CN"/>
        </w:rPr>
        <w:t>采购管理。</w:t>
      </w:r>
    </w:p>
    <w:p w14:paraId="63A6914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Times New Roman" w:hAnsi="Times New Roman" w:eastAsia="方正仿宋_GBK" w:cs="Times New Roman"/>
          <w:kern w:val="0"/>
          <w:sz w:val="32"/>
          <w:szCs w:val="32"/>
          <w:shd w:val="clear" w:color="auto" w:fill="FFFFFF"/>
          <w:lang w:val="zh-CN"/>
        </w:rPr>
      </w:pPr>
      <w:r>
        <w:rPr>
          <w:rFonts w:hint="default" w:ascii="Times New Roman" w:hAnsi="Times New Roman" w:eastAsia="方正仿宋_GBK" w:cs="Times New Roman"/>
          <w:kern w:val="0"/>
          <w:sz w:val="32"/>
          <w:szCs w:val="32"/>
          <w:shd w:val="clear" w:color="auto" w:fill="FFFFFF"/>
          <w:lang w:val="zh-CN"/>
        </w:rPr>
        <w:t>盐边县</w:t>
      </w:r>
      <w:r>
        <w:rPr>
          <w:rFonts w:hint="default" w:ascii="Times New Roman" w:hAnsi="Times New Roman" w:eastAsia="方正仿宋_GBK" w:cs="Times New Roman"/>
          <w:kern w:val="0"/>
          <w:sz w:val="32"/>
          <w:szCs w:val="32"/>
          <w:shd w:val="clear" w:color="auto" w:fill="FFFFFF"/>
          <w:lang w:val="en-US" w:eastAsia="zh-CN"/>
        </w:rPr>
        <w:t>交通运输</w:t>
      </w:r>
      <w:r>
        <w:rPr>
          <w:rFonts w:hint="default" w:ascii="Times New Roman" w:hAnsi="Times New Roman" w:eastAsia="方正仿宋_GBK" w:cs="Times New Roman"/>
          <w:kern w:val="0"/>
          <w:sz w:val="32"/>
          <w:szCs w:val="32"/>
          <w:shd w:val="clear" w:color="auto" w:fill="FFFFFF"/>
          <w:lang w:val="zh-CN"/>
        </w:rPr>
        <w:t>局采购管理遵循公开、公平、择优、诚实、信用及维护公共利益的原则，其中授予中小企业采购率达到</w:t>
      </w:r>
      <w:r>
        <w:rPr>
          <w:rFonts w:hint="default" w:ascii="Times New Roman" w:hAnsi="Times New Roman" w:eastAsia="方正仿宋_GBK" w:cs="Times New Roman"/>
          <w:kern w:val="0"/>
          <w:sz w:val="32"/>
          <w:szCs w:val="32"/>
          <w:shd w:val="clear" w:color="auto" w:fill="FFFFFF"/>
          <w:lang w:val="en-US" w:eastAsia="zh-CN"/>
        </w:rPr>
        <w:t>100</w:t>
      </w:r>
      <w:r>
        <w:rPr>
          <w:rFonts w:hint="default" w:ascii="Times New Roman" w:hAnsi="Times New Roman" w:eastAsia="方正仿宋_GBK" w:cs="Times New Roman"/>
          <w:kern w:val="0"/>
          <w:sz w:val="32"/>
          <w:szCs w:val="32"/>
          <w:shd w:val="clear" w:color="auto" w:fill="FFFFFF"/>
          <w:lang w:val="zh-CN"/>
        </w:rPr>
        <w:t>%，采购方式及组织形式主要包括公开招标、邀请招标、竞争性谈判、单一来源采购、询价采购以及政府采购监督管理部门认定的其他采购方式，盐边县</w:t>
      </w:r>
      <w:r>
        <w:rPr>
          <w:rFonts w:hint="default" w:ascii="Times New Roman" w:hAnsi="Times New Roman" w:eastAsia="方正仿宋_GBK" w:cs="Times New Roman"/>
          <w:kern w:val="0"/>
          <w:sz w:val="32"/>
          <w:szCs w:val="32"/>
          <w:shd w:val="clear" w:color="auto" w:fill="FFFFFF"/>
          <w:lang w:val="en-US" w:eastAsia="zh-CN"/>
        </w:rPr>
        <w:t>交通运输</w:t>
      </w:r>
      <w:r>
        <w:rPr>
          <w:rFonts w:hint="default" w:ascii="Times New Roman" w:hAnsi="Times New Roman" w:eastAsia="方正仿宋_GBK" w:cs="Times New Roman"/>
          <w:kern w:val="0"/>
          <w:sz w:val="32"/>
          <w:szCs w:val="32"/>
          <w:shd w:val="clear" w:color="auto" w:fill="FFFFFF"/>
          <w:lang w:val="zh-CN"/>
        </w:rPr>
        <w:t>局采购项目资金支付比例为100%。</w:t>
      </w:r>
    </w:p>
    <w:p w14:paraId="5B4A275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contextualSpacing/>
        <w:textAlignment w:val="auto"/>
        <w:rPr>
          <w:rFonts w:eastAsia="楷体_GB2312"/>
          <w:b/>
          <w:bCs/>
          <w:color w:val="auto"/>
          <w:kern w:val="0"/>
          <w:sz w:val="32"/>
          <w:szCs w:val="32"/>
          <w:shd w:val="clear" w:color="auto" w:fill="FFFFFF"/>
          <w:lang w:val="zh-CN"/>
        </w:rPr>
      </w:pPr>
      <w:r>
        <w:rPr>
          <w:rFonts w:hint="eastAsia" w:ascii="Times New Roman" w:hAnsi="Times New Roman" w:eastAsia="楷体_GB2312" w:cs="Times New Roman"/>
          <w:b/>
          <w:bCs/>
          <w:color w:val="auto"/>
          <w:kern w:val="0"/>
          <w:sz w:val="32"/>
          <w:szCs w:val="32"/>
          <w:shd w:val="clear" w:fill="FFFFFF"/>
          <w:lang w:val="zh-CN" w:eastAsia="zh-CN" w:bidi="ar-SA"/>
        </w:rPr>
        <w:t>（二）</w:t>
      </w:r>
      <w:r>
        <w:rPr>
          <w:rFonts w:eastAsia="楷体_GB2312"/>
          <w:b/>
          <w:bCs/>
          <w:color w:val="auto"/>
          <w:kern w:val="0"/>
          <w:sz w:val="32"/>
          <w:szCs w:val="32"/>
          <w:shd w:val="clear" w:color="auto" w:fill="FFFFFF"/>
          <w:lang w:val="zh-CN"/>
        </w:rPr>
        <w:t>部门预算项目绩效分析</w:t>
      </w:r>
    </w:p>
    <w:p w14:paraId="30275F4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zh-CN"/>
        </w:rPr>
        <w:t>填报以下数据，并根据部门预算绩效评价指标体系“项目绩效”涉及二、三级指标进行逐项绩效分析并评分，依次包括项目</w:t>
      </w:r>
      <w:r>
        <w:rPr>
          <w:rFonts w:hint="default" w:ascii="Times New Roman" w:hAnsi="Times New Roman" w:eastAsia="方正仿宋_GBK" w:cs="Times New Roman"/>
          <w:color w:val="auto"/>
          <w:sz w:val="32"/>
          <w:szCs w:val="32"/>
        </w:rPr>
        <w:t>决策、项目执行、目标实现等情况。</w:t>
      </w:r>
    </w:p>
    <w:p w14:paraId="317A6BC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常年项目绩效分析。</w:t>
      </w:r>
      <w:r>
        <w:rPr>
          <w:rFonts w:hint="default" w:ascii="Times New Roman" w:hAnsi="Times New Roman" w:eastAsia="方正仿宋_GBK" w:cs="Times New Roman"/>
          <w:color w:val="auto"/>
          <w:sz w:val="32"/>
          <w:szCs w:val="32"/>
          <w:lang w:val="zh-CN"/>
        </w:rPr>
        <w:t>该类项目总数</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zh-CN"/>
        </w:rPr>
        <w:t>个，涉及预算总金额</w:t>
      </w:r>
      <w:r>
        <w:rPr>
          <w:rFonts w:hint="default" w:ascii="Times New Roman" w:hAnsi="Times New Roman" w:eastAsia="方正仿宋_GBK" w:cs="Times New Roman"/>
          <w:color w:val="auto"/>
          <w:sz w:val="32"/>
          <w:szCs w:val="32"/>
          <w:lang w:val="en-US" w:eastAsia="zh-CN"/>
        </w:rPr>
        <w:t>1219.9</w:t>
      </w:r>
      <w:r>
        <w:rPr>
          <w:rFonts w:hint="default" w:ascii="Times New Roman" w:hAnsi="Times New Roman" w:eastAsia="方正仿宋_GBK" w:cs="Times New Roman"/>
          <w:color w:val="auto"/>
          <w:sz w:val="32"/>
          <w:szCs w:val="32"/>
          <w:lang w:val="zh-CN"/>
        </w:rPr>
        <w:t>万元，1—1</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zh-CN"/>
        </w:rPr>
        <w:t>月预算执行总体进度为</w:t>
      </w:r>
      <w:r>
        <w:rPr>
          <w:rFonts w:hint="default" w:ascii="Times New Roman" w:hAnsi="Times New Roman" w:eastAsia="方正仿宋_GBK" w:cs="Times New Roman"/>
          <w:color w:val="auto"/>
          <w:sz w:val="32"/>
          <w:szCs w:val="32"/>
          <w:lang w:val="en-US" w:eastAsia="zh-CN"/>
        </w:rPr>
        <w:t>74</w:t>
      </w:r>
      <w:r>
        <w:rPr>
          <w:rFonts w:hint="default" w:ascii="Times New Roman" w:hAnsi="Times New Roman" w:eastAsia="方正仿宋_GBK" w:cs="Times New Roman"/>
          <w:color w:val="auto"/>
          <w:sz w:val="32"/>
          <w:szCs w:val="32"/>
          <w:lang w:val="zh-CN"/>
        </w:rPr>
        <w:t>%，其中：预算结余率大于</w:t>
      </w:r>
      <w:r>
        <w:rPr>
          <w:rFonts w:hint="default" w:ascii="Times New Roman" w:hAnsi="Times New Roman" w:eastAsia="方正仿宋_GBK" w:cs="Times New Roman"/>
          <w:color w:val="auto"/>
          <w:sz w:val="32"/>
          <w:szCs w:val="32"/>
        </w:rPr>
        <w:t>10%</w:t>
      </w:r>
      <w:r>
        <w:rPr>
          <w:rFonts w:hint="default" w:ascii="Times New Roman" w:hAnsi="Times New Roman" w:eastAsia="方正仿宋_GBK" w:cs="Times New Roman"/>
          <w:color w:val="auto"/>
          <w:sz w:val="32"/>
          <w:szCs w:val="32"/>
          <w:lang w:val="zh-CN"/>
        </w:rPr>
        <w:t>的项目共计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zh-CN"/>
        </w:rPr>
        <w:t>个。</w:t>
      </w:r>
    </w:p>
    <w:p w14:paraId="2C6A211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阶段（一次性）项目绩效分析。</w:t>
      </w:r>
      <w:r>
        <w:rPr>
          <w:rFonts w:hint="default" w:ascii="Times New Roman" w:hAnsi="Times New Roman" w:eastAsia="方正仿宋_GBK" w:cs="Times New Roman"/>
          <w:color w:val="auto"/>
          <w:sz w:val="32"/>
          <w:szCs w:val="32"/>
          <w:lang w:val="zh-CN"/>
        </w:rPr>
        <w:t>该类项目总数</w:t>
      </w:r>
      <w:r>
        <w:rPr>
          <w:rFonts w:hint="default" w:ascii="Times New Roman" w:hAnsi="Times New Roman" w:eastAsia="方正仿宋_GBK" w:cs="Times New Roman"/>
          <w:color w:val="auto"/>
          <w:sz w:val="32"/>
          <w:szCs w:val="32"/>
          <w:lang w:val="en-US" w:eastAsia="zh-CN"/>
        </w:rPr>
        <w:t>25</w:t>
      </w:r>
      <w:r>
        <w:rPr>
          <w:rFonts w:hint="default" w:ascii="Times New Roman" w:hAnsi="Times New Roman" w:eastAsia="方正仿宋_GBK" w:cs="Times New Roman"/>
          <w:color w:val="auto"/>
          <w:sz w:val="32"/>
          <w:szCs w:val="32"/>
          <w:lang w:val="zh-CN"/>
        </w:rPr>
        <w:t>个，涉及预算总金额</w:t>
      </w:r>
      <w:r>
        <w:rPr>
          <w:rFonts w:hint="default" w:ascii="Times New Roman" w:hAnsi="Times New Roman" w:eastAsia="方正仿宋_GBK" w:cs="Times New Roman"/>
          <w:color w:val="auto"/>
          <w:sz w:val="32"/>
          <w:szCs w:val="32"/>
          <w:lang w:val="en-US" w:eastAsia="zh-CN"/>
        </w:rPr>
        <w:t>13744.14</w:t>
      </w:r>
      <w:r>
        <w:rPr>
          <w:rFonts w:hint="default" w:ascii="Times New Roman" w:hAnsi="Times New Roman" w:eastAsia="方正仿宋_GBK" w:cs="Times New Roman"/>
          <w:color w:val="auto"/>
          <w:sz w:val="32"/>
          <w:szCs w:val="32"/>
          <w:lang w:val="zh-CN"/>
        </w:rPr>
        <w:t>万元，1—1</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val="zh-CN"/>
        </w:rPr>
        <w:t>月预算执行总体进度为</w:t>
      </w:r>
      <w:r>
        <w:rPr>
          <w:rFonts w:hint="default" w:ascii="Times New Roman" w:hAnsi="Times New Roman" w:eastAsia="方正仿宋_GBK" w:cs="Times New Roman"/>
          <w:color w:val="auto"/>
          <w:sz w:val="32"/>
          <w:szCs w:val="32"/>
          <w:lang w:val="en-US" w:eastAsia="zh-CN"/>
        </w:rPr>
        <w:t>72.3</w:t>
      </w:r>
      <w:r>
        <w:rPr>
          <w:rFonts w:hint="default" w:ascii="Times New Roman" w:hAnsi="Times New Roman" w:eastAsia="方正仿宋_GBK" w:cs="Times New Roman"/>
          <w:color w:val="auto"/>
          <w:sz w:val="32"/>
          <w:szCs w:val="32"/>
          <w:lang w:val="zh-CN"/>
        </w:rPr>
        <w:t>%，其中：预算结余率大于</w:t>
      </w:r>
      <w:r>
        <w:rPr>
          <w:rFonts w:hint="default" w:ascii="Times New Roman" w:hAnsi="Times New Roman" w:eastAsia="方正仿宋_GBK" w:cs="Times New Roman"/>
          <w:color w:val="auto"/>
          <w:sz w:val="32"/>
          <w:szCs w:val="32"/>
        </w:rPr>
        <w:t>10%</w:t>
      </w:r>
      <w:r>
        <w:rPr>
          <w:rFonts w:hint="default" w:ascii="Times New Roman" w:hAnsi="Times New Roman" w:eastAsia="方正仿宋_GBK" w:cs="Times New Roman"/>
          <w:color w:val="auto"/>
          <w:sz w:val="32"/>
          <w:szCs w:val="32"/>
          <w:lang w:val="zh-CN"/>
        </w:rPr>
        <w:t>的项目共计</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lang w:val="zh-CN"/>
        </w:rPr>
        <w:t>个。</w:t>
      </w:r>
    </w:p>
    <w:p w14:paraId="291E025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kern w:val="2"/>
          <w:sz w:val="32"/>
          <w:szCs w:val="32"/>
          <w:lang w:val="zh-CN" w:eastAsia="zh-CN" w:bidi="ar-SA"/>
        </w:rPr>
        <w:t>1.</w:t>
      </w:r>
      <w:r>
        <w:rPr>
          <w:rFonts w:hint="default" w:ascii="Times New Roman" w:hAnsi="Times New Roman" w:eastAsia="方正仿宋_GBK" w:cs="Times New Roman"/>
          <w:color w:val="auto"/>
          <w:sz w:val="32"/>
          <w:szCs w:val="32"/>
          <w:lang w:val="zh-CN"/>
        </w:rPr>
        <w:t>项目决策。项目设立紧紧围绕国家、省、市、县的综合交通运输发展规划、法律法规以及我单位部门职能和战略发展规划紧密衔接。项目提出、论证、审批等环节均按规定进行必要的可行性研究、专家评审、单位内部集体决策及县级议事规则等程序。项目入库均进行了独立项目的事前绩效评价。</w:t>
      </w:r>
    </w:p>
    <w:p w14:paraId="031D0F33">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kern w:val="2"/>
          <w:sz w:val="32"/>
          <w:szCs w:val="32"/>
          <w:lang w:val="zh-CN" w:eastAsia="zh-CN" w:bidi="ar-SA"/>
        </w:rPr>
        <w:t>2.</w:t>
      </w:r>
      <w:r>
        <w:rPr>
          <w:rFonts w:hint="default" w:ascii="Times New Roman" w:hAnsi="Times New Roman" w:eastAsia="方正仿宋_GBK" w:cs="Times New Roman"/>
          <w:color w:val="auto"/>
          <w:sz w:val="32"/>
          <w:szCs w:val="32"/>
        </w:rPr>
        <w:t>项目执行</w:t>
      </w:r>
      <w:r>
        <w:rPr>
          <w:rFonts w:hint="default" w:ascii="Times New Roman" w:hAnsi="Times New Roman" w:eastAsia="方正仿宋_GBK" w:cs="Times New Roman"/>
          <w:color w:val="auto"/>
          <w:sz w:val="32"/>
          <w:szCs w:val="32"/>
          <w:lang w:val="zh-CN"/>
        </w:rPr>
        <w:t>。资金执行方面重点围绕“效率与安全并重”的原则，不仅围绕预算执行率，重点关注资金流向是否合规，支付依据是否扎实。</w:t>
      </w:r>
    </w:p>
    <w:p w14:paraId="3CE2F78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textAlignment w:val="auto"/>
        <w:rPr>
          <w:rFonts w:hint="default" w:ascii="Times New Roman" w:hAnsi="Times New Roman" w:eastAsia="方正仿宋_GBK" w:cs="Times New Roman"/>
          <w:color w:val="auto"/>
          <w:sz w:val="32"/>
          <w:szCs w:val="32"/>
          <w:lang w:val="zh-CN"/>
        </w:rPr>
      </w:pP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val="zh-CN"/>
        </w:rPr>
        <w:t>目标实现。年度预算执行率达到</w:t>
      </w:r>
      <w:r>
        <w:rPr>
          <w:rFonts w:hint="default" w:ascii="Times New Roman" w:hAnsi="Times New Roman" w:eastAsia="方正仿宋_GBK" w:cs="Times New Roman"/>
          <w:color w:val="auto"/>
          <w:sz w:val="32"/>
          <w:szCs w:val="32"/>
          <w:lang w:val="en-US" w:eastAsia="zh-CN"/>
        </w:rPr>
        <w:t>75%以上，资金支出进度与项目实施进度基本匹配</w:t>
      </w:r>
      <w:r>
        <w:rPr>
          <w:rFonts w:hint="default" w:ascii="Times New Roman" w:hAnsi="Times New Roman" w:eastAsia="方正仿宋_GBK" w:cs="Times New Roman"/>
          <w:color w:val="auto"/>
          <w:sz w:val="32"/>
          <w:szCs w:val="32"/>
          <w:lang w:val="zh-CN"/>
        </w:rPr>
        <w:t>。资金使用严格遵守国库集中支付、政府采购等规定。</w:t>
      </w:r>
    </w:p>
    <w:p w14:paraId="1FAC06AD">
      <w:pPr>
        <w:numPr>
          <w:ilvl w:val="0"/>
          <w:numId w:val="2"/>
        </w:numPr>
        <w:snapToGrid w:val="0"/>
        <w:spacing w:line="600" w:lineRule="exact"/>
        <w:ind w:firstLine="643" w:firstLineChars="200"/>
        <w:rPr>
          <w:rFonts w:hint="eastAsia" w:eastAsia="楷体_GB2312"/>
          <w:b/>
          <w:bCs/>
          <w:kern w:val="0"/>
          <w:sz w:val="32"/>
          <w:szCs w:val="32"/>
          <w:shd w:val="clear" w:color="auto" w:fill="FFFFFF"/>
          <w:lang w:val="zh-CN"/>
        </w:rPr>
      </w:pPr>
      <w:r>
        <w:rPr>
          <w:rFonts w:eastAsia="楷体_GB2312"/>
          <w:b/>
          <w:bCs/>
          <w:kern w:val="0"/>
          <w:sz w:val="32"/>
          <w:szCs w:val="32"/>
          <w:shd w:val="clear" w:color="auto" w:fill="FFFFFF"/>
          <w:lang w:val="zh-CN"/>
        </w:rPr>
        <w:t>绩效结果应用情况</w:t>
      </w:r>
    </w:p>
    <w:p w14:paraId="71ED1DB3">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我单位根据盐边县财政局《关于开展2024年度预算绩效自评工作的通知》（盐边财绩〔2024〕2号）文件要求，对2024年度部门预算绩效进行了认真自评，自评等级为良好。在资金的管理和使用上，严格按照相关法律法规规定，遵守财经纪律，认真履行部门职能职责，深入了解资金的执行和使用情况，以及所产生的经济效益、社会效益等，查找出财政资金预算编制、预算执行、预算监督过程中存在的不足。加强预算绩效信息发布管理制度建设，完善绩效信息公开机制，及时将财政部门批复的部门预算及报表等信息按相关规定和要求在盐边县公众信息网“财政信息”栏中进行公开公示。同时对2024年部门预算绩效情况于近日通过公众信息网站公开，接受广大群众监督。</w:t>
      </w:r>
    </w:p>
    <w:p w14:paraId="0CA4B3C3">
      <w:pPr>
        <w:widowControl/>
        <w:adjustRightInd w:val="0"/>
        <w:snapToGrid w:val="0"/>
        <w:spacing w:line="578" w:lineRule="exact"/>
        <w:ind w:firstLine="640" w:firstLineChars="200"/>
        <w:contextualSpacing/>
        <w:jc w:val="left"/>
        <w:rPr>
          <w:rFonts w:ascii="Times New Roman" w:hAnsi="Times New Roman" w:eastAsia="黑体" w:cs="Times New Roman"/>
          <w:kern w:val="0"/>
          <w:sz w:val="32"/>
          <w:szCs w:val="32"/>
          <w:shd w:val="clear" w:color="auto" w:fill="FFFFFF"/>
          <w:lang w:val="zh-CN"/>
        </w:rPr>
      </w:pPr>
      <w:r>
        <w:rPr>
          <w:rFonts w:ascii="Times New Roman" w:hAnsi="Times New Roman" w:eastAsia="黑体" w:cs="Times New Roman"/>
          <w:kern w:val="0"/>
          <w:sz w:val="32"/>
          <w:szCs w:val="32"/>
          <w:shd w:val="clear" w:color="auto" w:fill="FFFFFF"/>
          <w:lang w:val="zh-CN"/>
        </w:rPr>
        <w:t>四、评价结论及建议</w:t>
      </w:r>
    </w:p>
    <w:p w14:paraId="4B858ECD">
      <w:pPr>
        <w:widowControl/>
        <w:adjustRightInd w:val="0"/>
        <w:snapToGrid w:val="0"/>
        <w:spacing w:line="578"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（一）评价结论</w:t>
      </w:r>
    </w:p>
    <w:p w14:paraId="504B7302">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我局严格按照《中华人民共和国预算法》按时完成预决算编制。在资金预算编制方面，在预算执行、综合管理、整体绩效方面，均按照国家政策规范规定，结合本单位实际情况及相关规定严格执行，并合理安排项目资金，使财政资金发挥最大的效益，确保我局各项工作高效规范有序推进，圆满完成年初下达的各项工作任务，有效推动工作开展，扎实为全县社会稳定、秩序良好更好地服务好。</w:t>
      </w:r>
    </w:p>
    <w:p w14:paraId="5C62C223">
      <w:pPr>
        <w:widowControl/>
        <w:numPr>
          <w:ilvl w:val="0"/>
          <w:numId w:val="3"/>
        </w:numPr>
        <w:adjustRightInd w:val="0"/>
        <w:snapToGrid w:val="0"/>
        <w:spacing w:line="578"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存在问题</w:t>
      </w:r>
    </w:p>
    <w:p w14:paraId="1895893F">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县级</w:t>
      </w:r>
      <w:r>
        <w:rPr>
          <w:rFonts w:hint="eastAsia" w:ascii="Times New Roman" w:hAnsi="Times New Roman" w:eastAsia="方正仿宋_GBK" w:cs="Times New Roman"/>
          <w:sz w:val="32"/>
          <w:szCs w:val="32"/>
          <w:lang w:val="zh-CN" w:eastAsia="zh-CN"/>
        </w:rPr>
        <w:t>交通</w:t>
      </w:r>
      <w:r>
        <w:rPr>
          <w:rFonts w:hint="eastAsia" w:ascii="Times New Roman" w:hAnsi="Times New Roman" w:eastAsia="方正仿宋_GBK" w:cs="Times New Roman"/>
          <w:sz w:val="32"/>
          <w:szCs w:val="32"/>
          <w:lang w:val="zh-CN"/>
        </w:rPr>
        <w:t>主管部门公用经费、专项工作经费缺口大，财政预算严重不足。我局承担着全县交通建设和路产路权保护的重任，专项业务费没有纳入财政预算，资金没有保障，不利于全县交通各项工作的推动与开展。</w:t>
      </w:r>
    </w:p>
    <w:p w14:paraId="5D3C5608">
      <w:pPr>
        <w:widowControl/>
        <w:numPr>
          <w:ilvl w:val="0"/>
          <w:numId w:val="3"/>
        </w:numPr>
        <w:adjustRightInd w:val="0"/>
        <w:snapToGrid w:val="0"/>
        <w:spacing w:line="578" w:lineRule="exact"/>
        <w:ind w:left="0" w:leftChars="0"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改进建议</w:t>
      </w:r>
    </w:p>
    <w:p w14:paraId="676E5FBA">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科学合理下达预算指标。作为部门，我们将加强本部门预算编制的科学性、合理性，严格执行预算。建议财政对部门编制的预算指标进行合理评估，科学、合理地下达预算任务，避免部门的收支预算在执行过程中出现大的偏差，提高预算编制严谨性和可控性。</w:t>
      </w:r>
    </w:p>
    <w:p w14:paraId="1B96D9C7">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附表：部门预算项目支出绩效自评表（2024年度）</w:t>
      </w:r>
    </w:p>
    <w:p w14:paraId="26CD5A34">
      <w:pPr>
        <w:pStyle w:val="7"/>
        <w:spacing w:line="560" w:lineRule="exact"/>
        <w:ind w:left="0" w:leftChars="0" w:firstLine="0" w:firstLineChars="0"/>
        <w:rPr>
          <w:rFonts w:ascii="Times New Roman"/>
          <w:sz w:val="32"/>
          <w:highlight w:val="yellow"/>
          <w:lang w:val="zh-CN"/>
        </w:rPr>
      </w:pPr>
    </w:p>
    <w:p w14:paraId="7606C226">
      <w:pPr>
        <w:pStyle w:val="5"/>
        <w:spacing w:before="93"/>
        <w:rPr>
          <w:rFonts w:ascii="Times New Roman" w:cs="宋体"/>
          <w:sz w:val="32"/>
          <w:szCs w:val="32"/>
          <w:highlight w:val="yellow"/>
          <w:shd w:val="clear" w:color="auto" w:fill="FFFFFF"/>
          <w:lang w:val="zh-CN"/>
        </w:rPr>
      </w:pPr>
    </w:p>
    <w:p w14:paraId="5FF08403">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14:paraId="44048EA1">
      <w:pPr>
        <w:pStyle w:val="5"/>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2390FC59">
      <w:pPr>
        <w:pStyle w:val="35"/>
        <w:spacing w:line="578" w:lineRule="exact"/>
        <w:jc w:val="center"/>
        <w:rPr>
          <w:rFonts w:ascii="Times New Roman" w:hAnsi="Times New Roman" w:eastAsia="方正小标宋简体" w:cs="方正小标宋简体"/>
          <w:color w:val="auto"/>
          <w:kern w:val="2"/>
          <w:sz w:val="44"/>
          <w:szCs w:val="44"/>
          <w:lang w:val="en-US"/>
        </w:rPr>
      </w:pPr>
    </w:p>
    <w:p w14:paraId="16FA16EF">
      <w:pPr>
        <w:pStyle w:val="35"/>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eastAsia="zh-CN"/>
        </w:rPr>
        <w:t xml:space="preserve">      2024年农村公路日常养护</w:t>
      </w:r>
      <w:r>
        <w:rPr>
          <w:rFonts w:hint="eastAsia" w:ascii="Times New Roman" w:hAnsi="Times New Roman" w:eastAsia="方正小标宋简体" w:cs="方正小标宋简体"/>
          <w:color w:val="auto"/>
          <w:kern w:val="2"/>
          <w:sz w:val="44"/>
          <w:szCs w:val="44"/>
          <w:lang w:val="en-US"/>
        </w:rPr>
        <w:t>项目绩效自评报告</w:t>
      </w:r>
    </w:p>
    <w:p w14:paraId="309F5438">
      <w:pPr>
        <w:pStyle w:val="35"/>
        <w:spacing w:line="600" w:lineRule="exact"/>
        <w:ind w:firstLine="640"/>
        <w:jc w:val="center"/>
        <w:rPr>
          <w:rFonts w:ascii="Times New Roman" w:hAnsi="Times New Roman" w:cs="Times New Roman"/>
          <w:color w:val="auto"/>
          <w:kern w:val="2"/>
          <w:sz w:val="32"/>
          <w:szCs w:val="32"/>
        </w:rPr>
      </w:pPr>
    </w:p>
    <w:p w14:paraId="4CBCFF44">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一、项目概况</w:t>
      </w:r>
    </w:p>
    <w:p w14:paraId="462875C6">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069C3C1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1.主管部门职能​</w:t>
      </w:r>
    </w:p>
    <w:p w14:paraId="60992F9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盐边县交通运输局作为县级交通行政主管部门，主要负责县域内交通基础设施的规划、建设、管理和维护工作。在本项目中，该局承担以下职能：组织项目可行性研究和立项申报；监督项目实施进度和质量；协调财政资金拨付和使用；组织项目验收和绩效评价。</w:t>
      </w:r>
    </w:p>
    <w:p w14:paraId="6252D57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2.项目立项及资金申报依据​</w:t>
      </w:r>
    </w:p>
    <w:p w14:paraId="0BD440C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en-US" w:eastAsia="zh-CN"/>
        </w:rPr>
        <w:t>《攀枝花市人民政府办公室关于印发《攀枝花市推进农村公路管养体制改革实施方案》的通知</w:t>
      </w:r>
      <w:r>
        <w:rPr>
          <w:rFonts w:hint="default" w:ascii="Times New Roman" w:hAnsi="Times New Roman" w:eastAsia="方正仿宋_GBK" w:cs="Times New Roman"/>
          <w:sz w:val="32"/>
          <w:szCs w:val="32"/>
          <w:lang w:val="zh-CN" w:eastAsia="zh-CN"/>
        </w:rPr>
        <w:t>》（攀办发〔2024〕17号）</w:t>
      </w:r>
      <w:r>
        <w:rPr>
          <w:rFonts w:hint="default" w:ascii="Times New Roman" w:hAnsi="Times New Roman" w:eastAsia="方正仿宋_GBK" w:cs="Times New Roman"/>
          <w:sz w:val="32"/>
          <w:szCs w:val="32"/>
          <w:lang w:val="zh-CN"/>
        </w:rPr>
        <w:t>。</w:t>
      </w:r>
    </w:p>
    <w:p w14:paraId="62B332D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rPr>
        <w:t>3.项目资金管理严格执行《盐边县交通运输局</w:t>
      </w:r>
      <w:r>
        <w:rPr>
          <w:rFonts w:hint="default" w:ascii="Times New Roman" w:hAnsi="Times New Roman" w:eastAsia="方正仿宋_GBK" w:cs="Times New Roman"/>
          <w:sz w:val="32"/>
          <w:szCs w:val="32"/>
          <w:lang w:val="en-US" w:eastAsia="zh-CN"/>
        </w:rPr>
        <w:t>内部控制制度</w:t>
      </w:r>
      <w:r>
        <w:rPr>
          <w:rFonts w:hint="default" w:ascii="Times New Roman" w:hAnsi="Times New Roman" w:eastAsia="方正仿宋_GBK" w:cs="Times New Roman"/>
          <w:sz w:val="32"/>
          <w:szCs w:val="32"/>
          <w:lang w:val="zh-CN"/>
        </w:rPr>
        <w:t>》，资金支持条件包括</w:t>
      </w:r>
      <w:r>
        <w:rPr>
          <w:rFonts w:hint="default" w:ascii="Times New Roman" w:hAnsi="Times New Roman" w:eastAsia="方正仿宋_GBK" w:cs="Times New Roman"/>
          <w:sz w:val="32"/>
          <w:szCs w:val="32"/>
          <w:lang w:val="en-US" w:eastAsia="zh-CN"/>
        </w:rPr>
        <w:t>省级补助资金及县级配套资金。</w:t>
      </w:r>
    </w:p>
    <w:p w14:paraId="5102A436">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73FA9F5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1.项目主要内容</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zh-CN"/>
        </w:rPr>
        <w:t>全县管养的</w:t>
      </w:r>
      <w:r>
        <w:rPr>
          <w:rFonts w:hint="eastAsia" w:ascii="Times New Roman" w:hAnsi="Times New Roman" w:eastAsia="方正仿宋_GBK" w:cs="Times New Roman"/>
          <w:sz w:val="32"/>
          <w:szCs w:val="32"/>
          <w:lang w:val="zh-CN" w:eastAsia="zh-CN"/>
        </w:rPr>
        <w:t>道路</w:t>
      </w:r>
      <w:r>
        <w:rPr>
          <w:rFonts w:hint="eastAsia" w:ascii="Times New Roman" w:hAnsi="Times New Roman" w:eastAsia="方正仿宋_GBK" w:cs="Times New Roman"/>
          <w:sz w:val="32"/>
          <w:szCs w:val="32"/>
          <w:lang w:val="zh-CN"/>
        </w:rPr>
        <w:t>有</w:t>
      </w:r>
      <w:r>
        <w:rPr>
          <w:rFonts w:hint="eastAsia" w:ascii="Times New Roman" w:hAnsi="Times New Roman" w:eastAsia="方正仿宋_GBK" w:cs="Times New Roman"/>
          <w:sz w:val="32"/>
          <w:szCs w:val="32"/>
          <w:lang w:val="en-US" w:eastAsia="zh-CN"/>
        </w:rPr>
        <w:t>4074.349</w:t>
      </w:r>
      <w:r>
        <w:rPr>
          <w:rFonts w:hint="eastAsia" w:ascii="Times New Roman" w:hAnsi="Times New Roman" w:eastAsia="方正仿宋_GBK" w:cs="Times New Roman"/>
          <w:sz w:val="32"/>
          <w:szCs w:val="32"/>
          <w:lang w:val="zh-CN"/>
        </w:rPr>
        <w:t>公里，其中省道公路194.519公里/4条，县道576.252公里/18条，乡道46</w:t>
      </w:r>
      <w:r>
        <w:rPr>
          <w:rFonts w:hint="eastAsia" w:ascii="Times New Roman" w:hAnsi="Times New Roman" w:eastAsia="方正仿宋_GBK" w:cs="Times New Roman"/>
          <w:sz w:val="32"/>
          <w:szCs w:val="32"/>
          <w:lang w:val="en-US" w:eastAsia="zh-CN"/>
        </w:rPr>
        <w:t>7.474</w:t>
      </w:r>
      <w:r>
        <w:rPr>
          <w:rFonts w:hint="eastAsia" w:ascii="Times New Roman" w:hAnsi="Times New Roman" w:eastAsia="方正仿宋_GBK" w:cs="Times New Roman"/>
          <w:sz w:val="32"/>
          <w:szCs w:val="32"/>
          <w:lang w:val="zh-CN"/>
        </w:rPr>
        <w:t>公里/47条，村道</w:t>
      </w:r>
      <w:r>
        <w:rPr>
          <w:rFonts w:hint="eastAsia" w:ascii="Times New Roman" w:hAnsi="Times New Roman" w:eastAsia="方正仿宋_GBK" w:cs="Times New Roman"/>
          <w:sz w:val="32"/>
          <w:szCs w:val="32"/>
          <w:lang w:val="en-US" w:eastAsia="zh-CN"/>
        </w:rPr>
        <w:t>602.483</w:t>
      </w:r>
      <w:r>
        <w:rPr>
          <w:rFonts w:hint="eastAsia" w:ascii="Times New Roman" w:hAnsi="Times New Roman" w:eastAsia="方正仿宋_GBK" w:cs="Times New Roman"/>
          <w:sz w:val="32"/>
          <w:szCs w:val="32"/>
          <w:lang w:val="zh-CN"/>
        </w:rPr>
        <w:t>公里/</w:t>
      </w:r>
      <w:r>
        <w:rPr>
          <w:rFonts w:hint="eastAsia" w:ascii="Times New Roman" w:hAnsi="Times New Roman" w:eastAsia="方正仿宋_GBK" w:cs="Times New Roman"/>
          <w:sz w:val="32"/>
          <w:szCs w:val="32"/>
          <w:lang w:val="en-US" w:eastAsia="zh-CN"/>
        </w:rPr>
        <w:t>134</w:t>
      </w:r>
      <w:r>
        <w:rPr>
          <w:rFonts w:hint="eastAsia" w:ascii="Times New Roman" w:hAnsi="Times New Roman" w:eastAsia="方正仿宋_GBK" w:cs="Times New Roman"/>
          <w:sz w:val="32"/>
          <w:szCs w:val="32"/>
          <w:lang w:val="zh-CN"/>
        </w:rPr>
        <w:t>条</w:t>
      </w:r>
      <w:r>
        <w:rPr>
          <w:rFonts w:hint="eastAsia" w:ascii="Times New Roman" w:hAnsi="Times New Roman" w:eastAsia="方正仿宋_GBK" w:cs="Times New Roman"/>
          <w:sz w:val="32"/>
          <w:szCs w:val="32"/>
          <w:lang w:val="zh-CN" w:eastAsia="zh-CN"/>
        </w:rPr>
        <w:t>，已硬化通组路、产业路2268.276公里/1320条，对全县农村公路进行小修保养，日常清扫等道路养护工作。</w:t>
      </w:r>
    </w:p>
    <w:p w14:paraId="0210080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2.项目应实现的具体绩效目标</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en-US" w:eastAsia="zh-CN"/>
        </w:rPr>
        <w:t>每年进行日常养护工作</w:t>
      </w:r>
      <w:r>
        <w:rPr>
          <w:rFonts w:hint="eastAsia" w:ascii="Times New Roman" w:hAnsi="Times New Roman" w:eastAsia="方正仿宋_GBK" w:cs="Times New Roman"/>
          <w:sz w:val="32"/>
          <w:szCs w:val="32"/>
          <w:lang w:val="zh-CN"/>
        </w:rPr>
        <w:t>。</w:t>
      </w:r>
    </w:p>
    <w:p w14:paraId="59AA248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zh-CN"/>
        </w:rPr>
        <w:t>3.评价申报内容与实际相符，申报目标合理可行。</w:t>
      </w:r>
    </w:p>
    <w:p w14:paraId="561C0F69">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0A633BB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1.自评步骤。</w:t>
      </w:r>
      <w:r>
        <w:rPr>
          <w:rFonts w:hint="eastAsia" w:ascii="Times New Roman" w:hAnsi="Times New Roman" w:eastAsia="方正仿宋_GBK" w:cs="Times New Roman"/>
          <w:sz w:val="32"/>
          <w:szCs w:val="32"/>
          <w:lang w:val="zh-CN"/>
        </w:rPr>
        <w:t>202</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val="zh-CN"/>
        </w:rPr>
        <w:t>年度预算项目绩效评估工作通过线下方式开展。按照有关规定和工作安排，我单位开展自行评估，通过自行成立评估组方式组建评估组，通过收集被评估项目相关基础资料，并查阅资料、收集数据信息等，深入论证分析后，形成绩效评估报告。</w:t>
      </w:r>
    </w:p>
    <w:p w14:paraId="3DFDEF5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sz w:val="32"/>
          <w:szCs w:val="32"/>
          <w:lang w:val="zh-CN"/>
        </w:rPr>
      </w:pP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zh-CN"/>
        </w:rPr>
        <w:t>评估方法</w:t>
      </w:r>
      <w:r>
        <w:rPr>
          <w:rFonts w:hint="eastAsia" w:ascii="Times New Roman" w:hAnsi="Times New Roman" w:eastAsia="方正仿宋_GBK" w:cs="Times New Roman"/>
          <w:sz w:val="32"/>
          <w:szCs w:val="32"/>
          <w:lang w:val="zh-CN" w:eastAsia="zh-CN"/>
        </w:rPr>
        <w:t>。</w:t>
      </w:r>
      <w:r>
        <w:rPr>
          <w:rFonts w:hint="eastAsia" w:ascii="Times New Roman" w:hAnsi="Times New Roman" w:eastAsia="方正仿宋_GBK" w:cs="Times New Roman"/>
          <w:sz w:val="32"/>
          <w:szCs w:val="32"/>
          <w:lang w:val="zh-CN"/>
        </w:rPr>
        <w:t>本项目通过现场踏勘、与项目相关人员座谈或讨论、聘请相关专业专家等方法了解项目情况，收集相关资料，在综合分析相关情况后，对项目的立项必要性、投入经济性、目标合理性、方案可行性以及筹资合规性实施评估。</w:t>
      </w:r>
    </w:p>
    <w:p w14:paraId="5D86072B">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4A949258">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48F2E4F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按照攀办发〔2024〕17号文件，日常养护申报资金按里程分配，截至2020年底，盐边县总里程1568公里，本次省级资金补助398.9万元。</w:t>
      </w:r>
    </w:p>
    <w:p w14:paraId="1FE9A72F">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736"/>
        <w:gridCol w:w="1311"/>
        <w:gridCol w:w="1388"/>
        <w:gridCol w:w="1311"/>
        <w:gridCol w:w="1388"/>
      </w:tblGrid>
      <w:tr w14:paraId="55FC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center"/>
          </w:tcPr>
          <w:p w14:paraId="6CCB385F">
            <w:pPr>
              <w:adjustRightInd w:val="0"/>
              <w:snapToGrid w:val="0"/>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资金类型</w:t>
            </w:r>
          </w:p>
        </w:tc>
        <w:tc>
          <w:tcPr>
            <w:tcW w:w="1736" w:type="dxa"/>
            <w:vAlign w:val="center"/>
          </w:tcPr>
          <w:p w14:paraId="55D0C570">
            <w:pPr>
              <w:adjustRightInd w:val="0"/>
              <w:snapToGrid w:val="0"/>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计划资金</w:t>
            </w:r>
          </w:p>
        </w:tc>
        <w:tc>
          <w:tcPr>
            <w:tcW w:w="1311" w:type="dxa"/>
            <w:vAlign w:val="center"/>
          </w:tcPr>
          <w:p w14:paraId="2F2F40E3">
            <w:pPr>
              <w:adjustRightInd w:val="0"/>
              <w:snapToGrid w:val="0"/>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到位资金</w:t>
            </w:r>
          </w:p>
        </w:tc>
        <w:tc>
          <w:tcPr>
            <w:tcW w:w="1388" w:type="dxa"/>
            <w:vAlign w:val="center"/>
          </w:tcPr>
          <w:p w14:paraId="44BEF1F6">
            <w:pPr>
              <w:adjustRightInd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到位率</w:t>
            </w:r>
          </w:p>
        </w:tc>
        <w:tc>
          <w:tcPr>
            <w:tcW w:w="1311" w:type="dxa"/>
            <w:vAlign w:val="center"/>
          </w:tcPr>
          <w:p w14:paraId="45B9913E">
            <w:pPr>
              <w:adjustRightInd w:val="0"/>
              <w:snapToGrid w:val="0"/>
              <w:spacing w:line="600" w:lineRule="exact"/>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支出金额</w:t>
            </w:r>
          </w:p>
        </w:tc>
        <w:tc>
          <w:tcPr>
            <w:tcW w:w="1388" w:type="dxa"/>
            <w:vAlign w:val="center"/>
          </w:tcPr>
          <w:p w14:paraId="540837FB">
            <w:pPr>
              <w:adjustRightInd w:val="0"/>
              <w:snapToGrid w:val="0"/>
              <w:spacing w:line="600" w:lineRule="exact"/>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支出进度</w:t>
            </w:r>
          </w:p>
        </w:tc>
      </w:tr>
      <w:tr w14:paraId="04E8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center"/>
          </w:tcPr>
          <w:p w14:paraId="6A2932B6">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上级补助资金</w:t>
            </w:r>
          </w:p>
        </w:tc>
        <w:tc>
          <w:tcPr>
            <w:tcW w:w="1736" w:type="dxa"/>
            <w:vAlign w:val="center"/>
          </w:tcPr>
          <w:p w14:paraId="55A06AD3">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398.9</w:t>
            </w:r>
          </w:p>
        </w:tc>
        <w:tc>
          <w:tcPr>
            <w:tcW w:w="1311" w:type="dxa"/>
            <w:vAlign w:val="center"/>
          </w:tcPr>
          <w:p w14:paraId="78297DBB">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388" w:type="dxa"/>
            <w:vAlign w:val="center"/>
          </w:tcPr>
          <w:p w14:paraId="72BF725B">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311" w:type="dxa"/>
            <w:vAlign w:val="center"/>
          </w:tcPr>
          <w:p w14:paraId="5D990F34">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388" w:type="dxa"/>
            <w:vAlign w:val="center"/>
          </w:tcPr>
          <w:p w14:paraId="3B3F9811">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14:paraId="31FE8B29">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76F4086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项目单独建账核算，支出审批执行“施工方→监理→业主→局属项目负责人→分管领导→财务→主要领导”七级联签制度，原始凭证完整率100%。</w:t>
      </w:r>
    </w:p>
    <w:p w14:paraId="2EA6A4E7">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三、项目实施及管理情况</w:t>
      </w:r>
    </w:p>
    <w:p w14:paraId="0ECB751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（一）项目组织架构及实施流程。</w:t>
      </w:r>
      <w:r>
        <w:rPr>
          <w:rFonts w:hint="eastAsia" w:ascii="仿宋_GB2312" w:hAnsi="仿宋_GB2312" w:eastAsia="仿宋_GB2312" w:cs="仿宋_GB2312"/>
          <w:sz w:val="32"/>
          <w:szCs w:val="32"/>
          <w:lang w:val="en-US" w:eastAsia="zh-CN"/>
        </w:rPr>
        <w:t>施工、监理、业主自行制定组织架构，在符合国家标准情况下开展项目建设。</w:t>
      </w:r>
    </w:p>
    <w:p w14:paraId="3C6E232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（二）项目管理情况。</w:t>
      </w:r>
      <w:r>
        <w:rPr>
          <w:rFonts w:hint="eastAsia" w:ascii="仿宋_GB2312" w:hAnsi="仿宋_GB2312" w:eastAsia="仿宋_GB2312" w:cs="仿宋_GB2312"/>
          <w:sz w:val="32"/>
          <w:szCs w:val="32"/>
          <w:lang w:val="en-US" w:eastAsia="zh-CN"/>
        </w:rPr>
        <w:t>委托乡（镇）人民政府具体承担属地县、乡道的日常养护，维护路容路貌、环境卫生。村民委员会具体承担村道、产业路、通组路的日常养护工作，在乡（镇）人民政府的指导下，做好村道、产业路、通组路的小修保养、日常保洁等工作，维护路容路貌、环境卫生。各乡镇定期向县交通局汇报进度。</w:t>
      </w:r>
    </w:p>
    <w:p w14:paraId="0668058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（三）项目监管情况。</w:t>
      </w:r>
      <w:r>
        <w:rPr>
          <w:rFonts w:hint="eastAsia" w:ascii="仿宋_GB2312" w:hAnsi="仿宋_GB2312" w:eastAsia="仿宋_GB2312" w:cs="仿宋_GB2312"/>
          <w:sz w:val="32"/>
          <w:szCs w:val="32"/>
          <w:lang w:val="en-US" w:eastAsia="zh-CN"/>
        </w:rPr>
        <w:t>县交通运输局进行一年两次考核以及日常巡查检查。</w:t>
      </w:r>
    </w:p>
    <w:p w14:paraId="5FC3FB5F">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四、项目绩效情况</w:t>
      </w:r>
    </w:p>
    <w:p w14:paraId="45DF0CD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3B68ED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对全县农村公路进行日常化，常态化养护。</w:t>
      </w:r>
    </w:p>
    <w:p w14:paraId="382B6E1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78A68C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满足当地发展需求，满足生态保护需求，满足当地群众出行需求。</w:t>
      </w:r>
    </w:p>
    <w:p w14:paraId="558EC39C">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五、评价结论及建议</w:t>
      </w:r>
    </w:p>
    <w:p w14:paraId="3E1289BE">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61EF121E">
      <w:pPr>
        <w:ind w:firstLine="640" w:firstLineChars="200"/>
        <w:rPr>
          <w:rFonts w:hint="eastAsia" w:ascii="Times New Roman"/>
          <w:lang w:val="en-US" w:eastAsia="zh-CN"/>
        </w:rPr>
      </w:pPr>
      <w:r>
        <w:rPr>
          <w:rFonts w:hint="eastAsia" w:ascii="仿宋_GB2312" w:hAnsi="仿宋_GB2312" w:eastAsia="仿宋_GB2312" w:cs="仿宋_GB2312"/>
          <w:sz w:val="32"/>
          <w:szCs w:val="32"/>
          <w:lang w:val="en-US" w:eastAsia="zh-CN"/>
        </w:rPr>
        <w:t>提升道路通行安全保障，优化路风路貌</w:t>
      </w:r>
      <w:r>
        <w:rPr>
          <w:rFonts w:hint="eastAsia" w:ascii="Times New Roman"/>
          <w:lang w:val="en-US" w:eastAsia="zh-CN"/>
        </w:rPr>
        <w:t>。</w:t>
      </w:r>
    </w:p>
    <w:p w14:paraId="27E5DF47">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0E51CC8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暂无。</w:t>
      </w:r>
    </w:p>
    <w:p w14:paraId="00277D7E">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283C9783">
      <w:pPr>
        <w:ind w:firstLine="640"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sz w:val="32"/>
          <w:szCs w:val="32"/>
          <w:lang w:val="en-US" w:eastAsia="zh-CN"/>
        </w:rPr>
        <w:t>暂无</w:t>
      </w:r>
      <w:r>
        <w:rPr>
          <w:rFonts w:hint="eastAsia" w:ascii="仿宋_GB2312" w:hAnsi="仿宋_GB2312" w:eastAsia="仿宋_GB2312" w:cs="仿宋_GB2312"/>
          <w:sz w:val="32"/>
          <w:szCs w:val="32"/>
          <w:lang w:val="zh-CN" w:eastAsia="zh-CN"/>
        </w:rPr>
        <w:t>。</w:t>
      </w:r>
    </w:p>
    <w:p w14:paraId="40E2406F">
      <w:pPr>
        <w:spacing w:line="578" w:lineRule="exact"/>
        <w:ind w:firstLine="640"/>
        <w:rPr>
          <w:rFonts w:eastAsia="仿宋_GB2312" w:cs="仿宋_GB2312"/>
          <w:kern w:val="0"/>
          <w:sz w:val="32"/>
          <w:szCs w:val="32"/>
        </w:rPr>
      </w:pPr>
    </w:p>
    <w:p w14:paraId="633925A1">
      <w:pPr>
        <w:spacing w:line="578" w:lineRule="exact"/>
        <w:ind w:firstLine="640"/>
        <w:rPr>
          <w:rFonts w:eastAsia="仿宋_GB2312" w:cs="仿宋_GB2312"/>
          <w:kern w:val="0"/>
          <w:sz w:val="32"/>
          <w:szCs w:val="32"/>
        </w:rPr>
      </w:pPr>
    </w:p>
    <w:p w14:paraId="6B5D9779">
      <w:pPr>
        <w:spacing w:line="578" w:lineRule="exact"/>
        <w:ind w:firstLine="640"/>
        <w:rPr>
          <w:rFonts w:eastAsia="仿宋_GB2312" w:cs="仿宋_GB2312"/>
          <w:kern w:val="0"/>
          <w:sz w:val="32"/>
          <w:szCs w:val="32"/>
        </w:rPr>
      </w:pPr>
    </w:p>
    <w:p w14:paraId="14C5CDB2">
      <w:pPr>
        <w:spacing w:line="578" w:lineRule="exact"/>
        <w:ind w:firstLine="640"/>
        <w:rPr>
          <w:rFonts w:eastAsia="仿宋_GB2312" w:cs="仿宋_GB2312"/>
          <w:kern w:val="0"/>
          <w:sz w:val="32"/>
          <w:szCs w:val="32"/>
        </w:rPr>
      </w:pPr>
    </w:p>
    <w:p w14:paraId="67B7141B">
      <w:pPr>
        <w:spacing w:line="578" w:lineRule="exact"/>
        <w:ind w:firstLine="640"/>
        <w:rPr>
          <w:rFonts w:eastAsia="仿宋_GB2312" w:cs="仿宋_GB2312"/>
          <w:kern w:val="0"/>
          <w:sz w:val="32"/>
          <w:szCs w:val="32"/>
        </w:rPr>
      </w:pPr>
    </w:p>
    <w:p w14:paraId="23C00CF0">
      <w:pPr>
        <w:spacing w:line="578" w:lineRule="exact"/>
        <w:ind w:firstLine="640"/>
        <w:rPr>
          <w:rFonts w:eastAsia="仿宋_GB2312" w:cs="仿宋_GB2312"/>
          <w:kern w:val="0"/>
          <w:sz w:val="32"/>
          <w:szCs w:val="32"/>
        </w:rPr>
      </w:pPr>
    </w:p>
    <w:p w14:paraId="3DB97C8B">
      <w:pPr>
        <w:spacing w:line="578" w:lineRule="exact"/>
        <w:ind w:firstLine="640"/>
        <w:rPr>
          <w:rFonts w:eastAsia="仿宋_GB2312" w:cs="仿宋_GB2312"/>
          <w:kern w:val="0"/>
          <w:sz w:val="32"/>
          <w:szCs w:val="32"/>
        </w:rPr>
      </w:pPr>
    </w:p>
    <w:p w14:paraId="0E04C82A">
      <w:pPr>
        <w:spacing w:line="578" w:lineRule="exact"/>
        <w:ind w:firstLine="640"/>
        <w:rPr>
          <w:rFonts w:eastAsia="仿宋_GB2312" w:cs="仿宋_GB2312"/>
          <w:kern w:val="0"/>
          <w:sz w:val="32"/>
          <w:szCs w:val="32"/>
        </w:rPr>
      </w:pPr>
    </w:p>
    <w:p w14:paraId="508DFC16">
      <w:pPr>
        <w:spacing w:line="578" w:lineRule="exact"/>
        <w:ind w:firstLine="640"/>
        <w:rPr>
          <w:rFonts w:eastAsia="仿宋_GB2312" w:cs="仿宋_GB2312"/>
          <w:kern w:val="0"/>
          <w:sz w:val="32"/>
          <w:szCs w:val="32"/>
        </w:rPr>
      </w:pPr>
    </w:p>
    <w:p w14:paraId="736C32DF">
      <w:pPr>
        <w:spacing w:line="578" w:lineRule="exact"/>
        <w:ind w:firstLine="640"/>
        <w:rPr>
          <w:rFonts w:eastAsia="仿宋_GB2312" w:cs="仿宋_GB2312"/>
          <w:kern w:val="0"/>
          <w:sz w:val="32"/>
          <w:szCs w:val="32"/>
        </w:rPr>
      </w:pPr>
    </w:p>
    <w:p w14:paraId="27BF30A3">
      <w:pPr>
        <w:spacing w:line="578" w:lineRule="exact"/>
        <w:ind w:firstLine="640"/>
        <w:rPr>
          <w:rFonts w:eastAsia="仿宋_GB2312" w:cs="仿宋_GB2312"/>
          <w:kern w:val="0"/>
          <w:sz w:val="32"/>
          <w:szCs w:val="32"/>
        </w:rPr>
      </w:pPr>
    </w:p>
    <w:p w14:paraId="67601155">
      <w:pPr>
        <w:spacing w:line="578" w:lineRule="exact"/>
        <w:ind w:firstLine="640"/>
        <w:rPr>
          <w:rFonts w:eastAsia="仿宋_GB2312" w:cs="仿宋_GB2312"/>
          <w:kern w:val="0"/>
          <w:sz w:val="32"/>
          <w:szCs w:val="32"/>
        </w:rPr>
      </w:pPr>
    </w:p>
    <w:p w14:paraId="44F6C86F">
      <w:pPr>
        <w:spacing w:line="578" w:lineRule="exact"/>
        <w:ind w:firstLine="640"/>
        <w:rPr>
          <w:rFonts w:eastAsia="仿宋_GB2312" w:cs="仿宋_GB2312"/>
          <w:kern w:val="0"/>
          <w:sz w:val="32"/>
          <w:szCs w:val="32"/>
        </w:rPr>
      </w:pPr>
    </w:p>
    <w:p w14:paraId="42380892">
      <w:pPr>
        <w:rPr>
          <w:rFonts w:ascii="Times New Roman" w:eastAsia="方正黑体_GBK"/>
          <w:szCs w:val="32"/>
        </w:rPr>
      </w:pPr>
    </w:p>
    <w:p w14:paraId="50A295E6">
      <w:pPr>
        <w:rPr>
          <w:rFonts w:ascii="Times New Roman" w:eastAsia="方正黑体_GBK"/>
          <w:szCs w:val="32"/>
        </w:rPr>
      </w:pPr>
    </w:p>
    <w:p w14:paraId="553CE104">
      <w:pPr>
        <w:rPr>
          <w:rFonts w:ascii="Times New Roman" w:eastAsia="方正黑体_GBK"/>
          <w:szCs w:val="32"/>
        </w:rPr>
      </w:pPr>
    </w:p>
    <w:p w14:paraId="191A198D">
      <w:pPr>
        <w:rPr>
          <w:rFonts w:ascii="Times New Roman" w:eastAsia="方正黑体_GBK"/>
          <w:szCs w:val="32"/>
        </w:rPr>
      </w:pPr>
    </w:p>
    <w:p w14:paraId="5CBFD3CF">
      <w:pPr>
        <w:pStyle w:val="5"/>
        <w:spacing w:before="93"/>
        <w:rPr>
          <w:rFonts w:hint="eastAsia" w:ascii="Times New Roman" w:eastAsia="黑体" w:cs="黑体"/>
          <w:sz w:val="32"/>
          <w:szCs w:val="32"/>
          <w:lang w:val="en-US" w:eastAsia="zh-CN"/>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lang w:val="en-US" w:eastAsia="zh-CN"/>
        </w:rPr>
        <w:t>3</w:t>
      </w:r>
    </w:p>
    <w:p w14:paraId="01A10883">
      <w:pPr>
        <w:pStyle w:val="35"/>
        <w:spacing w:line="600" w:lineRule="exact"/>
        <w:rPr>
          <w:rFonts w:ascii="Times New Roman" w:hAnsi="Times New Roman" w:eastAsia="方正小标宋简体" w:cs="Times New Roman"/>
          <w:color w:val="auto"/>
          <w:kern w:val="2"/>
          <w:sz w:val="40"/>
          <w:szCs w:val="40"/>
        </w:rPr>
      </w:pPr>
    </w:p>
    <w:p w14:paraId="189A96C6">
      <w:pPr>
        <w:spacing w:line="0" w:lineRule="atLeas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eastAsia="zh-CN" w:bidi="ar-SA"/>
        </w:rPr>
        <w:t>S218</w:t>
      </w:r>
      <w:r>
        <w:rPr>
          <w:rFonts w:hint="eastAsia" w:ascii="Times New Roman" w:hAnsi="Times New Roman" w:eastAsia="方正小标宋简体" w:cs="方正小标宋简体"/>
          <w:color w:val="auto"/>
          <w:kern w:val="2"/>
          <w:sz w:val="44"/>
          <w:szCs w:val="44"/>
          <w:lang w:val="en-US"/>
        </w:rPr>
        <w:t>项目绩效自评报告</w:t>
      </w:r>
    </w:p>
    <w:p w14:paraId="48A088C3">
      <w:pPr>
        <w:pStyle w:val="35"/>
        <w:spacing w:line="600" w:lineRule="exact"/>
        <w:ind w:firstLine="640"/>
        <w:jc w:val="center"/>
        <w:rPr>
          <w:rFonts w:ascii="Times New Roman" w:hAnsi="Times New Roman" w:cs="Times New Roman"/>
          <w:color w:val="auto"/>
          <w:kern w:val="2"/>
          <w:sz w:val="32"/>
          <w:szCs w:val="32"/>
        </w:rPr>
      </w:pPr>
    </w:p>
    <w:p w14:paraId="65ED90DE">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一、项目概况</w:t>
      </w:r>
    </w:p>
    <w:p w14:paraId="35F598FF">
      <w:pPr>
        <w:ind w:firstLine="643" w:firstLineChars="200"/>
        <w:rPr>
          <w:rFonts w:ascii="Times New Roman" w:eastAsia="方正楷体_GBK"/>
          <w:b/>
        </w:rPr>
      </w:pPr>
      <w:r>
        <w:rPr>
          <w:rFonts w:hint="eastAsia" w:ascii="仿宋_GB2312" w:hAnsi="仿宋_GB2312" w:eastAsia="仿宋_GB2312" w:cs="仿宋_GB2312"/>
          <w:b/>
          <w:sz w:val="32"/>
          <w:szCs w:val="32"/>
          <w:lang w:val="zh-CN"/>
        </w:rPr>
        <w:t>（一）项目基本情况</w:t>
      </w:r>
    </w:p>
    <w:p w14:paraId="77BE59E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1.主管部门职能​</w:t>
      </w:r>
    </w:p>
    <w:p w14:paraId="04848E3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盐边县交通运输局作为县级交通行政主管部门，主要负责县域内交通基础设施的规划、建设、管理和维护工作。在本项目中，该局承担以下职能：组织项目可行性研究和立项申报；监督项目实施进度和质量；协调财政资金拨付和使用；组织项目验收和绩效评价。</w:t>
      </w:r>
    </w:p>
    <w:p w14:paraId="3971B0D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2.项目立项及资金申报依据</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盐边县发展和改革局</w:t>
      </w:r>
      <w:r>
        <w:rPr>
          <w:rFonts w:hint="default" w:ascii="仿宋_GB2312" w:hAnsi="仿宋_GB2312" w:eastAsia="仿宋_GB2312" w:cs="仿宋_GB2312"/>
          <w:sz w:val="32"/>
          <w:szCs w:val="32"/>
          <w:lang w:val="en-US" w:eastAsia="zh-CN"/>
        </w:rPr>
        <w:t>关于</w:t>
      </w:r>
      <w:r>
        <w:rPr>
          <w:rFonts w:hint="eastAsia" w:ascii="仿宋_GB2312" w:hAnsi="仿宋_GB2312" w:eastAsia="仿宋_GB2312" w:cs="仿宋_GB2312"/>
          <w:sz w:val="32"/>
          <w:szCs w:val="32"/>
          <w:lang w:val="en-US" w:eastAsia="zh-CN"/>
        </w:rPr>
        <w:t>S218</w:t>
      </w:r>
      <w:r>
        <w:rPr>
          <w:rFonts w:hint="default" w:ascii="仿宋_GB2312" w:hAnsi="仿宋_GB2312" w:eastAsia="仿宋_GB2312" w:cs="仿宋_GB2312"/>
          <w:sz w:val="32"/>
          <w:szCs w:val="32"/>
          <w:lang w:val="en-US" w:eastAsia="zh-CN"/>
        </w:rPr>
        <w:t>盐边县城至安宁工业园段新建工程可行性研究报告的批复</w:t>
      </w:r>
      <w:r>
        <w:rPr>
          <w:rFonts w:hint="eastAsia" w:ascii="仿宋_GB2312" w:hAnsi="仿宋_GB2312" w:eastAsia="仿宋_GB2312" w:cs="仿宋_GB2312"/>
          <w:sz w:val="32"/>
          <w:szCs w:val="32"/>
          <w:lang w:val="zh-CN" w:eastAsia="zh-CN"/>
        </w:rPr>
        <w:t>》（盐边发改〔202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lang w:val="zh-CN" w:eastAsia="zh-CN"/>
        </w:rPr>
        <w:t>号）</w:t>
      </w:r>
      <w:r>
        <w:rPr>
          <w:rFonts w:hint="eastAsia" w:ascii="仿宋_GB2312" w:hAnsi="仿宋_GB2312" w:eastAsia="仿宋_GB2312" w:cs="仿宋_GB2312"/>
          <w:sz w:val="32"/>
          <w:szCs w:val="32"/>
          <w:lang w:val="zh-CN"/>
        </w:rPr>
        <w:t>。</w:t>
      </w:r>
    </w:p>
    <w:p w14:paraId="30715CE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3.项目资金管理严格执行《盐边县交通运输局</w:t>
      </w:r>
      <w:r>
        <w:rPr>
          <w:rFonts w:hint="eastAsia" w:ascii="仿宋_GB2312" w:hAnsi="仿宋_GB2312" w:eastAsia="仿宋_GB2312" w:cs="仿宋_GB2312"/>
          <w:sz w:val="32"/>
          <w:szCs w:val="32"/>
          <w:lang w:val="en-US" w:eastAsia="zh-CN"/>
        </w:rPr>
        <w:t>内部控制制度</w:t>
      </w:r>
      <w:r>
        <w:rPr>
          <w:rFonts w:hint="eastAsia" w:ascii="仿宋_GB2312" w:hAnsi="仿宋_GB2312" w:eastAsia="仿宋_GB2312" w:cs="仿宋_GB2312"/>
          <w:sz w:val="32"/>
          <w:szCs w:val="32"/>
          <w:lang w:val="zh-CN"/>
        </w:rPr>
        <w:t>》，资金支持条件包括</w:t>
      </w:r>
      <w:r>
        <w:rPr>
          <w:rFonts w:hint="eastAsia" w:ascii="仿宋_GB2312" w:hAnsi="仿宋_GB2312" w:eastAsia="仿宋_GB2312" w:cs="仿宋_GB2312"/>
          <w:sz w:val="32"/>
          <w:szCs w:val="32"/>
          <w:lang w:val="en-US" w:eastAsia="zh-CN"/>
        </w:rPr>
        <w:t>省级补助资金及县级配套资金。</w:t>
      </w:r>
    </w:p>
    <w:p w14:paraId="59063B4E">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423E7D9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1.项目主要内容</w:t>
      </w:r>
      <w:r>
        <w:rPr>
          <w:rFonts w:hint="eastAsia" w:ascii="仿宋_GB2312" w:hAnsi="仿宋_GB2312" w:eastAsia="仿宋_GB2312" w:cs="仿宋_GB2312"/>
          <w:sz w:val="32"/>
          <w:szCs w:val="32"/>
          <w:lang w:val="en-US" w:eastAsia="zh-CN"/>
        </w:rPr>
        <w:t>：本项目主线12.650km，建设标准为一级公路，双向四车道，设计速度60km/h，路线走向由盐边县城南入口深沟箐→二号桥→县政务中心→成昆铁路复线盐</w:t>
      </w:r>
      <w:r>
        <w:rPr>
          <w:rFonts w:hint="default" w:ascii="仿宋_GB2312" w:hAnsi="仿宋_GB2312" w:eastAsia="仿宋_GB2312" w:cs="仿宋_GB2312"/>
          <w:sz w:val="32"/>
          <w:szCs w:val="32"/>
          <w:lang w:val="en-US" w:eastAsia="zh-CN"/>
        </w:rPr>
        <w:t>边站→桐子林镇石船组至安宁工业园区。连接线</w:t>
      </w: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条共6.06km。其中，县城连接线为成昆铁路复线盐边站至县森林消防大队，长1.56km，按二级路标准建设，双向两车道，设计速度60km/h，新民连接线为安宁工业园区至巴拉河，长4.5km（其中2.9km为新建工程，1.6km为完全利用既有老路），按一级路标准建设，双向四车道，设计速度60km/h。路面类型均采用沥青混凝土路面。</w:t>
      </w:r>
    </w:p>
    <w:p w14:paraId="3FE4D73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2.项目应实现的具体绩效目标</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年内完成项目建设</w:t>
      </w:r>
      <w:r>
        <w:rPr>
          <w:rFonts w:hint="eastAsia" w:ascii="仿宋_GB2312" w:hAnsi="仿宋_GB2312" w:eastAsia="仿宋_GB2312" w:cs="仿宋_GB2312"/>
          <w:sz w:val="32"/>
          <w:szCs w:val="32"/>
          <w:lang w:val="zh-CN"/>
        </w:rPr>
        <w:t>。</w:t>
      </w:r>
    </w:p>
    <w:p w14:paraId="3F315E5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3.评价申报内容与实际相符，申报目标合理可行。</w:t>
      </w:r>
    </w:p>
    <w:p w14:paraId="42D46EBB">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552A45A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1.自评步骤。</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val="zh-CN"/>
        </w:rPr>
        <w:t>年度预算项目绩效评估工作通过线下方式开展。按照有关规定和工作安排，我单位开展自行评估，通过自行成立评估组方式组建评估组，通过收集被评估项目相关基础资料，并查阅资料、收集数据信息等，深入论证分析后，形成绩效评估报告。</w:t>
      </w:r>
    </w:p>
    <w:p w14:paraId="76E899D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rPr>
        <w:t>评估方法</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zh-CN"/>
        </w:rPr>
        <w:t>本项目通过现场踏勘、与项目相关人员座谈或讨论、聘请相关专业专家等方法了解项目情况，收集相关资料，在综合分析相关情况后，对项目的立项必要性、投入经济性、目标合理性、方案可行性以及筹资合规性实施评估。</w:t>
      </w:r>
    </w:p>
    <w:p w14:paraId="672E81EF">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37C23AA9">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5CF259D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本次争取省级奖补资金18364.8万元。</w:t>
      </w:r>
    </w:p>
    <w:p w14:paraId="6AB44936">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1475"/>
        <w:gridCol w:w="1475"/>
        <w:gridCol w:w="1377"/>
        <w:gridCol w:w="1426"/>
        <w:gridCol w:w="1458"/>
      </w:tblGrid>
      <w:tr w14:paraId="0128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Align w:val="center"/>
          </w:tcPr>
          <w:p w14:paraId="333347A7">
            <w:pPr>
              <w:adjustRightInd w:val="0"/>
              <w:snapToGrid w:val="0"/>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资金类型</w:t>
            </w:r>
          </w:p>
        </w:tc>
        <w:tc>
          <w:tcPr>
            <w:tcW w:w="1475" w:type="dxa"/>
            <w:vAlign w:val="center"/>
          </w:tcPr>
          <w:p w14:paraId="069847BE">
            <w:pPr>
              <w:adjustRightInd w:val="0"/>
              <w:snapToGrid w:val="0"/>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计划资金</w:t>
            </w:r>
          </w:p>
        </w:tc>
        <w:tc>
          <w:tcPr>
            <w:tcW w:w="1475" w:type="dxa"/>
            <w:vAlign w:val="center"/>
          </w:tcPr>
          <w:p w14:paraId="7C4DCF20">
            <w:pPr>
              <w:adjustRightInd w:val="0"/>
              <w:snapToGrid w:val="0"/>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到位资金</w:t>
            </w:r>
          </w:p>
        </w:tc>
        <w:tc>
          <w:tcPr>
            <w:tcW w:w="1377" w:type="dxa"/>
            <w:vAlign w:val="center"/>
          </w:tcPr>
          <w:p w14:paraId="7E5B62C5">
            <w:pPr>
              <w:adjustRightInd w:val="0"/>
              <w:snapToGrid w:val="0"/>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到位率</w:t>
            </w:r>
          </w:p>
        </w:tc>
        <w:tc>
          <w:tcPr>
            <w:tcW w:w="1426" w:type="dxa"/>
            <w:vAlign w:val="center"/>
          </w:tcPr>
          <w:p w14:paraId="75B2A5E0">
            <w:pPr>
              <w:adjustRightInd w:val="0"/>
              <w:snapToGrid w:val="0"/>
              <w:spacing w:line="600" w:lineRule="exact"/>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支出金额</w:t>
            </w:r>
          </w:p>
        </w:tc>
        <w:tc>
          <w:tcPr>
            <w:tcW w:w="1458" w:type="dxa"/>
            <w:vAlign w:val="center"/>
          </w:tcPr>
          <w:p w14:paraId="21E9BBCB">
            <w:pPr>
              <w:adjustRightInd w:val="0"/>
              <w:snapToGrid w:val="0"/>
              <w:spacing w:line="600" w:lineRule="exact"/>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支出进度</w:t>
            </w:r>
          </w:p>
        </w:tc>
      </w:tr>
      <w:tr w14:paraId="77C0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1" w:type="dxa"/>
            <w:vAlign w:val="center"/>
          </w:tcPr>
          <w:p w14:paraId="7C0C29CD">
            <w:pPr>
              <w:adjustRightInd w:val="0"/>
              <w:snapToGrid w:val="0"/>
              <w:spacing w:line="600" w:lineRule="exact"/>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上级补助资金</w:t>
            </w:r>
          </w:p>
        </w:tc>
        <w:tc>
          <w:tcPr>
            <w:tcW w:w="1475" w:type="dxa"/>
            <w:vAlign w:val="center"/>
          </w:tcPr>
          <w:p w14:paraId="378676BC">
            <w:pPr>
              <w:adjustRightInd w:val="0"/>
              <w:snapToGrid w:val="0"/>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18364.8</w:t>
            </w:r>
          </w:p>
        </w:tc>
        <w:tc>
          <w:tcPr>
            <w:tcW w:w="1475" w:type="dxa"/>
            <w:vAlign w:val="center"/>
          </w:tcPr>
          <w:p w14:paraId="6664E422">
            <w:pPr>
              <w:adjustRightInd w:val="0"/>
              <w:snapToGrid w:val="0"/>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18364.8</w:t>
            </w:r>
          </w:p>
        </w:tc>
        <w:tc>
          <w:tcPr>
            <w:tcW w:w="1377" w:type="dxa"/>
            <w:vAlign w:val="center"/>
          </w:tcPr>
          <w:p w14:paraId="79859267">
            <w:pPr>
              <w:adjustRightInd w:val="0"/>
              <w:snapToGrid w:val="0"/>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c>
          <w:tcPr>
            <w:tcW w:w="1426" w:type="dxa"/>
            <w:vAlign w:val="center"/>
          </w:tcPr>
          <w:p w14:paraId="147CBE89">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c>
          <w:tcPr>
            <w:tcW w:w="1458" w:type="dxa"/>
            <w:vAlign w:val="center"/>
          </w:tcPr>
          <w:p w14:paraId="65B4EA2F">
            <w:pPr>
              <w:adjustRightInd w:val="0"/>
              <w:snapToGrid w:val="0"/>
              <w:spacing w:line="600" w:lineRule="exact"/>
              <w:ind w:firstLine="72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w:t>
            </w:r>
          </w:p>
        </w:tc>
      </w:tr>
    </w:tbl>
    <w:p w14:paraId="5AF7A36A">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49F2332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项目单独建账核算，支出审批执行“施工方→监理→业主→局属项目负责人→分管领导→财务→主要领导”七级联签制度，原始凭证完整率100%。</w:t>
      </w:r>
    </w:p>
    <w:p w14:paraId="70AD3CAF">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三、项目实施及管理情况</w:t>
      </w:r>
    </w:p>
    <w:p w14:paraId="4839F421">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（一）项目组织架构及实施流程。</w:t>
      </w:r>
      <w:r>
        <w:rPr>
          <w:rFonts w:hint="eastAsia" w:ascii="仿宋_GB2312" w:hAnsi="仿宋_GB2312" w:eastAsia="仿宋_GB2312" w:cs="仿宋_GB2312"/>
          <w:sz w:val="32"/>
          <w:szCs w:val="32"/>
          <w:lang w:val="en-US" w:eastAsia="zh-CN"/>
        </w:rPr>
        <w:t>施工、监理、业主自行制定组织架构，在符合国家标准情况下开展项目建设。</w:t>
      </w:r>
    </w:p>
    <w:p w14:paraId="678A4358">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（二）项目管理情况。</w:t>
      </w:r>
      <w:r>
        <w:rPr>
          <w:rFonts w:hint="eastAsia" w:ascii="仿宋_GB2312" w:hAnsi="仿宋_GB2312" w:eastAsia="仿宋_GB2312" w:cs="仿宋_GB2312"/>
          <w:sz w:val="32"/>
          <w:szCs w:val="32"/>
          <w:lang w:val="en-US" w:eastAsia="zh-CN"/>
        </w:rPr>
        <w:t>施工采用公开招标；钢材、混凝土等按不高于财评价格采购；业主定期向县交通局汇报进度。</w:t>
      </w:r>
    </w:p>
    <w:p w14:paraId="537C757C">
      <w:pPr>
        <w:ind w:firstLine="643"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（三）项目监管情况。</w:t>
      </w:r>
      <w:r>
        <w:rPr>
          <w:rFonts w:hint="eastAsia" w:ascii="仿宋_GB2312" w:hAnsi="仿宋_GB2312" w:eastAsia="仿宋_GB2312" w:cs="仿宋_GB2312"/>
          <w:sz w:val="32"/>
          <w:szCs w:val="32"/>
          <w:lang w:val="en-US" w:eastAsia="zh-CN"/>
        </w:rPr>
        <w:t>聘用第三方质量检测机构对项目开展质量检测。</w:t>
      </w:r>
    </w:p>
    <w:p w14:paraId="37ACCE6B">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四、项目绩效情况</w:t>
      </w:r>
    </w:p>
    <w:p w14:paraId="367B8032">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7690D8A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项目于5月1日主线建成试通车，计划年内完成项目建设，项目无违规记录，截至评价时间，项目建设进度达标。</w:t>
      </w:r>
    </w:p>
    <w:p w14:paraId="0A160645">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72C9A90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满足当地发展需求，满足生态保护需求，满足当地群众出行需求。</w:t>
      </w:r>
    </w:p>
    <w:p w14:paraId="0649F2D8">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五、评价结论及建议</w:t>
      </w:r>
    </w:p>
    <w:p w14:paraId="582D393B">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7431ED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项目主线建成方便群众出行，促进产业发展，降低物流运输成本。</w:t>
      </w:r>
    </w:p>
    <w:p w14:paraId="3DC6CA28">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6D65B2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暂无。</w:t>
      </w:r>
    </w:p>
    <w:p w14:paraId="28F3D955">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1E3FB8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暂无。</w:t>
      </w:r>
    </w:p>
    <w:p w14:paraId="26A12286">
      <w:pPr>
        <w:spacing w:line="578" w:lineRule="exact"/>
        <w:ind w:firstLine="640"/>
        <w:rPr>
          <w:rFonts w:eastAsia="仿宋_GB2312" w:cs="仿宋_GB2312"/>
          <w:kern w:val="0"/>
          <w:sz w:val="32"/>
          <w:szCs w:val="32"/>
        </w:rPr>
      </w:pPr>
    </w:p>
    <w:p w14:paraId="7287386B">
      <w:pPr>
        <w:spacing w:line="578" w:lineRule="exact"/>
        <w:ind w:firstLine="640"/>
        <w:rPr>
          <w:rFonts w:eastAsia="仿宋_GB2312" w:cs="仿宋_GB2312"/>
          <w:kern w:val="0"/>
          <w:sz w:val="32"/>
          <w:szCs w:val="32"/>
        </w:rPr>
      </w:pPr>
    </w:p>
    <w:p w14:paraId="25AD8431">
      <w:pPr>
        <w:spacing w:line="578" w:lineRule="exact"/>
        <w:ind w:firstLine="640"/>
        <w:rPr>
          <w:rFonts w:eastAsia="仿宋_GB2312" w:cs="仿宋_GB2312"/>
          <w:kern w:val="0"/>
          <w:sz w:val="32"/>
          <w:szCs w:val="32"/>
        </w:rPr>
      </w:pPr>
    </w:p>
    <w:p w14:paraId="5538E85E">
      <w:pPr>
        <w:spacing w:line="578" w:lineRule="exact"/>
        <w:ind w:firstLine="640"/>
        <w:rPr>
          <w:rFonts w:eastAsia="仿宋_GB2312" w:cs="仿宋_GB2312"/>
          <w:kern w:val="0"/>
          <w:sz w:val="32"/>
          <w:szCs w:val="32"/>
        </w:rPr>
      </w:pPr>
      <w:bookmarkStart w:id="47" w:name="_Toc15396618"/>
      <w:r>
        <w:rPr>
          <w:rFonts w:hint="eastAsia" w:eastAsia="仿宋_GB2312" w:cs="仿宋_GB2312"/>
          <w:kern w:val="0"/>
          <w:sz w:val="32"/>
          <w:szCs w:val="32"/>
        </w:rPr>
        <w:br w:type="page"/>
      </w:r>
    </w:p>
    <w:p w14:paraId="540F3402">
      <w:pPr>
        <w:pStyle w:val="5"/>
        <w:spacing w:before="93"/>
        <w:rPr>
          <w:rFonts w:hint="eastAsia" w:ascii="Times New Roman" w:eastAsia="黑体" w:cs="黑体"/>
          <w:sz w:val="32"/>
          <w:szCs w:val="32"/>
          <w:lang w:eastAsia="zh-CN"/>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lang w:val="en-US" w:eastAsia="zh-CN"/>
        </w:rPr>
        <w:t>4</w:t>
      </w:r>
    </w:p>
    <w:p w14:paraId="5BE8CF4D">
      <w:pPr>
        <w:pStyle w:val="35"/>
        <w:spacing w:line="600" w:lineRule="exact"/>
        <w:rPr>
          <w:rFonts w:ascii="Times New Roman" w:hAnsi="Times New Roman" w:eastAsia="方正小标宋简体" w:cs="Times New Roman"/>
          <w:color w:val="auto"/>
          <w:kern w:val="2"/>
          <w:sz w:val="40"/>
          <w:szCs w:val="40"/>
        </w:rPr>
      </w:pPr>
    </w:p>
    <w:p w14:paraId="1308F0DD">
      <w:pPr>
        <w:pStyle w:val="35"/>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eastAsia="zh-CN" w:bidi="ar-SA"/>
        </w:rPr>
        <w:t>通组路</w:t>
      </w:r>
      <w:r>
        <w:rPr>
          <w:rFonts w:hint="eastAsia" w:ascii="Times New Roman" w:hAnsi="Times New Roman" w:eastAsia="方正小标宋简体" w:cs="方正小标宋简体"/>
          <w:color w:val="auto"/>
          <w:kern w:val="2"/>
          <w:sz w:val="44"/>
          <w:szCs w:val="44"/>
          <w:lang w:val="en-US"/>
        </w:rPr>
        <w:t>项目绩效自评报告</w:t>
      </w:r>
    </w:p>
    <w:p w14:paraId="762C4DC9">
      <w:pPr>
        <w:pStyle w:val="35"/>
        <w:spacing w:line="600" w:lineRule="exact"/>
        <w:ind w:firstLine="640"/>
        <w:jc w:val="center"/>
        <w:rPr>
          <w:rFonts w:ascii="Times New Roman" w:hAnsi="Times New Roman" w:cs="Times New Roman"/>
          <w:color w:val="auto"/>
          <w:kern w:val="2"/>
          <w:sz w:val="32"/>
          <w:szCs w:val="32"/>
        </w:rPr>
      </w:pPr>
    </w:p>
    <w:p w14:paraId="290EA7E7">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一、项目概况</w:t>
      </w:r>
    </w:p>
    <w:p w14:paraId="3FE88DE9">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0DA28A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1.主管部门职能​</w:t>
      </w:r>
    </w:p>
    <w:p w14:paraId="74206D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盐边县交通运输局作为县级交通行政主管部门，主要负责县域内交通基础设施的规划、建设、管理和维护工作。在本项目中，该局承担以下职能：组织项目可行性研究和立项申报；监督项目实施进度和质量；协调财政资金拨付和使用；组织项目验收和绩效评价。</w:t>
      </w:r>
    </w:p>
    <w:p w14:paraId="04ABE7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2.项目立项及资金申报依据​</w:t>
      </w:r>
    </w:p>
    <w:p w14:paraId="265AB7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《四川省“十四五”综合交通运输发展规划》（川府发〔2021〕12号）；《攀枝花市交通运输局关于下达2024年农村公路目标任务的通知》（攀交函〔2 0 2 4〕83号）。</w:t>
      </w:r>
    </w:p>
    <w:p w14:paraId="3C55E4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default" w:ascii="仿宋_GB2312" w:hAnsi="仿宋_GB2312" w:eastAsia="仿宋_GB2312" w:cs="仿宋_GB2312"/>
          <w:b w:val="0"/>
          <w:bCs/>
          <w:sz w:val="32"/>
          <w:szCs w:val="32"/>
          <w:lang w:val="en-US" w:eastAsia="zh-CN"/>
        </w:rPr>
        <w:t>3.项目资金管理严格执行《盐边县交通运输局内部控制制度》，资金支持条件包括省级补助资金及县级配套资金。</w:t>
      </w:r>
    </w:p>
    <w:p w14:paraId="6B9F84AE">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51AE289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1.项目主要内容。本项目涉及2024年新改建公路124.8km，设计路基宽度4.5m，路面宽度3.5m，混凝土路面。及2021年度2022年度该项目清算并拨付项目资金。</w:t>
      </w:r>
    </w:p>
    <w:p w14:paraId="008845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2.项目应实现的具体绩效目标：年内完成资金清算工作。</w:t>
      </w:r>
    </w:p>
    <w:p w14:paraId="0796F0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3.评价申报内容与实际相符，申报目标合理可行</w:t>
      </w:r>
      <w:r>
        <w:rPr>
          <w:rFonts w:hint="default" w:ascii="Times New Roman" w:hAnsi="Times New Roman" w:eastAsia="方正仿宋_GBK" w:cs="Times New Roman"/>
          <w:sz w:val="32"/>
          <w:szCs w:val="32"/>
          <w:lang w:val="en-US" w:eastAsia="zh-CN"/>
        </w:rPr>
        <w:t>。</w:t>
      </w:r>
    </w:p>
    <w:p w14:paraId="5288E0F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0557369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自评步骤。2025年度预算项目绩效评估工作通过线下方式开展。按照有关规定和工作安排，我单位开展自行评估，通过自行成立评估组方式组建评估组，通过收集被评估项目相关基础资料，并查阅资料、收集数据信息等，深入论证分析后，形成绩效评估报告。</w:t>
      </w:r>
    </w:p>
    <w:p w14:paraId="5B7328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评估方法。本项目通过现场踏勘、与项目相关人员座谈或讨论、聘请相关专业专家等方法了解项目情况，收集相关资料，在综合分析相关情况后，对项目的立项必要性、投入经济性、目标合理性、方案可行性以及筹资合规性实施评估。</w:t>
      </w:r>
    </w:p>
    <w:p w14:paraId="0B432D93">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二、项目资金申报及使用情况</w:t>
      </w:r>
    </w:p>
    <w:p w14:paraId="22E42054">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71A31C8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上级补助资金3464万元。</w:t>
      </w:r>
    </w:p>
    <w:p w14:paraId="6FBB1FB3">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tbl>
      <w:tblPr>
        <w:tblStyle w:val="16"/>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515"/>
        <w:gridCol w:w="1530"/>
        <w:gridCol w:w="982"/>
        <w:gridCol w:w="1416"/>
        <w:gridCol w:w="1397"/>
      </w:tblGrid>
      <w:tr w14:paraId="42EF9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1598" w:type="dxa"/>
            <w:vAlign w:val="center"/>
          </w:tcPr>
          <w:p w14:paraId="73563536">
            <w:pPr>
              <w:keepNext w:val="0"/>
              <w:keepLines w:val="0"/>
              <w:widowControl/>
              <w:suppressLineNumbers w:val="0"/>
              <w:spacing w:before="0" w:beforeAutospacing="0" w:after="0" w:afterAutospacing="0"/>
              <w:ind w:left="0" w:leftChars="0" w:right="0" w:rightChars="0"/>
              <w:jc w:val="center"/>
              <w:textAlignment w:val="center"/>
              <w:rPr>
                <w:rFonts w:hint="default" w:ascii="Segoe UI" w:hAnsi="Segoe UI" w:eastAsia="Segoe UI" w:cs="Segoe UI"/>
                <w:b/>
                <w:bCs/>
                <w:i w:val="0"/>
                <w:iCs w:val="0"/>
                <w:caps w:val="0"/>
                <w:spacing w:val="0"/>
                <w:kern w:val="0"/>
                <w:sz w:val="24"/>
                <w:szCs w:val="24"/>
                <w:lang w:val="en-US" w:eastAsia="zh-CN" w:bidi="ar"/>
              </w:rPr>
            </w:pPr>
            <w:r>
              <w:rPr>
                <w:rFonts w:hint="eastAsia" w:ascii="仿宋_GB2312" w:hAnsi="仿宋_GB2312" w:eastAsia="仿宋_GB2312" w:cs="仿宋_GB2312"/>
                <w:sz w:val="32"/>
                <w:szCs w:val="32"/>
                <w:lang w:val="en-US" w:eastAsia="zh-CN"/>
              </w:rPr>
              <w:t>资金类型</w:t>
            </w:r>
          </w:p>
        </w:tc>
        <w:tc>
          <w:tcPr>
            <w:tcW w:w="1515" w:type="dxa"/>
            <w:vAlign w:val="center"/>
          </w:tcPr>
          <w:p w14:paraId="12D1431D">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计划资金</w:t>
            </w:r>
          </w:p>
        </w:tc>
        <w:tc>
          <w:tcPr>
            <w:tcW w:w="1530" w:type="dxa"/>
            <w:vAlign w:val="center"/>
          </w:tcPr>
          <w:p w14:paraId="7E2C1435">
            <w:pPr>
              <w:keepNext w:val="0"/>
              <w:keepLines w:val="0"/>
              <w:widowControl/>
              <w:suppressLineNumbers w:val="0"/>
              <w:spacing w:before="0" w:beforeAutospacing="0" w:after="0" w:afterAutospacing="0"/>
              <w:ind w:left="0" w:leftChars="0" w:right="0" w:rightChars="0"/>
              <w:jc w:val="center"/>
              <w:textAlignment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到位资金</w:t>
            </w:r>
          </w:p>
        </w:tc>
        <w:tc>
          <w:tcPr>
            <w:tcW w:w="982" w:type="dxa"/>
            <w:vAlign w:val="center"/>
          </w:tcPr>
          <w:p w14:paraId="45C37426">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到位率</w:t>
            </w:r>
          </w:p>
        </w:tc>
        <w:tc>
          <w:tcPr>
            <w:tcW w:w="1416" w:type="dxa"/>
            <w:vAlign w:val="center"/>
          </w:tcPr>
          <w:p w14:paraId="4B8DF503">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支出金额</w:t>
            </w:r>
          </w:p>
        </w:tc>
        <w:tc>
          <w:tcPr>
            <w:tcW w:w="1397" w:type="dxa"/>
            <w:vAlign w:val="center"/>
          </w:tcPr>
          <w:p w14:paraId="4DDCBBB5">
            <w:pPr>
              <w:keepNext w:val="0"/>
              <w:keepLines w:val="0"/>
              <w:widowControl/>
              <w:suppressLineNumbers w:val="0"/>
              <w:spacing w:before="0" w:beforeAutospacing="0" w:after="0" w:afterAutospacing="0"/>
              <w:ind w:left="0" w:leftChars="0" w:right="0" w:rightChars="0"/>
              <w:jc w:val="center"/>
              <w:textAlignment w:val="center"/>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支出进度</w:t>
            </w:r>
          </w:p>
        </w:tc>
      </w:tr>
      <w:tr w14:paraId="7984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598" w:type="dxa"/>
            <w:vAlign w:val="center"/>
          </w:tcPr>
          <w:p w14:paraId="73091054">
            <w:pPr>
              <w:keepNext w:val="0"/>
              <w:keepLines w:val="0"/>
              <w:widowControl/>
              <w:suppressLineNumbers w:val="0"/>
              <w:spacing w:before="0" w:beforeAutospacing="0" w:after="0" w:afterAutospacing="0"/>
              <w:ind w:left="0" w:leftChars="0" w:right="0" w:rightChars="0"/>
              <w:jc w:val="center"/>
              <w:textAlignment w:val="center"/>
              <w:rPr>
                <w:rFonts w:hint="default" w:ascii="Segoe UI" w:hAnsi="Segoe UI" w:eastAsia="Segoe UI" w:cs="Segoe UI"/>
                <w:b/>
                <w:bCs/>
                <w:i w:val="0"/>
                <w:iCs w:val="0"/>
                <w:caps w:val="0"/>
                <w:spacing w:val="0"/>
                <w:kern w:val="0"/>
                <w:sz w:val="18"/>
                <w:szCs w:val="18"/>
                <w:lang w:val="en-US" w:eastAsia="zh-CN" w:bidi="ar"/>
              </w:rPr>
            </w:pPr>
            <w:r>
              <w:rPr>
                <w:rFonts w:hint="eastAsia" w:ascii="仿宋_GB2312" w:hAnsi="仿宋_GB2312" w:eastAsia="仿宋_GB2312" w:cs="仿宋_GB2312"/>
                <w:sz w:val="32"/>
                <w:szCs w:val="32"/>
                <w:lang w:val="en-US" w:eastAsia="zh-CN"/>
              </w:rPr>
              <w:t>上级补助资金</w:t>
            </w:r>
          </w:p>
        </w:tc>
        <w:tc>
          <w:tcPr>
            <w:tcW w:w="1515" w:type="dxa"/>
            <w:vAlign w:val="center"/>
          </w:tcPr>
          <w:p w14:paraId="02F0E631">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3464</w:t>
            </w:r>
          </w:p>
        </w:tc>
        <w:tc>
          <w:tcPr>
            <w:tcW w:w="1530" w:type="dxa"/>
            <w:vAlign w:val="center"/>
          </w:tcPr>
          <w:p w14:paraId="64DAA00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3464</w:t>
            </w:r>
          </w:p>
        </w:tc>
        <w:tc>
          <w:tcPr>
            <w:tcW w:w="982" w:type="dxa"/>
            <w:vAlign w:val="center"/>
          </w:tcPr>
          <w:p w14:paraId="339FA50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100%</w:t>
            </w:r>
          </w:p>
        </w:tc>
        <w:tc>
          <w:tcPr>
            <w:tcW w:w="1416" w:type="dxa"/>
            <w:vAlign w:val="center"/>
          </w:tcPr>
          <w:p w14:paraId="4D660A04">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1764</w:t>
            </w:r>
          </w:p>
        </w:tc>
        <w:tc>
          <w:tcPr>
            <w:tcW w:w="1397" w:type="dxa"/>
            <w:vAlign w:val="center"/>
          </w:tcPr>
          <w:p w14:paraId="7C7F111A">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w:t>
            </w:r>
          </w:p>
        </w:tc>
      </w:tr>
    </w:tbl>
    <w:p w14:paraId="7AD15D35">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36709A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项目单独建账核算，支出审批执行“施工方→业主→局属项目负责人→分管领导→财务→主要领导”六级联签制度，原始凭证完整率100%。</w:t>
      </w:r>
    </w:p>
    <w:p w14:paraId="535E8B8B">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三、项目实施及管理情况</w:t>
      </w:r>
    </w:p>
    <w:p w14:paraId="541869A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（一）项目组织架构及实施流程。</w:t>
      </w:r>
      <w:r>
        <w:rPr>
          <w:rFonts w:hint="eastAsia" w:ascii="仿宋_GB2312" w:hAnsi="仿宋_GB2312" w:eastAsia="仿宋_GB2312" w:cs="仿宋_GB2312"/>
          <w:sz w:val="32"/>
          <w:szCs w:val="32"/>
          <w:lang w:val="en-US" w:eastAsia="zh-CN"/>
        </w:rPr>
        <w:t>施工、业主自行制定组织架构，在符合国家标准情况下开展项目建设。</w:t>
      </w:r>
    </w:p>
    <w:p w14:paraId="3F94D6D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（二）项目管理情况。</w:t>
      </w:r>
      <w:r>
        <w:rPr>
          <w:rFonts w:hint="eastAsia" w:ascii="仿宋_GB2312" w:hAnsi="仿宋_GB2312" w:eastAsia="仿宋_GB2312" w:cs="仿宋_GB2312"/>
          <w:sz w:val="32"/>
          <w:szCs w:val="32"/>
          <w:lang w:val="en-US" w:eastAsia="zh-CN"/>
        </w:rPr>
        <w:t>施工采用公开招标；钢材、混凝土等按不高于财评价格采购；业主定期向县交通局汇报进度。</w:t>
      </w:r>
    </w:p>
    <w:p w14:paraId="6365DD8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zh-CN"/>
        </w:rPr>
        <w:t>（三）项目监管情况。</w:t>
      </w:r>
      <w:r>
        <w:rPr>
          <w:rFonts w:hint="eastAsia" w:ascii="仿宋_GB2312" w:hAnsi="仿宋_GB2312" w:eastAsia="仿宋_GB2312" w:cs="仿宋_GB2312"/>
          <w:sz w:val="32"/>
          <w:szCs w:val="32"/>
          <w:lang w:val="en-US" w:eastAsia="zh-CN"/>
        </w:rPr>
        <w:t>聘用第三方质量检测机构对项目开展质量检测。</w:t>
      </w:r>
    </w:p>
    <w:p w14:paraId="1604ACC7">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四、项目绩效情况</w:t>
      </w:r>
    </w:p>
    <w:p w14:paraId="6043DE6B">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4E7EBFD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项目于2024年全面建成通车，目前正在开展资金清算工作。</w:t>
      </w:r>
    </w:p>
    <w:p w14:paraId="48A08CF7">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0FF956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满足当地发展需求，满足生态保护需求，满足当地群众出行需求。</w:t>
      </w:r>
    </w:p>
    <w:p w14:paraId="74299F87">
      <w:pPr>
        <w:adjustRightInd w:val="0"/>
        <w:snapToGrid w:val="0"/>
        <w:spacing w:line="600" w:lineRule="exact"/>
        <w:ind w:firstLine="720"/>
        <w:rPr>
          <w:rFonts w:hint="eastAsia" w:ascii="黑体" w:hAnsi="黑体" w:eastAsia="黑体" w:cs="黑体"/>
          <w:sz w:val="32"/>
          <w:szCs w:val="32"/>
        </w:rPr>
      </w:pPr>
      <w:r>
        <w:rPr>
          <w:rFonts w:hint="eastAsia" w:ascii="黑体" w:hAnsi="黑体" w:eastAsia="黑体" w:cs="黑体"/>
          <w:sz w:val="32"/>
          <w:szCs w:val="32"/>
        </w:rPr>
        <w:t>五、评价结论及建议</w:t>
      </w:r>
    </w:p>
    <w:p w14:paraId="15EEF037">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0BC6DE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项目已全面完工，正在开展资金清算工作，项目建成后有效方便群众出行，促进乡村文旅产业发展。</w:t>
      </w:r>
    </w:p>
    <w:p w14:paraId="70F3BCB4">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3C6F210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暂无。</w:t>
      </w:r>
    </w:p>
    <w:p w14:paraId="76EFFFB4">
      <w:pPr>
        <w:ind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4905246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暂无。</w:t>
      </w:r>
    </w:p>
    <w:p w14:paraId="189AE591">
      <w:pPr>
        <w:pStyle w:val="5"/>
        <w:spacing w:before="93"/>
        <w:rPr>
          <w:rFonts w:hint="eastAsia" w:ascii="Times New Roman" w:eastAsia="黑体" w:cs="黑体"/>
          <w:sz w:val="32"/>
          <w:szCs w:val="32"/>
          <w:lang w:eastAsia="zh-CN"/>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lang w:val="en-US" w:eastAsia="zh-CN"/>
        </w:rPr>
        <w:t>5</w:t>
      </w:r>
    </w:p>
    <w:p w14:paraId="31864A42">
      <w:pPr>
        <w:tabs>
          <w:tab w:val="left" w:pos="1440"/>
        </w:tabs>
        <w:spacing w:line="560" w:lineRule="exact"/>
        <w:rPr>
          <w:rFonts w:ascii="宋体" w:hAnsi="宋体" w:eastAsia="宋体"/>
          <w:sz w:val="30"/>
          <w:szCs w:val="30"/>
        </w:rPr>
      </w:pPr>
    </w:p>
    <w:p w14:paraId="0A55DE11">
      <w:pPr>
        <w:pStyle w:val="35"/>
        <w:spacing w:line="578" w:lineRule="exact"/>
        <w:ind w:firstLine="0" w:firstLineChars="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2020-2023年度农村客运补贴和城市交通发展奖励资金项目支出绩效自评报告</w:t>
      </w:r>
    </w:p>
    <w:p w14:paraId="3D9DB09B">
      <w:pPr>
        <w:pStyle w:val="35"/>
        <w:spacing w:line="560" w:lineRule="exact"/>
        <w:ind w:firstLine="640"/>
        <w:jc w:val="center"/>
        <w:rPr>
          <w:rFonts w:ascii="宋体" w:hAnsi="宋体"/>
          <w:color w:val="auto"/>
          <w:kern w:val="2"/>
          <w:sz w:val="32"/>
          <w:szCs w:val="32"/>
        </w:rPr>
      </w:pPr>
    </w:p>
    <w:p w14:paraId="35DD1E9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kern w:val="2"/>
          <w:sz w:val="32"/>
          <w:szCs w:val="32"/>
          <w:lang w:val="zh-CN" w:eastAsia="zh-CN"/>
        </w:rPr>
      </w:pPr>
      <w:r>
        <w:rPr>
          <w:rFonts w:hint="eastAsia" w:ascii="黑体" w:hAnsi="黑体" w:eastAsia="黑体" w:cs="黑体"/>
          <w:kern w:val="2"/>
          <w:sz w:val="32"/>
          <w:szCs w:val="32"/>
          <w:lang w:val="en-US" w:eastAsia="zh-CN"/>
        </w:rPr>
        <w:t>一、</w:t>
      </w:r>
      <w:r>
        <w:rPr>
          <w:rFonts w:hint="eastAsia" w:ascii="黑体" w:hAnsi="黑体" w:eastAsia="黑体" w:cs="黑体"/>
          <w:kern w:val="2"/>
          <w:sz w:val="32"/>
          <w:szCs w:val="32"/>
          <w:lang w:val="zh-CN" w:eastAsia="zh-CN"/>
        </w:rPr>
        <w:t>项目概况</w:t>
      </w:r>
    </w:p>
    <w:p w14:paraId="6B494680">
      <w:pPr>
        <w:ind w:firstLine="643" w:firstLineChars="200"/>
        <w:jc w:val="both"/>
        <w:rPr>
          <w:rFonts w:hint="eastAsia" w:ascii="仿宋_GB2312" w:hAnsi="仿宋_GB2312" w:eastAsia="仿宋_GB2312" w:cs="仿宋_GB2312"/>
          <w:b/>
          <w:kern w:val="2"/>
          <w:sz w:val="32"/>
          <w:szCs w:val="32"/>
          <w:lang w:val="zh-CN"/>
        </w:rPr>
      </w:pPr>
      <w:r>
        <w:rPr>
          <w:rFonts w:hint="eastAsia" w:ascii="仿宋_GB2312" w:hAnsi="仿宋_GB2312" w:eastAsia="仿宋_GB2312" w:cs="仿宋_GB2312"/>
          <w:b/>
          <w:kern w:val="2"/>
          <w:sz w:val="32"/>
          <w:szCs w:val="32"/>
          <w:lang w:val="en-US" w:eastAsia="zh-CN"/>
        </w:rPr>
        <w:t>（一）</w:t>
      </w:r>
      <w:r>
        <w:rPr>
          <w:rFonts w:hint="eastAsia" w:ascii="仿宋_GB2312" w:hAnsi="仿宋_GB2312" w:eastAsia="仿宋_GB2312" w:cs="仿宋_GB2312"/>
          <w:b/>
          <w:kern w:val="2"/>
          <w:sz w:val="32"/>
          <w:szCs w:val="32"/>
          <w:lang w:val="zh-CN"/>
        </w:rPr>
        <w:t>介绍项目基本情况，重点说明以下内容：</w:t>
      </w:r>
    </w:p>
    <w:p w14:paraId="416F20A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kern w:val="2"/>
          <w:sz w:val="32"/>
          <w:szCs w:val="32"/>
          <w:lang w:val="zh-CN"/>
        </w:rPr>
      </w:pPr>
      <w:r>
        <w:rPr>
          <w:rFonts w:hint="default" w:ascii="Times New Roman" w:hAnsi="Times New Roman" w:eastAsia="方正仿宋_GBK" w:cs="Times New Roman"/>
          <w:kern w:val="2"/>
          <w:sz w:val="32"/>
          <w:szCs w:val="32"/>
          <w:lang w:val="en-US" w:eastAsia="zh-CN"/>
        </w:rPr>
        <w:t>1.</w:t>
      </w:r>
      <w:r>
        <w:rPr>
          <w:rFonts w:hint="default" w:ascii="Times New Roman" w:hAnsi="Times New Roman" w:eastAsia="方正仿宋_GBK" w:cs="Times New Roman"/>
          <w:kern w:val="2"/>
          <w:sz w:val="32"/>
          <w:szCs w:val="32"/>
          <w:lang w:val="zh-CN"/>
        </w:rPr>
        <w:t>项目资金申报及批复情况。</w:t>
      </w:r>
    </w:p>
    <w:p w14:paraId="0EEFBA1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kern w:val="2"/>
          <w:sz w:val="32"/>
          <w:szCs w:val="32"/>
          <w:lang w:val="zh-CN"/>
        </w:rPr>
      </w:pPr>
      <w:r>
        <w:rPr>
          <w:rFonts w:hint="default" w:ascii="Times New Roman" w:hAnsi="Times New Roman" w:eastAsia="方正仿宋_GBK" w:cs="Times New Roman"/>
          <w:kern w:val="2"/>
          <w:sz w:val="32"/>
          <w:szCs w:val="32"/>
          <w:lang w:val="en-US" w:eastAsia="zh-CN"/>
        </w:rPr>
        <w:t>2.</w:t>
      </w:r>
      <w:r>
        <w:rPr>
          <w:rFonts w:hint="default" w:ascii="Times New Roman" w:hAnsi="Times New Roman" w:eastAsia="方正仿宋_GBK" w:cs="Times New Roman"/>
          <w:kern w:val="2"/>
          <w:sz w:val="32"/>
          <w:szCs w:val="32"/>
          <w:lang w:val="zh-CN"/>
        </w:rPr>
        <w:t>四川省财政厅四川省交通运输厅关于清算2020-2023年度农村客运补贴和城市交通发展奖励资金的通知（川财建〔2024〕275号），用于农村客运补贴和城市交通发展。</w:t>
      </w:r>
    </w:p>
    <w:p w14:paraId="1803199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kern w:val="2"/>
          <w:sz w:val="32"/>
          <w:szCs w:val="32"/>
          <w:lang w:val="zh-CN"/>
        </w:rPr>
      </w:pP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lang w:val="zh-CN"/>
        </w:rPr>
        <w:t>项目绩效目标。</w:t>
      </w:r>
    </w:p>
    <w:p w14:paraId="28A153A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kern w:val="2"/>
          <w:sz w:val="32"/>
          <w:szCs w:val="32"/>
          <w:lang w:val="zh-CN"/>
        </w:rPr>
      </w:pPr>
      <w:r>
        <w:rPr>
          <w:rFonts w:hint="default" w:ascii="Times New Roman" w:hAnsi="Times New Roman" w:eastAsia="方正仿宋_GBK" w:cs="Times New Roman"/>
          <w:kern w:val="2"/>
          <w:sz w:val="32"/>
          <w:szCs w:val="32"/>
          <w:lang w:val="zh-CN"/>
        </w:rPr>
        <w:t>以解决群众办事出行最急迫需求为目标，按照《财政部 交通运输部关于调整农村客运、出租车油价补贴政策的通知》（财建〔2022〕1号），以及《财政部关于下达2022年农村客运补贴资金、城市交通发展奖励资金预算指标的通知》（财建〔2022〕80号） 的相关要求，用于农村客运补贴和城市交通发展。</w:t>
      </w:r>
    </w:p>
    <w:p w14:paraId="2FB894B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kern w:val="2"/>
          <w:sz w:val="32"/>
          <w:szCs w:val="32"/>
          <w:lang w:val="zh-CN"/>
        </w:rPr>
      </w:pPr>
      <w:r>
        <w:rPr>
          <w:rFonts w:hint="default" w:ascii="Times New Roman" w:hAnsi="Times New Roman" w:eastAsia="方正仿宋_GBK" w:cs="Times New Roman"/>
          <w:kern w:val="2"/>
          <w:sz w:val="32"/>
          <w:szCs w:val="32"/>
          <w:lang w:val="en-US" w:eastAsia="zh-CN"/>
        </w:rPr>
        <w:t>4.</w:t>
      </w:r>
      <w:r>
        <w:rPr>
          <w:rFonts w:hint="default" w:ascii="Times New Roman" w:hAnsi="Times New Roman" w:eastAsia="方正仿宋_GBK" w:cs="Times New Roman"/>
          <w:kern w:val="2"/>
          <w:sz w:val="32"/>
          <w:szCs w:val="32"/>
          <w:lang w:val="zh-CN"/>
        </w:rPr>
        <w:t>项目资金申报相符性。</w:t>
      </w:r>
    </w:p>
    <w:p w14:paraId="0EC5186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kern w:val="2"/>
          <w:sz w:val="32"/>
          <w:szCs w:val="32"/>
          <w:lang w:val="zh-CN"/>
        </w:rPr>
      </w:pPr>
      <w:r>
        <w:rPr>
          <w:rFonts w:hint="default" w:ascii="Times New Roman" w:hAnsi="Times New Roman" w:eastAsia="方正仿宋_GBK" w:cs="Times New Roman"/>
          <w:kern w:val="2"/>
          <w:sz w:val="32"/>
          <w:szCs w:val="32"/>
          <w:lang w:val="zh-CN"/>
        </w:rPr>
        <w:t>项目申报内容与具体农村客运补贴和城市交通发展实施内容相符、申报目标合理可行。</w:t>
      </w:r>
    </w:p>
    <w:p w14:paraId="58A8798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黑体" w:hAnsi="黑体" w:eastAsia="黑体" w:cs="黑体"/>
          <w:kern w:val="2"/>
          <w:sz w:val="32"/>
          <w:szCs w:val="32"/>
          <w:lang w:val="zh-CN"/>
        </w:rPr>
      </w:pPr>
      <w:r>
        <w:rPr>
          <w:rFonts w:hint="eastAsia" w:ascii="黑体" w:hAnsi="黑体" w:eastAsia="黑体" w:cs="黑体"/>
          <w:kern w:val="2"/>
          <w:sz w:val="32"/>
          <w:szCs w:val="32"/>
          <w:lang w:val="en-US" w:eastAsia="zh-CN"/>
        </w:rPr>
        <w:t>二、</w:t>
      </w:r>
      <w:r>
        <w:rPr>
          <w:rFonts w:hint="eastAsia" w:ascii="黑体" w:hAnsi="黑体" w:eastAsia="黑体" w:cs="黑体"/>
          <w:kern w:val="2"/>
          <w:sz w:val="32"/>
          <w:szCs w:val="32"/>
          <w:lang w:val="zh-CN"/>
        </w:rPr>
        <w:t>项目实施及管理情况</w:t>
      </w:r>
    </w:p>
    <w:p w14:paraId="4EC25422">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kern w:val="2"/>
          <w:sz w:val="32"/>
          <w:szCs w:val="32"/>
          <w:lang w:val="zh-CN" w:eastAsia="zh-CN"/>
        </w:rPr>
      </w:pPr>
      <w:r>
        <w:rPr>
          <w:rFonts w:hint="eastAsia" w:ascii="仿宋_GB2312" w:hAnsi="仿宋_GB2312" w:eastAsia="仿宋_GB2312" w:cs="仿宋_GB2312"/>
          <w:b/>
          <w:kern w:val="2"/>
          <w:sz w:val="32"/>
          <w:szCs w:val="32"/>
          <w:lang w:val="zh-CN" w:eastAsia="zh-CN"/>
        </w:rPr>
        <w:t>（</w:t>
      </w:r>
      <w:r>
        <w:rPr>
          <w:rFonts w:hint="eastAsia" w:ascii="仿宋_GB2312" w:hAnsi="仿宋_GB2312" w:eastAsia="仿宋_GB2312" w:cs="仿宋_GB2312"/>
          <w:b/>
          <w:kern w:val="2"/>
          <w:sz w:val="32"/>
          <w:szCs w:val="32"/>
          <w:lang w:val="en-US" w:eastAsia="zh-CN"/>
        </w:rPr>
        <w:t>一</w:t>
      </w:r>
      <w:r>
        <w:rPr>
          <w:rFonts w:hint="eastAsia" w:ascii="仿宋_GB2312" w:hAnsi="仿宋_GB2312" w:eastAsia="仿宋_GB2312" w:cs="仿宋_GB2312"/>
          <w:b/>
          <w:kern w:val="2"/>
          <w:sz w:val="32"/>
          <w:szCs w:val="32"/>
          <w:lang w:val="zh-CN" w:eastAsia="zh-CN"/>
        </w:rPr>
        <w:t>）资金计划、到位及使用情况</w:t>
      </w:r>
    </w:p>
    <w:p w14:paraId="2C8B55B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Times New Roman"/>
          <w:kern w:val="2"/>
          <w:sz w:val="32"/>
          <w:szCs w:val="32"/>
          <w:lang w:val="zh-CN" w:eastAsia="zh-CN"/>
        </w:rPr>
      </w:pPr>
      <w:r>
        <w:rPr>
          <w:rFonts w:hint="eastAsia" w:ascii="Times New Roman" w:hAnsi="Times New Roman" w:eastAsia="方正仿宋_GBK" w:cs="Times New Roman"/>
          <w:kern w:val="2"/>
          <w:sz w:val="32"/>
          <w:szCs w:val="32"/>
          <w:lang w:val="en-US" w:eastAsia="zh-CN"/>
        </w:rPr>
        <w:t>1.</w:t>
      </w:r>
      <w:r>
        <w:rPr>
          <w:rFonts w:hint="eastAsia" w:ascii="Times New Roman" w:hAnsi="Times New Roman" w:eastAsia="方正仿宋_GBK" w:cs="Times New Roman"/>
          <w:kern w:val="2"/>
          <w:sz w:val="32"/>
          <w:szCs w:val="32"/>
          <w:lang w:val="zh-CN" w:eastAsia="zh-CN"/>
        </w:rPr>
        <w:t>资金计划及到位。该项目为年初县本级财政资金计划，截至</w:t>
      </w:r>
      <w:r>
        <w:rPr>
          <w:rFonts w:hint="eastAsia" w:ascii="Times New Roman" w:hAnsi="Times New Roman" w:eastAsia="方正仿宋_GBK" w:cs="Times New Roman"/>
          <w:kern w:val="2"/>
          <w:sz w:val="32"/>
          <w:szCs w:val="32"/>
          <w:lang w:val="en-US" w:eastAsia="zh-CN"/>
        </w:rPr>
        <w:t>2024年12月底资金</w:t>
      </w:r>
      <w:r>
        <w:rPr>
          <w:rFonts w:hint="eastAsia" w:ascii="Times New Roman" w:hAnsi="Times New Roman" w:eastAsia="方正仿宋_GBK" w:cs="Times New Roman"/>
          <w:kern w:val="2"/>
          <w:sz w:val="32"/>
          <w:szCs w:val="32"/>
          <w:lang w:val="zh-CN" w:eastAsia="zh-CN"/>
        </w:rPr>
        <w:t>实际到位</w:t>
      </w:r>
      <w:r>
        <w:rPr>
          <w:rFonts w:hint="eastAsia" w:ascii="Times New Roman" w:hAnsi="Times New Roman" w:eastAsia="方正仿宋_GBK" w:cs="Times New Roman"/>
          <w:kern w:val="2"/>
          <w:sz w:val="32"/>
          <w:szCs w:val="32"/>
          <w:lang w:val="en-US" w:eastAsia="zh-CN"/>
        </w:rPr>
        <w:t>534.32万元。资金性质为</w:t>
      </w:r>
      <w:r>
        <w:rPr>
          <w:rFonts w:hint="eastAsia" w:ascii="Times New Roman" w:hAnsi="Times New Roman" w:eastAsia="方正仿宋_GBK" w:cs="Times New Roman"/>
          <w:kern w:val="2"/>
          <w:sz w:val="32"/>
          <w:szCs w:val="32"/>
          <w:lang w:val="zh-CN" w:eastAsia="zh-CN"/>
        </w:rPr>
        <w:t>农村客运补贴和城市交通发展资金</w:t>
      </w:r>
      <w:r>
        <w:rPr>
          <w:rFonts w:hint="eastAsia" w:ascii="Times New Roman" w:hAnsi="Times New Roman" w:eastAsia="方正仿宋_GBK" w:cs="Times New Roman"/>
          <w:kern w:val="2"/>
          <w:sz w:val="32"/>
          <w:szCs w:val="32"/>
          <w:lang w:val="en-US" w:eastAsia="zh-CN"/>
        </w:rPr>
        <w:t>，资金到位率100%</w:t>
      </w:r>
      <w:r>
        <w:rPr>
          <w:rFonts w:hint="eastAsia" w:ascii="Times New Roman" w:hAnsi="Times New Roman" w:eastAsia="方正仿宋_GBK" w:cs="Times New Roman"/>
          <w:kern w:val="2"/>
          <w:sz w:val="32"/>
          <w:szCs w:val="32"/>
          <w:lang w:val="zh-CN" w:eastAsia="zh-CN"/>
        </w:rPr>
        <w:t>。</w:t>
      </w:r>
    </w:p>
    <w:p w14:paraId="6C3DB37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Times New Roman"/>
          <w:kern w:val="2"/>
          <w:sz w:val="32"/>
          <w:szCs w:val="32"/>
          <w:lang w:val="zh-CN" w:eastAsia="zh-CN"/>
        </w:rPr>
      </w:pPr>
      <w:r>
        <w:rPr>
          <w:rFonts w:hint="eastAsia" w:ascii="Times New Roman" w:hAnsi="Times New Roman" w:eastAsia="方正仿宋_GBK" w:cs="Times New Roman"/>
          <w:kern w:val="2"/>
          <w:sz w:val="32"/>
          <w:szCs w:val="32"/>
          <w:lang w:val="en-US" w:eastAsia="zh-CN"/>
        </w:rPr>
        <w:t>2.</w:t>
      </w:r>
      <w:r>
        <w:rPr>
          <w:rFonts w:hint="eastAsia" w:ascii="Times New Roman" w:hAnsi="Times New Roman" w:eastAsia="方正仿宋_GBK" w:cs="Times New Roman"/>
          <w:kern w:val="2"/>
          <w:sz w:val="32"/>
          <w:szCs w:val="32"/>
          <w:lang w:val="zh-CN" w:eastAsia="zh-CN"/>
        </w:rPr>
        <w:t>资金使用。截至</w:t>
      </w:r>
      <w:r>
        <w:rPr>
          <w:rFonts w:hint="eastAsia" w:ascii="Times New Roman" w:hAnsi="Times New Roman" w:eastAsia="方正仿宋_GBK" w:cs="Times New Roman"/>
          <w:kern w:val="2"/>
          <w:sz w:val="32"/>
          <w:szCs w:val="32"/>
          <w:lang w:val="en-US" w:eastAsia="zh-CN"/>
        </w:rPr>
        <w:t>2024年12月31日</w:t>
      </w:r>
      <w:r>
        <w:rPr>
          <w:rFonts w:hint="eastAsia" w:ascii="Times New Roman" w:hAnsi="Times New Roman" w:eastAsia="方正仿宋_GBK" w:cs="Times New Roman"/>
          <w:kern w:val="2"/>
          <w:sz w:val="32"/>
          <w:szCs w:val="32"/>
          <w:lang w:val="zh-CN" w:eastAsia="zh-CN"/>
        </w:rPr>
        <w:t>项目资金实际支出</w:t>
      </w:r>
      <w:r>
        <w:rPr>
          <w:rFonts w:hint="eastAsia" w:ascii="Times New Roman" w:hAnsi="Times New Roman" w:eastAsia="方正仿宋_GBK" w:cs="Times New Roman"/>
          <w:kern w:val="2"/>
          <w:sz w:val="32"/>
          <w:szCs w:val="32"/>
          <w:lang w:val="en-US" w:eastAsia="zh-CN"/>
        </w:rPr>
        <w:t>211.89万元，</w:t>
      </w:r>
      <w:r>
        <w:rPr>
          <w:rFonts w:hint="eastAsia" w:ascii="Times New Roman" w:hAnsi="Times New Roman" w:eastAsia="方正仿宋_GBK" w:cs="Times New Roman"/>
          <w:kern w:val="2"/>
          <w:sz w:val="32"/>
          <w:szCs w:val="32"/>
          <w:lang w:val="zh-CN" w:eastAsia="zh-CN"/>
        </w:rPr>
        <w:t>支付进度按项目实施方案为依据进行支付，支付依据合规合法，资金支付与预算相符。</w:t>
      </w:r>
    </w:p>
    <w:p w14:paraId="5585AFCE">
      <w:pPr>
        <w:ind w:firstLine="643" w:firstLineChars="200"/>
        <w:jc w:val="both"/>
        <w:rPr>
          <w:rFonts w:hint="eastAsia" w:ascii="仿宋_GB2312" w:hAnsi="仿宋_GB2312" w:eastAsia="仿宋_GB2312" w:cs="仿宋_GB2312"/>
          <w:b/>
          <w:kern w:val="2"/>
          <w:sz w:val="32"/>
          <w:szCs w:val="32"/>
          <w:lang w:val="zh-CN" w:eastAsia="zh-CN"/>
        </w:rPr>
      </w:pPr>
      <w:r>
        <w:rPr>
          <w:rFonts w:hint="eastAsia" w:ascii="仿宋_GB2312" w:hAnsi="仿宋_GB2312" w:eastAsia="仿宋_GB2312" w:cs="仿宋_GB2312"/>
          <w:b/>
          <w:kern w:val="2"/>
          <w:sz w:val="32"/>
          <w:szCs w:val="32"/>
          <w:lang w:val="en-US" w:eastAsia="zh-CN"/>
        </w:rPr>
        <w:t>（二）</w:t>
      </w:r>
      <w:r>
        <w:rPr>
          <w:rFonts w:hint="eastAsia" w:ascii="仿宋_GB2312" w:hAnsi="仿宋_GB2312" w:eastAsia="仿宋_GB2312" w:cs="仿宋_GB2312"/>
          <w:b/>
          <w:kern w:val="2"/>
          <w:sz w:val="32"/>
          <w:szCs w:val="32"/>
          <w:lang w:val="zh-CN" w:eastAsia="zh-CN"/>
        </w:rPr>
        <w:t>项目财务管理情况</w:t>
      </w:r>
    </w:p>
    <w:p w14:paraId="174532E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Times New Roman"/>
          <w:kern w:val="2"/>
          <w:sz w:val="32"/>
          <w:szCs w:val="32"/>
          <w:lang w:val="zh-CN" w:eastAsia="zh-CN"/>
        </w:rPr>
      </w:pPr>
      <w:r>
        <w:rPr>
          <w:rFonts w:hint="eastAsia" w:ascii="Times New Roman" w:hAnsi="Times New Roman" w:eastAsia="方正仿宋_GBK" w:cs="Times New Roman"/>
          <w:kern w:val="2"/>
          <w:sz w:val="32"/>
          <w:szCs w:val="32"/>
          <w:lang w:val="zh-CN" w:eastAsia="zh-CN"/>
        </w:rPr>
        <w:t>资金严格按照资金使用有关规定，严格执行县级报账制，专账核算、公告公示等制度，同时严格资金拨付手续，账务处理及时，会计核算规范，确保资金安全有效，提高资金使用效益。</w:t>
      </w:r>
    </w:p>
    <w:p w14:paraId="4C09607C">
      <w:pPr>
        <w:ind w:firstLine="643" w:firstLineChars="200"/>
        <w:jc w:val="both"/>
        <w:rPr>
          <w:rFonts w:hint="eastAsia" w:ascii="仿宋_GB2312" w:hAnsi="仿宋_GB2312" w:eastAsia="仿宋_GB2312" w:cs="仿宋_GB2312"/>
          <w:b/>
          <w:kern w:val="2"/>
          <w:sz w:val="32"/>
          <w:szCs w:val="32"/>
          <w:lang w:val="zh-CN" w:eastAsia="zh-CN"/>
        </w:rPr>
      </w:pPr>
      <w:r>
        <w:rPr>
          <w:rFonts w:hint="eastAsia" w:ascii="仿宋_GB2312" w:hAnsi="仿宋_GB2312" w:eastAsia="仿宋_GB2312" w:cs="仿宋_GB2312"/>
          <w:b/>
          <w:kern w:val="2"/>
          <w:sz w:val="32"/>
          <w:szCs w:val="32"/>
          <w:lang w:val="zh-CN" w:eastAsia="zh-CN"/>
        </w:rPr>
        <w:t>（三）项目组织实施情况</w:t>
      </w:r>
    </w:p>
    <w:p w14:paraId="5BB22E6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Times New Roman" w:hAnsi="Times New Roman" w:eastAsia="方正仿宋_GBK" w:cs="Times New Roman"/>
          <w:kern w:val="2"/>
          <w:sz w:val="32"/>
          <w:szCs w:val="32"/>
          <w:lang w:val="zh-CN" w:eastAsia="zh-CN"/>
        </w:rPr>
      </w:pPr>
      <w:r>
        <w:rPr>
          <w:rFonts w:hint="eastAsia" w:ascii="Times New Roman" w:hAnsi="Times New Roman" w:eastAsia="方正仿宋_GBK" w:cs="Times New Roman"/>
          <w:kern w:val="2"/>
          <w:sz w:val="32"/>
          <w:szCs w:val="32"/>
          <w:lang w:val="zh-CN" w:eastAsia="zh-CN"/>
        </w:rPr>
        <w:t>项目业主为各乡镇，项目计划由县交通局统一下达后，业主单位严格按照七公开要求执行，项目由县交通运输局负责业务指导和监督。</w:t>
      </w:r>
    </w:p>
    <w:p w14:paraId="5A6B84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黑体" w:hAnsi="黑体" w:eastAsia="黑体" w:cs="黑体"/>
          <w:kern w:val="2"/>
          <w:sz w:val="32"/>
          <w:szCs w:val="32"/>
          <w:lang w:val="zh-CN" w:eastAsia="zh-CN"/>
        </w:rPr>
      </w:pPr>
      <w:r>
        <w:rPr>
          <w:rFonts w:hint="eastAsia" w:ascii="黑体" w:hAnsi="黑体" w:eastAsia="黑体" w:cs="黑体"/>
          <w:kern w:val="2"/>
          <w:sz w:val="32"/>
          <w:szCs w:val="32"/>
          <w:lang w:val="zh-CN" w:eastAsia="zh-CN"/>
        </w:rPr>
        <w:t>三、项目绩效情况</w:t>
      </w:r>
      <w:r>
        <w:rPr>
          <w:rFonts w:hint="eastAsia" w:ascii="黑体" w:hAnsi="黑体" w:eastAsia="黑体" w:cs="黑体"/>
          <w:kern w:val="2"/>
          <w:sz w:val="32"/>
          <w:szCs w:val="32"/>
          <w:lang w:val="zh-CN" w:eastAsia="zh-CN"/>
        </w:rPr>
        <w:tab/>
      </w:r>
    </w:p>
    <w:p w14:paraId="4F0A5B3D">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kern w:val="2"/>
          <w:sz w:val="32"/>
          <w:szCs w:val="32"/>
          <w:lang w:val="zh-CN" w:eastAsia="zh-CN"/>
        </w:rPr>
      </w:pPr>
      <w:r>
        <w:rPr>
          <w:rFonts w:hint="eastAsia" w:ascii="仿宋_GB2312" w:hAnsi="仿宋_GB2312" w:eastAsia="仿宋_GB2312" w:cs="仿宋_GB2312"/>
          <w:b/>
          <w:kern w:val="2"/>
          <w:sz w:val="32"/>
          <w:szCs w:val="32"/>
          <w:lang w:val="zh-CN" w:eastAsia="zh-CN"/>
        </w:rPr>
        <w:t>（一）项目完成情况</w:t>
      </w:r>
    </w:p>
    <w:p w14:paraId="119A713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2"/>
          <w:sz w:val="32"/>
          <w:szCs w:val="32"/>
          <w:lang w:val="zh-CN" w:eastAsia="zh-CN"/>
        </w:rPr>
      </w:pPr>
      <w:r>
        <w:rPr>
          <w:rFonts w:hint="default" w:ascii="Times New Roman" w:hAnsi="Times New Roman" w:eastAsia="方正仿宋_GBK" w:cs="Times New Roman"/>
          <w:kern w:val="2"/>
          <w:sz w:val="32"/>
          <w:szCs w:val="32"/>
          <w:lang w:val="en-US" w:eastAsia="zh-CN"/>
        </w:rPr>
        <w:t>盐边县交通运输局2023年度农村客运补贴和城市交通发展奖励资金预算534.37万元，其中：农村道路客运补贴资金164.5万元（费改税补贴73.08万元，涨价补贴91.42万元），农村水路客运补贴资金321.94万元（费改税补贴153.38万元，涨价补贴168.56万元），城市交通发展奖励资金47.93万元（费改税补贴32.03万元，涨价补贴15.9万元）。中央财政2023年度农村客运补贴和城市交通发展奖励资金费改税部分直接发放给农村客运经营者和出租车司机；农村客运涨价补贴部分统筹用于支持农村客运发展；城市交通发展奖励资金涨价补贴部分用于支持出租车加快电动化及城市交通领域新能源汽车运营。</w:t>
      </w:r>
    </w:p>
    <w:p w14:paraId="0F419FB0">
      <w:pPr>
        <w:adjustRightInd w:val="0"/>
        <w:snapToGrid w:val="0"/>
        <w:spacing w:line="600" w:lineRule="exact"/>
        <w:ind w:left="0" w:leftChars="0" w:firstLine="640" w:firstLineChars="200"/>
        <w:jc w:val="both"/>
        <w:rPr>
          <w:rFonts w:hint="eastAsia" w:ascii="黑体" w:hAnsi="黑体" w:eastAsia="黑体" w:cs="黑体"/>
          <w:kern w:val="2"/>
          <w:sz w:val="32"/>
          <w:szCs w:val="32"/>
          <w:lang w:val="zh-CN" w:eastAsia="zh-CN"/>
        </w:rPr>
      </w:pPr>
      <w:r>
        <w:rPr>
          <w:rFonts w:hint="eastAsia" w:ascii="黑体" w:hAnsi="黑体" w:eastAsia="黑体" w:cs="黑体"/>
          <w:kern w:val="2"/>
          <w:sz w:val="32"/>
          <w:szCs w:val="32"/>
          <w:lang w:val="en-US" w:eastAsia="zh-CN"/>
        </w:rPr>
        <w:t>四、</w:t>
      </w:r>
      <w:r>
        <w:rPr>
          <w:rFonts w:hint="eastAsia" w:ascii="黑体" w:hAnsi="黑体" w:eastAsia="黑体" w:cs="黑体"/>
          <w:kern w:val="2"/>
          <w:sz w:val="32"/>
          <w:szCs w:val="32"/>
          <w:lang w:val="zh-CN" w:eastAsia="zh-CN"/>
        </w:rPr>
        <w:t>项目效益情况</w:t>
      </w:r>
    </w:p>
    <w:p w14:paraId="1A2BF548">
      <w:pPr>
        <w:numPr>
          <w:ilvl w:val="0"/>
          <w:numId w:val="0"/>
        </w:numPr>
        <w:adjustRightInd w:val="0"/>
        <w:snapToGrid w:val="0"/>
        <w:spacing w:line="560" w:lineRule="exact"/>
        <w:ind w:firstLine="640" w:firstLineChars="200"/>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zh-CN" w:eastAsia="zh-CN"/>
        </w:rPr>
        <w:t>经济效益方面：该项目将加快推动全县农村运输进一步组网成环，辐射联动，拉动经济发展，服务乡村振兴</w:t>
      </w:r>
    </w:p>
    <w:p w14:paraId="15F432A1">
      <w:pPr>
        <w:numPr>
          <w:ilvl w:val="0"/>
          <w:numId w:val="0"/>
        </w:numPr>
        <w:adjustRightInd w:val="0"/>
        <w:snapToGrid w:val="0"/>
        <w:spacing w:line="560" w:lineRule="exact"/>
        <w:ind w:firstLine="640" w:firstLineChars="200"/>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zh-CN" w:eastAsia="zh-CN"/>
        </w:rPr>
        <w:t>社会效益方面：助推和美乡村高质量建设，不断提升道路通行服务能力，降低交通安全隐患，助力产业发展。</w:t>
      </w:r>
    </w:p>
    <w:p w14:paraId="42B87C67">
      <w:pPr>
        <w:numPr>
          <w:ilvl w:val="0"/>
          <w:numId w:val="0"/>
        </w:numPr>
        <w:adjustRightInd w:val="0"/>
        <w:snapToGrid w:val="0"/>
        <w:spacing w:line="560" w:lineRule="exact"/>
        <w:ind w:firstLine="640" w:firstLineChars="200"/>
        <w:rPr>
          <w:rFonts w:hint="eastAsia" w:ascii="仿宋_GB2312" w:hAnsi="仿宋_GB2312" w:eastAsia="仿宋_GB2312" w:cs="仿宋_GB2312"/>
          <w:kern w:val="2"/>
          <w:sz w:val="32"/>
          <w:szCs w:val="32"/>
          <w:lang w:val="zh-CN" w:eastAsia="zh-CN"/>
        </w:rPr>
      </w:pPr>
      <w:r>
        <w:rPr>
          <w:rFonts w:hint="eastAsia" w:ascii="仿宋_GB2312" w:hAnsi="仿宋_GB2312" w:eastAsia="仿宋_GB2312" w:cs="仿宋_GB2312"/>
          <w:kern w:val="2"/>
          <w:sz w:val="32"/>
          <w:szCs w:val="32"/>
          <w:lang w:val="zh-CN" w:eastAsia="zh-CN"/>
        </w:rPr>
        <w:t>生态效益方面：随着全县农村公路进一步推进和完善，为县域林地防灭火工作起到一定辅助作用。</w:t>
      </w:r>
    </w:p>
    <w:p w14:paraId="0FF60FDB">
      <w:pPr>
        <w:numPr>
          <w:ilvl w:val="0"/>
          <w:numId w:val="4"/>
        </w:numPr>
        <w:adjustRightInd w:val="0"/>
        <w:snapToGrid w:val="0"/>
        <w:spacing w:line="600" w:lineRule="exact"/>
        <w:ind w:left="0" w:leftChars="0" w:firstLine="0" w:firstLineChars="0"/>
        <w:jc w:val="both"/>
        <w:rPr>
          <w:rFonts w:hint="eastAsia" w:ascii="黑体" w:hAnsi="黑体" w:eastAsia="黑体" w:cs="黑体"/>
          <w:kern w:val="2"/>
          <w:sz w:val="32"/>
          <w:szCs w:val="32"/>
          <w:lang w:val="zh-CN" w:eastAsia="zh-CN"/>
        </w:rPr>
      </w:pPr>
      <w:r>
        <w:rPr>
          <w:rFonts w:hint="eastAsia" w:ascii="黑体" w:hAnsi="黑体" w:eastAsia="黑体" w:cs="黑体"/>
          <w:kern w:val="2"/>
          <w:sz w:val="32"/>
          <w:szCs w:val="32"/>
          <w:lang w:val="zh-CN" w:eastAsia="zh-CN"/>
        </w:rPr>
        <w:t>问题及建议</w:t>
      </w:r>
    </w:p>
    <w:p w14:paraId="215C5B7D">
      <w:pPr>
        <w:ind w:firstLine="643" w:firstLineChars="200"/>
        <w:jc w:val="both"/>
        <w:rPr>
          <w:rFonts w:ascii="仿宋_GB2312" w:hAnsi="仿宋_GB2312" w:eastAsia="仿宋_GB2312" w:cs="仿宋_GB2312"/>
          <w:b/>
          <w:sz w:val="32"/>
          <w:szCs w:val="32"/>
          <w:lang w:val="zh-CN"/>
        </w:rPr>
      </w:pPr>
      <w:r>
        <w:rPr>
          <w:rFonts w:hint="eastAsia" w:ascii="仿宋_GB2312" w:hAnsi="仿宋_GB2312" w:eastAsia="仿宋_GB2312" w:cs="仿宋_GB2312"/>
          <w:b/>
          <w:kern w:val="2"/>
          <w:sz w:val="32"/>
          <w:szCs w:val="32"/>
          <w:lang w:val="zh-CN" w:eastAsia="zh-CN"/>
        </w:rPr>
        <w:t>（一）评价结论</w:t>
      </w:r>
    </w:p>
    <w:p w14:paraId="06357D5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黑体" w:hAnsi="黑体" w:eastAsia="黑体" w:cs="黑体"/>
          <w:kern w:val="2"/>
          <w:sz w:val="32"/>
          <w:szCs w:val="32"/>
          <w:lang w:val="en-US" w:eastAsia="zh-CN"/>
        </w:rPr>
      </w:pPr>
      <w:r>
        <w:rPr>
          <w:rFonts w:hint="eastAsia" w:ascii="仿宋_GB2312" w:hAnsi="仿宋_GB2312" w:eastAsia="仿宋_GB2312" w:cs="仿宋_GB2312"/>
          <w:sz w:val="32"/>
          <w:szCs w:val="32"/>
          <w:lang w:val="zh-CN"/>
        </w:rPr>
        <w:t>结合项目自身特点、评价重点及管理办法等要求，围绕专项项目支出绩效评价指标体系对项目进行总体评价。</w:t>
      </w:r>
    </w:p>
    <w:p w14:paraId="52840220">
      <w:pPr>
        <w:numPr>
          <w:ilvl w:val="0"/>
          <w:numId w:val="0"/>
        </w:numPr>
        <w:adjustRightInd w:val="0"/>
        <w:snapToGrid w:val="0"/>
        <w:spacing w:line="600" w:lineRule="exact"/>
        <w:ind w:firstLine="720" w:firstLineChars="0"/>
        <w:rPr>
          <w:rFonts w:hint="eastAsia" w:ascii="仿宋_GB2312" w:hAnsi="仿宋_GB2312" w:eastAsia="仿宋_GB2312" w:cs="仿宋_GB2312"/>
          <w:b/>
          <w:sz w:val="32"/>
          <w:szCs w:val="32"/>
          <w:lang w:val="zh-CN"/>
        </w:rPr>
      </w:pPr>
      <w:r>
        <w:rPr>
          <w:rFonts w:hint="eastAsia" w:ascii="仿宋_GB2312" w:hAnsi="仿宋_GB2312" w:eastAsia="仿宋_GB2312" w:cs="仿宋_GB2312"/>
          <w:b/>
          <w:kern w:val="2"/>
          <w:sz w:val="32"/>
          <w:szCs w:val="32"/>
          <w:lang w:val="zh-CN" w:eastAsia="zh-CN" w:bidi="ar-SA"/>
        </w:rPr>
        <w:t>（二）</w:t>
      </w:r>
      <w:r>
        <w:rPr>
          <w:rFonts w:hint="eastAsia" w:ascii="仿宋_GB2312" w:hAnsi="仿宋_GB2312" w:eastAsia="仿宋_GB2312" w:cs="仿宋_GB2312"/>
          <w:b/>
          <w:sz w:val="32"/>
          <w:szCs w:val="32"/>
          <w:lang w:val="zh-CN"/>
        </w:rPr>
        <w:t>存在的问题</w:t>
      </w:r>
    </w:p>
    <w:p w14:paraId="6071E307">
      <w:pPr>
        <w:numPr>
          <w:ilvl w:val="0"/>
          <w:numId w:val="0"/>
        </w:numPr>
        <w:adjustRightInd w:val="0"/>
        <w:snapToGrid w:val="0"/>
        <w:spacing w:line="60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lang w:val="en-US" w:eastAsia="zh-CN"/>
        </w:rPr>
        <w:t>无</w:t>
      </w:r>
    </w:p>
    <w:p w14:paraId="7CAAEF88">
      <w:pPr>
        <w:numPr>
          <w:ilvl w:val="0"/>
          <w:numId w:val="0"/>
        </w:numPr>
        <w:tabs>
          <w:tab w:val="left" w:pos="1101"/>
        </w:tabs>
        <w:adjustRightInd w:val="0"/>
        <w:snapToGrid w:val="0"/>
        <w:spacing w:line="560"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（三）</w:t>
      </w:r>
      <w:r>
        <w:rPr>
          <w:rFonts w:hint="eastAsia" w:ascii="仿宋_GB2312" w:hAnsi="仿宋_GB2312" w:eastAsia="仿宋_GB2312" w:cs="仿宋_GB2312"/>
          <w:b/>
          <w:sz w:val="32"/>
          <w:szCs w:val="32"/>
          <w:lang w:val="zh-CN"/>
        </w:rPr>
        <w:t>相关建议</w:t>
      </w:r>
    </w:p>
    <w:p w14:paraId="5A527715">
      <w:pPr>
        <w:numPr>
          <w:ilvl w:val="0"/>
          <w:numId w:val="0"/>
        </w:numPr>
        <w:tabs>
          <w:tab w:val="left" w:pos="1101"/>
        </w:tabs>
        <w:adjustRightInd w:val="0"/>
        <w:snapToGrid w:val="0"/>
        <w:spacing w:line="560" w:lineRule="exact"/>
        <w:ind w:left="0" w:leftChars="0"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8725ADE">
      <w:pPr>
        <w:widowControl/>
        <w:jc w:val="both"/>
        <w:rPr>
          <w:rFonts w:hint="eastAsia" w:eastAsia="黑体"/>
          <w:sz w:val="44"/>
          <w:szCs w:val="44"/>
        </w:rPr>
      </w:pPr>
    </w:p>
    <w:p w14:paraId="28AAB5DB">
      <w:pPr>
        <w:widowControl/>
        <w:jc w:val="center"/>
        <w:rPr>
          <w:rFonts w:hint="eastAsia" w:eastAsia="黑体"/>
          <w:sz w:val="44"/>
          <w:szCs w:val="44"/>
        </w:rPr>
      </w:pPr>
    </w:p>
    <w:p w14:paraId="4E59319A">
      <w:pPr>
        <w:widowControl/>
        <w:jc w:val="center"/>
        <w:rPr>
          <w:rFonts w:hint="eastAsia" w:eastAsia="黑体"/>
          <w:sz w:val="44"/>
          <w:szCs w:val="44"/>
        </w:rPr>
      </w:pPr>
    </w:p>
    <w:p w14:paraId="4E7F768B">
      <w:pPr>
        <w:pStyle w:val="5"/>
        <w:spacing w:before="93"/>
        <w:rPr>
          <w:rFonts w:hint="eastAsia" w:ascii="Times New Roman" w:eastAsia="黑体" w:cs="黑体"/>
          <w:sz w:val="32"/>
          <w:szCs w:val="32"/>
          <w:lang w:eastAsia="zh-CN"/>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lang w:val="en-US" w:eastAsia="zh-CN"/>
        </w:rPr>
        <w:t>6</w:t>
      </w:r>
    </w:p>
    <w:p w14:paraId="3AEBBA0D">
      <w:pPr>
        <w:tabs>
          <w:tab w:val="left" w:pos="1440"/>
        </w:tabs>
        <w:spacing w:line="560" w:lineRule="exact"/>
        <w:rPr>
          <w:rFonts w:ascii="宋体" w:hAnsi="宋体" w:eastAsia="宋体"/>
          <w:sz w:val="30"/>
          <w:szCs w:val="30"/>
        </w:rPr>
      </w:pPr>
    </w:p>
    <w:p w14:paraId="79D01F58">
      <w:pPr>
        <w:pStyle w:val="35"/>
        <w:spacing w:line="578" w:lineRule="exact"/>
        <w:ind w:firstLine="0" w:firstLineChars="0"/>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eastAsia="zh-CN"/>
        </w:rPr>
        <w:t>撤并建制村畅通工程及30户以上自然村组通硬化路</w:t>
      </w:r>
      <w:r>
        <w:rPr>
          <w:rFonts w:hint="eastAsia" w:ascii="Times New Roman" w:hAnsi="Times New Roman" w:eastAsia="方正小标宋简体" w:cs="方正小标宋简体"/>
          <w:color w:val="auto"/>
          <w:kern w:val="2"/>
          <w:sz w:val="44"/>
          <w:szCs w:val="44"/>
          <w:lang w:val="en-US"/>
        </w:rPr>
        <w:t>项目支出绩效自评报告</w:t>
      </w:r>
    </w:p>
    <w:p w14:paraId="276A01E6">
      <w:pPr>
        <w:pStyle w:val="35"/>
        <w:spacing w:line="560" w:lineRule="exact"/>
        <w:ind w:firstLine="640"/>
        <w:jc w:val="center"/>
        <w:rPr>
          <w:rFonts w:ascii="宋体" w:hAnsi="宋体"/>
          <w:color w:val="auto"/>
          <w:kern w:val="2"/>
          <w:sz w:val="32"/>
          <w:szCs w:val="32"/>
        </w:rPr>
      </w:pPr>
    </w:p>
    <w:p w14:paraId="67E640F4">
      <w:pPr>
        <w:adjustRightInd w:val="0"/>
        <w:snapToGrid w:val="0"/>
        <w:spacing w:line="600" w:lineRule="exact"/>
        <w:ind w:firstLine="720" w:firstLineChars="0"/>
        <w:jc w:val="both"/>
        <w:rPr>
          <w:rFonts w:hint="eastAsia" w:ascii="黑体" w:hAnsi="黑体" w:eastAsia="黑体" w:cs="黑体"/>
          <w:kern w:val="2"/>
          <w:sz w:val="32"/>
          <w:szCs w:val="32"/>
          <w:lang w:val="zh-CN"/>
        </w:rPr>
      </w:pPr>
      <w:r>
        <w:rPr>
          <w:rFonts w:hint="eastAsia" w:ascii="黑体" w:hAnsi="黑体" w:eastAsia="黑体" w:cs="黑体"/>
          <w:kern w:val="2"/>
          <w:sz w:val="32"/>
          <w:szCs w:val="32"/>
        </w:rPr>
        <w:t>一、</w:t>
      </w:r>
      <w:r>
        <w:rPr>
          <w:rFonts w:hint="eastAsia" w:ascii="黑体" w:hAnsi="黑体" w:eastAsia="黑体" w:cs="黑体"/>
          <w:kern w:val="2"/>
          <w:sz w:val="32"/>
          <w:szCs w:val="32"/>
          <w:lang w:val="zh-CN"/>
        </w:rPr>
        <w:t>项目概况</w:t>
      </w:r>
    </w:p>
    <w:p w14:paraId="2BF5FDC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kern w:val="0"/>
          <w:sz w:val="32"/>
          <w:szCs w:val="32"/>
          <w:lang w:val="zh-CN"/>
        </w:rPr>
      </w:pPr>
      <w:r>
        <w:rPr>
          <w:rFonts w:hint="eastAsia" w:ascii="方正仿宋_GBK" w:hAnsi="方正仿宋_GBK" w:eastAsia="方正仿宋_GBK" w:cs="方正仿宋_GBK"/>
          <w:kern w:val="0"/>
          <w:sz w:val="32"/>
          <w:szCs w:val="32"/>
          <w:lang w:val="zh-CN"/>
        </w:rPr>
        <w:t>介绍项目基本情况，重点说明以下内容：</w:t>
      </w:r>
    </w:p>
    <w:p w14:paraId="43311BE9">
      <w:pPr>
        <w:adjustRightInd w:val="0"/>
        <w:snapToGrid w:val="0"/>
        <w:spacing w:line="560" w:lineRule="exact"/>
        <w:ind w:firstLine="720"/>
        <w:rPr>
          <w:rFonts w:hint="eastAsia" w:ascii="仿宋_GB2312" w:hAnsi="仿宋_GB2312" w:cs="仿宋_GB2312"/>
          <w:b/>
          <w:kern w:val="2"/>
          <w:sz w:val="32"/>
          <w:szCs w:val="32"/>
          <w:lang w:val="zh-CN" w:eastAsia="zh-CN"/>
        </w:rPr>
      </w:pPr>
      <w:r>
        <w:rPr>
          <w:rFonts w:hint="eastAsia" w:ascii="仿宋_GB2312" w:hAnsi="仿宋_GB2312" w:cs="仿宋_GB2312"/>
          <w:b/>
          <w:kern w:val="2"/>
          <w:sz w:val="32"/>
          <w:szCs w:val="32"/>
          <w:lang w:val="zh-CN" w:eastAsia="zh-CN"/>
        </w:rPr>
        <w:t>（</w:t>
      </w:r>
      <w:r>
        <w:rPr>
          <w:rFonts w:hint="eastAsia" w:ascii="仿宋_GB2312" w:hAnsi="仿宋_GB2312" w:cs="仿宋_GB2312"/>
          <w:b/>
          <w:kern w:val="2"/>
          <w:sz w:val="32"/>
          <w:szCs w:val="32"/>
          <w:lang w:val="en-US" w:eastAsia="zh-CN"/>
        </w:rPr>
        <w:t>一</w:t>
      </w:r>
      <w:r>
        <w:rPr>
          <w:rFonts w:hint="eastAsia" w:ascii="仿宋_GB2312" w:hAnsi="仿宋_GB2312" w:cs="仿宋_GB2312"/>
          <w:b/>
          <w:kern w:val="2"/>
          <w:sz w:val="32"/>
          <w:szCs w:val="32"/>
          <w:lang w:val="zh-CN" w:eastAsia="zh-CN"/>
        </w:rPr>
        <w:t>）项目资金申报及批复情况</w:t>
      </w:r>
    </w:p>
    <w:p w14:paraId="7CE96B04">
      <w:pPr>
        <w:adjustRightInd w:val="0"/>
        <w:snapToGrid w:val="0"/>
        <w:spacing w:line="600" w:lineRule="exact"/>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项目资金来源为年初财政预算项目：撤并建制村畅通工程及30户以上自然村组通硬化路（民生工程）</w:t>
      </w:r>
    </w:p>
    <w:p w14:paraId="50B745AD">
      <w:pPr>
        <w:adjustRightInd w:val="0"/>
        <w:snapToGrid w:val="0"/>
        <w:spacing w:line="560" w:lineRule="exact"/>
        <w:ind w:firstLine="720"/>
        <w:rPr>
          <w:rFonts w:hint="eastAsia" w:ascii="仿宋_GB2312" w:hAnsi="仿宋_GB2312" w:cs="仿宋_GB2312"/>
          <w:b/>
          <w:kern w:val="2"/>
          <w:sz w:val="32"/>
          <w:szCs w:val="32"/>
          <w:lang w:val="zh-CN" w:eastAsia="zh-CN"/>
        </w:rPr>
      </w:pPr>
      <w:r>
        <w:rPr>
          <w:rFonts w:hint="eastAsia" w:ascii="仿宋_GB2312" w:hAnsi="仿宋_GB2312" w:cs="仿宋_GB2312"/>
          <w:b/>
          <w:kern w:val="2"/>
          <w:sz w:val="32"/>
          <w:szCs w:val="32"/>
          <w:lang w:val="zh-CN" w:eastAsia="zh-CN"/>
        </w:rPr>
        <w:t>（</w:t>
      </w:r>
      <w:r>
        <w:rPr>
          <w:rFonts w:hint="eastAsia" w:ascii="仿宋_GB2312" w:hAnsi="仿宋_GB2312" w:cs="仿宋_GB2312"/>
          <w:b/>
          <w:kern w:val="2"/>
          <w:sz w:val="32"/>
          <w:szCs w:val="32"/>
          <w:lang w:val="en-US" w:eastAsia="zh-CN"/>
        </w:rPr>
        <w:t>二</w:t>
      </w:r>
      <w:r>
        <w:rPr>
          <w:rFonts w:hint="eastAsia" w:ascii="仿宋_GB2312" w:hAnsi="仿宋_GB2312" w:cs="仿宋_GB2312"/>
          <w:b/>
          <w:kern w:val="2"/>
          <w:sz w:val="32"/>
          <w:szCs w:val="32"/>
          <w:lang w:val="zh-CN" w:eastAsia="zh-CN"/>
        </w:rPr>
        <w:t>）项目绩效目标</w:t>
      </w:r>
    </w:p>
    <w:p w14:paraId="47050ED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以解决群众办事出行最急迫需求为目标，</w:t>
      </w:r>
      <w:r>
        <w:rPr>
          <w:rFonts w:hint="default" w:ascii="Times New Roman" w:hAnsi="Times New Roman" w:eastAsia="方正仿宋_GBK" w:cs="Times New Roman"/>
          <w:kern w:val="0"/>
          <w:sz w:val="32"/>
          <w:szCs w:val="32"/>
          <w:lang w:val="en-US" w:eastAsia="zh-CN"/>
        </w:rPr>
        <w:t>2023年度</w:t>
      </w:r>
      <w:r>
        <w:rPr>
          <w:rFonts w:hint="default" w:ascii="Times New Roman" w:hAnsi="Times New Roman" w:eastAsia="方正仿宋_GBK" w:cs="Times New Roman"/>
          <w:kern w:val="0"/>
          <w:sz w:val="32"/>
          <w:szCs w:val="32"/>
          <w:lang w:val="zh-CN" w:eastAsia="zh-CN"/>
        </w:rPr>
        <w:t>实施直连道路新建工程，解决撤并建制村与新村委会缺乏直连道路、绕行严重的突出问题；2022—2025年，以撤并建制村与新村委会直连道路全面提升为目标，实施直连道路提升改造和硬化工程共计</w:t>
      </w:r>
      <w:r>
        <w:rPr>
          <w:rFonts w:hint="default" w:ascii="Times New Roman" w:hAnsi="Times New Roman" w:eastAsia="方正仿宋_GBK" w:cs="Times New Roman"/>
          <w:kern w:val="0"/>
          <w:sz w:val="32"/>
          <w:szCs w:val="32"/>
          <w:lang w:val="en-US" w:eastAsia="zh-CN"/>
        </w:rPr>
        <w:t>87.3公里</w:t>
      </w:r>
      <w:r>
        <w:rPr>
          <w:rFonts w:hint="default" w:ascii="Times New Roman" w:hAnsi="Times New Roman" w:eastAsia="方正仿宋_GBK" w:cs="Times New Roman"/>
          <w:kern w:val="0"/>
          <w:sz w:val="32"/>
          <w:szCs w:val="32"/>
          <w:lang w:val="zh-CN" w:eastAsia="zh-CN"/>
        </w:rPr>
        <w:t>，使直连道路实现硬化或油化，路面宽度达到4.5米及以上。</w:t>
      </w:r>
    </w:p>
    <w:p w14:paraId="605BC06C">
      <w:pPr>
        <w:adjustRightInd w:val="0"/>
        <w:snapToGrid w:val="0"/>
        <w:spacing w:line="560" w:lineRule="exact"/>
        <w:ind w:firstLine="720"/>
        <w:rPr>
          <w:rFonts w:hint="eastAsia" w:ascii="仿宋_GB2312" w:hAnsi="仿宋_GB2312" w:eastAsia="仿宋_GB2312" w:cs="仿宋_GB2312"/>
          <w:b/>
          <w:kern w:val="2"/>
          <w:sz w:val="32"/>
          <w:szCs w:val="32"/>
          <w:lang w:val="zh-CN" w:eastAsia="zh-CN"/>
        </w:rPr>
      </w:pPr>
      <w:r>
        <w:rPr>
          <w:rFonts w:hint="eastAsia" w:ascii="仿宋_GB2312" w:hAnsi="仿宋_GB2312" w:cs="仿宋_GB2312"/>
          <w:b/>
          <w:kern w:val="2"/>
          <w:sz w:val="32"/>
          <w:szCs w:val="32"/>
          <w:lang w:val="zh-CN" w:eastAsia="zh-CN"/>
        </w:rPr>
        <w:t>（</w:t>
      </w:r>
      <w:r>
        <w:rPr>
          <w:rFonts w:hint="eastAsia" w:ascii="仿宋_GB2312" w:hAnsi="仿宋_GB2312" w:cs="仿宋_GB2312"/>
          <w:b/>
          <w:kern w:val="2"/>
          <w:sz w:val="32"/>
          <w:szCs w:val="32"/>
          <w:lang w:val="en-US" w:eastAsia="zh-CN"/>
        </w:rPr>
        <w:t>三</w:t>
      </w:r>
      <w:r>
        <w:rPr>
          <w:rFonts w:hint="eastAsia" w:ascii="仿宋_GB2312" w:hAnsi="仿宋_GB2312" w:cs="仿宋_GB2312"/>
          <w:b/>
          <w:kern w:val="2"/>
          <w:sz w:val="32"/>
          <w:szCs w:val="32"/>
          <w:lang w:val="zh-CN" w:eastAsia="zh-CN"/>
        </w:rPr>
        <w:t>）</w:t>
      </w:r>
      <w:r>
        <w:rPr>
          <w:rFonts w:hint="eastAsia" w:ascii="仿宋_GB2312" w:hAnsi="仿宋_GB2312" w:eastAsia="仿宋_GB2312" w:cs="仿宋_GB2312"/>
          <w:b/>
          <w:kern w:val="2"/>
          <w:sz w:val="32"/>
          <w:szCs w:val="32"/>
          <w:lang w:val="zh-CN" w:eastAsia="zh-CN"/>
        </w:rPr>
        <w:t>项目资金申报相符性</w:t>
      </w:r>
    </w:p>
    <w:p w14:paraId="044D8E6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项目申报内容与具体撤并建制村畅通工程及</w:t>
      </w:r>
      <w:r>
        <w:rPr>
          <w:rFonts w:hint="default" w:ascii="Times New Roman" w:hAnsi="Times New Roman" w:eastAsia="方正仿宋_GBK" w:cs="Times New Roman"/>
          <w:kern w:val="0"/>
          <w:sz w:val="32"/>
          <w:szCs w:val="32"/>
          <w:lang w:val="en-US" w:eastAsia="zh-CN"/>
        </w:rPr>
        <w:t>30户以上自然村组通硬化路</w:t>
      </w:r>
      <w:r>
        <w:rPr>
          <w:rFonts w:hint="default" w:ascii="Times New Roman" w:hAnsi="Times New Roman" w:eastAsia="方正仿宋_GBK" w:cs="Times New Roman"/>
          <w:kern w:val="0"/>
          <w:sz w:val="32"/>
          <w:szCs w:val="32"/>
          <w:lang w:val="zh-CN" w:eastAsia="zh-CN"/>
        </w:rPr>
        <w:t>实施内容相符、申报目标合理可行。</w:t>
      </w:r>
    </w:p>
    <w:p w14:paraId="095E2AF4">
      <w:pPr>
        <w:adjustRightInd w:val="0"/>
        <w:snapToGrid w:val="0"/>
        <w:spacing w:line="600" w:lineRule="exact"/>
        <w:ind w:firstLine="720" w:firstLineChars="0"/>
        <w:jc w:val="both"/>
        <w:rPr>
          <w:rFonts w:hint="eastAsia" w:ascii="黑体" w:hAnsi="黑体" w:eastAsia="黑体" w:cs="黑体"/>
          <w:kern w:val="2"/>
          <w:sz w:val="32"/>
          <w:szCs w:val="32"/>
        </w:rPr>
      </w:pPr>
      <w:r>
        <w:rPr>
          <w:rFonts w:hint="eastAsia" w:ascii="黑体" w:hAnsi="黑体" w:eastAsia="黑体" w:cs="黑体"/>
          <w:kern w:val="2"/>
          <w:sz w:val="32"/>
          <w:szCs w:val="32"/>
        </w:rPr>
        <w:t>二、项目实施及管理情况</w:t>
      </w:r>
    </w:p>
    <w:p w14:paraId="3D606916">
      <w:pPr>
        <w:adjustRightInd w:val="0"/>
        <w:snapToGrid w:val="0"/>
        <w:spacing w:line="560" w:lineRule="exact"/>
        <w:ind w:firstLine="720"/>
        <w:rPr>
          <w:rFonts w:ascii="楷体" w:hAnsi="楷体" w:eastAsia="楷体"/>
          <w:lang w:val="zh-CN"/>
        </w:rPr>
      </w:pPr>
      <w:r>
        <w:rPr>
          <w:rFonts w:hint="eastAsia" w:ascii="仿宋_GB2312" w:hAnsi="仿宋_GB2312" w:eastAsia="仿宋_GB2312" w:cs="仿宋_GB2312"/>
          <w:b/>
          <w:kern w:val="2"/>
          <w:sz w:val="32"/>
          <w:szCs w:val="32"/>
          <w:lang w:val="zh-CN" w:eastAsia="zh-CN"/>
        </w:rPr>
        <w:tab/>
      </w:r>
      <w:r>
        <w:rPr>
          <w:rFonts w:hint="eastAsia" w:ascii="仿宋_GB2312" w:hAnsi="仿宋_GB2312" w:eastAsia="仿宋_GB2312" w:cs="仿宋_GB2312"/>
          <w:b/>
          <w:kern w:val="2"/>
          <w:sz w:val="32"/>
          <w:szCs w:val="32"/>
          <w:lang w:val="zh-CN" w:eastAsia="zh-CN"/>
        </w:rPr>
        <w:t>（一）资金计划、到位及使用情况</w:t>
      </w:r>
      <w:r>
        <w:rPr>
          <w:rFonts w:hint="eastAsia" w:ascii="楷体" w:hAnsi="楷体" w:eastAsia="楷体"/>
          <w:lang w:val="zh-CN"/>
        </w:rPr>
        <w:t>。</w:t>
      </w:r>
    </w:p>
    <w:p w14:paraId="6CAC5105">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1.资金计划及到位。该项目为年初县本级财政资金计划，截至</w:t>
      </w:r>
      <w:r>
        <w:rPr>
          <w:rFonts w:hint="default" w:ascii="Times New Roman" w:hAnsi="Times New Roman" w:eastAsia="方正仿宋_GBK" w:cs="Times New Roman"/>
          <w:kern w:val="0"/>
          <w:sz w:val="32"/>
          <w:szCs w:val="32"/>
          <w:lang w:val="en-US" w:eastAsia="zh-CN"/>
        </w:rPr>
        <w:t>2023年12月底资金</w:t>
      </w:r>
      <w:r>
        <w:rPr>
          <w:rFonts w:hint="default" w:ascii="Times New Roman" w:hAnsi="Times New Roman" w:eastAsia="方正仿宋_GBK" w:cs="Times New Roman"/>
          <w:kern w:val="0"/>
          <w:sz w:val="32"/>
          <w:szCs w:val="32"/>
          <w:lang w:val="zh-CN" w:eastAsia="zh-CN"/>
        </w:rPr>
        <w:t>实际到位</w:t>
      </w:r>
      <w:r>
        <w:rPr>
          <w:rFonts w:hint="default" w:ascii="Times New Roman" w:hAnsi="Times New Roman" w:eastAsia="方正仿宋_GBK" w:cs="Times New Roman"/>
          <w:kern w:val="0"/>
          <w:sz w:val="32"/>
          <w:szCs w:val="32"/>
          <w:lang w:val="en-US" w:eastAsia="zh-CN"/>
        </w:rPr>
        <w:t>500万元。资金性质为撤并建制村畅通工程项目地方配套资金，资金到位率100%</w:t>
      </w:r>
      <w:r>
        <w:rPr>
          <w:rFonts w:hint="default" w:ascii="Times New Roman" w:hAnsi="Times New Roman" w:eastAsia="方正仿宋_GBK" w:cs="Times New Roman"/>
          <w:kern w:val="0"/>
          <w:sz w:val="32"/>
          <w:szCs w:val="32"/>
          <w:lang w:val="zh-CN" w:eastAsia="zh-CN"/>
        </w:rPr>
        <w:t>。</w:t>
      </w:r>
    </w:p>
    <w:p w14:paraId="5B164EA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2.资金使用。截至</w:t>
      </w:r>
      <w:r>
        <w:rPr>
          <w:rFonts w:hint="default" w:ascii="Times New Roman" w:hAnsi="Times New Roman" w:eastAsia="方正仿宋_GBK" w:cs="Times New Roman"/>
          <w:kern w:val="0"/>
          <w:sz w:val="32"/>
          <w:szCs w:val="32"/>
          <w:lang w:val="en-US" w:eastAsia="zh-CN"/>
        </w:rPr>
        <w:t>2023年12月31日</w:t>
      </w:r>
      <w:r>
        <w:rPr>
          <w:rFonts w:hint="default" w:ascii="Times New Roman" w:hAnsi="Times New Roman" w:eastAsia="方正仿宋_GBK" w:cs="Times New Roman"/>
          <w:kern w:val="0"/>
          <w:sz w:val="32"/>
          <w:szCs w:val="32"/>
          <w:lang w:val="zh-CN" w:eastAsia="zh-CN"/>
        </w:rPr>
        <w:t>项目资金实际支出</w:t>
      </w:r>
      <w:r>
        <w:rPr>
          <w:rFonts w:hint="default" w:ascii="Times New Roman" w:hAnsi="Times New Roman" w:eastAsia="方正仿宋_GBK" w:cs="Times New Roman"/>
          <w:kern w:val="0"/>
          <w:sz w:val="32"/>
          <w:szCs w:val="32"/>
          <w:lang w:val="en-US" w:eastAsia="zh-CN"/>
        </w:rPr>
        <w:t>460万元</w:t>
      </w:r>
      <w:r>
        <w:rPr>
          <w:rFonts w:hint="default" w:ascii="Times New Roman" w:hAnsi="Times New Roman" w:eastAsia="方正仿宋_GBK" w:cs="Times New Roman"/>
          <w:kern w:val="0"/>
          <w:sz w:val="32"/>
          <w:szCs w:val="32"/>
          <w:lang w:val="zh-CN" w:eastAsia="zh-CN"/>
        </w:rPr>
        <w:t>，资金开支范围为县域内</w:t>
      </w:r>
      <w:r>
        <w:rPr>
          <w:rFonts w:hint="default" w:ascii="Times New Roman" w:hAnsi="Times New Roman" w:eastAsia="方正仿宋_GBK" w:cs="Times New Roman"/>
          <w:kern w:val="0"/>
          <w:sz w:val="32"/>
          <w:szCs w:val="32"/>
          <w:lang w:val="en-US" w:eastAsia="zh-CN"/>
        </w:rPr>
        <w:t>11个乡镇撤并建制村建设计划进度资金</w:t>
      </w:r>
      <w:r>
        <w:rPr>
          <w:rFonts w:hint="default" w:ascii="Times New Roman" w:hAnsi="Times New Roman" w:eastAsia="方正仿宋_GBK" w:cs="Times New Roman"/>
          <w:kern w:val="0"/>
          <w:sz w:val="32"/>
          <w:szCs w:val="32"/>
          <w:lang w:val="zh-CN" w:eastAsia="zh-CN"/>
        </w:rPr>
        <w:t>、支付标准按</w:t>
      </w:r>
      <w:r>
        <w:rPr>
          <w:rFonts w:hint="default" w:ascii="Times New Roman" w:hAnsi="Times New Roman" w:eastAsia="方正仿宋_GBK" w:cs="Times New Roman"/>
          <w:kern w:val="0"/>
          <w:sz w:val="32"/>
          <w:szCs w:val="32"/>
          <w:lang w:val="en-US" w:eastAsia="zh-CN"/>
        </w:rPr>
        <w:t>30万元/公里计算，</w:t>
      </w:r>
      <w:r>
        <w:rPr>
          <w:rFonts w:hint="default" w:ascii="Times New Roman" w:hAnsi="Times New Roman" w:eastAsia="方正仿宋_GBK" w:cs="Times New Roman"/>
          <w:kern w:val="0"/>
          <w:sz w:val="32"/>
          <w:szCs w:val="32"/>
          <w:lang w:val="zh-CN" w:eastAsia="zh-CN"/>
        </w:rPr>
        <w:t>支付进度以各乡镇建设任务及实际工程进度为依据进行支付，支付依据合规合法，资金支付与预算相符。</w:t>
      </w:r>
    </w:p>
    <w:p w14:paraId="68782243">
      <w:pPr>
        <w:adjustRightInd w:val="0"/>
        <w:snapToGrid w:val="0"/>
        <w:spacing w:line="560" w:lineRule="exact"/>
        <w:ind w:firstLine="720"/>
        <w:rPr>
          <w:rFonts w:hint="eastAsia" w:ascii="仿宋_GB2312" w:hAnsi="仿宋_GB2312" w:eastAsia="仿宋_GB2312" w:cs="仿宋_GB2312"/>
          <w:b/>
          <w:kern w:val="2"/>
          <w:sz w:val="32"/>
          <w:szCs w:val="32"/>
          <w:lang w:val="zh-CN" w:eastAsia="zh-CN"/>
        </w:rPr>
      </w:pPr>
      <w:r>
        <w:rPr>
          <w:rFonts w:hint="eastAsia" w:ascii="仿宋_GB2312" w:hAnsi="仿宋_GB2312" w:eastAsia="仿宋_GB2312" w:cs="仿宋_GB2312"/>
          <w:b/>
          <w:kern w:val="2"/>
          <w:sz w:val="32"/>
          <w:szCs w:val="32"/>
          <w:lang w:val="zh-CN" w:eastAsia="zh-CN"/>
        </w:rPr>
        <w:t>（二）项目财务管理情况</w:t>
      </w:r>
    </w:p>
    <w:p w14:paraId="4E20A0B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资金严格按照资金使用有关规定，严格执行县级报账制，专账核算、公告公示等制度，同时严格资金拨付手续，账务处理及时，会计核算规范，确保资金安全有效，提高资金使用效益。</w:t>
      </w:r>
    </w:p>
    <w:p w14:paraId="1B206E49">
      <w:pPr>
        <w:adjustRightInd w:val="0"/>
        <w:snapToGrid w:val="0"/>
        <w:spacing w:line="560" w:lineRule="exact"/>
        <w:ind w:firstLine="720"/>
        <w:rPr>
          <w:rFonts w:ascii="楷体" w:hAnsi="楷体" w:eastAsia="楷体"/>
          <w:lang w:val="zh-CN"/>
        </w:rPr>
      </w:pPr>
      <w:r>
        <w:rPr>
          <w:rFonts w:hint="eastAsia" w:ascii="仿宋_GB2312" w:hAnsi="仿宋_GB2312" w:eastAsia="仿宋_GB2312" w:cs="仿宋_GB2312"/>
          <w:b/>
          <w:kern w:val="2"/>
          <w:sz w:val="32"/>
          <w:szCs w:val="32"/>
          <w:lang w:val="zh-CN" w:eastAsia="zh-CN"/>
        </w:rPr>
        <w:t>（三）项目组织实施情况</w:t>
      </w:r>
    </w:p>
    <w:p w14:paraId="411DE56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项目业主为各乡镇，项目计划由县交通局统一下达后，业主单位严格按照七公开要求执行，项目由县交通运输局负责业务指导和监督。</w:t>
      </w:r>
    </w:p>
    <w:p w14:paraId="4A7EC631">
      <w:pPr>
        <w:adjustRightInd w:val="0"/>
        <w:snapToGrid w:val="0"/>
        <w:spacing w:line="600" w:lineRule="exact"/>
        <w:ind w:firstLine="720" w:firstLineChars="0"/>
        <w:jc w:val="both"/>
        <w:rPr>
          <w:rFonts w:hint="eastAsia" w:ascii="黑体" w:hAnsi="黑体" w:eastAsia="黑体" w:cs="黑体"/>
          <w:kern w:val="2"/>
          <w:sz w:val="32"/>
          <w:szCs w:val="32"/>
          <w:lang w:val="zh-CN"/>
        </w:rPr>
      </w:pPr>
      <w:r>
        <w:rPr>
          <w:rFonts w:hint="eastAsia" w:ascii="黑体" w:hAnsi="黑体" w:eastAsia="黑体" w:cs="黑体"/>
          <w:kern w:val="2"/>
          <w:sz w:val="32"/>
          <w:szCs w:val="32"/>
        </w:rPr>
        <w:t>三、项目绩效情况</w:t>
      </w:r>
      <w:r>
        <w:rPr>
          <w:rFonts w:hint="eastAsia" w:ascii="黑体" w:hAnsi="黑体" w:eastAsia="黑体" w:cs="黑体"/>
          <w:kern w:val="2"/>
          <w:sz w:val="32"/>
          <w:szCs w:val="32"/>
          <w:lang w:val="zh-CN"/>
        </w:rPr>
        <w:tab/>
      </w:r>
    </w:p>
    <w:p w14:paraId="0902B3E9">
      <w:pPr>
        <w:ind w:firstLine="643" w:firstLineChars="200"/>
        <w:jc w:val="both"/>
        <w:rPr>
          <w:rFonts w:hint="eastAsia" w:ascii="仿宋_GB2312" w:hAnsi="仿宋_GB2312" w:eastAsia="仿宋_GB2312" w:cs="仿宋_GB2312"/>
          <w:b/>
          <w:kern w:val="2"/>
          <w:sz w:val="32"/>
          <w:szCs w:val="32"/>
          <w:lang w:val="zh-CN" w:eastAsia="zh-CN"/>
        </w:rPr>
      </w:pPr>
      <w:r>
        <w:rPr>
          <w:rFonts w:hint="eastAsia" w:ascii="仿宋_GB2312" w:hAnsi="仿宋_GB2312" w:eastAsia="仿宋_GB2312" w:cs="仿宋_GB2312"/>
          <w:b/>
          <w:kern w:val="2"/>
          <w:sz w:val="32"/>
          <w:szCs w:val="32"/>
          <w:lang w:val="zh-CN" w:eastAsia="zh-CN"/>
        </w:rPr>
        <w:t>（一）项目完成情况</w:t>
      </w:r>
    </w:p>
    <w:p w14:paraId="4914E6A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color w:val="auto"/>
          <w:kern w:val="2"/>
          <w:sz w:val="32"/>
          <w:szCs w:val="32"/>
          <w:lang w:val="zh-CN" w:eastAsia="zh-CN" w:bidi="ar-SA"/>
        </w:rPr>
      </w:pPr>
      <w:r>
        <w:rPr>
          <w:rFonts w:hint="default" w:ascii="Times New Roman" w:hAnsi="Times New Roman" w:eastAsia="方正仿宋_GBK" w:cs="Times New Roman"/>
          <w:kern w:val="0"/>
          <w:sz w:val="32"/>
          <w:szCs w:val="32"/>
          <w:lang w:val="en-US" w:eastAsia="zh-CN"/>
        </w:rPr>
        <w:t>撤并建制村畅通工程及30户以上自然村组通硬化路 2023年度建设任务已完成。</w:t>
      </w:r>
    </w:p>
    <w:p w14:paraId="6856559E">
      <w:pPr>
        <w:ind w:firstLine="643" w:firstLineChars="200"/>
        <w:jc w:val="both"/>
        <w:rPr>
          <w:rFonts w:hint="eastAsia" w:ascii="仿宋_GB2312" w:hAnsi="仿宋_GB2312" w:eastAsia="仿宋_GB2312" w:cs="仿宋_GB2312"/>
          <w:b/>
          <w:kern w:val="2"/>
          <w:sz w:val="32"/>
          <w:szCs w:val="32"/>
          <w:lang w:val="zh-CN" w:eastAsia="zh-CN"/>
        </w:rPr>
      </w:pPr>
      <w:r>
        <w:rPr>
          <w:rFonts w:hint="eastAsia" w:ascii="仿宋_GB2312" w:hAnsi="仿宋_GB2312" w:eastAsia="仿宋_GB2312" w:cs="仿宋_GB2312"/>
          <w:b/>
          <w:kern w:val="2"/>
          <w:sz w:val="32"/>
          <w:szCs w:val="32"/>
          <w:lang w:val="zh-CN" w:eastAsia="zh-CN"/>
        </w:rPr>
        <w:t>（</w:t>
      </w:r>
      <w:r>
        <w:rPr>
          <w:rFonts w:hint="eastAsia" w:ascii="仿宋_GB2312" w:hAnsi="仿宋_GB2312" w:eastAsia="仿宋_GB2312" w:cs="仿宋_GB2312"/>
          <w:b/>
          <w:kern w:val="2"/>
          <w:sz w:val="32"/>
          <w:szCs w:val="32"/>
          <w:lang w:val="en-US" w:eastAsia="zh-CN"/>
        </w:rPr>
        <w:t>二</w:t>
      </w:r>
      <w:r>
        <w:rPr>
          <w:rFonts w:hint="eastAsia" w:ascii="仿宋_GB2312" w:hAnsi="仿宋_GB2312" w:eastAsia="仿宋_GB2312" w:cs="仿宋_GB2312"/>
          <w:b/>
          <w:kern w:val="2"/>
          <w:sz w:val="32"/>
          <w:szCs w:val="32"/>
          <w:lang w:val="zh-CN" w:eastAsia="zh-CN"/>
        </w:rPr>
        <w:t>）项目效益情况。</w:t>
      </w:r>
    </w:p>
    <w:p w14:paraId="44A43CF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zh-CN" w:eastAsia="zh-CN"/>
        </w:rPr>
        <w:t>经济效益方面：</w:t>
      </w:r>
      <w:r>
        <w:rPr>
          <w:rFonts w:hint="default" w:ascii="Times New Roman" w:hAnsi="Times New Roman" w:eastAsia="方正仿宋_GBK" w:cs="Times New Roman"/>
          <w:kern w:val="0"/>
          <w:sz w:val="32"/>
          <w:szCs w:val="32"/>
          <w:lang w:val="en-US" w:eastAsia="zh-CN"/>
        </w:rPr>
        <w:t>该项目将加快推动全县农村公路进一步组网成环，辐射联动，拉动经济发展，服务乡村振兴</w:t>
      </w:r>
    </w:p>
    <w:p w14:paraId="6FC33A44">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社会效益方面：</w:t>
      </w:r>
      <w:r>
        <w:rPr>
          <w:rFonts w:hint="default" w:ascii="Times New Roman" w:hAnsi="Times New Roman" w:eastAsia="方正仿宋_GBK" w:cs="Times New Roman"/>
          <w:kern w:val="0"/>
          <w:sz w:val="32"/>
          <w:szCs w:val="32"/>
          <w:lang w:val="en-US" w:eastAsia="zh-CN"/>
        </w:rPr>
        <w:t>助推和美乡村高质量建设，不断提升道路通行服务能力，降低交通安全隐患，助力产业发展。</w:t>
      </w:r>
    </w:p>
    <w:p w14:paraId="104B242D">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生态效益方面：随着全县农村公路进一步推进和完善，为县域林地防灭火工作起到一定辅助作用。</w:t>
      </w:r>
    </w:p>
    <w:p w14:paraId="44AA7361">
      <w:pPr>
        <w:adjustRightInd w:val="0"/>
        <w:snapToGrid w:val="0"/>
        <w:spacing w:line="600" w:lineRule="exact"/>
        <w:ind w:firstLine="720" w:firstLineChars="0"/>
        <w:jc w:val="both"/>
        <w:rPr>
          <w:rFonts w:hint="eastAsia" w:ascii="黑体" w:hAnsi="黑体" w:eastAsia="黑体" w:cs="黑体"/>
          <w:kern w:val="2"/>
          <w:sz w:val="32"/>
          <w:szCs w:val="32"/>
        </w:rPr>
      </w:pPr>
      <w:r>
        <w:rPr>
          <w:rFonts w:hint="eastAsia" w:ascii="黑体" w:hAnsi="黑体" w:eastAsia="黑体" w:cs="黑体"/>
          <w:kern w:val="2"/>
          <w:sz w:val="32"/>
          <w:szCs w:val="32"/>
        </w:rPr>
        <w:t>四、问题及建议</w:t>
      </w:r>
    </w:p>
    <w:p w14:paraId="69E95E5D">
      <w:pPr>
        <w:ind w:firstLine="643" w:firstLineChars="200"/>
        <w:jc w:val="both"/>
        <w:rPr>
          <w:rFonts w:ascii="仿宋_GB2312" w:hAnsi="仿宋_GB2312" w:eastAsia="仿宋_GB2312" w:cs="仿宋_GB2312"/>
          <w:b/>
          <w:sz w:val="32"/>
          <w:szCs w:val="32"/>
          <w:lang w:val="zh-CN"/>
        </w:rPr>
      </w:pPr>
      <w:r>
        <w:rPr>
          <w:rFonts w:hint="eastAsia" w:ascii="仿宋_GB2312" w:hAnsi="仿宋_GB2312" w:eastAsia="仿宋_GB2312" w:cs="仿宋_GB2312"/>
          <w:b/>
          <w:kern w:val="2"/>
          <w:sz w:val="32"/>
          <w:szCs w:val="32"/>
          <w:lang w:val="zh-CN" w:eastAsia="zh-CN"/>
        </w:rPr>
        <w:t>（一）评价结论</w:t>
      </w:r>
    </w:p>
    <w:p w14:paraId="37E26EEE">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黑体" w:hAnsi="黑体" w:eastAsia="黑体" w:cs="黑体"/>
          <w:kern w:val="2"/>
          <w:sz w:val="32"/>
          <w:szCs w:val="32"/>
          <w:lang w:val="en-US" w:eastAsia="zh-CN"/>
        </w:rPr>
      </w:pPr>
      <w:r>
        <w:rPr>
          <w:rFonts w:hint="eastAsia" w:ascii="仿宋_GB2312" w:hAnsi="仿宋_GB2312" w:eastAsia="仿宋_GB2312" w:cs="仿宋_GB2312"/>
          <w:sz w:val="32"/>
          <w:szCs w:val="32"/>
          <w:lang w:val="zh-CN"/>
        </w:rPr>
        <w:t>结</w:t>
      </w:r>
      <w:r>
        <w:rPr>
          <w:rFonts w:hint="eastAsia" w:ascii="仿宋_GB2312" w:hAnsi="仿宋_GB2312" w:eastAsia="仿宋_GB2312" w:cs="仿宋_GB2312"/>
          <w:kern w:val="0"/>
          <w:sz w:val="32"/>
          <w:szCs w:val="32"/>
          <w:lang w:val="zh-CN" w:eastAsia="zh-CN"/>
        </w:rPr>
        <w:t>合项目自身特点、评价重点及管理办法等要求，围绕专项项目支出绩效评价指标体系对项目进行总体评价。</w:t>
      </w:r>
    </w:p>
    <w:p w14:paraId="57021E3E">
      <w:pPr>
        <w:numPr>
          <w:ilvl w:val="0"/>
          <w:numId w:val="0"/>
        </w:numPr>
        <w:adjustRightInd w:val="0"/>
        <w:snapToGrid w:val="0"/>
        <w:spacing w:line="600" w:lineRule="exact"/>
        <w:ind w:firstLine="720" w:firstLineChars="0"/>
        <w:rPr>
          <w:rFonts w:hint="eastAsia" w:ascii="仿宋_GB2312" w:hAnsi="仿宋_GB2312" w:eastAsia="仿宋_GB2312" w:cs="仿宋_GB2312"/>
          <w:b/>
          <w:sz w:val="32"/>
          <w:szCs w:val="32"/>
          <w:lang w:val="zh-CN"/>
        </w:rPr>
      </w:pPr>
      <w:r>
        <w:rPr>
          <w:rFonts w:hint="eastAsia" w:ascii="仿宋_GB2312" w:hAnsi="仿宋_GB2312" w:eastAsia="仿宋_GB2312" w:cs="仿宋_GB2312"/>
          <w:b/>
          <w:kern w:val="2"/>
          <w:sz w:val="32"/>
          <w:szCs w:val="32"/>
          <w:lang w:val="zh-CN" w:eastAsia="zh-CN" w:bidi="ar-SA"/>
        </w:rPr>
        <w:t>（</w:t>
      </w:r>
      <w:r>
        <w:rPr>
          <w:rFonts w:hint="eastAsia" w:ascii="仿宋_GB2312" w:hAnsi="仿宋_GB2312" w:eastAsia="仿宋_GB2312" w:cs="仿宋_GB2312"/>
          <w:b/>
          <w:kern w:val="2"/>
          <w:sz w:val="32"/>
          <w:szCs w:val="32"/>
          <w:lang w:val="en-US" w:eastAsia="zh-CN" w:bidi="ar-SA"/>
        </w:rPr>
        <w:t>二</w:t>
      </w:r>
      <w:r>
        <w:rPr>
          <w:rFonts w:hint="eastAsia" w:ascii="仿宋_GB2312" w:hAnsi="仿宋_GB2312" w:eastAsia="仿宋_GB2312" w:cs="仿宋_GB2312"/>
          <w:b/>
          <w:kern w:val="2"/>
          <w:sz w:val="32"/>
          <w:szCs w:val="32"/>
          <w:lang w:val="zh-CN" w:eastAsia="zh-CN" w:bidi="ar-SA"/>
        </w:rPr>
        <w:t>）</w:t>
      </w:r>
      <w:r>
        <w:rPr>
          <w:rFonts w:hint="eastAsia" w:ascii="仿宋_GB2312" w:hAnsi="仿宋_GB2312" w:eastAsia="仿宋_GB2312" w:cs="仿宋_GB2312"/>
          <w:b/>
          <w:sz w:val="32"/>
          <w:szCs w:val="32"/>
          <w:lang w:val="zh-CN"/>
        </w:rPr>
        <w:t>存在的问题</w:t>
      </w:r>
    </w:p>
    <w:p w14:paraId="08D4BA55">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082D4172">
      <w:pPr>
        <w:numPr>
          <w:ilvl w:val="0"/>
          <w:numId w:val="0"/>
        </w:numPr>
        <w:tabs>
          <w:tab w:val="left" w:pos="1101"/>
        </w:tabs>
        <w:adjustRightInd w:val="0"/>
        <w:snapToGrid w:val="0"/>
        <w:spacing w:line="560" w:lineRule="exact"/>
        <w:ind w:left="0" w:leftChars="0"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kern w:val="2"/>
          <w:sz w:val="32"/>
          <w:szCs w:val="32"/>
          <w:lang w:val="zh-CN" w:eastAsia="zh-CN" w:bidi="ar-SA"/>
        </w:rPr>
        <w:t>（</w:t>
      </w:r>
      <w:r>
        <w:rPr>
          <w:rFonts w:hint="eastAsia" w:ascii="仿宋_GB2312" w:hAnsi="仿宋_GB2312" w:eastAsia="仿宋_GB2312" w:cs="仿宋_GB2312"/>
          <w:b/>
          <w:kern w:val="2"/>
          <w:sz w:val="32"/>
          <w:szCs w:val="32"/>
          <w:lang w:val="en-US" w:eastAsia="zh-CN" w:bidi="ar-SA"/>
        </w:rPr>
        <w:t>三</w:t>
      </w:r>
      <w:r>
        <w:rPr>
          <w:rFonts w:hint="eastAsia" w:ascii="仿宋_GB2312" w:hAnsi="仿宋_GB2312" w:eastAsia="仿宋_GB2312" w:cs="仿宋_GB2312"/>
          <w:b/>
          <w:kern w:val="2"/>
          <w:sz w:val="32"/>
          <w:szCs w:val="32"/>
          <w:lang w:val="zh-CN" w:eastAsia="zh-CN" w:bidi="ar-SA"/>
        </w:rPr>
        <w:t>）</w:t>
      </w:r>
      <w:r>
        <w:rPr>
          <w:rFonts w:hint="eastAsia" w:ascii="仿宋_GB2312" w:hAnsi="仿宋_GB2312" w:eastAsia="仿宋_GB2312" w:cs="仿宋_GB2312"/>
          <w:b/>
          <w:sz w:val="32"/>
          <w:szCs w:val="32"/>
          <w:lang w:val="zh-CN"/>
        </w:rPr>
        <w:t>相关建议</w:t>
      </w:r>
    </w:p>
    <w:p w14:paraId="5DC70822">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7DDA2643">
      <w:pPr>
        <w:widowControl/>
        <w:jc w:val="both"/>
        <w:rPr>
          <w:rFonts w:hint="eastAsia" w:eastAsia="黑体"/>
          <w:sz w:val="44"/>
          <w:szCs w:val="44"/>
        </w:rPr>
      </w:pPr>
    </w:p>
    <w:p w14:paraId="363CAE6B">
      <w:pPr>
        <w:widowControl/>
        <w:jc w:val="both"/>
        <w:rPr>
          <w:rFonts w:hint="eastAsia" w:eastAsia="黑体"/>
          <w:sz w:val="44"/>
          <w:szCs w:val="44"/>
        </w:rPr>
      </w:pPr>
    </w:p>
    <w:p w14:paraId="719F440C">
      <w:pPr>
        <w:widowControl/>
        <w:jc w:val="both"/>
        <w:rPr>
          <w:rFonts w:hint="eastAsia" w:eastAsia="黑体"/>
          <w:sz w:val="44"/>
          <w:szCs w:val="44"/>
        </w:rPr>
      </w:pPr>
    </w:p>
    <w:p w14:paraId="792890B5">
      <w:pPr>
        <w:widowControl/>
        <w:jc w:val="both"/>
        <w:rPr>
          <w:rFonts w:hint="eastAsia" w:eastAsia="黑体"/>
          <w:sz w:val="44"/>
          <w:szCs w:val="44"/>
        </w:rPr>
      </w:pPr>
    </w:p>
    <w:p w14:paraId="7FB6463F">
      <w:pPr>
        <w:widowControl/>
        <w:jc w:val="both"/>
        <w:rPr>
          <w:rFonts w:hint="eastAsia" w:eastAsia="黑体"/>
          <w:sz w:val="44"/>
          <w:szCs w:val="44"/>
        </w:rPr>
      </w:pPr>
    </w:p>
    <w:p w14:paraId="5954CCF1">
      <w:pPr>
        <w:widowControl/>
        <w:jc w:val="both"/>
        <w:rPr>
          <w:rFonts w:hint="eastAsia" w:eastAsia="黑体"/>
          <w:sz w:val="44"/>
          <w:szCs w:val="44"/>
        </w:rPr>
      </w:pPr>
    </w:p>
    <w:p w14:paraId="6405E7F7">
      <w:pPr>
        <w:widowControl/>
        <w:jc w:val="both"/>
        <w:rPr>
          <w:rFonts w:hint="eastAsia" w:eastAsia="黑体"/>
          <w:sz w:val="44"/>
          <w:szCs w:val="44"/>
        </w:rPr>
      </w:pPr>
    </w:p>
    <w:p w14:paraId="1245C59D">
      <w:pPr>
        <w:widowControl/>
        <w:jc w:val="both"/>
        <w:rPr>
          <w:rFonts w:hint="eastAsia" w:eastAsia="黑体"/>
          <w:sz w:val="44"/>
          <w:szCs w:val="44"/>
        </w:rPr>
      </w:pPr>
    </w:p>
    <w:p w14:paraId="7B629A3E">
      <w:pPr>
        <w:widowControl/>
        <w:jc w:val="both"/>
        <w:rPr>
          <w:rFonts w:hint="eastAsia" w:eastAsia="黑体"/>
          <w:sz w:val="44"/>
          <w:szCs w:val="44"/>
        </w:rPr>
      </w:pPr>
    </w:p>
    <w:p w14:paraId="367866CC">
      <w:pPr>
        <w:widowControl/>
        <w:jc w:val="both"/>
        <w:rPr>
          <w:rFonts w:hint="eastAsia" w:eastAsia="黑体"/>
          <w:sz w:val="44"/>
          <w:szCs w:val="44"/>
        </w:rPr>
      </w:pPr>
    </w:p>
    <w:p w14:paraId="61E3E2C4">
      <w:pPr>
        <w:widowControl/>
        <w:jc w:val="both"/>
        <w:rPr>
          <w:rFonts w:hint="eastAsia" w:eastAsia="黑体"/>
          <w:sz w:val="44"/>
          <w:szCs w:val="44"/>
        </w:rPr>
      </w:pPr>
    </w:p>
    <w:p w14:paraId="3CD2A96D">
      <w:pPr>
        <w:widowControl/>
        <w:jc w:val="both"/>
        <w:rPr>
          <w:rFonts w:hint="eastAsia" w:eastAsia="黑体"/>
          <w:sz w:val="44"/>
          <w:szCs w:val="44"/>
        </w:rPr>
      </w:pPr>
    </w:p>
    <w:p w14:paraId="42EDD4A8">
      <w:pPr>
        <w:widowControl/>
        <w:jc w:val="both"/>
        <w:rPr>
          <w:rFonts w:hint="eastAsia" w:eastAsia="黑体"/>
          <w:sz w:val="44"/>
          <w:szCs w:val="44"/>
        </w:rPr>
      </w:pPr>
    </w:p>
    <w:p w14:paraId="406F9182">
      <w:pPr>
        <w:pStyle w:val="5"/>
        <w:spacing w:before="93"/>
        <w:rPr>
          <w:rFonts w:hint="eastAsia" w:ascii="Times New Roman" w:eastAsia="黑体" w:cs="黑体"/>
          <w:sz w:val="32"/>
          <w:szCs w:val="32"/>
          <w:lang w:eastAsia="zh-CN"/>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lang w:val="en-US" w:eastAsia="zh-CN"/>
        </w:rPr>
        <w:t>7</w:t>
      </w:r>
    </w:p>
    <w:p w14:paraId="7717109A">
      <w:pPr>
        <w:tabs>
          <w:tab w:val="left" w:pos="1440"/>
        </w:tabs>
        <w:spacing w:line="560" w:lineRule="exact"/>
        <w:rPr>
          <w:rFonts w:ascii="宋体" w:hAnsi="宋体" w:eastAsia="宋体"/>
          <w:sz w:val="30"/>
          <w:szCs w:val="30"/>
        </w:rPr>
      </w:pPr>
    </w:p>
    <w:p w14:paraId="18C1F754">
      <w:pPr>
        <w:pStyle w:val="35"/>
        <w:spacing w:line="578" w:lineRule="exact"/>
        <w:ind w:firstLine="0" w:firstLineChars="0"/>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桑园大桥拆除重建项目</w:t>
      </w:r>
    </w:p>
    <w:p w14:paraId="3796D4E9">
      <w:pPr>
        <w:pStyle w:val="35"/>
        <w:spacing w:line="578" w:lineRule="exact"/>
        <w:ind w:firstLine="0" w:firstLineChars="0"/>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支出绩效自评报告</w:t>
      </w:r>
    </w:p>
    <w:p w14:paraId="2F8AB512">
      <w:pPr>
        <w:pStyle w:val="35"/>
        <w:spacing w:line="560" w:lineRule="exact"/>
        <w:ind w:firstLine="640"/>
        <w:jc w:val="center"/>
        <w:rPr>
          <w:rFonts w:ascii="宋体" w:hAnsi="宋体"/>
          <w:color w:val="auto"/>
          <w:kern w:val="2"/>
          <w:sz w:val="32"/>
          <w:szCs w:val="32"/>
        </w:rPr>
      </w:pPr>
    </w:p>
    <w:p w14:paraId="514514F8">
      <w:pPr>
        <w:adjustRightInd w:val="0"/>
        <w:snapToGrid w:val="0"/>
        <w:spacing w:line="600" w:lineRule="exact"/>
        <w:ind w:firstLine="720" w:firstLineChars="0"/>
        <w:jc w:val="both"/>
        <w:rPr>
          <w:rFonts w:hint="eastAsia" w:ascii="黑体" w:hAnsi="黑体" w:eastAsia="黑体" w:cs="黑体"/>
          <w:kern w:val="2"/>
          <w:sz w:val="32"/>
          <w:szCs w:val="32"/>
          <w:lang w:val="zh-CN" w:eastAsia="zh-CN"/>
        </w:rPr>
      </w:pPr>
      <w:r>
        <w:rPr>
          <w:rFonts w:hint="eastAsia" w:ascii="黑体" w:hAnsi="黑体" w:eastAsia="黑体" w:cs="黑体"/>
          <w:kern w:val="2"/>
          <w:sz w:val="32"/>
          <w:szCs w:val="32"/>
        </w:rPr>
        <w:t>一、</w:t>
      </w:r>
      <w:r>
        <w:rPr>
          <w:rFonts w:hint="eastAsia" w:ascii="黑体" w:hAnsi="黑体" w:eastAsia="黑体" w:cs="黑体"/>
          <w:kern w:val="2"/>
          <w:sz w:val="32"/>
          <w:szCs w:val="32"/>
          <w:lang w:val="zh-CN"/>
        </w:rPr>
        <w:t>项目概况</w:t>
      </w:r>
    </w:p>
    <w:p w14:paraId="23C1C728">
      <w:pPr>
        <w:adjustRightInd w:val="0"/>
        <w:snapToGrid w:val="0"/>
        <w:spacing w:line="600" w:lineRule="exact"/>
        <w:ind w:firstLine="964" w:firstLineChars="300"/>
        <w:rPr>
          <w:rFonts w:hint="eastAsia" w:ascii="仿宋_GB2312" w:hAnsi="仿宋_GB2312" w:eastAsia="仿宋_GB2312" w:cs="仿宋_GB2312"/>
          <w:b/>
          <w:sz w:val="32"/>
          <w:szCs w:val="32"/>
          <w:lang w:val="zh-CN"/>
        </w:rPr>
      </w:pPr>
      <w:r>
        <w:rPr>
          <w:rFonts w:hint="eastAsia" w:ascii="仿宋_GB2312" w:hAnsi="仿宋_GB2312" w:cs="仿宋_GB2312"/>
          <w:b/>
          <w:sz w:val="32"/>
          <w:szCs w:val="32"/>
          <w:lang w:val="zh-CN"/>
        </w:rPr>
        <w:t>（</w:t>
      </w:r>
      <w:r>
        <w:rPr>
          <w:rFonts w:hint="eastAsia" w:ascii="仿宋_GB2312" w:hAnsi="仿宋_GB2312" w:cs="仿宋_GB2312"/>
          <w:b/>
          <w:sz w:val="32"/>
          <w:szCs w:val="32"/>
          <w:lang w:val="en-US" w:eastAsia="zh-CN"/>
        </w:rPr>
        <w:t>一</w:t>
      </w:r>
      <w:r>
        <w:rPr>
          <w:rFonts w:hint="eastAsia" w:ascii="仿宋_GB2312" w:hAnsi="仿宋_GB2312" w:cs="仿宋_GB2312"/>
          <w:b/>
          <w:sz w:val="32"/>
          <w:szCs w:val="32"/>
          <w:lang w:val="zh-CN"/>
        </w:rPr>
        <w:t>）</w:t>
      </w:r>
      <w:r>
        <w:rPr>
          <w:rFonts w:hint="eastAsia" w:ascii="仿宋_GB2312" w:hAnsi="仿宋_GB2312" w:eastAsia="仿宋_GB2312" w:cs="仿宋_GB2312"/>
          <w:b/>
          <w:sz w:val="32"/>
          <w:szCs w:val="32"/>
          <w:lang w:val="zh-CN"/>
        </w:rPr>
        <w:t>项目资金申报及批复情况。</w:t>
      </w:r>
    </w:p>
    <w:p w14:paraId="0CC6A06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Times New Roman" w:hAnsi="Times New Roman" w:eastAsia="方正仿宋_GBK" w:cs="Times New Roman"/>
          <w:kern w:val="0"/>
          <w:sz w:val="32"/>
          <w:szCs w:val="32"/>
          <w:lang w:val="en-US" w:eastAsia="zh-CN"/>
        </w:rPr>
        <w:t>项目资金来源为县级一般债券资金。</w:t>
      </w:r>
    </w:p>
    <w:p w14:paraId="536475C9">
      <w:pPr>
        <w:adjustRightInd w:val="0"/>
        <w:snapToGrid w:val="0"/>
        <w:spacing w:line="600" w:lineRule="exact"/>
        <w:ind w:firstLine="1044" w:firstLineChars="325"/>
        <w:rPr>
          <w:rFonts w:hint="eastAsia" w:ascii="仿宋_GB2312" w:hAnsi="仿宋_GB2312" w:eastAsia="仿宋_GB2312" w:cs="仿宋_GB2312"/>
          <w:b/>
          <w:sz w:val="32"/>
          <w:szCs w:val="32"/>
          <w:lang w:val="zh-CN"/>
        </w:rPr>
      </w:pPr>
      <w:r>
        <w:rPr>
          <w:rFonts w:hint="eastAsia" w:ascii="仿宋_GB2312" w:hAnsi="仿宋_GB2312" w:cs="仿宋_GB2312"/>
          <w:b/>
          <w:sz w:val="32"/>
          <w:szCs w:val="32"/>
          <w:lang w:val="en-US" w:eastAsia="zh-CN"/>
        </w:rPr>
        <w:t>（二）</w:t>
      </w:r>
      <w:r>
        <w:rPr>
          <w:rFonts w:hint="eastAsia" w:ascii="仿宋_GB2312" w:hAnsi="仿宋_GB2312" w:eastAsia="仿宋_GB2312" w:cs="仿宋_GB2312"/>
          <w:b/>
          <w:sz w:val="32"/>
          <w:szCs w:val="32"/>
          <w:lang w:val="zh-CN"/>
        </w:rPr>
        <w:t>项目绩效目标。</w:t>
      </w:r>
    </w:p>
    <w:p w14:paraId="0DBC7A8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根据2019年5月中铁西南科学研究院有限公司出具的《桑园大桥特殊检查报告》表明，该桥属于 3 类桥梁，有中等缺损，尚能维持正常使用功能。但桑园大桥实际承载能力已不能够满足设计荷载通行使用要求。并且攀盐高速公路在惠民沟沟口附近设置出入口，过境交通贯穿渔门镇商业区，届时渔门镇交通量将大幅增加，给集镇造成交通拥堵。综上，桑园大桥已不能满足当地经济发展要求，须开展S221渔门镇桑园二桥拆除重建工程相关工作。</w:t>
      </w:r>
    </w:p>
    <w:p w14:paraId="25C9CC04">
      <w:pPr>
        <w:adjustRightInd w:val="0"/>
        <w:snapToGrid w:val="0"/>
        <w:spacing w:line="600" w:lineRule="exact"/>
        <w:ind w:firstLine="720"/>
        <w:rPr>
          <w:rFonts w:hint="eastAsia" w:ascii="仿宋_GB2312" w:hAnsi="仿宋_GB2312" w:eastAsia="仿宋_GB2312" w:cs="仿宋_GB2312"/>
          <w:b/>
          <w:sz w:val="32"/>
          <w:szCs w:val="32"/>
          <w:lang w:val="zh-CN"/>
        </w:rPr>
      </w:pPr>
      <w:r>
        <w:rPr>
          <w:rFonts w:hint="eastAsia" w:ascii="仿宋_GB2312" w:hAnsi="仿宋_GB2312" w:cs="仿宋_GB2312"/>
          <w:b/>
          <w:sz w:val="32"/>
          <w:szCs w:val="32"/>
          <w:lang w:val="zh-CN"/>
        </w:rPr>
        <w:t>（</w:t>
      </w:r>
      <w:r>
        <w:rPr>
          <w:rFonts w:hint="eastAsia" w:ascii="仿宋_GB2312" w:hAnsi="仿宋_GB2312" w:cs="仿宋_GB2312"/>
          <w:b/>
          <w:sz w:val="32"/>
          <w:szCs w:val="32"/>
          <w:lang w:val="en-US" w:eastAsia="zh-CN"/>
        </w:rPr>
        <w:t>三</w:t>
      </w:r>
      <w:r>
        <w:rPr>
          <w:rFonts w:hint="eastAsia" w:ascii="仿宋_GB2312" w:hAnsi="仿宋_GB2312" w:cs="仿宋_GB2312"/>
          <w:b/>
          <w:sz w:val="32"/>
          <w:szCs w:val="32"/>
          <w:lang w:val="zh-CN"/>
        </w:rPr>
        <w:t>）</w:t>
      </w:r>
      <w:r>
        <w:rPr>
          <w:rFonts w:hint="eastAsia" w:ascii="仿宋_GB2312" w:hAnsi="仿宋_GB2312" w:eastAsia="仿宋_GB2312" w:cs="仿宋_GB2312"/>
          <w:b/>
          <w:sz w:val="32"/>
          <w:szCs w:val="32"/>
          <w:lang w:val="zh-CN"/>
        </w:rPr>
        <w:t>项目资金申报相符性。</w:t>
      </w:r>
    </w:p>
    <w:p w14:paraId="26323AC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Times New Roman" w:hAnsi="Times New Roman" w:eastAsia="方正仿宋_GBK" w:cs="Times New Roman"/>
          <w:kern w:val="0"/>
          <w:sz w:val="32"/>
          <w:szCs w:val="32"/>
          <w:lang w:val="zh-CN" w:eastAsia="zh-CN"/>
        </w:rPr>
      </w:pPr>
      <w:r>
        <w:rPr>
          <w:rFonts w:hint="eastAsia" w:ascii="Times New Roman" w:hAnsi="Times New Roman" w:eastAsia="方正仿宋_GBK" w:cs="Times New Roman"/>
          <w:kern w:val="0"/>
          <w:sz w:val="32"/>
          <w:szCs w:val="32"/>
          <w:lang w:val="zh-CN" w:eastAsia="zh-CN"/>
        </w:rPr>
        <w:t>项目申报内容与</w:t>
      </w:r>
      <w:r>
        <w:rPr>
          <w:rFonts w:hint="eastAsia" w:ascii="Times New Roman" w:hAnsi="Times New Roman" w:eastAsia="方正仿宋_GBK" w:cs="Times New Roman"/>
          <w:kern w:val="0"/>
          <w:sz w:val="32"/>
          <w:szCs w:val="32"/>
          <w:lang w:val="en-US" w:eastAsia="zh-CN"/>
        </w:rPr>
        <w:t>桑园大桥拆除重建项目</w:t>
      </w:r>
      <w:r>
        <w:rPr>
          <w:rFonts w:hint="eastAsia" w:ascii="Times New Roman" w:hAnsi="Times New Roman" w:eastAsia="方正仿宋_GBK" w:cs="Times New Roman"/>
          <w:kern w:val="0"/>
          <w:sz w:val="32"/>
          <w:szCs w:val="32"/>
          <w:lang w:val="zh-CN" w:eastAsia="zh-CN"/>
        </w:rPr>
        <w:t>内容相符、申报目标合理可行。</w:t>
      </w:r>
    </w:p>
    <w:p w14:paraId="562E5CE2">
      <w:pPr>
        <w:adjustRightInd w:val="0"/>
        <w:snapToGrid w:val="0"/>
        <w:spacing w:line="560" w:lineRule="exact"/>
        <w:ind w:firstLine="720"/>
        <w:rPr>
          <w:rFonts w:hint="eastAsia" w:ascii="黑体" w:hAnsi="黑体" w:eastAsia="黑体" w:cs="黑体"/>
          <w:kern w:val="2"/>
          <w:sz w:val="32"/>
          <w:szCs w:val="32"/>
        </w:rPr>
      </w:pPr>
      <w:r>
        <w:rPr>
          <w:rFonts w:hint="eastAsia" w:ascii="黑体" w:hAnsi="宋体" w:eastAsia="黑体"/>
        </w:rPr>
        <w:t>二</w:t>
      </w:r>
      <w:r>
        <w:rPr>
          <w:rFonts w:hint="eastAsia" w:ascii="黑体" w:hAnsi="黑体" w:eastAsia="黑体" w:cs="黑体"/>
          <w:kern w:val="2"/>
          <w:sz w:val="32"/>
          <w:szCs w:val="32"/>
        </w:rPr>
        <w:t>、项目实施及管理情况</w:t>
      </w:r>
    </w:p>
    <w:p w14:paraId="0827CFB8">
      <w:pPr>
        <w:adjustRightInd w:val="0"/>
        <w:snapToGrid w:val="0"/>
        <w:spacing w:line="560" w:lineRule="exact"/>
        <w:ind w:firstLine="720"/>
        <w:rPr>
          <w:rFonts w:ascii="楷体" w:hAnsi="楷体" w:eastAsia="楷体"/>
          <w:lang w:val="zh-CN"/>
        </w:rPr>
      </w:pPr>
      <w:r>
        <w:rPr>
          <w:rFonts w:hint="eastAsia" w:ascii="楷体" w:hAnsi="楷体" w:eastAsia="楷体"/>
          <w:lang w:val="zh-CN"/>
        </w:rPr>
        <w:tab/>
      </w:r>
      <w:r>
        <w:rPr>
          <w:rFonts w:hint="eastAsia" w:ascii="仿宋_GB2312" w:hAnsi="仿宋_GB2312" w:eastAsia="仿宋_GB2312" w:cs="仿宋_GB2312"/>
          <w:b/>
          <w:sz w:val="32"/>
          <w:szCs w:val="32"/>
          <w:lang w:val="zh-CN"/>
        </w:rPr>
        <w:t>（一）资金计划、到位及使用情况</w:t>
      </w:r>
    </w:p>
    <w:p w14:paraId="680AAE6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1</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zh-CN" w:eastAsia="zh-CN"/>
        </w:rPr>
        <w:t>资金计划及到位。该项目为县级一般债券资金截至</w:t>
      </w:r>
      <w:r>
        <w:rPr>
          <w:rFonts w:hint="default" w:ascii="Times New Roman" w:hAnsi="Times New Roman" w:eastAsia="方正仿宋_GBK" w:cs="Times New Roman"/>
          <w:kern w:val="0"/>
          <w:sz w:val="32"/>
          <w:szCs w:val="32"/>
          <w:lang w:val="en-US" w:eastAsia="zh-CN"/>
        </w:rPr>
        <w:t>2023年12月底资金</w:t>
      </w:r>
      <w:r>
        <w:rPr>
          <w:rFonts w:hint="default" w:ascii="Times New Roman" w:hAnsi="Times New Roman" w:eastAsia="方正仿宋_GBK" w:cs="Times New Roman"/>
          <w:kern w:val="0"/>
          <w:sz w:val="32"/>
          <w:szCs w:val="32"/>
          <w:lang w:val="zh-CN" w:eastAsia="zh-CN"/>
        </w:rPr>
        <w:t>实际到位</w:t>
      </w:r>
      <w:r>
        <w:rPr>
          <w:rFonts w:hint="default" w:ascii="Times New Roman" w:hAnsi="Times New Roman" w:eastAsia="方正仿宋_GBK" w:cs="Times New Roman"/>
          <w:kern w:val="0"/>
          <w:sz w:val="32"/>
          <w:szCs w:val="32"/>
          <w:lang w:val="en-US" w:eastAsia="zh-CN"/>
        </w:rPr>
        <w:t>800万元。资金性质为县级财政年初预算，资金到位率100%</w:t>
      </w:r>
      <w:r>
        <w:rPr>
          <w:rFonts w:hint="default" w:ascii="Times New Roman" w:hAnsi="Times New Roman" w:eastAsia="方正仿宋_GBK" w:cs="Times New Roman"/>
          <w:kern w:val="0"/>
          <w:sz w:val="32"/>
          <w:szCs w:val="32"/>
          <w:lang w:val="zh-CN" w:eastAsia="zh-CN"/>
        </w:rPr>
        <w:t>。</w:t>
      </w:r>
    </w:p>
    <w:p w14:paraId="103775D6">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2.资金使用。截至</w:t>
      </w:r>
      <w:r>
        <w:rPr>
          <w:rFonts w:hint="default" w:ascii="Times New Roman" w:hAnsi="Times New Roman" w:eastAsia="方正仿宋_GBK" w:cs="Times New Roman"/>
          <w:kern w:val="0"/>
          <w:sz w:val="32"/>
          <w:szCs w:val="32"/>
          <w:lang w:val="en-US" w:eastAsia="zh-CN"/>
        </w:rPr>
        <w:t>2023年12月31日</w:t>
      </w:r>
      <w:r>
        <w:rPr>
          <w:rFonts w:hint="default" w:ascii="Times New Roman" w:hAnsi="Times New Roman" w:eastAsia="方正仿宋_GBK" w:cs="Times New Roman"/>
          <w:kern w:val="0"/>
          <w:sz w:val="32"/>
          <w:szCs w:val="32"/>
          <w:lang w:val="zh-CN" w:eastAsia="zh-CN"/>
        </w:rPr>
        <w:t>项目资金实际支出</w:t>
      </w:r>
      <w:r>
        <w:rPr>
          <w:rFonts w:hint="default" w:ascii="Times New Roman" w:hAnsi="Times New Roman" w:eastAsia="方正仿宋_GBK" w:cs="Times New Roman"/>
          <w:kern w:val="0"/>
          <w:sz w:val="32"/>
          <w:szCs w:val="32"/>
          <w:lang w:val="en-US" w:eastAsia="zh-CN"/>
        </w:rPr>
        <w:t>800万元</w:t>
      </w:r>
      <w:r>
        <w:rPr>
          <w:rFonts w:hint="default" w:ascii="Times New Roman" w:hAnsi="Times New Roman" w:eastAsia="方正仿宋_GBK" w:cs="Times New Roman"/>
          <w:kern w:val="0"/>
          <w:sz w:val="32"/>
          <w:szCs w:val="32"/>
          <w:lang w:val="zh-CN" w:eastAsia="zh-CN"/>
        </w:rPr>
        <w:t>，资金开支范围为</w:t>
      </w:r>
      <w:r>
        <w:rPr>
          <w:rFonts w:hint="default" w:ascii="Times New Roman" w:hAnsi="Times New Roman" w:eastAsia="方正仿宋_GBK" w:cs="Times New Roman"/>
          <w:kern w:val="0"/>
          <w:sz w:val="32"/>
          <w:szCs w:val="32"/>
          <w:lang w:val="en-US" w:eastAsia="zh-CN"/>
        </w:rPr>
        <w:t>桑园大桥拆除重建项目</w:t>
      </w:r>
      <w:r>
        <w:rPr>
          <w:rFonts w:hint="default" w:ascii="Times New Roman" w:hAnsi="Times New Roman" w:eastAsia="方正仿宋_GBK" w:cs="Times New Roman"/>
          <w:kern w:val="0"/>
          <w:sz w:val="32"/>
          <w:szCs w:val="32"/>
          <w:lang w:val="zh-CN" w:eastAsia="zh-CN"/>
        </w:rPr>
        <w:t>。支付依据合规合法，资金支付与预算相符。</w:t>
      </w:r>
    </w:p>
    <w:p w14:paraId="30912E73">
      <w:pPr>
        <w:adjustRightInd w:val="0"/>
        <w:snapToGrid w:val="0"/>
        <w:spacing w:line="56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（二）项目财务管理情况</w:t>
      </w:r>
    </w:p>
    <w:p w14:paraId="0EAA885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lang w:val="zh-CN" w:eastAsia="zh-CN"/>
        </w:rPr>
      </w:pPr>
      <w:r>
        <w:rPr>
          <w:rFonts w:hint="eastAsia" w:ascii="Times New Roman" w:hAnsi="Times New Roman" w:eastAsia="方正仿宋_GBK" w:cs="Times New Roman"/>
          <w:kern w:val="0"/>
          <w:sz w:val="32"/>
          <w:szCs w:val="32"/>
          <w:lang w:val="zh-CN" w:eastAsia="zh-CN"/>
        </w:rPr>
        <w:t>资金严格按照资金使用有关规定，严格执行县级报账制，专账核算、公告公示等制度，同时严格资金拨付手续，账务处理及时，会计核算规范，确保资金安全有效，提高资金使用效益。</w:t>
      </w:r>
    </w:p>
    <w:p w14:paraId="72773D6F">
      <w:pPr>
        <w:adjustRightInd w:val="0"/>
        <w:snapToGrid w:val="0"/>
        <w:spacing w:line="56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（三）项目组织实施情况</w:t>
      </w:r>
    </w:p>
    <w:p w14:paraId="4AD02EC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0"/>
          <w:sz w:val="32"/>
          <w:szCs w:val="32"/>
          <w:lang w:val="zh-CN" w:eastAsia="zh-CN"/>
        </w:rPr>
      </w:pPr>
      <w:r>
        <w:rPr>
          <w:rFonts w:hint="default" w:ascii="Times New Roman" w:hAnsi="Times New Roman" w:eastAsia="仿宋_GB2312" w:cs="Times New Roman"/>
          <w:kern w:val="0"/>
          <w:sz w:val="32"/>
          <w:szCs w:val="32"/>
          <w:lang w:val="zh-CN" w:eastAsia="zh-CN"/>
        </w:rPr>
        <w:t>该桥梁全长284.4m，宽21m，双向四车道，总投资约1.2亿元；专班成员单位协同配合，统筹推进项目施工图、用地预审、通航论证等前期手续办理，抢抓库区水位下降黄金时间顺利完成水下工程施工，截至</w:t>
      </w:r>
      <w:r>
        <w:rPr>
          <w:rFonts w:hint="default" w:ascii="Times New Roman" w:hAnsi="Times New Roman" w:eastAsia="仿宋_GB2312" w:cs="Times New Roman"/>
          <w:kern w:val="0"/>
          <w:sz w:val="32"/>
          <w:szCs w:val="32"/>
          <w:lang w:val="en-US" w:eastAsia="zh-CN"/>
        </w:rPr>
        <w:t>2023年12月底</w:t>
      </w:r>
      <w:r>
        <w:rPr>
          <w:rFonts w:hint="default" w:ascii="Times New Roman" w:hAnsi="Times New Roman" w:eastAsia="仿宋_GB2312" w:cs="Times New Roman"/>
          <w:kern w:val="0"/>
          <w:sz w:val="32"/>
          <w:szCs w:val="32"/>
          <w:lang w:val="zh-CN" w:eastAsia="zh-CN"/>
        </w:rPr>
        <w:t>大桥2个主墩已顺利封顶，正在实施挂篮拼装作业，完成产值约5000万元。</w:t>
      </w:r>
    </w:p>
    <w:p w14:paraId="4E17D456">
      <w:pPr>
        <w:adjustRightInd w:val="0"/>
        <w:snapToGrid w:val="0"/>
        <w:spacing w:line="560" w:lineRule="exact"/>
        <w:ind w:firstLine="720"/>
        <w:rPr>
          <w:rFonts w:hint="eastAsia" w:ascii="黑体" w:hAnsi="黑体" w:eastAsia="黑体" w:cs="黑体"/>
          <w:kern w:val="2"/>
          <w:sz w:val="32"/>
          <w:szCs w:val="32"/>
          <w:lang w:val="zh-CN"/>
        </w:rPr>
      </w:pPr>
      <w:r>
        <w:rPr>
          <w:rFonts w:hint="eastAsia" w:ascii="黑体" w:hAnsi="黑体" w:eastAsia="黑体" w:cs="黑体"/>
          <w:kern w:val="2"/>
          <w:sz w:val="32"/>
          <w:szCs w:val="32"/>
        </w:rPr>
        <w:t>三、项目绩效情况</w:t>
      </w:r>
      <w:r>
        <w:rPr>
          <w:rFonts w:hint="eastAsia" w:ascii="黑体" w:hAnsi="黑体" w:eastAsia="黑体" w:cs="黑体"/>
          <w:kern w:val="2"/>
          <w:sz w:val="32"/>
          <w:szCs w:val="32"/>
          <w:lang w:val="zh-CN"/>
        </w:rPr>
        <w:tab/>
      </w:r>
    </w:p>
    <w:p w14:paraId="1F90AB54">
      <w:pPr>
        <w:adjustRightInd w:val="0"/>
        <w:snapToGrid w:val="0"/>
        <w:spacing w:line="560" w:lineRule="exact"/>
        <w:ind w:firstLine="72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184A970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kern w:val="0"/>
          <w:sz w:val="32"/>
          <w:szCs w:val="32"/>
          <w:lang w:val="zh-CN" w:eastAsia="zh-CN"/>
        </w:rPr>
      </w:pPr>
      <w:r>
        <w:rPr>
          <w:rFonts w:hint="eastAsia" w:ascii="仿宋_GB2312" w:hAnsi="仿宋_GB2312" w:eastAsia="仿宋_GB2312" w:cs="仿宋_GB2312"/>
          <w:kern w:val="0"/>
          <w:sz w:val="32"/>
          <w:szCs w:val="32"/>
          <w:lang w:val="zh-CN" w:eastAsia="zh-CN"/>
        </w:rPr>
        <w:t>截至</w:t>
      </w:r>
      <w:r>
        <w:rPr>
          <w:rFonts w:hint="eastAsia" w:ascii="仿宋_GB2312" w:hAnsi="仿宋_GB2312" w:eastAsia="仿宋_GB2312" w:cs="仿宋_GB2312"/>
          <w:kern w:val="0"/>
          <w:sz w:val="32"/>
          <w:szCs w:val="32"/>
          <w:lang w:val="en-US" w:eastAsia="zh-CN"/>
        </w:rPr>
        <w:t>2023年12月底</w:t>
      </w:r>
      <w:r>
        <w:rPr>
          <w:rFonts w:hint="eastAsia" w:ascii="仿宋_GB2312" w:hAnsi="仿宋_GB2312" w:eastAsia="仿宋_GB2312" w:cs="仿宋_GB2312"/>
          <w:kern w:val="0"/>
          <w:sz w:val="32"/>
          <w:szCs w:val="32"/>
          <w:lang w:val="zh-CN" w:eastAsia="zh-CN"/>
        </w:rPr>
        <w:t>大桥2个主墩已顺利封顶，正在实施挂篮拼装作业，完成产值约5000万元。</w:t>
      </w:r>
    </w:p>
    <w:p w14:paraId="0A0BECD6">
      <w:pPr>
        <w:adjustRightInd w:val="0"/>
        <w:snapToGrid w:val="0"/>
        <w:spacing w:line="560" w:lineRule="exact"/>
        <w:ind w:firstLine="643" w:firstLineChars="200"/>
        <w:rPr>
          <w:rFonts w:hint="eastAsia" w:ascii="仿宋_GB2312" w:hAnsi="仿宋_GB2312" w:eastAsia="仿宋_GB2312" w:cs="仿宋_GB2312"/>
          <w:b/>
          <w:sz w:val="32"/>
          <w:szCs w:val="32"/>
          <w:lang w:val="zh-CN"/>
        </w:rPr>
      </w:pPr>
      <w:r>
        <w:rPr>
          <w:rFonts w:hint="eastAsia" w:ascii="仿宋_GB2312" w:hAnsi="仿宋_GB2312" w:cs="仿宋_GB2312"/>
          <w:b/>
          <w:sz w:val="32"/>
          <w:szCs w:val="32"/>
          <w:lang w:val="zh-CN"/>
        </w:rPr>
        <w:t>（</w:t>
      </w:r>
      <w:r>
        <w:rPr>
          <w:rFonts w:hint="eastAsia" w:ascii="仿宋_GB2312" w:hAnsi="仿宋_GB2312" w:cs="仿宋_GB2312"/>
          <w:b/>
          <w:sz w:val="32"/>
          <w:szCs w:val="32"/>
          <w:lang w:val="en-US" w:eastAsia="zh-CN"/>
        </w:rPr>
        <w:t>二</w:t>
      </w:r>
      <w:r>
        <w:rPr>
          <w:rFonts w:hint="eastAsia" w:ascii="仿宋_GB2312" w:hAnsi="仿宋_GB2312" w:cs="仿宋_GB2312"/>
          <w:b/>
          <w:sz w:val="32"/>
          <w:szCs w:val="32"/>
          <w:lang w:val="zh-CN"/>
        </w:rPr>
        <w:t>）</w:t>
      </w:r>
      <w:r>
        <w:rPr>
          <w:rFonts w:hint="eastAsia" w:ascii="仿宋_GB2312" w:hAnsi="仿宋_GB2312" w:eastAsia="仿宋_GB2312" w:cs="仿宋_GB2312"/>
          <w:b/>
          <w:sz w:val="32"/>
          <w:szCs w:val="32"/>
          <w:lang w:val="zh-CN"/>
        </w:rPr>
        <w:t>项目效益情况</w:t>
      </w:r>
    </w:p>
    <w:p w14:paraId="1E70957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方正仿宋_GBK" w:cs="Times New Roman"/>
          <w:kern w:val="0"/>
          <w:sz w:val="32"/>
          <w:szCs w:val="32"/>
          <w:lang w:val="zh-CN" w:eastAsia="zh-CN"/>
        </w:rPr>
      </w:pPr>
      <w:r>
        <w:rPr>
          <w:rFonts w:hint="default" w:ascii="Times New Roman" w:hAnsi="Times New Roman" w:eastAsia="方正仿宋_GBK" w:cs="Times New Roman"/>
          <w:kern w:val="0"/>
          <w:sz w:val="32"/>
          <w:szCs w:val="32"/>
          <w:lang w:val="zh-CN" w:eastAsia="zh-CN"/>
        </w:rPr>
        <w:t>社会效益方面：消除交通安全隐患，为攀盐高速过境交通提供支撑。</w:t>
      </w:r>
    </w:p>
    <w:p w14:paraId="41E40AB6">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cs="仿宋_GB2312"/>
          <w:color w:val="auto"/>
          <w:sz w:val="32"/>
          <w:szCs w:val="32"/>
          <w:lang w:val="zh-CN" w:eastAsia="zh-CN"/>
        </w:rPr>
      </w:pPr>
      <w:r>
        <w:rPr>
          <w:rFonts w:hint="default" w:ascii="Times New Roman" w:hAnsi="Times New Roman" w:eastAsia="方正仿宋_GBK" w:cs="Times New Roman"/>
          <w:color w:val="auto"/>
          <w:sz w:val="32"/>
          <w:szCs w:val="32"/>
          <w:lang w:eastAsia="zh-CN"/>
        </w:rPr>
        <w:t>可持续影响方面：</w:t>
      </w:r>
      <w:r>
        <w:rPr>
          <w:rFonts w:hint="default" w:ascii="Times New Roman" w:hAnsi="Times New Roman" w:eastAsia="方正仿宋_GBK" w:cs="Times New Roman"/>
          <w:color w:val="auto"/>
          <w:sz w:val="32"/>
          <w:szCs w:val="32"/>
        </w:rPr>
        <w:t>辐射联动</w:t>
      </w:r>
      <w:r>
        <w:rPr>
          <w:rFonts w:hint="default" w:ascii="Times New Roman" w:hAnsi="Times New Roman" w:eastAsia="方正仿宋_GBK" w:cs="Times New Roman"/>
          <w:color w:val="auto"/>
          <w:sz w:val="32"/>
          <w:szCs w:val="32"/>
          <w:lang w:eastAsia="zh-CN"/>
        </w:rPr>
        <w:t>农村公路</w:t>
      </w:r>
      <w:r>
        <w:rPr>
          <w:rFonts w:hint="default" w:ascii="Times New Roman" w:hAnsi="Times New Roman" w:eastAsia="方正仿宋_GBK" w:cs="Times New Roman"/>
          <w:color w:val="auto"/>
          <w:sz w:val="32"/>
          <w:szCs w:val="32"/>
        </w:rPr>
        <w:t>，拉动经济发展，服务乡村振兴，助推和美乡村高质量建设，不断提升道路通行服务能力，降低交通安全隐患，助力产业发展。</w:t>
      </w:r>
    </w:p>
    <w:p w14:paraId="3AB0ED4A">
      <w:pPr>
        <w:adjustRightInd w:val="0"/>
        <w:snapToGrid w:val="0"/>
        <w:spacing w:line="560" w:lineRule="exact"/>
        <w:ind w:firstLine="720"/>
        <w:rPr>
          <w:rFonts w:hint="eastAsia" w:ascii="黑体" w:hAnsi="黑体" w:eastAsia="黑体" w:cs="黑体"/>
          <w:kern w:val="2"/>
          <w:sz w:val="32"/>
          <w:szCs w:val="32"/>
        </w:rPr>
      </w:pPr>
      <w:r>
        <w:rPr>
          <w:rFonts w:hint="eastAsia" w:ascii="黑体" w:hAnsi="黑体" w:eastAsia="黑体" w:cs="黑体"/>
          <w:kern w:val="2"/>
          <w:sz w:val="32"/>
          <w:szCs w:val="32"/>
        </w:rPr>
        <w:t>四、问题及建议</w:t>
      </w:r>
    </w:p>
    <w:p w14:paraId="348A906C">
      <w:pPr>
        <w:ind w:firstLine="643" w:firstLineChars="200"/>
        <w:jc w:val="both"/>
        <w:rPr>
          <w:rFonts w:ascii="仿宋_GB2312" w:hAnsi="仿宋_GB2312" w:eastAsia="仿宋_GB2312" w:cs="仿宋_GB2312"/>
          <w:b/>
          <w:sz w:val="32"/>
          <w:szCs w:val="32"/>
          <w:lang w:val="zh-CN"/>
        </w:rPr>
      </w:pPr>
      <w:r>
        <w:rPr>
          <w:rFonts w:hint="eastAsia" w:ascii="仿宋_GB2312" w:hAnsi="仿宋_GB2312" w:eastAsia="仿宋_GB2312" w:cs="仿宋_GB2312"/>
          <w:b/>
          <w:kern w:val="2"/>
          <w:sz w:val="32"/>
          <w:szCs w:val="32"/>
          <w:lang w:val="zh-CN" w:eastAsia="zh-CN"/>
        </w:rPr>
        <w:t>（一）评价结论</w:t>
      </w:r>
    </w:p>
    <w:p w14:paraId="14A226FC">
      <w:pPr>
        <w:adjustRightInd w:val="0"/>
        <w:snapToGrid w:val="0"/>
        <w:spacing w:line="600" w:lineRule="exact"/>
        <w:ind w:firstLine="640" w:firstLineChars="200"/>
        <w:rPr>
          <w:rFonts w:hint="default" w:ascii="黑体" w:hAnsi="黑体" w:eastAsia="黑体" w:cs="黑体"/>
          <w:kern w:val="2"/>
          <w:sz w:val="32"/>
          <w:szCs w:val="32"/>
          <w:lang w:val="en-US" w:eastAsia="zh-CN"/>
        </w:rPr>
      </w:pPr>
      <w:r>
        <w:rPr>
          <w:rFonts w:hint="eastAsia" w:ascii="仿宋_GB2312" w:hAnsi="仿宋_GB2312" w:eastAsia="仿宋_GB2312" w:cs="仿宋_GB2312"/>
          <w:sz w:val="32"/>
          <w:szCs w:val="32"/>
          <w:lang w:val="zh-CN"/>
        </w:rPr>
        <w:t>结合项目自身特点、评价重点及管理办法等要求，围绕专项项目支出绩效评价指标体系对项目进行总体评价。</w:t>
      </w:r>
    </w:p>
    <w:p w14:paraId="4B686572">
      <w:pPr>
        <w:numPr>
          <w:ilvl w:val="0"/>
          <w:numId w:val="0"/>
        </w:numPr>
        <w:adjustRightInd w:val="0"/>
        <w:snapToGrid w:val="0"/>
        <w:spacing w:line="600" w:lineRule="exact"/>
        <w:ind w:firstLine="720" w:firstLineChars="0"/>
        <w:rPr>
          <w:rFonts w:hint="eastAsia" w:ascii="仿宋_GB2312" w:hAnsi="仿宋_GB2312" w:eastAsia="仿宋_GB2312" w:cs="仿宋_GB2312"/>
          <w:b/>
          <w:sz w:val="32"/>
          <w:szCs w:val="32"/>
          <w:lang w:val="zh-CN"/>
        </w:rPr>
      </w:pPr>
      <w:r>
        <w:rPr>
          <w:rFonts w:hint="eastAsia" w:ascii="仿宋_GB2312" w:hAnsi="仿宋_GB2312" w:eastAsia="仿宋_GB2312" w:cs="仿宋_GB2312"/>
          <w:b/>
          <w:kern w:val="2"/>
          <w:sz w:val="32"/>
          <w:szCs w:val="32"/>
          <w:lang w:val="zh-CN" w:eastAsia="zh-CN" w:bidi="ar-SA"/>
        </w:rPr>
        <w:t>（</w:t>
      </w:r>
      <w:r>
        <w:rPr>
          <w:rFonts w:hint="eastAsia" w:ascii="仿宋_GB2312" w:hAnsi="仿宋_GB2312" w:eastAsia="仿宋_GB2312" w:cs="仿宋_GB2312"/>
          <w:b/>
          <w:kern w:val="2"/>
          <w:sz w:val="32"/>
          <w:szCs w:val="32"/>
          <w:lang w:val="en-US" w:eastAsia="zh-CN" w:bidi="ar-SA"/>
        </w:rPr>
        <w:t>二</w:t>
      </w:r>
      <w:r>
        <w:rPr>
          <w:rFonts w:hint="eastAsia" w:ascii="仿宋_GB2312" w:hAnsi="仿宋_GB2312" w:eastAsia="仿宋_GB2312" w:cs="仿宋_GB2312"/>
          <w:b/>
          <w:kern w:val="2"/>
          <w:sz w:val="32"/>
          <w:szCs w:val="32"/>
          <w:lang w:val="zh-CN" w:eastAsia="zh-CN" w:bidi="ar-SA"/>
        </w:rPr>
        <w:t>）</w:t>
      </w:r>
      <w:r>
        <w:rPr>
          <w:rFonts w:hint="eastAsia" w:ascii="仿宋_GB2312" w:hAnsi="仿宋_GB2312" w:eastAsia="仿宋_GB2312" w:cs="仿宋_GB2312"/>
          <w:b/>
          <w:sz w:val="32"/>
          <w:szCs w:val="32"/>
          <w:lang w:val="zh-CN"/>
        </w:rPr>
        <w:t>存在的问题</w:t>
      </w:r>
    </w:p>
    <w:p w14:paraId="645E24E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5B3E99E3">
      <w:pPr>
        <w:numPr>
          <w:ilvl w:val="0"/>
          <w:numId w:val="0"/>
        </w:numPr>
        <w:tabs>
          <w:tab w:val="left" w:pos="1101"/>
        </w:tabs>
        <w:adjustRightInd w:val="0"/>
        <w:snapToGrid w:val="0"/>
        <w:spacing w:line="560" w:lineRule="exact"/>
        <w:ind w:left="0" w:leftChars="0" w:firstLine="643"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kern w:val="2"/>
          <w:sz w:val="32"/>
          <w:szCs w:val="32"/>
          <w:lang w:val="zh-CN" w:eastAsia="zh-CN" w:bidi="ar-SA"/>
        </w:rPr>
        <w:t>（</w:t>
      </w:r>
      <w:r>
        <w:rPr>
          <w:rFonts w:hint="eastAsia" w:ascii="仿宋_GB2312" w:hAnsi="仿宋_GB2312" w:eastAsia="仿宋_GB2312" w:cs="仿宋_GB2312"/>
          <w:b/>
          <w:kern w:val="2"/>
          <w:sz w:val="32"/>
          <w:szCs w:val="32"/>
          <w:lang w:val="en-US" w:eastAsia="zh-CN" w:bidi="ar-SA"/>
        </w:rPr>
        <w:t>三</w:t>
      </w:r>
      <w:r>
        <w:rPr>
          <w:rFonts w:hint="eastAsia" w:ascii="仿宋_GB2312" w:hAnsi="仿宋_GB2312" w:eastAsia="仿宋_GB2312" w:cs="仿宋_GB2312"/>
          <w:b/>
          <w:kern w:val="2"/>
          <w:sz w:val="32"/>
          <w:szCs w:val="32"/>
          <w:lang w:val="zh-CN" w:eastAsia="zh-CN" w:bidi="ar-SA"/>
        </w:rPr>
        <w:t>）</w:t>
      </w:r>
      <w:r>
        <w:rPr>
          <w:rFonts w:hint="eastAsia" w:ascii="仿宋_GB2312" w:hAnsi="仿宋_GB2312" w:eastAsia="仿宋_GB2312" w:cs="仿宋_GB2312"/>
          <w:b/>
          <w:sz w:val="32"/>
          <w:szCs w:val="32"/>
          <w:lang w:val="zh-CN"/>
        </w:rPr>
        <w:t>相关建议</w:t>
      </w:r>
    </w:p>
    <w:p w14:paraId="628AE89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74749340">
      <w:pPr>
        <w:widowControl/>
        <w:jc w:val="both"/>
        <w:rPr>
          <w:rFonts w:hint="eastAsia" w:eastAsia="黑体"/>
          <w:sz w:val="44"/>
          <w:szCs w:val="44"/>
        </w:rPr>
      </w:pPr>
    </w:p>
    <w:p w14:paraId="0588DFA6">
      <w:pPr>
        <w:widowControl/>
        <w:jc w:val="center"/>
        <w:rPr>
          <w:rFonts w:hint="eastAsia" w:eastAsia="黑体"/>
          <w:sz w:val="44"/>
          <w:szCs w:val="44"/>
        </w:rPr>
      </w:pPr>
    </w:p>
    <w:p w14:paraId="37BB4E2D">
      <w:pPr>
        <w:widowControl/>
        <w:jc w:val="center"/>
        <w:rPr>
          <w:rFonts w:hint="eastAsia" w:eastAsia="黑体"/>
          <w:sz w:val="44"/>
          <w:szCs w:val="44"/>
        </w:rPr>
      </w:pPr>
    </w:p>
    <w:p w14:paraId="4961FB6A">
      <w:pPr>
        <w:widowControl/>
        <w:jc w:val="center"/>
        <w:rPr>
          <w:rFonts w:hint="eastAsia" w:eastAsia="黑体"/>
          <w:sz w:val="44"/>
          <w:szCs w:val="44"/>
        </w:rPr>
      </w:pPr>
    </w:p>
    <w:p w14:paraId="5DB361EE">
      <w:pPr>
        <w:widowControl/>
        <w:jc w:val="center"/>
        <w:rPr>
          <w:rFonts w:hint="eastAsia" w:eastAsia="黑体"/>
          <w:sz w:val="44"/>
          <w:szCs w:val="44"/>
        </w:rPr>
      </w:pPr>
    </w:p>
    <w:p w14:paraId="451A712A">
      <w:pPr>
        <w:widowControl/>
        <w:jc w:val="center"/>
        <w:rPr>
          <w:rFonts w:hint="eastAsia" w:eastAsia="黑体"/>
          <w:sz w:val="44"/>
          <w:szCs w:val="44"/>
        </w:rPr>
      </w:pPr>
    </w:p>
    <w:p w14:paraId="77A77874">
      <w:pPr>
        <w:widowControl/>
        <w:jc w:val="center"/>
        <w:rPr>
          <w:rFonts w:hint="eastAsia" w:eastAsia="黑体"/>
          <w:sz w:val="44"/>
          <w:szCs w:val="44"/>
        </w:rPr>
      </w:pPr>
    </w:p>
    <w:p w14:paraId="706F8551">
      <w:pPr>
        <w:widowControl/>
        <w:jc w:val="center"/>
        <w:rPr>
          <w:rFonts w:hint="eastAsia" w:eastAsia="黑体"/>
          <w:sz w:val="44"/>
          <w:szCs w:val="44"/>
        </w:rPr>
      </w:pPr>
    </w:p>
    <w:p w14:paraId="175775D0">
      <w:pPr>
        <w:widowControl/>
        <w:jc w:val="center"/>
        <w:rPr>
          <w:rFonts w:hint="eastAsia" w:eastAsia="黑体"/>
          <w:sz w:val="44"/>
          <w:szCs w:val="44"/>
        </w:rPr>
      </w:pPr>
    </w:p>
    <w:p w14:paraId="0B3FF3A7">
      <w:pPr>
        <w:widowControl/>
        <w:jc w:val="center"/>
        <w:rPr>
          <w:rFonts w:hint="eastAsia" w:eastAsia="黑体"/>
          <w:sz w:val="44"/>
          <w:szCs w:val="44"/>
        </w:rPr>
      </w:pPr>
    </w:p>
    <w:p w14:paraId="799CA61F">
      <w:pPr>
        <w:widowControl/>
        <w:jc w:val="center"/>
        <w:rPr>
          <w:rFonts w:hint="eastAsia" w:eastAsia="黑体"/>
          <w:sz w:val="44"/>
          <w:szCs w:val="44"/>
        </w:rPr>
      </w:pPr>
    </w:p>
    <w:p w14:paraId="5F1E245C">
      <w:pPr>
        <w:widowControl/>
        <w:jc w:val="center"/>
        <w:rPr>
          <w:rFonts w:hint="eastAsia" w:eastAsia="黑体"/>
          <w:sz w:val="44"/>
          <w:szCs w:val="44"/>
        </w:rPr>
      </w:pPr>
    </w:p>
    <w:p w14:paraId="4D96694F">
      <w:pPr>
        <w:widowControl/>
        <w:jc w:val="center"/>
        <w:rPr>
          <w:rFonts w:eastAsia="仿宋"/>
        </w:rPr>
      </w:pPr>
      <w:r>
        <w:rPr>
          <w:rFonts w:hint="eastAsia" w:eastAsia="黑体"/>
          <w:sz w:val="44"/>
          <w:szCs w:val="44"/>
        </w:rPr>
        <w:t>第</w:t>
      </w:r>
      <w:r>
        <w:rPr>
          <w:rStyle w:val="29"/>
          <w:rFonts w:hint="eastAsia" w:eastAsia="黑体"/>
          <w:b w:val="0"/>
        </w:rPr>
        <w:t>五部分 附表</w:t>
      </w:r>
      <w:bookmarkEnd w:id="45"/>
      <w:bookmarkEnd w:id="47"/>
      <w:bookmarkStart w:id="48" w:name="_Toc15396619"/>
    </w:p>
    <w:p w14:paraId="766F9E16">
      <w:pPr>
        <w:pStyle w:val="14"/>
        <w:adjustRightInd w:val="0"/>
        <w:snapToGrid w:val="0"/>
        <w:spacing w:line="560" w:lineRule="exact"/>
        <w:jc w:val="left"/>
        <w:rPr>
          <w:rFonts w:eastAsia="仿宋_GB2312" w:cs="仿宋_GB2312"/>
          <w:sz w:val="32"/>
          <w:szCs w:val="32"/>
        </w:rPr>
      </w:pPr>
    </w:p>
    <w:p w14:paraId="04518288">
      <w:pPr>
        <w:pStyle w:val="14"/>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一、收入支出决算总表</w:t>
      </w:r>
      <w:bookmarkEnd w:id="48"/>
    </w:p>
    <w:p w14:paraId="6F3FB24B">
      <w:pPr>
        <w:pStyle w:val="14"/>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方正仿宋_GBK" w:hAnsi="方正仿宋_GBK" w:eastAsia="方正仿宋_GBK" w:cs="方正仿宋_GBK"/>
          <w:sz w:val="32"/>
          <w:szCs w:val="32"/>
        </w:rPr>
      </w:pPr>
      <w:bookmarkStart w:id="49" w:name="_Toc15396620"/>
      <w:r>
        <w:rPr>
          <w:rFonts w:hint="eastAsia" w:ascii="方正仿宋_GBK" w:hAnsi="方正仿宋_GBK" w:eastAsia="方正仿宋_GBK" w:cs="方正仿宋_GBK"/>
          <w:sz w:val="32"/>
          <w:szCs w:val="32"/>
        </w:rPr>
        <w:t>二、收入决算表</w:t>
      </w:r>
      <w:bookmarkEnd w:id="49"/>
    </w:p>
    <w:p w14:paraId="35B47C5F">
      <w:pPr>
        <w:pStyle w:val="14"/>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方正仿宋_GBK" w:hAnsi="方正仿宋_GBK" w:eastAsia="方正仿宋_GBK" w:cs="方正仿宋_GBK"/>
          <w:sz w:val="32"/>
          <w:szCs w:val="32"/>
        </w:rPr>
      </w:pPr>
      <w:bookmarkStart w:id="50" w:name="_Toc15396621"/>
      <w:r>
        <w:rPr>
          <w:rFonts w:hint="eastAsia" w:ascii="方正仿宋_GBK" w:hAnsi="方正仿宋_GBK" w:eastAsia="方正仿宋_GBK" w:cs="方正仿宋_GBK"/>
          <w:sz w:val="32"/>
          <w:szCs w:val="32"/>
        </w:rPr>
        <w:t>三、支出决算表</w:t>
      </w:r>
      <w:bookmarkEnd w:id="50"/>
    </w:p>
    <w:p w14:paraId="0576115A">
      <w:pPr>
        <w:pStyle w:val="14"/>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方正仿宋_GBK" w:hAnsi="方正仿宋_GBK" w:eastAsia="方正仿宋_GBK" w:cs="方正仿宋_GBK"/>
          <w:sz w:val="32"/>
          <w:szCs w:val="32"/>
        </w:rPr>
      </w:pPr>
      <w:bookmarkStart w:id="51" w:name="_Toc15396622"/>
      <w:r>
        <w:rPr>
          <w:rFonts w:hint="eastAsia" w:ascii="方正仿宋_GBK" w:hAnsi="方正仿宋_GBK" w:eastAsia="方正仿宋_GBK" w:cs="方正仿宋_GBK"/>
          <w:sz w:val="32"/>
          <w:szCs w:val="32"/>
        </w:rPr>
        <w:t>四、财政拨款收入支出决算总表</w:t>
      </w:r>
      <w:bookmarkEnd w:id="51"/>
    </w:p>
    <w:p w14:paraId="04745715">
      <w:pPr>
        <w:pStyle w:val="14"/>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方正仿宋_GBK" w:hAnsi="方正仿宋_GBK" w:eastAsia="方正仿宋_GBK" w:cs="方正仿宋_GBK"/>
          <w:sz w:val="32"/>
          <w:szCs w:val="32"/>
        </w:rPr>
      </w:pPr>
      <w:bookmarkStart w:id="52" w:name="_Toc15396623"/>
      <w:r>
        <w:rPr>
          <w:rFonts w:hint="eastAsia" w:ascii="方正仿宋_GBK" w:hAnsi="方正仿宋_GBK" w:eastAsia="方正仿宋_GBK" w:cs="方正仿宋_GBK"/>
          <w:sz w:val="32"/>
          <w:szCs w:val="32"/>
        </w:rPr>
        <w:t>五、财政拨款支出决算明细表</w:t>
      </w:r>
      <w:bookmarkEnd w:id="52"/>
      <w:bookmarkStart w:id="53" w:name="_Toc15396624"/>
    </w:p>
    <w:p w14:paraId="19B70927">
      <w:pPr>
        <w:pStyle w:val="14"/>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六、一般公共预算财政拨款支出决算表</w:t>
      </w:r>
      <w:bookmarkEnd w:id="53"/>
    </w:p>
    <w:p w14:paraId="0BF47BFD">
      <w:pPr>
        <w:pStyle w:val="14"/>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方正仿宋_GBK" w:hAnsi="方正仿宋_GBK" w:eastAsia="方正仿宋_GBK" w:cs="方正仿宋_GBK"/>
          <w:sz w:val="32"/>
          <w:szCs w:val="32"/>
        </w:rPr>
      </w:pPr>
      <w:bookmarkStart w:id="54" w:name="_Toc15396625"/>
      <w:r>
        <w:rPr>
          <w:rFonts w:hint="eastAsia" w:ascii="方正仿宋_GBK" w:hAnsi="方正仿宋_GBK" w:eastAsia="方正仿宋_GBK" w:cs="方正仿宋_GBK"/>
          <w:sz w:val="32"/>
          <w:szCs w:val="32"/>
        </w:rPr>
        <w:t>七、一般公共预算财政拨款支出决算明细表</w:t>
      </w:r>
      <w:bookmarkEnd w:id="54"/>
    </w:p>
    <w:p w14:paraId="09D75C1D">
      <w:pPr>
        <w:pStyle w:val="14"/>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方正仿宋_GBK" w:hAnsi="方正仿宋_GBK" w:eastAsia="方正仿宋_GBK" w:cs="方正仿宋_GBK"/>
          <w:sz w:val="32"/>
          <w:szCs w:val="32"/>
        </w:rPr>
      </w:pPr>
      <w:bookmarkStart w:id="55" w:name="_Toc15396626"/>
      <w:r>
        <w:rPr>
          <w:rFonts w:hint="eastAsia" w:ascii="方正仿宋_GBK" w:hAnsi="方正仿宋_GBK" w:eastAsia="方正仿宋_GBK" w:cs="方正仿宋_GBK"/>
          <w:sz w:val="32"/>
          <w:szCs w:val="32"/>
        </w:rPr>
        <w:t>八、一般公共预算财政拨款基本支出决算表</w:t>
      </w:r>
      <w:bookmarkEnd w:id="55"/>
    </w:p>
    <w:p w14:paraId="64E9CD07">
      <w:pPr>
        <w:pStyle w:val="14"/>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方正仿宋_GBK" w:hAnsi="方正仿宋_GBK" w:eastAsia="方正仿宋_GBK" w:cs="方正仿宋_GBK"/>
          <w:sz w:val="32"/>
          <w:szCs w:val="32"/>
        </w:rPr>
      </w:pPr>
      <w:bookmarkStart w:id="56" w:name="_Toc15396627"/>
      <w:r>
        <w:rPr>
          <w:rFonts w:hint="eastAsia" w:ascii="方正仿宋_GBK" w:hAnsi="方正仿宋_GBK" w:eastAsia="方正仿宋_GBK" w:cs="方正仿宋_GBK"/>
          <w:sz w:val="32"/>
          <w:szCs w:val="32"/>
        </w:rPr>
        <w:t>九、一般公共预算财政拨款项目支出决算表</w:t>
      </w:r>
      <w:bookmarkEnd w:id="56"/>
    </w:p>
    <w:p w14:paraId="26F3CF60">
      <w:pPr>
        <w:pStyle w:val="14"/>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方正仿宋_GBK" w:hAnsi="方正仿宋_GBK" w:eastAsia="方正仿宋_GBK" w:cs="方正仿宋_GBK"/>
          <w:sz w:val="32"/>
          <w:szCs w:val="32"/>
        </w:rPr>
      </w:pPr>
      <w:bookmarkStart w:id="57" w:name="_Toc15396628"/>
      <w:r>
        <w:rPr>
          <w:rFonts w:hint="eastAsia" w:ascii="方正仿宋_GBK" w:hAnsi="方正仿宋_GBK" w:eastAsia="方正仿宋_GBK" w:cs="方正仿宋_GBK"/>
          <w:sz w:val="32"/>
          <w:szCs w:val="32"/>
        </w:rPr>
        <w:t>十、</w:t>
      </w:r>
      <w:bookmarkEnd w:id="57"/>
      <w:r>
        <w:rPr>
          <w:rFonts w:hint="eastAsia" w:ascii="方正仿宋_GBK" w:hAnsi="方正仿宋_GBK" w:eastAsia="方正仿宋_GBK" w:cs="方正仿宋_GBK"/>
          <w:sz w:val="32"/>
          <w:szCs w:val="32"/>
        </w:rPr>
        <w:t>政府性基金预算财政拨款收入支出决算表</w:t>
      </w:r>
    </w:p>
    <w:p w14:paraId="260DF592">
      <w:pPr>
        <w:pStyle w:val="14"/>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方正仿宋_GBK" w:hAnsi="方正仿宋_GBK" w:eastAsia="方正仿宋_GBK" w:cs="方正仿宋_GBK"/>
          <w:sz w:val="32"/>
          <w:szCs w:val="32"/>
        </w:rPr>
      </w:pPr>
      <w:bookmarkStart w:id="58" w:name="_Toc15396629"/>
      <w:r>
        <w:rPr>
          <w:rFonts w:hint="eastAsia" w:ascii="方正仿宋_GBK" w:hAnsi="方正仿宋_GBK" w:eastAsia="方正仿宋_GBK" w:cs="方正仿宋_GBK"/>
          <w:sz w:val="32"/>
          <w:szCs w:val="32"/>
        </w:rPr>
        <w:t>十一、</w:t>
      </w:r>
      <w:bookmarkEnd w:id="58"/>
      <w:r>
        <w:rPr>
          <w:rFonts w:hint="eastAsia" w:ascii="方正仿宋_GBK" w:hAnsi="方正仿宋_GBK" w:eastAsia="方正仿宋_GBK" w:cs="方正仿宋_GBK"/>
          <w:sz w:val="32"/>
          <w:szCs w:val="32"/>
        </w:rPr>
        <w:t>国有资本经营预算财政拨款收入支出决算表</w:t>
      </w:r>
    </w:p>
    <w:p w14:paraId="7BDB96D4">
      <w:pPr>
        <w:pStyle w:val="14"/>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方正仿宋_GBK" w:hAnsi="方正仿宋_GBK" w:eastAsia="方正仿宋_GBK" w:cs="方正仿宋_GBK"/>
          <w:sz w:val="32"/>
          <w:szCs w:val="32"/>
        </w:rPr>
      </w:pPr>
      <w:bookmarkStart w:id="59" w:name="_Toc15396630"/>
      <w:r>
        <w:rPr>
          <w:rFonts w:hint="eastAsia" w:ascii="方正仿宋_GBK" w:hAnsi="方正仿宋_GBK" w:eastAsia="方正仿宋_GBK" w:cs="方正仿宋_GBK"/>
          <w:sz w:val="32"/>
          <w:szCs w:val="32"/>
        </w:rPr>
        <w:t>十二、</w:t>
      </w:r>
      <w:bookmarkEnd w:id="59"/>
      <w:r>
        <w:rPr>
          <w:rFonts w:hint="eastAsia" w:ascii="方正仿宋_GBK" w:hAnsi="方正仿宋_GBK" w:eastAsia="方正仿宋_GBK" w:cs="方正仿宋_GBK"/>
          <w:sz w:val="32"/>
          <w:szCs w:val="32"/>
        </w:rPr>
        <w:t>国有资本经营预算财政拨款支出决算表</w:t>
      </w:r>
    </w:p>
    <w:p w14:paraId="4AC14DEC">
      <w:pPr>
        <w:pStyle w:val="14"/>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left"/>
        <w:textAlignment w:val="auto"/>
        <w:rPr>
          <w:rFonts w:hint="eastAsia" w:ascii="方正仿宋_GBK" w:hAnsi="方正仿宋_GBK" w:eastAsia="方正仿宋_GBK" w:cs="方正仿宋_GBK"/>
          <w:sz w:val="32"/>
          <w:szCs w:val="32"/>
        </w:rPr>
      </w:pPr>
      <w:bookmarkStart w:id="60" w:name="_Toc15396631"/>
      <w:r>
        <w:rPr>
          <w:rFonts w:hint="eastAsia" w:ascii="方正仿宋_GBK" w:hAnsi="方正仿宋_GBK" w:eastAsia="方正仿宋_GBK" w:cs="方正仿宋_GBK"/>
          <w:sz w:val="32"/>
          <w:szCs w:val="32"/>
        </w:rPr>
        <w:t>十三、</w:t>
      </w:r>
      <w:bookmarkEnd w:id="60"/>
      <w:r>
        <w:rPr>
          <w:rFonts w:hint="eastAsia" w:ascii="方正仿宋_GBK" w:hAnsi="方正仿宋_GBK" w:eastAsia="方正仿宋_GBK" w:cs="方正仿宋_GBK"/>
          <w:sz w:val="32"/>
          <w:szCs w:val="32"/>
        </w:rPr>
        <w:t>财政拨款“三公”经费支出决算表</w:t>
      </w:r>
    </w:p>
    <w:p w14:paraId="34112E57"/>
    <w:sectPr>
      <w:footerReference r:id="rId8" w:type="first"/>
      <w:footerReference r:id="rId7"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1D490">
    <w:pPr>
      <w:pStyle w:val="10"/>
      <w:jc w:val="center"/>
    </w:pPr>
  </w:p>
  <w:p w14:paraId="2E11691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8DC0">
    <w:pPr>
      <w:pStyle w:val="1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16F96">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3C16F96">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1C729DC1">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6F077">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57B392">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557B392">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67B74">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77DA92">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477DA92">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7137974A">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96CA5">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49F66F">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C49F66F">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2E53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EA095"/>
    <w:multiLevelType w:val="singleLevel"/>
    <w:tmpl w:val="A0DEA095"/>
    <w:lvl w:ilvl="0" w:tentative="0">
      <w:start w:val="2"/>
      <w:numFmt w:val="chineseCounting"/>
      <w:suff w:val="nothing"/>
      <w:lvlText w:val="（%1）"/>
      <w:lvlJc w:val="left"/>
      <w:rPr>
        <w:rFonts w:hint="eastAsia"/>
      </w:rPr>
    </w:lvl>
  </w:abstractNum>
  <w:abstractNum w:abstractNumId="1">
    <w:nsid w:val="A395569E"/>
    <w:multiLevelType w:val="singleLevel"/>
    <w:tmpl w:val="A395569E"/>
    <w:lvl w:ilvl="0" w:tentative="0">
      <w:start w:val="3"/>
      <w:numFmt w:val="chineseCounting"/>
      <w:suff w:val="nothing"/>
      <w:lvlText w:val="（%1）"/>
      <w:lvlJc w:val="left"/>
      <w:rPr>
        <w:rFonts w:hint="eastAsia"/>
      </w:rPr>
    </w:lvl>
  </w:abstractNum>
  <w:abstractNum w:abstractNumId="2">
    <w:nsid w:val="F7374395"/>
    <w:multiLevelType w:val="singleLevel"/>
    <w:tmpl w:val="F7374395"/>
    <w:lvl w:ilvl="0" w:tentative="0">
      <w:start w:val="2"/>
      <w:numFmt w:val="chineseCounting"/>
      <w:suff w:val="nothing"/>
      <w:lvlText w:val="（%1）"/>
      <w:lvlJc w:val="left"/>
      <w:rPr>
        <w:rFonts w:hint="eastAsia"/>
      </w:rPr>
    </w:lvl>
  </w:abstractNum>
  <w:abstractNum w:abstractNumId="3">
    <w:nsid w:val="3BB2B251"/>
    <w:multiLevelType w:val="singleLevel"/>
    <w:tmpl w:val="3BB2B251"/>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452C6"/>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66EC1"/>
    <w:rsid w:val="0037013F"/>
    <w:rsid w:val="0037413C"/>
    <w:rsid w:val="00380C92"/>
    <w:rsid w:val="003A484F"/>
    <w:rsid w:val="003A4883"/>
    <w:rsid w:val="003B0BE0"/>
    <w:rsid w:val="003B0C1B"/>
    <w:rsid w:val="003B688C"/>
    <w:rsid w:val="003C0291"/>
    <w:rsid w:val="003C39AE"/>
    <w:rsid w:val="003C7B60"/>
    <w:rsid w:val="003D0952"/>
    <w:rsid w:val="003D0C0F"/>
    <w:rsid w:val="003D1FB2"/>
    <w:rsid w:val="003D66DA"/>
    <w:rsid w:val="003E1310"/>
    <w:rsid w:val="003E6F55"/>
    <w:rsid w:val="00406254"/>
    <w:rsid w:val="004223DE"/>
    <w:rsid w:val="00434489"/>
    <w:rsid w:val="00437085"/>
    <w:rsid w:val="00443880"/>
    <w:rsid w:val="004464F4"/>
    <w:rsid w:val="004664C8"/>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3B4"/>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0BBC"/>
    <w:rsid w:val="00A4142F"/>
    <w:rsid w:val="00A422EB"/>
    <w:rsid w:val="00A45BB7"/>
    <w:rsid w:val="00A56DF2"/>
    <w:rsid w:val="00A56E6E"/>
    <w:rsid w:val="00A620B9"/>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1DD0"/>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D518F"/>
    <w:rsid w:val="00FF1E02"/>
    <w:rsid w:val="00FF30B4"/>
    <w:rsid w:val="012A5EC2"/>
    <w:rsid w:val="015975B8"/>
    <w:rsid w:val="02FEBE30"/>
    <w:rsid w:val="04916F1E"/>
    <w:rsid w:val="061E35DE"/>
    <w:rsid w:val="066E0107"/>
    <w:rsid w:val="06EC4EDB"/>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053D"/>
    <w:rsid w:val="14B17F78"/>
    <w:rsid w:val="15AC065A"/>
    <w:rsid w:val="165E0673"/>
    <w:rsid w:val="16B831D5"/>
    <w:rsid w:val="16BB723D"/>
    <w:rsid w:val="17E50567"/>
    <w:rsid w:val="186504BB"/>
    <w:rsid w:val="19A445FC"/>
    <w:rsid w:val="1BAD4F97"/>
    <w:rsid w:val="1BE8440E"/>
    <w:rsid w:val="1CC6347C"/>
    <w:rsid w:val="1D155CEE"/>
    <w:rsid w:val="1D1638FE"/>
    <w:rsid w:val="1E312DEB"/>
    <w:rsid w:val="1E740ACF"/>
    <w:rsid w:val="1FF35744"/>
    <w:rsid w:val="1FF6BC77"/>
    <w:rsid w:val="2186353C"/>
    <w:rsid w:val="22D35FD4"/>
    <w:rsid w:val="22F03946"/>
    <w:rsid w:val="23860B96"/>
    <w:rsid w:val="240371BF"/>
    <w:rsid w:val="244F3473"/>
    <w:rsid w:val="24C97D99"/>
    <w:rsid w:val="25A718F0"/>
    <w:rsid w:val="25BB59F6"/>
    <w:rsid w:val="260F557C"/>
    <w:rsid w:val="26970054"/>
    <w:rsid w:val="27920998"/>
    <w:rsid w:val="281408E2"/>
    <w:rsid w:val="28C43394"/>
    <w:rsid w:val="29FD04D3"/>
    <w:rsid w:val="2BFF7BC6"/>
    <w:rsid w:val="2C8A61B5"/>
    <w:rsid w:val="2CE6717A"/>
    <w:rsid w:val="2DF04E50"/>
    <w:rsid w:val="2E586DFA"/>
    <w:rsid w:val="2F040D46"/>
    <w:rsid w:val="2F3A5532"/>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36A41EB"/>
    <w:rsid w:val="43CC351F"/>
    <w:rsid w:val="44E268DA"/>
    <w:rsid w:val="450D13D7"/>
    <w:rsid w:val="45506656"/>
    <w:rsid w:val="486A6C7A"/>
    <w:rsid w:val="4A627F82"/>
    <w:rsid w:val="4B0E749A"/>
    <w:rsid w:val="4B2477C4"/>
    <w:rsid w:val="4B4F25DA"/>
    <w:rsid w:val="4BE068DB"/>
    <w:rsid w:val="4D577224"/>
    <w:rsid w:val="4DBF1CEB"/>
    <w:rsid w:val="4DF0007C"/>
    <w:rsid w:val="4E664D8E"/>
    <w:rsid w:val="4EAB630A"/>
    <w:rsid w:val="4ECE2238"/>
    <w:rsid w:val="4F833267"/>
    <w:rsid w:val="4FE9BD67"/>
    <w:rsid w:val="4FFB052F"/>
    <w:rsid w:val="537E6D0A"/>
    <w:rsid w:val="53F74C96"/>
    <w:rsid w:val="54C251AB"/>
    <w:rsid w:val="55170BA8"/>
    <w:rsid w:val="553218C9"/>
    <w:rsid w:val="567E1AA5"/>
    <w:rsid w:val="56E47B74"/>
    <w:rsid w:val="57175D52"/>
    <w:rsid w:val="57BD3DD4"/>
    <w:rsid w:val="588F463E"/>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3F451D6"/>
    <w:rsid w:val="647F5392"/>
    <w:rsid w:val="65E66580"/>
    <w:rsid w:val="664B1D71"/>
    <w:rsid w:val="664B4E8E"/>
    <w:rsid w:val="67277B67"/>
    <w:rsid w:val="67AA3209"/>
    <w:rsid w:val="689A6BBB"/>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D847C1"/>
    <w:rsid w:val="6FEFFFD8"/>
    <w:rsid w:val="6FF5CC65"/>
    <w:rsid w:val="6FFB47EC"/>
    <w:rsid w:val="6FFF034A"/>
    <w:rsid w:val="70484440"/>
    <w:rsid w:val="70824C02"/>
    <w:rsid w:val="712A28F1"/>
    <w:rsid w:val="715C0E4B"/>
    <w:rsid w:val="71992E7C"/>
    <w:rsid w:val="72233669"/>
    <w:rsid w:val="724114F6"/>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BD3A38"/>
    <w:rsid w:val="7AD284E8"/>
    <w:rsid w:val="7AFF7572"/>
    <w:rsid w:val="7B6C7DFB"/>
    <w:rsid w:val="7BBFBED0"/>
    <w:rsid w:val="7BC3E394"/>
    <w:rsid w:val="7C1F3737"/>
    <w:rsid w:val="7CBFC87B"/>
    <w:rsid w:val="7CFE0F48"/>
    <w:rsid w:val="7D272ABC"/>
    <w:rsid w:val="7D7EC23E"/>
    <w:rsid w:val="7E434D5F"/>
    <w:rsid w:val="7E8ADEBF"/>
    <w:rsid w:val="7EEF11D3"/>
    <w:rsid w:val="7EFE4840"/>
    <w:rsid w:val="7F0971A6"/>
    <w:rsid w:val="7F1D62E7"/>
    <w:rsid w:val="7F3F679B"/>
    <w:rsid w:val="7F4FC4EF"/>
    <w:rsid w:val="7F5D53A7"/>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2"/>
    <w:qFormat/>
    <w:uiPriority w:val="9"/>
    <w:rPr>
      <w:rFonts w:ascii="Times New Roman" w:hAnsi="Times New Roman"/>
      <w:b/>
      <w:bCs/>
      <w:kern w:val="44"/>
      <w:sz w:val="44"/>
      <w:szCs w:val="44"/>
    </w:rPr>
  </w:style>
  <w:style w:type="character" w:customStyle="1" w:styleId="30">
    <w:name w:val="标题 2 Char"/>
    <w:basedOn w:val="17"/>
    <w:link w:val="3"/>
    <w:qFormat/>
    <w:uiPriority w:val="9"/>
    <w:rPr>
      <w:rFonts w:asciiTheme="majorHAnsi" w:hAnsiTheme="majorHAnsi" w:eastAsiaTheme="majorEastAsia" w:cstheme="majorBidi"/>
      <w:b/>
      <w:bCs/>
      <w:kern w:val="2"/>
      <w:sz w:val="32"/>
      <w:szCs w:val="32"/>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4"/>
    <w:qFormat/>
    <w:uiPriority w:val="9"/>
    <w:rPr>
      <w:rFonts w:ascii="Times New Roman" w:hAnsi="Times New Roman"/>
      <w:b/>
      <w:bCs/>
      <w:kern w:val="2"/>
      <w:sz w:val="32"/>
      <w:szCs w:val="32"/>
    </w:rPr>
  </w:style>
  <w:style w:type="paragraph" w:customStyle="1" w:styleId="3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2" Type="http://schemas.openxmlformats.org/officeDocument/2006/relationships/themeOverride" Target="../theme/themeOverride6.xml"/><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4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a:t>支出决算总计变动情况</a:t>
            </a:r>
            <a:endParaRPr lang="zh-CN" altLang="en-US"/>
          </a:p>
        </c:rich>
      </c:tx>
      <c:layout/>
      <c:overlay val="0"/>
      <c:spPr>
        <a:noFill/>
        <a:ln w="25400">
          <a:noFill/>
        </a:ln>
      </c:spPr>
    </c:title>
    <c:autoTitleDeleted val="0"/>
    <c:plotArea>
      <c:layout/>
      <c:barChart>
        <c:barDir val="col"/>
        <c:grouping val="clustered"/>
        <c:varyColors val="0"/>
        <c:ser>
          <c:idx val="0"/>
          <c:order val="0"/>
          <c:tx>
            <c:strRef>
              <c:f>Sheet1!$A$58</c:f>
              <c:strCache>
                <c:ptCount val="1"/>
                <c:pt idx="0">
                  <c:v>收入、支出总计</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Sheet1!$B$55:$C$55</c:f>
              <c:numCache>
                <c:formatCode>General</c:formatCode>
                <c:ptCount val="2"/>
                <c:pt idx="0">
                  <c:v>2023</c:v>
                </c:pt>
                <c:pt idx="1">
                  <c:v>2024</c:v>
                </c:pt>
              </c:numCache>
            </c:numRef>
          </c:cat>
          <c:val>
            <c:numRef>
              <c:f>Sheet1!$B$56:$C$56</c:f>
              <c:numCache>
                <c:formatCode>General</c:formatCode>
                <c:ptCount val="2"/>
                <c:pt idx="0">
                  <c:v>6324.8</c:v>
                </c:pt>
                <c:pt idx="1">
                  <c:v>16361.52</c:v>
                </c:pt>
              </c:numCache>
            </c:numRef>
          </c:val>
        </c:ser>
        <c:dLbls>
          <c:showLegendKey val="0"/>
          <c:showVal val="0"/>
          <c:showCatName val="0"/>
          <c:showSerName val="0"/>
          <c:showPercent val="0"/>
          <c:showBubbleSize val="0"/>
        </c:dLbls>
        <c:gapWidth val="150"/>
        <c:axId val="211977216"/>
        <c:axId val="182899776"/>
      </c:barChart>
      <c:catAx>
        <c:axId val="211977216"/>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82899776"/>
        <c:crosses val="autoZero"/>
        <c:auto val="1"/>
        <c:lblAlgn val="ctr"/>
        <c:lblOffset val="100"/>
        <c:noMultiLvlLbl val="0"/>
      </c:catAx>
      <c:valAx>
        <c:axId val="182899776"/>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11977216"/>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95500009307347"/>
          <c:y val="0.507499887697412"/>
          <c:w val="0.198499953463264"/>
          <c:h val="0.150456008862915"/>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a6d2938c-521f-43a2-a2b4-9b665491dc3f}"/>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600" b="0" i="0" u="none" strike="noStrike" baseline="0">
                <a:solidFill>
                  <a:srgbClr val="000000"/>
                </a:solidFill>
                <a:latin typeface="宋体" panose="02010600030101010101" charset="-122"/>
                <a:ea typeface="宋体" panose="02010600030101010101" charset="-122"/>
              </a:rPr>
              <a:t>图</a:t>
            </a:r>
            <a:r>
              <a:rPr lang="en-US" altLang="zh-CN" sz="1600" b="0" i="0" u="none" strike="noStrike" baseline="0">
                <a:solidFill>
                  <a:srgbClr val="000000"/>
                </a:solidFill>
                <a:latin typeface="宋体" panose="02010600030101010101" charset="-122"/>
                <a:ea typeface="宋体" panose="02010600030101010101" charset="-122"/>
              </a:rPr>
              <a:t>2    </a:t>
            </a:r>
            <a:r>
              <a:rPr lang="zh-CN" altLang="en-US" sz="1600" b="0" i="0" u="none" strike="noStrike" baseline="0">
                <a:solidFill>
                  <a:srgbClr val="000000"/>
                </a:solidFill>
                <a:latin typeface="宋体" panose="02010600030101010101" charset="-122"/>
                <a:ea typeface="宋体" panose="02010600030101010101" charset="-122"/>
              </a:rPr>
              <a:t>收入决算结构图</a:t>
            </a:r>
            <a:endParaRPr lang="zh-CN" altLang="en-US" sz="16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Pt>
            <c:idx val="3"/>
            <c:bubble3D val="0"/>
            <c:spPr>
              <a:solidFill>
                <a:srgbClr val="CCFFFF"/>
              </a:solidFill>
              <a:ln w="12700">
                <a:solidFill>
                  <a:srgbClr val="000000">
                    <a:alpha val="100000"/>
                  </a:srgbClr>
                </a:solidFill>
                <a:prstDash val="solid"/>
              </a:ln>
              <a:effectLst/>
            </c:spPr>
          </c:dPt>
          <c:dPt>
            <c:idx val="4"/>
            <c:bubble3D val="0"/>
            <c:spPr>
              <a:solidFill>
                <a:srgbClr val="660066"/>
              </a:solidFill>
              <a:ln w="12700">
                <a:solidFill>
                  <a:srgbClr val="000000">
                    <a:alpha val="100000"/>
                  </a:srgbClr>
                </a:solidFill>
                <a:prstDash val="solid"/>
              </a:ln>
              <a:effectLst/>
            </c:spPr>
          </c:dPt>
          <c:dPt>
            <c:idx val="5"/>
            <c:bubble3D val="0"/>
            <c:spPr>
              <a:solidFill>
                <a:srgbClr val="FF8080"/>
              </a:solidFill>
              <a:ln w="12700">
                <a:solidFill>
                  <a:srgbClr val="000000">
                    <a:alpha val="100000"/>
                  </a:srgbClr>
                </a:solidFill>
                <a:prstDash val="solid"/>
              </a:ln>
              <a:effectLst/>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Sheet1!$C$3:$C$8</c:f>
              <c:numCache>
                <c:formatCode>General</c:formatCode>
                <c:ptCount val="6"/>
                <c:pt idx="0">
                  <c:v>9595.14</c:v>
                </c:pt>
                <c:pt idx="1">
                  <c:v>3176.86</c:v>
                </c:pt>
                <c:pt idx="2">
                  <c:v>0</c:v>
                </c:pt>
                <c:pt idx="3">
                  <c:v>0</c:v>
                </c:pt>
                <c:pt idx="4">
                  <c:v>0</c:v>
                </c:pt>
                <c:pt idx="5">
                  <c:v>3589.52</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Pt>
            <c:idx val="3"/>
            <c:bubble3D val="0"/>
            <c:spPr>
              <a:solidFill>
                <a:srgbClr val="CCFFFF"/>
              </a:solidFill>
              <a:ln w="12700">
                <a:solidFill>
                  <a:srgbClr val="000000"/>
                </a:solidFill>
                <a:prstDash val="solid"/>
              </a:ln>
            </c:spPr>
          </c:dPt>
          <c:dPt>
            <c:idx val="4"/>
            <c:bubble3D val="0"/>
            <c:spPr>
              <a:solidFill>
                <a:srgbClr val="660066"/>
              </a:solidFill>
              <a:ln w="12700">
                <a:solidFill>
                  <a:srgbClr val="000000"/>
                </a:solidFill>
                <a:prstDash val="solid"/>
              </a:ln>
            </c:spPr>
          </c:dPt>
          <c:dPt>
            <c:idx val="5"/>
            <c:bubble3D val="0"/>
            <c:spPr>
              <a:solidFill>
                <a:srgbClr val="FF8080"/>
              </a:solidFill>
              <a:ln w="12700">
                <a:solidFill>
                  <a:srgbClr val="000000"/>
                </a:solidFill>
                <a:prstDash val="solid"/>
              </a:ln>
            </c:spPr>
          </c:dPt>
          <c:dLbls>
            <c:delete val="1"/>
          </c:dLbls>
          <c:cat>
            <c:strRef>
              <c:f>Sheet1!$B$3:$B$8</c:f>
              <c:strCache>
                <c:ptCount val="6"/>
                <c:pt idx="0">
                  <c:v>一般公共预算财政拨款收入</c:v>
                </c:pt>
                <c:pt idx="1">
                  <c:v>政府性基金预算财政拨款收入</c:v>
                </c:pt>
                <c:pt idx="2">
                  <c:v>国有资本经营预算财政拨款收入</c:v>
                </c:pt>
                <c:pt idx="3">
                  <c:v>事业收入</c:v>
                </c:pt>
                <c:pt idx="4">
                  <c:v>附属单位上缴收入</c:v>
                </c:pt>
                <c:pt idx="5">
                  <c:v>其他收入</c:v>
                </c:pt>
              </c:strCache>
            </c:strRef>
          </c:cat>
          <c:val>
            <c:numRef>
              <c:f>Sheet1!$D$3:$D$8</c:f>
              <c:numCache>
                <c:formatCode>0.00%</c:formatCode>
                <c:ptCount val="6"/>
                <c:pt idx="0">
                  <c:v>0.586445513619761</c:v>
                </c:pt>
                <c:pt idx="1">
                  <c:v>0.194166556652438</c:v>
                </c:pt>
                <c:pt idx="2">
                  <c:v>0</c:v>
                </c:pt>
                <c:pt idx="3">
                  <c:v>0</c:v>
                </c:pt>
                <c:pt idx="4">
                  <c:v>0</c:v>
                </c:pt>
                <c:pt idx="5">
                  <c:v>0.2193879297278</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9500023927584"/>
          <c:y val="0.235749921841487"/>
          <c:w val="0.334499968710082"/>
          <c:h val="0.664749856406453"/>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f1be8c32-b6c5-478c-a7fb-1663d68901be}"/>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  支出决算结构图</a:t>
            </a:r>
            <a:endParaRPr lang="zh-CN" altLang="en-US" sz="14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Lbls>
            <c:dLbl>
              <c:idx val="0"/>
              <c:layout>
                <c:manualLayout>
                  <c:x val="-0.0861303111169681"/>
                  <c:y val="0.151595815066053"/>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0847821009821471"/>
                  <c:y val="-0.1865189289012"/>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Sheet1!$B$34:$B$35</c:f>
              <c:strCache>
                <c:ptCount val="2"/>
                <c:pt idx="0">
                  <c:v>基本支出</c:v>
                </c:pt>
                <c:pt idx="1">
                  <c:v>项目支出</c:v>
                </c:pt>
              </c:strCache>
            </c:strRef>
          </c:cat>
          <c:val>
            <c:numRef>
              <c:f>Sheet1!$C$34:$C$35</c:f>
              <c:numCache>
                <c:formatCode>General</c:formatCode>
                <c:ptCount val="2"/>
                <c:pt idx="0">
                  <c:v>1143.52</c:v>
                </c:pt>
                <c:pt idx="1">
                  <c:v>15218.01</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Lbls>
            <c:delete val="1"/>
          </c:dLbls>
          <c:cat>
            <c:strRef>
              <c:f>Sheet1!$B$34:$B$35</c:f>
              <c:strCache>
                <c:ptCount val="2"/>
                <c:pt idx="0">
                  <c:v>基本支出</c:v>
                </c:pt>
                <c:pt idx="1">
                  <c:v>项目支出</c:v>
                </c:pt>
              </c:strCache>
            </c:strRef>
          </c:cat>
          <c:val>
            <c:numRef>
              <c:f>Sheet1!$D$34:$D$35</c:f>
              <c:numCache>
                <c:formatCode>0.00%</c:formatCode>
                <c:ptCount val="2"/>
                <c:pt idx="0">
                  <c:v>0.0698908169901085</c:v>
                </c:pt>
                <c:pt idx="1">
                  <c:v>0.93010979420005</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757000040266933"/>
          <c:y val="0.4175000973543"/>
          <c:w val="0.237249988102952"/>
          <c:h val="0.298249959111194"/>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0effffcb-e208-4fcc-a17a-6450f69a640c}"/>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000000"/>
                </a:solidFill>
                <a:latin typeface="宋体" panose="02010600030101010101" charset="-122"/>
                <a:ea typeface="宋体" panose="02010600030101010101" charset="-122"/>
              </a:rPr>
              <a:t>4    </a:t>
            </a:r>
            <a:r>
              <a:rPr lang="zh-CN" altLang="en-US" sz="1400" b="0" i="0" u="none" strike="noStrike" baseline="0">
                <a:solidFill>
                  <a:srgbClr val="000000"/>
                </a:solidFill>
                <a:latin typeface="宋体" panose="02010600030101010101" charset="-122"/>
                <a:ea typeface="宋体" panose="02010600030101010101" charset="-122"/>
              </a:rPr>
              <a:t>财政拨款收、支总计决算变动情况</a:t>
            </a:r>
            <a:endParaRPr lang="zh-CN" altLang="en-US" sz="1400" b="0" i="0" u="none" strike="noStrike" baseline="0">
              <a:solidFill>
                <a:srgbClr val="000000"/>
              </a:solidFill>
              <a:latin typeface="宋体" panose="02010600030101010101" charset="-122"/>
              <a:ea typeface="宋体" panose="02010600030101010101" charset="-122"/>
            </a:endParaRPr>
          </a:p>
        </c:rich>
      </c:tx>
      <c:layout/>
      <c:overlay val="0"/>
      <c:spPr>
        <a:noFill/>
        <a:ln w="25400">
          <a:noFill/>
        </a:ln>
      </c:spPr>
    </c:title>
    <c:autoTitleDeleted val="0"/>
    <c:plotArea>
      <c:layout/>
      <c:barChart>
        <c:barDir val="col"/>
        <c:grouping val="clustered"/>
        <c:varyColors val="0"/>
        <c:ser>
          <c:idx val="0"/>
          <c:order val="0"/>
          <c:tx>
            <c:strRef>
              <c:f>Sheet1!$A$168</c:f>
              <c:strCache>
                <c:ptCount val="1"/>
                <c:pt idx="0">
                  <c:v>财政拨款收入、支出总计</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Sheet1!$B$164:$C$164</c:f>
              <c:strCache>
                <c:ptCount val="2"/>
                <c:pt idx="0">
                  <c:v>2023年</c:v>
                </c:pt>
                <c:pt idx="1">
                  <c:v>2024年</c:v>
                </c:pt>
              </c:strCache>
            </c:strRef>
          </c:cat>
          <c:val>
            <c:numRef>
              <c:f>Sheet1!$B$165:$C$165</c:f>
              <c:numCache>
                <c:formatCode>General</c:formatCode>
                <c:ptCount val="2"/>
                <c:pt idx="0">
                  <c:v>6324.8</c:v>
                </c:pt>
                <c:pt idx="1">
                  <c:v>16078.41</c:v>
                </c:pt>
              </c:numCache>
            </c:numRef>
          </c:val>
        </c:ser>
        <c:dLbls>
          <c:showLegendKey val="0"/>
          <c:showVal val="0"/>
          <c:showCatName val="0"/>
          <c:showSerName val="0"/>
          <c:showPercent val="0"/>
          <c:showBubbleSize val="0"/>
        </c:dLbls>
        <c:gapWidth val="150"/>
        <c:axId val="211977728"/>
        <c:axId val="188682752"/>
      </c:barChart>
      <c:catAx>
        <c:axId val="211977728"/>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88682752"/>
        <c:crosses val="autoZero"/>
        <c:auto val="1"/>
        <c:lblAlgn val="ctr"/>
        <c:lblOffset val="100"/>
        <c:noMultiLvlLbl val="0"/>
      </c:catAx>
      <c:valAx>
        <c:axId val="188682752"/>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11977728"/>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702499971676202"/>
          <c:y val="0.504249938370963"/>
          <c:w val="0.291000056647595"/>
          <c:h val="0.154150221962995"/>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55452e67-c8e7-4d32-8abb-a5f41bace817}"/>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Sheet1!$A$85</c:f>
              <c:strCache>
                <c:ptCount val="1"/>
                <c:pt idx="0">
                  <c:v>一般公共预算财政拨款支出</c:v>
                </c:pt>
              </c:strCache>
            </c:strRef>
          </c:tx>
          <c:spPr>
            <a:solidFill>
              <a:srgbClr val="9999FF"/>
            </a:solidFill>
            <a:ln w="12700">
              <a:solidFill>
                <a:srgbClr val="000000">
                  <a:alpha val="100000"/>
                </a:srgbClr>
              </a:solidFill>
              <a:prstDash val="solid"/>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Sheet1!$B$81:$C$81</c:f>
              <c:strCache>
                <c:ptCount val="2"/>
                <c:pt idx="0">
                  <c:v>2023年</c:v>
                </c:pt>
                <c:pt idx="1">
                  <c:v>2024年</c:v>
                </c:pt>
              </c:strCache>
            </c:strRef>
          </c:cat>
          <c:val>
            <c:numRef>
              <c:f>Sheet1!$B$82:$C$82</c:f>
              <c:numCache>
                <c:formatCode>General</c:formatCode>
                <c:ptCount val="2"/>
                <c:pt idx="0">
                  <c:v>6324.8</c:v>
                </c:pt>
                <c:pt idx="1">
                  <c:v>9595.14</c:v>
                </c:pt>
              </c:numCache>
            </c:numRef>
          </c:val>
        </c:ser>
        <c:dLbls>
          <c:showLegendKey val="0"/>
          <c:showVal val="0"/>
          <c:showCatName val="0"/>
          <c:showSerName val="0"/>
          <c:showPercent val="0"/>
          <c:showBubbleSize val="0"/>
        </c:dLbls>
        <c:gapWidth val="150"/>
        <c:axId val="211978240"/>
        <c:axId val="188684480"/>
      </c:barChart>
      <c:catAx>
        <c:axId val="211978240"/>
        <c:scaling>
          <c:orientation val="minMax"/>
        </c:scaling>
        <c:delete val="0"/>
        <c:axPos val="b"/>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188684480"/>
        <c:crosses val="autoZero"/>
        <c:auto val="1"/>
        <c:lblAlgn val="ctr"/>
        <c:lblOffset val="100"/>
        <c:noMultiLvlLbl val="0"/>
      </c:catAx>
      <c:valAx>
        <c:axId val="188684480"/>
        <c:scaling>
          <c:orientation val="minMax"/>
        </c:scaling>
        <c:delete val="0"/>
        <c:axPos val="l"/>
        <c:majorGridlines>
          <c:spPr>
            <a:ln w="3175" cap="flat" cmpd="sng" algn="ctr">
              <a:solidFill>
                <a:srgbClr val="000000">
                  <a:alpha val="100000"/>
                </a:srgbClr>
              </a:solidFill>
              <a:prstDash val="solid"/>
              <a:round/>
            </a:ln>
            <a:effectLst/>
          </c:spPr>
        </c:majorGridlines>
        <c:numFmt formatCode="General" sourceLinked="1"/>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211978240"/>
        <c:crosses val="autoZero"/>
        <c:crossBetween val="between"/>
      </c:valAx>
      <c:spPr>
        <a:solidFill>
          <a:srgbClr val="C0C0C0">
            <a:alpha val="100000"/>
          </a:srgbClr>
        </a:solidFill>
        <a:ln w="12700">
          <a:solidFill>
            <a:srgbClr val="808080">
              <a:alpha val="100000"/>
            </a:srgbClr>
          </a:solidFill>
          <a:prstDash val="solid"/>
        </a:ln>
        <a:effectLst/>
      </c:spPr>
    </c:plotArea>
    <c:legend>
      <c:legendPos val="r"/>
      <c:layout>
        <c:manualLayout>
          <c:xMode val="edge"/>
          <c:yMode val="edge"/>
          <c:x val="0.678749986038979"/>
          <c:y val="0.505750039035489"/>
          <c:w val="0.315249976731632"/>
          <c:h val="0.13336972448996"/>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a4193d3a-2739-4b63-8698-dca4acfaea00}"/>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Lbls>
            <c:delete val="1"/>
          </c:dLbls>
          <c:cat>
            <c:strRef>
              <c:f>Sheet1!$A$2:$A$7</c:f>
              <c:strCache>
                <c:ptCount val="6"/>
                <c:pt idx="0">
                  <c:v>一般公共服务支出</c:v>
                </c:pt>
                <c:pt idx="1">
                  <c:v>社会保障和就业支出</c:v>
                </c:pt>
                <c:pt idx="2">
                  <c:v>卫生健康支出</c:v>
                </c:pt>
                <c:pt idx="3">
                  <c:v>农林水支出</c:v>
                </c:pt>
                <c:pt idx="4">
                  <c:v>交通运输支出</c:v>
                </c:pt>
                <c:pt idx="5">
                  <c:v>住房保障支出</c:v>
                </c:pt>
              </c:strCache>
            </c:strRef>
          </c:cat>
          <c:val>
            <c:numRef>
              <c:f>Sheet1!$B$2:$B$7</c:f>
              <c:numCache>
                <c:formatCode>General</c:formatCode>
                <c:ptCount val="6"/>
                <c:pt idx="0">
                  <c:v>2</c:v>
                </c:pt>
                <c:pt idx="1">
                  <c:v>312.32</c:v>
                </c:pt>
                <c:pt idx="2">
                  <c:v>74.2</c:v>
                </c:pt>
                <c:pt idx="3">
                  <c:v>2</c:v>
                </c:pt>
                <c:pt idx="4">
                  <c:v>9136.46</c:v>
                </c:pt>
                <c:pt idx="5">
                  <c:v>68.16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a11453e-7708-4c04-a1c0-eabd4533df8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1400" b="0" i="0" u="none" strike="noStrike" baseline="0">
                <a:solidFill>
                  <a:srgbClr val="000000"/>
                </a:solidFill>
                <a:latin typeface="宋体" panose="02010600030101010101" charset="-122"/>
                <a:ea typeface="宋体" panose="02010600030101010101" charset="-122"/>
              </a:rPr>
              <a:t>图</a:t>
            </a:r>
            <a:r>
              <a:rPr lang="en-US" altLang="zh-CN" sz="1400" b="0" i="0" u="none" strike="noStrike" baseline="0">
                <a:solidFill>
                  <a:srgbClr val="333333"/>
                </a:solidFill>
                <a:latin typeface="Arial" panose="020B0604020202020204" pitchFamily="2"/>
                <a:cs typeface="Arial" panose="020B0604020202020204" pitchFamily="2"/>
              </a:rPr>
              <a:t>7</a:t>
            </a:r>
            <a:r>
              <a:rPr lang="en-US" altLang="zh-CN" sz="1400" b="0" i="0" u="none" strike="noStrike" baseline="0">
                <a:solidFill>
                  <a:srgbClr val="000000"/>
                </a:solidFill>
                <a:latin typeface="宋体" panose="02010600030101010101" charset="-122"/>
                <a:ea typeface="宋体" panose="02010600030101010101" charset="-122"/>
              </a:rPr>
              <a:t>  “</a:t>
            </a:r>
            <a:r>
              <a:rPr lang="zh-CN" altLang="en-US" sz="1400" b="0" i="0" u="none" strike="noStrike" baseline="0">
                <a:solidFill>
                  <a:srgbClr val="000000"/>
                </a:solidFill>
                <a:latin typeface="宋体" panose="02010600030101010101" charset="-122"/>
                <a:ea typeface="宋体" panose="02010600030101010101" charset="-122"/>
              </a:rPr>
              <a:t>三公”经费财政拨款支出结构</a:t>
            </a:r>
            <a:endParaRPr lang="zh-CN" altLang="en-US" sz="14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233180562028505"/>
          <c:y val="0.0250178076770875"/>
        </c:manualLayout>
      </c:layout>
      <c:overlay val="0"/>
    </c:title>
    <c:autoTitleDeleted val="0"/>
    <c:plotArea>
      <c:layout>
        <c:manualLayout>
          <c:layoutTarget val="inner"/>
          <c:xMode val="edge"/>
          <c:yMode val="edge"/>
          <c:x val="0.115906552706553"/>
          <c:y val="0.202491428571429"/>
          <c:w val="0.428015954415954"/>
          <c:h val="0.715398095238095"/>
        </c:manualLayout>
      </c:layout>
      <c:pieChart>
        <c:varyColors val="1"/>
        <c:ser>
          <c:idx val="0"/>
          <c:order val="0"/>
          <c:spPr>
            <a:solidFill>
              <a:srgbClr val="9999FF"/>
            </a:solidFill>
            <a:ln w="12700">
              <a:solidFill>
                <a:srgbClr val="000000">
                  <a:alpha val="100000"/>
                </a:srgbClr>
              </a:solidFill>
              <a:prstDash val="solid"/>
            </a:ln>
            <a:effectLst/>
          </c:spPr>
          <c:explosion val="0"/>
          <c:dPt>
            <c:idx val="0"/>
            <c:bubble3D val="0"/>
            <c:spPr>
              <a:solidFill>
                <a:srgbClr val="9999FF"/>
              </a:solidFill>
              <a:ln w="12700">
                <a:solidFill>
                  <a:srgbClr val="000000">
                    <a:alpha val="100000"/>
                  </a:srgbClr>
                </a:solidFill>
                <a:prstDash val="solid"/>
              </a:ln>
              <a:effectLst/>
            </c:spPr>
          </c:dPt>
          <c:dPt>
            <c:idx val="1"/>
            <c:bubble3D val="0"/>
            <c:spPr>
              <a:solidFill>
                <a:srgbClr val="993366"/>
              </a:solidFill>
              <a:ln w="12700">
                <a:solidFill>
                  <a:srgbClr val="000000">
                    <a:alpha val="100000"/>
                  </a:srgbClr>
                </a:solidFill>
                <a:prstDash val="solid"/>
              </a:ln>
              <a:effectLst/>
            </c:spPr>
          </c:dPt>
          <c:dPt>
            <c:idx val="2"/>
            <c:bubble3D val="0"/>
            <c:spPr>
              <a:solidFill>
                <a:srgbClr val="FFFFCC"/>
              </a:solidFill>
              <a:ln w="12700">
                <a:solidFill>
                  <a:srgbClr val="000000">
                    <a:alpha val="100000"/>
                  </a:srgbClr>
                </a:solidFill>
                <a:prstDash val="solid"/>
              </a:ln>
              <a:effectLst/>
            </c:spPr>
          </c:dPt>
          <c:dLbls>
            <c:dLbl>
              <c:idx val="0"/>
              <c:layout>
                <c:manualLayout>
                  <c:x val="-0.186048917461021"/>
                  <c:y val="0.238519984170954"/>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1"/>
              <c:layout>
                <c:manualLayout>
                  <c:x val="0.133333333333333"/>
                  <c:y val="0.231428571428571"/>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dLbl>
              <c:idx val="2"/>
              <c:layout>
                <c:manualLayout>
                  <c:x val="-0.0818634757834758"/>
                  <c:y val="0.446464858989621"/>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Sheet1!$B$135:$B$137</c:f>
              <c:strCache>
                <c:ptCount val="3"/>
                <c:pt idx="0">
                  <c:v>因公出国（境）费支出</c:v>
                </c:pt>
                <c:pt idx="1">
                  <c:v>公务用车购置及运行维护费支出</c:v>
                </c:pt>
                <c:pt idx="2">
                  <c:v>公务接待费支出</c:v>
                </c:pt>
              </c:strCache>
            </c:strRef>
          </c:cat>
          <c:val>
            <c:numRef>
              <c:f>Sheet1!$C$135:$C$137</c:f>
              <c:numCache>
                <c:formatCode>General</c:formatCode>
                <c:ptCount val="3"/>
                <c:pt idx="0">
                  <c:v>0</c:v>
                </c:pt>
                <c:pt idx="1">
                  <c:v>0</c:v>
                </c:pt>
                <c:pt idx="2">
                  <c:v>0</c:v>
                </c:pt>
              </c:numCache>
            </c:numRef>
          </c:val>
        </c:ser>
        <c:ser>
          <c:idx val="1"/>
          <c:order val="1"/>
          <c:spPr>
            <a:solidFill>
              <a:srgbClr val="993366"/>
            </a:solidFill>
            <a:ln w="12700">
              <a:solidFill>
                <a:srgbClr val="000000"/>
              </a:solidFill>
              <a:prstDash val="solid"/>
            </a:ln>
          </c:spPr>
          <c:explosion val="0"/>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spPr>
              <a:solidFill>
                <a:srgbClr val="FFFFCC"/>
              </a:solidFill>
              <a:ln w="12700">
                <a:solidFill>
                  <a:srgbClr val="000000"/>
                </a:solidFill>
                <a:prstDash val="solid"/>
              </a:ln>
            </c:spPr>
          </c:dPt>
          <c:dLbls>
            <c:delete val="1"/>
          </c:dLbls>
          <c:cat>
            <c:strRef>
              <c:f>Sheet1!$B$135:$B$137</c:f>
              <c:strCache>
                <c:ptCount val="3"/>
                <c:pt idx="0">
                  <c:v>因公出国（境）费支出</c:v>
                </c:pt>
                <c:pt idx="1">
                  <c:v>公务用车购置及运行维护费支出</c:v>
                </c:pt>
                <c:pt idx="2">
                  <c:v>公务接待费支出</c:v>
                </c:pt>
              </c:strCache>
            </c:strRef>
          </c:cat>
          <c:val>
            <c:numRef>
              <c:f>Sheet1!$D$135:$D$137</c:f>
              <c:numCache>
                <c:formatCode>General</c:formatCode>
                <c:ptCount val="3"/>
                <c:pt idx="0">
                  <c:v>0</c:v>
                </c:pt>
                <c:pt idx="1" c:formatCode="0%">
                  <c:v>0</c:v>
                </c:pt>
                <c:pt idx="2" c:formatCode="0%">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655499935706884"/>
          <c:y val="0.400499923659127"/>
          <c:w val="0.338499928142988"/>
          <c:h val="0.332500127234788"/>
        </c:manualLayout>
      </c:layout>
      <c:overlay val="0"/>
      <c:spPr>
        <a:solidFill>
          <a:srgbClr val="FFFFFF"/>
        </a:solidFill>
        <a:ln w="12700">
          <a:solidFill>
            <a:srgbClr val="000000"/>
          </a:solidFill>
          <a:prstDash val="solid"/>
        </a:ln>
      </c:spPr>
      <c:txPr>
        <a:bodyPr rot="0" spcFirstLastPara="0" vertOverflow="ellipsis" vert="horz" wrap="square" anchor="ctr" anchorCtr="1"/>
        <a:lstStyle/>
        <a:p>
          <a:pPr>
            <a:defRPr lang="zh-CN" sz="11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extLst>
      <c:ext uri="{0b15fc19-7d7d-44ad-8c2d-2c3a37ce22c3}">
        <chartProps xmlns="https://web.wps.cn/et/2018/main" chartId="{30238720-56a9-4c4b-be3a-20fe6ed3f789}"/>
      </c:ext>
    </c:extLst>
  </c:chart>
  <c:spPr>
    <a:solidFill>
      <a:srgbClr val="FFFFFF"/>
    </a:solidFill>
    <a:ln w="3175" cap="flat" cmpd="sng" algn="ctr">
      <a:solidFill>
        <a:srgbClr val="000000">
          <a:alpha val="100000"/>
        </a:srgbClr>
      </a:solidFill>
      <a:prstDash val="solid"/>
      <a:round/>
    </a:ln>
    <a:effectLst/>
  </c:spPr>
  <c:txPr>
    <a:bodyPr/>
    <a:lstStyle/>
    <a:p>
      <a:pPr>
        <a:defRPr lang="zh-CN" sz="12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FAFC77-78DC-44F8-91BA-38DE495281BF}">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13954</Words>
  <Characters>15258</Characters>
  <Lines>10</Lines>
  <Paragraphs>21</Paragraphs>
  <TotalTime>31</TotalTime>
  <ScaleCrop>false</ScaleCrop>
  <LinksUpToDate>false</LinksUpToDate>
  <CharactersWithSpaces>15309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好好</cp:lastModifiedBy>
  <cp:lastPrinted>2025-08-06T17:34:00Z</cp:lastPrinted>
  <dcterms:modified xsi:type="dcterms:W3CDTF">2025-10-28T06:27:56Z</dcterms:modified>
  <dc:title>四川省***</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A76FE2D280724CB586FD333B942D7D21_13</vt:lpwstr>
  </property>
  <property fmtid="{D5CDD505-2E9C-101B-9397-08002B2CF9AE}" pid="4" name="KSOTemplateDocerSaveRecord">
    <vt:lpwstr>eyJoZGlkIjoiOGI4NjI5OTBmMDM1ODFlMDkzNDFlZTFiMWNhZWU5ZTMiLCJ1c2VySWQiOiI1ODU3MjA0MDYifQ==</vt:lpwstr>
  </property>
</Properties>
</file>