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7B181">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ascii="方正小标宋简体" w:hAnsi="宋体" w:eastAsia="方正小标宋简体"/>
          <w:sz w:val="72"/>
          <w:szCs w:val="72"/>
        </w:rPr>
      </w:pPr>
      <w:bookmarkStart w:id="0" w:name="_Toc15378441"/>
      <w:bookmarkStart w:id="1" w:name="_Toc15396475"/>
      <w:bookmarkStart w:id="2" w:name="_Toc15306267"/>
      <w:bookmarkStart w:id="3" w:name="_Toc15396597"/>
      <w:bookmarkStart w:id="4" w:name="_Toc15377193"/>
      <w:bookmarkStart w:id="5" w:name="_Toc15377425"/>
    </w:p>
    <w:p w14:paraId="277F762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方正小标宋简体" w:hAnsi="宋体" w:eastAsia="方正小标宋简体"/>
          <w:sz w:val="72"/>
          <w:szCs w:val="72"/>
        </w:rPr>
      </w:pPr>
    </w:p>
    <w:bookmarkEnd w:id="0"/>
    <w:bookmarkEnd w:id="1"/>
    <w:bookmarkEnd w:id="2"/>
    <w:bookmarkEnd w:id="3"/>
    <w:bookmarkEnd w:id="4"/>
    <w:bookmarkEnd w:id="5"/>
    <w:p w14:paraId="3A177AC3">
      <w:pPr>
        <w:pStyle w:val="9"/>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661339F9">
      <w:pPr>
        <w:pStyle w:val="9"/>
        <w:keepNext w:val="0"/>
        <w:keepLines w:val="0"/>
        <w:pageBreakBefore w:val="0"/>
        <w:widowControl w:val="0"/>
        <w:kinsoku/>
        <w:wordWrap/>
        <w:overflowPunct/>
        <w:topLinePunct w:val="0"/>
        <w:autoSpaceDE/>
        <w:autoSpaceDN/>
        <w:bidi w:val="0"/>
        <w:adjustRightInd/>
        <w:snapToGrid/>
        <w:spacing w:before="93"/>
        <w:jc w:val="center"/>
        <w:textAlignment w:val="auto"/>
        <w:rPr>
          <w:rFonts w:ascii="方正小标宋简体" w:hAnsi="方正小标宋简体" w:eastAsia="方正小标宋简体" w:cs="方正小标宋简体"/>
          <w:sz w:val="44"/>
          <w:szCs w:val="44"/>
        </w:rPr>
        <w:sectPr>
          <w:footerReference r:id="rId7" w:type="first"/>
          <w:headerReference r:id="rId3" w:type="default"/>
          <w:footerReference r:id="rId5" w:type="default"/>
          <w:headerReference r:id="rId4" w:type="even"/>
          <w:footerReference r:id="rId6" w:type="even"/>
          <w:pgSz w:w="11906" w:h="16838"/>
          <w:pgMar w:top="1440" w:right="1800" w:bottom="1440" w:left="1800" w:header="851" w:footer="992" w:gutter="0"/>
          <w:pgNumType w:start="4"/>
          <w:cols w:space="425" w:num="1"/>
          <w:titlePg/>
          <w:docGrid w:type="lines" w:linePitch="312" w:charSpace="0"/>
        </w:sectPr>
      </w:pPr>
      <w:r>
        <w:rPr>
          <w:rFonts w:hint="eastAsia" w:ascii="Times New Roman" w:eastAsia="方正小标宋简体"/>
          <w:kern w:val="2"/>
          <w:sz w:val="72"/>
          <w:szCs w:val="72"/>
        </w:rPr>
        <w:t>盐边县</w:t>
      </w:r>
      <w:r>
        <w:rPr>
          <w:rFonts w:hint="eastAsia" w:ascii="Times New Roman" w:hAnsi="Times New Roman" w:eastAsia="方正小标宋简体" w:cs="Times New Roman"/>
          <w:kern w:val="2"/>
          <w:sz w:val="72"/>
          <w:szCs w:val="72"/>
        </w:rPr>
        <w:t>红格国际运动康养</w:t>
      </w:r>
      <w:r>
        <w:rPr>
          <w:rFonts w:hint="eastAsia" w:ascii="方正小标宋简体" w:hAnsi="方正小标宋简体" w:eastAsia="方正小标宋简体" w:cs="方正小标宋简体"/>
          <w:sz w:val="48"/>
          <w:szCs w:val="48"/>
        </w:rPr>
        <w:t>·</w:t>
      </w:r>
      <w:r>
        <w:rPr>
          <w:rFonts w:hint="eastAsia" w:ascii="Times New Roman" w:hAnsi="Times New Roman" w:eastAsia="方正小标宋简体" w:cs="Times New Roman"/>
          <w:kern w:val="2"/>
          <w:sz w:val="72"/>
          <w:szCs w:val="72"/>
        </w:rPr>
        <w:t>温泉度假区管理委</w:t>
      </w:r>
      <w:r>
        <w:rPr>
          <w:rFonts w:hint="eastAsia" w:ascii="Times New Roman" w:hAnsi="Times New Roman" w:eastAsia="方正小标宋简体" w:cs="Times New Roman"/>
          <w:kern w:val="2"/>
          <w:sz w:val="72"/>
          <w:szCs w:val="72"/>
          <w:lang w:eastAsia="zh-CN"/>
        </w:rPr>
        <w:t>员</w:t>
      </w:r>
      <w:r>
        <w:rPr>
          <w:rFonts w:hint="eastAsia" w:ascii="Times New Roman" w:hAnsi="Times New Roman" w:eastAsia="方正小标宋简体" w:cs="Times New Roman"/>
          <w:kern w:val="2"/>
          <w:sz w:val="72"/>
          <w:szCs w:val="72"/>
        </w:rPr>
        <w:t>会</w:t>
      </w:r>
      <w:r>
        <w:rPr>
          <w:rFonts w:hint="eastAsia" w:ascii="Times New Roman" w:eastAsia="方正小标宋简体" w:cs="Times New Roman"/>
          <w:kern w:val="2"/>
          <w:sz w:val="72"/>
          <w:szCs w:val="72"/>
          <w:lang w:eastAsia="zh-CN"/>
        </w:rPr>
        <w:t>单位</w:t>
      </w:r>
      <w:r>
        <w:rPr>
          <w:rFonts w:hint="eastAsia" w:ascii="Times New Roman" w:eastAsia="方正小标宋简体"/>
          <w:kern w:val="2"/>
          <w:sz w:val="72"/>
          <w:szCs w:val="72"/>
        </w:rPr>
        <w:t>决算公开编制说明</w:t>
      </w:r>
    </w:p>
    <w:p w14:paraId="5E61CB33">
      <w:pPr>
        <w:widowControl/>
        <w:jc w:val="center"/>
        <w:rPr>
          <w:rFonts w:hint="eastAsia" w:eastAsia="黑体"/>
          <w:sz w:val="48"/>
          <w:szCs w:val="48"/>
        </w:rPr>
      </w:pPr>
      <w:bookmarkStart w:id="6" w:name="_Toc15377196"/>
      <w:bookmarkStart w:id="7" w:name="_Toc15396599"/>
      <w:r>
        <w:rPr>
          <w:rFonts w:hint="eastAsia" w:eastAsia="黑体"/>
          <w:sz w:val="48"/>
          <w:szCs w:val="48"/>
        </w:rPr>
        <w:t>目录</w:t>
      </w:r>
    </w:p>
    <w:p w14:paraId="67ECFF03">
      <w:pPr>
        <w:pStyle w:val="9"/>
        <w:spacing w:before="93"/>
      </w:pPr>
    </w:p>
    <w:p w14:paraId="153C927F">
      <w:pPr>
        <w:pStyle w:val="14"/>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年10月2</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日</w:t>
      </w:r>
    </w:p>
    <w:p w14:paraId="3BC2C3C1"/>
    <w:p w14:paraId="585B6EAF">
      <w:pPr>
        <w:pStyle w:val="14"/>
        <w:tabs>
          <w:tab w:val="right" w:leader="dot" w:pos="8306"/>
          <w:tab w:val="clear" w:pos="8296"/>
        </w:tabs>
      </w:pPr>
      <w:r>
        <w:rPr>
          <w:rFonts w:hint="eastAsia" w:ascii="方正小标宋简体" w:hAnsi="黑体" w:eastAsia="方正小标宋简体"/>
          <w:b w:val="0"/>
        </w:rPr>
        <w:fldChar w:fldCharType="begin"/>
      </w:r>
      <w:r>
        <w:rPr>
          <w:rFonts w:hint="eastAsia" w:ascii="方正小标宋简体" w:hAnsi="黑体" w:eastAsia="方正小标宋简体"/>
          <w:b w:val="0"/>
        </w:rPr>
        <w:instrText xml:space="preserve">TOC \o "1-3" \h \u </w:instrText>
      </w:r>
      <w:r>
        <w:rPr>
          <w:rFonts w:hint="eastAsia" w:ascii="方正小标宋简体" w:hAnsi="黑体" w:eastAsia="方正小标宋简体"/>
          <w:b w:val="0"/>
        </w:rPr>
        <w:fldChar w:fldCharType="separate"/>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_Toc3629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 xml:space="preserve">第一部分 </w:t>
      </w:r>
      <w:r>
        <w:rPr>
          <w:rFonts w:hint="eastAsia" w:ascii="Times New Roman" w:hAnsi="Times New Roman" w:eastAsia="黑体" w:cs="黑体"/>
          <w:sz w:val="32"/>
          <w:szCs w:val="32"/>
          <w:lang w:eastAsia="zh-CN"/>
        </w:rPr>
        <w:t>单位</w:t>
      </w:r>
      <w:r>
        <w:rPr>
          <w:rFonts w:hint="eastAsia" w:ascii="Times New Roman" w:hAnsi="Times New Roman" w:eastAsia="黑体" w:cs="黑体"/>
          <w:sz w:val="32"/>
          <w:szCs w:val="32"/>
        </w:rPr>
        <w:t>概况</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_Toc3629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14:paraId="59FE4BF6">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_Toc17745 </w:instrText>
      </w:r>
      <w:r>
        <w:rPr>
          <w:rFonts w:hint="eastAsia" w:eastAsia="仿宋_GB2312" w:cs="仿宋_GB2312"/>
          <w:sz w:val="32"/>
          <w:szCs w:val="32"/>
        </w:rPr>
        <w:fldChar w:fldCharType="separate"/>
      </w:r>
      <w:r>
        <w:rPr>
          <w:rFonts w:hint="eastAsia" w:eastAsia="仿宋_GB2312" w:cs="仿宋_GB2312"/>
          <w:sz w:val="32"/>
          <w:szCs w:val="32"/>
        </w:rPr>
        <w:t>一、</w:t>
      </w:r>
      <w:r>
        <w:rPr>
          <w:rFonts w:hint="eastAsia" w:eastAsia="仿宋_GB2312" w:cs="仿宋_GB2312"/>
          <w:sz w:val="32"/>
          <w:szCs w:val="32"/>
          <w:lang w:eastAsia="zh-CN"/>
        </w:rPr>
        <w:t>主要</w:t>
      </w:r>
      <w:r>
        <w:rPr>
          <w:rFonts w:hint="eastAsia" w:eastAsia="仿宋_GB2312" w:cs="仿宋_GB2312"/>
          <w:sz w:val="32"/>
          <w:szCs w:val="32"/>
        </w:rPr>
        <w:t>职责</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_Toc17745 \h </w:instrText>
      </w:r>
      <w:r>
        <w:rPr>
          <w:rFonts w:hint="eastAsia" w:eastAsia="仿宋_GB2312" w:cs="仿宋_GB2312"/>
          <w:sz w:val="32"/>
          <w:szCs w:val="32"/>
        </w:rPr>
        <w:fldChar w:fldCharType="separate"/>
      </w:r>
      <w:r>
        <w:rPr>
          <w:rFonts w:hint="eastAsia" w:eastAsia="仿宋_GB2312" w:cs="仿宋_GB2312"/>
          <w:sz w:val="32"/>
          <w:szCs w:val="32"/>
        </w:rPr>
        <w:t>1</w:t>
      </w:r>
      <w:r>
        <w:rPr>
          <w:rFonts w:hint="eastAsia" w:eastAsia="仿宋_GB2312" w:cs="仿宋_GB2312"/>
          <w:sz w:val="32"/>
          <w:szCs w:val="32"/>
        </w:rPr>
        <w:fldChar w:fldCharType="end"/>
      </w:r>
      <w:r>
        <w:rPr>
          <w:rFonts w:hint="eastAsia" w:eastAsia="仿宋_GB2312" w:cs="仿宋_GB2312"/>
          <w:sz w:val="32"/>
          <w:szCs w:val="32"/>
        </w:rPr>
        <w:fldChar w:fldCharType="end"/>
      </w:r>
    </w:p>
    <w:p w14:paraId="7FE44107">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_Toc18333 </w:instrText>
      </w:r>
      <w:r>
        <w:rPr>
          <w:rFonts w:hint="eastAsia" w:eastAsia="仿宋_GB2312" w:cs="仿宋_GB2312"/>
          <w:sz w:val="32"/>
          <w:szCs w:val="32"/>
        </w:rPr>
        <w:fldChar w:fldCharType="separate"/>
      </w:r>
      <w:r>
        <w:rPr>
          <w:rFonts w:hint="eastAsia" w:eastAsia="仿宋_GB2312" w:cs="仿宋_GB2312"/>
          <w:sz w:val="32"/>
          <w:szCs w:val="32"/>
        </w:rPr>
        <w:t>二、机构设置</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_Toc18333 \h </w:instrText>
      </w:r>
      <w:r>
        <w:rPr>
          <w:rFonts w:hint="eastAsia" w:eastAsia="仿宋_GB2312" w:cs="仿宋_GB2312"/>
          <w:sz w:val="32"/>
          <w:szCs w:val="32"/>
        </w:rPr>
        <w:fldChar w:fldCharType="separate"/>
      </w:r>
      <w:r>
        <w:rPr>
          <w:rFonts w:hint="eastAsia" w:eastAsia="仿宋_GB2312" w:cs="仿宋_GB2312"/>
          <w:sz w:val="32"/>
          <w:szCs w:val="32"/>
        </w:rPr>
        <w:t>1</w:t>
      </w:r>
      <w:r>
        <w:rPr>
          <w:rFonts w:hint="eastAsia" w:eastAsia="仿宋_GB2312" w:cs="仿宋_GB2312"/>
          <w:sz w:val="32"/>
          <w:szCs w:val="32"/>
        </w:rPr>
        <w:fldChar w:fldCharType="end"/>
      </w:r>
      <w:r>
        <w:rPr>
          <w:rFonts w:hint="eastAsia" w:eastAsia="仿宋_GB2312" w:cs="仿宋_GB2312"/>
          <w:sz w:val="32"/>
          <w:szCs w:val="32"/>
        </w:rPr>
        <w:fldChar w:fldCharType="end"/>
      </w:r>
    </w:p>
    <w:p w14:paraId="6F642837">
      <w:pPr>
        <w:pStyle w:val="14"/>
        <w:adjustRightInd w:val="0"/>
        <w:snapToGrid w:val="0"/>
        <w:spacing w:before="0" w:line="560" w:lineRule="exact"/>
        <w:jc w:val="left"/>
        <w:rPr>
          <w:rFonts w:hint="eastAsia" w:ascii="Times New Roman" w:hAnsi="Times New Roman" w:eastAsia="黑体" w:cs="黑体"/>
          <w:sz w:val="32"/>
          <w:szCs w:val="32"/>
        </w:rPr>
      </w:pP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_Toc21374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第二部分 2024年度</w:t>
      </w:r>
      <w:r>
        <w:rPr>
          <w:rFonts w:hint="eastAsia" w:ascii="Times New Roman" w:hAnsi="Times New Roman" w:eastAsia="黑体" w:cs="黑体"/>
          <w:sz w:val="32"/>
          <w:szCs w:val="32"/>
          <w:lang w:eastAsia="zh-CN"/>
        </w:rPr>
        <w:t>单位</w:t>
      </w:r>
      <w:r>
        <w:rPr>
          <w:rFonts w:hint="eastAsia" w:ascii="Times New Roman" w:hAnsi="Times New Roman" w:eastAsia="黑体" w:cs="黑体"/>
          <w:sz w:val="32"/>
          <w:szCs w:val="32"/>
        </w:rPr>
        <w:t>决算情况说明</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_Toc21374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2</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14:paraId="03C234E2">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_Toc6595 </w:instrText>
      </w:r>
      <w:r>
        <w:rPr>
          <w:rFonts w:hint="eastAsia" w:eastAsia="仿宋_GB2312" w:cs="仿宋_GB2312"/>
          <w:sz w:val="32"/>
          <w:szCs w:val="32"/>
        </w:rPr>
        <w:fldChar w:fldCharType="separate"/>
      </w:r>
      <w:r>
        <w:rPr>
          <w:rFonts w:hint="eastAsia" w:eastAsia="仿宋_GB2312" w:cs="仿宋_GB2312"/>
          <w:sz w:val="32"/>
          <w:szCs w:val="32"/>
        </w:rPr>
        <w:t>一、收入支出决算总体情况说明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_Toc6595 \h </w:instrText>
      </w:r>
      <w:r>
        <w:rPr>
          <w:rFonts w:hint="eastAsia" w:eastAsia="仿宋_GB2312" w:cs="仿宋_GB2312"/>
          <w:sz w:val="32"/>
          <w:szCs w:val="32"/>
        </w:rPr>
        <w:fldChar w:fldCharType="separate"/>
      </w:r>
      <w:r>
        <w:rPr>
          <w:rFonts w:hint="eastAsia" w:eastAsia="仿宋_GB2312" w:cs="仿宋_GB2312"/>
          <w:sz w:val="32"/>
          <w:szCs w:val="32"/>
        </w:rPr>
        <w:t>2</w:t>
      </w:r>
      <w:r>
        <w:rPr>
          <w:rFonts w:hint="eastAsia" w:eastAsia="仿宋_GB2312" w:cs="仿宋_GB2312"/>
          <w:sz w:val="32"/>
          <w:szCs w:val="32"/>
        </w:rPr>
        <w:fldChar w:fldCharType="end"/>
      </w:r>
      <w:r>
        <w:rPr>
          <w:rFonts w:hint="eastAsia" w:eastAsia="仿宋_GB2312" w:cs="仿宋_GB2312"/>
          <w:sz w:val="32"/>
          <w:szCs w:val="32"/>
        </w:rPr>
        <w:fldChar w:fldCharType="end"/>
      </w:r>
    </w:p>
    <w:p w14:paraId="14DC1855">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_Toc25260 </w:instrText>
      </w:r>
      <w:r>
        <w:rPr>
          <w:rFonts w:hint="eastAsia" w:eastAsia="仿宋_GB2312" w:cs="仿宋_GB2312"/>
          <w:sz w:val="32"/>
          <w:szCs w:val="32"/>
        </w:rPr>
        <w:fldChar w:fldCharType="separate"/>
      </w:r>
      <w:r>
        <w:rPr>
          <w:rFonts w:hint="eastAsia" w:eastAsia="仿宋_GB2312" w:cs="仿宋_GB2312"/>
          <w:sz w:val="32"/>
          <w:szCs w:val="32"/>
        </w:rPr>
        <w:t>二、收入决算情况说明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_Toc25260 \h </w:instrText>
      </w:r>
      <w:r>
        <w:rPr>
          <w:rFonts w:hint="eastAsia" w:eastAsia="仿宋_GB2312" w:cs="仿宋_GB2312"/>
          <w:sz w:val="32"/>
          <w:szCs w:val="32"/>
        </w:rPr>
        <w:fldChar w:fldCharType="separate"/>
      </w:r>
      <w:r>
        <w:rPr>
          <w:rFonts w:hint="eastAsia" w:eastAsia="仿宋_GB2312" w:cs="仿宋_GB2312"/>
          <w:sz w:val="32"/>
          <w:szCs w:val="32"/>
        </w:rPr>
        <w:t>2</w:t>
      </w:r>
      <w:r>
        <w:rPr>
          <w:rFonts w:hint="eastAsia" w:eastAsia="仿宋_GB2312" w:cs="仿宋_GB2312"/>
          <w:sz w:val="32"/>
          <w:szCs w:val="32"/>
        </w:rPr>
        <w:fldChar w:fldCharType="end"/>
      </w:r>
      <w:r>
        <w:rPr>
          <w:rFonts w:hint="eastAsia" w:eastAsia="仿宋_GB2312" w:cs="仿宋_GB2312"/>
          <w:sz w:val="32"/>
          <w:szCs w:val="32"/>
        </w:rPr>
        <w:fldChar w:fldCharType="end"/>
      </w:r>
    </w:p>
    <w:p w14:paraId="61A68C9F">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_Toc26741 </w:instrText>
      </w:r>
      <w:r>
        <w:rPr>
          <w:rFonts w:hint="eastAsia" w:eastAsia="仿宋_GB2312" w:cs="仿宋_GB2312"/>
          <w:sz w:val="32"/>
          <w:szCs w:val="32"/>
        </w:rPr>
        <w:fldChar w:fldCharType="separate"/>
      </w:r>
      <w:r>
        <w:rPr>
          <w:rFonts w:hint="eastAsia" w:eastAsia="仿宋_GB2312" w:cs="仿宋_GB2312"/>
          <w:sz w:val="32"/>
          <w:szCs w:val="32"/>
        </w:rPr>
        <w:t>三、支出决算情况说明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_Toc26741 \h </w:instrText>
      </w:r>
      <w:r>
        <w:rPr>
          <w:rFonts w:hint="eastAsia" w:eastAsia="仿宋_GB2312" w:cs="仿宋_GB2312"/>
          <w:sz w:val="32"/>
          <w:szCs w:val="32"/>
        </w:rPr>
        <w:fldChar w:fldCharType="separate"/>
      </w:r>
      <w:r>
        <w:rPr>
          <w:rFonts w:hint="eastAsia" w:eastAsia="仿宋_GB2312" w:cs="仿宋_GB2312"/>
          <w:sz w:val="32"/>
          <w:szCs w:val="32"/>
        </w:rPr>
        <w:t>3</w:t>
      </w:r>
      <w:r>
        <w:rPr>
          <w:rFonts w:hint="eastAsia" w:eastAsia="仿宋_GB2312" w:cs="仿宋_GB2312"/>
          <w:sz w:val="32"/>
          <w:szCs w:val="32"/>
        </w:rPr>
        <w:fldChar w:fldCharType="end"/>
      </w:r>
      <w:r>
        <w:rPr>
          <w:rFonts w:hint="eastAsia" w:eastAsia="仿宋_GB2312" w:cs="仿宋_GB2312"/>
          <w:sz w:val="32"/>
          <w:szCs w:val="32"/>
        </w:rPr>
        <w:fldChar w:fldCharType="end"/>
      </w:r>
    </w:p>
    <w:p w14:paraId="58443044">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_Toc23163 </w:instrText>
      </w:r>
      <w:r>
        <w:rPr>
          <w:rFonts w:hint="eastAsia" w:eastAsia="仿宋_GB2312" w:cs="仿宋_GB2312"/>
          <w:sz w:val="32"/>
          <w:szCs w:val="32"/>
        </w:rPr>
        <w:fldChar w:fldCharType="separate"/>
      </w:r>
      <w:r>
        <w:rPr>
          <w:rFonts w:hint="eastAsia" w:eastAsia="仿宋_GB2312" w:cs="仿宋_GB2312"/>
          <w:sz w:val="32"/>
          <w:szCs w:val="32"/>
        </w:rPr>
        <w:t>四、财政拨款收入支出决算总体情况说明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_Toc23163 \h </w:instrText>
      </w:r>
      <w:r>
        <w:rPr>
          <w:rFonts w:hint="eastAsia" w:eastAsia="仿宋_GB2312" w:cs="仿宋_GB2312"/>
          <w:sz w:val="32"/>
          <w:szCs w:val="32"/>
        </w:rPr>
        <w:fldChar w:fldCharType="separate"/>
      </w:r>
      <w:r>
        <w:rPr>
          <w:rFonts w:hint="eastAsia" w:eastAsia="仿宋_GB2312" w:cs="仿宋_GB2312"/>
          <w:sz w:val="32"/>
          <w:szCs w:val="32"/>
        </w:rPr>
        <w:t>3</w:t>
      </w:r>
      <w:r>
        <w:rPr>
          <w:rFonts w:hint="eastAsia" w:eastAsia="仿宋_GB2312" w:cs="仿宋_GB2312"/>
          <w:sz w:val="32"/>
          <w:szCs w:val="32"/>
        </w:rPr>
        <w:fldChar w:fldCharType="end"/>
      </w:r>
      <w:r>
        <w:rPr>
          <w:rFonts w:hint="eastAsia" w:eastAsia="仿宋_GB2312" w:cs="仿宋_GB2312"/>
          <w:sz w:val="32"/>
          <w:szCs w:val="32"/>
        </w:rPr>
        <w:fldChar w:fldCharType="end"/>
      </w:r>
    </w:p>
    <w:p w14:paraId="7D2F9567">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_Toc19314 </w:instrText>
      </w:r>
      <w:r>
        <w:rPr>
          <w:rFonts w:hint="eastAsia" w:eastAsia="仿宋_GB2312" w:cs="仿宋_GB2312"/>
          <w:sz w:val="32"/>
          <w:szCs w:val="32"/>
        </w:rPr>
        <w:fldChar w:fldCharType="separate"/>
      </w:r>
      <w:r>
        <w:rPr>
          <w:rFonts w:hint="eastAsia" w:eastAsia="仿宋_GB2312" w:cs="仿宋_GB2312"/>
          <w:sz w:val="32"/>
          <w:szCs w:val="32"/>
        </w:rPr>
        <w:t>五、一般公共预算财政拨款支出决算情况说明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_Toc19314 \h </w:instrText>
      </w:r>
      <w:r>
        <w:rPr>
          <w:rFonts w:hint="eastAsia" w:eastAsia="仿宋_GB2312" w:cs="仿宋_GB2312"/>
          <w:sz w:val="32"/>
          <w:szCs w:val="32"/>
        </w:rPr>
        <w:fldChar w:fldCharType="separate"/>
      </w:r>
      <w:r>
        <w:rPr>
          <w:rFonts w:hint="eastAsia" w:eastAsia="仿宋_GB2312" w:cs="仿宋_GB2312"/>
          <w:sz w:val="32"/>
          <w:szCs w:val="32"/>
        </w:rPr>
        <w:t>4</w:t>
      </w:r>
      <w:r>
        <w:rPr>
          <w:rFonts w:hint="eastAsia" w:eastAsia="仿宋_GB2312" w:cs="仿宋_GB2312"/>
          <w:sz w:val="32"/>
          <w:szCs w:val="32"/>
        </w:rPr>
        <w:fldChar w:fldCharType="end"/>
      </w:r>
      <w:r>
        <w:rPr>
          <w:rFonts w:hint="eastAsia" w:eastAsia="仿宋_GB2312" w:cs="仿宋_GB2312"/>
          <w:sz w:val="32"/>
          <w:szCs w:val="32"/>
        </w:rPr>
        <w:fldChar w:fldCharType="end"/>
      </w:r>
    </w:p>
    <w:p w14:paraId="2FEF5E35">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_Toc14738 </w:instrText>
      </w:r>
      <w:r>
        <w:rPr>
          <w:rFonts w:hint="eastAsia" w:eastAsia="仿宋_GB2312" w:cs="仿宋_GB2312"/>
          <w:sz w:val="32"/>
          <w:szCs w:val="32"/>
        </w:rPr>
        <w:fldChar w:fldCharType="separate"/>
      </w:r>
      <w:r>
        <w:rPr>
          <w:rFonts w:hint="eastAsia" w:eastAsia="仿宋_GB2312" w:cs="仿宋_GB2312"/>
          <w:sz w:val="32"/>
          <w:szCs w:val="32"/>
        </w:rPr>
        <w:t>六、一般公共预算财政拨款基本支出决算情况说明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_Toc14738 \h </w:instrText>
      </w:r>
      <w:r>
        <w:rPr>
          <w:rFonts w:hint="eastAsia" w:eastAsia="仿宋_GB2312" w:cs="仿宋_GB2312"/>
          <w:sz w:val="32"/>
          <w:szCs w:val="32"/>
        </w:rPr>
        <w:fldChar w:fldCharType="separate"/>
      </w:r>
      <w:r>
        <w:rPr>
          <w:rFonts w:hint="eastAsia" w:eastAsia="仿宋_GB2312" w:cs="仿宋_GB2312"/>
          <w:sz w:val="32"/>
          <w:szCs w:val="32"/>
        </w:rPr>
        <w:t>7</w:t>
      </w:r>
      <w:r>
        <w:rPr>
          <w:rFonts w:hint="eastAsia" w:eastAsia="仿宋_GB2312" w:cs="仿宋_GB2312"/>
          <w:sz w:val="32"/>
          <w:szCs w:val="32"/>
        </w:rPr>
        <w:fldChar w:fldCharType="end"/>
      </w:r>
      <w:r>
        <w:rPr>
          <w:rFonts w:hint="eastAsia" w:eastAsia="仿宋_GB2312" w:cs="仿宋_GB2312"/>
          <w:sz w:val="32"/>
          <w:szCs w:val="32"/>
        </w:rPr>
        <w:fldChar w:fldCharType="end"/>
      </w:r>
    </w:p>
    <w:p w14:paraId="67212E03">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_Toc9925 </w:instrText>
      </w:r>
      <w:r>
        <w:rPr>
          <w:rFonts w:hint="eastAsia" w:eastAsia="仿宋_GB2312" w:cs="仿宋_GB2312"/>
          <w:sz w:val="32"/>
          <w:szCs w:val="32"/>
        </w:rPr>
        <w:fldChar w:fldCharType="separate"/>
      </w:r>
      <w:r>
        <w:rPr>
          <w:rFonts w:hint="eastAsia" w:eastAsia="仿宋_GB2312" w:cs="仿宋_GB2312"/>
          <w:sz w:val="32"/>
          <w:szCs w:val="32"/>
        </w:rPr>
        <w:t>七、财政拨款“三公”经费支出决算情况说明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_Toc9925 \h </w:instrText>
      </w:r>
      <w:r>
        <w:rPr>
          <w:rFonts w:hint="eastAsia" w:eastAsia="仿宋_GB2312" w:cs="仿宋_GB2312"/>
          <w:sz w:val="32"/>
          <w:szCs w:val="32"/>
        </w:rPr>
        <w:fldChar w:fldCharType="separate"/>
      </w:r>
      <w:r>
        <w:rPr>
          <w:rFonts w:hint="eastAsia" w:eastAsia="仿宋_GB2312" w:cs="仿宋_GB2312"/>
          <w:sz w:val="32"/>
          <w:szCs w:val="32"/>
        </w:rPr>
        <w:t>7</w:t>
      </w:r>
      <w:r>
        <w:rPr>
          <w:rFonts w:hint="eastAsia" w:eastAsia="仿宋_GB2312" w:cs="仿宋_GB2312"/>
          <w:sz w:val="32"/>
          <w:szCs w:val="32"/>
        </w:rPr>
        <w:fldChar w:fldCharType="end"/>
      </w:r>
      <w:r>
        <w:rPr>
          <w:rFonts w:hint="eastAsia" w:eastAsia="仿宋_GB2312" w:cs="仿宋_GB2312"/>
          <w:sz w:val="32"/>
          <w:szCs w:val="32"/>
        </w:rPr>
        <w:fldChar w:fldCharType="end"/>
      </w:r>
    </w:p>
    <w:p w14:paraId="7E786F8F">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_Toc20105 </w:instrText>
      </w:r>
      <w:r>
        <w:rPr>
          <w:rFonts w:hint="eastAsia" w:eastAsia="仿宋_GB2312" w:cs="仿宋_GB2312"/>
          <w:sz w:val="32"/>
          <w:szCs w:val="32"/>
        </w:rPr>
        <w:fldChar w:fldCharType="separate"/>
      </w:r>
      <w:r>
        <w:rPr>
          <w:rFonts w:hint="eastAsia" w:eastAsia="仿宋_GB2312" w:cs="仿宋_GB2312"/>
          <w:sz w:val="32"/>
          <w:szCs w:val="32"/>
        </w:rPr>
        <w:t>八、政府性基金预算支出决算情况说明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_Toc20105 \h </w:instrText>
      </w:r>
      <w:r>
        <w:rPr>
          <w:rFonts w:hint="eastAsia" w:eastAsia="仿宋_GB2312" w:cs="仿宋_GB2312"/>
          <w:sz w:val="32"/>
          <w:szCs w:val="32"/>
        </w:rPr>
        <w:fldChar w:fldCharType="separate"/>
      </w:r>
      <w:r>
        <w:rPr>
          <w:rFonts w:hint="eastAsia" w:eastAsia="仿宋_GB2312" w:cs="仿宋_GB2312"/>
          <w:sz w:val="32"/>
          <w:szCs w:val="32"/>
        </w:rPr>
        <w:t>9</w:t>
      </w:r>
      <w:r>
        <w:rPr>
          <w:rFonts w:hint="eastAsia" w:eastAsia="仿宋_GB2312" w:cs="仿宋_GB2312"/>
          <w:sz w:val="32"/>
          <w:szCs w:val="32"/>
        </w:rPr>
        <w:fldChar w:fldCharType="end"/>
      </w:r>
      <w:r>
        <w:rPr>
          <w:rFonts w:hint="eastAsia" w:eastAsia="仿宋_GB2312" w:cs="仿宋_GB2312"/>
          <w:sz w:val="32"/>
          <w:szCs w:val="32"/>
        </w:rPr>
        <w:fldChar w:fldCharType="end"/>
      </w:r>
    </w:p>
    <w:p w14:paraId="22CCE866">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_Toc17897 </w:instrText>
      </w:r>
      <w:r>
        <w:rPr>
          <w:rFonts w:hint="eastAsia" w:eastAsia="仿宋_GB2312" w:cs="仿宋_GB2312"/>
          <w:sz w:val="32"/>
          <w:szCs w:val="32"/>
        </w:rPr>
        <w:fldChar w:fldCharType="separate"/>
      </w:r>
      <w:r>
        <w:rPr>
          <w:rFonts w:hint="eastAsia" w:eastAsia="仿宋_GB2312" w:cs="仿宋_GB2312"/>
          <w:sz w:val="32"/>
          <w:szCs w:val="32"/>
        </w:rPr>
        <w:t>九、国有资本经营预算支出决算情况说明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_Toc17897 \h </w:instrText>
      </w:r>
      <w:r>
        <w:rPr>
          <w:rFonts w:hint="eastAsia" w:eastAsia="仿宋_GB2312" w:cs="仿宋_GB2312"/>
          <w:sz w:val="32"/>
          <w:szCs w:val="32"/>
        </w:rPr>
        <w:fldChar w:fldCharType="separate"/>
      </w:r>
      <w:r>
        <w:rPr>
          <w:rFonts w:hint="eastAsia" w:eastAsia="仿宋_GB2312" w:cs="仿宋_GB2312"/>
          <w:sz w:val="32"/>
          <w:szCs w:val="32"/>
        </w:rPr>
        <w:t>9</w:t>
      </w:r>
      <w:r>
        <w:rPr>
          <w:rFonts w:hint="eastAsia" w:eastAsia="仿宋_GB2312" w:cs="仿宋_GB2312"/>
          <w:sz w:val="32"/>
          <w:szCs w:val="32"/>
        </w:rPr>
        <w:fldChar w:fldCharType="end"/>
      </w:r>
      <w:r>
        <w:rPr>
          <w:rFonts w:hint="eastAsia" w:eastAsia="仿宋_GB2312" w:cs="仿宋_GB2312"/>
          <w:sz w:val="32"/>
          <w:szCs w:val="32"/>
        </w:rPr>
        <w:fldChar w:fldCharType="end"/>
      </w:r>
    </w:p>
    <w:p w14:paraId="5E32C351">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_Toc15829 </w:instrText>
      </w:r>
      <w:r>
        <w:rPr>
          <w:rFonts w:hint="eastAsia" w:eastAsia="仿宋_GB2312" w:cs="仿宋_GB2312"/>
          <w:sz w:val="32"/>
          <w:szCs w:val="32"/>
        </w:rPr>
        <w:fldChar w:fldCharType="separate"/>
      </w:r>
      <w:r>
        <w:rPr>
          <w:rFonts w:hint="eastAsia" w:eastAsia="仿宋_GB2312" w:cs="仿宋_GB2312"/>
          <w:sz w:val="32"/>
          <w:szCs w:val="32"/>
        </w:rPr>
        <w:t>十、其他重要事项的情况说明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_Toc15829 \h </w:instrText>
      </w:r>
      <w:r>
        <w:rPr>
          <w:rFonts w:hint="eastAsia" w:eastAsia="仿宋_GB2312" w:cs="仿宋_GB2312"/>
          <w:sz w:val="32"/>
          <w:szCs w:val="32"/>
        </w:rPr>
        <w:fldChar w:fldCharType="separate"/>
      </w:r>
      <w:r>
        <w:rPr>
          <w:rFonts w:hint="eastAsia" w:eastAsia="仿宋_GB2312" w:cs="仿宋_GB2312"/>
          <w:sz w:val="32"/>
          <w:szCs w:val="32"/>
        </w:rPr>
        <w:t>9</w:t>
      </w:r>
      <w:r>
        <w:rPr>
          <w:rFonts w:hint="eastAsia" w:eastAsia="仿宋_GB2312" w:cs="仿宋_GB2312"/>
          <w:sz w:val="32"/>
          <w:szCs w:val="32"/>
        </w:rPr>
        <w:fldChar w:fldCharType="end"/>
      </w:r>
      <w:r>
        <w:rPr>
          <w:rFonts w:hint="eastAsia" w:eastAsia="仿宋_GB2312" w:cs="仿宋_GB2312"/>
          <w:sz w:val="32"/>
          <w:szCs w:val="32"/>
        </w:rPr>
        <w:fldChar w:fldCharType="end"/>
      </w:r>
    </w:p>
    <w:p w14:paraId="6115CF64">
      <w:pPr>
        <w:pStyle w:val="14"/>
        <w:adjustRightInd w:val="0"/>
        <w:snapToGrid w:val="0"/>
        <w:spacing w:before="0" w:line="560" w:lineRule="exact"/>
        <w:jc w:val="left"/>
        <w:rPr>
          <w:rFonts w:hint="eastAsia" w:ascii="Times New Roman" w:hAnsi="Times New Roman" w:eastAsia="黑体" w:cs="黑体"/>
          <w:sz w:val="32"/>
          <w:szCs w:val="32"/>
        </w:rPr>
      </w:pP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_Toc6817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lang w:eastAsia="zh-CN"/>
        </w:rPr>
        <w:t>第三部分</w:t>
      </w:r>
      <w:r>
        <w:rPr>
          <w:rFonts w:hint="eastAsia" w:ascii="Times New Roman" w:hAnsi="Times New Roman" w:eastAsia="黑体" w:cs="黑体"/>
          <w:sz w:val="32"/>
          <w:szCs w:val="32"/>
          <w:lang w:val="en-US" w:eastAsia="zh-CN"/>
        </w:rPr>
        <w:t xml:space="preserve"> 名词解释</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_Toc6817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11</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14:paraId="125FF79F">
      <w:pPr>
        <w:pStyle w:val="14"/>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_Toc31748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lang w:val="en-US" w:eastAsia="zh-CN"/>
        </w:rPr>
        <w:t>15</w:t>
      </w:r>
    </w:p>
    <w:p w14:paraId="082892ED">
      <w:pPr>
        <w:pStyle w:val="14"/>
        <w:adjustRightInd w:val="0"/>
        <w:snapToGrid w:val="0"/>
        <w:spacing w:before="0" w:line="560" w:lineRule="exact"/>
        <w:jc w:val="left"/>
      </w:pP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_Toc18287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_Toc18287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16</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14:paraId="20AB7C8A">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_Toc21316 </w:instrText>
      </w:r>
      <w:r>
        <w:rPr>
          <w:rFonts w:hint="eastAsia" w:eastAsia="仿宋_GB2312" w:cs="仿宋_GB2312"/>
          <w:sz w:val="32"/>
          <w:szCs w:val="32"/>
        </w:rPr>
        <w:fldChar w:fldCharType="separate"/>
      </w:r>
      <w:r>
        <w:rPr>
          <w:rFonts w:hint="eastAsia" w:eastAsia="仿宋_GB2312" w:cs="仿宋_GB2312"/>
          <w:sz w:val="32"/>
          <w:szCs w:val="32"/>
        </w:rPr>
        <w:t>一、收入支出决算总表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_Toc21316 \h </w:instrText>
      </w:r>
      <w:r>
        <w:rPr>
          <w:rFonts w:hint="eastAsia" w:eastAsia="仿宋_GB2312" w:cs="仿宋_GB2312"/>
          <w:sz w:val="32"/>
          <w:szCs w:val="32"/>
        </w:rPr>
        <w:fldChar w:fldCharType="separate"/>
      </w:r>
      <w:r>
        <w:rPr>
          <w:rFonts w:hint="eastAsia" w:eastAsia="仿宋_GB2312" w:cs="仿宋_GB2312"/>
          <w:sz w:val="32"/>
          <w:szCs w:val="32"/>
        </w:rPr>
        <w:t>16</w:t>
      </w:r>
      <w:r>
        <w:rPr>
          <w:rFonts w:hint="eastAsia" w:eastAsia="仿宋_GB2312" w:cs="仿宋_GB2312"/>
          <w:sz w:val="32"/>
          <w:szCs w:val="32"/>
        </w:rPr>
        <w:fldChar w:fldCharType="end"/>
      </w:r>
      <w:r>
        <w:rPr>
          <w:rFonts w:hint="eastAsia" w:eastAsia="仿宋_GB2312" w:cs="仿宋_GB2312"/>
          <w:sz w:val="32"/>
          <w:szCs w:val="32"/>
        </w:rPr>
        <w:fldChar w:fldCharType="end"/>
      </w:r>
    </w:p>
    <w:p w14:paraId="3812A88B">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_Toc1956 </w:instrText>
      </w:r>
      <w:r>
        <w:rPr>
          <w:rFonts w:hint="eastAsia" w:eastAsia="仿宋_GB2312" w:cs="仿宋_GB2312"/>
          <w:sz w:val="32"/>
          <w:szCs w:val="32"/>
        </w:rPr>
        <w:fldChar w:fldCharType="separate"/>
      </w:r>
      <w:r>
        <w:rPr>
          <w:rFonts w:hint="eastAsia" w:eastAsia="仿宋_GB2312" w:cs="仿宋_GB2312"/>
          <w:sz w:val="32"/>
          <w:szCs w:val="32"/>
        </w:rPr>
        <w:t>二、收入决算表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_Toc1956 \h </w:instrText>
      </w:r>
      <w:r>
        <w:rPr>
          <w:rFonts w:hint="eastAsia" w:eastAsia="仿宋_GB2312" w:cs="仿宋_GB2312"/>
          <w:sz w:val="32"/>
          <w:szCs w:val="32"/>
        </w:rPr>
        <w:fldChar w:fldCharType="separate"/>
      </w:r>
      <w:r>
        <w:rPr>
          <w:rFonts w:hint="eastAsia" w:eastAsia="仿宋_GB2312" w:cs="仿宋_GB2312"/>
          <w:sz w:val="32"/>
          <w:szCs w:val="32"/>
        </w:rPr>
        <w:t>16</w:t>
      </w:r>
      <w:r>
        <w:rPr>
          <w:rFonts w:hint="eastAsia" w:eastAsia="仿宋_GB2312" w:cs="仿宋_GB2312"/>
          <w:sz w:val="32"/>
          <w:szCs w:val="32"/>
        </w:rPr>
        <w:fldChar w:fldCharType="end"/>
      </w:r>
      <w:r>
        <w:rPr>
          <w:rFonts w:hint="eastAsia" w:eastAsia="仿宋_GB2312" w:cs="仿宋_GB2312"/>
          <w:sz w:val="32"/>
          <w:szCs w:val="32"/>
        </w:rPr>
        <w:fldChar w:fldCharType="end"/>
      </w:r>
    </w:p>
    <w:p w14:paraId="4CCDC491">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_Toc20629 </w:instrText>
      </w:r>
      <w:r>
        <w:rPr>
          <w:rFonts w:hint="eastAsia" w:eastAsia="仿宋_GB2312" w:cs="仿宋_GB2312"/>
          <w:sz w:val="32"/>
          <w:szCs w:val="32"/>
        </w:rPr>
        <w:fldChar w:fldCharType="separate"/>
      </w:r>
      <w:r>
        <w:rPr>
          <w:rFonts w:hint="eastAsia" w:eastAsia="仿宋_GB2312" w:cs="仿宋_GB2312"/>
          <w:sz w:val="32"/>
          <w:szCs w:val="32"/>
        </w:rPr>
        <w:t>三、支出决算表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_Toc20629 \h </w:instrText>
      </w:r>
      <w:r>
        <w:rPr>
          <w:rFonts w:hint="eastAsia" w:eastAsia="仿宋_GB2312" w:cs="仿宋_GB2312"/>
          <w:sz w:val="32"/>
          <w:szCs w:val="32"/>
        </w:rPr>
        <w:fldChar w:fldCharType="separate"/>
      </w:r>
      <w:r>
        <w:rPr>
          <w:rFonts w:hint="eastAsia" w:eastAsia="仿宋_GB2312" w:cs="仿宋_GB2312"/>
          <w:sz w:val="32"/>
          <w:szCs w:val="32"/>
        </w:rPr>
        <w:t>16</w:t>
      </w:r>
      <w:r>
        <w:rPr>
          <w:rFonts w:hint="eastAsia" w:eastAsia="仿宋_GB2312" w:cs="仿宋_GB2312"/>
          <w:sz w:val="32"/>
          <w:szCs w:val="32"/>
        </w:rPr>
        <w:fldChar w:fldCharType="end"/>
      </w:r>
      <w:r>
        <w:rPr>
          <w:rFonts w:hint="eastAsia" w:eastAsia="仿宋_GB2312" w:cs="仿宋_GB2312"/>
          <w:sz w:val="32"/>
          <w:szCs w:val="32"/>
        </w:rPr>
        <w:fldChar w:fldCharType="end"/>
      </w:r>
    </w:p>
    <w:p w14:paraId="4E21CF2F">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_Toc14975 </w:instrText>
      </w:r>
      <w:r>
        <w:rPr>
          <w:rFonts w:hint="eastAsia" w:eastAsia="仿宋_GB2312" w:cs="仿宋_GB2312"/>
          <w:sz w:val="32"/>
          <w:szCs w:val="32"/>
        </w:rPr>
        <w:fldChar w:fldCharType="separate"/>
      </w:r>
      <w:r>
        <w:rPr>
          <w:rFonts w:hint="eastAsia" w:eastAsia="仿宋_GB2312" w:cs="仿宋_GB2312"/>
          <w:sz w:val="32"/>
          <w:szCs w:val="32"/>
        </w:rPr>
        <w:t>四、财政拨款收入支出决算总表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_Toc14975 \h </w:instrText>
      </w:r>
      <w:r>
        <w:rPr>
          <w:rFonts w:hint="eastAsia" w:eastAsia="仿宋_GB2312" w:cs="仿宋_GB2312"/>
          <w:sz w:val="32"/>
          <w:szCs w:val="32"/>
        </w:rPr>
        <w:fldChar w:fldCharType="separate"/>
      </w:r>
      <w:r>
        <w:rPr>
          <w:rFonts w:hint="eastAsia" w:eastAsia="仿宋_GB2312" w:cs="仿宋_GB2312"/>
          <w:sz w:val="32"/>
          <w:szCs w:val="32"/>
        </w:rPr>
        <w:t>16</w:t>
      </w:r>
      <w:r>
        <w:rPr>
          <w:rFonts w:hint="eastAsia" w:eastAsia="仿宋_GB2312" w:cs="仿宋_GB2312"/>
          <w:sz w:val="32"/>
          <w:szCs w:val="32"/>
        </w:rPr>
        <w:fldChar w:fldCharType="end"/>
      </w:r>
      <w:r>
        <w:rPr>
          <w:rFonts w:hint="eastAsia" w:eastAsia="仿宋_GB2312" w:cs="仿宋_GB2312"/>
          <w:sz w:val="32"/>
          <w:szCs w:val="32"/>
        </w:rPr>
        <w:fldChar w:fldCharType="end"/>
      </w:r>
    </w:p>
    <w:p w14:paraId="1FDE6DEB">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_Toc2491 </w:instrText>
      </w:r>
      <w:r>
        <w:rPr>
          <w:rFonts w:hint="eastAsia" w:eastAsia="仿宋_GB2312" w:cs="仿宋_GB2312"/>
          <w:sz w:val="32"/>
          <w:szCs w:val="32"/>
        </w:rPr>
        <w:fldChar w:fldCharType="separate"/>
      </w:r>
      <w:r>
        <w:rPr>
          <w:rFonts w:hint="eastAsia" w:eastAsia="仿宋_GB2312" w:cs="仿宋_GB2312"/>
          <w:sz w:val="32"/>
          <w:szCs w:val="32"/>
        </w:rPr>
        <w:t>五、财政拨款支出决算明细表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_Toc2491 \h </w:instrText>
      </w:r>
      <w:r>
        <w:rPr>
          <w:rFonts w:hint="eastAsia" w:eastAsia="仿宋_GB2312" w:cs="仿宋_GB2312"/>
          <w:sz w:val="32"/>
          <w:szCs w:val="32"/>
        </w:rPr>
        <w:fldChar w:fldCharType="separate"/>
      </w:r>
      <w:r>
        <w:rPr>
          <w:rFonts w:hint="eastAsia" w:eastAsia="仿宋_GB2312" w:cs="仿宋_GB2312"/>
          <w:sz w:val="32"/>
          <w:szCs w:val="32"/>
        </w:rPr>
        <w:t>16</w:t>
      </w:r>
      <w:r>
        <w:rPr>
          <w:rFonts w:hint="eastAsia" w:eastAsia="仿宋_GB2312" w:cs="仿宋_GB2312"/>
          <w:sz w:val="32"/>
          <w:szCs w:val="32"/>
        </w:rPr>
        <w:fldChar w:fldCharType="end"/>
      </w:r>
      <w:r>
        <w:rPr>
          <w:rFonts w:hint="eastAsia" w:eastAsia="仿宋_GB2312" w:cs="仿宋_GB2312"/>
          <w:sz w:val="32"/>
          <w:szCs w:val="32"/>
        </w:rPr>
        <w:fldChar w:fldCharType="end"/>
      </w:r>
    </w:p>
    <w:p w14:paraId="3F927FBE">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_Toc9102 </w:instrText>
      </w:r>
      <w:r>
        <w:rPr>
          <w:rFonts w:hint="eastAsia" w:eastAsia="仿宋_GB2312" w:cs="仿宋_GB2312"/>
          <w:sz w:val="32"/>
          <w:szCs w:val="32"/>
        </w:rPr>
        <w:fldChar w:fldCharType="separate"/>
      </w:r>
      <w:r>
        <w:rPr>
          <w:rFonts w:hint="eastAsia" w:eastAsia="仿宋_GB2312" w:cs="仿宋_GB2312"/>
          <w:sz w:val="32"/>
          <w:szCs w:val="32"/>
        </w:rPr>
        <w:t>六、一般公共预算财政拨款支出决算表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_Toc9102 \h </w:instrText>
      </w:r>
      <w:r>
        <w:rPr>
          <w:rFonts w:hint="eastAsia" w:eastAsia="仿宋_GB2312" w:cs="仿宋_GB2312"/>
          <w:sz w:val="32"/>
          <w:szCs w:val="32"/>
        </w:rPr>
        <w:fldChar w:fldCharType="separate"/>
      </w:r>
      <w:r>
        <w:rPr>
          <w:rFonts w:hint="eastAsia" w:eastAsia="仿宋_GB2312" w:cs="仿宋_GB2312"/>
          <w:sz w:val="32"/>
          <w:szCs w:val="32"/>
        </w:rPr>
        <w:t>16</w:t>
      </w:r>
      <w:r>
        <w:rPr>
          <w:rFonts w:hint="eastAsia" w:eastAsia="仿宋_GB2312" w:cs="仿宋_GB2312"/>
          <w:sz w:val="32"/>
          <w:szCs w:val="32"/>
        </w:rPr>
        <w:fldChar w:fldCharType="end"/>
      </w:r>
      <w:r>
        <w:rPr>
          <w:rFonts w:hint="eastAsia" w:eastAsia="仿宋_GB2312" w:cs="仿宋_GB2312"/>
          <w:sz w:val="32"/>
          <w:szCs w:val="32"/>
        </w:rPr>
        <w:fldChar w:fldCharType="end"/>
      </w:r>
    </w:p>
    <w:p w14:paraId="3F41B327">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_Toc29748 </w:instrText>
      </w:r>
      <w:r>
        <w:rPr>
          <w:rFonts w:hint="eastAsia" w:eastAsia="仿宋_GB2312" w:cs="仿宋_GB2312"/>
          <w:sz w:val="32"/>
          <w:szCs w:val="32"/>
        </w:rPr>
        <w:fldChar w:fldCharType="separate"/>
      </w:r>
      <w:r>
        <w:rPr>
          <w:rFonts w:hint="eastAsia" w:eastAsia="仿宋_GB2312" w:cs="仿宋_GB2312"/>
          <w:sz w:val="32"/>
          <w:szCs w:val="32"/>
        </w:rPr>
        <w:t>七、一般公共预算财政拨款支出决算明细表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_Toc29748 \h </w:instrText>
      </w:r>
      <w:r>
        <w:rPr>
          <w:rFonts w:hint="eastAsia" w:eastAsia="仿宋_GB2312" w:cs="仿宋_GB2312"/>
          <w:sz w:val="32"/>
          <w:szCs w:val="32"/>
        </w:rPr>
        <w:fldChar w:fldCharType="separate"/>
      </w:r>
      <w:r>
        <w:rPr>
          <w:rFonts w:hint="eastAsia" w:eastAsia="仿宋_GB2312" w:cs="仿宋_GB2312"/>
          <w:sz w:val="32"/>
          <w:szCs w:val="32"/>
        </w:rPr>
        <w:t>16</w:t>
      </w:r>
      <w:r>
        <w:rPr>
          <w:rFonts w:hint="eastAsia" w:eastAsia="仿宋_GB2312" w:cs="仿宋_GB2312"/>
          <w:sz w:val="32"/>
          <w:szCs w:val="32"/>
        </w:rPr>
        <w:fldChar w:fldCharType="end"/>
      </w:r>
      <w:r>
        <w:rPr>
          <w:rFonts w:hint="eastAsia" w:eastAsia="仿宋_GB2312" w:cs="仿宋_GB2312"/>
          <w:sz w:val="32"/>
          <w:szCs w:val="32"/>
        </w:rPr>
        <w:fldChar w:fldCharType="end"/>
      </w:r>
    </w:p>
    <w:p w14:paraId="012E1E53">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_Toc18898 </w:instrText>
      </w:r>
      <w:r>
        <w:rPr>
          <w:rFonts w:hint="eastAsia" w:eastAsia="仿宋_GB2312" w:cs="仿宋_GB2312"/>
          <w:sz w:val="32"/>
          <w:szCs w:val="32"/>
        </w:rPr>
        <w:fldChar w:fldCharType="separate"/>
      </w:r>
      <w:r>
        <w:rPr>
          <w:rFonts w:hint="eastAsia" w:eastAsia="仿宋_GB2312" w:cs="仿宋_GB2312"/>
          <w:sz w:val="32"/>
          <w:szCs w:val="32"/>
        </w:rPr>
        <w:t>八、一般公共预算财政拨款基本支出决算</w:t>
      </w:r>
      <w:r>
        <w:rPr>
          <w:rFonts w:hint="eastAsia" w:eastAsia="仿宋_GB2312" w:cs="仿宋_GB2312"/>
          <w:sz w:val="32"/>
          <w:szCs w:val="32"/>
          <w:lang w:eastAsia="zh-CN"/>
        </w:rPr>
        <w:t>明细</w:t>
      </w:r>
      <w:r>
        <w:rPr>
          <w:rFonts w:hint="eastAsia" w:eastAsia="仿宋_GB2312" w:cs="仿宋_GB2312"/>
          <w:sz w:val="32"/>
          <w:szCs w:val="32"/>
        </w:rPr>
        <w:t>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_Toc18898 \h </w:instrText>
      </w:r>
      <w:r>
        <w:rPr>
          <w:rFonts w:hint="eastAsia" w:eastAsia="仿宋_GB2312" w:cs="仿宋_GB2312"/>
          <w:sz w:val="32"/>
          <w:szCs w:val="32"/>
        </w:rPr>
        <w:fldChar w:fldCharType="separate"/>
      </w:r>
      <w:r>
        <w:rPr>
          <w:rFonts w:hint="eastAsia" w:eastAsia="仿宋_GB2312" w:cs="仿宋_GB2312"/>
          <w:sz w:val="32"/>
          <w:szCs w:val="32"/>
        </w:rPr>
        <w:t>16</w:t>
      </w:r>
      <w:r>
        <w:rPr>
          <w:rFonts w:hint="eastAsia" w:eastAsia="仿宋_GB2312" w:cs="仿宋_GB2312"/>
          <w:sz w:val="32"/>
          <w:szCs w:val="32"/>
        </w:rPr>
        <w:fldChar w:fldCharType="end"/>
      </w:r>
      <w:r>
        <w:rPr>
          <w:rFonts w:hint="eastAsia" w:eastAsia="仿宋_GB2312" w:cs="仿宋_GB2312"/>
          <w:sz w:val="32"/>
          <w:szCs w:val="32"/>
        </w:rPr>
        <w:fldChar w:fldCharType="end"/>
      </w:r>
    </w:p>
    <w:p w14:paraId="07214642">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_Toc19573 </w:instrText>
      </w:r>
      <w:r>
        <w:rPr>
          <w:rFonts w:hint="eastAsia" w:eastAsia="仿宋_GB2312" w:cs="仿宋_GB2312"/>
          <w:sz w:val="32"/>
          <w:szCs w:val="32"/>
        </w:rPr>
        <w:fldChar w:fldCharType="separate"/>
      </w:r>
      <w:r>
        <w:rPr>
          <w:rFonts w:hint="eastAsia" w:eastAsia="仿宋_GB2312" w:cs="仿宋_GB2312"/>
          <w:sz w:val="32"/>
          <w:szCs w:val="32"/>
        </w:rPr>
        <w:t>九、一般公共预算财政拨款项目支出决算表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_Toc19573 \h </w:instrText>
      </w:r>
      <w:r>
        <w:rPr>
          <w:rFonts w:hint="eastAsia" w:eastAsia="仿宋_GB2312" w:cs="仿宋_GB2312"/>
          <w:sz w:val="32"/>
          <w:szCs w:val="32"/>
        </w:rPr>
        <w:fldChar w:fldCharType="separate"/>
      </w:r>
      <w:r>
        <w:rPr>
          <w:rFonts w:hint="eastAsia" w:eastAsia="仿宋_GB2312" w:cs="仿宋_GB2312"/>
          <w:sz w:val="32"/>
          <w:szCs w:val="32"/>
        </w:rPr>
        <w:t>16</w:t>
      </w:r>
      <w:r>
        <w:rPr>
          <w:rFonts w:hint="eastAsia" w:eastAsia="仿宋_GB2312" w:cs="仿宋_GB2312"/>
          <w:sz w:val="32"/>
          <w:szCs w:val="32"/>
        </w:rPr>
        <w:fldChar w:fldCharType="end"/>
      </w:r>
      <w:r>
        <w:rPr>
          <w:rFonts w:hint="eastAsia" w:eastAsia="仿宋_GB2312" w:cs="仿宋_GB2312"/>
          <w:sz w:val="32"/>
          <w:szCs w:val="32"/>
        </w:rPr>
        <w:fldChar w:fldCharType="end"/>
      </w:r>
    </w:p>
    <w:p w14:paraId="3D2C996A">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_Toc27523 </w:instrText>
      </w:r>
      <w:r>
        <w:rPr>
          <w:rFonts w:hint="eastAsia" w:eastAsia="仿宋_GB2312" w:cs="仿宋_GB2312"/>
          <w:sz w:val="32"/>
          <w:szCs w:val="32"/>
        </w:rPr>
        <w:fldChar w:fldCharType="separate"/>
      </w:r>
      <w:r>
        <w:rPr>
          <w:rFonts w:hint="eastAsia" w:eastAsia="仿宋_GB2312" w:cs="仿宋_GB2312"/>
          <w:sz w:val="32"/>
          <w:szCs w:val="32"/>
        </w:rPr>
        <w:t>十、政府性基金预算财政拨款收入支出决算表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_Toc27523 \h </w:instrText>
      </w:r>
      <w:r>
        <w:rPr>
          <w:rFonts w:hint="eastAsia" w:eastAsia="仿宋_GB2312" w:cs="仿宋_GB2312"/>
          <w:sz w:val="32"/>
          <w:szCs w:val="32"/>
        </w:rPr>
        <w:fldChar w:fldCharType="separate"/>
      </w:r>
      <w:r>
        <w:rPr>
          <w:rFonts w:hint="eastAsia" w:eastAsia="仿宋_GB2312" w:cs="仿宋_GB2312"/>
          <w:sz w:val="32"/>
          <w:szCs w:val="32"/>
        </w:rPr>
        <w:t>16</w:t>
      </w:r>
      <w:r>
        <w:rPr>
          <w:rFonts w:hint="eastAsia" w:eastAsia="仿宋_GB2312" w:cs="仿宋_GB2312"/>
          <w:sz w:val="32"/>
          <w:szCs w:val="32"/>
        </w:rPr>
        <w:fldChar w:fldCharType="end"/>
      </w:r>
      <w:r>
        <w:rPr>
          <w:rFonts w:hint="eastAsia" w:eastAsia="仿宋_GB2312" w:cs="仿宋_GB2312"/>
          <w:sz w:val="32"/>
          <w:szCs w:val="32"/>
        </w:rPr>
        <w:fldChar w:fldCharType="end"/>
      </w:r>
    </w:p>
    <w:p w14:paraId="34BDE809">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_Toc17700 </w:instrText>
      </w:r>
      <w:r>
        <w:rPr>
          <w:rFonts w:hint="eastAsia" w:eastAsia="仿宋_GB2312" w:cs="仿宋_GB2312"/>
          <w:sz w:val="32"/>
          <w:szCs w:val="32"/>
        </w:rPr>
        <w:fldChar w:fldCharType="separate"/>
      </w:r>
      <w:r>
        <w:rPr>
          <w:rFonts w:hint="eastAsia" w:eastAsia="仿宋_GB2312" w:cs="仿宋_GB2312"/>
          <w:sz w:val="32"/>
          <w:szCs w:val="32"/>
        </w:rPr>
        <w:t>十一、国有资本经营预算财政拨款收入支出决算表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_Toc17700 \h </w:instrText>
      </w:r>
      <w:r>
        <w:rPr>
          <w:rFonts w:hint="eastAsia" w:eastAsia="仿宋_GB2312" w:cs="仿宋_GB2312"/>
          <w:sz w:val="32"/>
          <w:szCs w:val="32"/>
        </w:rPr>
        <w:fldChar w:fldCharType="separate"/>
      </w:r>
      <w:r>
        <w:rPr>
          <w:rFonts w:hint="eastAsia" w:eastAsia="仿宋_GB2312" w:cs="仿宋_GB2312"/>
          <w:sz w:val="32"/>
          <w:szCs w:val="32"/>
        </w:rPr>
        <w:t>16</w:t>
      </w:r>
      <w:r>
        <w:rPr>
          <w:rFonts w:hint="eastAsia" w:eastAsia="仿宋_GB2312" w:cs="仿宋_GB2312"/>
          <w:sz w:val="32"/>
          <w:szCs w:val="32"/>
        </w:rPr>
        <w:fldChar w:fldCharType="end"/>
      </w:r>
      <w:r>
        <w:rPr>
          <w:rFonts w:hint="eastAsia" w:eastAsia="仿宋_GB2312" w:cs="仿宋_GB2312"/>
          <w:sz w:val="32"/>
          <w:szCs w:val="32"/>
        </w:rPr>
        <w:fldChar w:fldCharType="end"/>
      </w:r>
    </w:p>
    <w:p w14:paraId="461DED86">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_Toc20690 </w:instrText>
      </w:r>
      <w:r>
        <w:rPr>
          <w:rFonts w:hint="eastAsia" w:eastAsia="仿宋_GB2312" w:cs="仿宋_GB2312"/>
          <w:sz w:val="32"/>
          <w:szCs w:val="32"/>
        </w:rPr>
        <w:fldChar w:fldCharType="separate"/>
      </w:r>
      <w:r>
        <w:rPr>
          <w:rFonts w:hint="eastAsia" w:eastAsia="仿宋_GB2312" w:cs="仿宋_GB2312"/>
          <w:sz w:val="32"/>
          <w:szCs w:val="32"/>
        </w:rPr>
        <w:t>十二、国有资本经营预算财政拨款支出决算表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_Toc20690 \h </w:instrText>
      </w:r>
      <w:r>
        <w:rPr>
          <w:rFonts w:hint="eastAsia" w:eastAsia="仿宋_GB2312" w:cs="仿宋_GB2312"/>
          <w:sz w:val="32"/>
          <w:szCs w:val="32"/>
        </w:rPr>
        <w:fldChar w:fldCharType="separate"/>
      </w:r>
      <w:r>
        <w:rPr>
          <w:rFonts w:hint="eastAsia" w:eastAsia="仿宋_GB2312" w:cs="仿宋_GB2312"/>
          <w:sz w:val="32"/>
          <w:szCs w:val="32"/>
        </w:rPr>
        <w:t>16</w:t>
      </w:r>
      <w:r>
        <w:rPr>
          <w:rFonts w:hint="eastAsia" w:eastAsia="仿宋_GB2312" w:cs="仿宋_GB2312"/>
          <w:sz w:val="32"/>
          <w:szCs w:val="32"/>
        </w:rPr>
        <w:fldChar w:fldCharType="end"/>
      </w:r>
      <w:r>
        <w:rPr>
          <w:rFonts w:hint="eastAsia" w:eastAsia="仿宋_GB2312" w:cs="仿宋_GB2312"/>
          <w:sz w:val="32"/>
          <w:szCs w:val="32"/>
        </w:rPr>
        <w:fldChar w:fldCharType="end"/>
      </w:r>
    </w:p>
    <w:p w14:paraId="72153069">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_Toc27975 </w:instrText>
      </w:r>
      <w:r>
        <w:rPr>
          <w:rFonts w:hint="eastAsia" w:eastAsia="仿宋_GB2312" w:cs="仿宋_GB2312"/>
          <w:sz w:val="32"/>
          <w:szCs w:val="32"/>
        </w:rPr>
        <w:fldChar w:fldCharType="separate"/>
      </w:r>
      <w:r>
        <w:rPr>
          <w:rFonts w:hint="eastAsia" w:eastAsia="仿宋_GB2312" w:cs="仿宋_GB2312"/>
          <w:sz w:val="32"/>
          <w:szCs w:val="32"/>
        </w:rPr>
        <w:t>十三、财政拨款“三公”经费支出决算表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_Toc27975 \h </w:instrText>
      </w:r>
      <w:r>
        <w:rPr>
          <w:rFonts w:hint="eastAsia" w:eastAsia="仿宋_GB2312" w:cs="仿宋_GB2312"/>
          <w:sz w:val="32"/>
          <w:szCs w:val="32"/>
        </w:rPr>
        <w:fldChar w:fldCharType="separate"/>
      </w:r>
      <w:r>
        <w:rPr>
          <w:rFonts w:hint="eastAsia" w:eastAsia="仿宋_GB2312" w:cs="仿宋_GB2312"/>
          <w:sz w:val="32"/>
          <w:szCs w:val="32"/>
        </w:rPr>
        <w:t>16</w:t>
      </w:r>
      <w:r>
        <w:rPr>
          <w:rFonts w:hint="eastAsia" w:eastAsia="仿宋_GB2312" w:cs="仿宋_GB2312"/>
          <w:sz w:val="32"/>
          <w:szCs w:val="32"/>
        </w:rPr>
        <w:fldChar w:fldCharType="end"/>
      </w:r>
      <w:r>
        <w:rPr>
          <w:rFonts w:hint="eastAsia" w:eastAsia="仿宋_GB2312" w:cs="仿宋_GB2312"/>
          <w:sz w:val="32"/>
          <w:szCs w:val="32"/>
        </w:rPr>
        <w:fldChar w:fldCharType="end"/>
      </w:r>
    </w:p>
    <w:p w14:paraId="108613F2">
      <w:pPr>
        <w:pStyle w:val="15"/>
        <w:adjustRightInd w:val="0"/>
        <w:snapToGrid w:val="0"/>
        <w:spacing w:line="560" w:lineRule="exact"/>
        <w:ind w:left="0" w:leftChars="0" w:firstLine="420" w:firstLineChars="200"/>
        <w:jc w:val="left"/>
        <w:rPr>
          <w:rFonts w:hint="default" w:ascii="方正小标宋简体" w:hAnsi="黑体" w:eastAsia="方正小标宋简体"/>
          <w:b w:val="0"/>
          <w:lang w:val="en-US" w:eastAsia="zh-CN"/>
        </w:rPr>
        <w:sectPr>
          <w:footerReference r:id="rId8" w:type="default"/>
          <w:pgSz w:w="11906" w:h="16838"/>
          <w:pgMar w:top="1440" w:right="1800" w:bottom="1440" w:left="1800" w:header="851" w:footer="992" w:gutter="0"/>
          <w:pgNumType w:start="1"/>
          <w:cols w:space="425" w:num="1"/>
          <w:docGrid w:type="lines" w:linePitch="312" w:charSpace="0"/>
        </w:sectPr>
      </w:pPr>
      <w:r>
        <w:rPr>
          <w:rFonts w:hint="eastAsia" w:ascii="方正小标宋简体" w:hAnsi="黑体" w:eastAsia="方正小标宋简体"/>
        </w:rPr>
        <w:fldChar w:fldCharType="end"/>
      </w:r>
    </w:p>
    <w:p w14:paraId="4B2A4F1B">
      <w:pPr>
        <w:pStyle w:val="5"/>
        <w:spacing w:line="720" w:lineRule="exact"/>
        <w:jc w:val="center"/>
        <w:rPr>
          <w:rFonts w:hint="eastAsia" w:ascii="方正小标宋简体" w:hAnsi="黑体" w:eastAsia="方正小标宋简体"/>
          <w:b w:val="0"/>
        </w:rPr>
      </w:pPr>
    </w:p>
    <w:p w14:paraId="40B54860">
      <w:pPr>
        <w:rPr>
          <w:rFonts w:hint="eastAsia" w:ascii="方正小标宋简体" w:hAnsi="黑体" w:eastAsia="方正小标宋简体"/>
          <w:b w:val="0"/>
        </w:rPr>
      </w:pPr>
    </w:p>
    <w:p w14:paraId="2B6FA2AE">
      <w:pPr>
        <w:pStyle w:val="2"/>
        <w:rPr>
          <w:rFonts w:hint="eastAsia" w:ascii="方正小标宋简体" w:hAnsi="黑体" w:eastAsia="方正小标宋简体"/>
          <w:b w:val="0"/>
        </w:rPr>
      </w:pPr>
    </w:p>
    <w:p w14:paraId="1067B3C1">
      <w:pPr>
        <w:pStyle w:val="3"/>
        <w:rPr>
          <w:rFonts w:hint="eastAsia" w:ascii="方正小标宋简体" w:hAnsi="黑体" w:eastAsia="方正小标宋简体"/>
          <w:b w:val="0"/>
        </w:rPr>
      </w:pPr>
    </w:p>
    <w:p w14:paraId="79880A5C">
      <w:pPr>
        <w:pStyle w:val="3"/>
        <w:rPr>
          <w:rFonts w:hint="eastAsia" w:ascii="方正小标宋简体" w:hAnsi="黑体" w:eastAsia="方正小标宋简体"/>
          <w:b w:val="0"/>
        </w:rPr>
      </w:pPr>
    </w:p>
    <w:p w14:paraId="2730FEE6">
      <w:pPr>
        <w:pStyle w:val="3"/>
        <w:rPr>
          <w:rFonts w:hint="eastAsia" w:ascii="方正小标宋简体" w:hAnsi="黑体" w:eastAsia="方正小标宋简体"/>
          <w:b w:val="0"/>
        </w:rPr>
      </w:pPr>
    </w:p>
    <w:p w14:paraId="4BD64C67">
      <w:pPr>
        <w:pStyle w:val="3"/>
        <w:rPr>
          <w:rFonts w:hint="eastAsia" w:ascii="方正小标宋简体" w:hAnsi="黑体" w:eastAsia="方正小标宋简体"/>
          <w:b w:val="0"/>
        </w:rPr>
      </w:pPr>
    </w:p>
    <w:p w14:paraId="73A4D010">
      <w:pPr>
        <w:pStyle w:val="3"/>
        <w:rPr>
          <w:rFonts w:hint="eastAsia" w:ascii="方正小标宋简体" w:hAnsi="黑体" w:eastAsia="方正小标宋简体"/>
          <w:b w:val="0"/>
        </w:rPr>
      </w:pPr>
    </w:p>
    <w:p w14:paraId="3B0CD17C">
      <w:pPr>
        <w:pStyle w:val="3"/>
        <w:rPr>
          <w:rFonts w:hint="eastAsia" w:ascii="方正小标宋简体" w:hAnsi="黑体" w:eastAsia="方正小标宋简体"/>
          <w:b w:val="0"/>
        </w:rPr>
      </w:pPr>
    </w:p>
    <w:p w14:paraId="372FC5DE">
      <w:pPr>
        <w:pStyle w:val="3"/>
        <w:rPr>
          <w:rFonts w:hint="eastAsia" w:ascii="方正小标宋简体" w:hAnsi="黑体" w:eastAsia="方正小标宋简体"/>
          <w:b w:val="0"/>
        </w:rPr>
      </w:pPr>
    </w:p>
    <w:p w14:paraId="04DC509E">
      <w:pPr>
        <w:pStyle w:val="3"/>
        <w:rPr>
          <w:rFonts w:hint="eastAsia" w:ascii="方正小标宋简体" w:hAnsi="黑体" w:eastAsia="方正小标宋简体"/>
          <w:b w:val="0"/>
        </w:rPr>
        <w:sectPr>
          <w:footerReference r:id="rId9" w:type="default"/>
          <w:type w:val="continuous"/>
          <w:pgSz w:w="11906" w:h="16838"/>
          <w:pgMar w:top="1440" w:right="1800" w:bottom="1440" w:left="1800" w:header="851" w:footer="992" w:gutter="0"/>
          <w:pgNumType w:start="1"/>
          <w:cols w:space="425" w:num="1"/>
          <w:docGrid w:type="lines" w:linePitch="312" w:charSpace="0"/>
        </w:sectPr>
      </w:pPr>
    </w:p>
    <w:bookmarkEnd w:id="6"/>
    <w:bookmarkEnd w:id="7"/>
    <w:p w14:paraId="7B80C2F5">
      <w:pPr>
        <w:pStyle w:val="5"/>
        <w:jc w:val="center"/>
        <w:rPr>
          <w:rStyle w:val="31"/>
          <w:rFonts w:eastAsia="方正小标宋简体" w:cs="方正小标宋简体"/>
          <w:b/>
          <w:bCs w:val="0"/>
        </w:rPr>
      </w:pPr>
      <w:bookmarkStart w:id="8" w:name="_Toc3629"/>
      <w:r>
        <w:rPr>
          <w:rFonts w:hint="eastAsia" w:eastAsia="方正小标宋简体" w:cs="方正小标宋简体"/>
          <w:b w:val="0"/>
        </w:rPr>
        <w:t xml:space="preserve">第一部分  </w:t>
      </w:r>
      <w:r>
        <w:rPr>
          <w:rFonts w:hint="eastAsia" w:eastAsia="方正小标宋简体" w:cs="方正小标宋简体"/>
          <w:b w:val="0"/>
          <w:lang w:eastAsia="zh-CN"/>
        </w:rPr>
        <w:t>单位</w:t>
      </w:r>
      <w:r>
        <w:rPr>
          <w:rStyle w:val="31"/>
          <w:rFonts w:hint="eastAsia" w:eastAsia="方正小标宋简体" w:cs="方正小标宋简体"/>
          <w:b w:val="0"/>
          <w:bCs w:val="0"/>
        </w:rPr>
        <w:t>概况</w:t>
      </w:r>
      <w:bookmarkEnd w:id="8"/>
    </w:p>
    <w:p w14:paraId="328A1B1E">
      <w:pPr>
        <w:widowControl/>
        <w:jc w:val="left"/>
        <w:rPr>
          <w:rFonts w:eastAsia="黑体"/>
          <w:sz w:val="32"/>
          <w:szCs w:val="32"/>
        </w:rPr>
      </w:pPr>
    </w:p>
    <w:p w14:paraId="42CB06F4">
      <w:pPr>
        <w:pStyle w:val="6"/>
        <w:rPr>
          <w:rStyle w:val="32"/>
          <w:rFonts w:ascii="Times New Roman" w:hAnsi="Times New Roman" w:eastAsia="黑体"/>
          <w:b w:val="0"/>
          <w:bCs w:val="0"/>
        </w:rPr>
      </w:pPr>
      <w:bookmarkStart w:id="9" w:name="_Toc15377197"/>
      <w:bookmarkStart w:id="10" w:name="_Toc15396600"/>
      <w:bookmarkStart w:id="11" w:name="_Toc17745"/>
      <w:r>
        <w:rPr>
          <w:rFonts w:hint="eastAsia" w:ascii="Times New Roman" w:hAnsi="Times New Roman" w:eastAsia="黑体"/>
          <w:b w:val="0"/>
        </w:rPr>
        <w:t>一、</w:t>
      </w:r>
      <w:bookmarkEnd w:id="9"/>
      <w:bookmarkEnd w:id="10"/>
      <w:r>
        <w:rPr>
          <w:rFonts w:hint="eastAsia" w:ascii="Times New Roman" w:hAnsi="Times New Roman" w:eastAsia="黑体"/>
          <w:b w:val="0"/>
          <w:lang w:eastAsia="zh-CN"/>
        </w:rPr>
        <w:t>主要</w:t>
      </w:r>
      <w:r>
        <w:rPr>
          <w:rFonts w:hint="eastAsia" w:ascii="Times New Roman" w:hAnsi="Times New Roman" w:eastAsia="黑体"/>
          <w:b w:val="0"/>
        </w:rPr>
        <w:t>职责</w:t>
      </w:r>
      <w:bookmarkEnd w:id="11"/>
    </w:p>
    <w:p w14:paraId="67EBC85C">
      <w:pPr>
        <w:ind w:firstLine="640" w:firstLineChars="200"/>
        <w:rPr>
          <w:rFonts w:ascii="仿宋_GB2312" w:hAnsi="仿宋" w:eastAsia="仿宋_GB2312"/>
          <w:sz w:val="32"/>
          <w:szCs w:val="32"/>
        </w:rPr>
      </w:pPr>
      <w:bookmarkStart w:id="12" w:name="_Toc15377200"/>
      <w:bookmarkStart w:id="13" w:name="_Toc15396601"/>
      <w:r>
        <w:rPr>
          <w:rFonts w:hint="eastAsia" w:ascii="仿宋_GB2312" w:hAnsi="仿宋" w:eastAsia="仿宋_GB2312"/>
          <w:sz w:val="32"/>
          <w:szCs w:val="32"/>
        </w:rPr>
        <w:t>（一）负责红格国际运动康养·温泉度假区管理委员会的运行管理和服务等工作。</w:t>
      </w:r>
    </w:p>
    <w:p w14:paraId="55904942">
      <w:pPr>
        <w:ind w:firstLine="640" w:firstLineChars="200"/>
        <w:rPr>
          <w:rFonts w:ascii="仿宋_GB2312" w:hAnsi="仿宋" w:eastAsia="仿宋_GB2312"/>
          <w:sz w:val="32"/>
          <w:szCs w:val="32"/>
        </w:rPr>
      </w:pPr>
      <w:r>
        <w:rPr>
          <w:rFonts w:hint="eastAsia" w:ascii="仿宋_GB2312" w:hAnsi="仿宋" w:eastAsia="仿宋_GB2312"/>
          <w:sz w:val="32"/>
          <w:szCs w:val="32"/>
        </w:rPr>
        <w:t>（二）负责红格度假区范围内基础设施的运行维护等；负责政府投资建设项目管理、运营、维护。</w:t>
      </w:r>
    </w:p>
    <w:p w14:paraId="161C05BB">
      <w:pPr>
        <w:ind w:firstLine="640" w:firstLineChars="200"/>
        <w:rPr>
          <w:rFonts w:ascii="仿宋_GB2312" w:hAnsi="仿宋" w:eastAsia="仿宋_GB2312"/>
          <w:sz w:val="32"/>
          <w:szCs w:val="32"/>
        </w:rPr>
      </w:pPr>
      <w:r>
        <w:rPr>
          <w:rFonts w:hint="eastAsia" w:ascii="仿宋_GB2312" w:hAnsi="仿宋" w:eastAsia="仿宋_GB2312"/>
          <w:sz w:val="32"/>
          <w:szCs w:val="32"/>
        </w:rPr>
        <w:t>（三）负责度假区范围内企业管理，协调解决企业在建设项目时遇到的困难等职责。</w:t>
      </w:r>
    </w:p>
    <w:p w14:paraId="1E58747E">
      <w:pPr>
        <w:ind w:firstLine="640" w:firstLineChars="200"/>
        <w:rPr>
          <w:rFonts w:hint="eastAsia" w:ascii="Times New Roman" w:hAnsi="Times New Roman" w:eastAsia="黑体"/>
          <w:b w:val="0"/>
        </w:rPr>
      </w:pPr>
      <w:r>
        <w:rPr>
          <w:rFonts w:hint="eastAsia" w:ascii="仿宋_GB2312" w:hAnsi="仿宋" w:eastAsia="仿宋_GB2312"/>
          <w:sz w:val="32"/>
          <w:szCs w:val="32"/>
        </w:rPr>
        <w:t>（四）承担县委、县政府交办的其他事项。</w:t>
      </w:r>
    </w:p>
    <w:p w14:paraId="65823E95">
      <w:pPr>
        <w:pStyle w:val="6"/>
        <w:rPr>
          <w:rStyle w:val="32"/>
          <w:rFonts w:ascii="Times New Roman" w:hAnsi="Times New Roman"/>
          <w:b w:val="0"/>
          <w:bCs w:val="0"/>
        </w:rPr>
      </w:pPr>
      <w:bookmarkStart w:id="14" w:name="_Toc18333"/>
      <w:r>
        <w:rPr>
          <w:rFonts w:hint="eastAsia" w:ascii="Times New Roman" w:hAnsi="Times New Roman" w:eastAsia="黑体"/>
          <w:b w:val="0"/>
        </w:rPr>
        <w:t>二、机</w:t>
      </w:r>
      <w:r>
        <w:rPr>
          <w:rStyle w:val="32"/>
          <w:rFonts w:hint="eastAsia" w:ascii="Times New Roman" w:hAnsi="Times New Roman" w:eastAsia="黑体"/>
          <w:b w:val="0"/>
          <w:bCs w:val="0"/>
        </w:rPr>
        <w:t>构设置</w:t>
      </w:r>
      <w:bookmarkEnd w:id="12"/>
      <w:bookmarkEnd w:id="13"/>
      <w:bookmarkEnd w:id="14"/>
    </w:p>
    <w:p w14:paraId="2C6D55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cs="仿宋_GB2312"/>
          <w:sz w:val="32"/>
          <w:szCs w:val="32"/>
          <w:lang w:val="en-US" w:eastAsia="zh-CN"/>
        </w:rPr>
      </w:pPr>
      <w:r>
        <w:rPr>
          <w:rFonts w:hint="eastAsia" w:ascii="Times New Roman" w:hAnsi="Times New Roman" w:eastAsia="仿宋_GB2312"/>
          <w:sz w:val="32"/>
          <w:szCs w:val="32"/>
        </w:rPr>
        <w:t>盐边县红格国际运动康养·温泉度假区管理委员会</w:t>
      </w:r>
      <w:r>
        <w:rPr>
          <w:rFonts w:hint="eastAsia" w:eastAsia="仿宋_GB2312"/>
          <w:sz w:val="32"/>
          <w:szCs w:val="32"/>
          <w:lang w:eastAsia="zh-CN"/>
        </w:rPr>
        <w:t>内设</w:t>
      </w:r>
      <w:r>
        <w:rPr>
          <w:rFonts w:hint="eastAsia" w:eastAsia="仿宋_GB2312"/>
          <w:sz w:val="32"/>
          <w:szCs w:val="32"/>
          <w:lang w:val="en-US" w:eastAsia="zh-CN"/>
        </w:rPr>
        <w:t>4个股（局）室，包括</w:t>
      </w:r>
      <w:r>
        <w:rPr>
          <w:rFonts w:eastAsia="仿宋_GB2312"/>
          <w:color w:val="000000"/>
          <w:sz w:val="32"/>
          <w:szCs w:val="32"/>
        </w:rPr>
        <w:t>综合办公室（党政群工作部）</w:t>
      </w:r>
      <w:r>
        <w:rPr>
          <w:rFonts w:hint="eastAsia" w:eastAsia="仿宋_GB2312"/>
          <w:color w:val="000000"/>
          <w:sz w:val="32"/>
          <w:szCs w:val="32"/>
          <w:lang w:eastAsia="zh-CN"/>
        </w:rPr>
        <w:t>、</w:t>
      </w:r>
      <w:r>
        <w:rPr>
          <w:rFonts w:eastAsia="仿宋_GB2312"/>
          <w:color w:val="000000"/>
          <w:sz w:val="32"/>
          <w:szCs w:val="32"/>
        </w:rPr>
        <w:t>规划建设局</w:t>
      </w:r>
      <w:r>
        <w:rPr>
          <w:rFonts w:hint="eastAsia" w:eastAsia="仿宋_GB2312"/>
          <w:color w:val="000000"/>
          <w:sz w:val="32"/>
          <w:szCs w:val="32"/>
          <w:lang w:eastAsia="zh-CN"/>
        </w:rPr>
        <w:t>、</w:t>
      </w:r>
      <w:r>
        <w:rPr>
          <w:rFonts w:eastAsia="仿宋_GB2312"/>
          <w:color w:val="000000"/>
          <w:sz w:val="32"/>
          <w:szCs w:val="32"/>
        </w:rPr>
        <w:t>发展和招商局（政策法规股）</w:t>
      </w:r>
      <w:r>
        <w:rPr>
          <w:rFonts w:hint="eastAsia" w:eastAsia="仿宋_GB2312"/>
          <w:color w:val="000000"/>
          <w:sz w:val="32"/>
          <w:szCs w:val="32"/>
          <w:lang w:eastAsia="zh-CN"/>
        </w:rPr>
        <w:t>、</w:t>
      </w:r>
      <w:r>
        <w:rPr>
          <w:rFonts w:eastAsia="仿宋_GB2312"/>
          <w:color w:val="000000"/>
          <w:sz w:val="32"/>
          <w:szCs w:val="32"/>
        </w:rPr>
        <w:t>运营管理局（综合执法局）</w:t>
      </w:r>
      <w:r>
        <w:rPr>
          <w:rFonts w:hint="eastAsia" w:eastAsia="仿宋_GB2312"/>
          <w:color w:val="000000"/>
          <w:sz w:val="32"/>
          <w:szCs w:val="32"/>
          <w:lang w:eastAsia="zh-CN"/>
        </w:rPr>
        <w:t>。</w:t>
      </w:r>
    </w:p>
    <w:p w14:paraId="4F4999E3">
      <w:pPr>
        <w:widowControl/>
        <w:jc w:val="left"/>
        <w:rPr>
          <w:rFonts w:ascii="仿宋" w:hAnsi="仿宋" w:eastAsia="仿宋"/>
          <w:kern w:val="0"/>
          <w:sz w:val="32"/>
          <w:szCs w:val="32"/>
        </w:rPr>
      </w:pPr>
      <w:r>
        <w:rPr>
          <w:rFonts w:ascii="仿宋" w:hAnsi="仿宋" w:eastAsia="仿宋"/>
          <w:sz w:val="32"/>
          <w:szCs w:val="32"/>
        </w:rPr>
        <w:br w:type="page"/>
      </w:r>
    </w:p>
    <w:p w14:paraId="1C533382">
      <w:pPr>
        <w:pStyle w:val="5"/>
        <w:jc w:val="center"/>
        <w:rPr>
          <w:rFonts w:eastAsia="方正小标宋简体" w:cs="方正小标宋简体"/>
          <w:b w:val="0"/>
        </w:rPr>
      </w:pPr>
      <w:bookmarkStart w:id="15" w:name="_Toc15377204"/>
      <w:bookmarkStart w:id="16" w:name="_Toc21374"/>
      <w:bookmarkStart w:id="17" w:name="_Toc15396602"/>
      <w:r>
        <w:rPr>
          <w:rFonts w:hint="eastAsia" w:eastAsia="方正小标宋简体" w:cs="方正小标宋简体"/>
          <w:b w:val="0"/>
        </w:rPr>
        <w:t>第二部分  2024年度</w:t>
      </w:r>
      <w:r>
        <w:rPr>
          <w:rFonts w:hint="eastAsia" w:eastAsia="方正小标宋简体" w:cs="方正小标宋简体"/>
          <w:b w:val="0"/>
          <w:lang w:eastAsia="zh-CN"/>
        </w:rPr>
        <w:t>单位</w:t>
      </w:r>
      <w:r>
        <w:rPr>
          <w:rFonts w:hint="eastAsia" w:eastAsia="方正小标宋简体" w:cs="方正小标宋简体"/>
          <w:b w:val="0"/>
        </w:rPr>
        <w:t>决算情况说明</w:t>
      </w:r>
      <w:bookmarkEnd w:id="15"/>
      <w:bookmarkEnd w:id="16"/>
      <w:bookmarkEnd w:id="17"/>
    </w:p>
    <w:p w14:paraId="4F29F19F"/>
    <w:p w14:paraId="47F814C3">
      <w:pPr>
        <w:pStyle w:val="30"/>
        <w:spacing w:line="600" w:lineRule="exact"/>
        <w:ind w:firstLine="640"/>
        <w:outlineLvl w:val="1"/>
        <w:rPr>
          <w:rFonts w:hint="eastAsia" w:ascii="Times New Roman" w:hAnsi="Times New Roman" w:eastAsia="仿宋_GB2312"/>
          <w:sz w:val="32"/>
          <w:szCs w:val="32"/>
        </w:rPr>
      </w:pPr>
      <w:bookmarkStart w:id="18" w:name="_Toc6595"/>
      <w:bookmarkStart w:id="19" w:name="_Toc15396603"/>
      <w:bookmarkStart w:id="20" w:name="_Toc15377205"/>
      <w:r>
        <w:rPr>
          <w:rFonts w:hint="eastAsia" w:eastAsia="黑体"/>
          <w:sz w:val="32"/>
          <w:szCs w:val="32"/>
        </w:rPr>
        <w:t>一、收</w:t>
      </w:r>
      <w:r>
        <w:rPr>
          <w:rStyle w:val="32"/>
          <w:rFonts w:hint="eastAsia" w:ascii="Times New Roman" w:hAnsi="Times New Roman" w:eastAsia="黑体"/>
          <w:b w:val="0"/>
        </w:rPr>
        <w:t>入支出决算总体情况说明</w:t>
      </w:r>
      <w:bookmarkEnd w:id="18"/>
      <w:bookmarkEnd w:id="19"/>
      <w:bookmarkEnd w:id="20"/>
    </w:p>
    <w:p w14:paraId="11E2140C">
      <w:pPr>
        <w:spacing w:line="600" w:lineRule="exact"/>
        <w:ind w:firstLine="640" w:firstLineChars="200"/>
        <w:rPr>
          <w:rFonts w:hint="eastAsia" w:eastAsia="仿宋_GB2312" w:cs="仿宋_GB2312"/>
          <w:sz w:val="32"/>
          <w:szCs w:val="32"/>
          <w:lang w:val="en-US" w:eastAsia="zh-CN"/>
        </w:rPr>
      </w:pPr>
      <w:r>
        <w:rPr>
          <w:rFonts w:hint="eastAsia" w:eastAsia="仿宋_GB2312" w:cs="仿宋_GB2312"/>
          <w:sz w:val="32"/>
          <w:szCs w:val="32"/>
        </w:rPr>
        <w:t>2024年度收入、支出总计均为</w:t>
      </w:r>
      <w:r>
        <w:rPr>
          <w:rFonts w:hint="eastAsia" w:eastAsia="仿宋_GB2312" w:cs="仿宋_GB2312"/>
          <w:sz w:val="32"/>
          <w:szCs w:val="32"/>
          <w:lang w:val="en-US" w:eastAsia="zh-CN"/>
        </w:rPr>
        <w:t>14880.39</w:t>
      </w:r>
      <w:r>
        <w:rPr>
          <w:rFonts w:hint="eastAsia" w:eastAsia="仿宋_GB2312" w:cs="仿宋_GB2312"/>
          <w:sz w:val="32"/>
          <w:szCs w:val="32"/>
        </w:rPr>
        <w:t>万元。与2023年度相比</w:t>
      </w:r>
      <w:r>
        <w:rPr>
          <w:rFonts w:hint="eastAsia" w:eastAsia="仿宋_GB2312" w:cs="仿宋_GB2312"/>
          <w:sz w:val="32"/>
          <w:szCs w:val="32"/>
          <w:lang w:eastAsia="zh-CN"/>
        </w:rPr>
        <w:t>，</w:t>
      </w:r>
      <w:r>
        <w:rPr>
          <w:rFonts w:hint="eastAsia" w:eastAsia="仿宋_GB2312" w:cs="仿宋_GB2312"/>
          <w:sz w:val="32"/>
          <w:szCs w:val="32"/>
        </w:rPr>
        <w:t>收入、支出总计各增加</w:t>
      </w:r>
      <w:r>
        <w:rPr>
          <w:rFonts w:hint="eastAsia" w:eastAsia="仿宋_GB2312" w:cs="仿宋_GB2312"/>
          <w:sz w:val="32"/>
          <w:szCs w:val="32"/>
          <w:lang w:val="en-US" w:eastAsia="zh-CN"/>
        </w:rPr>
        <w:t>11397.44</w:t>
      </w:r>
      <w:r>
        <w:rPr>
          <w:rFonts w:hint="eastAsia" w:eastAsia="仿宋_GB2312" w:cs="仿宋_GB2312"/>
          <w:sz w:val="32"/>
          <w:szCs w:val="32"/>
        </w:rPr>
        <w:t>万元，增长</w:t>
      </w:r>
      <w:r>
        <w:rPr>
          <w:rFonts w:hint="eastAsia" w:eastAsia="仿宋_GB2312" w:cs="仿宋_GB2312"/>
          <w:sz w:val="32"/>
          <w:szCs w:val="32"/>
          <w:lang w:val="en-US" w:eastAsia="zh-CN"/>
        </w:rPr>
        <w:t>327.24</w:t>
      </w:r>
      <w:r>
        <w:rPr>
          <w:rFonts w:hint="eastAsia" w:eastAsia="仿宋_GB2312" w:cs="仿宋_GB2312"/>
          <w:sz w:val="32"/>
          <w:szCs w:val="32"/>
        </w:rPr>
        <w:t>%。主要变动原因是202</w:t>
      </w:r>
      <w:r>
        <w:rPr>
          <w:rFonts w:hint="eastAsia" w:eastAsia="仿宋_GB2312" w:cs="仿宋_GB2312"/>
          <w:sz w:val="32"/>
          <w:szCs w:val="32"/>
          <w:lang w:val="en-US" w:eastAsia="zh-CN"/>
        </w:rPr>
        <w:t>4</w:t>
      </w:r>
      <w:r>
        <w:rPr>
          <w:rFonts w:hint="eastAsia" w:eastAsia="仿宋_GB2312" w:cs="仿宋_GB2312"/>
          <w:sz w:val="32"/>
          <w:szCs w:val="32"/>
        </w:rPr>
        <w:t>年</w:t>
      </w:r>
      <w:r>
        <w:rPr>
          <w:rFonts w:hint="eastAsia" w:eastAsia="仿宋_GB2312" w:cs="仿宋_GB2312"/>
          <w:sz w:val="32"/>
          <w:szCs w:val="32"/>
          <w:lang w:eastAsia="zh-CN"/>
        </w:rPr>
        <w:t>人员调动和</w:t>
      </w:r>
      <w:r>
        <w:rPr>
          <w:rFonts w:hint="eastAsia" w:eastAsia="仿宋_GB2312" w:cs="仿宋_GB2312"/>
          <w:sz w:val="32"/>
          <w:szCs w:val="32"/>
          <w:lang w:val="en-US" w:eastAsia="zh-CN"/>
        </w:rPr>
        <w:t>2024年较2023年涉及更多项目资金等支出。</w:t>
      </w:r>
    </w:p>
    <w:p w14:paraId="15BE33CA">
      <w:pPr>
        <w:pStyle w:val="9"/>
        <w:spacing w:before="93"/>
        <w:jc w:val="center"/>
      </w:pPr>
      <w:r>
        <w:drawing>
          <wp:inline distT="0" distB="0" distL="0" distR="0">
            <wp:extent cx="3949700" cy="2179320"/>
            <wp:effectExtent l="0" t="0" r="12700" b="114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2CFA61">
      <w:pPr>
        <w:spacing w:line="600" w:lineRule="exact"/>
        <w:ind w:firstLine="1280" w:firstLineChars="400"/>
        <w:jc w:val="both"/>
        <w:rPr>
          <w:rFonts w:ascii="仿宋_GB2312" w:hAnsi="仿宋" w:eastAsia="仿宋_GB2312"/>
          <w:sz w:val="32"/>
          <w:szCs w:val="32"/>
        </w:rPr>
      </w:pPr>
      <w:r>
        <w:rPr>
          <w:rFonts w:hint="eastAsia" w:ascii="仿宋_GB2312" w:hAnsi="仿宋" w:eastAsia="仿宋_GB2312"/>
          <w:sz w:val="32"/>
          <w:szCs w:val="32"/>
        </w:rPr>
        <w:t>（</w:t>
      </w:r>
      <w:r>
        <w:rPr>
          <w:rFonts w:hint="eastAsia" w:eastAsia="仿宋_GB2312" w:cs="仿宋_GB2312"/>
          <w:sz w:val="32"/>
          <w:szCs w:val="32"/>
        </w:rPr>
        <w:t>图1：收入、支出决算总计变动情况图</w:t>
      </w:r>
      <w:r>
        <w:rPr>
          <w:rFonts w:hint="eastAsia" w:ascii="仿宋_GB2312" w:hAnsi="仿宋" w:eastAsia="仿宋_GB2312"/>
          <w:sz w:val="32"/>
          <w:szCs w:val="32"/>
        </w:rPr>
        <w:t>）</w:t>
      </w:r>
    </w:p>
    <w:p w14:paraId="64B57414">
      <w:pPr>
        <w:spacing w:line="600" w:lineRule="exact"/>
        <w:ind w:firstLine="640" w:firstLineChars="200"/>
        <w:jc w:val="left"/>
        <w:rPr>
          <w:rFonts w:ascii="仿宋_GB2312" w:eastAsia="仿宋_GB2312"/>
          <w:sz w:val="32"/>
          <w:szCs w:val="32"/>
        </w:rPr>
      </w:pPr>
    </w:p>
    <w:p w14:paraId="61EC00AF">
      <w:pPr>
        <w:pStyle w:val="30"/>
        <w:spacing w:line="600" w:lineRule="exact"/>
        <w:ind w:firstLine="640"/>
        <w:outlineLvl w:val="1"/>
        <w:rPr>
          <w:rFonts w:eastAsia="黑体"/>
          <w:sz w:val="32"/>
          <w:szCs w:val="32"/>
        </w:rPr>
      </w:pPr>
      <w:bookmarkStart w:id="21" w:name="_Toc25260"/>
      <w:r>
        <w:rPr>
          <w:rFonts w:hint="eastAsia" w:eastAsia="黑体"/>
          <w:sz w:val="32"/>
          <w:szCs w:val="32"/>
        </w:rPr>
        <w:t>二、收入决算情况说明</w:t>
      </w:r>
      <w:bookmarkEnd w:id="21"/>
    </w:p>
    <w:p w14:paraId="33FA76D4">
      <w:pPr>
        <w:pStyle w:val="30"/>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lang w:val="en-US" w:eastAsia="zh-CN"/>
        </w:rPr>
      </w:pPr>
      <w:r>
        <w:rPr>
          <w:rFonts w:hint="eastAsia" w:ascii="Times New Roman" w:hAnsi="Times New Roman" w:eastAsia="仿宋_GB2312" w:cs="仿宋_GB2312"/>
          <w:color w:val="auto"/>
          <w:sz w:val="32"/>
          <w:szCs w:val="32"/>
          <w:highlight w:val="none"/>
          <w:lang w:eastAsia="zh-CN"/>
        </w:rPr>
        <w:t>2024年度本年收入合计</w:t>
      </w:r>
      <w:r>
        <w:rPr>
          <w:rFonts w:hint="eastAsia" w:ascii="Times New Roman" w:hAnsi="Times New Roman" w:eastAsia="仿宋_GB2312" w:cs="仿宋_GB2312"/>
          <w:sz w:val="32"/>
          <w:szCs w:val="32"/>
        </w:rPr>
        <w:t>14880.39万元，其中：一般公共预算财政拨款收入14539.81</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sz w:val="32"/>
          <w:szCs w:val="32"/>
        </w:rPr>
        <w:t>97.71</w:t>
      </w:r>
      <w:r>
        <w:rPr>
          <w:rFonts w:hint="eastAsia" w:ascii="Times New Roman" w:hAnsi="Times New Roman" w:eastAsia="仿宋_GB2312" w:cs="仿宋_GB2312"/>
          <w:color w:val="auto"/>
          <w:sz w:val="32"/>
          <w:szCs w:val="32"/>
          <w:highlight w:val="none"/>
          <w:lang w:eastAsia="zh-CN"/>
        </w:rPr>
        <w:t>%；政府性基金预算财政拨款收入</w:t>
      </w:r>
      <w:r>
        <w:rPr>
          <w:rFonts w:hint="eastAsia" w:ascii="Times New Roman" w:hAnsi="Times New Roman" w:eastAsia="仿宋_GB2312" w:cs="仿宋_GB2312"/>
          <w:sz w:val="32"/>
          <w:szCs w:val="32"/>
        </w:rPr>
        <w:t>330.58</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sz w:val="32"/>
          <w:szCs w:val="32"/>
        </w:rPr>
        <w:t>2.22</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color w:val="auto"/>
          <w:sz w:val="32"/>
          <w:szCs w:val="32"/>
          <w:highlight w:val="none"/>
          <w:lang w:eastAsia="zh-CN"/>
        </w:rPr>
        <w:t>其他收入</w:t>
      </w:r>
      <w:r>
        <w:rPr>
          <w:rFonts w:hint="eastAsia" w:ascii="Times New Roman" w:hAnsi="Times New Roman" w:eastAsia="仿宋_GB2312" w:cs="仿宋_GB2312"/>
          <w:sz w:val="32"/>
          <w:szCs w:val="32"/>
        </w:rPr>
        <w:t>10</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sz w:val="32"/>
          <w:szCs w:val="32"/>
        </w:rPr>
        <w:t>0.0</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color w:val="auto"/>
          <w:sz w:val="32"/>
          <w:szCs w:val="32"/>
          <w:highlight w:val="none"/>
          <w:lang w:eastAsia="zh-CN"/>
        </w:rPr>
        <w:t>%。</w:t>
      </w:r>
    </w:p>
    <w:p w14:paraId="7BBE254C">
      <w:pPr>
        <w:pStyle w:val="9"/>
        <w:spacing w:before="93"/>
        <w:jc w:val="center"/>
      </w:pPr>
      <w:r>
        <w:rPr>
          <w:rFonts w:hint="eastAsia"/>
        </w:rPr>
        <w:drawing>
          <wp:inline distT="0" distB="0" distL="0" distR="0">
            <wp:extent cx="4044950" cy="2062480"/>
            <wp:effectExtent l="0" t="0" r="12700"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868A01">
      <w:pPr>
        <w:spacing w:line="600" w:lineRule="exact"/>
        <w:ind w:firstLine="640" w:firstLineChars="200"/>
        <w:jc w:val="center"/>
        <w:rPr>
          <w:rFonts w:ascii="仿宋_GB2312" w:hAnsi="仿宋" w:eastAsia="仿宋_GB2312"/>
          <w:sz w:val="32"/>
          <w:szCs w:val="32"/>
        </w:rPr>
      </w:pPr>
      <w:r>
        <w:rPr>
          <w:rFonts w:hint="eastAsia" w:ascii="仿宋_GB2312" w:hAnsi="仿宋" w:eastAsia="仿宋_GB2312"/>
          <w:sz w:val="32"/>
          <w:szCs w:val="32"/>
        </w:rPr>
        <w:t>（</w:t>
      </w:r>
      <w:r>
        <w:rPr>
          <w:rFonts w:hint="eastAsia" w:ascii="Times New Roman" w:hAnsi="Times New Roman" w:eastAsia="仿宋_GB2312"/>
          <w:sz w:val="32"/>
          <w:szCs w:val="32"/>
        </w:rPr>
        <w:t>图2：收入决算结构图</w:t>
      </w:r>
      <w:r>
        <w:rPr>
          <w:rFonts w:hint="eastAsia" w:ascii="仿宋_GB2312" w:hAnsi="仿宋" w:eastAsia="仿宋_GB2312"/>
          <w:sz w:val="32"/>
          <w:szCs w:val="32"/>
        </w:rPr>
        <w:t>）</w:t>
      </w:r>
    </w:p>
    <w:p w14:paraId="5B399E72">
      <w:pPr>
        <w:spacing w:line="600" w:lineRule="exact"/>
        <w:ind w:firstLine="640" w:firstLineChars="200"/>
        <w:rPr>
          <w:rFonts w:ascii="仿宋_GB2312" w:eastAsia="仿宋_GB2312"/>
          <w:sz w:val="32"/>
          <w:szCs w:val="32"/>
        </w:rPr>
      </w:pPr>
    </w:p>
    <w:p w14:paraId="532AE8AA">
      <w:pPr>
        <w:pStyle w:val="30"/>
        <w:spacing w:line="600" w:lineRule="exact"/>
        <w:ind w:firstLine="640"/>
        <w:outlineLvl w:val="1"/>
        <w:rPr>
          <w:rStyle w:val="32"/>
          <w:rFonts w:ascii="Times New Roman" w:hAnsi="Times New Roman" w:eastAsia="黑体"/>
          <w:b w:val="0"/>
        </w:rPr>
      </w:pPr>
      <w:bookmarkStart w:id="22" w:name="_Toc26741"/>
      <w:bookmarkStart w:id="23" w:name="_Toc15377207"/>
      <w:bookmarkStart w:id="24" w:name="_Toc15396605"/>
      <w:r>
        <w:rPr>
          <w:rFonts w:hint="eastAsia" w:eastAsia="黑体"/>
          <w:sz w:val="32"/>
          <w:szCs w:val="32"/>
        </w:rPr>
        <w:t>三、支</w:t>
      </w:r>
      <w:r>
        <w:rPr>
          <w:rStyle w:val="32"/>
          <w:rFonts w:hint="eastAsia" w:ascii="Times New Roman" w:hAnsi="Times New Roman" w:eastAsia="黑体"/>
          <w:b w:val="0"/>
        </w:rPr>
        <w:t>出决算情况说明</w:t>
      </w:r>
      <w:bookmarkEnd w:id="22"/>
      <w:bookmarkEnd w:id="23"/>
      <w:bookmarkEnd w:id="24"/>
    </w:p>
    <w:p w14:paraId="67B540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cs="仿宋_GB2312"/>
          <w:color w:val="auto"/>
          <w:sz w:val="32"/>
          <w:szCs w:val="32"/>
          <w:highlight w:val="none"/>
          <w:lang w:eastAsia="zh-CN"/>
        </w:rPr>
        <w:t>2024年度本年支出合计</w:t>
      </w:r>
      <w:r>
        <w:rPr>
          <w:rFonts w:hint="eastAsia" w:ascii="Times New Roman" w:hAnsi="Times New Roman" w:eastAsia="仿宋_GB2312" w:cs="仿宋_GB2312"/>
          <w:sz w:val="32"/>
          <w:szCs w:val="32"/>
        </w:rPr>
        <w:t>14870.39</w:t>
      </w:r>
      <w:r>
        <w:rPr>
          <w:rFonts w:hint="eastAsia" w:ascii="Times New Roman" w:hAnsi="Times New Roman" w:eastAsia="仿宋_GB2312" w:cs="仿宋_GB2312"/>
          <w:color w:val="auto"/>
          <w:sz w:val="32"/>
          <w:szCs w:val="32"/>
          <w:highlight w:val="none"/>
          <w:lang w:eastAsia="zh-CN"/>
        </w:rPr>
        <w:t>万元，其中：基本支出</w:t>
      </w:r>
      <w:r>
        <w:rPr>
          <w:rFonts w:hint="eastAsia" w:ascii="Times New Roman" w:hAnsi="Times New Roman" w:eastAsia="仿宋_GB2312" w:cs="仿宋_GB2312"/>
          <w:sz w:val="32"/>
          <w:szCs w:val="32"/>
        </w:rPr>
        <w:t>193.1</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color w:val="auto"/>
          <w:sz w:val="32"/>
          <w:szCs w:val="32"/>
          <w:highlight w:val="none"/>
          <w:lang w:eastAsia="zh-CN"/>
        </w:rPr>
        <w:t>%；项目支出</w:t>
      </w:r>
      <w:r>
        <w:rPr>
          <w:rFonts w:hint="eastAsia" w:ascii="Times New Roman" w:hAnsi="Times New Roman" w:eastAsia="仿宋_GB2312" w:cs="仿宋_GB2312"/>
          <w:sz w:val="32"/>
          <w:szCs w:val="32"/>
        </w:rPr>
        <w:t>14677.29</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sz w:val="32"/>
          <w:szCs w:val="32"/>
        </w:rPr>
        <w:t>98.7</w:t>
      </w:r>
      <w:r>
        <w:rPr>
          <w:rFonts w:hint="eastAsia" w:ascii="Times New Roman" w:hAnsi="Times New Roman" w:eastAsia="仿宋_GB2312" w:cs="仿宋_GB2312"/>
          <w:color w:val="auto"/>
          <w:sz w:val="32"/>
          <w:szCs w:val="32"/>
          <w:highlight w:val="none"/>
          <w:lang w:eastAsia="zh-CN"/>
        </w:rPr>
        <w:t>%。</w:t>
      </w:r>
    </w:p>
    <w:p w14:paraId="7C291563">
      <w:pPr>
        <w:pStyle w:val="9"/>
        <w:spacing w:before="93"/>
        <w:jc w:val="center"/>
      </w:pPr>
      <w:r>
        <w:rPr>
          <w:sz w:val="32"/>
        </w:rPr>
        <w:drawing>
          <wp:inline distT="0" distB="0" distL="0" distR="0">
            <wp:extent cx="4244340" cy="2012950"/>
            <wp:effectExtent l="4445" t="4445" r="18415" b="2095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B8C49D">
      <w:pPr>
        <w:spacing w:line="600" w:lineRule="exact"/>
        <w:ind w:firstLine="640" w:firstLineChars="200"/>
        <w:jc w:val="center"/>
        <w:rPr>
          <w:rFonts w:hint="eastAsia" w:ascii="Times New Roman" w:hAnsi="Times New Roman" w:eastAsia="仿宋_GB2312"/>
          <w:sz w:val="32"/>
          <w:szCs w:val="32"/>
        </w:rPr>
      </w:pPr>
      <w:r>
        <w:rPr>
          <w:rFonts w:hint="eastAsia" w:ascii="Times New Roman" w:hAnsi="Times New Roman" w:eastAsia="仿宋_GB2312"/>
          <w:sz w:val="32"/>
          <w:szCs w:val="32"/>
        </w:rPr>
        <w:t>（图3：支出决算结构图）</w:t>
      </w:r>
    </w:p>
    <w:p w14:paraId="13D1C653">
      <w:pPr>
        <w:spacing w:line="600" w:lineRule="exact"/>
        <w:ind w:firstLine="640" w:firstLineChars="200"/>
        <w:jc w:val="center"/>
        <w:rPr>
          <w:rFonts w:hint="eastAsia" w:ascii="Times New Roman" w:hAnsi="Times New Roman" w:eastAsia="仿宋_GB2312"/>
          <w:sz w:val="32"/>
          <w:szCs w:val="32"/>
        </w:rPr>
      </w:pPr>
    </w:p>
    <w:p w14:paraId="50B260AA">
      <w:pPr>
        <w:spacing w:line="600" w:lineRule="exact"/>
        <w:ind w:firstLine="640" w:firstLineChars="200"/>
        <w:outlineLvl w:val="1"/>
        <w:rPr>
          <w:rStyle w:val="32"/>
          <w:rFonts w:ascii="黑体" w:hAnsi="黑体" w:eastAsia="黑体"/>
          <w:b w:val="0"/>
        </w:rPr>
      </w:pPr>
      <w:bookmarkStart w:id="25" w:name="_Toc15377208"/>
      <w:bookmarkStart w:id="26" w:name="_Toc23163"/>
      <w:bookmarkStart w:id="27" w:name="_Toc15396606"/>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25"/>
      <w:bookmarkEnd w:id="26"/>
      <w:bookmarkEnd w:id="27"/>
    </w:p>
    <w:p w14:paraId="2450FB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Times New Roman" w:hAnsi="Times New Roman" w:eastAsia="仿宋_GB2312" w:cs="仿宋_GB2312"/>
          <w:sz w:val="32"/>
          <w:szCs w:val="32"/>
        </w:rPr>
        <w:t>14870.39</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万元。与2023年度相比，财政拨款收入总计、支出总计各增加11387.44万元，增长326.95%。</w:t>
      </w:r>
      <w:r>
        <w:rPr>
          <w:rFonts w:hint="eastAsia" w:ascii="Times New Roman" w:hAnsi="Times New Roman" w:eastAsia="仿宋_GB2312" w:cs="仿宋_GB2312"/>
          <w:color w:val="auto"/>
          <w:sz w:val="32"/>
          <w:szCs w:val="32"/>
        </w:rPr>
        <w:t>主要变动原因是</w:t>
      </w:r>
      <w:r>
        <w:rPr>
          <w:rFonts w:hint="eastAsia" w:eastAsia="仿宋_GB2312" w:cs="仿宋_GB2312"/>
          <w:color w:val="auto"/>
          <w:sz w:val="32"/>
          <w:szCs w:val="32"/>
        </w:rPr>
        <w:t>2</w:t>
      </w:r>
      <w:r>
        <w:rPr>
          <w:rFonts w:hint="eastAsia" w:eastAsia="仿宋_GB2312" w:cs="仿宋_GB2312"/>
          <w:sz w:val="32"/>
          <w:szCs w:val="32"/>
        </w:rPr>
        <w:t>02</w:t>
      </w:r>
      <w:r>
        <w:rPr>
          <w:rFonts w:hint="eastAsia" w:eastAsia="仿宋_GB2312" w:cs="仿宋_GB2312"/>
          <w:sz w:val="32"/>
          <w:szCs w:val="32"/>
          <w:lang w:val="en-US" w:eastAsia="zh-CN"/>
        </w:rPr>
        <w:t>4</w:t>
      </w:r>
      <w:r>
        <w:rPr>
          <w:rFonts w:hint="eastAsia" w:eastAsia="仿宋_GB2312" w:cs="仿宋_GB2312"/>
          <w:sz w:val="32"/>
          <w:szCs w:val="32"/>
        </w:rPr>
        <w:t>年</w:t>
      </w:r>
      <w:r>
        <w:rPr>
          <w:rFonts w:hint="eastAsia" w:eastAsia="仿宋_GB2312" w:cs="仿宋_GB2312"/>
          <w:sz w:val="32"/>
          <w:szCs w:val="32"/>
          <w:lang w:eastAsia="zh-CN"/>
        </w:rPr>
        <w:t>人员调动和</w:t>
      </w:r>
      <w:r>
        <w:rPr>
          <w:rFonts w:hint="eastAsia" w:eastAsia="仿宋_GB2312" w:cs="仿宋_GB2312"/>
          <w:sz w:val="32"/>
          <w:szCs w:val="32"/>
          <w:lang w:val="en-US" w:eastAsia="zh-CN"/>
        </w:rPr>
        <w:t>2024年较2023年涉及更多项目资金等支出。</w:t>
      </w:r>
    </w:p>
    <w:p w14:paraId="0D7E45F5">
      <w:pPr>
        <w:pStyle w:val="9"/>
        <w:spacing w:before="93"/>
        <w:jc w:val="both"/>
        <w:rPr>
          <w:rFonts w:ascii="Times New Roman"/>
        </w:rPr>
      </w:pPr>
      <w:r>
        <w:rPr>
          <w:rFonts w:hint="eastAsia" w:ascii="Times New Roman"/>
          <w:sz w:val="32"/>
          <w:szCs w:val="32"/>
          <w:lang w:val="en-US" w:eastAsia="zh-CN"/>
        </w:rPr>
        <w:t xml:space="preserve">     </w:t>
      </w:r>
      <w:r>
        <w:rPr>
          <w:rFonts w:ascii="Times New Roman"/>
          <w:sz w:val="32"/>
          <w:szCs w:val="32"/>
        </w:rPr>
        <w:drawing>
          <wp:inline distT="0" distB="0" distL="0" distR="0">
            <wp:extent cx="4189095" cy="2073275"/>
            <wp:effectExtent l="0" t="0" r="20955" b="2222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FB46E9">
      <w:pPr>
        <w:spacing w:line="600" w:lineRule="exact"/>
        <w:ind w:firstLine="960" w:firstLineChars="300"/>
        <w:jc w:val="both"/>
        <w:rPr>
          <w:rFonts w:eastAsia="仿宋_GB2312"/>
          <w:sz w:val="32"/>
          <w:szCs w:val="32"/>
        </w:rPr>
      </w:pPr>
      <w:r>
        <w:rPr>
          <w:rFonts w:eastAsia="仿宋_GB2312"/>
          <w:sz w:val="32"/>
          <w:szCs w:val="32"/>
        </w:rPr>
        <w:t>（图4：财政拨款收、支决算总计变动情况）</w:t>
      </w:r>
    </w:p>
    <w:p w14:paraId="29B07CE1">
      <w:pPr>
        <w:spacing w:line="600" w:lineRule="exact"/>
        <w:ind w:firstLine="640"/>
        <w:rPr>
          <w:rFonts w:eastAsia="仿宋_GB2312"/>
          <w:b/>
          <w:sz w:val="32"/>
          <w:szCs w:val="32"/>
        </w:rPr>
      </w:pPr>
    </w:p>
    <w:p w14:paraId="039629FA">
      <w:pPr>
        <w:spacing w:line="600" w:lineRule="exact"/>
        <w:ind w:firstLine="640" w:firstLineChars="200"/>
        <w:outlineLvl w:val="1"/>
        <w:rPr>
          <w:rStyle w:val="32"/>
          <w:rFonts w:ascii="黑体" w:hAnsi="黑体" w:eastAsia="黑体"/>
          <w:b w:val="0"/>
        </w:rPr>
      </w:pPr>
      <w:bookmarkStart w:id="28" w:name="_Toc19314"/>
      <w:bookmarkStart w:id="29" w:name="_Toc15377209"/>
      <w:bookmarkStart w:id="30" w:name="_Toc15396607"/>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28"/>
      <w:bookmarkEnd w:id="29"/>
      <w:bookmarkEnd w:id="30"/>
    </w:p>
    <w:p w14:paraId="175FC128">
      <w:pPr>
        <w:spacing w:line="600" w:lineRule="exact"/>
        <w:ind w:firstLine="643" w:firstLineChars="200"/>
        <w:outlineLvl w:val="2"/>
        <w:rPr>
          <w:rFonts w:hint="eastAsia" w:ascii="Times New Roman" w:hAnsi="Times New Roman" w:eastAsia="仿宋_GB2312"/>
          <w:sz w:val="32"/>
          <w:szCs w:val="32"/>
        </w:rPr>
      </w:pPr>
      <w:bookmarkStart w:id="31" w:name="_Toc28646"/>
      <w:bookmarkStart w:id="32" w:name="_Toc15377210"/>
      <w:bookmarkStart w:id="33" w:name="_Toc32059"/>
      <w:r>
        <w:rPr>
          <w:rFonts w:hint="eastAsia" w:ascii="Times New Roman" w:hAnsi="Times New Roman" w:eastAsia="楷体_GB2312" w:cs="楷体_GB2312"/>
          <w:b/>
          <w:sz w:val="32"/>
          <w:szCs w:val="32"/>
        </w:rPr>
        <w:t>（一）一般公共预算财政拨款支出决算总体情况</w:t>
      </w:r>
      <w:bookmarkEnd w:id="31"/>
      <w:bookmarkEnd w:id="32"/>
      <w:bookmarkEnd w:id="33"/>
    </w:p>
    <w:p w14:paraId="15553C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Times New Roman" w:hAnsi="Times New Roman" w:eastAsia="仿宋_GB2312" w:cs="仿宋_GB2312"/>
          <w:sz w:val="32"/>
          <w:szCs w:val="32"/>
        </w:rPr>
        <w:t>14539.81</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ascii="Times New Roman" w:hAnsi="Times New Roman" w:eastAsia="仿宋_GB2312" w:cs="仿宋_GB2312"/>
          <w:sz w:val="32"/>
          <w:szCs w:val="32"/>
        </w:rPr>
        <w:t>97.7</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%。与2023年度相比，一般公共预算财政拨款支出增加12825.06万元，增长747.93%。主要变动原因是2024年涉及度假区项目清算资金、项目建设资金、人员变动等因素，导致增加过多。</w:t>
      </w:r>
    </w:p>
    <w:p w14:paraId="3615F121">
      <w:pPr>
        <w:pStyle w:val="9"/>
        <w:spacing w:before="93"/>
        <w:jc w:val="center"/>
        <w:rPr>
          <w:rFonts w:ascii="Times New Roman"/>
        </w:rPr>
      </w:pPr>
      <w:r>
        <w:rPr>
          <w:rFonts w:ascii="Times New Roman"/>
          <w:sz w:val="32"/>
          <w:szCs w:val="32"/>
        </w:rPr>
        <w:drawing>
          <wp:inline distT="0" distB="0" distL="0" distR="0">
            <wp:extent cx="4539615" cy="2136775"/>
            <wp:effectExtent l="0" t="0" r="13335" b="1587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33DA5A">
      <w:pPr>
        <w:spacing w:line="600" w:lineRule="exact"/>
        <w:jc w:val="center"/>
      </w:pPr>
      <w:r>
        <w:rPr>
          <w:rFonts w:eastAsia="仿宋_GB2312"/>
          <w:sz w:val="32"/>
          <w:szCs w:val="32"/>
        </w:rPr>
        <w:t>（图5：一般公共预算财政拨款支出决算变动情况）</w:t>
      </w:r>
    </w:p>
    <w:p w14:paraId="1888B093">
      <w:pPr>
        <w:spacing w:line="600" w:lineRule="exact"/>
        <w:ind w:firstLine="643" w:firstLineChars="200"/>
        <w:outlineLvl w:val="2"/>
        <w:rPr>
          <w:rFonts w:hint="eastAsia" w:ascii="Times New Roman" w:hAnsi="Times New Roman" w:eastAsia="楷体_GB2312" w:cs="楷体_GB2312"/>
          <w:b/>
          <w:sz w:val="32"/>
          <w:szCs w:val="32"/>
        </w:rPr>
      </w:pPr>
      <w:bookmarkStart w:id="34" w:name="_Toc23182"/>
      <w:bookmarkStart w:id="35" w:name="_Toc30516"/>
      <w:bookmarkStart w:id="36" w:name="_Toc15377211"/>
      <w:r>
        <w:rPr>
          <w:rFonts w:hint="eastAsia" w:ascii="Times New Roman" w:hAnsi="Times New Roman" w:eastAsia="楷体_GB2312" w:cs="楷体_GB2312"/>
          <w:b/>
          <w:sz w:val="32"/>
          <w:szCs w:val="32"/>
        </w:rPr>
        <w:t>（二）一般公共预算财政拨款支出决算结构情况</w:t>
      </w:r>
      <w:bookmarkEnd w:id="34"/>
      <w:bookmarkEnd w:id="35"/>
      <w:bookmarkEnd w:id="36"/>
    </w:p>
    <w:p w14:paraId="2FFB10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color w:val="auto"/>
          <w:sz w:val="32"/>
          <w:szCs w:val="32"/>
          <w:lang w:val="en-US" w:eastAsia="zh-CN"/>
        </w:rPr>
      </w:pPr>
      <w:r>
        <w:rPr>
          <w:rFonts w:eastAsia="仿宋_GB2312"/>
          <w:color w:val="auto"/>
          <w:sz w:val="32"/>
          <w:szCs w:val="32"/>
        </w:rPr>
        <w:t>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eastAsia="zh-CN"/>
        </w:rPr>
        <w:t>度</w:t>
      </w:r>
      <w:r>
        <w:rPr>
          <w:rFonts w:eastAsia="仿宋_GB2312"/>
          <w:color w:val="auto"/>
          <w:sz w:val="32"/>
          <w:szCs w:val="32"/>
        </w:rPr>
        <w:t>一般公共预算财政拨款支出</w:t>
      </w:r>
      <w:r>
        <w:rPr>
          <w:rFonts w:hint="eastAsia" w:ascii="Times New Roman" w:hAnsi="Times New Roman" w:eastAsia="仿宋_GB2312" w:cs="仿宋_GB2312"/>
          <w:color w:val="auto"/>
          <w:sz w:val="32"/>
          <w:szCs w:val="32"/>
        </w:rPr>
        <w:t>14539.81</w:t>
      </w:r>
      <w:r>
        <w:rPr>
          <w:rFonts w:eastAsia="仿宋_GB2312"/>
          <w:color w:val="auto"/>
          <w:sz w:val="32"/>
          <w:szCs w:val="32"/>
        </w:rPr>
        <w:t>万元</w:t>
      </w:r>
      <w:r>
        <w:rPr>
          <w:rFonts w:hint="eastAsia" w:eastAsia="仿宋_GB2312"/>
          <w:color w:val="auto"/>
          <w:sz w:val="32"/>
          <w:szCs w:val="32"/>
          <w:lang w:eastAsia="zh-CN"/>
        </w:rPr>
        <w:t>，</w:t>
      </w:r>
      <w:r>
        <w:rPr>
          <w:rFonts w:eastAsia="仿宋_GB2312"/>
          <w:color w:val="auto"/>
          <w:sz w:val="32"/>
          <w:szCs w:val="32"/>
        </w:rPr>
        <w:t>主要用于以下方面</w:t>
      </w:r>
      <w:r>
        <w:rPr>
          <w:rFonts w:hint="eastAsia" w:eastAsia="仿宋_GB2312"/>
          <w:color w:val="auto"/>
          <w:sz w:val="32"/>
          <w:szCs w:val="32"/>
          <w:lang w:eastAsia="zh-CN"/>
        </w:rPr>
        <w:t>：</w:t>
      </w:r>
      <w:bookmarkStart w:id="102" w:name="_GoBack"/>
      <w:bookmarkEnd w:id="102"/>
      <w:r>
        <w:rPr>
          <w:rFonts w:eastAsia="仿宋_GB2312"/>
          <w:color w:val="auto"/>
          <w:sz w:val="32"/>
          <w:szCs w:val="32"/>
        </w:rPr>
        <w:t>一般公共服务</w:t>
      </w:r>
      <w:r>
        <w:rPr>
          <w:rFonts w:eastAsia="仿宋_GB2312"/>
          <w:bCs/>
          <w:color w:val="auto"/>
          <w:sz w:val="32"/>
          <w:szCs w:val="32"/>
        </w:rPr>
        <w:t>支出</w:t>
      </w:r>
      <w:r>
        <w:rPr>
          <w:rFonts w:hint="eastAsia" w:eastAsia="仿宋_GB2312"/>
          <w:bCs/>
          <w:color w:val="auto"/>
          <w:sz w:val="32"/>
          <w:szCs w:val="32"/>
          <w:lang w:val="en-US" w:eastAsia="zh-CN"/>
        </w:rPr>
        <w:t>782.87</w:t>
      </w:r>
      <w:r>
        <w:rPr>
          <w:rFonts w:eastAsia="仿宋_GB2312"/>
          <w:color w:val="auto"/>
          <w:sz w:val="32"/>
          <w:szCs w:val="32"/>
        </w:rPr>
        <w:t>万元，占</w:t>
      </w:r>
      <w:r>
        <w:rPr>
          <w:rFonts w:hint="eastAsia" w:eastAsia="仿宋_GB2312"/>
          <w:color w:val="auto"/>
          <w:sz w:val="32"/>
          <w:szCs w:val="32"/>
          <w:lang w:val="en-US" w:eastAsia="zh-CN"/>
        </w:rPr>
        <w:t>5.38</w:t>
      </w:r>
      <w:r>
        <w:rPr>
          <w:rFonts w:eastAsia="仿宋_GB2312"/>
          <w:color w:val="auto"/>
          <w:sz w:val="32"/>
          <w:szCs w:val="32"/>
        </w:rPr>
        <w:t>%；社会保障和就业</w:t>
      </w:r>
      <w:r>
        <w:rPr>
          <w:rFonts w:eastAsia="仿宋_GB2312"/>
          <w:bCs/>
          <w:color w:val="auto"/>
          <w:sz w:val="32"/>
          <w:szCs w:val="32"/>
        </w:rPr>
        <w:t>支出</w:t>
      </w:r>
      <w:r>
        <w:rPr>
          <w:rFonts w:hint="eastAsia" w:eastAsia="仿宋_GB2312"/>
          <w:bCs/>
          <w:color w:val="auto"/>
          <w:sz w:val="32"/>
          <w:szCs w:val="32"/>
          <w:lang w:val="en-US" w:eastAsia="zh-CN"/>
        </w:rPr>
        <w:t>18.63</w:t>
      </w:r>
      <w:r>
        <w:rPr>
          <w:rFonts w:eastAsia="仿宋_GB2312"/>
          <w:color w:val="auto"/>
          <w:sz w:val="32"/>
          <w:szCs w:val="32"/>
        </w:rPr>
        <w:t>万元，占</w:t>
      </w:r>
      <w:r>
        <w:rPr>
          <w:rFonts w:hint="eastAsia" w:eastAsia="仿宋_GB2312"/>
          <w:color w:val="auto"/>
          <w:sz w:val="32"/>
          <w:szCs w:val="32"/>
          <w:lang w:val="en-US" w:eastAsia="zh-CN"/>
        </w:rPr>
        <w:t>0.13</w:t>
      </w:r>
      <w:r>
        <w:rPr>
          <w:rFonts w:eastAsia="仿宋_GB2312"/>
          <w:color w:val="auto"/>
          <w:sz w:val="32"/>
          <w:szCs w:val="32"/>
        </w:rPr>
        <w:t>%；</w:t>
      </w:r>
      <w:r>
        <w:rPr>
          <w:rFonts w:eastAsia="仿宋_GB2312"/>
          <w:bCs/>
          <w:color w:val="auto"/>
          <w:sz w:val="32"/>
          <w:szCs w:val="32"/>
        </w:rPr>
        <w:t>卫生健康支出</w:t>
      </w:r>
      <w:r>
        <w:rPr>
          <w:rFonts w:hint="eastAsia" w:eastAsia="仿宋_GB2312"/>
          <w:bCs/>
          <w:color w:val="auto"/>
          <w:sz w:val="32"/>
          <w:szCs w:val="32"/>
          <w:lang w:val="en-US" w:eastAsia="zh-CN"/>
        </w:rPr>
        <w:t>15.46</w:t>
      </w:r>
      <w:r>
        <w:rPr>
          <w:rFonts w:eastAsia="仿宋_GB2312"/>
          <w:color w:val="auto"/>
          <w:sz w:val="32"/>
          <w:szCs w:val="32"/>
        </w:rPr>
        <w:t>万元，占</w:t>
      </w:r>
      <w:r>
        <w:rPr>
          <w:rFonts w:hint="eastAsia" w:eastAsia="仿宋_GB2312"/>
          <w:color w:val="auto"/>
          <w:sz w:val="32"/>
          <w:szCs w:val="32"/>
          <w:lang w:val="en-US" w:eastAsia="zh-CN"/>
        </w:rPr>
        <w:t>0</w:t>
      </w:r>
      <w:r>
        <w:rPr>
          <w:rFonts w:eastAsia="仿宋_GB2312"/>
          <w:color w:val="auto"/>
          <w:sz w:val="32"/>
          <w:szCs w:val="32"/>
        </w:rPr>
        <w:t>.</w:t>
      </w:r>
      <w:r>
        <w:rPr>
          <w:rFonts w:hint="eastAsia" w:eastAsia="仿宋_GB2312"/>
          <w:color w:val="auto"/>
          <w:sz w:val="32"/>
          <w:szCs w:val="32"/>
          <w:lang w:val="en-US" w:eastAsia="zh-CN"/>
        </w:rPr>
        <w:t>11</w:t>
      </w:r>
      <w:r>
        <w:rPr>
          <w:rFonts w:eastAsia="仿宋_GB2312"/>
          <w:color w:val="auto"/>
          <w:sz w:val="32"/>
          <w:szCs w:val="32"/>
        </w:rPr>
        <w:t>%；</w:t>
      </w:r>
      <w:r>
        <w:rPr>
          <w:rFonts w:hint="eastAsia" w:eastAsia="仿宋_GB2312"/>
          <w:color w:val="auto"/>
          <w:sz w:val="32"/>
          <w:szCs w:val="32"/>
        </w:rPr>
        <w:t>节能环保支出</w:t>
      </w:r>
      <w:r>
        <w:rPr>
          <w:rFonts w:hint="eastAsia" w:eastAsia="仿宋_GB2312"/>
          <w:color w:val="auto"/>
          <w:sz w:val="32"/>
          <w:szCs w:val="32"/>
          <w:lang w:val="en-US" w:eastAsia="zh-CN"/>
        </w:rPr>
        <w:t>6000万元，占41.27%；农林水支出6108.39万元，占42.01%；交通运输支出1600万元，占11%；</w:t>
      </w:r>
      <w:r>
        <w:rPr>
          <w:rFonts w:eastAsia="仿宋_GB2312"/>
          <w:bCs/>
          <w:color w:val="auto"/>
          <w:sz w:val="32"/>
          <w:szCs w:val="32"/>
        </w:rPr>
        <w:t>住房保障支出</w:t>
      </w:r>
      <w:r>
        <w:rPr>
          <w:rFonts w:hint="eastAsia" w:eastAsia="仿宋_GB2312"/>
          <w:bCs/>
          <w:color w:val="auto"/>
          <w:sz w:val="32"/>
          <w:szCs w:val="32"/>
          <w:lang w:val="en-US" w:eastAsia="zh-CN"/>
        </w:rPr>
        <w:t>14.46</w:t>
      </w:r>
      <w:r>
        <w:rPr>
          <w:rFonts w:eastAsia="仿宋_GB2312"/>
          <w:color w:val="auto"/>
          <w:sz w:val="32"/>
          <w:szCs w:val="32"/>
        </w:rPr>
        <w:t>万元，占</w:t>
      </w:r>
      <w:r>
        <w:rPr>
          <w:rFonts w:hint="eastAsia" w:eastAsia="仿宋_GB2312"/>
          <w:color w:val="auto"/>
          <w:sz w:val="32"/>
          <w:szCs w:val="32"/>
          <w:lang w:val="en-US" w:eastAsia="zh-CN"/>
        </w:rPr>
        <w:t>0.1</w:t>
      </w:r>
      <w:r>
        <w:rPr>
          <w:rFonts w:eastAsia="仿宋_GB2312"/>
          <w:color w:val="auto"/>
          <w:sz w:val="32"/>
          <w:szCs w:val="32"/>
        </w:rPr>
        <w:t>%。</w:t>
      </w:r>
    </w:p>
    <w:p w14:paraId="0CDB3C4F">
      <w:pPr>
        <w:pStyle w:val="9"/>
        <w:spacing w:before="93"/>
        <w:jc w:val="center"/>
        <w:rPr>
          <w:rFonts w:ascii="Times New Roman"/>
        </w:rPr>
      </w:pPr>
      <w:r>
        <w:rPr>
          <w:rFonts w:ascii="Times New Roman"/>
        </w:rPr>
        <w:drawing>
          <wp:inline distT="0" distB="0" distL="0" distR="0">
            <wp:extent cx="4464050" cy="2042795"/>
            <wp:effectExtent l="4445" t="5080" r="8255"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ECA1E1E">
      <w:pPr>
        <w:spacing w:line="600" w:lineRule="exact"/>
        <w:ind w:firstLine="960" w:firstLineChars="300"/>
        <w:jc w:val="both"/>
        <w:rPr>
          <w:rFonts w:eastAsia="仿宋_GB2312"/>
          <w:sz w:val="32"/>
          <w:szCs w:val="32"/>
        </w:rPr>
      </w:pPr>
      <w:r>
        <w:rPr>
          <w:rFonts w:eastAsia="仿宋_GB2312"/>
          <w:sz w:val="32"/>
          <w:szCs w:val="32"/>
        </w:rPr>
        <w:t>（图6：一般公共预算财政拨款支出决算结构）</w:t>
      </w:r>
      <w:bookmarkStart w:id="37" w:name="_Toc15377212"/>
    </w:p>
    <w:p w14:paraId="636F0A13">
      <w:pPr>
        <w:pStyle w:val="9"/>
      </w:pPr>
    </w:p>
    <w:p w14:paraId="7C26A162">
      <w:pPr>
        <w:spacing w:line="600" w:lineRule="exact"/>
        <w:ind w:firstLine="643" w:firstLineChars="200"/>
        <w:outlineLvl w:val="2"/>
        <w:rPr>
          <w:rFonts w:hint="eastAsia" w:ascii="Times New Roman" w:hAnsi="Times New Roman" w:eastAsia="楷体_GB2312" w:cs="楷体_GB2312"/>
          <w:b/>
          <w:sz w:val="32"/>
          <w:szCs w:val="32"/>
        </w:rPr>
      </w:pPr>
      <w:bookmarkStart w:id="38" w:name="_Toc2162"/>
      <w:bookmarkStart w:id="39" w:name="_Toc13112"/>
      <w:r>
        <w:rPr>
          <w:rFonts w:hint="eastAsia" w:ascii="Times New Roman" w:hAnsi="Times New Roman" w:eastAsia="楷体_GB2312" w:cs="楷体_GB2312"/>
          <w:b/>
          <w:sz w:val="32"/>
          <w:szCs w:val="32"/>
        </w:rPr>
        <w:t>（三）一般公共预算财政拨款支出决算具体情况</w:t>
      </w:r>
      <w:bookmarkEnd w:id="37"/>
      <w:bookmarkEnd w:id="38"/>
      <w:bookmarkEnd w:id="39"/>
    </w:p>
    <w:p w14:paraId="3DB215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sz w:val="32"/>
          <w:szCs w:val="32"/>
        </w:rPr>
      </w:pPr>
      <w:r>
        <w:rPr>
          <w:rFonts w:hint="eastAsia" w:eastAsia="仿宋_GB2312"/>
          <w:sz w:val="32"/>
          <w:szCs w:val="32"/>
        </w:rPr>
        <w:t>2024年度一般公共预算财政拨款支出决算数为</w:t>
      </w:r>
      <w:r>
        <w:rPr>
          <w:rFonts w:hint="eastAsia" w:eastAsia="仿宋_GB2312"/>
          <w:sz w:val="32"/>
          <w:szCs w:val="32"/>
          <w:lang w:val="en-US" w:eastAsia="zh-CN"/>
        </w:rPr>
        <w:t>14539.81</w:t>
      </w:r>
      <w:r>
        <w:rPr>
          <w:rFonts w:eastAsia="仿宋_GB2312"/>
          <w:sz w:val="32"/>
          <w:szCs w:val="32"/>
        </w:rPr>
        <w:t>万元</w:t>
      </w:r>
      <w:r>
        <w:rPr>
          <w:rFonts w:hint="eastAsia" w:eastAsia="仿宋_GB2312"/>
          <w:sz w:val="32"/>
          <w:szCs w:val="32"/>
        </w:rPr>
        <w:t>，完成预算</w:t>
      </w:r>
      <w:r>
        <w:rPr>
          <w:rFonts w:hint="eastAsia" w:eastAsia="仿宋_GB2312"/>
          <w:sz w:val="32"/>
          <w:szCs w:val="32"/>
          <w:lang w:val="en-US" w:eastAsia="zh-CN"/>
        </w:rPr>
        <w:t>100</w:t>
      </w:r>
      <w:r>
        <w:rPr>
          <w:rFonts w:hint="eastAsia" w:eastAsia="仿宋_GB2312"/>
          <w:sz w:val="32"/>
          <w:szCs w:val="32"/>
        </w:rPr>
        <w:t>%。其中：</w:t>
      </w:r>
    </w:p>
    <w:p w14:paraId="1D004B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20"/>
          <w:rFonts w:ascii="Times New Roman" w:hAnsi="Times New Roman" w:eastAsia="仿宋_GB2312"/>
          <w:b w:val="0"/>
          <w:bCs w:val="0"/>
          <w:sz w:val="32"/>
          <w:szCs w:val="32"/>
        </w:rPr>
      </w:pPr>
      <w:r>
        <w:rPr>
          <w:rStyle w:val="20"/>
          <w:rFonts w:ascii="Times New Roman" w:hAnsi="Times New Roman" w:eastAsia="仿宋_GB2312"/>
          <w:b w:val="0"/>
          <w:bCs w:val="0"/>
          <w:sz w:val="32"/>
          <w:szCs w:val="32"/>
        </w:rPr>
        <w:t>1.一般公共服务（类）</w:t>
      </w:r>
      <w:r>
        <w:rPr>
          <w:rFonts w:ascii="Times New Roman" w:hAnsi="Times New Roman" w:eastAsia="仿宋_GB2312"/>
          <w:b w:val="0"/>
          <w:bCs w:val="0"/>
          <w:sz w:val="32"/>
          <w:szCs w:val="32"/>
        </w:rPr>
        <w:t>政府办公厅（室）及相关机构事务（</w:t>
      </w:r>
      <w:r>
        <w:rPr>
          <w:rStyle w:val="20"/>
          <w:rFonts w:ascii="Times New Roman" w:hAnsi="Times New Roman" w:eastAsia="仿宋_GB2312"/>
          <w:b w:val="0"/>
          <w:bCs w:val="0"/>
          <w:sz w:val="32"/>
          <w:szCs w:val="32"/>
        </w:rPr>
        <w:t>款）</w:t>
      </w:r>
      <w:r>
        <w:rPr>
          <w:rFonts w:ascii="Times New Roman" w:hAnsi="Times New Roman" w:eastAsia="仿宋_GB2312"/>
          <w:b w:val="0"/>
          <w:bCs w:val="0"/>
          <w:sz w:val="32"/>
          <w:szCs w:val="32"/>
        </w:rPr>
        <w:t>行政运行</w:t>
      </w:r>
      <w:r>
        <w:rPr>
          <w:rStyle w:val="20"/>
          <w:rFonts w:ascii="Times New Roman" w:hAnsi="Times New Roman" w:eastAsia="仿宋_GB2312"/>
          <w:b w:val="0"/>
          <w:bCs w:val="0"/>
          <w:sz w:val="32"/>
          <w:szCs w:val="32"/>
        </w:rPr>
        <w:t>（项）：</w:t>
      </w:r>
      <w:r>
        <w:rPr>
          <w:rStyle w:val="20"/>
          <w:rFonts w:ascii="Times New Roman" w:hAnsi="Times New Roman" w:eastAsia="仿宋_GB2312"/>
          <w:b w:val="0"/>
          <w:bCs/>
          <w:sz w:val="32"/>
          <w:szCs w:val="32"/>
        </w:rPr>
        <w:t>支出决算为</w:t>
      </w:r>
      <w:r>
        <w:rPr>
          <w:rStyle w:val="20"/>
          <w:rFonts w:hint="eastAsia" w:ascii="Times New Roman" w:hAnsi="Times New Roman" w:eastAsia="仿宋_GB2312"/>
          <w:b w:val="0"/>
          <w:bCs/>
          <w:sz w:val="32"/>
          <w:szCs w:val="32"/>
          <w:lang w:val="en-US" w:eastAsia="zh-CN"/>
        </w:rPr>
        <w:t>81.96</w:t>
      </w:r>
      <w:r>
        <w:rPr>
          <w:rStyle w:val="20"/>
          <w:rFonts w:ascii="Times New Roman" w:hAnsi="Times New Roman" w:eastAsia="仿宋_GB2312"/>
          <w:b w:val="0"/>
          <w:bCs/>
          <w:sz w:val="32"/>
          <w:szCs w:val="32"/>
        </w:rPr>
        <w:t>万元，</w:t>
      </w:r>
      <w:r>
        <w:rPr>
          <w:rStyle w:val="20"/>
          <w:rFonts w:ascii="Times New Roman" w:hAnsi="Times New Roman" w:eastAsia="仿宋_GB2312"/>
          <w:b w:val="0"/>
          <w:bCs w:val="0"/>
          <w:sz w:val="32"/>
          <w:szCs w:val="32"/>
        </w:rPr>
        <w:t>完成预算100%。</w:t>
      </w:r>
    </w:p>
    <w:p w14:paraId="4D9E06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 w:val="0"/>
          <w:bCs w:val="0"/>
        </w:rPr>
      </w:pPr>
      <w:r>
        <w:rPr>
          <w:rStyle w:val="20"/>
          <w:rFonts w:hint="eastAsia" w:ascii="Times New Roman" w:hAnsi="Times New Roman" w:eastAsia="仿宋_GB2312"/>
          <w:b w:val="0"/>
          <w:bCs w:val="0"/>
          <w:sz w:val="32"/>
          <w:szCs w:val="32"/>
          <w:lang w:val="en-US" w:eastAsia="zh-CN"/>
        </w:rPr>
        <w:t>2</w:t>
      </w:r>
      <w:r>
        <w:rPr>
          <w:rStyle w:val="20"/>
          <w:rFonts w:ascii="Times New Roman" w:hAnsi="Times New Roman" w:eastAsia="仿宋_GB2312"/>
          <w:b w:val="0"/>
          <w:bCs w:val="0"/>
          <w:sz w:val="32"/>
          <w:szCs w:val="32"/>
        </w:rPr>
        <w:t>.一般公共服务（类）</w:t>
      </w:r>
      <w:r>
        <w:rPr>
          <w:rFonts w:ascii="Times New Roman" w:hAnsi="Times New Roman" w:eastAsia="仿宋_GB2312"/>
          <w:b w:val="0"/>
          <w:bCs w:val="0"/>
          <w:sz w:val="32"/>
          <w:szCs w:val="32"/>
        </w:rPr>
        <w:t>政府办公厅（室）及相关机构事务（</w:t>
      </w:r>
      <w:r>
        <w:rPr>
          <w:rStyle w:val="20"/>
          <w:rFonts w:ascii="Times New Roman" w:hAnsi="Times New Roman" w:eastAsia="仿宋_GB2312"/>
          <w:b w:val="0"/>
          <w:bCs w:val="0"/>
          <w:sz w:val="32"/>
          <w:szCs w:val="32"/>
        </w:rPr>
        <w:t>款）</w:t>
      </w:r>
      <w:r>
        <w:rPr>
          <w:rStyle w:val="20"/>
          <w:rFonts w:hint="eastAsia" w:ascii="Times New Roman" w:hAnsi="Times New Roman" w:eastAsia="仿宋_GB2312"/>
          <w:b w:val="0"/>
          <w:bCs w:val="0"/>
          <w:sz w:val="32"/>
          <w:szCs w:val="32"/>
          <w:lang w:eastAsia="zh-CN"/>
        </w:rPr>
        <w:t>事业运行（</w:t>
      </w:r>
      <w:r>
        <w:rPr>
          <w:rStyle w:val="20"/>
          <w:rFonts w:ascii="Times New Roman" w:hAnsi="Times New Roman" w:eastAsia="仿宋_GB2312"/>
          <w:b w:val="0"/>
          <w:bCs w:val="0"/>
          <w:sz w:val="32"/>
          <w:szCs w:val="32"/>
        </w:rPr>
        <w:t>项）</w:t>
      </w:r>
      <w:r>
        <w:rPr>
          <w:rStyle w:val="20"/>
          <w:rFonts w:hint="eastAsia" w:eastAsia="仿宋_GB2312"/>
          <w:b w:val="0"/>
          <w:bCs w:val="0"/>
          <w:sz w:val="32"/>
          <w:szCs w:val="32"/>
          <w:lang w:eastAsia="zh-CN"/>
        </w:rPr>
        <w:t>：</w:t>
      </w:r>
      <w:r>
        <w:rPr>
          <w:rStyle w:val="20"/>
          <w:rFonts w:ascii="Times New Roman" w:hAnsi="Times New Roman" w:eastAsia="仿宋_GB2312"/>
          <w:b w:val="0"/>
          <w:bCs/>
          <w:sz w:val="32"/>
          <w:szCs w:val="32"/>
        </w:rPr>
        <w:t>支出决算为</w:t>
      </w:r>
      <w:r>
        <w:rPr>
          <w:rStyle w:val="20"/>
          <w:rFonts w:hint="eastAsia" w:ascii="Times New Roman" w:hAnsi="Times New Roman" w:eastAsia="仿宋_GB2312"/>
          <w:b w:val="0"/>
          <w:bCs/>
          <w:sz w:val="32"/>
          <w:szCs w:val="32"/>
          <w:lang w:val="en-US" w:eastAsia="zh-CN"/>
        </w:rPr>
        <w:t>62.6</w:t>
      </w:r>
      <w:r>
        <w:rPr>
          <w:rStyle w:val="20"/>
          <w:rFonts w:ascii="Times New Roman" w:hAnsi="Times New Roman" w:eastAsia="仿宋_GB2312"/>
          <w:b w:val="0"/>
          <w:bCs/>
          <w:sz w:val="32"/>
          <w:szCs w:val="32"/>
        </w:rPr>
        <w:t>万元，</w:t>
      </w:r>
      <w:r>
        <w:rPr>
          <w:rStyle w:val="20"/>
          <w:rFonts w:ascii="Times New Roman" w:hAnsi="Times New Roman" w:eastAsia="仿宋_GB2312"/>
          <w:b w:val="0"/>
          <w:bCs w:val="0"/>
          <w:sz w:val="32"/>
          <w:szCs w:val="32"/>
        </w:rPr>
        <w:t>完成预算100%。</w:t>
      </w:r>
    </w:p>
    <w:p w14:paraId="02C91B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 w:val="0"/>
          <w:bCs w:val="0"/>
          <w:sz w:val="32"/>
          <w:szCs w:val="32"/>
        </w:rPr>
      </w:pPr>
      <w:r>
        <w:rPr>
          <w:rStyle w:val="20"/>
          <w:rFonts w:hint="eastAsia" w:ascii="Times New Roman" w:hAnsi="Times New Roman" w:eastAsia="仿宋_GB2312"/>
          <w:b w:val="0"/>
          <w:bCs w:val="0"/>
          <w:sz w:val="32"/>
          <w:szCs w:val="32"/>
          <w:lang w:val="en-US" w:eastAsia="zh-CN"/>
        </w:rPr>
        <w:t>3</w:t>
      </w:r>
      <w:r>
        <w:rPr>
          <w:rStyle w:val="20"/>
          <w:rFonts w:ascii="Times New Roman" w:hAnsi="Times New Roman" w:eastAsia="仿宋_GB2312"/>
          <w:b w:val="0"/>
          <w:bCs w:val="0"/>
          <w:sz w:val="32"/>
          <w:szCs w:val="32"/>
        </w:rPr>
        <w:t>.一般公共服务（类）</w:t>
      </w:r>
      <w:r>
        <w:rPr>
          <w:rFonts w:ascii="Times New Roman" w:hAnsi="Times New Roman" w:eastAsia="仿宋_GB2312"/>
          <w:b w:val="0"/>
          <w:bCs w:val="0"/>
          <w:sz w:val="32"/>
          <w:szCs w:val="32"/>
        </w:rPr>
        <w:t>政府办公厅（室）及相关机构事务（</w:t>
      </w:r>
      <w:r>
        <w:rPr>
          <w:rStyle w:val="20"/>
          <w:rFonts w:ascii="Times New Roman" w:hAnsi="Times New Roman" w:eastAsia="仿宋_GB2312"/>
          <w:b w:val="0"/>
          <w:bCs w:val="0"/>
          <w:sz w:val="32"/>
          <w:szCs w:val="32"/>
        </w:rPr>
        <w:t>款）</w:t>
      </w:r>
      <w:r>
        <w:rPr>
          <w:rStyle w:val="20"/>
          <w:rFonts w:hint="eastAsia" w:ascii="Times New Roman" w:hAnsi="Times New Roman" w:eastAsia="仿宋_GB2312"/>
          <w:b w:val="0"/>
          <w:bCs w:val="0"/>
          <w:sz w:val="32"/>
          <w:szCs w:val="32"/>
        </w:rPr>
        <w:t>其他政府办公厅（室）及相关机构事务支出</w:t>
      </w:r>
      <w:r>
        <w:rPr>
          <w:rStyle w:val="20"/>
          <w:rFonts w:ascii="Times New Roman" w:hAnsi="Times New Roman" w:eastAsia="仿宋_GB2312"/>
          <w:b w:val="0"/>
          <w:bCs w:val="0"/>
          <w:sz w:val="32"/>
          <w:szCs w:val="32"/>
        </w:rPr>
        <w:t>（项）</w:t>
      </w:r>
      <w:r>
        <w:rPr>
          <w:rStyle w:val="20"/>
          <w:rFonts w:hint="eastAsia" w:eastAsia="仿宋_GB2312"/>
          <w:b w:val="0"/>
          <w:bCs w:val="0"/>
          <w:sz w:val="32"/>
          <w:szCs w:val="32"/>
          <w:lang w:eastAsia="zh-CN"/>
        </w:rPr>
        <w:t>：</w:t>
      </w:r>
      <w:r>
        <w:rPr>
          <w:rStyle w:val="20"/>
          <w:rFonts w:ascii="Times New Roman" w:hAnsi="Times New Roman" w:eastAsia="仿宋_GB2312"/>
          <w:b w:val="0"/>
          <w:bCs/>
          <w:sz w:val="32"/>
          <w:szCs w:val="32"/>
        </w:rPr>
        <w:t>支出决算为</w:t>
      </w:r>
      <w:r>
        <w:rPr>
          <w:rStyle w:val="20"/>
          <w:rFonts w:hint="eastAsia" w:ascii="Times New Roman" w:hAnsi="Times New Roman" w:eastAsia="仿宋_GB2312"/>
          <w:b w:val="0"/>
          <w:bCs/>
          <w:sz w:val="32"/>
          <w:szCs w:val="32"/>
          <w:lang w:val="en-US" w:eastAsia="zh-CN"/>
        </w:rPr>
        <w:t>638.31</w:t>
      </w:r>
      <w:r>
        <w:rPr>
          <w:rStyle w:val="20"/>
          <w:rFonts w:ascii="Times New Roman" w:hAnsi="Times New Roman" w:eastAsia="仿宋_GB2312"/>
          <w:b w:val="0"/>
          <w:bCs/>
          <w:sz w:val="32"/>
          <w:szCs w:val="32"/>
        </w:rPr>
        <w:t>万元</w:t>
      </w:r>
      <w:r>
        <w:rPr>
          <w:rStyle w:val="20"/>
          <w:rFonts w:hint="eastAsia" w:ascii="Times New Roman" w:hAnsi="Times New Roman" w:eastAsia="仿宋_GB2312"/>
          <w:b w:val="0"/>
          <w:bCs/>
          <w:sz w:val="32"/>
          <w:szCs w:val="32"/>
          <w:lang w:eastAsia="zh-CN"/>
        </w:rPr>
        <w:t>，</w:t>
      </w:r>
      <w:r>
        <w:rPr>
          <w:rStyle w:val="20"/>
          <w:rFonts w:ascii="Times New Roman" w:hAnsi="Times New Roman" w:eastAsia="仿宋_GB2312"/>
          <w:b w:val="0"/>
          <w:bCs w:val="0"/>
          <w:sz w:val="32"/>
          <w:szCs w:val="32"/>
        </w:rPr>
        <w:t>完成预算100%。</w:t>
      </w:r>
    </w:p>
    <w:p w14:paraId="37F531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 w:val="0"/>
          <w:bCs w:val="0"/>
          <w:sz w:val="32"/>
          <w:szCs w:val="32"/>
        </w:rPr>
      </w:pPr>
      <w:r>
        <w:rPr>
          <w:rStyle w:val="20"/>
          <w:rFonts w:hint="eastAsia" w:ascii="Times New Roman" w:hAnsi="Times New Roman" w:eastAsia="仿宋_GB2312"/>
          <w:b w:val="0"/>
          <w:bCs w:val="0"/>
          <w:sz w:val="32"/>
          <w:szCs w:val="32"/>
          <w:lang w:val="en-US" w:eastAsia="zh-CN"/>
        </w:rPr>
        <w:t>4</w:t>
      </w:r>
      <w:r>
        <w:rPr>
          <w:rStyle w:val="20"/>
          <w:rFonts w:ascii="Times New Roman" w:hAnsi="Times New Roman" w:eastAsia="仿宋_GB2312"/>
          <w:b w:val="0"/>
          <w:bCs w:val="0"/>
          <w:sz w:val="32"/>
          <w:szCs w:val="32"/>
        </w:rPr>
        <w:t>.社会保障和就业（类）行政事业单位养老支出（款）机关事业单位基本养老保险缴费支出（项）</w:t>
      </w:r>
      <w:r>
        <w:rPr>
          <w:rStyle w:val="20"/>
          <w:rFonts w:hint="eastAsia" w:eastAsia="仿宋_GB2312"/>
          <w:b w:val="0"/>
          <w:bCs w:val="0"/>
          <w:sz w:val="32"/>
          <w:szCs w:val="32"/>
          <w:lang w:eastAsia="zh-CN"/>
        </w:rPr>
        <w:t>：</w:t>
      </w:r>
      <w:r>
        <w:rPr>
          <w:rStyle w:val="20"/>
          <w:rFonts w:ascii="Times New Roman" w:hAnsi="Times New Roman" w:eastAsia="仿宋_GB2312"/>
          <w:b w:val="0"/>
          <w:bCs w:val="0"/>
          <w:sz w:val="32"/>
          <w:szCs w:val="32"/>
        </w:rPr>
        <w:t>支出决算为</w:t>
      </w:r>
      <w:r>
        <w:rPr>
          <w:rStyle w:val="20"/>
          <w:rFonts w:hint="eastAsia" w:ascii="Times New Roman" w:hAnsi="Times New Roman" w:eastAsia="仿宋_GB2312"/>
          <w:b w:val="0"/>
          <w:bCs w:val="0"/>
          <w:sz w:val="32"/>
          <w:szCs w:val="32"/>
          <w:lang w:val="en-US" w:eastAsia="zh-CN"/>
        </w:rPr>
        <w:t>17.11</w:t>
      </w:r>
      <w:r>
        <w:rPr>
          <w:rStyle w:val="20"/>
          <w:rFonts w:ascii="Times New Roman" w:hAnsi="Times New Roman" w:eastAsia="仿宋_GB2312"/>
          <w:b w:val="0"/>
          <w:bCs w:val="0"/>
          <w:sz w:val="32"/>
          <w:szCs w:val="32"/>
        </w:rPr>
        <w:t>万元，完成预算</w:t>
      </w:r>
      <w:r>
        <w:rPr>
          <w:rStyle w:val="20"/>
          <w:rFonts w:hint="eastAsia" w:ascii="Times New Roman" w:hAnsi="Times New Roman" w:eastAsia="仿宋_GB2312"/>
          <w:b w:val="0"/>
          <w:bCs w:val="0"/>
          <w:sz w:val="32"/>
          <w:szCs w:val="32"/>
          <w:lang w:val="en-US" w:eastAsia="zh-CN"/>
        </w:rPr>
        <w:t>100</w:t>
      </w:r>
      <w:r>
        <w:rPr>
          <w:rStyle w:val="20"/>
          <w:rFonts w:ascii="Times New Roman" w:hAnsi="Times New Roman" w:eastAsia="仿宋_GB2312"/>
          <w:b w:val="0"/>
          <w:bCs w:val="0"/>
          <w:sz w:val="32"/>
          <w:szCs w:val="32"/>
        </w:rPr>
        <w:t>%</w:t>
      </w:r>
      <w:r>
        <w:rPr>
          <w:rStyle w:val="20"/>
          <w:rFonts w:hint="eastAsia" w:ascii="Times New Roman" w:hAnsi="Times New Roman" w:eastAsia="仿宋_GB2312"/>
          <w:b w:val="0"/>
          <w:bCs w:val="0"/>
          <w:sz w:val="32"/>
          <w:szCs w:val="32"/>
          <w:lang w:eastAsia="zh-CN"/>
        </w:rPr>
        <w:t>。</w:t>
      </w:r>
    </w:p>
    <w:p w14:paraId="1E9F00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 w:val="0"/>
          <w:bCs w:val="0"/>
          <w:sz w:val="32"/>
          <w:szCs w:val="32"/>
        </w:rPr>
      </w:pPr>
      <w:r>
        <w:rPr>
          <w:rStyle w:val="20"/>
          <w:rFonts w:hint="eastAsia" w:ascii="Times New Roman" w:hAnsi="Times New Roman" w:eastAsia="仿宋_GB2312"/>
          <w:b w:val="0"/>
          <w:bCs w:val="0"/>
          <w:sz w:val="32"/>
          <w:szCs w:val="32"/>
          <w:lang w:val="en-US" w:eastAsia="zh-CN"/>
        </w:rPr>
        <w:t>5</w:t>
      </w:r>
      <w:r>
        <w:rPr>
          <w:rStyle w:val="20"/>
          <w:rFonts w:ascii="Times New Roman" w:hAnsi="Times New Roman" w:eastAsia="仿宋_GB2312"/>
          <w:b w:val="0"/>
          <w:bCs w:val="0"/>
          <w:sz w:val="32"/>
          <w:szCs w:val="32"/>
        </w:rPr>
        <w:t>.社会保障和就业（类）</w:t>
      </w:r>
      <w:r>
        <w:rPr>
          <w:rStyle w:val="20"/>
          <w:rFonts w:hint="eastAsia" w:ascii="Times New Roman" w:hAnsi="Times New Roman" w:eastAsia="仿宋_GB2312"/>
          <w:b w:val="0"/>
          <w:bCs w:val="0"/>
          <w:sz w:val="32"/>
          <w:szCs w:val="32"/>
        </w:rPr>
        <w:t>抚恤</w:t>
      </w:r>
      <w:r>
        <w:rPr>
          <w:rStyle w:val="20"/>
          <w:rFonts w:ascii="Times New Roman" w:hAnsi="Times New Roman" w:eastAsia="仿宋_GB2312"/>
          <w:b w:val="0"/>
          <w:bCs w:val="0"/>
          <w:sz w:val="32"/>
          <w:szCs w:val="32"/>
        </w:rPr>
        <w:t>（款）</w:t>
      </w:r>
      <w:r>
        <w:rPr>
          <w:rStyle w:val="20"/>
          <w:rFonts w:hint="eastAsia" w:ascii="Times New Roman" w:hAnsi="Times New Roman" w:eastAsia="仿宋_GB2312"/>
          <w:b w:val="0"/>
          <w:bCs w:val="0"/>
          <w:sz w:val="32"/>
          <w:szCs w:val="32"/>
        </w:rPr>
        <w:t>伤残抚恤</w:t>
      </w:r>
      <w:r>
        <w:rPr>
          <w:rStyle w:val="20"/>
          <w:rFonts w:ascii="Times New Roman" w:hAnsi="Times New Roman" w:eastAsia="仿宋_GB2312"/>
          <w:b w:val="0"/>
          <w:bCs w:val="0"/>
          <w:sz w:val="32"/>
          <w:szCs w:val="32"/>
        </w:rPr>
        <w:t>（项）</w:t>
      </w:r>
      <w:r>
        <w:rPr>
          <w:rStyle w:val="20"/>
          <w:rFonts w:hint="eastAsia" w:eastAsia="仿宋_GB2312"/>
          <w:b w:val="0"/>
          <w:bCs w:val="0"/>
          <w:sz w:val="32"/>
          <w:szCs w:val="32"/>
          <w:lang w:eastAsia="zh-CN"/>
        </w:rPr>
        <w:t>：</w:t>
      </w:r>
      <w:r>
        <w:rPr>
          <w:rStyle w:val="20"/>
          <w:rFonts w:ascii="Times New Roman" w:hAnsi="Times New Roman" w:eastAsia="仿宋_GB2312"/>
          <w:b w:val="0"/>
          <w:bCs w:val="0"/>
          <w:sz w:val="32"/>
          <w:szCs w:val="32"/>
        </w:rPr>
        <w:t>支出决算为</w:t>
      </w:r>
      <w:r>
        <w:rPr>
          <w:rStyle w:val="20"/>
          <w:rFonts w:hint="eastAsia" w:ascii="Times New Roman" w:hAnsi="Times New Roman" w:eastAsia="仿宋_GB2312"/>
          <w:b w:val="0"/>
          <w:bCs w:val="0"/>
          <w:sz w:val="32"/>
          <w:szCs w:val="32"/>
          <w:lang w:val="en-US" w:eastAsia="zh-CN"/>
        </w:rPr>
        <w:t>1.52</w:t>
      </w:r>
      <w:r>
        <w:rPr>
          <w:rStyle w:val="20"/>
          <w:rFonts w:ascii="Times New Roman" w:hAnsi="Times New Roman" w:eastAsia="仿宋_GB2312"/>
          <w:b w:val="0"/>
          <w:bCs w:val="0"/>
          <w:sz w:val="32"/>
          <w:szCs w:val="32"/>
        </w:rPr>
        <w:t>万元，完成预算100%。</w:t>
      </w:r>
    </w:p>
    <w:p w14:paraId="2158D9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20"/>
          <w:rFonts w:ascii="Times New Roman" w:hAnsi="Times New Roman" w:eastAsia="仿宋_GB2312"/>
          <w:b w:val="0"/>
          <w:bCs w:val="0"/>
          <w:sz w:val="32"/>
          <w:szCs w:val="32"/>
        </w:rPr>
      </w:pPr>
      <w:r>
        <w:rPr>
          <w:rStyle w:val="20"/>
          <w:rFonts w:hint="eastAsia" w:ascii="Times New Roman" w:hAnsi="Times New Roman" w:eastAsia="仿宋_GB2312"/>
          <w:b w:val="0"/>
          <w:bCs w:val="0"/>
          <w:sz w:val="32"/>
          <w:szCs w:val="32"/>
          <w:lang w:val="en-US" w:eastAsia="zh-CN"/>
        </w:rPr>
        <w:t>6</w:t>
      </w:r>
      <w:r>
        <w:rPr>
          <w:rStyle w:val="20"/>
          <w:rFonts w:ascii="Times New Roman" w:hAnsi="Times New Roman" w:eastAsia="仿宋_GB2312"/>
          <w:b w:val="0"/>
          <w:bCs w:val="0"/>
          <w:sz w:val="32"/>
          <w:szCs w:val="32"/>
        </w:rPr>
        <w:t>.</w:t>
      </w:r>
      <w:r>
        <w:rPr>
          <w:rFonts w:ascii="Times New Roman" w:hAnsi="Times New Roman" w:eastAsia="仿宋_GB2312"/>
          <w:b w:val="0"/>
          <w:bCs w:val="0"/>
          <w:sz w:val="32"/>
          <w:szCs w:val="32"/>
        </w:rPr>
        <w:t>卫生健康</w:t>
      </w:r>
      <w:r>
        <w:rPr>
          <w:rStyle w:val="20"/>
          <w:rFonts w:ascii="Times New Roman" w:hAnsi="Times New Roman" w:eastAsia="仿宋_GB2312"/>
          <w:b w:val="0"/>
          <w:bCs w:val="0"/>
          <w:sz w:val="32"/>
          <w:szCs w:val="32"/>
        </w:rPr>
        <w:t>（类）行政事业单位医疗（款）行政单位医疗（项）</w:t>
      </w:r>
      <w:r>
        <w:rPr>
          <w:rStyle w:val="20"/>
          <w:rFonts w:hint="eastAsia" w:eastAsia="仿宋_GB2312"/>
          <w:b w:val="0"/>
          <w:bCs w:val="0"/>
          <w:sz w:val="32"/>
          <w:szCs w:val="32"/>
          <w:lang w:eastAsia="zh-CN"/>
        </w:rPr>
        <w:t>：</w:t>
      </w:r>
      <w:r>
        <w:rPr>
          <w:rStyle w:val="20"/>
          <w:rFonts w:ascii="Times New Roman" w:hAnsi="Times New Roman" w:eastAsia="仿宋_GB2312"/>
          <w:b w:val="0"/>
          <w:bCs w:val="0"/>
          <w:sz w:val="32"/>
          <w:szCs w:val="32"/>
        </w:rPr>
        <w:t>支出决算为</w:t>
      </w:r>
      <w:r>
        <w:rPr>
          <w:rStyle w:val="20"/>
          <w:rFonts w:hint="eastAsia" w:ascii="Times New Roman" w:hAnsi="Times New Roman" w:eastAsia="仿宋_GB2312"/>
          <w:b w:val="0"/>
          <w:bCs w:val="0"/>
          <w:sz w:val="32"/>
          <w:szCs w:val="32"/>
          <w:lang w:val="en-US" w:eastAsia="zh-CN"/>
        </w:rPr>
        <w:t>5.09</w:t>
      </w:r>
      <w:r>
        <w:rPr>
          <w:rStyle w:val="20"/>
          <w:rFonts w:ascii="Times New Roman" w:hAnsi="Times New Roman" w:eastAsia="仿宋_GB2312"/>
          <w:b w:val="0"/>
          <w:bCs w:val="0"/>
          <w:sz w:val="32"/>
          <w:szCs w:val="32"/>
        </w:rPr>
        <w:t>万元，完成预算100%。</w:t>
      </w:r>
    </w:p>
    <w:p w14:paraId="4F3953D7">
      <w:pPr>
        <w:pStyle w:val="9"/>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Style w:val="20"/>
          <w:rFonts w:ascii="Times New Roman" w:hAnsi="Times New Roman" w:eastAsia="仿宋_GB2312"/>
          <w:b w:val="0"/>
          <w:bCs w:val="0"/>
          <w:sz w:val="32"/>
          <w:szCs w:val="32"/>
        </w:rPr>
      </w:pPr>
      <w:r>
        <w:rPr>
          <w:rStyle w:val="20"/>
          <w:rFonts w:hint="eastAsia" w:ascii="Times New Roman" w:hAnsi="Times New Roman" w:eastAsia="仿宋_GB2312"/>
          <w:b w:val="0"/>
          <w:bCs w:val="0"/>
          <w:sz w:val="32"/>
          <w:szCs w:val="32"/>
          <w:lang w:val="en-US" w:eastAsia="zh-CN"/>
        </w:rPr>
        <w:t>7</w:t>
      </w:r>
      <w:r>
        <w:rPr>
          <w:rStyle w:val="20"/>
          <w:rFonts w:ascii="Times New Roman" w:hAnsi="Times New Roman" w:eastAsia="仿宋_GB2312"/>
          <w:b w:val="0"/>
          <w:bCs w:val="0"/>
          <w:sz w:val="32"/>
          <w:szCs w:val="32"/>
        </w:rPr>
        <w:t>.</w:t>
      </w:r>
      <w:r>
        <w:rPr>
          <w:rFonts w:ascii="Times New Roman" w:hAnsi="Times New Roman" w:eastAsia="仿宋_GB2312"/>
          <w:b w:val="0"/>
          <w:bCs w:val="0"/>
          <w:sz w:val="32"/>
          <w:szCs w:val="32"/>
        </w:rPr>
        <w:t>卫生健康</w:t>
      </w:r>
      <w:r>
        <w:rPr>
          <w:rStyle w:val="20"/>
          <w:rFonts w:ascii="Times New Roman" w:hAnsi="Times New Roman" w:eastAsia="仿宋_GB2312"/>
          <w:b w:val="0"/>
          <w:bCs w:val="0"/>
          <w:sz w:val="32"/>
          <w:szCs w:val="32"/>
        </w:rPr>
        <w:t>（类）行政事业单位医疗（款）</w:t>
      </w:r>
      <w:r>
        <w:rPr>
          <w:rStyle w:val="20"/>
          <w:rFonts w:hint="eastAsia" w:ascii="Times New Roman" w:hAnsi="Times New Roman" w:eastAsia="仿宋_GB2312"/>
          <w:b w:val="0"/>
          <w:bCs w:val="0"/>
          <w:sz w:val="32"/>
          <w:szCs w:val="32"/>
          <w:lang w:eastAsia="zh-CN"/>
        </w:rPr>
        <w:t>事业单位医疗</w:t>
      </w:r>
      <w:r>
        <w:rPr>
          <w:rStyle w:val="20"/>
          <w:rFonts w:ascii="Times New Roman" w:hAnsi="Times New Roman" w:eastAsia="仿宋_GB2312"/>
          <w:b w:val="0"/>
          <w:bCs w:val="0"/>
          <w:sz w:val="32"/>
          <w:szCs w:val="32"/>
        </w:rPr>
        <w:t>（项）</w:t>
      </w:r>
      <w:r>
        <w:rPr>
          <w:rStyle w:val="20"/>
          <w:rFonts w:hint="eastAsia" w:ascii="Times New Roman"/>
          <w:b w:val="0"/>
          <w:bCs w:val="0"/>
          <w:sz w:val="32"/>
          <w:szCs w:val="32"/>
          <w:lang w:eastAsia="zh-CN"/>
        </w:rPr>
        <w:t>：</w:t>
      </w:r>
      <w:r>
        <w:rPr>
          <w:rStyle w:val="20"/>
          <w:rFonts w:ascii="Times New Roman" w:hAnsi="Times New Roman" w:eastAsia="仿宋_GB2312"/>
          <w:b w:val="0"/>
          <w:bCs w:val="0"/>
          <w:sz w:val="32"/>
          <w:szCs w:val="32"/>
        </w:rPr>
        <w:t>支出决算为</w:t>
      </w:r>
      <w:r>
        <w:rPr>
          <w:rStyle w:val="20"/>
          <w:rFonts w:hint="eastAsia" w:ascii="Times New Roman" w:hAnsi="Times New Roman" w:eastAsia="仿宋_GB2312"/>
          <w:b w:val="0"/>
          <w:bCs w:val="0"/>
          <w:sz w:val="32"/>
          <w:szCs w:val="32"/>
          <w:lang w:val="en-US" w:eastAsia="zh-CN"/>
        </w:rPr>
        <w:t>4.41</w:t>
      </w:r>
      <w:r>
        <w:rPr>
          <w:rStyle w:val="20"/>
          <w:rFonts w:ascii="Times New Roman" w:hAnsi="Times New Roman" w:eastAsia="仿宋_GB2312"/>
          <w:b w:val="0"/>
          <w:bCs w:val="0"/>
          <w:sz w:val="32"/>
          <w:szCs w:val="32"/>
        </w:rPr>
        <w:t>万元，完成预算100%。</w:t>
      </w:r>
    </w:p>
    <w:p w14:paraId="388FD5E3">
      <w:pPr>
        <w:pStyle w:val="9"/>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Fonts w:ascii="Times New Roman" w:hAnsi="Times New Roman" w:eastAsia="仿宋_GB2312"/>
          <w:b w:val="0"/>
          <w:bCs w:val="0"/>
        </w:rPr>
      </w:pPr>
      <w:r>
        <w:rPr>
          <w:rStyle w:val="20"/>
          <w:rFonts w:hint="eastAsia" w:ascii="Times New Roman" w:hAnsi="Times New Roman" w:eastAsia="仿宋_GB2312"/>
          <w:b w:val="0"/>
          <w:bCs w:val="0"/>
          <w:sz w:val="32"/>
          <w:szCs w:val="32"/>
          <w:lang w:val="en-US" w:eastAsia="zh-CN"/>
        </w:rPr>
        <w:t>8</w:t>
      </w:r>
      <w:r>
        <w:rPr>
          <w:rStyle w:val="20"/>
          <w:rFonts w:ascii="Times New Roman" w:hAnsi="Times New Roman" w:eastAsia="仿宋_GB2312"/>
          <w:b w:val="0"/>
          <w:bCs w:val="0"/>
          <w:sz w:val="32"/>
          <w:szCs w:val="32"/>
        </w:rPr>
        <w:t>.</w:t>
      </w:r>
      <w:r>
        <w:rPr>
          <w:rFonts w:ascii="Times New Roman" w:hAnsi="Times New Roman" w:eastAsia="仿宋_GB2312"/>
          <w:b w:val="0"/>
          <w:bCs w:val="0"/>
          <w:sz w:val="32"/>
          <w:szCs w:val="32"/>
        </w:rPr>
        <w:t>卫生健康</w:t>
      </w:r>
      <w:r>
        <w:rPr>
          <w:rStyle w:val="20"/>
          <w:rFonts w:ascii="Times New Roman" w:hAnsi="Times New Roman" w:eastAsia="仿宋_GB2312"/>
          <w:b w:val="0"/>
          <w:bCs w:val="0"/>
          <w:sz w:val="32"/>
          <w:szCs w:val="32"/>
        </w:rPr>
        <w:t>（类）行政事业单位医疗（款）</w:t>
      </w:r>
      <w:r>
        <w:rPr>
          <w:rStyle w:val="20"/>
          <w:rFonts w:hint="eastAsia" w:ascii="Times New Roman" w:hAnsi="Times New Roman" w:eastAsia="仿宋_GB2312"/>
          <w:b w:val="0"/>
          <w:bCs w:val="0"/>
          <w:sz w:val="32"/>
          <w:szCs w:val="32"/>
          <w:lang w:eastAsia="zh-CN"/>
        </w:rPr>
        <w:t>公务员医疗补助</w:t>
      </w:r>
      <w:r>
        <w:rPr>
          <w:rStyle w:val="20"/>
          <w:rFonts w:ascii="Times New Roman" w:hAnsi="Times New Roman" w:eastAsia="仿宋_GB2312"/>
          <w:b w:val="0"/>
          <w:bCs w:val="0"/>
          <w:sz w:val="32"/>
          <w:szCs w:val="32"/>
        </w:rPr>
        <w:t>（项）</w:t>
      </w:r>
      <w:r>
        <w:rPr>
          <w:rStyle w:val="20"/>
          <w:rFonts w:hint="eastAsia" w:ascii="Times New Roman"/>
          <w:b w:val="0"/>
          <w:bCs w:val="0"/>
          <w:sz w:val="32"/>
          <w:szCs w:val="32"/>
          <w:lang w:eastAsia="zh-CN"/>
        </w:rPr>
        <w:t>：</w:t>
      </w:r>
      <w:r>
        <w:rPr>
          <w:rStyle w:val="20"/>
          <w:rFonts w:ascii="Times New Roman" w:hAnsi="Times New Roman" w:eastAsia="仿宋_GB2312"/>
          <w:b w:val="0"/>
          <w:bCs w:val="0"/>
          <w:sz w:val="32"/>
          <w:szCs w:val="32"/>
        </w:rPr>
        <w:t>支出决算为</w:t>
      </w:r>
      <w:r>
        <w:rPr>
          <w:rStyle w:val="20"/>
          <w:rFonts w:hint="eastAsia" w:ascii="Times New Roman" w:hAnsi="Times New Roman" w:eastAsia="仿宋_GB2312"/>
          <w:b w:val="0"/>
          <w:bCs w:val="0"/>
          <w:sz w:val="32"/>
          <w:szCs w:val="32"/>
          <w:lang w:val="en-US" w:eastAsia="zh-CN"/>
        </w:rPr>
        <w:t>0.58</w:t>
      </w:r>
      <w:r>
        <w:rPr>
          <w:rStyle w:val="20"/>
          <w:rFonts w:ascii="Times New Roman" w:hAnsi="Times New Roman" w:eastAsia="仿宋_GB2312"/>
          <w:b w:val="0"/>
          <w:bCs w:val="0"/>
          <w:sz w:val="32"/>
          <w:szCs w:val="32"/>
        </w:rPr>
        <w:t>万元，完成预算100%。</w:t>
      </w:r>
    </w:p>
    <w:p w14:paraId="368520A0">
      <w:pPr>
        <w:pStyle w:val="9"/>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Style w:val="20"/>
          <w:rFonts w:ascii="Times New Roman" w:hAnsi="Times New Roman" w:eastAsia="仿宋_GB2312"/>
          <w:b w:val="0"/>
          <w:bCs w:val="0"/>
          <w:sz w:val="32"/>
          <w:szCs w:val="32"/>
        </w:rPr>
      </w:pPr>
      <w:r>
        <w:rPr>
          <w:rStyle w:val="20"/>
          <w:rFonts w:hint="eastAsia" w:ascii="Times New Roman" w:hAnsi="Times New Roman" w:eastAsia="仿宋_GB2312"/>
          <w:b w:val="0"/>
          <w:bCs w:val="0"/>
          <w:sz w:val="32"/>
          <w:szCs w:val="32"/>
          <w:lang w:val="en-US" w:eastAsia="zh-CN"/>
        </w:rPr>
        <w:t>9</w:t>
      </w:r>
      <w:r>
        <w:rPr>
          <w:rStyle w:val="20"/>
          <w:rFonts w:ascii="Times New Roman" w:hAnsi="Times New Roman" w:eastAsia="仿宋_GB2312"/>
          <w:b w:val="0"/>
          <w:bCs w:val="0"/>
          <w:sz w:val="32"/>
          <w:szCs w:val="32"/>
        </w:rPr>
        <w:t>.</w:t>
      </w:r>
      <w:r>
        <w:rPr>
          <w:rFonts w:ascii="Times New Roman" w:hAnsi="Times New Roman" w:eastAsia="仿宋_GB2312"/>
          <w:b w:val="0"/>
          <w:bCs w:val="0"/>
          <w:sz w:val="32"/>
          <w:szCs w:val="32"/>
        </w:rPr>
        <w:t>卫生健康</w:t>
      </w:r>
      <w:r>
        <w:rPr>
          <w:rStyle w:val="20"/>
          <w:rFonts w:ascii="Times New Roman" w:hAnsi="Times New Roman" w:eastAsia="仿宋_GB2312"/>
          <w:b w:val="0"/>
          <w:bCs w:val="0"/>
          <w:sz w:val="32"/>
          <w:szCs w:val="32"/>
        </w:rPr>
        <w:t>（类）行政事业单位医疗（款）其他行政事业单位医疗支出（项）</w:t>
      </w:r>
      <w:r>
        <w:rPr>
          <w:rStyle w:val="20"/>
          <w:rFonts w:hint="eastAsia" w:ascii="Times New Roman" w:hAnsi="Times New Roman"/>
          <w:b w:val="0"/>
          <w:bCs w:val="0"/>
          <w:sz w:val="32"/>
          <w:szCs w:val="32"/>
          <w:lang w:eastAsia="zh-CN"/>
        </w:rPr>
        <w:t>：</w:t>
      </w:r>
      <w:r>
        <w:rPr>
          <w:rStyle w:val="20"/>
          <w:rFonts w:ascii="Times New Roman" w:hAnsi="Times New Roman" w:eastAsia="仿宋_GB2312"/>
          <w:b w:val="0"/>
          <w:bCs w:val="0"/>
          <w:sz w:val="32"/>
          <w:szCs w:val="32"/>
        </w:rPr>
        <w:t>支出决算为</w:t>
      </w:r>
      <w:r>
        <w:rPr>
          <w:rStyle w:val="20"/>
          <w:rFonts w:hint="eastAsia" w:ascii="Times New Roman" w:hAnsi="Times New Roman" w:eastAsia="仿宋_GB2312"/>
          <w:b w:val="0"/>
          <w:bCs w:val="0"/>
          <w:sz w:val="32"/>
          <w:szCs w:val="32"/>
          <w:lang w:val="en-US" w:eastAsia="zh-CN"/>
        </w:rPr>
        <w:t>5.38</w:t>
      </w:r>
      <w:r>
        <w:rPr>
          <w:rStyle w:val="20"/>
          <w:rFonts w:ascii="Times New Roman" w:hAnsi="Times New Roman" w:eastAsia="仿宋_GB2312"/>
          <w:b w:val="0"/>
          <w:bCs w:val="0"/>
          <w:sz w:val="32"/>
          <w:szCs w:val="32"/>
        </w:rPr>
        <w:t>万元</w:t>
      </w:r>
      <w:r>
        <w:rPr>
          <w:rStyle w:val="20"/>
          <w:rFonts w:hint="eastAsia" w:ascii="Times New Roman" w:hAnsi="Times New Roman"/>
          <w:b w:val="0"/>
          <w:bCs w:val="0"/>
          <w:sz w:val="32"/>
          <w:szCs w:val="32"/>
          <w:lang w:eastAsia="zh-CN"/>
        </w:rPr>
        <w:t>，</w:t>
      </w:r>
      <w:r>
        <w:rPr>
          <w:rStyle w:val="20"/>
          <w:rFonts w:ascii="Times New Roman" w:hAnsi="Times New Roman" w:eastAsia="仿宋_GB2312"/>
          <w:b w:val="0"/>
          <w:bCs w:val="0"/>
          <w:sz w:val="32"/>
          <w:szCs w:val="32"/>
        </w:rPr>
        <w:t>完成预算100%。</w:t>
      </w:r>
    </w:p>
    <w:p w14:paraId="1C3F750C">
      <w:pPr>
        <w:pStyle w:val="9"/>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Style w:val="20"/>
          <w:rFonts w:ascii="Times New Roman" w:hAnsi="Times New Roman" w:eastAsia="仿宋_GB2312"/>
          <w:b w:val="0"/>
          <w:bCs w:val="0"/>
          <w:sz w:val="32"/>
          <w:szCs w:val="32"/>
        </w:rPr>
      </w:pPr>
      <w:r>
        <w:rPr>
          <w:rStyle w:val="20"/>
          <w:rFonts w:hint="eastAsia" w:ascii="Times New Roman" w:hAnsi="Times New Roman" w:eastAsia="仿宋_GB2312"/>
          <w:b w:val="0"/>
          <w:bCs w:val="0"/>
          <w:sz w:val="32"/>
          <w:szCs w:val="32"/>
          <w:lang w:val="en-US" w:eastAsia="zh-CN"/>
        </w:rPr>
        <w:t>10</w:t>
      </w:r>
      <w:r>
        <w:rPr>
          <w:rStyle w:val="20"/>
          <w:rFonts w:ascii="Times New Roman" w:hAnsi="Times New Roman" w:eastAsia="仿宋_GB2312"/>
          <w:b w:val="0"/>
          <w:bCs w:val="0"/>
          <w:sz w:val="32"/>
          <w:szCs w:val="32"/>
        </w:rPr>
        <w:t>.</w:t>
      </w:r>
      <w:r>
        <w:rPr>
          <w:rStyle w:val="20"/>
          <w:rFonts w:hint="eastAsia" w:ascii="Times New Roman" w:hAnsi="Times New Roman" w:eastAsia="仿宋_GB2312"/>
          <w:b w:val="0"/>
          <w:bCs w:val="0"/>
          <w:sz w:val="32"/>
          <w:szCs w:val="32"/>
          <w:lang w:eastAsia="zh-CN"/>
        </w:rPr>
        <w:t>节能环保</w:t>
      </w:r>
      <w:r>
        <w:rPr>
          <w:rStyle w:val="20"/>
          <w:rFonts w:ascii="Times New Roman" w:hAnsi="Times New Roman" w:eastAsia="仿宋_GB2312"/>
          <w:b w:val="0"/>
          <w:bCs w:val="0"/>
          <w:sz w:val="32"/>
          <w:szCs w:val="32"/>
        </w:rPr>
        <w:t>（类）</w:t>
      </w:r>
      <w:r>
        <w:rPr>
          <w:rStyle w:val="20"/>
          <w:rFonts w:hint="eastAsia" w:ascii="Times New Roman" w:hAnsi="Times New Roman" w:eastAsia="仿宋_GB2312"/>
          <w:b w:val="0"/>
          <w:bCs w:val="0"/>
          <w:sz w:val="32"/>
          <w:szCs w:val="32"/>
        </w:rPr>
        <w:t>其他节能环保支出</w:t>
      </w:r>
      <w:r>
        <w:rPr>
          <w:rStyle w:val="20"/>
          <w:rFonts w:ascii="Times New Roman" w:hAnsi="Times New Roman" w:eastAsia="仿宋_GB2312"/>
          <w:b w:val="0"/>
          <w:bCs w:val="0"/>
          <w:sz w:val="32"/>
          <w:szCs w:val="32"/>
        </w:rPr>
        <w:t>（款）</w:t>
      </w:r>
      <w:r>
        <w:rPr>
          <w:rStyle w:val="20"/>
          <w:rFonts w:hint="eastAsia" w:ascii="Times New Roman" w:hAnsi="Times New Roman" w:eastAsia="仿宋_GB2312"/>
          <w:b w:val="0"/>
          <w:bCs w:val="0"/>
          <w:sz w:val="32"/>
          <w:szCs w:val="32"/>
        </w:rPr>
        <w:t>其他节能环保支出</w:t>
      </w:r>
      <w:r>
        <w:rPr>
          <w:rStyle w:val="20"/>
          <w:rFonts w:ascii="Times New Roman" w:hAnsi="Times New Roman" w:eastAsia="仿宋_GB2312"/>
          <w:b w:val="0"/>
          <w:bCs w:val="0"/>
          <w:sz w:val="32"/>
          <w:szCs w:val="32"/>
        </w:rPr>
        <w:t>（项）</w:t>
      </w:r>
      <w:r>
        <w:rPr>
          <w:rStyle w:val="20"/>
          <w:rFonts w:hint="eastAsia" w:ascii="Times New Roman"/>
          <w:b w:val="0"/>
          <w:bCs w:val="0"/>
          <w:sz w:val="32"/>
          <w:szCs w:val="32"/>
          <w:lang w:eastAsia="zh-CN"/>
        </w:rPr>
        <w:t>：</w:t>
      </w:r>
      <w:r>
        <w:rPr>
          <w:rStyle w:val="20"/>
          <w:rFonts w:ascii="Times New Roman" w:hAnsi="Times New Roman" w:eastAsia="仿宋_GB2312"/>
          <w:b w:val="0"/>
          <w:bCs w:val="0"/>
          <w:sz w:val="32"/>
          <w:szCs w:val="32"/>
        </w:rPr>
        <w:t>支出决算为</w:t>
      </w:r>
      <w:r>
        <w:rPr>
          <w:rStyle w:val="20"/>
          <w:rFonts w:hint="eastAsia" w:ascii="Times New Roman" w:hAnsi="Times New Roman" w:eastAsia="仿宋_GB2312"/>
          <w:b w:val="0"/>
          <w:bCs w:val="0"/>
          <w:sz w:val="32"/>
          <w:szCs w:val="32"/>
          <w:lang w:val="en-US" w:eastAsia="zh-CN"/>
        </w:rPr>
        <w:t>6000</w:t>
      </w:r>
      <w:r>
        <w:rPr>
          <w:rStyle w:val="20"/>
          <w:rFonts w:ascii="Times New Roman" w:hAnsi="Times New Roman" w:eastAsia="仿宋_GB2312"/>
          <w:b w:val="0"/>
          <w:bCs w:val="0"/>
          <w:sz w:val="32"/>
          <w:szCs w:val="32"/>
        </w:rPr>
        <w:t>万元，完成预算100%。</w:t>
      </w:r>
    </w:p>
    <w:p w14:paraId="4DB9EDA6">
      <w:pPr>
        <w:pStyle w:val="9"/>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Style w:val="20"/>
          <w:rFonts w:ascii="Times New Roman" w:hAnsi="Times New Roman" w:eastAsia="仿宋_GB2312"/>
          <w:b w:val="0"/>
          <w:bCs w:val="0"/>
          <w:sz w:val="32"/>
          <w:szCs w:val="32"/>
        </w:rPr>
      </w:pPr>
      <w:r>
        <w:rPr>
          <w:rStyle w:val="20"/>
          <w:rFonts w:hint="eastAsia" w:ascii="Times New Roman" w:hAnsi="Times New Roman" w:eastAsia="仿宋_GB2312"/>
          <w:b w:val="0"/>
          <w:bCs w:val="0"/>
          <w:sz w:val="32"/>
          <w:szCs w:val="32"/>
          <w:lang w:val="en-US" w:eastAsia="zh-CN"/>
        </w:rPr>
        <w:t>11</w:t>
      </w:r>
      <w:r>
        <w:rPr>
          <w:rStyle w:val="20"/>
          <w:rFonts w:ascii="Times New Roman" w:hAnsi="Times New Roman" w:eastAsia="仿宋_GB2312"/>
          <w:b w:val="0"/>
          <w:bCs w:val="0"/>
          <w:sz w:val="32"/>
          <w:szCs w:val="32"/>
        </w:rPr>
        <w:t>.</w:t>
      </w:r>
      <w:r>
        <w:rPr>
          <w:rStyle w:val="20"/>
          <w:rFonts w:hint="eastAsia" w:ascii="Times New Roman" w:hAnsi="Times New Roman" w:eastAsia="仿宋_GB2312"/>
          <w:b w:val="0"/>
          <w:bCs w:val="0"/>
          <w:sz w:val="32"/>
          <w:szCs w:val="32"/>
          <w:lang w:eastAsia="zh-CN"/>
        </w:rPr>
        <w:t>农林水</w:t>
      </w:r>
      <w:r>
        <w:rPr>
          <w:rStyle w:val="20"/>
          <w:rFonts w:ascii="Times New Roman" w:hAnsi="Times New Roman" w:eastAsia="仿宋_GB2312"/>
          <w:b w:val="0"/>
          <w:bCs w:val="0"/>
          <w:sz w:val="32"/>
          <w:szCs w:val="32"/>
        </w:rPr>
        <w:t>（类）</w:t>
      </w:r>
      <w:r>
        <w:rPr>
          <w:rStyle w:val="20"/>
          <w:rFonts w:hint="eastAsia" w:ascii="Times New Roman" w:hAnsi="Times New Roman" w:eastAsia="仿宋_GB2312"/>
          <w:b w:val="0"/>
          <w:bCs w:val="0"/>
          <w:sz w:val="32"/>
          <w:szCs w:val="32"/>
          <w:lang w:eastAsia="zh-CN"/>
        </w:rPr>
        <w:t>其他农林水支出</w:t>
      </w:r>
      <w:r>
        <w:rPr>
          <w:rStyle w:val="20"/>
          <w:rFonts w:ascii="Times New Roman" w:hAnsi="Times New Roman" w:eastAsia="仿宋_GB2312"/>
          <w:b w:val="0"/>
          <w:bCs w:val="0"/>
          <w:sz w:val="32"/>
          <w:szCs w:val="32"/>
        </w:rPr>
        <w:t>（款）其他</w:t>
      </w:r>
      <w:r>
        <w:rPr>
          <w:rStyle w:val="20"/>
          <w:rFonts w:hint="eastAsia" w:ascii="Times New Roman" w:hAnsi="Times New Roman" w:eastAsia="仿宋_GB2312"/>
          <w:b w:val="0"/>
          <w:bCs w:val="0"/>
          <w:sz w:val="32"/>
          <w:szCs w:val="32"/>
          <w:lang w:eastAsia="zh-CN"/>
        </w:rPr>
        <w:t>农林水</w:t>
      </w:r>
      <w:r>
        <w:rPr>
          <w:rStyle w:val="20"/>
          <w:rFonts w:ascii="Times New Roman" w:hAnsi="Times New Roman" w:eastAsia="仿宋_GB2312"/>
          <w:b w:val="0"/>
          <w:bCs w:val="0"/>
          <w:sz w:val="32"/>
          <w:szCs w:val="32"/>
        </w:rPr>
        <w:t>支出（项）</w:t>
      </w:r>
      <w:r>
        <w:rPr>
          <w:rStyle w:val="20"/>
          <w:rFonts w:hint="eastAsia" w:ascii="Times New Roman"/>
          <w:b w:val="0"/>
          <w:bCs w:val="0"/>
          <w:sz w:val="32"/>
          <w:szCs w:val="32"/>
          <w:lang w:eastAsia="zh-CN"/>
        </w:rPr>
        <w:t>：</w:t>
      </w:r>
      <w:r>
        <w:rPr>
          <w:rStyle w:val="20"/>
          <w:rFonts w:ascii="Times New Roman" w:hAnsi="Times New Roman" w:eastAsia="仿宋_GB2312"/>
          <w:b w:val="0"/>
          <w:bCs w:val="0"/>
          <w:sz w:val="32"/>
          <w:szCs w:val="32"/>
        </w:rPr>
        <w:t>支出决算为</w:t>
      </w:r>
      <w:r>
        <w:rPr>
          <w:rStyle w:val="20"/>
          <w:rFonts w:hint="eastAsia" w:ascii="Times New Roman" w:hAnsi="Times New Roman" w:eastAsia="仿宋_GB2312"/>
          <w:b w:val="0"/>
          <w:bCs w:val="0"/>
          <w:sz w:val="32"/>
          <w:szCs w:val="32"/>
          <w:lang w:val="en-US" w:eastAsia="zh-CN"/>
        </w:rPr>
        <w:t>6108.39</w:t>
      </w:r>
      <w:r>
        <w:rPr>
          <w:rStyle w:val="20"/>
          <w:rFonts w:ascii="Times New Roman" w:hAnsi="Times New Roman" w:eastAsia="仿宋_GB2312"/>
          <w:b w:val="0"/>
          <w:bCs w:val="0"/>
          <w:sz w:val="32"/>
          <w:szCs w:val="32"/>
        </w:rPr>
        <w:t>万元，完成预算100%。</w:t>
      </w:r>
    </w:p>
    <w:p w14:paraId="4C39E10A">
      <w:pPr>
        <w:pStyle w:val="9"/>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Style w:val="20"/>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lang w:val="en-US" w:eastAsia="zh-CN"/>
        </w:rPr>
        <w:t>12</w:t>
      </w:r>
      <w:r>
        <w:rPr>
          <w:rFonts w:ascii="Times New Roman" w:hAnsi="Times New Roman" w:eastAsia="仿宋_GB2312"/>
          <w:b w:val="0"/>
          <w:bCs w:val="0"/>
          <w:sz w:val="32"/>
          <w:szCs w:val="32"/>
        </w:rPr>
        <w:t>.</w:t>
      </w:r>
      <w:r>
        <w:rPr>
          <w:rFonts w:hint="eastAsia" w:ascii="Times New Roman" w:hAnsi="Times New Roman" w:eastAsia="仿宋_GB2312"/>
          <w:b w:val="0"/>
          <w:bCs/>
          <w:sz w:val="32"/>
          <w:szCs w:val="32"/>
          <w:lang w:eastAsia="zh-CN"/>
        </w:rPr>
        <w:t>交通运输</w:t>
      </w:r>
      <w:r>
        <w:rPr>
          <w:rFonts w:ascii="Times New Roman" w:hAnsi="Times New Roman" w:eastAsia="仿宋_GB2312"/>
          <w:b w:val="0"/>
          <w:bCs/>
          <w:sz w:val="32"/>
          <w:szCs w:val="32"/>
        </w:rPr>
        <w:t>（类）</w:t>
      </w:r>
      <w:r>
        <w:rPr>
          <w:rFonts w:hint="eastAsia" w:ascii="Times New Roman" w:hAnsi="Times New Roman" w:eastAsia="仿宋_GB2312"/>
          <w:b w:val="0"/>
          <w:bCs/>
          <w:sz w:val="32"/>
          <w:szCs w:val="32"/>
        </w:rPr>
        <w:t>公路水路运输</w:t>
      </w:r>
      <w:r>
        <w:rPr>
          <w:rStyle w:val="20"/>
          <w:rFonts w:ascii="Times New Roman" w:hAnsi="Times New Roman" w:eastAsia="仿宋_GB2312"/>
          <w:b w:val="0"/>
          <w:bCs/>
          <w:sz w:val="32"/>
          <w:szCs w:val="32"/>
        </w:rPr>
        <w:t>（款）</w:t>
      </w:r>
      <w:r>
        <w:rPr>
          <w:rStyle w:val="20"/>
          <w:rFonts w:hint="eastAsia" w:ascii="Times New Roman" w:hAnsi="Times New Roman" w:eastAsia="仿宋_GB2312"/>
          <w:b w:val="0"/>
          <w:bCs/>
          <w:sz w:val="32"/>
          <w:szCs w:val="32"/>
        </w:rPr>
        <w:t>公路建设</w:t>
      </w:r>
      <w:r>
        <w:rPr>
          <w:rStyle w:val="20"/>
          <w:rFonts w:ascii="Times New Roman" w:hAnsi="Times New Roman" w:eastAsia="仿宋_GB2312"/>
          <w:b w:val="0"/>
          <w:bCs/>
          <w:sz w:val="32"/>
          <w:szCs w:val="32"/>
        </w:rPr>
        <w:t>（项）：支出决算为</w:t>
      </w:r>
      <w:r>
        <w:rPr>
          <w:rStyle w:val="20"/>
          <w:rFonts w:hint="eastAsia" w:ascii="Times New Roman" w:hAnsi="Times New Roman" w:eastAsia="仿宋_GB2312"/>
          <w:b w:val="0"/>
          <w:bCs/>
          <w:sz w:val="32"/>
          <w:szCs w:val="32"/>
          <w:lang w:val="en-US" w:eastAsia="zh-CN"/>
        </w:rPr>
        <w:t>1600</w:t>
      </w:r>
      <w:r>
        <w:rPr>
          <w:rStyle w:val="20"/>
          <w:rFonts w:ascii="Times New Roman" w:hAnsi="Times New Roman" w:eastAsia="仿宋_GB2312"/>
          <w:b w:val="0"/>
          <w:bCs/>
          <w:sz w:val="32"/>
          <w:szCs w:val="32"/>
        </w:rPr>
        <w:t>万元，</w:t>
      </w:r>
      <w:r>
        <w:rPr>
          <w:rStyle w:val="20"/>
          <w:rFonts w:ascii="Times New Roman" w:hAnsi="Times New Roman" w:eastAsia="仿宋_GB2312"/>
          <w:b w:val="0"/>
          <w:bCs w:val="0"/>
          <w:sz w:val="32"/>
          <w:szCs w:val="32"/>
        </w:rPr>
        <w:t>完成预算100%。</w:t>
      </w:r>
    </w:p>
    <w:p w14:paraId="32D7BF4B">
      <w:pPr>
        <w:pStyle w:val="9"/>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Style w:val="20"/>
          <w:rFonts w:ascii="Times New Roman" w:hAnsi="Times New Roman" w:eastAsia="仿宋_GB2312"/>
          <w:b w:val="0"/>
          <w:bCs w:val="0"/>
          <w:sz w:val="32"/>
          <w:szCs w:val="32"/>
        </w:rPr>
      </w:pPr>
      <w:r>
        <w:rPr>
          <w:rFonts w:hint="eastAsia" w:ascii="Times New Roman"/>
          <w:sz w:val="32"/>
          <w:szCs w:val="32"/>
          <w:lang w:val="en-US" w:eastAsia="zh-CN"/>
        </w:rPr>
        <w:t>13</w:t>
      </w:r>
      <w:r>
        <w:rPr>
          <w:rFonts w:ascii="Times New Roman"/>
          <w:sz w:val="32"/>
          <w:szCs w:val="32"/>
        </w:rPr>
        <w:t>.</w:t>
      </w:r>
      <w:r>
        <w:rPr>
          <w:rFonts w:hint="eastAsia" w:ascii="Times New Roman" w:hAnsi="Times New Roman" w:eastAsia="仿宋_GB2312" w:cs="Times New Roman"/>
          <w:b w:val="0"/>
          <w:bCs w:val="0"/>
          <w:sz w:val="32"/>
          <w:szCs w:val="32"/>
          <w:lang w:val="en-US" w:eastAsia="zh-CN"/>
        </w:rPr>
        <w:t>住</w:t>
      </w:r>
      <w:r>
        <w:rPr>
          <w:rFonts w:ascii="Times New Roman" w:hAnsi="Times New Roman" w:eastAsia="仿宋_GB2312"/>
          <w:b w:val="0"/>
          <w:bCs/>
          <w:sz w:val="32"/>
          <w:szCs w:val="32"/>
        </w:rPr>
        <w:t>房保障（类）住房改革支出</w:t>
      </w:r>
      <w:r>
        <w:rPr>
          <w:rStyle w:val="20"/>
          <w:rFonts w:ascii="Times New Roman" w:hAnsi="Times New Roman" w:eastAsia="仿宋_GB2312"/>
          <w:b w:val="0"/>
          <w:bCs/>
          <w:sz w:val="32"/>
          <w:szCs w:val="32"/>
        </w:rPr>
        <w:t>（款）</w:t>
      </w:r>
      <w:r>
        <w:rPr>
          <w:rFonts w:ascii="Times New Roman" w:hAnsi="Times New Roman" w:eastAsia="仿宋_GB2312"/>
          <w:b w:val="0"/>
          <w:bCs/>
          <w:sz w:val="32"/>
          <w:szCs w:val="32"/>
        </w:rPr>
        <w:t>住房公积金</w:t>
      </w:r>
      <w:r>
        <w:rPr>
          <w:rStyle w:val="20"/>
          <w:rFonts w:ascii="Times New Roman" w:hAnsi="Times New Roman" w:eastAsia="仿宋_GB2312"/>
          <w:b w:val="0"/>
          <w:bCs/>
          <w:sz w:val="32"/>
          <w:szCs w:val="32"/>
        </w:rPr>
        <w:t>（项）：支出决算为</w:t>
      </w:r>
      <w:r>
        <w:rPr>
          <w:rStyle w:val="20"/>
          <w:rFonts w:hint="eastAsia" w:ascii="Times New Roman" w:hAnsi="Times New Roman" w:eastAsia="仿宋_GB2312"/>
          <w:b w:val="0"/>
          <w:bCs/>
          <w:sz w:val="32"/>
          <w:szCs w:val="32"/>
          <w:lang w:val="en-US" w:eastAsia="zh-CN"/>
        </w:rPr>
        <w:t xml:space="preserve">14.46 </w:t>
      </w:r>
      <w:r>
        <w:rPr>
          <w:rStyle w:val="20"/>
          <w:rFonts w:ascii="Times New Roman" w:hAnsi="Times New Roman" w:eastAsia="仿宋_GB2312"/>
          <w:b w:val="0"/>
          <w:bCs/>
          <w:sz w:val="32"/>
          <w:szCs w:val="32"/>
        </w:rPr>
        <w:t>万元，</w:t>
      </w:r>
      <w:r>
        <w:rPr>
          <w:rStyle w:val="20"/>
          <w:rFonts w:ascii="Times New Roman" w:hAnsi="Times New Roman" w:eastAsia="仿宋_GB2312"/>
          <w:b w:val="0"/>
          <w:bCs w:val="0"/>
          <w:sz w:val="32"/>
          <w:szCs w:val="32"/>
        </w:rPr>
        <w:t>完成预算100%。</w:t>
      </w:r>
    </w:p>
    <w:p w14:paraId="3A28A683">
      <w:pPr>
        <w:pStyle w:val="9"/>
        <w:spacing w:before="93"/>
        <w:ind w:firstLine="640" w:firstLineChars="200"/>
        <w:rPr>
          <w:rStyle w:val="20"/>
          <w:rFonts w:ascii="Times New Roman" w:hAnsi="Times New Roman" w:eastAsia="仿宋_GB2312"/>
          <w:b w:val="0"/>
          <w:bCs w:val="0"/>
          <w:sz w:val="32"/>
          <w:szCs w:val="32"/>
        </w:rPr>
      </w:pPr>
    </w:p>
    <w:p w14:paraId="4FC391FC">
      <w:pPr>
        <w:tabs>
          <w:tab w:val="right" w:pos="8306"/>
        </w:tabs>
        <w:spacing w:line="600" w:lineRule="exact"/>
        <w:ind w:firstLine="640"/>
        <w:outlineLvl w:val="1"/>
        <w:rPr>
          <w:rStyle w:val="32"/>
        </w:rPr>
      </w:pPr>
      <w:bookmarkStart w:id="40" w:name="_Toc14738"/>
      <w:bookmarkStart w:id="41" w:name="_Toc15377214"/>
      <w:bookmarkStart w:id="42"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40"/>
      <w:bookmarkEnd w:id="41"/>
      <w:bookmarkEnd w:id="42"/>
      <w:r>
        <w:rPr>
          <w:rStyle w:val="32"/>
          <w:rFonts w:ascii="黑体" w:hAnsi="黑体" w:eastAsia="黑体"/>
          <w:b w:val="0"/>
        </w:rPr>
        <w:tab/>
      </w:r>
    </w:p>
    <w:p w14:paraId="4A50D6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rPr>
        <w:t>2024年度</w:t>
      </w:r>
      <w:r>
        <w:rPr>
          <w:rFonts w:ascii="Times New Roman" w:hAnsi="Times New Roman" w:eastAsia="仿宋_GB2312"/>
          <w:color w:val="auto"/>
          <w:sz w:val="32"/>
          <w:szCs w:val="32"/>
        </w:rPr>
        <w:t>一般公共预算财政拨款基本支出</w:t>
      </w:r>
      <w:r>
        <w:rPr>
          <w:rFonts w:hint="eastAsia" w:ascii="Times New Roman" w:hAnsi="Times New Roman" w:eastAsia="仿宋_GB2312"/>
          <w:color w:val="auto"/>
          <w:sz w:val="32"/>
          <w:szCs w:val="32"/>
          <w:lang w:val="en-US" w:eastAsia="zh-CN"/>
        </w:rPr>
        <w:t>193.11</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其中：</w:t>
      </w:r>
    </w:p>
    <w:p w14:paraId="377823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B0F0"/>
          <w:sz w:val="32"/>
          <w:szCs w:val="32"/>
        </w:rPr>
      </w:pPr>
      <w:r>
        <w:rPr>
          <w:rFonts w:ascii="Times New Roman" w:hAnsi="Times New Roman" w:eastAsia="仿宋_GB2312"/>
          <w:color w:val="auto"/>
          <w:sz w:val="32"/>
          <w:szCs w:val="32"/>
        </w:rPr>
        <w:t>人员经费</w:t>
      </w:r>
      <w:r>
        <w:rPr>
          <w:rFonts w:hint="eastAsia" w:ascii="Times New Roman" w:hAnsi="Times New Roman" w:eastAsia="仿宋_GB2312"/>
          <w:color w:val="auto"/>
          <w:sz w:val="32"/>
          <w:szCs w:val="32"/>
          <w:lang w:val="en-US" w:eastAsia="zh-CN"/>
        </w:rPr>
        <w:t>179</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68</w:t>
      </w:r>
      <w:r>
        <w:rPr>
          <w:rFonts w:ascii="Times New Roman" w:hAnsi="Times New Roman" w:eastAsia="仿宋_GB2312"/>
          <w:color w:val="auto"/>
          <w:sz w:val="32"/>
          <w:szCs w:val="32"/>
        </w:rPr>
        <w:t>万元，主要包括：基本工资、津贴补贴、奖金、绩效工资、机关事业单位基本养老保险缴费、</w:t>
      </w:r>
      <w:r>
        <w:rPr>
          <w:rFonts w:hint="eastAsia" w:ascii="Times New Roman" w:hAnsi="Times New Roman" w:eastAsia="仿宋_GB2312"/>
          <w:color w:val="auto"/>
          <w:sz w:val="32"/>
          <w:szCs w:val="32"/>
          <w:lang w:eastAsia="zh-CN"/>
        </w:rPr>
        <w:t>职工基本医疗保险</w:t>
      </w:r>
      <w:r>
        <w:rPr>
          <w:rFonts w:ascii="Times New Roman" w:hAnsi="Times New Roman" w:eastAsia="仿宋_GB2312"/>
          <w:color w:val="auto"/>
          <w:sz w:val="32"/>
          <w:szCs w:val="32"/>
        </w:rPr>
        <w:t>缴费、</w:t>
      </w:r>
      <w:r>
        <w:rPr>
          <w:rFonts w:hint="eastAsia" w:ascii="Times New Roman" w:hAnsi="Times New Roman" w:eastAsia="仿宋_GB2312"/>
          <w:color w:val="auto"/>
          <w:sz w:val="32"/>
          <w:szCs w:val="32"/>
          <w:lang w:eastAsia="zh-CN"/>
        </w:rPr>
        <w:t>公务员医疗补助缴费、</w:t>
      </w:r>
      <w:r>
        <w:rPr>
          <w:rFonts w:ascii="Times New Roman" w:hAnsi="Times New Roman" w:eastAsia="仿宋_GB2312"/>
          <w:color w:val="auto"/>
          <w:sz w:val="32"/>
          <w:szCs w:val="32"/>
        </w:rPr>
        <w:t>其他社会保障缴费、其他工资福利支出、</w:t>
      </w:r>
      <w:r>
        <w:rPr>
          <w:rFonts w:hint="eastAsia" w:ascii="Times New Roman" w:hAnsi="Times New Roman" w:eastAsia="仿宋_GB2312" w:cs="仿宋_GB2312"/>
          <w:color w:val="auto"/>
          <w:kern w:val="2"/>
          <w:sz w:val="32"/>
          <w:szCs w:val="32"/>
          <w:highlight w:val="none"/>
          <w:lang w:val="en-US" w:eastAsia="zh-CN" w:bidi="ar-SA"/>
        </w:rPr>
        <w:t>抚恤金、</w:t>
      </w:r>
      <w:r>
        <w:rPr>
          <w:rFonts w:hint="eastAsia" w:ascii="Times New Roman" w:hAnsi="Times New Roman" w:eastAsia="仿宋_GB2312"/>
          <w:color w:val="auto"/>
          <w:sz w:val="32"/>
          <w:szCs w:val="32"/>
          <w:lang w:eastAsia="zh-CN"/>
        </w:rPr>
        <w:t>生活补助、</w:t>
      </w:r>
      <w:r>
        <w:rPr>
          <w:rFonts w:ascii="Times New Roman" w:hAnsi="Times New Roman" w:eastAsia="仿宋_GB2312"/>
          <w:color w:val="auto"/>
          <w:sz w:val="32"/>
          <w:szCs w:val="32"/>
        </w:rPr>
        <w:t>医疗费、住房公积金等。</w:t>
      </w:r>
      <w:r>
        <w:rPr>
          <w:rFonts w:ascii="Times New Roman" w:hAnsi="Times New Roman" w:eastAsia="仿宋_GB2312"/>
          <w:color w:val="00B0F0"/>
          <w:sz w:val="32"/>
          <w:szCs w:val="32"/>
        </w:rPr>
        <w:br w:type="textWrapping"/>
      </w:r>
      <w:r>
        <w:rPr>
          <w:rFonts w:ascii="Times New Roman" w:hAnsi="Times New Roman" w:eastAsia="仿宋_GB2312"/>
          <w:color w:val="00B0F0"/>
          <w:sz w:val="32"/>
          <w:szCs w:val="32"/>
        </w:rPr>
        <w:t>　</w:t>
      </w:r>
      <w:r>
        <w:rPr>
          <w:rFonts w:ascii="Times New Roman" w:hAnsi="Times New Roman" w:eastAsia="仿宋_GB2312"/>
          <w:color w:val="auto"/>
          <w:sz w:val="32"/>
          <w:szCs w:val="32"/>
        </w:rPr>
        <w:t>　公用经费</w:t>
      </w:r>
      <w:r>
        <w:rPr>
          <w:rFonts w:hint="eastAsia" w:ascii="Times New Roman" w:hAnsi="Times New Roman" w:eastAsia="仿宋_GB2312"/>
          <w:color w:val="auto"/>
          <w:sz w:val="32"/>
          <w:szCs w:val="32"/>
          <w:lang w:val="en-US" w:eastAsia="zh-CN"/>
        </w:rPr>
        <w:t>13</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43</w:t>
      </w:r>
      <w:r>
        <w:rPr>
          <w:rFonts w:ascii="Times New Roman" w:hAnsi="Times New Roman" w:eastAsia="仿宋_GB2312"/>
          <w:color w:val="auto"/>
          <w:sz w:val="32"/>
          <w:szCs w:val="32"/>
        </w:rPr>
        <w:t>万元，主要包括：办公费、印刷费、电费、邮电费、差旅费、维修（护）费、会议费、</w:t>
      </w:r>
      <w:r>
        <w:rPr>
          <w:rFonts w:hint="eastAsia" w:ascii="Times New Roman" w:hAnsi="Times New Roman" w:eastAsia="仿宋_GB2312" w:cs="仿宋_GB2312"/>
          <w:color w:val="auto"/>
          <w:kern w:val="2"/>
          <w:sz w:val="32"/>
          <w:szCs w:val="32"/>
          <w:highlight w:val="none"/>
          <w:lang w:val="en-US" w:eastAsia="zh-CN" w:bidi="ar-SA"/>
        </w:rPr>
        <w:t>劳务费、</w:t>
      </w:r>
      <w:r>
        <w:rPr>
          <w:rFonts w:ascii="Times New Roman" w:hAnsi="Times New Roman" w:eastAsia="仿宋_GB2312"/>
          <w:color w:val="auto"/>
          <w:sz w:val="32"/>
          <w:szCs w:val="32"/>
        </w:rPr>
        <w:t>工会经费、福利费、</w:t>
      </w:r>
      <w:r>
        <w:rPr>
          <w:rFonts w:hint="eastAsia" w:ascii="Times New Roman" w:hAnsi="Times New Roman" w:eastAsia="仿宋_GB2312"/>
          <w:color w:val="auto"/>
          <w:sz w:val="32"/>
          <w:szCs w:val="32"/>
          <w:lang w:eastAsia="zh-CN"/>
        </w:rPr>
        <w:t>其他交通费用</w:t>
      </w:r>
      <w:r>
        <w:rPr>
          <w:rFonts w:ascii="Times New Roman" w:hAnsi="Times New Roman" w:eastAsia="仿宋_GB2312"/>
          <w:color w:val="auto"/>
          <w:sz w:val="32"/>
          <w:szCs w:val="32"/>
        </w:rPr>
        <w:t>、其他商品和服务支出等。</w:t>
      </w:r>
    </w:p>
    <w:p w14:paraId="7D7CB3E4">
      <w:pPr>
        <w:spacing w:line="600" w:lineRule="exact"/>
        <w:ind w:firstLine="640"/>
        <w:rPr>
          <w:rFonts w:eastAsia="仿宋_GB2312"/>
          <w:b/>
          <w:sz w:val="32"/>
          <w:szCs w:val="32"/>
        </w:rPr>
      </w:pPr>
    </w:p>
    <w:p w14:paraId="013AA7F7">
      <w:pPr>
        <w:spacing w:line="600" w:lineRule="exact"/>
        <w:ind w:firstLine="640"/>
        <w:outlineLvl w:val="1"/>
        <w:rPr>
          <w:rStyle w:val="32"/>
          <w:rFonts w:ascii="黑体" w:hAnsi="黑体" w:eastAsia="黑体"/>
          <w:b w:val="0"/>
        </w:rPr>
      </w:pPr>
      <w:bookmarkStart w:id="43" w:name="_Toc9925"/>
      <w:bookmarkStart w:id="44" w:name="_Toc15377215"/>
      <w:bookmarkStart w:id="45" w:name="_Toc15396609"/>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43"/>
      <w:bookmarkEnd w:id="44"/>
      <w:bookmarkEnd w:id="45"/>
    </w:p>
    <w:p w14:paraId="20AC587B">
      <w:pPr>
        <w:spacing w:line="600" w:lineRule="exact"/>
        <w:ind w:firstLine="643" w:firstLineChars="200"/>
        <w:outlineLvl w:val="2"/>
        <w:rPr>
          <w:rFonts w:hint="eastAsia" w:ascii="仿宋" w:hAnsi="仿宋" w:eastAsia="仿宋" w:cs="仿宋"/>
          <w:b/>
          <w:bCs/>
          <w:sz w:val="32"/>
          <w:szCs w:val="32"/>
        </w:rPr>
      </w:pPr>
      <w:bookmarkStart w:id="46" w:name="_Toc14511"/>
      <w:bookmarkStart w:id="47" w:name="_Toc15377216"/>
      <w:bookmarkStart w:id="48" w:name="_Toc4122"/>
      <w:r>
        <w:rPr>
          <w:rFonts w:hint="eastAsia" w:ascii="Times New Roman" w:hAnsi="Times New Roman" w:eastAsia="楷体_GB2312" w:cs="楷体_GB2312"/>
          <w:b/>
          <w:sz w:val="32"/>
          <w:szCs w:val="32"/>
        </w:rPr>
        <w:t>（一）“三公”经费财政拨款支出决算总体情况说明</w:t>
      </w:r>
      <w:bookmarkEnd w:id="46"/>
      <w:bookmarkEnd w:id="47"/>
      <w:bookmarkEnd w:id="48"/>
    </w:p>
    <w:p w14:paraId="7528FE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auto"/>
          <w:sz w:val="32"/>
          <w:szCs w:val="32"/>
          <w:lang w:eastAsia="zh-CN"/>
        </w:rPr>
      </w:pPr>
      <w:r>
        <w:rPr>
          <w:rFonts w:eastAsia="仿宋_GB2312"/>
          <w:color w:val="auto"/>
          <w:sz w:val="32"/>
          <w:szCs w:val="32"/>
        </w:rPr>
        <w:t>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eastAsia="zh-CN"/>
        </w:rPr>
        <w:t>度</w:t>
      </w:r>
      <w:r>
        <w:rPr>
          <w:rFonts w:eastAsia="仿宋_GB2312"/>
          <w:color w:val="auto"/>
          <w:sz w:val="32"/>
          <w:szCs w:val="32"/>
        </w:rPr>
        <w:t>“三公”经费财政拨款支出决算为</w:t>
      </w:r>
      <w:r>
        <w:rPr>
          <w:rFonts w:hint="eastAsia" w:eastAsia="仿宋_GB2312"/>
          <w:color w:val="auto"/>
          <w:sz w:val="32"/>
          <w:szCs w:val="32"/>
          <w:lang w:val="en-US" w:eastAsia="zh-CN"/>
        </w:rPr>
        <w:t>0</w:t>
      </w:r>
      <w:r>
        <w:rPr>
          <w:rFonts w:eastAsia="仿宋_GB2312"/>
          <w:color w:val="auto"/>
          <w:sz w:val="32"/>
          <w:szCs w:val="32"/>
        </w:rPr>
        <w:t>万元，完成预算</w:t>
      </w:r>
      <w:r>
        <w:rPr>
          <w:rFonts w:hint="eastAsia" w:eastAsia="仿宋_GB2312"/>
          <w:color w:val="auto"/>
          <w:sz w:val="32"/>
          <w:szCs w:val="32"/>
          <w:lang w:val="en-US" w:eastAsia="zh-CN"/>
        </w:rPr>
        <w:t>0</w:t>
      </w:r>
      <w:r>
        <w:rPr>
          <w:rFonts w:eastAsia="仿宋_GB2312"/>
          <w:color w:val="auto"/>
          <w:sz w:val="32"/>
          <w:szCs w:val="32"/>
        </w:rPr>
        <w:t>%，较上年</w:t>
      </w:r>
      <w:r>
        <w:rPr>
          <w:rFonts w:hint="eastAsia" w:eastAsia="仿宋_GB2312"/>
          <w:color w:val="auto"/>
          <w:sz w:val="32"/>
          <w:szCs w:val="32"/>
          <w:lang w:eastAsia="zh-CN"/>
        </w:rPr>
        <w:t>度</w:t>
      </w:r>
      <w:r>
        <w:rPr>
          <w:rFonts w:hint="eastAsia" w:ascii="Times New Roman" w:hAnsi="Times New Roman" w:eastAsia="仿宋_GB2312"/>
          <w:color w:val="auto"/>
          <w:sz w:val="32"/>
          <w:szCs w:val="32"/>
          <w:lang w:eastAsia="zh-CN"/>
        </w:rPr>
        <w:t>无增减</w:t>
      </w:r>
      <w:r>
        <w:rPr>
          <w:rFonts w:hint="eastAsia" w:eastAsia="仿宋_GB2312"/>
          <w:color w:val="auto"/>
          <w:sz w:val="32"/>
          <w:szCs w:val="32"/>
          <w:lang w:eastAsia="zh-CN"/>
        </w:rPr>
        <w:t>变化。决算数小于预算数的</w:t>
      </w:r>
      <w:r>
        <w:rPr>
          <w:rFonts w:eastAsia="仿宋_GB2312"/>
          <w:color w:val="auto"/>
          <w:sz w:val="32"/>
          <w:szCs w:val="32"/>
        </w:rPr>
        <w:t>主要原因是盐边县红格国际运动康养·温泉度假区管理委员会</w:t>
      </w:r>
      <w:r>
        <w:rPr>
          <w:rFonts w:hint="eastAsia" w:eastAsia="仿宋_GB2312"/>
          <w:color w:val="auto"/>
          <w:sz w:val="32"/>
          <w:szCs w:val="32"/>
          <w:lang w:eastAsia="zh-CN"/>
        </w:rPr>
        <w:t>单位无公务用车编制，</w:t>
      </w:r>
      <w:r>
        <w:rPr>
          <w:rFonts w:hint="eastAsia" w:eastAsia="仿宋_GB2312"/>
          <w:color w:val="auto"/>
          <w:sz w:val="32"/>
          <w:szCs w:val="32"/>
        </w:rPr>
        <w:t>当年无公务用车购置</w:t>
      </w:r>
      <w:r>
        <w:rPr>
          <w:rFonts w:hint="eastAsia" w:eastAsia="仿宋_GB2312"/>
          <w:color w:val="auto"/>
          <w:sz w:val="32"/>
          <w:szCs w:val="32"/>
          <w:lang w:eastAsia="zh-CN"/>
        </w:rPr>
        <w:t>，并且</w:t>
      </w:r>
      <w:r>
        <w:rPr>
          <w:rFonts w:hint="eastAsia" w:eastAsia="仿宋_GB2312"/>
          <w:color w:val="auto"/>
          <w:sz w:val="32"/>
          <w:szCs w:val="32"/>
        </w:rPr>
        <w:t>按财政要求压缩</w:t>
      </w:r>
      <w:r>
        <w:rPr>
          <w:rFonts w:hint="eastAsia" w:eastAsia="仿宋_GB2312"/>
          <w:color w:val="auto"/>
          <w:sz w:val="32"/>
          <w:szCs w:val="32"/>
          <w:lang w:eastAsia="zh-CN"/>
        </w:rPr>
        <w:t>“三公”经费，</w:t>
      </w:r>
      <w:r>
        <w:rPr>
          <w:rFonts w:hint="eastAsia" w:eastAsia="仿宋_GB2312"/>
          <w:color w:val="auto"/>
          <w:sz w:val="32"/>
          <w:szCs w:val="32"/>
        </w:rPr>
        <w:t>严控资金用途。</w:t>
      </w:r>
    </w:p>
    <w:p w14:paraId="11A6AB24">
      <w:pPr>
        <w:spacing w:line="600" w:lineRule="exact"/>
        <w:ind w:firstLine="643" w:firstLineChars="200"/>
        <w:outlineLvl w:val="2"/>
        <w:rPr>
          <w:rFonts w:hint="eastAsia" w:ascii="Times New Roman" w:hAnsi="Times New Roman" w:eastAsia="楷体_GB2312" w:cs="楷体_GB2312"/>
          <w:b/>
          <w:sz w:val="32"/>
          <w:szCs w:val="32"/>
        </w:rPr>
      </w:pPr>
      <w:bookmarkStart w:id="49" w:name="_Toc15377217"/>
      <w:bookmarkStart w:id="50" w:name="_Toc27713"/>
      <w:bookmarkStart w:id="51" w:name="_Toc24950"/>
      <w:r>
        <w:rPr>
          <w:rFonts w:hint="eastAsia" w:ascii="Times New Roman" w:hAnsi="Times New Roman" w:eastAsia="楷体_GB2312" w:cs="楷体_GB2312"/>
          <w:b/>
          <w:sz w:val="32"/>
          <w:szCs w:val="32"/>
        </w:rPr>
        <w:t>（二）“三公”经费财政拨款支出决算具体情况说明</w:t>
      </w:r>
      <w:bookmarkEnd w:id="49"/>
      <w:bookmarkEnd w:id="50"/>
      <w:bookmarkEnd w:id="51"/>
    </w:p>
    <w:p w14:paraId="0D8C14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olor w:val="auto"/>
          <w:sz w:val="32"/>
          <w:szCs w:val="32"/>
        </w:rPr>
      </w:pPr>
      <w:r>
        <w:rPr>
          <w:rFonts w:eastAsia="仿宋_GB2312"/>
          <w:color w:val="auto"/>
          <w:sz w:val="32"/>
          <w:szCs w:val="32"/>
        </w:rPr>
        <w:t>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eastAsia="zh-CN"/>
        </w:rPr>
        <w:t>度</w:t>
      </w:r>
      <w:r>
        <w:rPr>
          <w:rFonts w:eastAsia="仿宋_GB2312"/>
          <w:color w:val="auto"/>
          <w:sz w:val="32"/>
          <w:szCs w:val="32"/>
        </w:rPr>
        <w:t>“三公”经费财政拨款支出决算中，因公出国（境）费支出决算0万元，占0%；公务用车购置及运行维护费支出决算</w:t>
      </w:r>
      <w:r>
        <w:rPr>
          <w:rFonts w:hint="eastAsia" w:eastAsia="仿宋_GB2312"/>
          <w:color w:val="auto"/>
          <w:sz w:val="32"/>
          <w:szCs w:val="32"/>
          <w:lang w:val="en-US" w:eastAsia="zh-CN"/>
        </w:rPr>
        <w:t>0</w:t>
      </w:r>
      <w:r>
        <w:rPr>
          <w:rFonts w:eastAsia="仿宋_GB2312"/>
          <w:color w:val="auto"/>
          <w:sz w:val="32"/>
          <w:szCs w:val="32"/>
        </w:rPr>
        <w:t>万元，占</w:t>
      </w:r>
      <w:r>
        <w:rPr>
          <w:rFonts w:hint="eastAsia" w:eastAsia="仿宋_GB2312"/>
          <w:color w:val="auto"/>
          <w:sz w:val="32"/>
          <w:szCs w:val="32"/>
          <w:lang w:val="en-US" w:eastAsia="zh-CN"/>
        </w:rPr>
        <w:t>0</w:t>
      </w:r>
      <w:r>
        <w:rPr>
          <w:rFonts w:eastAsia="仿宋_GB2312"/>
          <w:color w:val="auto"/>
          <w:sz w:val="32"/>
          <w:szCs w:val="32"/>
        </w:rPr>
        <w:t>%，公务接待费支出决算0万元，占</w:t>
      </w:r>
      <w:r>
        <w:rPr>
          <w:rFonts w:hint="eastAsia" w:eastAsia="仿宋_GB2312"/>
          <w:color w:val="auto"/>
          <w:sz w:val="32"/>
          <w:szCs w:val="32"/>
          <w:lang w:val="en-US" w:eastAsia="zh-CN"/>
        </w:rPr>
        <w:t>0</w:t>
      </w:r>
      <w:r>
        <w:rPr>
          <w:rFonts w:eastAsia="仿宋_GB2312"/>
          <w:color w:val="auto"/>
          <w:sz w:val="32"/>
          <w:szCs w:val="32"/>
        </w:rPr>
        <w:t>%。具体情况如下：</w:t>
      </w:r>
    </w:p>
    <w:p w14:paraId="1683BE22">
      <w:pPr>
        <w:pStyle w:val="9"/>
        <w:spacing w:before="93"/>
        <w:jc w:val="center"/>
      </w:pPr>
      <w:r>
        <w:rPr>
          <w:rFonts w:hint="eastAsia"/>
        </w:rPr>
        <w:drawing>
          <wp:inline distT="0" distB="0" distL="0" distR="0">
            <wp:extent cx="4624705" cy="2615565"/>
            <wp:effectExtent l="4445" t="4445" r="19050" b="889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C9FF6B6">
      <w:pPr>
        <w:spacing w:line="600" w:lineRule="exact"/>
        <w:ind w:firstLine="640"/>
        <w:jc w:val="center"/>
        <w:rPr>
          <w:rFonts w:eastAsia="仿宋_GB2312"/>
          <w:sz w:val="32"/>
          <w:szCs w:val="32"/>
        </w:rPr>
      </w:pPr>
      <w:r>
        <w:rPr>
          <w:rFonts w:eastAsia="仿宋_GB2312"/>
          <w:sz w:val="32"/>
          <w:szCs w:val="32"/>
        </w:rPr>
        <w:t>（图7：“三公”经费财政拨款支出结构）</w:t>
      </w:r>
    </w:p>
    <w:p w14:paraId="1EE7010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color w:val="auto"/>
          <w:sz w:val="32"/>
          <w:szCs w:val="32"/>
          <w:lang w:eastAsia="zh-CN"/>
        </w:rPr>
      </w:pPr>
      <w:r>
        <w:rPr>
          <w:rFonts w:eastAsia="仿宋_GB2312"/>
          <w:b/>
          <w:bCs w:val="0"/>
          <w:sz w:val="32"/>
          <w:szCs w:val="32"/>
        </w:rPr>
        <w:t>1.因公出国（境）经费支出</w:t>
      </w:r>
      <w:r>
        <w:rPr>
          <w:rFonts w:eastAsia="仿宋_GB2312"/>
          <w:b/>
          <w:bCs w:val="0"/>
          <w:color w:val="auto"/>
          <w:sz w:val="32"/>
          <w:szCs w:val="32"/>
        </w:rPr>
        <w:t>0万元，完成预算0%</w:t>
      </w:r>
      <w:r>
        <w:rPr>
          <w:rFonts w:hint="eastAsia" w:eastAsia="仿宋_GB2312"/>
          <w:b/>
          <w:bCs w:val="0"/>
          <w:color w:val="auto"/>
          <w:sz w:val="32"/>
          <w:szCs w:val="32"/>
          <w:lang w:eastAsia="zh-CN"/>
        </w:rPr>
        <w:t>（</w:t>
      </w:r>
      <w:r>
        <w:rPr>
          <w:rFonts w:hint="eastAsia" w:eastAsia="仿宋_GB2312"/>
          <w:b/>
          <w:bCs w:val="0"/>
          <w:color w:val="auto"/>
          <w:sz w:val="32"/>
          <w:szCs w:val="32"/>
          <w:lang w:val="en-US" w:eastAsia="zh-CN"/>
        </w:rPr>
        <w:t>2024年</w:t>
      </w:r>
      <w:r>
        <w:rPr>
          <w:rFonts w:hint="eastAsia" w:eastAsia="仿宋_GB2312"/>
          <w:b/>
          <w:bCs w:val="0"/>
          <w:color w:val="auto"/>
          <w:sz w:val="32"/>
          <w:szCs w:val="32"/>
          <w:lang w:eastAsia="zh-CN"/>
        </w:rPr>
        <w:t>未安排预算）。</w:t>
      </w:r>
      <w:r>
        <w:rPr>
          <w:rFonts w:eastAsia="仿宋_GB2312"/>
          <w:color w:val="auto"/>
          <w:sz w:val="32"/>
          <w:szCs w:val="32"/>
        </w:rPr>
        <w:t>全年安排因公出国（境）团组0次，出国（境）0人。因公出国（境）支出决算</w:t>
      </w:r>
      <w:r>
        <w:rPr>
          <w:rFonts w:hint="eastAsia" w:eastAsia="仿宋_GB2312"/>
          <w:color w:val="auto"/>
          <w:sz w:val="32"/>
          <w:szCs w:val="32"/>
        </w:rPr>
        <w:t>与202</w:t>
      </w:r>
      <w:r>
        <w:rPr>
          <w:rFonts w:hint="eastAsia" w:eastAsia="仿宋_GB2312"/>
          <w:color w:val="auto"/>
          <w:sz w:val="32"/>
          <w:szCs w:val="32"/>
          <w:lang w:val="en-US" w:eastAsia="zh-CN"/>
        </w:rPr>
        <w:t>3</w:t>
      </w:r>
      <w:r>
        <w:rPr>
          <w:rFonts w:hint="eastAsia" w:eastAsia="仿宋_GB2312"/>
          <w:color w:val="auto"/>
          <w:sz w:val="32"/>
          <w:szCs w:val="32"/>
        </w:rPr>
        <w:t>年度决算数持平</w:t>
      </w:r>
      <w:r>
        <w:rPr>
          <w:rFonts w:hint="eastAsia" w:eastAsia="仿宋_GB2312"/>
          <w:color w:val="auto"/>
          <w:sz w:val="32"/>
          <w:szCs w:val="32"/>
          <w:lang w:eastAsia="zh-CN"/>
        </w:rPr>
        <w:t>。主要原因是</w:t>
      </w:r>
      <w:r>
        <w:rPr>
          <w:rFonts w:hint="eastAsia" w:eastAsia="仿宋_GB2312"/>
          <w:color w:val="auto"/>
          <w:sz w:val="32"/>
          <w:szCs w:val="32"/>
          <w:lang w:val="en-US" w:eastAsia="zh-CN"/>
        </w:rPr>
        <w:t>2023年和</w:t>
      </w:r>
      <w:r>
        <w:rPr>
          <w:rFonts w:eastAsia="仿宋_GB2312"/>
          <w:color w:val="auto"/>
          <w:sz w:val="32"/>
          <w:szCs w:val="32"/>
        </w:rPr>
        <w:t>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eastAsia="zh-CN"/>
        </w:rPr>
        <w:t>均</w:t>
      </w:r>
      <w:r>
        <w:rPr>
          <w:rFonts w:eastAsia="仿宋_GB2312"/>
          <w:color w:val="auto"/>
          <w:sz w:val="32"/>
          <w:szCs w:val="32"/>
        </w:rPr>
        <w:t>无因公出国（境）经费支出</w:t>
      </w:r>
      <w:r>
        <w:rPr>
          <w:rFonts w:hint="eastAsia" w:eastAsia="仿宋_GB2312"/>
          <w:color w:val="auto"/>
          <w:sz w:val="32"/>
          <w:szCs w:val="32"/>
          <w:lang w:eastAsia="zh-CN"/>
        </w:rPr>
        <w:t>。</w:t>
      </w:r>
    </w:p>
    <w:p w14:paraId="5F66341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color w:val="auto"/>
          <w:sz w:val="32"/>
          <w:szCs w:val="32"/>
          <w:lang w:eastAsia="zh-CN"/>
        </w:rPr>
      </w:pPr>
      <w:r>
        <w:rPr>
          <w:rFonts w:eastAsia="仿宋_GB2312"/>
          <w:b/>
          <w:bCs w:val="0"/>
          <w:sz w:val="32"/>
          <w:szCs w:val="32"/>
        </w:rPr>
        <w:t>2.公务用车购置及运行维护费支出</w:t>
      </w:r>
      <w:r>
        <w:rPr>
          <w:rFonts w:hint="eastAsia" w:eastAsia="仿宋_GB2312"/>
          <w:b/>
          <w:bCs w:val="0"/>
          <w:color w:val="auto"/>
          <w:sz w:val="32"/>
          <w:szCs w:val="32"/>
          <w:lang w:val="en-US" w:eastAsia="zh-CN"/>
        </w:rPr>
        <w:t>0</w:t>
      </w:r>
      <w:r>
        <w:rPr>
          <w:rFonts w:eastAsia="仿宋_GB2312"/>
          <w:b/>
          <w:bCs w:val="0"/>
          <w:color w:val="auto"/>
          <w:sz w:val="32"/>
          <w:szCs w:val="32"/>
        </w:rPr>
        <w:t>万元</w:t>
      </w:r>
      <w:r>
        <w:rPr>
          <w:rFonts w:hint="eastAsia" w:eastAsia="仿宋_GB2312"/>
          <w:b/>
          <w:bCs w:val="0"/>
          <w:color w:val="auto"/>
          <w:sz w:val="32"/>
          <w:szCs w:val="32"/>
          <w:lang w:eastAsia="zh-CN"/>
        </w:rPr>
        <w:t>，</w:t>
      </w:r>
      <w:r>
        <w:rPr>
          <w:rFonts w:eastAsia="仿宋_GB2312"/>
          <w:b/>
          <w:bCs w:val="0"/>
          <w:color w:val="auto"/>
          <w:sz w:val="32"/>
          <w:szCs w:val="32"/>
        </w:rPr>
        <w:t>完成预算</w:t>
      </w:r>
      <w:r>
        <w:rPr>
          <w:rFonts w:hint="eastAsia" w:eastAsia="仿宋_GB2312"/>
          <w:b/>
          <w:bCs w:val="0"/>
          <w:color w:val="auto"/>
          <w:sz w:val="32"/>
          <w:szCs w:val="32"/>
          <w:lang w:val="en-US" w:eastAsia="zh-CN"/>
        </w:rPr>
        <w:t>0</w:t>
      </w:r>
      <w:r>
        <w:rPr>
          <w:rFonts w:eastAsia="仿宋_GB2312"/>
          <w:b/>
          <w:bCs w:val="0"/>
          <w:color w:val="auto"/>
          <w:sz w:val="32"/>
          <w:szCs w:val="32"/>
        </w:rPr>
        <w:t>%</w:t>
      </w:r>
      <w:r>
        <w:rPr>
          <w:rFonts w:hint="eastAsia" w:eastAsia="仿宋_GB2312"/>
          <w:b/>
          <w:bCs w:val="0"/>
          <w:color w:val="auto"/>
          <w:sz w:val="32"/>
          <w:szCs w:val="32"/>
          <w:lang w:eastAsia="zh-CN"/>
        </w:rPr>
        <w:t>（</w:t>
      </w:r>
      <w:r>
        <w:rPr>
          <w:rFonts w:hint="eastAsia" w:eastAsia="仿宋_GB2312"/>
          <w:b/>
          <w:bCs w:val="0"/>
          <w:color w:val="auto"/>
          <w:sz w:val="32"/>
          <w:szCs w:val="32"/>
          <w:lang w:val="en-US" w:eastAsia="zh-CN"/>
        </w:rPr>
        <w:t>2024年</w:t>
      </w:r>
      <w:r>
        <w:rPr>
          <w:rFonts w:hint="eastAsia" w:eastAsia="仿宋_GB2312"/>
          <w:b/>
          <w:bCs w:val="0"/>
          <w:color w:val="auto"/>
          <w:sz w:val="32"/>
          <w:szCs w:val="32"/>
          <w:lang w:eastAsia="zh-CN"/>
        </w:rPr>
        <w:t>未安排预算）</w:t>
      </w:r>
      <w:r>
        <w:rPr>
          <w:rFonts w:eastAsia="仿宋_GB2312"/>
          <w:b/>
          <w:bCs w:val="0"/>
          <w:color w:val="auto"/>
          <w:sz w:val="32"/>
          <w:szCs w:val="32"/>
        </w:rPr>
        <w:t>。</w:t>
      </w:r>
      <w:r>
        <w:rPr>
          <w:rFonts w:eastAsia="仿宋_GB2312"/>
          <w:color w:val="auto"/>
          <w:sz w:val="32"/>
          <w:szCs w:val="32"/>
        </w:rPr>
        <w:t>公务用车购置及运行维护费支出决算</w:t>
      </w:r>
      <w:r>
        <w:rPr>
          <w:rFonts w:hint="eastAsia" w:eastAsia="仿宋_GB2312"/>
          <w:color w:val="auto"/>
          <w:sz w:val="32"/>
          <w:szCs w:val="32"/>
        </w:rPr>
        <w:t>与202</w:t>
      </w:r>
      <w:r>
        <w:rPr>
          <w:rFonts w:hint="eastAsia" w:eastAsia="仿宋_GB2312"/>
          <w:color w:val="auto"/>
          <w:sz w:val="32"/>
          <w:szCs w:val="32"/>
          <w:lang w:val="en-US" w:eastAsia="zh-CN"/>
        </w:rPr>
        <w:t>3</w:t>
      </w:r>
      <w:r>
        <w:rPr>
          <w:rFonts w:hint="eastAsia" w:eastAsia="仿宋_GB2312"/>
          <w:color w:val="auto"/>
          <w:sz w:val="32"/>
          <w:szCs w:val="32"/>
        </w:rPr>
        <w:t>年度决算数持平</w:t>
      </w:r>
      <w:r>
        <w:rPr>
          <w:rFonts w:hint="eastAsia" w:eastAsia="仿宋_GB2312"/>
          <w:color w:val="auto"/>
          <w:sz w:val="32"/>
          <w:szCs w:val="32"/>
          <w:lang w:eastAsia="zh-CN"/>
        </w:rPr>
        <w:t>。</w:t>
      </w:r>
      <w:r>
        <w:rPr>
          <w:rFonts w:eastAsia="仿宋_GB2312"/>
          <w:color w:val="auto"/>
          <w:sz w:val="32"/>
          <w:szCs w:val="32"/>
        </w:rPr>
        <w:t>主要原因是盐边县红格国际运动康养·温泉度假区管理委员会</w:t>
      </w:r>
      <w:r>
        <w:rPr>
          <w:rFonts w:hint="eastAsia" w:eastAsia="仿宋_GB2312"/>
          <w:color w:val="auto"/>
          <w:sz w:val="32"/>
          <w:szCs w:val="32"/>
          <w:lang w:eastAsia="zh-CN"/>
        </w:rPr>
        <w:t>单位无公务用车编制，</w:t>
      </w:r>
      <w:r>
        <w:rPr>
          <w:rFonts w:hint="eastAsia" w:eastAsia="仿宋_GB2312"/>
          <w:color w:val="auto"/>
          <w:sz w:val="32"/>
          <w:szCs w:val="32"/>
          <w:lang w:val="en-US" w:eastAsia="zh-CN"/>
        </w:rPr>
        <w:t>2023年和2024年均</w:t>
      </w:r>
      <w:r>
        <w:rPr>
          <w:rFonts w:hint="eastAsia" w:eastAsia="仿宋_GB2312"/>
          <w:color w:val="auto"/>
          <w:sz w:val="32"/>
          <w:szCs w:val="32"/>
        </w:rPr>
        <w:t>无公务用车购置</w:t>
      </w:r>
      <w:r>
        <w:rPr>
          <w:rFonts w:hint="eastAsia" w:eastAsia="仿宋_GB2312"/>
          <w:color w:val="auto"/>
          <w:sz w:val="32"/>
          <w:szCs w:val="32"/>
          <w:lang w:eastAsia="zh-CN"/>
        </w:rPr>
        <w:t>。</w:t>
      </w:r>
    </w:p>
    <w:p w14:paraId="29E04E5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color w:val="auto"/>
          <w:sz w:val="32"/>
          <w:szCs w:val="32"/>
          <w:lang w:eastAsia="zh-CN"/>
        </w:rPr>
      </w:pPr>
      <w:r>
        <w:rPr>
          <w:rFonts w:eastAsia="仿宋_GB2312"/>
          <w:b/>
          <w:bCs w:val="0"/>
          <w:sz w:val="32"/>
          <w:szCs w:val="32"/>
        </w:rPr>
        <w:t>3.公务接待费支出</w:t>
      </w:r>
      <w:r>
        <w:rPr>
          <w:rFonts w:hint="eastAsia" w:eastAsia="仿宋_GB2312"/>
          <w:b/>
          <w:bCs w:val="0"/>
          <w:color w:val="auto"/>
          <w:sz w:val="32"/>
          <w:szCs w:val="32"/>
          <w:lang w:val="en-US" w:eastAsia="zh-CN"/>
        </w:rPr>
        <w:t>0</w:t>
      </w:r>
      <w:r>
        <w:rPr>
          <w:rFonts w:eastAsia="仿宋_GB2312"/>
          <w:b/>
          <w:bCs w:val="0"/>
          <w:color w:val="auto"/>
          <w:sz w:val="32"/>
          <w:szCs w:val="32"/>
        </w:rPr>
        <w:t>万元，完成预算0%</w:t>
      </w:r>
      <w:r>
        <w:rPr>
          <w:rFonts w:hint="eastAsia" w:eastAsia="仿宋_GB2312"/>
          <w:b/>
          <w:bCs w:val="0"/>
          <w:color w:val="auto"/>
          <w:sz w:val="32"/>
          <w:szCs w:val="32"/>
          <w:lang w:eastAsia="zh-CN"/>
        </w:rPr>
        <w:t>（</w:t>
      </w:r>
      <w:r>
        <w:rPr>
          <w:rFonts w:hint="eastAsia" w:eastAsia="仿宋_GB2312"/>
          <w:b/>
          <w:bCs w:val="0"/>
          <w:color w:val="auto"/>
          <w:sz w:val="32"/>
          <w:szCs w:val="32"/>
          <w:lang w:val="en-US" w:eastAsia="zh-CN"/>
        </w:rPr>
        <w:t>2024年</w:t>
      </w:r>
      <w:r>
        <w:rPr>
          <w:rFonts w:hint="eastAsia" w:eastAsia="仿宋_GB2312"/>
          <w:b/>
          <w:bCs w:val="0"/>
          <w:color w:val="auto"/>
          <w:sz w:val="32"/>
          <w:szCs w:val="32"/>
          <w:lang w:eastAsia="zh-CN"/>
        </w:rPr>
        <w:t>安排预算</w:t>
      </w:r>
      <w:r>
        <w:rPr>
          <w:rFonts w:hint="eastAsia" w:eastAsia="仿宋_GB2312"/>
          <w:b/>
          <w:bCs w:val="0"/>
          <w:color w:val="auto"/>
          <w:sz w:val="32"/>
          <w:szCs w:val="32"/>
          <w:lang w:val="en-US" w:eastAsia="zh-CN"/>
        </w:rPr>
        <w:t>0.07万元</w:t>
      </w:r>
      <w:r>
        <w:rPr>
          <w:rFonts w:hint="eastAsia" w:eastAsia="仿宋_GB2312"/>
          <w:b/>
          <w:bCs w:val="0"/>
          <w:color w:val="auto"/>
          <w:sz w:val="32"/>
          <w:szCs w:val="32"/>
          <w:lang w:eastAsia="zh-CN"/>
        </w:rPr>
        <w:t>）。</w:t>
      </w:r>
      <w:r>
        <w:rPr>
          <w:rFonts w:eastAsia="仿宋_GB2312"/>
          <w:color w:val="auto"/>
          <w:sz w:val="32"/>
          <w:szCs w:val="32"/>
        </w:rPr>
        <w:t>公务接待费支出决算</w:t>
      </w:r>
      <w:r>
        <w:rPr>
          <w:rFonts w:hint="eastAsia" w:eastAsia="仿宋_GB2312"/>
          <w:color w:val="auto"/>
          <w:sz w:val="32"/>
          <w:szCs w:val="32"/>
        </w:rPr>
        <w:t>与202</w:t>
      </w:r>
      <w:r>
        <w:rPr>
          <w:rFonts w:hint="eastAsia" w:eastAsia="仿宋_GB2312"/>
          <w:color w:val="auto"/>
          <w:sz w:val="32"/>
          <w:szCs w:val="32"/>
          <w:lang w:val="en-US" w:eastAsia="zh-CN"/>
        </w:rPr>
        <w:t>3</w:t>
      </w:r>
      <w:r>
        <w:rPr>
          <w:rFonts w:hint="eastAsia" w:eastAsia="仿宋_GB2312"/>
          <w:color w:val="auto"/>
          <w:sz w:val="32"/>
          <w:szCs w:val="32"/>
        </w:rPr>
        <w:t>年度决算数持平</w:t>
      </w:r>
      <w:r>
        <w:rPr>
          <w:rFonts w:hint="eastAsia" w:eastAsia="仿宋_GB2312"/>
          <w:color w:val="auto"/>
          <w:sz w:val="32"/>
          <w:szCs w:val="32"/>
          <w:lang w:eastAsia="zh-CN"/>
        </w:rPr>
        <w:t>。</w:t>
      </w:r>
      <w:r>
        <w:rPr>
          <w:rFonts w:eastAsia="仿宋_GB2312"/>
          <w:color w:val="auto"/>
          <w:sz w:val="32"/>
          <w:szCs w:val="32"/>
        </w:rPr>
        <w:t>主要原因是</w:t>
      </w:r>
      <w:bookmarkStart w:id="52" w:name="_Toc15377218"/>
      <w:bookmarkStart w:id="53" w:name="_Toc15396610"/>
      <w:r>
        <w:rPr>
          <w:rFonts w:hint="eastAsia" w:eastAsia="仿宋_GB2312"/>
          <w:color w:val="auto"/>
          <w:sz w:val="32"/>
          <w:szCs w:val="32"/>
          <w:lang w:val="en-US" w:eastAsia="zh-CN"/>
        </w:rPr>
        <w:t>2023年和</w:t>
      </w:r>
      <w:r>
        <w:rPr>
          <w:rFonts w:eastAsia="仿宋_GB2312"/>
          <w:color w:val="auto"/>
          <w:sz w:val="32"/>
          <w:szCs w:val="32"/>
        </w:rPr>
        <w:t>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eastAsia="zh-CN"/>
        </w:rPr>
        <w:t>均</w:t>
      </w:r>
      <w:r>
        <w:rPr>
          <w:rFonts w:eastAsia="仿宋_GB2312"/>
          <w:color w:val="auto"/>
          <w:sz w:val="32"/>
          <w:szCs w:val="32"/>
        </w:rPr>
        <w:t>无</w:t>
      </w:r>
      <w:r>
        <w:rPr>
          <w:rFonts w:eastAsia="仿宋_GB2312"/>
          <w:b w:val="0"/>
          <w:bCs/>
          <w:sz w:val="32"/>
          <w:szCs w:val="32"/>
        </w:rPr>
        <w:t>公务接待费支出</w:t>
      </w:r>
      <w:r>
        <w:rPr>
          <w:rFonts w:hint="eastAsia" w:eastAsia="仿宋_GB2312"/>
          <w:b w:val="0"/>
          <w:bCs/>
          <w:sz w:val="32"/>
          <w:szCs w:val="32"/>
          <w:lang w:eastAsia="zh-CN"/>
        </w:rPr>
        <w:t>。</w:t>
      </w:r>
    </w:p>
    <w:p w14:paraId="28CDA598">
      <w:pPr>
        <w:spacing w:line="600" w:lineRule="exact"/>
        <w:ind w:firstLine="640" w:firstLineChars="200"/>
        <w:rPr>
          <w:rFonts w:eastAsia="仿宋_GB2312"/>
          <w:color w:val="auto"/>
          <w:sz w:val="32"/>
          <w:szCs w:val="32"/>
        </w:rPr>
      </w:pPr>
    </w:p>
    <w:p w14:paraId="3B748E58">
      <w:pPr>
        <w:spacing w:line="600" w:lineRule="exact"/>
        <w:ind w:firstLine="640"/>
        <w:outlineLvl w:val="1"/>
        <w:rPr>
          <w:rStyle w:val="32"/>
          <w:rFonts w:ascii="黑体" w:hAnsi="黑体" w:eastAsia="黑体"/>
        </w:rPr>
      </w:pPr>
      <w:bookmarkStart w:id="54" w:name="_Toc20105"/>
      <w:r>
        <w:rPr>
          <w:rFonts w:hint="eastAsia" w:ascii="黑体" w:eastAsia="黑体"/>
          <w:sz w:val="32"/>
          <w:szCs w:val="32"/>
        </w:rPr>
        <w:t>八、</w:t>
      </w:r>
      <w:r>
        <w:rPr>
          <w:rStyle w:val="32"/>
          <w:rFonts w:hint="eastAsia" w:ascii="黑体" w:hAnsi="黑体" w:eastAsia="黑体"/>
          <w:b w:val="0"/>
        </w:rPr>
        <w:t>政府性基金预算支出决算情况说明</w:t>
      </w:r>
      <w:bookmarkEnd w:id="52"/>
      <w:bookmarkEnd w:id="53"/>
      <w:bookmarkEnd w:id="54"/>
    </w:p>
    <w:p w14:paraId="2DA73BF3">
      <w:pPr>
        <w:spacing w:line="600" w:lineRule="exact"/>
        <w:ind w:firstLine="640" w:firstLineChars="200"/>
        <w:rPr>
          <w:rFonts w:hint="eastAsia"/>
          <w:lang w:val="en-US" w:eastAsia="zh-CN"/>
        </w:rPr>
      </w:pPr>
      <w:r>
        <w:rPr>
          <w:rFonts w:hint="eastAsia" w:eastAsia="仿宋_GB2312"/>
          <w:color w:val="auto"/>
          <w:sz w:val="32"/>
          <w:szCs w:val="32"/>
          <w:lang w:val="en-US" w:eastAsia="zh-CN"/>
        </w:rPr>
        <w:t>2024年度政府性基金预算财政拨款支出330.58万元，</w:t>
      </w:r>
      <w:r>
        <w:rPr>
          <w:rFonts w:hint="eastAsia" w:ascii="Times New Roman" w:hAnsi="Times New Roman" w:eastAsia="仿宋_GB2312" w:cs="Times New Roman"/>
          <w:color w:val="auto"/>
          <w:sz w:val="32"/>
          <w:szCs w:val="32"/>
          <w:lang w:val="en-US" w:eastAsia="zh-CN"/>
        </w:rPr>
        <w:t>占本年支出合计的2.22%。与2023年度相比，政府性基金预算财政拨款支出减少1437.62万元，下降81.3%。主要变动原因是</w:t>
      </w:r>
      <w:r>
        <w:rPr>
          <w:rFonts w:hint="default" w:ascii="Times New Roman" w:hAnsi="Times New Roman" w:eastAsia="仿宋_GB2312"/>
          <w:color w:val="auto"/>
          <w:sz w:val="32"/>
          <w:szCs w:val="32"/>
          <w:lang w:val="en-US" w:eastAsia="zh-CN"/>
        </w:rPr>
        <w:t>资金安排调整</w:t>
      </w:r>
      <w:r>
        <w:rPr>
          <w:rFonts w:hint="eastAsia" w:ascii="Times New Roman" w:hAnsi="Times New Roman" w:eastAsia="仿宋_GB2312"/>
          <w:color w:val="auto"/>
          <w:sz w:val="32"/>
          <w:szCs w:val="32"/>
          <w:lang w:val="en-US" w:eastAsia="zh-CN"/>
        </w:rPr>
        <w:t>，</w:t>
      </w:r>
      <w:r>
        <w:rPr>
          <w:rFonts w:hint="eastAsia" w:eastAsia="仿宋_GB2312"/>
          <w:color w:val="auto"/>
          <w:sz w:val="32"/>
          <w:szCs w:val="32"/>
          <w:lang w:val="en-US" w:eastAsia="zh-CN"/>
        </w:rPr>
        <w:t>政府性基金预算财政拨款</w:t>
      </w:r>
      <w:r>
        <w:rPr>
          <w:rFonts w:hint="eastAsia" w:ascii="Times New Roman" w:hAnsi="Times New Roman" w:eastAsia="仿宋_GB2312"/>
          <w:color w:val="auto"/>
          <w:sz w:val="32"/>
          <w:szCs w:val="32"/>
          <w:lang w:val="en-US" w:eastAsia="zh-CN"/>
        </w:rPr>
        <w:t>资金</w:t>
      </w:r>
      <w:r>
        <w:rPr>
          <w:rFonts w:hint="default" w:ascii="Times New Roman" w:hAnsi="Times New Roman" w:eastAsia="仿宋_GB2312"/>
          <w:color w:val="auto"/>
          <w:sz w:val="32"/>
          <w:szCs w:val="32"/>
          <w:lang w:val="en-US" w:eastAsia="zh-CN"/>
        </w:rPr>
        <w:t>减少</w:t>
      </w:r>
      <w:r>
        <w:rPr>
          <w:rFonts w:hint="eastAsia" w:ascii="Times New Roman" w:hAnsi="Times New Roman" w:eastAsia="仿宋_GB2312"/>
          <w:color w:val="auto"/>
          <w:sz w:val="32"/>
          <w:szCs w:val="32"/>
          <w:lang w:val="en-US" w:eastAsia="zh-CN"/>
        </w:rPr>
        <w:t>。</w:t>
      </w:r>
    </w:p>
    <w:p w14:paraId="6AD596FA">
      <w:pPr>
        <w:spacing w:line="600" w:lineRule="exact"/>
        <w:ind w:left="630"/>
        <w:outlineLvl w:val="1"/>
        <w:rPr>
          <w:rStyle w:val="32"/>
          <w:rFonts w:hint="eastAsia" w:ascii="Times New Roman" w:hAnsi="Times New Roman" w:eastAsia="黑体"/>
          <w:b w:val="0"/>
        </w:rPr>
      </w:pPr>
      <w:bookmarkStart w:id="55" w:name="_Toc15377219"/>
      <w:bookmarkStart w:id="56" w:name="_Toc15396611"/>
    </w:p>
    <w:p w14:paraId="3B3C937B">
      <w:pPr>
        <w:spacing w:line="600" w:lineRule="exact"/>
        <w:ind w:left="630"/>
        <w:outlineLvl w:val="1"/>
        <w:rPr>
          <w:rStyle w:val="32"/>
          <w:rFonts w:ascii="Times New Roman" w:hAnsi="Times New Roman" w:eastAsia="黑体"/>
          <w:b w:val="0"/>
        </w:rPr>
      </w:pPr>
      <w:bookmarkStart w:id="57" w:name="_Toc17897"/>
      <w:r>
        <w:rPr>
          <w:rStyle w:val="32"/>
          <w:rFonts w:hint="eastAsia" w:ascii="Times New Roman" w:hAnsi="Times New Roman" w:eastAsia="黑体"/>
          <w:b w:val="0"/>
        </w:rPr>
        <w:t>九、国有资本经营预算支出决算情况说明</w:t>
      </w:r>
      <w:bookmarkEnd w:id="55"/>
      <w:bookmarkEnd w:id="56"/>
      <w:bookmarkEnd w:id="57"/>
    </w:p>
    <w:p w14:paraId="7243A2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eastAsia="仿宋_GB2312"/>
          <w:color w:val="auto"/>
          <w:sz w:val="32"/>
          <w:szCs w:val="32"/>
          <w:lang w:val="en-US" w:eastAsia="zh-CN"/>
        </w:rPr>
        <w:t>2024年度国有资本经营预算财政拨款支出0万元，</w:t>
      </w:r>
      <w:r>
        <w:rPr>
          <w:rFonts w:hint="eastAsia" w:ascii="Times New Roman" w:hAnsi="Times New Roman" w:eastAsia="仿宋_GB2312" w:cs="Times New Roman"/>
          <w:color w:val="auto"/>
          <w:sz w:val="32"/>
          <w:szCs w:val="32"/>
          <w:lang w:val="en-US" w:eastAsia="zh-CN"/>
        </w:rPr>
        <w:t>占本年支出合计的0%。与2023年度相比，国有资本经营预算财政拨款支出</w:t>
      </w:r>
      <w:r>
        <w:rPr>
          <w:rFonts w:hint="eastAsia" w:ascii="Times New Roman" w:hAnsi="Times New Roman" w:eastAsia="仿宋_GB2312" w:cs="仿宋_GB2312"/>
          <w:b w:val="0"/>
          <w:bCs w:val="0"/>
          <w:color w:val="auto"/>
          <w:kern w:val="2"/>
          <w:sz w:val="32"/>
          <w:szCs w:val="32"/>
          <w:highlight w:val="none"/>
          <w:lang w:val="en-US" w:eastAsia="zh-CN" w:bidi="ar-SA"/>
        </w:rPr>
        <w:t>与上年持平。</w:t>
      </w:r>
    </w:p>
    <w:p w14:paraId="1AA41D08">
      <w:pPr>
        <w:spacing w:line="600" w:lineRule="exact"/>
        <w:ind w:firstLine="640" w:firstLineChars="200"/>
        <w:outlineLvl w:val="2"/>
        <w:rPr>
          <w:rStyle w:val="32"/>
          <w:rFonts w:hint="eastAsia" w:ascii="Times New Roman" w:hAnsi="Times New Roman" w:eastAsia="黑体"/>
          <w:b w:val="0"/>
        </w:rPr>
      </w:pPr>
      <w:bookmarkStart w:id="58" w:name="_Toc15377221"/>
      <w:bookmarkStart w:id="59" w:name="_Toc15396612"/>
      <w:bookmarkStart w:id="60" w:name="_Toc15377222"/>
      <w:bookmarkStart w:id="61" w:name="_Toc30369"/>
    </w:p>
    <w:p w14:paraId="4D680E25">
      <w:pPr>
        <w:spacing w:line="600" w:lineRule="exact"/>
        <w:ind w:firstLine="640" w:firstLineChars="200"/>
        <w:outlineLvl w:val="2"/>
        <w:rPr>
          <w:rFonts w:hint="eastAsia" w:ascii="Times New Roman" w:hAnsi="Times New Roman" w:eastAsia="楷体_GB2312" w:cs="楷体_GB2312"/>
          <w:b/>
          <w:sz w:val="32"/>
          <w:szCs w:val="32"/>
        </w:rPr>
      </w:pPr>
      <w:bookmarkStart w:id="62" w:name="_Toc15829"/>
      <w:r>
        <w:rPr>
          <w:rStyle w:val="32"/>
          <w:rFonts w:hint="eastAsia" w:ascii="Times New Roman" w:hAnsi="Times New Roman" w:eastAsia="黑体"/>
          <w:b w:val="0"/>
        </w:rPr>
        <w:t>十、其他重要事项的情况说明</w:t>
      </w:r>
      <w:bookmarkEnd w:id="58"/>
      <w:bookmarkEnd w:id="59"/>
      <w:bookmarkEnd w:id="62"/>
    </w:p>
    <w:p w14:paraId="13A8A721">
      <w:pPr>
        <w:spacing w:line="600" w:lineRule="exact"/>
        <w:ind w:firstLine="643" w:firstLineChars="200"/>
        <w:outlineLvl w:val="2"/>
        <w:rPr>
          <w:rFonts w:hint="eastAsia" w:ascii="Times New Roman" w:hAnsi="Times New Roman" w:eastAsia="楷体_GB2312" w:cs="楷体_GB2312"/>
          <w:b/>
          <w:sz w:val="32"/>
          <w:szCs w:val="32"/>
        </w:rPr>
      </w:pPr>
      <w:bookmarkStart w:id="63" w:name="_Toc20955"/>
      <w:r>
        <w:rPr>
          <w:rFonts w:hint="eastAsia" w:ascii="Times New Roman" w:hAnsi="Times New Roman" w:eastAsia="楷体_GB2312" w:cs="楷体_GB2312"/>
          <w:b/>
          <w:sz w:val="32"/>
          <w:szCs w:val="32"/>
        </w:rPr>
        <w:t>（一）机关运行经费支出情况</w:t>
      </w:r>
      <w:bookmarkEnd w:id="60"/>
      <w:bookmarkEnd w:id="61"/>
      <w:bookmarkEnd w:id="63"/>
    </w:p>
    <w:p w14:paraId="45F04B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eastAsia="仿宋_GB2312"/>
          <w:color w:val="auto"/>
          <w:sz w:val="32"/>
          <w:szCs w:val="32"/>
          <w:lang w:val="en-US" w:eastAsia="zh-CN"/>
        </w:rPr>
        <w:t>2024年度，</w:t>
      </w:r>
      <w:r>
        <w:rPr>
          <w:rFonts w:hint="eastAsia" w:eastAsia="仿宋_GB2312"/>
          <w:color w:val="auto"/>
          <w:sz w:val="32"/>
          <w:szCs w:val="32"/>
          <w:lang w:val="zh-CN" w:eastAsia="zh-CN"/>
        </w:rPr>
        <w:t>盐边县红格国际运动康养·温泉度假区管理委员会</w:t>
      </w:r>
      <w:r>
        <w:rPr>
          <w:rFonts w:hint="eastAsia" w:eastAsia="仿宋_GB2312"/>
          <w:color w:val="auto"/>
          <w:sz w:val="32"/>
          <w:szCs w:val="32"/>
          <w:lang w:val="en-US" w:eastAsia="zh-CN"/>
        </w:rPr>
        <w:t>机关运行经费支出13.43万元，比2023年度增加2.84万元，增长26.82%。主要原因是日常办公等支出增加。</w:t>
      </w:r>
    </w:p>
    <w:p w14:paraId="4DDDF2FB">
      <w:pPr>
        <w:spacing w:line="600" w:lineRule="exact"/>
        <w:ind w:firstLine="643" w:firstLineChars="200"/>
        <w:outlineLvl w:val="2"/>
        <w:rPr>
          <w:rFonts w:hint="eastAsia" w:ascii="Times New Roman" w:hAnsi="Times New Roman" w:eastAsia="楷体_GB2312" w:cs="楷体_GB2312"/>
          <w:b/>
          <w:sz w:val="32"/>
          <w:szCs w:val="32"/>
        </w:rPr>
      </w:pPr>
      <w:bookmarkStart w:id="64" w:name="_Toc15377223"/>
      <w:bookmarkStart w:id="65" w:name="_Toc11782"/>
    </w:p>
    <w:p w14:paraId="0F7E15C7">
      <w:pPr>
        <w:spacing w:line="600" w:lineRule="exact"/>
        <w:ind w:firstLine="643" w:firstLineChars="200"/>
        <w:outlineLvl w:val="2"/>
        <w:rPr>
          <w:rFonts w:hint="eastAsia" w:ascii="Times New Roman" w:hAnsi="Times New Roman" w:eastAsia="楷体_GB2312" w:cs="楷体_GB2312"/>
          <w:b/>
          <w:sz w:val="32"/>
          <w:szCs w:val="32"/>
        </w:rPr>
      </w:pPr>
      <w:bookmarkStart w:id="66" w:name="_Toc8347"/>
      <w:r>
        <w:rPr>
          <w:rFonts w:hint="eastAsia" w:ascii="Times New Roman" w:hAnsi="Times New Roman" w:eastAsia="楷体_GB2312" w:cs="楷体_GB2312"/>
          <w:b/>
          <w:sz w:val="32"/>
          <w:szCs w:val="32"/>
        </w:rPr>
        <w:t>（二）政府采购支出情况</w:t>
      </w:r>
      <w:bookmarkEnd w:id="64"/>
      <w:bookmarkEnd w:id="65"/>
      <w:bookmarkEnd w:id="66"/>
    </w:p>
    <w:p w14:paraId="393CBB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eastAsia="仿宋_GB2312"/>
          <w:color w:val="auto"/>
          <w:sz w:val="32"/>
          <w:szCs w:val="32"/>
          <w:lang w:val="en-US" w:eastAsia="zh-CN"/>
        </w:rPr>
        <w:t>2024年度，</w:t>
      </w:r>
      <w:r>
        <w:rPr>
          <w:rFonts w:hint="eastAsia" w:eastAsia="仿宋_GB2312"/>
          <w:color w:val="auto"/>
          <w:sz w:val="32"/>
          <w:szCs w:val="32"/>
          <w:lang w:val="zh-CN" w:eastAsia="zh-CN"/>
        </w:rPr>
        <w:t>盐边县红格国际运动康养·温泉度假区管理委员会</w:t>
      </w:r>
      <w:r>
        <w:rPr>
          <w:rFonts w:hint="eastAsia" w:eastAsia="仿宋_GB2312"/>
          <w:color w:val="auto"/>
          <w:sz w:val="32"/>
          <w:szCs w:val="32"/>
          <w:lang w:val="en-US" w:eastAsia="zh-CN"/>
        </w:rPr>
        <w:t>政府采购支出总额0万元。</w:t>
      </w:r>
    </w:p>
    <w:p w14:paraId="769461F7">
      <w:pPr>
        <w:spacing w:line="600" w:lineRule="exact"/>
        <w:ind w:firstLine="643" w:firstLineChars="200"/>
        <w:outlineLvl w:val="2"/>
        <w:rPr>
          <w:rFonts w:hint="eastAsia" w:ascii="Times New Roman" w:hAnsi="Times New Roman" w:eastAsia="楷体_GB2312" w:cs="楷体_GB2312"/>
          <w:b/>
          <w:sz w:val="32"/>
          <w:szCs w:val="32"/>
        </w:rPr>
      </w:pPr>
      <w:bookmarkStart w:id="67" w:name="_Toc7083"/>
      <w:bookmarkStart w:id="68" w:name="_Toc15377224"/>
    </w:p>
    <w:p w14:paraId="720006CD">
      <w:pPr>
        <w:spacing w:line="600" w:lineRule="exact"/>
        <w:ind w:firstLine="643" w:firstLineChars="200"/>
        <w:outlineLvl w:val="2"/>
        <w:rPr>
          <w:rFonts w:hint="eastAsia" w:ascii="Times New Roman" w:hAnsi="Times New Roman" w:eastAsia="楷体_GB2312" w:cs="楷体_GB2312"/>
          <w:b/>
          <w:sz w:val="32"/>
          <w:szCs w:val="32"/>
        </w:rPr>
      </w:pPr>
      <w:bookmarkStart w:id="69" w:name="_Toc22866"/>
      <w:r>
        <w:rPr>
          <w:rFonts w:hint="eastAsia" w:ascii="Times New Roman" w:hAnsi="Times New Roman" w:eastAsia="楷体_GB2312" w:cs="楷体_GB2312"/>
          <w:b/>
          <w:sz w:val="32"/>
          <w:szCs w:val="32"/>
        </w:rPr>
        <w:t>（三）国有资产占有使用情况</w:t>
      </w:r>
      <w:bookmarkEnd w:id="67"/>
      <w:bookmarkEnd w:id="68"/>
      <w:bookmarkEnd w:id="69"/>
    </w:p>
    <w:p w14:paraId="4529D0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eastAsia="仿宋_GB2312"/>
          <w:color w:val="auto"/>
          <w:sz w:val="32"/>
          <w:szCs w:val="32"/>
          <w:lang w:val="en-US" w:eastAsia="zh-CN"/>
        </w:rPr>
        <w:t>截至2024年12月31日，</w:t>
      </w:r>
      <w:r>
        <w:rPr>
          <w:rFonts w:hint="eastAsia" w:eastAsia="仿宋_GB2312"/>
          <w:color w:val="auto"/>
          <w:sz w:val="32"/>
          <w:szCs w:val="32"/>
          <w:lang w:val="zh-CN" w:eastAsia="zh-CN"/>
        </w:rPr>
        <w:t>盐边县红格国际运动康养·温泉度假区管理委员会</w:t>
      </w:r>
      <w:r>
        <w:rPr>
          <w:rFonts w:hint="eastAsia" w:eastAsia="仿宋_GB2312"/>
          <w:color w:val="auto"/>
          <w:sz w:val="32"/>
          <w:szCs w:val="32"/>
          <w:lang w:val="en-US" w:eastAsia="zh-CN"/>
        </w:rPr>
        <w:t>共有车辆2辆</w:t>
      </w:r>
      <w:r>
        <w:rPr>
          <w:rFonts w:hint="eastAsia" w:ascii="Times New Roman" w:hAnsi="Times New Roman" w:eastAsia="仿宋_GB2312" w:cs="Times New Roman"/>
          <w:color w:val="auto"/>
          <w:sz w:val="32"/>
          <w:szCs w:val="32"/>
          <w:lang w:val="en-US" w:eastAsia="zh-CN"/>
        </w:rPr>
        <w:t>，其中：主要负责人用车0辆、机要通信用车0辆、应急保障用车0辆、其他用车2辆（借用），其他用车</w:t>
      </w:r>
      <w:r>
        <w:rPr>
          <w:rFonts w:hint="eastAsia" w:eastAsia="仿宋_GB2312" w:cs="Times New Roman"/>
          <w:color w:val="auto"/>
          <w:sz w:val="32"/>
          <w:szCs w:val="32"/>
          <w:lang w:val="en-US" w:eastAsia="zh-CN"/>
        </w:rPr>
        <w:t>主要用于</w:t>
      </w:r>
      <w:r>
        <w:rPr>
          <w:rFonts w:hint="eastAsia" w:ascii="Times New Roman" w:hAnsi="Times New Roman" w:eastAsia="仿宋_GB2312" w:cs="Times New Roman"/>
          <w:color w:val="auto"/>
          <w:sz w:val="32"/>
          <w:szCs w:val="32"/>
          <w:lang w:val="en-US" w:eastAsia="zh-CN"/>
        </w:rPr>
        <w:t>项目现场使用。单价100万元（含）以上设备（不含车辆）0台（套）。</w:t>
      </w:r>
    </w:p>
    <w:p w14:paraId="117BD097">
      <w:pPr>
        <w:spacing w:line="600" w:lineRule="exact"/>
        <w:ind w:firstLine="643" w:firstLineChars="200"/>
        <w:outlineLvl w:val="2"/>
        <w:rPr>
          <w:rFonts w:hint="eastAsia" w:ascii="Times New Roman" w:hAnsi="Times New Roman" w:eastAsia="楷体_GB2312" w:cs="楷体_GB2312"/>
          <w:b/>
          <w:sz w:val="32"/>
          <w:szCs w:val="32"/>
        </w:rPr>
      </w:pPr>
      <w:bookmarkStart w:id="70" w:name="_Toc20402"/>
    </w:p>
    <w:p w14:paraId="64CAFF19">
      <w:pPr>
        <w:spacing w:line="600" w:lineRule="exact"/>
        <w:ind w:firstLine="643" w:firstLineChars="200"/>
        <w:outlineLvl w:val="2"/>
        <w:rPr>
          <w:rFonts w:hint="eastAsia" w:ascii="Times New Roman" w:hAnsi="Times New Roman" w:eastAsia="楷体_GB2312" w:cs="楷体_GB2312"/>
          <w:b/>
          <w:sz w:val="32"/>
          <w:szCs w:val="32"/>
        </w:rPr>
      </w:pPr>
      <w:bookmarkStart w:id="71" w:name="_Toc12279"/>
      <w:r>
        <w:rPr>
          <w:rFonts w:hint="eastAsia" w:ascii="Times New Roman" w:hAnsi="Times New Roman" w:eastAsia="楷体_GB2312" w:cs="楷体_GB2312"/>
          <w:b/>
          <w:sz w:val="32"/>
          <w:szCs w:val="32"/>
        </w:rPr>
        <w:t>（四）预算绩效管理情况</w:t>
      </w:r>
      <w:bookmarkEnd w:id="70"/>
      <w:bookmarkEnd w:id="71"/>
    </w:p>
    <w:p w14:paraId="70FC695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根据预算绩效管理要求，</w:t>
      </w:r>
      <w:r>
        <w:rPr>
          <w:rFonts w:hint="eastAsia" w:ascii="Times New Roman" w:hAnsi="Times New Roman" w:eastAsia="仿宋_GB2312"/>
          <w:sz w:val="32"/>
          <w:szCs w:val="32"/>
        </w:rPr>
        <w:t>盐边县红格国际运动康养·温泉度假区管理委员会</w:t>
      </w:r>
      <w:r>
        <w:rPr>
          <w:rFonts w:hint="eastAsia" w:eastAsia="仿宋_GB2312"/>
          <w:color w:val="auto"/>
          <w:sz w:val="32"/>
          <w:szCs w:val="32"/>
          <w:lang w:val="en-US" w:eastAsia="zh-CN"/>
        </w:rPr>
        <w:t>在2024年度预算编制阶段，组织对盐边县红格国际运动康养·温泉度假区基础设施项目管理、运营、维护等11个项目开展了预算事前绩效评估，对11个项目编制了绩效目标，在预算执行过程中，选取11个项目开展绩效监控。</w:t>
      </w:r>
    </w:p>
    <w:p w14:paraId="49E30B8A">
      <w:pPr>
        <w:rPr>
          <w:rFonts w:hint="default" w:eastAsia="仿宋_GB2312"/>
          <w:lang w:val="en-US" w:eastAsia="zh-CN"/>
        </w:rPr>
      </w:pPr>
    </w:p>
    <w:p w14:paraId="1F99C389">
      <w:pPr>
        <w:rPr>
          <w:rFonts w:hint="default"/>
          <w:color w:val="00B0F0"/>
          <w:lang w:val="en-US"/>
        </w:rPr>
      </w:pPr>
    </w:p>
    <w:p w14:paraId="546B5B7B">
      <w:pPr>
        <w:rPr>
          <w:rFonts w:hint="default"/>
          <w:lang w:val="en-US"/>
        </w:rPr>
      </w:pPr>
    </w:p>
    <w:p w14:paraId="0D5A0F31">
      <w:pPr>
        <w:pStyle w:val="22"/>
        <w:rPr>
          <w:rFonts w:hint="eastAsia" w:eastAsia="仿宋_GB2312"/>
          <w:color w:val="auto"/>
          <w:sz w:val="32"/>
          <w:szCs w:val="32"/>
          <w:lang w:val="en-US" w:eastAsia="zh-CN"/>
        </w:rPr>
      </w:pPr>
    </w:p>
    <w:p w14:paraId="4332A04B">
      <w:pPr>
        <w:rPr>
          <w:rFonts w:hint="eastAsia" w:eastAsia="仿宋_GB2312"/>
          <w:color w:val="auto"/>
          <w:sz w:val="32"/>
          <w:szCs w:val="32"/>
          <w:lang w:val="en-US" w:eastAsia="zh-CN"/>
        </w:rPr>
      </w:pPr>
    </w:p>
    <w:p w14:paraId="20C0DC04">
      <w:pPr>
        <w:pStyle w:val="2"/>
        <w:rPr>
          <w:rFonts w:hint="eastAsia"/>
          <w:lang w:val="en-US" w:eastAsia="zh-CN"/>
        </w:rPr>
      </w:pPr>
    </w:p>
    <w:p w14:paraId="04485FDE">
      <w:pPr>
        <w:rPr>
          <w:rFonts w:hint="eastAsia"/>
          <w:lang w:val="en-US" w:eastAsia="zh-CN"/>
        </w:rPr>
      </w:pPr>
    </w:p>
    <w:p w14:paraId="54BC8DE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Style w:val="31"/>
          <w:rFonts w:ascii="方正小标宋简体" w:hAnsi="黑体" w:eastAsia="方正小标宋简体"/>
          <w:b w:val="0"/>
        </w:rPr>
      </w:pPr>
      <w:bookmarkStart w:id="72" w:name="_Toc6817"/>
      <w:r>
        <w:rPr>
          <w:rStyle w:val="31"/>
          <w:rFonts w:hint="eastAsia" w:ascii="方正小标宋简体" w:hAnsi="黑体" w:eastAsia="方正小标宋简体"/>
          <w:b w:val="0"/>
          <w:bCs/>
          <w:lang w:eastAsia="zh-CN"/>
        </w:rPr>
        <w:t>第三部分</w:t>
      </w:r>
      <w:r>
        <w:rPr>
          <w:rStyle w:val="31"/>
          <w:rFonts w:hint="eastAsia" w:ascii="方正小标宋简体" w:hAnsi="黑体" w:eastAsia="方正小标宋简体"/>
          <w:b w:val="0"/>
          <w:bCs/>
          <w:lang w:val="en-US" w:eastAsia="zh-CN"/>
        </w:rPr>
        <w:t xml:space="preserve"> 名词解释</w:t>
      </w:r>
      <w:bookmarkEnd w:id="72"/>
    </w:p>
    <w:p w14:paraId="15710EE4">
      <w:pPr>
        <w:spacing w:line="600" w:lineRule="exact"/>
        <w:jc w:val="left"/>
        <w:rPr>
          <w:rFonts w:ascii="宋体"/>
          <w:b/>
          <w:sz w:val="44"/>
          <w:szCs w:val="44"/>
        </w:rPr>
      </w:pPr>
    </w:p>
    <w:p w14:paraId="2FFC2508">
      <w:pPr>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1.财政拨款收入：指单位从同级财政部门取得的财政预算资金。</w:t>
      </w:r>
    </w:p>
    <w:p w14:paraId="1D6E842A">
      <w:pPr>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.其他收入：指单位取得的除上述收入以外的各项收入。主要是</w:t>
      </w:r>
      <w:r>
        <w:rPr>
          <w:rFonts w:hint="default" w:ascii="Times New Roman" w:hAnsi="Times New Roman" w:eastAsia="仿宋_GB2312" w:cs="Times New Roman"/>
          <w:sz w:val="32"/>
          <w:szCs w:val="32"/>
          <w:lang w:eastAsia="zh-CN"/>
        </w:rPr>
        <w:t>非</w:t>
      </w:r>
      <w:r>
        <w:rPr>
          <w:rFonts w:hint="default" w:ascii="Times New Roman" w:hAnsi="Times New Roman" w:eastAsia="仿宋_GB2312" w:cs="Times New Roman"/>
          <w:b w:val="0"/>
          <w:bCs/>
          <w:sz w:val="32"/>
          <w:szCs w:val="32"/>
        </w:rPr>
        <w:t>财政拨款收入</w:t>
      </w:r>
      <w:r>
        <w:rPr>
          <w:rFonts w:hint="eastAsia" w:ascii="Times New Roman" w:hAnsi="Times New Roman" w:eastAsia="仿宋_GB2312" w:cs="仿宋_GB2312"/>
          <w:sz w:val="32"/>
          <w:szCs w:val="32"/>
        </w:rPr>
        <w:t>等。</w:t>
      </w:r>
    </w:p>
    <w:p w14:paraId="238A6D48">
      <w:pPr>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.年末结转和结余：指单位按有关规定结转到下年或以后年度继续使用的资金。</w:t>
      </w:r>
    </w:p>
    <w:p w14:paraId="4AFD8092">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w:t>
      </w:r>
      <w:r>
        <w:rPr>
          <w:rStyle w:val="20"/>
          <w:rFonts w:ascii="Times New Roman" w:hAnsi="Times New Roman" w:eastAsia="仿宋_GB2312"/>
          <w:b w:val="0"/>
          <w:bCs/>
          <w:sz w:val="32"/>
          <w:szCs w:val="32"/>
        </w:rPr>
        <w:t>一般公共服务（类）</w:t>
      </w:r>
      <w:r>
        <w:rPr>
          <w:rFonts w:ascii="Times New Roman" w:hAnsi="Times New Roman" w:eastAsia="仿宋_GB2312"/>
          <w:sz w:val="32"/>
          <w:szCs w:val="32"/>
        </w:rPr>
        <w:t>政府办公厅（室）及相关机构事务（</w:t>
      </w:r>
      <w:r>
        <w:rPr>
          <w:rStyle w:val="20"/>
          <w:rFonts w:ascii="Times New Roman" w:hAnsi="Times New Roman" w:eastAsia="仿宋_GB2312"/>
          <w:b w:val="0"/>
          <w:bCs/>
          <w:sz w:val="32"/>
          <w:szCs w:val="32"/>
        </w:rPr>
        <w:t>款）</w:t>
      </w:r>
      <w:r>
        <w:rPr>
          <w:rFonts w:ascii="Times New Roman" w:hAnsi="Times New Roman" w:eastAsia="仿宋_GB2312"/>
          <w:sz w:val="32"/>
          <w:szCs w:val="32"/>
        </w:rPr>
        <w:t>行政运行</w:t>
      </w:r>
      <w:r>
        <w:rPr>
          <w:rStyle w:val="20"/>
          <w:rFonts w:ascii="Times New Roman" w:hAnsi="Times New Roman" w:eastAsia="仿宋_GB2312"/>
          <w:b w:val="0"/>
          <w:bCs/>
          <w:sz w:val="32"/>
          <w:szCs w:val="32"/>
        </w:rPr>
        <w:t>（项）：</w:t>
      </w:r>
      <w:r>
        <w:rPr>
          <w:rFonts w:ascii="Times New Roman" w:hAnsi="Times New Roman" w:eastAsia="仿宋_GB2312"/>
          <w:sz w:val="32"/>
          <w:szCs w:val="32"/>
        </w:rPr>
        <w:t>反映行政单位（包括实行公务员管理的事业单位）的基本支出。</w:t>
      </w:r>
    </w:p>
    <w:p w14:paraId="2070D1E7">
      <w:pPr>
        <w:keepNext w:val="0"/>
        <w:keepLines w:val="0"/>
        <w:pageBreakBefore w:val="0"/>
        <w:widowControl w:val="0"/>
        <w:kinsoku/>
        <w:wordWrap/>
        <w:overflowPunct/>
        <w:topLinePunct w:val="0"/>
        <w:bidi w:val="0"/>
        <w:snapToGrid/>
        <w:spacing w:line="600" w:lineRule="exact"/>
        <w:ind w:firstLine="640" w:firstLineChars="200"/>
        <w:jc w:val="both"/>
        <w:textAlignment w:val="auto"/>
        <w:rPr>
          <w:rStyle w:val="20"/>
          <w:rFonts w:ascii="Times New Roman" w:hAnsi="Times New Roman" w:eastAsia="仿宋_GB2312"/>
          <w:b w:val="0"/>
          <w:bCs/>
          <w:sz w:val="32"/>
          <w:szCs w:val="32"/>
        </w:rPr>
      </w:pP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w:t>
      </w:r>
      <w:r>
        <w:rPr>
          <w:rStyle w:val="20"/>
          <w:rFonts w:ascii="Times New Roman" w:hAnsi="Times New Roman" w:eastAsia="仿宋_GB2312"/>
          <w:b w:val="0"/>
          <w:bCs/>
          <w:sz w:val="32"/>
          <w:szCs w:val="32"/>
        </w:rPr>
        <w:t>一般公共服务（类）</w:t>
      </w:r>
      <w:r>
        <w:rPr>
          <w:rFonts w:ascii="Times New Roman" w:hAnsi="Times New Roman" w:eastAsia="仿宋_GB2312"/>
          <w:sz w:val="32"/>
          <w:szCs w:val="32"/>
        </w:rPr>
        <w:t>政府办公厅（室）及相关机构事务（</w:t>
      </w:r>
      <w:r>
        <w:rPr>
          <w:rStyle w:val="20"/>
          <w:rFonts w:ascii="Times New Roman" w:hAnsi="Times New Roman" w:eastAsia="仿宋_GB2312"/>
          <w:b w:val="0"/>
          <w:bCs/>
          <w:sz w:val="32"/>
          <w:szCs w:val="32"/>
        </w:rPr>
        <w:t>款）</w:t>
      </w:r>
      <w:r>
        <w:rPr>
          <w:rFonts w:ascii="Times New Roman" w:hAnsi="Times New Roman" w:eastAsia="仿宋_GB2312"/>
          <w:sz w:val="32"/>
          <w:szCs w:val="32"/>
        </w:rPr>
        <w:t>事业运行</w:t>
      </w:r>
      <w:r>
        <w:rPr>
          <w:rStyle w:val="20"/>
          <w:rFonts w:ascii="Times New Roman" w:hAnsi="Times New Roman" w:eastAsia="仿宋_GB2312"/>
          <w:b w:val="0"/>
          <w:bCs/>
          <w:sz w:val="32"/>
          <w:szCs w:val="32"/>
        </w:rPr>
        <w:t>（项）</w:t>
      </w:r>
      <w:r>
        <w:rPr>
          <w:rStyle w:val="20"/>
          <w:rFonts w:hint="eastAsia" w:ascii="Times New Roman" w:hAnsi="Times New Roman" w:eastAsia="仿宋_GB2312"/>
          <w:b w:val="0"/>
          <w:bCs/>
          <w:sz w:val="32"/>
          <w:szCs w:val="32"/>
          <w:lang w:eastAsia="zh-CN"/>
        </w:rPr>
        <w:t>：</w:t>
      </w:r>
      <w:r>
        <w:rPr>
          <w:rStyle w:val="20"/>
          <w:rFonts w:ascii="Times New Roman" w:hAnsi="Times New Roman" w:eastAsia="仿宋_GB2312"/>
          <w:b w:val="0"/>
          <w:bCs/>
          <w:sz w:val="32"/>
          <w:szCs w:val="32"/>
        </w:rPr>
        <w:t>反映事业单位的基本支出，不包括行政单位（包括实行公务员管理的事业单位）后勤服务中心、医务室等附属事业单位。</w:t>
      </w:r>
    </w:p>
    <w:p w14:paraId="1E6FFC49">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rPr>
      </w:pP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.一般公共服务（类）政府办公厅（室）及相关机构事务（款）</w:t>
      </w:r>
      <w:r>
        <w:rPr>
          <w:rFonts w:hint="eastAsia" w:ascii="Times New Roman" w:hAnsi="Times New Roman" w:eastAsia="仿宋_GB2312"/>
          <w:sz w:val="32"/>
          <w:szCs w:val="32"/>
        </w:rPr>
        <w:t>其他政府办公厅（室）及相关机构事务支出</w:t>
      </w:r>
      <w:r>
        <w:rPr>
          <w:rFonts w:ascii="Times New Roman" w:hAnsi="Times New Roman" w:eastAsia="仿宋_GB2312"/>
          <w:sz w:val="32"/>
          <w:szCs w:val="32"/>
        </w:rPr>
        <w:t>（项）：</w:t>
      </w:r>
      <w:r>
        <w:rPr>
          <w:rFonts w:hint="eastAsia" w:ascii="Times New Roman" w:hAnsi="Times New Roman" w:eastAsia="仿宋_GB2312"/>
          <w:color w:val="auto"/>
          <w:sz w:val="32"/>
          <w:szCs w:val="32"/>
          <w:lang w:eastAsia="zh-CN"/>
        </w:rPr>
        <w:t>反映其他</w:t>
      </w:r>
      <w:r>
        <w:rPr>
          <w:rFonts w:hint="eastAsia" w:ascii="Times New Roman" w:hAnsi="Times New Roman" w:eastAsia="仿宋_GB2312"/>
          <w:color w:val="auto"/>
          <w:sz w:val="32"/>
          <w:szCs w:val="32"/>
        </w:rPr>
        <w:t>政府办公厅（室）及相关机构事务支出</w:t>
      </w:r>
      <w:r>
        <w:rPr>
          <w:rFonts w:hint="eastAsia" w:ascii="Times New Roman" w:hAnsi="Times New Roman" w:eastAsia="仿宋_GB2312"/>
          <w:color w:val="auto"/>
          <w:sz w:val="32"/>
          <w:szCs w:val="32"/>
          <w:lang w:eastAsia="zh-CN"/>
        </w:rPr>
        <w:t>。</w:t>
      </w:r>
    </w:p>
    <w:p w14:paraId="419684B3">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bCs/>
          <w:sz w:val="32"/>
          <w:szCs w:val="32"/>
        </w:rPr>
      </w:pPr>
      <w:r>
        <w:rPr>
          <w:rFonts w:hint="eastAsia" w:ascii="Times New Roman" w:hAnsi="Times New Roman" w:eastAsia="仿宋_GB2312"/>
          <w:bCs/>
          <w:sz w:val="32"/>
          <w:szCs w:val="32"/>
          <w:lang w:val="en-US" w:eastAsia="zh-CN"/>
        </w:rPr>
        <w:t>7</w:t>
      </w:r>
      <w:r>
        <w:rPr>
          <w:rFonts w:ascii="Times New Roman" w:hAnsi="Times New Roman" w:eastAsia="仿宋_GB2312"/>
          <w:bCs/>
          <w:sz w:val="32"/>
          <w:szCs w:val="32"/>
        </w:rPr>
        <w:t>.社会保障和就业（类）行政事业单位养老支出（款） 机关事业单位基本养老保险缴费支出（项）</w:t>
      </w:r>
      <w:r>
        <w:rPr>
          <w:rFonts w:hint="eastAsia" w:ascii="Times New Roman" w:hAnsi="Times New Roman" w:eastAsia="仿宋_GB2312"/>
          <w:bCs/>
          <w:sz w:val="32"/>
          <w:szCs w:val="32"/>
          <w:lang w:eastAsia="zh-CN"/>
        </w:rPr>
        <w:t>：</w:t>
      </w:r>
      <w:r>
        <w:rPr>
          <w:rFonts w:ascii="Times New Roman" w:hAnsi="Times New Roman" w:eastAsia="仿宋_GB2312"/>
          <w:bCs/>
          <w:sz w:val="32"/>
          <w:szCs w:val="32"/>
        </w:rPr>
        <w:t>反映机关事业单位实施养老保险制度由单位缴纳的基本养老保险费支出。</w:t>
      </w:r>
    </w:p>
    <w:p w14:paraId="1C796381">
      <w:pPr>
        <w:pStyle w:val="22"/>
        <w:keepNext/>
        <w:keepLines/>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8.社会保障和就业（类）抚恤（款）伤残抚恤（项）：反映按规定用于伤残人员的抚恤金和按规定开支的各种伤残补助费。</w:t>
      </w:r>
    </w:p>
    <w:p w14:paraId="4682D374">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val="en-US" w:eastAsia="zh-CN"/>
        </w:rPr>
        <w:t>9</w:t>
      </w:r>
      <w:r>
        <w:rPr>
          <w:rFonts w:ascii="Times New Roman" w:hAnsi="Times New Roman" w:eastAsia="仿宋_GB2312"/>
          <w:bCs/>
          <w:sz w:val="32"/>
          <w:szCs w:val="32"/>
        </w:rPr>
        <w:t>.卫生健康（类）行政事业单位医疗（款）行政单位医疗（项）</w:t>
      </w:r>
      <w:r>
        <w:rPr>
          <w:rFonts w:hint="eastAsia" w:eastAsia="仿宋_GB2312"/>
          <w:bCs/>
          <w:sz w:val="32"/>
          <w:szCs w:val="32"/>
          <w:lang w:eastAsia="zh-CN"/>
        </w:rPr>
        <w:t>：</w:t>
      </w:r>
      <w:r>
        <w:rPr>
          <w:rFonts w:ascii="Times New Roman" w:hAnsi="Times New Roman" w:eastAsia="仿宋_GB2312"/>
          <w:bCs/>
          <w:sz w:val="32"/>
          <w:szCs w:val="32"/>
        </w:rPr>
        <w:t xml:space="preserve"> </w:t>
      </w:r>
      <w:r>
        <w:rPr>
          <w:rFonts w:hint="eastAsia" w:ascii="Times New Roman" w:hAnsi="Times New Roman" w:eastAsia="仿宋_GB2312"/>
          <w:bCs/>
          <w:sz w:val="32"/>
          <w:szCs w:val="32"/>
          <w:lang w:eastAsia="zh-CN"/>
        </w:rPr>
        <w:t>反映财政部门安排的行政单位（</w:t>
      </w:r>
      <w:r>
        <w:rPr>
          <w:rStyle w:val="20"/>
          <w:rFonts w:ascii="Times New Roman" w:hAnsi="Times New Roman" w:eastAsia="仿宋_GB2312"/>
          <w:b w:val="0"/>
          <w:bCs/>
          <w:sz w:val="32"/>
          <w:szCs w:val="32"/>
        </w:rPr>
        <w:t>包括实行公务员管理的事业单位</w:t>
      </w:r>
      <w:r>
        <w:rPr>
          <w:rStyle w:val="20"/>
          <w:rFonts w:hint="eastAsia" w:ascii="Times New Roman" w:hAnsi="Times New Roman" w:eastAsia="仿宋_GB2312"/>
          <w:b w:val="0"/>
          <w:bCs/>
          <w:sz w:val="32"/>
          <w:szCs w:val="32"/>
          <w:lang w:eastAsia="zh-CN"/>
        </w:rPr>
        <w:t>，下同）基本医疗保险缴费经费，未参加医疗保险的行政单位的公费医疗经费，按国家规定享受离休人员、红军老战士待遇人员的医疗经费。</w:t>
      </w:r>
    </w:p>
    <w:p w14:paraId="0BB58AE6">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val="en-US" w:eastAsia="zh-CN"/>
        </w:rPr>
        <w:t>10</w:t>
      </w:r>
      <w:r>
        <w:rPr>
          <w:rFonts w:ascii="Times New Roman" w:hAnsi="Times New Roman" w:eastAsia="仿宋_GB2312"/>
          <w:bCs/>
          <w:sz w:val="32"/>
          <w:szCs w:val="32"/>
        </w:rPr>
        <w:t>.卫生健康（类）行政事业单位医疗（款）事业单位医疗（项）</w:t>
      </w:r>
      <w:r>
        <w:rPr>
          <w:rFonts w:hint="eastAsia" w:ascii="Times New Roman" w:hAnsi="Times New Roman" w:eastAsia="仿宋_GB2312"/>
          <w:sz w:val="32"/>
          <w:szCs w:val="32"/>
        </w:rPr>
        <w:t>：</w:t>
      </w:r>
      <w:r>
        <w:rPr>
          <w:rFonts w:hint="eastAsia" w:ascii="Times New Roman" w:hAnsi="Times New Roman" w:eastAsia="仿宋_GB2312"/>
          <w:bCs/>
          <w:sz w:val="32"/>
          <w:szCs w:val="32"/>
          <w:lang w:eastAsia="zh-CN"/>
        </w:rPr>
        <w:t>反映财政部门安排的事业单位</w:t>
      </w:r>
      <w:r>
        <w:rPr>
          <w:rStyle w:val="20"/>
          <w:rFonts w:hint="eastAsia" w:ascii="Times New Roman" w:hAnsi="Times New Roman" w:eastAsia="仿宋_GB2312"/>
          <w:b w:val="0"/>
          <w:bCs/>
          <w:sz w:val="32"/>
          <w:szCs w:val="32"/>
          <w:lang w:eastAsia="zh-CN"/>
        </w:rPr>
        <w:t>基本医疗保险缴费经费，未参加医疗保险的事业单位的公费医疗经费，按国家规定享受离休人员待遇的医疗经费。</w:t>
      </w:r>
    </w:p>
    <w:p w14:paraId="0F8BFDDC">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bCs/>
          <w:sz w:val="32"/>
          <w:szCs w:val="32"/>
          <w:lang w:val="en-US" w:eastAsia="zh-CN"/>
        </w:rPr>
        <w:t>11</w:t>
      </w:r>
      <w:r>
        <w:rPr>
          <w:rFonts w:ascii="Times New Roman" w:hAnsi="Times New Roman" w:eastAsia="仿宋_GB2312"/>
          <w:bCs/>
          <w:sz w:val="32"/>
          <w:szCs w:val="32"/>
        </w:rPr>
        <w:t>.卫生健康（类）行政事业单位医疗（款）</w:t>
      </w:r>
      <w:r>
        <w:rPr>
          <w:rFonts w:hint="eastAsia" w:ascii="Times New Roman" w:hAnsi="Times New Roman" w:eastAsia="仿宋_GB2312"/>
          <w:bCs/>
          <w:sz w:val="32"/>
          <w:szCs w:val="32"/>
          <w:lang w:eastAsia="zh-CN"/>
        </w:rPr>
        <w:t>公务员医疗补助</w:t>
      </w:r>
      <w:r>
        <w:rPr>
          <w:rFonts w:ascii="Times New Roman" w:hAnsi="Times New Roman" w:eastAsia="仿宋_GB2312"/>
          <w:bCs/>
          <w:sz w:val="32"/>
          <w:szCs w:val="32"/>
        </w:rPr>
        <w:t>（项</w:t>
      </w:r>
      <w:r>
        <w:rPr>
          <w:rFonts w:hint="eastAsia" w:ascii="Times New Roman" w:hAnsi="Times New Roman" w:eastAsia="仿宋_GB2312"/>
          <w:bCs/>
          <w:sz w:val="32"/>
          <w:szCs w:val="32"/>
          <w:lang w:eastAsia="zh-CN"/>
        </w:rPr>
        <w:t>）</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反映财政部门安排的公务员医疗补助经费。</w:t>
      </w:r>
    </w:p>
    <w:p w14:paraId="5D35C6A7">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12.卫生健康（类）行政事业单位医疗（款）其他行政事业单位医疗支出（项）：反映其他用于行政事业单位医疗方面的支出。</w:t>
      </w:r>
    </w:p>
    <w:p w14:paraId="76B1C3D8">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13.节能环保（类）</w:t>
      </w:r>
      <w:r>
        <w:rPr>
          <w:rFonts w:hint="eastAsia" w:ascii="Times New Roman" w:hAnsi="Times New Roman" w:eastAsia="仿宋_GB2312" w:cs="Times New Roman"/>
          <w:bCs/>
          <w:kern w:val="2"/>
          <w:sz w:val="32"/>
          <w:szCs w:val="32"/>
          <w:lang w:val="en-US" w:eastAsia="zh-CN" w:bidi="ar-SA"/>
        </w:rPr>
        <w:t>其他节能环保支出（款）其他节能环保支出（项）：反映其他用于节能环保方面的支出。</w:t>
      </w:r>
    </w:p>
    <w:p w14:paraId="5A3B9C63">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14.城乡社区（类）国有土地使用权出让收入安排的支出（款）农村基础设施建设支出（项）：反映土地出让收入用于农村供水保障、村庄公共设施建设和管护以及与农业农村直接相关的以工代赈等方面的支出。</w:t>
      </w:r>
    </w:p>
    <w:p w14:paraId="519281FA">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15.农林水（类）其他农林水支出（款）其他农林水支出（项）：反映除化解债务支出以外其他用于农林水方面的支出。</w:t>
      </w:r>
    </w:p>
    <w:p w14:paraId="2F1E40E6">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16.交通运输（类）公路水路运输（款）公路建设（项）：反映公路新建和改扩建支出，特大型桥梁建设、公路客货运站（场）以及公路相关设备设施建设支出。</w:t>
      </w:r>
    </w:p>
    <w:p w14:paraId="536B9B07">
      <w:pPr>
        <w:pStyle w:val="9"/>
        <w:keepNext w:val="0"/>
        <w:keepLines w:val="0"/>
        <w:pageBreakBefore w:val="0"/>
        <w:widowControl w:val="0"/>
        <w:kinsoku/>
        <w:wordWrap/>
        <w:overflowPunct/>
        <w:topLinePunct w:val="0"/>
        <w:bidi w:val="0"/>
        <w:snapToGrid/>
        <w:spacing w:before="93"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17</w:t>
      </w:r>
      <w:r>
        <w:rPr>
          <w:rFonts w:ascii="Times New Roman" w:hAnsi="Times New Roman" w:eastAsia="仿宋_GB2312"/>
          <w:sz w:val="32"/>
          <w:szCs w:val="32"/>
        </w:rPr>
        <w:t>.住房保障（类）住房改革支出</w:t>
      </w:r>
      <w:r>
        <w:rPr>
          <w:rStyle w:val="20"/>
          <w:rFonts w:ascii="Times New Roman" w:hAnsi="Times New Roman" w:eastAsia="仿宋_GB2312"/>
          <w:b w:val="0"/>
          <w:bCs/>
          <w:sz w:val="32"/>
          <w:szCs w:val="32"/>
        </w:rPr>
        <w:t>（款）</w:t>
      </w:r>
      <w:r>
        <w:rPr>
          <w:rFonts w:ascii="Times New Roman" w:hAnsi="Times New Roman" w:eastAsia="仿宋_GB2312"/>
          <w:sz w:val="32"/>
          <w:szCs w:val="32"/>
        </w:rPr>
        <w:t>住房公积金</w:t>
      </w:r>
      <w:r>
        <w:rPr>
          <w:rStyle w:val="20"/>
          <w:rFonts w:ascii="Times New Roman" w:hAnsi="Times New Roman" w:eastAsia="仿宋_GB2312"/>
          <w:b w:val="0"/>
          <w:bCs/>
          <w:sz w:val="32"/>
          <w:szCs w:val="32"/>
        </w:rPr>
        <w:t>（项）</w:t>
      </w:r>
      <w:r>
        <w:rPr>
          <w:rStyle w:val="20"/>
          <w:rFonts w:ascii="Times New Roman" w:hAnsi="Times New Roman" w:eastAsia="仿宋_GB2312"/>
          <w:bCs/>
          <w:sz w:val="32"/>
          <w:szCs w:val="32"/>
        </w:rPr>
        <w:t>：</w:t>
      </w:r>
      <w:r>
        <w:rPr>
          <w:rStyle w:val="20"/>
          <w:rFonts w:ascii="Times New Roman" w:hAnsi="Times New Roman" w:eastAsia="仿宋_GB2312"/>
          <w:b w:val="0"/>
          <w:bCs/>
          <w:sz w:val="32"/>
          <w:szCs w:val="32"/>
        </w:rPr>
        <w:t>反映行政事业单位按人力资源和社会保障部、财政部规定的基本工资和津贴补贴以及规定比例为职工缴纳的住房公积金。</w:t>
      </w:r>
    </w:p>
    <w:p w14:paraId="14B0A0B5">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18</w:t>
      </w:r>
      <w:r>
        <w:rPr>
          <w:rFonts w:ascii="Times New Roman" w:hAnsi="Times New Roman" w:eastAsia="仿宋_GB2312"/>
          <w:sz w:val="32"/>
          <w:szCs w:val="32"/>
        </w:rPr>
        <w:t>.基本支出：指为保障机构正常运转、完成日常工作任务而发生的人员支出和公用支出。</w:t>
      </w:r>
    </w:p>
    <w:p w14:paraId="5967DB3C">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.项目支出：指在基本支出之外为完成特定行政任务和事业发展目标所发生的支出。</w:t>
      </w:r>
    </w:p>
    <w:p w14:paraId="37F0EC41">
      <w:pPr>
        <w:pStyle w:val="29"/>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w:t>
      </w:r>
      <w:r>
        <w:rPr>
          <w:rFonts w:ascii="Times New Roman" w:hAnsi="Times New Roman" w:eastAsia="仿宋_GB2312" w:cs="Times New Roman"/>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E1FDFC8">
      <w:pPr>
        <w:pStyle w:val="29"/>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5008C0B">
      <w:pPr>
        <w:keepNext w:val="0"/>
        <w:keepLines w:val="0"/>
        <w:pageBreakBefore w:val="0"/>
        <w:widowControl/>
        <w:kinsoku/>
        <w:wordWrap/>
        <w:overflowPunct/>
        <w:topLinePunct w:val="0"/>
        <w:autoSpaceDE/>
        <w:autoSpaceDN/>
        <w:bidi w:val="0"/>
        <w:adjustRightInd w:val="0"/>
        <w:snapToGrid w:val="0"/>
        <w:spacing w:line="600" w:lineRule="exact"/>
        <w:ind w:firstLine="883" w:firstLineChars="200"/>
        <w:contextualSpacing/>
        <w:jc w:val="both"/>
        <w:textAlignment w:val="auto"/>
        <w:rPr>
          <w:rFonts w:hint="eastAsia" w:ascii="仿宋_GB2312" w:hAnsi="仿宋_GB2312" w:eastAsia="仿宋_GB2312" w:cs="仿宋_GB2312"/>
          <w:kern w:val="0"/>
          <w:sz w:val="32"/>
          <w:szCs w:val="32"/>
          <w:shd w:val="clear" w:color="auto" w:fill="FFFFFF"/>
          <w:lang w:val="zh-CN"/>
        </w:rPr>
      </w:pPr>
      <w:bookmarkStart w:id="73" w:name="_Toc15377226"/>
      <w:r>
        <w:rPr>
          <w:rFonts w:ascii="宋体"/>
          <w:b/>
          <w:sz w:val="44"/>
          <w:szCs w:val="44"/>
        </w:rPr>
        <w:br w:type="page"/>
      </w:r>
    </w:p>
    <w:p w14:paraId="60E05DD9">
      <w:pPr>
        <w:pStyle w:val="5"/>
        <w:bidi w:val="0"/>
        <w:jc w:val="center"/>
        <w:rPr>
          <w:rFonts w:eastAsia="黑体" w:cs="黑体"/>
          <w:sz w:val="32"/>
          <w:szCs w:val="32"/>
        </w:rPr>
      </w:pPr>
      <w:r>
        <w:rPr>
          <w:rFonts w:hint="eastAsia" w:ascii="方正小标宋简体" w:hAnsi="方正小标宋简体" w:eastAsia="方正小标宋简体" w:cs="方正小标宋简体"/>
          <w:b w:val="0"/>
          <w:bCs w:val="0"/>
        </w:rPr>
        <w:t>第四部分  附件</w:t>
      </w:r>
    </w:p>
    <w:p w14:paraId="64123CD1">
      <w:pPr>
        <w:widowControl/>
        <w:spacing w:line="578" w:lineRule="exact"/>
        <w:contextualSpacing/>
        <w:jc w:val="center"/>
        <w:rPr>
          <w:rFonts w:ascii="Times New Roman" w:eastAsia="仿宋_GB2312" w:cs="仿宋_GB2312"/>
          <w:kern w:val="0"/>
          <w:sz w:val="32"/>
        </w:rPr>
      </w:pPr>
      <w:r>
        <w:rPr>
          <w:rFonts w:hint="eastAsia" w:eastAsia="黑体" w:cs="黑体"/>
          <w:sz w:val="32"/>
          <w:szCs w:val="32"/>
        </w:rPr>
        <w:t>部门预算项目支出绩效评价表（2024年度）</w:t>
      </w:r>
    </w:p>
    <w:p w14:paraId="190F1509">
      <w:pPr>
        <w:pStyle w:val="3"/>
        <w:spacing w:line="560" w:lineRule="exact"/>
        <w:ind w:left="0" w:leftChars="0" w:firstLine="640"/>
        <w:rPr>
          <w:rFonts w:eastAsia="仿宋_GB2312" w:cs="仿宋_GB2312"/>
          <w:kern w:val="0"/>
          <w:sz w:val="32"/>
        </w:rPr>
      </w:pPr>
    </w:p>
    <w:p w14:paraId="44054488">
      <w:pPr>
        <w:keepNext w:val="0"/>
        <w:keepLines w:val="0"/>
        <w:pageBreakBefore w:val="0"/>
        <w:widowControl/>
        <w:kinsoku/>
        <w:wordWrap/>
        <w:overflowPunct/>
        <w:topLinePunct w:val="0"/>
        <w:autoSpaceDE/>
        <w:autoSpaceDN/>
        <w:bidi w:val="0"/>
        <w:adjustRightInd w:val="0"/>
        <w:snapToGrid w:val="0"/>
        <w:spacing w:line="600" w:lineRule="exact"/>
        <w:contextualSpacing/>
        <w:jc w:val="both"/>
        <w:textAlignment w:val="auto"/>
        <w:rPr>
          <w:rFonts w:hint="eastAsia" w:ascii="Times New Roman" w:hAnsi="Times New Roman" w:eastAsia="仿宋_GB2312" w:cs="Times New Roman"/>
          <w:kern w:val="0"/>
          <w:sz w:val="32"/>
          <w:szCs w:val="32"/>
          <w:shd w:val="clear" w:color="auto" w:fill="FFFFFF"/>
          <w:lang w:val="zh-CN" w:eastAsia="zh-CN"/>
        </w:rPr>
        <w:sectPr>
          <w:footerReference r:id="rId10" w:type="default"/>
          <w:type w:val="continuous"/>
          <w:pgSz w:w="11906" w:h="16838"/>
          <w:pgMar w:top="1440" w:right="1800" w:bottom="1440" w:left="1800" w:header="851" w:footer="992" w:gutter="0"/>
          <w:pgNumType w:fmt="decimal" w:start="1"/>
          <w:cols w:space="425" w:num="1"/>
          <w:docGrid w:type="lines" w:linePitch="312" w:charSpace="0"/>
        </w:sectPr>
      </w:pPr>
      <w:r>
        <w:rPr>
          <w:rFonts w:hint="eastAsia" w:ascii="Times New Roman" w:eastAsia="仿宋_GB2312" w:cs="仿宋_GB2312"/>
          <w:kern w:val="0"/>
          <w:sz w:val="32"/>
        </w:rPr>
        <w:t>注：</w:t>
      </w:r>
      <w:r>
        <w:rPr>
          <w:rFonts w:hint="eastAsia" w:ascii="Times New Roman" w:hAnsi="Times New Roman" w:eastAsia="仿宋_GB2312" w:cs="Times New Roman"/>
          <w:kern w:val="0"/>
          <w:sz w:val="32"/>
          <w:szCs w:val="32"/>
          <w:shd w:val="clear" w:color="auto" w:fill="FFFFFF"/>
          <w:lang w:val="zh-CN" w:eastAsia="zh-CN"/>
        </w:rPr>
        <w:t>部门预算项目支出绩效自评表（202</w:t>
      </w:r>
      <w:r>
        <w:rPr>
          <w:rFonts w:hint="eastAsia" w:eastAsia="仿宋_GB2312" w:cs="Times New Roman"/>
          <w:kern w:val="0"/>
          <w:sz w:val="32"/>
          <w:szCs w:val="32"/>
          <w:shd w:val="clear" w:color="auto" w:fill="FFFFFF"/>
          <w:lang w:val="en-US" w:eastAsia="zh-CN"/>
        </w:rPr>
        <w:t>4</w:t>
      </w:r>
      <w:r>
        <w:rPr>
          <w:rFonts w:hint="eastAsia" w:ascii="Times New Roman" w:hAnsi="Times New Roman" w:eastAsia="仿宋_GB2312" w:cs="Times New Roman"/>
          <w:kern w:val="0"/>
          <w:sz w:val="32"/>
          <w:szCs w:val="32"/>
          <w:shd w:val="clear" w:color="auto" w:fill="FFFFFF"/>
          <w:lang w:val="zh-CN" w:eastAsia="zh-CN"/>
        </w:rPr>
        <w:t>年度）</w:t>
      </w:r>
      <w:r>
        <w:rPr>
          <w:rFonts w:hint="eastAsia" w:eastAsia="仿宋_GB2312"/>
          <w:color w:val="auto"/>
          <w:sz w:val="32"/>
          <w:szCs w:val="32"/>
          <w:lang w:val="en-US" w:eastAsia="zh-CN"/>
        </w:rPr>
        <w:t>详见</w:t>
      </w:r>
      <w:r>
        <w:rPr>
          <w:rFonts w:hint="eastAsia" w:ascii="Times New Roman" w:hAnsi="Times New Roman" w:eastAsia="仿宋_GB2312" w:cs="Times New Roman"/>
          <w:kern w:val="0"/>
          <w:sz w:val="32"/>
          <w:szCs w:val="32"/>
          <w:shd w:val="clear" w:color="auto" w:fill="FFFFFF"/>
          <w:lang w:val="zh-CN" w:eastAsia="zh-CN"/>
        </w:rPr>
        <w:t>附表</w:t>
      </w:r>
    </w:p>
    <w:p w14:paraId="543A46FC">
      <w:pPr>
        <w:pStyle w:val="9"/>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eastAsia="黑体" w:cs="黑体"/>
          <w:sz w:val="32"/>
          <w:szCs w:val="32"/>
        </w:rPr>
      </w:pPr>
    </w:p>
    <w:p w14:paraId="4735F49D">
      <w:pPr>
        <w:pStyle w:val="9"/>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eastAsia="黑体" w:cs="黑体"/>
          <w:sz w:val="32"/>
          <w:szCs w:val="32"/>
        </w:rPr>
      </w:pPr>
    </w:p>
    <w:p w14:paraId="226C3601">
      <w:pPr>
        <w:pStyle w:val="9"/>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eastAsia="黑体" w:cs="黑体"/>
          <w:sz w:val="32"/>
          <w:szCs w:val="32"/>
        </w:rPr>
      </w:pPr>
    </w:p>
    <w:p w14:paraId="0DA2C713">
      <w:pPr>
        <w:pStyle w:val="9"/>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eastAsia="黑体" w:cs="黑体"/>
          <w:sz w:val="32"/>
          <w:szCs w:val="32"/>
        </w:rPr>
      </w:pPr>
    </w:p>
    <w:p w14:paraId="5824B6CE">
      <w:pPr>
        <w:pStyle w:val="9"/>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eastAsia="黑体" w:cs="黑体"/>
          <w:sz w:val="32"/>
          <w:szCs w:val="32"/>
        </w:rPr>
      </w:pPr>
    </w:p>
    <w:p w14:paraId="428CB73C">
      <w:pPr>
        <w:pStyle w:val="9"/>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eastAsia="黑体" w:cs="黑体"/>
          <w:sz w:val="32"/>
          <w:szCs w:val="32"/>
        </w:rPr>
      </w:pPr>
    </w:p>
    <w:p w14:paraId="54A70C27">
      <w:pPr>
        <w:pStyle w:val="9"/>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eastAsia="黑体" w:cs="黑体"/>
          <w:sz w:val="32"/>
          <w:szCs w:val="32"/>
        </w:rPr>
      </w:pPr>
    </w:p>
    <w:p w14:paraId="4018E4B8">
      <w:pPr>
        <w:pStyle w:val="9"/>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eastAsia="黑体" w:cs="黑体"/>
          <w:sz w:val="32"/>
          <w:szCs w:val="32"/>
        </w:rPr>
      </w:pPr>
    </w:p>
    <w:p w14:paraId="646025B3">
      <w:pPr>
        <w:pStyle w:val="9"/>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eastAsia="黑体" w:cs="黑体"/>
          <w:sz w:val="32"/>
          <w:szCs w:val="32"/>
        </w:rPr>
      </w:pPr>
    </w:p>
    <w:p w14:paraId="173EC92F">
      <w:pPr>
        <w:pStyle w:val="9"/>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eastAsia="黑体" w:cs="黑体"/>
          <w:sz w:val="32"/>
          <w:szCs w:val="32"/>
        </w:rPr>
      </w:pPr>
    </w:p>
    <w:p w14:paraId="03156D9A">
      <w:pPr>
        <w:pStyle w:val="9"/>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eastAsia="黑体" w:cs="黑体"/>
          <w:sz w:val="32"/>
          <w:szCs w:val="32"/>
        </w:rPr>
      </w:pPr>
    </w:p>
    <w:p w14:paraId="0127FF16">
      <w:pPr>
        <w:pStyle w:val="9"/>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eastAsia="黑体" w:cs="黑体"/>
          <w:sz w:val="32"/>
          <w:szCs w:val="32"/>
        </w:rPr>
      </w:pPr>
    </w:p>
    <w:p w14:paraId="1F199BC5">
      <w:pPr>
        <w:pStyle w:val="9"/>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eastAsia="黑体" w:cs="黑体"/>
          <w:sz w:val="32"/>
          <w:szCs w:val="32"/>
        </w:rPr>
      </w:pPr>
    </w:p>
    <w:p w14:paraId="28314C23">
      <w:pPr>
        <w:pStyle w:val="9"/>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eastAsia="黑体" w:cs="黑体"/>
          <w:sz w:val="32"/>
          <w:szCs w:val="32"/>
        </w:rPr>
      </w:pPr>
    </w:p>
    <w:p w14:paraId="6F7B3188">
      <w:pPr>
        <w:pStyle w:val="9"/>
        <w:keepNext w:val="0"/>
        <w:keepLines w:val="0"/>
        <w:pageBreakBefore w:val="0"/>
        <w:kinsoku/>
        <w:wordWrap/>
        <w:overflowPunct/>
        <w:topLinePunct w:val="0"/>
        <w:autoSpaceDE/>
        <w:autoSpaceDN/>
        <w:bidi w:val="0"/>
        <w:spacing w:line="600" w:lineRule="exact"/>
        <w:jc w:val="both"/>
        <w:textAlignment w:val="auto"/>
        <w:rPr>
          <w:rFonts w:hint="default" w:eastAsia="黑体" w:cs="黑体"/>
          <w:sz w:val="32"/>
          <w:szCs w:val="32"/>
          <w:lang w:val="en-US" w:eastAsia="zh-CN"/>
        </w:rPr>
      </w:pPr>
    </w:p>
    <w:p w14:paraId="2AA2D4AA">
      <w:pPr>
        <w:pStyle w:val="9"/>
        <w:keepNext w:val="0"/>
        <w:keepLines w:val="0"/>
        <w:pageBreakBefore w:val="0"/>
        <w:kinsoku/>
        <w:wordWrap/>
        <w:overflowPunct/>
        <w:topLinePunct w:val="0"/>
        <w:autoSpaceDE/>
        <w:autoSpaceDN/>
        <w:bidi w:val="0"/>
        <w:spacing w:line="600" w:lineRule="exact"/>
        <w:jc w:val="both"/>
        <w:textAlignment w:val="auto"/>
        <w:rPr>
          <w:rFonts w:hint="default" w:eastAsia="黑体" w:cs="黑体"/>
          <w:sz w:val="32"/>
          <w:szCs w:val="32"/>
          <w:lang w:val="en-US" w:eastAsia="zh-CN"/>
        </w:rPr>
        <w:sectPr>
          <w:footerReference r:id="rId11" w:type="default"/>
          <w:type w:val="continuous"/>
          <w:pgSz w:w="11906" w:h="16838"/>
          <w:pgMar w:top="1440" w:right="1800" w:bottom="1440" w:left="1800" w:header="851" w:footer="992" w:gutter="0"/>
          <w:pgNumType w:fmt="decimal"/>
          <w:cols w:space="425" w:num="1"/>
          <w:docGrid w:type="lines" w:linePitch="312" w:charSpace="0"/>
        </w:sectPr>
      </w:pPr>
    </w:p>
    <w:p w14:paraId="1C2868FE">
      <w:pPr>
        <w:spacing w:line="600" w:lineRule="exact"/>
        <w:jc w:val="center"/>
        <w:outlineLvl w:val="0"/>
        <w:rPr>
          <w:rFonts w:ascii="Times New Roman" w:hAnsi="Times New Roman" w:eastAsia="仿宋_GB2312" w:cs="Times New Roman"/>
          <w:b w:val="0"/>
        </w:rPr>
      </w:pPr>
      <w:bookmarkStart w:id="74" w:name="_Toc18287"/>
      <w:bookmarkStart w:id="75" w:name="_Toc15396618"/>
      <w:r>
        <w:rPr>
          <w:rFonts w:hint="eastAsia" w:ascii="方正小标宋简体" w:hAnsi="黑体" w:eastAsia="方正小标宋简体"/>
          <w:sz w:val="44"/>
          <w:szCs w:val="44"/>
        </w:rPr>
        <w:t>第</w:t>
      </w:r>
      <w:r>
        <w:rPr>
          <w:rStyle w:val="31"/>
          <w:rFonts w:hint="eastAsia" w:ascii="方正小标宋简体" w:hAnsi="黑体" w:eastAsia="方正小标宋简体"/>
          <w:b w:val="0"/>
        </w:rPr>
        <w:t>五部分 附表</w:t>
      </w:r>
      <w:bookmarkEnd w:id="73"/>
      <w:bookmarkEnd w:id="74"/>
      <w:bookmarkEnd w:id="75"/>
      <w:bookmarkStart w:id="76" w:name="_Toc15396619"/>
    </w:p>
    <w:p w14:paraId="07D3323A">
      <w:pPr>
        <w:pStyle w:val="6"/>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b w:val="0"/>
          <w:bCs w:val="0"/>
        </w:rPr>
      </w:pPr>
      <w:bookmarkStart w:id="77" w:name="_Toc21316"/>
      <w:r>
        <w:rPr>
          <w:rFonts w:ascii="Times New Roman" w:hAnsi="Times New Roman" w:eastAsia="仿宋_GB2312" w:cs="Times New Roman"/>
          <w:b w:val="0"/>
        </w:rPr>
        <w:t>一、收</w:t>
      </w:r>
      <w:r>
        <w:rPr>
          <w:rStyle w:val="32"/>
          <w:rFonts w:ascii="Times New Roman" w:hAnsi="Times New Roman" w:eastAsia="仿宋_GB2312" w:cs="Times New Roman"/>
          <w:b w:val="0"/>
          <w:bCs w:val="0"/>
        </w:rPr>
        <w:t>入支出决算总表</w:t>
      </w:r>
      <w:bookmarkEnd w:id="76"/>
      <w:bookmarkEnd w:id="77"/>
    </w:p>
    <w:p w14:paraId="6910F752">
      <w:pPr>
        <w:pStyle w:val="6"/>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bookmarkStart w:id="78" w:name="_Toc1956"/>
      <w:bookmarkStart w:id="79" w:name="_Toc15396620"/>
      <w:r>
        <w:rPr>
          <w:rFonts w:ascii="Times New Roman" w:hAnsi="Times New Roman" w:eastAsia="仿宋_GB2312" w:cs="Times New Roman"/>
          <w:b w:val="0"/>
        </w:rPr>
        <w:t>二、收</w:t>
      </w:r>
      <w:r>
        <w:rPr>
          <w:rStyle w:val="32"/>
          <w:rFonts w:ascii="Times New Roman" w:hAnsi="Times New Roman" w:eastAsia="仿宋_GB2312" w:cs="Times New Roman"/>
          <w:b w:val="0"/>
          <w:bCs w:val="0"/>
        </w:rPr>
        <w:t>入决算表</w:t>
      </w:r>
      <w:bookmarkEnd w:id="78"/>
      <w:bookmarkEnd w:id="79"/>
    </w:p>
    <w:p w14:paraId="483F0703">
      <w:pPr>
        <w:pStyle w:val="6"/>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bookmarkStart w:id="80" w:name="_Toc20629"/>
      <w:bookmarkStart w:id="81" w:name="_Toc15396621"/>
      <w:r>
        <w:rPr>
          <w:rStyle w:val="32"/>
          <w:rFonts w:ascii="Times New Roman" w:hAnsi="Times New Roman" w:eastAsia="仿宋_GB2312" w:cs="Times New Roman"/>
          <w:b w:val="0"/>
          <w:bCs w:val="0"/>
        </w:rPr>
        <w:t>三、</w:t>
      </w:r>
      <w:r>
        <w:rPr>
          <w:rFonts w:ascii="Times New Roman" w:hAnsi="Times New Roman" w:eastAsia="仿宋_GB2312" w:cs="Times New Roman"/>
          <w:b w:val="0"/>
        </w:rPr>
        <w:t>支</w:t>
      </w:r>
      <w:r>
        <w:rPr>
          <w:rStyle w:val="32"/>
          <w:rFonts w:ascii="Times New Roman" w:hAnsi="Times New Roman" w:eastAsia="仿宋_GB2312" w:cs="Times New Roman"/>
          <w:b w:val="0"/>
          <w:bCs w:val="0"/>
        </w:rPr>
        <w:t>出决算表</w:t>
      </w:r>
      <w:bookmarkEnd w:id="80"/>
      <w:bookmarkEnd w:id="81"/>
    </w:p>
    <w:p w14:paraId="10CAE35D">
      <w:pPr>
        <w:pStyle w:val="6"/>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b w:val="0"/>
        </w:rPr>
      </w:pPr>
      <w:bookmarkStart w:id="82" w:name="_Toc14975"/>
      <w:bookmarkStart w:id="83" w:name="_Toc15396622"/>
      <w:r>
        <w:rPr>
          <w:rStyle w:val="32"/>
          <w:rFonts w:ascii="Times New Roman" w:hAnsi="Times New Roman" w:eastAsia="仿宋_GB2312" w:cs="Times New Roman"/>
          <w:b w:val="0"/>
          <w:bCs w:val="0"/>
        </w:rPr>
        <w:t>四、</w:t>
      </w:r>
      <w:r>
        <w:rPr>
          <w:rFonts w:ascii="Times New Roman" w:hAnsi="Times New Roman" w:eastAsia="仿宋_GB2312" w:cs="Times New Roman"/>
          <w:b w:val="0"/>
        </w:rPr>
        <w:t>财</w:t>
      </w:r>
      <w:r>
        <w:rPr>
          <w:rStyle w:val="32"/>
          <w:rFonts w:ascii="Times New Roman" w:hAnsi="Times New Roman" w:eastAsia="仿宋_GB2312" w:cs="Times New Roman"/>
          <w:b w:val="0"/>
          <w:bCs w:val="0"/>
        </w:rPr>
        <w:t>政拨款收入支出决算总表</w:t>
      </w:r>
      <w:bookmarkEnd w:id="82"/>
      <w:bookmarkEnd w:id="83"/>
    </w:p>
    <w:p w14:paraId="53FA4954">
      <w:pPr>
        <w:pStyle w:val="6"/>
        <w:keepNext/>
        <w:keepLines/>
        <w:pageBreakBefore w:val="0"/>
        <w:widowControl w:val="0"/>
        <w:kinsoku/>
        <w:wordWrap/>
        <w:overflowPunct/>
        <w:topLinePunct w:val="0"/>
        <w:autoSpaceDE/>
        <w:autoSpaceDN/>
        <w:bidi w:val="0"/>
        <w:adjustRightInd/>
        <w:snapToGrid/>
        <w:spacing w:line="600" w:lineRule="exact"/>
        <w:textAlignment w:val="auto"/>
        <w:rPr>
          <w:rStyle w:val="32"/>
          <w:rFonts w:ascii="Times New Roman" w:hAnsi="Times New Roman" w:eastAsia="仿宋_GB2312" w:cs="Times New Roman"/>
          <w:b w:val="0"/>
          <w:bCs w:val="0"/>
        </w:rPr>
      </w:pPr>
      <w:bookmarkStart w:id="84" w:name="_Toc15396623"/>
      <w:bookmarkStart w:id="85" w:name="_Toc2491"/>
      <w:r>
        <w:rPr>
          <w:rStyle w:val="32"/>
          <w:rFonts w:ascii="Times New Roman" w:hAnsi="Times New Roman" w:eastAsia="仿宋_GB2312" w:cs="Times New Roman"/>
          <w:b w:val="0"/>
          <w:bCs w:val="0"/>
        </w:rPr>
        <w:t>五、</w:t>
      </w:r>
      <w:r>
        <w:rPr>
          <w:rFonts w:ascii="Times New Roman" w:hAnsi="Times New Roman" w:eastAsia="仿宋_GB2312" w:cs="Times New Roman"/>
          <w:b w:val="0"/>
        </w:rPr>
        <w:t>财</w:t>
      </w:r>
      <w:r>
        <w:rPr>
          <w:rStyle w:val="32"/>
          <w:rFonts w:ascii="Times New Roman" w:hAnsi="Times New Roman" w:eastAsia="仿宋_GB2312" w:cs="Times New Roman"/>
          <w:b w:val="0"/>
          <w:bCs w:val="0"/>
        </w:rPr>
        <w:t>政拨款支出决算明细表</w:t>
      </w:r>
      <w:bookmarkEnd w:id="84"/>
      <w:bookmarkEnd w:id="85"/>
      <w:bookmarkStart w:id="86" w:name="_Toc15396624"/>
    </w:p>
    <w:p w14:paraId="26967B35">
      <w:pPr>
        <w:pStyle w:val="6"/>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bookmarkStart w:id="87" w:name="_Toc9102"/>
      <w:r>
        <w:rPr>
          <w:rStyle w:val="32"/>
          <w:rFonts w:ascii="Times New Roman" w:hAnsi="Times New Roman" w:eastAsia="仿宋_GB2312" w:cs="Times New Roman"/>
          <w:b w:val="0"/>
          <w:bCs w:val="0"/>
        </w:rPr>
        <w:t>六、</w:t>
      </w:r>
      <w:r>
        <w:rPr>
          <w:rFonts w:ascii="Times New Roman" w:hAnsi="Times New Roman" w:eastAsia="仿宋_GB2312" w:cs="Times New Roman"/>
          <w:b w:val="0"/>
        </w:rPr>
        <w:t>一</w:t>
      </w:r>
      <w:r>
        <w:rPr>
          <w:rStyle w:val="32"/>
          <w:rFonts w:ascii="Times New Roman" w:hAnsi="Times New Roman" w:eastAsia="仿宋_GB2312" w:cs="Times New Roman"/>
          <w:b w:val="0"/>
          <w:bCs w:val="0"/>
        </w:rPr>
        <w:t>般公共预算财政拨款支出决算表</w:t>
      </w:r>
      <w:bookmarkEnd w:id="86"/>
      <w:bookmarkEnd w:id="87"/>
    </w:p>
    <w:p w14:paraId="7272AB9B">
      <w:pPr>
        <w:pStyle w:val="6"/>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bookmarkStart w:id="88" w:name="_Toc29748"/>
      <w:bookmarkStart w:id="89" w:name="_Toc15396625"/>
      <w:r>
        <w:rPr>
          <w:rStyle w:val="32"/>
          <w:rFonts w:ascii="Times New Roman" w:hAnsi="Times New Roman" w:eastAsia="仿宋_GB2312" w:cs="Times New Roman"/>
          <w:b w:val="0"/>
          <w:bCs w:val="0"/>
        </w:rPr>
        <w:t>七、</w:t>
      </w:r>
      <w:r>
        <w:rPr>
          <w:rFonts w:ascii="Times New Roman" w:hAnsi="Times New Roman" w:eastAsia="仿宋_GB2312" w:cs="Times New Roman"/>
          <w:b w:val="0"/>
        </w:rPr>
        <w:t>一</w:t>
      </w:r>
      <w:r>
        <w:rPr>
          <w:rStyle w:val="32"/>
          <w:rFonts w:ascii="Times New Roman" w:hAnsi="Times New Roman" w:eastAsia="仿宋_GB2312" w:cs="Times New Roman"/>
          <w:b w:val="0"/>
          <w:bCs w:val="0"/>
        </w:rPr>
        <w:t>般公共预算财政拨款支出决算明细表</w:t>
      </w:r>
      <w:bookmarkEnd w:id="88"/>
      <w:bookmarkEnd w:id="89"/>
    </w:p>
    <w:p w14:paraId="05FB9F00">
      <w:pPr>
        <w:pStyle w:val="6"/>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bookmarkStart w:id="90" w:name="_Toc15396626"/>
      <w:bookmarkStart w:id="91" w:name="_Toc18898"/>
      <w:r>
        <w:rPr>
          <w:rStyle w:val="32"/>
          <w:rFonts w:ascii="Times New Roman" w:hAnsi="Times New Roman" w:eastAsia="仿宋_GB2312" w:cs="Times New Roman"/>
          <w:b w:val="0"/>
          <w:bCs w:val="0"/>
        </w:rPr>
        <w:t>八、</w:t>
      </w:r>
      <w:r>
        <w:rPr>
          <w:rFonts w:ascii="Times New Roman" w:hAnsi="Times New Roman" w:eastAsia="仿宋_GB2312" w:cs="Times New Roman"/>
          <w:b w:val="0"/>
        </w:rPr>
        <w:t>一</w:t>
      </w:r>
      <w:r>
        <w:rPr>
          <w:rStyle w:val="32"/>
          <w:rFonts w:ascii="Times New Roman" w:hAnsi="Times New Roman" w:eastAsia="仿宋_GB2312" w:cs="Times New Roman"/>
          <w:b w:val="0"/>
          <w:bCs w:val="0"/>
        </w:rPr>
        <w:t>般公共预算财政拨款基本支出决算</w:t>
      </w:r>
      <w:r>
        <w:rPr>
          <w:rStyle w:val="32"/>
          <w:rFonts w:hint="eastAsia" w:ascii="Times New Roman" w:hAnsi="Times New Roman" w:eastAsia="仿宋_GB2312" w:cs="Times New Roman"/>
          <w:b w:val="0"/>
          <w:bCs w:val="0"/>
          <w:lang w:eastAsia="zh-CN"/>
        </w:rPr>
        <w:t>明细</w:t>
      </w:r>
      <w:r>
        <w:rPr>
          <w:rStyle w:val="32"/>
          <w:rFonts w:ascii="Times New Roman" w:hAnsi="Times New Roman" w:eastAsia="仿宋_GB2312" w:cs="Times New Roman"/>
          <w:b w:val="0"/>
          <w:bCs w:val="0"/>
        </w:rPr>
        <w:t>表</w:t>
      </w:r>
      <w:bookmarkEnd w:id="90"/>
      <w:bookmarkEnd w:id="91"/>
    </w:p>
    <w:p w14:paraId="06208446">
      <w:pPr>
        <w:pStyle w:val="6"/>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bookmarkStart w:id="92" w:name="_Toc19573"/>
      <w:bookmarkStart w:id="93" w:name="_Toc15396627"/>
      <w:r>
        <w:rPr>
          <w:rStyle w:val="32"/>
          <w:rFonts w:ascii="Times New Roman" w:hAnsi="Times New Roman" w:eastAsia="仿宋_GB2312" w:cs="Times New Roman"/>
          <w:b w:val="0"/>
          <w:bCs w:val="0"/>
        </w:rPr>
        <w:t>九、</w:t>
      </w:r>
      <w:r>
        <w:rPr>
          <w:rFonts w:ascii="Times New Roman" w:hAnsi="Times New Roman" w:eastAsia="仿宋_GB2312" w:cs="Times New Roman"/>
          <w:b w:val="0"/>
        </w:rPr>
        <w:t>一</w:t>
      </w:r>
      <w:r>
        <w:rPr>
          <w:rStyle w:val="32"/>
          <w:rFonts w:ascii="Times New Roman" w:hAnsi="Times New Roman" w:eastAsia="仿宋_GB2312" w:cs="Times New Roman"/>
          <w:b w:val="0"/>
          <w:bCs w:val="0"/>
        </w:rPr>
        <w:t>般公共预算财政拨款项目支出决算表</w:t>
      </w:r>
      <w:bookmarkEnd w:id="92"/>
      <w:bookmarkEnd w:id="93"/>
    </w:p>
    <w:p w14:paraId="5ABE63A8">
      <w:pPr>
        <w:pStyle w:val="6"/>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bookmarkStart w:id="94" w:name="_Toc15396628"/>
      <w:bookmarkStart w:id="95" w:name="_Toc27523"/>
      <w:r>
        <w:rPr>
          <w:rStyle w:val="32"/>
          <w:rFonts w:ascii="Times New Roman" w:hAnsi="Times New Roman" w:eastAsia="仿宋_GB2312" w:cs="Times New Roman"/>
          <w:b w:val="0"/>
          <w:bCs w:val="0"/>
        </w:rPr>
        <w:t>十、</w:t>
      </w:r>
      <w:bookmarkEnd w:id="94"/>
      <w:r>
        <w:rPr>
          <w:rFonts w:ascii="Times New Roman" w:hAnsi="Times New Roman" w:eastAsia="仿宋_GB2312" w:cs="Times New Roman"/>
          <w:b w:val="0"/>
        </w:rPr>
        <w:t>政</w:t>
      </w:r>
      <w:r>
        <w:rPr>
          <w:rStyle w:val="32"/>
          <w:rFonts w:ascii="Times New Roman" w:hAnsi="Times New Roman" w:eastAsia="仿宋_GB2312" w:cs="Times New Roman"/>
          <w:b w:val="0"/>
          <w:bCs w:val="0"/>
        </w:rPr>
        <w:t>府性基金预算财政拨款收入支出决算表</w:t>
      </w:r>
      <w:bookmarkEnd w:id="95"/>
    </w:p>
    <w:p w14:paraId="55A73571">
      <w:pPr>
        <w:pStyle w:val="6"/>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bookmarkStart w:id="96" w:name="_Toc15396629"/>
      <w:bookmarkStart w:id="97" w:name="_Toc17700"/>
      <w:r>
        <w:rPr>
          <w:rStyle w:val="32"/>
          <w:rFonts w:ascii="Times New Roman" w:hAnsi="Times New Roman" w:eastAsia="仿宋_GB2312" w:cs="Times New Roman"/>
          <w:b w:val="0"/>
          <w:bCs w:val="0"/>
        </w:rPr>
        <w:t>十一、</w:t>
      </w:r>
      <w:bookmarkEnd w:id="96"/>
      <w:r>
        <w:rPr>
          <w:rFonts w:ascii="Times New Roman" w:hAnsi="Times New Roman" w:eastAsia="仿宋_GB2312" w:cs="Times New Roman"/>
          <w:b w:val="0"/>
        </w:rPr>
        <w:t>国</w:t>
      </w:r>
      <w:r>
        <w:rPr>
          <w:rStyle w:val="32"/>
          <w:rFonts w:ascii="Times New Roman" w:hAnsi="Times New Roman" w:eastAsia="仿宋_GB2312" w:cs="Times New Roman"/>
          <w:b w:val="0"/>
          <w:bCs w:val="0"/>
        </w:rPr>
        <w:t>有资本经营预算财政拨款收入支出决算表</w:t>
      </w:r>
      <w:bookmarkEnd w:id="97"/>
    </w:p>
    <w:p w14:paraId="4C395BFF">
      <w:pPr>
        <w:pStyle w:val="6"/>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bookmarkStart w:id="98" w:name="_Toc15396630"/>
      <w:bookmarkStart w:id="99" w:name="_Toc20690"/>
      <w:r>
        <w:rPr>
          <w:rStyle w:val="32"/>
          <w:rFonts w:ascii="Times New Roman" w:hAnsi="Times New Roman" w:eastAsia="仿宋_GB2312" w:cs="Times New Roman"/>
          <w:b w:val="0"/>
          <w:bCs w:val="0"/>
        </w:rPr>
        <w:t>十二、</w:t>
      </w:r>
      <w:bookmarkEnd w:id="98"/>
      <w:r>
        <w:rPr>
          <w:rStyle w:val="32"/>
          <w:rFonts w:ascii="Times New Roman" w:hAnsi="Times New Roman" w:eastAsia="仿宋_GB2312" w:cs="Times New Roman"/>
          <w:b w:val="0"/>
          <w:bCs w:val="0"/>
        </w:rPr>
        <w:t>国有资本经营预算财政拨款支出决算表</w:t>
      </w:r>
      <w:bookmarkEnd w:id="99"/>
    </w:p>
    <w:p w14:paraId="72F9FCD0">
      <w:pPr>
        <w:pStyle w:val="6"/>
        <w:keepNext/>
        <w:keepLines/>
        <w:pageBreakBefore w:val="0"/>
        <w:widowControl w:val="0"/>
        <w:kinsoku/>
        <w:wordWrap/>
        <w:overflowPunct/>
        <w:topLinePunct w:val="0"/>
        <w:autoSpaceDE/>
        <w:autoSpaceDN/>
        <w:bidi w:val="0"/>
        <w:adjustRightInd/>
        <w:snapToGrid/>
        <w:spacing w:line="600" w:lineRule="exact"/>
        <w:textAlignment w:val="auto"/>
        <w:rPr>
          <w:rStyle w:val="32"/>
          <w:rFonts w:hint="default" w:ascii="Times New Roman" w:hAnsi="Times New Roman" w:eastAsia="仿宋_GB2312" w:cs="Times New Roman"/>
          <w:b w:val="0"/>
          <w:bCs w:val="0"/>
          <w:lang w:val="en-US" w:eastAsia="zh-CN"/>
        </w:rPr>
      </w:pPr>
      <w:bookmarkStart w:id="100" w:name="_Toc15396631"/>
      <w:bookmarkStart w:id="101" w:name="_Toc27975"/>
      <w:r>
        <w:rPr>
          <w:rStyle w:val="32"/>
          <w:rFonts w:ascii="Times New Roman" w:hAnsi="Times New Roman" w:eastAsia="仿宋_GB2312" w:cs="Times New Roman"/>
          <w:b w:val="0"/>
          <w:bCs w:val="0"/>
        </w:rPr>
        <w:t>十三、</w:t>
      </w:r>
      <w:bookmarkEnd w:id="100"/>
      <w:r>
        <w:rPr>
          <w:rStyle w:val="32"/>
          <w:rFonts w:ascii="Times New Roman" w:hAnsi="Times New Roman" w:eastAsia="仿宋_GB2312" w:cs="Times New Roman"/>
          <w:b w:val="0"/>
          <w:bCs w:val="0"/>
        </w:rPr>
        <w:t>财政拨款“三公”经费支出决算表</w:t>
      </w:r>
      <w:bookmarkEnd w:id="101"/>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1199765"/>
      <w:docPartObj>
        <w:docPartGallery w:val="autotext"/>
      </w:docPartObj>
    </w:sdtPr>
    <w:sdtContent>
      <w:p w14:paraId="0529F65B">
        <w:pPr>
          <w:pStyle w:val="12"/>
          <w:jc w:val="center"/>
        </w:pPr>
        <w:r>
          <w:fldChar w:fldCharType="begin"/>
        </w:r>
        <w:r>
          <w:instrText xml:space="preserve">PAGE   \* MERGEFORMAT</w:instrText>
        </w:r>
        <w:r>
          <w:fldChar w:fldCharType="separate"/>
        </w:r>
        <w:r>
          <w:rPr>
            <w:lang w:val="zh-CN"/>
          </w:rPr>
          <w:t>5</w:t>
        </w:r>
        <w:r>
          <w:fldChar w:fldCharType="end"/>
        </w:r>
      </w:p>
    </w:sdtContent>
  </w:sdt>
  <w:p w14:paraId="208FAD8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E84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B6F95">
    <w:pPr>
      <w:pStyle w:val="12"/>
    </w:pPr>
  </w:p>
  <w:p w14:paraId="5779E28E">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9A9BD">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2114"/>
    </w:sdtPr>
    <w:sdtContent>
      <w:p w14:paraId="2D50EFA8">
        <w:pPr>
          <w:pStyle w:val="12"/>
          <w:jc w:val="center"/>
        </w:pPr>
        <w:r>
          <w:fldChar w:fldCharType="begin"/>
        </w:r>
        <w:r>
          <w:instrText xml:space="preserve">PAGE   \* MERGEFORMAT</w:instrText>
        </w:r>
        <w:r>
          <w:fldChar w:fldCharType="separate"/>
        </w:r>
        <w:r>
          <w:rPr>
            <w:lang w:val="zh-CN"/>
          </w:rPr>
          <w:t>13</w:t>
        </w:r>
        <w:r>
          <w:fldChar w:fldCharType="end"/>
        </w:r>
      </w:p>
    </w:sdtContent>
  </w:sdt>
  <w:p w14:paraId="722ED559">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81A22">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683"/>
                          </w:sdtPr>
                          <w:sdtContent>
                            <w:p w14:paraId="31451443">
                              <w:pPr>
                                <w:pStyle w:val="12"/>
                                <w:jc w:val="center"/>
                              </w:pPr>
                              <w:r>
                                <w:fldChar w:fldCharType="begin"/>
                              </w:r>
                              <w:r>
                                <w:instrText xml:space="preserve">PAGE   \* MERGEFORMAT</w:instrText>
                              </w:r>
                              <w:r>
                                <w:fldChar w:fldCharType="separate"/>
                              </w:r>
                              <w:r>
                                <w:rPr>
                                  <w:lang w:val="zh-CN"/>
                                </w:rPr>
                                <w:t>13</w:t>
                              </w:r>
                              <w:r>
                                <w:fldChar w:fldCharType="end"/>
                              </w:r>
                            </w:p>
                          </w:sdtContent>
                        </w:sdt>
                        <w:p w14:paraId="55605BFB">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77683"/>
                    </w:sdtPr>
                    <w:sdtContent>
                      <w:p w14:paraId="31451443">
                        <w:pPr>
                          <w:pStyle w:val="12"/>
                          <w:jc w:val="center"/>
                        </w:pPr>
                        <w:r>
                          <w:fldChar w:fldCharType="begin"/>
                        </w:r>
                        <w:r>
                          <w:instrText xml:space="preserve">PAGE   \* MERGEFORMAT</w:instrText>
                        </w:r>
                        <w:r>
                          <w:fldChar w:fldCharType="separate"/>
                        </w:r>
                        <w:r>
                          <w:rPr>
                            <w:lang w:val="zh-CN"/>
                          </w:rPr>
                          <w:t>13</w:t>
                        </w:r>
                        <w:r>
                          <w:fldChar w:fldCharType="end"/>
                        </w:r>
                      </w:p>
                    </w:sdtContent>
                  </w:sdt>
                  <w:p w14:paraId="55605BFB">
                    <w:pPr>
                      <w:pStyle w:val="9"/>
                    </w:pPr>
                  </w:p>
                </w:txbxContent>
              </v:textbox>
            </v:shape>
          </w:pict>
        </mc:Fallback>
      </mc:AlternateContent>
    </w:r>
  </w:p>
  <w:p w14:paraId="6F629250">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7265">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957"/>
                          </w:sdtPr>
                          <w:sdtContent>
                            <w:p w14:paraId="3CAE2608">
                              <w:pPr>
                                <w:pStyle w:val="12"/>
                                <w:jc w:val="center"/>
                              </w:pPr>
                              <w:r>
                                <w:fldChar w:fldCharType="begin"/>
                              </w:r>
                              <w:r>
                                <w:instrText xml:space="preserve">PAGE   \* MERGEFORMAT</w:instrText>
                              </w:r>
                              <w:r>
                                <w:fldChar w:fldCharType="separate"/>
                              </w:r>
                              <w:r>
                                <w:rPr>
                                  <w:lang w:val="zh-CN"/>
                                </w:rPr>
                                <w:t>13</w:t>
                              </w:r>
                              <w:r>
                                <w:fldChar w:fldCharType="end"/>
                              </w:r>
                            </w:p>
                          </w:sdtContent>
                        </w:sdt>
                        <w:p w14:paraId="3E9A032F">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77957"/>
                    </w:sdtPr>
                    <w:sdtContent>
                      <w:p w14:paraId="3CAE2608">
                        <w:pPr>
                          <w:pStyle w:val="12"/>
                          <w:jc w:val="center"/>
                        </w:pPr>
                        <w:r>
                          <w:fldChar w:fldCharType="begin"/>
                        </w:r>
                        <w:r>
                          <w:instrText xml:space="preserve">PAGE   \* MERGEFORMAT</w:instrText>
                        </w:r>
                        <w:r>
                          <w:fldChar w:fldCharType="separate"/>
                        </w:r>
                        <w:r>
                          <w:rPr>
                            <w:lang w:val="zh-CN"/>
                          </w:rPr>
                          <w:t>13</w:t>
                        </w:r>
                        <w:r>
                          <w:fldChar w:fldCharType="end"/>
                        </w:r>
                      </w:p>
                    </w:sdtContent>
                  </w:sdt>
                  <w:p w14:paraId="3E9A032F">
                    <w:pPr>
                      <w:pStyle w:val="9"/>
                    </w:pPr>
                  </w:p>
                </w:txbxContent>
              </v:textbox>
            </v:shape>
          </w:pict>
        </mc:Fallback>
      </mc:AlternateContent>
    </w:r>
  </w:p>
  <w:p w14:paraId="5DEEA4FD">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12C28">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84BD4">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ZDVmMTI1ZWI2YWFjMjQ1MzJhMzY5MTg2YjQ2OTQifQ=="/>
  </w:docVars>
  <w:rsids>
    <w:rsidRoot w:val="00F1361C"/>
    <w:rsid w:val="000025BF"/>
    <w:rsid w:val="000118E5"/>
    <w:rsid w:val="000142FB"/>
    <w:rsid w:val="000222C6"/>
    <w:rsid w:val="0002549F"/>
    <w:rsid w:val="000468DB"/>
    <w:rsid w:val="00053B74"/>
    <w:rsid w:val="0006487A"/>
    <w:rsid w:val="00065F8F"/>
    <w:rsid w:val="00070A43"/>
    <w:rsid w:val="000768F2"/>
    <w:rsid w:val="00090E50"/>
    <w:rsid w:val="0009184B"/>
    <w:rsid w:val="00094236"/>
    <w:rsid w:val="0009593C"/>
    <w:rsid w:val="00097322"/>
    <w:rsid w:val="000A6A92"/>
    <w:rsid w:val="000B047F"/>
    <w:rsid w:val="000B1D1B"/>
    <w:rsid w:val="000B5923"/>
    <w:rsid w:val="000B5A48"/>
    <w:rsid w:val="000B6FF3"/>
    <w:rsid w:val="000B76E1"/>
    <w:rsid w:val="000B7774"/>
    <w:rsid w:val="000C3467"/>
    <w:rsid w:val="000C3CA6"/>
    <w:rsid w:val="000D1267"/>
    <w:rsid w:val="000D1D50"/>
    <w:rsid w:val="000D5782"/>
    <w:rsid w:val="000E6613"/>
    <w:rsid w:val="000E7119"/>
    <w:rsid w:val="000F3458"/>
    <w:rsid w:val="00114E9B"/>
    <w:rsid w:val="00115EF5"/>
    <w:rsid w:val="0011795C"/>
    <w:rsid w:val="00134202"/>
    <w:rsid w:val="0013661A"/>
    <w:rsid w:val="00142216"/>
    <w:rsid w:val="00142BC9"/>
    <w:rsid w:val="00144D6A"/>
    <w:rsid w:val="0014729F"/>
    <w:rsid w:val="0015385A"/>
    <w:rsid w:val="00157BAB"/>
    <w:rsid w:val="00164A9B"/>
    <w:rsid w:val="001654D1"/>
    <w:rsid w:val="00174518"/>
    <w:rsid w:val="0018106D"/>
    <w:rsid w:val="001877A7"/>
    <w:rsid w:val="00191536"/>
    <w:rsid w:val="00196687"/>
    <w:rsid w:val="00197B07"/>
    <w:rsid w:val="001B0DAC"/>
    <w:rsid w:val="001B3FEC"/>
    <w:rsid w:val="001C0962"/>
    <w:rsid w:val="001D7531"/>
    <w:rsid w:val="001E737D"/>
    <w:rsid w:val="001E7500"/>
    <w:rsid w:val="001F0592"/>
    <w:rsid w:val="001F5797"/>
    <w:rsid w:val="001F7506"/>
    <w:rsid w:val="002006CD"/>
    <w:rsid w:val="00202B36"/>
    <w:rsid w:val="00203F34"/>
    <w:rsid w:val="00204B7A"/>
    <w:rsid w:val="00204CDE"/>
    <w:rsid w:val="0021101A"/>
    <w:rsid w:val="00220536"/>
    <w:rsid w:val="00220E9F"/>
    <w:rsid w:val="00222D42"/>
    <w:rsid w:val="0022527F"/>
    <w:rsid w:val="00235629"/>
    <w:rsid w:val="00257344"/>
    <w:rsid w:val="00260C38"/>
    <w:rsid w:val="0026130D"/>
    <w:rsid w:val="002616C0"/>
    <w:rsid w:val="00264B6E"/>
    <w:rsid w:val="00265372"/>
    <w:rsid w:val="002662AA"/>
    <w:rsid w:val="00267522"/>
    <w:rsid w:val="00272AFC"/>
    <w:rsid w:val="00280496"/>
    <w:rsid w:val="00294DC9"/>
    <w:rsid w:val="00295495"/>
    <w:rsid w:val="002A31DE"/>
    <w:rsid w:val="002A66F7"/>
    <w:rsid w:val="002B2613"/>
    <w:rsid w:val="002D3475"/>
    <w:rsid w:val="002D621A"/>
    <w:rsid w:val="002D6D05"/>
    <w:rsid w:val="002E5C30"/>
    <w:rsid w:val="002F1818"/>
    <w:rsid w:val="002F5467"/>
    <w:rsid w:val="002F567B"/>
    <w:rsid w:val="00317ED5"/>
    <w:rsid w:val="003216A9"/>
    <w:rsid w:val="00335A74"/>
    <w:rsid w:val="0036561B"/>
    <w:rsid w:val="0037013F"/>
    <w:rsid w:val="00380C92"/>
    <w:rsid w:val="00393732"/>
    <w:rsid w:val="003942D9"/>
    <w:rsid w:val="00397F18"/>
    <w:rsid w:val="003A484F"/>
    <w:rsid w:val="003A4883"/>
    <w:rsid w:val="003B0BE0"/>
    <w:rsid w:val="003B0C1B"/>
    <w:rsid w:val="003B688C"/>
    <w:rsid w:val="003C0291"/>
    <w:rsid w:val="003C2C75"/>
    <w:rsid w:val="003C39AE"/>
    <w:rsid w:val="003C4B0A"/>
    <w:rsid w:val="003C6115"/>
    <w:rsid w:val="003C7B60"/>
    <w:rsid w:val="003D0C0F"/>
    <w:rsid w:val="003D1FB2"/>
    <w:rsid w:val="003D66DA"/>
    <w:rsid w:val="003E1310"/>
    <w:rsid w:val="003E6F55"/>
    <w:rsid w:val="003F5A95"/>
    <w:rsid w:val="00400C4F"/>
    <w:rsid w:val="00406254"/>
    <w:rsid w:val="004223DE"/>
    <w:rsid w:val="00424F7F"/>
    <w:rsid w:val="00427AF9"/>
    <w:rsid w:val="00427DED"/>
    <w:rsid w:val="00434489"/>
    <w:rsid w:val="00437085"/>
    <w:rsid w:val="00443880"/>
    <w:rsid w:val="004464F4"/>
    <w:rsid w:val="00457ADC"/>
    <w:rsid w:val="004634D7"/>
    <w:rsid w:val="00466665"/>
    <w:rsid w:val="00471401"/>
    <w:rsid w:val="00473F31"/>
    <w:rsid w:val="0048263A"/>
    <w:rsid w:val="00487E5D"/>
    <w:rsid w:val="00491B47"/>
    <w:rsid w:val="004A0C28"/>
    <w:rsid w:val="004A711F"/>
    <w:rsid w:val="004B199D"/>
    <w:rsid w:val="004B4690"/>
    <w:rsid w:val="004C419E"/>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0AE2"/>
    <w:rsid w:val="005D1C8B"/>
    <w:rsid w:val="005D3E3F"/>
    <w:rsid w:val="005D468D"/>
    <w:rsid w:val="005D5CED"/>
    <w:rsid w:val="005D5D06"/>
    <w:rsid w:val="005E1B97"/>
    <w:rsid w:val="005F1A4C"/>
    <w:rsid w:val="00605688"/>
    <w:rsid w:val="006070AF"/>
    <w:rsid w:val="00607E6C"/>
    <w:rsid w:val="006101B1"/>
    <w:rsid w:val="00614E44"/>
    <w:rsid w:val="00615111"/>
    <w:rsid w:val="0062270A"/>
    <w:rsid w:val="00622830"/>
    <w:rsid w:val="00623DA0"/>
    <w:rsid w:val="00630AEF"/>
    <w:rsid w:val="006325F8"/>
    <w:rsid w:val="00633463"/>
    <w:rsid w:val="00634877"/>
    <w:rsid w:val="00634C9A"/>
    <w:rsid w:val="00642FBC"/>
    <w:rsid w:val="00643548"/>
    <w:rsid w:val="006440E4"/>
    <w:rsid w:val="00651731"/>
    <w:rsid w:val="0066343B"/>
    <w:rsid w:val="00664777"/>
    <w:rsid w:val="006748A4"/>
    <w:rsid w:val="00681A31"/>
    <w:rsid w:val="00683E73"/>
    <w:rsid w:val="00683F4D"/>
    <w:rsid w:val="0068689D"/>
    <w:rsid w:val="006A3141"/>
    <w:rsid w:val="006A5E34"/>
    <w:rsid w:val="006B2422"/>
    <w:rsid w:val="006B2B9A"/>
    <w:rsid w:val="006C1937"/>
    <w:rsid w:val="006C41EC"/>
    <w:rsid w:val="006F020C"/>
    <w:rsid w:val="006F1CC4"/>
    <w:rsid w:val="00702EB1"/>
    <w:rsid w:val="007127B7"/>
    <w:rsid w:val="0071798E"/>
    <w:rsid w:val="007416B6"/>
    <w:rsid w:val="00746F48"/>
    <w:rsid w:val="0075404D"/>
    <w:rsid w:val="007540CD"/>
    <w:rsid w:val="0076182A"/>
    <w:rsid w:val="0076379C"/>
    <w:rsid w:val="00767B7E"/>
    <w:rsid w:val="007770C3"/>
    <w:rsid w:val="00784D24"/>
    <w:rsid w:val="00785FBA"/>
    <w:rsid w:val="00786E4A"/>
    <w:rsid w:val="007875EB"/>
    <w:rsid w:val="00792A25"/>
    <w:rsid w:val="0079426B"/>
    <w:rsid w:val="007A6E17"/>
    <w:rsid w:val="007D1682"/>
    <w:rsid w:val="007D312A"/>
    <w:rsid w:val="007D3F19"/>
    <w:rsid w:val="007E23B0"/>
    <w:rsid w:val="007E23E5"/>
    <w:rsid w:val="007E7E6C"/>
    <w:rsid w:val="007F0140"/>
    <w:rsid w:val="007F1991"/>
    <w:rsid w:val="007F2016"/>
    <w:rsid w:val="007F2C2F"/>
    <w:rsid w:val="007F55FC"/>
    <w:rsid w:val="007F5665"/>
    <w:rsid w:val="00800112"/>
    <w:rsid w:val="00813348"/>
    <w:rsid w:val="008253BB"/>
    <w:rsid w:val="0083706E"/>
    <w:rsid w:val="008408F6"/>
    <w:rsid w:val="008423A5"/>
    <w:rsid w:val="00850625"/>
    <w:rsid w:val="00853718"/>
    <w:rsid w:val="00855221"/>
    <w:rsid w:val="0085581D"/>
    <w:rsid w:val="00860645"/>
    <w:rsid w:val="00871F71"/>
    <w:rsid w:val="00872FD8"/>
    <w:rsid w:val="00885AF4"/>
    <w:rsid w:val="00887500"/>
    <w:rsid w:val="008939CD"/>
    <w:rsid w:val="008B1CA9"/>
    <w:rsid w:val="008B65E2"/>
    <w:rsid w:val="008B768C"/>
    <w:rsid w:val="008C4DB1"/>
    <w:rsid w:val="008C4EAF"/>
    <w:rsid w:val="008C5176"/>
    <w:rsid w:val="008C7FD0"/>
    <w:rsid w:val="008E1DE7"/>
    <w:rsid w:val="008E41FF"/>
    <w:rsid w:val="008E707C"/>
    <w:rsid w:val="008F7771"/>
    <w:rsid w:val="00900B08"/>
    <w:rsid w:val="00902155"/>
    <w:rsid w:val="00902FA3"/>
    <w:rsid w:val="00923564"/>
    <w:rsid w:val="0092392E"/>
    <w:rsid w:val="009315F9"/>
    <w:rsid w:val="00933499"/>
    <w:rsid w:val="00935C98"/>
    <w:rsid w:val="0094250C"/>
    <w:rsid w:val="00946945"/>
    <w:rsid w:val="00951248"/>
    <w:rsid w:val="0095152F"/>
    <w:rsid w:val="00951F30"/>
    <w:rsid w:val="00954C49"/>
    <w:rsid w:val="00955E37"/>
    <w:rsid w:val="0097099F"/>
    <w:rsid w:val="00971997"/>
    <w:rsid w:val="00971FFC"/>
    <w:rsid w:val="0098660A"/>
    <w:rsid w:val="009931C3"/>
    <w:rsid w:val="009945F5"/>
    <w:rsid w:val="009A793F"/>
    <w:rsid w:val="009B2C43"/>
    <w:rsid w:val="009B4EAE"/>
    <w:rsid w:val="009B7573"/>
    <w:rsid w:val="009C086C"/>
    <w:rsid w:val="009C22F4"/>
    <w:rsid w:val="009C2A4B"/>
    <w:rsid w:val="009C2E98"/>
    <w:rsid w:val="009D3447"/>
    <w:rsid w:val="009D370A"/>
    <w:rsid w:val="009D4711"/>
    <w:rsid w:val="009D5A40"/>
    <w:rsid w:val="009F1185"/>
    <w:rsid w:val="009F18CD"/>
    <w:rsid w:val="009F2A13"/>
    <w:rsid w:val="009F7527"/>
    <w:rsid w:val="00A00547"/>
    <w:rsid w:val="00A04EB0"/>
    <w:rsid w:val="00A13CC1"/>
    <w:rsid w:val="00A16847"/>
    <w:rsid w:val="00A237D8"/>
    <w:rsid w:val="00A268C4"/>
    <w:rsid w:val="00A307CD"/>
    <w:rsid w:val="00A331C8"/>
    <w:rsid w:val="00A40A00"/>
    <w:rsid w:val="00A4142F"/>
    <w:rsid w:val="00A422EB"/>
    <w:rsid w:val="00A45BB7"/>
    <w:rsid w:val="00A538FA"/>
    <w:rsid w:val="00A56DF2"/>
    <w:rsid w:val="00A56E6E"/>
    <w:rsid w:val="00A67AB5"/>
    <w:rsid w:val="00A733B2"/>
    <w:rsid w:val="00A741C2"/>
    <w:rsid w:val="00A9134F"/>
    <w:rsid w:val="00A91760"/>
    <w:rsid w:val="00A93B00"/>
    <w:rsid w:val="00A93C21"/>
    <w:rsid w:val="00AB64C9"/>
    <w:rsid w:val="00AC3C6A"/>
    <w:rsid w:val="00AD5620"/>
    <w:rsid w:val="00AD656B"/>
    <w:rsid w:val="00AD6763"/>
    <w:rsid w:val="00AD7256"/>
    <w:rsid w:val="00AD7C1B"/>
    <w:rsid w:val="00AE16BA"/>
    <w:rsid w:val="00AE1EBE"/>
    <w:rsid w:val="00AF39D8"/>
    <w:rsid w:val="00B03C9D"/>
    <w:rsid w:val="00B060AE"/>
    <w:rsid w:val="00B06681"/>
    <w:rsid w:val="00B10517"/>
    <w:rsid w:val="00B14E76"/>
    <w:rsid w:val="00B161B8"/>
    <w:rsid w:val="00B2048C"/>
    <w:rsid w:val="00B310B9"/>
    <w:rsid w:val="00B35F3F"/>
    <w:rsid w:val="00B36CBB"/>
    <w:rsid w:val="00B425E0"/>
    <w:rsid w:val="00B440AA"/>
    <w:rsid w:val="00B44B70"/>
    <w:rsid w:val="00B53C56"/>
    <w:rsid w:val="00B57DAF"/>
    <w:rsid w:val="00B6127B"/>
    <w:rsid w:val="00B7743C"/>
    <w:rsid w:val="00B77EA6"/>
    <w:rsid w:val="00B81598"/>
    <w:rsid w:val="00B841F1"/>
    <w:rsid w:val="00B84778"/>
    <w:rsid w:val="00B87554"/>
    <w:rsid w:val="00B90A81"/>
    <w:rsid w:val="00B944D6"/>
    <w:rsid w:val="00BA77B1"/>
    <w:rsid w:val="00BB4DF0"/>
    <w:rsid w:val="00BC289F"/>
    <w:rsid w:val="00BC2D50"/>
    <w:rsid w:val="00BC5361"/>
    <w:rsid w:val="00BC5460"/>
    <w:rsid w:val="00BC6B50"/>
    <w:rsid w:val="00BD0E25"/>
    <w:rsid w:val="00BE083A"/>
    <w:rsid w:val="00BE1F13"/>
    <w:rsid w:val="00BF5BD6"/>
    <w:rsid w:val="00C03E31"/>
    <w:rsid w:val="00C33E72"/>
    <w:rsid w:val="00C354B2"/>
    <w:rsid w:val="00C35554"/>
    <w:rsid w:val="00C42709"/>
    <w:rsid w:val="00C533CC"/>
    <w:rsid w:val="00C5751C"/>
    <w:rsid w:val="00C61BFC"/>
    <w:rsid w:val="00C62B85"/>
    <w:rsid w:val="00C65438"/>
    <w:rsid w:val="00C87FD8"/>
    <w:rsid w:val="00C90387"/>
    <w:rsid w:val="00C91381"/>
    <w:rsid w:val="00C91CBB"/>
    <w:rsid w:val="00CB4E70"/>
    <w:rsid w:val="00CC09B6"/>
    <w:rsid w:val="00CC666F"/>
    <w:rsid w:val="00CD1E3F"/>
    <w:rsid w:val="00CE44F6"/>
    <w:rsid w:val="00CE49DA"/>
    <w:rsid w:val="00CE7B61"/>
    <w:rsid w:val="00CF2FD5"/>
    <w:rsid w:val="00D00095"/>
    <w:rsid w:val="00D114F0"/>
    <w:rsid w:val="00D15816"/>
    <w:rsid w:val="00D20620"/>
    <w:rsid w:val="00D254F7"/>
    <w:rsid w:val="00D26091"/>
    <w:rsid w:val="00D2685C"/>
    <w:rsid w:val="00D34E7C"/>
    <w:rsid w:val="00D35489"/>
    <w:rsid w:val="00D36AFE"/>
    <w:rsid w:val="00D51276"/>
    <w:rsid w:val="00D7035F"/>
    <w:rsid w:val="00D7291E"/>
    <w:rsid w:val="00D743B5"/>
    <w:rsid w:val="00DA634F"/>
    <w:rsid w:val="00DA65AC"/>
    <w:rsid w:val="00DA7A1A"/>
    <w:rsid w:val="00DB1913"/>
    <w:rsid w:val="00DB78EC"/>
    <w:rsid w:val="00DC2D02"/>
    <w:rsid w:val="00DC410D"/>
    <w:rsid w:val="00DC5A81"/>
    <w:rsid w:val="00DC68CA"/>
    <w:rsid w:val="00DC7CBA"/>
    <w:rsid w:val="00DD73B7"/>
    <w:rsid w:val="00DE16CF"/>
    <w:rsid w:val="00DF28BC"/>
    <w:rsid w:val="00DF34B9"/>
    <w:rsid w:val="00DF49F1"/>
    <w:rsid w:val="00E01053"/>
    <w:rsid w:val="00E07ACF"/>
    <w:rsid w:val="00E12A45"/>
    <w:rsid w:val="00E331A1"/>
    <w:rsid w:val="00E33202"/>
    <w:rsid w:val="00E336A9"/>
    <w:rsid w:val="00E472B1"/>
    <w:rsid w:val="00E50624"/>
    <w:rsid w:val="00E5174E"/>
    <w:rsid w:val="00E568DF"/>
    <w:rsid w:val="00E64269"/>
    <w:rsid w:val="00E82267"/>
    <w:rsid w:val="00E853CE"/>
    <w:rsid w:val="00E867B6"/>
    <w:rsid w:val="00E90C2C"/>
    <w:rsid w:val="00E96C0B"/>
    <w:rsid w:val="00EA010F"/>
    <w:rsid w:val="00EC0D6B"/>
    <w:rsid w:val="00ED1B63"/>
    <w:rsid w:val="00ED3C1F"/>
    <w:rsid w:val="00ED4085"/>
    <w:rsid w:val="00ED420E"/>
    <w:rsid w:val="00ED6FBE"/>
    <w:rsid w:val="00EE2F57"/>
    <w:rsid w:val="00EF4C34"/>
    <w:rsid w:val="00EF77C6"/>
    <w:rsid w:val="00F05438"/>
    <w:rsid w:val="00F05D1B"/>
    <w:rsid w:val="00F1361C"/>
    <w:rsid w:val="00F156F0"/>
    <w:rsid w:val="00F160C7"/>
    <w:rsid w:val="00F20AE7"/>
    <w:rsid w:val="00F2408F"/>
    <w:rsid w:val="00F240E9"/>
    <w:rsid w:val="00F36D8F"/>
    <w:rsid w:val="00F417B1"/>
    <w:rsid w:val="00F45853"/>
    <w:rsid w:val="00F52A0A"/>
    <w:rsid w:val="00F602DF"/>
    <w:rsid w:val="00F643E3"/>
    <w:rsid w:val="00F666C2"/>
    <w:rsid w:val="00F72C29"/>
    <w:rsid w:val="00F754A1"/>
    <w:rsid w:val="00F81FD9"/>
    <w:rsid w:val="00F841AA"/>
    <w:rsid w:val="00F84A94"/>
    <w:rsid w:val="00F86005"/>
    <w:rsid w:val="00F87E96"/>
    <w:rsid w:val="00F907CF"/>
    <w:rsid w:val="00FA23E8"/>
    <w:rsid w:val="00FA2B23"/>
    <w:rsid w:val="00FC08AF"/>
    <w:rsid w:val="00FD3CC1"/>
    <w:rsid w:val="00FF1E02"/>
    <w:rsid w:val="00FF30B4"/>
    <w:rsid w:val="00FF4922"/>
    <w:rsid w:val="015975B8"/>
    <w:rsid w:val="02143E91"/>
    <w:rsid w:val="02712372"/>
    <w:rsid w:val="030B4515"/>
    <w:rsid w:val="052120A3"/>
    <w:rsid w:val="05FB25F0"/>
    <w:rsid w:val="065A1D10"/>
    <w:rsid w:val="066E0107"/>
    <w:rsid w:val="06E02CF6"/>
    <w:rsid w:val="071E2707"/>
    <w:rsid w:val="07996F6E"/>
    <w:rsid w:val="07A1396F"/>
    <w:rsid w:val="080779CD"/>
    <w:rsid w:val="08800756"/>
    <w:rsid w:val="08FF6B9F"/>
    <w:rsid w:val="09B619C3"/>
    <w:rsid w:val="0A2032A3"/>
    <w:rsid w:val="0A7626B3"/>
    <w:rsid w:val="0ABC164E"/>
    <w:rsid w:val="0ACA330F"/>
    <w:rsid w:val="0B2A34DD"/>
    <w:rsid w:val="0B911F88"/>
    <w:rsid w:val="0BA60DDE"/>
    <w:rsid w:val="0BDF05C2"/>
    <w:rsid w:val="0C30706F"/>
    <w:rsid w:val="0C736E48"/>
    <w:rsid w:val="0CB72376"/>
    <w:rsid w:val="0D0D13CE"/>
    <w:rsid w:val="0DFF319D"/>
    <w:rsid w:val="0E3231CB"/>
    <w:rsid w:val="0E7E61E2"/>
    <w:rsid w:val="0E8302FA"/>
    <w:rsid w:val="0EF35DDD"/>
    <w:rsid w:val="0F98263C"/>
    <w:rsid w:val="0FFC0078"/>
    <w:rsid w:val="101860EC"/>
    <w:rsid w:val="10284C2D"/>
    <w:rsid w:val="109F048E"/>
    <w:rsid w:val="10B4026F"/>
    <w:rsid w:val="10C055FF"/>
    <w:rsid w:val="118107EC"/>
    <w:rsid w:val="12503FC7"/>
    <w:rsid w:val="12753A2E"/>
    <w:rsid w:val="1347361A"/>
    <w:rsid w:val="13D50BC4"/>
    <w:rsid w:val="142A141B"/>
    <w:rsid w:val="147C7CAF"/>
    <w:rsid w:val="157D5E36"/>
    <w:rsid w:val="159E329B"/>
    <w:rsid w:val="161D1BBD"/>
    <w:rsid w:val="16BB723D"/>
    <w:rsid w:val="175372AA"/>
    <w:rsid w:val="17944956"/>
    <w:rsid w:val="182A0E16"/>
    <w:rsid w:val="183C317B"/>
    <w:rsid w:val="185D2485"/>
    <w:rsid w:val="18B47385"/>
    <w:rsid w:val="18BD6943"/>
    <w:rsid w:val="19B906A4"/>
    <w:rsid w:val="19D02E31"/>
    <w:rsid w:val="19E576EB"/>
    <w:rsid w:val="1A1104E0"/>
    <w:rsid w:val="1A983675"/>
    <w:rsid w:val="1AA72BF2"/>
    <w:rsid w:val="1ABC2562"/>
    <w:rsid w:val="1B2B55D1"/>
    <w:rsid w:val="1BE8440E"/>
    <w:rsid w:val="1BF645CC"/>
    <w:rsid w:val="1C120034"/>
    <w:rsid w:val="1C2B1DB5"/>
    <w:rsid w:val="1CE85C0B"/>
    <w:rsid w:val="1CF06AD2"/>
    <w:rsid w:val="1D036806"/>
    <w:rsid w:val="1D155CEE"/>
    <w:rsid w:val="1D295B40"/>
    <w:rsid w:val="1DA5166B"/>
    <w:rsid w:val="1FC20D55"/>
    <w:rsid w:val="1FF35744"/>
    <w:rsid w:val="20FA7F20"/>
    <w:rsid w:val="22610ADC"/>
    <w:rsid w:val="22A84B00"/>
    <w:rsid w:val="22D12F02"/>
    <w:rsid w:val="22E0094F"/>
    <w:rsid w:val="23860B96"/>
    <w:rsid w:val="240371BF"/>
    <w:rsid w:val="2449339B"/>
    <w:rsid w:val="2464070C"/>
    <w:rsid w:val="266C0004"/>
    <w:rsid w:val="26814FF8"/>
    <w:rsid w:val="271D04C4"/>
    <w:rsid w:val="28583A32"/>
    <w:rsid w:val="28B46C06"/>
    <w:rsid w:val="28B60BD0"/>
    <w:rsid w:val="28C35CCE"/>
    <w:rsid w:val="2940493E"/>
    <w:rsid w:val="29475CCC"/>
    <w:rsid w:val="296A1E53"/>
    <w:rsid w:val="299802D6"/>
    <w:rsid w:val="29FD04D3"/>
    <w:rsid w:val="2A9A62D0"/>
    <w:rsid w:val="2BBA471B"/>
    <w:rsid w:val="2C554FCF"/>
    <w:rsid w:val="2C8A61B5"/>
    <w:rsid w:val="2CE22B7B"/>
    <w:rsid w:val="2DF04E50"/>
    <w:rsid w:val="2E8C2F9B"/>
    <w:rsid w:val="2EF15CB9"/>
    <w:rsid w:val="2F040D46"/>
    <w:rsid w:val="2FF7387C"/>
    <w:rsid w:val="30301D66"/>
    <w:rsid w:val="305B205D"/>
    <w:rsid w:val="30D832DB"/>
    <w:rsid w:val="3190375C"/>
    <w:rsid w:val="319F7F4E"/>
    <w:rsid w:val="323068E5"/>
    <w:rsid w:val="32623FC4"/>
    <w:rsid w:val="329F764D"/>
    <w:rsid w:val="32C02951"/>
    <w:rsid w:val="32FD73FC"/>
    <w:rsid w:val="3304709D"/>
    <w:rsid w:val="3328091C"/>
    <w:rsid w:val="33AB32FB"/>
    <w:rsid w:val="3419066A"/>
    <w:rsid w:val="34AB58F7"/>
    <w:rsid w:val="34EA6F4D"/>
    <w:rsid w:val="351D1FD7"/>
    <w:rsid w:val="352E18F4"/>
    <w:rsid w:val="35523A2F"/>
    <w:rsid w:val="35A05A75"/>
    <w:rsid w:val="35F82ECB"/>
    <w:rsid w:val="36274EBB"/>
    <w:rsid w:val="369D1A25"/>
    <w:rsid w:val="36AA5135"/>
    <w:rsid w:val="376D39B2"/>
    <w:rsid w:val="37795AC3"/>
    <w:rsid w:val="37AA4A4E"/>
    <w:rsid w:val="37E16F03"/>
    <w:rsid w:val="37E40B8A"/>
    <w:rsid w:val="38471845"/>
    <w:rsid w:val="38D469F0"/>
    <w:rsid w:val="39A55209"/>
    <w:rsid w:val="3A813D39"/>
    <w:rsid w:val="3AB75066"/>
    <w:rsid w:val="3B64626A"/>
    <w:rsid w:val="3B6A7F86"/>
    <w:rsid w:val="3B8B22B1"/>
    <w:rsid w:val="3C3F60CD"/>
    <w:rsid w:val="3C6B21D6"/>
    <w:rsid w:val="3C9927A2"/>
    <w:rsid w:val="3CB25B0A"/>
    <w:rsid w:val="3CE27D8E"/>
    <w:rsid w:val="3D98207C"/>
    <w:rsid w:val="3DA277F2"/>
    <w:rsid w:val="3E5A1BA6"/>
    <w:rsid w:val="3E78745D"/>
    <w:rsid w:val="3F3E3276"/>
    <w:rsid w:val="3F6D578B"/>
    <w:rsid w:val="3FBC35CE"/>
    <w:rsid w:val="3FCC6AD3"/>
    <w:rsid w:val="434C1C7B"/>
    <w:rsid w:val="43D67F21"/>
    <w:rsid w:val="43DE04B7"/>
    <w:rsid w:val="44020D16"/>
    <w:rsid w:val="44191BBB"/>
    <w:rsid w:val="445B1E9C"/>
    <w:rsid w:val="44A95974"/>
    <w:rsid w:val="44E268DA"/>
    <w:rsid w:val="45B61DB8"/>
    <w:rsid w:val="4620546A"/>
    <w:rsid w:val="47CB21D4"/>
    <w:rsid w:val="48205C0E"/>
    <w:rsid w:val="4867383D"/>
    <w:rsid w:val="489D46DA"/>
    <w:rsid w:val="48E21116"/>
    <w:rsid w:val="49172B6D"/>
    <w:rsid w:val="49296D45"/>
    <w:rsid w:val="493A2D00"/>
    <w:rsid w:val="4A472C98"/>
    <w:rsid w:val="4A627F82"/>
    <w:rsid w:val="4B0E749A"/>
    <w:rsid w:val="4B4F25DA"/>
    <w:rsid w:val="4BD76BA9"/>
    <w:rsid w:val="4BE068DB"/>
    <w:rsid w:val="4C8D5D21"/>
    <w:rsid w:val="4CB15087"/>
    <w:rsid w:val="4CD37957"/>
    <w:rsid w:val="4D577224"/>
    <w:rsid w:val="4D685F91"/>
    <w:rsid w:val="4D864263"/>
    <w:rsid w:val="4E9C3EF7"/>
    <w:rsid w:val="4EAB630A"/>
    <w:rsid w:val="4ECE2238"/>
    <w:rsid w:val="4F347FCC"/>
    <w:rsid w:val="4F4F4B61"/>
    <w:rsid w:val="4F5D5052"/>
    <w:rsid w:val="4F8A34D2"/>
    <w:rsid w:val="4FB37368"/>
    <w:rsid w:val="4FFE02AE"/>
    <w:rsid w:val="50F419E6"/>
    <w:rsid w:val="52243E2B"/>
    <w:rsid w:val="52622CD8"/>
    <w:rsid w:val="52952D55"/>
    <w:rsid w:val="52DB10B0"/>
    <w:rsid w:val="53624336"/>
    <w:rsid w:val="537E6D0A"/>
    <w:rsid w:val="54016915"/>
    <w:rsid w:val="5454111A"/>
    <w:rsid w:val="54A1293D"/>
    <w:rsid w:val="54B03E76"/>
    <w:rsid w:val="550D751A"/>
    <w:rsid w:val="5521073A"/>
    <w:rsid w:val="555D3FFE"/>
    <w:rsid w:val="555D5DAC"/>
    <w:rsid w:val="56585DA5"/>
    <w:rsid w:val="569A239C"/>
    <w:rsid w:val="56F95FA8"/>
    <w:rsid w:val="572A7F10"/>
    <w:rsid w:val="574C2498"/>
    <w:rsid w:val="57527466"/>
    <w:rsid w:val="581B72DF"/>
    <w:rsid w:val="58477D46"/>
    <w:rsid w:val="586E022E"/>
    <w:rsid w:val="586F745F"/>
    <w:rsid w:val="58AD76A1"/>
    <w:rsid w:val="590840E1"/>
    <w:rsid w:val="59C1745A"/>
    <w:rsid w:val="5A33357F"/>
    <w:rsid w:val="5A390B86"/>
    <w:rsid w:val="5A3966BC"/>
    <w:rsid w:val="5A3D127E"/>
    <w:rsid w:val="5A437339"/>
    <w:rsid w:val="5AF92295"/>
    <w:rsid w:val="5B721E85"/>
    <w:rsid w:val="5C2F5FC8"/>
    <w:rsid w:val="5CD71FC4"/>
    <w:rsid w:val="5CDC4211"/>
    <w:rsid w:val="5CDD77D2"/>
    <w:rsid w:val="5E053485"/>
    <w:rsid w:val="5E166DC1"/>
    <w:rsid w:val="5E565A8E"/>
    <w:rsid w:val="5E5F0DE7"/>
    <w:rsid w:val="5F517732"/>
    <w:rsid w:val="5F5C6ACA"/>
    <w:rsid w:val="5F8F3E3D"/>
    <w:rsid w:val="604A3657"/>
    <w:rsid w:val="609A54C0"/>
    <w:rsid w:val="60C15EB0"/>
    <w:rsid w:val="61497399"/>
    <w:rsid w:val="629252C6"/>
    <w:rsid w:val="62C803CB"/>
    <w:rsid w:val="637B25C6"/>
    <w:rsid w:val="638A6058"/>
    <w:rsid w:val="64044B2D"/>
    <w:rsid w:val="640956AE"/>
    <w:rsid w:val="64462101"/>
    <w:rsid w:val="64B05DA7"/>
    <w:rsid w:val="65660CAD"/>
    <w:rsid w:val="65B77A52"/>
    <w:rsid w:val="67395F4D"/>
    <w:rsid w:val="687E00BB"/>
    <w:rsid w:val="6ABF486C"/>
    <w:rsid w:val="6B064398"/>
    <w:rsid w:val="6B4C12CA"/>
    <w:rsid w:val="6C220B1C"/>
    <w:rsid w:val="6C4A05C8"/>
    <w:rsid w:val="6D3C2A01"/>
    <w:rsid w:val="6E3E51AA"/>
    <w:rsid w:val="6E7E3605"/>
    <w:rsid w:val="6F550EB3"/>
    <w:rsid w:val="6FF5CC65"/>
    <w:rsid w:val="70337C30"/>
    <w:rsid w:val="7040659E"/>
    <w:rsid w:val="71161167"/>
    <w:rsid w:val="715C0E4B"/>
    <w:rsid w:val="719515E7"/>
    <w:rsid w:val="71B31F1F"/>
    <w:rsid w:val="71DF3107"/>
    <w:rsid w:val="72734D90"/>
    <w:rsid w:val="72DC25AE"/>
    <w:rsid w:val="731F06ED"/>
    <w:rsid w:val="7370719A"/>
    <w:rsid w:val="73741471"/>
    <w:rsid w:val="73AD73D5"/>
    <w:rsid w:val="73B6EB34"/>
    <w:rsid w:val="73DB2866"/>
    <w:rsid w:val="744731E5"/>
    <w:rsid w:val="745B7503"/>
    <w:rsid w:val="74B613F4"/>
    <w:rsid w:val="75D237F5"/>
    <w:rsid w:val="761D4650"/>
    <w:rsid w:val="76271339"/>
    <w:rsid w:val="763A5A6B"/>
    <w:rsid w:val="76D96E05"/>
    <w:rsid w:val="76E3355F"/>
    <w:rsid w:val="77581FBF"/>
    <w:rsid w:val="7762504C"/>
    <w:rsid w:val="778769C8"/>
    <w:rsid w:val="78431690"/>
    <w:rsid w:val="79077C59"/>
    <w:rsid w:val="793E3530"/>
    <w:rsid w:val="798C59DC"/>
    <w:rsid w:val="79EE5BA4"/>
    <w:rsid w:val="7A38303A"/>
    <w:rsid w:val="7A894339"/>
    <w:rsid w:val="7BA43E85"/>
    <w:rsid w:val="7C324FED"/>
    <w:rsid w:val="7CCC1249"/>
    <w:rsid w:val="7D6E44D5"/>
    <w:rsid w:val="7DC32BB3"/>
    <w:rsid w:val="7EEF11D3"/>
    <w:rsid w:val="7FA30C79"/>
    <w:rsid w:val="7FB7269E"/>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9">
    <w:name w:val="Body Text"/>
    <w:basedOn w:val="1"/>
    <w:link w:val="28"/>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unhideWhenUsed/>
    <w:qFormat/>
    <w:uiPriority w:val="99"/>
    <w:rPr>
      <w:sz w:val="24"/>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9"/>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5"/>
    <w:qFormat/>
    <w:uiPriority w:val="9"/>
    <w:rPr>
      <w:rFonts w:ascii="Times New Roman" w:hAnsi="Times New Roman"/>
      <w:b/>
      <w:bCs/>
      <w:kern w:val="44"/>
      <w:sz w:val="44"/>
      <w:szCs w:val="44"/>
    </w:rPr>
  </w:style>
  <w:style w:type="character" w:customStyle="1" w:styleId="32">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7"/>
    <w:qFormat/>
    <w:uiPriority w:val="9"/>
    <w:rPr>
      <w:rFonts w:ascii="Times New Roman" w:hAnsi="Times New Roman"/>
      <w:b/>
      <w:bCs/>
      <w:kern w:val="2"/>
      <w:sz w:val="32"/>
      <w:szCs w:val="32"/>
    </w:rPr>
  </w:style>
  <w:style w:type="paragraph" w:customStyle="1" w:styleId="36">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收入、支出决算总计变动情况图（单位：万元）</a:t>
            </a:r>
            <a:endParaRPr lang="zh-CN" altLang="en-US" sz="1200"/>
          </a:p>
        </c:rich>
      </c:tx>
      <c:layout>
        <c:manualLayout>
          <c:xMode val="edge"/>
          <c:yMode val="edge"/>
          <c:x val="0.118506738873254"/>
          <c:y val="0.0123839009287926"/>
        </c:manualLayout>
      </c:layout>
      <c:overlay val="0"/>
    </c:title>
    <c:autoTitleDeleted val="0"/>
    <c:plotArea>
      <c:layout/>
      <c:barChart>
        <c:barDir val="col"/>
        <c:grouping val="clustered"/>
        <c:varyColors val="0"/>
        <c:ser>
          <c:idx val="0"/>
          <c:order val="0"/>
          <c:tx>
            <c:strRef>
              <c:f>Sheet1!$B$1</c:f>
              <c:strCache>
                <c:ptCount val="1"/>
                <c:pt idx="0">
                  <c:v>收入、支出决算总计变动情况图</c:v>
                </c:pt>
              </c:strCache>
            </c:strRef>
          </c:tx>
          <c:invertIfNegative val="0"/>
          <c:dLbls>
            <c:dLbl>
              <c:idx val="1"/>
              <c:layout>
                <c:manualLayout>
                  <c:x val="0"/>
                  <c:y val="-0.01238156673940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2"/>
                <c:pt idx="0">
                  <c:v>2023</c:v>
                </c:pt>
                <c:pt idx="1">
                  <c:v>2024</c:v>
                </c:pt>
              </c:numCache>
            </c:numRef>
          </c:cat>
          <c:val>
            <c:numRef>
              <c:f>Sheet1!$B$2:$B$5</c:f>
              <c:numCache>
                <c:formatCode>General</c:formatCode>
                <c:ptCount val="2"/>
                <c:pt idx="0">
                  <c:v>3482.95</c:v>
                </c:pt>
                <c:pt idx="1">
                  <c:v>14880.39</c:v>
                </c:pt>
              </c:numCache>
            </c:numRef>
          </c:val>
        </c:ser>
        <c:ser>
          <c:idx val="1"/>
          <c:order val="1"/>
          <c:tx>
            <c:strRef>
              <c:f>Sheet1!$C$1</c:f>
              <c:strCache>
                <c:ptCount val="1"/>
                <c:pt idx="0">
                  <c:v>系列 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2"/>
                <c:pt idx="0">
                  <c:v>2023</c:v>
                </c:pt>
                <c:pt idx="1">
                  <c:v>2024</c:v>
                </c:pt>
              </c:numCache>
            </c:numRef>
          </c:cat>
          <c:val>
            <c:numRef>
              <c:f>Sheet1!$C$2:$C$5</c:f>
            </c:numRef>
          </c:val>
        </c:ser>
        <c:ser>
          <c:idx val="2"/>
          <c:order val="2"/>
          <c:tx>
            <c:strRef>
              <c:f>Sheet1!$D$1</c:f>
              <c:strCache>
                <c:ptCount val="1"/>
                <c:pt idx="0">
                  <c:v>系列 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2"/>
                <c:pt idx="0">
                  <c:v>2023</c:v>
                </c:pt>
                <c:pt idx="1">
                  <c:v>2024</c:v>
                </c:pt>
              </c:numCache>
            </c:numRef>
          </c:cat>
          <c:val>
            <c:numRef>
              <c:f>Sheet1!$D$2:$D$5</c:f>
            </c:numRef>
          </c:val>
        </c:ser>
        <c:dLbls>
          <c:showLegendKey val="0"/>
          <c:showVal val="1"/>
          <c:showCatName val="0"/>
          <c:showSerName val="0"/>
          <c:showPercent val="0"/>
          <c:showBubbleSize val="0"/>
        </c:dLbls>
        <c:gapWidth val="150"/>
        <c:axId val="110706048"/>
        <c:axId val="113532928"/>
      </c:barChart>
      <c:catAx>
        <c:axId val="11070604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3532928"/>
        <c:crosses val="autoZero"/>
        <c:auto val="1"/>
        <c:lblAlgn val="ctr"/>
        <c:lblOffset val="100"/>
        <c:noMultiLvlLbl val="0"/>
      </c:catAx>
      <c:valAx>
        <c:axId val="1135329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0706048"/>
        <c:crosses val="autoZero"/>
        <c:crossBetween val="between"/>
      </c:valAx>
    </c:plotArea>
    <c:plotVisOnly val="1"/>
    <c:dispBlanksAs val="gap"/>
    <c:showDLblsOverMax val="0"/>
    <c:extLst>
      <c:ext uri="{0b15fc19-7d7d-44ad-8c2d-2c3a37ce22c3}">
        <chartProps xmlns="https://web.wps.cn/et/2018/main" chartId="{f25b9d29-7e6a-4d69-a4fa-819cdfbbe2b6}"/>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收入决算结构图（单位：万元）</a:t>
            </a:r>
            <a:endParaRPr lang="zh-CN" altLang="en-US" sz="1400"/>
          </a:p>
        </c:rich>
      </c:tx>
      <c:layout/>
      <c:overlay val="0"/>
    </c:title>
    <c:autoTitleDeleted val="0"/>
    <c:plotArea>
      <c:layout/>
      <c:pieChart>
        <c:varyColors val="1"/>
        <c:ser>
          <c:idx val="0"/>
          <c:order val="0"/>
          <c:tx>
            <c:strRef>
              <c:f>Sheet1!$B$1</c:f>
              <c:strCache>
                <c:ptCount val="1"/>
                <c:pt idx="0">
                  <c:v>收入决算结构图</c:v>
                </c:pt>
              </c:strCache>
            </c:strRef>
          </c:tx>
          <c:explosion val="0"/>
          <c:dPt>
            <c:idx val="0"/>
            <c:bubble3D val="0"/>
          </c:dPt>
          <c:dPt>
            <c:idx val="1"/>
            <c:bubble3D val="0"/>
          </c:dPt>
          <c:dPt>
            <c:idx val="2"/>
            <c:bubble3D val="0"/>
          </c:dPt>
          <c:dLbls>
            <c:dLbl>
              <c:idx val="1"/>
              <c:layout>
                <c:manualLayout>
                  <c:x val="-0.0668759811616955"/>
                  <c:y val="-0.010467980295566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814756671899529"/>
                  <c:y val="-0.007081280788177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一般公共预算收入</c:v>
                </c:pt>
                <c:pt idx="1">
                  <c:v>政府性基金预算收入</c:v>
                </c:pt>
                <c:pt idx="2">
                  <c:v>其他收入</c:v>
                </c:pt>
              </c:strCache>
            </c:strRef>
          </c:cat>
          <c:val>
            <c:numRef>
              <c:f>Sheet1!$B$2:$B$4</c:f>
              <c:numCache>
                <c:formatCode>0.00_ </c:formatCode>
                <c:ptCount val="3"/>
                <c:pt idx="0">
                  <c:v>14539.81</c:v>
                </c:pt>
                <c:pt idx="1">
                  <c:v>330.58</c:v>
                </c:pt>
                <c:pt idx="2">
                  <c:v>10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7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d963c0d-d943-4ca9-8f6c-a971bf4ec8bb}"/>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支出决算结构图（单位：万元）</a:t>
            </a:r>
            <a:endParaRPr lang="zh-CN" altLang="en-US" sz="1200"/>
          </a:p>
        </c:rich>
      </c:tx>
      <c:layout>
        <c:manualLayout>
          <c:xMode val="edge"/>
          <c:yMode val="edge"/>
          <c:x val="0.25980221215161"/>
          <c:y val="0.0141617478687759"/>
        </c:manualLayout>
      </c:layout>
      <c:overlay val="0"/>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Lbls>
            <c:dLbl>
              <c:idx val="0"/>
              <c:layout>
                <c:manualLayout>
                  <c:x val="-0.00443109954165968"/>
                  <c:y val="0.0286842822327604"/>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193.1</c:v>
                </c:pt>
                <c:pt idx="1">
                  <c:v>14677.29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b46ad84-2568-435d-8319-4cded5b0e028}"/>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050" b="1" i="0" u="none" strike="noStrike" kern="1200" baseline="0">
                <a:solidFill>
                  <a:schemeClr val="tx1"/>
                </a:solidFill>
                <a:latin typeface="+mn-lt"/>
                <a:ea typeface="+mn-ea"/>
                <a:cs typeface="+mn-cs"/>
              </a:defRPr>
            </a:pPr>
            <a:r>
              <a:rPr lang="zh-CN" altLang="en-US" sz="1050"/>
              <a:t>财政拨款收、支决算总计变动情况</a:t>
            </a:r>
            <a:r>
              <a:rPr lang="en-US" altLang="zh-CN" sz="1050"/>
              <a:t>(</a:t>
            </a:r>
            <a:r>
              <a:rPr lang="zh-CN" altLang="en-US" sz="1050"/>
              <a:t>单位：万元）</a:t>
            </a:r>
            <a:endParaRPr lang="zh-CN" altLang="en-US" sz="1050"/>
          </a:p>
        </c:rich>
      </c:tx>
      <c:layout>
        <c:manualLayout>
          <c:xMode val="edge"/>
          <c:yMode val="edge"/>
          <c:x val="0.104633323395836"/>
          <c:y val="0.0165118679050568"/>
        </c:manualLayout>
      </c:layout>
      <c:overlay val="0"/>
    </c:title>
    <c:autoTitleDeleted val="0"/>
    <c:plotArea>
      <c:layout/>
      <c:barChart>
        <c:barDir val="col"/>
        <c:grouping val="clustered"/>
        <c:varyColors val="0"/>
        <c:ser>
          <c:idx val="0"/>
          <c:order val="0"/>
          <c:tx>
            <c:strRef>
              <c:f>Sheet1!$B$1</c:f>
              <c:strCache>
                <c:ptCount val="1"/>
                <c:pt idx="0">
                  <c:v>财政拨款收、支决算数据</c:v>
                </c:pt>
              </c:strCache>
            </c:strRef>
          </c:tx>
          <c:invertIfNegative val="0"/>
          <c:dLbls>
            <c:dLbl>
              <c:idx val="1"/>
              <c:layout>
                <c:manualLayout>
                  <c:x val="0.00481091038713434"/>
                  <c:y val="-0.020635944565678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2"/>
                <c:pt idx="0">
                  <c:v>2023</c:v>
                </c:pt>
                <c:pt idx="1">
                  <c:v>2024</c:v>
                </c:pt>
              </c:numCache>
            </c:numRef>
          </c:cat>
          <c:val>
            <c:numRef>
              <c:f>Sheet1!$B$2:$B$5</c:f>
              <c:numCache>
                <c:formatCode>General</c:formatCode>
                <c:ptCount val="2"/>
                <c:pt idx="0">
                  <c:v>3482.95</c:v>
                </c:pt>
                <c:pt idx="1">
                  <c:v>14870.39</c:v>
                </c:pt>
              </c:numCache>
            </c:numRef>
          </c:val>
        </c:ser>
        <c:ser>
          <c:idx val="1"/>
          <c:order val="1"/>
          <c:tx>
            <c:strRef>
              <c:f>Sheet1!$C$1</c:f>
              <c:strCache>
                <c:ptCount val="1"/>
                <c:pt idx="0">
                  <c:v>系列 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2"/>
                <c:pt idx="0">
                  <c:v>2023</c:v>
                </c:pt>
                <c:pt idx="1">
                  <c:v>2024</c:v>
                </c:pt>
              </c:numCache>
            </c:numRef>
          </c:cat>
          <c:val>
            <c:numRef>
              <c:f>Sheet1!$C$2:$C$5</c:f>
            </c:numRef>
          </c:val>
        </c:ser>
        <c:ser>
          <c:idx val="2"/>
          <c:order val="2"/>
          <c:tx>
            <c:strRef>
              <c:f>Sheet1!$D$1</c:f>
              <c:strCache>
                <c:ptCount val="1"/>
                <c:pt idx="0">
                  <c:v>系列 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2"/>
                <c:pt idx="0">
                  <c:v>2023</c:v>
                </c:pt>
                <c:pt idx="1">
                  <c:v>2024</c:v>
                </c:pt>
              </c:numCache>
            </c:numRef>
          </c:cat>
          <c:val>
            <c:numRef>
              <c:f>Sheet1!$D$2:$D$5</c:f>
            </c:numRef>
          </c:val>
        </c:ser>
        <c:dLbls>
          <c:showLegendKey val="0"/>
          <c:showVal val="1"/>
          <c:showCatName val="0"/>
          <c:showSerName val="0"/>
          <c:showPercent val="0"/>
          <c:showBubbleSize val="0"/>
        </c:dLbls>
        <c:gapWidth val="150"/>
        <c:axId val="113458560"/>
        <c:axId val="113468544"/>
      </c:barChart>
      <c:catAx>
        <c:axId val="11345856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3468544"/>
        <c:crosses val="autoZero"/>
        <c:auto val="1"/>
        <c:lblAlgn val="ctr"/>
        <c:lblOffset val="100"/>
        <c:noMultiLvlLbl val="0"/>
      </c:catAx>
      <c:valAx>
        <c:axId val="1134685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345856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decf8b5-a1f4-45cf-a73a-9941b26b69e0}"/>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100" b="1" i="0" u="none" strike="noStrike" kern="1200" baseline="0">
                <a:solidFill>
                  <a:schemeClr val="tx1"/>
                </a:solidFill>
                <a:latin typeface="+mn-lt"/>
                <a:ea typeface="+mn-ea"/>
                <a:cs typeface="+mn-cs"/>
              </a:defRPr>
            </a:pPr>
            <a:r>
              <a:rPr lang="zh-CN" altLang="zh-CN" sz="1100" b="1" i="0" u="none" strike="noStrike" baseline="0">
                <a:effectLst/>
              </a:rPr>
              <a:t>一般公共预算财政拨款支出决算变动情况</a:t>
            </a:r>
            <a:endParaRPr lang="en-US" altLang="zh-CN" sz="1000" b="1" i="0" u="none" strike="noStrike" baseline="0">
              <a:effectLst/>
            </a:endParaRPr>
          </a:p>
          <a:p>
            <a:pPr>
              <a:defRPr lang="zh-CN" sz="1100" b="1" i="0" u="none" strike="noStrike" kern="1200" baseline="0">
                <a:solidFill>
                  <a:schemeClr val="tx1"/>
                </a:solidFill>
                <a:latin typeface="+mn-lt"/>
                <a:ea typeface="+mn-ea"/>
                <a:cs typeface="+mn-cs"/>
              </a:defRPr>
            </a:pPr>
            <a:r>
              <a:rPr lang="en-US" altLang="zh-CN" sz="1100"/>
              <a:t>(</a:t>
            </a:r>
            <a:r>
              <a:rPr lang="zh-CN" altLang="en-US" sz="1100"/>
              <a:t>单位：万元）</a:t>
            </a:r>
            <a:endParaRPr lang="zh-CN" altLang="en-US" sz="1100"/>
          </a:p>
        </c:rich>
      </c:tx>
      <c:layout>
        <c:manualLayout>
          <c:xMode val="edge"/>
          <c:yMode val="edge"/>
          <c:x val="0.104633323395836"/>
          <c:y val="3.25036769784728e-6"/>
        </c:manualLayout>
      </c:layout>
      <c:overlay val="0"/>
    </c:title>
    <c:autoTitleDeleted val="0"/>
    <c:plotArea>
      <c:layout/>
      <c:barChart>
        <c:barDir val="col"/>
        <c:grouping val="clustered"/>
        <c:varyColors val="0"/>
        <c:ser>
          <c:idx val="0"/>
          <c:order val="0"/>
          <c:tx>
            <c:strRef>
              <c:f>Sheet1!$B$1</c:f>
              <c:strCache>
                <c:ptCount val="1"/>
                <c:pt idx="0">
                  <c:v>财政拨款收、支决算总计变动情况(单位：万元）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2"/>
                <c:pt idx="0">
                  <c:v>2023</c:v>
                </c:pt>
                <c:pt idx="1">
                  <c:v>2024</c:v>
                </c:pt>
              </c:numCache>
            </c:numRef>
          </c:cat>
          <c:val>
            <c:numRef>
              <c:f>Sheet1!$B$2:$B$5</c:f>
              <c:numCache>
                <c:formatCode>General</c:formatCode>
                <c:ptCount val="2"/>
                <c:pt idx="0">
                  <c:v>1714.75</c:v>
                </c:pt>
                <c:pt idx="1">
                  <c:v>14539.81</c:v>
                </c:pt>
              </c:numCache>
            </c:numRef>
          </c:val>
        </c:ser>
        <c:ser>
          <c:idx val="1"/>
          <c:order val="1"/>
          <c:tx>
            <c:strRef>
              <c:f>Sheet1!$C$1</c:f>
              <c:strCache>
                <c:ptCount val="1"/>
                <c:pt idx="0">
                  <c:v>系列 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2"/>
                <c:pt idx="0">
                  <c:v>2023</c:v>
                </c:pt>
                <c:pt idx="1">
                  <c:v>2024</c:v>
                </c:pt>
              </c:numCache>
            </c:numRef>
          </c:cat>
          <c:val>
            <c:numRef>
              <c:f>Sheet1!$C$2:$C$5</c:f>
            </c:numRef>
          </c:val>
        </c:ser>
        <c:ser>
          <c:idx val="2"/>
          <c:order val="2"/>
          <c:tx>
            <c:strRef>
              <c:f>Sheet1!$D$1</c:f>
              <c:strCache>
                <c:ptCount val="1"/>
                <c:pt idx="0">
                  <c:v>系列 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2"/>
                <c:pt idx="0">
                  <c:v>2023</c:v>
                </c:pt>
                <c:pt idx="1">
                  <c:v>2024</c:v>
                </c:pt>
              </c:numCache>
            </c:numRef>
          </c:cat>
          <c:val>
            <c:numRef>
              <c:f>Sheet1!$D$2:$D$5</c:f>
            </c:numRef>
          </c:val>
        </c:ser>
        <c:dLbls>
          <c:showLegendKey val="0"/>
          <c:showVal val="1"/>
          <c:showCatName val="0"/>
          <c:showSerName val="0"/>
          <c:showPercent val="0"/>
          <c:showBubbleSize val="0"/>
        </c:dLbls>
        <c:gapWidth val="150"/>
        <c:axId val="356593664"/>
        <c:axId val="356595200"/>
      </c:barChart>
      <c:catAx>
        <c:axId val="35659366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6595200"/>
        <c:crosses val="autoZero"/>
        <c:auto val="1"/>
        <c:lblAlgn val="ctr"/>
        <c:lblOffset val="100"/>
        <c:noMultiLvlLbl val="0"/>
      </c:catAx>
      <c:valAx>
        <c:axId val="3565952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65936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4ec5037-1898-40f9-9910-3445feb9e2f4}"/>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一般公共预算财政拨款支出决算结构</a:t>
            </a:r>
            <a:endParaRPr lang="zh-CN" altLang="en-US" sz="1400"/>
          </a:p>
        </c:rich>
      </c:tx>
      <c:layout>
        <c:manualLayout>
          <c:xMode val="edge"/>
          <c:yMode val="edge"/>
          <c:x val="0.153393884935765"/>
          <c:y val="0.052140455416046"/>
        </c:manualLayout>
      </c:layout>
      <c:overlay val="0"/>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0830240012965278"/>
                  <c:y val="0.0071495181846440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03538427881486"/>
                  <c:y val="-0.074227875812014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5847765033537"/>
                  <c:y val="0.037083080530338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47335876858308"/>
                  <c:y val="0.03847969782813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443812233285917"/>
                  <c:y val="-0.060926328877836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一般公共服务支出</c:v>
                </c:pt>
                <c:pt idx="1">
                  <c:v>社会保障和就业支出</c:v>
                </c:pt>
                <c:pt idx="2">
                  <c:v>卫生健康支出</c:v>
                </c:pt>
                <c:pt idx="3">
                  <c:v>节能环保支出</c:v>
                </c:pt>
                <c:pt idx="4">
                  <c:v>农林水支出</c:v>
                </c:pt>
                <c:pt idx="5">
                  <c:v>交通运输支出</c:v>
                </c:pt>
                <c:pt idx="6">
                  <c:v>住房保障支出</c:v>
                </c:pt>
              </c:strCache>
            </c:strRef>
          </c:cat>
          <c:val>
            <c:numRef>
              <c:f>Sheet1!$B$2:$B$8</c:f>
              <c:numCache>
                <c:formatCode>General</c:formatCode>
                <c:ptCount val="7"/>
                <c:pt idx="0">
                  <c:v>782.87</c:v>
                </c:pt>
                <c:pt idx="1">
                  <c:v>18.63</c:v>
                </c:pt>
                <c:pt idx="2">
                  <c:v>15.46</c:v>
                </c:pt>
                <c:pt idx="3">
                  <c:v>6000</c:v>
                </c:pt>
                <c:pt idx="4">
                  <c:v>6108.39</c:v>
                </c:pt>
                <c:pt idx="5">
                  <c:v>1600</c:v>
                </c:pt>
                <c:pt idx="6">
                  <c:v>14.46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11914899253884"/>
          <c:y val="0.205672588204631"/>
          <c:w val="0.339228678593643"/>
          <c:h val="0.687941226972797"/>
        </c:manualLayout>
      </c:layout>
      <c:overlay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b21309a-dbd3-455e-a7b7-865bed90d429}"/>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zh-CN" altLang="en-US" sz="1600"/>
              <a:t>“三公”经费财政拨款支出结构（单位：万元）</a:t>
            </a:r>
            <a:endParaRPr lang="zh-CN" altLang="en-US" sz="1600"/>
          </a:p>
        </c:rich>
      </c:tx>
      <c:layout>
        <c:manualLayout>
          <c:xMode val="edge"/>
          <c:yMode val="edge"/>
          <c:x val="0.155423279136325"/>
          <c:y val="0.0339888322408352"/>
        </c:manualLayout>
      </c:layout>
      <c:overlay val="0"/>
    </c:title>
    <c:autoTitleDeleted val="0"/>
    <c:plotArea>
      <c:layout/>
      <c:pieChart>
        <c:varyColors val="1"/>
        <c:ser>
          <c:idx val="0"/>
          <c:order val="0"/>
          <c:tx>
            <c:strRef>
              <c:f>Sheet1!$B$1</c:f>
              <c:strCache>
                <c:ptCount val="1"/>
                <c:pt idx="0">
                  <c:v>“三公”经费财政拨款支出结构</c:v>
                </c:pt>
              </c:strCache>
            </c:strRef>
          </c:tx>
          <c:explosion val="0"/>
          <c:dPt>
            <c:idx val="0"/>
            <c:bubble3D val="0"/>
          </c:dPt>
          <c:dPt>
            <c:idx val="1"/>
            <c:bubble3D val="0"/>
          </c:dPt>
          <c:dPt>
            <c:idx val="2"/>
            <c:bubble3D val="0"/>
          </c:dPt>
          <c:dLbls>
            <c:dLbl>
              <c:idx val="0"/>
              <c:layout>
                <c:manualLayout>
                  <c:x val="0.152958945489496"/>
                  <c:y val="0.0274338431658169"/>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66922971303034"/>
                      <c:h val="0.131099781500364"/>
                    </c:manualLayout>
                  </c15:layout>
                </c:ext>
              </c:extLst>
            </c:dLbl>
            <c:dLbl>
              <c:idx val="1"/>
              <c:layout>
                <c:manualLayout>
                  <c:x val="-0.223259645750378"/>
                  <c:y val="-0.0483126972566157"/>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169984896333928"/>
                  <c:y val="0.0364166059723234"/>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d8aa58d-1a74-434f-91f5-d2fd80091fb9}"/>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76CE80-3E22-4301-BD57-DB86AE6A6395}">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502</Words>
  <Characters>529</Characters>
  <Lines>83</Lines>
  <Paragraphs>23</Paragraphs>
  <TotalTime>2</TotalTime>
  <ScaleCrop>false</ScaleCrop>
  <LinksUpToDate>false</LinksUpToDate>
  <CharactersWithSpaces>564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2023-10-26T02:59:00Z</dcterms:created>
  <dc:creator>曹颖</dc:creator>
  <cp:lastModifiedBy>Just Do It</cp:lastModifiedBy>
  <cp:lastPrinted>2023-10-26T00:53:00Z</cp:lastPrinted>
  <dcterms:modified xsi:type="dcterms:W3CDTF">2025-10-28T07:13:36Z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EC1104E67F1E41218AD82450D5513EAC_13</vt:lpwstr>
  </property>
  <property fmtid="{D5CDD505-2E9C-101B-9397-08002B2CF9AE}" pid="4" name="KSOTemplateDocerSaveRecord">
    <vt:lpwstr>eyJoZGlkIjoiMTM3MDQ4OTU1YTdhMjM2YzA4N2VkNDBhMWM2YjI5MmUifQ==</vt:lpwstr>
  </property>
</Properties>
</file>