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rPr>
          <w:rFonts w:hint="eastAsia" w:ascii="Times New Roman" w:hAnsi="Times New Roman" w:eastAsia="方正小标宋简体" w:cs="Times New Roman"/>
          <w:color w:val="auto"/>
          <w:kern w:val="2"/>
          <w:sz w:val="72"/>
          <w:szCs w:val="72"/>
          <w:highlight w:val="none"/>
          <w:lang w:val="en-US" w:eastAsia="zh-CN" w:bidi="ar-SA"/>
        </w:rPr>
      </w:pPr>
      <w:bookmarkStart w:id="0" w:name="_Toc15378441"/>
      <w:bookmarkStart w:id="1" w:name="_Toc15306267"/>
      <w:bookmarkStart w:id="2" w:name="_Toc15396597"/>
      <w:bookmarkStart w:id="3" w:name="_Toc15377193"/>
      <w:bookmarkStart w:id="4" w:name="_Toc15377425"/>
      <w:bookmarkStart w:id="5" w:name="_Toc15396475"/>
    </w:p>
    <w:p>
      <w:pPr>
        <w:pStyle w:val="8"/>
        <w:rPr>
          <w:rFonts w:hint="eastAsia" w:ascii="Times New Roman" w:hAnsi="Times New Roman" w:eastAsia="方正小标宋简体" w:cs="Times New Roman"/>
          <w:color w:val="auto"/>
          <w:kern w:val="2"/>
          <w:sz w:val="72"/>
          <w:szCs w:val="72"/>
          <w:highlight w:val="none"/>
          <w:lang w:val="en-US" w:eastAsia="zh-CN" w:bidi="ar-SA"/>
        </w:rPr>
      </w:pPr>
    </w:p>
    <w:p>
      <w:pPr>
        <w:pStyle w:val="8"/>
        <w:rPr>
          <w:rFonts w:hint="eastAsia" w:ascii="Times New Roman" w:hAnsi="Times New Roman" w:eastAsia="方正小标宋简体" w:cs="Times New Roman"/>
          <w:color w:val="auto"/>
          <w:kern w:val="2"/>
          <w:sz w:val="72"/>
          <w:szCs w:val="72"/>
          <w:highlight w:val="none"/>
          <w:lang w:val="en-US" w:eastAsia="zh-CN" w:bidi="ar-SA"/>
        </w:rPr>
      </w:pPr>
    </w:p>
    <w:p>
      <w:pPr>
        <w:pStyle w:val="8"/>
        <w:spacing w:before="93"/>
        <w:jc w:val="center"/>
        <w:rPr>
          <w:rFonts w:ascii="Times New Roman" w:eastAsia="方正小标宋简体"/>
          <w:kern w:val="2"/>
          <w:sz w:val="72"/>
          <w:szCs w:val="72"/>
        </w:rPr>
      </w:pPr>
      <w:r>
        <w:rPr>
          <w:rFonts w:hint="eastAsia" w:ascii="Times New Roman" w:eastAsia="方正小标宋简体"/>
          <w:kern w:val="2"/>
          <w:sz w:val="72"/>
          <w:szCs w:val="72"/>
        </w:rPr>
        <w:t>2024年度</w:t>
      </w:r>
    </w:p>
    <w:p>
      <w:pPr>
        <w:pStyle w:val="8"/>
        <w:spacing w:before="93"/>
        <w:jc w:val="center"/>
        <w:rPr>
          <w:rFonts w:ascii="Times New Roman" w:eastAsia="方正小标宋简体"/>
          <w:kern w:val="2"/>
          <w:sz w:val="72"/>
          <w:szCs w:val="72"/>
        </w:rPr>
      </w:pPr>
      <w:r>
        <w:rPr>
          <w:rFonts w:hint="eastAsia" w:ascii="Times New Roman" w:eastAsia="方正小标宋简体"/>
          <w:kern w:val="2"/>
          <w:sz w:val="72"/>
          <w:szCs w:val="72"/>
        </w:rPr>
        <w:t>盐边县</w:t>
      </w:r>
      <w:r>
        <w:rPr>
          <w:rFonts w:hint="eastAsia" w:ascii="Times New Roman" w:eastAsia="方正小标宋简体"/>
          <w:kern w:val="2"/>
          <w:sz w:val="72"/>
          <w:szCs w:val="72"/>
          <w:lang w:eastAsia="zh-CN"/>
        </w:rPr>
        <w:t>公安</w:t>
      </w:r>
      <w:r>
        <w:rPr>
          <w:rFonts w:hint="eastAsia" w:ascii="Times New Roman" w:eastAsia="方正小标宋简体"/>
          <w:kern w:val="2"/>
          <w:sz w:val="72"/>
          <w:szCs w:val="72"/>
        </w:rPr>
        <w:t>局</w:t>
      </w:r>
      <w:r>
        <w:rPr>
          <w:rFonts w:hint="eastAsia" w:ascii="Times New Roman" w:eastAsia="方正小标宋简体"/>
          <w:kern w:val="2"/>
          <w:sz w:val="72"/>
          <w:szCs w:val="72"/>
          <w:lang w:eastAsia="zh-CN"/>
        </w:rPr>
        <w:t>部门</w:t>
      </w:r>
      <w:r>
        <w:rPr>
          <w:rFonts w:hint="eastAsia" w:ascii="Times New Roman" w:eastAsia="方正小标宋简体"/>
          <w:kern w:val="2"/>
          <w:sz w:val="72"/>
          <w:szCs w:val="72"/>
        </w:rPr>
        <w:t>决算</w:t>
      </w:r>
    </w:p>
    <w:p>
      <w:pPr>
        <w:pStyle w:val="8"/>
        <w:spacing w:before="93"/>
        <w:jc w:val="center"/>
        <w:rPr>
          <w:rFonts w:ascii="Times New Roman" w:eastAsia="方正小标宋简体"/>
          <w:kern w:val="2"/>
          <w:sz w:val="72"/>
          <w:szCs w:val="72"/>
        </w:rPr>
      </w:pPr>
      <w:r>
        <w:rPr>
          <w:rFonts w:hint="eastAsia" w:ascii="Times New Roman" w:eastAsia="方正小标宋简体"/>
          <w:kern w:val="2"/>
          <w:sz w:val="72"/>
          <w:szCs w:val="72"/>
        </w:rPr>
        <w:t>公开编制说明</w:t>
      </w:r>
    </w:p>
    <w:p>
      <w:pPr>
        <w:spacing w:line="600" w:lineRule="exact"/>
        <w:jc w:val="center"/>
        <w:outlineLvl w:val="0"/>
        <w:rPr>
          <w:rFonts w:ascii="Times New Roman" w:hAnsi="Times New Roman" w:eastAsia="方正小标宋简体"/>
          <w:color w:val="auto"/>
          <w:sz w:val="72"/>
          <w:szCs w:val="72"/>
          <w:highlight w:val="none"/>
        </w:rPr>
      </w:pPr>
    </w:p>
    <w:p>
      <w:pPr>
        <w:pStyle w:val="2"/>
        <w:rPr>
          <w:rFonts w:ascii="Times New Roman" w:hAnsi="Times New Roma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pPr>
        <w:rPr>
          <w:rFonts w:ascii="Times New Roman" w:hAnsi="Times New Roman"/>
        </w:rPr>
      </w:pPr>
    </w:p>
    <w:bookmarkEnd w:id="0"/>
    <w:bookmarkEnd w:id="1"/>
    <w:bookmarkEnd w:id="2"/>
    <w:bookmarkEnd w:id="3"/>
    <w:bookmarkEnd w:id="4"/>
    <w:bookmarkEnd w:id="5"/>
    <w:p>
      <w:pPr>
        <w:pStyle w:val="17"/>
        <w:keepNext w:val="0"/>
        <w:keepLines w:val="0"/>
        <w:pageBreakBefore w:val="0"/>
        <w:kinsoku/>
        <w:wordWrap/>
        <w:overflowPunct/>
        <w:topLinePunct w:val="0"/>
        <w:autoSpaceDE/>
        <w:autoSpaceDN/>
        <w:bidi w:val="0"/>
        <w:adjustRightInd w:val="0"/>
        <w:snapToGrid w:val="0"/>
        <w:spacing w:line="560" w:lineRule="exact"/>
        <w:ind w:left="0" w:leftChars="0" w:firstLine="0" w:firstLineChars="0"/>
        <w:jc w:val="center"/>
        <w:textAlignment w:val="auto"/>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pPr>
        <w:widowControl/>
        <w:jc w:val="center"/>
        <w:rPr>
          <w:rFonts w:ascii="Times New Roman" w:hAnsi="Times New Roman" w:eastAsia="黑体" w:cstheme="minorBidi"/>
          <w:color w:val="auto"/>
          <w:sz w:val="28"/>
          <w:szCs w:val="28"/>
          <w:highlight w:val="none"/>
        </w:rPr>
      </w:pPr>
    </w:p>
    <w:p>
      <w:pPr>
        <w:pStyle w:val="15"/>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24</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10</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28</w:t>
      </w:r>
      <w:r>
        <w:rPr>
          <w:rFonts w:hint="eastAsia" w:ascii="Times New Roman" w:hAnsi="Times New Roman" w:eastAsia="仿宋_GB2312" w:cs="仿宋_GB2312"/>
          <w:color w:val="auto"/>
          <w:sz w:val="32"/>
          <w:szCs w:val="32"/>
          <w:highlight w:val="none"/>
        </w:rPr>
        <w:t>日</w:t>
      </w:r>
    </w:p>
    <w:p>
      <w:pPr>
        <w:rPr>
          <w:rFonts w:ascii="Times New Roman" w:hAnsi="Times New Roman"/>
          <w:color w:val="auto"/>
          <w:highlight w:val="none"/>
        </w:rPr>
      </w:pPr>
    </w:p>
    <w:p>
      <w:pPr>
        <w:pStyle w:val="15"/>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第一部分 部门概况</w:t>
      </w:r>
      <w:r>
        <w:rPr>
          <w:rFonts w:hint="eastAsia" w:ascii="仿宋_GB2312" w:hAnsi="仿宋_GB2312" w:eastAsia="仿宋_GB2312" w:cs="仿宋_GB2312"/>
          <w:kern w:val="2"/>
          <w:sz w:val="28"/>
          <w:szCs w:val="28"/>
          <w:lang w:val="en-US" w:eastAsia="zh-CN" w:bidi="ar-SA"/>
        </w:rPr>
        <w:tab/>
      </w:r>
      <w:r>
        <w:rPr>
          <w:rFonts w:hint="eastAsia" w:ascii="仿宋_GB2312" w:hAnsi="仿宋_GB2312" w:eastAsia="仿宋_GB2312" w:cs="仿宋_GB2312"/>
          <w:kern w:val="2"/>
          <w:sz w:val="28"/>
          <w:szCs w:val="28"/>
          <w:lang w:val="en-US" w:eastAsia="zh-CN" w:bidi="ar-SA"/>
        </w:rPr>
        <w:t>（4）</w:t>
      </w:r>
    </w:p>
    <w:p>
      <w:pPr>
        <w:pStyle w:val="1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r>
        <w:rPr>
          <w:rFonts w:hint="eastAsia" w:ascii="仿宋_GB2312" w:hAnsi="仿宋_GB2312" w:eastAsia="仿宋_GB2312" w:cs="仿宋_GB2312"/>
          <w:kern w:val="2"/>
          <w:sz w:val="28"/>
          <w:szCs w:val="28"/>
          <w:lang w:val="en-US" w:eastAsia="zh-CN" w:bidi="ar-SA"/>
        </w:rPr>
        <w:tab/>
      </w:r>
      <w:r>
        <w:rPr>
          <w:rFonts w:hint="eastAsia" w:ascii="仿宋_GB2312" w:hAnsi="仿宋_GB2312" w:eastAsia="仿宋_GB2312" w:cs="仿宋_GB2312"/>
          <w:kern w:val="2"/>
          <w:sz w:val="28"/>
          <w:szCs w:val="28"/>
          <w:lang w:val="en-US" w:eastAsia="zh-CN" w:bidi="ar-SA"/>
        </w:rPr>
        <w:t>（4）</w:t>
      </w:r>
    </w:p>
    <w:p>
      <w:pPr>
        <w:pStyle w:val="1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二、机构设置</w:t>
      </w:r>
      <w:r>
        <w:rPr>
          <w:rFonts w:hint="eastAsia" w:ascii="仿宋_GB2312" w:hAnsi="仿宋_GB2312" w:eastAsia="仿宋_GB2312" w:cs="仿宋_GB2312"/>
          <w:kern w:val="2"/>
          <w:sz w:val="28"/>
          <w:szCs w:val="28"/>
          <w:lang w:val="en-US" w:eastAsia="zh-CN" w:bidi="ar-SA"/>
        </w:rPr>
        <w:tab/>
      </w:r>
      <w:r>
        <w:rPr>
          <w:rFonts w:hint="eastAsia" w:ascii="仿宋_GB2312" w:hAnsi="仿宋_GB2312" w:eastAsia="仿宋_GB2312" w:cs="仿宋_GB2312"/>
          <w:kern w:val="2"/>
          <w:sz w:val="28"/>
          <w:szCs w:val="28"/>
          <w:lang w:val="en-US" w:eastAsia="zh-CN" w:bidi="ar-SA"/>
        </w:rPr>
        <w:t>（6）</w:t>
      </w:r>
    </w:p>
    <w:p>
      <w:pPr>
        <w:pStyle w:val="15"/>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r>
        <w:rPr>
          <w:rFonts w:hint="eastAsia" w:ascii="仿宋_GB2312" w:hAnsi="仿宋_GB2312" w:eastAsia="仿宋_GB2312" w:cs="仿宋_GB2312"/>
          <w:kern w:val="2"/>
          <w:sz w:val="28"/>
          <w:szCs w:val="28"/>
          <w:lang w:val="en-US" w:eastAsia="zh-CN" w:bidi="ar-SA"/>
        </w:rPr>
        <w:tab/>
      </w:r>
      <w:r>
        <w:rPr>
          <w:rFonts w:hint="eastAsia" w:ascii="仿宋_GB2312" w:hAnsi="仿宋_GB2312" w:eastAsia="仿宋_GB2312" w:cs="仿宋_GB2312"/>
          <w:kern w:val="2"/>
          <w:sz w:val="28"/>
          <w:szCs w:val="28"/>
          <w:lang w:val="en-US" w:eastAsia="zh-CN" w:bidi="ar-SA"/>
        </w:rPr>
        <w:t>（7）</w:t>
      </w:r>
    </w:p>
    <w:p>
      <w:pPr>
        <w:pStyle w:val="1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一、收入支出决算总体情况说明</w:t>
      </w:r>
      <w:r>
        <w:rPr>
          <w:rFonts w:hint="eastAsia" w:ascii="仿宋_GB2312" w:hAnsi="仿宋_GB2312" w:eastAsia="仿宋_GB2312" w:cs="仿宋_GB2312"/>
          <w:kern w:val="2"/>
          <w:sz w:val="28"/>
          <w:szCs w:val="28"/>
          <w:lang w:val="en-US" w:eastAsia="zh-CN" w:bidi="ar-SA"/>
        </w:rPr>
        <w:tab/>
      </w:r>
      <w:r>
        <w:rPr>
          <w:rFonts w:hint="eastAsia" w:ascii="仿宋_GB2312" w:hAnsi="仿宋_GB2312" w:eastAsia="仿宋_GB2312" w:cs="仿宋_GB2312"/>
          <w:kern w:val="2"/>
          <w:sz w:val="28"/>
          <w:szCs w:val="28"/>
          <w:lang w:val="en-US" w:eastAsia="zh-CN" w:bidi="ar-SA"/>
        </w:rPr>
        <w:t>（7）</w:t>
      </w:r>
    </w:p>
    <w:p>
      <w:pPr>
        <w:pStyle w:val="1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二、收入决算情况说明</w:t>
      </w:r>
      <w:r>
        <w:rPr>
          <w:rFonts w:hint="eastAsia" w:ascii="仿宋_GB2312" w:hAnsi="仿宋_GB2312" w:eastAsia="仿宋_GB2312" w:cs="仿宋_GB2312"/>
          <w:kern w:val="2"/>
          <w:sz w:val="28"/>
          <w:szCs w:val="28"/>
          <w:lang w:val="en-US" w:eastAsia="zh-CN" w:bidi="ar-SA"/>
        </w:rPr>
        <w:tab/>
      </w:r>
      <w:r>
        <w:rPr>
          <w:rFonts w:hint="eastAsia" w:ascii="仿宋_GB2312" w:hAnsi="仿宋_GB2312" w:eastAsia="仿宋_GB2312" w:cs="仿宋_GB2312"/>
          <w:kern w:val="2"/>
          <w:sz w:val="28"/>
          <w:szCs w:val="28"/>
          <w:lang w:val="en-US" w:eastAsia="zh-CN" w:bidi="ar-SA"/>
        </w:rPr>
        <w:t>（7）</w:t>
      </w:r>
    </w:p>
    <w:p>
      <w:pPr>
        <w:pStyle w:val="1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三、支出决算情况说明</w:t>
      </w:r>
      <w:r>
        <w:rPr>
          <w:rFonts w:hint="eastAsia" w:ascii="仿宋_GB2312" w:hAnsi="仿宋_GB2312" w:eastAsia="仿宋_GB2312" w:cs="仿宋_GB2312"/>
          <w:kern w:val="2"/>
          <w:sz w:val="28"/>
          <w:szCs w:val="28"/>
          <w:lang w:val="en-US" w:eastAsia="zh-CN" w:bidi="ar-SA"/>
        </w:rPr>
        <w:tab/>
      </w:r>
      <w:r>
        <w:rPr>
          <w:rFonts w:hint="eastAsia" w:ascii="仿宋_GB2312" w:hAnsi="仿宋_GB2312" w:eastAsia="仿宋_GB2312" w:cs="仿宋_GB2312"/>
          <w:kern w:val="2"/>
          <w:sz w:val="28"/>
          <w:szCs w:val="28"/>
          <w:lang w:val="en-US" w:eastAsia="zh-CN" w:bidi="ar-SA"/>
        </w:rPr>
        <w:t>（8）</w:t>
      </w:r>
    </w:p>
    <w:p>
      <w:pPr>
        <w:pStyle w:val="1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ascii="仿宋_GB2312" w:hAnsi="仿宋_GB2312" w:eastAsia="仿宋_GB2312" w:cs="仿宋_GB2312"/>
          <w:kern w:val="2"/>
          <w:sz w:val="28"/>
          <w:szCs w:val="28"/>
          <w:lang w:val="en-US" w:eastAsia="zh-CN" w:bidi="ar-SA"/>
        </w:rPr>
        <w:tab/>
      </w:r>
      <w:r>
        <w:rPr>
          <w:rFonts w:hint="eastAsia" w:ascii="仿宋_GB2312" w:hAnsi="仿宋_GB2312" w:eastAsia="仿宋_GB2312" w:cs="仿宋_GB2312"/>
          <w:kern w:val="2"/>
          <w:sz w:val="28"/>
          <w:szCs w:val="28"/>
          <w:lang w:val="en-US" w:eastAsia="zh-CN" w:bidi="ar-SA"/>
        </w:rPr>
        <w:t>（8）</w:t>
      </w:r>
    </w:p>
    <w:p>
      <w:pPr>
        <w:pStyle w:val="1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ascii="仿宋_GB2312" w:hAnsi="仿宋_GB2312" w:eastAsia="仿宋_GB2312" w:cs="仿宋_GB2312"/>
          <w:kern w:val="2"/>
          <w:sz w:val="28"/>
          <w:szCs w:val="28"/>
          <w:lang w:val="en-US" w:eastAsia="zh-CN" w:bidi="ar-SA"/>
        </w:rPr>
        <w:tab/>
      </w:r>
      <w:r>
        <w:rPr>
          <w:rFonts w:hint="eastAsia" w:ascii="仿宋_GB2312" w:hAnsi="仿宋_GB2312" w:eastAsia="仿宋_GB2312" w:cs="仿宋_GB2312"/>
          <w:kern w:val="2"/>
          <w:sz w:val="28"/>
          <w:szCs w:val="28"/>
          <w:lang w:val="en-US" w:eastAsia="zh-CN" w:bidi="ar-SA"/>
        </w:rPr>
        <w:t>（9）</w:t>
      </w:r>
    </w:p>
    <w:p>
      <w:pPr>
        <w:pStyle w:val="1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ascii="仿宋_GB2312" w:hAnsi="仿宋_GB2312" w:eastAsia="仿宋_GB2312" w:cs="仿宋_GB2312"/>
          <w:kern w:val="2"/>
          <w:sz w:val="28"/>
          <w:szCs w:val="28"/>
          <w:lang w:val="en-US" w:eastAsia="zh-CN" w:bidi="ar-SA"/>
        </w:rPr>
        <w:tab/>
      </w:r>
      <w:r>
        <w:rPr>
          <w:rFonts w:hint="eastAsia" w:ascii="仿宋_GB2312" w:hAnsi="仿宋_GB2312" w:eastAsia="仿宋_GB2312" w:cs="仿宋_GB2312"/>
          <w:kern w:val="2"/>
          <w:sz w:val="28"/>
          <w:szCs w:val="28"/>
          <w:lang w:val="en-US" w:eastAsia="zh-CN" w:bidi="ar-SA"/>
        </w:rPr>
        <w:t>（13）</w:t>
      </w:r>
    </w:p>
    <w:p>
      <w:pPr>
        <w:pStyle w:val="1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ascii="仿宋_GB2312" w:hAnsi="仿宋_GB2312" w:eastAsia="仿宋_GB2312" w:cs="仿宋_GB2312"/>
          <w:kern w:val="2"/>
          <w:sz w:val="28"/>
          <w:szCs w:val="28"/>
          <w:lang w:val="en-US" w:eastAsia="zh-CN" w:bidi="ar-SA"/>
        </w:rPr>
        <w:tab/>
      </w:r>
      <w:r>
        <w:rPr>
          <w:rFonts w:hint="eastAsia" w:ascii="仿宋_GB2312" w:hAnsi="仿宋_GB2312" w:eastAsia="仿宋_GB2312" w:cs="仿宋_GB2312"/>
          <w:kern w:val="2"/>
          <w:sz w:val="28"/>
          <w:szCs w:val="28"/>
          <w:lang w:val="en-US" w:eastAsia="zh-CN" w:bidi="ar-SA"/>
        </w:rPr>
        <w:t>（13）</w:t>
      </w:r>
    </w:p>
    <w:p>
      <w:pPr>
        <w:pStyle w:val="1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八、政府性基金预算支出决算情况说明</w:t>
      </w:r>
      <w:r>
        <w:rPr>
          <w:rFonts w:hint="eastAsia" w:ascii="仿宋_GB2312" w:hAnsi="仿宋_GB2312" w:eastAsia="仿宋_GB2312" w:cs="仿宋_GB2312"/>
          <w:kern w:val="2"/>
          <w:sz w:val="28"/>
          <w:szCs w:val="28"/>
          <w:lang w:val="en-US" w:eastAsia="zh-CN" w:bidi="ar-SA"/>
        </w:rPr>
        <w:tab/>
      </w:r>
      <w:r>
        <w:rPr>
          <w:rFonts w:hint="eastAsia" w:ascii="仿宋_GB2312" w:hAnsi="仿宋_GB2312" w:eastAsia="仿宋_GB2312" w:cs="仿宋_GB2312"/>
          <w:kern w:val="2"/>
          <w:sz w:val="28"/>
          <w:szCs w:val="28"/>
          <w:lang w:val="en-US" w:eastAsia="zh-CN" w:bidi="ar-SA"/>
        </w:rPr>
        <w:t>（15）</w:t>
      </w:r>
    </w:p>
    <w:p>
      <w:pPr>
        <w:pStyle w:val="1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ascii="仿宋_GB2312" w:hAnsi="仿宋_GB2312" w:eastAsia="仿宋_GB2312" w:cs="仿宋_GB2312"/>
          <w:kern w:val="2"/>
          <w:sz w:val="28"/>
          <w:szCs w:val="28"/>
          <w:lang w:val="en-US" w:eastAsia="zh-CN" w:bidi="ar-SA"/>
        </w:rPr>
        <w:tab/>
      </w:r>
      <w:r>
        <w:rPr>
          <w:rFonts w:hint="eastAsia" w:ascii="仿宋_GB2312" w:hAnsi="仿宋_GB2312" w:eastAsia="仿宋_GB2312" w:cs="仿宋_GB2312"/>
          <w:kern w:val="2"/>
          <w:sz w:val="28"/>
          <w:szCs w:val="28"/>
          <w:lang w:val="en-US" w:eastAsia="zh-CN" w:bidi="ar-SA"/>
        </w:rPr>
        <w:t>（15）</w:t>
      </w:r>
    </w:p>
    <w:p>
      <w:pPr>
        <w:pStyle w:val="1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ascii="仿宋_GB2312" w:hAnsi="仿宋_GB2312" w:eastAsia="仿宋_GB2312" w:cs="仿宋_GB2312"/>
          <w:kern w:val="2"/>
          <w:sz w:val="28"/>
          <w:szCs w:val="28"/>
          <w:lang w:val="en-US" w:eastAsia="zh-CN" w:bidi="ar-SA"/>
        </w:rPr>
        <w:tab/>
      </w:r>
      <w:r>
        <w:rPr>
          <w:rFonts w:hint="eastAsia" w:ascii="仿宋_GB2312" w:hAnsi="仿宋_GB2312" w:eastAsia="仿宋_GB2312" w:cs="仿宋_GB2312"/>
          <w:kern w:val="2"/>
          <w:sz w:val="28"/>
          <w:szCs w:val="28"/>
          <w:lang w:val="en-US" w:eastAsia="zh-CN" w:bidi="ar-SA"/>
        </w:rPr>
        <w:t>（15）</w:t>
      </w:r>
    </w:p>
    <w:p>
      <w:pPr>
        <w:pStyle w:val="15"/>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第三部分 名词解释</w:t>
      </w:r>
      <w:r>
        <w:rPr>
          <w:rFonts w:hint="eastAsia" w:ascii="仿宋_GB2312" w:hAnsi="仿宋_GB2312" w:eastAsia="仿宋_GB2312" w:cs="仿宋_GB2312"/>
          <w:kern w:val="2"/>
          <w:sz w:val="28"/>
          <w:szCs w:val="28"/>
          <w:lang w:val="en-US" w:eastAsia="zh-CN" w:bidi="ar-SA"/>
        </w:rPr>
        <w:tab/>
      </w:r>
      <w:r>
        <w:rPr>
          <w:rFonts w:hint="eastAsia" w:ascii="仿宋_GB2312" w:hAnsi="仿宋_GB2312" w:eastAsia="仿宋_GB2312" w:cs="仿宋_GB2312"/>
          <w:kern w:val="2"/>
          <w:sz w:val="28"/>
          <w:szCs w:val="28"/>
          <w:lang w:val="en-US" w:eastAsia="zh-CN" w:bidi="ar-SA"/>
        </w:rPr>
        <w:t>（18）</w:t>
      </w:r>
    </w:p>
    <w:p>
      <w:pPr>
        <w:pStyle w:val="15"/>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第四部分 附件</w:t>
      </w:r>
      <w:r>
        <w:rPr>
          <w:rFonts w:hint="eastAsia" w:ascii="仿宋_GB2312" w:hAnsi="仿宋_GB2312" w:eastAsia="仿宋_GB2312" w:cs="仿宋_GB2312"/>
          <w:kern w:val="2"/>
          <w:sz w:val="28"/>
          <w:szCs w:val="28"/>
          <w:lang w:val="en-US" w:eastAsia="zh-CN" w:bidi="ar-SA"/>
        </w:rPr>
        <w:tab/>
      </w:r>
      <w:r>
        <w:rPr>
          <w:rFonts w:hint="eastAsia" w:ascii="仿宋_GB2312" w:hAnsi="仿宋_GB2312" w:eastAsia="仿宋_GB2312" w:cs="仿宋_GB2312"/>
          <w:kern w:val="2"/>
          <w:sz w:val="28"/>
          <w:szCs w:val="28"/>
          <w:lang w:val="en-US" w:eastAsia="zh-CN" w:bidi="ar-SA"/>
        </w:rPr>
        <w:t>（22）</w:t>
      </w:r>
    </w:p>
    <w:p>
      <w:pPr>
        <w:pStyle w:val="15"/>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第五部分 附表</w:t>
      </w:r>
      <w:r>
        <w:rPr>
          <w:rFonts w:hint="eastAsia" w:ascii="仿宋_GB2312" w:hAnsi="仿宋_GB2312" w:eastAsia="仿宋_GB2312" w:cs="仿宋_GB2312"/>
          <w:kern w:val="2"/>
          <w:sz w:val="28"/>
          <w:szCs w:val="28"/>
          <w:lang w:val="en-US" w:eastAsia="zh-CN" w:bidi="ar-SA"/>
        </w:rPr>
        <w:tab/>
      </w:r>
      <w:r>
        <w:rPr>
          <w:rFonts w:hint="eastAsia" w:ascii="仿宋_GB2312" w:hAnsi="仿宋_GB2312" w:eastAsia="仿宋_GB2312" w:cs="仿宋_GB2312"/>
          <w:kern w:val="2"/>
          <w:sz w:val="28"/>
          <w:szCs w:val="28"/>
          <w:lang w:val="en-US" w:eastAsia="zh-CN" w:bidi="ar-SA"/>
        </w:rPr>
        <w:t>（62）</w:t>
      </w:r>
    </w:p>
    <w:p>
      <w:pPr>
        <w:pStyle w:val="1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r>
        <w:rPr>
          <w:rFonts w:hint="eastAsia" w:ascii="仿宋_GB2312" w:hAnsi="仿宋_GB2312" w:eastAsia="仿宋_GB2312" w:cs="仿宋_GB2312"/>
          <w:kern w:val="2"/>
          <w:sz w:val="28"/>
          <w:szCs w:val="28"/>
          <w:lang w:val="en-US" w:eastAsia="zh-CN" w:bidi="ar-SA"/>
        </w:rPr>
        <w:tab/>
      </w:r>
      <w:r>
        <w:rPr>
          <w:rFonts w:hint="eastAsia" w:ascii="仿宋_GB2312" w:hAnsi="仿宋_GB2312" w:eastAsia="仿宋_GB2312" w:cs="仿宋_GB2312"/>
          <w:kern w:val="2"/>
          <w:sz w:val="28"/>
          <w:szCs w:val="28"/>
          <w:lang w:val="en-US" w:eastAsia="zh-CN" w:bidi="ar-SA"/>
        </w:rPr>
        <w:t>（62）</w:t>
      </w:r>
    </w:p>
    <w:p>
      <w:pPr>
        <w:pStyle w:val="1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二、收入决算表</w:t>
      </w:r>
      <w:r>
        <w:rPr>
          <w:rFonts w:hint="eastAsia" w:ascii="仿宋_GB2312" w:hAnsi="仿宋_GB2312" w:eastAsia="仿宋_GB2312" w:cs="仿宋_GB2312"/>
          <w:kern w:val="2"/>
          <w:sz w:val="28"/>
          <w:szCs w:val="28"/>
          <w:lang w:val="en-US" w:eastAsia="zh-CN" w:bidi="ar-SA"/>
        </w:rPr>
        <w:tab/>
      </w:r>
      <w:r>
        <w:rPr>
          <w:rFonts w:hint="eastAsia" w:ascii="仿宋_GB2312" w:hAnsi="仿宋_GB2312" w:eastAsia="仿宋_GB2312" w:cs="仿宋_GB2312"/>
          <w:kern w:val="2"/>
          <w:sz w:val="28"/>
          <w:szCs w:val="28"/>
          <w:lang w:val="en-US" w:eastAsia="zh-CN" w:bidi="ar-SA"/>
        </w:rPr>
        <w:t>（62）</w:t>
      </w:r>
    </w:p>
    <w:p>
      <w:pPr>
        <w:pStyle w:val="1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三、支出决算表</w:t>
      </w:r>
      <w:r>
        <w:rPr>
          <w:rFonts w:hint="eastAsia" w:ascii="仿宋_GB2312" w:hAnsi="仿宋_GB2312" w:eastAsia="仿宋_GB2312" w:cs="仿宋_GB2312"/>
          <w:kern w:val="2"/>
          <w:sz w:val="28"/>
          <w:szCs w:val="28"/>
          <w:lang w:val="en-US" w:eastAsia="zh-CN" w:bidi="ar-SA"/>
        </w:rPr>
        <w:tab/>
      </w:r>
      <w:r>
        <w:rPr>
          <w:rFonts w:hint="eastAsia" w:ascii="仿宋_GB2312" w:hAnsi="仿宋_GB2312" w:eastAsia="仿宋_GB2312" w:cs="仿宋_GB2312"/>
          <w:kern w:val="2"/>
          <w:sz w:val="28"/>
          <w:szCs w:val="28"/>
          <w:lang w:val="en-US" w:eastAsia="zh-CN" w:bidi="ar-SA"/>
        </w:rPr>
        <w:t>（62）</w:t>
      </w:r>
    </w:p>
    <w:p>
      <w:pPr>
        <w:pStyle w:val="1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四、财政拨款收入支出决算总表</w:t>
      </w:r>
      <w:r>
        <w:rPr>
          <w:rFonts w:hint="eastAsia" w:ascii="仿宋_GB2312" w:hAnsi="仿宋_GB2312" w:eastAsia="仿宋_GB2312" w:cs="仿宋_GB2312"/>
          <w:kern w:val="2"/>
          <w:sz w:val="28"/>
          <w:szCs w:val="28"/>
          <w:lang w:val="en-US" w:eastAsia="zh-CN" w:bidi="ar-SA"/>
        </w:rPr>
        <w:tab/>
      </w:r>
      <w:r>
        <w:rPr>
          <w:rFonts w:hint="eastAsia" w:ascii="仿宋_GB2312" w:hAnsi="仿宋_GB2312" w:eastAsia="仿宋_GB2312" w:cs="仿宋_GB2312"/>
          <w:kern w:val="2"/>
          <w:sz w:val="28"/>
          <w:szCs w:val="28"/>
          <w:lang w:val="en-US" w:eastAsia="zh-CN" w:bidi="ar-SA"/>
        </w:rPr>
        <w:t>（62）</w:t>
      </w:r>
    </w:p>
    <w:p>
      <w:pPr>
        <w:pStyle w:val="1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五、财政拨款支出决算明细表</w:t>
      </w:r>
      <w:r>
        <w:rPr>
          <w:rFonts w:hint="eastAsia" w:ascii="仿宋_GB2312" w:hAnsi="仿宋_GB2312" w:eastAsia="仿宋_GB2312" w:cs="仿宋_GB2312"/>
          <w:kern w:val="2"/>
          <w:sz w:val="28"/>
          <w:szCs w:val="28"/>
          <w:lang w:val="en-US" w:eastAsia="zh-CN" w:bidi="ar-SA"/>
        </w:rPr>
        <w:tab/>
      </w:r>
      <w:r>
        <w:rPr>
          <w:rFonts w:hint="eastAsia" w:ascii="仿宋_GB2312" w:hAnsi="仿宋_GB2312" w:eastAsia="仿宋_GB2312" w:cs="仿宋_GB2312"/>
          <w:kern w:val="2"/>
          <w:sz w:val="28"/>
          <w:szCs w:val="28"/>
          <w:lang w:val="en-US" w:eastAsia="zh-CN" w:bidi="ar-SA"/>
        </w:rPr>
        <w:t>（62）</w:t>
      </w:r>
    </w:p>
    <w:p>
      <w:pPr>
        <w:pStyle w:val="1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r>
        <w:rPr>
          <w:rFonts w:hint="eastAsia" w:ascii="仿宋_GB2312" w:hAnsi="仿宋_GB2312" w:eastAsia="仿宋_GB2312" w:cs="仿宋_GB2312"/>
          <w:kern w:val="2"/>
          <w:sz w:val="28"/>
          <w:szCs w:val="28"/>
          <w:lang w:val="en-US" w:eastAsia="zh-CN" w:bidi="ar-SA"/>
        </w:rPr>
        <w:tab/>
      </w:r>
      <w:r>
        <w:rPr>
          <w:rFonts w:hint="eastAsia" w:ascii="仿宋_GB2312" w:hAnsi="仿宋_GB2312" w:eastAsia="仿宋_GB2312" w:cs="仿宋_GB2312"/>
          <w:kern w:val="2"/>
          <w:sz w:val="28"/>
          <w:szCs w:val="28"/>
          <w:lang w:val="en-US" w:eastAsia="zh-CN" w:bidi="ar-SA"/>
        </w:rPr>
        <w:t>（62）</w:t>
      </w:r>
    </w:p>
    <w:p>
      <w:pPr>
        <w:pStyle w:val="1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七、一般公共预算财政拨款支出决算明细表</w:t>
      </w:r>
      <w:r>
        <w:rPr>
          <w:rFonts w:hint="eastAsia" w:ascii="仿宋_GB2312" w:hAnsi="仿宋_GB2312" w:eastAsia="仿宋_GB2312" w:cs="仿宋_GB2312"/>
          <w:kern w:val="2"/>
          <w:sz w:val="28"/>
          <w:szCs w:val="28"/>
          <w:lang w:val="en-US" w:eastAsia="zh-CN" w:bidi="ar-SA"/>
        </w:rPr>
        <w:tab/>
      </w:r>
      <w:r>
        <w:rPr>
          <w:rFonts w:hint="eastAsia" w:ascii="仿宋_GB2312" w:hAnsi="仿宋_GB2312" w:eastAsia="仿宋_GB2312" w:cs="仿宋_GB2312"/>
          <w:kern w:val="2"/>
          <w:sz w:val="28"/>
          <w:szCs w:val="28"/>
          <w:lang w:val="en-US" w:eastAsia="zh-CN" w:bidi="ar-SA"/>
        </w:rPr>
        <w:t>（62）</w:t>
      </w:r>
    </w:p>
    <w:p>
      <w:pPr>
        <w:pStyle w:val="1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r>
        <w:rPr>
          <w:rFonts w:hint="eastAsia" w:ascii="仿宋_GB2312" w:hAnsi="仿宋_GB2312" w:eastAsia="仿宋_GB2312" w:cs="仿宋_GB2312"/>
          <w:kern w:val="2"/>
          <w:sz w:val="28"/>
          <w:szCs w:val="28"/>
          <w:lang w:val="en-US" w:eastAsia="zh-CN" w:bidi="ar-SA"/>
        </w:rPr>
        <w:tab/>
      </w:r>
      <w:r>
        <w:rPr>
          <w:rFonts w:hint="eastAsia" w:ascii="仿宋_GB2312" w:hAnsi="仿宋_GB2312" w:eastAsia="仿宋_GB2312" w:cs="仿宋_GB2312"/>
          <w:kern w:val="2"/>
          <w:sz w:val="28"/>
          <w:szCs w:val="28"/>
          <w:lang w:val="en-US" w:eastAsia="zh-CN" w:bidi="ar-SA"/>
        </w:rPr>
        <w:t>（62）</w:t>
      </w:r>
    </w:p>
    <w:p>
      <w:pPr>
        <w:pStyle w:val="1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九、一般公共预算财政拨款项目支出决算表</w:t>
      </w:r>
      <w:r>
        <w:rPr>
          <w:rFonts w:hint="eastAsia" w:ascii="仿宋_GB2312" w:hAnsi="仿宋_GB2312" w:eastAsia="仿宋_GB2312" w:cs="仿宋_GB2312"/>
          <w:kern w:val="2"/>
          <w:sz w:val="28"/>
          <w:szCs w:val="28"/>
          <w:lang w:val="en-US" w:eastAsia="zh-CN" w:bidi="ar-SA"/>
        </w:rPr>
        <w:tab/>
      </w:r>
      <w:r>
        <w:rPr>
          <w:rFonts w:hint="eastAsia" w:ascii="仿宋_GB2312" w:hAnsi="仿宋_GB2312" w:eastAsia="仿宋_GB2312" w:cs="仿宋_GB2312"/>
          <w:kern w:val="2"/>
          <w:sz w:val="28"/>
          <w:szCs w:val="28"/>
          <w:lang w:val="en-US" w:eastAsia="zh-CN" w:bidi="ar-SA"/>
        </w:rPr>
        <w:t>（62）</w:t>
      </w:r>
    </w:p>
    <w:p>
      <w:pPr>
        <w:pStyle w:val="1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十、政府性基金预算财政拨款收入支出决算表</w:t>
      </w:r>
      <w:r>
        <w:rPr>
          <w:rFonts w:hint="eastAsia" w:ascii="仿宋_GB2312" w:hAnsi="仿宋_GB2312" w:eastAsia="仿宋_GB2312" w:cs="仿宋_GB2312"/>
          <w:kern w:val="2"/>
          <w:sz w:val="28"/>
          <w:szCs w:val="28"/>
          <w:lang w:val="en-US" w:eastAsia="zh-CN" w:bidi="ar-SA"/>
        </w:rPr>
        <w:tab/>
      </w:r>
      <w:r>
        <w:rPr>
          <w:rFonts w:hint="eastAsia" w:ascii="仿宋_GB2312" w:hAnsi="仿宋_GB2312" w:eastAsia="仿宋_GB2312" w:cs="仿宋_GB2312"/>
          <w:kern w:val="2"/>
          <w:sz w:val="28"/>
          <w:szCs w:val="28"/>
          <w:lang w:val="en-US" w:eastAsia="zh-CN" w:bidi="ar-SA"/>
        </w:rPr>
        <w:t>（62）</w:t>
      </w:r>
    </w:p>
    <w:p>
      <w:pPr>
        <w:pStyle w:val="1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十一、国有资本经营预算财政拨款收入支出决算表</w:t>
      </w:r>
      <w:r>
        <w:rPr>
          <w:rFonts w:hint="eastAsia" w:ascii="仿宋_GB2312" w:hAnsi="仿宋_GB2312" w:eastAsia="仿宋_GB2312" w:cs="仿宋_GB2312"/>
          <w:kern w:val="2"/>
          <w:sz w:val="28"/>
          <w:szCs w:val="28"/>
          <w:lang w:val="en-US" w:eastAsia="zh-CN" w:bidi="ar-SA"/>
        </w:rPr>
        <w:tab/>
      </w:r>
      <w:r>
        <w:rPr>
          <w:rFonts w:hint="eastAsia" w:ascii="仿宋_GB2312" w:hAnsi="仿宋_GB2312" w:eastAsia="仿宋_GB2312" w:cs="仿宋_GB2312"/>
          <w:kern w:val="2"/>
          <w:sz w:val="28"/>
          <w:szCs w:val="28"/>
          <w:lang w:val="en-US" w:eastAsia="zh-CN" w:bidi="ar-SA"/>
        </w:rPr>
        <w:t>（62）</w:t>
      </w:r>
    </w:p>
    <w:p>
      <w:pPr>
        <w:pStyle w:val="1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r>
        <w:rPr>
          <w:rFonts w:hint="eastAsia" w:ascii="仿宋_GB2312" w:hAnsi="仿宋_GB2312" w:eastAsia="仿宋_GB2312" w:cs="仿宋_GB2312"/>
          <w:kern w:val="2"/>
          <w:sz w:val="28"/>
          <w:szCs w:val="28"/>
          <w:lang w:val="en-US" w:eastAsia="zh-CN" w:bidi="ar-SA"/>
        </w:rPr>
        <w:tab/>
      </w:r>
      <w:r>
        <w:rPr>
          <w:rFonts w:hint="eastAsia" w:ascii="仿宋_GB2312" w:hAnsi="仿宋_GB2312" w:eastAsia="仿宋_GB2312" w:cs="仿宋_GB2312"/>
          <w:kern w:val="2"/>
          <w:sz w:val="28"/>
          <w:szCs w:val="28"/>
          <w:lang w:val="en-US" w:eastAsia="zh-CN" w:bidi="ar-SA"/>
        </w:rPr>
        <w:t>（62）</w:t>
      </w:r>
    </w:p>
    <w:p>
      <w:pPr>
        <w:pStyle w:val="17"/>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十三、财政拨款“三公”经费支出决算表</w:t>
      </w:r>
      <w:r>
        <w:rPr>
          <w:rFonts w:hint="eastAsia" w:ascii="仿宋_GB2312" w:hAnsi="仿宋_GB2312" w:eastAsia="仿宋_GB2312" w:cs="仿宋_GB2312"/>
          <w:kern w:val="2"/>
          <w:sz w:val="28"/>
          <w:szCs w:val="28"/>
          <w:lang w:val="en-US" w:eastAsia="zh-CN" w:bidi="ar-SA"/>
        </w:rPr>
        <w:tab/>
      </w:r>
      <w:r>
        <w:rPr>
          <w:rFonts w:hint="eastAsia" w:ascii="仿宋_GB2312" w:hAnsi="仿宋_GB2312" w:eastAsia="仿宋_GB2312" w:cs="仿宋_GB2312"/>
          <w:kern w:val="2"/>
          <w:sz w:val="28"/>
          <w:szCs w:val="28"/>
          <w:lang w:val="en-US" w:eastAsia="zh-CN" w:bidi="ar-SA"/>
        </w:rPr>
        <w:t>（62）</w:t>
      </w:r>
    </w:p>
    <w:p>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bookmarkStart w:id="6" w:name="_Toc15396599"/>
      <w:bookmarkStart w:id="7" w:name="_Toc15377196"/>
      <w:r>
        <w:rPr>
          <w:rFonts w:hint="eastAsia" w:eastAsia="仿宋_GB2312" w:cs="仿宋_GB2312"/>
          <w:b/>
          <w:bCs/>
          <w:color w:val="auto"/>
          <w:sz w:val="32"/>
          <w:szCs w:val="32"/>
          <w:highlight w:val="none"/>
          <w:lang w:val="en-US" w:eastAsia="zh-CN"/>
        </w:rPr>
        <w:t xml:space="preserve"> </w:t>
      </w:r>
      <w:r>
        <w:rPr>
          <w:rFonts w:hint="eastAsia" w:ascii="Times New Roman" w:hAnsi="Times New Roman" w:eastAsia="仿宋_GB2312" w:cs="仿宋_GB2312"/>
          <w:b/>
          <w:color w:val="auto"/>
          <w:sz w:val="32"/>
          <w:szCs w:val="32"/>
          <w:highlight w:val="none"/>
        </w:rPr>
        <w:br w:type="page"/>
      </w:r>
    </w:p>
    <w:p>
      <w:pPr>
        <w:pStyle w:val="3"/>
        <w:jc w:val="center"/>
        <w:rPr>
          <w:rStyle w:val="30"/>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30"/>
          <w:rFonts w:hint="eastAsia" w:ascii="Times New Roman" w:hAnsi="Times New Roman" w:eastAsia="方正小标宋简体" w:cs="方正小标宋简体"/>
          <w:b w:val="0"/>
          <w:bCs w:val="0"/>
          <w:color w:val="auto"/>
          <w:highlight w:val="none"/>
        </w:rPr>
        <w:t>部门概况</w:t>
      </w:r>
      <w:bookmarkEnd w:id="6"/>
      <w:bookmarkEnd w:id="7"/>
    </w:p>
    <w:p>
      <w:pPr>
        <w:widowControl/>
        <w:jc w:val="left"/>
        <w:rPr>
          <w:rFonts w:ascii="Times New Roman" w:hAnsi="Times New Roman" w:eastAsia="黑体"/>
          <w:color w:val="auto"/>
          <w:sz w:val="32"/>
          <w:szCs w:val="32"/>
          <w:highlight w:val="none"/>
        </w:rPr>
      </w:pPr>
    </w:p>
    <w:p>
      <w:pPr>
        <w:pStyle w:val="4"/>
        <w:numPr>
          <w:ilvl w:val="0"/>
          <w:numId w:val="1"/>
        </w:numPr>
        <w:rPr>
          <w:rFonts w:hint="eastAsia" w:ascii="Times New Roman" w:hAnsi="Times New Roman" w:eastAsia="黑体"/>
          <w:b w:val="0"/>
          <w:color w:val="auto"/>
          <w:highlight w:val="none"/>
          <w:lang w:eastAsia="zh-CN"/>
        </w:rPr>
      </w:pPr>
      <w:r>
        <w:rPr>
          <w:rFonts w:hint="eastAsia" w:ascii="Times New Roman" w:hAnsi="Times New Roman" w:eastAsia="黑体"/>
          <w:b w:val="0"/>
          <w:color w:val="auto"/>
          <w:highlight w:val="none"/>
          <w:lang w:eastAsia="zh-CN"/>
        </w:rPr>
        <w:t>部门职责</w:t>
      </w:r>
    </w:p>
    <w:p>
      <w:pPr>
        <w:snapToGrid w:val="0"/>
        <w:spacing w:line="52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（1）贯彻执行公安工作的方针、政策、法律、法规和规章，部署、指导、监督、检查全县公安工作；负责本部门依法行政工作，落实行政执法责任。</w:t>
      </w:r>
    </w:p>
    <w:p>
      <w:pPr>
        <w:snapToGrid w:val="0"/>
        <w:spacing w:line="52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（2）负责公安机关应急管理、抢险救援工作和社会公共突发事件的处置工作。 </w:t>
      </w:r>
    </w:p>
    <w:p>
      <w:pPr>
        <w:snapToGrid w:val="0"/>
        <w:spacing w:line="52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（3）收集、掌握影响稳定、危害国内安全和社会治安的情况，分析、研判形势，制定对策。 </w:t>
      </w:r>
    </w:p>
    <w:p>
      <w:pPr>
        <w:snapToGrid w:val="0"/>
        <w:spacing w:line="52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（4）组织实施县公安局系统的侦查工作，侦办刑事犯罪案件、危害国家安全的犯罪案件、经济犯罪案件。 </w:t>
      </w:r>
    </w:p>
    <w:p>
      <w:pPr>
        <w:snapToGrid w:val="0"/>
        <w:spacing w:line="52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（5）负责全县的治安管理工作并承担相应责任。处置县域内治安事故和群体性事件，依法查处破坏社会治安秩序行为，依法开展治安行政管理工作，指导、监督县域内国家机关、企事业单位开展治安保卫工作。 </w:t>
      </w:r>
    </w:p>
    <w:p>
      <w:pPr>
        <w:snapToGrid w:val="0"/>
        <w:spacing w:line="52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（6）负责全县出入境管理工作。依法管理国籍，组织开展出境、入境和持普通护照的外国人在盐居留、旅行、就业的有关管理工作。 </w:t>
      </w:r>
    </w:p>
    <w:p>
      <w:pPr>
        <w:snapToGrid w:val="0"/>
        <w:spacing w:line="52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（7）负责全县消防工作并承担相应责任，组织协调、指导监督全县消防监督、火灾预防和扑救工作。 </w:t>
      </w:r>
    </w:p>
    <w:p>
      <w:pPr>
        <w:snapToGrid w:val="0"/>
        <w:spacing w:line="52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（8）负责全县道路交通安全管理工作并承担相应责任。开展维护全县道路交通安全、道路交通秩序工作，开展机动车（拖拉机除外）、驾驶人管理工作。 </w:t>
      </w:r>
    </w:p>
    <w:p>
      <w:pPr>
        <w:snapToGrid w:val="0"/>
        <w:spacing w:line="52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（9）负责全县公共信息网络安全保护工作，开展县域内危害公共信息网络安全和网络犯罪案件侦办工作。 </w:t>
      </w:r>
    </w:p>
    <w:p>
      <w:pPr>
        <w:snapToGrid w:val="0"/>
        <w:spacing w:line="52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（10）防范、处置邪教及有害气功组织的违法犯罪活动。</w:t>
      </w:r>
    </w:p>
    <w:p>
      <w:pPr>
        <w:snapToGrid w:val="0"/>
        <w:spacing w:line="52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（11）组织实施对恐怖活动的情报收集、防范、侦查和应急处置工作。 </w:t>
      </w:r>
    </w:p>
    <w:p>
      <w:pPr>
        <w:snapToGrid w:val="0"/>
        <w:spacing w:line="52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（12）负责依法承担的执行刑罚和监督、考察工作。 </w:t>
      </w:r>
    </w:p>
    <w:p>
      <w:pPr>
        <w:snapToGrid w:val="0"/>
        <w:spacing w:line="52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（13）负责来盐中央和省、市领导以及重要外宾的安全保卫工作并承担相应责任；组织实施重要会议、重大节庆活动的安全保卫工作并承担相应责任。 </w:t>
      </w:r>
    </w:p>
    <w:p>
      <w:pPr>
        <w:snapToGrid w:val="0"/>
        <w:spacing w:line="52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（14）负责县公安局指挥系统、科技应用、信息技术、刑事技术的规划和建设工作。 </w:t>
      </w:r>
    </w:p>
    <w:p>
      <w:pPr>
        <w:snapToGrid w:val="0"/>
        <w:spacing w:line="52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（15）拟订县公安局装备、备装、经费等警务保障计划和管理制度，组织实施全局警务保障工作。 </w:t>
      </w:r>
    </w:p>
    <w:p>
      <w:pPr>
        <w:snapToGrid w:val="0"/>
        <w:spacing w:line="52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（16）负责全局队伍建设工作，制定规章制度并组织实施；按规定权限管理干部。 </w:t>
      </w:r>
    </w:p>
    <w:p>
      <w:pPr>
        <w:snapToGrid w:val="0"/>
        <w:spacing w:line="52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（17）拟定全局队伍监督管理工作规章制度，负责全局党风廉政、纪检监察、警务督察、审计、信访工作；监督全局警察和内设单位的执法活动；查处全局队伍重大违纪案件；按照规定权限对干部实施监督。 </w:t>
      </w:r>
    </w:p>
    <w:p>
      <w:pPr>
        <w:snapToGrid w:val="0"/>
        <w:spacing w:line="52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（18）领导全县消防部队建设，对盐边县公安局武警消防大队执行公安任务及相关业务建设实施领导和指挥。 </w:t>
      </w:r>
    </w:p>
    <w:p>
      <w:pPr>
        <w:snapToGrid w:val="0"/>
        <w:spacing w:line="52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（19）指导县森林公安局的公安业务。 </w:t>
      </w:r>
    </w:p>
    <w:p>
      <w:pPr>
        <w:snapToGrid w:val="0"/>
        <w:spacing w:line="52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（20）承担县禁毒委、反恐怖工作协调小组的具体工作。 </w:t>
      </w:r>
    </w:p>
    <w:p>
      <w:pPr>
        <w:snapToGrid w:val="0"/>
        <w:spacing w:line="52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（21）承担县政府公布的有关行政审批工作。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（22）承办县政府和上级公安机关交办的其他事项。</w:t>
      </w:r>
    </w:p>
    <w:p>
      <w:pPr>
        <w:numPr>
          <w:ilvl w:val="0"/>
          <w:numId w:val="0"/>
        </w:numPr>
        <w:rPr>
          <w:rFonts w:hint="eastAsia"/>
          <w:lang w:eastAsia="zh-CN"/>
        </w:rPr>
      </w:pPr>
    </w:p>
    <w:p>
      <w:pPr>
        <w:pStyle w:val="4"/>
        <w:rPr>
          <w:rStyle w:val="31"/>
          <w:rFonts w:ascii="Times New Roman" w:hAnsi="Times New Roman"/>
          <w:b w:val="0"/>
          <w:bCs w:val="0"/>
          <w:color w:val="auto"/>
          <w:highlight w:val="none"/>
        </w:rPr>
      </w:pPr>
      <w:bookmarkStart w:id="8" w:name="_Toc15396601"/>
      <w:bookmarkStart w:id="9" w:name="_Toc15377200"/>
      <w:r>
        <w:rPr>
          <w:rFonts w:hint="eastAsia" w:ascii="Times New Roman" w:hAnsi="Times New Roman" w:eastAsia="黑体"/>
          <w:b w:val="0"/>
          <w:color w:val="auto"/>
          <w:highlight w:val="none"/>
        </w:rPr>
        <w:t>二、机</w:t>
      </w:r>
      <w:r>
        <w:rPr>
          <w:rStyle w:val="31"/>
          <w:rFonts w:hint="eastAsia" w:ascii="Times New Roman" w:hAnsi="Times New Roman" w:eastAsia="黑体"/>
          <w:b w:val="0"/>
          <w:bCs w:val="0"/>
          <w:color w:val="auto"/>
          <w:highlight w:val="none"/>
        </w:rPr>
        <w:t>构设置</w:t>
      </w:r>
      <w:bookmarkEnd w:id="8"/>
      <w:bookmarkEnd w:id="9"/>
    </w:p>
    <w:p>
      <w:pPr>
        <w:ind w:firstLine="800" w:firstLineChars="250"/>
        <w:rPr>
          <w:rFonts w:hint="eastAsia" w:ascii="Times New Roman" w:hAnsi="Times New Roman"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盐边县公安局</w:t>
      </w:r>
      <w:r>
        <w:rPr>
          <w:rFonts w:hint="eastAsia" w:ascii="Times New Roman" w:hAnsi="Times New Roman" w:eastAsia="仿宋_GB2312" w:cs="仿宋_GB2312"/>
          <w:color w:val="auto"/>
          <w:sz w:val="32"/>
          <w:szCs w:val="32"/>
          <w:highlight w:val="none"/>
        </w:rPr>
        <w:t>下属二级</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eastAsia="仿宋_GB2312" w:cs="仿宋_GB2312"/>
          <w:color w:val="auto"/>
          <w:sz w:val="32"/>
          <w:szCs w:val="32"/>
          <w:highlight w:val="none"/>
          <w:lang w:val="en-US" w:eastAsia="zh-CN"/>
        </w:rPr>
        <w:t>2</w:t>
      </w:r>
      <w:r>
        <w:rPr>
          <w:rFonts w:hint="eastAsia" w:ascii="Times New Roman" w:hAnsi="Times New Roman" w:eastAsia="仿宋_GB2312" w:cs="仿宋_GB2312"/>
          <w:color w:val="auto"/>
          <w:sz w:val="32"/>
          <w:szCs w:val="32"/>
          <w:highlight w:val="none"/>
        </w:rPr>
        <w:t>个，其中行政单位</w:t>
      </w:r>
      <w:r>
        <w:rPr>
          <w:rFonts w:hint="eastAsia" w:eastAsia="仿宋_GB2312" w:cs="仿宋_GB2312"/>
          <w:color w:val="auto"/>
          <w:sz w:val="32"/>
          <w:szCs w:val="32"/>
          <w:highlight w:val="none"/>
          <w:lang w:val="en-US" w:eastAsia="zh-CN"/>
        </w:rPr>
        <w:t>2</w:t>
      </w:r>
      <w:r>
        <w:rPr>
          <w:rFonts w:hint="eastAsia" w:ascii="Times New Roman" w:hAnsi="Times New Roman" w:eastAsia="仿宋_GB2312" w:cs="仿宋_GB2312"/>
          <w:color w:val="auto"/>
          <w:sz w:val="32"/>
          <w:szCs w:val="32"/>
          <w:highlight w:val="none"/>
        </w:rPr>
        <w:t>个。</w:t>
      </w:r>
    </w:p>
    <w:p>
      <w:pPr>
        <w:pStyle w:val="8"/>
        <w:adjustRightInd w:val="0"/>
        <w:snapToGrid w:val="0"/>
        <w:spacing w:before="93" w:line="600" w:lineRule="exact"/>
        <w:ind w:firstLine="672" w:firstLineChars="21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纳入</w:t>
      </w:r>
      <w:r>
        <w:rPr>
          <w:sz w:val="32"/>
          <w:szCs w:val="32"/>
        </w:rPr>
        <w:t>盐边县公安局</w:t>
      </w:r>
      <w:r>
        <w:rPr>
          <w:rFonts w:hint="eastAsia" w:ascii="Times New Roman" w:hAnsi="Times New Roman" w:eastAsia="仿宋_GB2312" w:cs="仿宋_GB2312"/>
          <w:color w:val="auto"/>
          <w:sz w:val="32"/>
          <w:szCs w:val="32"/>
          <w:highlight w:val="none"/>
          <w:lang w:eastAsia="zh-CN"/>
        </w:rPr>
        <w:t>2024年度</w:t>
      </w:r>
      <w:r>
        <w:rPr>
          <w:rFonts w:hint="eastAsia" w:ascii="Times New Roman" w:hAnsi="Times New Roman" w:eastAsia="仿宋_GB2312" w:cs="仿宋_GB2312"/>
          <w:color w:val="auto"/>
          <w:sz w:val="32"/>
          <w:szCs w:val="32"/>
          <w:highlight w:val="none"/>
        </w:rPr>
        <w:t>部门决算编制范围的二级预算单位包括：</w:t>
      </w:r>
    </w:p>
    <w:p>
      <w:pPr>
        <w:pStyle w:val="8"/>
        <w:numPr>
          <w:ilvl w:val="0"/>
          <w:numId w:val="2"/>
        </w:numPr>
        <w:adjustRightInd w:val="0"/>
        <w:snapToGrid w:val="0"/>
        <w:spacing w:before="93" w:line="600" w:lineRule="exact"/>
        <w:outlineLvl w:val="2"/>
        <w:rPr>
          <w:rFonts w:hint="eastAsia" w:ascii="Times New Roman" w:hAnsi="Times New Roman" w:eastAsia="仿宋_GB2312" w:cs="仿宋_GB2312"/>
          <w:color w:val="auto"/>
          <w:sz w:val="32"/>
          <w:szCs w:val="32"/>
          <w:highlight w:val="none"/>
        </w:rPr>
      </w:pPr>
      <w:r>
        <w:rPr>
          <w:rFonts w:hint="eastAsia" w:ascii="Times New Roman" w:cs="仿宋_GB2312"/>
          <w:color w:val="auto"/>
          <w:sz w:val="32"/>
          <w:szCs w:val="32"/>
          <w:highlight w:val="none"/>
          <w:lang w:eastAsia="zh-CN"/>
        </w:rPr>
        <w:t>盐边县公安局（本级）</w:t>
      </w:r>
    </w:p>
    <w:p>
      <w:pPr>
        <w:pStyle w:val="8"/>
        <w:numPr>
          <w:ilvl w:val="0"/>
          <w:numId w:val="2"/>
        </w:numPr>
        <w:adjustRightInd w:val="0"/>
        <w:snapToGrid w:val="0"/>
        <w:spacing w:before="93" w:line="600" w:lineRule="exact"/>
        <w:outlineLvl w:val="2"/>
        <w:rPr>
          <w:rFonts w:hint="eastAsia" w:ascii="Times New Roman" w:hAnsi="Times New Roman" w:eastAsia="仿宋_GB2312" w:cs="仿宋_GB2312"/>
          <w:color w:val="auto"/>
          <w:sz w:val="32"/>
          <w:szCs w:val="32"/>
          <w:highlight w:val="none"/>
        </w:rPr>
      </w:pPr>
      <w:bookmarkStart w:id="10" w:name="_Toc15306277"/>
      <w:bookmarkStart w:id="11" w:name="_Toc15377434"/>
      <w:bookmarkStart w:id="12" w:name="_Toc15377203"/>
      <w:bookmarkStart w:id="13" w:name="_Toc15378450"/>
      <w:r>
        <w:rPr>
          <w:rFonts w:hint="eastAsia" w:ascii="Times New Roman" w:cs="仿宋_GB2312"/>
          <w:color w:val="auto"/>
          <w:sz w:val="32"/>
          <w:szCs w:val="32"/>
          <w:highlight w:val="none"/>
          <w:lang w:eastAsia="zh-CN"/>
        </w:rPr>
        <w:t>盐边县公安局交通警察大队</w:t>
      </w:r>
      <w:bookmarkEnd w:id="10"/>
      <w:bookmarkEnd w:id="11"/>
      <w:bookmarkEnd w:id="12"/>
      <w:bookmarkEnd w:id="13"/>
      <w:r>
        <w:rPr>
          <w:rFonts w:hint="eastAsia" w:ascii="Times New Roman" w:cs="仿宋_GB2312"/>
          <w:color w:val="auto"/>
          <w:sz w:val="32"/>
          <w:szCs w:val="32"/>
          <w:highlight w:val="none"/>
          <w:lang w:val="en-US" w:eastAsia="zh-CN"/>
        </w:rPr>
        <w:t xml:space="preserve"> </w:t>
      </w:r>
    </w:p>
    <w:p>
      <w:pPr>
        <w:pStyle w:val="8"/>
        <w:adjustRightInd w:val="0"/>
        <w:snapToGrid w:val="0"/>
        <w:spacing w:before="93" w:line="600" w:lineRule="exact"/>
        <w:ind w:firstLine="1120" w:firstLineChars="350"/>
        <w:rPr>
          <w:rFonts w:hint="eastAsia" w:ascii="Times New Roman" w:hAnsi="Times New Roman" w:eastAsia="仿宋_GB2312" w:cs="仿宋_GB2312"/>
          <w:color w:val="auto"/>
          <w:sz w:val="32"/>
          <w:szCs w:val="32"/>
          <w:highlight w:val="none"/>
          <w:lang w:eastAsia="zh-CN"/>
        </w:rPr>
      </w:pPr>
      <w:r>
        <w:rPr>
          <w:rFonts w:hint="eastAsia" w:ascii="Times New Roman" w:cs="仿宋_GB2312"/>
          <w:color w:val="auto"/>
          <w:sz w:val="32"/>
          <w:szCs w:val="32"/>
          <w:highlight w:val="none"/>
          <w:lang w:val="en-US" w:eastAsia="zh-CN"/>
        </w:rPr>
        <w:t xml:space="preserve"> </w:t>
      </w:r>
    </w:p>
    <w:p>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pPr>
        <w:pStyle w:val="3"/>
        <w:jc w:val="center"/>
        <w:rPr>
          <w:rFonts w:hint="eastAsia" w:ascii="Times New Roman" w:hAnsi="Times New Roman" w:eastAsia="方正小标宋简体" w:cs="方正小标宋简体"/>
          <w:b w:val="0"/>
          <w:color w:val="auto"/>
          <w:highlight w:val="none"/>
        </w:rPr>
      </w:pPr>
      <w:bookmarkStart w:id="14" w:name="_Toc15377204"/>
      <w:bookmarkStart w:id="15" w:name="_Toc15396602"/>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4"/>
      <w:bookmarkEnd w:id="15"/>
    </w:p>
    <w:p>
      <w:pPr>
        <w:rPr>
          <w:rFonts w:ascii="Times New Roman" w:hAnsi="Times New Roman"/>
          <w:color w:val="auto"/>
          <w:highlight w:val="none"/>
        </w:rPr>
      </w:pPr>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eastAsia" w:ascii="Times New Roman" w:hAnsi="Times New Roman" w:eastAsia="黑体"/>
          <w:b w:val="0"/>
          <w:color w:val="auto"/>
          <w:highlight w:val="none"/>
        </w:rPr>
      </w:pPr>
      <w:bookmarkStart w:id="16" w:name="_Toc15396603"/>
      <w:bookmarkStart w:id="17"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1"/>
          <w:rFonts w:hint="eastAsia" w:ascii="Times New Roman" w:hAnsi="Times New Roman" w:eastAsia="黑体"/>
          <w:b w:val="0"/>
          <w:color w:val="auto"/>
          <w:highlight w:val="none"/>
        </w:rPr>
        <w:t>入支出决算总体情况说明</w:t>
      </w:r>
      <w:bookmarkEnd w:id="16"/>
      <w:bookmarkEnd w:id="17"/>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收入13420.32万元、支出13390.51万元。与2023年度相比，收入增加1740.11万元，增长14.90%；支出增加支出总计各增加1710.30万元，增长14.64%。收入主要变动原因是上级拨款铁路护线经费，支出变动表原因是天网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仿宋_GB2312" w:hAnsi="仿宋_GB2312" w:eastAsia="仿宋_GB2312" w:cs="仿宋_GB2312"/>
          <w:bCs/>
          <w:sz w:val="32"/>
          <w:szCs w:val="32"/>
          <w:lang w:val="en-US" w:eastAsia="zh-CN"/>
        </w:rPr>
        <w:pict>
          <v:shape id="_x0000_s1026" o:spid="_x0000_s1026" o:spt="75" type="#_x0000_t75" style="position:absolute;left:0pt;margin-left:40.1pt;margin-top:12.85pt;height:205.5pt;width:399.3pt;z-index:251658240;mso-width-relative:page;mso-height-relative:page;" o:ole="t" filled="f" o:preferrelative="t" stroked="f" coordsize="21600,21600">
            <v:path/>
            <v:fill on="f" focussize="0,0"/>
            <v:stroke on="f"/>
            <v:imagedata r:id="rId9" o:title=""/>
            <o:lock v:ext="edit" aspectratio="t"/>
          </v:shape>
          <o:OLEObject Type="Embed" ProgID="Excel.Chart.8" ShapeID="_x0000_s1026" DrawAspect="Content" ObjectID="_1468075725" r:id="rId8">
            <o:LockedField>false</o:LockedField>
          </o:OLEObject>
        </w:pic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18" w:name="_Toc15396604"/>
      <w:bookmarkStart w:id="19" w:name="_Toc15377206"/>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r>
        <w:rPr>
          <w:rFonts w:hint="eastAsia" w:ascii="Times New Roman" w:hAnsi="Times New Roman" w:eastAsia="黑体"/>
          <w:color w:val="auto"/>
          <w:sz w:val="32"/>
          <w:szCs w:val="32"/>
          <w:highlight w:val="none"/>
          <w:lang w:eastAsia="zh-CN"/>
        </w:rPr>
        <w:t>二、收入决算情况说明</w:t>
      </w:r>
      <w:bookmarkEnd w:id="18"/>
      <w:bookmarkEnd w:id="19"/>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default" w:ascii="Times New Roman" w:hAnsi="Times New Roman" w:eastAsia="仿宋_GB2312" w:cs="仿宋_GB2312"/>
          <w:b/>
          <w:bCs/>
          <w:color w:val="auto"/>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bidi="ar-SA"/>
        </w:rPr>
        <w:t>2024年度本年收入合计13420.32万元，其中：一般公共预算财政拨款收入13367.45万元，占99.6%；其他收入52.87万元，占0.39%。</w:t>
      </w:r>
      <w:r>
        <w:rPr>
          <w:rFonts w:hint="eastAsia" w:eastAsia="仿宋_GB2312" w:cs="仿宋_GB2312"/>
          <w:b/>
          <w:bCs/>
          <w:color w:val="auto"/>
          <w:sz w:val="32"/>
          <w:szCs w:val="32"/>
          <w:highlight w:val="none"/>
          <w:lang w:val="en-US" w:eastAsia="zh-CN"/>
        </w:rPr>
        <w:t xml:space="preserve"> </w:t>
      </w:r>
    </w:p>
    <w:p>
      <w:pPr>
        <w:ind w:firstLine="800" w:firstLineChars="250"/>
        <w:rPr>
          <w:rFonts w:hint="eastAsia" w:ascii="Times New Roman" w:hAnsi="Times New Roman" w:eastAsia="仿宋_GB2312" w:cs="仿宋_GB2312"/>
          <w:color w:val="auto"/>
          <w:sz w:val="32"/>
          <w:szCs w:val="32"/>
          <w:highlight w:val="none"/>
          <w:lang w:eastAsia="zh-CN"/>
        </w:rPr>
      </w:pPr>
    </w:p>
    <w:p>
      <w:pPr>
        <w:ind w:firstLine="800" w:firstLineChars="250"/>
        <w:rPr>
          <w:rFonts w:hint="eastAsia" w:ascii="Times New Roman" w:hAnsi="Times New Roman" w:eastAsia="仿宋_GB2312" w:cs="仿宋_GB2312"/>
          <w:color w:val="auto"/>
          <w:sz w:val="32"/>
          <w:szCs w:val="32"/>
          <w:highlight w:val="none"/>
          <w:lang w:eastAsia="zh-CN"/>
        </w:rPr>
      </w:pPr>
      <w:r>
        <w:rPr>
          <w:rFonts w:hint="eastAsia" w:eastAsia="仿宋_GB2312" w:cs="仿宋_GB2312"/>
          <w:sz w:val="32"/>
          <w:szCs w:val="32"/>
          <w:lang w:eastAsia="zh-CN"/>
        </w:rPr>
        <w:drawing>
          <wp:anchor distT="0" distB="0" distL="114300" distR="114300" simplePos="0" relativeHeight="251660288" behindDoc="0" locked="0" layoutInCell="1" allowOverlap="1">
            <wp:simplePos x="0" y="0"/>
            <wp:positionH relativeFrom="column">
              <wp:posOffset>590550</wp:posOffset>
            </wp:positionH>
            <wp:positionV relativeFrom="paragraph">
              <wp:posOffset>180975</wp:posOffset>
            </wp:positionV>
            <wp:extent cx="5072380" cy="2609850"/>
            <wp:effectExtent l="4445" t="4445" r="9525" b="14605"/>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ind w:firstLine="800" w:firstLineChars="250"/>
        <w:rPr>
          <w:rFonts w:hint="eastAsia" w:ascii="Times New Roman" w:hAnsi="Times New Roman" w:eastAsia="仿宋_GB2312" w:cs="仿宋_GB2312"/>
          <w:color w:val="auto"/>
          <w:sz w:val="32"/>
          <w:szCs w:val="32"/>
          <w:highlight w:val="none"/>
          <w:lang w:eastAsia="zh-CN"/>
        </w:rPr>
      </w:pPr>
    </w:p>
    <w:p>
      <w:pPr>
        <w:ind w:firstLine="800" w:firstLineChars="250"/>
        <w:rPr>
          <w:rFonts w:hint="eastAsia" w:ascii="Times New Roman" w:hAnsi="Times New Roman" w:eastAsia="仿宋_GB2312" w:cs="仿宋_GB2312"/>
          <w:color w:val="auto"/>
          <w:sz w:val="32"/>
          <w:szCs w:val="32"/>
          <w:highlight w:val="none"/>
          <w:lang w:eastAsia="zh-CN"/>
        </w:rPr>
      </w:pPr>
    </w:p>
    <w:p>
      <w:pPr>
        <w:ind w:firstLine="800" w:firstLineChars="250"/>
        <w:rPr>
          <w:rFonts w:hint="eastAsia" w:ascii="Times New Roman" w:hAnsi="Times New Roman" w:eastAsia="仿宋_GB2312" w:cs="仿宋_GB2312"/>
          <w:color w:val="auto"/>
          <w:sz w:val="32"/>
          <w:szCs w:val="32"/>
          <w:highlight w:val="none"/>
          <w:lang w:eastAsia="zh-CN"/>
        </w:rPr>
      </w:pPr>
    </w:p>
    <w:p>
      <w:pPr>
        <w:ind w:firstLine="800" w:firstLineChars="250"/>
        <w:rPr>
          <w:rFonts w:hint="eastAsia" w:ascii="Times New Roman" w:hAnsi="Times New Roman" w:eastAsia="仿宋_GB2312" w:cs="仿宋_GB2312"/>
          <w:color w:val="auto"/>
          <w:sz w:val="32"/>
          <w:szCs w:val="32"/>
          <w:highlight w:val="none"/>
          <w:lang w:eastAsia="zh-CN"/>
        </w:rPr>
      </w:pPr>
    </w:p>
    <w:p>
      <w:pPr>
        <w:ind w:firstLine="800" w:firstLineChars="250"/>
        <w:rPr>
          <w:rFonts w:hint="eastAsia" w:ascii="Times New Roman" w:hAnsi="Times New Roman" w:eastAsia="仿宋_GB2312" w:cs="仿宋_GB2312"/>
          <w:color w:val="auto"/>
          <w:sz w:val="32"/>
          <w:szCs w:val="32"/>
          <w:highlight w:val="none"/>
          <w:lang w:eastAsia="zh-CN"/>
        </w:rPr>
      </w:pPr>
    </w:p>
    <w:p>
      <w:pPr>
        <w:ind w:firstLine="800" w:firstLineChars="250"/>
        <w:rPr>
          <w:rFonts w:hint="eastAsia" w:ascii="Times New Roman" w:hAnsi="Times New Roman" w:eastAsia="仿宋_GB2312" w:cs="仿宋_GB2312"/>
          <w:color w:val="auto"/>
          <w:sz w:val="32"/>
          <w:szCs w:val="32"/>
          <w:highlight w:val="none"/>
          <w:lang w:eastAsia="zh-CN"/>
        </w:rPr>
      </w:pPr>
    </w:p>
    <w:p>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pPr>
        <w:ind w:firstLine="800" w:firstLineChars="250"/>
        <w:rPr>
          <w:rFonts w:hint="eastAsia" w:ascii="Times New Roman" w:hAnsi="Times New Roman" w:eastAsia="仿宋_GB2312" w:cs="仿宋_GB2312"/>
          <w:color w:val="auto"/>
          <w:sz w:val="32"/>
          <w:szCs w:val="32"/>
          <w:highlight w:val="none"/>
          <w:lang w:eastAsia="zh-CN"/>
        </w:rPr>
      </w:pPr>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eastAsia" w:ascii="Times New Roman" w:hAnsi="Times New Roman" w:eastAsia="黑体"/>
          <w:b w:val="0"/>
          <w:color w:val="auto"/>
          <w:highlight w:val="none"/>
        </w:rPr>
      </w:pPr>
      <w:bookmarkStart w:id="20" w:name="_Toc15396605"/>
      <w:bookmarkStart w:id="21"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1"/>
          <w:rFonts w:hint="eastAsia" w:ascii="Times New Roman" w:hAnsi="Times New Roman" w:eastAsia="黑体"/>
          <w:b w:val="0"/>
          <w:color w:val="auto"/>
          <w:highlight w:val="none"/>
        </w:rPr>
        <w:t>出决算情况说明</w:t>
      </w:r>
      <w:bookmarkEnd w:id="20"/>
      <w:bookmarkEnd w:id="21"/>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2024年度本年支出合计13390.51万元，其中：基本支出8014.7万元，占59.85%；项目支出5375.81万元，占40.14%。</w:t>
      </w:r>
    </w:p>
    <w:p>
      <w:pPr>
        <w:ind w:firstLine="800" w:firstLineChars="250"/>
        <w:rPr>
          <w:rFonts w:hint="eastAsia" w:ascii="Times New Roman" w:hAnsi="Times New Roman" w:eastAsia="仿宋_GB2312" w:cs="仿宋_GB2312"/>
          <w:color w:val="auto"/>
          <w:sz w:val="32"/>
          <w:szCs w:val="32"/>
          <w:highlight w:val="none"/>
          <w:lang w:eastAsia="zh-CN"/>
        </w:rPr>
      </w:pPr>
      <w:r>
        <w:rPr>
          <w:rFonts w:hint="eastAsia" w:eastAsia="仿宋_GB2312" w:cs="仿宋_GB2312"/>
          <w:sz w:val="32"/>
          <w:szCs w:val="32"/>
          <w:lang w:eastAsia="zh-CN"/>
        </w:rPr>
        <w:drawing>
          <wp:anchor distT="0" distB="0" distL="114300" distR="114300" simplePos="0" relativeHeight="251663360" behindDoc="0" locked="0" layoutInCell="1" allowOverlap="1">
            <wp:simplePos x="0" y="0"/>
            <wp:positionH relativeFrom="column">
              <wp:posOffset>542925</wp:posOffset>
            </wp:positionH>
            <wp:positionV relativeFrom="paragraph">
              <wp:posOffset>183515</wp:posOffset>
            </wp:positionV>
            <wp:extent cx="5072380" cy="2609850"/>
            <wp:effectExtent l="4445" t="4445" r="9525" b="14605"/>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ind w:firstLine="800" w:firstLineChars="250"/>
        <w:rPr>
          <w:rFonts w:hint="eastAsia" w:ascii="Times New Roman" w:hAnsi="Times New Roman" w:eastAsia="仿宋_GB2312" w:cs="仿宋_GB2312"/>
          <w:color w:val="auto"/>
          <w:sz w:val="32"/>
          <w:szCs w:val="32"/>
          <w:highlight w:val="none"/>
          <w:lang w:eastAsia="zh-CN"/>
        </w:rPr>
      </w:pPr>
    </w:p>
    <w:p>
      <w:pPr>
        <w:ind w:firstLine="800" w:firstLineChars="250"/>
        <w:rPr>
          <w:rFonts w:hint="eastAsia" w:ascii="Times New Roman" w:hAnsi="Times New Roman" w:eastAsia="仿宋_GB2312" w:cs="仿宋_GB2312"/>
          <w:color w:val="auto"/>
          <w:sz w:val="32"/>
          <w:szCs w:val="32"/>
          <w:highlight w:val="none"/>
          <w:lang w:eastAsia="zh-CN"/>
        </w:rPr>
      </w:pPr>
    </w:p>
    <w:p>
      <w:pPr>
        <w:ind w:firstLine="800" w:firstLineChars="250"/>
        <w:rPr>
          <w:rFonts w:hint="eastAsia" w:ascii="Times New Roman" w:hAnsi="Times New Roman" w:eastAsia="仿宋_GB2312" w:cs="仿宋_GB2312"/>
          <w:color w:val="auto"/>
          <w:sz w:val="32"/>
          <w:szCs w:val="32"/>
          <w:highlight w:val="none"/>
          <w:lang w:eastAsia="zh-CN"/>
        </w:rPr>
      </w:pPr>
    </w:p>
    <w:p>
      <w:pPr>
        <w:ind w:firstLine="800" w:firstLineChars="250"/>
        <w:rPr>
          <w:rFonts w:hint="eastAsia" w:ascii="Times New Roman" w:hAnsi="Times New Roman" w:eastAsia="仿宋_GB2312" w:cs="仿宋_GB2312"/>
          <w:color w:val="auto"/>
          <w:sz w:val="32"/>
          <w:szCs w:val="32"/>
          <w:highlight w:val="none"/>
          <w:lang w:eastAsia="zh-CN"/>
        </w:rPr>
      </w:pPr>
    </w:p>
    <w:p>
      <w:pPr>
        <w:ind w:firstLine="800" w:firstLineChars="250"/>
        <w:rPr>
          <w:rFonts w:hint="eastAsia" w:ascii="Times New Roman" w:hAnsi="Times New Roman" w:eastAsia="仿宋_GB2312" w:cs="仿宋_GB2312"/>
          <w:color w:val="auto"/>
          <w:sz w:val="32"/>
          <w:szCs w:val="32"/>
          <w:highlight w:val="none"/>
          <w:lang w:eastAsia="zh-CN"/>
        </w:rPr>
      </w:pPr>
    </w:p>
    <w:p>
      <w:pPr>
        <w:ind w:firstLine="800" w:firstLineChars="250"/>
        <w:rPr>
          <w:rFonts w:hint="eastAsia" w:ascii="Times New Roman" w:hAnsi="Times New Roman" w:eastAsia="仿宋_GB2312" w:cs="仿宋_GB2312"/>
          <w:color w:val="auto"/>
          <w:sz w:val="32"/>
          <w:szCs w:val="32"/>
          <w:highlight w:val="none"/>
          <w:lang w:eastAsia="zh-CN"/>
        </w:rPr>
      </w:pPr>
    </w:p>
    <w:p>
      <w:pPr>
        <w:ind w:firstLine="640" w:firstLineChars="20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pPr>
        <w:spacing w:line="600" w:lineRule="exact"/>
        <w:ind w:firstLine="640" w:firstLineChars="200"/>
        <w:outlineLvl w:val="1"/>
        <w:rPr>
          <w:rFonts w:hint="eastAsia" w:ascii="Times New Roman" w:hAnsi="Times New Roman" w:eastAsia="黑体"/>
          <w:color w:val="auto"/>
          <w:sz w:val="32"/>
          <w:szCs w:val="32"/>
          <w:highlight w:val="none"/>
        </w:rPr>
      </w:pPr>
      <w:bookmarkStart w:id="22" w:name="_Toc15396606"/>
      <w:bookmarkStart w:id="23" w:name="_Toc15377208"/>
    </w:p>
    <w:p>
      <w:pPr>
        <w:spacing w:line="600" w:lineRule="exact"/>
        <w:ind w:firstLine="640" w:firstLineChars="200"/>
        <w:outlineLvl w:val="1"/>
        <w:rPr>
          <w:rStyle w:val="31"/>
          <w:rFonts w:ascii="Times New Roman" w:hAnsi="Times New Roman" w:eastAsia="黑体"/>
          <w:b w:val="0"/>
          <w:color w:val="auto"/>
          <w:highlight w:val="none"/>
        </w:rPr>
      </w:pPr>
      <w:r>
        <w:rPr>
          <w:rFonts w:hint="eastAsia" w:ascii="Times New Roman" w:hAnsi="Times New Roman" w:eastAsia="黑体"/>
          <w:color w:val="auto"/>
          <w:sz w:val="32"/>
          <w:szCs w:val="32"/>
          <w:highlight w:val="none"/>
        </w:rPr>
        <w:t>四、财</w:t>
      </w:r>
      <w:r>
        <w:rPr>
          <w:rStyle w:val="31"/>
          <w:rFonts w:hint="eastAsia" w:ascii="Times New Roman" w:hAnsi="Times New Roman" w:eastAsia="黑体"/>
          <w:b w:val="0"/>
          <w:color w:val="auto"/>
          <w:highlight w:val="none"/>
        </w:rPr>
        <w:t>政拨款收入支出决算总体情况说明</w:t>
      </w:r>
      <w:bookmarkEnd w:id="22"/>
      <w:bookmarkEnd w:id="23"/>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2024年度财政拨款收入、支出总计均为13367.45万元。与2023年度相比，财政拨款收入总计、支出总计各增加/减少1687.24万元，增长14.45%。主要变动原因是天网项目支出。</w:t>
      </w:r>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bCs/>
          <w:sz w:val="32"/>
          <w:szCs w:val="32"/>
          <w:lang w:val="en-US" w:eastAsia="zh-CN"/>
        </w:rPr>
        <w:pict>
          <v:shape id="_x0000_s1027" o:spid="_x0000_s1027" o:spt="75" type="#_x0000_t75" style="position:absolute;left:0pt;margin-left:40.4pt;margin-top:4.2pt;height:205.5pt;width:380.95pt;z-index:251666432;mso-width-relative:page;mso-height-relative:page;" o:ole="t" filled="f" o:preferrelative="t" stroked="f" coordsize="21600,21600">
            <v:path/>
            <v:fill on="f" focussize="0,0"/>
            <v:stroke on="f"/>
            <v:imagedata r:id="rId13" o:title=""/>
            <o:lock v:ext="edit" aspectratio="f"/>
          </v:shape>
          <o:OLEObject Type="Embed" ProgID="Excel.Chart.8" ShapeID="_x0000_s1027" DrawAspect="Content" ObjectID="_1468075726" r:id="rId12">
            <o:LockedField>false</o:LockedField>
          </o:OLEObject>
        </w:pict>
      </w:r>
    </w:p>
    <w:p>
      <w:pPr>
        <w:spacing w:line="600" w:lineRule="exact"/>
        <w:rPr>
          <w:rFonts w:hint="eastAsia" w:ascii="Times New Roman" w:hAnsi="Times New Roman" w:eastAsia="仿宋_GB2312" w:cs="仿宋_GB2312"/>
          <w:color w:val="auto"/>
          <w:kern w:val="2"/>
          <w:sz w:val="32"/>
          <w:szCs w:val="32"/>
          <w:highlight w:val="none"/>
          <w:lang w:val="en-US" w:eastAsia="zh-CN" w:bidi="ar-SA"/>
        </w:rPr>
      </w:pPr>
    </w:p>
    <w:p>
      <w:pPr>
        <w:spacing w:line="600" w:lineRule="exact"/>
        <w:rPr>
          <w:rFonts w:hint="eastAsia" w:ascii="Times New Roman" w:hAnsi="Times New Roman" w:eastAsia="仿宋_GB2312" w:cs="仿宋_GB2312"/>
          <w:color w:val="auto"/>
          <w:kern w:val="2"/>
          <w:sz w:val="32"/>
          <w:szCs w:val="32"/>
          <w:highlight w:val="none"/>
          <w:lang w:val="en-US" w:eastAsia="zh-CN" w:bidi="ar-SA"/>
        </w:rPr>
      </w:pPr>
    </w:p>
    <w:p>
      <w:pPr>
        <w:spacing w:line="600" w:lineRule="exact"/>
        <w:rPr>
          <w:rFonts w:hint="eastAsia" w:ascii="Times New Roman" w:hAnsi="Times New Roman" w:eastAsia="仿宋_GB2312" w:cs="仿宋_GB2312"/>
          <w:color w:val="auto"/>
          <w:kern w:val="2"/>
          <w:sz w:val="32"/>
          <w:szCs w:val="32"/>
          <w:highlight w:val="none"/>
          <w:lang w:val="en-US" w:eastAsia="zh-CN" w:bidi="ar-SA"/>
        </w:rPr>
      </w:pPr>
    </w:p>
    <w:p>
      <w:pPr>
        <w:spacing w:line="600" w:lineRule="exact"/>
        <w:rPr>
          <w:rFonts w:hint="eastAsia" w:ascii="Times New Roman" w:hAnsi="Times New Roman" w:eastAsia="仿宋_GB2312" w:cs="仿宋_GB2312"/>
          <w:color w:val="auto"/>
          <w:kern w:val="2"/>
          <w:sz w:val="32"/>
          <w:szCs w:val="32"/>
          <w:highlight w:val="none"/>
          <w:lang w:val="en-US" w:eastAsia="zh-CN" w:bidi="ar-SA"/>
        </w:rPr>
      </w:pPr>
    </w:p>
    <w:p>
      <w:pPr>
        <w:spacing w:line="600" w:lineRule="exact"/>
        <w:rPr>
          <w:rFonts w:hint="eastAsia" w:ascii="Times New Roman" w:hAnsi="Times New Roman" w:eastAsia="仿宋_GB2312" w:cs="仿宋_GB2312"/>
          <w:color w:val="auto"/>
          <w:kern w:val="2"/>
          <w:sz w:val="32"/>
          <w:szCs w:val="32"/>
          <w:highlight w:val="none"/>
          <w:lang w:val="en-US" w:eastAsia="zh-CN" w:bidi="ar-SA"/>
        </w:rPr>
      </w:pPr>
    </w:p>
    <w:p>
      <w:pPr>
        <w:spacing w:line="600" w:lineRule="exact"/>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firstLineChars="200"/>
        <w:outlineLvl w:val="1"/>
        <w:rPr>
          <w:rStyle w:val="31"/>
          <w:rFonts w:ascii="Times New Roman" w:hAnsi="Times New Roman" w:eastAsia="黑体"/>
          <w:b w:val="0"/>
          <w:color w:val="auto"/>
          <w:highlight w:val="none"/>
        </w:rPr>
      </w:pPr>
      <w:bookmarkStart w:id="24" w:name="_Toc15377209"/>
      <w:bookmarkStart w:id="25"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般公共预算财政拨款支出决算情况说明</w:t>
      </w:r>
      <w:bookmarkEnd w:id="24"/>
      <w:bookmarkEnd w:id="25"/>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6"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6"/>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2024年度一般公共预算财政拨款支出13367.45万元，占本年支出合计的99.82%。与2023年度相比，一般公共预算财政拨款支出增加1687.24万元，增长14.45%。主要变动原因是天网项目支出。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eastAsia="仿宋_GB2312"/>
          <w:bCs/>
          <w:sz w:val="32"/>
          <w:szCs w:val="32"/>
          <w:lang w:val="en-US" w:eastAsia="zh-CN"/>
        </w:rPr>
        <w:pict>
          <v:shape id="_x0000_s1028" o:spid="_x0000_s1028" o:spt="75" type="#_x0000_t75" style="position:absolute;left:0pt;margin-left:41.3pt;margin-top:6pt;height:205.5pt;width:392.05pt;z-index:251670528;mso-width-relative:page;mso-height-relative:page;" o:ole="t" filled="f" o:preferrelative="t" stroked="f" coordsize="21600,21600">
            <v:path/>
            <v:fill on="f" focussize="0,0"/>
            <v:stroke on="f"/>
            <v:imagedata r:id="rId15" o:title=""/>
            <o:lock v:ext="edit" aspectratio="f"/>
          </v:shape>
          <o:OLEObject Type="Embed" ProgID="Excel.Chart.8" ShapeID="_x0000_s1028" DrawAspect="Content" ObjectID="_1468075727" r:id="rId14">
            <o:LockedField>false</o:LockedField>
          </o:OLEObject>
        </w:pic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7"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7"/>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2024年度一般公共预算财政拨款支出13367.45万元，主要用于以下方面：公共安全支出11685.45万元，占87.42%；社会保障和就业支出737.41万元，占5.52%；卫生健康支出454.10万元，占3.4%；住房保障支出490.47万元，占3.66%。</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bCs/>
          <w:sz w:val="32"/>
          <w:szCs w:val="32"/>
          <w:lang w:val="en-US" w:eastAsia="zh-CN"/>
        </w:rPr>
        <w:pict>
          <v:shape id="_x0000_s1029" o:spid="_x0000_s1029" o:spt="75" type="#_x0000_t75" style="position:absolute;left:0pt;margin-left:39.85pt;margin-top:2.55pt;height:201pt;width:377.3pt;z-index:251683840;mso-width-relative:page;mso-height-relative:page;" o:ole="t" filled="f" o:preferrelative="t" stroked="f" coordsize="21600,21600">
            <v:path/>
            <v:fill on="f" focussize="0,0"/>
            <v:stroke on="f"/>
            <v:imagedata r:id="rId17" o:title=""/>
            <o:lock v:ext="edit" aspectratio="f"/>
          </v:shape>
          <o:OLEObject Type="Embed" ProgID="Excel.Chart.8" ShapeID="_x0000_s1029" DrawAspect="Content" ObjectID="_1468075728" r:id="rId16">
            <o:LockedField>false</o:LockedField>
          </o:OLEObject>
        </w:pic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8"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28"/>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29" w:name="_Toc15377444"/>
      <w:bookmarkStart w:id="30" w:name="_Toc15378460"/>
      <w:bookmarkStart w:id="31" w:name="_Toc15377213"/>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2024年度一般公共预算财政拨款支出决算数为13367.45</w:t>
      </w:r>
      <w:r>
        <w:rPr>
          <w:rFonts w:hint="eastAsia"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，完成预算100%。其中：</w:t>
      </w:r>
      <w:bookmarkEnd w:id="29"/>
      <w:bookmarkEnd w:id="30"/>
      <w:bookmarkEnd w:id="31"/>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1.公共安全支出（类）公安（款）行政支出（项）: 支出决算为6300.02万元，完成预算100%，决算</w:t>
      </w:r>
      <w:bookmarkStart w:id="66" w:name="_GoBack"/>
      <w:bookmarkEnd w:id="66"/>
      <w:r>
        <w:rPr>
          <w:rFonts w:hint="eastAsia" w:ascii="Times New Roman" w:hAnsi="Times New Roman" w:eastAsia="仿宋_GB2312" w:cs="仿宋_GB2312"/>
          <w:color w:val="auto"/>
          <w:kern w:val="2"/>
          <w:sz w:val="32"/>
          <w:szCs w:val="32"/>
          <w:highlight w:val="none"/>
          <w:lang w:val="en-US" w:eastAsia="zh-CN" w:bidi="ar-SA"/>
        </w:rPr>
        <w:t>与预算数持平。</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2.公共安全支出（类）公安（款）信息化建设（项）: 支出决算为135.555万元，完成预算100%，决算与预算数持平。</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3.公共安全支出（类）公安（款）事业运行（项）: 支出决算为32.70万元，完成预算100%，决算与预算数持平。</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4.公共安全支出（类）公安（款）其他公安支出（项）: 支出决算为171.79万元，完成预算100%，决算与预算数持平。</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5.公共安全支出（类）公安（款）其他公共安全支出（项）: 支出决算为5045.4万元，完成预算100%，决算与预算数持平。</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6.社会保障和就业支出（类）行政事业单位养老支出（款）行政单位离退休（项）: 支出决算为119.68万元，完成预算100%，决算与预算数持平。</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7.社会保障和就业支出（类）行政事业单位养老支出（款）机关事业单位基本养老保险缴费支出（项）: 支出决算为453.624万元，完成预算100%，决算与预算数持平。</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8.社会保障和就业支出（类）行政事业单位养老支出（款）机关事业单位职业年金缴费支出（项）: 支出决算为99.13万元，完成预算100%，决算与预算数持平。</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9.社会保障和就业支出（类）抚恤（款）死亡抚恤（项）: 支出决算为50.55万元，完成预算100%，决算与预算数持平。</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10.社会保障和就业支出（类）抚恤（款）伤残抚恤（项）: 支出决算为14.43万元，完成预算100%，决算与预算数持平。</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11.卫生健康支出（类）行政事业单位医疗（款）行政单位医疗（项）: 支出决算为279.48万元，完成预算100%，决算与预算数持平。</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12.卫生健康支出（类）行政事业单位医疗（款）失业政单位医疗（项）: 支出决算为2.07万元，完成预算100%，决算与预算数持平。</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13.卫生健康支出（类）行政事业单位医疗（款）公务员医疗补助（项）: 支出决算为24.74万元，完成预算100%，决算与预算数持平。</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14.卫生健康支出（类）行政事业单位医疗（款）其他行政事业单位医疗支出（项）: 支出决算为147.81万元，完成预算100%，决算与预算数持平。</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15.住房保障支出（类）住房改革支出（款）住房公积金（项）: 支出决算为490.47万元，完成预算100%，决算与预算数持平。</w:t>
      </w:r>
    </w:p>
    <w:p>
      <w:pPr>
        <w:tabs>
          <w:tab w:val="right" w:pos="8306"/>
        </w:tabs>
        <w:spacing w:line="600" w:lineRule="exact"/>
        <w:ind w:firstLine="640"/>
        <w:outlineLvl w:val="1"/>
        <w:rPr>
          <w:rFonts w:hint="eastAsia" w:ascii="Times New Roman" w:hAnsi="Times New Roman" w:eastAsia="黑体"/>
          <w:color w:val="auto"/>
          <w:sz w:val="32"/>
          <w:szCs w:val="32"/>
          <w:highlight w:val="none"/>
        </w:rPr>
      </w:pPr>
      <w:bookmarkStart w:id="32" w:name="_Toc15396608"/>
      <w:bookmarkStart w:id="33" w:name="_Toc15377214"/>
    </w:p>
    <w:p>
      <w:pPr>
        <w:tabs>
          <w:tab w:val="right" w:pos="8306"/>
        </w:tabs>
        <w:spacing w:line="600" w:lineRule="exact"/>
        <w:ind w:firstLine="640"/>
        <w:outlineLvl w:val="1"/>
        <w:rPr>
          <w:rStyle w:val="31"/>
          <w:rFonts w:ascii="Times New Roman" w:hAnsi="Times New Roman"/>
          <w:color w:val="auto"/>
          <w:highlight w:val="none"/>
        </w:rPr>
      </w:pPr>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般公共预算财政拨款基本支出决算情况说明</w:t>
      </w:r>
      <w:bookmarkEnd w:id="32"/>
      <w:bookmarkEnd w:id="33"/>
      <w:r>
        <w:rPr>
          <w:rStyle w:val="31"/>
          <w:rFonts w:ascii="Times New Roman" w:hAnsi="Times New Roman" w:eastAsia="黑体"/>
          <w:b w:val="0"/>
          <w:color w:val="auto"/>
          <w:highlight w:val="none"/>
        </w:rPr>
        <w:tab/>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8014.7</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6483.25万元，主要包括：基本工资、津贴补贴、奖金、绩效工资、机关事业单位基本养老保险缴费、职业年金缴费、职工基本医疗保险缴费、公务员医疗不知缴费、其他社会保障缴费、住房公积金、其他工资福利支出、抚恤金、生活补助、医疗费补助、奖励金。</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1531.45万元，主要包括：办公费、印刷费、水费、电费、邮电费、物业管理费、差旅费、维修（护）费、租赁费、培训费、专用材料费、专用燃料费、被装购置费、劳务费、委托业务费、工会经费、福利费、公务用车运行维护费、其他交通费、其他商品和服务支出、资本性支出、办公设备购置、专用设备购置。</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b/>
          <w:bCs/>
          <w:color w:val="auto"/>
          <w:kern w:val="2"/>
          <w:sz w:val="32"/>
          <w:szCs w:val="32"/>
          <w:highlight w:val="none"/>
          <w:lang w:val="en-US" w:eastAsia="zh-CN" w:bidi="ar-SA"/>
        </w:rPr>
        <w:t xml:space="preserve"> </w:t>
      </w:r>
    </w:p>
    <w:p>
      <w:pPr>
        <w:spacing w:line="600" w:lineRule="exact"/>
        <w:ind w:firstLine="640"/>
        <w:outlineLvl w:val="1"/>
        <w:rPr>
          <w:rStyle w:val="31"/>
          <w:rFonts w:ascii="Times New Roman" w:hAnsi="Times New Roman" w:eastAsia="黑体"/>
          <w:b w:val="0"/>
          <w:color w:val="auto"/>
          <w:highlight w:val="none"/>
        </w:rPr>
      </w:pPr>
      <w:bookmarkStart w:id="34" w:name="_Toc15396609"/>
      <w:bookmarkStart w:id="35" w:name="_Toc15377215"/>
      <w:r>
        <w:rPr>
          <w:rFonts w:hint="eastAsia" w:ascii="Times New Roman" w:hAnsi="Times New Roman" w:eastAsia="黑体"/>
          <w:color w:val="auto"/>
          <w:sz w:val="32"/>
          <w:szCs w:val="32"/>
          <w:highlight w:val="none"/>
        </w:rPr>
        <w:t>七、</w:t>
      </w:r>
      <w:r>
        <w:rPr>
          <w:rStyle w:val="31"/>
          <w:rFonts w:hint="eastAsia" w:ascii="Times New Roman" w:hAnsi="Times New Roman" w:eastAsia="黑体"/>
          <w:b w:val="0"/>
          <w:color w:val="auto"/>
          <w:highlight w:val="none"/>
        </w:rPr>
        <w:t>财政拨款</w:t>
      </w:r>
      <w:r>
        <w:rPr>
          <w:rStyle w:val="31"/>
          <w:rFonts w:hint="eastAsia" w:ascii="Times New Roman" w:hAnsi="Times New Roman" w:eastAsia="黑体"/>
          <w:color w:val="auto"/>
          <w:highlight w:val="none"/>
        </w:rPr>
        <w:t>“</w:t>
      </w:r>
      <w:r>
        <w:rPr>
          <w:rStyle w:val="31"/>
          <w:rFonts w:hint="eastAsia" w:ascii="Times New Roman" w:hAnsi="Times New Roman" w:eastAsia="黑体"/>
          <w:b w:val="0"/>
          <w:color w:val="auto"/>
          <w:highlight w:val="none"/>
        </w:rPr>
        <w:t>三公”经费支出决算情况说明</w:t>
      </w:r>
      <w:bookmarkEnd w:id="34"/>
      <w:bookmarkEnd w:id="35"/>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6"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6"/>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2024年度“三公”经费财政拨款支出决算为154.07万元，完成预算100%，较上年度减少72.38万元，下降31.96%。决算与预算数持平。</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7"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7"/>
    </w:p>
    <w:p>
      <w:pPr>
        <w:spacing w:line="600" w:lineRule="exact"/>
        <w:ind w:firstLine="640"/>
        <w:rPr>
          <w:rFonts w:ascii="仿宋_GB2312" w:hAnsi="仿宋_GB2312" w:eastAsia="仿宋_GB2312" w:cs="仿宋_GB2312"/>
          <w:sz w:val="32"/>
          <w:szCs w:val="32"/>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2024年度“三公”经费财政拨款支出决算中，因公出国（境）费支出决算0万元，占0%；公务用车购置及运行维护费支出决算154.07万元，占100%；公务接待费支出决算0万元，占0%。具体情况如下：</w:t>
      </w:r>
    </w:p>
    <w:p>
      <w:pPr>
        <w:spacing w:line="600" w:lineRule="exact"/>
        <w:ind w:firstLine="640"/>
        <w:rPr>
          <w:rFonts w:hint="eastAsia" w:eastAsia="仿宋_GB2312" w:cs="仿宋_GB2312"/>
          <w:sz w:val="32"/>
          <w:szCs w:val="32"/>
        </w:rPr>
      </w:pPr>
      <w:r>
        <w:rPr>
          <w:rFonts w:hint="eastAsia" w:ascii="仿宋_GB2312" w:hAnsi="仿宋_GB2312" w:eastAsia="仿宋_GB2312" w:cs="仿宋_GB2312"/>
          <w:bCs/>
          <w:sz w:val="32"/>
          <w:szCs w:val="32"/>
          <w:lang w:val="en-US" w:eastAsia="zh-CN"/>
        </w:rPr>
        <w:pict>
          <v:shape id="_x0000_s1030" o:spid="_x0000_s1030" o:spt="75" type="#_x0000_t75" style="position:absolute;left:0pt;margin-left:40.75pt;margin-top:3.45pt;height:205.5pt;width:380.95pt;z-index:251703296;mso-width-relative:page;mso-height-relative:page;" o:ole="t" filled="f" o:preferrelative="t" stroked="f" coordsize="21600,21600">
            <v:path/>
            <v:fill on="f" focussize="0,0"/>
            <v:stroke on="f"/>
            <v:imagedata r:id="rId19" o:title=""/>
            <o:lock v:ext="edit" aspectratio="f"/>
          </v:shape>
          <o:OLEObject Type="Embed" ProgID="Excel.Chart.8" ShapeID="_x0000_s1030" DrawAspect="Content" ObjectID="_1468075729" r:id="rId18">
            <o:LockedField>false</o:LockedField>
          </o:OLEObject>
        </w:pict>
      </w:r>
    </w:p>
    <w:p>
      <w:pPr>
        <w:spacing w:line="600" w:lineRule="exact"/>
        <w:ind w:firstLine="640"/>
        <w:rPr>
          <w:rFonts w:hint="eastAsia" w:eastAsia="仿宋_GB2312" w:cs="仿宋_GB2312"/>
          <w:sz w:val="32"/>
          <w:szCs w:val="32"/>
        </w:rPr>
      </w:pPr>
    </w:p>
    <w:p>
      <w:pPr>
        <w:spacing w:line="600" w:lineRule="exact"/>
        <w:ind w:firstLine="640"/>
        <w:rPr>
          <w:rFonts w:hint="eastAsia" w:eastAsia="仿宋_GB2312" w:cs="仿宋_GB2312"/>
          <w:sz w:val="32"/>
          <w:szCs w:val="32"/>
        </w:rPr>
      </w:pPr>
    </w:p>
    <w:p>
      <w:pPr>
        <w:spacing w:line="600" w:lineRule="exact"/>
        <w:ind w:firstLine="640"/>
        <w:rPr>
          <w:rFonts w:hint="eastAsia" w:eastAsia="仿宋_GB2312" w:cs="仿宋_GB2312"/>
          <w:sz w:val="32"/>
          <w:szCs w:val="32"/>
        </w:rPr>
      </w:pPr>
    </w:p>
    <w:p>
      <w:pPr>
        <w:spacing w:line="600" w:lineRule="exact"/>
        <w:ind w:firstLine="640"/>
        <w:rPr>
          <w:rFonts w:hint="eastAsia" w:eastAsia="仿宋_GB2312" w:cs="仿宋_GB2312"/>
          <w:sz w:val="32"/>
          <w:szCs w:val="32"/>
        </w:rPr>
      </w:pPr>
    </w:p>
    <w:p>
      <w:pPr>
        <w:spacing w:line="600" w:lineRule="exact"/>
        <w:ind w:firstLine="640"/>
        <w:rPr>
          <w:rFonts w:hint="eastAsia" w:eastAsia="仿宋_GB2312" w:cs="仿宋_GB2312"/>
          <w:sz w:val="32"/>
          <w:szCs w:val="32"/>
        </w:rPr>
      </w:pPr>
    </w:p>
    <w:p>
      <w:pPr>
        <w:spacing w:line="600" w:lineRule="exact"/>
        <w:ind w:firstLine="640"/>
        <w:rPr>
          <w:rFonts w:hint="eastAsia" w:eastAsia="仿宋_GB2312" w:cs="仿宋_GB2312"/>
          <w:sz w:val="32"/>
          <w:szCs w:val="32"/>
        </w:rPr>
      </w:pPr>
    </w:p>
    <w:p>
      <w:pPr>
        <w:spacing w:line="600" w:lineRule="exact"/>
        <w:ind w:firstLine="640"/>
        <w:rPr>
          <w:rFonts w:eastAsia="仿宋_GB2312" w:cs="仿宋_GB2312"/>
          <w:sz w:val="32"/>
          <w:szCs w:val="32"/>
        </w:rPr>
      </w:pPr>
      <w:r>
        <w:rPr>
          <w:rFonts w:hint="eastAsia" w:eastAsia="仿宋_GB2312" w:cs="仿宋_GB2312"/>
          <w:sz w:val="32"/>
          <w:szCs w:val="32"/>
        </w:rPr>
        <w:t>（图7：“三公”经费财政拨款支出结构）（饼状图）</w:t>
      </w:r>
    </w:p>
    <w:p>
      <w:pPr>
        <w:numPr>
          <w:ilvl w:val="0"/>
          <w:numId w:val="0"/>
        </w:numPr>
        <w:spacing w:line="600" w:lineRule="exact"/>
        <w:ind w:firstLine="643" w:firstLineChars="200"/>
        <w:rPr>
          <w:rFonts w:hint="eastAsia" w:eastAsia="仿宋_GB2312" w:cs="仿宋_GB2312"/>
          <w:b/>
          <w:bCs/>
          <w:sz w:val="32"/>
          <w:szCs w:val="32"/>
          <w:lang w:eastAsia="zh-CN"/>
        </w:rPr>
      </w:pPr>
      <w:bookmarkStart w:id="38" w:name="_Toc15377218"/>
      <w:bookmarkStart w:id="39" w:name="_Toc15396610"/>
      <w:r>
        <w:rPr>
          <w:rFonts w:hint="eastAsia" w:eastAsia="仿宋_GB2312" w:cs="仿宋_GB2312"/>
          <w:b/>
          <w:bCs/>
          <w:sz w:val="32"/>
          <w:szCs w:val="32"/>
          <w:lang w:val="en-US" w:eastAsia="zh-CN"/>
        </w:rPr>
        <w:t>1.</w:t>
      </w:r>
      <w:r>
        <w:rPr>
          <w:rFonts w:hint="eastAsia" w:eastAsia="仿宋_GB2312" w:cs="仿宋_GB2312"/>
          <w:b/>
          <w:bCs/>
          <w:sz w:val="32"/>
          <w:szCs w:val="32"/>
        </w:rPr>
        <w:t>因公出国（境）经费支出</w:t>
      </w:r>
      <w:r>
        <w:rPr>
          <w:rFonts w:hint="eastAsia" w:eastAsia="仿宋_GB2312" w:cs="仿宋_GB2312"/>
          <w:b/>
          <w:bCs/>
          <w:sz w:val="32"/>
          <w:szCs w:val="32"/>
          <w:lang w:val="en-US" w:eastAsia="zh-CN"/>
        </w:rPr>
        <w:t>0</w:t>
      </w:r>
      <w:r>
        <w:rPr>
          <w:rFonts w:hint="eastAsia" w:eastAsia="仿宋_GB2312" w:cs="仿宋_GB2312"/>
          <w:b/>
          <w:bCs/>
          <w:sz w:val="32"/>
          <w:szCs w:val="32"/>
        </w:rPr>
        <w:t>万元，</w:t>
      </w:r>
      <w:r>
        <w:rPr>
          <w:rFonts w:hint="eastAsia" w:eastAsia="仿宋_GB2312" w:cs="仿宋_GB2312"/>
          <w:b/>
          <w:bCs/>
          <w:sz w:val="32"/>
          <w:szCs w:val="32"/>
          <w:lang w:eastAsia="zh-CN"/>
        </w:rPr>
        <w:t>与上年持平。</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b/>
          <w:bCs/>
          <w:sz w:val="32"/>
          <w:szCs w:val="32"/>
        </w:rPr>
        <w:t>2.公务用车购置及运行维护费支出</w:t>
      </w:r>
      <w:r>
        <w:rPr>
          <w:rFonts w:hint="eastAsia" w:ascii="仿宋_GB2312" w:hAnsi="仿宋_GB2312" w:eastAsia="仿宋_GB2312" w:cs="仿宋_GB2312"/>
          <w:b/>
          <w:bCs/>
          <w:sz w:val="32"/>
          <w:szCs w:val="32"/>
          <w:lang w:val="en-US" w:eastAsia="zh-CN"/>
        </w:rPr>
        <w:t>154.07</w:t>
      </w:r>
      <w:r>
        <w:rPr>
          <w:rFonts w:hint="eastAsia" w:ascii="仿宋_GB2312" w:hAnsi="仿宋_GB2312" w:eastAsia="仿宋_GB2312" w:cs="仿宋_GB2312"/>
          <w:b/>
          <w:bCs/>
          <w:sz w:val="32"/>
          <w:szCs w:val="32"/>
        </w:rPr>
        <w:t>万</w:t>
      </w:r>
      <w:r>
        <w:rPr>
          <w:rFonts w:hint="eastAsia" w:eastAsia="仿宋_GB2312" w:cs="仿宋_GB2312"/>
          <w:b/>
          <w:bCs/>
          <w:sz w:val="32"/>
          <w:szCs w:val="32"/>
        </w:rPr>
        <w:t>元，完成预算</w:t>
      </w:r>
      <w:r>
        <w:rPr>
          <w:rFonts w:hint="eastAsia" w:eastAsia="仿宋_GB2312" w:cs="仿宋_GB2312"/>
          <w:b/>
          <w:bCs/>
          <w:sz w:val="32"/>
          <w:szCs w:val="32"/>
          <w:lang w:val="en-US" w:eastAsia="zh-CN"/>
        </w:rPr>
        <w:t>100</w:t>
      </w:r>
      <w:r>
        <w:rPr>
          <w:rFonts w:hint="eastAsia" w:eastAsia="仿宋_GB2312" w:cs="仿宋_GB2312"/>
          <w:b/>
          <w:bCs/>
          <w:sz w:val="32"/>
          <w:szCs w:val="32"/>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公务用车购置及运行维护费支出决算比2023年度增减少72.38万元，下降31.96%。主要原因是本年度未购置公务用车。</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其中：公务用车购置支出0万元。全年按规定更新购置公务用车0辆。截至2024年12月31日，单位共有公务用车51辆，其中：轿车20辆、越野车27辆、载客汽车1辆。</w:t>
      </w:r>
    </w:p>
    <w:p>
      <w:pPr>
        <w:spacing w:line="600" w:lineRule="exact"/>
        <w:ind w:firstLine="640"/>
        <w:rPr>
          <w:rFonts w:eastAsia="仿宋_GB2312" w:cs="仿宋_GB2312"/>
          <w:sz w:val="32"/>
          <w:szCs w:val="32"/>
        </w:rPr>
      </w:pPr>
      <w:r>
        <w:rPr>
          <w:rFonts w:hint="eastAsia" w:ascii="Times New Roman" w:hAnsi="Times New Roman" w:eastAsia="仿宋_GB2312" w:cs="仿宋_GB2312"/>
          <w:color w:val="auto"/>
          <w:kern w:val="2"/>
          <w:sz w:val="32"/>
          <w:szCs w:val="32"/>
          <w:highlight w:val="none"/>
          <w:lang w:val="en-US" w:eastAsia="zh-CN" w:bidi="ar-SA"/>
        </w:rPr>
        <w:t>公务用车运行维护费支出154.07万元。主要用于盐边县公安局为开展日常维护辖区治安环境所开展的各种巡逻、出警灯所需的公务用车燃料费、维修费、过路过桥费、保险费等支出。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b/>
          <w:bCs/>
          <w:sz w:val="32"/>
          <w:szCs w:val="32"/>
        </w:rPr>
        <w:t>3.公务接待费支出</w:t>
      </w:r>
      <w:r>
        <w:rPr>
          <w:rFonts w:hint="eastAsia" w:ascii="仿宋_GB2312" w:hAnsi="仿宋_GB2312" w:eastAsia="仿宋_GB2312" w:cs="仿宋_GB2312"/>
          <w:b/>
          <w:bCs/>
          <w:sz w:val="32"/>
          <w:szCs w:val="32"/>
          <w:lang w:val="en-US" w:eastAsia="zh-CN"/>
        </w:rPr>
        <w:t>0</w:t>
      </w:r>
      <w:r>
        <w:rPr>
          <w:rFonts w:hint="eastAsia" w:ascii="仿宋_GB2312" w:hAnsi="仿宋_GB2312" w:eastAsia="仿宋_GB2312" w:cs="仿宋_GB2312"/>
          <w:b/>
          <w:bCs/>
          <w:sz w:val="32"/>
          <w:szCs w:val="32"/>
        </w:rPr>
        <w:t>万</w:t>
      </w:r>
      <w:r>
        <w:rPr>
          <w:rFonts w:hint="eastAsia" w:eastAsia="仿宋_GB2312" w:cs="仿宋_GB2312"/>
          <w:b/>
          <w:bCs/>
          <w:sz w:val="32"/>
          <w:szCs w:val="32"/>
        </w:rPr>
        <w:t>元。</w:t>
      </w:r>
      <w:r>
        <w:rPr>
          <w:rFonts w:hint="eastAsia" w:eastAsia="仿宋_GB2312" w:cs="仿宋_GB2312"/>
          <w:sz w:val="32"/>
          <w:szCs w:val="32"/>
        </w:rPr>
        <w:t>公务接待费支出决算</w:t>
      </w:r>
      <w:r>
        <w:rPr>
          <w:rFonts w:hint="eastAsia" w:eastAsia="仿宋_GB2312" w:cs="仿宋_GB2312"/>
          <w:sz w:val="32"/>
          <w:szCs w:val="32"/>
          <w:lang w:eastAsia="zh-CN"/>
        </w:rPr>
        <w:t>与</w:t>
      </w:r>
      <w:r>
        <w:rPr>
          <w:rFonts w:hint="eastAsia" w:eastAsia="仿宋_GB2312" w:cs="仿宋_GB2312"/>
          <w:sz w:val="32"/>
          <w:szCs w:val="32"/>
        </w:rPr>
        <w:t>2023年度</w:t>
      </w:r>
      <w:r>
        <w:rPr>
          <w:rFonts w:hint="eastAsia" w:eastAsia="仿宋_GB2312" w:cs="仿宋_GB2312"/>
          <w:sz w:val="32"/>
          <w:szCs w:val="32"/>
          <w:lang w:eastAsia="zh-CN"/>
        </w:rPr>
        <w:t>持平。</w:t>
      </w:r>
    </w:p>
    <w:p>
      <w:pPr>
        <w:spacing w:line="600" w:lineRule="exact"/>
        <w:ind w:firstLine="640"/>
        <w:outlineLvl w:val="1"/>
        <w:rPr>
          <w:rFonts w:hint="eastAsia" w:ascii="Times New Roman" w:hAnsi="Times New Roman" w:eastAsia="黑体"/>
          <w:color w:val="auto"/>
          <w:sz w:val="32"/>
          <w:szCs w:val="32"/>
          <w:highlight w:val="none"/>
        </w:rPr>
      </w:pPr>
    </w:p>
    <w:p>
      <w:pPr>
        <w:spacing w:line="600" w:lineRule="exact"/>
        <w:ind w:firstLine="640"/>
        <w:outlineLvl w:val="1"/>
        <w:rPr>
          <w:rStyle w:val="31"/>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31"/>
          <w:rFonts w:hint="eastAsia" w:ascii="Times New Roman" w:hAnsi="Times New Roman" w:eastAsia="黑体"/>
          <w:b w:val="0"/>
          <w:color w:val="auto"/>
          <w:highlight w:val="none"/>
        </w:rPr>
        <w:t>政府性基金预算支出决算情况说明</w:t>
      </w:r>
      <w:bookmarkEnd w:id="38"/>
      <w:bookmarkEnd w:id="39"/>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2024年度政府性基金预算财政拨款支出0万元，占本年支出合计的0%。与2023年度持平。</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numPr>
          <w:ilvl w:val="0"/>
          <w:numId w:val="0"/>
        </w:numPr>
        <w:spacing w:line="600" w:lineRule="exact"/>
        <w:ind w:left="630" w:leftChars="0"/>
        <w:outlineLvl w:val="1"/>
        <w:rPr>
          <w:rStyle w:val="31"/>
          <w:rFonts w:ascii="Times New Roman" w:hAnsi="Times New Roman" w:eastAsia="黑体"/>
          <w:b w:val="0"/>
          <w:color w:val="auto"/>
          <w:highlight w:val="none"/>
        </w:rPr>
      </w:pPr>
      <w:bookmarkStart w:id="40" w:name="_Toc15396611"/>
      <w:bookmarkStart w:id="41" w:name="_Toc15377219"/>
      <w:r>
        <w:rPr>
          <w:rStyle w:val="31"/>
          <w:rFonts w:hint="eastAsia" w:ascii="Times New Roman" w:hAnsi="Times New Roman" w:eastAsia="黑体"/>
          <w:b w:val="0"/>
          <w:color w:val="auto"/>
          <w:highlight w:val="none"/>
          <w:lang w:eastAsia="zh-CN"/>
        </w:rPr>
        <w:t>九、</w:t>
      </w:r>
      <w:r>
        <w:rPr>
          <w:rStyle w:val="31"/>
          <w:rFonts w:hint="eastAsia" w:ascii="Times New Roman" w:hAnsi="Times New Roman" w:eastAsia="黑体"/>
          <w:b w:val="0"/>
          <w:color w:val="auto"/>
          <w:highlight w:val="none"/>
        </w:rPr>
        <w:t>国有资本经营预算支出决算情况说明</w:t>
      </w:r>
      <w:bookmarkEnd w:id="40"/>
      <w:bookmarkEnd w:id="41"/>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2024年度国有资本经营预算财政拨款支出0万元，占本年支出合计的0%。与2023年度持平。</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numPr>
          <w:ilvl w:val="0"/>
          <w:numId w:val="0"/>
        </w:numPr>
        <w:spacing w:line="600" w:lineRule="exact"/>
        <w:ind w:left="630" w:leftChars="0"/>
        <w:outlineLvl w:val="1"/>
        <w:rPr>
          <w:rStyle w:val="31"/>
          <w:rFonts w:hint="eastAsia" w:ascii="Times New Roman" w:hAnsi="Times New Roman" w:eastAsia="黑体"/>
          <w:b w:val="0"/>
          <w:color w:val="auto"/>
          <w:highlight w:val="none"/>
        </w:rPr>
      </w:pPr>
      <w:bookmarkStart w:id="42" w:name="_Toc15396612"/>
      <w:bookmarkStart w:id="43" w:name="_Toc15377221"/>
      <w:r>
        <w:rPr>
          <w:rStyle w:val="31"/>
          <w:rFonts w:hint="eastAsia" w:ascii="Times New Roman" w:hAnsi="Times New Roman" w:eastAsia="黑体"/>
          <w:b w:val="0"/>
          <w:color w:val="auto"/>
          <w:highlight w:val="none"/>
          <w:lang w:eastAsia="zh-CN"/>
        </w:rPr>
        <w:t>十、</w:t>
      </w:r>
      <w:r>
        <w:rPr>
          <w:rStyle w:val="31"/>
          <w:rFonts w:hint="eastAsia" w:ascii="Times New Roman" w:hAnsi="Times New Roman" w:eastAsia="黑体"/>
          <w:b w:val="0"/>
          <w:color w:val="auto"/>
          <w:highlight w:val="none"/>
        </w:rPr>
        <w:t>其他重要事项的情况说明</w:t>
      </w:r>
      <w:bookmarkEnd w:id="42"/>
      <w:bookmarkEnd w:id="43"/>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4" w:name="_Toc15377222"/>
      <w:r>
        <w:rPr>
          <w:rFonts w:hint="eastAsia" w:ascii="Times New Roman" w:hAnsi="Times New Roman" w:eastAsia="楷体_GB2312" w:cs="楷体_GB2312"/>
          <w:b/>
          <w:color w:val="auto"/>
          <w:sz w:val="32"/>
          <w:szCs w:val="32"/>
          <w:highlight w:val="none"/>
        </w:rPr>
        <w:t>（一）机关运行经费支出情况</w:t>
      </w:r>
      <w:bookmarkEnd w:id="44"/>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2024年度，盐边县公安局机关运行经费支出1031.45万元，比2023年度增加58.06万元，增长6.38%。主要原因是辅警人员增加以及业务技术用房日常维护。</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5" w:name="_Toc15377223"/>
      <w:r>
        <w:rPr>
          <w:rFonts w:hint="eastAsia" w:ascii="Times New Roman" w:hAnsi="Times New Roman" w:eastAsia="楷体_GB2312" w:cs="楷体_GB2312"/>
          <w:b/>
          <w:color w:val="auto"/>
          <w:sz w:val="32"/>
          <w:szCs w:val="32"/>
          <w:highlight w:val="none"/>
        </w:rPr>
        <w:t>（二）政府采购支出情况</w:t>
      </w:r>
      <w:bookmarkEnd w:id="45"/>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盐边县公安局政府采购支出总额290.08万元，其中：政府采购货物支出203.95万元、政府采购工程支出0万元、政府采购服务支出86.13万元。主要用于业务务技术用房大楼物业及县局食堂物资。授予中小企业合同金额247.97万元，占政府采购支出总额的85.48%，其中：授予小微企业合同金额153.95万元，占政府采购支出总额的53.07%。</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6" w:name="_Toc15377224"/>
      <w:r>
        <w:rPr>
          <w:rFonts w:hint="eastAsia" w:ascii="Times New Roman" w:hAnsi="Times New Roman" w:eastAsia="楷体_GB2312" w:cs="楷体_GB2312"/>
          <w:b/>
          <w:color w:val="auto"/>
          <w:sz w:val="32"/>
          <w:szCs w:val="32"/>
          <w:highlight w:val="none"/>
        </w:rPr>
        <w:t>（三）国有资产占有使用情况</w:t>
      </w:r>
      <w:bookmarkEnd w:id="46"/>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截至2024年12月31日，盐边县公安局共有车辆57辆，其中：执法执勤用车40辆、特种专业技术用车10辆、其他用车7辆，其他用车主要是用于公安开展日常巡逻办案业务。单价100万元（含）以上设备（不含车辆）0台（套）。</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根据预算绩效管理要求，盐边县公安局在2024年度预算编制阶段，组织对盐边县公安局档案数字化等</w:t>
      </w:r>
      <w:r>
        <w:rPr>
          <w:rFonts w:hint="eastAsia" w:eastAsia="仿宋_GB2312" w:cs="仿宋_GB2312"/>
          <w:color w:val="auto"/>
          <w:kern w:val="2"/>
          <w:sz w:val="32"/>
          <w:szCs w:val="32"/>
          <w:highlight w:val="none"/>
          <w:lang w:val="en-US" w:eastAsia="zh-CN" w:bidi="ar-SA"/>
        </w:rPr>
        <w:t>26</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26</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26</w:t>
      </w:r>
      <w:r>
        <w:rPr>
          <w:rFonts w:hint="eastAsia" w:ascii="Times New Roman" w:hAnsi="Times New Roman" w:eastAsia="仿宋_GB2312" w:cs="仿宋_GB2312"/>
          <w:color w:val="auto"/>
          <w:kern w:val="2"/>
          <w:sz w:val="32"/>
          <w:szCs w:val="32"/>
          <w:highlight w:val="none"/>
          <w:lang w:val="en-US" w:eastAsia="zh-CN" w:bidi="ar-SA"/>
        </w:rPr>
        <w:t>个项目开展绩效监控。</w:t>
      </w:r>
    </w:p>
    <w:p>
      <w:pPr>
        <w:spacing w:line="600" w:lineRule="exact"/>
        <w:ind w:firstLine="640"/>
      </w:pPr>
      <w:r>
        <w:rPr>
          <w:rFonts w:hint="eastAsia" w:ascii="Times New Roman" w:hAnsi="Times New Roman" w:eastAsia="仿宋_GB2312" w:cs="仿宋_GB2312"/>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形成盐边县公安局部门整体（含部门预算项目）绩效自评报告、盐边县公安局交通警察大队部门整体（含部门预算项目）绩效自评报告、盐边县公安局档案数字化等专项预算项目绩效自评报告，其中，盐边县公安局部门整体（含部门预算项目）绩效自评得分为92分，绩效自评综述良好；盐边县公安局交通警察大队部门整体（含部门预算项目）绩效自评得分为92分，绩效自评综述良好；盐边县公安局档案数字化专项预算项目绩效自评得分为100分，绩效自评综述较好；盐边县公安局业务技术用房及盐边县涉案财物集中管理中心信息化建设专项预算项目绩效自评得分为98分，绩效自评综述良好；盐边县公安局网络租赁费专项预算项目绩效自评得分为100分，绩效自评综述较好；格萨拉禁毒教育基地专项预算项目绩效自评得分为100分，绩效自评综述较好。绩效自评报告详见附件。各派出所、交警中队、县局机关楼维修专项预算项目绩效自评得分为100分，绩效自评综述较好；盐边县公安局地下车库暨县应急指挥中心人防工程专项预算项目绩效自评得分为93分，绩效自评综述良好；盐边县公安局业务技术用房建设项目专项预算项目绩效自评得分为100分，绩效自评综述较好；盐边县公安局优化营商环境向新开办企业提供首套印章免费刻制服务经费专项预算项目绩效自评得分为100分，绩效自评综述较好；看守所工作经费专项预算项目绩效自评得分为100分，绩效自评综述较好。</w:t>
      </w:r>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47" w:name="_Toc15377225"/>
      <w:bookmarkStart w:id="48" w:name="_Toc15396613"/>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7"/>
      <w:bookmarkEnd w:id="48"/>
    </w:p>
    <w:p>
      <w:pPr>
        <w:spacing w:line="600" w:lineRule="exact"/>
        <w:jc w:val="left"/>
        <w:rPr>
          <w:rFonts w:ascii="Times New Roman" w:hAnsi="Times New Roman"/>
          <w:b/>
          <w:color w:val="auto"/>
          <w:sz w:val="44"/>
          <w:szCs w:val="44"/>
          <w:highlight w:val="none"/>
        </w:rPr>
      </w:pPr>
    </w:p>
    <w:p>
      <w:pPr>
        <w:spacing w:line="600" w:lineRule="exact"/>
        <w:ind w:firstLine="640"/>
        <w:rPr>
          <w:rFonts w:eastAsia="仿宋_GB2312" w:cs="仿宋_GB2312"/>
          <w:sz w:val="32"/>
          <w:szCs w:val="32"/>
        </w:rPr>
      </w:pPr>
      <w:bookmarkStart w:id="49" w:name="_Toc15377226"/>
      <w:r>
        <w:rPr>
          <w:rFonts w:hint="eastAsia" w:eastAsia="仿宋_GB2312" w:cs="仿宋_GB2312"/>
          <w:sz w:val="32"/>
          <w:szCs w:val="32"/>
        </w:rPr>
        <w:t>1.财政拨款收入：指单位从同级财政部门取得的财政预算资金。</w:t>
      </w:r>
    </w:p>
    <w:p>
      <w:pPr>
        <w:spacing w:line="600" w:lineRule="exact"/>
        <w:ind w:firstLine="640"/>
        <w:rPr>
          <w:rFonts w:eastAsia="仿宋_GB2312" w:cs="仿宋_GB2312"/>
          <w:sz w:val="32"/>
          <w:szCs w:val="32"/>
        </w:rPr>
      </w:pPr>
      <w:r>
        <w:rPr>
          <w:rFonts w:hint="eastAsia" w:eastAsia="仿宋_GB2312" w:cs="仿宋_GB2312"/>
          <w:sz w:val="32"/>
          <w:szCs w:val="32"/>
        </w:rPr>
        <w:t>2.事业收入：指事业单位开展专业业务活动及辅助活动取得的收入。</w:t>
      </w:r>
    </w:p>
    <w:p>
      <w:pPr>
        <w:spacing w:line="600" w:lineRule="exact"/>
        <w:ind w:firstLine="640"/>
        <w:rPr>
          <w:rFonts w:hint="eastAsia" w:eastAsia="仿宋_GB2312" w:cs="仿宋_GB2312"/>
          <w:sz w:val="32"/>
          <w:szCs w:val="32"/>
        </w:rPr>
      </w:pPr>
      <w:r>
        <w:rPr>
          <w:rFonts w:hint="eastAsia" w:eastAsia="仿宋_GB2312" w:cs="仿宋_GB2312"/>
          <w:sz w:val="32"/>
          <w:szCs w:val="32"/>
        </w:rPr>
        <w:t>3.经营收入：指事业单位在专业业务活动及其辅助活动之外开展非独立核算经营活动取得的收入。</w:t>
      </w:r>
    </w:p>
    <w:p>
      <w:pPr>
        <w:spacing w:line="600" w:lineRule="exact"/>
        <w:ind w:firstLine="640"/>
        <w:rPr>
          <w:rFonts w:eastAsia="仿宋_GB2312" w:cs="仿宋_GB2312"/>
          <w:sz w:val="32"/>
          <w:szCs w:val="32"/>
        </w:rPr>
      </w:pPr>
      <w:r>
        <w:rPr>
          <w:rFonts w:hint="eastAsia" w:eastAsia="仿宋_GB2312" w:cs="仿宋_GB2312"/>
          <w:sz w:val="32"/>
          <w:szCs w:val="32"/>
        </w:rPr>
        <w:t>4.其他收入：指单位取得的除上述收入以外的各项收入。主要是</w:t>
      </w:r>
      <w:r>
        <w:rPr>
          <w:rFonts w:hint="eastAsia" w:eastAsia="仿宋_GB2312" w:cs="仿宋_GB2312"/>
          <w:sz w:val="32"/>
          <w:szCs w:val="32"/>
          <w:lang w:eastAsia="zh-CN"/>
        </w:rPr>
        <w:t>上级财政收入</w:t>
      </w:r>
      <w:r>
        <w:rPr>
          <w:rFonts w:hint="eastAsia" w:eastAsia="仿宋_GB2312" w:cs="仿宋_GB2312"/>
          <w:sz w:val="32"/>
          <w:szCs w:val="32"/>
        </w:rPr>
        <w:t xml:space="preserve">。 </w:t>
      </w:r>
    </w:p>
    <w:p>
      <w:pPr>
        <w:spacing w:line="600" w:lineRule="exact"/>
        <w:ind w:firstLine="640"/>
        <w:rPr>
          <w:rFonts w:eastAsia="仿宋_GB2312" w:cs="仿宋_GB2312"/>
          <w:sz w:val="32"/>
          <w:szCs w:val="32"/>
        </w:rPr>
      </w:pPr>
      <w:r>
        <w:rPr>
          <w:rFonts w:hint="eastAsia" w:eastAsia="仿宋_GB2312" w:cs="仿宋_GB2312"/>
          <w:sz w:val="32"/>
          <w:szCs w:val="32"/>
        </w:rPr>
        <w:t xml:space="preserve">5.使用非财政拨款结余（含专用结余）：指事业单位使用以前年度积累的非财政拨款结余弥补当年收支差额的金额。 </w:t>
      </w:r>
    </w:p>
    <w:p>
      <w:pPr>
        <w:spacing w:line="600" w:lineRule="exact"/>
        <w:ind w:firstLine="640"/>
        <w:rPr>
          <w:rFonts w:eastAsia="仿宋_GB2312" w:cs="仿宋_GB2312"/>
          <w:sz w:val="32"/>
          <w:szCs w:val="32"/>
        </w:rPr>
      </w:pPr>
      <w:r>
        <w:rPr>
          <w:rFonts w:hint="eastAsia" w:eastAsia="仿宋_GB2312" w:cs="仿宋_GB2312"/>
          <w:sz w:val="32"/>
          <w:szCs w:val="32"/>
        </w:rPr>
        <w:t xml:space="preserve">6.年初结转和结余：指以前年度尚未完成、结转到本年按有关规定继续使用的资金。 </w:t>
      </w:r>
    </w:p>
    <w:p>
      <w:pPr>
        <w:spacing w:line="600" w:lineRule="exact"/>
        <w:ind w:firstLine="640"/>
        <w:rPr>
          <w:rFonts w:eastAsia="仿宋_GB2312" w:cs="仿宋_GB2312"/>
          <w:sz w:val="32"/>
          <w:szCs w:val="32"/>
        </w:rPr>
      </w:pPr>
      <w:r>
        <w:rPr>
          <w:rFonts w:hint="eastAsia" w:eastAsia="仿宋_GB2312" w:cs="仿宋_GB2312"/>
          <w:sz w:val="32"/>
          <w:szCs w:val="32"/>
        </w:rPr>
        <w:t>7.结余分配：指事业单位按照会计制度规定缴纳的所得税、提取的专用结余以及转入非财政拨款结余的金额等。</w:t>
      </w:r>
    </w:p>
    <w:p>
      <w:pPr>
        <w:spacing w:line="600" w:lineRule="exact"/>
        <w:ind w:firstLine="640"/>
        <w:rPr>
          <w:rFonts w:eastAsia="仿宋_GB2312" w:cs="仿宋_GB2312"/>
          <w:sz w:val="32"/>
          <w:szCs w:val="32"/>
        </w:rPr>
      </w:pPr>
      <w:r>
        <w:rPr>
          <w:rFonts w:hint="eastAsia" w:eastAsia="仿宋_GB2312" w:cs="仿宋_GB2312"/>
          <w:sz w:val="32"/>
          <w:szCs w:val="32"/>
        </w:rPr>
        <w:t>8.年末结转和结余：指单位按有关规定结转到下年或以后年度继续使用的资金。</w:t>
      </w:r>
    </w:p>
    <w:p>
      <w:pPr>
        <w:spacing w:line="600" w:lineRule="exact"/>
        <w:ind w:firstLine="640" w:firstLineChars="200"/>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9.公共安全支出（类）公安（款）行政支出（项）: 反映行政单位（包含实行公务员管理的事业单位）的基本支出。</w:t>
      </w:r>
    </w:p>
    <w:p>
      <w:pPr>
        <w:spacing w:line="600" w:lineRule="exact"/>
        <w:ind w:firstLine="640" w:firstLineChars="200"/>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10.公共安全支出（类）公安（款）信息化建设（项）: 反映各级公安机关用于非涉密的信息网络建设和运行维护相关支出。</w:t>
      </w:r>
    </w:p>
    <w:p>
      <w:pPr>
        <w:spacing w:line="600" w:lineRule="exact"/>
        <w:ind w:firstLine="640" w:firstLineChars="200"/>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11.公共安全支出（类）公安（款）事业运行（项）: 反映事业单位的基本支出，不包括行政单位（包含实行公务员管理的事业单位）后勤服务中心、医务室等附属事业单位。</w:t>
      </w:r>
    </w:p>
    <w:p>
      <w:pPr>
        <w:spacing w:line="600" w:lineRule="exact"/>
        <w:ind w:firstLine="640" w:firstLineChars="200"/>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12.公共安全支出（类）公安（款）其他公安支出（项）: 反映除上述项目以外其他用于公安方面的支出。</w:t>
      </w:r>
    </w:p>
    <w:p>
      <w:pPr>
        <w:spacing w:line="600" w:lineRule="exact"/>
        <w:ind w:firstLine="640" w:firstLineChars="200"/>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13.公共安全支出（类）公安（款）其他公共安全支出（项）: 反映除上述项目以外其他用于公共安全方面的支出。</w:t>
      </w:r>
    </w:p>
    <w:p>
      <w:pPr>
        <w:spacing w:line="600" w:lineRule="exact"/>
        <w:ind w:firstLine="640" w:firstLineChars="200"/>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14.社会保障和就业支出（类）行政事业单位养老支出（款）行政单位离退休（项）:反映行政单位（包含实行公务员管理的事业单位）开支的离退休经费。</w:t>
      </w:r>
    </w:p>
    <w:p>
      <w:pPr>
        <w:spacing w:line="600" w:lineRule="exact"/>
        <w:ind w:firstLine="640" w:firstLineChars="200"/>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15.社会保障和就业支出（类）行政事业单位养老支出（款）机关事业单位基本养老保险缴费支出（项）:反映机关事业单位实施养老保险制度由单位缴纳的基本养老保险费支出。</w:t>
      </w:r>
    </w:p>
    <w:p>
      <w:pPr>
        <w:pStyle w:val="8"/>
        <w:ind w:firstLine="640" w:firstLineChars="200"/>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1</w:t>
      </w:r>
      <w:r>
        <w:rPr>
          <w:rFonts w:hint="eastAsia" w:hAnsi="仿宋_GB2312" w:cs="仿宋_GB2312"/>
          <w:color w:val="auto"/>
          <w:kern w:val="0"/>
          <w:sz w:val="32"/>
          <w:szCs w:val="32"/>
          <w:lang w:val="en-US" w:eastAsia="zh-CN" w:bidi="ar-SA"/>
        </w:rPr>
        <w:t>6</w:t>
      </w:r>
      <w:r>
        <w:rPr>
          <w:rFonts w:hint="eastAsia" w:ascii="仿宋_GB2312" w:hAnsi="仿宋_GB2312" w:eastAsia="仿宋_GB2312" w:cs="仿宋_GB2312"/>
          <w:color w:val="auto"/>
          <w:kern w:val="0"/>
          <w:sz w:val="32"/>
          <w:szCs w:val="32"/>
          <w:lang w:val="en-US" w:eastAsia="zh-CN" w:bidi="ar-SA"/>
        </w:rPr>
        <w:t>.社会保障和就业支出（类）行政事业单位养老支出（款）机关事业单位职业年金缴费支出（项）: 反映机关事业单位实施养老保险制度由单位实际缴纳的职业年金支出（含职业年金补记支出）。</w:t>
      </w:r>
    </w:p>
    <w:p>
      <w:pPr>
        <w:pStyle w:val="8"/>
        <w:ind w:firstLine="640" w:firstLineChars="200"/>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1</w:t>
      </w:r>
      <w:r>
        <w:rPr>
          <w:rFonts w:hint="eastAsia" w:hAnsi="仿宋_GB2312" w:cs="仿宋_GB2312"/>
          <w:color w:val="auto"/>
          <w:kern w:val="0"/>
          <w:sz w:val="32"/>
          <w:szCs w:val="32"/>
          <w:lang w:val="en-US" w:eastAsia="zh-CN" w:bidi="ar-SA"/>
        </w:rPr>
        <w:t>7</w:t>
      </w:r>
      <w:r>
        <w:rPr>
          <w:rFonts w:hint="eastAsia" w:ascii="仿宋_GB2312" w:hAnsi="仿宋_GB2312" w:eastAsia="仿宋_GB2312" w:cs="仿宋_GB2312"/>
          <w:color w:val="auto"/>
          <w:kern w:val="0"/>
          <w:sz w:val="32"/>
          <w:szCs w:val="32"/>
          <w:lang w:val="en-US" w:eastAsia="zh-CN" w:bidi="ar-SA"/>
        </w:rPr>
        <w:t>.社会保障和就业支出（类）抚恤（款）死亡抚恤（项）: 反映按规定用于烈士和牺牲、病故人员家属的一次性和定期抚恤金、丧葬补助费以及烈士褒扬金。</w:t>
      </w:r>
    </w:p>
    <w:p>
      <w:pPr>
        <w:pStyle w:val="8"/>
        <w:ind w:firstLine="640" w:firstLineChars="200"/>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1</w:t>
      </w:r>
      <w:r>
        <w:rPr>
          <w:rFonts w:hint="eastAsia" w:hAnsi="仿宋_GB2312" w:cs="仿宋_GB2312"/>
          <w:color w:val="auto"/>
          <w:kern w:val="0"/>
          <w:sz w:val="32"/>
          <w:szCs w:val="32"/>
          <w:lang w:val="en-US" w:eastAsia="zh-CN" w:bidi="ar-SA"/>
        </w:rPr>
        <w:t>8</w:t>
      </w:r>
      <w:r>
        <w:rPr>
          <w:rFonts w:hint="eastAsia" w:ascii="仿宋_GB2312" w:hAnsi="仿宋_GB2312" w:eastAsia="仿宋_GB2312" w:cs="仿宋_GB2312"/>
          <w:color w:val="auto"/>
          <w:kern w:val="0"/>
          <w:sz w:val="32"/>
          <w:szCs w:val="32"/>
          <w:lang w:val="en-US" w:eastAsia="zh-CN" w:bidi="ar-SA"/>
        </w:rPr>
        <w:t>.社会保障和就业支出（类）抚恤（款）伤残抚恤（项）: 反映按规定用于伤残人员的抚恤金和按规定开支的各种伤残补助费。</w:t>
      </w:r>
    </w:p>
    <w:p>
      <w:pPr>
        <w:pStyle w:val="8"/>
        <w:ind w:firstLine="640" w:firstLineChars="200"/>
        <w:rPr>
          <w:rFonts w:hint="eastAsia" w:ascii="仿宋_GB2312" w:hAnsi="仿宋_GB2312" w:eastAsia="仿宋_GB2312" w:cs="仿宋_GB2312"/>
          <w:color w:val="auto"/>
          <w:kern w:val="0"/>
          <w:sz w:val="32"/>
          <w:szCs w:val="32"/>
          <w:lang w:val="en-US" w:eastAsia="zh-CN" w:bidi="ar-SA"/>
        </w:rPr>
      </w:pPr>
      <w:r>
        <w:rPr>
          <w:rFonts w:hint="eastAsia" w:hAnsi="仿宋_GB2312" w:cs="仿宋_GB2312"/>
          <w:color w:val="auto"/>
          <w:kern w:val="0"/>
          <w:sz w:val="32"/>
          <w:szCs w:val="32"/>
          <w:lang w:val="en-US" w:eastAsia="zh-CN" w:bidi="ar-SA"/>
        </w:rPr>
        <w:t>19</w:t>
      </w:r>
      <w:r>
        <w:rPr>
          <w:rFonts w:hint="eastAsia" w:ascii="仿宋_GB2312" w:hAnsi="仿宋_GB2312" w:eastAsia="仿宋_GB2312" w:cs="仿宋_GB2312"/>
          <w:color w:val="auto"/>
          <w:kern w:val="0"/>
          <w:sz w:val="32"/>
          <w:szCs w:val="32"/>
          <w:lang w:val="en-US" w:eastAsia="zh-CN" w:bidi="ar-SA"/>
        </w:rPr>
        <w:t>.卫生健康支出（类）行政事业单位医疗（款）</w:t>
      </w:r>
      <w:r>
        <w:rPr>
          <w:rFonts w:hint="eastAsia" w:hAnsi="仿宋_GB2312" w:cs="仿宋_GB2312"/>
          <w:color w:val="auto"/>
          <w:kern w:val="0"/>
          <w:sz w:val="32"/>
          <w:szCs w:val="32"/>
          <w:lang w:val="en-US" w:eastAsia="zh-CN" w:bidi="ar-SA"/>
        </w:rPr>
        <w:t>事业单位医疗</w:t>
      </w:r>
      <w:r>
        <w:rPr>
          <w:rFonts w:hint="eastAsia" w:ascii="仿宋_GB2312" w:hAnsi="仿宋_GB2312" w:eastAsia="仿宋_GB2312" w:cs="仿宋_GB2312"/>
          <w:color w:val="auto"/>
          <w:kern w:val="0"/>
          <w:sz w:val="32"/>
          <w:szCs w:val="32"/>
          <w:lang w:val="en-US" w:eastAsia="zh-CN" w:bidi="ar-SA"/>
        </w:rPr>
        <w:t xml:space="preserve">（项）: </w:t>
      </w:r>
      <w:r>
        <w:rPr>
          <w:rFonts w:hint="eastAsia" w:hAnsi="仿宋_GB2312" w:cs="仿宋_GB2312"/>
          <w:color w:val="auto"/>
          <w:kern w:val="0"/>
          <w:sz w:val="32"/>
          <w:szCs w:val="32"/>
          <w:lang w:val="en-US" w:eastAsia="zh-CN" w:bidi="ar-SA"/>
        </w:rPr>
        <w:t>反映财政部门安排的事业单位基本医疗保险缴费经费，未参加医疗保险的事业单位的公费医疗经费，按国家规定享受离休人员待遇的医疗经费</w:t>
      </w:r>
      <w:r>
        <w:rPr>
          <w:rFonts w:hint="eastAsia" w:ascii="仿宋_GB2312" w:hAnsi="仿宋_GB2312" w:eastAsia="仿宋_GB2312" w:cs="仿宋_GB2312"/>
          <w:color w:val="auto"/>
          <w:kern w:val="0"/>
          <w:sz w:val="32"/>
          <w:szCs w:val="32"/>
          <w:lang w:val="en-US" w:eastAsia="zh-CN" w:bidi="ar-SA"/>
        </w:rPr>
        <w:t>。</w:t>
      </w:r>
    </w:p>
    <w:p>
      <w:pPr>
        <w:pStyle w:val="8"/>
        <w:ind w:firstLine="640" w:firstLineChars="200"/>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w:t>
      </w:r>
      <w:r>
        <w:rPr>
          <w:rFonts w:hint="eastAsia" w:hAnsi="仿宋_GB2312" w:cs="仿宋_GB2312"/>
          <w:color w:val="auto"/>
          <w:kern w:val="0"/>
          <w:sz w:val="32"/>
          <w:szCs w:val="32"/>
          <w:lang w:val="en-US" w:eastAsia="zh-CN" w:bidi="ar-SA"/>
        </w:rPr>
        <w:t>0</w:t>
      </w:r>
      <w:r>
        <w:rPr>
          <w:rFonts w:hint="eastAsia" w:ascii="仿宋_GB2312" w:hAnsi="仿宋_GB2312" w:eastAsia="仿宋_GB2312" w:cs="仿宋_GB2312"/>
          <w:color w:val="auto"/>
          <w:kern w:val="0"/>
          <w:sz w:val="32"/>
          <w:szCs w:val="32"/>
          <w:lang w:val="en-US" w:eastAsia="zh-CN" w:bidi="ar-SA"/>
        </w:rPr>
        <w:t xml:space="preserve">.卫生健康支出（类）行政事业单位医疗（款）行政单位医疗（项）: </w:t>
      </w:r>
      <w:r>
        <w:rPr>
          <w:rFonts w:hint="eastAsia" w:ascii="仿宋_GB2312" w:hAnsi="仿宋_GB2312" w:eastAsia="仿宋_GB2312" w:cs="仿宋_GB2312"/>
          <w:sz w:val="32"/>
          <w:szCs w:val="32"/>
          <w:lang w:eastAsia="zh-CN"/>
        </w:rPr>
        <w:t>反映财政部门安排的行政单位（包括实行公务员管理的事业单位，下同）基本医疗保险缴费经费，未参加医疗保险的行政单位的公费医疗经费，按国家规定享受离休人员、红军老战士待遇人员的医疗经费</w:t>
      </w:r>
      <w:r>
        <w:rPr>
          <w:rFonts w:hint="eastAsia" w:ascii="仿宋_GB2312" w:hAnsi="仿宋_GB2312" w:eastAsia="仿宋_GB2312" w:cs="仿宋_GB2312"/>
          <w:color w:val="auto"/>
          <w:kern w:val="0"/>
          <w:sz w:val="32"/>
          <w:szCs w:val="32"/>
          <w:lang w:val="en-US" w:eastAsia="zh-CN" w:bidi="ar-SA"/>
        </w:rPr>
        <w:t>。</w:t>
      </w:r>
    </w:p>
    <w:p>
      <w:pPr>
        <w:pStyle w:val="8"/>
        <w:ind w:firstLine="640" w:firstLineChars="200"/>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w:t>
      </w:r>
      <w:r>
        <w:rPr>
          <w:rFonts w:hint="eastAsia" w:hAnsi="仿宋_GB2312" w:cs="仿宋_GB2312"/>
          <w:color w:val="auto"/>
          <w:kern w:val="0"/>
          <w:sz w:val="32"/>
          <w:szCs w:val="32"/>
          <w:lang w:val="en-US" w:eastAsia="zh-CN" w:bidi="ar-SA"/>
        </w:rPr>
        <w:t>1</w:t>
      </w:r>
      <w:r>
        <w:rPr>
          <w:rFonts w:hint="eastAsia" w:ascii="仿宋_GB2312" w:hAnsi="仿宋_GB2312" w:eastAsia="仿宋_GB2312" w:cs="仿宋_GB2312"/>
          <w:color w:val="auto"/>
          <w:kern w:val="0"/>
          <w:sz w:val="32"/>
          <w:szCs w:val="32"/>
          <w:lang w:val="en-US" w:eastAsia="zh-CN" w:bidi="ar-SA"/>
        </w:rPr>
        <w:t>.卫生健康支出（类）行政事业单位医疗（款）公务员医疗补助（项）:</w:t>
      </w:r>
      <w:r>
        <w:rPr>
          <w:rFonts w:hint="eastAsia" w:ascii="仿宋_GB2312" w:hAnsi="仿宋_GB2312" w:eastAsia="仿宋_GB2312" w:cs="仿宋_GB2312"/>
          <w:sz w:val="32"/>
          <w:szCs w:val="32"/>
          <w:lang w:eastAsia="zh-CN"/>
        </w:rPr>
        <w:t>反映财政部门安排的公务员医疗补助缴费</w:t>
      </w:r>
      <w:r>
        <w:rPr>
          <w:rFonts w:hint="eastAsia" w:ascii="仿宋_GB2312" w:hAnsi="仿宋_GB2312" w:eastAsia="仿宋_GB2312" w:cs="仿宋_GB2312"/>
          <w:color w:val="auto"/>
          <w:kern w:val="0"/>
          <w:sz w:val="32"/>
          <w:szCs w:val="32"/>
          <w:lang w:val="en-US" w:eastAsia="zh-CN" w:bidi="ar-SA"/>
        </w:rPr>
        <w:t>。</w:t>
      </w:r>
    </w:p>
    <w:p>
      <w:pPr>
        <w:pStyle w:val="8"/>
        <w:ind w:firstLine="640" w:firstLineChars="200"/>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w:t>
      </w:r>
      <w:r>
        <w:rPr>
          <w:rFonts w:hint="eastAsia" w:hAnsi="仿宋_GB2312" w:cs="仿宋_GB2312"/>
          <w:color w:val="auto"/>
          <w:kern w:val="0"/>
          <w:sz w:val="32"/>
          <w:szCs w:val="32"/>
          <w:lang w:val="en-US" w:eastAsia="zh-CN" w:bidi="ar-SA"/>
        </w:rPr>
        <w:t>2</w:t>
      </w:r>
      <w:r>
        <w:rPr>
          <w:rFonts w:hint="eastAsia" w:ascii="仿宋_GB2312" w:hAnsi="仿宋_GB2312" w:eastAsia="仿宋_GB2312" w:cs="仿宋_GB2312"/>
          <w:color w:val="auto"/>
          <w:kern w:val="0"/>
          <w:sz w:val="32"/>
          <w:szCs w:val="32"/>
          <w:lang w:val="en-US" w:eastAsia="zh-CN" w:bidi="ar-SA"/>
        </w:rPr>
        <w:t>.卫生健康支出（类）行政事业单位医疗（款）其他行政事业单位医疗支出（项）:</w:t>
      </w:r>
      <w:r>
        <w:rPr>
          <w:rFonts w:hint="eastAsia" w:ascii="仿宋_GB2312" w:hAnsi="仿宋_GB2312" w:eastAsia="仿宋_GB2312" w:cs="仿宋_GB2312"/>
          <w:sz w:val="32"/>
          <w:szCs w:val="32"/>
          <w:lang w:eastAsia="zh-CN"/>
        </w:rPr>
        <w:t>反映除上述项目以外的其他用于行政事业单位医疗方面的支出</w:t>
      </w:r>
      <w:r>
        <w:rPr>
          <w:rFonts w:hint="eastAsia" w:ascii="仿宋_GB2312" w:hAnsi="仿宋_GB2312" w:eastAsia="仿宋_GB2312" w:cs="仿宋_GB2312"/>
          <w:color w:val="auto"/>
          <w:kern w:val="0"/>
          <w:sz w:val="32"/>
          <w:szCs w:val="32"/>
          <w:lang w:val="en-US" w:eastAsia="zh-CN" w:bidi="ar-SA"/>
        </w:rPr>
        <w:t>。</w:t>
      </w:r>
    </w:p>
    <w:p>
      <w:pPr>
        <w:pStyle w:val="8"/>
        <w:ind w:firstLine="640" w:firstLineChars="200"/>
        <w:rPr>
          <w:rFonts w:eastAsia="仿宋_GB2312" w:cs="仿宋_GB2312"/>
          <w:sz w:val="32"/>
          <w:szCs w:val="32"/>
        </w:rPr>
      </w:pPr>
      <w:r>
        <w:rPr>
          <w:rFonts w:hint="eastAsia" w:ascii="仿宋_GB2312" w:hAnsi="仿宋_GB2312" w:eastAsia="仿宋_GB2312" w:cs="仿宋_GB2312"/>
          <w:color w:val="auto"/>
          <w:kern w:val="0"/>
          <w:sz w:val="32"/>
          <w:szCs w:val="32"/>
          <w:lang w:val="en-US" w:eastAsia="zh-CN" w:bidi="ar-SA"/>
        </w:rPr>
        <w:t>2</w:t>
      </w:r>
      <w:r>
        <w:rPr>
          <w:rFonts w:hint="eastAsia" w:hAnsi="仿宋_GB2312" w:cs="仿宋_GB2312"/>
          <w:color w:val="auto"/>
          <w:kern w:val="0"/>
          <w:sz w:val="32"/>
          <w:szCs w:val="32"/>
          <w:lang w:val="en-US" w:eastAsia="zh-CN" w:bidi="ar-SA"/>
        </w:rPr>
        <w:t>3</w:t>
      </w:r>
      <w:r>
        <w:rPr>
          <w:rFonts w:hint="eastAsia" w:ascii="仿宋_GB2312" w:hAnsi="仿宋_GB2312" w:eastAsia="仿宋_GB2312" w:cs="仿宋_GB2312"/>
          <w:color w:val="auto"/>
          <w:kern w:val="0"/>
          <w:sz w:val="32"/>
          <w:szCs w:val="32"/>
          <w:lang w:val="en-US" w:eastAsia="zh-CN" w:bidi="ar-SA"/>
        </w:rPr>
        <w:t xml:space="preserve">.住房保障支出（类）住房改革支出（款）住房公积金（项）: </w:t>
      </w:r>
      <w:r>
        <w:rPr>
          <w:rFonts w:hint="eastAsia" w:ascii="仿宋_GB2312" w:hAnsi="仿宋_GB2312" w:eastAsia="仿宋_GB2312" w:cs="仿宋_GB2312"/>
          <w:sz w:val="32"/>
          <w:szCs w:val="32"/>
          <w:lang w:eastAsia="zh-CN"/>
        </w:rPr>
        <w:t>反映行政事业单位按人力资源和社会保障部、财政部规定的基本工资和津贴补贴以及规定比例为职工缴纳的住房公积金</w:t>
      </w:r>
      <w:r>
        <w:rPr>
          <w:rFonts w:hint="eastAsia" w:ascii="仿宋_GB2312" w:hAnsi="仿宋_GB2312" w:eastAsia="仿宋_GB2312" w:cs="仿宋_GB2312"/>
          <w:color w:val="auto"/>
          <w:kern w:val="0"/>
          <w:sz w:val="32"/>
          <w:szCs w:val="32"/>
          <w:lang w:val="en-US" w:eastAsia="zh-CN" w:bidi="ar-SA"/>
        </w:rPr>
        <w:t>。</w:t>
      </w:r>
    </w:p>
    <w:p>
      <w:pPr>
        <w:spacing w:line="600" w:lineRule="exact"/>
        <w:ind w:firstLine="640"/>
        <w:rPr>
          <w:rFonts w:eastAsia="仿宋_GB2312" w:cs="仿宋_GB2312"/>
          <w:sz w:val="32"/>
          <w:szCs w:val="32"/>
        </w:rPr>
      </w:pPr>
      <w:r>
        <w:rPr>
          <w:rFonts w:hint="eastAsia" w:eastAsia="仿宋_GB2312" w:cs="仿宋_GB2312"/>
          <w:sz w:val="32"/>
          <w:szCs w:val="32"/>
        </w:rPr>
        <w:t>2</w:t>
      </w:r>
      <w:r>
        <w:rPr>
          <w:rFonts w:hint="eastAsia" w:eastAsia="仿宋_GB2312" w:cs="仿宋_GB2312"/>
          <w:sz w:val="32"/>
          <w:szCs w:val="32"/>
          <w:lang w:val="en-US" w:eastAsia="zh-CN"/>
        </w:rPr>
        <w:t>4</w:t>
      </w:r>
      <w:r>
        <w:rPr>
          <w:rFonts w:hint="eastAsia" w:eastAsia="仿宋_GB2312" w:cs="仿宋_GB2312"/>
          <w:sz w:val="32"/>
          <w:szCs w:val="32"/>
        </w:rPr>
        <w:t>.基本支出：指为保障机构正常运转、完成日常工作任务而发生的人员支出和公用支出。</w:t>
      </w:r>
    </w:p>
    <w:p>
      <w:pPr>
        <w:spacing w:line="600" w:lineRule="exact"/>
        <w:ind w:firstLine="640"/>
        <w:rPr>
          <w:rFonts w:eastAsia="仿宋_GB2312" w:cs="仿宋_GB2312"/>
          <w:sz w:val="32"/>
          <w:szCs w:val="32"/>
        </w:rPr>
      </w:pPr>
      <w:r>
        <w:rPr>
          <w:rFonts w:hint="eastAsia" w:eastAsia="仿宋_GB2312" w:cs="仿宋_GB2312"/>
          <w:sz w:val="32"/>
          <w:szCs w:val="32"/>
        </w:rPr>
        <w:t>2</w:t>
      </w:r>
      <w:r>
        <w:rPr>
          <w:rFonts w:hint="eastAsia" w:eastAsia="仿宋_GB2312" w:cs="仿宋_GB2312"/>
          <w:sz w:val="32"/>
          <w:szCs w:val="32"/>
          <w:lang w:val="en-US" w:eastAsia="zh-CN"/>
        </w:rPr>
        <w:t>5</w:t>
      </w:r>
      <w:r>
        <w:rPr>
          <w:rFonts w:hint="eastAsia" w:eastAsia="仿宋_GB2312" w:cs="仿宋_GB2312"/>
          <w:sz w:val="32"/>
          <w:szCs w:val="32"/>
        </w:rPr>
        <w:t xml:space="preserve">.项目支出：指在基本支出之外为完成特定行政任务和事业发展目标所发生的支出。 </w:t>
      </w:r>
    </w:p>
    <w:p>
      <w:pPr>
        <w:spacing w:line="600" w:lineRule="exact"/>
        <w:ind w:firstLine="640"/>
        <w:rPr>
          <w:rFonts w:eastAsia="仿宋_GB2312" w:cs="仿宋_GB2312"/>
          <w:sz w:val="32"/>
          <w:szCs w:val="32"/>
        </w:rPr>
      </w:pPr>
      <w:r>
        <w:rPr>
          <w:rFonts w:hint="eastAsia" w:eastAsia="仿宋_GB2312" w:cs="仿宋_GB2312"/>
          <w:sz w:val="32"/>
          <w:szCs w:val="32"/>
        </w:rPr>
        <w:t>2</w:t>
      </w:r>
      <w:r>
        <w:rPr>
          <w:rFonts w:hint="eastAsia" w:eastAsia="仿宋_GB2312" w:cs="仿宋_GB2312"/>
          <w:sz w:val="32"/>
          <w:szCs w:val="32"/>
          <w:lang w:val="en-US" w:eastAsia="zh-CN"/>
        </w:rPr>
        <w:t>6</w:t>
      </w:r>
      <w:r>
        <w:rPr>
          <w:rFonts w:hint="eastAsia" w:eastAsia="仿宋_GB2312" w:cs="仿宋_GB2312"/>
          <w:sz w:val="32"/>
          <w:szCs w:val="32"/>
        </w:rPr>
        <w:t>.经营支出：指事业单位在专业业务活动及其辅助活动之外开展非独立核算经营活动发生的支出。</w:t>
      </w:r>
    </w:p>
    <w:p>
      <w:pPr>
        <w:spacing w:line="600" w:lineRule="exact"/>
        <w:ind w:firstLine="640"/>
        <w:rPr>
          <w:rFonts w:eastAsia="仿宋_GB2312" w:cs="仿宋_GB2312"/>
          <w:sz w:val="32"/>
          <w:szCs w:val="32"/>
        </w:rPr>
      </w:pPr>
      <w:r>
        <w:rPr>
          <w:rFonts w:hint="eastAsia" w:eastAsia="仿宋_GB2312" w:cs="仿宋_GB2312"/>
          <w:sz w:val="32"/>
          <w:szCs w:val="32"/>
          <w:lang w:val="en-US" w:eastAsia="zh-CN"/>
        </w:rPr>
        <w:t>27</w:t>
      </w:r>
      <w:r>
        <w:rPr>
          <w:rFonts w:hint="eastAsia" w:eastAsia="仿宋_GB2312" w:cs="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eastAsia="仿宋_GB2312" w:cs="仿宋_GB2312"/>
          <w:sz w:val="32"/>
          <w:szCs w:val="32"/>
          <w:lang w:eastAsia="zh-CN"/>
        </w:rPr>
        <w:t>、牌照费</w:t>
      </w:r>
      <w:r>
        <w:rPr>
          <w:rFonts w:hint="eastAsia" w:eastAsia="仿宋_GB2312" w:cs="仿宋_GB2312"/>
          <w:sz w:val="32"/>
          <w:szCs w:val="32"/>
        </w:rPr>
        <w:t>）及</w:t>
      </w:r>
      <w:r>
        <w:rPr>
          <w:rFonts w:hint="eastAsia" w:eastAsia="仿宋_GB2312" w:cs="仿宋_GB2312"/>
          <w:sz w:val="32"/>
          <w:szCs w:val="32"/>
          <w:lang w:eastAsia="zh-CN"/>
        </w:rPr>
        <w:t>单位按规定保留的公务用车</w:t>
      </w:r>
      <w:r>
        <w:rPr>
          <w:rFonts w:hint="eastAsia" w:eastAsia="仿宋_GB2312" w:cs="仿宋_GB2312"/>
          <w:sz w:val="32"/>
          <w:szCs w:val="32"/>
        </w:rPr>
        <w:t>燃料费、</w:t>
      </w:r>
      <w:r>
        <w:rPr>
          <w:rFonts w:hint="eastAsia" w:eastAsia="仿宋_GB2312" w:cs="仿宋_GB2312"/>
          <w:sz w:val="32"/>
          <w:szCs w:val="32"/>
          <w:lang w:eastAsia="zh-CN"/>
        </w:rPr>
        <w:t>新能源汽车充电费、</w:t>
      </w:r>
      <w:r>
        <w:rPr>
          <w:rFonts w:hint="eastAsia" w:eastAsia="仿宋_GB2312" w:cs="仿宋_GB2312"/>
          <w:sz w:val="32"/>
          <w:szCs w:val="32"/>
        </w:rPr>
        <w:t>维修费、过路过桥费、保险费</w:t>
      </w:r>
      <w:r>
        <w:rPr>
          <w:rFonts w:hint="eastAsia" w:eastAsia="仿宋_GB2312" w:cs="仿宋_GB2312"/>
          <w:sz w:val="32"/>
          <w:szCs w:val="32"/>
          <w:lang w:eastAsia="zh-CN"/>
        </w:rPr>
        <w:t>、安全奖励费用</w:t>
      </w:r>
      <w:r>
        <w:rPr>
          <w:rFonts w:hint="eastAsia" w:eastAsia="仿宋_GB2312" w:cs="仿宋_GB2312"/>
          <w:sz w:val="32"/>
          <w:szCs w:val="32"/>
        </w:rPr>
        <w:t>等支出；公务接待费反映单位按规定开支的各类公务接待（含外宾接待）支出。</w:t>
      </w:r>
    </w:p>
    <w:p>
      <w:pPr>
        <w:spacing w:line="600" w:lineRule="exact"/>
        <w:ind w:firstLine="640"/>
        <w:rPr>
          <w:rFonts w:eastAsia="仿宋_GB2312" w:cs="仿宋_GB2312"/>
          <w:sz w:val="32"/>
          <w:szCs w:val="32"/>
        </w:rPr>
      </w:pPr>
      <w:r>
        <w:rPr>
          <w:rFonts w:hint="eastAsia" w:eastAsia="仿宋_GB2312" w:cs="仿宋_GB2312"/>
          <w:sz w:val="32"/>
          <w:szCs w:val="32"/>
          <w:lang w:val="en-US" w:eastAsia="zh-CN"/>
        </w:rPr>
        <w:t>28</w:t>
      </w:r>
      <w:r>
        <w:rPr>
          <w:rFonts w:hint="eastAsia" w:eastAsia="仿宋_GB2312" w:cs="仿宋_GB2312"/>
          <w:sz w:val="32"/>
          <w:szCs w:val="32"/>
        </w:rPr>
        <w:t>.机关运行经费：为保障行政单位（含参照公务员法管理的事业单位）运行用于购买货物和服务的各项资金，包括办公及印刷费、水费、电费、邮电费、物业管理费、差旅费、维修（护）费、租赁费、培训费、</w:t>
      </w:r>
      <w:r>
        <w:rPr>
          <w:rFonts w:hint="eastAsia" w:eastAsia="仿宋_GB2312" w:cs="仿宋_GB2312"/>
          <w:sz w:val="32"/>
          <w:szCs w:val="32"/>
          <w:lang w:eastAsia="zh-CN"/>
        </w:rPr>
        <w:t>专用材料费、专用燃料费、被装购置费、</w:t>
      </w:r>
      <w:r>
        <w:rPr>
          <w:rFonts w:hint="eastAsia" w:eastAsia="仿宋_GB2312" w:cs="仿宋_GB2312"/>
          <w:sz w:val="32"/>
          <w:szCs w:val="32"/>
        </w:rPr>
        <w:t>劳务费、委托业务费、工会经费、福利费、公务用车运行维护费、其他交通费、其他商品和服务支出、</w:t>
      </w:r>
      <w:r>
        <w:rPr>
          <w:rFonts w:hint="eastAsia" w:eastAsia="仿宋_GB2312" w:cs="仿宋_GB2312"/>
          <w:sz w:val="32"/>
          <w:szCs w:val="32"/>
          <w:lang w:eastAsia="zh-CN"/>
        </w:rPr>
        <w:t>资本性支出、</w:t>
      </w:r>
      <w:r>
        <w:rPr>
          <w:rFonts w:hint="eastAsia" w:eastAsia="仿宋_GB2312" w:cs="仿宋_GB2312"/>
          <w:sz w:val="32"/>
          <w:szCs w:val="32"/>
        </w:rPr>
        <w:t>办公设备购置</w:t>
      </w:r>
      <w:r>
        <w:rPr>
          <w:rFonts w:hint="eastAsia" w:eastAsia="仿宋_GB2312" w:cs="仿宋_GB2312"/>
          <w:sz w:val="32"/>
          <w:szCs w:val="32"/>
          <w:lang w:eastAsia="zh-CN"/>
        </w:rPr>
        <w:t>、专用设备购置</w:t>
      </w:r>
      <w:r>
        <w:rPr>
          <w:rFonts w:hint="eastAsia" w:eastAsia="仿宋_GB2312" w:cs="仿宋_GB2312"/>
          <w:sz w:val="32"/>
          <w:szCs w:val="32"/>
        </w:rPr>
        <w:t>。</w:t>
      </w:r>
    </w:p>
    <w:p>
      <w:pPr>
        <w:spacing w:line="600" w:lineRule="exact"/>
        <w:jc w:val="center"/>
        <w:rPr>
          <w:rStyle w:val="30"/>
          <w:rFonts w:hint="eastAsia" w:ascii="Times New Roman" w:hAnsi="Times New Roman" w:eastAsia="黑体"/>
          <w:b w:val="0"/>
          <w:color w:val="auto"/>
          <w:highlight w:val="none"/>
          <w:lang w:eastAsia="zh-CN"/>
        </w:rPr>
      </w:pPr>
      <w:r>
        <w:rPr>
          <w:rFonts w:hint="eastAsia" w:ascii="Times New Roman" w:hAnsi="Times New Roman" w:eastAsia="仿宋_GB2312" w:cs="仿宋_GB2312"/>
          <w:color w:val="auto"/>
          <w:kern w:val="2"/>
          <w:sz w:val="32"/>
          <w:szCs w:val="32"/>
          <w:highlight w:val="none"/>
          <w:lang w:val="en-US" w:eastAsia="zh-CN" w:bidi="ar-SA"/>
        </w:rPr>
        <w:br w:type="page"/>
      </w:r>
      <w:bookmarkStart w:id="50"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50"/>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报告范本</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黑体" w:cs="Times New Roman"/>
          <w:color w:val="000000"/>
          <w:kern w:val="0"/>
          <w:sz w:val="24"/>
          <w:szCs w:val="32"/>
          <w:highlight w:val="none"/>
          <w:shd w:val="clear" w:color="auto" w:fill="FFFFFF"/>
          <w:lang w:eastAsia="zh-CN"/>
        </w:rPr>
      </w:pPr>
      <w:r>
        <w:rPr>
          <w:rFonts w:hint="eastAsia" w:eastAsia="仿宋_GB2312" w:cs="Times New Roman"/>
          <w:sz w:val="32"/>
          <w:szCs w:val="32"/>
          <w:highlight w:val="none"/>
          <w:shd w:val="clear" w:color="auto" w:fill="FFFFFF"/>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一、</w:t>
      </w:r>
      <w:r>
        <w:rPr>
          <w:rFonts w:hint="default" w:ascii="Times New Roman" w:hAnsi="Times New Roman" w:eastAsia="黑体" w:cs="Times New Roman"/>
          <w:color w:val="000000"/>
          <w:kern w:val="0"/>
          <w:sz w:val="32"/>
          <w:szCs w:val="32"/>
          <w:highlight w:val="none"/>
          <w:shd w:val="clear" w:color="auto" w:fill="FFFFFF"/>
          <w:lang w:val="zh-CN"/>
        </w:rPr>
        <w:t>部门（单位）基本情况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楷体_GB2312" w:cs="楷体_GB2312"/>
          <w:b/>
          <w:color w:val="auto"/>
          <w:sz w:val="32"/>
          <w:szCs w:val="32"/>
          <w:highlight w:val="none"/>
          <w:lang w:val="zh-CN"/>
        </w:rPr>
        <w:t>（一）</w:t>
      </w:r>
      <w:r>
        <w:rPr>
          <w:rFonts w:hint="default" w:ascii="Times New Roman" w:hAnsi="Times New Roman" w:eastAsia="楷体_GB2312" w:cs="楷体_GB2312"/>
          <w:b/>
          <w:color w:val="auto"/>
          <w:sz w:val="32"/>
          <w:szCs w:val="32"/>
          <w:highlight w:val="none"/>
          <w:lang w:val="zh-CN"/>
        </w:rPr>
        <w:t>机构组成。</w:t>
      </w:r>
      <w:r>
        <w:rPr>
          <w:rFonts w:hint="eastAsia" w:eastAsia="仿宋_GB2312" w:cs="仿宋_GB2312"/>
          <w:color w:val="auto"/>
          <w:kern w:val="2"/>
          <w:sz w:val="32"/>
          <w:szCs w:val="32"/>
          <w:highlight w:val="none"/>
          <w:lang w:val="en-US" w:eastAsia="zh-CN" w:bidi="ar-SA"/>
        </w:rPr>
        <w:t xml:space="preserve"> </w:t>
      </w:r>
    </w:p>
    <w:p>
      <w:pPr>
        <w:pStyle w:val="8"/>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盐边县公安局设17个内设机构，情报指挥中心、办公室、政工科、警务督察大队、警务保障室、法制大队、政治安全保卫大队、治安管理大队、刑事侦查大队、经济犯罪侦查大队、禁毒缉毒大队、网络安全大队、交通警察大队（财务单列）、巡逻警察大队、森林警察大队、盐边县看守所、盐边县拘留所；10个派出机构：桐子林派出所、红格派出所、新九派出所、红果派出所、渔门派出所、永兴派出所、国胜派出所、格萨拉派出所、共和派出所、惠民警务室。</w:t>
      </w:r>
    </w:p>
    <w:p>
      <w:pPr>
        <w:rPr>
          <w:rFonts w:hint="default"/>
        </w:rPr>
      </w:pPr>
    </w:p>
    <w:p>
      <w:pPr>
        <w:keepNext w:val="0"/>
        <w:keepLines w:val="0"/>
        <w:pageBreakBefore w:val="0"/>
        <w:widowControl/>
        <w:numPr>
          <w:ilvl w:val="0"/>
          <w:numId w:val="3"/>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仿宋_GB2312" w:cs="Times New Roman"/>
          <w:sz w:val="32"/>
          <w:szCs w:val="32"/>
          <w:lang w:val="en-US" w:eastAsia="zh-CN"/>
        </w:rPr>
      </w:pPr>
      <w:r>
        <w:rPr>
          <w:rFonts w:hint="default" w:ascii="Times New Roman" w:hAnsi="Times New Roman" w:eastAsia="楷体_GB2312" w:cs="楷体_GB2312"/>
          <w:b/>
          <w:color w:val="auto"/>
          <w:sz w:val="32"/>
          <w:szCs w:val="32"/>
          <w:highlight w:val="none"/>
          <w:lang w:val="zh-CN"/>
        </w:rPr>
        <w:t>机构职能</w:t>
      </w:r>
      <w:r>
        <w:rPr>
          <w:rFonts w:hint="eastAsia" w:ascii="Times New Roman" w:hAnsi="Times New Roman" w:eastAsia="楷体_GB2312" w:cs="楷体_GB2312"/>
          <w:b/>
          <w:color w:val="auto"/>
          <w:sz w:val="32"/>
          <w:szCs w:val="32"/>
          <w:highlight w:val="none"/>
          <w:lang w:val="zh-CN"/>
        </w:rPr>
        <w:t>。</w:t>
      </w:r>
      <w:r>
        <w:rPr>
          <w:rFonts w:hint="eastAsia" w:eastAsia="仿宋_GB2312" w:cs="仿宋_GB2312"/>
          <w:color w:val="auto"/>
          <w:kern w:val="2"/>
          <w:sz w:val="32"/>
          <w:szCs w:val="32"/>
          <w:highlight w:val="none"/>
          <w:lang w:val="en-US" w:eastAsia="zh-CN" w:bidi="ar-SA"/>
        </w:rPr>
        <w:t xml:space="preserve"> </w:t>
      </w:r>
    </w:p>
    <w:p>
      <w:pPr>
        <w:snapToGrid w:val="0"/>
        <w:spacing w:line="52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（1）贯彻执行公安工作的方针、政策、法律、法规和规章，部署、指导、监督、检查全县公安工作；负责本部门依法行政工作，落实行政执法责任。</w:t>
      </w:r>
    </w:p>
    <w:p>
      <w:pPr>
        <w:snapToGrid w:val="0"/>
        <w:spacing w:line="52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（2）负责公安机关应急管理、抢险救援工作和社会公共突发事件的处置工作。 </w:t>
      </w:r>
    </w:p>
    <w:p>
      <w:pPr>
        <w:snapToGrid w:val="0"/>
        <w:spacing w:line="52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（3）收集、掌握影响稳定、危害国内安全和社会治安的情况，分析、研判形势，制定对策。 </w:t>
      </w:r>
    </w:p>
    <w:p>
      <w:pPr>
        <w:snapToGrid w:val="0"/>
        <w:spacing w:line="52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（4）组织实施县公安局系统的侦查工作，侦办刑事犯罪案件、危害国家安全的犯罪案件、经济犯罪案件。 </w:t>
      </w:r>
    </w:p>
    <w:p>
      <w:pPr>
        <w:snapToGrid w:val="0"/>
        <w:spacing w:line="52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（5）负责全县的治安管理工作并承担相应责任。处置县域内治安事故和群体性事件，依法查处破坏社会治安秩序行为，依法开展治安行政管理工作，指导、监督县域内国家机关、企事业单位开展治安保卫工作。 </w:t>
      </w:r>
    </w:p>
    <w:p>
      <w:pPr>
        <w:snapToGrid w:val="0"/>
        <w:spacing w:line="52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（6）负责全县出入境管理工作。依法管理国籍，组织开展出境、入境和持普通护照的外国人在盐居留、旅行、就业的有关管理工作。 </w:t>
      </w:r>
    </w:p>
    <w:p>
      <w:pPr>
        <w:snapToGrid w:val="0"/>
        <w:spacing w:line="52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（7）负责全县消防工作并承担相应责任，组织协调、指导监督全县消防监督、火灾预防和扑救工作。 </w:t>
      </w:r>
    </w:p>
    <w:p>
      <w:pPr>
        <w:snapToGrid w:val="0"/>
        <w:spacing w:line="52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（8）负责全县道路交通安全管理工作并承担相应责任。开展维护全县道路交通安全、道路交通秩序工作，开展机动车（拖拉机除外）、驾驶人管理工作。 </w:t>
      </w:r>
    </w:p>
    <w:p>
      <w:pPr>
        <w:snapToGrid w:val="0"/>
        <w:spacing w:line="52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（9）负责全县公共信息网络安全保护工作，开展县域内危害公共信息网络安全和网络犯罪案件侦办工作。 </w:t>
      </w:r>
    </w:p>
    <w:p>
      <w:pPr>
        <w:snapToGrid w:val="0"/>
        <w:spacing w:line="52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（10）防范、处置邪教及有害气功组织的违法犯罪活动。</w:t>
      </w:r>
    </w:p>
    <w:p>
      <w:pPr>
        <w:snapToGrid w:val="0"/>
        <w:spacing w:line="52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（11）组织实施对恐怖活动的情报收集、防范、侦查和应急处置工作。 </w:t>
      </w:r>
    </w:p>
    <w:p>
      <w:pPr>
        <w:snapToGrid w:val="0"/>
        <w:spacing w:line="52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（12）负责依法承担的执行刑罚和监督、考察工作。 </w:t>
      </w:r>
    </w:p>
    <w:p>
      <w:pPr>
        <w:snapToGrid w:val="0"/>
        <w:spacing w:line="52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（13）负责来盐中央和省、市领导以及重要外宾的安全保卫工作并承担相应责任；组织实施重要会议、重大节庆活动的安全保卫工作并承担相应责任。 </w:t>
      </w:r>
    </w:p>
    <w:p>
      <w:pPr>
        <w:snapToGrid w:val="0"/>
        <w:spacing w:line="52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（14）负责县公安局指挥系统、科技应用、信息技术、刑事技术的规划和建设工作。 </w:t>
      </w:r>
    </w:p>
    <w:p>
      <w:pPr>
        <w:snapToGrid w:val="0"/>
        <w:spacing w:line="52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（15）拟订县公安局装备、备装、经费等警务保障计划和管理制度，组织实施全局警务保障工作。 </w:t>
      </w:r>
    </w:p>
    <w:p>
      <w:pPr>
        <w:snapToGrid w:val="0"/>
        <w:spacing w:line="52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（16）负责全局队伍建设工作，制定规章制度并组织实施；按规定权限管理干部。 </w:t>
      </w:r>
    </w:p>
    <w:p>
      <w:pPr>
        <w:snapToGrid w:val="0"/>
        <w:spacing w:line="52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（17）拟定全局队伍监督管理工作规章制度，负责全局党风廉政、纪检监察、警务督察、审计、信访工作；监督全局警察和内设单位的执法活动；查处全局队伍重大违纪案件；按照规定权限对干部实施监督。 </w:t>
      </w:r>
    </w:p>
    <w:p>
      <w:pPr>
        <w:snapToGrid w:val="0"/>
        <w:spacing w:line="52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（18）领导全县消防部队建设，对盐边县公安局武警消防大队执行公安任务及相关业务建设实施领导和指挥。 </w:t>
      </w:r>
    </w:p>
    <w:p>
      <w:pPr>
        <w:snapToGrid w:val="0"/>
        <w:spacing w:line="52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（19）指导县森林公安局的公安业务。 </w:t>
      </w:r>
    </w:p>
    <w:p>
      <w:pPr>
        <w:snapToGrid w:val="0"/>
        <w:spacing w:line="52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（20）承担县禁毒委、反恐怖工作协调小组的具体工作。 </w:t>
      </w:r>
    </w:p>
    <w:p>
      <w:pPr>
        <w:snapToGrid w:val="0"/>
        <w:spacing w:line="52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（21）承担县政府公布的有关行政审批工作。 </w:t>
      </w:r>
    </w:p>
    <w:p>
      <w:pPr>
        <w:ind w:firstLine="640" w:firstLineChars="200"/>
        <w:rPr>
          <w:rFonts w:hint="default" w:eastAsia="仿宋_GB2312"/>
          <w:lang w:val="en-US" w:eastAsia="zh-CN"/>
        </w:rPr>
      </w:pPr>
      <w:r>
        <w:rPr>
          <w:rFonts w:hint="eastAsia" w:ascii="仿宋_GB2312" w:hAnsi="仿宋_GB2312" w:eastAsia="仿宋_GB2312" w:cs="仿宋_GB2312"/>
          <w:color w:val="auto"/>
          <w:sz w:val="32"/>
          <w:szCs w:val="32"/>
          <w:lang w:val="en-US" w:eastAsia="zh-CN"/>
        </w:rPr>
        <w:t>（22）承办县政府和上级公安机关交办的其他事项。</w:t>
      </w:r>
    </w:p>
    <w:p>
      <w:pPr>
        <w:pStyle w:val="8"/>
        <w:ind w:firstLine="643" w:firstLineChars="200"/>
        <w:rPr>
          <w:rFonts w:hint="eastAsia"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）人员概况</w:t>
      </w:r>
      <w:r>
        <w:rPr>
          <w:rFonts w:hint="eastAsia" w:ascii="Times New Roman" w:hAnsi="Times New Roman" w:eastAsia="楷体_GB2312" w:cs="Times New Roman"/>
          <w:b/>
          <w:bCs/>
          <w:color w:val="000000"/>
          <w:kern w:val="0"/>
          <w:sz w:val="32"/>
          <w:szCs w:val="32"/>
          <w:highlight w:val="none"/>
          <w:shd w:val="clear" w:color="auto" w:fill="FFFFFF"/>
          <w:lang w:val="zh-CN"/>
        </w:rPr>
        <w:t>。</w:t>
      </w:r>
    </w:p>
    <w:p>
      <w:pPr>
        <w:pStyle w:val="8"/>
        <w:ind w:firstLine="640" w:firstLineChars="20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公安局政法编制212人（含交警）,工勤编制4人。我单位年末实有人数494人，其中在职人员公务员198人，工勤人员6人，事业人员3人，警务辅助人员287人。</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二、部门资金收支情况</w:t>
      </w:r>
    </w:p>
    <w:p>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eastAsia"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收入情况</w:t>
      </w:r>
      <w:r>
        <w:rPr>
          <w:rFonts w:hint="default" w:ascii="Times New Roman" w:hAnsi="Times New Roman" w:eastAsia="楷体_GB2312" w:cs="Times New Roman"/>
          <w:b/>
          <w:bCs/>
          <w:color w:val="000000"/>
          <w:kern w:val="0"/>
          <w:sz w:val="32"/>
          <w:szCs w:val="32"/>
          <w:highlight w:val="none"/>
          <w:shd w:val="clear" w:color="auto" w:fill="FFFFFF"/>
          <w:lang w:val="zh-CN"/>
        </w:rPr>
        <w:t>。</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zh-CN" w:eastAsia="zh-CN" w:bidi="ar-SA"/>
        </w:rPr>
        <w:t>盐边县公安局</w:t>
      </w:r>
      <w:r>
        <w:rPr>
          <w:rFonts w:hint="eastAsia" w:ascii="Times New Roman" w:hAnsi="Times New Roman" w:eastAsia="仿宋_GB2312" w:cs="仿宋_GB2312"/>
          <w:color w:val="auto"/>
          <w:kern w:val="2"/>
          <w:sz w:val="32"/>
          <w:szCs w:val="32"/>
          <w:highlight w:val="none"/>
          <w:lang w:val="en-US" w:eastAsia="zh-CN" w:bidi="ar-SA"/>
        </w:rPr>
        <w:t>2024年总收入13420.32万元，其中一般公共预算财政收入占100%。</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二</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支出情况</w:t>
      </w:r>
      <w:r>
        <w:rPr>
          <w:rFonts w:hint="default" w:ascii="Times New Roman" w:hAnsi="Times New Roman" w:eastAsia="楷体_GB2312" w:cs="Times New Roman"/>
          <w:b/>
          <w:bCs/>
          <w:color w:val="000000"/>
          <w:kern w:val="0"/>
          <w:sz w:val="32"/>
          <w:szCs w:val="32"/>
          <w:highlight w:val="none"/>
          <w:shd w:val="clear" w:color="auto" w:fill="FFFFFF"/>
          <w:lang w:val="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cs="Times New Roman"/>
          <w:szCs w:val="32"/>
          <w:lang w:val="zh-CN" w:eastAsia="zh-CN"/>
        </w:rPr>
      </w:pPr>
      <w:r>
        <w:rPr>
          <w:rFonts w:hint="eastAsia" w:eastAsia="仿宋_GB2312" w:cs="仿宋_GB2312"/>
          <w:color w:val="auto"/>
          <w:kern w:val="2"/>
          <w:sz w:val="32"/>
          <w:szCs w:val="32"/>
          <w:highlight w:val="none"/>
          <w:lang w:val="en-US" w:eastAsia="zh-CN" w:bidi="ar-SA"/>
        </w:rPr>
        <w:t>盐边县公安局</w:t>
      </w:r>
      <w:r>
        <w:rPr>
          <w:rFonts w:hint="eastAsia" w:ascii="Times New Roman" w:hAnsi="Times New Roman" w:eastAsia="仿宋_GB2312" w:cs="Times New Roman"/>
          <w:sz w:val="32"/>
          <w:szCs w:val="32"/>
          <w:lang w:val="en-US" w:eastAsia="zh-CN"/>
        </w:rPr>
        <w:t>2024年</w:t>
      </w:r>
      <w:r>
        <w:rPr>
          <w:rFonts w:hint="eastAsia" w:eastAsia="仿宋_GB2312" w:cs="Times New Roman"/>
          <w:sz w:val="32"/>
          <w:szCs w:val="32"/>
          <w:lang w:val="en-US" w:eastAsia="zh-CN"/>
        </w:rPr>
        <w:t>总支出13390.51万元，占总支出的100%</w:t>
      </w:r>
      <w:r>
        <w:rPr>
          <w:rFonts w:hint="eastAsia" w:ascii="Times New Roman" w:hAnsi="Times New Roman" w:eastAsia="仿宋_GB2312" w:cs="Times New Roman"/>
          <w:sz w:val="32"/>
          <w:szCs w:val="32"/>
          <w:lang w:val="en-US" w:eastAsia="zh-CN"/>
        </w:rPr>
        <w:t>。</w:t>
      </w:r>
    </w:p>
    <w:p>
      <w:pPr>
        <w:keepNext w:val="0"/>
        <w:keepLines w:val="0"/>
        <w:pageBreakBefore w:val="0"/>
        <w:widowControl/>
        <w:numPr>
          <w:ilvl w:val="0"/>
          <w:numId w:val="3"/>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outlineLvl w:val="9"/>
        <w:rPr>
          <w:rFonts w:hint="eastAsia"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结余分配和结转结余情况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b w:val="0"/>
          <w:bCs w:val="0"/>
          <w:color w:val="000000"/>
          <w:kern w:val="0"/>
          <w:szCs w:val="32"/>
          <w:highlight w:val="none"/>
          <w:shd w:val="clear" w:color="auto" w:fill="FFFFFF"/>
          <w:lang w:val="zh-CN" w:eastAsia="zh-CN"/>
        </w:rPr>
      </w:pPr>
      <w:r>
        <w:rPr>
          <w:rFonts w:hint="eastAsia" w:eastAsia="仿宋_GB2312" w:cs="仿宋_GB2312"/>
          <w:color w:val="auto"/>
          <w:kern w:val="2"/>
          <w:sz w:val="32"/>
          <w:szCs w:val="32"/>
          <w:highlight w:val="none"/>
          <w:lang w:val="en-US" w:eastAsia="zh-CN" w:bidi="ar-SA"/>
        </w:rPr>
        <w:t>盐边县公安局</w:t>
      </w:r>
      <w:r>
        <w:rPr>
          <w:rFonts w:hint="eastAsia" w:ascii="Times New Roman" w:hAnsi="Times New Roman" w:eastAsia="仿宋_GB2312" w:cs="Times New Roman"/>
          <w:sz w:val="32"/>
          <w:szCs w:val="32"/>
          <w:lang w:val="en-US" w:eastAsia="zh-CN"/>
        </w:rPr>
        <w:t>2024年决算报表</w:t>
      </w:r>
      <w:r>
        <w:rPr>
          <w:rFonts w:hint="eastAsia" w:eastAsia="仿宋_GB2312" w:cs="Times New Roman"/>
          <w:sz w:val="32"/>
          <w:szCs w:val="32"/>
          <w:lang w:val="en-US" w:eastAsia="zh-CN"/>
        </w:rPr>
        <w:t>年末结余29.81万元</w:t>
      </w:r>
      <w:r>
        <w:rPr>
          <w:rFonts w:hint="default" w:ascii="Times New Roman" w:hAnsi="Times New Roman" w:eastAsia="仿宋_GB2312" w:cs="Times New Roman"/>
          <w:sz w:val="32"/>
          <w:szCs w:val="32"/>
          <w:lang w:val="en-US"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三、部门预算绩效分析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部门预算</w:t>
      </w:r>
      <w:r>
        <w:rPr>
          <w:rFonts w:hint="default" w:ascii="Times New Roman" w:hAnsi="Times New Roman" w:eastAsia="楷体_GB2312" w:cs="Times New Roman"/>
          <w:b/>
          <w:bCs/>
          <w:color w:val="000000"/>
          <w:kern w:val="0"/>
          <w:sz w:val="32"/>
          <w:szCs w:val="32"/>
          <w:highlight w:val="none"/>
          <w:shd w:val="clear" w:color="auto" w:fill="FFFFFF"/>
          <w:lang w:val="zh-CN"/>
        </w:rPr>
        <w:t>总体绩效分析。</w:t>
      </w:r>
      <w:r>
        <w:rPr>
          <w:rFonts w:hint="default" w:ascii="Times New Roman" w:hAnsi="Times New Roman" w:eastAsia="仿宋_GB2312" w:cs="仿宋_GB2312"/>
          <w:color w:val="auto"/>
          <w:kern w:val="2"/>
          <w:sz w:val="32"/>
          <w:szCs w:val="32"/>
          <w:highlight w:val="none"/>
          <w:lang w:val="zh-CN" w:eastAsia="zh-CN" w:bidi="ar-SA"/>
        </w:rPr>
        <w:t>根据部门预算绩效评价指标体系</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总体绩效</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涉及</w:t>
      </w:r>
      <w:r>
        <w:rPr>
          <w:rFonts w:hint="eastAsia" w:ascii="Times New Roman" w:hAnsi="Times New Roman" w:eastAsia="仿宋_GB2312" w:cs="仿宋_GB2312"/>
          <w:color w:val="auto"/>
          <w:kern w:val="2"/>
          <w:sz w:val="32"/>
          <w:szCs w:val="32"/>
          <w:highlight w:val="none"/>
          <w:lang w:val="zh-CN" w:eastAsia="zh-CN" w:bidi="ar-SA"/>
        </w:rPr>
        <w:t>二、三级</w:t>
      </w:r>
      <w:r>
        <w:rPr>
          <w:rFonts w:hint="default" w:ascii="Times New Roman" w:hAnsi="Times New Roman" w:eastAsia="仿宋_GB2312" w:cs="仿宋_GB2312"/>
          <w:color w:val="auto"/>
          <w:kern w:val="2"/>
          <w:sz w:val="32"/>
          <w:szCs w:val="32"/>
          <w:highlight w:val="none"/>
          <w:lang w:val="zh-CN" w:eastAsia="zh-CN" w:bidi="ar-SA"/>
        </w:rPr>
        <w:t>指标进行</w:t>
      </w:r>
      <w:r>
        <w:rPr>
          <w:rFonts w:hint="eastAsia" w:ascii="Times New Roman" w:hAnsi="Times New Roman" w:eastAsia="仿宋_GB2312" w:cs="仿宋_GB2312"/>
          <w:color w:val="auto"/>
          <w:kern w:val="2"/>
          <w:sz w:val="32"/>
          <w:szCs w:val="32"/>
          <w:highlight w:val="none"/>
          <w:lang w:val="zh-CN" w:eastAsia="zh-CN" w:bidi="ar-SA"/>
        </w:rPr>
        <w:t>逐项</w:t>
      </w:r>
      <w:r>
        <w:rPr>
          <w:rFonts w:hint="default" w:ascii="Times New Roman" w:hAnsi="Times New Roman" w:eastAsia="仿宋_GB2312" w:cs="仿宋_GB2312"/>
          <w:color w:val="auto"/>
          <w:kern w:val="2"/>
          <w:sz w:val="32"/>
          <w:szCs w:val="32"/>
          <w:highlight w:val="none"/>
          <w:lang w:val="zh-CN" w:eastAsia="zh-CN" w:bidi="ar-SA"/>
        </w:rPr>
        <w:t>绩效分析</w:t>
      </w:r>
      <w:r>
        <w:rPr>
          <w:rFonts w:hint="eastAsia" w:ascii="Times New Roman" w:hAnsi="Times New Roman" w:eastAsia="仿宋_GB2312" w:cs="仿宋_GB2312"/>
          <w:color w:val="auto"/>
          <w:kern w:val="2"/>
          <w:sz w:val="32"/>
          <w:szCs w:val="32"/>
          <w:highlight w:val="none"/>
          <w:lang w:val="zh-CN" w:eastAsia="zh-CN" w:bidi="ar-SA"/>
        </w:rPr>
        <w:t>并评分</w:t>
      </w:r>
      <w:r>
        <w:rPr>
          <w:rFonts w:hint="default" w:ascii="Times New Roman" w:hAnsi="Times New Roman" w:eastAsia="仿宋_GB2312" w:cs="仿宋_GB2312"/>
          <w:color w:val="auto"/>
          <w:kern w:val="2"/>
          <w:sz w:val="32"/>
          <w:szCs w:val="32"/>
          <w:highlight w:val="none"/>
          <w:lang w:val="zh-CN" w:eastAsia="zh-CN" w:bidi="ar-SA"/>
        </w:rPr>
        <w:t>，依次包括履职效能、预算管理、财务管理、资产管理、采购管理等情况。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highlight w:val="none"/>
          <w:lang w:val="zh-CN" w:eastAsia="zh-CN" w:bidi="ar-SA"/>
        </w:rPr>
        <w:t>1.履职效能。</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盐边县公安局2024年度全年资金拨付和使用均按计划进度完成，全年经费的拨付和使用均及时、合理，按照项目资金管理办法实行专款专用，未发生因经费影响工作的情况。坚决执行国家有关法律、法规和财务规章制度，厉行节约，制止奢侈浪费，量入为出，保证重点，兼顾一般，严格专款专用，防止了截留、挤占、挪用等问题发生，确保资金安全、规范、有效使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highlight w:val="none"/>
          <w:lang w:val="zh-CN" w:eastAsia="zh-CN" w:bidi="ar-SA"/>
        </w:rPr>
        <w:t>2.预算管理。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盐边县公安局继续按照统筹兼顾、厉行节约、讲求绩效、收支平衡的原则，严格落实《预算法》及省、市、县绩效管理工作的有关规定编制了部门预算。进一步规范财政资金的管理，强化财政支出绩效理念，提升部门责任意识，提高资金使用效率，促进公安工作又快又好的发展。全年支出基本做到了按预算执行，既保障了干部职工工资及对个人和家庭补助支出、日常公用经费等刚性支出，又围绕中心，服务大局，完成各项绩效目标。</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highlight w:val="none"/>
          <w:lang w:val="zh-CN" w:eastAsia="zh-CN" w:bidi="ar-SA"/>
        </w:rPr>
        <w:t>3.财务管理。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zh-CN" w:eastAsia="zh-CN" w:bidi="ar-SA"/>
        </w:rPr>
        <w:t>盐边县公安局按照规定设置会计、出纳岗位，年初对本年度资金使用管理开展相关预算工作，对财物审计严格按照财物管理规定执行。</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highlight w:val="none"/>
          <w:lang w:val="zh-CN" w:eastAsia="zh-CN" w:bidi="ar-SA"/>
        </w:rPr>
        <w:t>资产管理。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zh-CN" w:eastAsia="zh-CN" w:bidi="ar-SA"/>
        </w:rPr>
        <w:t>盐边县公安局从政府固定资产的采购、运行、报废等周期性工作，按照固定资产管理办法进行入账折旧，进一步增强了资产管理的效能，提升了资产使用的效率。</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zh-CN" w:eastAsia="zh-CN" w:bidi="ar-SA"/>
        </w:rPr>
        <w:t>5.采购管理。</w:t>
      </w:r>
      <w:r>
        <w:rPr>
          <w:rFonts w:hint="eastAsia" w:ascii="Times New Roman" w:hAnsi="Times New Roman" w:eastAsia="仿宋_GB2312" w:cs="仿宋_GB2312"/>
          <w:color w:val="auto"/>
          <w:kern w:val="2"/>
          <w:sz w:val="32"/>
          <w:szCs w:val="32"/>
          <w:highlight w:val="none"/>
          <w:lang w:val="en-US" w:eastAsia="zh-CN" w:bidi="ar-SA"/>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zh-CN" w:eastAsia="zh-CN" w:bidi="ar-SA"/>
        </w:rPr>
        <w:t>通过面向中小企业预留采购份额、授予合同比例、核查是否落实价格扣除、预付款等优惠政策，对比预算计划与实际执行数据，分析执行率高低成因。持续优化采购流程，保障中小企业公平参与，促进采购流程各个环节的公平。</w:t>
      </w:r>
    </w:p>
    <w:p>
      <w:pPr>
        <w:keepNext w:val="0"/>
        <w:keepLines w:val="0"/>
        <w:pageBreakBefore w:val="0"/>
        <w:widowControl w:val="0"/>
        <w:numPr>
          <w:ilvl w:val="0"/>
          <w:numId w:val="4"/>
        </w:numPr>
        <w:kinsoku/>
        <w:wordWrap/>
        <w:overflowPunct/>
        <w:topLinePunct w:val="0"/>
        <w:autoSpaceDE/>
        <w:autoSpaceDN/>
        <w:bidi w:val="0"/>
        <w:snapToGrid w:val="0"/>
        <w:spacing w:line="600" w:lineRule="exact"/>
        <w:ind w:firstLine="643" w:firstLineChars="200"/>
        <w:textAlignment w:val="auto"/>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部门预算项目绩效分析。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highlight w:val="none"/>
          <w:lang w:val="zh-CN" w:eastAsia="zh-CN" w:bidi="ar-SA"/>
        </w:rPr>
        <w:t>常年项目绩效分析。该类项目总数0个，涉及预算总金额万元，1—12月预算执行总体进度为0%，其中：预算结余率大于10%的项目共计0个。</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highlight w:val="none"/>
          <w:lang w:val="zh-CN" w:eastAsia="zh-CN" w:bidi="ar-SA"/>
        </w:rPr>
        <w:t>阶段（含一次性）项目绩效分析。该类项目总数</w:t>
      </w:r>
      <w:r>
        <w:rPr>
          <w:rFonts w:hint="eastAsia" w:ascii="Times New Roman" w:hAnsi="Times New Roman"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en-US" w:eastAsia="zh-CN" w:bidi="ar-SA"/>
        </w:rPr>
        <w:t>6</w:t>
      </w:r>
      <w:r>
        <w:rPr>
          <w:rFonts w:hint="default" w:ascii="Times New Roman" w:hAnsi="Times New Roman" w:eastAsia="仿宋_GB2312" w:cs="仿宋_GB2312"/>
          <w:color w:val="auto"/>
          <w:kern w:val="2"/>
          <w:sz w:val="32"/>
          <w:szCs w:val="32"/>
          <w:highlight w:val="none"/>
          <w:lang w:val="zh-CN" w:eastAsia="zh-CN" w:bidi="ar-SA"/>
        </w:rPr>
        <w:t>个，涉及预算总金额</w:t>
      </w:r>
      <w:r>
        <w:rPr>
          <w:rFonts w:hint="eastAsia" w:ascii="Times New Roman" w:hAnsi="Times New Roman" w:eastAsia="仿宋_GB2312" w:cs="仿宋_GB2312"/>
          <w:color w:val="auto"/>
          <w:kern w:val="2"/>
          <w:sz w:val="32"/>
          <w:szCs w:val="32"/>
          <w:highlight w:val="none"/>
          <w:lang w:val="en-US" w:eastAsia="zh-CN" w:bidi="ar-SA"/>
        </w:rPr>
        <w:t>41</w:t>
      </w:r>
      <w:r>
        <w:rPr>
          <w:rFonts w:hint="eastAsia" w:eastAsia="仿宋_GB2312" w:cs="仿宋_GB2312"/>
          <w:color w:val="auto"/>
          <w:kern w:val="2"/>
          <w:sz w:val="32"/>
          <w:szCs w:val="32"/>
          <w:highlight w:val="none"/>
          <w:lang w:val="en-US" w:eastAsia="zh-CN" w:bidi="ar-SA"/>
        </w:rPr>
        <w:t>59.48</w:t>
      </w:r>
      <w:r>
        <w:rPr>
          <w:rFonts w:hint="default" w:ascii="Times New Roman" w:hAnsi="Times New Roman" w:eastAsia="仿宋_GB2312" w:cs="仿宋_GB2312"/>
          <w:color w:val="auto"/>
          <w:kern w:val="2"/>
          <w:sz w:val="32"/>
          <w:szCs w:val="32"/>
          <w:highlight w:val="none"/>
          <w:lang w:val="zh-CN" w:eastAsia="zh-CN" w:bidi="ar-SA"/>
        </w:rPr>
        <w:t>万元，1—12月预算执行总体进度为</w:t>
      </w:r>
      <w:r>
        <w:rPr>
          <w:rFonts w:hint="eastAsia" w:ascii="Times New Roman" w:hAnsi="Times New Roman" w:eastAsia="仿宋_GB2312" w:cs="仿宋_GB2312"/>
          <w:color w:val="auto"/>
          <w:kern w:val="2"/>
          <w:sz w:val="32"/>
          <w:szCs w:val="32"/>
          <w:highlight w:val="none"/>
          <w:lang w:val="en-US" w:eastAsia="zh-CN" w:bidi="ar-SA"/>
        </w:rPr>
        <w:t>100</w:t>
      </w:r>
      <w:r>
        <w:rPr>
          <w:rFonts w:hint="default" w:ascii="Times New Roman" w:hAnsi="Times New Roman" w:eastAsia="仿宋_GB2312" w:cs="仿宋_GB2312"/>
          <w:color w:val="auto"/>
          <w:kern w:val="2"/>
          <w:sz w:val="32"/>
          <w:szCs w:val="32"/>
          <w:highlight w:val="none"/>
          <w:lang w:val="zh-CN" w:eastAsia="zh-CN" w:bidi="ar-SA"/>
        </w:rPr>
        <w:t>%，其中：预算结余率大于10%的项目共计</w:t>
      </w:r>
      <w:r>
        <w:rPr>
          <w:rFonts w:hint="eastAsia" w:ascii="Times New Roman" w:hAnsi="Times New Roman" w:eastAsia="仿宋_GB2312" w:cs="仿宋_GB2312"/>
          <w:color w:val="auto"/>
          <w:kern w:val="2"/>
          <w:sz w:val="32"/>
          <w:szCs w:val="32"/>
          <w:highlight w:val="none"/>
          <w:lang w:val="en-US" w:eastAsia="zh-CN" w:bidi="ar-SA"/>
        </w:rPr>
        <w:t>0</w:t>
      </w:r>
      <w:r>
        <w:rPr>
          <w:rFonts w:hint="default" w:ascii="Times New Roman" w:hAnsi="Times New Roman" w:eastAsia="仿宋_GB2312" w:cs="仿宋_GB2312"/>
          <w:color w:val="auto"/>
          <w:kern w:val="2"/>
          <w:sz w:val="32"/>
          <w:szCs w:val="32"/>
          <w:highlight w:val="none"/>
          <w:lang w:val="zh-CN" w:eastAsia="zh-CN" w:bidi="ar-SA"/>
        </w:rPr>
        <w:t>个。</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highlight w:val="none"/>
          <w:lang w:val="zh-CN" w:eastAsia="zh-CN" w:bidi="ar-SA"/>
        </w:rPr>
        <w:t xml:space="preserve">项目决策。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highlight w:val="none"/>
          <w:lang w:val="zh-CN" w:eastAsia="zh-CN" w:bidi="ar-SA"/>
        </w:rPr>
        <w:t>盐边县公安局通过项目事前评估报告，评估项目的科学性和合规性；目标设置上，核查目标是否清晰、量化、与单位智能匹配，能够有效衡量项目成效；项目入库方面，分析入库后的执行情况，判断设置科目是否合理，资金需求是否精准。通过剖析各环节问题，优化管理机制，提升财政资金使用效率。</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highlight w:val="none"/>
          <w:lang w:val="zh-CN" w:eastAsia="zh-CN" w:bidi="ar-SA"/>
        </w:rPr>
        <w:t>2.项目执行。</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highlight w:val="none"/>
          <w:lang w:val="zh-CN" w:eastAsia="zh-CN" w:bidi="ar-SA"/>
        </w:rPr>
        <w:t>盐边县公安局项目执行中，资金执行同向性需核查资金流向与政策导向、项目规划是否一致，有无偏移；项目调整环节，评估调整是否充分、审批流程是否规范，分析调整对项目进度及预算执行的影响；执行结果则对比计划目标与实际支出是否相符，从数量、质量、时效、效益等方面衡量项目成效。通过三者联动分析，挖掘资金执行偏差，项目是否合理等问题根源，优化配置资源配置与过程管控，提升财政资金使用效能。</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highlight w:val="none"/>
          <w:lang w:val="zh-CN" w:eastAsia="zh-CN" w:bidi="ar-SA"/>
        </w:rPr>
        <w:t>3.目标实现。</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仿宋_GB2312"/>
          <w:color w:val="auto"/>
          <w:kern w:val="2"/>
          <w:sz w:val="32"/>
          <w:szCs w:val="32"/>
          <w:highlight w:val="none"/>
          <w:lang w:val="zh-CN" w:eastAsia="zh-CN" w:bidi="ar-SA"/>
        </w:rPr>
        <w:t>盐边县公安局目标实现分析聚焦三方面。目标完成度上，对照既定目标，量化评估任务完成数量、质量与时效；目标偏离方面，剖析计划与实际执行差异，查找执行偏差的原因；实现效果唯独，从经济效益、社会效益、可持续影响等视角。评估对社会、公众及单位发展的实际贡献。通过分析偏差根源，总结经验教训，优化目标设定逻辑与执行策略，确保行政工作高效服务社会发展与公共需求。</w:t>
      </w:r>
    </w:p>
    <w:p>
      <w:pPr>
        <w:keepNext w:val="0"/>
        <w:keepLines w:val="0"/>
        <w:pageBreakBefore w:val="0"/>
        <w:widowControl/>
        <w:numPr>
          <w:ilvl w:val="0"/>
          <w:numId w:val="3"/>
        </w:numPr>
        <w:kinsoku/>
        <w:wordWrap/>
        <w:overflowPunct/>
        <w:topLinePunct w:val="0"/>
        <w:autoSpaceDE/>
        <w:autoSpaceDN/>
        <w:bidi w:val="0"/>
        <w:adjustRightInd w:val="0"/>
        <w:snapToGrid w:val="0"/>
        <w:spacing w:line="360" w:lineRule="auto"/>
        <w:ind w:left="0" w:leftChars="0" w:firstLine="643" w:firstLineChars="200"/>
        <w:contextualSpacing/>
        <w:jc w:val="left"/>
        <w:rPr>
          <w:rFonts w:hint="eastAsia"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绩效结果应用情况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val="0"/>
          <w:color w:val="000000"/>
          <w:sz w:val="32"/>
          <w:szCs w:val="32"/>
          <w:lang w:val="en-US" w:eastAsia="zh-CN"/>
        </w:rPr>
        <w:t>根据《盐边县公安局202</w:t>
      </w:r>
      <w:r>
        <w:rPr>
          <w:rFonts w:hint="eastAsia" w:ascii="仿宋_GB2312" w:hAnsi="仿宋_GB2312" w:cs="仿宋_GB2312"/>
          <w:b w:val="0"/>
          <w:bCs w:val="0"/>
          <w:color w:val="000000"/>
          <w:sz w:val="32"/>
          <w:szCs w:val="32"/>
          <w:lang w:val="en-US" w:eastAsia="zh-CN"/>
        </w:rPr>
        <w:t>4</w:t>
      </w:r>
      <w:r>
        <w:rPr>
          <w:rFonts w:hint="eastAsia" w:ascii="仿宋_GB2312" w:hAnsi="仿宋_GB2312" w:eastAsia="仿宋_GB2312" w:cs="仿宋_GB2312"/>
          <w:b w:val="0"/>
          <w:bCs w:val="0"/>
          <w:color w:val="000000"/>
          <w:sz w:val="32"/>
          <w:szCs w:val="32"/>
          <w:lang w:val="en-US" w:eastAsia="zh-CN"/>
        </w:rPr>
        <w:t>年部门预算整体绩效自评表》中的填列的指标，盐边县公安局共设置绩效目标  个，</w:t>
      </w:r>
      <w:r>
        <w:rPr>
          <w:rFonts w:hint="eastAsia" w:ascii="仿宋_GB2312" w:hAnsi="仿宋_GB2312" w:cs="仿宋_GB2312"/>
          <w:b w:val="0"/>
          <w:bCs w:val="0"/>
          <w:color w:val="000000"/>
          <w:sz w:val="32"/>
          <w:szCs w:val="32"/>
          <w:lang w:val="en-US" w:eastAsia="zh-CN"/>
        </w:rPr>
        <w:t>其中完成指标、效益指标、满意度指标包含的明细指标</w:t>
      </w:r>
      <w:r>
        <w:rPr>
          <w:rFonts w:hint="eastAsia" w:ascii="仿宋_GB2312" w:hAnsi="仿宋_GB2312" w:eastAsia="仿宋_GB2312" w:cs="仿宋_GB2312"/>
          <w:b w:val="0"/>
          <w:bCs w:val="0"/>
          <w:color w:val="000000"/>
          <w:sz w:val="32"/>
          <w:szCs w:val="32"/>
          <w:lang w:val="en-US" w:eastAsia="zh-CN"/>
        </w:rPr>
        <w:t>202</w:t>
      </w:r>
      <w:r>
        <w:rPr>
          <w:rFonts w:hint="eastAsia" w:ascii="仿宋_GB2312" w:hAnsi="仿宋_GB2312" w:cs="仿宋_GB2312"/>
          <w:b w:val="0"/>
          <w:bCs w:val="0"/>
          <w:color w:val="000000"/>
          <w:sz w:val="32"/>
          <w:szCs w:val="32"/>
          <w:lang w:val="en-US" w:eastAsia="zh-CN"/>
        </w:rPr>
        <w:t>4</w:t>
      </w:r>
      <w:r>
        <w:rPr>
          <w:rFonts w:hint="eastAsia" w:ascii="仿宋_GB2312" w:hAnsi="仿宋_GB2312" w:eastAsia="仿宋_GB2312" w:cs="仿宋_GB2312"/>
          <w:b w:val="0"/>
          <w:bCs w:val="0"/>
          <w:color w:val="000000"/>
          <w:sz w:val="32"/>
          <w:szCs w:val="32"/>
          <w:lang w:val="en-US" w:eastAsia="zh-CN"/>
        </w:rPr>
        <w:t>年全部完成。具体完成情况如下：</w:t>
      </w:r>
      <w:r>
        <w:rPr>
          <w:rFonts w:hint="eastAsia" w:ascii="仿宋_GB2312" w:hAnsi="仿宋" w:eastAsia="仿宋_GB2312"/>
          <w:color w:val="000000" w:themeColor="text1"/>
          <w:sz w:val="32"/>
          <w:szCs w:val="32"/>
          <w:highlight w:val="none"/>
          <w14:textFill>
            <w14:solidFill>
              <w14:schemeClr w14:val="tx1"/>
            </w14:solidFill>
          </w14:textFill>
        </w:rPr>
        <w:t>“三件要事”稳步推进。安全稳定底线更加牢固。全面履行公安监管职责，以中华人民共和国成立75周年安保维稳工作为抓手，常态化开展重点人、群体风险研判、动态管理、重点行业领域安全监管，深化“护校安园”专项行动，以“警城联巡联动”织密巡逻防控网络，全县命案现案发案数为“零”、重大恶性犯罪案件下降50%；推送“三单”预警207份，有效防止27人越级非访；开展安全检查1600余家次，督促整改安全隐患9处，实现爆炸物品“零流失、零炸响”，涉精麻类药品滥用情况零发生、易制毒物品外流零发生、规模化制毒工厂“零发生”；排查整改道路交通隐患30处，增设警示标志标牌80块（个）、交通技术监控设备15套，开展交通安全宣传400余次，道路交通安全管理可感、可视、可控能力全面提升。全县道路交通事故死亡9人，同比下降40%；财产损失123万余元，同比下降19.2%；查处各类道路交通违法行为3.3万起，道路交通安全形势不断向好。目标绩效主线更加稳固。全力推进“谋治”系列专项行动，以 “云剑2024” “清源断流” “打击治理电信网络诈骗犯罪”等专项行动为抓手，保持高压严打态势，实现命案、重大暴力犯罪破案率100%，连续20年命案现案全破，目标绩效综合评估工作多次在全市公安机关“相约28”会议上作交流发言。全年共立刑事案件185件，破案141件，抓获犯罪嫌疑人227人；查处行政案件254件、行政违法人员241人；核查办结涉黑恶线索5条，核查“两卡”线索88条，线索成案60条。队伍管理防线更加坚固。以开展集中整治群众身边不正之风和腐败问题工作为抓手，紧盯“关键少数” “枪车酒赌毒密网”等重点环节强化监督管理，全局民辅警无违纪违法情况发生。全面落实爱警暖警措施，深入挖掘宣传先进典型，54个（次）集体、88人（次）受到各级表彰奖励，红格派出所荣记一等功公务员集体，5个集体分别受到省厅通报表扬。加强思想政治建设及宣传舆论工作，“移动警务”“水上警务”宣传主题被中央及省级多家主要媒体转发，县公安局政工科荣获全省公安机关宣传舆论工作成绩突出集体。严格落实7×24小时网络巡查制度，巡查本地网络信息15万余条，编报舆情处置报告72篇，依法及时稳妥处置各类敏感案事件和网络舆情，全年未发生舆情引导处置不及时、不妥当造成负面影响的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eastAsia="zh-CN"/>
        </w:rPr>
        <w:t>四、</w:t>
      </w:r>
      <w:r>
        <w:rPr>
          <w:rFonts w:hint="default" w:ascii="Times New Roman" w:hAnsi="Times New Roman" w:eastAsia="黑体" w:cs="Times New Roman"/>
          <w:color w:val="000000"/>
          <w:kern w:val="0"/>
          <w:sz w:val="32"/>
          <w:szCs w:val="32"/>
          <w:highlight w:val="none"/>
          <w:shd w:val="clear" w:color="auto" w:fill="FFFFFF"/>
          <w:lang w:val="zh-CN"/>
        </w:rPr>
        <w:t>评价结论及建议</w:t>
      </w:r>
    </w:p>
    <w:p>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p>
    <w:p>
      <w:pPr>
        <w:numPr>
          <w:ilvl w:val="0"/>
          <w:numId w:val="0"/>
        </w:numPr>
        <w:spacing w:line="550" w:lineRule="exact"/>
        <w:ind w:firstLine="640" w:firstLineChars="200"/>
        <w:rPr>
          <w:rFonts w:hint="eastAsia" w:ascii="仿宋_GB2312" w:hAnsi="仿宋"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s="Times New Roman"/>
          <w:color w:val="000000" w:themeColor="text1"/>
          <w:sz w:val="32"/>
          <w:szCs w:val="32"/>
          <w:highlight w:val="none"/>
          <w:lang w:val="en-US" w:eastAsia="zh-CN"/>
          <w14:textFill>
            <w14:solidFill>
              <w14:schemeClr w14:val="tx1"/>
            </w14:solidFill>
          </w14:textFill>
        </w:rPr>
        <w:t>盐边县公安局按照《预算法》按时完成预决算编制。在执行过程中有计划进行资金申报、使用，完善资金管理及内部控制制度，确保资金安全，做到账款、账账、账实相符。全年部门预算执行率100%。基本支出2024年按月或季度进行申报，其中人员工资按月申报并直接支付，日常公用经费按月进行申报并支付，执行率100%.</w:t>
      </w:r>
    </w:p>
    <w:p>
      <w:pPr>
        <w:numPr>
          <w:ilvl w:val="0"/>
          <w:numId w:val="0"/>
        </w:numPr>
        <w:spacing w:line="550" w:lineRule="exact"/>
        <w:ind w:firstLine="640" w:firstLineChars="200"/>
        <w:rPr>
          <w:rFonts w:hint="eastAsia" w:ascii="仿宋_GB2312" w:hAnsi="仿宋"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s="Times New Roman"/>
          <w:color w:val="000000" w:themeColor="text1"/>
          <w:sz w:val="32"/>
          <w:szCs w:val="32"/>
          <w:highlight w:val="none"/>
          <w:lang w:val="en-US" w:eastAsia="zh-CN"/>
          <w14:textFill>
            <w14:solidFill>
              <w14:schemeClr w14:val="tx1"/>
            </w14:solidFill>
          </w14:textFill>
        </w:rPr>
        <w:t xml:space="preserve"> </w:t>
      </w:r>
      <w:r>
        <w:rPr>
          <w:rFonts w:hint="eastAsia" w:ascii="仿宋_GB2312" w:hAnsi="仿宋" w:eastAsia="仿宋_GB2312" w:cs="Times New Roman"/>
          <w:color w:val="000000" w:themeColor="text1"/>
          <w:sz w:val="32"/>
          <w:szCs w:val="32"/>
          <w:highlight w:val="none"/>
          <w:lang w:val="zh-CN" w:eastAsia="zh-CN"/>
          <w14:textFill>
            <w14:solidFill>
              <w14:schemeClr w14:val="tx1"/>
            </w14:solidFill>
          </w14:textFill>
        </w:rPr>
        <w:t>20</w:t>
      </w:r>
      <w:r>
        <w:rPr>
          <w:rFonts w:hint="eastAsia" w:ascii="仿宋_GB2312" w:hAnsi="仿宋" w:eastAsia="仿宋_GB2312" w:cs="Times New Roman"/>
          <w:color w:val="000000" w:themeColor="text1"/>
          <w:sz w:val="32"/>
          <w:szCs w:val="32"/>
          <w:highlight w:val="none"/>
          <w:lang w:val="en-US" w:eastAsia="zh-CN"/>
          <w14:textFill>
            <w14:solidFill>
              <w14:schemeClr w14:val="tx1"/>
            </w14:solidFill>
          </w14:textFill>
        </w:rPr>
        <w:t>24</w:t>
      </w:r>
      <w:r>
        <w:rPr>
          <w:rFonts w:hint="eastAsia" w:ascii="仿宋_GB2312" w:hAnsi="仿宋" w:eastAsia="仿宋_GB2312" w:cs="Times New Roman"/>
          <w:color w:val="000000" w:themeColor="text1"/>
          <w:sz w:val="32"/>
          <w:szCs w:val="32"/>
          <w:highlight w:val="none"/>
          <w:lang w:val="zh-CN" w:eastAsia="zh-CN"/>
          <w14:textFill>
            <w14:solidFill>
              <w14:schemeClr w14:val="tx1"/>
            </w14:solidFill>
          </w14:textFill>
        </w:rPr>
        <w:t>年度，本单位在预算执行过程中，在同级财政的监督下，严格按规范申报用款计划、按资金用途使用资金、按进度实现支出</w:t>
      </w:r>
      <w:r>
        <w:rPr>
          <w:rFonts w:hint="eastAsia" w:ascii="仿宋_GB2312" w:hAnsi="仿宋" w:eastAsia="仿宋_GB2312" w:cs="Times New Roman"/>
          <w:color w:val="000000" w:themeColor="text1"/>
          <w:sz w:val="32"/>
          <w:szCs w:val="32"/>
          <w:highlight w:val="none"/>
          <w:lang w:val="en-US" w:eastAsia="zh-CN"/>
          <w14:textFill>
            <w14:solidFill>
              <w14:schemeClr w14:val="tx1"/>
            </w14:solidFill>
          </w14:textFill>
        </w:rPr>
        <w:t>,在资金支付</w:t>
      </w:r>
      <w:r>
        <w:rPr>
          <w:rFonts w:hint="eastAsia" w:ascii="仿宋_GB2312" w:hAnsi="仿宋" w:eastAsia="仿宋_GB2312" w:cs="Times New Roman"/>
          <w:color w:val="000000" w:themeColor="text1"/>
          <w:sz w:val="32"/>
          <w:szCs w:val="32"/>
          <w:highlight w:val="none"/>
          <w:lang w:val="zh-CN" w:eastAsia="zh-CN"/>
          <w14:textFill>
            <w14:solidFill>
              <w14:schemeClr w14:val="tx1"/>
            </w14:solidFill>
          </w14:textFill>
        </w:rPr>
        <w:t>、</w:t>
      </w:r>
      <w:r>
        <w:rPr>
          <w:rFonts w:hint="eastAsia" w:ascii="仿宋_GB2312" w:hAnsi="仿宋" w:eastAsia="仿宋_GB2312" w:cs="Times New Roman"/>
          <w:color w:val="000000" w:themeColor="text1"/>
          <w:sz w:val="32"/>
          <w:szCs w:val="32"/>
          <w:highlight w:val="none"/>
          <w:lang w:val="en-US" w:eastAsia="zh-CN"/>
          <w14:textFill>
            <w14:solidFill>
              <w14:schemeClr w14:val="tx1"/>
            </w14:solidFill>
          </w14:textFill>
        </w:rPr>
        <w:t>会计核算</w:t>
      </w:r>
      <w:r>
        <w:rPr>
          <w:rFonts w:hint="eastAsia" w:ascii="仿宋_GB2312" w:hAnsi="仿宋" w:eastAsia="仿宋_GB2312" w:cs="Times New Roman"/>
          <w:color w:val="000000" w:themeColor="text1"/>
          <w:sz w:val="32"/>
          <w:szCs w:val="32"/>
          <w:highlight w:val="none"/>
          <w:lang w:val="zh-CN" w:eastAsia="zh-CN"/>
          <w14:textFill>
            <w14:solidFill>
              <w14:schemeClr w14:val="tx1"/>
            </w14:solidFill>
          </w14:textFill>
        </w:rPr>
        <w:t>、</w:t>
      </w:r>
      <w:r>
        <w:rPr>
          <w:rFonts w:hint="eastAsia" w:ascii="仿宋_GB2312" w:hAnsi="仿宋" w:eastAsia="仿宋_GB2312" w:cs="Times New Roman"/>
          <w:color w:val="000000" w:themeColor="text1"/>
          <w:sz w:val="32"/>
          <w:szCs w:val="32"/>
          <w:highlight w:val="none"/>
          <w:lang w:val="en-US" w:eastAsia="zh-CN"/>
          <w14:textFill>
            <w14:solidFill>
              <w14:schemeClr w14:val="tx1"/>
            </w14:solidFill>
          </w14:textFill>
        </w:rPr>
        <w:t>账务处理过程中,严格执行收支两条线标准,严格遵守相关财务管理制度,依法依规进行信息公开,规范各类会计行为，确保</w:t>
      </w:r>
      <w:r>
        <w:rPr>
          <w:rFonts w:hint="eastAsia" w:ascii="仿宋_GB2312" w:hAnsi="仿宋" w:eastAsia="仿宋_GB2312" w:cs="Times New Roman"/>
          <w:color w:val="000000" w:themeColor="text1"/>
          <w:sz w:val="32"/>
          <w:szCs w:val="32"/>
          <w:highlight w:val="none"/>
          <w:lang w:val="zh-CN" w:eastAsia="zh-CN"/>
          <w14:textFill>
            <w14:solidFill>
              <w14:schemeClr w14:val="tx1"/>
            </w14:solidFill>
          </w14:textFill>
        </w:rPr>
        <w:t>无违规使用资金的情况发生</w:t>
      </w:r>
      <w:r>
        <w:rPr>
          <w:rFonts w:hint="eastAsia" w:ascii="仿宋_GB2312" w:hAnsi="仿宋" w:eastAsia="仿宋_GB2312" w:cs="Times New Roman"/>
          <w:color w:val="000000" w:themeColor="text1"/>
          <w:sz w:val="32"/>
          <w:szCs w:val="32"/>
          <w:highlight w:val="none"/>
          <w:lang w:val="en-US" w:eastAsia="zh-CN"/>
          <w14:textFill>
            <w14:solidFill>
              <w14:schemeClr w14:val="tx1"/>
            </w14:solidFill>
          </w14:textFill>
        </w:rPr>
        <w:t>,有效促进会计工作的管理效率,并据此确保会计核算的真实性。</w:t>
      </w:r>
    </w:p>
    <w:p>
      <w:pPr>
        <w:numPr>
          <w:ilvl w:val="0"/>
          <w:numId w:val="0"/>
        </w:numPr>
        <w:spacing w:line="550" w:lineRule="exact"/>
        <w:ind w:firstLine="640" w:firstLineChars="200"/>
        <w:rPr>
          <w:rFonts w:hint="default" w:ascii="Times New Roman" w:hAnsi="Times New Roman" w:eastAsia="仿宋_GB2312" w:cs="Times New Roman"/>
          <w:sz w:val="32"/>
          <w:szCs w:val="32"/>
          <w:u w:val="none"/>
          <w:lang w:val="en-US" w:eastAsia="zh-CN" w:bidi="ar"/>
        </w:rPr>
      </w:pPr>
      <w:r>
        <w:rPr>
          <w:rFonts w:hint="eastAsia" w:ascii="仿宋_GB2312" w:hAnsi="仿宋" w:eastAsia="仿宋_GB2312" w:cs="Times New Roman"/>
          <w:b w:val="0"/>
          <w:color w:val="000000"/>
          <w:kern w:val="2"/>
          <w:sz w:val="32"/>
          <w:szCs w:val="32"/>
          <w:lang w:val="en-US" w:eastAsia="zh-CN" w:bidi="ar-SA"/>
        </w:rPr>
        <w:t>2024年我单位综合自评得分92分。</w:t>
      </w:r>
    </w:p>
    <w:p>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仿宋_GB2312" w:cs="Times New Roman"/>
          <w:sz w:val="32"/>
          <w:szCs w:val="32"/>
          <w:u w:val="none"/>
          <w:lang w:val="en-US" w:eastAsia="zh-CN" w:bidi="ar"/>
        </w:rPr>
      </w:pPr>
      <w:r>
        <w:rPr>
          <w:rFonts w:hint="default" w:ascii="Times New Roman" w:hAnsi="Times New Roman" w:eastAsia="楷体_GB2312" w:cs="Times New Roman"/>
          <w:b/>
          <w:bCs/>
          <w:color w:val="000000"/>
          <w:kern w:val="0"/>
          <w:sz w:val="32"/>
          <w:szCs w:val="32"/>
          <w:highlight w:val="none"/>
          <w:shd w:val="clear" w:color="auto" w:fill="FFFFFF"/>
          <w:lang w:val="zh-CN"/>
        </w:rPr>
        <w:t>（二）存在问题。</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contextualSpacing/>
        <w:jc w:val="left"/>
        <w:rPr>
          <w:rFonts w:hint="eastAsia" w:ascii="仿宋_GB2312" w:hAnsi="仿宋"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s="Times New Roman"/>
          <w:color w:val="000000" w:themeColor="text1"/>
          <w:sz w:val="32"/>
          <w:szCs w:val="32"/>
          <w:highlight w:val="none"/>
          <w:lang w:val="en-US" w:eastAsia="zh-CN"/>
          <w14:textFill>
            <w14:solidFill>
              <w14:schemeClr w14:val="tx1"/>
            </w14:solidFill>
          </w14:textFill>
        </w:rPr>
        <w:t>1.绩效管理工作与业务工作结合不够紧密。碍于公安业务工作的特殊性和复杂性，在设置绩效评价工作指标体系时，不能够与公安业务工作较好结合，对产出指标和绩效指标不能够客观真实反映出完成公安工作的实际情况评价指标体系需进一步完善。财政资金支出评价对象，指标设置差异性大，难以把握评价的办法，不能满足目前工作开展的需要。</w:t>
      </w:r>
    </w:p>
    <w:p>
      <w:pPr>
        <w:numPr>
          <w:ilvl w:val="0"/>
          <w:numId w:val="0"/>
        </w:numPr>
        <w:spacing w:line="550" w:lineRule="exact"/>
        <w:ind w:firstLine="640" w:firstLineChars="200"/>
        <w:rPr>
          <w:rFonts w:hint="eastAsia" w:ascii="仿宋_GB2312" w:hAnsi="仿宋"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s="Times New Roman"/>
          <w:color w:val="000000" w:themeColor="text1"/>
          <w:sz w:val="32"/>
          <w:szCs w:val="32"/>
          <w:highlight w:val="none"/>
          <w:lang w:val="en-US" w:eastAsia="zh-CN"/>
          <w14:textFill>
            <w14:solidFill>
              <w14:schemeClr w14:val="tx1"/>
            </w14:solidFill>
          </w14:textFill>
        </w:rPr>
        <w:t xml:space="preserve">2.内部控制制度不够健全，风险意识不强。在建立健全内控制度过程中，虽然基本明确了相关业务岗位的有关风险等级和风险防控措施，但目前领会认识深度不够，存在平铺式理解，尚局限于内控制度实践，没有提升到全局“一盘棋”的高度。  </w:t>
      </w:r>
    </w:p>
    <w:p>
      <w:pPr>
        <w:numPr>
          <w:ilvl w:val="0"/>
          <w:numId w:val="0"/>
        </w:numPr>
        <w:spacing w:line="550" w:lineRule="exact"/>
        <w:ind w:firstLine="640" w:firstLineChars="200"/>
        <w:rPr>
          <w:rFonts w:hint="eastAsia" w:ascii="仿宋_GB2312" w:hAnsi="仿宋"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s="Times New Roman"/>
          <w:color w:val="000000" w:themeColor="text1"/>
          <w:sz w:val="32"/>
          <w:szCs w:val="32"/>
          <w:highlight w:val="none"/>
          <w:lang w:val="en-US" w:eastAsia="zh-CN"/>
          <w14:textFill>
            <w14:solidFill>
              <w14:schemeClr w14:val="tx1"/>
            </w14:solidFill>
          </w14:textFill>
        </w:rPr>
        <w:t>3.财务人员业务能力精度不够。在会计核算工作中，财务人员在致力于学习各项财务管理规定，规范审批程序的过程中，对各项制度、规定的理解稍显孤立，欠缺整体联动和统筹结合的逻辑运用能力，业务能力有待进一步增强。</w:t>
      </w:r>
    </w:p>
    <w:p>
      <w:pPr>
        <w:numPr>
          <w:ilvl w:val="0"/>
          <w:numId w:val="0"/>
        </w:numPr>
        <w:spacing w:line="550" w:lineRule="exact"/>
        <w:ind w:firstLine="640" w:firstLineChars="200"/>
        <w:rPr>
          <w:rFonts w:hint="eastAsia" w:ascii="仿宋_GB2312" w:hAnsi="仿宋"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s="Times New Roman"/>
          <w:color w:val="000000" w:themeColor="text1"/>
          <w:sz w:val="32"/>
          <w:szCs w:val="32"/>
          <w:highlight w:val="none"/>
          <w:lang w:val="en-US" w:eastAsia="zh-CN"/>
          <w14:textFill>
            <w14:solidFill>
              <w14:schemeClr w14:val="tx1"/>
            </w14:solidFill>
          </w14:textFill>
        </w:rPr>
        <w:t>4.对年初编制部门预算绩效目标的指标内容不够细化。</w:t>
      </w:r>
    </w:p>
    <w:p>
      <w:pPr>
        <w:numPr>
          <w:ilvl w:val="0"/>
          <w:numId w:val="0"/>
        </w:numPr>
        <w:spacing w:line="550" w:lineRule="exact"/>
        <w:ind w:firstLine="640" w:firstLineChars="200"/>
        <w:rPr>
          <w:rFonts w:hint="default" w:ascii="Times New Roman" w:hAnsi="Times New Roman" w:eastAsia="楷体_GB2312" w:cs="Times New Roman"/>
          <w:b/>
          <w:bCs/>
          <w:color w:val="000000"/>
          <w:kern w:val="0"/>
          <w:sz w:val="32"/>
          <w:szCs w:val="32"/>
          <w:highlight w:val="none"/>
          <w:shd w:val="clear" w:color="auto" w:fill="FFFFFF"/>
          <w:lang w:val="zh-CN" w:eastAsia="zh-CN"/>
        </w:rPr>
      </w:pPr>
      <w:r>
        <w:rPr>
          <w:rFonts w:hint="eastAsia" w:ascii="仿宋_GB2312" w:hAnsi="仿宋" w:eastAsia="仿宋_GB2312" w:cs="Times New Roman"/>
          <w:color w:val="000000" w:themeColor="text1"/>
          <w:sz w:val="32"/>
          <w:szCs w:val="32"/>
          <w:highlight w:val="none"/>
          <w:lang w:val="en-US" w:eastAsia="zh-CN"/>
          <w14:textFill>
            <w14:solidFill>
              <w14:schemeClr w14:val="tx1"/>
            </w14:solidFill>
          </w14:textFill>
        </w:rPr>
        <w:t>5.对评价结果的应用环节偏薄弱。</w:t>
      </w:r>
    </w:p>
    <w:p>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仿宋_GB2312" w:cs="Times New Roman"/>
          <w:sz w:val="32"/>
          <w:szCs w:val="32"/>
          <w:u w:val="none"/>
          <w:lang w:val="en" w:eastAsia="zh-CN" w:bidi="ar"/>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（三）改进建议。</w:t>
      </w:r>
      <w:bookmarkStart w:id="51" w:name="_Hlk110546638"/>
      <w:r>
        <w:rPr>
          <w:rFonts w:hint="eastAsia" w:eastAsia="仿宋_GB2312" w:cs="Times New Roman"/>
          <w:sz w:val="32"/>
          <w:szCs w:val="32"/>
          <w:u w:val="none"/>
          <w:lang w:val="en-US" w:eastAsia="zh-CN" w:bidi="ar"/>
        </w:rPr>
        <w:t xml:space="preserve"> </w:t>
      </w:r>
    </w:p>
    <w:bookmarkEnd w:id="51"/>
    <w:p>
      <w:pPr>
        <w:numPr>
          <w:ilvl w:val="0"/>
          <w:numId w:val="0"/>
        </w:numPr>
        <w:spacing w:line="550" w:lineRule="exact"/>
        <w:ind w:firstLine="640" w:firstLineChars="200"/>
        <w:rPr>
          <w:rFonts w:hint="eastAsia" w:ascii="仿宋_GB2312" w:hAnsi="仿宋"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s="Times New Roman"/>
          <w:color w:val="000000" w:themeColor="text1"/>
          <w:sz w:val="32"/>
          <w:szCs w:val="32"/>
          <w:highlight w:val="none"/>
          <w:lang w:val="en-US" w:eastAsia="zh-CN"/>
          <w14:textFill>
            <w14:solidFill>
              <w14:schemeClr w14:val="tx1"/>
            </w14:solidFill>
          </w14:textFill>
        </w:rPr>
        <w:t>1.加强内部控制，突出风险防控。要按照《行政事业单位内部控制规范（试行）》有关规定，在认真梳理内部岗位职责、经济事项、业务流程的基础上，根据经济活动客观规律，查找业务风险点，制定风险防范应对策略。建立健全内部监督管理制度，完善业务流程，将制衡机制嵌入部门内部管理各环节，建立起决策、执行和监督相互分离、相互制约的长效机制。</w:t>
      </w:r>
    </w:p>
    <w:p>
      <w:pPr>
        <w:numPr>
          <w:ilvl w:val="0"/>
          <w:numId w:val="0"/>
        </w:numPr>
        <w:spacing w:line="550" w:lineRule="exact"/>
        <w:ind w:firstLine="640" w:firstLineChars="200"/>
        <w:rPr>
          <w:rFonts w:hint="eastAsia" w:ascii="仿宋_GB2312" w:hAnsi="仿宋"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s="Times New Roman"/>
          <w:color w:val="000000" w:themeColor="text1"/>
          <w:sz w:val="32"/>
          <w:szCs w:val="32"/>
          <w:highlight w:val="none"/>
          <w:lang w:val="en-US" w:eastAsia="zh-CN"/>
          <w14:textFill>
            <w14:solidFill>
              <w14:schemeClr w14:val="tx1"/>
            </w14:solidFill>
          </w14:textFill>
        </w:rPr>
        <w:t>2.加强学习，聚力创新，不断提高财务人员的工作能力。以推进行政事业单位财政体制改革为引领，不断提升财务管理工作能力为目标，进一步学习各项财经制度，大力提升自身综合能力。在坚持执行规定政策不走样的前提下，牢固树立改革创新的工作意识，勤于思考，踏实进取，认真吃透各项规定要求，主动适应财务管理新常态。</w:t>
      </w:r>
    </w:p>
    <w:p>
      <w:pPr>
        <w:pStyle w:val="10"/>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仿宋_GB2312" w:hAnsi="仿宋" w:eastAsia="仿宋_GB2312" w:cs="Times New Roman"/>
          <w:color w:val="000000" w:themeColor="text1"/>
          <w:sz w:val="32"/>
          <w:szCs w:val="32"/>
          <w:highlight w:val="none"/>
          <w:lang w:val="en-US" w:eastAsia="zh-CN"/>
          <w14:textFill>
            <w14:solidFill>
              <w14:schemeClr w14:val="tx1"/>
            </w14:solidFill>
          </w14:textFill>
        </w:rPr>
        <w:t>3.下一年度，对年初编制部门预算绩效目标的指标内容进行深度细化，全面反映本部门所有财政资金的支出范围。</w:t>
      </w:r>
    </w:p>
    <w:p>
      <w:pPr>
        <w:pStyle w:val="10"/>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hAnsi="Times New Roman" w:eastAsia="仿宋_GB2312" w:cs="Times New Roman"/>
          <w:kern w:val="2"/>
          <w:sz w:val="32"/>
          <w:szCs w:val="32"/>
          <w:u w:val="none"/>
          <w:lang w:val="en-US" w:eastAsia="zh-CN" w:bidi="ar"/>
        </w:rPr>
        <w:t>部门预算项目支出绩效自评表（2024年度）</w:t>
      </w:r>
    </w:p>
    <w:p>
      <w:pPr>
        <w:pStyle w:val="10"/>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r>
        <w:rPr>
          <w:rFonts w:hint="eastAsia" w:ascii="Times New Roman" w:eastAsia="仿宋_GB2312" w:cs="仿宋_GB2312"/>
          <w:b w:val="0"/>
          <w:bCs w:val="0"/>
          <w:kern w:val="0"/>
          <w:position w:val="0"/>
          <w:sz w:val="32"/>
          <w:szCs w:val="32"/>
          <w:highlight w:val="none"/>
          <w:lang w:val="en-US" w:eastAsia="zh-CN" w:bidi="ar-SA"/>
        </w:rPr>
        <w:t xml:space="preserve"> </w:t>
      </w:r>
    </w:p>
    <w:p>
      <w:pPr>
        <w:pStyle w:val="8"/>
        <w:rPr>
          <w:rFonts w:hint="eastAsia" w:ascii="Times New Roman" w:hAnsi="Times New Roman" w:cs="宋体"/>
          <w:color w:val="FF0000"/>
          <w:kern w:val="0"/>
          <w:sz w:val="32"/>
          <w:szCs w:val="32"/>
          <w:highlight w:val="yellow"/>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r>
        <w:rPr>
          <w:rFonts w:hint="eastAsia" w:ascii="Times New Roman" w:hAnsi="Times New Roman" w:eastAsia="黑体" w:cs="黑体"/>
          <w:color w:val="auto"/>
          <w:kern w:val="0"/>
          <w:sz w:val="32"/>
          <w:szCs w:val="32"/>
          <w:highlight w:val="none"/>
          <w:shd w:val="clear" w:color="auto" w:fill="FFFFFF"/>
          <w:lang w:val="zh-CN"/>
        </w:rPr>
        <w:br w:type="page"/>
      </w:r>
    </w:p>
    <w:p>
      <w:pPr>
        <w:pStyle w:val="8"/>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kern w:val="0"/>
          <w:sz w:val="32"/>
          <w:szCs w:val="32"/>
          <w:highlight w:val="none"/>
          <w:shd w:val="clear" w:color="auto" w:fill="FFFFFF"/>
          <w:lang w:val="zh-CN"/>
        </w:rPr>
        <w:t>附件</w:t>
      </w:r>
      <w:r>
        <w:rPr>
          <w:rFonts w:hint="eastAsia" w:ascii="Times New Roman" w:hAnsi="Times New Roman" w:eastAsia="黑体" w:cs="黑体"/>
          <w:color w:val="auto"/>
          <w:kern w:val="0"/>
          <w:sz w:val="32"/>
          <w:szCs w:val="32"/>
          <w:highlight w:val="none"/>
          <w:shd w:val="clear" w:color="auto" w:fill="FFFFFF"/>
          <w:lang w:val="en-US" w:eastAsia="zh-CN"/>
        </w:rPr>
        <w:t>2</w:t>
      </w:r>
    </w:p>
    <w:p>
      <w:pPr>
        <w:pStyle w:val="36"/>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p>
    <w:p>
      <w:pPr>
        <w:spacing w:line="0" w:lineRule="atLeast"/>
        <w:jc w:val="center"/>
        <w:rPr>
          <w:rFonts w:hint="eastAsia" w:ascii="黑体" w:hAnsi="黑体" w:eastAsia="黑体" w:cs="黑体"/>
          <w:b/>
          <w:bCs w:val="0"/>
          <w:sz w:val="44"/>
          <w:szCs w:val="44"/>
        </w:rPr>
      </w:pPr>
      <w:r>
        <w:rPr>
          <w:rFonts w:hint="eastAsia" w:ascii="黑体" w:hAnsi="黑体" w:eastAsia="黑体" w:cs="黑体"/>
          <w:b/>
          <w:bCs w:val="0"/>
          <w:sz w:val="44"/>
          <w:szCs w:val="44"/>
        </w:rPr>
        <w:t>盐边县公安局</w:t>
      </w:r>
    </w:p>
    <w:p>
      <w:pPr>
        <w:spacing w:line="0" w:lineRule="atLeast"/>
        <w:jc w:val="center"/>
        <w:rPr>
          <w:rFonts w:hint="eastAsia" w:ascii="黑体" w:hAnsi="黑体" w:eastAsia="黑体" w:cs="黑体"/>
          <w:b/>
          <w:sz w:val="44"/>
          <w:szCs w:val="44"/>
          <w:lang w:eastAsia="zh-CN"/>
        </w:rPr>
      </w:pPr>
      <w:r>
        <w:rPr>
          <w:rFonts w:hint="eastAsia" w:ascii="黑体" w:hAnsi="黑体" w:eastAsia="黑体" w:cs="黑体"/>
          <w:b/>
          <w:bCs w:val="0"/>
          <w:sz w:val="44"/>
          <w:szCs w:val="44"/>
          <w:lang w:val="en-US" w:eastAsia="zh-CN"/>
        </w:rPr>
        <w:t>3.24专案</w:t>
      </w:r>
      <w:r>
        <w:rPr>
          <w:rFonts w:hint="eastAsia" w:ascii="黑体" w:hAnsi="黑体" w:eastAsia="黑体" w:cs="黑体"/>
          <w:b/>
          <w:bCs w:val="0"/>
          <w:sz w:val="44"/>
          <w:szCs w:val="44"/>
        </w:rPr>
        <w:t>绩效自评报告</w:t>
      </w:r>
      <w:r>
        <w:rPr>
          <w:rFonts w:hint="eastAsia" w:ascii="黑体" w:hAnsi="黑体" w:eastAsia="黑体" w:cs="黑体"/>
          <w:b/>
          <w:sz w:val="44"/>
          <w:szCs w:val="44"/>
          <w:lang w:val="en-US" w:eastAsia="zh-CN"/>
        </w:rPr>
        <w:t xml:space="preserve"> </w:t>
      </w:r>
    </w:p>
    <w:p>
      <w:pPr>
        <w:pStyle w:val="36"/>
        <w:spacing w:line="600" w:lineRule="exact"/>
        <w:ind w:firstLine="640"/>
        <w:jc w:val="center"/>
        <w:rPr>
          <w:rFonts w:hint="eastAsia" w:ascii="Times New Roman" w:hAnsi="Times New Roman" w:eastAsia="宋体" w:cs="Times New Roman"/>
          <w:color w:val="auto"/>
          <w:kern w:val="2"/>
          <w:sz w:val="32"/>
          <w:szCs w:val="32"/>
          <w:lang w:eastAsia="zh-CN"/>
        </w:rPr>
      </w:pPr>
      <w:r>
        <w:rPr>
          <w:rFonts w:hint="eastAsia" w:ascii="Times New Roman" w:eastAsia="方正楷体_GBK"/>
          <w:b/>
          <w:szCs w:val="32"/>
          <w:lang w:val="en-US" w:eastAsia="zh-CN"/>
        </w:rPr>
        <w:t xml:space="preserve"> </w:t>
      </w:r>
    </w:p>
    <w:p>
      <w:pPr>
        <w:ind w:firstLine="643" w:firstLineChars="200"/>
        <w:rPr>
          <w:rFonts w:hint="eastAsia" w:ascii="黑体" w:hAnsi="黑体" w:eastAsia="黑体" w:cs="黑体"/>
          <w:sz w:val="32"/>
        </w:rPr>
      </w:pPr>
      <w:r>
        <w:rPr>
          <w:rFonts w:hint="eastAsia" w:ascii="黑体" w:hAnsi="黑体" w:eastAsia="黑体" w:cs="黑体"/>
          <w:b/>
          <w:bCs/>
          <w:sz w:val="32"/>
        </w:rPr>
        <w:t>一、项目概况</w:t>
      </w:r>
    </w:p>
    <w:p>
      <w:pPr>
        <w:ind w:firstLine="643" w:firstLineChars="200"/>
        <w:rPr>
          <w:rFonts w:ascii="Times New Roman" w:hAnsi="Times New Roman" w:eastAsia="方正楷体_GBK" w:cs="Times New Roman"/>
          <w:b/>
          <w:sz w:val="32"/>
        </w:rPr>
      </w:pPr>
      <w:r>
        <w:rPr>
          <w:rFonts w:hint="eastAsia" w:ascii="仿宋_GB2312" w:hAnsi="仿宋_GB2312" w:eastAsia="仿宋_GB2312" w:cs="仿宋_GB2312"/>
          <w:b/>
          <w:bCs w:val="0"/>
          <w:sz w:val="32"/>
        </w:rPr>
        <w:t>（一）项目基本情况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zh-CN" w:eastAsia="zh-CN" w:bidi="ar-SA"/>
        </w:rPr>
        <w:t>我单位日常工作中发现名叫“贝博体育”的网络赌博平台及其APP在我国境内通过网络主播、足球比赛等多种方式推广平台。2022年3月24日，我单位成立3.24专案组，全力开展案件侦破工作</w:t>
      </w:r>
      <w:r>
        <w:rPr>
          <w:rFonts w:hint="eastAsia" w:ascii="Times New Roman" w:hAnsi="Times New Roman" w:eastAsia="仿宋_GB2312" w:cs="仿宋_GB2312"/>
          <w:color w:val="auto"/>
          <w:kern w:val="2"/>
          <w:sz w:val="32"/>
          <w:szCs w:val="32"/>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1.项目立项、资金申报的依据。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该案件产生的为工作开展产生的技术服务费。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2.资金管理办法制定情况，资金支持具体项目的条件、范围与支持方式概况。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由县级资金保障。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3.资金分配的原则及考虑因素。</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该项目申报资金482.36万元。盐边县财政局根据盐财资行【2024】482号、盐财资行【2024】82号下达县级资金482.36万元，资金到位率100%。</w:t>
      </w:r>
    </w:p>
    <w:p>
      <w:pPr>
        <w:ind w:firstLine="643" w:firstLineChars="200"/>
        <w:rPr>
          <w:rFonts w:hint="eastAsia" w:ascii="仿宋_GB2312" w:hAnsi="仿宋_GB2312" w:eastAsia="仿宋_GB2312" w:cs="仿宋_GB2312"/>
          <w:b/>
          <w:bCs w:val="0"/>
          <w:sz w:val="32"/>
        </w:rPr>
      </w:pPr>
      <w:r>
        <w:rPr>
          <w:rFonts w:hint="eastAsia" w:ascii="仿宋_GB2312" w:hAnsi="仿宋_GB2312" w:eastAsia="仿宋_GB2312" w:cs="仿宋_GB2312"/>
          <w:b/>
          <w:bCs w:val="0"/>
          <w:sz w:val="32"/>
        </w:rPr>
        <w:t>（二）项目绩效目标</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1.项目主要内容。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该资金主要用于办理3.24专案所产生的各类费用。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2.项目应实现的具体绩效目标，包括目标的量化、细化情况以及项目实施进度计划等。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该项目根据实际所产生的年度预计费用设立数量、质量、社会效益、满意度等指标进行综合评定，评定细则符合该项目实际实施进度。</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分析评价申报内容是否与实际相符，申报目标是否合理可行。</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方正仿宋_GBK" w:cs="Times New Roman"/>
          <w:sz w:val="32"/>
          <w:lang w:eastAsia="zh-CN"/>
        </w:rPr>
      </w:pPr>
      <w:r>
        <w:rPr>
          <w:rFonts w:hint="eastAsia" w:ascii="Times New Roman" w:hAnsi="Times New Roman" w:eastAsia="仿宋_GB2312" w:cs="仿宋_GB2312"/>
          <w:color w:val="auto"/>
          <w:kern w:val="2"/>
          <w:sz w:val="32"/>
          <w:szCs w:val="32"/>
          <w:highlight w:val="none"/>
          <w:lang w:val="en-US" w:eastAsia="zh-CN" w:bidi="ar-SA"/>
        </w:rPr>
        <w:t>该项目与申报内容相符，申报目标合理可行。</w:t>
      </w:r>
    </w:p>
    <w:p>
      <w:pPr>
        <w:ind w:firstLine="643" w:firstLineChars="200"/>
        <w:rPr>
          <w:rFonts w:hint="eastAsia" w:ascii="仿宋_GB2312" w:hAnsi="仿宋_GB2312" w:eastAsia="仿宋_GB2312" w:cs="仿宋_GB2312"/>
          <w:b/>
          <w:sz w:val="32"/>
        </w:rPr>
      </w:pPr>
      <w:r>
        <w:rPr>
          <w:rFonts w:hint="eastAsia" w:ascii="仿宋_GB2312" w:hAnsi="仿宋_GB2312" w:eastAsia="仿宋_GB2312" w:cs="仿宋_GB2312"/>
          <w:b/>
          <w:sz w:val="32"/>
        </w:rPr>
        <w:t>（三）项目自评步骤及方法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该项目通过本单位自行成立讨论组的方式开展项目自评。</w:t>
      </w:r>
    </w:p>
    <w:p>
      <w:pPr>
        <w:ind w:firstLine="640" w:firstLineChars="200"/>
        <w:rPr>
          <w:rFonts w:hint="eastAsia" w:ascii="黑体" w:hAnsi="黑体" w:eastAsia="黑体" w:cs="黑体"/>
          <w:sz w:val="32"/>
        </w:rPr>
      </w:pPr>
      <w:r>
        <w:rPr>
          <w:rFonts w:hint="eastAsia" w:ascii="黑体" w:hAnsi="黑体" w:eastAsia="黑体" w:cs="黑体"/>
          <w:sz w:val="32"/>
        </w:rPr>
        <w:t>二、项目资金申报及使用情况</w:t>
      </w:r>
    </w:p>
    <w:p>
      <w:pPr>
        <w:ind w:firstLine="643" w:firstLineChars="200"/>
        <w:rPr>
          <w:rFonts w:hint="eastAsia" w:ascii="仿宋_GB2312" w:hAnsi="仿宋_GB2312" w:eastAsia="仿宋_GB2312" w:cs="仿宋_GB2312"/>
          <w:b/>
          <w:sz w:val="32"/>
        </w:rPr>
      </w:pPr>
      <w:r>
        <w:rPr>
          <w:rFonts w:hint="eastAsia" w:ascii="仿宋_GB2312" w:hAnsi="仿宋_GB2312" w:eastAsia="仿宋_GB2312" w:cs="仿宋_GB2312"/>
          <w:b/>
          <w:sz w:val="32"/>
        </w:rPr>
        <w:t>（一）项目资金申报及批复情况</w:t>
      </w:r>
    </w:p>
    <w:p>
      <w:pPr>
        <w:ind w:firstLine="640" w:firstLineChars="200"/>
        <w:rPr>
          <w:rFonts w:ascii="Times New Roman" w:hAnsi="Times New Roman" w:eastAsia="方正仿宋_GBK" w:cs="Times New Roman"/>
          <w:sz w:val="32"/>
        </w:rPr>
      </w:pPr>
      <w:r>
        <w:rPr>
          <w:rFonts w:hint="eastAsia" w:ascii="Times New Roman" w:hAnsi="Times New Roman" w:eastAsia="仿宋_GB2312" w:cs="仿宋_GB2312"/>
          <w:color w:val="auto"/>
          <w:kern w:val="2"/>
          <w:sz w:val="32"/>
          <w:szCs w:val="32"/>
          <w:highlight w:val="none"/>
          <w:lang w:val="en-US" w:eastAsia="zh-CN" w:bidi="ar-SA"/>
        </w:rPr>
        <w:t>该项目为年初申报项目，财政局于2024年下达该资金。</w:t>
      </w:r>
    </w:p>
    <w:p>
      <w:pPr>
        <w:ind w:firstLine="643" w:firstLineChars="200"/>
        <w:rPr>
          <w:rFonts w:hint="eastAsia" w:ascii="仿宋_GB2312" w:hAnsi="仿宋_GB2312" w:eastAsia="仿宋_GB2312" w:cs="仿宋_GB2312"/>
          <w:b/>
          <w:sz w:val="32"/>
        </w:rPr>
      </w:pPr>
      <w:r>
        <w:rPr>
          <w:rFonts w:hint="eastAsia" w:ascii="仿宋_GB2312" w:hAnsi="仿宋_GB2312" w:eastAsia="仿宋_GB2312" w:cs="仿宋_GB2312"/>
          <w:b/>
          <w:sz w:val="32"/>
          <w:lang w:eastAsia="zh-CN"/>
        </w:rPr>
        <w:t>（二）</w:t>
      </w:r>
      <w:r>
        <w:rPr>
          <w:rFonts w:hint="eastAsia" w:ascii="仿宋_GB2312" w:hAnsi="仿宋_GB2312" w:eastAsia="仿宋_GB2312" w:cs="仿宋_GB2312"/>
          <w:b/>
          <w:sz w:val="32"/>
        </w:rPr>
        <w:t>资金计划、到位及使用情况</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1.资金计划。</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该项目申报资金482.36万元。</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2.资金到位。</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该资金于2024年到位482.36万元，到位率100%。</w:t>
      </w:r>
    </w:p>
    <w:p>
      <w:pPr>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资金使用。</w:t>
      </w:r>
    </w:p>
    <w:p>
      <w:pPr>
        <w:ind w:firstLine="640" w:firstLineChars="20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该资金按照进度本年度支付482.36万元，支付率为100%</w:t>
      </w:r>
    </w:p>
    <w:p>
      <w:pPr>
        <w:ind w:firstLine="643" w:firstLineChars="200"/>
        <w:rPr>
          <w:rFonts w:hint="eastAsia" w:ascii="仿宋_GB2312" w:hAnsi="仿宋_GB2312" w:eastAsia="仿宋_GB2312" w:cs="仿宋_GB2312"/>
          <w:b/>
          <w:sz w:val="32"/>
        </w:rPr>
      </w:pPr>
      <w:r>
        <w:rPr>
          <w:rFonts w:hint="eastAsia" w:ascii="仿宋_GB2312" w:hAnsi="仿宋_GB2312" w:eastAsia="仿宋_GB2312" w:cs="仿宋_GB2312"/>
          <w:b/>
          <w:sz w:val="32"/>
        </w:rPr>
        <w:t>（三）项目财务管理情况</w:t>
      </w:r>
    </w:p>
    <w:p>
      <w:pPr>
        <w:ind w:firstLine="640" w:firstLineChars="200"/>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我单位严格执行《行政事业单位财务管理制度》，严格按照上级要求上报专项资金使用计划，并在实施过程中做到资金专项专用。所有支出严格按照财务会计管理规定，做到专项资金使用有计划、审批有手续、支出合理规范</w:t>
      </w:r>
      <w:r>
        <w:rPr>
          <w:rFonts w:hint="eastAsia" w:ascii="Times New Roman" w:hAnsi="Times New Roman" w:eastAsia="仿宋_GB2312" w:cs="仿宋_GB2312"/>
          <w:color w:val="auto"/>
          <w:kern w:val="2"/>
          <w:sz w:val="32"/>
          <w:szCs w:val="32"/>
          <w:highlight w:val="none"/>
          <w:lang w:val="zh-CN" w:eastAsia="zh-CN" w:bidi="ar-SA"/>
        </w:rPr>
        <w:t>。</w:t>
      </w:r>
    </w:p>
    <w:p>
      <w:pPr>
        <w:ind w:firstLine="643" w:firstLineChars="200"/>
        <w:rPr>
          <w:rFonts w:hint="eastAsia" w:ascii="仿宋_GB2312" w:hAnsi="仿宋_GB2312" w:eastAsia="仿宋_GB2312" w:cs="仿宋_GB2312"/>
          <w:b/>
          <w:bCs/>
          <w:sz w:val="32"/>
        </w:rPr>
      </w:pPr>
      <w:r>
        <w:rPr>
          <w:rFonts w:hint="eastAsia" w:ascii="仿宋_GB2312" w:hAnsi="仿宋_GB2312" w:eastAsia="仿宋_GB2312" w:cs="仿宋_GB2312"/>
          <w:b/>
          <w:bCs/>
          <w:sz w:val="32"/>
        </w:rPr>
        <w:t>三、项目实施及管理情况</w:t>
      </w:r>
    </w:p>
    <w:p>
      <w:pPr>
        <w:ind w:firstLine="640" w:firstLineChars="200"/>
        <w:rPr>
          <w:rFonts w:ascii="Times New Roman" w:hAnsi="Times New Roman" w:eastAsia="方正仿宋_GBK" w:cs="Times New Roman"/>
          <w:sz w:val="32"/>
        </w:rPr>
      </w:pPr>
      <w:r>
        <w:rPr>
          <w:rFonts w:hint="eastAsia" w:ascii="Times New Roman" w:hAnsi="Times New Roman" w:eastAsia="仿宋_GB2312" w:cs="仿宋_GB2312"/>
          <w:color w:val="auto"/>
          <w:kern w:val="2"/>
          <w:sz w:val="32"/>
          <w:szCs w:val="32"/>
          <w:highlight w:val="none"/>
          <w:lang w:val="en-US" w:eastAsia="zh-CN" w:bidi="ar-SA"/>
        </w:rPr>
        <w:t>结合项目组织实施管理办法，重点围绕以下内容进行分析评价，并对自评中发现的问题分析说明。</w:t>
      </w:r>
    </w:p>
    <w:p>
      <w:pPr>
        <w:ind w:firstLine="643" w:firstLineChars="200"/>
        <w:rPr>
          <w:rFonts w:hint="eastAsia" w:ascii="仿宋_GB2312" w:hAnsi="仿宋_GB2312" w:eastAsia="仿宋_GB2312" w:cs="仿宋_GB2312"/>
          <w:b/>
          <w:bCs w:val="0"/>
          <w:sz w:val="32"/>
        </w:rPr>
      </w:pPr>
      <w:r>
        <w:rPr>
          <w:rFonts w:hint="eastAsia" w:ascii="仿宋_GB2312" w:hAnsi="仿宋_GB2312" w:eastAsia="仿宋_GB2312" w:cs="仿宋_GB2312"/>
          <w:b/>
          <w:bCs w:val="0"/>
          <w:sz w:val="32"/>
        </w:rPr>
        <w:t>（一）项目组织架构及实施流程。</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通过常设领导小组统筹决策，下设综合协调组、执行组、监督组等。领导小组综合把控方向，综合协调组负责沟通衔接，执行组推进具体任务，监督组确保合规与进度。实施过程先明确项目目标，范围与预算，再细化任务，分配职责与资源，保障全流程有序推进。</w:t>
      </w:r>
    </w:p>
    <w:p>
      <w:pPr>
        <w:ind w:firstLine="643" w:firstLineChars="200"/>
        <w:rPr>
          <w:rFonts w:ascii="Times New Roman" w:hAnsi="Times New Roman" w:eastAsia="方正楷体_GBK" w:cs="Times New Roman"/>
          <w:b/>
          <w:sz w:val="32"/>
        </w:rPr>
      </w:pPr>
      <w:r>
        <w:rPr>
          <w:rFonts w:hint="eastAsia" w:ascii="仿宋_GB2312" w:hAnsi="仿宋_GB2312" w:eastAsia="仿宋_GB2312" w:cs="仿宋_GB2312"/>
          <w:b/>
          <w:bCs w:val="0"/>
          <w:sz w:val="32"/>
        </w:rPr>
        <w:t>（二）项目管理情况。</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本单位项目严格按照项目实施单位申报，综合管理部门统筹，根据项目资金使用情况开展招标、公示工作。</w:t>
      </w:r>
    </w:p>
    <w:p>
      <w:pPr>
        <w:numPr>
          <w:ilvl w:val="0"/>
          <w:numId w:val="5"/>
        </w:numPr>
        <w:ind w:left="0" w:leftChars="0" w:firstLine="643" w:firstLineChars="200"/>
        <w:rPr>
          <w:rFonts w:ascii="Times New Roman" w:hAnsi="Times New Roman" w:eastAsia="方正楷体_GBK" w:cs="Times New Roman"/>
          <w:b/>
          <w:sz w:val="32"/>
        </w:rPr>
      </w:pPr>
      <w:r>
        <w:rPr>
          <w:rFonts w:hint="eastAsia" w:ascii="仿宋_GB2312" w:hAnsi="仿宋_GB2312" w:eastAsia="仿宋_GB2312" w:cs="仿宋_GB2312"/>
          <w:b/>
          <w:bCs w:val="0"/>
          <w:sz w:val="32"/>
        </w:rPr>
        <w:t>项目监管情况。</w:t>
      </w:r>
    </w:p>
    <w:p>
      <w:pPr>
        <w:numPr>
          <w:ilvl w:val="0"/>
          <w:numId w:val="0"/>
        </w:numPr>
        <w:ind w:firstLine="640" w:firstLineChars="200"/>
        <w:rPr>
          <w:rFonts w:hint="eastAsia" w:ascii="Times New Roman" w:hAnsi="Times New Roman" w:eastAsia="方正仿宋_GBK" w:cs="Times New Roman"/>
          <w:sz w:val="32"/>
          <w:lang w:eastAsia="zh-CN"/>
        </w:rPr>
      </w:pPr>
      <w:r>
        <w:rPr>
          <w:rFonts w:hint="eastAsia" w:ascii="Times New Roman" w:hAnsi="Times New Roman" w:eastAsia="仿宋_GB2312" w:cs="仿宋_GB2312"/>
          <w:color w:val="auto"/>
          <w:kern w:val="2"/>
          <w:sz w:val="32"/>
          <w:szCs w:val="32"/>
          <w:highlight w:val="none"/>
          <w:lang w:val="en-US" w:eastAsia="zh-CN" w:bidi="ar-SA"/>
        </w:rPr>
        <w:t>该项目通过事中实施过程中相关业务部门对资金的到位、审核、支付全流程监督。</w:t>
      </w:r>
    </w:p>
    <w:p>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四、项目绩效情况</w:t>
      </w:r>
    </w:p>
    <w:p>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（一）项目完成情况</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项目实施严格按照相关规定程序进行，资金支付按专项资金管理使用流程进行申报、支付。确保项目顺利实施，确保资金使用效率。</w:t>
      </w:r>
    </w:p>
    <w:p>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（二）项目效益情况</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该项目不产生效益。</w:t>
      </w:r>
    </w:p>
    <w:p>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五、评价结论及建议</w:t>
      </w:r>
    </w:p>
    <w:p>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（一）评价结论</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通过项目的实施，实现了该项目预期价值，有效提升公安综合能力。</w:t>
      </w:r>
    </w:p>
    <w:p>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（二）存在的问题</w:t>
      </w:r>
    </w:p>
    <w:p>
      <w:pPr>
        <w:ind w:firstLine="640" w:firstLineChars="200"/>
        <w:rPr>
          <w:rFonts w:ascii="Times New Roman" w:hAnsi="Times New Roman" w:eastAsia="方正仿宋_GBK" w:cs="Times New Roman"/>
          <w:sz w:val="32"/>
        </w:rPr>
      </w:pPr>
      <w:r>
        <w:rPr>
          <w:rFonts w:hint="eastAsia" w:ascii="Times New Roman" w:hAnsi="Times New Roman" w:eastAsia="仿宋_GB2312" w:cs="仿宋_GB2312"/>
          <w:color w:val="auto"/>
          <w:kern w:val="2"/>
          <w:sz w:val="32"/>
          <w:szCs w:val="32"/>
          <w:highlight w:val="none"/>
          <w:lang w:val="en-US" w:eastAsia="zh-CN" w:bidi="ar-SA"/>
        </w:rPr>
        <w:t>无。</w:t>
      </w:r>
    </w:p>
    <w:p>
      <w:pPr>
        <w:ind w:firstLine="643" w:firstLineChars="200"/>
        <w:rPr>
          <w:rFonts w:ascii="Times New Roman" w:hAnsi="Times New Roman" w:eastAsia="方正楷体_GBK" w:cs="Times New Roman"/>
          <w:b/>
          <w:sz w:val="32"/>
        </w:rPr>
      </w:pPr>
      <w:r>
        <w:rPr>
          <w:rFonts w:ascii="Times New Roman" w:hAnsi="Times New Roman" w:eastAsia="方正楷体_GBK" w:cs="Times New Roman"/>
          <w:b/>
          <w:sz w:val="32"/>
        </w:rPr>
        <w:t>（三）相关建议</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无。</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pPr>
        <w:spacing w:line="0" w:lineRule="atLeast"/>
        <w:jc w:val="center"/>
        <w:rPr>
          <w:rFonts w:hint="eastAsia" w:ascii="黑体" w:hAnsi="黑体" w:eastAsia="黑体" w:cs="黑体"/>
          <w:b/>
          <w:sz w:val="44"/>
          <w:szCs w:val="44"/>
        </w:rPr>
      </w:pPr>
      <w:bookmarkStart w:id="52" w:name="_Toc15396618"/>
      <w:r>
        <w:rPr>
          <w:rFonts w:hint="eastAsia" w:ascii="Times New Roman" w:hAnsi="Times New Roman" w:eastAsia="仿宋_GB2312" w:cs="仿宋_GB2312"/>
          <w:b w:val="0"/>
          <w:bCs w:val="0"/>
          <w:kern w:val="0"/>
          <w:position w:val="0"/>
          <w:sz w:val="32"/>
          <w:szCs w:val="32"/>
          <w:highlight w:val="none"/>
          <w:lang w:val="en-US" w:eastAsia="zh-CN" w:bidi="ar-SA"/>
        </w:rPr>
        <w:br w:type="page"/>
      </w:r>
      <w:r>
        <w:rPr>
          <w:rFonts w:hint="eastAsia" w:ascii="黑体" w:hAnsi="黑体" w:eastAsia="黑体" w:cs="黑体"/>
          <w:b/>
          <w:sz w:val="44"/>
          <w:szCs w:val="44"/>
        </w:rPr>
        <w:t>盐边县公安局</w:t>
      </w:r>
    </w:p>
    <w:p>
      <w:pPr>
        <w:spacing w:line="0" w:lineRule="atLeast"/>
        <w:jc w:val="center"/>
        <w:rPr>
          <w:rFonts w:hint="eastAsia" w:ascii="Times New Roman" w:hAnsi="Times New Roman" w:eastAsia="方正小标宋_GBK" w:cs="Times New Roman"/>
          <w:b/>
          <w:sz w:val="44"/>
          <w:szCs w:val="44"/>
          <w:lang w:eastAsia="zh-CN"/>
        </w:rPr>
      </w:pPr>
      <w:r>
        <w:rPr>
          <w:rFonts w:hint="eastAsia" w:ascii="黑体" w:hAnsi="黑体" w:eastAsia="黑体" w:cs="黑体"/>
          <w:b/>
          <w:sz w:val="44"/>
          <w:szCs w:val="44"/>
        </w:rPr>
        <w:t>档案数字化预算项目绩效自评报告</w:t>
      </w:r>
      <w:r>
        <w:rPr>
          <w:rFonts w:hint="eastAsia" w:ascii="Times New Roman" w:hAnsi="Times New Roman" w:eastAsia="方正小标宋_GBK" w:cs="Times New Roman"/>
          <w:b/>
          <w:sz w:val="44"/>
          <w:szCs w:val="44"/>
          <w:lang w:val="en-US" w:eastAsia="zh-CN"/>
        </w:rPr>
        <w:t xml:space="preserve"> </w:t>
      </w:r>
    </w:p>
    <w:p>
      <w:pPr>
        <w:widowControl w:val="0"/>
        <w:spacing w:line="600" w:lineRule="exact"/>
        <w:ind w:firstLine="640"/>
        <w:jc w:val="center"/>
        <w:rPr>
          <w:rFonts w:hint="eastAsia" w:ascii="Times New Roman" w:hAnsi="Times New Roman" w:eastAsia="宋体" w:cs="Times New Roman"/>
          <w:color w:val="auto"/>
          <w:kern w:val="2"/>
          <w:sz w:val="32"/>
          <w:szCs w:val="32"/>
          <w:lang w:val="en-US" w:eastAsia="zh-CN" w:bidi="ar-SA"/>
        </w:rPr>
      </w:pPr>
      <w:r>
        <w:rPr>
          <w:rFonts w:hint="eastAsia" w:ascii="Times New Roman" w:hAnsi="??" w:eastAsia="方正楷体_GBK" w:cs="宋体"/>
          <w:b/>
          <w:color w:val="000000"/>
          <w:kern w:val="0"/>
          <w:sz w:val="28"/>
          <w:szCs w:val="32"/>
          <w:lang w:val="en-US" w:eastAsia="zh-CN" w:bidi="ar-SA"/>
        </w:rPr>
        <w:t xml:space="preserve"> </w:t>
      </w:r>
    </w:p>
    <w:p>
      <w:pPr>
        <w:ind w:firstLine="640" w:firstLineChars="200"/>
        <w:rPr>
          <w:rFonts w:hint="eastAsia" w:ascii="黑体" w:hAnsi="黑体" w:eastAsia="黑体" w:cs="黑体"/>
          <w:sz w:val="32"/>
        </w:rPr>
      </w:pPr>
      <w:r>
        <w:rPr>
          <w:rFonts w:hint="eastAsia" w:ascii="黑体" w:hAnsi="黑体" w:eastAsia="黑体" w:cs="黑体"/>
          <w:sz w:val="32"/>
        </w:rPr>
        <w:t>一、项目概况</w:t>
      </w:r>
    </w:p>
    <w:p>
      <w:pPr>
        <w:ind w:firstLine="643" w:firstLineChars="20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（一）项目基本情况</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目前桐雅线5套交通卡口抓拍设备。为实现全线覆盖，现增加若水大桥，桐子林电站路段、桐雅线雅江桥新增4套设备。</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1.项目立项、资金申报的依据。</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为了更好的降低全县道路交通事故。</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2.资金管理办法制定情况，资金支持具体项目的条件、范围与支持方式概况。</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3.该资金为县级资金，用于购置一批交通信号灯。</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资金分配的原则及考虑因素。</w:t>
      </w:r>
    </w:p>
    <w:p>
      <w:pPr>
        <w:ind w:firstLine="640" w:firstLineChars="20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该项目申报资金49.93万元。盐边县财政局年初下达县级资金49.93万元，资金到位率100%.</w:t>
      </w:r>
    </w:p>
    <w:p>
      <w:pPr>
        <w:ind w:firstLine="643"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（二）项目绩效目标</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1.项目主要内容。</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全县道路交通事故频发，为有效减少全县道路交通事故，现购置一批交通信号灯，用于管控交通。</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2.项目应实现的具体绩效目标，包括目标的量化、细化情况以及项目实施进度计划等。</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该项目根据实际所产生的年度预计费用设立数量、质量、社会效益、满意度等指标进行综合评定，评定细则符合该项目实际实施进度。</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分析评价申报内容是否与实际相符，申报目标是否合理可行。</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该项目与申报内容相符，申报目标合理可行。</w:t>
      </w:r>
    </w:p>
    <w:p>
      <w:pPr>
        <w:ind w:firstLine="643" w:firstLineChars="20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（三）项目自评步骤及方法</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该项目通过本单位自行成立讨论组的方式开展项目自评。</w:t>
      </w:r>
    </w:p>
    <w:p>
      <w:pPr>
        <w:ind w:firstLine="640" w:firstLineChars="200"/>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二、项目资金申报及使用情况</w:t>
      </w:r>
    </w:p>
    <w:p>
      <w:pPr>
        <w:ind w:firstLine="643"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（一）项目资金申报及批复情况</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该项目为年初申报项目，财政局于年初下达该资金。</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资金计划、到位及使用情况</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1.资金计划。</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该项目申报资金50万元。</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2.资金到位。</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该资金于年初到位50万元，到位率100%。</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3.资金使用。</w:t>
      </w:r>
    </w:p>
    <w:p>
      <w:pPr>
        <w:ind w:firstLine="640" w:firstLineChars="20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该资金按照进度本年度支付49.93万元，支付率为99.86%.</w:t>
      </w:r>
    </w:p>
    <w:p>
      <w:pPr>
        <w:ind w:firstLine="643" w:firstLineChars="20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（三）项目财务管理情况</w:t>
      </w:r>
    </w:p>
    <w:p>
      <w:pPr>
        <w:ind w:firstLine="640" w:firstLineChars="200"/>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我单位严格执行《行政事业单位财务管理制度》，严格按照上级要求上报专项资金使用计划，并在实施过程中做到资金专项专用。所有支出严格按照财务会计管理规定，做到专项资金使用有计划、审批有手续、支出合理规范</w:t>
      </w:r>
      <w:r>
        <w:rPr>
          <w:rFonts w:hint="eastAsia" w:ascii="Times New Roman" w:hAnsi="Times New Roman" w:eastAsia="仿宋_GB2312" w:cs="仿宋_GB2312"/>
          <w:color w:val="auto"/>
          <w:kern w:val="2"/>
          <w:sz w:val="32"/>
          <w:szCs w:val="32"/>
          <w:highlight w:val="none"/>
          <w:lang w:val="zh-CN" w:eastAsia="zh-CN" w:bidi="ar-SA"/>
        </w:rPr>
        <w:t>。</w:t>
      </w:r>
    </w:p>
    <w:p>
      <w:pPr>
        <w:ind w:firstLine="640" w:firstLineChars="200"/>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三、项目实施及管理情况</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结合项目组织实施管理办法，重点围绕以下内容进行分析评价，并对自评中发现的问题分析说明。</w:t>
      </w:r>
    </w:p>
    <w:p>
      <w:pPr>
        <w:ind w:firstLine="643"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（一）项目组织架构及实施流程。</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通过常设领导小组统筹决策，下设综合协调组、执行组、监督组等。领导小组综合把控方向，综合协调组负责沟通衔接，执行组推进具体任务，监督组确保合规与进度。实施过程先明确项目目标，范围与预算，再细化任务，分配职责与资源，保障全流程有序推进。</w:t>
      </w:r>
    </w:p>
    <w:p>
      <w:pPr>
        <w:ind w:firstLine="643" w:firstLineChars="20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（二）项目管理情况。</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本单位项目严格按照项目实施单位申报，综合管理部门统筹，根据项目资金使用情况开展招标、公示工作。</w:t>
      </w:r>
    </w:p>
    <w:p>
      <w:pPr>
        <w:ind w:firstLine="643" w:firstLineChars="20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（三）项目监管情况。</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该项目通过事中实施过程中相关业务部门对资金的到位、审核、支付全流程监督。</w:t>
      </w:r>
    </w:p>
    <w:p>
      <w:pPr>
        <w:ind w:firstLine="640" w:firstLineChars="200"/>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四、项目绩效情况</w:t>
      </w:r>
    </w:p>
    <w:p>
      <w:pPr>
        <w:ind w:firstLine="643" w:firstLineChars="20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（一）项目完成情况</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项目实施严格按照相关规定程序进行，资金支付按专项资金管理使用流程进行申报、支付。确保项目顺利实施，确保资金使用效率。</w:t>
      </w:r>
    </w:p>
    <w:p>
      <w:pPr>
        <w:ind w:firstLine="643" w:firstLineChars="20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（二）项目效益情况</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该项目不产生效益。</w:t>
      </w:r>
    </w:p>
    <w:p>
      <w:pPr>
        <w:ind w:firstLine="640" w:firstLineChars="200"/>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五、评价结论及建议</w:t>
      </w:r>
    </w:p>
    <w:p>
      <w:pPr>
        <w:ind w:firstLine="643" w:firstLineChars="20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（一）评价结论</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通过项目的实施，实现了该项目预期价值，有效提升公安综合能力。</w:t>
      </w:r>
    </w:p>
    <w:p>
      <w:pPr>
        <w:ind w:firstLine="643" w:firstLineChars="20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（二）存在的问题</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无。</w:t>
      </w:r>
    </w:p>
    <w:p>
      <w:pPr>
        <w:ind w:firstLine="643" w:firstLineChars="20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（三）相关建议</w:t>
      </w:r>
    </w:p>
    <w:p>
      <w:pPr>
        <w:ind w:firstLine="640" w:firstLineChars="200"/>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无。</w:t>
      </w: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spacing w:line="0" w:lineRule="atLeast"/>
        <w:jc w:val="center"/>
        <w:rPr>
          <w:rFonts w:hint="eastAsia" w:ascii="Times New Roman" w:hAnsi="Times New Roman" w:eastAsia="方正小标宋_GBK" w:cs="Times New Roman"/>
          <w:b/>
          <w:sz w:val="44"/>
          <w:szCs w:val="44"/>
        </w:rPr>
      </w:pPr>
    </w:p>
    <w:p>
      <w:pPr>
        <w:spacing w:line="0" w:lineRule="atLeast"/>
        <w:jc w:val="center"/>
        <w:rPr>
          <w:rFonts w:hint="eastAsia" w:ascii="Times New Roman" w:hAnsi="Times New Roman" w:eastAsia="方正小标宋_GBK" w:cs="Times New Roman"/>
          <w:b/>
          <w:sz w:val="44"/>
          <w:szCs w:val="44"/>
        </w:rPr>
      </w:pPr>
    </w:p>
    <w:p>
      <w:pPr>
        <w:spacing w:line="0" w:lineRule="atLeast"/>
        <w:jc w:val="center"/>
        <w:rPr>
          <w:rFonts w:hint="eastAsia" w:ascii="Times New Roman" w:hAnsi="Times New Roman" w:eastAsia="方正小标宋_GBK" w:cs="Times New Roman"/>
          <w:b/>
          <w:sz w:val="44"/>
          <w:szCs w:val="44"/>
        </w:rPr>
      </w:pPr>
    </w:p>
    <w:p>
      <w:pPr>
        <w:spacing w:line="0" w:lineRule="atLeast"/>
        <w:jc w:val="center"/>
        <w:rPr>
          <w:rFonts w:hint="eastAsia" w:ascii="Times New Roman" w:hAnsi="Times New Roman" w:eastAsia="方正小标宋_GBK" w:cs="Times New Roman"/>
          <w:b/>
          <w:sz w:val="44"/>
          <w:szCs w:val="44"/>
        </w:rPr>
      </w:pPr>
    </w:p>
    <w:p>
      <w:pPr>
        <w:spacing w:line="0" w:lineRule="atLeast"/>
        <w:jc w:val="center"/>
        <w:rPr>
          <w:rFonts w:hint="eastAsia" w:ascii="Times New Roman" w:hAnsi="Times New Roman" w:eastAsia="方正小标宋_GBK" w:cs="Times New Roman"/>
          <w:b/>
          <w:sz w:val="44"/>
          <w:szCs w:val="44"/>
        </w:rPr>
      </w:pPr>
    </w:p>
    <w:p>
      <w:pPr>
        <w:spacing w:line="0" w:lineRule="atLeast"/>
        <w:jc w:val="center"/>
        <w:rPr>
          <w:rFonts w:hint="eastAsia" w:ascii="Times New Roman" w:hAnsi="Times New Roman" w:eastAsia="方正小标宋_GBK" w:cs="Times New Roman"/>
          <w:b/>
          <w:sz w:val="44"/>
          <w:szCs w:val="44"/>
        </w:rPr>
      </w:pPr>
    </w:p>
    <w:p>
      <w:pPr>
        <w:spacing w:line="0" w:lineRule="atLeast"/>
        <w:jc w:val="center"/>
        <w:rPr>
          <w:rFonts w:hint="eastAsia" w:ascii="Times New Roman" w:hAnsi="Times New Roman" w:eastAsia="方正小标宋_GBK" w:cs="Times New Roman"/>
          <w:b/>
          <w:sz w:val="44"/>
          <w:szCs w:val="44"/>
        </w:rPr>
      </w:pPr>
    </w:p>
    <w:p>
      <w:pPr>
        <w:spacing w:line="0" w:lineRule="atLeast"/>
        <w:jc w:val="center"/>
        <w:rPr>
          <w:rFonts w:hint="eastAsia" w:ascii="Times New Roman" w:hAnsi="Times New Roman" w:eastAsia="方正小标宋_GBK" w:cs="Times New Roman"/>
          <w:b/>
          <w:sz w:val="44"/>
          <w:szCs w:val="44"/>
        </w:rPr>
      </w:pPr>
    </w:p>
    <w:p>
      <w:pPr>
        <w:spacing w:line="0" w:lineRule="atLeast"/>
        <w:jc w:val="center"/>
        <w:rPr>
          <w:rFonts w:hint="eastAsia" w:ascii="Times New Roman" w:hAnsi="Times New Roman" w:eastAsia="方正小标宋_GBK" w:cs="Times New Roman"/>
          <w:b/>
          <w:sz w:val="44"/>
          <w:szCs w:val="44"/>
        </w:rPr>
      </w:pPr>
    </w:p>
    <w:p>
      <w:pPr>
        <w:spacing w:line="0" w:lineRule="atLeast"/>
        <w:jc w:val="center"/>
        <w:rPr>
          <w:rFonts w:hint="eastAsia" w:ascii="Times New Roman" w:hAnsi="Times New Roman" w:eastAsia="方正小标宋_GBK" w:cs="Times New Roman"/>
          <w:b/>
          <w:sz w:val="44"/>
          <w:szCs w:val="44"/>
        </w:rPr>
      </w:pPr>
    </w:p>
    <w:p>
      <w:pPr>
        <w:spacing w:line="0" w:lineRule="atLeast"/>
        <w:jc w:val="center"/>
        <w:rPr>
          <w:rFonts w:hint="eastAsia" w:ascii="Times New Roman" w:hAnsi="Times New Roman" w:eastAsia="方正小标宋_GBK" w:cs="Times New Roman"/>
          <w:b/>
          <w:sz w:val="44"/>
          <w:szCs w:val="44"/>
        </w:rPr>
      </w:pPr>
    </w:p>
    <w:p>
      <w:pPr>
        <w:spacing w:line="0" w:lineRule="atLeast"/>
        <w:jc w:val="center"/>
        <w:rPr>
          <w:rFonts w:hint="eastAsia" w:ascii="Times New Roman" w:hAnsi="Times New Roman" w:eastAsia="方正小标宋_GBK" w:cs="Times New Roman"/>
          <w:b/>
          <w:sz w:val="44"/>
          <w:szCs w:val="44"/>
        </w:rPr>
      </w:pPr>
    </w:p>
    <w:p>
      <w:pPr>
        <w:spacing w:line="0" w:lineRule="atLeast"/>
        <w:jc w:val="center"/>
        <w:rPr>
          <w:rFonts w:hint="eastAsia" w:ascii="黑体" w:hAnsi="黑体" w:eastAsia="黑体" w:cs="黑体"/>
          <w:b/>
          <w:sz w:val="44"/>
          <w:szCs w:val="44"/>
        </w:rPr>
      </w:pPr>
      <w:r>
        <w:rPr>
          <w:rFonts w:hint="eastAsia" w:ascii="黑体" w:hAnsi="黑体" w:eastAsia="黑体" w:cs="黑体"/>
          <w:b/>
          <w:sz w:val="44"/>
          <w:szCs w:val="44"/>
        </w:rPr>
        <w:t>盐边县公安局</w:t>
      </w:r>
    </w:p>
    <w:p>
      <w:pPr>
        <w:spacing w:line="0" w:lineRule="atLeast"/>
        <w:jc w:val="center"/>
        <w:rPr>
          <w:rFonts w:hint="eastAsia" w:ascii="黑体" w:hAnsi="黑体" w:eastAsia="黑体" w:cs="黑体"/>
          <w:b/>
          <w:sz w:val="44"/>
          <w:szCs w:val="44"/>
        </w:rPr>
      </w:pPr>
      <w:r>
        <w:rPr>
          <w:rFonts w:hint="eastAsia" w:ascii="黑体" w:hAnsi="黑体" w:eastAsia="黑体" w:cs="黑体"/>
          <w:b/>
          <w:sz w:val="44"/>
          <w:szCs w:val="44"/>
        </w:rPr>
        <w:t>办公设备购置（中小企业欠款）</w:t>
      </w:r>
    </w:p>
    <w:p>
      <w:pPr>
        <w:spacing w:line="0" w:lineRule="atLeast"/>
        <w:jc w:val="center"/>
        <w:rPr>
          <w:rFonts w:hint="eastAsia" w:ascii="黑体" w:hAnsi="黑体" w:eastAsia="黑体" w:cs="黑体"/>
          <w:b/>
          <w:sz w:val="44"/>
          <w:szCs w:val="44"/>
          <w:lang w:eastAsia="zh-CN"/>
        </w:rPr>
      </w:pPr>
      <w:r>
        <w:rPr>
          <w:rFonts w:hint="eastAsia" w:ascii="黑体" w:hAnsi="黑体" w:eastAsia="黑体" w:cs="黑体"/>
          <w:b/>
          <w:sz w:val="44"/>
          <w:szCs w:val="44"/>
        </w:rPr>
        <w:t>绩效自评报告</w:t>
      </w:r>
      <w:r>
        <w:rPr>
          <w:rFonts w:hint="eastAsia" w:ascii="黑体" w:hAnsi="黑体" w:eastAsia="黑体" w:cs="黑体"/>
          <w:b/>
          <w:sz w:val="44"/>
          <w:szCs w:val="44"/>
          <w:lang w:val="en-US" w:eastAsia="zh-CN"/>
        </w:rPr>
        <w:t xml:space="preserve"> </w:t>
      </w:r>
    </w:p>
    <w:p>
      <w:pPr>
        <w:widowControl w:val="0"/>
        <w:spacing w:line="600" w:lineRule="exact"/>
        <w:ind w:firstLine="640"/>
        <w:jc w:val="center"/>
        <w:rPr>
          <w:rFonts w:hint="eastAsia" w:ascii="Times New Roman" w:hAnsi="Times New Roman" w:eastAsia="宋体" w:cs="Times New Roman"/>
          <w:color w:val="auto"/>
          <w:kern w:val="2"/>
          <w:sz w:val="32"/>
          <w:szCs w:val="32"/>
          <w:lang w:val="en-US" w:eastAsia="zh-CN" w:bidi="ar-SA"/>
        </w:rPr>
      </w:pPr>
      <w:r>
        <w:rPr>
          <w:rFonts w:hint="eastAsia" w:ascii="Times New Roman" w:hAnsi="??" w:eastAsia="方正楷体_GBK" w:cs="宋体"/>
          <w:b/>
          <w:color w:val="000000"/>
          <w:kern w:val="0"/>
          <w:sz w:val="28"/>
          <w:szCs w:val="32"/>
          <w:lang w:val="en-US" w:eastAsia="zh-CN" w:bidi="ar-SA"/>
        </w:rPr>
        <w:t xml:space="preserve"> </w:t>
      </w:r>
    </w:p>
    <w:p>
      <w:pPr>
        <w:ind w:firstLine="640" w:firstLineChars="200"/>
        <w:rPr>
          <w:rFonts w:hint="eastAsia" w:ascii="黑体" w:hAnsi="黑体" w:eastAsia="黑体" w:cs="黑体"/>
          <w:sz w:val="32"/>
        </w:rPr>
      </w:pPr>
      <w:r>
        <w:rPr>
          <w:rFonts w:hint="eastAsia" w:ascii="黑体" w:hAnsi="黑体" w:eastAsia="黑体" w:cs="黑体"/>
          <w:sz w:val="32"/>
        </w:rPr>
        <w:t>一、项目概况</w:t>
      </w:r>
    </w:p>
    <w:p>
      <w:pPr>
        <w:ind w:firstLine="643" w:firstLineChars="20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（一）项目基本情况</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为保障公安基本工作持续运行，对县局机关及各派驻单位的电脑、打印机、扫描仪进行更换。</w:t>
      </w:r>
    </w:p>
    <w:p>
      <w:pPr>
        <w:ind w:firstLine="640" w:firstLineChars="200"/>
        <w:rPr>
          <w:rFonts w:hint="eastAsia" w:ascii="Times New Roman" w:hAnsi="Times New Roman" w:eastAsia="仿宋_GB2312" w:cs="仿宋_GB2312"/>
          <w:b w:val="0"/>
          <w:bCs w:val="0"/>
          <w:color w:val="auto"/>
          <w:kern w:val="2"/>
          <w:sz w:val="32"/>
          <w:szCs w:val="32"/>
          <w:highlight w:val="none"/>
          <w:lang w:val="en-US" w:eastAsia="zh-CN" w:bidi="ar-SA"/>
        </w:rPr>
      </w:pPr>
      <w:r>
        <w:rPr>
          <w:rFonts w:hint="eastAsia" w:ascii="Times New Roman" w:hAnsi="Times New Roman" w:eastAsia="仿宋_GB2312" w:cs="仿宋_GB2312"/>
          <w:b w:val="0"/>
          <w:bCs w:val="0"/>
          <w:color w:val="auto"/>
          <w:kern w:val="2"/>
          <w:sz w:val="32"/>
          <w:szCs w:val="32"/>
          <w:highlight w:val="none"/>
          <w:lang w:val="en-US" w:eastAsia="zh-CN" w:bidi="ar-SA"/>
        </w:rPr>
        <w:t>1.项目立项、资金申报的依据。</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现有的电脑、打印机已到达更换年限，现对符合条件的办公设备进行更换。</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2.资金管理办法制定情况，资金支持具体项目的条件、范围与支持方式概况。</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根据报废办公设备更换率，对现有办公设备进行更换。</w:t>
      </w:r>
    </w:p>
    <w:p>
      <w:pPr>
        <w:ind w:firstLine="640" w:firstLineChars="200"/>
        <w:rPr>
          <w:rFonts w:hint="eastAsia" w:ascii="Times New Roman" w:hAnsi="Times New Roman" w:eastAsia="仿宋_GB2312" w:cs="仿宋_GB2312"/>
          <w:b w:val="0"/>
          <w:bCs w:val="0"/>
          <w:color w:val="auto"/>
          <w:kern w:val="2"/>
          <w:sz w:val="32"/>
          <w:szCs w:val="32"/>
          <w:highlight w:val="none"/>
          <w:lang w:val="en-US" w:eastAsia="zh-CN" w:bidi="ar-SA"/>
        </w:rPr>
      </w:pPr>
      <w:r>
        <w:rPr>
          <w:rFonts w:hint="eastAsia" w:ascii="Times New Roman" w:hAnsi="Times New Roman" w:eastAsia="仿宋_GB2312" w:cs="仿宋_GB2312"/>
          <w:b w:val="0"/>
          <w:bCs w:val="0"/>
          <w:color w:val="auto"/>
          <w:kern w:val="2"/>
          <w:sz w:val="32"/>
          <w:szCs w:val="32"/>
          <w:highlight w:val="none"/>
          <w:lang w:val="en-US" w:eastAsia="zh-CN" w:bidi="ar-SA"/>
        </w:rPr>
        <w:t>3.资金分配的原则及考虑因素。</w:t>
      </w:r>
    </w:p>
    <w:p>
      <w:pPr>
        <w:ind w:firstLine="640" w:firstLineChars="20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该项目申报资金34.75万元。盐边县财政局年初下达县级资金34.75万元，资金到位率100%。</w:t>
      </w:r>
    </w:p>
    <w:p>
      <w:pPr>
        <w:ind w:firstLine="643" w:firstLineChars="20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（二）项目绩效目标</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1.项目主要内容。</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盐边县公安局现有的办公设备过于陈旧，现对部分达到更换年限的办公设备进行更换。</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2.项目应实现的具体绩效目标，包括目标的量化、细化情况以及项目实施进度计划等。</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该项目根据实际所产生的年度预计费用设立数量、质量、社会效益、满意度等指标进行综合评定，评定细则符合该项目实际实施进度。</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分析评价申报内容是否与实际相符，申报目标是否合理可行。</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该项目与申报内容相符，申报目标合理可行。</w:t>
      </w:r>
    </w:p>
    <w:p>
      <w:pPr>
        <w:ind w:firstLine="643" w:firstLineChars="20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（三）项目自评步骤及方法</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该项目通过本单位自行成立讨论组的方式开展项目自评。</w:t>
      </w:r>
    </w:p>
    <w:p>
      <w:pPr>
        <w:ind w:firstLine="643" w:firstLineChars="200"/>
        <w:rPr>
          <w:rFonts w:hint="eastAsia" w:ascii="黑体" w:hAnsi="黑体" w:eastAsia="黑体" w:cs="黑体"/>
          <w:b/>
          <w:bCs/>
          <w:color w:val="auto"/>
          <w:kern w:val="2"/>
          <w:sz w:val="32"/>
          <w:szCs w:val="32"/>
          <w:highlight w:val="none"/>
          <w:lang w:val="en-US" w:eastAsia="zh-CN" w:bidi="ar-SA"/>
        </w:rPr>
      </w:pPr>
      <w:r>
        <w:rPr>
          <w:rFonts w:hint="eastAsia" w:ascii="黑体" w:hAnsi="黑体" w:eastAsia="黑体" w:cs="黑体"/>
          <w:b/>
          <w:bCs/>
          <w:color w:val="auto"/>
          <w:kern w:val="2"/>
          <w:sz w:val="32"/>
          <w:szCs w:val="32"/>
          <w:highlight w:val="none"/>
          <w:lang w:val="en-US" w:eastAsia="zh-CN" w:bidi="ar-SA"/>
        </w:rPr>
        <w:t>二、项目资金申报及使用情况</w:t>
      </w:r>
    </w:p>
    <w:p>
      <w:pPr>
        <w:ind w:firstLine="643" w:firstLineChars="20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（一）项目资金申报及批复情况</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该项目为年初申报项目，财政局于年初下达该资金。</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资金计划、到位及使用情况</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1.资金计划。</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该项目申报资金34.75万元。</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2.资金到位。</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该资金于年初到位34.75万元，到位率100%。</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3.资金使用。</w:t>
      </w:r>
    </w:p>
    <w:p>
      <w:pPr>
        <w:ind w:firstLine="640" w:firstLineChars="20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该资金按照进度本年度支付34.75万元，支付率为100%</w:t>
      </w:r>
    </w:p>
    <w:p>
      <w:pPr>
        <w:ind w:firstLine="643" w:firstLineChars="20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（二）项目财务管理情况</w:t>
      </w:r>
    </w:p>
    <w:p>
      <w:pPr>
        <w:ind w:firstLine="640" w:firstLineChars="200"/>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我单位严格执行《行政事业单位财务管理制度》，严格按照上级要求上报专项资金使用计划，并在实施过程中做到资金专项专用。所有支出严格按照财务会计管理规定，做到专项资金使用有计划、审批有手续、支出合理规范</w:t>
      </w:r>
      <w:r>
        <w:rPr>
          <w:rFonts w:hint="eastAsia" w:ascii="Times New Roman" w:hAnsi="Times New Roman" w:eastAsia="仿宋_GB2312" w:cs="仿宋_GB2312"/>
          <w:color w:val="auto"/>
          <w:kern w:val="2"/>
          <w:sz w:val="32"/>
          <w:szCs w:val="32"/>
          <w:highlight w:val="none"/>
          <w:lang w:val="zh-CN" w:eastAsia="zh-CN" w:bidi="ar-SA"/>
        </w:rPr>
        <w:t>。</w:t>
      </w:r>
    </w:p>
    <w:p>
      <w:pPr>
        <w:ind w:firstLine="643" w:firstLineChars="200"/>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b/>
          <w:bCs/>
          <w:color w:val="auto"/>
          <w:kern w:val="2"/>
          <w:sz w:val="32"/>
          <w:szCs w:val="32"/>
          <w:highlight w:val="none"/>
          <w:lang w:val="en-US" w:eastAsia="zh-CN" w:bidi="ar-SA"/>
        </w:rPr>
        <w:t>三、项目实施及管理情况</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结合项目组织实施管理办法，重点围绕以下内容进行分析评价，并对自评中发现的问题分析说明。</w:t>
      </w:r>
    </w:p>
    <w:p>
      <w:pPr>
        <w:ind w:firstLine="643" w:firstLineChars="20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（一）项目组织架构及实施流程。</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通过常设领导小组统筹决策，下设综合协调组、执行组、监督组等。领导小组综合把控方向，综合协调组负责沟通衔接，执行组推进具体任务，监督组确保合规与进度。实施过程先明确项目目标，范围与预算，再细化任务，分配职责与资源，保障全流程有序推进。</w:t>
      </w:r>
    </w:p>
    <w:p>
      <w:pPr>
        <w:ind w:firstLine="643" w:firstLineChars="20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（二）项目管理情况。</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本单位项目严格按照项目实施单位申报，综合管理部门统筹，根据项目资金使用情况开展招标、公示工作。</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项目监管情况。</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该项目通过事中实施过程中相关业务部门对资金的到位、审核、支付全流程监督。</w:t>
      </w:r>
    </w:p>
    <w:p>
      <w:pPr>
        <w:ind w:firstLine="640" w:firstLineChars="200"/>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四、项目绩效情况</w:t>
      </w:r>
    </w:p>
    <w:p>
      <w:pPr>
        <w:ind w:firstLine="643" w:firstLineChars="20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（一）项目完成情况</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项目实施严格按照相关规定程序进行，资金支付按专项资金管理使用流程进行申报、支付。确保项目顺利实施，确保资金使用效率。</w:t>
      </w:r>
    </w:p>
    <w:p>
      <w:pPr>
        <w:ind w:firstLine="643" w:firstLineChars="20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（二）项目效益情况</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该项目不产生效益。</w:t>
      </w:r>
    </w:p>
    <w:p>
      <w:pPr>
        <w:ind w:firstLine="640" w:firstLineChars="200"/>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五、评价结论及建议</w:t>
      </w:r>
    </w:p>
    <w:p>
      <w:pPr>
        <w:ind w:firstLine="643" w:firstLineChars="20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（一）评价结论</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通过项目的实施，实现了该项目预期价值，有效提升公安综合能力。</w:t>
      </w:r>
    </w:p>
    <w:p>
      <w:pPr>
        <w:ind w:firstLine="643" w:firstLineChars="20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（二）存在的问题</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无。</w:t>
      </w:r>
    </w:p>
    <w:p>
      <w:pPr>
        <w:ind w:firstLine="643" w:firstLineChars="20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（三）相关建议</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无。</w:t>
      </w: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spacing w:line="0" w:lineRule="atLeast"/>
        <w:jc w:val="center"/>
        <w:rPr>
          <w:rFonts w:hint="eastAsia" w:ascii="Times New Roman" w:hAnsi="Times New Roman" w:eastAsia="方正小标宋_GBK" w:cs="Times New Roman"/>
          <w:b/>
          <w:sz w:val="44"/>
          <w:szCs w:val="44"/>
        </w:rPr>
      </w:pPr>
    </w:p>
    <w:p>
      <w:pPr>
        <w:spacing w:line="0" w:lineRule="atLeast"/>
        <w:jc w:val="center"/>
        <w:rPr>
          <w:rFonts w:hint="eastAsia" w:ascii="Times New Roman" w:hAnsi="Times New Roman" w:eastAsia="方正小标宋_GBK" w:cs="Times New Roman"/>
          <w:b/>
          <w:sz w:val="44"/>
          <w:szCs w:val="44"/>
        </w:rPr>
      </w:pPr>
    </w:p>
    <w:p>
      <w:pPr>
        <w:spacing w:line="0" w:lineRule="atLeast"/>
        <w:jc w:val="center"/>
        <w:rPr>
          <w:rFonts w:hint="eastAsia" w:ascii="Times New Roman" w:hAnsi="Times New Roman" w:eastAsia="方正小标宋_GBK" w:cs="Times New Roman"/>
          <w:b/>
          <w:sz w:val="44"/>
          <w:szCs w:val="44"/>
        </w:rPr>
      </w:pPr>
    </w:p>
    <w:p>
      <w:pPr>
        <w:spacing w:line="0" w:lineRule="atLeast"/>
        <w:jc w:val="center"/>
        <w:rPr>
          <w:rFonts w:hint="eastAsia" w:ascii="Times New Roman" w:hAnsi="Times New Roman" w:eastAsia="方正小标宋_GBK" w:cs="Times New Roman"/>
          <w:b/>
          <w:sz w:val="44"/>
          <w:szCs w:val="44"/>
        </w:rPr>
      </w:pPr>
    </w:p>
    <w:p>
      <w:pPr>
        <w:spacing w:line="0" w:lineRule="atLeast"/>
        <w:jc w:val="center"/>
        <w:rPr>
          <w:rFonts w:hint="eastAsia" w:ascii="Times New Roman" w:hAnsi="Times New Roman" w:eastAsia="方正小标宋_GBK" w:cs="Times New Roman"/>
          <w:b/>
          <w:sz w:val="44"/>
          <w:szCs w:val="44"/>
        </w:rPr>
      </w:pPr>
    </w:p>
    <w:p>
      <w:pPr>
        <w:spacing w:line="0" w:lineRule="atLeast"/>
        <w:jc w:val="center"/>
        <w:rPr>
          <w:rFonts w:hint="eastAsia" w:ascii="Times New Roman" w:hAnsi="Times New Roman" w:eastAsia="方正小标宋_GBK" w:cs="Times New Roman"/>
          <w:b/>
          <w:sz w:val="44"/>
          <w:szCs w:val="44"/>
        </w:rPr>
      </w:pPr>
    </w:p>
    <w:p>
      <w:pPr>
        <w:spacing w:line="0" w:lineRule="atLeast"/>
        <w:jc w:val="center"/>
        <w:rPr>
          <w:rFonts w:hint="eastAsia" w:ascii="Times New Roman" w:hAnsi="Times New Roman" w:eastAsia="方正小标宋_GBK" w:cs="Times New Roman"/>
          <w:b/>
          <w:sz w:val="44"/>
          <w:szCs w:val="44"/>
        </w:rPr>
      </w:pPr>
    </w:p>
    <w:p>
      <w:pPr>
        <w:spacing w:line="0" w:lineRule="atLeast"/>
        <w:jc w:val="center"/>
        <w:rPr>
          <w:rFonts w:hint="eastAsia" w:ascii="Times New Roman" w:hAnsi="Times New Roman" w:eastAsia="方正小标宋_GBK" w:cs="Times New Roman"/>
          <w:b/>
          <w:sz w:val="44"/>
          <w:szCs w:val="44"/>
        </w:rPr>
      </w:pPr>
    </w:p>
    <w:p>
      <w:pPr>
        <w:spacing w:line="0" w:lineRule="atLeast"/>
        <w:jc w:val="center"/>
        <w:rPr>
          <w:rFonts w:hint="eastAsia" w:ascii="Times New Roman" w:hAnsi="Times New Roman" w:eastAsia="方正小标宋_GBK" w:cs="Times New Roman"/>
          <w:b/>
          <w:sz w:val="44"/>
          <w:szCs w:val="44"/>
        </w:rPr>
      </w:pPr>
    </w:p>
    <w:p>
      <w:pPr>
        <w:spacing w:line="0" w:lineRule="atLeast"/>
        <w:jc w:val="center"/>
        <w:rPr>
          <w:rFonts w:hint="eastAsia" w:ascii="Times New Roman" w:hAnsi="Times New Roman" w:eastAsia="方正小标宋_GBK" w:cs="Times New Roman"/>
          <w:b/>
          <w:sz w:val="44"/>
          <w:szCs w:val="44"/>
        </w:rPr>
      </w:pPr>
    </w:p>
    <w:p>
      <w:pPr>
        <w:spacing w:line="0" w:lineRule="atLeast"/>
        <w:jc w:val="center"/>
        <w:rPr>
          <w:rFonts w:hint="eastAsia" w:ascii="Times New Roman" w:hAnsi="Times New Roman" w:eastAsia="方正小标宋_GBK" w:cs="Times New Roman"/>
          <w:b/>
          <w:sz w:val="44"/>
          <w:szCs w:val="44"/>
        </w:rPr>
      </w:pPr>
    </w:p>
    <w:p>
      <w:pPr>
        <w:spacing w:line="0" w:lineRule="atLeast"/>
        <w:jc w:val="center"/>
        <w:rPr>
          <w:rFonts w:hint="eastAsia" w:ascii="黑体" w:hAnsi="黑体" w:eastAsia="黑体" w:cs="黑体"/>
          <w:b/>
          <w:sz w:val="44"/>
          <w:szCs w:val="44"/>
        </w:rPr>
      </w:pPr>
      <w:r>
        <w:rPr>
          <w:rFonts w:hint="eastAsia" w:ascii="黑体" w:hAnsi="黑体" w:eastAsia="黑体" w:cs="黑体"/>
          <w:b/>
          <w:sz w:val="44"/>
          <w:szCs w:val="44"/>
        </w:rPr>
        <w:t>盐边县公安局</w:t>
      </w:r>
    </w:p>
    <w:p>
      <w:pPr>
        <w:spacing w:line="0" w:lineRule="atLeast"/>
        <w:jc w:val="center"/>
        <w:rPr>
          <w:rFonts w:hint="eastAsia" w:ascii="Times New Roman" w:hAnsi="Times New Roman" w:eastAsia="方正小标宋_GBK" w:cs="Times New Roman"/>
          <w:b/>
          <w:sz w:val="44"/>
          <w:szCs w:val="44"/>
          <w:lang w:eastAsia="zh-CN"/>
        </w:rPr>
      </w:pPr>
      <w:r>
        <w:rPr>
          <w:rFonts w:hint="eastAsia" w:ascii="黑体" w:hAnsi="黑体" w:eastAsia="黑体" w:cs="黑体"/>
          <w:b/>
          <w:sz w:val="44"/>
          <w:szCs w:val="44"/>
        </w:rPr>
        <w:t>档案数字化预算项目绩效自评报告</w:t>
      </w:r>
      <w:r>
        <w:rPr>
          <w:rFonts w:hint="eastAsia" w:ascii="Times New Roman" w:hAnsi="Times New Roman" w:eastAsia="方正小标宋_GBK" w:cs="Times New Roman"/>
          <w:b/>
          <w:sz w:val="44"/>
          <w:szCs w:val="44"/>
          <w:lang w:val="en-US" w:eastAsia="zh-CN"/>
        </w:rPr>
        <w:t xml:space="preserve"> </w:t>
      </w:r>
    </w:p>
    <w:p>
      <w:pPr>
        <w:widowControl w:val="0"/>
        <w:spacing w:line="600" w:lineRule="exact"/>
        <w:ind w:firstLine="640"/>
        <w:jc w:val="center"/>
        <w:rPr>
          <w:rFonts w:hint="eastAsia" w:ascii="Times New Roman" w:hAnsi="Times New Roman" w:eastAsia="宋体" w:cs="Times New Roman"/>
          <w:color w:val="auto"/>
          <w:kern w:val="2"/>
          <w:sz w:val="32"/>
          <w:szCs w:val="32"/>
          <w:lang w:val="en-US" w:eastAsia="zh-CN" w:bidi="ar-SA"/>
        </w:rPr>
      </w:pPr>
      <w:r>
        <w:rPr>
          <w:rFonts w:hint="eastAsia" w:ascii="Times New Roman" w:hAnsi="??" w:eastAsia="方正楷体_GBK" w:cs="宋体"/>
          <w:b/>
          <w:color w:val="000000"/>
          <w:kern w:val="0"/>
          <w:sz w:val="28"/>
          <w:szCs w:val="32"/>
          <w:lang w:val="en-US" w:eastAsia="zh-CN" w:bidi="ar-SA"/>
        </w:rPr>
        <w:t xml:space="preserve"> </w:t>
      </w:r>
    </w:p>
    <w:p>
      <w:pPr>
        <w:ind w:firstLine="640" w:firstLineChars="200"/>
        <w:rPr>
          <w:rFonts w:hint="eastAsia" w:ascii="黑体" w:hAnsi="黑体" w:eastAsia="黑体" w:cs="黑体"/>
          <w:sz w:val="32"/>
        </w:rPr>
      </w:pPr>
      <w:r>
        <w:rPr>
          <w:rFonts w:hint="eastAsia" w:ascii="黑体" w:hAnsi="黑体" w:eastAsia="黑体" w:cs="黑体"/>
          <w:sz w:val="32"/>
        </w:rPr>
        <w:t>一、项目概况</w:t>
      </w:r>
    </w:p>
    <w:p>
      <w:pPr>
        <w:ind w:firstLine="643" w:firstLineChars="20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（一）项目基本情况</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 根据市公安局《关于印发〈攀枝花市公安局户籍档案电子化管理攻坚战实施方案〉的通知》要求，经盐边县人民政府第18届77次常务会议和十四届县委常委会第103次会议审议通过，盐边县公安局以采购服务的方式，于2019年12月4日公开招标确定成都同创之星科技有限公司为“四川省攀枝花市盐边县公安局档案数字化加工服务项目”（项目编号：5104222019000135）中标供应商，中标金额112.5万元。该项目于2019年12月开始实施，于2020年支付前期费用33.75万元，现剩余78.75万元需在项目完工后进行支付。预计该项目将于2021年12月完工，2022年应支付剩余服务费，现申请剩余经费78.75万元。</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1.项目立项、资金申报的依据。</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县公安局户籍档案时间跨度大，部分档案已逐渐老化变色，为进一步保护户籍档案，加强户籍档案的管理，让群众更方便、快捷的办理户籍档案查询等相关业务，对全县户籍档案进行抢救、裱糊和扫描，采取电子化备份存档十分必要。</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2.资金管理办法制定情况，资金支持具体项目的条件、范围与支持方式概况。</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市公安局《关于印发〈攀枝花市公安局户籍档案电子化管理攻坚战实施方案〉的通知》要求，经盐边县人民政府第18届77次常务会议和十四届县委常委会第103次会议审议通过，盐边县公安局以采购服务的方式，于2019年12月4日公开招标。</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3.资金分配的原则及考虑因素。</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该项目申报资金78.75万元。盐边县财政局根据盐财资行【2024】176号下达县级资金98万元，资金到位率100%。</w:t>
      </w:r>
    </w:p>
    <w:p>
      <w:pPr>
        <w:ind w:firstLine="643" w:firstLineChars="20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（二）项目绩效目标</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1.项目主要内容。</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县公安局户籍档案时间跨度大，部分档案已逐渐老化变色，为进一步保护户籍档案，加强户籍档案的管理，让群众更方便、快捷的办理户籍档案查询等相关业务，对全县户籍档案进行抢救、裱糊和扫描，采取电子化备份存档十分必要</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2.项目应实现的具体绩效目标，包括目标的量化、细化情况以及项目实施进度计划等。</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该项目根据实际所产生的年度预计费用设立数量、质量、社会效益、满意度等指标进行综合评定，评定细则符合该项目实际实施进度。</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分析评价申报内容是否与实际相符，申报目标是否合理可行。</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该项目与申报内容相符，申报目标合理可行。</w:t>
      </w:r>
    </w:p>
    <w:p>
      <w:pPr>
        <w:ind w:firstLine="643" w:firstLineChars="20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（三）项目自评步骤及方法</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该项目通过本单位自行成立讨论组的方式开展项目自评。</w:t>
      </w:r>
    </w:p>
    <w:p>
      <w:pPr>
        <w:ind w:firstLine="640" w:firstLineChars="200"/>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二、项目资金申报及使用情况</w:t>
      </w:r>
    </w:p>
    <w:p>
      <w:pPr>
        <w:ind w:firstLine="643" w:firstLineChars="20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（一）项目资金申报及批复情况</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该项目为年初申报项目，财政局于2024年6月下达该资金。</w:t>
      </w:r>
    </w:p>
    <w:p>
      <w:pPr>
        <w:ind w:firstLine="643" w:firstLineChars="20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（二）资金计划、到位及使用情况</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1.资金计划。</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该项目申报资金78.75万元。</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2.资金到位。</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该资金于2024年6月到位78.75万元，到位率100%。</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3.资金使用。</w:t>
      </w:r>
    </w:p>
    <w:p>
      <w:pPr>
        <w:ind w:firstLine="640" w:firstLineChars="20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该资金按照进度本年度支付78.75万元，支付率为100%</w:t>
      </w:r>
    </w:p>
    <w:p>
      <w:pPr>
        <w:ind w:firstLine="643" w:firstLineChars="20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（三）项目财务管理情况</w:t>
      </w:r>
    </w:p>
    <w:p>
      <w:pPr>
        <w:ind w:firstLine="640" w:firstLineChars="200"/>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我单位严格执行《行政事业单位财务管理制度》，严格按照上级要求上报专项资金使用计划，并在实施过程中做到资金专项专用。所有支出严格按照财务会计管理规定，做到专项资金使用有计划、审批有手续、支出合理规范</w:t>
      </w:r>
      <w:r>
        <w:rPr>
          <w:rFonts w:hint="eastAsia" w:ascii="Times New Roman" w:hAnsi="Times New Roman" w:eastAsia="仿宋_GB2312" w:cs="仿宋_GB2312"/>
          <w:color w:val="auto"/>
          <w:kern w:val="2"/>
          <w:sz w:val="32"/>
          <w:szCs w:val="32"/>
          <w:highlight w:val="none"/>
          <w:lang w:val="zh-CN" w:eastAsia="zh-CN" w:bidi="ar-SA"/>
        </w:rPr>
        <w:t>。</w:t>
      </w:r>
    </w:p>
    <w:p>
      <w:pPr>
        <w:ind w:firstLine="640" w:firstLineChars="200"/>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三、项目实施及管理情况</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结合项目组织实施管理办法，重点围绕以下内容进行分析评价，并对自评中发现的问题分析说明。</w:t>
      </w:r>
    </w:p>
    <w:p>
      <w:pPr>
        <w:ind w:firstLine="643" w:firstLineChars="20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（一）项目组织架构及实施流程。</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通过常设领导小组统筹决策，下设综合协调组、执行组、监督组等。领导小组综合把控方向，综合协调组负责沟通衔接，执行组推进具体任务，监督组确保合规与进度。实施过程先明确项目目标，范围与预算，再细化任务，分配职责与资源，保障全流程有序推进。</w:t>
      </w:r>
    </w:p>
    <w:p>
      <w:pPr>
        <w:ind w:firstLine="643" w:firstLineChars="20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（二）项目管理情况。</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本单位项目严格按照项目实施单位申报，综合管理部门统筹，根据项目资金使用情况开展招标、公示工作。</w:t>
      </w:r>
    </w:p>
    <w:p>
      <w:pPr>
        <w:ind w:firstLine="643" w:firstLineChars="20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（三）项目监管情况。</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该项目通过事中实施过程中相关业务部门对资金的到位、审核、支付全流程监督。</w:t>
      </w:r>
    </w:p>
    <w:p>
      <w:pPr>
        <w:ind w:firstLine="640" w:firstLineChars="200"/>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四、项目绩效情况</w:t>
      </w:r>
    </w:p>
    <w:p>
      <w:pPr>
        <w:ind w:firstLine="643" w:firstLineChars="20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（一）项目完成情况</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项目实施严格按照相关规定程序进行，资金支付按专项资金管理使用流程进行申报、支付。确保项目顺利实施，确保资金使用效率。</w:t>
      </w:r>
    </w:p>
    <w:p>
      <w:pPr>
        <w:ind w:firstLine="643" w:firstLineChars="20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（二）项目效益情况</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该项目不产生效益。</w:t>
      </w:r>
    </w:p>
    <w:p>
      <w:pPr>
        <w:ind w:firstLine="640" w:firstLineChars="200"/>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五、评价结论及建议</w:t>
      </w:r>
    </w:p>
    <w:p>
      <w:pPr>
        <w:ind w:firstLine="643" w:firstLineChars="20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（一）评价结论</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通过项目的实施，实现了该项目预期价值，有效提升公安综合能力。</w:t>
      </w:r>
    </w:p>
    <w:p>
      <w:pPr>
        <w:ind w:firstLine="643" w:firstLineChars="20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（二）存在的问题</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无。</w:t>
      </w:r>
    </w:p>
    <w:p>
      <w:pPr>
        <w:ind w:firstLine="643" w:firstLineChars="20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（三）相关建议</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无。</w:t>
      </w:r>
    </w:p>
    <w:p>
      <w:pPr>
        <w:widowControl/>
        <w:jc w:val="center"/>
        <w:rPr>
          <w:rFonts w:hint="eastAsia" w:ascii="Times New Roman" w:hAnsi="Times New Roman" w:eastAsia="黑体"/>
          <w:color w:val="auto"/>
          <w:sz w:val="44"/>
          <w:szCs w:val="44"/>
          <w:highlight w:val="none"/>
        </w:rPr>
      </w:pPr>
    </w:p>
    <w:p>
      <w:pPr>
        <w:spacing w:line="0" w:lineRule="atLeast"/>
        <w:jc w:val="center"/>
        <w:rPr>
          <w:rFonts w:hint="eastAsia" w:ascii="Times New Roman" w:hAnsi="Times New Roman" w:eastAsia="方正小标宋_GBK" w:cs="Times New Roman"/>
          <w:b/>
          <w:sz w:val="44"/>
          <w:szCs w:val="44"/>
        </w:rPr>
      </w:pPr>
    </w:p>
    <w:p>
      <w:pPr>
        <w:spacing w:line="0" w:lineRule="atLeast"/>
        <w:jc w:val="center"/>
        <w:rPr>
          <w:rFonts w:hint="eastAsia" w:ascii="Times New Roman" w:hAnsi="Times New Roman" w:eastAsia="方正小标宋_GBK" w:cs="Times New Roman"/>
          <w:b/>
          <w:sz w:val="44"/>
          <w:szCs w:val="44"/>
        </w:rPr>
      </w:pPr>
    </w:p>
    <w:p>
      <w:pPr>
        <w:spacing w:line="0" w:lineRule="atLeast"/>
        <w:jc w:val="center"/>
        <w:rPr>
          <w:rFonts w:hint="eastAsia" w:ascii="Times New Roman" w:hAnsi="Times New Roman" w:eastAsia="方正小标宋_GBK" w:cs="Times New Roman"/>
          <w:b/>
          <w:sz w:val="44"/>
          <w:szCs w:val="44"/>
        </w:rPr>
      </w:pPr>
    </w:p>
    <w:p>
      <w:pPr>
        <w:spacing w:line="0" w:lineRule="atLeast"/>
        <w:jc w:val="center"/>
        <w:rPr>
          <w:rFonts w:hint="eastAsia" w:ascii="Times New Roman" w:hAnsi="Times New Roman" w:eastAsia="方正小标宋_GBK" w:cs="Times New Roman"/>
          <w:b/>
          <w:sz w:val="44"/>
          <w:szCs w:val="44"/>
        </w:rPr>
      </w:pPr>
    </w:p>
    <w:p>
      <w:pPr>
        <w:spacing w:line="0" w:lineRule="atLeast"/>
        <w:jc w:val="center"/>
        <w:rPr>
          <w:rFonts w:hint="eastAsia" w:ascii="Times New Roman" w:hAnsi="Times New Roman" w:eastAsia="方正小标宋_GBK" w:cs="Times New Roman"/>
          <w:b/>
          <w:sz w:val="44"/>
          <w:szCs w:val="44"/>
        </w:rPr>
      </w:pPr>
    </w:p>
    <w:p>
      <w:pPr>
        <w:spacing w:line="0" w:lineRule="atLeast"/>
        <w:jc w:val="center"/>
        <w:rPr>
          <w:rFonts w:hint="eastAsia" w:ascii="Times New Roman" w:hAnsi="Times New Roman" w:eastAsia="方正小标宋_GBK" w:cs="Times New Roman"/>
          <w:b/>
          <w:sz w:val="44"/>
          <w:szCs w:val="44"/>
        </w:rPr>
      </w:pPr>
    </w:p>
    <w:p>
      <w:pPr>
        <w:spacing w:line="0" w:lineRule="atLeast"/>
        <w:jc w:val="center"/>
        <w:rPr>
          <w:rFonts w:hint="eastAsia" w:ascii="Times New Roman" w:hAnsi="Times New Roman" w:eastAsia="方正小标宋_GBK" w:cs="Times New Roman"/>
          <w:b/>
          <w:sz w:val="44"/>
          <w:szCs w:val="44"/>
        </w:rPr>
      </w:pPr>
    </w:p>
    <w:p>
      <w:pPr>
        <w:spacing w:line="0" w:lineRule="atLeast"/>
        <w:jc w:val="center"/>
        <w:rPr>
          <w:rFonts w:hint="eastAsia" w:ascii="Times New Roman" w:hAnsi="Times New Roman" w:eastAsia="方正小标宋_GBK" w:cs="Times New Roman"/>
          <w:b/>
          <w:sz w:val="44"/>
          <w:szCs w:val="44"/>
        </w:rPr>
      </w:pPr>
    </w:p>
    <w:p>
      <w:pPr>
        <w:spacing w:line="0" w:lineRule="atLeast"/>
        <w:jc w:val="center"/>
        <w:rPr>
          <w:rFonts w:hint="eastAsia" w:ascii="Times New Roman" w:hAnsi="Times New Roman" w:eastAsia="方正小标宋_GBK" w:cs="Times New Roman"/>
          <w:b/>
          <w:sz w:val="44"/>
          <w:szCs w:val="44"/>
        </w:rPr>
      </w:pPr>
    </w:p>
    <w:p>
      <w:pPr>
        <w:spacing w:line="0" w:lineRule="atLeast"/>
        <w:jc w:val="center"/>
        <w:rPr>
          <w:rFonts w:hint="eastAsia" w:ascii="Times New Roman" w:hAnsi="Times New Roman" w:eastAsia="方正小标宋_GBK" w:cs="Times New Roman"/>
          <w:b/>
          <w:sz w:val="44"/>
          <w:szCs w:val="44"/>
        </w:rPr>
      </w:pPr>
    </w:p>
    <w:p>
      <w:pPr>
        <w:spacing w:line="0" w:lineRule="atLeast"/>
        <w:jc w:val="center"/>
        <w:rPr>
          <w:rFonts w:hint="eastAsia" w:ascii="Times New Roman" w:hAnsi="Times New Roman" w:eastAsia="方正小标宋_GBK" w:cs="Times New Roman"/>
          <w:b/>
          <w:sz w:val="44"/>
          <w:szCs w:val="44"/>
        </w:rPr>
      </w:pPr>
    </w:p>
    <w:p>
      <w:pPr>
        <w:spacing w:line="0" w:lineRule="atLeast"/>
        <w:jc w:val="center"/>
        <w:rPr>
          <w:rFonts w:hint="eastAsia" w:ascii="Times New Roman" w:hAnsi="Times New Roman" w:eastAsia="方正小标宋_GBK" w:cs="Times New Roman"/>
          <w:b/>
          <w:sz w:val="44"/>
          <w:szCs w:val="44"/>
        </w:rPr>
      </w:pPr>
    </w:p>
    <w:p>
      <w:pPr>
        <w:spacing w:line="0" w:lineRule="atLeast"/>
        <w:jc w:val="center"/>
        <w:rPr>
          <w:rFonts w:hint="eastAsia" w:ascii="Times New Roman" w:hAnsi="Times New Roman" w:eastAsia="方正小标宋_GBK" w:cs="Times New Roman"/>
          <w:b/>
          <w:sz w:val="44"/>
          <w:szCs w:val="44"/>
        </w:rPr>
      </w:pPr>
    </w:p>
    <w:p>
      <w:pPr>
        <w:spacing w:line="0" w:lineRule="atLeast"/>
        <w:jc w:val="center"/>
        <w:rPr>
          <w:rFonts w:hint="eastAsia" w:ascii="Times New Roman" w:hAnsi="Times New Roman" w:eastAsia="方正小标宋_GBK" w:cs="Times New Roman"/>
          <w:b/>
          <w:sz w:val="44"/>
          <w:szCs w:val="44"/>
        </w:rPr>
      </w:pPr>
    </w:p>
    <w:p>
      <w:pPr>
        <w:spacing w:line="0" w:lineRule="atLeast"/>
        <w:jc w:val="center"/>
        <w:rPr>
          <w:rFonts w:hint="eastAsia" w:ascii="Times New Roman" w:hAnsi="Times New Roman" w:eastAsia="方正小标宋_GBK" w:cs="Times New Roman"/>
          <w:b/>
          <w:sz w:val="44"/>
          <w:szCs w:val="44"/>
        </w:rPr>
      </w:pPr>
    </w:p>
    <w:p>
      <w:pPr>
        <w:spacing w:line="0" w:lineRule="atLeast"/>
        <w:jc w:val="center"/>
        <w:rPr>
          <w:rFonts w:hint="eastAsia" w:ascii="Times New Roman" w:hAnsi="Times New Roman" w:eastAsia="方正小标宋_GBK" w:cs="Times New Roman"/>
          <w:b/>
          <w:sz w:val="44"/>
          <w:szCs w:val="44"/>
        </w:rPr>
      </w:pPr>
    </w:p>
    <w:p>
      <w:pPr>
        <w:spacing w:line="0" w:lineRule="atLeast"/>
        <w:jc w:val="center"/>
        <w:rPr>
          <w:rFonts w:hint="eastAsia" w:ascii="Times New Roman" w:hAnsi="Times New Roman" w:eastAsia="方正小标宋_GBK" w:cs="Times New Roman"/>
          <w:b/>
          <w:sz w:val="44"/>
          <w:szCs w:val="44"/>
        </w:rPr>
      </w:pPr>
    </w:p>
    <w:p>
      <w:pPr>
        <w:spacing w:line="0" w:lineRule="atLeast"/>
        <w:jc w:val="center"/>
        <w:rPr>
          <w:rFonts w:hint="eastAsia" w:ascii="Times New Roman" w:hAnsi="Times New Roman" w:eastAsia="方正小标宋_GBK" w:cs="Times New Roman"/>
          <w:b/>
          <w:sz w:val="44"/>
          <w:szCs w:val="44"/>
        </w:rPr>
      </w:pPr>
    </w:p>
    <w:p>
      <w:pPr>
        <w:spacing w:line="0" w:lineRule="atLeast"/>
        <w:jc w:val="center"/>
        <w:rPr>
          <w:rFonts w:hint="eastAsia" w:ascii="黑体" w:hAnsi="黑体" w:eastAsia="黑体" w:cs="黑体"/>
          <w:b/>
          <w:sz w:val="44"/>
          <w:szCs w:val="44"/>
        </w:rPr>
      </w:pPr>
      <w:r>
        <w:rPr>
          <w:rFonts w:hint="eastAsia" w:ascii="黑体" w:hAnsi="黑体" w:eastAsia="黑体" w:cs="黑体"/>
          <w:b/>
          <w:sz w:val="44"/>
          <w:szCs w:val="44"/>
        </w:rPr>
        <w:t>盐边县公安局</w:t>
      </w:r>
    </w:p>
    <w:p>
      <w:pPr>
        <w:spacing w:line="0" w:lineRule="atLeast"/>
        <w:jc w:val="center"/>
        <w:rPr>
          <w:rFonts w:hint="eastAsia" w:ascii="黑体" w:hAnsi="黑体" w:eastAsia="黑体" w:cs="黑体"/>
          <w:b/>
          <w:sz w:val="44"/>
          <w:szCs w:val="44"/>
        </w:rPr>
      </w:pPr>
      <w:r>
        <w:rPr>
          <w:rFonts w:hint="eastAsia" w:ascii="黑体" w:hAnsi="黑体" w:eastAsia="黑体" w:cs="黑体"/>
          <w:b/>
          <w:sz w:val="44"/>
          <w:szCs w:val="44"/>
        </w:rPr>
        <w:t>格萨拉禁毒教育基地</w:t>
      </w:r>
    </w:p>
    <w:p>
      <w:pPr>
        <w:spacing w:line="0" w:lineRule="atLeast"/>
        <w:jc w:val="center"/>
        <w:rPr>
          <w:rFonts w:hint="eastAsia" w:ascii="黑体" w:hAnsi="黑体" w:eastAsia="黑体" w:cs="黑体"/>
          <w:b/>
          <w:sz w:val="44"/>
          <w:szCs w:val="44"/>
          <w:lang w:eastAsia="zh-CN"/>
        </w:rPr>
      </w:pPr>
      <w:r>
        <w:rPr>
          <w:rFonts w:hint="eastAsia" w:ascii="黑体" w:hAnsi="黑体" w:eastAsia="黑体" w:cs="黑体"/>
          <w:b/>
          <w:sz w:val="44"/>
          <w:szCs w:val="44"/>
        </w:rPr>
        <w:t>预算项目绩效自评报告</w:t>
      </w:r>
      <w:r>
        <w:rPr>
          <w:rFonts w:hint="eastAsia" w:ascii="黑体" w:hAnsi="黑体" w:eastAsia="黑体" w:cs="黑体"/>
          <w:b/>
          <w:sz w:val="44"/>
          <w:szCs w:val="44"/>
          <w:lang w:val="en-US" w:eastAsia="zh-CN"/>
        </w:rPr>
        <w:t xml:space="preserve"> </w:t>
      </w:r>
    </w:p>
    <w:p>
      <w:pPr>
        <w:widowControl w:val="0"/>
        <w:spacing w:line="600" w:lineRule="exact"/>
        <w:ind w:firstLine="640"/>
        <w:jc w:val="center"/>
        <w:rPr>
          <w:rFonts w:hint="eastAsia" w:ascii="Times New Roman" w:hAnsi="Times New Roman" w:eastAsia="宋体" w:cs="Times New Roman"/>
          <w:color w:val="auto"/>
          <w:kern w:val="2"/>
          <w:sz w:val="32"/>
          <w:szCs w:val="32"/>
          <w:lang w:val="en-US" w:eastAsia="zh-CN" w:bidi="ar-SA"/>
        </w:rPr>
      </w:pPr>
      <w:r>
        <w:rPr>
          <w:rFonts w:hint="eastAsia" w:ascii="Times New Roman" w:hAnsi="??" w:eastAsia="方正楷体_GBK" w:cs="宋体"/>
          <w:b/>
          <w:color w:val="000000"/>
          <w:kern w:val="0"/>
          <w:sz w:val="28"/>
          <w:szCs w:val="32"/>
          <w:lang w:val="en-US" w:eastAsia="zh-CN" w:bidi="ar-SA"/>
        </w:rPr>
        <w:t xml:space="preserve"> </w:t>
      </w:r>
    </w:p>
    <w:p>
      <w:pPr>
        <w:ind w:firstLine="640" w:firstLineChars="200"/>
        <w:rPr>
          <w:rFonts w:hint="eastAsia" w:ascii="黑体" w:hAnsi="黑体" w:eastAsia="黑体" w:cs="黑体"/>
          <w:sz w:val="32"/>
        </w:rPr>
      </w:pPr>
      <w:r>
        <w:rPr>
          <w:rFonts w:hint="eastAsia" w:ascii="黑体" w:hAnsi="黑体" w:eastAsia="黑体" w:cs="黑体"/>
          <w:sz w:val="32"/>
        </w:rPr>
        <w:t>一、项目概况</w:t>
      </w:r>
    </w:p>
    <w:p>
      <w:pPr>
        <w:ind w:firstLine="643" w:firstLineChars="20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（一）项目基本情况</w:t>
      </w:r>
    </w:p>
    <w:p>
      <w:pPr>
        <w:ind w:firstLine="640" w:firstLineChars="20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为进一步巩固来之不易的禁毒工作成效，按照《四川省禁毒宣传阵地标准化指导意见》《攀枝花市2020-2022年禁毒工作规划》《攀枝花市禁毒宣传阵地指导意见》等相关文件要求，结合盐边实际，需修建盐边县格萨拉禁毒教育基地，让群众能够随时切身体验毒品对个人、对家庭、对社会的危害，不断提高群众识毒、拒毒、防毒的能力和水平，进一步降低毒品的社会危害。</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盐边县格萨拉禁毒教育基地建设内容为占地面积219.70平米，</w:t>
      </w:r>
      <w:r>
        <w:rPr>
          <w:rFonts w:hint="eastAsia" w:ascii="Times New Roman" w:hAnsi="Times New Roman" w:eastAsia="仿宋_GB2312" w:cs="仿宋_GB2312"/>
          <w:color w:val="auto"/>
          <w:kern w:val="2"/>
          <w:sz w:val="32"/>
          <w:szCs w:val="32"/>
          <w:highlight w:val="none"/>
          <w:lang w:val="zh-CN" w:eastAsia="zh-CN" w:bidi="ar-SA"/>
        </w:rPr>
        <w:t>总建筑面积约</w:t>
      </w:r>
      <w:r>
        <w:rPr>
          <w:rFonts w:hint="eastAsia" w:ascii="Times New Roman" w:hAnsi="Times New Roman" w:eastAsia="仿宋_GB2312" w:cs="仿宋_GB2312"/>
          <w:color w:val="auto"/>
          <w:kern w:val="2"/>
          <w:sz w:val="32"/>
          <w:szCs w:val="32"/>
          <w:highlight w:val="none"/>
          <w:lang w:val="en-US" w:eastAsia="zh-CN" w:bidi="ar-SA"/>
        </w:rPr>
        <w:t>423.04平方米</w:t>
      </w:r>
      <w:r>
        <w:rPr>
          <w:rFonts w:hint="eastAsia" w:ascii="Times New Roman" w:hAnsi="Times New Roman" w:eastAsia="仿宋_GB2312" w:cs="仿宋_GB2312"/>
          <w:color w:val="auto"/>
          <w:kern w:val="2"/>
          <w:sz w:val="32"/>
          <w:szCs w:val="32"/>
          <w:highlight w:val="none"/>
          <w:lang w:val="zh-CN" w:eastAsia="zh-CN" w:bidi="ar-SA"/>
        </w:rPr>
        <w:t>，建筑物为二层框架结构，其中一层建筑面积约</w:t>
      </w:r>
      <w:r>
        <w:rPr>
          <w:rFonts w:hint="eastAsia" w:ascii="Times New Roman" w:hAnsi="Times New Roman" w:eastAsia="仿宋_GB2312" w:cs="仿宋_GB2312"/>
          <w:color w:val="auto"/>
          <w:kern w:val="2"/>
          <w:sz w:val="32"/>
          <w:szCs w:val="32"/>
          <w:highlight w:val="none"/>
          <w:lang w:val="en-US" w:eastAsia="zh-CN" w:bidi="ar-SA"/>
        </w:rPr>
        <w:t>203.20平方米</w:t>
      </w:r>
      <w:r>
        <w:rPr>
          <w:rFonts w:hint="eastAsia" w:ascii="Times New Roman" w:hAnsi="Times New Roman" w:eastAsia="仿宋_GB2312" w:cs="仿宋_GB2312"/>
          <w:color w:val="auto"/>
          <w:kern w:val="2"/>
          <w:sz w:val="32"/>
          <w:szCs w:val="32"/>
          <w:highlight w:val="none"/>
          <w:lang w:val="zh-CN" w:eastAsia="zh-CN" w:bidi="ar-SA"/>
        </w:rPr>
        <w:t>，二层建筑面积约</w:t>
      </w:r>
      <w:r>
        <w:rPr>
          <w:rFonts w:hint="eastAsia" w:ascii="Times New Roman" w:hAnsi="Times New Roman" w:eastAsia="仿宋_GB2312" w:cs="仿宋_GB2312"/>
          <w:color w:val="auto"/>
          <w:kern w:val="2"/>
          <w:sz w:val="32"/>
          <w:szCs w:val="32"/>
          <w:highlight w:val="none"/>
          <w:lang w:val="en-US" w:eastAsia="zh-CN" w:bidi="ar-SA"/>
        </w:rPr>
        <w:t>186.95平方米，附属设施32.89平方米；一层用于建设禁毒教育基地宣传室、厕所，二层用于补充派出所用房。</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1.项目立项、资金申报的依据。</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按照《四川省禁毒宣传阵地标准化指导意见》《攀枝花市2020-2022年禁毒工作规划》《攀枝花市禁毒宣传阵地指导意见》等相关文件要求</w:t>
      </w:r>
      <w:r>
        <w:rPr>
          <w:rFonts w:hint="eastAsia" w:ascii="Times New Roman" w:hAnsi="Times New Roman" w:eastAsia="仿宋_GB2312" w:cs="仿宋_GB2312"/>
          <w:color w:val="auto"/>
          <w:kern w:val="2"/>
          <w:sz w:val="32"/>
          <w:szCs w:val="32"/>
          <w:highlight w:val="none"/>
          <w:lang w:val="en-US" w:eastAsia="zh-CN" w:bidi="ar-SA"/>
        </w:rPr>
        <w:t>。</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2.资金管理办法制定情况，资金支持具体项目的条件、范围与支持方式概况。</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按照《四川省禁毒宣传阵地标准化指导意见》《攀枝花市2020-2022年禁毒工作规划》《攀枝花市禁毒宣传阵地指导意见》等相关文件要求</w:t>
      </w:r>
      <w:r>
        <w:rPr>
          <w:rFonts w:hint="eastAsia" w:ascii="Times New Roman" w:hAnsi="Times New Roman" w:eastAsia="仿宋_GB2312" w:cs="仿宋_GB2312"/>
          <w:color w:val="auto"/>
          <w:kern w:val="2"/>
          <w:sz w:val="32"/>
          <w:szCs w:val="32"/>
          <w:highlight w:val="none"/>
          <w:lang w:val="en-US" w:eastAsia="zh-CN" w:bidi="ar-SA"/>
        </w:rPr>
        <w:t>。</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3.资金分配的原则及考虑因素。</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该项目申报资金33.99万元。盐边县财政局年初下达预算33.99万元，资金到位率100%。</w:t>
      </w:r>
    </w:p>
    <w:p>
      <w:pPr>
        <w:ind w:firstLine="643" w:firstLineChars="20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（二）项目绩效目标</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1.项目主要内容。</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为进一步巩固来之不易的禁毒工作成效，按照《四川省禁毒宣传阵地标准化指导意见》《攀枝花市2020-2022年禁毒工作规划》《攀枝花市禁毒宣传阵地指导意见》等相关文件要求，结合盐边实际，需修建盐边县格萨拉禁毒教育基地，让群众能够随时切身体验毒品对个人、对家庭、对社会的危害，不断提高群众识毒、拒毒、防毒的能力和水平，进一步降低毒品的社会危害</w:t>
      </w:r>
      <w:r>
        <w:rPr>
          <w:rFonts w:hint="eastAsia" w:ascii="Times New Roman" w:hAnsi="Times New Roman" w:eastAsia="仿宋_GB2312" w:cs="仿宋_GB2312"/>
          <w:color w:val="auto"/>
          <w:kern w:val="2"/>
          <w:sz w:val="32"/>
          <w:szCs w:val="32"/>
          <w:highlight w:val="none"/>
          <w:lang w:val="en-US" w:eastAsia="zh-CN" w:bidi="ar-SA"/>
        </w:rPr>
        <w:t>。</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2.项目应实现的具体绩效目标，包括目标的量化、细化情况以及项目实施进度计划等。</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该项目根据实际所产生的年度预计费用设立数量、质量、社会效益、满意度等指标进行综合评定，评定细则符合该项目实际实施进度。</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分析评价申报内容是否与实际相符，申报目标是否合理可行。</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该项目与申报内容相符，申报目标合理可行。</w:t>
      </w:r>
    </w:p>
    <w:p>
      <w:pPr>
        <w:ind w:firstLine="643" w:firstLineChars="20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（三）项目自评步骤及方法</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该项目通过本单位自行成立讨论组的方式开展项目自评。</w:t>
      </w:r>
    </w:p>
    <w:p>
      <w:pPr>
        <w:ind w:firstLine="640" w:firstLineChars="200"/>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二、项目资金申报及使用情况</w:t>
      </w:r>
    </w:p>
    <w:p>
      <w:pPr>
        <w:ind w:firstLine="643" w:firstLineChars="20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（一）项目资金申报及批复情况</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该项目为年初申报项目，财政局于年初下达该资金。</w:t>
      </w:r>
    </w:p>
    <w:p>
      <w:pPr>
        <w:ind w:firstLine="643" w:firstLineChars="20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（二）资金计划、到位及使用情况</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1.资金计划。</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该项目申报资金33.99万元。</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2.资金到位。</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该资金于年初到位33.99万元，到位率100%。</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3.资金使用。</w:t>
      </w:r>
    </w:p>
    <w:p>
      <w:pPr>
        <w:ind w:firstLine="640" w:firstLineChars="20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该资金按照进度本年度支付33.99万元，支付率为100%</w:t>
      </w:r>
    </w:p>
    <w:p>
      <w:pPr>
        <w:ind w:firstLine="643" w:firstLineChars="20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（三）项目财务管理情况</w:t>
      </w:r>
    </w:p>
    <w:p>
      <w:pPr>
        <w:ind w:firstLine="640" w:firstLineChars="200"/>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我单位严格执行《行政事业单位财务管理制度》，严格按照上级要求上报专项资金使用计划，并在实施过程中做到资金专项专用。所有支出严格按照财务会计管理规定，做到专项资金使用有计划、审批有手续、支出合理规范</w:t>
      </w:r>
      <w:r>
        <w:rPr>
          <w:rFonts w:hint="eastAsia" w:ascii="Times New Roman" w:hAnsi="Times New Roman" w:eastAsia="仿宋_GB2312" w:cs="仿宋_GB2312"/>
          <w:color w:val="auto"/>
          <w:kern w:val="2"/>
          <w:sz w:val="32"/>
          <w:szCs w:val="32"/>
          <w:highlight w:val="none"/>
          <w:lang w:val="zh-CN" w:eastAsia="zh-CN" w:bidi="ar-SA"/>
        </w:rPr>
        <w:t>。</w:t>
      </w:r>
    </w:p>
    <w:p>
      <w:pPr>
        <w:ind w:firstLine="640" w:firstLineChars="200"/>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三、项目实施及管理情况</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结合项目组织实施管理办法，重点围绕以下内容进行分析评价，并对自评中发现的问题分析说明。</w:t>
      </w:r>
    </w:p>
    <w:p>
      <w:pPr>
        <w:ind w:firstLine="643" w:firstLineChars="20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（一）项目组织架构及实施流程</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通过常设领导小组统筹决策，下设综合协调组、执行组、监督组等。领导小组综合把控方向，综合协调组负责沟通衔接，执行组推进具体任务，监督组确保合规与进度。实施过程先明确项目目标，范围与预算，再细化任务，分配职责与资源，保障全流程有序推进。</w:t>
      </w:r>
    </w:p>
    <w:p>
      <w:pPr>
        <w:ind w:firstLine="643" w:firstLineChars="20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（二）项目管理情况</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本单位项目严格按照项目实施单位申报，综合管理部门统筹，根据项目资金使用情况开展招标、公示工作。</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项目监管情况。</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该项目通过事中实施过程中相关业务部门对资金的到位、审核、支付全流程监督。</w:t>
      </w:r>
    </w:p>
    <w:p>
      <w:pPr>
        <w:ind w:firstLine="640" w:firstLineChars="200"/>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四、项目绩效情况</w:t>
      </w:r>
    </w:p>
    <w:p>
      <w:pPr>
        <w:ind w:firstLine="643" w:firstLineChars="20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（一）项目完成情况</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项目实施严格按照相关规定程序进行，资金支付按专项资金管理使用流程进行申报、支付。确保项目顺利实施，确保资金使用效率。</w:t>
      </w:r>
    </w:p>
    <w:p>
      <w:pPr>
        <w:ind w:firstLine="643" w:firstLineChars="20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（二）项目效益情况</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该项目不产生效益。</w:t>
      </w:r>
    </w:p>
    <w:p>
      <w:pPr>
        <w:ind w:firstLine="643" w:firstLineChars="20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五、评价结论及建议</w:t>
      </w:r>
    </w:p>
    <w:p>
      <w:pPr>
        <w:ind w:firstLine="643" w:firstLineChars="20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（一）评价结论</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通过项目的实施，实现了该项目预期价值，有效提升公安综合能力。</w:t>
      </w:r>
    </w:p>
    <w:p>
      <w:pPr>
        <w:ind w:firstLine="643" w:firstLineChars="20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（二）存在的问题</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无。</w:t>
      </w:r>
    </w:p>
    <w:p>
      <w:pPr>
        <w:ind w:firstLine="643" w:firstLineChars="20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（三）相关建议</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无。</w:t>
      </w:r>
    </w:p>
    <w:p>
      <w:pPr>
        <w:widowControl/>
        <w:jc w:val="center"/>
        <w:rPr>
          <w:rFonts w:hint="eastAsia" w:ascii="Times New Roman" w:hAnsi="Times New Roman" w:eastAsia="黑体"/>
          <w:color w:val="auto"/>
          <w:sz w:val="44"/>
          <w:szCs w:val="44"/>
          <w:highlight w:val="none"/>
        </w:rPr>
      </w:pPr>
    </w:p>
    <w:p>
      <w:pPr>
        <w:spacing w:line="0" w:lineRule="atLeast"/>
        <w:jc w:val="center"/>
        <w:rPr>
          <w:rFonts w:hint="eastAsia" w:ascii="Times New Roman" w:hAnsi="Times New Roman" w:eastAsia="方正小标宋_GBK" w:cs="Times New Roman"/>
          <w:b/>
          <w:sz w:val="44"/>
          <w:szCs w:val="44"/>
        </w:rPr>
      </w:pPr>
    </w:p>
    <w:p>
      <w:pPr>
        <w:spacing w:line="0" w:lineRule="atLeast"/>
        <w:jc w:val="center"/>
        <w:rPr>
          <w:rFonts w:hint="eastAsia" w:ascii="Times New Roman" w:hAnsi="Times New Roman" w:eastAsia="方正小标宋_GBK" w:cs="Times New Roman"/>
          <w:b/>
          <w:sz w:val="44"/>
          <w:szCs w:val="44"/>
        </w:rPr>
      </w:pPr>
    </w:p>
    <w:p>
      <w:pPr>
        <w:spacing w:line="0" w:lineRule="atLeast"/>
        <w:jc w:val="center"/>
        <w:rPr>
          <w:rFonts w:hint="eastAsia" w:ascii="Times New Roman" w:hAnsi="Times New Roman" w:eastAsia="方正小标宋_GBK" w:cs="Times New Roman"/>
          <w:b/>
          <w:sz w:val="44"/>
          <w:szCs w:val="44"/>
        </w:rPr>
      </w:pPr>
    </w:p>
    <w:p>
      <w:pPr>
        <w:spacing w:line="0" w:lineRule="atLeast"/>
        <w:jc w:val="center"/>
        <w:rPr>
          <w:rFonts w:hint="eastAsia" w:ascii="Times New Roman" w:hAnsi="Times New Roman" w:eastAsia="方正小标宋_GBK" w:cs="Times New Roman"/>
          <w:b/>
          <w:sz w:val="44"/>
          <w:szCs w:val="44"/>
        </w:rPr>
      </w:pPr>
    </w:p>
    <w:p>
      <w:pPr>
        <w:spacing w:line="0" w:lineRule="atLeast"/>
        <w:jc w:val="center"/>
        <w:rPr>
          <w:rFonts w:hint="eastAsia" w:ascii="Times New Roman" w:hAnsi="Times New Roman" w:eastAsia="方正小标宋_GBK" w:cs="Times New Roman"/>
          <w:b/>
          <w:sz w:val="44"/>
          <w:szCs w:val="44"/>
        </w:rPr>
      </w:pPr>
    </w:p>
    <w:p>
      <w:pPr>
        <w:spacing w:line="0" w:lineRule="atLeast"/>
        <w:jc w:val="center"/>
        <w:rPr>
          <w:rFonts w:hint="eastAsia" w:ascii="Times New Roman" w:hAnsi="Times New Roman" w:eastAsia="方正小标宋_GBK" w:cs="Times New Roman"/>
          <w:b/>
          <w:sz w:val="44"/>
          <w:szCs w:val="44"/>
        </w:rPr>
      </w:pPr>
    </w:p>
    <w:p>
      <w:pPr>
        <w:spacing w:line="0" w:lineRule="atLeast"/>
        <w:jc w:val="center"/>
        <w:rPr>
          <w:rFonts w:hint="eastAsia" w:ascii="Times New Roman" w:hAnsi="Times New Roman" w:eastAsia="方正小标宋_GBK" w:cs="Times New Roman"/>
          <w:b/>
          <w:sz w:val="44"/>
          <w:szCs w:val="44"/>
        </w:rPr>
      </w:pPr>
    </w:p>
    <w:p>
      <w:pPr>
        <w:spacing w:line="0" w:lineRule="atLeast"/>
        <w:jc w:val="center"/>
        <w:rPr>
          <w:rFonts w:hint="eastAsia" w:ascii="Times New Roman" w:hAnsi="Times New Roman" w:eastAsia="方正小标宋_GBK" w:cs="Times New Roman"/>
          <w:b/>
          <w:sz w:val="44"/>
          <w:szCs w:val="44"/>
        </w:rPr>
      </w:pPr>
    </w:p>
    <w:p>
      <w:pPr>
        <w:spacing w:line="0" w:lineRule="atLeast"/>
        <w:jc w:val="center"/>
        <w:rPr>
          <w:rFonts w:hint="eastAsia" w:ascii="Times New Roman" w:hAnsi="Times New Roman" w:eastAsia="方正小标宋_GBK" w:cs="Times New Roman"/>
          <w:b/>
          <w:sz w:val="44"/>
          <w:szCs w:val="44"/>
        </w:rPr>
      </w:pPr>
    </w:p>
    <w:p>
      <w:pPr>
        <w:spacing w:line="0" w:lineRule="atLeast"/>
        <w:jc w:val="center"/>
        <w:rPr>
          <w:rFonts w:hint="eastAsia" w:ascii="Times New Roman" w:hAnsi="Times New Roman" w:eastAsia="方正小标宋_GBK" w:cs="Times New Roman"/>
          <w:b/>
          <w:sz w:val="44"/>
          <w:szCs w:val="44"/>
        </w:rPr>
      </w:pPr>
    </w:p>
    <w:p>
      <w:pPr>
        <w:spacing w:line="0" w:lineRule="atLeast"/>
        <w:jc w:val="center"/>
        <w:rPr>
          <w:rFonts w:hint="eastAsia" w:ascii="Times New Roman" w:hAnsi="Times New Roman" w:eastAsia="方正小标宋_GBK" w:cs="Times New Roman"/>
          <w:b/>
          <w:sz w:val="44"/>
          <w:szCs w:val="44"/>
        </w:rPr>
      </w:pPr>
    </w:p>
    <w:p>
      <w:pPr>
        <w:spacing w:line="0" w:lineRule="atLeast"/>
        <w:jc w:val="center"/>
        <w:rPr>
          <w:rFonts w:hint="eastAsia" w:ascii="Times New Roman" w:hAnsi="Times New Roman" w:eastAsia="方正小标宋_GBK" w:cs="Times New Roman"/>
          <w:b/>
          <w:sz w:val="44"/>
          <w:szCs w:val="44"/>
        </w:rPr>
      </w:pPr>
    </w:p>
    <w:p>
      <w:pPr>
        <w:spacing w:line="0" w:lineRule="atLeast"/>
        <w:jc w:val="center"/>
        <w:rPr>
          <w:rFonts w:hint="eastAsia" w:ascii="Times New Roman" w:hAnsi="Times New Roman" w:eastAsia="方正小标宋_GBK" w:cs="Times New Roman"/>
          <w:b/>
          <w:sz w:val="44"/>
          <w:szCs w:val="44"/>
        </w:rPr>
      </w:pPr>
    </w:p>
    <w:p>
      <w:pPr>
        <w:spacing w:line="0" w:lineRule="atLeast"/>
        <w:jc w:val="center"/>
        <w:rPr>
          <w:rFonts w:hint="eastAsia" w:ascii="Times New Roman" w:hAnsi="Times New Roman" w:eastAsia="方正小标宋_GBK" w:cs="Times New Roman"/>
          <w:b/>
          <w:sz w:val="44"/>
          <w:szCs w:val="44"/>
        </w:rPr>
      </w:pPr>
    </w:p>
    <w:p>
      <w:pPr>
        <w:spacing w:line="0" w:lineRule="atLeast"/>
        <w:jc w:val="center"/>
        <w:rPr>
          <w:rFonts w:hint="eastAsia" w:ascii="Times New Roman" w:hAnsi="Times New Roman" w:eastAsia="方正小标宋_GBK" w:cs="Times New Roman"/>
          <w:b/>
          <w:sz w:val="44"/>
          <w:szCs w:val="44"/>
        </w:rPr>
      </w:pPr>
    </w:p>
    <w:p>
      <w:pPr>
        <w:spacing w:line="0" w:lineRule="atLeast"/>
        <w:jc w:val="center"/>
        <w:rPr>
          <w:rFonts w:hint="eastAsia" w:ascii="Times New Roman" w:hAnsi="Times New Roman" w:eastAsia="方正小标宋_GBK" w:cs="Times New Roman"/>
          <w:b/>
          <w:sz w:val="44"/>
          <w:szCs w:val="44"/>
        </w:rPr>
      </w:pPr>
    </w:p>
    <w:p>
      <w:pPr>
        <w:spacing w:line="0" w:lineRule="atLeast"/>
        <w:jc w:val="center"/>
        <w:rPr>
          <w:rFonts w:hint="eastAsia" w:ascii="Times New Roman" w:hAnsi="Times New Roman" w:eastAsia="方正小标宋_GBK" w:cs="Times New Roman"/>
          <w:b/>
          <w:sz w:val="44"/>
          <w:szCs w:val="44"/>
        </w:rPr>
      </w:pPr>
    </w:p>
    <w:p>
      <w:pPr>
        <w:spacing w:line="0" w:lineRule="atLeast"/>
        <w:jc w:val="center"/>
        <w:rPr>
          <w:rFonts w:hint="eastAsia" w:ascii="Times New Roman" w:hAnsi="Times New Roman" w:eastAsia="方正小标宋_GBK" w:cs="Times New Roman"/>
          <w:b/>
          <w:sz w:val="44"/>
          <w:szCs w:val="44"/>
        </w:rPr>
      </w:pPr>
    </w:p>
    <w:p>
      <w:pPr>
        <w:spacing w:line="0" w:lineRule="atLeast"/>
        <w:jc w:val="center"/>
        <w:rPr>
          <w:rFonts w:hint="eastAsia" w:ascii="黑体" w:hAnsi="黑体" w:eastAsia="黑体" w:cs="黑体"/>
          <w:b/>
          <w:sz w:val="44"/>
          <w:szCs w:val="44"/>
        </w:rPr>
      </w:pPr>
      <w:r>
        <w:rPr>
          <w:rFonts w:hint="eastAsia" w:ascii="黑体" w:hAnsi="黑体" w:eastAsia="黑体" w:cs="黑体"/>
          <w:b/>
          <w:sz w:val="44"/>
          <w:szCs w:val="44"/>
        </w:rPr>
        <w:t>盐边县公安局</w:t>
      </w:r>
    </w:p>
    <w:p>
      <w:pPr>
        <w:spacing w:line="0" w:lineRule="atLeast"/>
        <w:jc w:val="center"/>
        <w:rPr>
          <w:rFonts w:hint="eastAsia" w:ascii="黑体" w:hAnsi="黑体" w:eastAsia="黑体" w:cs="黑体"/>
          <w:sz w:val="44"/>
          <w:szCs w:val="44"/>
        </w:rPr>
      </w:pPr>
      <w:r>
        <w:rPr>
          <w:rFonts w:hint="eastAsia" w:ascii="黑体" w:hAnsi="黑体" w:eastAsia="黑体" w:cs="黑体"/>
          <w:sz w:val="44"/>
          <w:szCs w:val="44"/>
        </w:rPr>
        <w:t>各派出所、交警中队、县局机关楼维修</w:t>
      </w:r>
    </w:p>
    <w:p>
      <w:pPr>
        <w:spacing w:line="0" w:lineRule="atLeast"/>
        <w:jc w:val="center"/>
        <w:rPr>
          <w:rFonts w:hint="eastAsia" w:ascii="黑体" w:hAnsi="黑体" w:eastAsia="黑体" w:cs="黑体"/>
          <w:b/>
          <w:sz w:val="44"/>
          <w:szCs w:val="44"/>
          <w:lang w:eastAsia="zh-CN"/>
        </w:rPr>
      </w:pPr>
      <w:r>
        <w:rPr>
          <w:rFonts w:hint="eastAsia" w:ascii="黑体" w:hAnsi="黑体" w:eastAsia="黑体" w:cs="黑体"/>
          <w:b/>
          <w:sz w:val="44"/>
          <w:szCs w:val="44"/>
        </w:rPr>
        <w:t>预算项目绩效自评报告</w:t>
      </w:r>
      <w:r>
        <w:rPr>
          <w:rFonts w:hint="eastAsia" w:ascii="黑体" w:hAnsi="黑体" w:eastAsia="黑体" w:cs="黑体"/>
          <w:b/>
          <w:sz w:val="44"/>
          <w:szCs w:val="44"/>
          <w:lang w:val="en-US" w:eastAsia="zh-CN"/>
        </w:rPr>
        <w:t xml:space="preserve"> </w:t>
      </w:r>
    </w:p>
    <w:p>
      <w:pPr>
        <w:widowControl w:val="0"/>
        <w:spacing w:line="600" w:lineRule="exact"/>
        <w:ind w:firstLine="640"/>
        <w:jc w:val="center"/>
        <w:rPr>
          <w:rFonts w:hint="eastAsia" w:ascii="Times New Roman" w:hAnsi="Times New Roman" w:eastAsia="宋体" w:cs="Times New Roman"/>
          <w:color w:val="auto"/>
          <w:kern w:val="2"/>
          <w:sz w:val="32"/>
          <w:szCs w:val="32"/>
          <w:lang w:val="en-US" w:eastAsia="zh-CN" w:bidi="ar-SA"/>
        </w:rPr>
      </w:pPr>
      <w:r>
        <w:rPr>
          <w:rFonts w:hint="eastAsia" w:ascii="Times New Roman" w:hAnsi="??" w:eastAsia="方正楷体_GBK" w:cs="宋体"/>
          <w:b/>
          <w:color w:val="000000"/>
          <w:kern w:val="0"/>
          <w:sz w:val="28"/>
          <w:szCs w:val="32"/>
          <w:lang w:val="en-US" w:eastAsia="zh-CN" w:bidi="ar-SA"/>
        </w:rPr>
        <w:t xml:space="preserve"> </w:t>
      </w:r>
    </w:p>
    <w:p>
      <w:pPr>
        <w:ind w:firstLine="640" w:firstLineChars="200"/>
        <w:rPr>
          <w:rFonts w:hint="eastAsia" w:ascii="黑体" w:hAnsi="黑体" w:eastAsia="黑体" w:cs="黑体"/>
          <w:sz w:val="32"/>
        </w:rPr>
      </w:pPr>
      <w:r>
        <w:rPr>
          <w:rFonts w:hint="eastAsia" w:ascii="黑体" w:hAnsi="黑体" w:eastAsia="黑体" w:cs="黑体"/>
          <w:sz w:val="32"/>
        </w:rPr>
        <w:t>一、项目概况</w:t>
      </w:r>
    </w:p>
    <w:p>
      <w:pPr>
        <w:ind w:firstLine="643" w:firstLineChars="20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（一）项目基本情况</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现盐边县公安局局机关大楼、各派出所建成使用时间久，各业务用房功能已不能满足公安工作需要，为提升基层派出所执法办案硬件基础，提高基层民、辅警综合战斗能力，盐边县公安局需对县公安局桐子林、新九、红果、渔门、永兴、国胜、惠民、格萨拉、共和九个派出所，渔门交警中队及县局机关办公用房进行维修。</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1.项目立项、资金申报的依据。</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该项目2021年已通过政府常务会。</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2.资金管理办法制定情况，资金支持具体项目的条件、范围与支持方式概况。</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为提升基层派出所执法办案硬件基础，提高基层民、辅警综合战斗能力，盐边县公安局需对县公安局桐子林、新九、红果、渔门、永兴、国胜、惠民、格萨拉、共和九个派出所，渔门交警中队及县局机关办公用房进行维修。</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3.资金分配的原则及考虑因素。</w:t>
      </w:r>
    </w:p>
    <w:p>
      <w:pPr>
        <w:ind w:firstLine="640" w:firstLineChars="20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该项目申报资金101.64万元。盐边县财政局年初下达预算101.64万元，资金到位率100%。</w:t>
      </w:r>
    </w:p>
    <w:p>
      <w:pPr>
        <w:ind w:firstLine="643" w:firstLineChars="20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（二）项目绩效目标</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1.项目主要内容。</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为提升基层派出所执法办案硬件基础，提高基层民、辅警综合战斗能力，盐边县公安局需对县公安局桐子林、新九、红果、渔门、永兴、国胜、惠民、格萨拉、共和九个派出所，渔门交警中队及县局机关办公用房进行维修。</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2.项目应实现的具体绩效目标，包括目标的量化、细化情况以及项目实施进度计划等。</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该项目根据实际所产生的年度预计费用设立数量、质量、社会效益、满意度等指标进行综合评定，评定细则符合该项目实际实施进度。</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分析评价申报内容是否与实际相符，申报目标是否合理可行。</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该项目与申报内容相符，申报目标合理可行。</w:t>
      </w:r>
    </w:p>
    <w:p>
      <w:pPr>
        <w:ind w:firstLine="643" w:firstLineChars="20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（三）项目自评步骤及方法</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该项目通过本单位自行成立讨论组的方式开展项目自评。</w:t>
      </w:r>
    </w:p>
    <w:p>
      <w:pPr>
        <w:ind w:firstLine="640" w:firstLineChars="200"/>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二、项目资金申报及使用情况</w:t>
      </w:r>
    </w:p>
    <w:p>
      <w:pPr>
        <w:ind w:firstLine="643" w:firstLineChars="20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（一）项目资金申报及批复情况</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该项目为年初申报项目，财政局年初下达该资金。</w:t>
      </w:r>
    </w:p>
    <w:p>
      <w:pPr>
        <w:ind w:firstLine="643" w:firstLineChars="20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（二）资金计划、到位及使用情况</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1.资金计划。</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该项目申报资金101.64万元。</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资金到位。</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该资金于年初到位101.64万元，到位率100%。</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资金使用。</w:t>
      </w:r>
    </w:p>
    <w:p>
      <w:pPr>
        <w:ind w:firstLine="640" w:firstLineChars="20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该资金按照进度本年度支付101.64万元，支付率为100%</w:t>
      </w:r>
    </w:p>
    <w:p>
      <w:pPr>
        <w:ind w:firstLine="643" w:firstLineChars="20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（三）项目财务管理情况</w:t>
      </w:r>
    </w:p>
    <w:p>
      <w:pPr>
        <w:ind w:firstLine="640" w:firstLineChars="200"/>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我单位严格执行《行政事业单位财务管理制度》，严格按照上级要求上报专项资金使用计划，并在实施过程中做到资金专项专用。所有支出严格按照财务会计管理规定，做到专项资金使用有计划、审批有手续、支出合理规范</w:t>
      </w:r>
      <w:r>
        <w:rPr>
          <w:rFonts w:hint="eastAsia" w:ascii="Times New Roman" w:hAnsi="Times New Roman" w:eastAsia="仿宋_GB2312" w:cs="仿宋_GB2312"/>
          <w:color w:val="auto"/>
          <w:kern w:val="2"/>
          <w:sz w:val="32"/>
          <w:szCs w:val="32"/>
          <w:highlight w:val="none"/>
          <w:lang w:val="zh-CN" w:eastAsia="zh-CN" w:bidi="ar-SA"/>
        </w:rPr>
        <w:t>。</w:t>
      </w:r>
    </w:p>
    <w:p>
      <w:pPr>
        <w:ind w:firstLine="640" w:firstLineChars="200"/>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三、项目实施及管理情况</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结合项目组织实施管理办法，重点围绕以下内容进行分析评价，并对自评中发现的问题分析说明。</w:t>
      </w:r>
    </w:p>
    <w:p>
      <w:pPr>
        <w:ind w:firstLine="643" w:firstLineChars="20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（一）项目组织架构及实施流程</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通过常设领导小组统筹决策，下设综合协调组、执行组、监督组等。领导小组综合把控方向，综合协调组负责沟通衔接，执行组推进具体任务，监督组确保合规与进度。实施过程先明确项目目标，范围与预算，再细化任务，分配职责与资源，保障全流程有序推进。</w:t>
      </w:r>
    </w:p>
    <w:p>
      <w:pPr>
        <w:ind w:firstLine="643" w:firstLineChars="20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（二）项目管理情况</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本单位项目严格按照项目实施单位申报，综合管理部门统筹，根据项目资金使用情况开展招标、公示工作。</w:t>
      </w:r>
    </w:p>
    <w:p>
      <w:pPr>
        <w:ind w:firstLine="643" w:firstLineChars="20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（三）项目监管情况</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该项目通过事中实施过程中相关业务部门对资金的到位、审核、支付全流程监督。</w:t>
      </w:r>
    </w:p>
    <w:p>
      <w:pPr>
        <w:ind w:firstLine="640" w:firstLineChars="200"/>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四、项目绩效情况</w:t>
      </w:r>
    </w:p>
    <w:p>
      <w:pPr>
        <w:ind w:firstLine="643" w:firstLineChars="20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（一）项目完成情况</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项目实施严格按照相关规定程序进行，资金支付按专项资金管理使用流程进行申报、支付。确保项目顺利实施，确保资金使用效率。</w:t>
      </w:r>
    </w:p>
    <w:p>
      <w:pPr>
        <w:ind w:firstLine="643" w:firstLineChars="20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（二）项目效益情况</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该项目不产生效益。</w:t>
      </w:r>
    </w:p>
    <w:p>
      <w:pPr>
        <w:ind w:firstLine="640" w:firstLineChars="200"/>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五、评价结论及建议</w:t>
      </w:r>
    </w:p>
    <w:p>
      <w:pPr>
        <w:ind w:firstLine="643" w:firstLineChars="20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（一）评价结论</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通过项目的实施，实现了该项目预期价值，有效提升公安综合能力。</w:t>
      </w:r>
    </w:p>
    <w:p>
      <w:pPr>
        <w:ind w:firstLine="643" w:firstLineChars="20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（二）存在的问题</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无。</w:t>
      </w:r>
    </w:p>
    <w:p>
      <w:pPr>
        <w:ind w:firstLine="643" w:firstLineChars="20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（三）相关建议</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无。</w:t>
      </w:r>
    </w:p>
    <w:p>
      <w:pPr>
        <w:spacing w:line="0" w:lineRule="atLeast"/>
        <w:jc w:val="center"/>
        <w:rPr>
          <w:rFonts w:hint="eastAsia" w:ascii="Times New Roman" w:hAnsi="Times New Roman" w:eastAsia="方正小标宋_GBK" w:cs="Times New Roman"/>
          <w:b/>
          <w:sz w:val="44"/>
          <w:szCs w:val="44"/>
        </w:rPr>
      </w:pPr>
    </w:p>
    <w:p>
      <w:pPr>
        <w:spacing w:line="0" w:lineRule="atLeast"/>
        <w:jc w:val="center"/>
        <w:rPr>
          <w:rFonts w:hint="eastAsia" w:ascii="Times New Roman" w:hAnsi="Times New Roman" w:eastAsia="方正小标宋_GBK" w:cs="Times New Roman"/>
          <w:b/>
          <w:sz w:val="44"/>
          <w:szCs w:val="44"/>
        </w:rPr>
      </w:pPr>
    </w:p>
    <w:p>
      <w:pPr>
        <w:spacing w:line="0" w:lineRule="atLeast"/>
        <w:jc w:val="center"/>
        <w:rPr>
          <w:rFonts w:hint="eastAsia" w:ascii="Times New Roman" w:hAnsi="Times New Roman" w:eastAsia="方正小标宋_GBK" w:cs="Times New Roman"/>
          <w:b/>
          <w:sz w:val="44"/>
          <w:szCs w:val="44"/>
        </w:rPr>
      </w:pPr>
    </w:p>
    <w:p>
      <w:pPr>
        <w:spacing w:line="0" w:lineRule="atLeast"/>
        <w:jc w:val="center"/>
        <w:rPr>
          <w:rFonts w:hint="eastAsia" w:ascii="黑体" w:hAnsi="黑体" w:eastAsia="黑体" w:cs="黑体"/>
          <w:b/>
          <w:sz w:val="44"/>
          <w:szCs w:val="44"/>
        </w:rPr>
      </w:pPr>
      <w:r>
        <w:rPr>
          <w:rFonts w:hint="eastAsia" w:ascii="黑体" w:hAnsi="黑体" w:eastAsia="黑体" w:cs="黑体"/>
          <w:b/>
          <w:sz w:val="44"/>
          <w:szCs w:val="44"/>
        </w:rPr>
        <w:t>盐边县公安局</w:t>
      </w:r>
    </w:p>
    <w:p>
      <w:pPr>
        <w:spacing w:line="0" w:lineRule="atLeast"/>
        <w:jc w:val="center"/>
        <w:rPr>
          <w:rFonts w:hint="eastAsia" w:ascii="黑体" w:hAnsi="黑体" w:eastAsia="黑体" w:cs="黑体"/>
          <w:b/>
          <w:sz w:val="44"/>
          <w:szCs w:val="44"/>
        </w:rPr>
      </w:pPr>
      <w:r>
        <w:rPr>
          <w:rFonts w:hint="eastAsia" w:ascii="黑体" w:hAnsi="黑体" w:eastAsia="黑体" w:cs="黑体"/>
          <w:b/>
          <w:sz w:val="44"/>
          <w:szCs w:val="44"/>
        </w:rPr>
        <w:t>国、省道新增交通安全提</w:t>
      </w:r>
    </w:p>
    <w:p>
      <w:pPr>
        <w:spacing w:line="0" w:lineRule="atLeast"/>
        <w:jc w:val="center"/>
        <w:rPr>
          <w:rFonts w:hint="eastAsia" w:ascii="黑体" w:hAnsi="黑体" w:eastAsia="黑体" w:cs="黑体"/>
          <w:b/>
          <w:sz w:val="44"/>
          <w:szCs w:val="44"/>
          <w:lang w:eastAsia="zh-CN"/>
        </w:rPr>
      </w:pPr>
      <w:r>
        <w:rPr>
          <w:rFonts w:hint="eastAsia" w:ascii="黑体" w:hAnsi="黑体" w:eastAsia="黑体" w:cs="黑体"/>
          <w:b/>
          <w:sz w:val="44"/>
          <w:szCs w:val="44"/>
        </w:rPr>
        <w:t>示警示牌绩效自评报告</w:t>
      </w:r>
      <w:r>
        <w:rPr>
          <w:rFonts w:hint="eastAsia" w:ascii="黑体" w:hAnsi="黑体" w:eastAsia="黑体" w:cs="黑体"/>
          <w:b/>
          <w:sz w:val="44"/>
          <w:szCs w:val="44"/>
          <w:lang w:val="en-US" w:eastAsia="zh-CN"/>
        </w:rPr>
        <w:t xml:space="preserve"> </w:t>
      </w:r>
    </w:p>
    <w:p>
      <w:pPr>
        <w:widowControl w:val="0"/>
        <w:spacing w:line="600" w:lineRule="exact"/>
        <w:ind w:firstLine="640"/>
        <w:jc w:val="center"/>
        <w:rPr>
          <w:rFonts w:hint="eastAsia" w:ascii="Times New Roman" w:hAnsi="Times New Roman" w:eastAsia="宋体" w:cs="Times New Roman"/>
          <w:color w:val="auto"/>
          <w:kern w:val="2"/>
          <w:sz w:val="32"/>
          <w:szCs w:val="32"/>
          <w:lang w:val="en-US" w:eastAsia="zh-CN" w:bidi="ar-SA"/>
        </w:rPr>
      </w:pPr>
      <w:r>
        <w:rPr>
          <w:rFonts w:hint="eastAsia" w:ascii="Times New Roman" w:hAnsi="??" w:eastAsia="方正楷体_GBK" w:cs="宋体"/>
          <w:b/>
          <w:color w:val="000000"/>
          <w:kern w:val="0"/>
          <w:sz w:val="28"/>
          <w:szCs w:val="32"/>
          <w:lang w:val="en-US" w:eastAsia="zh-CN" w:bidi="ar-SA"/>
        </w:rPr>
        <w:t xml:space="preserve"> </w:t>
      </w:r>
    </w:p>
    <w:p>
      <w:pPr>
        <w:ind w:firstLine="640" w:firstLineChars="200"/>
        <w:rPr>
          <w:rFonts w:hint="eastAsia" w:ascii="黑体" w:hAnsi="黑体" w:eastAsia="黑体" w:cs="黑体"/>
          <w:sz w:val="32"/>
        </w:rPr>
      </w:pPr>
      <w:r>
        <w:rPr>
          <w:rFonts w:hint="eastAsia" w:ascii="黑体" w:hAnsi="黑体" w:eastAsia="黑体" w:cs="黑体"/>
          <w:sz w:val="32"/>
        </w:rPr>
        <w:t>一、项目概况</w:t>
      </w:r>
    </w:p>
    <w:p>
      <w:pPr>
        <w:ind w:firstLine="643" w:firstLineChars="20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（一）项目基本情况</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本项目为盐边县公安局在12.1较大交通事故发生后，为控制交通事故发生率下降，在相关道路上安装交通警示牌。</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1.项目立项、资金申报的依据。</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为全面整改道路重大交通安全隐患，需在G353线、F227线、S218、S221线新增道路限速提示牌，塑胶交警模型、弯道提示牌、道路通行警示牌等表示标线。</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2.资金管理办法制定情况，资金支持具体项目的条件、范围与支持方式概况。</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我单位严格按照财务管理办法使用项目资金，对资金前中后期按照单位内控制度进行管理。</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3.资金分配的原则及考虑因素。</w:t>
      </w:r>
    </w:p>
    <w:p>
      <w:pPr>
        <w:ind w:firstLine="640" w:firstLineChars="20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该项目申报资金18.9万元。盐边县财政局根据盐财资行【2024】113号下达县级资金18.9万元，资金到位率100%。</w:t>
      </w:r>
    </w:p>
    <w:p>
      <w:pPr>
        <w:ind w:firstLine="643" w:firstLineChars="20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（二）项目绩效目标</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1.项目主要内容。</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该项目新增交通警示牌均为出现重大交通安全隐患地方，目的是为了降低事故发生率，维护辖区交通出行平安。</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2.项目应实现的具体绩效目标，包括目标的量化、细化情况以及项目实施进度计划等。</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该项目根据实际所产生的年度预计费用设立数量、质量、社会效益、满意度等指标进行综合评定，评定细则符合该项目实际实施进度。</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分析评价申报内容是否与实际相符，申报目标是否合理可行。</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该项目与申报内容相符，申报目标合理可行。</w:t>
      </w:r>
    </w:p>
    <w:p>
      <w:pPr>
        <w:ind w:firstLine="643" w:firstLineChars="20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（三）项目自评步骤及方法</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该项目通过本单位自行成立讨论组的方式开展项目自评。</w:t>
      </w:r>
    </w:p>
    <w:p>
      <w:pPr>
        <w:ind w:firstLine="640" w:firstLineChars="200"/>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二、项目资金申报及使用情况</w:t>
      </w:r>
    </w:p>
    <w:p>
      <w:pPr>
        <w:ind w:firstLine="643" w:firstLineChars="20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（一）项目资金申报及批复情况</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该项目为年初申报项目，财政局于2024年下达该资金。</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资金计划、到位及使用情况</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1.资金计划。</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该项目申报资金18.9万元。</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2.资金到位。</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该资金于2024年到位18.9万元，到位率100%。</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3.资金使用。</w:t>
      </w:r>
    </w:p>
    <w:p>
      <w:pPr>
        <w:ind w:firstLine="640" w:firstLineChars="20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该资金按照进度本年度支付18.9万元，支付率为100%。</w:t>
      </w:r>
    </w:p>
    <w:p>
      <w:pPr>
        <w:ind w:firstLine="643" w:firstLineChars="20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（三）项目财务管理情况</w:t>
      </w:r>
    </w:p>
    <w:p>
      <w:pPr>
        <w:ind w:firstLine="640" w:firstLineChars="200"/>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我单位严格执行《行政事业单位财务管理制度》，严格按照上级要求上报专项资金使用计划，并在实施过程中做到资金专项专用。所有支出严格按照财务会计管理规定，做到专项资金使用有计划、审批有手续、支出合理规范</w:t>
      </w:r>
      <w:r>
        <w:rPr>
          <w:rFonts w:hint="eastAsia" w:ascii="Times New Roman" w:hAnsi="Times New Roman" w:eastAsia="仿宋_GB2312" w:cs="仿宋_GB2312"/>
          <w:color w:val="auto"/>
          <w:kern w:val="2"/>
          <w:sz w:val="32"/>
          <w:szCs w:val="32"/>
          <w:highlight w:val="none"/>
          <w:lang w:val="zh-CN" w:eastAsia="zh-CN" w:bidi="ar-SA"/>
        </w:rPr>
        <w:t>。</w:t>
      </w:r>
    </w:p>
    <w:p>
      <w:pPr>
        <w:ind w:firstLine="640" w:firstLineChars="200"/>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三、项目实施及管理情况</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结合项目组织实施管理办法，重点围绕以下内容进行分析评价，并对自评中发现的问题分析说明。</w:t>
      </w:r>
    </w:p>
    <w:p>
      <w:pPr>
        <w:ind w:firstLine="643" w:firstLineChars="20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（一）项目组织架构及实施流程</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通过常设领导小组统筹决策，下设综合协调组、执行组、监督组等。领导小组综合把控方向，综合协调组负责沟通衔接，执行组推进具体任务，监督组确保合规与进度。实施过程先明确项目目标，范围与预算，再细化任务，分配职责与资源，保障全流程有序推进。</w:t>
      </w:r>
    </w:p>
    <w:p>
      <w:pPr>
        <w:ind w:firstLine="643" w:firstLineChars="20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（二）项目管理情况</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本单位项目严格按照项目实施单位申报，综合管理部门统筹，根据项目资金使用情况开展招标、公示工作。</w:t>
      </w:r>
    </w:p>
    <w:p>
      <w:pPr>
        <w:ind w:firstLine="643" w:firstLineChars="20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（三）项目监管情况</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该项目通过事中实施过程中相关业务部门对资金的到位、审核、支付全流程监督。</w:t>
      </w:r>
    </w:p>
    <w:p>
      <w:pPr>
        <w:ind w:firstLine="640" w:firstLineChars="200"/>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四、项目绩效情况</w:t>
      </w:r>
    </w:p>
    <w:p>
      <w:pPr>
        <w:ind w:firstLine="643" w:firstLineChars="20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（一）项目完成情况</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项目实施严格按照相关规定程序进行，资金支付按专项资金管理使用流程进行申报、支付。确保项目顺利实施，确保资金使用效率。</w:t>
      </w:r>
    </w:p>
    <w:p>
      <w:pPr>
        <w:ind w:firstLine="643" w:firstLineChars="20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（二）项目效益情况</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该项目不产生效益。</w:t>
      </w:r>
    </w:p>
    <w:p>
      <w:pPr>
        <w:ind w:firstLine="640" w:firstLineChars="200"/>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五、评价结论及建议</w:t>
      </w:r>
    </w:p>
    <w:p>
      <w:pPr>
        <w:ind w:firstLine="643" w:firstLineChars="20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（一）评价结论</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通过项目的实施，实现了该项目预期价值，有效提升公安综合能力。</w:t>
      </w:r>
    </w:p>
    <w:p>
      <w:pPr>
        <w:ind w:firstLine="643" w:firstLineChars="20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（二）存在的问题</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无。</w:t>
      </w:r>
    </w:p>
    <w:p>
      <w:pPr>
        <w:ind w:firstLine="643" w:firstLineChars="20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（三）相关建议</w:t>
      </w:r>
    </w:p>
    <w:p>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无。</w:t>
      </w: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30"/>
          <w:rFonts w:hint="eastAsia" w:ascii="Times New Roman" w:hAnsi="Times New Roman" w:eastAsia="黑体"/>
          <w:b w:val="0"/>
          <w:color w:val="auto"/>
          <w:highlight w:val="none"/>
        </w:rPr>
        <w:t>五部分 附表</w:t>
      </w:r>
      <w:bookmarkEnd w:id="49"/>
      <w:bookmarkEnd w:id="52"/>
      <w:bookmarkStart w:id="53" w:name="_Toc15396619"/>
    </w:p>
    <w:p>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3"/>
    </w:p>
    <w:p>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4" w:name="_Toc15396620"/>
      <w:r>
        <w:rPr>
          <w:rFonts w:hint="eastAsia" w:ascii="Times New Roman" w:hAnsi="Times New Roman" w:eastAsia="仿宋_GB2312" w:cs="仿宋_GB2312"/>
          <w:color w:val="auto"/>
          <w:sz w:val="32"/>
          <w:szCs w:val="32"/>
          <w:highlight w:val="none"/>
        </w:rPr>
        <w:t>二、收入决算表</w:t>
      </w:r>
      <w:bookmarkEnd w:id="54"/>
    </w:p>
    <w:p>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5" w:name="_Toc15396621"/>
      <w:r>
        <w:rPr>
          <w:rFonts w:hint="eastAsia" w:ascii="Times New Roman" w:hAnsi="Times New Roman" w:eastAsia="仿宋_GB2312" w:cs="仿宋_GB2312"/>
          <w:color w:val="auto"/>
          <w:sz w:val="32"/>
          <w:szCs w:val="32"/>
          <w:highlight w:val="none"/>
        </w:rPr>
        <w:t>三、支出决算表</w:t>
      </w:r>
      <w:bookmarkEnd w:id="55"/>
    </w:p>
    <w:p>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2"/>
      <w:r>
        <w:rPr>
          <w:rFonts w:hint="eastAsia" w:ascii="Times New Roman" w:hAnsi="Times New Roman" w:eastAsia="仿宋_GB2312" w:cs="仿宋_GB2312"/>
          <w:color w:val="auto"/>
          <w:sz w:val="32"/>
          <w:szCs w:val="32"/>
          <w:highlight w:val="none"/>
        </w:rPr>
        <w:t>四、财政拨款收入支出决算总表</w:t>
      </w:r>
      <w:bookmarkEnd w:id="56"/>
    </w:p>
    <w:p>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3"/>
      <w:r>
        <w:rPr>
          <w:rFonts w:hint="eastAsia" w:ascii="Times New Roman" w:hAnsi="Times New Roman" w:eastAsia="仿宋_GB2312" w:cs="仿宋_GB2312"/>
          <w:color w:val="auto"/>
          <w:sz w:val="32"/>
          <w:szCs w:val="32"/>
          <w:highlight w:val="none"/>
        </w:rPr>
        <w:t>五、财政拨款支出决算明细表</w:t>
      </w:r>
      <w:bookmarkEnd w:id="57"/>
      <w:bookmarkStart w:id="58" w:name="_Toc15396624"/>
    </w:p>
    <w:p>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8"/>
    </w:p>
    <w:p>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5"/>
      <w:r>
        <w:rPr>
          <w:rFonts w:hint="eastAsia" w:ascii="Times New Roman" w:hAnsi="Times New Roman" w:eastAsia="仿宋_GB2312" w:cs="仿宋_GB2312"/>
          <w:color w:val="auto"/>
          <w:sz w:val="32"/>
          <w:szCs w:val="32"/>
          <w:highlight w:val="none"/>
        </w:rPr>
        <w:t>七、一般公共预算财政拨款支出决算明细表</w:t>
      </w:r>
      <w:bookmarkEnd w:id="59"/>
    </w:p>
    <w:p>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6"/>
      <w:r>
        <w:rPr>
          <w:rFonts w:hint="eastAsia" w:ascii="Times New Roman" w:hAnsi="Times New Roman" w:eastAsia="仿宋_GB2312" w:cs="仿宋_GB2312"/>
          <w:color w:val="auto"/>
          <w:sz w:val="32"/>
          <w:szCs w:val="32"/>
          <w:highlight w:val="none"/>
        </w:rPr>
        <w:t>八、一般公共预算财政拨款基本支出决算表</w:t>
      </w:r>
      <w:bookmarkEnd w:id="60"/>
    </w:p>
    <w:p>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27"/>
      <w:r>
        <w:rPr>
          <w:rFonts w:hint="eastAsia" w:ascii="Times New Roman" w:hAnsi="Times New Roman" w:eastAsia="仿宋_GB2312" w:cs="仿宋_GB2312"/>
          <w:color w:val="auto"/>
          <w:sz w:val="32"/>
          <w:szCs w:val="32"/>
          <w:highlight w:val="none"/>
        </w:rPr>
        <w:t>九、一般公共预算财政拨款项目支出决算表</w:t>
      </w:r>
      <w:bookmarkEnd w:id="61"/>
    </w:p>
    <w:p>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val="en-US" w:eastAsia="zh-CN"/>
        </w:rPr>
      </w:pPr>
      <w:bookmarkStart w:id="62" w:name="_Toc15396628"/>
      <w:r>
        <w:rPr>
          <w:rFonts w:hint="eastAsia" w:ascii="Times New Roman" w:hAnsi="Times New Roman" w:eastAsia="仿宋_GB2312" w:cs="仿宋_GB2312"/>
          <w:color w:val="auto"/>
          <w:sz w:val="32"/>
          <w:szCs w:val="32"/>
          <w:highlight w:val="none"/>
        </w:rPr>
        <w:t>十、</w:t>
      </w:r>
      <w:bookmarkEnd w:id="62"/>
      <w:r>
        <w:rPr>
          <w:rFonts w:hint="eastAsia" w:ascii="Times New Roman" w:hAnsi="Times New Roman" w:eastAsia="仿宋_GB2312" w:cs="仿宋_GB2312"/>
          <w:color w:val="auto"/>
          <w:sz w:val="32"/>
          <w:szCs w:val="32"/>
          <w:highlight w:val="none"/>
        </w:rPr>
        <w:t>政府性基金预算财政拨款收入支出决算表</w:t>
      </w:r>
      <w:r>
        <w:rPr>
          <w:rFonts w:hint="eastAsia" w:eastAsia="仿宋_GB2312" w:cs="仿宋_GB2312"/>
          <w:color w:val="auto"/>
          <w:sz w:val="32"/>
          <w:szCs w:val="32"/>
          <w:highlight w:val="none"/>
          <w:lang w:eastAsia="zh-CN"/>
        </w:rPr>
        <w:t>（此表无数据）</w:t>
      </w:r>
    </w:p>
    <w:p>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3" w:name="_Toc15396629"/>
      <w:r>
        <w:rPr>
          <w:rFonts w:hint="eastAsia" w:ascii="Times New Roman" w:hAnsi="Times New Roman" w:eastAsia="仿宋_GB2312" w:cs="仿宋_GB2312"/>
          <w:color w:val="auto"/>
          <w:sz w:val="32"/>
          <w:szCs w:val="32"/>
          <w:highlight w:val="none"/>
        </w:rPr>
        <w:t>十一、</w:t>
      </w:r>
      <w:bookmarkEnd w:id="63"/>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r>
        <w:rPr>
          <w:rFonts w:hint="eastAsia" w:eastAsia="仿宋_GB2312" w:cs="仿宋_GB2312"/>
          <w:color w:val="auto"/>
          <w:sz w:val="32"/>
          <w:szCs w:val="32"/>
          <w:highlight w:val="none"/>
          <w:lang w:eastAsia="zh-CN"/>
        </w:rPr>
        <w:t>（此表无数据）</w:t>
      </w:r>
    </w:p>
    <w:p>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4" w:name="_Toc15396630"/>
      <w:r>
        <w:rPr>
          <w:rFonts w:hint="eastAsia" w:ascii="Times New Roman" w:hAnsi="Times New Roman" w:eastAsia="仿宋_GB2312" w:cs="仿宋_GB2312"/>
          <w:color w:val="auto"/>
          <w:sz w:val="32"/>
          <w:szCs w:val="32"/>
          <w:highlight w:val="none"/>
        </w:rPr>
        <w:t>十二、</w:t>
      </w:r>
      <w:bookmarkEnd w:id="64"/>
      <w:r>
        <w:rPr>
          <w:rFonts w:hint="eastAsia" w:ascii="Times New Roman" w:hAnsi="Times New Roman" w:eastAsia="仿宋_GB2312" w:cs="仿宋_GB2312"/>
          <w:color w:val="auto"/>
          <w:sz w:val="32"/>
          <w:szCs w:val="32"/>
          <w:highlight w:val="none"/>
          <w:lang w:eastAsia="zh-CN"/>
        </w:rPr>
        <w:t>国有资本经营预算财政拨款支出决算表</w:t>
      </w:r>
      <w:r>
        <w:rPr>
          <w:rFonts w:hint="eastAsia" w:eastAsia="仿宋_GB2312" w:cs="仿宋_GB2312"/>
          <w:color w:val="auto"/>
          <w:sz w:val="32"/>
          <w:szCs w:val="32"/>
          <w:highlight w:val="none"/>
          <w:lang w:eastAsia="zh-CN"/>
        </w:rPr>
        <w:t>（此表无数据）</w:t>
      </w:r>
    </w:p>
    <w:p>
      <w:pPr>
        <w:pStyle w:val="17"/>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5" w:name="_Toc15396631"/>
      <w:r>
        <w:rPr>
          <w:rFonts w:hint="eastAsia" w:ascii="Times New Roman" w:hAnsi="Times New Roman" w:eastAsia="仿宋_GB2312" w:cs="仿宋_GB2312"/>
          <w:color w:val="auto"/>
          <w:sz w:val="32"/>
          <w:szCs w:val="32"/>
          <w:highlight w:val="none"/>
        </w:rPr>
        <w:t>十三、</w:t>
      </w:r>
      <w:bookmarkEnd w:id="65"/>
      <w:r>
        <w:rPr>
          <w:rFonts w:hint="eastAsia" w:ascii="Times New Roman" w:hAnsi="Times New Roman" w:eastAsia="仿宋_GB2312" w:cs="仿宋_GB2312"/>
          <w:color w:val="auto"/>
          <w:sz w:val="32"/>
          <w:szCs w:val="32"/>
          <w:highlight w:val="none"/>
          <w:lang w:eastAsia="zh-CN"/>
        </w:rPr>
        <w:t>财政拨款“三公”经费支出决算表</w:t>
      </w:r>
    </w:p>
    <w:p>
      <w:pPr>
        <w:rPr>
          <w:rFonts w:hint="eastAsia" w:ascii="Times New Roman" w:hAnsi="Times New Roman"/>
          <w:lang w:eastAsia="zh-CN"/>
        </w:rPr>
      </w:pPr>
    </w:p>
    <w:sectPr>
      <w:footerReference r:id="rId6" w:type="first"/>
      <w:footerReference r:id="rId5"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E0B64D"/>
    <w:multiLevelType w:val="singleLevel"/>
    <w:tmpl w:val="A9E0B64D"/>
    <w:lvl w:ilvl="0" w:tentative="0">
      <w:start w:val="1"/>
      <w:numFmt w:val="chineseCounting"/>
      <w:suff w:val="nothing"/>
      <w:lvlText w:val="%1、"/>
      <w:lvlJc w:val="left"/>
      <w:rPr>
        <w:rFonts w:hint="eastAsia"/>
      </w:rPr>
    </w:lvl>
  </w:abstractNum>
  <w:abstractNum w:abstractNumId="1">
    <w:nsid w:val="F34AC70C"/>
    <w:multiLevelType w:val="singleLevel"/>
    <w:tmpl w:val="F34AC70C"/>
    <w:lvl w:ilvl="0" w:tentative="0">
      <w:start w:val="2"/>
      <w:numFmt w:val="chineseCounting"/>
      <w:suff w:val="nothing"/>
      <w:lvlText w:val="（%1）"/>
      <w:lvlJc w:val="left"/>
      <w:rPr>
        <w:rFonts w:hint="eastAsia"/>
      </w:rPr>
    </w:lvl>
  </w:abstractNum>
  <w:abstractNum w:abstractNumId="2">
    <w:nsid w:val="599FE714"/>
    <w:multiLevelType w:val="singleLevel"/>
    <w:tmpl w:val="599FE714"/>
    <w:lvl w:ilvl="0" w:tentative="0">
      <w:start w:val="2"/>
      <w:numFmt w:val="chineseCounting"/>
      <w:suff w:val="nothing"/>
      <w:lvlText w:val="（%1）"/>
      <w:lvlJc w:val="left"/>
      <w:rPr>
        <w:rFonts w:hint="eastAsia"/>
      </w:rPr>
    </w:lvl>
  </w:abstractNum>
  <w:abstractNum w:abstractNumId="3">
    <w:nsid w:val="62621CDC"/>
    <w:multiLevelType w:val="multilevel"/>
    <w:tmpl w:val="62621CDC"/>
    <w:lvl w:ilvl="0" w:tentative="0">
      <w:start w:val="1"/>
      <w:numFmt w:val="decimal"/>
      <w:lvlText w:val="%1."/>
      <w:lvlJc w:val="left"/>
      <w:pPr>
        <w:ind w:left="1152" w:hanging="480"/>
      </w:pPr>
      <w:rPr>
        <w:rFonts w:hint="default"/>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abstractNum w:abstractNumId="4">
    <w:nsid w:val="7ADABFCA"/>
    <w:multiLevelType w:val="singleLevel"/>
    <w:tmpl w:val="7ADABFCA"/>
    <w:lvl w:ilvl="0" w:tentative="0">
      <w:start w:val="2"/>
      <w:numFmt w:val="chineseCounting"/>
      <w:suff w:val="nothing"/>
      <w:lvlText w:val="（%1）"/>
      <w:lvlJc w:val="left"/>
      <w:rPr>
        <w:rFonts w:hint="eastAsia"/>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1DA64DF"/>
    <w:rsid w:val="02FEBE30"/>
    <w:rsid w:val="04916F1E"/>
    <w:rsid w:val="061E35DE"/>
    <w:rsid w:val="066E0107"/>
    <w:rsid w:val="07437FDD"/>
    <w:rsid w:val="07996F6E"/>
    <w:rsid w:val="07DFD8BA"/>
    <w:rsid w:val="09867E8F"/>
    <w:rsid w:val="0A2032A3"/>
    <w:rsid w:val="0BD43BC4"/>
    <w:rsid w:val="0C9371C4"/>
    <w:rsid w:val="0CA8290A"/>
    <w:rsid w:val="0D35B1ED"/>
    <w:rsid w:val="0DEF1D04"/>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D155CEE"/>
    <w:rsid w:val="1D1638FE"/>
    <w:rsid w:val="1DCC12F6"/>
    <w:rsid w:val="1E312DEB"/>
    <w:rsid w:val="1E740ACF"/>
    <w:rsid w:val="1FF35744"/>
    <w:rsid w:val="1FF6BC77"/>
    <w:rsid w:val="20083B73"/>
    <w:rsid w:val="2186353C"/>
    <w:rsid w:val="229F7DBC"/>
    <w:rsid w:val="233B7D4A"/>
    <w:rsid w:val="23860B96"/>
    <w:rsid w:val="240371BF"/>
    <w:rsid w:val="244F3473"/>
    <w:rsid w:val="24C97D99"/>
    <w:rsid w:val="25225BAA"/>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59C47AA"/>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6022D64"/>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203FF8"/>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57637E"/>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4"/>
    <w:unhideWhenUsed/>
    <w:qFormat/>
    <w:uiPriority w:val="9"/>
    <w:pPr>
      <w:keepNext/>
      <w:keepLines/>
      <w:spacing w:before="260" w:after="260" w:line="416" w:lineRule="auto"/>
      <w:outlineLvl w:val="2"/>
    </w:pPr>
    <w:rPr>
      <w:b/>
      <w:bCs/>
      <w:sz w:val="32"/>
      <w:szCs w:val="32"/>
    </w:rPr>
  </w:style>
  <w:style w:type="paragraph" w:styleId="6">
    <w:name w:val="heading 4"/>
    <w:next w:val="7"/>
    <w:qFormat/>
    <w:uiPriority w:val="0"/>
    <w:pPr>
      <w:keepNext/>
      <w:keepLines/>
      <w:widowControl w:val="0"/>
      <w:spacing w:before="280" w:after="290" w:line="376" w:lineRule="auto"/>
      <w:jc w:val="both"/>
      <w:outlineLvl w:val="3"/>
    </w:pPr>
    <w:rPr>
      <w:rFonts w:ascii="Arial" w:hAnsi="Arial" w:eastAsia="黑体" w:cs="Times New Roman"/>
      <w:b/>
      <w:bCs/>
      <w:kern w:val="2"/>
      <w:sz w:val="28"/>
      <w:szCs w:val="28"/>
      <w:lang w:val="en-US" w:eastAsia="zh-CN" w:bidi="ar-SA"/>
    </w:rPr>
  </w:style>
  <w:style w:type="character" w:default="1" w:styleId="19">
    <w:name w:val="Default Paragraph Font"/>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paragraph" w:customStyle="1" w:styleId="7">
    <w:name w:val="正文样式"/>
    <w:qFormat/>
    <w:uiPriority w:val="7"/>
    <w:pPr>
      <w:widowControl w:val="0"/>
      <w:ind w:firstLine="480" w:firstLineChars="200"/>
      <w:jc w:val="both"/>
    </w:pPr>
    <w:rPr>
      <w:rFonts w:ascii="方正仿宋_GBK" w:hAnsi="Times New Roman" w:eastAsia="方正仿宋_GBK" w:cs="Times New Roman"/>
      <w:kern w:val="2"/>
      <w:sz w:val="32"/>
      <w:szCs w:val="24"/>
      <w:lang w:val="en-US" w:eastAsia="zh-CN" w:bidi="ar-SA"/>
    </w:rPr>
  </w:style>
  <w:style w:type="paragraph" w:styleId="8">
    <w:name w:val="Body Text"/>
    <w:basedOn w:val="1"/>
    <w:next w:val="1"/>
    <w:link w:val="27"/>
    <w:qFormat/>
    <w:uiPriority w:val="99"/>
    <w:pPr>
      <w:spacing w:beforeLines="30"/>
    </w:pPr>
    <w:rPr>
      <w:rFonts w:ascii="仿宋_GB2312" w:eastAsia="仿宋_GB2312"/>
      <w:kern w:val="0"/>
      <w:sz w:val="30"/>
    </w:rPr>
  </w:style>
  <w:style w:type="paragraph" w:styleId="9">
    <w:name w:val="Body Text Indent"/>
    <w:basedOn w:val="1"/>
    <w:next w:val="10"/>
    <w:qFormat/>
    <w:uiPriority w:val="0"/>
    <w:pPr>
      <w:spacing w:after="120"/>
      <w:ind w:leftChars="200"/>
    </w:pPr>
    <w:rPr>
      <w:rFonts w:ascii="仿宋_GB2312"/>
      <w:szCs w:val="32"/>
    </w:rPr>
  </w:style>
  <w:style w:type="paragraph" w:styleId="10">
    <w:name w:val="Body Text First Indent 2"/>
    <w:basedOn w:val="9"/>
    <w:unhideWhenUsed/>
    <w:qFormat/>
    <w:uiPriority w:val="99"/>
    <w:pPr>
      <w:ind w:firstLine="420" w:firstLineChars="200"/>
    </w:pPr>
  </w:style>
  <w:style w:type="paragraph" w:styleId="11">
    <w:name w:val="toc 3"/>
    <w:basedOn w:val="1"/>
    <w:next w:val="1"/>
    <w:unhideWhenUsed/>
    <w:qFormat/>
    <w:uiPriority w:val="39"/>
    <w:pPr>
      <w:tabs>
        <w:tab w:val="right" w:leader="dot" w:pos="8296"/>
      </w:tabs>
      <w:ind w:left="840" w:leftChars="400"/>
    </w:pPr>
  </w:style>
  <w:style w:type="paragraph" w:styleId="12">
    <w:name w:val="Balloon Text"/>
    <w:basedOn w:val="1"/>
    <w:link w:val="33"/>
    <w:semiHidden/>
    <w:unhideWhenUsed/>
    <w:qFormat/>
    <w:uiPriority w:val="99"/>
    <w:rPr>
      <w:sz w:val="18"/>
      <w:szCs w:val="18"/>
    </w:rPr>
  </w:style>
  <w:style w:type="paragraph" w:styleId="13">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4">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5">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6">
    <w:name w:val="footnote text"/>
    <w:basedOn w:val="1"/>
    <w:next w:val="10"/>
    <w:semiHidden/>
    <w:qFormat/>
    <w:uiPriority w:val="0"/>
    <w:pPr>
      <w:snapToGrid w:val="0"/>
      <w:jc w:val="left"/>
    </w:pPr>
    <w:rPr>
      <w:sz w:val="18"/>
      <w:szCs w:val="18"/>
    </w:rPr>
  </w:style>
  <w:style w:type="paragraph" w:styleId="17">
    <w:name w:val="toc 2"/>
    <w:basedOn w:val="1"/>
    <w:next w:val="1"/>
    <w:unhideWhenUsed/>
    <w:qFormat/>
    <w:uiPriority w:val="39"/>
    <w:pPr>
      <w:tabs>
        <w:tab w:val="right" w:leader="dot" w:pos="8296"/>
      </w:tabs>
      <w:ind w:left="420" w:leftChars="200"/>
    </w:p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character" w:customStyle="1" w:styleId="22">
    <w:name w:val="Header Char"/>
    <w:basedOn w:val="19"/>
    <w:semiHidden/>
    <w:qFormat/>
    <w:uiPriority w:val="99"/>
    <w:rPr>
      <w:rFonts w:ascii="Times New Roman" w:hAnsi="Times New Roman"/>
      <w:sz w:val="18"/>
      <w:szCs w:val="18"/>
    </w:rPr>
  </w:style>
  <w:style w:type="character" w:customStyle="1" w:styleId="23">
    <w:name w:val="页眉 Char"/>
    <w:link w:val="14"/>
    <w:semiHidden/>
    <w:qFormat/>
    <w:locked/>
    <w:uiPriority w:val="99"/>
    <w:rPr>
      <w:sz w:val="18"/>
    </w:rPr>
  </w:style>
  <w:style w:type="character" w:customStyle="1" w:styleId="24">
    <w:name w:val="Footer Char"/>
    <w:basedOn w:val="19"/>
    <w:semiHidden/>
    <w:qFormat/>
    <w:uiPriority w:val="99"/>
    <w:rPr>
      <w:rFonts w:ascii="Times New Roman" w:hAnsi="Times New Roman"/>
      <w:sz w:val="18"/>
      <w:szCs w:val="18"/>
    </w:rPr>
  </w:style>
  <w:style w:type="character" w:customStyle="1" w:styleId="25">
    <w:name w:val="页脚 Char"/>
    <w:link w:val="13"/>
    <w:qFormat/>
    <w:locked/>
    <w:uiPriority w:val="99"/>
    <w:rPr>
      <w:sz w:val="18"/>
    </w:rPr>
  </w:style>
  <w:style w:type="character" w:customStyle="1" w:styleId="26">
    <w:name w:val="Body Text Char"/>
    <w:basedOn w:val="19"/>
    <w:semiHidden/>
    <w:qFormat/>
    <w:uiPriority w:val="99"/>
    <w:rPr>
      <w:rFonts w:ascii="Times New Roman" w:hAnsi="Times New Roman"/>
      <w:szCs w:val="24"/>
    </w:rPr>
  </w:style>
  <w:style w:type="character" w:customStyle="1" w:styleId="27">
    <w:name w:val="正文文本 Char"/>
    <w:link w:val="8"/>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9"/>
    <w:link w:val="3"/>
    <w:qFormat/>
    <w:uiPriority w:val="9"/>
    <w:rPr>
      <w:rFonts w:ascii="Times New Roman" w:hAnsi="Times New Roman"/>
      <w:b/>
      <w:bCs/>
      <w:kern w:val="44"/>
      <w:sz w:val="44"/>
      <w:szCs w:val="44"/>
    </w:rPr>
  </w:style>
  <w:style w:type="character" w:customStyle="1" w:styleId="31">
    <w:name w:val="标题 2 Char"/>
    <w:basedOn w:val="19"/>
    <w:link w:val="4"/>
    <w:qFormat/>
    <w:uiPriority w:val="9"/>
    <w:rPr>
      <w:rFonts w:asciiTheme="majorHAnsi" w:hAnsiTheme="majorHAnsi" w:eastAsiaTheme="majorEastAsia" w:cstheme="majorBidi"/>
      <w:b/>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9"/>
    <w:link w:val="12"/>
    <w:semiHidden/>
    <w:qFormat/>
    <w:uiPriority w:val="99"/>
    <w:rPr>
      <w:rFonts w:ascii="Times New Roman" w:hAnsi="Times New Roman"/>
      <w:kern w:val="2"/>
      <w:sz w:val="18"/>
      <w:szCs w:val="18"/>
    </w:rPr>
  </w:style>
  <w:style w:type="character" w:customStyle="1" w:styleId="34">
    <w:name w:val="标题 3 Char"/>
    <w:basedOn w:val="19"/>
    <w:link w:val="5"/>
    <w:qFormat/>
    <w:uiPriority w:val="9"/>
    <w:rPr>
      <w:rFonts w:ascii="Times New Roman" w:hAnsi="Times New Roman"/>
      <w:b/>
      <w:bCs/>
      <w:kern w:val="2"/>
      <w:sz w:val="32"/>
      <w:szCs w:val="32"/>
    </w:rPr>
  </w:style>
  <w:style w:type="paragraph" w:customStyle="1" w:styleId="35">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5.emf"/><Relationship Id="rId18" Type="http://schemas.openxmlformats.org/officeDocument/2006/relationships/oleObject" Target="embeddings/oleObject5.bin"/><Relationship Id="rId17" Type="http://schemas.openxmlformats.org/officeDocument/2006/relationships/image" Target="media/image4.emf"/><Relationship Id="rId16" Type="http://schemas.openxmlformats.org/officeDocument/2006/relationships/oleObject" Target="embeddings/oleObject4.bin"/><Relationship Id="rId15" Type="http://schemas.openxmlformats.org/officeDocument/2006/relationships/image" Target="media/image3.emf"/><Relationship Id="rId14" Type="http://schemas.openxmlformats.org/officeDocument/2006/relationships/oleObject" Target="embeddings/oleObject3.bin"/><Relationship Id="rId13" Type="http://schemas.openxmlformats.org/officeDocument/2006/relationships/image" Target="media/image2.emf"/><Relationship Id="rId12" Type="http://schemas.openxmlformats.org/officeDocument/2006/relationships/oleObject" Target="embeddings/oleObject2.bin"/><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收入</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一般公共预算收入</c:v>
                </c:pt>
                <c:pt idx="1">
                  <c:v>其他收入</c:v>
                </c:pt>
              </c:strCache>
            </c:strRef>
          </c:cat>
          <c:val>
            <c:numRef>
              <c:f>Sheet1!$B$2:$B$3</c:f>
              <c:numCache>
                <c:formatCode>General</c:formatCode>
                <c:ptCount val="2"/>
                <c:pt idx="0">
                  <c:v>13367.45</c:v>
                </c:pt>
                <c:pt idx="1">
                  <c:v>52.87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cap="none" spc="20" baseline="0">
              <a:solidFill>
                <a:schemeClr val="tx1">
                  <a:lumMod val="50000"/>
                  <a:lumOff val="50000"/>
                </a:schemeClr>
              </a:solidFill>
              <a:latin typeface="+mn-lt"/>
              <a:ea typeface="+mn-ea"/>
              <a:cs typeface="+mn-cs"/>
            </a:defRPr>
          </a:pPr>
        </a:p>
      </c:txPr>
    </c:title>
    <c:autoTitleDeleted val="0"/>
    <c:plotArea>
      <c:layout/>
      <c:pieChart>
        <c:varyColors val="1"/>
        <c:ser>
          <c:idx val="0"/>
          <c:order val="0"/>
          <c:tx>
            <c:strRef>
              <c:f>Sheet1!$B$1</c:f>
              <c:strCache>
                <c:ptCount val="1"/>
                <c:pt idx="0">
                  <c:v>支出情况</c:v>
                </c:pt>
              </c:strCache>
            </c:strRef>
          </c:tx>
          <c:spPr/>
          <c:explosion val="0"/>
          <c:dPt>
            <c:idx val="0"/>
            <c:bubble3D val="0"/>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dPt>
          <c:dPt>
            <c:idx val="1"/>
            <c:bubble3D val="0"/>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65000"/>
                        <a:lumOff val="35000"/>
                      </a:schemeClr>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8014.7</c:v>
                </c:pt>
                <c:pt idx="1">
                  <c:v>5375.81</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50000"/>
                  <a:lumOff val="50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23</Pages>
  <Words>1299</Words>
  <Characters>7410</Characters>
  <Lines>61</Lines>
  <Paragraphs>17</Paragraphs>
  <TotalTime>2</TotalTime>
  <ScaleCrop>false</ScaleCrop>
  <LinksUpToDate>false</LinksUpToDate>
  <CharactersWithSpaces>8692</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Admin</cp:lastModifiedBy>
  <cp:lastPrinted>2025-08-06T17:34:00Z</cp:lastPrinted>
  <dcterms:modified xsi:type="dcterms:W3CDTF">2025-10-15T03:14:22Z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04787F2533EB45DC91BCDE4AB213247F</vt:lpwstr>
  </property>
</Properties>
</file>