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3"/>
        <w:rPr>
          <w:rFonts w:ascii="Times New Roman" w:eastAsia="方正小标宋简体"/>
          <w:kern w:val="2"/>
          <w:sz w:val="72"/>
          <w:szCs w:val="72"/>
        </w:rPr>
      </w:pPr>
      <w:bookmarkStart w:id="0" w:name="_Toc15396597"/>
      <w:bookmarkStart w:id="1" w:name="_Toc15396475"/>
      <w:bookmarkStart w:id="2" w:name="_Toc15377425"/>
      <w:bookmarkStart w:id="3" w:name="_Toc15377193"/>
      <w:bookmarkStart w:id="4" w:name="_Toc15378441"/>
      <w:bookmarkStart w:id="5" w:name="_Toc15306267"/>
    </w:p>
    <w:p>
      <w:pPr>
        <w:pStyle w:val="2"/>
        <w:spacing w:before="93"/>
        <w:rPr>
          <w:rFonts w:ascii="Times New Roman" w:eastAsia="方正小标宋简体"/>
          <w:kern w:val="2"/>
          <w:sz w:val="72"/>
          <w:szCs w:val="72"/>
        </w:rPr>
      </w:pPr>
    </w:p>
    <w:p>
      <w:pPr>
        <w:pStyle w:val="2"/>
        <w:spacing w:before="93"/>
        <w:rPr>
          <w:rFonts w:ascii="Times New Roman" w:eastAsia="方正小标宋简体"/>
          <w:kern w:val="2"/>
          <w:sz w:val="72"/>
          <w:szCs w:val="72"/>
        </w:rPr>
      </w:pP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公安局交通警察大队</w:t>
      </w:r>
      <w:r>
        <w:rPr>
          <w:rFonts w:hint="eastAsia" w:ascii="Times New Roman" w:eastAsia="方正小标宋简体"/>
          <w:kern w:val="2"/>
          <w:sz w:val="72"/>
          <w:szCs w:val="72"/>
        </w:rPr>
        <w:t>单位决</w:t>
      </w:r>
      <w:bookmarkStart w:id="61" w:name="_GoBack"/>
      <w:bookmarkEnd w:id="61"/>
      <w:r>
        <w:rPr>
          <w:rFonts w:hint="eastAsia" w:ascii="Times New Roman" w:eastAsia="方正小标宋简体"/>
          <w:kern w:val="2"/>
          <w:sz w:val="72"/>
          <w:szCs w:val="72"/>
        </w:rPr>
        <w:t>算</w:t>
      </w:r>
    </w:p>
    <w:p>
      <w:pPr>
        <w:pStyle w:val="2"/>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pPr>
        <w:spacing w:line="600" w:lineRule="exact"/>
        <w:jc w:val="center"/>
        <w:outlineLvl w:val="0"/>
        <w:rPr>
          <w:rFonts w:eastAsia="方正小标宋简体"/>
          <w:sz w:val="72"/>
          <w:szCs w:val="72"/>
        </w:rPr>
      </w:pPr>
    </w:p>
    <w:p>
      <w:pPr>
        <w:pStyle w:val="19"/>
        <w:rPr>
          <w:rFonts w:ascii="Times New Roman" w:hAnsi="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bookmarkEnd w:id="0"/>
    <w:bookmarkEnd w:id="1"/>
    <w:bookmarkEnd w:id="2"/>
    <w:bookmarkEnd w:id="3"/>
    <w:bookmarkEnd w:id="4"/>
    <w:bookmarkEnd w:id="5"/>
    <w:p>
      <w:pPr>
        <w:widowControl/>
        <w:jc w:val="center"/>
        <w:rPr>
          <w:rFonts w:eastAsia="黑体"/>
          <w:sz w:val="48"/>
          <w:szCs w:val="48"/>
        </w:rPr>
      </w:pPr>
      <w:r>
        <w:rPr>
          <w:rFonts w:hint="eastAsia" w:eastAsia="黑体"/>
          <w:sz w:val="48"/>
          <w:szCs w:val="48"/>
        </w:rPr>
        <w:t>目录</w:t>
      </w:r>
    </w:p>
    <w:p>
      <w:pPr>
        <w:widowControl/>
        <w:jc w:val="center"/>
        <w:rPr>
          <w:rFonts w:eastAsia="黑体" w:cstheme="minorBidi"/>
          <w:sz w:val="28"/>
          <w:szCs w:val="28"/>
        </w:rPr>
      </w:pPr>
    </w:p>
    <w:p>
      <w:pPr>
        <w:pStyle w:val="12"/>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p>
      <w:pPr>
        <w:rPr>
          <w:sz w:val="28"/>
          <w:szCs w:val="28"/>
        </w:rPr>
      </w:pP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第一部分 单位概况</w:t>
      </w:r>
      <w:r>
        <w:rPr>
          <w:rFonts w:hint="eastAsia" w:ascii="仿宋_GB2312" w:hAnsi="仿宋_GB2312" w:eastAsia="仿宋_GB2312" w:cs="仿宋_GB2312"/>
          <w:kern w:val="2"/>
          <w:sz w:val="28"/>
          <w:szCs w:val="28"/>
          <w:lang w:val="en-US" w:eastAsia="zh-CN" w:bidi="ar-SA"/>
        </w:rPr>
        <w:tab/>
      </w:r>
      <w:r>
        <w:rPr>
          <w:rFonts w:hint="eastAsia" w:ascii="仿宋_GB2312" w:hAnsi="仿宋_GB2312" w:eastAsia="仿宋_GB2312" w:cs="仿宋_GB2312"/>
          <w:kern w:val="2"/>
          <w:sz w:val="28"/>
          <w:szCs w:val="28"/>
          <w:lang w:val="en-US" w:eastAsia="zh-CN" w:bidi="ar-SA"/>
        </w:rPr>
        <w:t>（4）</w:t>
      </w:r>
    </w:p>
    <w:p>
      <w:pPr>
        <w:pStyle w:val="14"/>
        <w:adjustRightInd w:val="0"/>
        <w:snapToGrid w:val="0"/>
        <w:spacing w:line="560" w:lineRule="exact"/>
        <w:ind w:left="0" w:leftChars="0" w:firstLine="560" w:firstLineChars="200"/>
        <w:jc w:val="left"/>
        <w:rPr>
          <w:rFonts w:hint="default" w:eastAsia="仿宋_GB2312" w:cs="仿宋_GB2312"/>
          <w:sz w:val="28"/>
          <w:szCs w:val="28"/>
          <w:lang w:val="en-US" w:eastAsia="zh-CN"/>
        </w:rPr>
      </w:pPr>
      <w:r>
        <w:rPr>
          <w:rFonts w:hint="eastAsia" w:eastAsia="仿宋_GB2312" w:cs="仿宋_GB2312"/>
          <w:sz w:val="28"/>
          <w:szCs w:val="28"/>
        </w:rPr>
        <w:t>一、主要职责</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（4）</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二、机构设置</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（4）</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第二部分 2024年度部门决算情况说明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（5）</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一、收入支出决算总体情况说明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（5）</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（5）</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（6）</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四、财政拨款收入支出决算总体情况说明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五、一般公共预算财政拨款支出决算情况说明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（8）</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六、一般公共预算财政拨款基本支出决算情况说明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（9）</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七、财政拨款“三公”经费支出决算情况说明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（10）</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八、政府性基金预算支出决算情况说明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（11）</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九、国有资本经营预算支出决算情况说明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（11）</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十、其他重要事项的情况说明</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（11）</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第三部分 名词解释</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（13）</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第四部分 附件</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（16）</w:t>
      </w:r>
    </w:p>
    <w:p>
      <w:pPr>
        <w:pStyle w:val="12"/>
        <w:adjustRightInd w:val="0"/>
        <w:snapToGrid w:val="0"/>
        <w:spacing w:before="0" w:line="560" w:lineRule="exact"/>
        <w:jc w:val="left"/>
        <w:rPr>
          <w:rFonts w:ascii="Times New Roman" w:hAnsi="Times New Roman" w:eastAsia="黑体" w:cs="黑体"/>
        </w:rPr>
      </w:pPr>
      <w:r>
        <w:rPr>
          <w:rFonts w:hint="eastAsia" w:ascii="Times New Roman" w:hAnsi="Times New Roman" w:eastAsia="黑体" w:cs="黑体"/>
        </w:rPr>
        <w:t>第五部分 附表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一、收入支出决算总表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二、收入决算表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三、支出决算表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四、财政拨款收入支出决算总表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五、财政拨款支出决算明细表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六、一般公共预算财政拨款支出决算表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七、一般公共预算财政拨款支出决算明细表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八、一般公共预算财政拨款基本支出决算明细表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九、一般公共预算财政拨款项目支出决算表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十、政府性基金预算财政拨款收入支出决算表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十一、国有资本经营预算财政拨款收入支出决算表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十二、国有资本经营预算财政拨款支出决算表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pStyle w:val="14"/>
        <w:adjustRightInd w:val="0"/>
        <w:snapToGrid w:val="0"/>
        <w:spacing w:line="560" w:lineRule="exact"/>
        <w:ind w:left="0" w:leftChars="0" w:firstLine="560" w:firstLineChars="200"/>
        <w:jc w:val="left"/>
        <w:rPr>
          <w:rFonts w:eastAsia="仿宋_GB2312" w:cs="仿宋_GB2312"/>
          <w:sz w:val="28"/>
          <w:szCs w:val="28"/>
        </w:rPr>
      </w:pPr>
      <w:r>
        <w:rPr>
          <w:rFonts w:hint="eastAsia" w:eastAsia="仿宋_GB2312" w:cs="仿宋_GB2312"/>
          <w:sz w:val="28"/>
          <w:szCs w:val="28"/>
        </w:rPr>
        <w:t>十三、财政拨款“三公”经费支出决算表</w:t>
      </w:r>
      <w:r>
        <w:rPr>
          <w:rFonts w:hint="eastAsia" w:ascii="仿宋_GB2312" w:hAnsi="仿宋_GB2312" w:eastAsia="仿宋_GB2312" w:cs="仿宋_GB2312"/>
          <w:sz w:val="28"/>
          <w:szCs w:val="28"/>
          <w:lang w:val="en-US" w:eastAsia="zh-CN"/>
        </w:rPr>
        <w:tab/>
      </w:r>
      <w:r>
        <w:rPr>
          <w:rFonts w:hint="eastAsia" w:ascii="仿宋_GB2312" w:hAnsi="仿宋_GB2312" w:eastAsia="仿宋_GB2312" w:cs="仿宋_GB2312"/>
          <w:kern w:val="2"/>
          <w:sz w:val="28"/>
          <w:szCs w:val="28"/>
          <w:lang w:val="en-US" w:eastAsia="zh-CN" w:bidi="ar-SA"/>
        </w:rPr>
        <w:t>（17）</w:t>
      </w:r>
    </w:p>
    <w:p>
      <w:pPr>
        <w:widowControl/>
        <w:spacing w:line="560" w:lineRule="exact"/>
        <w:jc w:val="left"/>
        <w:rPr>
          <w:rFonts w:eastAsia="仿宋_GB2312" w:cs="仿宋_GB2312"/>
          <w:bCs/>
          <w:kern w:val="44"/>
          <w:sz w:val="24"/>
        </w:rPr>
      </w:pPr>
      <w:bookmarkStart w:id="6" w:name="_Toc15396599"/>
      <w:bookmarkStart w:id="7" w:name="_Toc15377196"/>
      <w:r>
        <w:rPr>
          <w:rFonts w:hint="eastAsia" w:eastAsia="仿宋_GB2312" w:cs="仿宋_GB2312"/>
          <w:b/>
          <w:bCs/>
          <w:sz w:val="28"/>
          <w:szCs w:val="28"/>
          <w:lang w:val="en-US" w:eastAsia="zh-CN"/>
        </w:rPr>
        <w:t xml:space="preserve"> </w:t>
      </w:r>
      <w:r>
        <w:rPr>
          <w:rFonts w:hint="eastAsia" w:eastAsia="仿宋_GB2312" w:cs="仿宋_GB2312"/>
          <w:b/>
          <w:sz w:val="24"/>
        </w:rPr>
        <w:br w:type="page"/>
      </w:r>
    </w:p>
    <w:p>
      <w:pPr>
        <w:pStyle w:val="3"/>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bookmarkEnd w:id="6"/>
      <w:bookmarkEnd w:id="7"/>
    </w:p>
    <w:p>
      <w:pPr>
        <w:widowControl/>
        <w:jc w:val="left"/>
        <w:rPr>
          <w:rFonts w:eastAsia="黑体"/>
          <w:sz w:val="32"/>
          <w:szCs w:val="32"/>
        </w:rPr>
      </w:pPr>
    </w:p>
    <w:p>
      <w:pPr>
        <w:pStyle w:val="4"/>
        <w:numPr>
          <w:ilvl w:val="0"/>
          <w:numId w:val="1"/>
        </w:numPr>
        <w:rPr>
          <w:rFonts w:hint="eastAsia" w:ascii="Times New Roman" w:hAnsi="Times New Roman" w:eastAsia="黑体"/>
          <w:b w:val="0"/>
        </w:rPr>
      </w:pPr>
      <w:r>
        <w:rPr>
          <w:rFonts w:hint="eastAsia" w:ascii="Times New Roman" w:hAnsi="Times New Roman" w:eastAsia="黑体"/>
          <w:b w:val="0"/>
        </w:rPr>
        <w:t>主要职责</w:t>
      </w:r>
    </w:p>
    <w:p>
      <w:pPr>
        <w:numPr>
          <w:ilvl w:val="0"/>
          <w:numId w:val="0"/>
        </w:numPr>
        <w:ind w:firstLine="640" w:firstLineChars="200"/>
      </w:pPr>
      <w:r>
        <w:rPr>
          <w:rFonts w:hint="eastAsia" w:ascii="仿宋_GB2312" w:hAnsi="仿宋" w:eastAsia="仿宋_GB2312"/>
          <w:sz w:val="32"/>
          <w:szCs w:val="32"/>
        </w:rPr>
        <w:t>管理全县城城乡道路交通管理安全工作。承担全县道路交通指挥、路面执勤、事故处理、交通秩序维护工作；组织开展道路交通安全宣传教育工作；负责上级机关授权办理的车辆和驾驶人管理业务等道路交通管理职责</w:t>
      </w:r>
      <w:r>
        <w:rPr>
          <w:rFonts w:hint="eastAsia" w:ascii="仿宋_GB2312" w:hAnsi="仿宋" w:eastAsia="仿宋_GB2312"/>
          <w:sz w:val="32"/>
          <w:szCs w:val="32"/>
          <w:lang w:eastAsia="zh-CN"/>
        </w:rPr>
        <w:t>。</w:t>
      </w:r>
    </w:p>
    <w:p>
      <w:pPr>
        <w:pStyle w:val="4"/>
        <w:numPr>
          <w:ilvl w:val="0"/>
          <w:numId w:val="1"/>
        </w:numPr>
        <w:ind w:left="0" w:leftChars="0" w:firstLine="0" w:firstLineChars="0"/>
        <w:rPr>
          <w:rStyle w:val="29"/>
          <w:rFonts w:hint="eastAsia" w:ascii="Times New Roman" w:hAnsi="Times New Roman" w:eastAsia="黑体"/>
          <w:b w:val="0"/>
          <w:bCs w:val="0"/>
        </w:rPr>
      </w:pPr>
      <w:bookmarkStart w:id="8" w:name="_Toc15396601"/>
      <w:bookmarkStart w:id="9" w:name="_Toc15377200"/>
      <w:r>
        <w:rPr>
          <w:rFonts w:hint="eastAsia" w:ascii="Times New Roman" w:hAnsi="Times New Roman" w:eastAsia="黑体"/>
          <w:b w:val="0"/>
        </w:rPr>
        <w:t>机</w:t>
      </w:r>
      <w:r>
        <w:rPr>
          <w:rStyle w:val="29"/>
          <w:rFonts w:hint="eastAsia" w:ascii="Times New Roman" w:hAnsi="Times New Roman" w:eastAsia="黑体"/>
          <w:b w:val="0"/>
          <w:bCs w:val="0"/>
        </w:rPr>
        <w:t>构设置</w:t>
      </w:r>
      <w:bookmarkEnd w:id="8"/>
      <w:bookmarkEnd w:id="9"/>
    </w:p>
    <w:p>
      <w:pPr>
        <w:numPr>
          <w:ilvl w:val="0"/>
          <w:numId w:val="0"/>
        </w:numPr>
        <w:ind w:leftChars="0" w:firstLine="640" w:firstLineChars="200"/>
      </w:pPr>
      <w:r>
        <w:rPr>
          <w:rFonts w:hint="eastAsia" w:ascii="仿宋_GB2312" w:hAnsi="仿宋" w:eastAsia="仿宋_GB2312" w:cs="Times New Roman"/>
          <w:kern w:val="2"/>
          <w:sz w:val="32"/>
          <w:szCs w:val="32"/>
          <w:lang w:val="en-US" w:eastAsia="zh-CN" w:bidi="ar-SA"/>
        </w:rPr>
        <w:t>盐边县公安局交通警察大队下属非独立核算单位5个，其中行政单位5个，参照公务员法管理的事业单位0个，其他事业单位0个。主要包括：事故中队、内务中队、桐子林中队、红格中队、渔门中队。</w:t>
      </w:r>
    </w:p>
    <w:p>
      <w:pPr>
        <w:rPr>
          <w:rFonts w:eastAsia="黑体"/>
        </w:rPr>
      </w:pPr>
    </w:p>
    <w:p>
      <w:pPr>
        <w:ind w:firstLine="800" w:firstLineChars="250"/>
        <w:rPr>
          <w:rFonts w:eastAsia="仿宋_GB2312" w:cs="仿宋_GB2312"/>
          <w:sz w:val="32"/>
          <w:szCs w:val="32"/>
        </w:rPr>
      </w:pPr>
    </w:p>
    <w:p>
      <w:pPr>
        <w:pStyle w:val="13"/>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420"/>
      </w:pPr>
    </w:p>
    <w:p>
      <w:pPr>
        <w:pStyle w:val="7"/>
        <w:ind w:left="0" w:leftChars="0" w:firstLine="0" w:firstLineChars="0"/>
      </w:pPr>
    </w:p>
    <w:p>
      <w:pPr>
        <w:pStyle w:val="3"/>
        <w:jc w:val="center"/>
        <w:rPr>
          <w:rFonts w:eastAsia="方正小标宋简体" w:cs="方正小标宋简体"/>
          <w:b w:val="0"/>
        </w:rPr>
      </w:pPr>
      <w:bookmarkStart w:id="10" w:name="_Toc15377204"/>
      <w:bookmarkStart w:id="11" w:name="_Toc15396602"/>
      <w:r>
        <w:rPr>
          <w:rFonts w:hint="eastAsia" w:eastAsia="方正小标宋简体" w:cs="方正小标宋简体"/>
          <w:b w:val="0"/>
        </w:rPr>
        <w:t>第二部分  2024年度部门决算情况说明</w:t>
      </w:r>
      <w:bookmarkEnd w:id="10"/>
      <w:bookmarkEnd w:id="11"/>
    </w:p>
    <w:p/>
    <w:p>
      <w:pPr>
        <w:pStyle w:val="27"/>
        <w:spacing w:line="600" w:lineRule="exact"/>
        <w:ind w:firstLine="640"/>
        <w:outlineLvl w:val="1"/>
        <w:rPr>
          <w:rStyle w:val="29"/>
          <w:rFonts w:ascii="Times New Roman" w:hAnsi="Times New Roman" w:eastAsia="黑体"/>
          <w:b w:val="0"/>
        </w:rPr>
      </w:pPr>
      <w:bookmarkStart w:id="12" w:name="_Toc15377205"/>
      <w:bookmarkStart w:id="13" w:name="_Toc15396603"/>
      <w:r>
        <w:rPr>
          <w:rFonts w:hint="eastAsia" w:eastAsia="黑体"/>
          <w:sz w:val="32"/>
          <w:szCs w:val="32"/>
        </w:rPr>
        <w:t>一、收</w:t>
      </w:r>
      <w:r>
        <w:rPr>
          <w:rStyle w:val="29"/>
          <w:rFonts w:hint="eastAsia" w:ascii="Times New Roman" w:hAnsi="Times New Roman" w:eastAsia="黑体"/>
          <w:b w:val="0"/>
        </w:rPr>
        <w:t>入支出决算总体情况说明</w:t>
      </w:r>
      <w:bookmarkEnd w:id="12"/>
      <w:bookmarkEnd w:id="13"/>
    </w:p>
    <w:p>
      <w:pPr>
        <w:pStyle w:val="27"/>
        <w:spacing w:line="600" w:lineRule="exact"/>
        <w:ind w:firstLine="640"/>
        <w:outlineLvl w:val="1"/>
        <w:rPr>
          <w:rFonts w:hint="eastAsia" w:eastAsia="仿宋_GB2312" w:cs="仿宋_GB2312"/>
          <w:sz w:val="32"/>
          <w:szCs w:val="32"/>
          <w:lang w:eastAsia="zh-CN"/>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lang w:val="en-US" w:eastAsia="zh-CN"/>
        </w:rPr>
        <w:t>524.97</w:t>
      </w:r>
      <w:r>
        <w:rPr>
          <w:rFonts w:hint="eastAsia" w:eastAsia="仿宋_GB2312" w:cs="仿宋_GB2312"/>
          <w:sz w:val="32"/>
          <w:szCs w:val="32"/>
        </w:rPr>
        <w:t>万元。与2023年度相比，收入、支出总计各增加</w:t>
      </w:r>
      <w:r>
        <w:rPr>
          <w:rFonts w:hint="eastAsia" w:eastAsia="仿宋_GB2312" w:cs="仿宋_GB2312"/>
          <w:sz w:val="32"/>
          <w:szCs w:val="32"/>
          <w:lang w:val="en-US" w:eastAsia="zh-CN"/>
        </w:rPr>
        <w:t>7.72</w:t>
      </w:r>
      <w:r>
        <w:rPr>
          <w:rFonts w:hint="eastAsia" w:eastAsia="仿宋_GB2312" w:cs="仿宋_GB2312"/>
          <w:sz w:val="32"/>
          <w:szCs w:val="32"/>
        </w:rPr>
        <w:t>万元，增长</w:t>
      </w:r>
      <w:r>
        <w:rPr>
          <w:rFonts w:hint="eastAsia" w:eastAsia="仿宋_GB2312" w:cs="仿宋_GB2312"/>
          <w:sz w:val="32"/>
          <w:szCs w:val="32"/>
          <w:lang w:val="en-US" w:eastAsia="zh-CN"/>
        </w:rPr>
        <w:t>1.49</w:t>
      </w:r>
      <w:r>
        <w:rPr>
          <w:rFonts w:hint="eastAsia" w:eastAsia="仿宋_GB2312" w:cs="仿宋_GB2312"/>
          <w:sz w:val="32"/>
          <w:szCs w:val="32"/>
        </w:rPr>
        <w:t>%。主要变动原因是</w:t>
      </w:r>
      <w:r>
        <w:rPr>
          <w:rFonts w:hint="eastAsia" w:eastAsia="仿宋_GB2312" w:cs="仿宋_GB2312"/>
          <w:sz w:val="32"/>
          <w:szCs w:val="32"/>
          <w:lang w:eastAsia="zh-CN"/>
        </w:rPr>
        <w:t>人员薪资收入的增长。</w:t>
      </w:r>
    </w:p>
    <w:p>
      <w:pPr>
        <w:ind w:firstLine="640" w:firstLineChars="200"/>
        <w:rPr>
          <w:rFonts w:eastAsia="仿宋_GB2312" w:cs="仿宋_GB2312"/>
          <w:sz w:val="32"/>
          <w:szCs w:val="32"/>
        </w:rPr>
      </w:pPr>
      <w:r>
        <w:rPr>
          <w:rFonts w:hint="eastAsia" w:ascii="仿宋_GB2312" w:hAnsi="仿宋_GB2312" w:eastAsia="仿宋_GB2312" w:cs="仿宋_GB2312"/>
          <w:sz w:val="32"/>
          <w:szCs w:val="32"/>
          <w:lang w:val="en-US" w:eastAsia="zh-CN"/>
        </w:rPr>
        <w:pict>
          <v:shape id="_x0000_s1026" o:spid="_x0000_s1026" o:spt="75" type="#_x0000_t75" style="position:absolute;left:0pt;margin-left:40.05pt;margin-top:9.35pt;height:205.5pt;width:380.95pt;mso-wrap-distance-bottom:0pt;mso-wrap-distance-top:0pt;z-index:251658240;mso-width-relative:page;mso-height-relative:page;" o:ole="t" filled="f" o:preferrelative="t" stroked="f" coordsize="21600,21600">
            <v:path/>
            <v:fill on="f" focussize="0,0"/>
            <v:stroke on="f"/>
            <v:imagedata r:id="rId9" o:title=""/>
            <o:lock v:ext="edit" aspectratio="f"/>
            <w10:wrap type="topAndBottom"/>
          </v:shape>
          <o:OLEObject Type="Embed" ProgID="Excel.Chart.8" ShapeID="_x0000_s1026" DrawAspect="Content" ObjectID="_1468075725" r:id="rId8">
            <o:LockedField>false</o:LockedField>
          </o:OLEObject>
        </w:pict>
      </w:r>
      <w:r>
        <w:rPr>
          <w:rFonts w:hint="eastAsia" w:eastAsia="仿宋_GB2312" w:cs="仿宋_GB2312"/>
          <w:sz w:val="32"/>
          <w:szCs w:val="32"/>
        </w:rPr>
        <w:t>（图1：收入、支出决算总计变动情况图）（柱状图）</w:t>
      </w:r>
    </w:p>
    <w:p>
      <w:pPr>
        <w:pStyle w:val="27"/>
        <w:spacing w:line="600" w:lineRule="exact"/>
        <w:ind w:firstLine="640"/>
        <w:outlineLvl w:val="1"/>
        <w:rPr>
          <w:rFonts w:hint="eastAsia" w:eastAsia="黑体"/>
          <w:sz w:val="32"/>
          <w:szCs w:val="32"/>
        </w:rPr>
      </w:pPr>
      <w:bookmarkStart w:id="14" w:name="_Toc15377206"/>
      <w:bookmarkStart w:id="15" w:name="_Toc15396604"/>
    </w:p>
    <w:p>
      <w:pPr>
        <w:pStyle w:val="27"/>
        <w:spacing w:line="600" w:lineRule="exact"/>
        <w:ind w:firstLine="640"/>
        <w:outlineLvl w:val="1"/>
        <w:rPr>
          <w:rFonts w:eastAsia="黑体"/>
          <w:sz w:val="32"/>
          <w:szCs w:val="32"/>
        </w:rPr>
      </w:pPr>
      <w:r>
        <w:rPr>
          <w:rFonts w:hint="eastAsia" w:eastAsia="黑体"/>
          <w:sz w:val="32"/>
          <w:szCs w:val="32"/>
        </w:rPr>
        <w:t>二、收入决算情况说明</w:t>
      </w:r>
      <w:bookmarkEnd w:id="14"/>
      <w:bookmarkEnd w:id="15"/>
    </w:p>
    <w:p>
      <w:pPr>
        <w:pStyle w:val="27"/>
        <w:spacing w:line="600" w:lineRule="exact"/>
        <w:ind w:firstLine="640"/>
        <w:jc w:val="left"/>
        <w:outlineLvl w:val="1"/>
        <w:rPr>
          <w:rFonts w:hint="eastAsia" w:eastAsia="仿宋_GB2312" w:cs="仿宋_GB2312"/>
          <w:b/>
          <w:bCs/>
          <w:sz w:val="32"/>
          <w:szCs w:val="32"/>
          <w:lang w:eastAsia="zh-CN"/>
        </w:rPr>
      </w:pPr>
      <w:r>
        <w:rPr>
          <w:rFonts w:hint="eastAsia" w:ascii="仿宋_GB2312" w:hAnsi="仿宋_GB2312" w:eastAsia="仿宋_GB2312" w:cs="仿宋_GB2312"/>
          <w:sz w:val="32"/>
          <w:szCs w:val="32"/>
        </w:rPr>
        <w:t>2024年度本年收入合计</w:t>
      </w:r>
      <w:r>
        <w:rPr>
          <w:rFonts w:hint="eastAsia" w:ascii="仿宋_GB2312" w:hAnsi="仿宋_GB2312" w:eastAsia="仿宋_GB2312" w:cs="仿宋_GB2312"/>
          <w:sz w:val="32"/>
          <w:szCs w:val="32"/>
          <w:lang w:val="en-US" w:eastAsia="zh-CN"/>
        </w:rPr>
        <w:t>524.97</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524.97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ind w:firstLine="800" w:firstLineChars="250"/>
        <w:rPr>
          <w:rFonts w:eastAsia="仿宋_GB2312" w:cs="仿宋_GB2312"/>
          <w:sz w:val="32"/>
          <w:szCs w:val="32"/>
        </w:rPr>
      </w:pPr>
      <w:r>
        <w:rPr>
          <w:rFonts w:hint="eastAsia" w:ascii="仿宋_GB2312" w:hAnsi="仿宋_GB2312" w:eastAsia="仿宋_GB2312" w:cs="仿宋_GB2312"/>
          <w:sz w:val="32"/>
          <w:szCs w:val="32"/>
          <w:lang w:eastAsia="zh-CN"/>
        </w:rPr>
        <w:pict>
          <v:shape id="_x0000_s1027" o:spid="_x0000_s1027" o:spt="75" type="#_x0000_t75" style="position:absolute;left:0pt;margin-left:19.6pt;margin-top:20.3pt;height:175.55pt;width:380.95pt;mso-wrap-distance-bottom:0pt;mso-wrap-distance-top:0pt;z-index:251660288;mso-width-relative:page;mso-height-relative:page;" o:ole="t" filled="f" o:preferrelative="t" stroked="f" coordsize="21600,21600">
            <v:path/>
            <v:fill on="f" focussize="0,0"/>
            <v:stroke on="f"/>
            <v:imagedata r:id="rId11" o:title=""/>
            <o:lock v:ext="edit" aspectratio="f"/>
            <w10:wrap type="topAndBottom"/>
          </v:shape>
          <o:OLEObject Type="Embed" ProgID="Excel.Chart.8" ShapeID="_x0000_s1027" DrawAspect="Content" ObjectID="_1468075726" r:id="rId10">
            <o:LockedField>false</o:LockedField>
          </o:OLEObject>
        </w:pict>
      </w:r>
      <w:r>
        <w:rPr>
          <w:rFonts w:hint="eastAsia" w:eastAsia="仿宋_GB2312" w:cs="仿宋_GB2312"/>
          <w:sz w:val="32"/>
          <w:szCs w:val="32"/>
        </w:rPr>
        <w:t>（图2：收入决算结构图）（饼状图）</w:t>
      </w:r>
    </w:p>
    <w:p>
      <w:pPr>
        <w:pStyle w:val="27"/>
        <w:spacing w:line="600" w:lineRule="exact"/>
        <w:ind w:firstLine="640"/>
        <w:outlineLvl w:val="1"/>
        <w:rPr>
          <w:rFonts w:hint="eastAsia" w:eastAsia="黑体"/>
          <w:sz w:val="32"/>
          <w:szCs w:val="32"/>
        </w:rPr>
      </w:pPr>
      <w:bookmarkStart w:id="16" w:name="_Toc15377207"/>
      <w:bookmarkStart w:id="17" w:name="_Toc15396605"/>
    </w:p>
    <w:p>
      <w:pPr>
        <w:pStyle w:val="27"/>
        <w:spacing w:line="600" w:lineRule="exact"/>
        <w:ind w:firstLine="640"/>
        <w:outlineLvl w:val="1"/>
        <w:rPr>
          <w:rStyle w:val="29"/>
          <w:rFonts w:ascii="Times New Roman" w:hAnsi="Times New Roman" w:eastAsia="黑体"/>
          <w:b w:val="0"/>
        </w:rPr>
      </w:pPr>
      <w:r>
        <w:rPr>
          <w:rFonts w:hint="eastAsia" w:eastAsia="黑体"/>
          <w:sz w:val="32"/>
          <w:szCs w:val="32"/>
        </w:rPr>
        <w:t>三、支</w:t>
      </w:r>
      <w:r>
        <w:rPr>
          <w:rStyle w:val="29"/>
          <w:rFonts w:hint="eastAsia" w:ascii="Times New Roman" w:hAnsi="Times New Roman" w:eastAsia="黑体"/>
          <w:b w:val="0"/>
        </w:rPr>
        <w:t>出决算情况说明</w:t>
      </w:r>
      <w:bookmarkEnd w:id="16"/>
      <w:bookmarkEnd w:id="17"/>
    </w:p>
    <w:p>
      <w:pPr>
        <w:pStyle w:val="27"/>
        <w:spacing w:line="600" w:lineRule="exact"/>
        <w:ind w:firstLine="640"/>
        <w:jc w:val="left"/>
        <w:outlineLvl w:val="1"/>
        <w:rPr>
          <w:rFonts w:eastAsia="仿宋_GB2312" w:cs="仿宋_GB2312"/>
          <w:sz w:val="32"/>
          <w:szCs w:val="32"/>
        </w:rPr>
      </w:pPr>
      <w:r>
        <w:rPr>
          <w:rFonts w:hint="eastAsia" w:eastAsia="仿宋_GB2312"/>
          <w:sz w:val="32"/>
          <w:szCs w:val="32"/>
          <w:lang w:eastAsia="zh-CN"/>
        </w:rPr>
        <w:pict>
          <v:shape id="_x0000_s1030" o:spid="_x0000_s1030" o:spt="75" type="#_x0000_t75" style="position:absolute;left:0pt;margin-left:42pt;margin-top:73.5pt;height:205.5pt;width:380.95pt;mso-wrap-distance-bottom:0pt;mso-wrap-distance-top:0pt;z-index:251663360;mso-width-relative:page;mso-height-relative:page;" o:ole="t" filled="f" o:preferrelative="t" stroked="f" coordsize="21600,21600">
            <v:path/>
            <v:fill on="f" focussize="0,0"/>
            <v:stroke on="f"/>
            <v:imagedata r:id="rId13" o:title=""/>
            <o:lock v:ext="edit" aspectratio="f"/>
            <w10:wrap type="topAndBottom"/>
          </v:shape>
          <o:OLEObject Type="Embed" ProgID="Excel.Chart.8" ShapeID="_x0000_s1030" DrawAspect="Content" ObjectID="_1468075727" r:id="rId12">
            <o:LockedField>false</o:LockedField>
          </o:OLEObject>
        </w:pict>
      </w:r>
      <w:r>
        <w:rPr>
          <w:rFonts w:hint="eastAsia" w:ascii="仿宋_GB2312" w:hAnsi="仿宋_GB2312" w:eastAsia="仿宋_GB2312" w:cs="仿宋_GB2312"/>
          <w:sz w:val="32"/>
          <w:szCs w:val="32"/>
        </w:rPr>
        <w:t>2024年度本年支出合计</w:t>
      </w:r>
      <w:r>
        <w:rPr>
          <w:rFonts w:hint="eastAsia" w:ascii="仿宋_GB2312" w:hAnsi="仿宋_GB2312" w:eastAsia="仿宋_GB2312" w:cs="仿宋_GB2312"/>
          <w:sz w:val="32"/>
          <w:szCs w:val="32"/>
          <w:lang w:val="en-US" w:eastAsia="zh-CN"/>
        </w:rPr>
        <w:t>524.97</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524.97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p>
    <w:p>
      <w:pPr>
        <w:ind w:firstLine="800" w:firstLineChars="250"/>
        <w:rPr>
          <w:rFonts w:eastAsia="仿宋_GB2312" w:cs="仿宋_GB2312"/>
          <w:sz w:val="32"/>
          <w:szCs w:val="32"/>
        </w:rPr>
      </w:pPr>
      <w:r>
        <w:rPr>
          <w:rFonts w:hint="eastAsia" w:eastAsia="仿宋_GB2312" w:cs="仿宋_GB2312"/>
          <w:sz w:val="32"/>
          <w:szCs w:val="32"/>
        </w:rPr>
        <w:t>（图3：支出决算结构图）（饼状图）</w:t>
      </w:r>
    </w:p>
    <w:p>
      <w:pPr>
        <w:spacing w:line="600" w:lineRule="exact"/>
        <w:ind w:firstLine="640" w:firstLineChars="200"/>
        <w:outlineLvl w:val="1"/>
        <w:rPr>
          <w:rFonts w:hint="eastAsia" w:eastAsia="黑体"/>
          <w:sz w:val="32"/>
          <w:szCs w:val="32"/>
        </w:rPr>
      </w:pPr>
      <w:bookmarkStart w:id="18" w:name="_Toc15377208"/>
      <w:bookmarkStart w:id="19" w:name="_Toc15396606"/>
    </w:p>
    <w:p>
      <w:pPr>
        <w:spacing w:line="600" w:lineRule="exact"/>
        <w:ind w:firstLine="640" w:firstLineChars="200"/>
        <w:outlineLvl w:val="1"/>
        <w:rPr>
          <w:rStyle w:val="29"/>
          <w:rFonts w:ascii="Times New Roman" w:hAnsi="Times New Roman" w:eastAsia="黑体"/>
          <w:b w:val="0"/>
        </w:rPr>
      </w:pPr>
      <w:r>
        <w:rPr>
          <w:rFonts w:hint="eastAsia" w:eastAsia="黑体"/>
          <w:sz w:val="32"/>
          <w:szCs w:val="32"/>
        </w:rPr>
        <w:t>四、财</w:t>
      </w:r>
      <w:r>
        <w:rPr>
          <w:rStyle w:val="29"/>
          <w:rFonts w:hint="eastAsia" w:ascii="Times New Roman" w:hAnsi="Times New Roman" w:eastAsia="黑体"/>
          <w:b w:val="0"/>
        </w:rPr>
        <w:t>政拨款收入支出决算总体情况说明</w:t>
      </w:r>
      <w:bookmarkEnd w:id="18"/>
      <w:bookmarkEnd w:id="19"/>
    </w:p>
    <w:p>
      <w:pPr>
        <w:spacing w:line="600" w:lineRule="exact"/>
        <w:ind w:firstLine="640"/>
        <w:rPr>
          <w:rFonts w:eastAsia="仿宋_GB2312" w:cs="仿宋_GB2312"/>
          <w:sz w:val="32"/>
          <w:szCs w:val="32"/>
        </w:rPr>
      </w:pPr>
      <w:r>
        <w:rPr>
          <w:rFonts w:hint="eastAsia" w:eastAsia="仿宋_GB2312" w:cs="仿宋_GB2312"/>
          <w:sz w:val="32"/>
          <w:szCs w:val="32"/>
        </w:rPr>
        <w:t>2024年度财政拨款收入、支出总计均为</w:t>
      </w:r>
      <w:r>
        <w:rPr>
          <w:rFonts w:hint="eastAsia" w:ascii="仿宋_GB2312" w:hAnsi="仿宋_GB2312" w:eastAsia="仿宋_GB2312" w:cs="仿宋_GB2312"/>
          <w:sz w:val="32"/>
          <w:szCs w:val="32"/>
          <w:lang w:val="en-US" w:eastAsia="zh-CN"/>
        </w:rPr>
        <w:t>524.97</w:t>
      </w:r>
      <w:r>
        <w:rPr>
          <w:rFonts w:hint="eastAsia" w:eastAsia="仿宋_GB2312" w:cs="仿宋_GB2312"/>
          <w:sz w:val="32"/>
          <w:szCs w:val="32"/>
        </w:rPr>
        <w:t>万元。与2023年度相比，财政拨款收入总计、支出总计各增加</w:t>
      </w:r>
      <w:r>
        <w:rPr>
          <w:rFonts w:hint="eastAsia" w:eastAsia="仿宋_GB2312" w:cs="仿宋_GB2312"/>
          <w:sz w:val="32"/>
          <w:szCs w:val="32"/>
          <w:lang w:val="en-US" w:eastAsia="zh-CN"/>
        </w:rPr>
        <w:t>7.72</w:t>
      </w:r>
      <w:r>
        <w:rPr>
          <w:rFonts w:hint="eastAsia" w:eastAsia="仿宋_GB2312" w:cs="仿宋_GB2312"/>
          <w:sz w:val="32"/>
          <w:szCs w:val="32"/>
        </w:rPr>
        <w:t>万元，增长</w:t>
      </w:r>
      <w:r>
        <w:rPr>
          <w:rFonts w:hint="eastAsia" w:eastAsia="仿宋_GB2312" w:cs="仿宋_GB2312"/>
          <w:sz w:val="32"/>
          <w:szCs w:val="32"/>
          <w:lang w:val="en-US" w:eastAsia="zh-CN"/>
        </w:rPr>
        <w:t>1.49</w:t>
      </w:r>
      <w:r>
        <w:rPr>
          <w:rFonts w:hint="eastAsia" w:eastAsia="仿宋_GB2312" w:cs="仿宋_GB2312"/>
          <w:sz w:val="32"/>
          <w:szCs w:val="32"/>
        </w:rPr>
        <w:t>%%。主要变动原因是</w:t>
      </w:r>
      <w:r>
        <w:rPr>
          <w:rFonts w:hint="eastAsia" w:eastAsia="仿宋_GB2312" w:cs="仿宋_GB2312"/>
          <w:sz w:val="32"/>
          <w:szCs w:val="32"/>
          <w:lang w:eastAsia="zh-CN"/>
        </w:rPr>
        <w:t>人员薪资收入的增长。</w:t>
      </w:r>
    </w:p>
    <w:p>
      <w:pPr>
        <w:spacing w:line="600" w:lineRule="exact"/>
        <w:ind w:firstLine="640" w:firstLineChars="200"/>
        <w:rPr>
          <w:rFonts w:hint="eastAsia" w:eastAsia="仿宋_GB2312" w:cs="仿宋_GB2312"/>
          <w:sz w:val="32"/>
          <w:szCs w:val="32"/>
        </w:rPr>
      </w:pPr>
      <w:r>
        <w:rPr>
          <w:rFonts w:eastAsia="仿宋_GB2312"/>
          <w:sz w:val="32"/>
          <w:szCs w:val="32"/>
        </w:rPr>
        <w:pict>
          <v:shape id="_x0000_s1031" o:spid="_x0000_s1031" o:spt="75" type="#_x0000_t75" style="position:absolute;left:0pt;margin-left:39.85pt;margin-top:8.5pt;height:205.5pt;width:380.95pt;z-index:251667456;mso-width-relative:page;mso-height-relative:page;" o:ole="t" filled="f" o:preferrelative="t" stroked="f" coordsize="21600,21600">
            <v:path/>
            <v:fill on="f" focussize="0,0"/>
            <v:stroke on="f"/>
            <v:imagedata r:id="rId15" o:title=""/>
            <o:lock v:ext="edit" aspectratio="f"/>
          </v:shape>
          <o:OLEObject Type="Embed" ProgID="Excel.Chart.8" ShapeID="_x0000_s1031" DrawAspect="Content" ObjectID="_1468075728" r:id="rId14">
            <o:LockedField>false</o:LockedField>
          </o:OLEObject>
        </w:pict>
      </w: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hint="eastAsia" w:eastAsia="仿宋_GB2312" w:cs="仿宋_GB2312"/>
          <w:sz w:val="32"/>
          <w:szCs w:val="32"/>
        </w:rPr>
      </w:pPr>
    </w:p>
    <w:p>
      <w:pPr>
        <w:spacing w:line="600" w:lineRule="exact"/>
        <w:ind w:firstLine="640" w:firstLineChars="200"/>
        <w:rPr>
          <w:rFonts w:eastAsia="仿宋_GB2312" w:cs="仿宋_GB2312"/>
          <w:sz w:val="32"/>
          <w:szCs w:val="32"/>
        </w:rPr>
      </w:pPr>
      <w:r>
        <w:rPr>
          <w:rFonts w:hint="eastAsia" w:eastAsia="仿宋_GB2312" w:cs="仿宋_GB2312"/>
          <w:sz w:val="32"/>
          <w:szCs w:val="32"/>
        </w:rPr>
        <w:t>（图4：财政拨款收、支决算总计变动情况）（柱状图）</w:t>
      </w:r>
    </w:p>
    <w:p>
      <w:pPr>
        <w:spacing w:line="600" w:lineRule="exact"/>
        <w:ind w:firstLine="640" w:firstLineChars="200"/>
        <w:outlineLvl w:val="1"/>
        <w:rPr>
          <w:rFonts w:hint="eastAsia" w:eastAsia="黑体"/>
          <w:sz w:val="32"/>
          <w:szCs w:val="32"/>
        </w:rPr>
      </w:pPr>
      <w:bookmarkStart w:id="20" w:name="_Toc15396607"/>
      <w:bookmarkStart w:id="21" w:name="_Toc15377209"/>
    </w:p>
    <w:p>
      <w:pPr>
        <w:spacing w:line="600" w:lineRule="exact"/>
        <w:ind w:firstLine="640" w:firstLineChars="200"/>
        <w:outlineLvl w:val="1"/>
        <w:rPr>
          <w:rStyle w:val="29"/>
          <w:rFonts w:ascii="Times New Roman" w:hAnsi="Times New Roman" w:eastAsia="黑体"/>
          <w:b w:val="0"/>
        </w:rPr>
      </w:pPr>
      <w:r>
        <w:rPr>
          <w:rFonts w:hint="eastAsia" w:eastAsia="黑体"/>
          <w:sz w:val="32"/>
          <w:szCs w:val="32"/>
        </w:rPr>
        <w:t>五、</w:t>
      </w:r>
      <w:r>
        <w:rPr>
          <w:rFonts w:hint="eastAsia" w:eastAsia="黑体"/>
          <w:b/>
          <w:sz w:val="32"/>
          <w:szCs w:val="32"/>
        </w:rPr>
        <w:t>一</w:t>
      </w:r>
      <w:r>
        <w:rPr>
          <w:rStyle w:val="29"/>
          <w:rFonts w:hint="eastAsia" w:ascii="Times New Roman" w:hAnsi="Times New Roman" w:eastAsia="黑体"/>
          <w:b w:val="0"/>
        </w:rPr>
        <w:t>般公共预算财政拨款支出决算情况说明</w:t>
      </w:r>
      <w:bookmarkEnd w:id="20"/>
      <w:bookmarkEnd w:id="21"/>
    </w:p>
    <w:p>
      <w:pPr>
        <w:spacing w:line="600" w:lineRule="exact"/>
        <w:ind w:firstLine="643" w:firstLineChars="200"/>
        <w:outlineLvl w:val="2"/>
        <w:rPr>
          <w:rFonts w:eastAsia="楷体_GB2312" w:cs="楷体_GB2312"/>
          <w:b/>
          <w:sz w:val="32"/>
          <w:szCs w:val="32"/>
        </w:rPr>
      </w:pPr>
      <w:bookmarkStart w:id="22" w:name="_Toc15377210"/>
      <w:r>
        <w:rPr>
          <w:rFonts w:hint="eastAsia" w:eastAsia="楷体_GB2312" w:cs="楷体_GB2312"/>
          <w:b/>
          <w:sz w:val="32"/>
          <w:szCs w:val="32"/>
        </w:rPr>
        <w:t>（一）一般公共预算财政拨款支出决算总体情况</w:t>
      </w:r>
      <w:bookmarkEnd w:id="2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524.97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%。与2023年度相比，一般公共预算财政拨款支出增加</w:t>
      </w:r>
      <w:r>
        <w:rPr>
          <w:rFonts w:hint="eastAsia" w:ascii="仿宋_GB2312" w:hAnsi="仿宋_GB2312" w:eastAsia="仿宋_GB2312" w:cs="仿宋_GB2312"/>
          <w:sz w:val="32"/>
          <w:szCs w:val="32"/>
          <w:lang w:val="en-US" w:eastAsia="zh-CN"/>
        </w:rPr>
        <w:t>7.72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1.49</w:t>
      </w:r>
      <w:r>
        <w:rPr>
          <w:rFonts w:hint="eastAsia" w:ascii="仿宋_GB2312" w:hAnsi="仿宋_GB2312" w:eastAsia="仿宋_GB2312" w:cs="仿宋_GB2312"/>
          <w:sz w:val="32"/>
          <w:szCs w:val="32"/>
        </w:rPr>
        <w:t>%。主要变动原因是</w:t>
      </w:r>
      <w:r>
        <w:rPr>
          <w:rFonts w:hint="eastAsia" w:eastAsia="仿宋_GB2312" w:cs="仿宋_GB2312"/>
          <w:sz w:val="32"/>
          <w:szCs w:val="32"/>
          <w:lang w:eastAsia="zh-CN"/>
        </w:rPr>
        <w:t>人员薪资收入的增长。</w:t>
      </w:r>
    </w:p>
    <w:p>
      <w:pPr>
        <w:spacing w:line="600" w:lineRule="exact"/>
        <w:ind w:firstLine="640"/>
        <w:rPr>
          <w:rFonts w:hint="eastAsia" w:eastAsia="仿宋_GB2312" w:cs="仿宋_GB2312"/>
          <w:sz w:val="32"/>
          <w:szCs w:val="32"/>
        </w:rPr>
      </w:pPr>
      <w:r>
        <w:rPr>
          <w:rFonts w:hint="eastAsia" w:eastAsia="仿宋_GB2312"/>
          <w:sz w:val="32"/>
          <w:szCs w:val="32"/>
          <w:lang w:eastAsia="zh-CN"/>
        </w:rPr>
        <w:pict>
          <v:shape id="_x0000_s1032" o:spid="_x0000_s1032" o:spt="75" type="#_x0000_t75" style="position:absolute;left:0pt;margin-left:41.8pt;margin-top:5.5pt;height:205.5pt;width:380.95pt;z-index:251672576;mso-width-relative:page;mso-height-relative:page;" o:ole="t" filled="f" o:preferrelative="t" stroked="f" coordsize="21600,21600">
            <v:path/>
            <v:fill on="f" focussize="0,0"/>
            <v:stroke on="f"/>
            <v:imagedata r:id="rId17" o:title=""/>
            <o:lock v:ext="edit" aspectratio="f"/>
          </v:shape>
          <o:OLEObject Type="Embed" ProgID="Excel.Chart.8" ShapeID="_x0000_s1032" DrawAspect="Content" ObjectID="_1468075729" r:id="rId16">
            <o:LockedField>false</o:LockedField>
          </o:OLEObject>
        </w:pict>
      </w: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eastAsia="仿宋_GB2312" w:cs="仿宋_GB2312"/>
          <w:sz w:val="32"/>
          <w:szCs w:val="32"/>
        </w:rPr>
      </w:pPr>
      <w:r>
        <w:rPr>
          <w:rFonts w:hint="eastAsia" w:eastAsia="仿宋_GB2312" w:cs="仿宋_GB2312"/>
          <w:sz w:val="32"/>
          <w:szCs w:val="32"/>
        </w:rPr>
        <w:t>（图5：一般公共预算财政拨款支出决算变动情况）（柱状图）</w:t>
      </w:r>
    </w:p>
    <w:p>
      <w:pPr>
        <w:spacing w:line="600" w:lineRule="exact"/>
        <w:ind w:firstLine="640"/>
        <w:rPr>
          <w:rFonts w:eastAsia="仿宋_GB2312" w:cs="仿宋_GB2312"/>
          <w:sz w:val="32"/>
          <w:szCs w:val="32"/>
        </w:rPr>
      </w:pPr>
    </w:p>
    <w:p>
      <w:pPr>
        <w:spacing w:line="600" w:lineRule="exact"/>
        <w:ind w:firstLine="643" w:firstLineChars="200"/>
        <w:outlineLvl w:val="2"/>
        <w:rPr>
          <w:rFonts w:eastAsia="楷体_GB2312" w:cs="楷体_GB2312"/>
          <w:b/>
          <w:sz w:val="32"/>
          <w:szCs w:val="32"/>
        </w:rPr>
      </w:pPr>
      <w:bookmarkStart w:id="23" w:name="_Toc15377211"/>
      <w:r>
        <w:rPr>
          <w:rFonts w:hint="eastAsia" w:eastAsia="楷体_GB2312" w:cs="楷体_GB2312"/>
          <w:b/>
          <w:sz w:val="32"/>
          <w:szCs w:val="32"/>
        </w:rPr>
        <w:t>（二）一般公共预算财政拨款支出决算结构情况</w:t>
      </w:r>
      <w:bookmarkEnd w:id="23"/>
    </w:p>
    <w:p>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rPr>
        <w:t>2024年度一般公共预算财政拨款支出</w:t>
      </w:r>
      <w:r>
        <w:rPr>
          <w:rFonts w:hint="eastAsia" w:ascii="仿宋_GB2312" w:hAnsi="仿宋_GB2312" w:eastAsia="仿宋_GB2312" w:cs="仿宋_GB2312"/>
          <w:sz w:val="32"/>
          <w:szCs w:val="32"/>
          <w:lang w:val="en-US" w:eastAsia="zh-CN"/>
        </w:rPr>
        <w:t>524.97</w:t>
      </w:r>
      <w:r>
        <w:rPr>
          <w:rFonts w:hint="eastAsia" w:ascii="仿宋_GB2312" w:hAnsi="仿宋_GB2312" w:eastAsia="仿宋_GB2312" w:cs="仿宋_GB2312"/>
          <w:sz w:val="32"/>
          <w:szCs w:val="32"/>
        </w:rPr>
        <w:t>万元</w:t>
      </w:r>
      <w:r>
        <w:rPr>
          <w:rFonts w:hint="eastAsia" w:eastAsia="仿宋_GB2312" w:cs="仿宋_GB2312"/>
          <w:sz w:val="32"/>
          <w:szCs w:val="32"/>
        </w:rPr>
        <w:t>，主要用于以下方面：</w:t>
      </w:r>
      <w:r>
        <w:rPr>
          <w:rFonts w:hint="eastAsia" w:eastAsia="仿宋_GB2312" w:cs="仿宋_GB2312"/>
          <w:sz w:val="32"/>
          <w:szCs w:val="32"/>
          <w:lang w:eastAsia="zh-CN"/>
        </w:rPr>
        <w:t>公共安全</w:t>
      </w:r>
      <w:r>
        <w:rPr>
          <w:rFonts w:hint="eastAsia" w:eastAsia="仿宋_GB2312" w:cs="仿宋_GB2312"/>
          <w:sz w:val="32"/>
          <w:szCs w:val="32"/>
        </w:rPr>
        <w:t>支出</w:t>
      </w:r>
      <w:r>
        <w:rPr>
          <w:rFonts w:hint="eastAsia" w:eastAsia="仿宋_GB2312" w:cs="仿宋_GB2312"/>
          <w:sz w:val="32"/>
          <w:szCs w:val="32"/>
          <w:lang w:val="en-US" w:eastAsia="zh-CN"/>
        </w:rPr>
        <w:t>397.62</w:t>
      </w:r>
      <w:r>
        <w:rPr>
          <w:rFonts w:hint="eastAsia" w:eastAsia="仿宋_GB2312" w:cs="仿宋_GB2312"/>
          <w:sz w:val="32"/>
          <w:szCs w:val="32"/>
        </w:rPr>
        <w:t>万元，占</w:t>
      </w:r>
      <w:r>
        <w:rPr>
          <w:rFonts w:hint="eastAsia" w:eastAsia="仿宋_GB2312" w:cs="仿宋_GB2312"/>
          <w:sz w:val="32"/>
          <w:szCs w:val="32"/>
          <w:lang w:val="en-US" w:eastAsia="zh-CN"/>
        </w:rPr>
        <w:t>75.74</w:t>
      </w:r>
      <w:r>
        <w:rPr>
          <w:rFonts w:hint="eastAsia" w:eastAsia="仿宋_GB2312" w:cs="仿宋_GB2312"/>
          <w:sz w:val="32"/>
          <w:szCs w:val="32"/>
        </w:rPr>
        <w:t>%；社会保障和就业支出</w:t>
      </w:r>
      <w:r>
        <w:rPr>
          <w:rFonts w:hint="eastAsia" w:eastAsia="仿宋_GB2312" w:cs="仿宋_GB2312"/>
          <w:sz w:val="32"/>
          <w:szCs w:val="32"/>
          <w:lang w:val="en-US" w:eastAsia="zh-CN"/>
        </w:rPr>
        <w:t>53.21</w:t>
      </w:r>
      <w:r>
        <w:rPr>
          <w:rFonts w:hint="eastAsia" w:eastAsia="仿宋_GB2312" w:cs="仿宋_GB2312"/>
          <w:sz w:val="32"/>
          <w:szCs w:val="32"/>
        </w:rPr>
        <w:t>万元，占</w:t>
      </w:r>
      <w:r>
        <w:rPr>
          <w:rFonts w:hint="eastAsia" w:eastAsia="仿宋_GB2312" w:cs="仿宋_GB2312"/>
          <w:sz w:val="32"/>
          <w:szCs w:val="32"/>
          <w:lang w:val="en-US" w:eastAsia="zh-CN"/>
        </w:rPr>
        <w:t>10.14</w:t>
      </w:r>
      <w:r>
        <w:rPr>
          <w:rFonts w:hint="eastAsia" w:eastAsia="仿宋_GB2312" w:cs="仿宋_GB2312"/>
          <w:sz w:val="32"/>
          <w:szCs w:val="32"/>
        </w:rPr>
        <w:t>%；卫生健康支出</w:t>
      </w:r>
      <w:r>
        <w:rPr>
          <w:rFonts w:hint="eastAsia" w:eastAsia="仿宋_GB2312" w:cs="仿宋_GB2312"/>
          <w:sz w:val="32"/>
          <w:szCs w:val="32"/>
          <w:lang w:val="en-US" w:eastAsia="zh-CN"/>
        </w:rPr>
        <w:t>40.96</w:t>
      </w:r>
      <w:r>
        <w:rPr>
          <w:rFonts w:hint="eastAsia" w:eastAsia="仿宋_GB2312" w:cs="仿宋_GB2312"/>
          <w:sz w:val="32"/>
          <w:szCs w:val="32"/>
        </w:rPr>
        <w:t>万元，占</w:t>
      </w:r>
      <w:r>
        <w:rPr>
          <w:rFonts w:hint="eastAsia" w:eastAsia="仿宋_GB2312" w:cs="仿宋_GB2312"/>
          <w:sz w:val="32"/>
          <w:szCs w:val="32"/>
          <w:lang w:val="en-US" w:eastAsia="zh-CN"/>
        </w:rPr>
        <w:t>7.80</w:t>
      </w:r>
      <w:r>
        <w:rPr>
          <w:rFonts w:hint="eastAsia" w:eastAsia="仿宋_GB2312" w:cs="仿宋_GB2312"/>
          <w:sz w:val="32"/>
          <w:szCs w:val="32"/>
        </w:rPr>
        <w:t>%；住房保障支出</w:t>
      </w:r>
      <w:r>
        <w:rPr>
          <w:rFonts w:hint="eastAsia" w:eastAsia="仿宋_GB2312" w:cs="仿宋_GB2312"/>
          <w:sz w:val="32"/>
          <w:szCs w:val="32"/>
          <w:lang w:val="en-US" w:eastAsia="zh-CN"/>
        </w:rPr>
        <w:t>33.18</w:t>
      </w:r>
      <w:r>
        <w:rPr>
          <w:rFonts w:hint="eastAsia" w:eastAsia="仿宋_GB2312" w:cs="仿宋_GB2312"/>
          <w:sz w:val="32"/>
          <w:szCs w:val="32"/>
        </w:rPr>
        <w:t>万元，占</w:t>
      </w:r>
      <w:r>
        <w:rPr>
          <w:rFonts w:hint="eastAsia" w:eastAsia="仿宋_GB2312" w:cs="仿宋_GB2312"/>
          <w:sz w:val="32"/>
          <w:szCs w:val="32"/>
          <w:lang w:val="en-US" w:eastAsia="zh-CN"/>
        </w:rPr>
        <w:t>6.32</w:t>
      </w:r>
      <w:r>
        <w:rPr>
          <w:rFonts w:hint="eastAsia" w:eastAsia="仿宋_GB2312" w:cs="仿宋_GB2312"/>
          <w:sz w:val="32"/>
          <w:szCs w:val="32"/>
        </w:rPr>
        <w:t>%</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rPr>
      </w:pPr>
      <w:r>
        <w:rPr>
          <w:rFonts w:hint="eastAsia" w:eastAsia="仿宋_GB2312"/>
          <w:sz w:val="32"/>
          <w:szCs w:val="32"/>
          <w:lang w:eastAsia="zh-CN"/>
        </w:rPr>
        <w:pict>
          <v:shape id="_x0000_s1033" o:spid="_x0000_s1033" o:spt="75" type="#_x0000_t75" style="position:absolute;left:0pt;margin-left:39.4pt;margin-top:8.3pt;height:205.5pt;width:381pt;z-index:251678720;mso-width-relative:page;mso-height-relative:page;" o:ole="t" filled="f" o:preferrelative="t" stroked="f" coordsize="21600,21600">
            <v:path/>
            <v:fill on="f" focussize="0,0"/>
            <v:stroke on="f"/>
            <v:imagedata r:id="rId19" o:title=""/>
            <o:lock v:ext="edit" aspectratio="f"/>
          </v:shape>
          <o:OLEObject Type="Embed" ProgID="Excel.Chart.8" ShapeID="_x0000_s1033" DrawAspect="Content" ObjectID="_1468075730" r:id="rId18">
            <o:LockedField>false</o:LockedField>
          </o:OLEObject>
        </w:pict>
      </w: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hint="eastAsia" w:eastAsia="仿宋_GB2312" w:cs="仿宋_GB2312"/>
          <w:sz w:val="32"/>
          <w:szCs w:val="32"/>
        </w:rPr>
      </w:pPr>
    </w:p>
    <w:p>
      <w:pPr>
        <w:spacing w:line="600" w:lineRule="exact"/>
        <w:ind w:firstLine="640"/>
        <w:rPr>
          <w:rFonts w:eastAsia="仿宋_GB2312" w:cs="仿宋_GB2312"/>
          <w:sz w:val="32"/>
          <w:szCs w:val="32"/>
        </w:rPr>
      </w:pPr>
      <w:r>
        <w:rPr>
          <w:rFonts w:hint="eastAsia" w:eastAsia="仿宋_GB2312" w:cs="仿宋_GB2312"/>
          <w:sz w:val="32"/>
          <w:szCs w:val="32"/>
        </w:rPr>
        <w:t>（图6：一般公共预算财政拨款支出决算结构）（饼状图）</w:t>
      </w:r>
    </w:p>
    <w:p>
      <w:pPr>
        <w:spacing w:line="600" w:lineRule="exact"/>
        <w:ind w:firstLine="643" w:firstLineChars="200"/>
        <w:outlineLvl w:val="2"/>
        <w:rPr>
          <w:rFonts w:eastAsia="楷体_GB2312" w:cs="楷体_GB2312"/>
          <w:b/>
          <w:sz w:val="32"/>
          <w:szCs w:val="32"/>
        </w:rPr>
      </w:pPr>
      <w:bookmarkStart w:id="24" w:name="_Toc15377212"/>
      <w:r>
        <w:rPr>
          <w:rFonts w:hint="eastAsia" w:eastAsia="楷体_GB2312" w:cs="楷体_GB2312"/>
          <w:b/>
          <w:sz w:val="32"/>
          <w:szCs w:val="32"/>
        </w:rPr>
        <w:t>（三）一般公共预算财政拨款支出决算具体情况</w:t>
      </w:r>
      <w:bookmarkEnd w:id="24"/>
    </w:p>
    <w:p>
      <w:pPr>
        <w:spacing w:line="600" w:lineRule="exact"/>
        <w:ind w:firstLine="640"/>
        <w:rPr>
          <w:rFonts w:eastAsia="仿宋_GB2312" w:cs="仿宋_GB2312"/>
          <w:sz w:val="32"/>
          <w:szCs w:val="32"/>
        </w:rPr>
      </w:pPr>
      <w:bookmarkStart w:id="25" w:name="_Toc15377444"/>
      <w:bookmarkStart w:id="26" w:name="_Toc15377213"/>
      <w:bookmarkStart w:id="27" w:name="_Toc15378460"/>
      <w:r>
        <w:rPr>
          <w:rFonts w:hint="eastAsia" w:eastAsia="仿宋_GB2312" w:cs="仿宋_GB2312"/>
          <w:sz w:val="32"/>
          <w:szCs w:val="32"/>
        </w:rPr>
        <w:t>2024年度一般公共预算财政拨款支出决算数为</w:t>
      </w:r>
      <w:r>
        <w:rPr>
          <w:rFonts w:hint="eastAsia" w:ascii="仿宋_GB2312" w:hAnsi="仿宋_GB2312" w:eastAsia="仿宋_GB2312" w:cs="仿宋_GB2312"/>
          <w:sz w:val="32"/>
          <w:szCs w:val="32"/>
          <w:lang w:val="en-US" w:eastAsia="zh-CN"/>
        </w:rPr>
        <w:t>524.97</w:t>
      </w:r>
      <w:r>
        <w:rPr>
          <w:rFonts w:ascii="仿宋_GB2312" w:hAnsi="仿宋_GB2312" w:eastAsia="仿宋_GB2312" w:cs="仿宋_GB2312"/>
          <w:sz w:val="32"/>
          <w:szCs w:val="32"/>
        </w:rPr>
        <w:t>万元</w:t>
      </w:r>
      <w:r>
        <w:rPr>
          <w:rFonts w:hint="eastAsia" w:ascii="仿宋_GB2312" w:hAnsi="仿宋_GB2312" w:eastAsia="仿宋_GB2312" w:cs="仿宋_GB2312"/>
          <w:sz w:val="32"/>
          <w:szCs w:val="32"/>
        </w:rPr>
        <w:t>，</w:t>
      </w:r>
      <w:r>
        <w:rPr>
          <w:rFonts w:hint="eastAsia" w:eastAsia="仿宋_GB2312" w:cs="仿宋_GB2312"/>
          <w:sz w:val="32"/>
          <w:szCs w:val="32"/>
        </w:rPr>
        <w:t>完成预算</w:t>
      </w:r>
      <w:r>
        <w:rPr>
          <w:rFonts w:hint="eastAsia" w:eastAsia="仿宋_GB2312" w:cs="仿宋_GB2312"/>
          <w:sz w:val="32"/>
          <w:szCs w:val="32"/>
          <w:lang w:val="en-US" w:eastAsia="zh-CN"/>
        </w:rPr>
        <w:t>100</w:t>
      </w:r>
      <w:r>
        <w:rPr>
          <w:rFonts w:hint="eastAsia" w:eastAsia="仿宋_GB2312" w:cs="仿宋_GB2312"/>
          <w:sz w:val="32"/>
          <w:szCs w:val="32"/>
        </w:rPr>
        <w:t>%。其中：</w:t>
      </w:r>
      <w:bookmarkEnd w:id="25"/>
      <w:bookmarkEnd w:id="26"/>
      <w:bookmarkEnd w:id="27"/>
    </w:p>
    <w:p>
      <w:pPr>
        <w:numPr>
          <w:ilvl w:val="0"/>
          <w:numId w:val="0"/>
        </w:numPr>
        <w:spacing w:line="600" w:lineRule="exact"/>
        <w:ind w:firstLine="640" w:firstLineChars="200"/>
        <w:rPr>
          <w:rFonts w:hint="eastAsia" w:eastAsia="仿宋_GB2312"/>
          <w:lang w:eastAsia="zh-CN"/>
        </w:rPr>
      </w:pPr>
      <w:r>
        <w:rPr>
          <w:rFonts w:hint="eastAsia" w:eastAsia="仿宋_GB2312" w:cs="仿宋_GB2312"/>
          <w:sz w:val="32"/>
          <w:szCs w:val="32"/>
          <w:lang w:val="en-US" w:eastAsia="zh-CN"/>
        </w:rPr>
        <w:t>1</w:t>
      </w:r>
      <w:r>
        <w:rPr>
          <w:rFonts w:hint="eastAsia" w:eastAsia="仿宋_GB2312" w:cs="仿宋_GB2312"/>
          <w:sz w:val="32"/>
          <w:szCs w:val="32"/>
        </w:rPr>
        <w:t>.</w:t>
      </w:r>
      <w:r>
        <w:rPr>
          <w:rFonts w:hint="eastAsia" w:ascii="Times New Roman" w:hAnsi="Times New Roman" w:eastAsia="仿宋_GB2312" w:cs="仿宋_GB2312"/>
          <w:sz w:val="32"/>
          <w:szCs w:val="32"/>
          <w:lang w:eastAsia="zh-CN"/>
        </w:rPr>
        <w:t>公共安全支出</w:t>
      </w:r>
      <w:r>
        <w:rPr>
          <w:rFonts w:hint="eastAsia" w:ascii="Times New Roman" w:hAnsi="Times New Roman" w:eastAsia="仿宋_GB2312" w:cs="仿宋_GB2312"/>
          <w:sz w:val="32"/>
          <w:szCs w:val="32"/>
        </w:rPr>
        <w:t>（类）</w:t>
      </w:r>
      <w:r>
        <w:rPr>
          <w:rFonts w:hint="eastAsia" w:ascii="Times New Roman" w:hAnsi="Times New Roman" w:eastAsia="仿宋_GB2312" w:cs="仿宋_GB2312"/>
          <w:sz w:val="32"/>
          <w:szCs w:val="32"/>
          <w:lang w:eastAsia="zh-CN"/>
        </w:rPr>
        <w:t>公安</w:t>
      </w:r>
      <w:r>
        <w:rPr>
          <w:rFonts w:hint="eastAsia" w:ascii="Times New Roman" w:hAnsi="Times New Roman" w:eastAsia="仿宋_GB2312" w:cs="仿宋_GB2312"/>
          <w:sz w:val="32"/>
          <w:szCs w:val="32"/>
        </w:rPr>
        <w:t>（款）</w:t>
      </w:r>
      <w:r>
        <w:rPr>
          <w:rFonts w:hint="eastAsia" w:ascii="Times New Roman" w:hAnsi="Times New Roman" w:eastAsia="仿宋_GB2312" w:cs="仿宋_GB2312"/>
          <w:sz w:val="32"/>
          <w:szCs w:val="32"/>
          <w:lang w:eastAsia="zh-CN"/>
        </w:rPr>
        <w:t>行政运行</w:t>
      </w:r>
      <w:r>
        <w:rPr>
          <w:rFonts w:hint="eastAsia" w:ascii="Times New Roman" w:hAnsi="Times New Roman" w:eastAsia="仿宋_GB2312" w:cs="仿宋_GB2312"/>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397.62</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w:t>
      </w:r>
      <w:r>
        <w:rPr>
          <w:rFonts w:hint="eastAsia" w:ascii="Times New Roman" w:hAnsi="Times New Roman" w:eastAsia="仿宋_GB2312" w:cs="仿宋_GB2312"/>
          <w:sz w:val="32"/>
          <w:szCs w:val="32"/>
          <w:lang w:eastAsia="zh-CN"/>
        </w:rPr>
        <w:t>社会保障和就业支出</w:t>
      </w:r>
      <w:r>
        <w:rPr>
          <w:rFonts w:hint="eastAsia" w:ascii="Times New Roman" w:hAnsi="Times New Roman" w:eastAsia="仿宋_GB2312" w:cs="仿宋_GB2312"/>
          <w:sz w:val="32"/>
          <w:szCs w:val="32"/>
        </w:rPr>
        <w:t>（类）</w:t>
      </w:r>
      <w:r>
        <w:rPr>
          <w:rFonts w:hint="eastAsia" w:ascii="Times New Roman" w:hAnsi="Times New Roman" w:eastAsia="仿宋_GB2312" w:cs="仿宋_GB2312"/>
          <w:sz w:val="32"/>
          <w:szCs w:val="32"/>
          <w:lang w:eastAsia="zh-CN"/>
        </w:rPr>
        <w:t>行政事业单位养老支出</w:t>
      </w:r>
      <w:r>
        <w:rPr>
          <w:rFonts w:hint="eastAsia" w:ascii="Times New Roman" w:hAnsi="Times New Roman" w:eastAsia="仿宋_GB2312" w:cs="仿宋_GB2312"/>
          <w:sz w:val="32"/>
          <w:szCs w:val="32"/>
        </w:rPr>
        <w:t>（款）</w:t>
      </w:r>
      <w:r>
        <w:rPr>
          <w:rFonts w:hint="eastAsia" w:ascii="Times New Roman" w:hAnsi="Times New Roman" w:eastAsia="仿宋_GB2312" w:cs="仿宋_GB2312"/>
          <w:sz w:val="32"/>
          <w:szCs w:val="32"/>
          <w:lang w:eastAsia="zh-CN"/>
        </w:rPr>
        <w:t>行政单位离退休</w:t>
      </w:r>
      <w:r>
        <w:rPr>
          <w:rFonts w:hint="eastAsia" w:ascii="Times New Roman" w:hAnsi="Times New Roman" w:eastAsia="仿宋_GB2312" w:cs="仿宋_GB2312"/>
          <w:sz w:val="32"/>
          <w:szCs w:val="32"/>
        </w:rPr>
        <w:t>（项）</w:t>
      </w:r>
      <w:r>
        <w:rPr>
          <w:rFonts w:hint="eastAsia" w:eastAsia="仿宋_GB2312" w:cs="仿宋_GB2312"/>
          <w:sz w:val="32"/>
          <w:szCs w:val="32"/>
        </w:rPr>
        <w:t>: 支出决算为</w:t>
      </w:r>
      <w:r>
        <w:rPr>
          <w:rFonts w:hint="eastAsia" w:eastAsia="仿宋_GB2312" w:cs="仿宋_GB2312"/>
          <w:sz w:val="32"/>
          <w:szCs w:val="32"/>
          <w:lang w:val="en-US" w:eastAsia="zh-CN"/>
        </w:rPr>
        <w:t>3.67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rPr>
        <w:t>3.</w:t>
      </w:r>
      <w:r>
        <w:rPr>
          <w:rStyle w:val="17"/>
          <w:rFonts w:hint="eastAsia" w:ascii="仿宋_GB2312" w:hAnsi="仿宋_GB2312" w:eastAsia="仿宋_GB2312" w:cs="仿宋_GB2312"/>
          <w:b w:val="0"/>
          <w:bCs w:val="0"/>
          <w:sz w:val="32"/>
          <w:szCs w:val="32"/>
          <w:lang w:eastAsia="zh-CN"/>
        </w:rPr>
        <w:t>社会保障和就业支出</w:t>
      </w:r>
      <w:r>
        <w:rPr>
          <w:rStyle w:val="17"/>
          <w:rFonts w:hint="eastAsia" w:ascii="仿宋_GB2312" w:hAnsi="仿宋_GB2312" w:eastAsia="仿宋_GB2312" w:cs="仿宋_GB2312"/>
          <w:b w:val="0"/>
          <w:bCs w:val="0"/>
          <w:sz w:val="32"/>
          <w:szCs w:val="32"/>
        </w:rPr>
        <w:t>（类）</w:t>
      </w:r>
      <w:r>
        <w:rPr>
          <w:rStyle w:val="17"/>
          <w:rFonts w:hint="eastAsia" w:ascii="仿宋_GB2312" w:hAnsi="仿宋_GB2312" w:eastAsia="仿宋_GB2312" w:cs="仿宋_GB2312"/>
          <w:b w:val="0"/>
          <w:bCs w:val="0"/>
          <w:sz w:val="32"/>
          <w:szCs w:val="32"/>
          <w:lang w:eastAsia="zh-CN"/>
        </w:rPr>
        <w:t>行政事业单位养老支出</w:t>
      </w:r>
      <w:r>
        <w:rPr>
          <w:rStyle w:val="17"/>
          <w:rFonts w:hint="eastAsia" w:ascii="仿宋_GB2312" w:hAnsi="仿宋_GB2312" w:eastAsia="仿宋_GB2312" w:cs="仿宋_GB2312"/>
          <w:b w:val="0"/>
          <w:bCs w:val="0"/>
          <w:sz w:val="32"/>
          <w:szCs w:val="32"/>
        </w:rPr>
        <w:t>（款）</w:t>
      </w:r>
      <w:r>
        <w:rPr>
          <w:rStyle w:val="17"/>
          <w:rFonts w:hint="eastAsia" w:ascii="仿宋_GB2312" w:hAnsi="仿宋_GB2312" w:eastAsia="仿宋_GB2312" w:cs="仿宋_GB2312"/>
          <w:b w:val="0"/>
          <w:bCs w:val="0"/>
          <w:sz w:val="32"/>
          <w:szCs w:val="32"/>
          <w:lang w:eastAsia="zh-CN"/>
        </w:rPr>
        <w:t>机关事业单位基本养老保险缴费支出</w:t>
      </w:r>
      <w:r>
        <w:rPr>
          <w:rStyle w:val="17"/>
          <w:rFonts w:hint="eastAsia" w:ascii="仿宋_GB2312" w:hAnsi="仿宋_GB2312" w:eastAsia="仿宋_GB2312" w:cs="仿宋_GB2312"/>
          <w:b w:val="0"/>
          <w:bCs w:val="0"/>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39.99</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rPr>
        <w:t>4.</w:t>
      </w:r>
      <w:r>
        <w:rPr>
          <w:rStyle w:val="17"/>
          <w:rFonts w:hint="eastAsia" w:ascii="仿宋_GB2312" w:hAnsi="仿宋_GB2312" w:eastAsia="仿宋_GB2312" w:cs="仿宋_GB2312"/>
          <w:b w:val="0"/>
          <w:bCs w:val="0"/>
          <w:sz w:val="32"/>
          <w:szCs w:val="32"/>
          <w:lang w:eastAsia="zh-CN"/>
        </w:rPr>
        <w:t>社会保障和就业支出</w:t>
      </w:r>
      <w:r>
        <w:rPr>
          <w:rStyle w:val="17"/>
          <w:rFonts w:hint="eastAsia" w:ascii="仿宋_GB2312" w:hAnsi="仿宋_GB2312" w:eastAsia="仿宋_GB2312" w:cs="仿宋_GB2312"/>
          <w:b w:val="0"/>
          <w:bCs w:val="0"/>
          <w:sz w:val="32"/>
          <w:szCs w:val="32"/>
        </w:rPr>
        <w:t>（类）</w:t>
      </w:r>
      <w:r>
        <w:rPr>
          <w:rStyle w:val="17"/>
          <w:rFonts w:hint="eastAsia" w:ascii="仿宋_GB2312" w:hAnsi="仿宋_GB2312" w:eastAsia="仿宋_GB2312" w:cs="仿宋_GB2312"/>
          <w:b w:val="0"/>
          <w:bCs w:val="0"/>
          <w:sz w:val="32"/>
          <w:szCs w:val="32"/>
          <w:lang w:eastAsia="zh-CN"/>
        </w:rPr>
        <w:t>行政事业单位养老支出</w:t>
      </w:r>
      <w:r>
        <w:rPr>
          <w:rStyle w:val="17"/>
          <w:rFonts w:hint="eastAsia" w:ascii="仿宋_GB2312" w:hAnsi="仿宋_GB2312" w:eastAsia="仿宋_GB2312" w:cs="仿宋_GB2312"/>
          <w:b w:val="0"/>
          <w:bCs w:val="0"/>
          <w:sz w:val="32"/>
          <w:szCs w:val="32"/>
        </w:rPr>
        <w:t>（款）</w:t>
      </w:r>
      <w:r>
        <w:rPr>
          <w:rStyle w:val="17"/>
          <w:rFonts w:hint="eastAsia" w:ascii="仿宋_GB2312" w:hAnsi="仿宋_GB2312" w:eastAsia="仿宋_GB2312" w:cs="仿宋_GB2312"/>
          <w:b w:val="0"/>
          <w:bCs w:val="0"/>
          <w:sz w:val="32"/>
          <w:szCs w:val="32"/>
          <w:lang w:eastAsia="zh-CN"/>
        </w:rPr>
        <w:t>机关事业单位职业年金缴费支出</w:t>
      </w:r>
      <w:r>
        <w:rPr>
          <w:rStyle w:val="17"/>
          <w:rFonts w:hint="eastAsia" w:ascii="仿宋_GB2312" w:hAnsi="仿宋_GB2312" w:eastAsia="仿宋_GB2312" w:cs="仿宋_GB2312"/>
          <w:b w:val="0"/>
          <w:bCs w:val="0"/>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9.55</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rPr>
        <w:t>5.</w:t>
      </w:r>
      <w:r>
        <w:rPr>
          <w:rStyle w:val="17"/>
          <w:rFonts w:hint="eastAsia" w:ascii="仿宋_GB2312" w:hAnsi="仿宋_GB2312" w:eastAsia="仿宋_GB2312" w:cs="仿宋_GB2312"/>
          <w:b w:val="0"/>
          <w:bCs w:val="0"/>
          <w:sz w:val="32"/>
          <w:szCs w:val="32"/>
          <w:lang w:eastAsia="zh-CN"/>
        </w:rPr>
        <w:t>卫生健康支出</w:t>
      </w:r>
      <w:r>
        <w:rPr>
          <w:rStyle w:val="17"/>
          <w:rFonts w:hint="eastAsia" w:ascii="仿宋_GB2312" w:hAnsi="仿宋_GB2312" w:eastAsia="仿宋_GB2312" w:cs="仿宋_GB2312"/>
          <w:b w:val="0"/>
          <w:bCs w:val="0"/>
          <w:sz w:val="32"/>
          <w:szCs w:val="32"/>
        </w:rPr>
        <w:t>（类）</w:t>
      </w:r>
      <w:r>
        <w:rPr>
          <w:rStyle w:val="17"/>
          <w:rFonts w:hint="eastAsia" w:ascii="仿宋_GB2312" w:hAnsi="仿宋_GB2312" w:eastAsia="仿宋_GB2312" w:cs="仿宋_GB2312"/>
          <w:b w:val="0"/>
          <w:bCs w:val="0"/>
          <w:sz w:val="32"/>
          <w:szCs w:val="32"/>
          <w:lang w:eastAsia="zh-CN"/>
        </w:rPr>
        <w:t>行政事业单位医疗</w:t>
      </w:r>
      <w:r>
        <w:rPr>
          <w:rStyle w:val="17"/>
          <w:rFonts w:hint="eastAsia" w:ascii="仿宋_GB2312" w:hAnsi="仿宋_GB2312" w:eastAsia="仿宋_GB2312" w:cs="仿宋_GB2312"/>
          <w:b w:val="0"/>
          <w:bCs w:val="0"/>
          <w:sz w:val="32"/>
          <w:szCs w:val="32"/>
        </w:rPr>
        <w:t>（款）</w:t>
      </w:r>
      <w:r>
        <w:rPr>
          <w:rStyle w:val="17"/>
          <w:rFonts w:hint="eastAsia" w:ascii="仿宋_GB2312" w:hAnsi="仿宋_GB2312" w:eastAsia="仿宋_GB2312" w:cs="仿宋_GB2312"/>
          <w:b w:val="0"/>
          <w:bCs w:val="0"/>
          <w:sz w:val="32"/>
          <w:szCs w:val="32"/>
          <w:lang w:eastAsia="zh-CN"/>
        </w:rPr>
        <w:t>行政单位医疗</w:t>
      </w:r>
      <w:r>
        <w:rPr>
          <w:rStyle w:val="17"/>
          <w:rFonts w:hint="eastAsia" w:ascii="仿宋_GB2312" w:hAnsi="仿宋_GB2312" w:eastAsia="仿宋_GB2312" w:cs="仿宋_GB2312"/>
          <w:b w:val="0"/>
          <w:bCs w:val="0"/>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24.88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rPr>
        <w:t>6.</w:t>
      </w:r>
      <w:r>
        <w:rPr>
          <w:rStyle w:val="17"/>
          <w:rFonts w:hint="eastAsia" w:ascii="仿宋_GB2312" w:hAnsi="仿宋_GB2312" w:eastAsia="仿宋_GB2312" w:cs="仿宋_GB2312"/>
          <w:b w:val="0"/>
          <w:bCs w:val="0"/>
          <w:sz w:val="32"/>
          <w:szCs w:val="32"/>
          <w:lang w:eastAsia="zh-CN"/>
        </w:rPr>
        <w:t>卫生健康支出</w:t>
      </w:r>
      <w:r>
        <w:rPr>
          <w:rStyle w:val="17"/>
          <w:rFonts w:hint="eastAsia" w:ascii="仿宋_GB2312" w:hAnsi="仿宋_GB2312" w:eastAsia="仿宋_GB2312" w:cs="仿宋_GB2312"/>
          <w:b w:val="0"/>
          <w:bCs w:val="0"/>
          <w:sz w:val="32"/>
          <w:szCs w:val="32"/>
        </w:rPr>
        <w:t>（类）</w:t>
      </w:r>
      <w:r>
        <w:rPr>
          <w:rStyle w:val="17"/>
          <w:rFonts w:hint="eastAsia" w:ascii="仿宋_GB2312" w:hAnsi="仿宋_GB2312" w:eastAsia="仿宋_GB2312" w:cs="仿宋_GB2312"/>
          <w:b w:val="0"/>
          <w:bCs w:val="0"/>
          <w:sz w:val="32"/>
          <w:szCs w:val="32"/>
          <w:lang w:eastAsia="zh-CN"/>
        </w:rPr>
        <w:t>行政事业单位医疗</w:t>
      </w:r>
      <w:r>
        <w:rPr>
          <w:rStyle w:val="17"/>
          <w:rFonts w:hint="eastAsia" w:ascii="仿宋_GB2312" w:hAnsi="仿宋_GB2312" w:eastAsia="仿宋_GB2312" w:cs="仿宋_GB2312"/>
          <w:b w:val="0"/>
          <w:bCs w:val="0"/>
          <w:sz w:val="32"/>
          <w:szCs w:val="32"/>
        </w:rPr>
        <w:t>（款）</w:t>
      </w:r>
      <w:r>
        <w:rPr>
          <w:rStyle w:val="17"/>
          <w:rFonts w:hint="eastAsia" w:ascii="仿宋_GB2312" w:hAnsi="仿宋_GB2312" w:eastAsia="仿宋_GB2312" w:cs="仿宋_GB2312"/>
          <w:b w:val="0"/>
          <w:bCs w:val="0"/>
          <w:sz w:val="32"/>
          <w:szCs w:val="32"/>
          <w:lang w:eastAsia="zh-CN"/>
        </w:rPr>
        <w:t>公务员医疗补助</w:t>
      </w:r>
      <w:r>
        <w:rPr>
          <w:rStyle w:val="17"/>
          <w:rFonts w:hint="eastAsia" w:ascii="仿宋_GB2312" w:hAnsi="仿宋_GB2312" w:eastAsia="仿宋_GB2312" w:cs="仿宋_GB2312"/>
          <w:b w:val="0"/>
          <w:bCs w:val="0"/>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2.21</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7</w:t>
      </w:r>
      <w:r>
        <w:rPr>
          <w:rFonts w:hint="eastAsia" w:eastAsia="仿宋_GB2312" w:cs="仿宋_GB2312"/>
          <w:sz w:val="32"/>
          <w:szCs w:val="32"/>
        </w:rPr>
        <w:t>.</w:t>
      </w:r>
      <w:r>
        <w:rPr>
          <w:rStyle w:val="17"/>
          <w:rFonts w:hint="eastAsia" w:ascii="仿宋_GB2312" w:hAnsi="仿宋_GB2312" w:eastAsia="仿宋_GB2312" w:cs="仿宋_GB2312"/>
          <w:b w:val="0"/>
          <w:bCs w:val="0"/>
          <w:sz w:val="32"/>
          <w:szCs w:val="32"/>
          <w:lang w:eastAsia="zh-CN"/>
        </w:rPr>
        <w:t>卫生健康支出</w:t>
      </w:r>
      <w:r>
        <w:rPr>
          <w:rStyle w:val="17"/>
          <w:rFonts w:hint="eastAsia" w:ascii="仿宋_GB2312" w:hAnsi="仿宋_GB2312" w:eastAsia="仿宋_GB2312" w:cs="仿宋_GB2312"/>
          <w:b w:val="0"/>
          <w:bCs w:val="0"/>
          <w:sz w:val="32"/>
          <w:szCs w:val="32"/>
        </w:rPr>
        <w:t>（类）</w:t>
      </w:r>
      <w:r>
        <w:rPr>
          <w:rStyle w:val="17"/>
          <w:rFonts w:hint="eastAsia" w:ascii="仿宋_GB2312" w:hAnsi="仿宋_GB2312" w:eastAsia="仿宋_GB2312" w:cs="仿宋_GB2312"/>
          <w:b w:val="0"/>
          <w:bCs w:val="0"/>
          <w:sz w:val="32"/>
          <w:szCs w:val="32"/>
          <w:lang w:eastAsia="zh-CN"/>
        </w:rPr>
        <w:t>行政事业单位医疗</w:t>
      </w:r>
      <w:r>
        <w:rPr>
          <w:rStyle w:val="17"/>
          <w:rFonts w:hint="eastAsia" w:ascii="仿宋_GB2312" w:hAnsi="仿宋_GB2312" w:eastAsia="仿宋_GB2312" w:cs="仿宋_GB2312"/>
          <w:b w:val="0"/>
          <w:bCs w:val="0"/>
          <w:sz w:val="32"/>
          <w:szCs w:val="32"/>
        </w:rPr>
        <w:t>（款）其他行政事业单位医疗支出（项）</w:t>
      </w:r>
      <w:r>
        <w:rPr>
          <w:rFonts w:hint="eastAsia" w:eastAsia="仿宋_GB2312" w:cs="仿宋_GB2312"/>
          <w:sz w:val="32"/>
          <w:szCs w:val="32"/>
        </w:rPr>
        <w:t>：支出决算为</w:t>
      </w:r>
      <w:r>
        <w:rPr>
          <w:rFonts w:hint="eastAsia" w:eastAsia="仿宋_GB2312" w:cs="仿宋_GB2312"/>
          <w:sz w:val="32"/>
          <w:szCs w:val="32"/>
          <w:lang w:val="en-US" w:eastAsia="zh-CN"/>
        </w:rPr>
        <w:t>13.87</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spacing w:line="600" w:lineRule="exact"/>
        <w:ind w:firstLine="640"/>
        <w:rPr>
          <w:rFonts w:eastAsia="仿宋_GB2312" w:cs="仿宋_GB2312"/>
          <w:sz w:val="32"/>
          <w:szCs w:val="32"/>
        </w:rPr>
      </w:pPr>
      <w:r>
        <w:rPr>
          <w:rFonts w:hint="eastAsia" w:eastAsia="仿宋_GB2312" w:cs="仿宋_GB2312"/>
          <w:sz w:val="32"/>
          <w:szCs w:val="32"/>
        </w:rPr>
        <w:t>6.</w:t>
      </w:r>
      <w:r>
        <w:rPr>
          <w:rStyle w:val="17"/>
          <w:rFonts w:hint="eastAsia" w:ascii="仿宋_GB2312" w:hAnsi="仿宋_GB2312" w:eastAsia="仿宋_GB2312" w:cs="仿宋_GB2312"/>
          <w:b w:val="0"/>
          <w:bCs w:val="0"/>
          <w:sz w:val="32"/>
          <w:szCs w:val="32"/>
          <w:lang w:eastAsia="zh-CN"/>
        </w:rPr>
        <w:t>住房保障支出</w:t>
      </w:r>
      <w:r>
        <w:rPr>
          <w:rStyle w:val="17"/>
          <w:rFonts w:hint="eastAsia" w:ascii="仿宋_GB2312" w:hAnsi="仿宋_GB2312" w:eastAsia="仿宋_GB2312" w:cs="仿宋_GB2312"/>
          <w:b w:val="0"/>
          <w:bCs w:val="0"/>
          <w:sz w:val="32"/>
          <w:szCs w:val="32"/>
        </w:rPr>
        <w:t>（类）</w:t>
      </w:r>
      <w:r>
        <w:rPr>
          <w:rStyle w:val="17"/>
          <w:rFonts w:hint="eastAsia" w:ascii="仿宋_GB2312" w:hAnsi="仿宋_GB2312" w:eastAsia="仿宋_GB2312" w:cs="仿宋_GB2312"/>
          <w:b w:val="0"/>
          <w:bCs w:val="0"/>
          <w:sz w:val="32"/>
          <w:szCs w:val="32"/>
          <w:lang w:eastAsia="zh-CN"/>
        </w:rPr>
        <w:t>住房改革支出</w:t>
      </w:r>
      <w:r>
        <w:rPr>
          <w:rStyle w:val="17"/>
          <w:rFonts w:hint="eastAsia" w:ascii="仿宋_GB2312" w:hAnsi="仿宋_GB2312" w:eastAsia="仿宋_GB2312" w:cs="仿宋_GB2312"/>
          <w:b w:val="0"/>
          <w:bCs w:val="0"/>
          <w:sz w:val="32"/>
          <w:szCs w:val="32"/>
        </w:rPr>
        <w:t>（款）</w:t>
      </w:r>
      <w:r>
        <w:rPr>
          <w:rStyle w:val="17"/>
          <w:rFonts w:hint="eastAsia" w:ascii="仿宋_GB2312" w:hAnsi="仿宋_GB2312" w:eastAsia="仿宋_GB2312" w:cs="仿宋_GB2312"/>
          <w:b w:val="0"/>
          <w:bCs w:val="0"/>
          <w:sz w:val="32"/>
          <w:szCs w:val="32"/>
          <w:lang w:eastAsia="zh-CN"/>
        </w:rPr>
        <w:t>住房公积金</w:t>
      </w:r>
      <w:r>
        <w:rPr>
          <w:rStyle w:val="17"/>
          <w:rFonts w:hint="eastAsia" w:ascii="仿宋_GB2312" w:hAnsi="仿宋_GB2312" w:eastAsia="仿宋_GB2312" w:cs="仿宋_GB2312"/>
          <w:b w:val="0"/>
          <w:bCs w:val="0"/>
          <w:sz w:val="32"/>
          <w:szCs w:val="32"/>
        </w:rPr>
        <w:t>（项）</w:t>
      </w:r>
      <w:r>
        <w:rPr>
          <w:rFonts w:hint="eastAsia" w:eastAsia="仿宋_GB2312" w:cs="仿宋_GB2312"/>
          <w:sz w:val="32"/>
          <w:szCs w:val="32"/>
        </w:rPr>
        <w:t>：支出决算为</w:t>
      </w:r>
      <w:r>
        <w:rPr>
          <w:rFonts w:hint="eastAsia" w:eastAsia="仿宋_GB2312" w:cs="仿宋_GB2312"/>
          <w:sz w:val="32"/>
          <w:szCs w:val="32"/>
          <w:lang w:val="en-US" w:eastAsia="zh-CN"/>
        </w:rPr>
        <w:t>33.18</w:t>
      </w:r>
      <w:r>
        <w:rPr>
          <w:rFonts w:hint="eastAsia" w:eastAsia="仿宋_GB2312" w:cs="仿宋_GB2312"/>
          <w:sz w:val="32"/>
          <w:szCs w:val="32"/>
        </w:rPr>
        <w:t>万元，完成预算</w:t>
      </w:r>
      <w:r>
        <w:rPr>
          <w:rFonts w:hint="eastAsia" w:eastAsia="仿宋_GB2312" w:cs="仿宋_GB2312"/>
          <w:sz w:val="32"/>
          <w:szCs w:val="32"/>
          <w:lang w:val="en-US" w:eastAsia="zh-CN"/>
        </w:rPr>
        <w:t>100</w:t>
      </w:r>
      <w:r>
        <w:rPr>
          <w:rFonts w:hint="eastAsia" w:eastAsia="仿宋_GB2312" w:cs="仿宋_GB2312"/>
          <w:sz w:val="32"/>
          <w:szCs w:val="32"/>
        </w:rPr>
        <w:t>*%，决算数等于预算数</w:t>
      </w:r>
      <w:r>
        <w:rPr>
          <w:rFonts w:hint="eastAsia" w:eastAsia="仿宋_GB2312" w:cs="仿宋_GB2312"/>
          <w:sz w:val="32"/>
          <w:szCs w:val="32"/>
          <w:lang w:eastAsia="zh-CN"/>
        </w:rPr>
        <w:t>。</w:t>
      </w:r>
    </w:p>
    <w:p>
      <w:pPr>
        <w:tabs>
          <w:tab w:val="right" w:pos="8306"/>
        </w:tabs>
        <w:spacing w:line="600" w:lineRule="exact"/>
        <w:ind w:firstLine="640"/>
        <w:outlineLvl w:val="1"/>
        <w:rPr>
          <w:rFonts w:hint="eastAsia" w:eastAsia="黑体"/>
          <w:sz w:val="32"/>
          <w:szCs w:val="32"/>
        </w:rPr>
      </w:pPr>
      <w:bookmarkStart w:id="28" w:name="_Toc15396608"/>
      <w:bookmarkStart w:id="29" w:name="_Toc15377214"/>
    </w:p>
    <w:p>
      <w:pPr>
        <w:tabs>
          <w:tab w:val="right" w:pos="8306"/>
        </w:tabs>
        <w:spacing w:line="600" w:lineRule="exact"/>
        <w:ind w:firstLine="640"/>
        <w:outlineLvl w:val="1"/>
        <w:rPr>
          <w:rStyle w:val="29"/>
          <w:rFonts w:ascii="Times New Roman" w:hAnsi="Times New Roman"/>
        </w:rPr>
      </w:pPr>
      <w:r>
        <w:rPr>
          <w:rFonts w:hint="eastAsia" w:eastAsia="黑体"/>
          <w:sz w:val="32"/>
          <w:szCs w:val="32"/>
        </w:rPr>
        <w:t>六</w:t>
      </w:r>
      <w:r>
        <w:rPr>
          <w:rFonts w:hint="eastAsia" w:eastAsia="黑体"/>
          <w:b/>
          <w:sz w:val="32"/>
          <w:szCs w:val="32"/>
        </w:rPr>
        <w:t>、一</w:t>
      </w:r>
      <w:r>
        <w:rPr>
          <w:rStyle w:val="29"/>
          <w:rFonts w:hint="eastAsia" w:ascii="Times New Roman" w:hAnsi="Times New Roman" w:eastAsia="黑体"/>
          <w:b w:val="0"/>
        </w:rPr>
        <w:t>般公共预算财政拨款基本支出决算情况说明</w:t>
      </w:r>
      <w:bookmarkEnd w:id="28"/>
      <w:bookmarkEnd w:id="29"/>
      <w:r>
        <w:rPr>
          <w:rStyle w:val="29"/>
          <w:rFonts w:ascii="Times New Roman" w:hAnsi="Times New Roman" w:eastAsia="黑体"/>
          <w:b w:val="0"/>
        </w:rPr>
        <w:tab/>
      </w:r>
    </w:p>
    <w:p>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lang w:val="en-US" w:eastAsia="zh-CN"/>
        </w:rPr>
        <w:t>524.97</w:t>
      </w:r>
      <w:r>
        <w:rPr>
          <w:rFonts w:hint="eastAsia" w:ascii="仿宋_GB2312" w:hAnsi="仿宋_GB2312" w:eastAsia="仿宋_GB2312" w:cs="仿宋_GB2312"/>
          <w:sz w:val="32"/>
          <w:szCs w:val="32"/>
        </w:rPr>
        <w:t>万</w:t>
      </w:r>
      <w:r>
        <w:rPr>
          <w:rFonts w:hint="eastAsia" w:eastAsia="仿宋_GB2312" w:cs="仿宋_GB2312"/>
          <w:sz w:val="32"/>
          <w:szCs w:val="32"/>
        </w:rPr>
        <w:t>元，其中：</w:t>
      </w:r>
    </w:p>
    <w:p>
      <w:pPr>
        <w:spacing w:line="600" w:lineRule="exact"/>
        <w:ind w:firstLine="640"/>
        <w:rPr>
          <w:rFonts w:eastAsia="仿宋_GB2312" w:cs="仿宋_GB2312"/>
          <w:sz w:val="32"/>
          <w:szCs w:val="32"/>
        </w:rPr>
      </w:pPr>
      <w:r>
        <w:rPr>
          <w:rFonts w:hint="eastAsia" w:eastAsia="仿宋_GB2312" w:cs="仿宋_GB2312"/>
          <w:sz w:val="32"/>
          <w:szCs w:val="32"/>
        </w:rPr>
        <w:t>人员经费</w:t>
      </w:r>
      <w:r>
        <w:rPr>
          <w:rFonts w:hint="eastAsia" w:ascii="仿宋_GB2312" w:hAnsi="仿宋_GB2312" w:eastAsia="仿宋_GB2312" w:cs="仿宋_GB2312"/>
          <w:sz w:val="32"/>
          <w:szCs w:val="32"/>
          <w:lang w:val="en-US" w:eastAsia="zh-CN"/>
        </w:rPr>
        <w:t>461.51</w:t>
      </w:r>
      <w:r>
        <w:rPr>
          <w:rFonts w:hint="eastAsia" w:ascii="仿宋_GB2312" w:hAnsi="仿宋_GB2312" w:eastAsia="仿宋_GB2312" w:cs="仿宋_GB2312"/>
          <w:sz w:val="32"/>
          <w:szCs w:val="32"/>
        </w:rPr>
        <w:t>万</w:t>
      </w:r>
      <w:r>
        <w:rPr>
          <w:rFonts w:hint="eastAsia" w:eastAsia="仿宋_GB2312" w:cs="仿宋_GB2312"/>
          <w:sz w:val="32"/>
          <w:szCs w:val="32"/>
        </w:rPr>
        <w:t>元，主要包括：基本工资、津贴补贴、奖金、机关事业单位基本养老保险缴费、职业年金缴费、职工基本医疗保险缴费</w:t>
      </w:r>
      <w:r>
        <w:rPr>
          <w:rFonts w:hint="eastAsia" w:eastAsia="仿宋_GB2312" w:cs="仿宋_GB2312"/>
          <w:sz w:val="32"/>
          <w:szCs w:val="32"/>
          <w:lang w:eastAsia="zh-CN"/>
        </w:rPr>
        <w:t>、公务员医疗补助缴费、</w:t>
      </w:r>
      <w:r>
        <w:rPr>
          <w:rFonts w:hint="eastAsia" w:eastAsia="仿宋_GB2312" w:cs="仿宋_GB2312"/>
          <w:sz w:val="32"/>
          <w:szCs w:val="32"/>
        </w:rPr>
        <w:t>其他社会保障缴费、住房公积金</w:t>
      </w:r>
      <w:r>
        <w:rPr>
          <w:rFonts w:hint="eastAsia" w:eastAsia="仿宋_GB2312" w:cs="仿宋_GB2312"/>
          <w:sz w:val="32"/>
          <w:szCs w:val="32"/>
          <w:lang w:eastAsia="zh-CN"/>
        </w:rPr>
        <w:t>、</w:t>
      </w:r>
      <w:r>
        <w:rPr>
          <w:rFonts w:hint="eastAsia" w:eastAsia="仿宋_GB2312" w:cs="仿宋_GB2312"/>
          <w:sz w:val="32"/>
          <w:szCs w:val="32"/>
        </w:rPr>
        <w:t>其他工资福利支出、生活补助、医疗费补助、奖励金。</w:t>
      </w:r>
      <w:r>
        <w:rPr>
          <w:rFonts w:hint="eastAsia" w:eastAsia="仿宋_GB2312" w:cs="仿宋_GB2312"/>
          <w:sz w:val="32"/>
          <w:szCs w:val="32"/>
        </w:rPr>
        <w:br w:type="textWrapping"/>
      </w:r>
      <w:r>
        <w:rPr>
          <w:rFonts w:hint="eastAsia" w:eastAsia="仿宋_GB2312" w:cs="仿宋_GB2312"/>
          <w:sz w:val="32"/>
          <w:szCs w:val="32"/>
        </w:rPr>
        <w:t>　　公用经费</w:t>
      </w:r>
      <w:r>
        <w:rPr>
          <w:rFonts w:hint="eastAsia" w:ascii="仿宋_GB2312" w:hAnsi="仿宋_GB2312" w:eastAsia="仿宋_GB2312" w:cs="仿宋_GB2312"/>
          <w:sz w:val="32"/>
          <w:szCs w:val="32"/>
          <w:lang w:val="en-US" w:eastAsia="zh-CN"/>
        </w:rPr>
        <w:t>63.46</w:t>
      </w:r>
      <w:r>
        <w:rPr>
          <w:rFonts w:hint="eastAsia" w:ascii="仿宋_GB2312" w:hAnsi="仿宋_GB2312" w:eastAsia="仿宋_GB2312" w:cs="仿宋_GB2312"/>
          <w:sz w:val="32"/>
          <w:szCs w:val="32"/>
        </w:rPr>
        <w:t>万</w:t>
      </w:r>
      <w:r>
        <w:rPr>
          <w:rFonts w:hint="eastAsia" w:eastAsia="仿宋_GB2312" w:cs="仿宋_GB2312"/>
          <w:sz w:val="32"/>
          <w:szCs w:val="32"/>
        </w:rPr>
        <w:t>元，主要包括：办公费、印刷费</w:t>
      </w:r>
      <w:r>
        <w:rPr>
          <w:rFonts w:hint="eastAsia" w:eastAsia="仿宋_GB2312" w:cs="仿宋_GB2312"/>
          <w:sz w:val="32"/>
          <w:szCs w:val="32"/>
          <w:lang w:eastAsia="zh-CN"/>
        </w:rPr>
        <w:t>、</w:t>
      </w:r>
      <w:r>
        <w:rPr>
          <w:rFonts w:hint="eastAsia" w:eastAsia="仿宋_GB2312" w:cs="仿宋_GB2312"/>
          <w:sz w:val="32"/>
          <w:szCs w:val="32"/>
        </w:rPr>
        <w:t>水费、电费、邮电费、差旅费、维修（护）费、培训费、劳务费、</w:t>
      </w:r>
      <w:r>
        <w:rPr>
          <w:rFonts w:hint="eastAsia" w:eastAsia="仿宋_GB2312" w:cs="仿宋_GB2312"/>
          <w:sz w:val="32"/>
          <w:szCs w:val="32"/>
          <w:lang w:eastAsia="zh-CN"/>
        </w:rPr>
        <w:t>专用材料费、专用燃料费、</w:t>
      </w:r>
      <w:r>
        <w:rPr>
          <w:rFonts w:hint="eastAsia" w:eastAsia="仿宋_GB2312" w:cs="仿宋_GB2312"/>
          <w:sz w:val="32"/>
          <w:szCs w:val="32"/>
        </w:rPr>
        <w:t>委托业务费、工会经费、福利费、其他交通费、其他商品和服务支出、办公设备购置。</w:t>
      </w:r>
    </w:p>
    <w:p>
      <w:pPr>
        <w:spacing w:line="600" w:lineRule="exact"/>
        <w:ind w:firstLine="640"/>
        <w:outlineLvl w:val="1"/>
        <w:rPr>
          <w:rFonts w:hint="eastAsia" w:eastAsia="黑体"/>
          <w:sz w:val="32"/>
          <w:szCs w:val="32"/>
        </w:rPr>
      </w:pPr>
      <w:bookmarkStart w:id="30" w:name="_Toc15396609"/>
      <w:bookmarkStart w:id="31" w:name="_Toc15377215"/>
    </w:p>
    <w:p>
      <w:pPr>
        <w:spacing w:line="600" w:lineRule="exact"/>
        <w:ind w:firstLine="640"/>
        <w:outlineLvl w:val="1"/>
        <w:rPr>
          <w:rStyle w:val="29"/>
          <w:rFonts w:ascii="Times New Roman" w:hAnsi="Times New Roman" w:eastAsia="黑体"/>
          <w:b w:val="0"/>
        </w:rPr>
      </w:pPr>
      <w:r>
        <w:rPr>
          <w:rFonts w:hint="eastAsia" w:eastAsia="黑体"/>
          <w:sz w:val="32"/>
          <w:szCs w:val="32"/>
        </w:rPr>
        <w:t>七、</w:t>
      </w:r>
      <w:r>
        <w:rPr>
          <w:rStyle w:val="29"/>
          <w:rFonts w:hint="eastAsia" w:ascii="Times New Roman" w:hAnsi="Times New Roman" w:eastAsia="黑体"/>
          <w:b w:val="0"/>
        </w:rPr>
        <w:t>财政拨款</w:t>
      </w:r>
      <w:r>
        <w:rPr>
          <w:rStyle w:val="29"/>
          <w:rFonts w:hint="eastAsia" w:ascii="Times New Roman" w:hAnsi="Times New Roman" w:eastAsia="黑体"/>
        </w:rPr>
        <w:t>“</w:t>
      </w:r>
      <w:r>
        <w:rPr>
          <w:rStyle w:val="29"/>
          <w:rFonts w:hint="eastAsia" w:ascii="Times New Roman" w:hAnsi="Times New Roman" w:eastAsia="黑体"/>
          <w:b w:val="0"/>
        </w:rPr>
        <w:t>三公”经费支出决算情况说明</w:t>
      </w:r>
      <w:bookmarkEnd w:id="30"/>
      <w:bookmarkEnd w:id="31"/>
    </w:p>
    <w:p>
      <w:pPr>
        <w:spacing w:line="600" w:lineRule="exact"/>
        <w:ind w:firstLine="643" w:firstLineChars="200"/>
        <w:outlineLvl w:val="2"/>
        <w:rPr>
          <w:rFonts w:eastAsia="楷体_GB2312" w:cs="楷体_GB2312"/>
          <w:b/>
          <w:sz w:val="32"/>
          <w:szCs w:val="32"/>
        </w:rPr>
      </w:pPr>
      <w:bookmarkStart w:id="32" w:name="_Toc15377216"/>
      <w:r>
        <w:rPr>
          <w:rFonts w:hint="eastAsia" w:eastAsia="楷体_GB2312" w:cs="楷体_GB2312"/>
          <w:b/>
          <w:sz w:val="32"/>
          <w:szCs w:val="32"/>
        </w:rPr>
        <w:t>（一）“三公”经费财政拨款支出决算总体情况说明</w:t>
      </w:r>
      <w:bookmarkEnd w:id="32"/>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与上年持平。</w:t>
      </w:r>
    </w:p>
    <w:p>
      <w:pPr>
        <w:spacing w:line="600" w:lineRule="exact"/>
        <w:ind w:firstLine="643" w:firstLineChars="200"/>
        <w:outlineLvl w:val="2"/>
        <w:rPr>
          <w:rFonts w:eastAsia="楷体_GB2312" w:cs="楷体_GB2312"/>
          <w:b/>
          <w:sz w:val="32"/>
          <w:szCs w:val="32"/>
        </w:rPr>
      </w:pPr>
      <w:bookmarkStart w:id="33" w:name="_Toc15377217"/>
      <w:r>
        <w:rPr>
          <w:rFonts w:hint="eastAsia" w:eastAsia="楷体_GB2312" w:cs="楷体_GB2312"/>
          <w:b/>
          <w:sz w:val="32"/>
          <w:szCs w:val="32"/>
        </w:rPr>
        <w:t>（二）“三公”经费财政拨款支出决算具体情况说明</w:t>
      </w:r>
      <w:bookmarkEnd w:id="33"/>
    </w:p>
    <w:p>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万元；公务接待费支出决算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（图7：“三公”经费财政拨款支出结构）（饼状图）</w:t>
      </w:r>
      <w:r>
        <w:rPr>
          <w:rFonts w:hint="eastAsia" w:eastAsia="仿宋_GB2312" w:cs="仿宋_GB2312"/>
          <w:sz w:val="32"/>
          <w:szCs w:val="32"/>
          <w:lang w:eastAsia="zh-CN"/>
        </w:rPr>
        <w:t>（无数据无示意图）</w:t>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1.因公出国（境）经费支出</w:t>
      </w:r>
      <w:r>
        <w:rPr>
          <w:rFonts w:hint="eastAsia" w:eastAsia="仿宋_GB2312" w:cs="仿宋_GB2312"/>
          <w:b/>
          <w:bCs/>
          <w:sz w:val="32"/>
          <w:szCs w:val="32"/>
          <w:lang w:val="en-US" w:eastAsia="zh-CN"/>
        </w:rPr>
        <w:t>0</w:t>
      </w:r>
      <w:r>
        <w:rPr>
          <w:rFonts w:hint="eastAsia" w:eastAsia="仿宋_GB2312" w:cs="仿宋_GB2312"/>
          <w:b/>
          <w:bCs/>
          <w:sz w:val="32"/>
          <w:szCs w:val="32"/>
        </w:rPr>
        <w:t>万元，完成预算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全年安排因公出国（境）团</w:t>
      </w:r>
      <w:r>
        <w:rPr>
          <w:rFonts w:hint="eastAsia" w:ascii="仿宋_GB2312" w:hAnsi="仿宋_GB2312" w:eastAsia="仿宋_GB2312" w:cs="仿宋_GB2312"/>
          <w:sz w:val="32"/>
          <w:szCs w:val="32"/>
        </w:rPr>
        <w:t>组</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w:t>
      </w:r>
      <w:r>
        <w:rPr>
          <w:rFonts w:hint="eastAsia" w:eastAsia="仿宋_GB2312" w:cs="仿宋_GB2312"/>
          <w:sz w:val="32"/>
          <w:szCs w:val="32"/>
        </w:rPr>
        <w:t>。因公出国（境）支出决算</w:t>
      </w:r>
      <w:r>
        <w:rPr>
          <w:rFonts w:hint="eastAsia" w:eastAsia="仿宋_GB2312" w:cs="仿宋_GB2312"/>
          <w:sz w:val="32"/>
          <w:szCs w:val="32"/>
          <w:lang w:eastAsia="zh-CN"/>
        </w:rPr>
        <w:t>与</w:t>
      </w:r>
      <w:r>
        <w:rPr>
          <w:rFonts w:hint="eastAsia" w:eastAsia="仿宋_GB2312" w:cs="仿宋_GB2312"/>
          <w:sz w:val="32"/>
          <w:szCs w:val="32"/>
        </w:rPr>
        <w:t>2023年</w:t>
      </w:r>
      <w:r>
        <w:rPr>
          <w:rFonts w:hint="eastAsia" w:eastAsia="仿宋_GB2312" w:cs="仿宋_GB2312"/>
          <w:sz w:val="32"/>
          <w:szCs w:val="32"/>
          <w:lang w:eastAsia="zh-CN"/>
        </w:rPr>
        <w:t>持平。</w:t>
      </w:r>
    </w:p>
    <w:p>
      <w:pPr>
        <w:spacing w:line="600" w:lineRule="exact"/>
        <w:ind w:firstLine="640"/>
        <w:rPr>
          <w:rFonts w:hint="eastAsia" w:eastAsia="仿宋_GB2312" w:cs="仿宋_GB2312"/>
          <w:sz w:val="32"/>
          <w:szCs w:val="32"/>
          <w:lang w:eastAsia="zh-CN"/>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公务用车购置及运行维护费支出决算</w:t>
      </w:r>
      <w:r>
        <w:rPr>
          <w:rFonts w:hint="eastAsia" w:eastAsia="仿宋_GB2312" w:cs="仿宋_GB2312"/>
          <w:sz w:val="32"/>
          <w:szCs w:val="32"/>
          <w:lang w:eastAsia="zh-CN"/>
        </w:rPr>
        <w:t>与</w:t>
      </w:r>
      <w:r>
        <w:rPr>
          <w:rFonts w:hint="eastAsia" w:eastAsia="仿宋_GB2312" w:cs="仿宋_GB2312"/>
          <w:sz w:val="32"/>
          <w:szCs w:val="32"/>
        </w:rPr>
        <w:t>2023年度增</w:t>
      </w:r>
      <w:r>
        <w:rPr>
          <w:rFonts w:hint="eastAsia" w:eastAsia="仿宋_GB2312" w:cs="仿宋_GB2312"/>
          <w:sz w:val="32"/>
          <w:szCs w:val="32"/>
          <w:lang w:eastAsia="zh-CN"/>
        </w:rPr>
        <w:t>持平。</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pPr>
        <w:spacing w:line="600" w:lineRule="exact"/>
        <w:ind w:firstLine="640"/>
        <w:rPr>
          <w:rFonts w:hint="eastAsia" w:eastAsia="仿宋_GB2312" w:cs="仿宋_GB2312"/>
          <w:sz w:val="32"/>
          <w:szCs w:val="32"/>
          <w:lang w:eastAsia="zh-CN"/>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w:t>
      </w:r>
      <w:r>
        <w:rPr>
          <w:rFonts w:hint="eastAsia" w:ascii="仿宋_GB2312" w:hAnsi="仿宋_GB2312" w:eastAsia="仿宋_GB2312" w:cs="仿宋_GB2312"/>
          <w:sz w:val="32"/>
          <w:szCs w:val="32"/>
          <w:lang w:val="en-US" w:eastAsia="zh-CN"/>
        </w:rPr>
        <w:t>0</w:t>
      </w:r>
      <w:r>
        <w:rPr>
          <w:rFonts w:hint="eastAsia" w:eastAsia="仿宋_GB2312" w:cs="仿宋_GB2312"/>
          <w:sz w:val="32"/>
          <w:szCs w:val="32"/>
        </w:rPr>
        <w:t>万元。</w:t>
      </w:r>
    </w:p>
    <w:p>
      <w:pPr>
        <w:numPr>
          <w:ilvl w:val="0"/>
          <w:numId w:val="0"/>
        </w:numPr>
        <w:spacing w:line="600" w:lineRule="exact"/>
        <w:ind w:firstLine="643" w:firstLineChars="200"/>
      </w:pPr>
      <w:r>
        <w:rPr>
          <w:rFonts w:hint="eastAsia" w:eastAsia="仿宋_GB2312" w:cs="仿宋_GB2312"/>
          <w:b/>
          <w:bCs/>
          <w:sz w:val="32"/>
          <w:szCs w:val="32"/>
          <w:lang w:val="en-US" w:eastAsia="zh-CN"/>
        </w:rPr>
        <w:t>3.</w:t>
      </w:r>
      <w:r>
        <w:rPr>
          <w:rFonts w:hint="eastAsia" w:eastAsia="仿宋_GB2312" w:cs="仿宋_GB2312"/>
          <w:b/>
          <w:bCs/>
          <w:sz w:val="32"/>
          <w:szCs w:val="32"/>
        </w:rPr>
        <w:t>公务接待费支出</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万</w:t>
      </w:r>
      <w:r>
        <w:rPr>
          <w:rFonts w:hint="eastAsia" w:eastAsia="仿宋_GB2312" w:cs="仿宋_GB2312"/>
          <w:b/>
          <w:bCs/>
          <w:sz w:val="32"/>
          <w:szCs w:val="32"/>
        </w:rPr>
        <w:t>元，完成预算</w:t>
      </w:r>
      <w:r>
        <w:rPr>
          <w:rFonts w:hint="eastAsia" w:eastAsia="仿宋_GB2312" w:cs="仿宋_GB2312"/>
          <w:b/>
          <w:bCs/>
          <w:sz w:val="32"/>
          <w:szCs w:val="32"/>
          <w:lang w:val="en-US" w:eastAsia="zh-CN"/>
        </w:rPr>
        <w:t>100</w:t>
      </w:r>
      <w:r>
        <w:rPr>
          <w:rFonts w:hint="eastAsia" w:eastAsia="仿宋_GB2312" w:cs="仿宋_GB2312"/>
          <w:b/>
          <w:bCs/>
          <w:sz w:val="32"/>
          <w:szCs w:val="32"/>
        </w:rPr>
        <w:t>%。</w:t>
      </w:r>
      <w:r>
        <w:rPr>
          <w:rFonts w:hint="eastAsia" w:eastAsia="仿宋_GB2312" w:cs="仿宋_GB2312"/>
          <w:sz w:val="32"/>
          <w:szCs w:val="32"/>
        </w:rPr>
        <w:t>公务接待费支出决算</w:t>
      </w:r>
      <w:r>
        <w:rPr>
          <w:rFonts w:hint="eastAsia" w:eastAsia="仿宋_GB2312" w:cs="仿宋_GB2312"/>
          <w:sz w:val="32"/>
          <w:szCs w:val="32"/>
          <w:lang w:eastAsia="zh-CN"/>
        </w:rPr>
        <w:t>与</w:t>
      </w:r>
      <w:r>
        <w:rPr>
          <w:rFonts w:hint="eastAsia" w:eastAsia="仿宋_GB2312" w:cs="仿宋_GB2312"/>
          <w:sz w:val="32"/>
          <w:szCs w:val="32"/>
        </w:rPr>
        <w:t>2023年度</w:t>
      </w:r>
      <w:r>
        <w:rPr>
          <w:rFonts w:hint="eastAsia" w:eastAsia="仿宋_GB2312" w:cs="仿宋_GB2312"/>
          <w:sz w:val="32"/>
          <w:szCs w:val="32"/>
          <w:lang w:eastAsia="zh-CN"/>
        </w:rPr>
        <w:t>持平。</w:t>
      </w:r>
      <w:bookmarkStart w:id="34" w:name="_Toc15377218"/>
      <w:bookmarkStart w:id="35" w:name="_Toc15396610"/>
    </w:p>
    <w:p>
      <w:pPr>
        <w:spacing w:line="600" w:lineRule="exact"/>
        <w:ind w:firstLine="640"/>
        <w:outlineLvl w:val="1"/>
        <w:rPr>
          <w:rFonts w:hint="eastAsia" w:eastAsia="黑体"/>
          <w:sz w:val="32"/>
          <w:szCs w:val="32"/>
        </w:rPr>
      </w:pPr>
    </w:p>
    <w:p>
      <w:pPr>
        <w:spacing w:line="600" w:lineRule="exact"/>
        <w:ind w:firstLine="640"/>
        <w:outlineLvl w:val="1"/>
        <w:rPr>
          <w:rStyle w:val="29"/>
          <w:rFonts w:ascii="Times New Roman" w:hAnsi="Times New Roman" w:eastAsia="黑体"/>
        </w:rPr>
      </w:pPr>
      <w:r>
        <w:rPr>
          <w:rFonts w:hint="eastAsia" w:eastAsia="黑体"/>
          <w:sz w:val="32"/>
          <w:szCs w:val="32"/>
        </w:rPr>
        <w:t>八、</w:t>
      </w:r>
      <w:r>
        <w:rPr>
          <w:rStyle w:val="29"/>
          <w:rFonts w:hint="eastAsia" w:ascii="Times New Roman" w:hAnsi="Times New Roman" w:eastAsia="黑体"/>
          <w:b w:val="0"/>
        </w:rPr>
        <w:t>政府性基金预算支出决算情况说明</w:t>
      </w:r>
      <w:bookmarkEnd w:id="34"/>
      <w:bookmarkEnd w:id="35"/>
    </w:p>
    <w:p>
      <w:pPr>
        <w:spacing w:line="600" w:lineRule="exact"/>
        <w:ind w:firstLine="640"/>
        <w:rPr>
          <w:rFonts w:eastAsia="仿宋_GB2312" w:cs="仿宋_GB2312"/>
          <w:b/>
          <w:bCs/>
          <w:sz w:val="32"/>
          <w:szCs w:val="32"/>
        </w:rPr>
      </w:pPr>
      <w:r>
        <w:rPr>
          <w:rFonts w:hint="eastAsia" w:ascii="仿宋_GB2312" w:hAnsi="仿宋_GB2312" w:eastAsia="仿宋_GB2312" w:cs="仿宋_GB2312"/>
          <w:sz w:val="32"/>
          <w:szCs w:val="32"/>
        </w:rPr>
        <w:t>2024年度政府性基金预算财政拨款支出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。与2023年度相比，政府性基金预算财政拨款支出</w:t>
      </w:r>
      <w:r>
        <w:rPr>
          <w:rFonts w:hint="eastAsia" w:eastAsia="仿宋_GB2312" w:cs="仿宋_GB2312"/>
          <w:sz w:val="32"/>
          <w:szCs w:val="32"/>
          <w:lang w:eastAsia="zh-CN"/>
        </w:rPr>
        <w:t>持平。</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36" w:name="_Toc15377219"/>
      <w:bookmarkStart w:id="37" w:name="_Toc15396611"/>
      <w:r>
        <w:rPr>
          <w:rStyle w:val="29"/>
          <w:rFonts w:hint="eastAsia" w:ascii="Times New Roman" w:hAnsi="Times New Roman" w:eastAsia="黑体"/>
          <w:b w:val="0"/>
        </w:rPr>
        <w:t>九、国有资本经营预算支出决算情况说明</w:t>
      </w:r>
      <w:bookmarkEnd w:id="36"/>
      <w:bookmarkEnd w:id="37"/>
    </w:p>
    <w:p>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eastAsia="仿宋_GB2312" w:cs="仿宋_GB2312"/>
          <w:sz w:val="32"/>
          <w:szCs w:val="32"/>
        </w:rPr>
        <w:t>。与2023年度相比，国有资本经营预算</w:t>
      </w:r>
      <w:r>
        <w:rPr>
          <w:rFonts w:hint="eastAsia" w:eastAsia="仿宋_GB2312" w:cs="仿宋_GB2312"/>
          <w:sz w:val="32"/>
          <w:szCs w:val="32"/>
          <w:lang w:eastAsia="zh-CN"/>
        </w:rPr>
        <w:t>持平。</w:t>
      </w:r>
    </w:p>
    <w:p>
      <w:pPr>
        <w:spacing w:line="600" w:lineRule="exact"/>
        <w:ind w:firstLine="640"/>
        <w:rPr>
          <w:rFonts w:eastAsia="仿宋_GB2312" w:cs="仿宋_GB2312"/>
          <w:sz w:val="32"/>
          <w:szCs w:val="32"/>
        </w:rPr>
      </w:pPr>
    </w:p>
    <w:p>
      <w:pPr>
        <w:spacing w:line="600" w:lineRule="exact"/>
        <w:ind w:left="630"/>
        <w:outlineLvl w:val="1"/>
        <w:rPr>
          <w:rStyle w:val="29"/>
          <w:rFonts w:ascii="Times New Roman" w:hAnsi="Times New Roman" w:eastAsia="黑体"/>
          <w:b w:val="0"/>
        </w:rPr>
      </w:pPr>
      <w:bookmarkStart w:id="38" w:name="_Toc15377221"/>
      <w:bookmarkStart w:id="39" w:name="_Toc15396612"/>
      <w:r>
        <w:rPr>
          <w:rStyle w:val="29"/>
          <w:rFonts w:hint="eastAsia" w:ascii="Times New Roman" w:hAnsi="Times New Roman" w:eastAsia="黑体"/>
          <w:b w:val="0"/>
        </w:rPr>
        <w:t>十、其他重要事项的情况说明</w:t>
      </w:r>
      <w:bookmarkEnd w:id="38"/>
      <w:bookmarkEnd w:id="39"/>
    </w:p>
    <w:p>
      <w:pPr>
        <w:spacing w:line="600" w:lineRule="exact"/>
        <w:ind w:firstLine="643" w:firstLineChars="200"/>
        <w:outlineLvl w:val="2"/>
        <w:rPr>
          <w:rFonts w:eastAsia="楷体_GB2312" w:cs="楷体_GB2312"/>
          <w:b/>
          <w:sz w:val="32"/>
          <w:szCs w:val="32"/>
        </w:rPr>
      </w:pPr>
      <w:bookmarkStart w:id="40" w:name="_Toc15377222"/>
      <w:r>
        <w:rPr>
          <w:rFonts w:hint="eastAsia" w:eastAsia="楷体_GB2312" w:cs="楷体_GB2312"/>
          <w:b/>
          <w:sz w:val="32"/>
          <w:szCs w:val="32"/>
        </w:rPr>
        <w:t>（一）机关运行经费支出情况</w:t>
      </w:r>
      <w:bookmarkEnd w:id="40"/>
    </w:p>
    <w:p>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盐边县公安局交通警察大队</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63.46</w:t>
      </w:r>
      <w:r>
        <w:rPr>
          <w:rFonts w:hint="eastAsia" w:ascii="仿宋_GB2312" w:hAnsi="仿宋_GB2312" w:eastAsia="仿宋_GB2312" w:cs="仿宋_GB2312"/>
          <w:sz w:val="32"/>
          <w:szCs w:val="32"/>
        </w:rPr>
        <w:t>万</w:t>
      </w:r>
      <w:r>
        <w:rPr>
          <w:rFonts w:hint="eastAsia" w:eastAsia="仿宋_GB2312" w:cs="仿宋_GB2312"/>
          <w:sz w:val="32"/>
          <w:szCs w:val="32"/>
        </w:rPr>
        <w:t>元，比2023年度减少</w:t>
      </w:r>
      <w:r>
        <w:rPr>
          <w:rFonts w:hint="eastAsia" w:eastAsia="仿宋_GB2312" w:cs="仿宋_GB2312"/>
          <w:sz w:val="32"/>
          <w:szCs w:val="32"/>
          <w:lang w:val="en-US" w:eastAsia="zh-CN"/>
        </w:rPr>
        <w:t>0.28</w:t>
      </w:r>
      <w:r>
        <w:rPr>
          <w:rFonts w:hint="eastAsia" w:eastAsia="仿宋_GB2312" w:cs="仿宋_GB2312"/>
          <w:sz w:val="32"/>
          <w:szCs w:val="32"/>
        </w:rPr>
        <w:t>万元，下降</w:t>
      </w:r>
      <w:r>
        <w:rPr>
          <w:rFonts w:hint="eastAsia" w:eastAsia="仿宋_GB2312" w:cs="仿宋_GB2312"/>
          <w:sz w:val="32"/>
          <w:szCs w:val="32"/>
          <w:lang w:val="en-US" w:eastAsia="zh-CN"/>
        </w:rPr>
        <w:t>0.44</w:t>
      </w:r>
      <w:r>
        <w:rPr>
          <w:rFonts w:hint="eastAsia" w:eastAsia="仿宋_GB2312" w:cs="仿宋_GB2312"/>
          <w:sz w:val="32"/>
          <w:szCs w:val="32"/>
        </w:rPr>
        <w:t>%。主要原因是</w:t>
      </w:r>
      <w:r>
        <w:rPr>
          <w:rFonts w:hint="eastAsia" w:eastAsia="仿宋_GB2312" w:cs="仿宋_GB2312"/>
          <w:sz w:val="32"/>
          <w:szCs w:val="32"/>
          <w:lang w:eastAsia="zh-CN"/>
        </w:rPr>
        <w:t>本年度人员减少一人。</w:t>
      </w:r>
    </w:p>
    <w:p>
      <w:pPr>
        <w:spacing w:line="600" w:lineRule="exact"/>
        <w:ind w:firstLine="643" w:firstLineChars="200"/>
        <w:outlineLvl w:val="2"/>
        <w:rPr>
          <w:rFonts w:eastAsia="楷体_GB2312" w:cs="楷体_GB2312"/>
          <w:b/>
          <w:sz w:val="32"/>
          <w:szCs w:val="32"/>
        </w:rPr>
      </w:pPr>
      <w:bookmarkStart w:id="41" w:name="_Toc15377223"/>
      <w:r>
        <w:rPr>
          <w:rFonts w:hint="eastAsia" w:eastAsia="楷体_GB2312" w:cs="楷体_GB2312"/>
          <w:b/>
          <w:sz w:val="32"/>
          <w:szCs w:val="32"/>
        </w:rPr>
        <w:t>（二）政府采购支出情况</w:t>
      </w:r>
      <w:bookmarkEnd w:id="41"/>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盐边县公安局交通警察大队</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spacing w:line="600" w:lineRule="exact"/>
        <w:ind w:firstLine="643" w:firstLineChars="200"/>
        <w:outlineLvl w:val="2"/>
        <w:rPr>
          <w:rFonts w:eastAsia="楷体_GB2312" w:cs="楷体_GB2312"/>
          <w:b/>
          <w:sz w:val="32"/>
          <w:szCs w:val="32"/>
        </w:rPr>
      </w:pPr>
      <w:bookmarkStart w:id="42" w:name="_Toc15377224"/>
      <w:r>
        <w:rPr>
          <w:rFonts w:hint="eastAsia" w:eastAsia="楷体_GB2312" w:cs="楷体_GB2312"/>
          <w:b/>
          <w:sz w:val="32"/>
          <w:szCs w:val="32"/>
        </w:rPr>
        <w:t>（三）国有资产占有使用情况</w:t>
      </w:r>
      <w:bookmarkEnd w:id="42"/>
    </w:p>
    <w:p>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w:t>
      </w:r>
      <w:r>
        <w:rPr>
          <w:rFonts w:hint="eastAsia" w:ascii="仿宋_GB2312" w:hAnsi="仿宋_GB2312" w:eastAsia="仿宋_GB2312" w:cs="仿宋_GB2312"/>
          <w:sz w:val="32"/>
          <w:szCs w:val="32"/>
          <w:lang w:eastAsia="zh-CN"/>
        </w:rPr>
        <w:t>盐边县公安局交通警察大队车辆</w:t>
      </w:r>
      <w:r>
        <w:rPr>
          <w:rFonts w:hint="eastAsia" w:ascii="仿宋_GB2312" w:hAnsi="仿宋_GB2312" w:eastAsia="仿宋_GB2312" w:cs="仿宋_GB2312"/>
          <w:sz w:val="32"/>
          <w:szCs w:val="32"/>
          <w:lang w:val="en-US" w:eastAsia="zh-CN"/>
        </w:rPr>
        <w:t>0辆，车辆资产均在公安列支</w:t>
      </w:r>
      <w:r>
        <w:rPr>
          <w:rFonts w:hint="eastAsia" w:eastAsia="仿宋_GB2312" w:cs="仿宋_GB2312"/>
          <w:sz w:val="32"/>
          <w:szCs w:val="32"/>
        </w:rPr>
        <w:t>。</w:t>
      </w:r>
    </w:p>
    <w:p>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pPr>
        <w:spacing w:line="600" w:lineRule="exact"/>
        <w:ind w:firstLine="640"/>
        <w:rPr>
          <w:rFonts w:eastAsia="仿宋_GB2312" w:cs="仿宋_GB2312"/>
          <w:sz w:val="32"/>
          <w:szCs w:val="32"/>
        </w:rPr>
      </w:pPr>
      <w:r>
        <w:rPr>
          <w:rFonts w:hint="eastAsia" w:eastAsia="仿宋_GB2312" w:cs="仿宋_GB2312"/>
          <w:sz w:val="32"/>
          <w:szCs w:val="32"/>
        </w:rPr>
        <w:t>根据预算绩效管理要求，</w:t>
      </w:r>
      <w:r>
        <w:rPr>
          <w:rFonts w:hint="eastAsia" w:ascii="仿宋_GB2312" w:hAnsi="仿宋_GB2312" w:eastAsia="仿宋_GB2312" w:cs="仿宋_GB2312"/>
          <w:sz w:val="32"/>
          <w:szCs w:val="32"/>
          <w:lang w:eastAsia="zh-CN"/>
        </w:rPr>
        <w:t>盐边县公安局交通警察大队</w:t>
      </w:r>
      <w:r>
        <w:rPr>
          <w:rFonts w:hint="eastAsia" w:eastAsia="仿宋_GB2312" w:cs="仿宋_GB2312"/>
          <w:sz w:val="32"/>
          <w:szCs w:val="32"/>
        </w:rPr>
        <w:t>在2024年度</w:t>
      </w:r>
      <w:r>
        <w:rPr>
          <w:rFonts w:hint="eastAsia" w:eastAsia="仿宋_GB2312" w:cs="仿宋_GB2312"/>
          <w:sz w:val="32"/>
          <w:szCs w:val="32"/>
          <w:lang w:eastAsia="zh-CN"/>
        </w:rPr>
        <w:t>无项目</w:t>
      </w:r>
      <w:r>
        <w:rPr>
          <w:rFonts w:hint="eastAsia"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rPr>
        <w:t>组织对2024年度一般公共预算、政府性基金预算、国有资本经营预算、社会保险基金预算以及资本资产、债券资金等全面开展绩效自评，形成</w:t>
      </w:r>
      <w:r>
        <w:rPr>
          <w:rFonts w:hint="eastAsia" w:eastAsia="仿宋_GB2312" w:cs="仿宋_GB2312"/>
          <w:sz w:val="32"/>
          <w:szCs w:val="32"/>
          <w:lang w:eastAsia="zh-CN"/>
        </w:rPr>
        <w:t>盐边县公安局交通警察大队</w:t>
      </w:r>
      <w:r>
        <w:rPr>
          <w:rFonts w:hint="eastAsia" w:eastAsia="仿宋_GB2312" w:cs="仿宋_GB2312"/>
          <w:sz w:val="32"/>
          <w:szCs w:val="32"/>
        </w:rPr>
        <w:t>部门整体（含部门预算项目）绩效自评报告其中，</w:t>
      </w:r>
      <w:r>
        <w:rPr>
          <w:rFonts w:hint="eastAsia" w:eastAsia="仿宋_GB2312" w:cs="仿宋_GB2312"/>
          <w:sz w:val="32"/>
          <w:szCs w:val="32"/>
          <w:lang w:eastAsia="zh-CN"/>
        </w:rPr>
        <w:t>盐边县公安局交通警察大队</w:t>
      </w:r>
      <w:r>
        <w:rPr>
          <w:rFonts w:hint="eastAsia" w:eastAsia="仿宋_GB2312" w:cs="仿宋_GB2312"/>
          <w:sz w:val="32"/>
          <w:szCs w:val="32"/>
        </w:rPr>
        <w:t>部门整体（含部门预算项目）绩效自评得分为</w:t>
      </w:r>
      <w:r>
        <w:rPr>
          <w:rFonts w:hint="eastAsia" w:eastAsia="仿宋_GB2312" w:cs="仿宋_GB2312"/>
          <w:sz w:val="32"/>
          <w:szCs w:val="32"/>
          <w:lang w:val="en-US" w:eastAsia="zh-CN"/>
        </w:rPr>
        <w:t>92</w:t>
      </w:r>
      <w:r>
        <w:rPr>
          <w:rFonts w:hint="eastAsia" w:eastAsia="仿宋_GB2312" w:cs="仿宋_GB2312"/>
          <w:sz w:val="32"/>
          <w:szCs w:val="32"/>
        </w:rPr>
        <w:t>分，绩效自评综述</w:t>
      </w:r>
      <w:r>
        <w:rPr>
          <w:rFonts w:hint="eastAsia" w:eastAsia="仿宋_GB2312" w:cs="仿宋_GB2312"/>
          <w:sz w:val="32"/>
          <w:szCs w:val="32"/>
          <w:lang w:eastAsia="zh-CN"/>
        </w:rPr>
        <w:t>良好。</w:t>
      </w:r>
    </w:p>
    <w:p>
      <w:pPr>
        <w:spacing w:line="600" w:lineRule="exact"/>
        <w:ind w:firstLine="640"/>
        <w:rPr>
          <w:rFonts w:eastAsia="仿宋_GB2312" w:cs="仿宋_GB2312"/>
          <w:sz w:val="32"/>
          <w:szCs w:val="32"/>
        </w:rPr>
      </w:pPr>
    </w:p>
    <w:p>
      <w:pPr>
        <w:pStyle w:val="13"/>
      </w:pPr>
    </w:p>
    <w:p>
      <w:pPr>
        <w:pStyle w:val="7"/>
        <w:ind w:left="420"/>
      </w:pPr>
    </w:p>
    <w:p>
      <w:pPr>
        <w:pStyle w:val="7"/>
        <w:ind w:left="420"/>
      </w:pPr>
    </w:p>
    <w:p>
      <w:pPr>
        <w:pStyle w:val="7"/>
        <w:ind w:left="420"/>
      </w:pPr>
    </w:p>
    <w:p>
      <w:pPr>
        <w:pStyle w:val="7"/>
        <w:ind w:left="420"/>
      </w:pPr>
    </w:p>
    <w:p>
      <w:pPr>
        <w:pStyle w:val="7"/>
        <w:ind w:left="420"/>
      </w:pPr>
    </w:p>
    <w:p>
      <w:pPr>
        <w:spacing w:line="600" w:lineRule="exact"/>
        <w:jc w:val="center"/>
        <w:outlineLvl w:val="0"/>
        <w:rPr>
          <w:rFonts w:hint="eastAsia" w:eastAsia="黑体"/>
          <w:sz w:val="44"/>
          <w:szCs w:val="44"/>
        </w:rPr>
      </w:pPr>
      <w:bookmarkStart w:id="43" w:name="_Toc15377225"/>
      <w:bookmarkStart w:id="44" w:name="_Toc15396613"/>
    </w:p>
    <w:p>
      <w:pPr>
        <w:spacing w:line="600" w:lineRule="exact"/>
        <w:jc w:val="center"/>
        <w:outlineLvl w:val="0"/>
        <w:rPr>
          <w:rFonts w:hint="eastAsia" w:eastAsia="黑体"/>
          <w:sz w:val="44"/>
          <w:szCs w:val="44"/>
        </w:rPr>
      </w:pPr>
    </w:p>
    <w:p>
      <w:pPr>
        <w:spacing w:line="600" w:lineRule="exact"/>
        <w:jc w:val="center"/>
        <w:outlineLvl w:val="0"/>
        <w:rPr>
          <w:rFonts w:eastAsia="黑体"/>
          <w:sz w:val="44"/>
          <w:szCs w:val="44"/>
        </w:rPr>
      </w:pPr>
      <w:r>
        <w:rPr>
          <w:rFonts w:hint="eastAsia" w:eastAsia="黑体"/>
          <w:sz w:val="44"/>
          <w:szCs w:val="44"/>
        </w:rPr>
        <w:t>第三部分  名词解释</w:t>
      </w:r>
      <w:bookmarkEnd w:id="43"/>
      <w:bookmarkEnd w:id="44"/>
    </w:p>
    <w:p>
      <w:pPr>
        <w:spacing w:line="600" w:lineRule="exact"/>
        <w:jc w:val="left"/>
        <w:rPr>
          <w:b/>
          <w:sz w:val="44"/>
          <w:szCs w:val="44"/>
        </w:rPr>
      </w:pPr>
    </w:p>
    <w:p>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pPr>
        <w:spacing w:line="600" w:lineRule="exact"/>
        <w:ind w:firstLine="640"/>
        <w:rPr>
          <w:rFonts w:eastAsia="仿宋_GB2312" w:cs="仿宋_GB2312"/>
          <w:sz w:val="32"/>
          <w:szCs w:val="32"/>
        </w:rPr>
      </w:pPr>
      <w:r>
        <w:rPr>
          <w:rFonts w:hint="eastAsia" w:eastAsia="仿宋_GB2312" w:cs="仿宋_GB2312"/>
          <w:sz w:val="32"/>
          <w:szCs w:val="32"/>
        </w:rPr>
        <w:t>2.事业收入：指事业单位开展专业业务活动及辅助活动取得的收入。</w:t>
      </w:r>
    </w:p>
    <w:p>
      <w:pPr>
        <w:spacing w:line="600" w:lineRule="exact"/>
        <w:ind w:firstLine="640"/>
        <w:rPr>
          <w:rFonts w:hint="eastAsia" w:eastAsia="仿宋_GB2312" w:cs="仿宋_GB2312"/>
          <w:sz w:val="32"/>
          <w:szCs w:val="32"/>
        </w:rPr>
      </w:pPr>
      <w:r>
        <w:rPr>
          <w:rFonts w:hint="eastAsia" w:eastAsia="仿宋_GB2312" w:cs="仿宋_GB2312"/>
          <w:sz w:val="32"/>
          <w:szCs w:val="32"/>
        </w:rPr>
        <w:t>3.经营收入：指事业单位在专业业务活动及其辅助活动之外开展非独立核算经营活动取得的收入。</w:t>
      </w:r>
    </w:p>
    <w:p>
      <w:pPr>
        <w:spacing w:line="600" w:lineRule="exact"/>
        <w:ind w:firstLine="640"/>
        <w:rPr>
          <w:rFonts w:eastAsia="仿宋_GB2312" w:cs="仿宋_GB2312"/>
          <w:sz w:val="32"/>
          <w:szCs w:val="32"/>
        </w:rPr>
      </w:pPr>
      <w:r>
        <w:rPr>
          <w:rFonts w:hint="eastAsia" w:eastAsia="仿宋_GB2312" w:cs="仿宋_GB2312"/>
          <w:sz w:val="32"/>
          <w:szCs w:val="32"/>
        </w:rPr>
        <w:t>4.其他收入：指单位取得的除上述收入以外的各项收入。</w:t>
      </w:r>
    </w:p>
    <w:p>
      <w:pPr>
        <w:spacing w:line="600" w:lineRule="exact"/>
        <w:ind w:firstLine="640"/>
        <w:rPr>
          <w:rFonts w:eastAsia="仿宋_GB2312" w:cs="仿宋_GB2312"/>
          <w:sz w:val="32"/>
          <w:szCs w:val="32"/>
        </w:rPr>
      </w:pPr>
      <w:r>
        <w:rPr>
          <w:rFonts w:hint="eastAsia" w:eastAsia="仿宋_GB2312" w:cs="仿宋_GB2312"/>
          <w:sz w:val="32"/>
          <w:szCs w:val="32"/>
        </w:rPr>
        <w:t xml:space="preserve">5.使用非财政拨款结余（含专用结余）：指事业单位使用以前年度积累的非财政拨款结余弥补当年收支差额的金额。 </w:t>
      </w:r>
    </w:p>
    <w:p>
      <w:pPr>
        <w:spacing w:line="600" w:lineRule="exact"/>
        <w:ind w:firstLine="640"/>
        <w:rPr>
          <w:rFonts w:eastAsia="仿宋_GB2312" w:cs="仿宋_GB2312"/>
          <w:sz w:val="32"/>
          <w:szCs w:val="32"/>
        </w:rPr>
      </w:pPr>
      <w:r>
        <w:rPr>
          <w:rFonts w:hint="eastAsia" w:eastAsia="仿宋_GB2312" w:cs="仿宋_GB2312"/>
          <w:sz w:val="32"/>
          <w:szCs w:val="32"/>
        </w:rPr>
        <w:t xml:space="preserve">6.年初结转和结余：指以前年度尚未完成、结转到本年按有关规定继续使用的资金。 </w:t>
      </w:r>
    </w:p>
    <w:p>
      <w:pPr>
        <w:spacing w:line="600" w:lineRule="exact"/>
        <w:ind w:firstLine="640"/>
        <w:rPr>
          <w:rFonts w:eastAsia="仿宋_GB2312" w:cs="仿宋_GB2312"/>
          <w:sz w:val="32"/>
          <w:szCs w:val="32"/>
        </w:rPr>
      </w:pPr>
      <w:r>
        <w:rPr>
          <w:rFonts w:hint="eastAsia" w:eastAsia="仿宋_GB2312" w:cs="仿宋_GB2312"/>
          <w:sz w:val="32"/>
          <w:szCs w:val="32"/>
        </w:rPr>
        <w:t>7.结余分配：指事业单位按照会计制度规定缴纳的所得税、提取的专用结余以及转入非财政拨款结余的金额等。</w:t>
      </w:r>
    </w:p>
    <w:p>
      <w:pPr>
        <w:spacing w:line="600" w:lineRule="exact"/>
        <w:ind w:firstLine="640"/>
        <w:rPr>
          <w:rFonts w:eastAsia="仿宋_GB2312" w:cs="仿宋_GB2312"/>
          <w:sz w:val="32"/>
          <w:szCs w:val="32"/>
        </w:rPr>
      </w:pPr>
      <w:r>
        <w:rPr>
          <w:rFonts w:hint="eastAsia" w:eastAsia="仿宋_GB2312" w:cs="仿宋_GB2312"/>
          <w:sz w:val="32"/>
          <w:szCs w:val="32"/>
        </w:rPr>
        <w:t>8.年末结转和结余：指单位按有关规定结转到下年或以后年度继续使用的资金。</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公共安全支出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公安</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反映行政单位（包括实行公务员管理的事业单位）的基本支出</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行政单位离退休</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反映行政单位（包括实行公务员管理的事业单位）开支的离退休经费</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反映机关事业单位实施养老保险制度由单位缴纳的基本养老保险费支出</w:t>
      </w:r>
      <w:r>
        <w:rPr>
          <w:rFonts w:hint="eastAsia" w:ascii="仿宋_GB2312" w:hAnsi="仿宋_GB2312" w:eastAsia="仿宋_GB2312" w:cs="仿宋_GB2312"/>
          <w:sz w:val="32"/>
          <w:szCs w:val="32"/>
        </w:rPr>
        <w:t>。</w:t>
      </w:r>
    </w:p>
    <w:p>
      <w:pPr>
        <w:ind w:firstLine="640" w:firstLineChars="200"/>
        <w:rPr>
          <w:rFonts w:hint="eastAsia"/>
        </w:rPr>
      </w:pP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行政事业单位养老支出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机关事业单位职业年金缴费支出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反映机关事业单位实施养老保险制度由单位实际缴纳的职业年金（含职业年金补记支出）</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其他行政事业单位医疗支出</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反映除上诉项目以外的其他用于行政事业单位医疗方面的支出</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行政单位医疗</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反映财政部门安排的行政单位（包括实行公务员管理的事业单位，下同）基本医疗保险缴费经费，未参加医疗保险的行政单位的公费医疗经费，按国家规定享受离休人员、红军老战士待遇人员的医疗经费</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卫生健康支出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行政事业单位医疗</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公务员医疗补助</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反映财政部门安排的公务员医疗补助缴费</w:t>
      </w:r>
      <w:r>
        <w:rPr>
          <w:rFonts w:hint="eastAsia" w:ascii="仿宋_GB2312" w:hAnsi="仿宋_GB2312" w:eastAsia="仿宋_GB2312" w:cs="仿宋_GB2312"/>
          <w:sz w:val="32"/>
          <w:szCs w:val="32"/>
        </w:rPr>
        <w:t>。</w:t>
      </w:r>
    </w:p>
    <w:p>
      <w:pPr>
        <w:spacing w:line="600"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反映行政事业单位按人力资源和社会保障部、财政部规定的基本工资和津贴补贴以及规定比例为职工缴纳的住房公积金</w:t>
      </w:r>
      <w:r>
        <w:rPr>
          <w:rFonts w:hint="eastAsia" w:ascii="仿宋_GB2312" w:hAnsi="仿宋_GB2312" w:eastAsia="仿宋_GB2312" w:cs="仿宋_GB2312"/>
          <w:sz w:val="32"/>
          <w:szCs w:val="32"/>
        </w:rPr>
        <w:t>。</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7.基本支出：指为保障机构正常运转、完成日常工作任务而发生的人员支出和公用支出。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 xml:space="preserve">8.项目支出：指在基本支出之外为完成特定行政任务和事业发展目标所发生的支出。 </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1</w:t>
      </w:r>
      <w:r>
        <w:rPr>
          <w:rFonts w:hint="eastAsia" w:eastAsia="仿宋_GB2312" w:cs="仿宋_GB2312"/>
          <w:sz w:val="32"/>
          <w:szCs w:val="32"/>
        </w:rPr>
        <w:t>9.经营支出：指事业单位在专业业务活动及其辅助活动之外开展非独立核算经营活动发生的支出。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0.“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eastAsia="仿宋_GB2312" w:cs="仿宋_GB2312"/>
          <w:sz w:val="32"/>
          <w:szCs w:val="32"/>
          <w:lang w:eastAsia="zh-CN"/>
        </w:rPr>
        <w:t>、牌照费</w:t>
      </w:r>
      <w:r>
        <w:rPr>
          <w:rFonts w:hint="eastAsia" w:eastAsia="仿宋_GB2312" w:cs="仿宋_GB2312"/>
          <w:sz w:val="32"/>
          <w:szCs w:val="32"/>
        </w:rPr>
        <w:t>）及</w:t>
      </w:r>
      <w:r>
        <w:rPr>
          <w:rFonts w:hint="eastAsia" w:eastAsia="仿宋_GB2312" w:cs="仿宋_GB2312"/>
          <w:sz w:val="32"/>
          <w:szCs w:val="32"/>
          <w:lang w:eastAsia="zh-CN"/>
        </w:rPr>
        <w:t>单位按规定保留的公务用车</w:t>
      </w:r>
      <w:r>
        <w:rPr>
          <w:rFonts w:hint="eastAsia" w:eastAsia="仿宋_GB2312" w:cs="仿宋_GB2312"/>
          <w:sz w:val="32"/>
          <w:szCs w:val="32"/>
        </w:rPr>
        <w:t>燃料费、</w:t>
      </w:r>
      <w:r>
        <w:rPr>
          <w:rFonts w:hint="eastAsia" w:eastAsia="仿宋_GB2312" w:cs="仿宋_GB2312"/>
          <w:sz w:val="32"/>
          <w:szCs w:val="32"/>
          <w:lang w:eastAsia="zh-CN"/>
        </w:rPr>
        <w:t>新能源汽车充电费、</w:t>
      </w:r>
      <w:r>
        <w:rPr>
          <w:rFonts w:hint="eastAsia" w:eastAsia="仿宋_GB2312" w:cs="仿宋_GB2312"/>
          <w:sz w:val="32"/>
          <w:szCs w:val="32"/>
        </w:rPr>
        <w:t>维修费、过路过桥费、保险费</w:t>
      </w:r>
      <w:r>
        <w:rPr>
          <w:rFonts w:hint="eastAsia" w:eastAsia="仿宋_GB2312" w:cs="仿宋_GB2312"/>
          <w:sz w:val="32"/>
          <w:szCs w:val="32"/>
          <w:lang w:eastAsia="zh-CN"/>
        </w:rPr>
        <w:t>、安全奖励费用</w:t>
      </w:r>
      <w:r>
        <w:rPr>
          <w:rFonts w:hint="eastAsia" w:eastAsia="仿宋_GB2312" w:cs="仿宋_GB2312"/>
          <w:sz w:val="32"/>
          <w:szCs w:val="32"/>
        </w:rPr>
        <w:t>等支出；公务接待费反映单位按规定开支的各类公务接待（含外宾接待）支出。</w:t>
      </w:r>
    </w:p>
    <w:p>
      <w:pPr>
        <w:spacing w:line="600" w:lineRule="exact"/>
        <w:ind w:firstLine="640"/>
        <w:rPr>
          <w:rFonts w:eastAsia="仿宋_GB2312" w:cs="仿宋_GB2312"/>
          <w:sz w:val="32"/>
          <w:szCs w:val="32"/>
        </w:rPr>
      </w:pPr>
      <w:r>
        <w:rPr>
          <w:rFonts w:hint="eastAsia" w:eastAsia="仿宋_GB2312" w:cs="仿宋_GB2312"/>
          <w:sz w:val="32"/>
          <w:szCs w:val="32"/>
          <w:lang w:val="en-US" w:eastAsia="zh-CN"/>
        </w:rPr>
        <w:t>2</w:t>
      </w:r>
      <w:r>
        <w:rPr>
          <w:rFonts w:hint="eastAsia" w:eastAsia="仿宋_GB2312" w:cs="仿宋_GB2312"/>
          <w:sz w:val="32"/>
          <w:szCs w:val="32"/>
        </w:rPr>
        <w:t>1.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ind w:firstLine="640"/>
        <w:rPr>
          <w:rFonts w:hint="eastAsia" w:eastAsia="仿宋_GB2312" w:cs="仿宋_GB2312"/>
          <w:b/>
          <w:bCs/>
          <w:sz w:val="32"/>
          <w:szCs w:val="32"/>
          <w:lang w:eastAsia="zh-CN"/>
        </w:rPr>
      </w:pPr>
      <w:r>
        <w:rPr>
          <w:rFonts w:hint="eastAsia" w:eastAsia="仿宋_GB2312" w:cs="仿宋_GB2312"/>
          <w:sz w:val="32"/>
          <w:szCs w:val="32"/>
          <w:lang w:val="en-US" w:eastAsia="zh-CN"/>
        </w:rPr>
        <w:t xml:space="preserve"> </w:t>
      </w:r>
    </w:p>
    <w:p>
      <w:pPr>
        <w:spacing w:line="600" w:lineRule="exact"/>
        <w:jc w:val="center"/>
        <w:rPr>
          <w:rStyle w:val="28"/>
          <w:rFonts w:eastAsia="黑体"/>
          <w:b w:val="0"/>
        </w:rPr>
      </w:pPr>
      <w:bookmarkStart w:id="45" w:name="_Toc15377226"/>
      <w:r>
        <w:rPr>
          <w:rFonts w:hint="eastAsia" w:eastAsia="仿宋_GB2312" w:cs="仿宋_GB2312"/>
          <w:sz w:val="32"/>
          <w:szCs w:val="32"/>
        </w:rPr>
        <w:br w:type="page"/>
      </w:r>
      <w:bookmarkStart w:id="46" w:name="_Toc15396614"/>
      <w:r>
        <w:rPr>
          <w:rFonts w:hint="eastAsia" w:eastAsia="黑体"/>
          <w:sz w:val="44"/>
          <w:szCs w:val="44"/>
        </w:rPr>
        <w:t>第四部分  附件</w:t>
      </w:r>
      <w:bookmarkEnd w:id="46"/>
    </w:p>
    <w:p>
      <w:pPr>
        <w:spacing w:line="572" w:lineRule="exact"/>
        <w:jc w:val="left"/>
        <w:outlineLvl w:val="0"/>
        <w:rPr>
          <w:rFonts w:eastAsia="黑体" w:cs="黑体"/>
          <w:sz w:val="32"/>
          <w:szCs w:val="32"/>
        </w:rPr>
      </w:pPr>
    </w:p>
    <w:p>
      <w:pPr>
        <w:widowControl/>
        <w:spacing w:line="578" w:lineRule="exact"/>
        <w:contextualSpacing/>
        <w:jc w:val="center"/>
        <w:rPr>
          <w:rFonts w:hint="eastAsia" w:eastAsia="黑体"/>
          <w:lang w:eastAsia="zh-CN"/>
        </w:rPr>
      </w:pPr>
      <w:r>
        <w:rPr>
          <w:rFonts w:hint="eastAsia" w:eastAsia="黑体" w:cs="黑体"/>
          <w:sz w:val="32"/>
          <w:szCs w:val="32"/>
        </w:rPr>
        <w:t>部门预算项目支出绩效评价表（2024年度）</w:t>
      </w:r>
      <w:r>
        <w:rPr>
          <w:rFonts w:hint="eastAsia" w:eastAsia="黑体" w:cs="黑体"/>
          <w:sz w:val="32"/>
          <w:szCs w:val="32"/>
          <w:lang w:eastAsia="zh-CN"/>
        </w:rPr>
        <w:t>（此表无数据）</w:t>
      </w:r>
    </w:p>
    <w:p>
      <w:pPr>
        <w:spacing w:line="578" w:lineRule="exact"/>
        <w:ind w:firstLine="640"/>
        <w:rPr>
          <w:rFonts w:eastAsia="仿宋_GB2312" w:cs="仿宋_GB2312"/>
          <w:kern w:val="0"/>
          <w:sz w:val="32"/>
          <w:szCs w:val="32"/>
        </w:rPr>
      </w:pPr>
      <w:bookmarkStart w:id="47" w:name="_Toc15396618"/>
      <w:r>
        <w:rPr>
          <w:rFonts w:hint="eastAsia" w:eastAsia="仿宋_GB2312" w:cs="仿宋_GB2312"/>
          <w:kern w:val="0"/>
          <w:sz w:val="32"/>
          <w:szCs w:val="32"/>
        </w:rPr>
        <w:br w:type="page"/>
      </w:r>
    </w:p>
    <w:p>
      <w:pPr>
        <w:widowControl/>
        <w:jc w:val="center"/>
        <w:rPr>
          <w:rFonts w:eastAsia="仿宋"/>
        </w:rPr>
      </w:pPr>
      <w:r>
        <w:rPr>
          <w:rFonts w:hint="eastAsia" w:eastAsia="黑体"/>
          <w:sz w:val="44"/>
          <w:szCs w:val="44"/>
        </w:rPr>
        <w:t>第</w:t>
      </w:r>
      <w:r>
        <w:rPr>
          <w:rStyle w:val="28"/>
          <w:rFonts w:hint="eastAsia" w:eastAsia="黑体"/>
          <w:b w:val="0"/>
        </w:rPr>
        <w:t>五部分 附表</w:t>
      </w:r>
      <w:bookmarkEnd w:id="45"/>
      <w:bookmarkEnd w:id="47"/>
      <w:bookmarkStart w:id="48" w:name="_Toc15396619"/>
    </w:p>
    <w:p>
      <w:pPr>
        <w:pStyle w:val="14"/>
        <w:adjustRightInd w:val="0"/>
        <w:snapToGrid w:val="0"/>
        <w:spacing w:line="560" w:lineRule="exact"/>
        <w:jc w:val="left"/>
        <w:rPr>
          <w:rFonts w:eastAsia="仿宋_GB2312" w:cs="仿宋_GB2312"/>
          <w:sz w:val="32"/>
          <w:szCs w:val="32"/>
        </w:rPr>
      </w:pPr>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48"/>
    </w:p>
    <w:p>
      <w:pPr>
        <w:pStyle w:val="14"/>
        <w:adjustRightInd w:val="0"/>
        <w:snapToGrid w:val="0"/>
        <w:spacing w:line="560" w:lineRule="exact"/>
        <w:jc w:val="left"/>
        <w:rPr>
          <w:rFonts w:eastAsia="仿宋_GB2312" w:cs="仿宋_GB2312"/>
          <w:sz w:val="32"/>
          <w:szCs w:val="32"/>
        </w:rPr>
      </w:pPr>
      <w:bookmarkStart w:id="49" w:name="_Toc15396620"/>
      <w:r>
        <w:rPr>
          <w:rFonts w:hint="eastAsia" w:eastAsia="仿宋_GB2312" w:cs="仿宋_GB2312"/>
          <w:sz w:val="32"/>
          <w:szCs w:val="32"/>
        </w:rPr>
        <w:t>二、收入决算表</w:t>
      </w:r>
      <w:bookmarkEnd w:id="49"/>
    </w:p>
    <w:p>
      <w:pPr>
        <w:pStyle w:val="14"/>
        <w:adjustRightInd w:val="0"/>
        <w:snapToGrid w:val="0"/>
        <w:spacing w:line="560" w:lineRule="exact"/>
        <w:jc w:val="left"/>
        <w:rPr>
          <w:rFonts w:eastAsia="仿宋_GB2312" w:cs="仿宋_GB2312"/>
          <w:sz w:val="32"/>
          <w:szCs w:val="32"/>
        </w:rPr>
      </w:pPr>
      <w:bookmarkStart w:id="50" w:name="_Toc15396621"/>
      <w:r>
        <w:rPr>
          <w:rFonts w:hint="eastAsia" w:eastAsia="仿宋_GB2312" w:cs="仿宋_GB2312"/>
          <w:sz w:val="32"/>
          <w:szCs w:val="32"/>
        </w:rPr>
        <w:t>三、支出决算表</w:t>
      </w:r>
      <w:bookmarkEnd w:id="50"/>
    </w:p>
    <w:p>
      <w:pPr>
        <w:pStyle w:val="14"/>
        <w:adjustRightInd w:val="0"/>
        <w:snapToGrid w:val="0"/>
        <w:spacing w:line="560" w:lineRule="exact"/>
        <w:jc w:val="left"/>
        <w:rPr>
          <w:rFonts w:eastAsia="仿宋_GB2312" w:cs="仿宋_GB2312"/>
          <w:sz w:val="32"/>
          <w:szCs w:val="32"/>
        </w:rPr>
      </w:pPr>
      <w:bookmarkStart w:id="51" w:name="_Toc15396622"/>
      <w:r>
        <w:rPr>
          <w:rFonts w:hint="eastAsia" w:eastAsia="仿宋_GB2312" w:cs="仿宋_GB2312"/>
          <w:sz w:val="32"/>
          <w:szCs w:val="32"/>
        </w:rPr>
        <w:t>四、财政拨款收入支出决算总表</w:t>
      </w:r>
      <w:bookmarkEnd w:id="51"/>
    </w:p>
    <w:p>
      <w:pPr>
        <w:pStyle w:val="14"/>
        <w:adjustRightInd w:val="0"/>
        <w:snapToGrid w:val="0"/>
        <w:spacing w:line="560" w:lineRule="exact"/>
        <w:jc w:val="left"/>
        <w:rPr>
          <w:rFonts w:eastAsia="仿宋_GB2312" w:cs="仿宋_GB2312"/>
          <w:sz w:val="32"/>
          <w:szCs w:val="32"/>
        </w:rPr>
      </w:pPr>
      <w:bookmarkStart w:id="52" w:name="_Toc15396623"/>
      <w:r>
        <w:rPr>
          <w:rFonts w:hint="eastAsia" w:eastAsia="仿宋_GB2312" w:cs="仿宋_GB2312"/>
          <w:sz w:val="32"/>
          <w:szCs w:val="32"/>
        </w:rPr>
        <w:t>五、财政拨款支出决算明细表</w:t>
      </w:r>
      <w:bookmarkEnd w:id="52"/>
      <w:bookmarkStart w:id="53" w:name="_Toc15396624"/>
    </w:p>
    <w:p>
      <w:pPr>
        <w:pStyle w:val="14"/>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53"/>
    </w:p>
    <w:p>
      <w:pPr>
        <w:pStyle w:val="14"/>
        <w:adjustRightInd w:val="0"/>
        <w:snapToGrid w:val="0"/>
        <w:spacing w:line="560" w:lineRule="exact"/>
        <w:jc w:val="left"/>
        <w:rPr>
          <w:rFonts w:eastAsia="仿宋_GB2312" w:cs="仿宋_GB2312"/>
          <w:sz w:val="32"/>
          <w:szCs w:val="32"/>
        </w:rPr>
      </w:pPr>
      <w:bookmarkStart w:id="54" w:name="_Toc15396625"/>
      <w:r>
        <w:rPr>
          <w:rFonts w:hint="eastAsia" w:eastAsia="仿宋_GB2312" w:cs="仿宋_GB2312"/>
          <w:sz w:val="32"/>
          <w:szCs w:val="32"/>
        </w:rPr>
        <w:t>七、一般公共预算财政拨款支出决算明细表</w:t>
      </w:r>
      <w:bookmarkEnd w:id="54"/>
    </w:p>
    <w:p>
      <w:pPr>
        <w:pStyle w:val="14"/>
        <w:adjustRightInd w:val="0"/>
        <w:snapToGrid w:val="0"/>
        <w:spacing w:line="560" w:lineRule="exact"/>
        <w:jc w:val="left"/>
        <w:rPr>
          <w:rFonts w:eastAsia="仿宋_GB2312" w:cs="仿宋_GB2312"/>
          <w:sz w:val="32"/>
          <w:szCs w:val="32"/>
        </w:rPr>
      </w:pPr>
      <w:bookmarkStart w:id="55" w:name="_Toc15396626"/>
      <w:r>
        <w:rPr>
          <w:rFonts w:hint="eastAsia" w:eastAsia="仿宋_GB2312" w:cs="仿宋_GB2312"/>
          <w:sz w:val="32"/>
          <w:szCs w:val="32"/>
        </w:rPr>
        <w:t>八、一般公共预算财政拨款基本支出决算表</w:t>
      </w:r>
      <w:bookmarkEnd w:id="55"/>
    </w:p>
    <w:p>
      <w:pPr>
        <w:pStyle w:val="14"/>
        <w:adjustRightInd w:val="0"/>
        <w:snapToGrid w:val="0"/>
        <w:spacing w:line="560" w:lineRule="exact"/>
        <w:jc w:val="left"/>
        <w:rPr>
          <w:rFonts w:hint="eastAsia" w:eastAsia="仿宋_GB2312" w:cs="仿宋_GB2312"/>
          <w:sz w:val="32"/>
          <w:szCs w:val="32"/>
          <w:lang w:val="en-US" w:eastAsia="zh-CN"/>
        </w:rPr>
      </w:pPr>
      <w:bookmarkStart w:id="56" w:name="_Toc15396627"/>
      <w:r>
        <w:rPr>
          <w:rFonts w:hint="eastAsia" w:eastAsia="仿宋_GB2312" w:cs="仿宋_GB2312"/>
          <w:sz w:val="32"/>
          <w:szCs w:val="32"/>
        </w:rPr>
        <w:t>九、一般公共预算财政拨款项目支出决算表</w:t>
      </w:r>
      <w:bookmarkEnd w:id="56"/>
      <w:r>
        <w:rPr>
          <w:rFonts w:hint="eastAsia" w:eastAsia="仿宋_GB2312" w:cs="仿宋_GB2312"/>
          <w:sz w:val="32"/>
          <w:szCs w:val="32"/>
          <w:lang w:eastAsia="zh-CN"/>
        </w:rPr>
        <w:t>（此表无数据）</w:t>
      </w:r>
    </w:p>
    <w:p>
      <w:pPr>
        <w:pStyle w:val="14"/>
        <w:adjustRightInd w:val="0"/>
        <w:snapToGrid w:val="0"/>
        <w:spacing w:line="560" w:lineRule="exact"/>
        <w:jc w:val="left"/>
        <w:rPr>
          <w:rFonts w:eastAsia="仿宋_GB2312" w:cs="仿宋_GB2312"/>
          <w:sz w:val="32"/>
          <w:szCs w:val="32"/>
        </w:rPr>
      </w:pPr>
      <w:bookmarkStart w:id="57" w:name="_Toc15396628"/>
      <w:r>
        <w:rPr>
          <w:rFonts w:hint="eastAsia" w:eastAsia="仿宋_GB2312" w:cs="仿宋_GB2312"/>
          <w:sz w:val="32"/>
          <w:szCs w:val="32"/>
        </w:rPr>
        <w:t>十、</w:t>
      </w:r>
      <w:bookmarkEnd w:id="57"/>
      <w:r>
        <w:rPr>
          <w:rFonts w:hint="eastAsia" w:eastAsia="仿宋_GB2312" w:cs="仿宋_GB2312"/>
          <w:sz w:val="32"/>
          <w:szCs w:val="32"/>
        </w:rPr>
        <w:t>政府性基金预算财政拨款收入支出决算表</w:t>
      </w:r>
      <w:r>
        <w:rPr>
          <w:rFonts w:hint="eastAsia" w:eastAsia="仿宋_GB2312" w:cs="仿宋_GB2312"/>
          <w:sz w:val="32"/>
          <w:szCs w:val="32"/>
          <w:lang w:eastAsia="zh-CN"/>
        </w:rPr>
        <w:t>（此表无数据）</w:t>
      </w:r>
    </w:p>
    <w:p>
      <w:pPr>
        <w:pStyle w:val="14"/>
        <w:adjustRightInd w:val="0"/>
        <w:snapToGrid w:val="0"/>
        <w:spacing w:line="560" w:lineRule="exact"/>
        <w:jc w:val="left"/>
        <w:rPr>
          <w:rFonts w:eastAsia="仿宋_GB2312" w:cs="仿宋_GB2312"/>
          <w:sz w:val="32"/>
          <w:szCs w:val="32"/>
        </w:rPr>
      </w:pPr>
      <w:bookmarkStart w:id="58" w:name="_Toc15396629"/>
      <w:r>
        <w:rPr>
          <w:rFonts w:hint="eastAsia" w:eastAsia="仿宋_GB2312" w:cs="仿宋_GB2312"/>
          <w:sz w:val="32"/>
          <w:szCs w:val="32"/>
        </w:rPr>
        <w:t>十一、</w:t>
      </w:r>
      <w:bookmarkEnd w:id="58"/>
      <w:r>
        <w:rPr>
          <w:rFonts w:hint="eastAsia" w:eastAsia="仿宋_GB2312" w:cs="仿宋_GB2312"/>
          <w:sz w:val="32"/>
          <w:szCs w:val="32"/>
        </w:rPr>
        <w:t>国有资本经营预算财政拨款收入支出决算表</w:t>
      </w:r>
      <w:r>
        <w:rPr>
          <w:rFonts w:hint="eastAsia" w:eastAsia="仿宋_GB2312" w:cs="仿宋_GB2312"/>
          <w:sz w:val="32"/>
          <w:szCs w:val="32"/>
          <w:lang w:eastAsia="zh-CN"/>
        </w:rPr>
        <w:t>（此表无数据）</w:t>
      </w:r>
    </w:p>
    <w:p>
      <w:pPr>
        <w:pStyle w:val="14"/>
        <w:adjustRightInd w:val="0"/>
        <w:snapToGrid w:val="0"/>
        <w:spacing w:line="560" w:lineRule="exact"/>
        <w:jc w:val="left"/>
        <w:rPr>
          <w:rFonts w:eastAsia="仿宋_GB2312" w:cs="仿宋_GB2312"/>
          <w:sz w:val="32"/>
          <w:szCs w:val="32"/>
        </w:rPr>
      </w:pPr>
      <w:bookmarkStart w:id="59" w:name="_Toc15396630"/>
      <w:r>
        <w:rPr>
          <w:rFonts w:hint="eastAsia" w:eastAsia="仿宋_GB2312" w:cs="仿宋_GB2312"/>
          <w:sz w:val="32"/>
          <w:szCs w:val="32"/>
        </w:rPr>
        <w:t>十二、</w:t>
      </w:r>
      <w:bookmarkEnd w:id="59"/>
      <w:r>
        <w:rPr>
          <w:rFonts w:hint="eastAsia" w:eastAsia="仿宋_GB2312" w:cs="仿宋_GB2312"/>
          <w:sz w:val="32"/>
          <w:szCs w:val="32"/>
        </w:rPr>
        <w:t>国有资本经营预算财政拨款支出决算表</w:t>
      </w:r>
      <w:r>
        <w:rPr>
          <w:rFonts w:hint="eastAsia" w:eastAsia="仿宋_GB2312" w:cs="仿宋_GB2312"/>
          <w:sz w:val="32"/>
          <w:szCs w:val="32"/>
          <w:lang w:eastAsia="zh-CN"/>
        </w:rPr>
        <w:t>（此表无数据）</w:t>
      </w:r>
    </w:p>
    <w:p>
      <w:pPr>
        <w:pStyle w:val="14"/>
        <w:adjustRightInd w:val="0"/>
        <w:snapToGrid w:val="0"/>
        <w:spacing w:line="560" w:lineRule="exact"/>
        <w:jc w:val="left"/>
        <w:rPr>
          <w:rFonts w:eastAsia="仿宋_GB2312" w:cs="仿宋_GB2312"/>
          <w:sz w:val="32"/>
          <w:szCs w:val="32"/>
        </w:rPr>
      </w:pPr>
      <w:bookmarkStart w:id="60" w:name="_Toc15396631"/>
      <w:r>
        <w:rPr>
          <w:rFonts w:hint="eastAsia" w:eastAsia="仿宋_GB2312" w:cs="仿宋_GB2312"/>
          <w:sz w:val="32"/>
          <w:szCs w:val="32"/>
        </w:rPr>
        <w:t>十三、</w:t>
      </w:r>
      <w:bookmarkEnd w:id="60"/>
      <w:r>
        <w:rPr>
          <w:rFonts w:hint="eastAsia" w:eastAsia="仿宋_GB2312" w:cs="仿宋_GB2312"/>
          <w:sz w:val="32"/>
          <w:szCs w:val="32"/>
        </w:rPr>
        <w:t>财政拨款“三公”经费支出决算表</w:t>
      </w:r>
      <w:r>
        <w:rPr>
          <w:rFonts w:hint="eastAsia" w:eastAsia="仿宋_GB2312" w:cs="仿宋_GB2312"/>
          <w:sz w:val="32"/>
          <w:szCs w:val="32"/>
          <w:lang w:eastAsia="zh-CN"/>
        </w:rPr>
        <w:t>（此表无数据）</w:t>
      </w:r>
    </w:p>
    <w:p/>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27DDF"/>
    <w:multiLevelType w:val="singleLevel"/>
    <w:tmpl w:val="74F27DD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441E"/>
    <w:rsid w:val="000E6613"/>
    <w:rsid w:val="000E7119"/>
    <w:rsid w:val="00114E9B"/>
    <w:rsid w:val="00142216"/>
    <w:rsid w:val="00144D6A"/>
    <w:rsid w:val="0014729F"/>
    <w:rsid w:val="00157BAB"/>
    <w:rsid w:val="001654D1"/>
    <w:rsid w:val="00174518"/>
    <w:rsid w:val="0018106D"/>
    <w:rsid w:val="001877A7"/>
    <w:rsid w:val="00191536"/>
    <w:rsid w:val="00196687"/>
    <w:rsid w:val="001A43E3"/>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A77D0"/>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374F"/>
    <w:rsid w:val="004A711F"/>
    <w:rsid w:val="004B199D"/>
    <w:rsid w:val="004B4690"/>
    <w:rsid w:val="004E0A2D"/>
    <w:rsid w:val="004E206B"/>
    <w:rsid w:val="004E383C"/>
    <w:rsid w:val="004E6DF7"/>
    <w:rsid w:val="004F0FBD"/>
    <w:rsid w:val="00505A47"/>
    <w:rsid w:val="00512FDA"/>
    <w:rsid w:val="00520DA0"/>
    <w:rsid w:val="005664BB"/>
    <w:rsid w:val="00566FFA"/>
    <w:rsid w:val="0057481D"/>
    <w:rsid w:val="005817F3"/>
    <w:rsid w:val="0058486E"/>
    <w:rsid w:val="00585B33"/>
    <w:rsid w:val="0059014D"/>
    <w:rsid w:val="005B5C64"/>
    <w:rsid w:val="005C5337"/>
    <w:rsid w:val="005C6BD0"/>
    <w:rsid w:val="005D1C8B"/>
    <w:rsid w:val="005D468D"/>
    <w:rsid w:val="005D5CED"/>
    <w:rsid w:val="005F1A4C"/>
    <w:rsid w:val="00605688"/>
    <w:rsid w:val="006070AF"/>
    <w:rsid w:val="00607712"/>
    <w:rsid w:val="00607E6C"/>
    <w:rsid w:val="006101B1"/>
    <w:rsid w:val="00614E44"/>
    <w:rsid w:val="0062270A"/>
    <w:rsid w:val="00622830"/>
    <w:rsid w:val="00623DA0"/>
    <w:rsid w:val="00630AEF"/>
    <w:rsid w:val="006325F8"/>
    <w:rsid w:val="00633463"/>
    <w:rsid w:val="00634C9A"/>
    <w:rsid w:val="006440E4"/>
    <w:rsid w:val="0066343B"/>
    <w:rsid w:val="00664777"/>
    <w:rsid w:val="00672AB7"/>
    <w:rsid w:val="006748A4"/>
    <w:rsid w:val="00681A31"/>
    <w:rsid w:val="00683E73"/>
    <w:rsid w:val="006A0156"/>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65E4"/>
    <w:rsid w:val="00871F71"/>
    <w:rsid w:val="00872FD8"/>
    <w:rsid w:val="00885AF4"/>
    <w:rsid w:val="008939CD"/>
    <w:rsid w:val="008B768C"/>
    <w:rsid w:val="008C4DB1"/>
    <w:rsid w:val="008C4EAF"/>
    <w:rsid w:val="008C5176"/>
    <w:rsid w:val="008C7FD0"/>
    <w:rsid w:val="008E1DE7"/>
    <w:rsid w:val="008E707C"/>
    <w:rsid w:val="008F7702"/>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30BB"/>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1034"/>
    <w:rsid w:val="11772AA4"/>
    <w:rsid w:val="118107EC"/>
    <w:rsid w:val="12E24EE2"/>
    <w:rsid w:val="13D50BC4"/>
    <w:rsid w:val="14B17F78"/>
    <w:rsid w:val="165E0673"/>
    <w:rsid w:val="16B831D5"/>
    <w:rsid w:val="16BB723D"/>
    <w:rsid w:val="17E50567"/>
    <w:rsid w:val="186504BB"/>
    <w:rsid w:val="19A445FC"/>
    <w:rsid w:val="1BE8440E"/>
    <w:rsid w:val="1CC6347C"/>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5E4A93"/>
    <w:rsid w:val="65624AB8"/>
    <w:rsid w:val="65E66580"/>
    <w:rsid w:val="664B1D71"/>
    <w:rsid w:val="664B4E8E"/>
    <w:rsid w:val="67277B67"/>
    <w:rsid w:val="67AA3209"/>
    <w:rsid w:val="69586E7D"/>
    <w:rsid w:val="698D0931"/>
    <w:rsid w:val="6A7FE5F3"/>
    <w:rsid w:val="6B053271"/>
    <w:rsid w:val="6BDD78B3"/>
    <w:rsid w:val="6C4A05C8"/>
    <w:rsid w:val="6C5648C6"/>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210E5"/>
    <w:rsid w:val="778769C8"/>
    <w:rsid w:val="77A75DCA"/>
    <w:rsid w:val="77DC22F5"/>
    <w:rsid w:val="783E271A"/>
    <w:rsid w:val="78616DE9"/>
    <w:rsid w:val="78E875D7"/>
    <w:rsid w:val="79086DAD"/>
    <w:rsid w:val="79731F5E"/>
    <w:rsid w:val="79D7FD79"/>
    <w:rsid w:val="79EE5BA4"/>
    <w:rsid w:val="7A894339"/>
    <w:rsid w:val="7A910C28"/>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200"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7"/>
    <customShpInfo spid="_x0000_s1030"/>
    <customShpInfo spid="_x0000_s1031"/>
    <customShpInfo spid="_x0000_s1032"/>
    <customShpInfo spid="_x0000_s103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Pages>
  <Words>927</Words>
  <Characters>5290</Characters>
  <Lines>44</Lines>
  <Paragraphs>12</Paragraphs>
  <TotalTime>2</TotalTime>
  <ScaleCrop>false</ScaleCrop>
  <LinksUpToDate>false</LinksUpToDate>
  <CharactersWithSpaces>6205</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2025-10-10T03:06:00Z</cp:lastPrinted>
  <dcterms:modified xsi:type="dcterms:W3CDTF">2025-10-11T01:56:26Z</dcterms:modified>
  <dc:title>四川省***</dc:title>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04787F2533EB45DC91BCDE4AB213247F</vt:lpwstr>
  </property>
</Properties>
</file>