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A1FE6">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425"/>
      <w:bookmarkStart w:id="2" w:name="_Toc15396475"/>
      <w:bookmarkStart w:id="3" w:name="_Toc15378441"/>
      <w:bookmarkStart w:id="4" w:name="_Toc15377193"/>
      <w:bookmarkStart w:id="5" w:name="_Toc15306267"/>
    </w:p>
    <w:p w14:paraId="2D74C09F">
      <w:pPr>
        <w:pStyle w:val="5"/>
        <w:rPr>
          <w:rFonts w:hint="eastAsia" w:ascii="Times New Roman" w:hAnsi="Times New Roman" w:eastAsia="方正小标宋简体" w:cs="Times New Roman"/>
          <w:color w:val="auto"/>
          <w:kern w:val="2"/>
          <w:sz w:val="72"/>
          <w:szCs w:val="72"/>
          <w:highlight w:val="none"/>
          <w:lang w:val="en-US" w:eastAsia="zh-CN" w:bidi="ar-SA"/>
        </w:rPr>
      </w:pPr>
    </w:p>
    <w:p w14:paraId="009ED312">
      <w:pPr>
        <w:pStyle w:val="5"/>
        <w:rPr>
          <w:rFonts w:hint="eastAsia" w:ascii="Times New Roman" w:hAnsi="Times New Roman" w:eastAsia="方正小标宋简体" w:cs="Times New Roman"/>
          <w:color w:val="auto"/>
          <w:kern w:val="2"/>
          <w:sz w:val="72"/>
          <w:szCs w:val="72"/>
          <w:highlight w:val="none"/>
          <w:lang w:val="en-US" w:eastAsia="zh-CN" w:bidi="ar-SA"/>
        </w:rPr>
      </w:pPr>
    </w:p>
    <w:p w14:paraId="6257878F">
      <w:pPr>
        <w:pStyle w:val="5"/>
        <w:spacing w:before="93"/>
        <w:jc w:val="center"/>
        <w:rPr>
          <w:rFonts w:hint="eastAsia"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2024年度</w:t>
      </w:r>
    </w:p>
    <w:p w14:paraId="7F953716">
      <w:pPr>
        <w:pStyle w:val="5"/>
        <w:spacing w:before="93"/>
        <w:jc w:val="center"/>
        <w:rPr>
          <w:rFonts w:hint="eastAsia" w:ascii="Times New Roman" w:eastAsia="方正小标宋简体" w:cs="Times New Roman"/>
          <w:kern w:val="2"/>
          <w:sz w:val="72"/>
          <w:szCs w:val="72"/>
          <w:lang w:val="en-US" w:eastAsia="zh-CN"/>
        </w:rPr>
      </w:pPr>
      <w:r>
        <w:rPr>
          <w:rFonts w:hint="eastAsia" w:ascii="Times New Roman" w:eastAsia="方正小标宋简体" w:cs="Times New Roman"/>
          <w:kern w:val="2"/>
          <w:sz w:val="72"/>
          <w:szCs w:val="72"/>
          <w:lang w:val="en-US" w:eastAsia="zh-CN"/>
        </w:rPr>
        <w:t>中共盐边县委党校</w:t>
      </w:r>
    </w:p>
    <w:p w14:paraId="5317BD0B">
      <w:pPr>
        <w:pStyle w:val="5"/>
        <w:spacing w:before="93"/>
        <w:jc w:val="center"/>
        <w:rPr>
          <w:rFonts w:hint="eastAsia"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单位决算</w:t>
      </w:r>
    </w:p>
    <w:p w14:paraId="3CF58749">
      <w:pPr>
        <w:pStyle w:val="5"/>
        <w:spacing w:before="93"/>
        <w:jc w:val="center"/>
        <w:rPr>
          <w:rFonts w:ascii="Times New Roman" w:hAnsi="Times New Roma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Times New Roman" w:hAnsi="Times New Roman" w:eastAsia="方正小标宋简体" w:cs="Times New Roman"/>
          <w:kern w:val="2"/>
          <w:sz w:val="72"/>
          <w:szCs w:val="72"/>
          <w:lang w:val="en-US" w:eastAsia="zh-CN"/>
        </w:rPr>
        <w:t>公开编制说</w:t>
      </w:r>
      <w:r>
        <w:rPr>
          <w:rFonts w:hint="eastAsia" w:ascii="Times New Roman" w:eastAsia="方正小标宋简体" w:cs="Times New Roman"/>
          <w:kern w:val="2"/>
          <w:sz w:val="72"/>
          <w:szCs w:val="72"/>
          <w:lang w:val="en-US" w:eastAsia="zh-CN"/>
        </w:rPr>
        <w:t>明</w:t>
      </w:r>
      <w:bookmarkStart w:id="63" w:name="_GoBack"/>
      <w:bookmarkEnd w:id="63"/>
    </w:p>
    <w:bookmarkEnd w:id="0"/>
    <w:bookmarkEnd w:id="1"/>
    <w:bookmarkEnd w:id="2"/>
    <w:bookmarkEnd w:id="3"/>
    <w:bookmarkEnd w:id="4"/>
    <w:bookmarkEnd w:id="5"/>
    <w:p w14:paraId="562C99FA">
      <w:pPr>
        <w:widowControl/>
        <w:jc w:val="center"/>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目</w:t>
      </w:r>
      <w:r>
        <w:rPr>
          <w:rFonts w:hint="eastAsia" w:ascii="方正小标宋_GBK" w:hAnsi="方正小标宋_GBK" w:eastAsia="方正小标宋_GBK" w:cs="方正小标宋_GBK"/>
          <w:b/>
          <w:bCs/>
          <w:color w:val="auto"/>
          <w:sz w:val="44"/>
          <w:szCs w:val="44"/>
          <w:highlight w:val="none"/>
          <w:lang w:val="en-US" w:eastAsia="zh-CN"/>
        </w:rPr>
        <w:t xml:space="preserve">    </w:t>
      </w:r>
      <w:r>
        <w:rPr>
          <w:rFonts w:hint="eastAsia" w:ascii="方正小标宋_GBK" w:hAnsi="方正小标宋_GBK" w:eastAsia="方正小标宋_GBK" w:cs="方正小标宋_GBK"/>
          <w:b/>
          <w:bCs/>
          <w:color w:val="auto"/>
          <w:sz w:val="44"/>
          <w:szCs w:val="44"/>
          <w:highlight w:val="none"/>
        </w:rPr>
        <w:t>录</w:t>
      </w:r>
    </w:p>
    <w:p w14:paraId="0959DE4B">
      <w:pPr>
        <w:widowControl/>
        <w:jc w:val="center"/>
        <w:rPr>
          <w:rFonts w:ascii="Times New Roman" w:hAnsi="Times New Roman" w:eastAsia="黑体" w:cstheme="minorBidi"/>
          <w:color w:val="auto"/>
          <w:sz w:val="28"/>
          <w:szCs w:val="28"/>
          <w:highlight w:val="none"/>
        </w:rPr>
      </w:pPr>
    </w:p>
    <w:p w14:paraId="3F65E232">
      <w:pPr>
        <w:pStyle w:val="1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公开时间：20</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 xml:space="preserve"> 10 </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 xml:space="preserve"> 28 </w:t>
      </w:r>
      <w:r>
        <w:rPr>
          <w:rFonts w:hint="default" w:ascii="Times New Roman" w:hAnsi="Times New Roman" w:eastAsia="方正仿宋_GBK" w:cs="Times New Roman"/>
          <w:color w:val="auto"/>
          <w:sz w:val="32"/>
          <w:szCs w:val="32"/>
          <w:highlight w:val="none"/>
        </w:rPr>
        <w:t>日</w:t>
      </w:r>
    </w:p>
    <w:p w14:paraId="3EB05067">
      <w:pPr>
        <w:rPr>
          <w:rFonts w:hint="default" w:ascii="Times New Roman" w:hAnsi="Times New Roman" w:eastAsia="方正仿宋_GBK" w:cs="Times New Roman"/>
          <w:color w:val="auto"/>
          <w:sz w:val="32"/>
          <w:szCs w:val="32"/>
          <w:highlight w:val="none"/>
        </w:rPr>
      </w:pPr>
    </w:p>
    <w:p w14:paraId="03ABA82A">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rPr>
        <w:t>第一部分 部门概况</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p>
    <w:p w14:paraId="01DBE58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sz w:val="32"/>
          <w:szCs w:val="32"/>
          <w:highlight w:val="none"/>
          <w:lang w:eastAsia="zh-CN"/>
        </w:rPr>
        <w:t>部门职责</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p>
    <w:p w14:paraId="2C3B7A0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二、机构设置</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p>
    <w:p w14:paraId="500408A7">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第二部分</w:t>
      </w:r>
      <w:r>
        <w:rPr>
          <w:rFonts w:hint="default" w:ascii="方正黑体_GBK" w:hAnsi="方正黑体_GBK" w:eastAsia="方正黑体_GBK" w:cs="方正黑体_GBK"/>
          <w:color w:val="auto"/>
          <w:sz w:val="32"/>
          <w:szCs w:val="32"/>
          <w:highlight w:val="none"/>
          <w:lang w:val="en-US" w:eastAsia="zh-CN"/>
        </w:rPr>
        <w:t xml:space="preserve"> 2024年度</w:t>
      </w:r>
      <w:r>
        <w:rPr>
          <w:rFonts w:hint="default" w:ascii="方正黑体_GBK" w:hAnsi="方正黑体_GBK" w:eastAsia="方正黑体_GBK" w:cs="方正黑体_GBK"/>
          <w:color w:val="auto"/>
          <w:sz w:val="32"/>
          <w:szCs w:val="32"/>
          <w:highlight w:val="none"/>
        </w:rPr>
        <w:t>部门决算情况说明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2</w:t>
      </w:r>
    </w:p>
    <w:p w14:paraId="4A2B9AF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一、收入支出决算总体情况说明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2</w:t>
      </w:r>
    </w:p>
    <w:p w14:paraId="071A42D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二、收入决算情况说明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2</w:t>
      </w:r>
    </w:p>
    <w:p w14:paraId="0FBC378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三、支出决算情况说明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3</w:t>
      </w:r>
    </w:p>
    <w:p w14:paraId="39DF29B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四、财政拨款收入支出决算总体情况说明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4</w:t>
      </w:r>
    </w:p>
    <w:p w14:paraId="54E8E40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五、一般公共预算财政拨款支出决算情况说明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7</w:t>
      </w:r>
    </w:p>
    <w:p w14:paraId="48A8775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六、一般公共预算财政拨款基本支出决算情况说明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7</w:t>
      </w:r>
    </w:p>
    <w:p w14:paraId="3C9D9C3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七、财政拨款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三公”经费支出决算情况说明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8</w:t>
      </w:r>
    </w:p>
    <w:p w14:paraId="1163D3D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八、政府性基金预算支出决算情况说明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10</w:t>
      </w:r>
    </w:p>
    <w:p w14:paraId="6C3095E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九、</w:t>
      </w:r>
      <w:r>
        <w:rPr>
          <w:rFonts w:hint="default" w:ascii="Times New Roman" w:hAnsi="Times New Roman" w:eastAsia="方正仿宋_GBK" w:cs="Times New Roman"/>
          <w:color w:val="auto"/>
          <w:sz w:val="32"/>
          <w:szCs w:val="32"/>
          <w:highlight w:val="none"/>
          <w:lang w:eastAsia="zh-CN"/>
        </w:rPr>
        <w:t>国</w:t>
      </w:r>
      <w:r>
        <w:rPr>
          <w:rFonts w:hint="default" w:ascii="Times New Roman" w:hAnsi="Times New Roman" w:eastAsia="方正仿宋_GBK" w:cs="Times New Roman"/>
          <w:color w:val="auto"/>
          <w:sz w:val="32"/>
          <w:szCs w:val="32"/>
          <w:highlight w:val="none"/>
        </w:rPr>
        <w:t>有资本经营预算支出决算情况说明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10</w:t>
      </w:r>
    </w:p>
    <w:p w14:paraId="32A8A57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十</w:t>
      </w:r>
      <w:r>
        <w:rPr>
          <w:rFonts w:hint="default" w:ascii="Times New Roman" w:hAnsi="Times New Roman" w:eastAsia="方正仿宋_GBK" w:cs="Times New Roman"/>
          <w:color w:val="auto"/>
          <w:sz w:val="32"/>
          <w:szCs w:val="32"/>
          <w:highlight w:val="none"/>
        </w:rPr>
        <w:t>、其他重要事项的情况说明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12</w:t>
      </w:r>
    </w:p>
    <w:p w14:paraId="55BBD474">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第三部分 名词解释</w:t>
      </w:r>
      <w:r>
        <w:rPr>
          <w:rFonts w:hint="default" w:ascii="Times New Roman" w:hAnsi="Times New Roman" w:eastAsia="方正仿宋_GBK" w:cs="Times New Roman"/>
          <w:sz w:val="32"/>
          <w:szCs w:val="32"/>
        </w:rPr>
        <w:ptab w:relativeTo="margin" w:alignment="right" w:leader="dot"/>
      </w:r>
      <w:r>
        <w:rPr>
          <w:rFonts w:hint="eastAsia" w:ascii="Times New Roman" w:hAnsi="Times New Roman" w:eastAsia="方正仿宋_GBK" w:cs="Times New Roman"/>
          <w:sz w:val="32"/>
          <w:szCs w:val="32"/>
          <w:lang w:val="en-US" w:eastAsia="zh-CN"/>
        </w:rPr>
        <w:t>15</w:t>
      </w:r>
    </w:p>
    <w:p w14:paraId="594C553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方正仿宋_GBK" w:cs="Times New Roman"/>
          <w:sz w:val="32"/>
          <w:szCs w:val="32"/>
          <w:lang w:val="en-US" w:eastAsia="zh-CN"/>
        </w:rPr>
      </w:pPr>
      <w:r>
        <w:rPr>
          <w:rFonts w:hint="default" w:ascii="方正黑体_GBK" w:hAnsi="方正黑体_GBK" w:eastAsia="方正黑体_GBK" w:cs="方正黑体_GBK"/>
          <w:color w:val="auto"/>
          <w:sz w:val="32"/>
          <w:szCs w:val="32"/>
          <w:highlight w:val="none"/>
        </w:rPr>
        <w:t>第四部分 附件</w:t>
      </w:r>
      <w:r>
        <w:rPr>
          <w:rFonts w:hint="default" w:ascii="Times New Roman" w:hAnsi="Times New Roman" w:eastAsia="方正仿宋_GBK" w:cs="Times New Roman"/>
          <w:sz w:val="32"/>
          <w:szCs w:val="32"/>
        </w:rPr>
        <w:ptab w:relativeTo="margin" w:alignment="right" w:leader="dot"/>
      </w:r>
      <w:r>
        <w:rPr>
          <w:rFonts w:hint="eastAsia" w:ascii="Times New Roman" w:hAnsi="Times New Roman" w:eastAsia="方正仿宋_GBK" w:cs="Times New Roman"/>
          <w:sz w:val="32"/>
          <w:szCs w:val="32"/>
          <w:lang w:val="en-US" w:eastAsia="zh-CN"/>
        </w:rPr>
        <w:t>16</w:t>
      </w:r>
    </w:p>
    <w:p w14:paraId="0AACFFB6">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第五部分 附表</w:t>
      </w:r>
      <w:r>
        <w:rPr>
          <w:rFonts w:hint="default" w:ascii="Times New Roman" w:hAnsi="Times New Roman" w:eastAsia="方正仿宋_GBK" w:cs="Times New Roman"/>
          <w:sz w:val="32"/>
          <w:szCs w:val="32"/>
        </w:rPr>
        <w:ptab w:relativeTo="margin" w:alignment="right" w:leader="dot"/>
      </w:r>
      <w:r>
        <w:rPr>
          <w:rFonts w:hint="eastAsia" w:ascii="Times New Roman" w:hAnsi="Times New Roman" w:eastAsia="方正仿宋_GBK" w:cs="Times New Roman"/>
          <w:sz w:val="32"/>
          <w:szCs w:val="32"/>
          <w:lang w:val="en-US" w:eastAsia="zh-CN"/>
        </w:rPr>
        <w:t>17</w:t>
      </w:r>
    </w:p>
    <w:p w14:paraId="5DC8278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方正仿宋_GBK" w:cs="Times New Roman"/>
          <w:sz w:val="32"/>
          <w:szCs w:val="32"/>
          <w:lang w:val="en-US" w:eastAsia="zh-CN"/>
        </w:rPr>
      </w:pPr>
      <w:r>
        <w:rPr>
          <w:rFonts w:hint="default" w:ascii="Times New Roman" w:hAnsi="Times New Roman" w:eastAsia="方正仿宋_GBK" w:cs="Times New Roman"/>
          <w:color w:val="auto"/>
          <w:sz w:val="32"/>
          <w:szCs w:val="32"/>
          <w:highlight w:val="none"/>
        </w:rPr>
        <w:t>一、收入支出决算总表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17</w:t>
      </w:r>
    </w:p>
    <w:p w14:paraId="74D30E6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r>
        <w:rPr>
          <w:rFonts w:hint="default" w:ascii="Times New Roman" w:hAnsi="Times New Roman" w:eastAsia="方正仿宋_GBK" w:cs="Times New Roman"/>
          <w:color w:val="auto"/>
          <w:sz w:val="32"/>
          <w:szCs w:val="32"/>
          <w:highlight w:val="none"/>
        </w:rPr>
        <w:t>二、收入决算表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17</w:t>
      </w:r>
    </w:p>
    <w:p w14:paraId="0702E21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三、支出决算表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17</w:t>
      </w:r>
    </w:p>
    <w:p w14:paraId="0806455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方正仿宋_GBK" w:cs="Times New Roman"/>
          <w:sz w:val="32"/>
          <w:szCs w:val="32"/>
          <w:lang w:val="en-US" w:eastAsia="zh-CN"/>
        </w:rPr>
      </w:pPr>
      <w:r>
        <w:rPr>
          <w:rFonts w:hint="default" w:ascii="Times New Roman" w:hAnsi="Times New Roman" w:eastAsia="方正仿宋_GBK" w:cs="Times New Roman"/>
          <w:color w:val="auto"/>
          <w:sz w:val="32"/>
          <w:szCs w:val="32"/>
          <w:highlight w:val="none"/>
        </w:rPr>
        <w:t>四、财政拨款收入支出决算总表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17</w:t>
      </w:r>
    </w:p>
    <w:p w14:paraId="61B69BE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五、财政拨款支出决算明细表</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7</w:t>
      </w:r>
    </w:p>
    <w:p w14:paraId="001FD55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方正仿宋_GBK" w:cs="Times New Roman"/>
          <w:sz w:val="32"/>
          <w:szCs w:val="32"/>
          <w:lang w:val="en-US" w:eastAsia="zh-CN"/>
        </w:rPr>
      </w:pPr>
      <w:r>
        <w:rPr>
          <w:rFonts w:hint="default" w:ascii="Times New Roman" w:hAnsi="Times New Roman" w:eastAsia="方正仿宋_GBK" w:cs="Times New Roman"/>
          <w:color w:val="auto"/>
          <w:sz w:val="32"/>
          <w:szCs w:val="32"/>
          <w:highlight w:val="none"/>
        </w:rPr>
        <w:t>六、一般公共预算财政拨款支出决算表</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7</w:t>
      </w:r>
    </w:p>
    <w:p w14:paraId="18E7C30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方正仿宋_GBK" w:cs="Times New Roman"/>
          <w:sz w:val="32"/>
          <w:szCs w:val="32"/>
          <w:lang w:val="en-US" w:eastAsia="zh-CN"/>
        </w:rPr>
      </w:pPr>
      <w:r>
        <w:rPr>
          <w:rFonts w:hint="default" w:ascii="Times New Roman" w:hAnsi="Times New Roman" w:eastAsia="方正仿宋_GBK" w:cs="Times New Roman"/>
          <w:color w:val="auto"/>
          <w:sz w:val="32"/>
          <w:szCs w:val="32"/>
          <w:highlight w:val="none"/>
        </w:rPr>
        <w:t>七、一般公共预算财政拨款支出决算明细表</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7</w:t>
      </w:r>
    </w:p>
    <w:p w14:paraId="7F100A9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方正仿宋_GBK" w:cs="Times New Roman"/>
          <w:sz w:val="32"/>
          <w:szCs w:val="32"/>
          <w:lang w:val="en-US" w:eastAsia="zh-CN"/>
        </w:rPr>
      </w:pPr>
      <w:r>
        <w:rPr>
          <w:rFonts w:hint="default" w:ascii="Times New Roman" w:hAnsi="Times New Roman" w:eastAsia="方正仿宋_GBK" w:cs="Times New Roman"/>
          <w:color w:val="auto"/>
          <w:sz w:val="32"/>
          <w:szCs w:val="32"/>
          <w:highlight w:val="none"/>
        </w:rPr>
        <w:t>八、一般公共预算财政拨款基本支出决算</w:t>
      </w:r>
      <w:r>
        <w:rPr>
          <w:rFonts w:hint="default" w:ascii="Times New Roman" w:hAnsi="Times New Roman" w:eastAsia="方正仿宋_GBK" w:cs="Times New Roman"/>
          <w:color w:val="auto"/>
          <w:sz w:val="32"/>
          <w:szCs w:val="32"/>
          <w:highlight w:val="none"/>
          <w:lang w:eastAsia="zh-CN"/>
        </w:rPr>
        <w:t>明细</w:t>
      </w:r>
      <w:r>
        <w:rPr>
          <w:rFonts w:hint="default" w:ascii="Times New Roman" w:hAnsi="Times New Roman" w:eastAsia="方正仿宋_GBK" w:cs="Times New Roman"/>
          <w:color w:val="auto"/>
          <w:sz w:val="32"/>
          <w:szCs w:val="32"/>
          <w:highlight w:val="none"/>
        </w:rPr>
        <w:t>表</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7</w:t>
      </w:r>
    </w:p>
    <w:p w14:paraId="570F9FC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九、一般公共预算财政拨款项目支出决算表</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7</w:t>
      </w:r>
    </w:p>
    <w:p w14:paraId="4514766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方正仿宋_GBK" w:cs="Times New Roman"/>
          <w:sz w:val="32"/>
          <w:szCs w:val="32"/>
          <w:lang w:val="en-US" w:eastAsia="zh-CN"/>
        </w:rPr>
      </w:pPr>
      <w:r>
        <w:rPr>
          <w:rFonts w:hint="default" w:ascii="Times New Roman" w:hAnsi="Times New Roman" w:eastAsia="方正仿宋_GBK" w:cs="Times New Roman"/>
          <w:color w:val="auto"/>
          <w:sz w:val="32"/>
          <w:szCs w:val="32"/>
          <w:highlight w:val="none"/>
        </w:rPr>
        <w:t>十、政府性基金预算财政拨款收入支出决算表</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7</w:t>
      </w:r>
    </w:p>
    <w:p w14:paraId="452118F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十一、国有资本经营预算财政拨款收入支出决算表</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7</w:t>
      </w:r>
      <w:r>
        <w:rPr>
          <w:rFonts w:hint="default" w:ascii="Times New Roman" w:hAnsi="Times New Roman" w:eastAsia="方正仿宋_GBK" w:cs="Times New Roman"/>
          <w:color w:val="auto"/>
          <w:sz w:val="32"/>
          <w:szCs w:val="32"/>
          <w:highlight w:val="none"/>
        </w:rPr>
        <w:t>十二、</w:t>
      </w:r>
      <w:r>
        <w:rPr>
          <w:rFonts w:hint="default" w:ascii="Times New Roman" w:hAnsi="Times New Roman" w:eastAsia="方正仿宋_GBK" w:cs="Times New Roman"/>
          <w:color w:val="auto"/>
          <w:sz w:val="32"/>
          <w:szCs w:val="32"/>
          <w:highlight w:val="none"/>
          <w:lang w:val="en-US" w:eastAsia="zh-CN"/>
        </w:rPr>
        <w:t>国有资本经营预算财政拨款支出决算表</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7</w:t>
      </w:r>
    </w:p>
    <w:p w14:paraId="4C1E195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仿宋_GB2312"/>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十三、财政拨款“三公”经费支出决算表</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7</w:t>
      </w:r>
    </w:p>
    <w:p w14:paraId="50A162AF">
      <w:pPr>
        <w:pStyle w:val="2"/>
        <w:jc w:val="center"/>
        <w:rPr>
          <w:rFonts w:hint="eastAsia" w:asciiTheme="majorEastAsia" w:hAnsiTheme="majorEastAsia" w:eastAsiaTheme="majorEastAsia" w:cstheme="majorEastAsia"/>
          <w:b/>
          <w:bCs w:val="0"/>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p>
    <w:p w14:paraId="7049D2B9">
      <w:pPr>
        <w:pStyle w:val="2"/>
        <w:jc w:val="center"/>
        <w:rPr>
          <w:rStyle w:val="28"/>
          <w:rFonts w:hint="eastAsia" w:ascii="方正小标宋_GBK" w:hAnsi="方正小标宋_GBK" w:eastAsia="方正小标宋_GBK" w:cs="方正小标宋_GBK"/>
          <w:b/>
          <w:bCs w:val="0"/>
        </w:rPr>
      </w:pPr>
      <w:r>
        <w:rPr>
          <w:rFonts w:hint="eastAsia" w:ascii="方正小标宋_GBK" w:hAnsi="方正小标宋_GBK" w:eastAsia="方正小标宋_GBK" w:cs="方正小标宋_GBK"/>
          <w:b/>
          <w:bCs w:val="0"/>
        </w:rPr>
        <w:t xml:space="preserve">第一部分  </w:t>
      </w:r>
      <w:r>
        <w:rPr>
          <w:rStyle w:val="28"/>
          <w:rFonts w:hint="eastAsia" w:ascii="方正小标宋_GBK" w:hAnsi="方正小标宋_GBK" w:eastAsia="方正小标宋_GBK" w:cs="方正小标宋_GBK"/>
          <w:b/>
          <w:bCs w:val="0"/>
        </w:rPr>
        <w:t>单位概况</w:t>
      </w:r>
    </w:p>
    <w:p w14:paraId="546D319E">
      <w:pPr>
        <w:widowControl/>
        <w:jc w:val="left"/>
        <w:rPr>
          <w:rFonts w:eastAsia="黑体"/>
          <w:sz w:val="32"/>
          <w:szCs w:val="32"/>
        </w:rPr>
      </w:pPr>
    </w:p>
    <w:p w14:paraId="35DA4F2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lang w:val="en-US" w:eastAsia="zh-CN"/>
        </w:rPr>
      </w:pPr>
      <w:r>
        <w:rPr>
          <w:rFonts w:hint="eastAsia" w:ascii="方正黑体_GBK" w:hAnsi="方正黑体_GBK" w:eastAsia="方正黑体_GBK" w:cs="方正黑体_GBK"/>
          <w:b w:val="0"/>
          <w:lang w:val="en-US" w:eastAsia="zh-CN"/>
        </w:rPr>
        <w:t>一、部门职责</w:t>
      </w:r>
      <w:bookmarkStart w:id="6" w:name="_Toc15377200"/>
      <w:bookmarkStart w:id="7" w:name="_Toc15396601"/>
    </w:p>
    <w:p w14:paraId="23D13B6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firstLine="640" w:firstLineChars="200"/>
        <w:textAlignment w:val="auto"/>
        <w:rPr>
          <w:rFonts w:hint="default" w:ascii="Times New Roman" w:hAnsi="Times New Roman" w:eastAsia="方正仿宋_GBK" w:cs="Times New Roman"/>
          <w:b w:val="0"/>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中共盐边县委党校属于参公事业单位，主要职能是培 训各级党员和干部；承办县委和县政府举办的专题研讨班；围绕党的建设的重大课题和全县经济、社会、生态文明等开展科学研究，推进理论创新；聚焦全县发展战略部署开展咨政调研，作出决策咨政建议；根据县委及组织人事部门的统一安排部署，举办多种形式的干部专题教育和培训，提高干部素质能力；承担县委、县政府和市委党校交办的其他任务。</w:t>
      </w:r>
    </w:p>
    <w:p w14:paraId="306D241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仿宋_GBK" w:cs="Times New Roman"/>
          <w:b w:val="0"/>
        </w:rPr>
      </w:pPr>
      <w:r>
        <w:rPr>
          <w:rFonts w:hint="default" w:ascii="方正黑体_GBK" w:hAnsi="方正黑体_GBK" w:eastAsia="方正黑体_GBK" w:cs="方正黑体_GBK"/>
          <w:b w:val="0"/>
          <w:lang w:val="en-US" w:eastAsia="zh-CN"/>
        </w:rPr>
        <w:t>二、机构设置</w:t>
      </w:r>
      <w:bookmarkEnd w:id="6"/>
      <w:bookmarkEnd w:id="7"/>
    </w:p>
    <w:p w14:paraId="19C3547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县委党校下属二级预算单位1个，其中行政单位0个，参照公务员法管理的事业单位0个，其他事业单位1个。</w:t>
      </w:r>
    </w:p>
    <w:p w14:paraId="767C9E6E">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auto"/>
          <w:kern w:val="2"/>
          <w:sz w:val="32"/>
          <w:szCs w:val="32"/>
          <w:highlight w:val="none"/>
          <w:lang w:val="en-US" w:eastAsia="zh-CN" w:bidi="ar-SA"/>
        </w:rPr>
        <w:t>纳入中共盐边县委党校2024年度部门决算编制范围的二级预算单位包括：</w:t>
      </w:r>
      <w:bookmarkStart w:id="8" w:name="_Toc15378450"/>
      <w:bookmarkStart w:id="9" w:name="_Toc15377434"/>
      <w:bookmarkStart w:id="10" w:name="_Toc15377203"/>
      <w:bookmarkStart w:id="11" w:name="_Toc15306277"/>
      <w:r>
        <w:rPr>
          <w:rFonts w:hint="default" w:ascii="Times New Roman" w:hAnsi="Times New Roman" w:eastAsia="方正仿宋_GBK" w:cs="Times New Roman"/>
          <w:b w:val="0"/>
          <w:bCs w:val="0"/>
          <w:color w:val="auto"/>
          <w:kern w:val="2"/>
          <w:sz w:val="32"/>
          <w:szCs w:val="32"/>
          <w:highlight w:val="none"/>
          <w:lang w:val="en-US" w:eastAsia="zh-CN" w:bidi="ar-SA"/>
        </w:rPr>
        <w:t>盐边县乡村振</w:t>
      </w:r>
      <w:r>
        <w:rPr>
          <w:rFonts w:hint="eastAsia" w:ascii="Times New Roman" w:hAnsi="Times New Roman" w:eastAsia="方正仿宋_GBK" w:cs="Times New Roman"/>
          <w:b w:val="0"/>
          <w:bCs w:val="0"/>
          <w:color w:val="auto"/>
          <w:kern w:val="2"/>
          <w:sz w:val="32"/>
          <w:szCs w:val="32"/>
          <w:highlight w:val="none"/>
          <w:lang w:val="en-US" w:eastAsia="zh-CN" w:bidi="ar-SA"/>
        </w:rPr>
        <w:t>兴</w:t>
      </w:r>
      <w:r>
        <w:rPr>
          <w:rFonts w:hint="default" w:ascii="Times New Roman" w:hAnsi="Times New Roman" w:eastAsia="方正仿宋_GBK" w:cs="Times New Roman"/>
          <w:b w:val="0"/>
          <w:bCs w:val="0"/>
          <w:color w:val="auto"/>
          <w:kern w:val="2"/>
          <w:sz w:val="32"/>
          <w:szCs w:val="32"/>
          <w:highlight w:val="none"/>
          <w:lang w:val="en-US" w:eastAsia="zh-CN" w:bidi="ar-SA"/>
        </w:rPr>
        <w:t>学校</w:t>
      </w:r>
      <w:bookmarkEnd w:id="8"/>
      <w:bookmarkEnd w:id="9"/>
      <w:bookmarkEnd w:id="10"/>
      <w:bookmarkEnd w:id="11"/>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90ABEF2">
      <w:pPr>
        <w:pStyle w:val="27"/>
        <w:pageBreakBefore w:val="0"/>
        <w:widowControl w:val="0"/>
        <w:kinsoku/>
        <w:wordWrap/>
        <w:overflowPunct/>
        <w:topLinePunct w:val="0"/>
        <w:autoSpaceDE/>
        <w:autoSpaceDN/>
        <w:bidi w:val="0"/>
        <w:adjustRightInd/>
        <w:snapToGrid/>
        <w:spacing w:line="240" w:lineRule="auto"/>
        <w:ind w:leftChars="0" w:firstLine="640"/>
        <w:textAlignment w:val="auto"/>
        <w:outlineLvl w:val="1"/>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人员情况：</w:t>
      </w:r>
    </w:p>
    <w:p w14:paraId="4EE71276">
      <w:pPr>
        <w:pStyle w:val="27"/>
        <w:pageBreakBefore w:val="0"/>
        <w:widowControl w:val="0"/>
        <w:kinsoku/>
        <w:wordWrap/>
        <w:overflowPunct/>
        <w:topLinePunct w:val="0"/>
        <w:autoSpaceDE/>
        <w:autoSpaceDN/>
        <w:bidi w:val="0"/>
        <w:adjustRightInd/>
        <w:snapToGrid/>
        <w:spacing w:line="240" w:lineRule="auto"/>
        <w:ind w:leftChars="0" w:firstLine="640"/>
        <w:textAlignment w:val="auto"/>
        <w:outlineLvl w:val="1"/>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县委党校机关编制数15人，其中：行政编制7人，事业编制8人，2024年末实有人数14人，退休7人。</w:t>
      </w:r>
    </w:p>
    <w:p w14:paraId="65658337">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C73A0CA">
      <w:pPr>
        <w:pStyle w:val="2"/>
        <w:jc w:val="center"/>
        <w:rPr>
          <w:rFonts w:hint="eastAsia" w:ascii="方正小标宋_GBK" w:hAnsi="方正小标宋_GBK" w:eastAsia="方正小标宋_GBK" w:cs="方正小标宋_GBK"/>
          <w:b/>
          <w:bCs w:val="0"/>
        </w:rPr>
      </w:pPr>
      <w:bookmarkStart w:id="12" w:name="_Toc15396602"/>
      <w:bookmarkStart w:id="13" w:name="_Toc15377204"/>
      <w:r>
        <w:rPr>
          <w:rFonts w:hint="eastAsia" w:ascii="方正小标宋_GBK" w:hAnsi="方正小标宋_GBK" w:eastAsia="方正小标宋_GBK" w:cs="方正小标宋_GBK"/>
          <w:b/>
          <w:bCs w:val="0"/>
        </w:rPr>
        <w:t>第二部分</w:t>
      </w:r>
      <w:r>
        <w:rPr>
          <w:rFonts w:hint="eastAsia" w:ascii="方正小标宋_GBK" w:hAnsi="方正小标宋_GBK" w:eastAsia="方正小标宋_GBK" w:cs="方正小标宋_GBK"/>
          <w:b/>
          <w:bCs w:val="0"/>
          <w:lang w:val="en-US" w:eastAsia="zh-CN"/>
        </w:rPr>
        <w:t xml:space="preserve"> </w:t>
      </w:r>
      <w:r>
        <w:rPr>
          <w:rFonts w:hint="eastAsia" w:ascii="方正小标宋_GBK" w:hAnsi="方正小标宋_GBK" w:eastAsia="方正小标宋_GBK" w:cs="方正小标宋_GBK"/>
          <w:b/>
          <w:bCs w:val="0"/>
        </w:rPr>
        <w:t xml:space="preserve"> </w:t>
      </w:r>
      <w:r>
        <w:rPr>
          <w:rFonts w:hint="eastAsia" w:ascii="方正小标宋_GBK" w:hAnsi="方正小标宋_GBK" w:eastAsia="方正小标宋_GBK" w:cs="方正小标宋_GBK"/>
          <w:b/>
          <w:bCs w:val="0"/>
          <w:lang w:val="en-US" w:eastAsia="zh-CN"/>
        </w:rPr>
        <w:t>2024年度</w:t>
      </w:r>
      <w:r>
        <w:rPr>
          <w:rFonts w:hint="eastAsia" w:ascii="方正小标宋_GBK" w:hAnsi="方正小标宋_GBK" w:eastAsia="方正小标宋_GBK" w:cs="方正小标宋_GBK"/>
          <w:b/>
          <w:bCs w:val="0"/>
        </w:rPr>
        <w:t>部门决算情况说明</w:t>
      </w:r>
      <w:bookmarkEnd w:id="12"/>
      <w:bookmarkEnd w:id="13"/>
    </w:p>
    <w:p w14:paraId="286D382A">
      <w:pPr>
        <w:rPr>
          <w:rFonts w:ascii="Times New Roman" w:hAnsi="Times New Roman"/>
          <w:color w:val="auto"/>
          <w:highlight w:val="none"/>
        </w:rPr>
      </w:pPr>
    </w:p>
    <w:p w14:paraId="5640FA1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方正黑体_GBK" w:hAnsi="方正黑体_GBK" w:eastAsia="方正黑体_GBK" w:cs="方正黑体_GBK"/>
          <w:b w:val="0"/>
          <w:color w:val="auto"/>
          <w:sz w:val="32"/>
          <w:szCs w:val="32"/>
          <w:highlight w:val="none"/>
        </w:rPr>
      </w:pPr>
      <w:bookmarkStart w:id="14" w:name="_Toc15396603"/>
      <w:bookmarkStart w:id="15" w:name="_Toc15377205"/>
      <w:r>
        <w:rPr>
          <w:rFonts w:hint="eastAsia" w:ascii="方正黑体_GBK" w:hAnsi="方正黑体_GBK" w:eastAsia="方正黑体_GBK" w:cs="方正黑体_GBK"/>
          <w:color w:val="auto"/>
          <w:sz w:val="32"/>
          <w:szCs w:val="32"/>
          <w:highlight w:val="none"/>
          <w:lang w:eastAsia="zh-CN"/>
        </w:rPr>
        <w:t>一、</w:t>
      </w:r>
      <w:r>
        <w:rPr>
          <w:rFonts w:hint="eastAsia" w:ascii="方正黑体_GBK" w:hAnsi="方正黑体_GBK" w:eastAsia="方正黑体_GBK" w:cs="方正黑体_GBK"/>
          <w:color w:val="auto"/>
          <w:sz w:val="32"/>
          <w:szCs w:val="32"/>
          <w:highlight w:val="none"/>
        </w:rPr>
        <w:t>收</w:t>
      </w:r>
      <w:r>
        <w:rPr>
          <w:rStyle w:val="29"/>
          <w:rFonts w:hint="eastAsia" w:ascii="方正黑体_GBK" w:hAnsi="方正黑体_GBK" w:eastAsia="方正黑体_GBK" w:cs="方正黑体_GBK"/>
          <w:b w:val="0"/>
          <w:color w:val="auto"/>
          <w:sz w:val="32"/>
          <w:szCs w:val="32"/>
          <w:highlight w:val="none"/>
        </w:rPr>
        <w:t>入支出决算总体情况说明</w:t>
      </w:r>
      <w:bookmarkEnd w:id="14"/>
      <w:bookmarkEnd w:id="15"/>
    </w:p>
    <w:p w14:paraId="3E8F2380">
      <w:pPr>
        <w:pStyle w:val="27"/>
        <w:spacing w:line="600" w:lineRule="exact"/>
        <w:ind w:firstLine="640"/>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2024年度收入、支出总计均为763.44万元。与202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eastAsia="zh-CN"/>
        </w:rPr>
        <w:t>年度相比，收入、支出总计各</w:t>
      </w:r>
      <w:r>
        <w:rPr>
          <w:rFonts w:hint="default" w:ascii="Times New Roman" w:hAnsi="Times New Roman" w:eastAsia="方正仿宋_GBK" w:cs="Times New Roman"/>
          <w:color w:val="auto"/>
          <w:sz w:val="32"/>
          <w:szCs w:val="32"/>
          <w:highlight w:val="none"/>
          <w:lang w:val="en-US" w:eastAsia="zh-CN"/>
        </w:rPr>
        <w:t>增加</w:t>
      </w:r>
      <w:r>
        <w:rPr>
          <w:rFonts w:hint="default" w:ascii="Times New Roman" w:hAnsi="Times New Roman" w:eastAsia="方正仿宋_GBK" w:cs="Times New Roman"/>
          <w:color w:val="auto"/>
          <w:sz w:val="32"/>
          <w:szCs w:val="32"/>
          <w:highlight w:val="none"/>
          <w:lang w:eastAsia="zh-CN"/>
        </w:rPr>
        <w:t>161.81万元，</w:t>
      </w:r>
      <w:r>
        <w:rPr>
          <w:rFonts w:hint="default" w:ascii="Times New Roman" w:hAnsi="Times New Roman" w:eastAsia="方正仿宋_GBK" w:cs="Times New Roman"/>
          <w:color w:val="auto"/>
          <w:sz w:val="32"/>
          <w:szCs w:val="32"/>
          <w:highlight w:val="none"/>
          <w:lang w:val="en-US" w:eastAsia="zh-CN"/>
        </w:rPr>
        <w:t>增长26.89</w:t>
      </w:r>
      <w:r>
        <w:rPr>
          <w:rFonts w:hint="default" w:ascii="Times New Roman" w:hAnsi="Times New Roman" w:eastAsia="方正仿宋_GBK" w:cs="Times New Roman"/>
          <w:color w:val="auto"/>
          <w:sz w:val="32"/>
          <w:szCs w:val="32"/>
          <w:highlight w:val="none"/>
          <w:lang w:eastAsia="zh-CN"/>
        </w:rPr>
        <w:t>%。主要变动原因是财政拨款收入中人员经费和日常公用经费，项目中的</w:t>
      </w:r>
      <w:r>
        <w:rPr>
          <w:rFonts w:hint="default" w:ascii="Times New Roman" w:hAnsi="Times New Roman" w:eastAsia="方正仿宋_GBK" w:cs="Times New Roman"/>
          <w:color w:val="auto"/>
          <w:sz w:val="32"/>
          <w:szCs w:val="32"/>
          <w:highlight w:val="none"/>
          <w:lang w:val="en-US" w:eastAsia="zh-CN"/>
        </w:rPr>
        <w:t>现场教学点经费、培训费增加。</w:t>
      </w:r>
    </w:p>
    <w:p w14:paraId="4D325D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w:t>
      </w:r>
    </w:p>
    <w:p w14:paraId="487A9043">
      <w:pPr>
        <w:pStyle w:val="7"/>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rPr>
        <w:drawing>
          <wp:inline distT="0" distB="0" distL="114300" distR="114300">
            <wp:extent cx="5025390" cy="3138170"/>
            <wp:effectExtent l="4445" t="4445" r="18415" b="1968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60C08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bookmarkStart w:id="16" w:name="_Toc15377206"/>
      <w:bookmarkStart w:id="17" w:name="_Toc15396604"/>
      <w:r>
        <w:rPr>
          <w:rFonts w:hint="default" w:ascii="方正黑体_GBK" w:hAnsi="方正黑体_GBK" w:eastAsia="方正黑体_GBK" w:cs="方正黑体_GBK"/>
          <w:color w:val="auto"/>
          <w:sz w:val="32"/>
          <w:szCs w:val="32"/>
          <w:highlight w:val="none"/>
          <w:lang w:eastAsia="zh-CN"/>
        </w:rPr>
        <w:t>二、收入决算情况说明</w:t>
      </w:r>
      <w:bookmarkEnd w:id="16"/>
      <w:bookmarkEnd w:id="17"/>
    </w:p>
    <w:p w14:paraId="29415F45">
      <w:pPr>
        <w:pStyle w:val="27"/>
        <w:spacing w:line="600" w:lineRule="exact"/>
        <w:ind w:firstLine="640"/>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2024年度本年收入合计763.44万元，其中：一般公共预算财政拨款收入763.44万元，占100%；</w:t>
      </w:r>
    </w:p>
    <w:p w14:paraId="7C3820C5">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w:t>
      </w:r>
    </w:p>
    <w:p w14:paraId="743FC765">
      <w:pPr>
        <w:ind w:firstLine="800" w:firstLineChars="250"/>
        <w:rPr>
          <w:rFonts w:hint="default" w:ascii="Times New Roman" w:hAnsi="Times New Roman" w:eastAsia="方正仿宋_GBK" w:cs="Times New Roman"/>
          <w:color w:val="auto"/>
          <w:sz w:val="32"/>
          <w:szCs w:val="32"/>
          <w:highlight w:val="none"/>
          <w:lang w:eastAsia="zh-CN"/>
        </w:rPr>
      </w:pPr>
    </w:p>
    <w:p w14:paraId="1F5CF28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bookmarkStart w:id="18" w:name="_Toc15396605"/>
      <w:bookmarkStart w:id="19" w:name="_Toc15377207"/>
    </w:p>
    <w:p w14:paraId="42D672B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114300" distR="114300" simplePos="0" relativeHeight="251659264" behindDoc="1" locked="0" layoutInCell="1" allowOverlap="1">
            <wp:simplePos x="0" y="0"/>
            <wp:positionH relativeFrom="column">
              <wp:posOffset>802640</wp:posOffset>
            </wp:positionH>
            <wp:positionV relativeFrom="paragraph">
              <wp:posOffset>111760</wp:posOffset>
            </wp:positionV>
            <wp:extent cx="3818255" cy="2546350"/>
            <wp:effectExtent l="4445" t="4445" r="6350" b="20955"/>
            <wp:wrapNone/>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D5F1F0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0EA9B3B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69FF257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0A7D282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456DAA2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1104A22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default" w:ascii="Times New Roman" w:hAnsi="Times New Roman" w:eastAsia="方正仿宋_GBK" w:cs="Times New Roman"/>
          <w:color w:val="auto"/>
          <w:sz w:val="32"/>
          <w:szCs w:val="32"/>
          <w:highlight w:val="none"/>
          <w:lang w:eastAsia="zh-CN"/>
        </w:rPr>
      </w:pPr>
    </w:p>
    <w:p w14:paraId="4CD79B5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方正仿宋_GBK" w:cs="Times New Roman"/>
          <w:b w:val="0"/>
          <w:color w:val="auto"/>
          <w:sz w:val="32"/>
          <w:szCs w:val="32"/>
          <w:highlight w:val="none"/>
        </w:rPr>
      </w:pPr>
      <w:r>
        <w:rPr>
          <w:rFonts w:hint="default" w:ascii="方正黑体_GBK" w:hAnsi="方正黑体_GBK" w:eastAsia="方正黑体_GBK" w:cs="方正黑体_GBK"/>
          <w:color w:val="auto"/>
          <w:sz w:val="32"/>
          <w:szCs w:val="32"/>
          <w:highlight w:val="none"/>
          <w:lang w:eastAsia="zh-CN"/>
        </w:rPr>
        <w:t>三、支出决算情况说明</w:t>
      </w:r>
      <w:bookmarkEnd w:id="18"/>
      <w:bookmarkEnd w:id="19"/>
    </w:p>
    <w:p w14:paraId="1B30DD3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2024年度本年支出合计763.44万元，其中：基本支出326.33万元，占42.74%；项目支出437.11万元，占57.2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eastAsia="zh-CN"/>
        </w:rPr>
        <w:t>%。</w:t>
      </w:r>
    </w:p>
    <w:p w14:paraId="1E0C453D">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w:t>
      </w:r>
    </w:p>
    <w:p w14:paraId="578FD8C7">
      <w:pPr>
        <w:pStyle w:val="13"/>
        <w:jc w:val="center"/>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rPr>
        <w:drawing>
          <wp:inline distT="0" distB="0" distL="114300" distR="114300">
            <wp:extent cx="4770120" cy="3642995"/>
            <wp:effectExtent l="4445" t="4445" r="6985" b="1016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4246DE">
      <w:pPr>
        <w:spacing w:line="600" w:lineRule="exact"/>
        <w:ind w:firstLine="640" w:firstLineChars="200"/>
        <w:outlineLvl w:val="1"/>
        <w:rPr>
          <w:rFonts w:hint="default" w:ascii="Times New Roman" w:hAnsi="Times New Roman" w:eastAsia="方正仿宋_GBK" w:cs="Times New Roman"/>
          <w:color w:val="auto"/>
          <w:sz w:val="32"/>
          <w:szCs w:val="32"/>
          <w:highlight w:val="none"/>
        </w:rPr>
      </w:pPr>
      <w:bookmarkStart w:id="20" w:name="_Toc15377208"/>
      <w:bookmarkStart w:id="21" w:name="_Toc15396606"/>
    </w:p>
    <w:p w14:paraId="4535B0B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方正仿宋_GBK" w:cs="Times New Roman"/>
          <w:b w:val="0"/>
          <w:color w:val="auto"/>
          <w:sz w:val="32"/>
          <w:szCs w:val="32"/>
          <w:highlight w:val="none"/>
        </w:rPr>
      </w:pPr>
      <w:r>
        <w:rPr>
          <w:rFonts w:hint="default" w:ascii="方正黑体_GBK" w:hAnsi="方正黑体_GBK" w:eastAsia="方正黑体_GBK" w:cs="方正黑体_GBK"/>
          <w:color w:val="auto"/>
          <w:sz w:val="32"/>
          <w:szCs w:val="32"/>
          <w:highlight w:val="none"/>
          <w:lang w:eastAsia="zh-CN"/>
        </w:rPr>
        <w:t>四、财政拨款收入支出决算总体情况说明</w:t>
      </w:r>
      <w:bookmarkEnd w:id="20"/>
      <w:bookmarkEnd w:id="21"/>
    </w:p>
    <w:p w14:paraId="10042F6E">
      <w:pPr>
        <w:pStyle w:val="27"/>
        <w:spacing w:line="600" w:lineRule="exact"/>
        <w:ind w:firstLine="640"/>
        <w:outlineLvl w:val="1"/>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2024年度财政拨款收入、支出总计均为</w:t>
      </w:r>
      <w:r>
        <w:rPr>
          <w:rFonts w:hint="default" w:ascii="Times New Roman" w:hAnsi="Times New Roman" w:eastAsia="方正仿宋_GBK" w:cs="Times New Roman"/>
          <w:color w:val="auto"/>
          <w:sz w:val="32"/>
          <w:szCs w:val="32"/>
          <w:highlight w:val="none"/>
          <w:lang w:eastAsia="zh-CN"/>
        </w:rPr>
        <w:t>763.44</w:t>
      </w:r>
      <w:r>
        <w:rPr>
          <w:rFonts w:hint="default" w:ascii="Times New Roman" w:hAnsi="Times New Roman" w:eastAsia="方正仿宋_GBK" w:cs="Times New Roman"/>
          <w:color w:val="auto"/>
          <w:sz w:val="32"/>
          <w:szCs w:val="32"/>
          <w:highlight w:val="none"/>
          <w:lang w:val="en-US" w:eastAsia="zh-CN"/>
        </w:rPr>
        <w:t>万元。与2023年度相比，财政拨款收入总计、支出总计各增加161.81万元，增长26.89%。主要变动原因是财政拨款收入中人员经费和日常公用经费，项目中的现场教学点经费、培训费增加。</w:t>
      </w:r>
    </w:p>
    <w:p w14:paraId="7A986C49">
      <w:pPr>
        <w:spacing w:line="60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w:t>
      </w:r>
    </w:p>
    <w:p w14:paraId="28E36DB6">
      <w:pPr>
        <w:pStyle w:val="7"/>
        <w:jc w:val="center"/>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345305" cy="3069590"/>
            <wp:effectExtent l="4445" t="4445" r="12700" b="12065"/>
            <wp:docPr id="27"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CDD5A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方正仿宋_GBK" w:cs="Times New Roman"/>
          <w:b w:val="0"/>
          <w:color w:val="auto"/>
          <w:sz w:val="32"/>
          <w:szCs w:val="32"/>
          <w:highlight w:val="none"/>
        </w:rPr>
      </w:pPr>
      <w:bookmarkStart w:id="22" w:name="_Toc15377209"/>
      <w:bookmarkStart w:id="23" w:name="_Toc15396607"/>
      <w:r>
        <w:rPr>
          <w:rFonts w:hint="default" w:ascii="方正黑体_GBK" w:hAnsi="方正黑体_GBK" w:eastAsia="方正黑体_GBK" w:cs="方正黑体_GBK"/>
          <w:color w:val="auto"/>
          <w:sz w:val="32"/>
          <w:szCs w:val="32"/>
          <w:highlight w:val="none"/>
          <w:lang w:eastAsia="zh-CN"/>
        </w:rPr>
        <w:t>五、一般公共预算财政拨款支出决算情况说明</w:t>
      </w:r>
      <w:bookmarkEnd w:id="22"/>
      <w:bookmarkEnd w:id="23"/>
    </w:p>
    <w:p w14:paraId="3BEDCBCF">
      <w:pPr>
        <w:spacing w:line="600" w:lineRule="exact"/>
        <w:ind w:firstLine="643" w:firstLineChars="200"/>
        <w:outlineLvl w:val="2"/>
        <w:rPr>
          <w:rFonts w:hint="eastAsia" w:ascii="方正楷体_GBK" w:hAnsi="方正楷体_GBK" w:eastAsia="方正楷体_GBK" w:cs="方正楷体_GBK"/>
          <w:b/>
          <w:color w:val="auto"/>
          <w:sz w:val="32"/>
          <w:szCs w:val="32"/>
          <w:highlight w:val="none"/>
        </w:rPr>
      </w:pPr>
      <w:bookmarkStart w:id="24" w:name="_Toc15377210"/>
      <w:r>
        <w:rPr>
          <w:rFonts w:hint="eastAsia" w:ascii="方正楷体_GBK" w:hAnsi="方正楷体_GBK" w:eastAsia="方正楷体_GBK" w:cs="方正楷体_GBK"/>
          <w:b/>
          <w:color w:val="auto"/>
          <w:sz w:val="32"/>
          <w:szCs w:val="32"/>
          <w:highlight w:val="none"/>
        </w:rPr>
        <w:t>（一）一般公共预算财政拨款支出决算总体情况</w:t>
      </w:r>
      <w:bookmarkEnd w:id="24"/>
    </w:p>
    <w:p w14:paraId="687714D5">
      <w:pPr>
        <w:pStyle w:val="27"/>
        <w:spacing w:line="600" w:lineRule="exact"/>
        <w:ind w:firstLine="640"/>
        <w:outlineLvl w:val="1"/>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2024年度一般公共预算财政拨款支出763.44万元，占本年支出合计的100%。与2023年度相比，一般公共预算财政拨款支出增加161.81万元，增长26.89%。主要变动原因是</w:t>
      </w:r>
      <w:r>
        <w:rPr>
          <w:rFonts w:hint="default" w:ascii="Times New Roman" w:hAnsi="Times New Roman" w:eastAsia="方正仿宋_GBK" w:cs="Times New Roman"/>
          <w:color w:val="auto"/>
          <w:sz w:val="32"/>
          <w:szCs w:val="32"/>
          <w:highlight w:val="none"/>
          <w:lang w:val="en-US" w:eastAsia="zh-CN"/>
        </w:rPr>
        <w:t>财政拨款收入中人员经费和日常公用经费，项目中的现场教学点经费、培训费增加。</w:t>
      </w:r>
    </w:p>
    <w:p w14:paraId="14FD164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（图5：一般公共预算财政拨款支出决算变动情况）（柱状图）</w:t>
      </w:r>
    </w:p>
    <w:p w14:paraId="4A90A2CD">
      <w:pPr>
        <w:pStyle w:val="13"/>
        <w:jc w:val="center"/>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572000" cy="2743200"/>
            <wp:effectExtent l="4445" t="4445" r="14605" b="14605"/>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2DD6FA">
      <w:pPr>
        <w:spacing w:line="600" w:lineRule="exact"/>
        <w:ind w:firstLine="643" w:firstLineChars="200"/>
        <w:outlineLvl w:val="2"/>
        <w:rPr>
          <w:rFonts w:hint="default" w:ascii="Times New Roman" w:hAnsi="Times New Roman" w:eastAsia="方正仿宋_GBK" w:cs="Times New Roman"/>
          <w:b/>
          <w:color w:val="auto"/>
          <w:sz w:val="32"/>
          <w:szCs w:val="32"/>
          <w:highlight w:val="none"/>
        </w:rPr>
      </w:pPr>
      <w:bookmarkStart w:id="25" w:name="_Toc15377211"/>
      <w:r>
        <w:rPr>
          <w:rFonts w:hint="default" w:ascii="方正楷体_GBK" w:hAnsi="方正楷体_GBK" w:eastAsia="方正楷体_GBK" w:cs="方正楷体_GBK"/>
          <w:b/>
          <w:color w:val="auto"/>
          <w:sz w:val="32"/>
          <w:szCs w:val="32"/>
          <w:highlight w:val="none"/>
        </w:rPr>
        <w:t>（二）一般公共预算财政拨款支出决算结构情况</w:t>
      </w:r>
      <w:bookmarkEnd w:id="25"/>
    </w:p>
    <w:p w14:paraId="147393E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763.44</w:t>
      </w:r>
      <w:r>
        <w:rPr>
          <w:rFonts w:hint="default" w:ascii="Times New Roman" w:hAnsi="Times New Roman" w:eastAsia="方正仿宋_GBK" w:cs="Times New Roman"/>
          <w:color w:val="auto"/>
          <w:kern w:val="2"/>
          <w:sz w:val="32"/>
          <w:szCs w:val="32"/>
          <w:highlight w:val="none"/>
          <w:lang w:val="en-US" w:eastAsia="zh-CN" w:bidi="ar-SA"/>
        </w:rPr>
        <w:t>万元，主要用于以下方面：教育支出674.43万元，占88.35%；社会保障和就业支出41.33万元，占5.41%；卫生健康支出24.60万元，占3.22%；住房保障支出23.08万元，占3.02%。</w:t>
      </w:r>
    </w:p>
    <w:p w14:paraId="0C63B97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w:t>
      </w:r>
    </w:p>
    <w:p w14:paraId="0168F15E">
      <w:pPr>
        <w:pStyle w:val="13"/>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5253990" cy="3645535"/>
            <wp:effectExtent l="4445" t="4445" r="18415" b="7620"/>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388B36">
      <w:pPr>
        <w:spacing w:line="600" w:lineRule="exact"/>
        <w:ind w:firstLine="643" w:firstLineChars="200"/>
        <w:outlineLvl w:val="2"/>
        <w:rPr>
          <w:rFonts w:hint="default" w:ascii="Times New Roman" w:hAnsi="Times New Roman" w:eastAsia="方正仿宋_GBK" w:cs="Times New Roman"/>
          <w:b/>
          <w:color w:val="auto"/>
          <w:sz w:val="32"/>
          <w:szCs w:val="32"/>
          <w:highlight w:val="none"/>
        </w:rPr>
      </w:pPr>
      <w:bookmarkStart w:id="26" w:name="_Toc15377212"/>
      <w:r>
        <w:rPr>
          <w:rFonts w:hint="default" w:ascii="方正楷体_GBK" w:hAnsi="方正楷体_GBK" w:eastAsia="方正楷体_GBK" w:cs="方正楷体_GBK"/>
          <w:b/>
          <w:color w:val="auto"/>
          <w:sz w:val="32"/>
          <w:szCs w:val="32"/>
          <w:highlight w:val="none"/>
        </w:rPr>
        <w:t>（三）一般公共预算财政拨款支出决算具体情况</w:t>
      </w:r>
      <w:bookmarkEnd w:id="26"/>
    </w:p>
    <w:p w14:paraId="41DD507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27" w:name="_Toc15378460"/>
      <w:bookmarkStart w:id="28" w:name="_Toc15377444"/>
      <w:bookmarkStart w:id="29" w:name="_Toc15377213"/>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2024年度一般公共预算财政拨款支出决算数为763.44万元，完成预算100%。其中：</w:t>
      </w:r>
      <w:bookmarkEnd w:id="27"/>
      <w:bookmarkEnd w:id="28"/>
      <w:bookmarkEnd w:id="29"/>
    </w:p>
    <w:p w14:paraId="6838B9D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b/>
          <w:bCs/>
          <w:color w:val="auto"/>
          <w:sz w:val="32"/>
          <w:szCs w:val="32"/>
          <w:lang w:val="en-US" w:eastAsia="zh-CN"/>
        </w:rPr>
        <w:t>教育支出（类）</w:t>
      </w:r>
      <w:r>
        <w:rPr>
          <w:rFonts w:hint="default" w:ascii="Times New Roman" w:hAnsi="Times New Roman" w:eastAsia="方正仿宋_GBK" w:cs="Times New Roman"/>
          <w:color w:val="auto"/>
          <w:kern w:val="2"/>
          <w:sz w:val="32"/>
          <w:szCs w:val="32"/>
          <w:highlight w:val="none"/>
          <w:lang w:val="en-US" w:eastAsia="zh-CN" w:bidi="ar-SA"/>
        </w:rPr>
        <w:t>支出决算为674.43万元，完成预算100%。其中：</w:t>
      </w:r>
    </w:p>
    <w:p w14:paraId="067A895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①教育支出（类）教育管理事务（款）行政运行（项）：支出决算数为138.43万元。</w:t>
      </w:r>
    </w:p>
    <w:p w14:paraId="06F28B1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②教育支出（类）教育管理事务（款）其他教育管理事务支出（项）：支出决算数为0.70万元。</w:t>
      </w:r>
    </w:p>
    <w:p w14:paraId="10C7E1F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③教育支出（类）进修及培训（款）干部教育（项）：支出决算数为535.30万元。</w:t>
      </w:r>
    </w:p>
    <w:p w14:paraId="30A5DF9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rPr>
        <w:t>社会保障和就业</w:t>
      </w:r>
      <w:r>
        <w:rPr>
          <w:rFonts w:hint="default" w:ascii="Times New Roman" w:hAnsi="Times New Roman" w:eastAsia="方正仿宋_GBK" w:cs="Times New Roman"/>
          <w:b/>
          <w:bCs/>
          <w:color w:val="auto"/>
          <w:sz w:val="32"/>
          <w:szCs w:val="32"/>
          <w:lang w:eastAsia="zh-CN"/>
        </w:rPr>
        <w:t>支出（</w:t>
      </w:r>
      <w:r>
        <w:rPr>
          <w:rFonts w:hint="default" w:ascii="Times New Roman" w:hAnsi="Times New Roman" w:eastAsia="方正仿宋_GBK" w:cs="Times New Roman"/>
          <w:b/>
          <w:bCs/>
          <w:color w:val="auto"/>
          <w:sz w:val="32"/>
          <w:szCs w:val="32"/>
          <w:lang w:val="en-US" w:eastAsia="zh-CN"/>
        </w:rPr>
        <w:t>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kern w:val="2"/>
          <w:sz w:val="32"/>
          <w:szCs w:val="32"/>
          <w:highlight w:val="none"/>
          <w:lang w:val="en-US" w:eastAsia="zh-CN" w:bidi="ar-SA"/>
        </w:rPr>
        <w:t>支出决算为41.33万元，完成预算100%。其中：</w:t>
      </w:r>
    </w:p>
    <w:p w14:paraId="3FCA015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①社会保障和就业支出（类）行政事业单位养老支出（款）机关事业单位基本养老保险缴费支出（项）：支出决算数为28.15万元。</w:t>
      </w:r>
    </w:p>
    <w:p w14:paraId="17D8191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②社会保障和就业支出（类）行政事业单位养老支出（款）行政单位离退休（项）：支出决算数为7.45万元。</w:t>
      </w:r>
    </w:p>
    <w:p w14:paraId="119AB0C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③社会保障和就业支出（类）行政事业单位养老支出（款）事业单位离退休（项）：支出决算数为5.73万元。</w:t>
      </w:r>
    </w:p>
    <w:p w14:paraId="1B13164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卫生健康</w:t>
      </w:r>
      <w:r>
        <w:rPr>
          <w:rFonts w:hint="default" w:ascii="Times New Roman" w:hAnsi="Times New Roman" w:eastAsia="方正仿宋_GBK" w:cs="Times New Roman"/>
          <w:b/>
          <w:bCs/>
          <w:color w:val="auto"/>
          <w:sz w:val="32"/>
          <w:szCs w:val="32"/>
          <w:lang w:eastAsia="zh-CN"/>
        </w:rPr>
        <w:t>支出（</w:t>
      </w:r>
      <w:r>
        <w:rPr>
          <w:rFonts w:hint="default" w:ascii="Times New Roman" w:hAnsi="Times New Roman" w:eastAsia="方正仿宋_GBK" w:cs="Times New Roman"/>
          <w:b/>
          <w:bCs/>
          <w:color w:val="auto"/>
          <w:sz w:val="32"/>
          <w:szCs w:val="32"/>
          <w:lang w:val="en-US" w:eastAsia="zh-CN"/>
        </w:rPr>
        <w:t>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kern w:val="2"/>
          <w:sz w:val="32"/>
          <w:szCs w:val="32"/>
          <w:highlight w:val="none"/>
          <w:lang w:val="en-US" w:eastAsia="zh-CN" w:bidi="ar-SA"/>
        </w:rPr>
        <w:t>支出决算为24.60万元，完成预算100%。其中：</w:t>
      </w:r>
    </w:p>
    <w:p w14:paraId="5916850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①卫生健康支出（类）行政事业单位医疗（款）事业单位医疗（项）：支出决算数为6.19万元。  </w:t>
      </w:r>
    </w:p>
    <w:p w14:paraId="4BB583F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②卫生健康支出（类）行政事业单位医疗（款）行政单位医疗（项）：支出决算数为8.74万元。</w:t>
      </w:r>
    </w:p>
    <w:p w14:paraId="1A673F6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③卫生健康支出（类）行政事业单位医疗（款）公务员医疗补助（项）：支出决算数为0.9万元。</w:t>
      </w:r>
    </w:p>
    <w:p w14:paraId="7EB83B2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④卫生健康支出（类）行政事业单位医疗（款）其他行政事业单位医疗支出（项）：支出决算数为8.77万元。</w:t>
      </w:r>
    </w:p>
    <w:p w14:paraId="1DDA4668">
      <w:pPr>
        <w:tabs>
          <w:tab w:val="right" w:pos="8306"/>
        </w:tabs>
        <w:spacing w:line="600" w:lineRule="exact"/>
        <w:ind w:firstLine="640"/>
        <w:outlineLvl w:val="1"/>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lang w:val="en-US" w:eastAsia="zh-CN" w:bidi="ar-SA"/>
        </w:rPr>
        <w:t>4.住房保障支出</w:t>
      </w:r>
      <w:r>
        <w:rPr>
          <w:rFonts w:hint="default" w:ascii="Times New Roman" w:hAnsi="Times New Roman" w:eastAsia="方正仿宋_GBK" w:cs="Times New Roman"/>
          <w:kern w:val="2"/>
          <w:sz w:val="32"/>
          <w:szCs w:val="32"/>
          <w:lang w:val="en-US" w:eastAsia="zh-CN" w:bidi="ar-SA"/>
        </w:rPr>
        <w:t>（类）:</w:t>
      </w:r>
      <w:r>
        <w:rPr>
          <w:rFonts w:hint="default" w:ascii="Times New Roman" w:hAnsi="Times New Roman" w:eastAsia="方正仿宋_GBK" w:cs="Times New Roman"/>
          <w:color w:val="auto"/>
          <w:kern w:val="2"/>
          <w:sz w:val="32"/>
          <w:szCs w:val="32"/>
          <w:highlight w:val="none"/>
          <w:lang w:val="en-US" w:eastAsia="zh-CN" w:bidi="ar-SA"/>
        </w:rPr>
        <w:t>支出决算为23.08万元，完成预算100%。其中：</w:t>
      </w:r>
    </w:p>
    <w:p w14:paraId="19BCB2D5">
      <w:pPr>
        <w:tabs>
          <w:tab w:val="right" w:pos="8306"/>
        </w:tabs>
        <w:spacing w:line="600" w:lineRule="exact"/>
        <w:ind w:firstLine="640"/>
        <w:outlineLvl w:val="1"/>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住房保障支出（类）住房改革支出（款）住房公积金（项）：支出决算数为23.08万元。</w:t>
      </w:r>
    </w:p>
    <w:p w14:paraId="2613472B">
      <w:pPr>
        <w:tabs>
          <w:tab w:val="right" w:pos="8306"/>
        </w:tabs>
        <w:spacing w:line="600" w:lineRule="exact"/>
        <w:ind w:firstLine="640"/>
        <w:outlineLvl w:val="1"/>
        <w:rPr>
          <w:rStyle w:val="29"/>
          <w:rFonts w:hint="default" w:ascii="Times New Roman" w:hAnsi="Times New Roman" w:eastAsia="方正仿宋_GBK" w:cs="Times New Roman"/>
          <w:color w:val="auto"/>
          <w:sz w:val="32"/>
          <w:szCs w:val="32"/>
          <w:highlight w:val="none"/>
        </w:rPr>
      </w:pPr>
      <w:bookmarkStart w:id="30" w:name="_Toc15377214"/>
      <w:bookmarkStart w:id="31" w:name="_Toc15396608"/>
      <w:r>
        <w:rPr>
          <w:rFonts w:hint="default" w:ascii="方正黑体_GBK" w:hAnsi="方正黑体_GBK" w:eastAsia="方正黑体_GBK" w:cs="方正黑体_GBK"/>
          <w:color w:val="auto"/>
          <w:kern w:val="2"/>
          <w:sz w:val="32"/>
          <w:szCs w:val="32"/>
          <w:highlight w:val="none"/>
          <w:lang w:val="en-US" w:eastAsia="zh-CN" w:bidi="ar-SA"/>
        </w:rPr>
        <w:t>六、一般公共预算财政拨款基本支出决算情况说明</w:t>
      </w:r>
      <w:bookmarkEnd w:id="30"/>
      <w:bookmarkEnd w:id="31"/>
      <w:r>
        <w:rPr>
          <w:rStyle w:val="29"/>
          <w:rFonts w:hint="default" w:ascii="Times New Roman" w:hAnsi="Times New Roman" w:eastAsia="方正仿宋_GBK" w:cs="Times New Roman"/>
          <w:b w:val="0"/>
          <w:color w:val="auto"/>
          <w:sz w:val="32"/>
          <w:szCs w:val="32"/>
          <w:highlight w:val="none"/>
        </w:rPr>
        <w:tab/>
      </w:r>
    </w:p>
    <w:p w14:paraId="3412CC5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2024年度一般公共预算财政拨款基本支出326.33万元，其中：</w:t>
      </w:r>
    </w:p>
    <w:p w14:paraId="28A13E3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302.63万元，主要包括：基本工资、津贴补贴、奖金、绩效工资、机关事业单位基本养老保险缴费、职工基本医疗保险缴费、公务员医疗保险缴费、其他社会保障缴费、住房公积金、医疗费、其他工资福利支出、生活补助、医疗费补助、奖励金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公用经费23.7万元，主要包括：办公费、差旅费、培训费、公务接待费、工会经费、福利费、公务用车运行维护费、其他交通费、其他商品和服务支出等。</w:t>
      </w:r>
    </w:p>
    <w:p w14:paraId="67DC426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方正仿宋_GBK" w:cs="Times New Roman"/>
          <w:b w:val="0"/>
          <w:color w:val="auto"/>
          <w:sz w:val="32"/>
          <w:szCs w:val="32"/>
          <w:highlight w:val="none"/>
        </w:rPr>
      </w:pPr>
      <w:bookmarkStart w:id="32" w:name="_Toc15377215"/>
      <w:bookmarkStart w:id="33" w:name="_Toc15396609"/>
      <w:r>
        <w:rPr>
          <w:rFonts w:hint="default" w:ascii="方正黑体_GBK" w:hAnsi="方正黑体_GBK" w:eastAsia="方正黑体_GBK" w:cs="方正黑体_GBK"/>
          <w:color w:val="auto"/>
          <w:sz w:val="32"/>
          <w:szCs w:val="32"/>
          <w:highlight w:val="none"/>
          <w:lang w:eastAsia="zh-CN"/>
        </w:rPr>
        <w:t>七、财政拨款“三公”经费支出决算情况说明</w:t>
      </w:r>
      <w:bookmarkEnd w:id="32"/>
      <w:bookmarkEnd w:id="33"/>
    </w:p>
    <w:p w14:paraId="46FBCACF">
      <w:pPr>
        <w:spacing w:line="600" w:lineRule="exact"/>
        <w:ind w:firstLine="643" w:firstLineChars="200"/>
        <w:outlineLvl w:val="2"/>
        <w:rPr>
          <w:rFonts w:hint="default" w:ascii="Times New Roman" w:hAnsi="Times New Roman" w:eastAsia="方正仿宋_GBK" w:cs="Times New Roman"/>
          <w:b/>
          <w:color w:val="auto"/>
          <w:sz w:val="32"/>
          <w:szCs w:val="32"/>
          <w:highlight w:val="none"/>
        </w:rPr>
      </w:pPr>
      <w:bookmarkStart w:id="34" w:name="_Toc15377216"/>
      <w:r>
        <w:rPr>
          <w:rFonts w:hint="default" w:ascii="方正楷体_GBK" w:hAnsi="方正楷体_GBK" w:eastAsia="方正楷体_GBK" w:cs="方正楷体_GBK"/>
          <w:b/>
          <w:color w:val="auto"/>
          <w:sz w:val="32"/>
          <w:szCs w:val="32"/>
          <w:highlight w:val="none"/>
        </w:rPr>
        <w:t>（一）“三公”经费财政拨款支出决算总体情况说明</w:t>
      </w:r>
      <w:bookmarkEnd w:id="34"/>
    </w:p>
    <w:p w14:paraId="34A71934">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sz w:val="32"/>
          <w:szCs w:val="32"/>
        </w:rPr>
        <w:t>0.84</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%，较上年度减少0.13万元，下降13.41%。</w:t>
      </w:r>
    </w:p>
    <w:p w14:paraId="1202E023">
      <w:pPr>
        <w:spacing w:line="600" w:lineRule="exact"/>
        <w:ind w:firstLine="643" w:firstLineChars="200"/>
        <w:outlineLvl w:val="2"/>
        <w:rPr>
          <w:rFonts w:hint="default" w:ascii="Times New Roman" w:hAnsi="Times New Roman" w:eastAsia="方正仿宋_GBK" w:cs="Times New Roman"/>
          <w:b/>
          <w:color w:val="auto"/>
          <w:sz w:val="32"/>
          <w:szCs w:val="32"/>
          <w:highlight w:val="none"/>
        </w:rPr>
      </w:pPr>
      <w:bookmarkStart w:id="35" w:name="_Toc15377217"/>
      <w:r>
        <w:rPr>
          <w:rFonts w:hint="default" w:ascii="方正楷体_GBK" w:hAnsi="方正楷体_GBK" w:eastAsia="方正楷体_GBK" w:cs="方正楷体_GBK"/>
          <w:b/>
          <w:color w:val="auto"/>
          <w:sz w:val="32"/>
          <w:szCs w:val="32"/>
          <w:highlight w:val="none"/>
        </w:rPr>
        <w:t>（二）“三公”经费财政拨款支出决算具体情况说明</w:t>
      </w:r>
      <w:bookmarkEnd w:id="35"/>
    </w:p>
    <w:p w14:paraId="204CF69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方正仿宋_GBK" w:cs="Times New Roman"/>
          <w:sz w:val="32"/>
          <w:szCs w:val="32"/>
        </w:rPr>
        <w:t>0.72</w:t>
      </w:r>
      <w:r>
        <w:rPr>
          <w:rFonts w:hint="default" w:ascii="Times New Roman" w:hAnsi="Times New Roman" w:eastAsia="方正仿宋_GBK" w:cs="Times New Roman"/>
          <w:color w:val="auto"/>
          <w:kern w:val="2"/>
          <w:sz w:val="32"/>
          <w:szCs w:val="32"/>
          <w:highlight w:val="none"/>
          <w:lang w:val="en-US" w:eastAsia="zh-CN" w:bidi="ar-SA"/>
        </w:rPr>
        <w:t>万元，占85.71%；公务接待费支出决算</w:t>
      </w:r>
      <w:r>
        <w:rPr>
          <w:rFonts w:hint="default" w:ascii="Times New Roman" w:hAnsi="Times New Roman" w:eastAsia="方正仿宋_GBK" w:cs="Times New Roman"/>
          <w:sz w:val="32"/>
          <w:szCs w:val="32"/>
        </w:rPr>
        <w:t>0.12</w:t>
      </w:r>
      <w:r>
        <w:rPr>
          <w:rFonts w:hint="default" w:ascii="Times New Roman" w:hAnsi="Times New Roman" w:eastAsia="方正仿宋_GBK" w:cs="Times New Roman"/>
          <w:color w:val="auto"/>
          <w:kern w:val="2"/>
          <w:sz w:val="32"/>
          <w:szCs w:val="32"/>
          <w:highlight w:val="none"/>
          <w:lang w:val="en-US" w:eastAsia="zh-CN" w:bidi="ar-SA"/>
        </w:rPr>
        <w:t>万元，占14.29%。具体情况如下：</w:t>
      </w:r>
    </w:p>
    <w:p w14:paraId="28454D6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（图7：“三公”经费财政拨款支出结构）</w:t>
      </w:r>
    </w:p>
    <w:p w14:paraId="23AAE756">
      <w:pPr>
        <w:pStyle w:val="13"/>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5242560" cy="4038600"/>
            <wp:effectExtent l="4445" t="4445" r="1079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F8B8A7">
      <w:pPr>
        <w:pStyle w:val="13"/>
        <w:rPr>
          <w:rFonts w:hint="default" w:ascii="Times New Roman" w:hAnsi="Times New Roman" w:eastAsia="方正仿宋_GBK" w:cs="Times New Roman"/>
          <w:sz w:val="32"/>
          <w:szCs w:val="32"/>
          <w:lang w:val="en-US" w:eastAsia="zh-CN"/>
        </w:rPr>
      </w:pPr>
    </w:p>
    <w:p w14:paraId="19852835">
      <w:pPr>
        <w:numPr>
          <w:ilvl w:val="0"/>
          <w:numId w:val="0"/>
        </w:numPr>
        <w:spacing w:line="600" w:lineRule="exact"/>
        <w:ind w:firstLine="643"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人。因公出国（境）支出决算与2023年持平。</w:t>
      </w:r>
    </w:p>
    <w:p w14:paraId="440EBA28">
      <w:pPr>
        <w:numPr>
          <w:ilvl w:val="0"/>
          <w:numId w:val="0"/>
        </w:numPr>
        <w:spacing w:line="600" w:lineRule="exact"/>
        <w:ind w:firstLine="643"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2.公务用车购置及运行维护费支出0.72万元，完成预算100%。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公务用车购置及运行维护费支出决算比2023年度减少0.25万元，下降25.75%。主要原因是中途公务用车划拨给机关事务管理局。</w:t>
      </w:r>
    </w:p>
    <w:p w14:paraId="15F7B3A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万元。全年按规定更新购置公务用车0辆，其中：轿车0辆、金额0万元，越野车0辆、金额0万元，载客汽车0辆、金额0万元。截至2024年12月31日，单位共有公务用车1辆，其中：轿车1辆、越野车0辆、载客汽车0辆。</w:t>
      </w:r>
    </w:p>
    <w:p w14:paraId="34566B9B">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w:t>
      </w:r>
      <w:r>
        <w:rPr>
          <w:rFonts w:hint="default" w:ascii="Times New Roman" w:hAnsi="Times New Roman" w:eastAsia="方正仿宋_GBK" w:cs="Times New Roman"/>
          <w:sz w:val="32"/>
          <w:szCs w:val="32"/>
        </w:rPr>
        <w:t>0.72</w:t>
      </w:r>
      <w:r>
        <w:rPr>
          <w:rFonts w:hint="default" w:ascii="Times New Roman" w:hAnsi="Times New Roman" w:eastAsia="方正仿宋_GBK" w:cs="Times New Roman"/>
          <w:color w:val="auto"/>
          <w:kern w:val="2"/>
          <w:sz w:val="32"/>
          <w:szCs w:val="32"/>
          <w:highlight w:val="none"/>
          <w:lang w:val="en-US" w:eastAsia="zh-CN" w:bidi="ar-SA"/>
        </w:rPr>
        <w:t>万元。主要</w:t>
      </w:r>
      <w:r>
        <w:rPr>
          <w:rFonts w:hint="default" w:ascii="Times New Roman" w:hAnsi="Times New Roman" w:eastAsia="方正仿宋_GBK" w:cs="Times New Roman"/>
          <w:sz w:val="32"/>
          <w:szCs w:val="32"/>
        </w:rPr>
        <w:t>用于</w:t>
      </w:r>
      <w:r>
        <w:rPr>
          <w:rFonts w:hint="default" w:ascii="Times New Roman" w:hAnsi="Times New Roman" w:eastAsia="方正仿宋_GBK" w:cs="Times New Roman"/>
          <w:sz w:val="32"/>
          <w:szCs w:val="32"/>
          <w:lang w:val="en-US" w:eastAsia="zh-CN"/>
        </w:rPr>
        <w:t>森林防灭火、调研、宣讲等工作</w:t>
      </w:r>
      <w:r>
        <w:rPr>
          <w:rFonts w:hint="default" w:ascii="Times New Roman" w:hAnsi="Times New Roman" w:eastAsia="方正仿宋_GBK" w:cs="Times New Roman"/>
          <w:sz w:val="32"/>
          <w:szCs w:val="32"/>
        </w:rPr>
        <w:t>所需的公务用车燃料费、保险费等支出。</w:t>
      </w:r>
    </w:p>
    <w:p w14:paraId="0E48C47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3.公务接待费支出0.12万元，完成预算100%。</w:t>
      </w:r>
      <w:r>
        <w:rPr>
          <w:rFonts w:hint="default" w:ascii="Times New Roman" w:hAnsi="Times New Roman" w:eastAsia="方正仿宋_GBK" w:cs="Times New Roman"/>
          <w:color w:val="auto"/>
          <w:kern w:val="2"/>
          <w:sz w:val="32"/>
          <w:szCs w:val="32"/>
          <w:highlight w:val="none"/>
          <w:lang w:val="en-US" w:eastAsia="zh-CN" w:bidi="ar-SA"/>
        </w:rPr>
        <w:t>公务接待费支出决算比2023年度增加0.12万元，增长100%。主要原因是开展公务接待。其中：</w:t>
      </w:r>
    </w:p>
    <w:p w14:paraId="3CD14C4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sz w:val="32"/>
          <w:szCs w:val="32"/>
        </w:rPr>
        <w:t>0.12</w:t>
      </w:r>
      <w:r>
        <w:rPr>
          <w:rFonts w:hint="default" w:ascii="Times New Roman" w:hAnsi="Times New Roman" w:eastAsia="方正仿宋_GBK" w:cs="Times New Roman"/>
          <w:color w:val="auto"/>
          <w:kern w:val="2"/>
          <w:sz w:val="32"/>
          <w:szCs w:val="32"/>
          <w:highlight w:val="none"/>
          <w:lang w:val="en-US" w:eastAsia="zh-CN" w:bidi="ar-SA"/>
        </w:rPr>
        <w:t>万元，主要用于接待省委党校(执行公务、开展业务活动开支的会议费、用餐费等)。国内公务接待</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color w:val="auto"/>
          <w:kern w:val="2"/>
          <w:sz w:val="32"/>
          <w:szCs w:val="32"/>
          <w:highlight w:val="none"/>
          <w:lang w:val="en-US" w:eastAsia="zh-CN" w:bidi="ar-SA"/>
        </w:rPr>
        <w:t>人次（不包括陪同人员），共计支出0.12万元，具体内容包括：用餐费和会议室租赁费。</w:t>
      </w:r>
    </w:p>
    <w:p w14:paraId="1BAC8FB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人次（不包括陪同人员），共计支出0万元。</w:t>
      </w:r>
      <w:bookmarkStart w:id="36" w:name="_Toc15396610"/>
      <w:bookmarkStart w:id="37" w:name="_Toc15377218"/>
    </w:p>
    <w:p w14:paraId="1D5D57B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lang w:eastAsia="zh-CN"/>
        </w:rPr>
        <w:t>八、政府性基金预算支出决算情况说明</w:t>
      </w:r>
      <w:bookmarkEnd w:id="36"/>
      <w:bookmarkEnd w:id="37"/>
    </w:p>
    <w:p w14:paraId="4231499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%。与2023年度相比，政府性基金预算财政拨款支出持平。</w:t>
      </w:r>
    </w:p>
    <w:p w14:paraId="3E5AEF8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方正仿宋_GBK" w:cs="Times New Roman"/>
          <w:b w:val="0"/>
          <w:color w:val="auto"/>
          <w:sz w:val="32"/>
          <w:szCs w:val="32"/>
          <w:highlight w:val="none"/>
        </w:rPr>
      </w:pPr>
      <w:bookmarkStart w:id="38" w:name="_Toc15377219"/>
      <w:bookmarkStart w:id="39" w:name="_Toc15396611"/>
      <w:r>
        <w:rPr>
          <w:rFonts w:hint="default" w:ascii="方正黑体_GBK" w:hAnsi="方正黑体_GBK" w:eastAsia="方正黑体_GBK" w:cs="方正黑体_GBK"/>
          <w:color w:val="auto"/>
          <w:sz w:val="32"/>
          <w:szCs w:val="32"/>
          <w:highlight w:val="none"/>
          <w:lang w:eastAsia="zh-CN"/>
        </w:rPr>
        <w:t>九、国有资本经营预算支出决算情况说明</w:t>
      </w:r>
      <w:bookmarkEnd w:id="38"/>
      <w:bookmarkEnd w:id="39"/>
    </w:p>
    <w:p w14:paraId="7512C56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%。与2023年度相比，国有资本经营预算财政拨款支出持平。</w:t>
      </w:r>
    </w:p>
    <w:p w14:paraId="28526DC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方正仿宋_GBK" w:cs="Times New Roman"/>
          <w:b w:val="0"/>
          <w:color w:val="auto"/>
          <w:sz w:val="32"/>
          <w:szCs w:val="32"/>
          <w:highlight w:val="none"/>
        </w:rPr>
      </w:pPr>
      <w:bookmarkStart w:id="40" w:name="_Toc15377221"/>
      <w:bookmarkStart w:id="41" w:name="_Toc15396612"/>
      <w:r>
        <w:rPr>
          <w:rFonts w:hint="default" w:ascii="方正黑体_GBK" w:hAnsi="方正黑体_GBK" w:eastAsia="方正黑体_GBK" w:cs="方正黑体_GBK"/>
          <w:color w:val="auto"/>
          <w:sz w:val="32"/>
          <w:szCs w:val="32"/>
          <w:highlight w:val="none"/>
          <w:lang w:eastAsia="zh-CN"/>
        </w:rPr>
        <w:t>十、其他重要事项的情况说明</w:t>
      </w:r>
      <w:bookmarkEnd w:id="40"/>
      <w:bookmarkEnd w:id="41"/>
    </w:p>
    <w:p w14:paraId="3EC8B99D">
      <w:pPr>
        <w:spacing w:line="600" w:lineRule="exact"/>
        <w:ind w:firstLine="643" w:firstLineChars="200"/>
        <w:outlineLvl w:val="2"/>
        <w:rPr>
          <w:rFonts w:hint="default" w:ascii="Times New Roman" w:hAnsi="Times New Roman" w:eastAsia="方正仿宋_GBK" w:cs="Times New Roman"/>
          <w:b/>
          <w:color w:val="auto"/>
          <w:sz w:val="32"/>
          <w:szCs w:val="32"/>
          <w:highlight w:val="none"/>
        </w:rPr>
      </w:pPr>
      <w:bookmarkStart w:id="42" w:name="_Toc15377222"/>
      <w:r>
        <w:rPr>
          <w:rFonts w:hint="default" w:ascii="方正楷体_GBK" w:hAnsi="方正楷体_GBK" w:eastAsia="方正楷体_GBK" w:cs="方正楷体_GBK"/>
          <w:b/>
          <w:color w:val="auto"/>
          <w:sz w:val="32"/>
          <w:szCs w:val="32"/>
          <w:highlight w:val="none"/>
        </w:rPr>
        <w:t>（一）机关运行经费支出情况</w:t>
      </w:r>
      <w:bookmarkEnd w:id="42"/>
    </w:p>
    <w:p w14:paraId="594B22F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中共盐边县委党校</w:t>
      </w:r>
      <w:r>
        <w:rPr>
          <w:rFonts w:hint="default" w:ascii="Times New Roman" w:hAnsi="Times New Roman" w:eastAsia="方正仿宋_GBK" w:cs="Times New Roman"/>
          <w:color w:val="auto"/>
          <w:kern w:val="2"/>
          <w:sz w:val="32"/>
          <w:szCs w:val="32"/>
          <w:highlight w:val="none"/>
          <w:lang w:val="en-US" w:eastAsia="zh-CN" w:bidi="ar-SA"/>
        </w:rPr>
        <w:t>机关运行经费支出</w:t>
      </w:r>
      <w:r>
        <w:rPr>
          <w:rFonts w:hint="default" w:ascii="Times New Roman" w:hAnsi="Times New Roman" w:eastAsia="方正仿宋_GBK" w:cs="Times New Roman"/>
          <w:sz w:val="32"/>
          <w:szCs w:val="32"/>
        </w:rPr>
        <w:t>23.7</w:t>
      </w:r>
      <w:r>
        <w:rPr>
          <w:rFonts w:hint="default" w:ascii="Times New Roman" w:hAnsi="Times New Roman" w:eastAsia="方正仿宋_GBK" w:cs="Times New Roman"/>
          <w:color w:val="auto"/>
          <w:kern w:val="2"/>
          <w:sz w:val="32"/>
          <w:szCs w:val="32"/>
          <w:highlight w:val="none"/>
          <w:lang w:val="en-US" w:eastAsia="zh-CN" w:bidi="ar-SA"/>
        </w:rPr>
        <w:t>万元，比2023年度减少119.4万元，下降83.44%。主要原因是行政运行中的培训费减少。</w:t>
      </w:r>
    </w:p>
    <w:p w14:paraId="7117FFC2">
      <w:pPr>
        <w:spacing w:line="600" w:lineRule="exact"/>
        <w:ind w:firstLine="643" w:firstLineChars="200"/>
        <w:outlineLvl w:val="2"/>
        <w:rPr>
          <w:rFonts w:hint="default" w:ascii="Times New Roman" w:hAnsi="Times New Roman" w:eastAsia="方正仿宋_GBK" w:cs="Times New Roman"/>
          <w:b/>
          <w:color w:val="auto"/>
          <w:sz w:val="32"/>
          <w:szCs w:val="32"/>
          <w:highlight w:val="none"/>
        </w:rPr>
      </w:pPr>
      <w:bookmarkStart w:id="43" w:name="_Toc15377223"/>
      <w:r>
        <w:rPr>
          <w:rFonts w:hint="default" w:ascii="方正楷体_GBK" w:hAnsi="方正楷体_GBK" w:eastAsia="方正楷体_GBK" w:cs="方正楷体_GBK"/>
          <w:b/>
          <w:color w:val="auto"/>
          <w:sz w:val="32"/>
          <w:szCs w:val="32"/>
          <w:highlight w:val="none"/>
        </w:rPr>
        <w:t>（二）政府采购支出情况</w:t>
      </w:r>
      <w:bookmarkEnd w:id="43"/>
    </w:p>
    <w:p w14:paraId="698500D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中共盐边县委党校</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sz w:val="32"/>
          <w:szCs w:val="32"/>
        </w:rPr>
        <w:t>0.89</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sz w:val="32"/>
          <w:szCs w:val="32"/>
        </w:rPr>
        <w:t>0.59</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0.3</w:t>
      </w:r>
      <w:r>
        <w:rPr>
          <w:rFonts w:hint="default" w:ascii="Times New Roman" w:hAnsi="Times New Roman" w:eastAsia="方正仿宋_GBK" w:cs="Times New Roman"/>
          <w:color w:val="auto"/>
          <w:kern w:val="2"/>
          <w:sz w:val="32"/>
          <w:szCs w:val="32"/>
          <w:highlight w:val="none"/>
          <w:lang w:val="en-US" w:eastAsia="zh-CN" w:bidi="ar-SA"/>
        </w:rPr>
        <w:t>万元。主要用于机动车保险服务直接选定采购和台式计算机直接选定采购。授予中小企业合同金额</w:t>
      </w:r>
      <w:r>
        <w:rPr>
          <w:rFonts w:hint="default" w:ascii="Times New Roman" w:hAnsi="Times New Roman" w:eastAsia="方正仿宋_GBK" w:cs="Times New Roman"/>
          <w:sz w:val="32"/>
          <w:szCs w:val="32"/>
        </w:rPr>
        <w:t>0.59</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66.27</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w:t>
      </w:r>
    </w:p>
    <w:p w14:paraId="1083CC41">
      <w:pPr>
        <w:spacing w:line="600" w:lineRule="exact"/>
        <w:ind w:firstLine="643" w:firstLineChars="200"/>
        <w:outlineLvl w:val="2"/>
        <w:rPr>
          <w:rFonts w:hint="default" w:ascii="Times New Roman" w:hAnsi="Times New Roman" w:eastAsia="方正仿宋_GBK" w:cs="Times New Roman"/>
          <w:b/>
          <w:color w:val="auto"/>
          <w:sz w:val="32"/>
          <w:szCs w:val="32"/>
          <w:highlight w:val="none"/>
        </w:rPr>
      </w:pPr>
      <w:bookmarkStart w:id="44" w:name="_Toc15377224"/>
      <w:r>
        <w:rPr>
          <w:rFonts w:hint="default" w:ascii="方正楷体_GBK" w:hAnsi="方正楷体_GBK" w:eastAsia="方正楷体_GBK" w:cs="方正楷体_GBK"/>
          <w:b/>
          <w:color w:val="auto"/>
          <w:sz w:val="32"/>
          <w:szCs w:val="32"/>
          <w:highlight w:val="none"/>
        </w:rPr>
        <w:t>（三）国有资产占有使用情况</w:t>
      </w:r>
      <w:bookmarkEnd w:id="44"/>
    </w:p>
    <w:p w14:paraId="7F2D9A6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w:t>
      </w:r>
      <w:r>
        <w:rPr>
          <w:rFonts w:hint="default" w:ascii="Times New Roman" w:hAnsi="Times New Roman" w:eastAsia="方正仿宋_GBK" w:cs="Times New Roman"/>
          <w:sz w:val="32"/>
          <w:szCs w:val="32"/>
        </w:rPr>
        <w:t>中共盐边县委党校</w:t>
      </w:r>
      <w:r>
        <w:rPr>
          <w:rFonts w:hint="default" w:ascii="Times New Roman" w:hAnsi="Times New Roman" w:eastAsia="方正仿宋_GBK" w:cs="Times New Roman"/>
          <w:color w:val="auto"/>
          <w:kern w:val="2"/>
          <w:sz w:val="32"/>
          <w:szCs w:val="32"/>
          <w:highlight w:val="none"/>
          <w:lang w:val="en-US" w:eastAsia="zh-CN" w:bidi="ar-SA"/>
        </w:rPr>
        <w:t>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kern w:val="2"/>
          <w:sz w:val="32"/>
          <w:szCs w:val="32"/>
          <w:highlight w:val="none"/>
          <w:lang w:val="en-US" w:eastAsia="zh-CN" w:bidi="ar-SA"/>
        </w:rPr>
        <w:t>辆，其中：主要负责人用车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辆、其他用车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kern w:val="2"/>
          <w:sz w:val="32"/>
          <w:szCs w:val="32"/>
          <w:highlight w:val="none"/>
          <w:lang w:val="en-US" w:eastAsia="zh-CN" w:bidi="ar-SA"/>
        </w:rPr>
        <w:t>辆，其他用车主要是用于</w:t>
      </w:r>
      <w:r>
        <w:rPr>
          <w:rFonts w:hint="default" w:ascii="Times New Roman" w:hAnsi="Times New Roman" w:eastAsia="方正仿宋_GBK" w:cs="Times New Roman"/>
          <w:sz w:val="32"/>
          <w:szCs w:val="32"/>
          <w:lang w:val="en-US" w:eastAsia="zh-CN"/>
        </w:rPr>
        <w:t>森林防灭火、调研、宣讲等工作</w:t>
      </w:r>
      <w:r>
        <w:rPr>
          <w:rFonts w:hint="default" w:ascii="Times New Roman" w:hAnsi="Times New Roman" w:eastAsia="方正仿宋_GBK" w:cs="Times New Roman"/>
          <w:sz w:val="32"/>
          <w:szCs w:val="32"/>
        </w:rPr>
        <w:t>所需的公务用车燃料费、保险费等支出</w:t>
      </w:r>
      <w:r>
        <w:rPr>
          <w:rFonts w:hint="default" w:ascii="Times New Roman" w:hAnsi="Times New Roman" w:eastAsia="方正仿宋_GBK" w:cs="Times New Roman"/>
          <w:color w:val="auto"/>
          <w:kern w:val="2"/>
          <w:sz w:val="32"/>
          <w:szCs w:val="32"/>
          <w:highlight w:val="none"/>
          <w:lang w:val="en-US" w:eastAsia="zh-CN" w:bidi="ar-SA"/>
        </w:rPr>
        <w:t>。单价100万元（含）以上设备（不含车辆）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台（套）。</w:t>
      </w:r>
    </w:p>
    <w:p w14:paraId="4A2FD993">
      <w:pPr>
        <w:spacing w:line="600" w:lineRule="exact"/>
        <w:ind w:firstLine="643" w:firstLineChars="200"/>
        <w:outlineLvl w:val="2"/>
        <w:rPr>
          <w:rFonts w:hint="default" w:ascii="Times New Roman" w:hAnsi="Times New Roman" w:eastAsia="方正仿宋_GBK" w:cs="Times New Roman"/>
          <w:b/>
          <w:color w:val="auto"/>
          <w:sz w:val="32"/>
          <w:szCs w:val="32"/>
          <w:highlight w:val="none"/>
        </w:rPr>
      </w:pPr>
      <w:r>
        <w:rPr>
          <w:rFonts w:hint="default" w:ascii="方正楷体_GBK" w:hAnsi="方正楷体_GBK" w:eastAsia="方正楷体_GBK" w:cs="方正楷体_GBK"/>
          <w:b/>
          <w:color w:val="auto"/>
          <w:sz w:val="32"/>
          <w:szCs w:val="32"/>
          <w:highlight w:val="none"/>
        </w:rPr>
        <w:t>（四）预算绩效管理情况</w:t>
      </w:r>
    </w:p>
    <w:p w14:paraId="08F8A8E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根据预算绩效管理要求，本单位在2024年度预算编制阶段，组织主体班干部教育项目、科研资政项目、现场教学点位打造项目、2024年办公楼租赁项目、通用办公设备采购等</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个项目开展了预算事前绩效评估，对</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个项目编制了绩效目标，预算执行过程中，选取</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个项目开展绩效监控，组织对</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个项目开展绩效自评，绩效自评表详见第四部分附件。</w:t>
      </w:r>
    </w:p>
    <w:p w14:paraId="2BEAF476">
      <w:pPr>
        <w:numPr>
          <w:ilvl w:val="0"/>
          <w:numId w:val="0"/>
        </w:numPr>
        <w:spacing w:line="600" w:lineRule="exact"/>
        <w:jc w:val="center"/>
        <w:outlineLvl w:val="0"/>
        <w:rPr>
          <w:rFonts w:hint="eastAsia" w:ascii="方正小标宋_GBK" w:hAnsi="方正小标宋_GBK" w:eastAsia="方正小标宋_GBK" w:cs="方正小标宋_GBK"/>
          <w:b/>
          <w:bCs/>
          <w:color w:val="auto"/>
          <w:sz w:val="44"/>
          <w:szCs w:val="44"/>
          <w:highlight w:val="none"/>
        </w:rPr>
      </w:pPr>
      <w:bookmarkStart w:id="45" w:name="_Toc15377225"/>
      <w:bookmarkStart w:id="46" w:name="_Toc15396613"/>
      <w:r>
        <w:rPr>
          <w:rFonts w:hint="eastAsia" w:ascii="方正小标宋_GBK" w:hAnsi="方正小标宋_GBK" w:eastAsia="方正小标宋_GBK" w:cs="方正小标宋_GBK"/>
          <w:b/>
          <w:bCs/>
          <w:color w:val="auto"/>
          <w:sz w:val="44"/>
          <w:szCs w:val="44"/>
          <w:highlight w:val="none"/>
        </w:rPr>
        <w:t>第</w:t>
      </w:r>
      <w:r>
        <w:rPr>
          <w:rFonts w:hint="eastAsia" w:ascii="方正小标宋_GBK" w:hAnsi="方正小标宋_GBK" w:eastAsia="方正小标宋_GBK" w:cs="方正小标宋_GBK"/>
          <w:b/>
          <w:bCs/>
          <w:color w:val="auto"/>
          <w:sz w:val="44"/>
          <w:szCs w:val="44"/>
          <w:highlight w:val="none"/>
          <w:lang w:eastAsia="zh-CN"/>
        </w:rPr>
        <w:t>三</w:t>
      </w:r>
      <w:r>
        <w:rPr>
          <w:rFonts w:hint="eastAsia" w:ascii="方正小标宋_GBK" w:hAnsi="方正小标宋_GBK" w:eastAsia="方正小标宋_GBK" w:cs="方正小标宋_GBK"/>
          <w:b/>
          <w:bCs/>
          <w:color w:val="auto"/>
          <w:sz w:val="44"/>
          <w:szCs w:val="44"/>
          <w:highlight w:val="none"/>
        </w:rPr>
        <w:t>部分</w:t>
      </w:r>
      <w:r>
        <w:rPr>
          <w:rFonts w:hint="eastAsia" w:ascii="方正小标宋_GBK" w:hAnsi="方正小标宋_GBK" w:eastAsia="方正小标宋_GBK" w:cs="方正小标宋_GBK"/>
          <w:b/>
          <w:bCs/>
          <w:color w:val="auto"/>
          <w:sz w:val="44"/>
          <w:szCs w:val="44"/>
          <w:highlight w:val="none"/>
          <w:lang w:val="en-US" w:eastAsia="zh-CN"/>
        </w:rPr>
        <w:t xml:space="preserve">  </w:t>
      </w:r>
      <w:r>
        <w:rPr>
          <w:rFonts w:hint="eastAsia" w:ascii="方正小标宋_GBK" w:hAnsi="方正小标宋_GBK" w:eastAsia="方正小标宋_GBK" w:cs="方正小标宋_GBK"/>
          <w:b/>
          <w:bCs/>
          <w:color w:val="auto"/>
          <w:sz w:val="44"/>
          <w:szCs w:val="44"/>
          <w:highlight w:val="none"/>
        </w:rPr>
        <w:t>名词解释</w:t>
      </w:r>
      <w:bookmarkEnd w:id="45"/>
      <w:bookmarkEnd w:id="46"/>
    </w:p>
    <w:p w14:paraId="58DABA8C">
      <w:pPr>
        <w:spacing w:line="600" w:lineRule="exact"/>
        <w:jc w:val="left"/>
        <w:rPr>
          <w:rFonts w:hint="default" w:ascii="Times New Roman" w:hAnsi="Times New Roman" w:eastAsia="方正仿宋_GBK" w:cs="Times New Roman"/>
          <w:b/>
          <w:color w:val="auto"/>
          <w:sz w:val="32"/>
          <w:szCs w:val="32"/>
          <w:highlight w:val="none"/>
        </w:rPr>
      </w:pPr>
    </w:p>
    <w:p w14:paraId="2E15FEF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1.财政拨款收入：指单位从同级财政部门取得的财政预算资金。</w:t>
      </w:r>
    </w:p>
    <w:p w14:paraId="63212D5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2.事业收入：指事业单位开展专业业务活动及辅助活动取得的收入。</w:t>
      </w:r>
    </w:p>
    <w:p w14:paraId="550E039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286BEB1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4.其他收入：</w:t>
      </w:r>
      <w:r>
        <w:rPr>
          <w:rFonts w:hint="default" w:ascii="Times New Roman" w:hAnsi="Times New Roman" w:eastAsia="方正仿宋_GBK" w:cs="Times New Roman"/>
          <w:color w:val="auto"/>
          <w:kern w:val="2"/>
          <w:sz w:val="32"/>
          <w:szCs w:val="32"/>
          <w:highlight w:val="none"/>
          <w:lang w:val="zh-CN" w:eastAsia="zh-CN" w:bidi="ar-SA"/>
        </w:rPr>
        <w:t>中央与地方共用收入科目。反映除上述项目以外的其他收入</w:t>
      </w:r>
      <w:r>
        <w:rPr>
          <w:rFonts w:hint="default" w:ascii="Times New Roman" w:hAnsi="Times New Roman" w:eastAsia="方正仿宋_GBK" w:cs="Times New Roman"/>
          <w:color w:val="auto"/>
          <w:kern w:val="2"/>
          <w:sz w:val="32"/>
          <w:szCs w:val="32"/>
          <w:highlight w:val="none"/>
          <w:lang w:val="en-US" w:eastAsia="zh-CN" w:bidi="ar-SA"/>
        </w:rPr>
        <w:t xml:space="preserve">。 </w:t>
      </w:r>
    </w:p>
    <w:p w14:paraId="7C766A6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39D811A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6.年初结转和结余：指以前年度尚未完成、结转到本年按有关规定继续使用的资金。 </w:t>
      </w:r>
    </w:p>
    <w:p w14:paraId="012DBDA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17C58C8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8.年末结转和结余：指单位按有关规定结转到下年或以后年度继续使用的资金。</w:t>
      </w:r>
    </w:p>
    <w:p w14:paraId="7D6F46D7">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9.教育（类）教育管理事务（款）行政运行（项）：指反映行政单位（包括实行公务员管理的事业单位）的基本支出。</w:t>
      </w:r>
    </w:p>
    <w:p w14:paraId="4B9F52F7">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10.教育（类）教育管理事务（款）其他教育管理事务支出（项）：指反映除上述项目以外其他用教育管理事务方面的支出。</w:t>
      </w:r>
    </w:p>
    <w:p w14:paraId="1260ABBC">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11.教育（类）进行及培训（款）干部教育（项）：指反映各级党校、行政学院、社会主义学院、国家会计学院的支出。</w:t>
      </w:r>
    </w:p>
    <w:p w14:paraId="165B2A81">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12.社会保障和就业支出（类）行政事业单位养老支出（款）事业单位离退休费（项）：反映事业单位开支的离退休经费。</w:t>
      </w:r>
    </w:p>
    <w:p w14:paraId="5AB016A7">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13.社会保障和就业支出（类）行政事业单位养老支出（款）行政单位离退休费（项）：反映行政单位（包括实行公务员管理的事业单位）开支的离退休经费。</w:t>
      </w:r>
    </w:p>
    <w:p w14:paraId="66F6CBF1">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zh-CN" w:eastAsia="zh-CN" w:bidi="ar-SA"/>
        </w:rPr>
        <w:t>.社会保障和就业支出（类）</w:t>
      </w:r>
      <w:r>
        <w:rPr>
          <w:rFonts w:hint="default" w:ascii="Times New Roman" w:hAnsi="Times New Roman" w:eastAsia="方正仿宋_GBK" w:cs="Times New Roman"/>
          <w:color w:val="auto"/>
          <w:kern w:val="2"/>
          <w:sz w:val="32"/>
          <w:szCs w:val="32"/>
          <w:highlight w:val="none"/>
          <w:lang w:val="en-US" w:eastAsia="zh-CN" w:bidi="ar-SA"/>
        </w:rPr>
        <w:t>行政事业单位养老支出</w:t>
      </w:r>
      <w:r>
        <w:rPr>
          <w:rFonts w:hint="default" w:ascii="Times New Roman" w:hAnsi="Times New Roman" w:eastAsia="方正仿宋_GBK" w:cs="Times New Roman"/>
          <w:color w:val="auto"/>
          <w:kern w:val="2"/>
          <w:sz w:val="32"/>
          <w:szCs w:val="32"/>
          <w:highlight w:val="none"/>
          <w:lang w:val="zh-CN" w:eastAsia="zh-CN" w:bidi="ar-SA"/>
        </w:rPr>
        <w:t>（款）机关事业单位</w:t>
      </w:r>
      <w:r>
        <w:rPr>
          <w:rFonts w:hint="default" w:ascii="Times New Roman" w:hAnsi="Times New Roman" w:eastAsia="方正仿宋_GBK" w:cs="Times New Roman"/>
          <w:color w:val="auto"/>
          <w:kern w:val="2"/>
          <w:sz w:val="32"/>
          <w:szCs w:val="32"/>
          <w:highlight w:val="none"/>
          <w:lang w:val="en-US" w:eastAsia="zh-CN" w:bidi="ar-SA"/>
        </w:rPr>
        <w:t>基本</w:t>
      </w:r>
      <w:r>
        <w:rPr>
          <w:rFonts w:hint="default" w:ascii="Times New Roman" w:hAnsi="Times New Roman" w:eastAsia="方正仿宋_GBK" w:cs="Times New Roman"/>
          <w:color w:val="auto"/>
          <w:kern w:val="2"/>
          <w:sz w:val="32"/>
          <w:szCs w:val="32"/>
          <w:highlight w:val="none"/>
          <w:lang w:val="zh-CN" w:eastAsia="zh-CN" w:bidi="ar-SA"/>
        </w:rPr>
        <w:t>养老保险缴费支出（项）：反映</w:t>
      </w:r>
      <w:r>
        <w:rPr>
          <w:rFonts w:hint="default" w:ascii="Times New Roman" w:hAnsi="Times New Roman" w:eastAsia="方正仿宋_GBK" w:cs="Times New Roman"/>
          <w:color w:val="auto"/>
          <w:kern w:val="2"/>
          <w:sz w:val="32"/>
          <w:szCs w:val="32"/>
          <w:highlight w:val="none"/>
          <w:lang w:val="en-US" w:eastAsia="zh-CN" w:bidi="ar-SA"/>
        </w:rPr>
        <w:t>机关事业单位实施养老保险制度由单位缴纳的基本养老保险费支出</w:t>
      </w:r>
      <w:r>
        <w:rPr>
          <w:rFonts w:hint="default" w:ascii="Times New Roman" w:hAnsi="Times New Roman" w:eastAsia="方正仿宋_GBK" w:cs="Times New Roman"/>
          <w:color w:val="auto"/>
          <w:kern w:val="2"/>
          <w:sz w:val="32"/>
          <w:szCs w:val="32"/>
          <w:highlight w:val="none"/>
          <w:lang w:val="zh-CN" w:eastAsia="zh-CN" w:bidi="ar-SA"/>
        </w:rPr>
        <w:t>。</w:t>
      </w:r>
    </w:p>
    <w:p w14:paraId="0FE679D2">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w:t>
      </w:r>
      <w:r>
        <w:rPr>
          <w:rFonts w:hint="default" w:ascii="Times New Roman" w:hAnsi="Times New Roman" w:eastAsia="方正仿宋_GBK" w:cs="Times New Roman"/>
          <w:color w:val="auto"/>
          <w:kern w:val="2"/>
          <w:sz w:val="32"/>
          <w:szCs w:val="32"/>
          <w:highlight w:val="none"/>
          <w:lang w:val="en-US" w:eastAsia="zh-CN" w:bidi="ar-SA"/>
        </w:rPr>
        <w:t>事业单位医疗</w:t>
      </w:r>
      <w:r>
        <w:rPr>
          <w:rFonts w:hint="default" w:ascii="Times New Roman" w:hAnsi="Times New Roman" w:eastAsia="方正仿宋_GBK" w:cs="Times New Roman"/>
          <w:color w:val="auto"/>
          <w:kern w:val="2"/>
          <w:sz w:val="32"/>
          <w:szCs w:val="32"/>
          <w:highlight w:val="none"/>
          <w:lang w:val="zh-CN" w:eastAsia="zh-CN" w:bidi="ar-SA"/>
        </w:rPr>
        <w:t>（项）：反映财政部门安排的事业单位基本医疗保险缴费经费，未参加医疗保险的事业单位的公费医疗经费，按国家规定享受离休人员待遇的医疗经费。</w:t>
      </w:r>
    </w:p>
    <w:p w14:paraId="30543012">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w:t>
      </w:r>
      <w:r>
        <w:rPr>
          <w:rFonts w:hint="default" w:ascii="Times New Roman" w:hAnsi="Times New Roman" w:eastAsia="方正仿宋_GBK" w:cs="Times New Roman"/>
          <w:color w:val="auto"/>
          <w:kern w:val="2"/>
          <w:sz w:val="32"/>
          <w:szCs w:val="32"/>
          <w:highlight w:val="none"/>
          <w:lang w:val="en-US" w:eastAsia="zh-CN" w:bidi="ar-SA"/>
        </w:rPr>
        <w:t>行政单位医疗</w:t>
      </w:r>
      <w:r>
        <w:rPr>
          <w:rFonts w:hint="default" w:ascii="Times New Roman" w:hAnsi="Times New Roman" w:eastAsia="方正仿宋_GBK" w:cs="Times New Roman"/>
          <w:color w:val="auto"/>
          <w:kern w:val="2"/>
          <w:sz w:val="32"/>
          <w:szCs w:val="32"/>
          <w:highlight w:val="none"/>
          <w:lang w:val="zh-CN" w:eastAsia="zh-CN" w:bidi="ar-SA"/>
        </w:rPr>
        <w:t>（项）：反映财政部门安排的</w:t>
      </w:r>
      <w:r>
        <w:rPr>
          <w:rFonts w:hint="default" w:ascii="Times New Roman" w:hAnsi="Times New Roman" w:eastAsia="方正仿宋_GBK" w:cs="Times New Roman"/>
          <w:color w:val="auto"/>
          <w:kern w:val="2"/>
          <w:sz w:val="32"/>
          <w:szCs w:val="32"/>
          <w:highlight w:val="none"/>
          <w:lang w:val="en-US" w:eastAsia="zh-CN" w:bidi="ar-SA"/>
        </w:rPr>
        <w:t>行政</w:t>
      </w:r>
      <w:r>
        <w:rPr>
          <w:rFonts w:hint="default" w:ascii="Times New Roman" w:hAnsi="Times New Roman" w:eastAsia="方正仿宋_GBK" w:cs="Times New Roman"/>
          <w:color w:val="auto"/>
          <w:kern w:val="2"/>
          <w:sz w:val="32"/>
          <w:szCs w:val="32"/>
          <w:highlight w:val="none"/>
          <w:lang w:val="zh-CN" w:eastAsia="zh-CN" w:bidi="ar-SA"/>
        </w:rPr>
        <w:t>单位基本医疗保险缴费经费，未参加医疗保险的</w:t>
      </w:r>
      <w:r>
        <w:rPr>
          <w:rFonts w:hint="default" w:ascii="Times New Roman" w:hAnsi="Times New Roman" w:eastAsia="方正仿宋_GBK" w:cs="Times New Roman"/>
          <w:color w:val="auto"/>
          <w:kern w:val="2"/>
          <w:sz w:val="32"/>
          <w:szCs w:val="32"/>
          <w:highlight w:val="none"/>
          <w:lang w:val="en-US" w:eastAsia="zh-CN" w:bidi="ar-SA"/>
        </w:rPr>
        <w:t>行政</w:t>
      </w:r>
      <w:r>
        <w:rPr>
          <w:rFonts w:hint="default" w:ascii="Times New Roman" w:hAnsi="Times New Roman" w:eastAsia="方正仿宋_GBK" w:cs="Times New Roman"/>
          <w:color w:val="auto"/>
          <w:kern w:val="2"/>
          <w:sz w:val="32"/>
          <w:szCs w:val="32"/>
          <w:highlight w:val="none"/>
          <w:lang w:val="zh-CN" w:eastAsia="zh-CN" w:bidi="ar-SA"/>
        </w:rPr>
        <w:t>单位的公费医疗经费，按国家规定享受离休人员、</w:t>
      </w:r>
      <w:r>
        <w:rPr>
          <w:rFonts w:hint="default" w:ascii="Times New Roman" w:hAnsi="Times New Roman" w:eastAsia="方正仿宋_GBK" w:cs="Times New Roman"/>
          <w:color w:val="auto"/>
          <w:kern w:val="2"/>
          <w:sz w:val="32"/>
          <w:szCs w:val="32"/>
          <w:highlight w:val="none"/>
          <w:lang w:val="en-US" w:eastAsia="zh-CN" w:bidi="ar-SA"/>
        </w:rPr>
        <w:t>红军老战士</w:t>
      </w:r>
      <w:r>
        <w:rPr>
          <w:rFonts w:hint="default" w:ascii="Times New Roman" w:hAnsi="Times New Roman" w:eastAsia="方正仿宋_GBK" w:cs="Times New Roman"/>
          <w:color w:val="auto"/>
          <w:kern w:val="2"/>
          <w:sz w:val="32"/>
          <w:szCs w:val="32"/>
          <w:highlight w:val="none"/>
          <w:lang w:val="zh-CN" w:eastAsia="zh-CN" w:bidi="ar-SA"/>
        </w:rPr>
        <w:t>待遇的医疗经费。</w:t>
      </w:r>
    </w:p>
    <w:p w14:paraId="5283D24C">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17.</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w:t>
      </w:r>
      <w:r>
        <w:rPr>
          <w:rFonts w:hint="default" w:ascii="Times New Roman" w:hAnsi="Times New Roman" w:eastAsia="方正仿宋_GBK" w:cs="Times New Roman"/>
          <w:color w:val="auto"/>
          <w:kern w:val="2"/>
          <w:sz w:val="32"/>
          <w:szCs w:val="32"/>
          <w:highlight w:val="none"/>
          <w:lang w:val="en-US" w:eastAsia="zh-CN" w:bidi="ar-SA"/>
        </w:rPr>
        <w:t>公务员医疗补助</w:t>
      </w:r>
      <w:r>
        <w:rPr>
          <w:rFonts w:hint="default" w:ascii="Times New Roman" w:hAnsi="Times New Roman" w:eastAsia="方正仿宋_GBK" w:cs="Times New Roman"/>
          <w:color w:val="auto"/>
          <w:kern w:val="2"/>
          <w:sz w:val="32"/>
          <w:szCs w:val="32"/>
          <w:highlight w:val="none"/>
          <w:lang w:val="zh-CN" w:eastAsia="zh-CN" w:bidi="ar-SA"/>
        </w:rPr>
        <w:t>（项）：</w:t>
      </w:r>
      <w:r>
        <w:rPr>
          <w:rFonts w:hint="default" w:ascii="Times New Roman" w:hAnsi="Times New Roman" w:eastAsia="方正仿宋_GBK" w:cs="Times New Roman"/>
          <w:color w:val="auto"/>
          <w:kern w:val="2"/>
          <w:sz w:val="32"/>
          <w:szCs w:val="32"/>
          <w:highlight w:val="none"/>
          <w:lang w:val="en-US" w:eastAsia="zh-CN" w:bidi="ar-SA"/>
        </w:rPr>
        <w:t>反映财政部门安排的公务员医疗补助经费。</w:t>
      </w:r>
    </w:p>
    <w:p w14:paraId="5D7D47F8">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18</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（款）其他行政事业单位医疗支出（项）：反映除上述项目以外的其他用于行政事业单位医疗方面的支出。</w:t>
      </w:r>
    </w:p>
    <w:p w14:paraId="6A375290">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19</w:t>
      </w:r>
      <w:r>
        <w:rPr>
          <w:rFonts w:hint="default" w:ascii="Times New Roman" w:hAnsi="Times New Roman" w:eastAsia="方正仿宋_GBK" w:cs="Times New Roman"/>
          <w:color w:val="auto"/>
          <w:kern w:val="2"/>
          <w:sz w:val="32"/>
          <w:szCs w:val="32"/>
          <w:highlight w:val="none"/>
          <w:lang w:val="zh-CN" w:eastAsia="zh-CN" w:bidi="ar-SA"/>
        </w:rPr>
        <w:t>.住房保障</w:t>
      </w:r>
      <w:r>
        <w:rPr>
          <w:rFonts w:hint="default" w:ascii="Times New Roman" w:hAnsi="Times New Roman" w:eastAsia="方正仿宋_GBK" w:cs="Times New Roman"/>
          <w:color w:val="auto"/>
          <w:kern w:val="2"/>
          <w:sz w:val="32"/>
          <w:szCs w:val="32"/>
          <w:highlight w:val="none"/>
          <w:lang w:val="en-US" w:eastAsia="zh-CN" w:bidi="ar-SA"/>
        </w:rPr>
        <w:t>支出</w:t>
      </w:r>
      <w:r>
        <w:rPr>
          <w:rFonts w:hint="default" w:ascii="Times New Roman" w:hAnsi="Times New Roman" w:eastAsia="方正仿宋_GBK" w:cs="Times New Roman"/>
          <w:color w:val="auto"/>
          <w:kern w:val="2"/>
          <w:sz w:val="32"/>
          <w:szCs w:val="32"/>
          <w:highlight w:val="none"/>
          <w:lang w:val="zh-CN" w:eastAsia="zh-CN" w:bidi="ar-SA"/>
        </w:rPr>
        <w:t>（类）住房改革支出（款）住房公积金（项）：反映</w:t>
      </w:r>
      <w:r>
        <w:rPr>
          <w:rFonts w:hint="default" w:ascii="Times New Roman" w:hAnsi="Times New Roman" w:eastAsia="方正仿宋_GBK" w:cs="Times New Roman"/>
          <w:color w:val="auto"/>
          <w:kern w:val="2"/>
          <w:sz w:val="32"/>
          <w:szCs w:val="32"/>
          <w:highlight w:val="none"/>
          <w:lang w:val="en-US" w:eastAsia="zh-CN" w:bidi="ar-SA"/>
        </w:rPr>
        <w:t>行政事业单位按人力资源和社会保障部、财政部规定的基本工资和津贴补贴以及规定比例为职工缴纳的住房公积金。</w:t>
      </w:r>
    </w:p>
    <w:p w14:paraId="4DD74309">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20.基本支出：指为保障机构正常运转、完成日常工作任务而发生的人员支出和公用支出。</w:t>
      </w:r>
    </w:p>
    <w:p w14:paraId="59134509">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21.项目支出：指在基本支出之外为完成特定行政任务和事业发展目标所发生的支出。 </w:t>
      </w:r>
    </w:p>
    <w:p w14:paraId="4E215D8B">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22.经营支出：指事业单位在专业业务活动及其辅助活动之外开展非独立核算经营活动发生的支出。</w:t>
      </w:r>
    </w:p>
    <w:p w14:paraId="4492392E">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23.“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99F1DBE">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0577D2F">
      <w:pPr>
        <w:pStyle w:val="26"/>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br w:type="page"/>
      </w:r>
    </w:p>
    <w:p w14:paraId="2B28679B">
      <w:pPr>
        <w:pStyle w:val="2"/>
        <w:jc w:val="center"/>
        <w:rPr>
          <w:rStyle w:val="28"/>
          <w:rFonts w:hint="eastAsia" w:ascii="方正小标宋_GBK" w:hAnsi="方正小标宋_GBK" w:eastAsia="方正小标宋_GBK" w:cs="方正小标宋_GBK"/>
          <w:b w:val="0"/>
          <w:bCs/>
          <w:sz w:val="44"/>
          <w:szCs w:val="44"/>
        </w:rPr>
      </w:pPr>
      <w:bookmarkStart w:id="47" w:name="_Toc15396614"/>
      <w:bookmarkStart w:id="48" w:name="_Toc15377226"/>
      <w:bookmarkStart w:id="49" w:name="_Toc15396618"/>
      <w:r>
        <w:rPr>
          <w:rFonts w:hint="eastAsia" w:ascii="方正小标宋_GBK" w:hAnsi="方正小标宋_GBK" w:eastAsia="方正小标宋_GBK" w:cs="方正小标宋_GBK"/>
          <w:b/>
          <w:bCs w:val="0"/>
          <w:sz w:val="44"/>
          <w:szCs w:val="44"/>
        </w:rPr>
        <w:t>第四部分  附件</w:t>
      </w:r>
      <w:bookmarkEnd w:id="47"/>
    </w:p>
    <w:p w14:paraId="67F70F57">
      <w:pPr>
        <w:spacing w:line="572" w:lineRule="exact"/>
        <w:jc w:val="left"/>
        <w:outlineLvl w:val="0"/>
        <w:rPr>
          <w:rFonts w:hint="default" w:ascii="Times New Roman" w:hAnsi="Times New Roman" w:eastAsia="方正仿宋_GBK" w:cs="Times New Roman"/>
          <w:sz w:val="32"/>
          <w:szCs w:val="32"/>
        </w:rPr>
      </w:pPr>
    </w:p>
    <w:p w14:paraId="6A0D6A1E">
      <w:pPr>
        <w:widowControl/>
        <w:spacing w:line="578" w:lineRule="exact"/>
        <w:contextualSpacing/>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部门预算项目支出绩效评价表（2024年度）</w:t>
      </w:r>
    </w:p>
    <w:p w14:paraId="19126F0F">
      <w:pPr>
        <w:widowControl/>
        <w:spacing w:line="578" w:lineRule="exact"/>
        <w:contextualSpacing/>
        <w:jc w:val="both"/>
        <w:rPr>
          <w:rFonts w:hint="default" w:ascii="Times New Roman" w:hAnsi="Times New Roman" w:eastAsia="方正仿宋_GBK" w:cs="Times New Roman"/>
          <w:sz w:val="32"/>
          <w:szCs w:val="32"/>
        </w:rPr>
      </w:pPr>
    </w:p>
    <w:p w14:paraId="32C42F0F">
      <w:pPr>
        <w:widowControl/>
        <w:spacing w:line="578" w:lineRule="exact"/>
        <w:contextualSpacing/>
        <w:jc w:val="both"/>
        <w:rPr>
          <w:rFonts w:hint="default" w:ascii="Times New Roman" w:hAnsi="Times New Roman" w:eastAsia="方正仿宋_GBK" w:cs="Times New Roman"/>
          <w:sz w:val="32"/>
          <w:szCs w:val="32"/>
        </w:rPr>
      </w:pPr>
    </w:p>
    <w:p w14:paraId="7ECF3B29">
      <w:pPr>
        <w:widowControl/>
        <w:spacing w:line="578" w:lineRule="exact"/>
        <w:contextualSpacing/>
        <w:jc w:val="both"/>
        <w:rPr>
          <w:rFonts w:hint="default" w:ascii="Times New Roman" w:hAnsi="Times New Roman" w:eastAsia="方正仿宋_GBK" w:cs="Times New Roman"/>
          <w:sz w:val="32"/>
          <w:szCs w:val="32"/>
        </w:rPr>
      </w:pPr>
    </w:p>
    <w:p w14:paraId="7728BC22">
      <w:pPr>
        <w:widowControl/>
        <w:spacing w:line="578" w:lineRule="exact"/>
        <w:contextualSpacing/>
        <w:jc w:val="both"/>
        <w:rPr>
          <w:rFonts w:hint="default" w:ascii="Times New Roman" w:hAnsi="Times New Roman" w:eastAsia="方正仿宋_GBK" w:cs="Times New Roman"/>
          <w:sz w:val="32"/>
          <w:szCs w:val="32"/>
        </w:rPr>
      </w:pPr>
    </w:p>
    <w:p w14:paraId="5004289D">
      <w:pPr>
        <w:widowControl/>
        <w:spacing w:line="578" w:lineRule="exact"/>
        <w:contextualSpacing/>
        <w:jc w:val="both"/>
        <w:rPr>
          <w:rFonts w:hint="default" w:ascii="Times New Roman" w:hAnsi="Times New Roman" w:eastAsia="方正仿宋_GBK" w:cs="Times New Roman"/>
          <w:sz w:val="32"/>
          <w:szCs w:val="32"/>
        </w:rPr>
      </w:pPr>
    </w:p>
    <w:p w14:paraId="3CA8EF93">
      <w:pPr>
        <w:widowControl/>
        <w:spacing w:line="578" w:lineRule="exact"/>
        <w:contextualSpacing/>
        <w:jc w:val="both"/>
        <w:rPr>
          <w:rFonts w:hint="default" w:ascii="Times New Roman" w:hAnsi="Times New Roman" w:eastAsia="方正仿宋_GBK" w:cs="Times New Roman"/>
          <w:sz w:val="32"/>
          <w:szCs w:val="32"/>
        </w:rPr>
      </w:pPr>
    </w:p>
    <w:p w14:paraId="42CCACF5">
      <w:pPr>
        <w:widowControl/>
        <w:spacing w:line="578" w:lineRule="exact"/>
        <w:contextualSpacing/>
        <w:jc w:val="both"/>
        <w:rPr>
          <w:rFonts w:hint="default" w:ascii="Times New Roman" w:hAnsi="Times New Roman" w:eastAsia="方正仿宋_GBK" w:cs="Times New Roman"/>
          <w:sz w:val="32"/>
          <w:szCs w:val="32"/>
        </w:rPr>
      </w:pPr>
    </w:p>
    <w:p w14:paraId="5D631B00">
      <w:pPr>
        <w:widowControl/>
        <w:spacing w:line="578" w:lineRule="exact"/>
        <w:contextualSpacing/>
        <w:jc w:val="both"/>
        <w:rPr>
          <w:rFonts w:hint="default" w:ascii="Times New Roman" w:hAnsi="Times New Roman" w:eastAsia="方正仿宋_GBK" w:cs="Times New Roman"/>
          <w:sz w:val="32"/>
          <w:szCs w:val="32"/>
        </w:rPr>
      </w:pPr>
    </w:p>
    <w:p w14:paraId="6632FE3D">
      <w:pPr>
        <w:widowControl/>
        <w:spacing w:line="578" w:lineRule="exact"/>
        <w:contextualSpacing/>
        <w:jc w:val="both"/>
        <w:rPr>
          <w:rFonts w:hint="default" w:ascii="Times New Roman" w:hAnsi="Times New Roman" w:eastAsia="方正仿宋_GBK" w:cs="Times New Roman"/>
          <w:sz w:val="32"/>
          <w:szCs w:val="32"/>
        </w:rPr>
      </w:pPr>
    </w:p>
    <w:p w14:paraId="11D7E59C">
      <w:pPr>
        <w:widowControl/>
        <w:spacing w:line="578" w:lineRule="exact"/>
        <w:contextualSpacing/>
        <w:jc w:val="both"/>
        <w:rPr>
          <w:rFonts w:hint="default" w:ascii="Times New Roman" w:hAnsi="Times New Roman" w:eastAsia="方正仿宋_GBK" w:cs="Times New Roman"/>
          <w:sz w:val="32"/>
          <w:szCs w:val="32"/>
        </w:rPr>
      </w:pPr>
    </w:p>
    <w:p w14:paraId="25744EFA">
      <w:pPr>
        <w:widowControl/>
        <w:spacing w:line="578" w:lineRule="exact"/>
        <w:contextualSpacing/>
        <w:jc w:val="both"/>
        <w:rPr>
          <w:rFonts w:hint="default" w:ascii="Times New Roman" w:hAnsi="Times New Roman" w:eastAsia="方正仿宋_GBK" w:cs="Times New Roman"/>
          <w:sz w:val="32"/>
          <w:szCs w:val="32"/>
        </w:rPr>
      </w:pPr>
    </w:p>
    <w:p w14:paraId="18CA1EBB">
      <w:pPr>
        <w:widowControl/>
        <w:spacing w:line="578" w:lineRule="exact"/>
        <w:contextualSpacing/>
        <w:jc w:val="both"/>
        <w:rPr>
          <w:rFonts w:hint="default" w:ascii="Times New Roman" w:hAnsi="Times New Roman" w:eastAsia="方正仿宋_GBK" w:cs="Times New Roman"/>
          <w:sz w:val="32"/>
          <w:szCs w:val="32"/>
        </w:rPr>
      </w:pPr>
    </w:p>
    <w:p w14:paraId="58FCCE1F">
      <w:pPr>
        <w:widowControl/>
        <w:spacing w:line="578" w:lineRule="exact"/>
        <w:contextualSpacing/>
        <w:jc w:val="both"/>
        <w:rPr>
          <w:rFonts w:hint="default" w:ascii="Times New Roman" w:hAnsi="Times New Roman" w:eastAsia="方正仿宋_GBK" w:cs="Times New Roman"/>
          <w:sz w:val="32"/>
          <w:szCs w:val="32"/>
        </w:rPr>
      </w:pPr>
    </w:p>
    <w:p w14:paraId="680936B1">
      <w:pPr>
        <w:widowControl/>
        <w:spacing w:line="578" w:lineRule="exact"/>
        <w:contextualSpacing/>
        <w:jc w:val="both"/>
        <w:rPr>
          <w:rFonts w:hint="default" w:ascii="Times New Roman" w:hAnsi="Times New Roman" w:eastAsia="方正仿宋_GBK" w:cs="Times New Roman"/>
          <w:sz w:val="32"/>
          <w:szCs w:val="32"/>
        </w:rPr>
      </w:pPr>
    </w:p>
    <w:p w14:paraId="762D16FA">
      <w:pPr>
        <w:widowControl/>
        <w:spacing w:line="578" w:lineRule="exact"/>
        <w:contextualSpacing/>
        <w:jc w:val="both"/>
        <w:rPr>
          <w:rFonts w:hint="default" w:ascii="Times New Roman" w:hAnsi="Times New Roman" w:eastAsia="方正仿宋_GBK" w:cs="Times New Roman"/>
          <w:sz w:val="32"/>
          <w:szCs w:val="32"/>
        </w:rPr>
      </w:pPr>
    </w:p>
    <w:p w14:paraId="52E18285">
      <w:pPr>
        <w:widowControl/>
        <w:spacing w:line="578" w:lineRule="exact"/>
        <w:contextualSpacing/>
        <w:jc w:val="both"/>
        <w:rPr>
          <w:rFonts w:hint="default" w:ascii="Times New Roman" w:hAnsi="Times New Roman" w:eastAsia="方正仿宋_GBK" w:cs="Times New Roman"/>
          <w:sz w:val="32"/>
          <w:szCs w:val="32"/>
        </w:rPr>
      </w:pPr>
    </w:p>
    <w:p w14:paraId="0C43B5C0">
      <w:pPr>
        <w:widowControl/>
        <w:spacing w:line="578" w:lineRule="exact"/>
        <w:contextualSpacing/>
        <w:jc w:val="both"/>
        <w:rPr>
          <w:rFonts w:hint="default" w:ascii="Times New Roman" w:hAnsi="Times New Roman" w:eastAsia="方正仿宋_GBK" w:cs="Times New Roman"/>
          <w:sz w:val="32"/>
          <w:szCs w:val="32"/>
        </w:rPr>
      </w:pPr>
    </w:p>
    <w:p w14:paraId="63DB2B65">
      <w:pPr>
        <w:widowControl/>
        <w:spacing w:line="578" w:lineRule="exact"/>
        <w:contextualSpacing/>
        <w:jc w:val="both"/>
        <w:rPr>
          <w:rFonts w:hint="default" w:ascii="Times New Roman" w:hAnsi="Times New Roman" w:eastAsia="方正仿宋_GBK" w:cs="Times New Roman"/>
          <w:sz w:val="32"/>
          <w:szCs w:val="32"/>
        </w:rPr>
      </w:pPr>
    </w:p>
    <w:p w14:paraId="0A26C246">
      <w:pPr>
        <w:widowControl/>
        <w:spacing w:line="578" w:lineRule="exact"/>
        <w:contextualSpacing/>
        <w:jc w:val="both"/>
        <w:rPr>
          <w:rFonts w:hint="default" w:ascii="Times New Roman" w:hAnsi="Times New Roman" w:eastAsia="方正仿宋_GBK" w:cs="Times New Roman"/>
          <w:sz w:val="32"/>
          <w:szCs w:val="32"/>
        </w:rPr>
      </w:pPr>
    </w:p>
    <w:p w14:paraId="1AE8541D">
      <w:pPr>
        <w:pStyle w:val="2"/>
        <w:jc w:val="center"/>
        <w:rPr>
          <w:rFonts w:hint="default" w:ascii="方正小标宋_GBK" w:hAnsi="方正小标宋_GBK" w:eastAsia="方正小标宋_GBK" w:cs="方正小标宋_GBK"/>
          <w:b/>
          <w:bCs w:val="0"/>
          <w:sz w:val="44"/>
          <w:szCs w:val="44"/>
        </w:rPr>
      </w:pPr>
      <w:r>
        <w:rPr>
          <w:rFonts w:hint="default" w:ascii="方正小标宋_GBK" w:hAnsi="方正小标宋_GBK" w:eastAsia="方正小标宋_GBK" w:cs="方正小标宋_GBK"/>
          <w:b/>
          <w:bCs w:val="0"/>
          <w:sz w:val="44"/>
          <w:szCs w:val="44"/>
        </w:rPr>
        <w:t>第五部分</w:t>
      </w:r>
      <w:r>
        <w:rPr>
          <w:rFonts w:hint="eastAsia" w:ascii="方正小标宋_GBK" w:hAnsi="方正小标宋_GBK" w:eastAsia="方正小标宋_GBK" w:cs="方正小标宋_GBK"/>
          <w:b/>
          <w:bCs w:val="0"/>
          <w:sz w:val="44"/>
          <w:szCs w:val="44"/>
          <w:lang w:val="en-US" w:eastAsia="zh-CN"/>
        </w:rPr>
        <w:t xml:space="preserve"> </w:t>
      </w:r>
      <w:r>
        <w:rPr>
          <w:rFonts w:hint="default" w:ascii="方正小标宋_GBK" w:hAnsi="方正小标宋_GBK" w:eastAsia="方正小标宋_GBK" w:cs="方正小标宋_GBK"/>
          <w:b/>
          <w:bCs w:val="0"/>
          <w:sz w:val="44"/>
          <w:szCs w:val="44"/>
        </w:rPr>
        <w:t xml:space="preserve"> 附表</w:t>
      </w:r>
      <w:bookmarkEnd w:id="48"/>
      <w:bookmarkEnd w:id="49"/>
      <w:bookmarkStart w:id="50" w:name="_Toc15396619"/>
    </w:p>
    <w:p w14:paraId="2D2FE01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p>
    <w:p w14:paraId="55D70E9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一、收入支出决算总表</w:t>
      </w:r>
      <w:bookmarkEnd w:id="50"/>
    </w:p>
    <w:p w14:paraId="7E24A57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51" w:name="_Toc15396620"/>
      <w:r>
        <w:rPr>
          <w:rFonts w:hint="default" w:ascii="Times New Roman" w:hAnsi="Times New Roman" w:eastAsia="方正仿宋_GBK" w:cs="Times New Roman"/>
          <w:color w:val="auto"/>
          <w:sz w:val="32"/>
          <w:szCs w:val="32"/>
          <w:highlight w:val="none"/>
        </w:rPr>
        <w:t>二、收入决算表</w:t>
      </w:r>
      <w:bookmarkEnd w:id="51"/>
    </w:p>
    <w:p w14:paraId="292D05B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52" w:name="_Toc15396621"/>
      <w:r>
        <w:rPr>
          <w:rFonts w:hint="default" w:ascii="Times New Roman" w:hAnsi="Times New Roman" w:eastAsia="方正仿宋_GBK" w:cs="Times New Roman"/>
          <w:color w:val="auto"/>
          <w:sz w:val="32"/>
          <w:szCs w:val="32"/>
          <w:highlight w:val="none"/>
        </w:rPr>
        <w:t>三、支出决算表</w:t>
      </w:r>
      <w:bookmarkEnd w:id="52"/>
    </w:p>
    <w:p w14:paraId="629D67E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53" w:name="_Toc15396622"/>
      <w:r>
        <w:rPr>
          <w:rFonts w:hint="default" w:ascii="Times New Roman" w:hAnsi="Times New Roman" w:eastAsia="方正仿宋_GBK" w:cs="Times New Roman"/>
          <w:color w:val="auto"/>
          <w:sz w:val="32"/>
          <w:szCs w:val="32"/>
          <w:highlight w:val="none"/>
        </w:rPr>
        <w:t>四、财政拨款收入支出决算总表</w:t>
      </w:r>
      <w:bookmarkEnd w:id="53"/>
    </w:p>
    <w:p w14:paraId="35ECC45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54" w:name="_Toc15396623"/>
      <w:r>
        <w:rPr>
          <w:rFonts w:hint="default" w:ascii="Times New Roman" w:hAnsi="Times New Roman" w:eastAsia="方正仿宋_GBK" w:cs="Times New Roman"/>
          <w:color w:val="auto"/>
          <w:sz w:val="32"/>
          <w:szCs w:val="32"/>
          <w:highlight w:val="none"/>
        </w:rPr>
        <w:t>五、财政拨款支出决算明细表</w:t>
      </w:r>
      <w:bookmarkEnd w:id="54"/>
      <w:bookmarkStart w:id="55" w:name="_Toc15396624"/>
    </w:p>
    <w:p w14:paraId="57F431C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六、一般公共预算财政拨款支出决算表</w:t>
      </w:r>
      <w:bookmarkEnd w:id="55"/>
    </w:p>
    <w:p w14:paraId="637D4F8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56" w:name="_Toc15396625"/>
      <w:r>
        <w:rPr>
          <w:rFonts w:hint="default" w:ascii="Times New Roman" w:hAnsi="Times New Roman" w:eastAsia="方正仿宋_GBK" w:cs="Times New Roman"/>
          <w:color w:val="auto"/>
          <w:sz w:val="32"/>
          <w:szCs w:val="32"/>
          <w:highlight w:val="none"/>
        </w:rPr>
        <w:t>七、一般公共预算财政拨款支出决算明细表</w:t>
      </w:r>
      <w:bookmarkEnd w:id="56"/>
    </w:p>
    <w:p w14:paraId="1A0FEF5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57" w:name="_Toc15396626"/>
      <w:r>
        <w:rPr>
          <w:rFonts w:hint="default" w:ascii="Times New Roman" w:hAnsi="Times New Roman" w:eastAsia="方正仿宋_GBK" w:cs="Times New Roman"/>
          <w:color w:val="auto"/>
          <w:sz w:val="32"/>
          <w:szCs w:val="32"/>
          <w:highlight w:val="none"/>
        </w:rPr>
        <w:t>八、一般公共预算财政拨款基本支出决算表</w:t>
      </w:r>
      <w:bookmarkEnd w:id="57"/>
    </w:p>
    <w:p w14:paraId="130BB33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58" w:name="_Toc15396627"/>
      <w:r>
        <w:rPr>
          <w:rFonts w:hint="default" w:ascii="Times New Roman" w:hAnsi="Times New Roman" w:eastAsia="方正仿宋_GBK" w:cs="Times New Roman"/>
          <w:color w:val="auto"/>
          <w:sz w:val="32"/>
          <w:szCs w:val="32"/>
          <w:highlight w:val="none"/>
        </w:rPr>
        <w:t>九、一般公共预算财政拨款项目支出决算表</w:t>
      </w:r>
      <w:bookmarkEnd w:id="58"/>
    </w:p>
    <w:p w14:paraId="0F296DE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59" w:name="_Toc15396628"/>
      <w:r>
        <w:rPr>
          <w:rFonts w:hint="default" w:ascii="Times New Roman" w:hAnsi="Times New Roman" w:eastAsia="方正仿宋_GBK" w:cs="Times New Roman"/>
          <w:color w:val="auto"/>
          <w:sz w:val="32"/>
          <w:szCs w:val="32"/>
          <w:highlight w:val="none"/>
        </w:rPr>
        <w:t>十、</w:t>
      </w:r>
      <w:bookmarkEnd w:id="59"/>
      <w:r>
        <w:rPr>
          <w:rFonts w:hint="default" w:ascii="Times New Roman" w:hAnsi="Times New Roman" w:eastAsia="方正仿宋_GBK" w:cs="Times New Roman"/>
          <w:color w:val="auto"/>
          <w:sz w:val="32"/>
          <w:szCs w:val="32"/>
          <w:highlight w:val="none"/>
        </w:rPr>
        <w:t>政府性基金预算财政拨款收入支出决算表</w:t>
      </w:r>
    </w:p>
    <w:p w14:paraId="6505F45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60" w:name="_Toc15396629"/>
      <w:r>
        <w:rPr>
          <w:rFonts w:hint="default" w:ascii="Times New Roman" w:hAnsi="Times New Roman" w:eastAsia="方正仿宋_GBK" w:cs="Times New Roman"/>
          <w:color w:val="auto"/>
          <w:sz w:val="32"/>
          <w:szCs w:val="32"/>
          <w:highlight w:val="none"/>
        </w:rPr>
        <w:t>十一、</w:t>
      </w:r>
      <w:bookmarkEnd w:id="60"/>
      <w:r>
        <w:rPr>
          <w:rFonts w:hint="default" w:ascii="Times New Roman" w:hAnsi="Times New Roman" w:eastAsia="方正仿宋_GBK" w:cs="Times New Roman"/>
          <w:color w:val="auto"/>
          <w:sz w:val="32"/>
          <w:szCs w:val="32"/>
          <w:highlight w:val="none"/>
        </w:rPr>
        <w:t>国有资本经营预算</w:t>
      </w:r>
      <w:r>
        <w:rPr>
          <w:rFonts w:hint="default" w:ascii="Times New Roman" w:hAnsi="Times New Roman" w:eastAsia="方正仿宋_GBK" w:cs="Times New Roman"/>
          <w:color w:val="auto"/>
          <w:sz w:val="32"/>
          <w:szCs w:val="32"/>
          <w:highlight w:val="none"/>
          <w:lang w:eastAsia="zh-CN"/>
        </w:rPr>
        <w:t>财政拨款收入</w:t>
      </w:r>
      <w:r>
        <w:rPr>
          <w:rFonts w:hint="default" w:ascii="Times New Roman" w:hAnsi="Times New Roman" w:eastAsia="方正仿宋_GBK" w:cs="Times New Roman"/>
          <w:color w:val="auto"/>
          <w:sz w:val="32"/>
          <w:szCs w:val="32"/>
          <w:highlight w:val="none"/>
        </w:rPr>
        <w:t>支出决算表</w:t>
      </w:r>
    </w:p>
    <w:p w14:paraId="767AAEA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61" w:name="_Toc15396630"/>
      <w:r>
        <w:rPr>
          <w:rFonts w:hint="default" w:ascii="Times New Roman" w:hAnsi="Times New Roman" w:eastAsia="方正仿宋_GBK" w:cs="Times New Roman"/>
          <w:color w:val="auto"/>
          <w:sz w:val="32"/>
          <w:szCs w:val="32"/>
          <w:highlight w:val="none"/>
        </w:rPr>
        <w:t>十二、</w:t>
      </w:r>
      <w:bookmarkEnd w:id="61"/>
      <w:r>
        <w:rPr>
          <w:rFonts w:hint="default" w:ascii="Times New Roman" w:hAnsi="Times New Roman" w:eastAsia="方正仿宋_GBK" w:cs="Times New Roman"/>
          <w:color w:val="auto"/>
          <w:sz w:val="32"/>
          <w:szCs w:val="32"/>
          <w:highlight w:val="none"/>
          <w:lang w:eastAsia="zh-CN"/>
        </w:rPr>
        <w:t>国有资本经营预算财政拨款支出决算表</w:t>
      </w:r>
    </w:p>
    <w:p w14:paraId="0169CC0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lang w:eastAsia="zh-CN"/>
        </w:rPr>
      </w:pPr>
      <w:bookmarkStart w:id="62" w:name="_Toc15396631"/>
      <w:r>
        <w:rPr>
          <w:rFonts w:hint="default" w:ascii="Times New Roman" w:hAnsi="Times New Roman" w:eastAsia="方正仿宋_GBK" w:cs="Times New Roman"/>
          <w:color w:val="auto"/>
          <w:sz w:val="32"/>
          <w:szCs w:val="32"/>
          <w:highlight w:val="none"/>
        </w:rPr>
        <w:t>十三、</w:t>
      </w:r>
      <w:bookmarkEnd w:id="62"/>
      <w:r>
        <w:rPr>
          <w:rFonts w:hint="default" w:ascii="Times New Roman" w:hAnsi="Times New Roman" w:eastAsia="方正仿宋_GBK" w:cs="Times New Roman"/>
          <w:color w:val="auto"/>
          <w:sz w:val="32"/>
          <w:szCs w:val="32"/>
          <w:highlight w:val="none"/>
          <w:lang w:eastAsia="zh-CN"/>
        </w:rPr>
        <w:t>财政拨款“三公”经费支出决算表</w:t>
      </w:r>
    </w:p>
    <w:p w14:paraId="1F7BCC3D">
      <w:pPr>
        <w:rPr>
          <w:rFonts w:hint="default" w:ascii="Times New Roman" w:hAnsi="Times New Roman" w:eastAsia="方正仿宋_GBK" w:cs="Times New Roman"/>
          <w:sz w:val="32"/>
          <w:szCs w:val="32"/>
          <w:lang w:eastAsia="zh-CN"/>
        </w:rPr>
      </w:pPr>
    </w:p>
    <w:sectPr>
      <w:footerReference r:id="rId10" w:type="firs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54ED3E-BACB-4C75-8D53-71B6C5CF41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F86F2B73-F0ED-47B9-97CE-3937C9031F12}"/>
  </w:font>
  <w:font w:name="仿宋">
    <w:panose1 w:val="02010609060101010101"/>
    <w:charset w:val="86"/>
    <w:family w:val="modern"/>
    <w:pitch w:val="default"/>
    <w:sig w:usb0="800002BF" w:usb1="38CF7CFA" w:usb2="00000016" w:usb3="00000000" w:csb0="00040001" w:csb1="00000000"/>
    <w:embedRegular r:id="rId3" w:fontKey="{86202065-82AE-40FD-AEC9-4FEDA73A4F5F}"/>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embedRegular r:id="rId4" w:fontKey="{EF0B787F-5E6B-4AED-BD65-0707D60433F3}"/>
  </w:font>
  <w:font w:name="方正小标宋_GBK">
    <w:panose1 w:val="02000000000000000000"/>
    <w:charset w:val="86"/>
    <w:family w:val="auto"/>
    <w:pitch w:val="default"/>
    <w:sig w:usb0="A00002BF" w:usb1="38CF7CFA" w:usb2="00082016" w:usb3="00000000" w:csb0="00040001" w:csb1="00000000"/>
    <w:embedRegular r:id="rId5" w:fontKey="{5F427740-DC48-4BCA-B7EB-D8E6F565FCA1}"/>
  </w:font>
  <w:font w:name="方正仿宋_GBK">
    <w:panose1 w:val="02000000000000000000"/>
    <w:charset w:val="86"/>
    <w:family w:val="script"/>
    <w:pitch w:val="default"/>
    <w:sig w:usb0="A00002BF" w:usb1="38CF7CFA" w:usb2="00082016" w:usb3="00000000" w:csb0="00040001" w:csb1="00000000"/>
    <w:embedRegular r:id="rId6" w:fontKey="{1CC5F457-3222-4158-B472-C86ACA3CA51B}"/>
  </w:font>
  <w:font w:name="方正黑体_GBK">
    <w:panose1 w:val="02010600010101010101"/>
    <w:charset w:val="86"/>
    <w:family w:val="auto"/>
    <w:pitch w:val="default"/>
    <w:sig w:usb0="00000001" w:usb1="080E0000" w:usb2="00000000" w:usb3="00000000" w:csb0="00040000" w:csb1="00000000"/>
    <w:embedRegular r:id="rId7" w:fontKey="{C55EAD1A-FB70-4EB8-8191-09316CF401DA}"/>
  </w:font>
  <w:font w:name="方正楷体_GBK">
    <w:panose1 w:val="02000000000000000000"/>
    <w:charset w:val="86"/>
    <w:family w:val="auto"/>
    <w:pitch w:val="default"/>
    <w:sig w:usb0="800002BF" w:usb1="38CF7CFA" w:usb2="00000016" w:usb3="00000000" w:csb0="00040000" w:csb1="00000000"/>
    <w:embedRegular r:id="rId8" w:fontKey="{7A712DFC-14DD-48B0-88A8-EB75DC87D9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DCAD">
    <w:pPr>
      <w:pStyle w:val="10"/>
      <w:jc w:val="center"/>
    </w:pPr>
  </w:p>
  <w:p w14:paraId="6A80575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8F74">
    <w:pPr>
      <w:pStyle w:val="10"/>
      <w:jc w:val="center"/>
    </w:pPr>
  </w:p>
  <w:p w14:paraId="5AFA14E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DB4E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D4BF">
    <w:pPr>
      <w:pStyle w:val="10"/>
      <w:jc w:val="center"/>
    </w:pPr>
  </w:p>
  <w:p w14:paraId="4F42D7CF">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261F">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34DD7">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E834DD7">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76387">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3331A">
                          <w:pPr>
                            <w:pStyle w:val="10"/>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233331A">
                    <w:pPr>
                      <w:pStyle w:val="10"/>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3C3539A5">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136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AEB75">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58AEB75">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FBA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DE3A73"/>
    <w:rsid w:val="02FEBE30"/>
    <w:rsid w:val="04916F1E"/>
    <w:rsid w:val="04BA74FE"/>
    <w:rsid w:val="061E35DE"/>
    <w:rsid w:val="066E0107"/>
    <w:rsid w:val="071621F0"/>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2254F59"/>
    <w:rsid w:val="23860B96"/>
    <w:rsid w:val="238764C3"/>
    <w:rsid w:val="240371BF"/>
    <w:rsid w:val="244F3473"/>
    <w:rsid w:val="24C97D99"/>
    <w:rsid w:val="2584101B"/>
    <w:rsid w:val="25A718F0"/>
    <w:rsid w:val="25BB59F6"/>
    <w:rsid w:val="260F557C"/>
    <w:rsid w:val="26970054"/>
    <w:rsid w:val="26FD1EEB"/>
    <w:rsid w:val="2803335A"/>
    <w:rsid w:val="281408E2"/>
    <w:rsid w:val="29FD04D3"/>
    <w:rsid w:val="2BFF7BC6"/>
    <w:rsid w:val="2C8A61B5"/>
    <w:rsid w:val="2DF04E50"/>
    <w:rsid w:val="2E586DFA"/>
    <w:rsid w:val="2F040D46"/>
    <w:rsid w:val="2F6B035B"/>
    <w:rsid w:val="2FAE5751"/>
    <w:rsid w:val="2FB1A395"/>
    <w:rsid w:val="2FD9A7D8"/>
    <w:rsid w:val="2FDBF714"/>
    <w:rsid w:val="30AB6865"/>
    <w:rsid w:val="319F7F4E"/>
    <w:rsid w:val="31F467AA"/>
    <w:rsid w:val="32BD1EF1"/>
    <w:rsid w:val="3304709D"/>
    <w:rsid w:val="33953AD8"/>
    <w:rsid w:val="33A773CB"/>
    <w:rsid w:val="349D6851"/>
    <w:rsid w:val="36AA5135"/>
    <w:rsid w:val="36BE0DA7"/>
    <w:rsid w:val="376B6AA6"/>
    <w:rsid w:val="376D39B2"/>
    <w:rsid w:val="37E16F03"/>
    <w:rsid w:val="37F53A3B"/>
    <w:rsid w:val="389B6C89"/>
    <w:rsid w:val="38D469F0"/>
    <w:rsid w:val="39627CCD"/>
    <w:rsid w:val="397BAF1F"/>
    <w:rsid w:val="399A3EC3"/>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2FC9"/>
    <w:rsid w:val="44AE3773"/>
    <w:rsid w:val="44E268DA"/>
    <w:rsid w:val="450D13D7"/>
    <w:rsid w:val="45506656"/>
    <w:rsid w:val="486A6C7A"/>
    <w:rsid w:val="4A3D6A33"/>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5C78CE"/>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B054B5"/>
    <w:rsid w:val="62BF3928"/>
    <w:rsid w:val="63B3701E"/>
    <w:rsid w:val="647F5392"/>
    <w:rsid w:val="65E66580"/>
    <w:rsid w:val="664B1D71"/>
    <w:rsid w:val="664B4E8E"/>
    <w:rsid w:val="67277B67"/>
    <w:rsid w:val="67456D79"/>
    <w:rsid w:val="67AA3209"/>
    <w:rsid w:val="698D0931"/>
    <w:rsid w:val="6A7FE5F3"/>
    <w:rsid w:val="6B053271"/>
    <w:rsid w:val="6BDD78B3"/>
    <w:rsid w:val="6C20150D"/>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FE62E0"/>
    <w:rsid w:val="72233669"/>
    <w:rsid w:val="72734D90"/>
    <w:rsid w:val="73160E6D"/>
    <w:rsid w:val="7332FE48"/>
    <w:rsid w:val="73AB61DA"/>
    <w:rsid w:val="73AD73D5"/>
    <w:rsid w:val="73B6EB34"/>
    <w:rsid w:val="73FA497D"/>
    <w:rsid w:val="744731E5"/>
    <w:rsid w:val="74BBD01D"/>
    <w:rsid w:val="74ED5379"/>
    <w:rsid w:val="75516B1B"/>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DF33D02"/>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CB4B5D"/>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收入、支出决算情况表（单位：万元）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[图表.xlsx]Sheet1!$B$10</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[图表.xlsx]Sheet1!$C$10:$D$10</c:f>
              <c:numCache>
                <c:formatCode>General</c:formatCode>
                <c:ptCount val="2"/>
                <c:pt idx="0">
                  <c:v>601.63</c:v>
                </c:pt>
                <c:pt idx="1">
                  <c:v>601.63</c:v>
                </c:pt>
              </c:numCache>
            </c:numRef>
          </c:val>
        </c:ser>
        <c:ser>
          <c:idx val="1"/>
          <c:order val="1"/>
          <c:tx>
            <c:strRef>
              <c:f>[图表.xlsx]Sheet1!$B$11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[图表.xlsx]Sheet1!$C$11:$D$11</c:f>
              <c:numCache>
                <c:formatCode>General</c:formatCode>
                <c:ptCount val="2"/>
                <c:pt idx="0">
                  <c:v>763.44</c:v>
                </c:pt>
                <c:pt idx="1">
                  <c:v>763.44</c:v>
                </c:pt>
              </c:numCache>
            </c:numRef>
          </c:val>
        </c:ser>
        <c:dLbls>
          <c:showLegendKey val="0"/>
          <c:showVal val="1"/>
          <c:showCatName val="0"/>
          <c:showSerName val="0"/>
          <c:showPercent val="0"/>
          <c:showBubbleSize val="0"/>
        </c:dLbls>
        <c:gapWidth val="219"/>
        <c:overlap val="-27"/>
        <c:axId val="927626806"/>
        <c:axId val="635985398"/>
      </c:barChart>
      <c:catAx>
        <c:axId val="9276268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985398"/>
        <c:crosses val="autoZero"/>
        <c:auto val="1"/>
        <c:lblAlgn val="ctr"/>
        <c:lblOffset val="100"/>
        <c:noMultiLvlLbl val="0"/>
      </c:catAx>
      <c:valAx>
        <c:axId val="6359853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6268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7af5c4-79de-4d5e-9340-3dfb1fc3b9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收入决算结构图（单位：万元）</a:t>
            </a:r>
            <a:endParaRPr sz="900"/>
          </a:p>
        </c:rich>
      </c:tx>
      <c:layout>
        <c:manualLayout>
          <c:xMode val="edge"/>
          <c:yMode val="edge"/>
          <c:x val="0.30151338766007"/>
          <c:y val="0.026184538653366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dLbl>
              <c:idx val="0"/>
              <c:layout>
                <c:manualLayout>
                  <c:x val="0.206041585904006"/>
                  <c:y val="-0.17035326076382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[图表.xlsx]Sheet1!$B$63</c:f>
              <c:strCache>
                <c:ptCount val="1"/>
                <c:pt idx="0">
                  <c:v>一般公共预算财政拨款收入</c:v>
                </c:pt>
              </c:strCache>
            </c:strRef>
          </c:cat>
          <c:val>
            <c:numRef>
              <c:f>[图表.xlsx]Sheet1!$C$63</c:f>
              <c:numCache>
                <c:formatCode>General</c:formatCode>
                <c:ptCount val="1"/>
                <c:pt idx="0">
                  <c:v>763.44</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423ff6b-feab-496c-98fc-088fc27ade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支出决算结构图（单位：万元）</a:t>
            </a:r>
          </a:p>
        </c:rich>
      </c:tx>
      <c:layout>
        <c:manualLayout>
          <c:xMode val="edge"/>
          <c:yMode val="edge"/>
          <c:x val="0.230416666666667"/>
          <c:y val="0.020833333333333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10416666666667"/>
                  <c:y val="-0.13194444444444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6875"/>
                  <c:y val="0.083333333333333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[图表.xlsx]Sheet1!$B$94:$B$95</c:f>
              <c:strCache>
                <c:ptCount val="2"/>
                <c:pt idx="0">
                  <c:v>基本支出</c:v>
                </c:pt>
                <c:pt idx="1">
                  <c:v>项目支出</c:v>
                </c:pt>
              </c:strCache>
            </c:strRef>
          </c:cat>
          <c:val>
            <c:numRef>
              <c:f>[图表.xlsx]Sheet1!$C$94:$C$95</c:f>
              <c:numCache>
                <c:formatCode>#,##0.00</c:formatCode>
                <c:ptCount val="2"/>
                <c:pt idx="0">
                  <c:v>326.33</c:v>
                </c:pt>
                <c:pt idx="1" c:formatCode="General">
                  <c:v>437.11</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145555555555556"/>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44a1817-a0b3-43fc-a4eb-1f656733f3f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财政拨款收入、支出决算情况表（单位：万元）</a:t>
            </a:r>
          </a:p>
        </c:rich>
      </c:tx>
      <c:layout>
        <c:manualLayout>
          <c:xMode val="edge"/>
          <c:yMode val="edge"/>
          <c:x val="0.181454979129398"/>
          <c:y val="0.0277777777777778"/>
        </c:manualLayout>
      </c:layout>
      <c:overlay val="0"/>
      <c:spPr>
        <a:noFill/>
        <a:ln>
          <a:noFill/>
        </a:ln>
        <a:effectLst/>
      </c:spPr>
    </c:title>
    <c:autoTitleDeleted val="0"/>
    <c:plotArea>
      <c:layout/>
      <c:barChart>
        <c:barDir val="col"/>
        <c:grouping val="clustered"/>
        <c:varyColors val="0"/>
        <c:ser>
          <c:idx val="0"/>
          <c:order val="0"/>
          <c:tx>
            <c:strRef>
              <c:f>[图表.xlsx]Sheet1!$B$119</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[图表.xlsx]Sheet1!$C$119:$D$119</c:f>
              <c:numCache>
                <c:formatCode>General</c:formatCode>
                <c:ptCount val="2"/>
                <c:pt idx="0">
                  <c:v>601.63</c:v>
                </c:pt>
                <c:pt idx="1">
                  <c:v>601.63</c:v>
                </c:pt>
              </c:numCache>
            </c:numRef>
          </c:val>
        </c:ser>
        <c:ser>
          <c:idx val="1"/>
          <c:order val="1"/>
          <c:tx>
            <c:strRef>
              <c:f>[图表.xlsx]Sheet1!$B$120</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[图表.xlsx]Sheet1!$C$120:$D$120</c:f>
              <c:numCache>
                <c:formatCode>General</c:formatCode>
                <c:ptCount val="2"/>
                <c:pt idx="0">
                  <c:v>763.44</c:v>
                </c:pt>
                <c:pt idx="1">
                  <c:v>763.44</c:v>
                </c:pt>
              </c:numCache>
            </c:numRef>
          </c:val>
        </c:ser>
        <c:dLbls>
          <c:showLegendKey val="0"/>
          <c:showVal val="1"/>
          <c:showCatName val="0"/>
          <c:showSerName val="0"/>
          <c:showPercent val="0"/>
          <c:showBubbleSize val="0"/>
        </c:dLbls>
        <c:gapWidth val="219"/>
        <c:overlap val="-27"/>
        <c:axId val="806790413"/>
        <c:axId val="42444325"/>
      </c:barChart>
      <c:catAx>
        <c:axId val="806790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44325"/>
        <c:crosses val="autoZero"/>
        <c:auto val="1"/>
        <c:lblAlgn val="ctr"/>
        <c:lblOffset val="100"/>
        <c:noMultiLvlLbl val="0"/>
      </c:catAx>
      <c:valAx>
        <c:axId val="424443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904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5a86be-3812-49a2-bc5e-554503c8308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一般公共预算财政拨款支出决算情况表（单位：万元）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[图表.xlsx]Sheet1!$H$133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[图表.xlsx]Sheet1!$I$133</c:f>
              <c:numCache>
                <c:formatCode>General</c:formatCode>
                <c:ptCount val="1"/>
                <c:pt idx="0">
                  <c:v>601.63</c:v>
                </c:pt>
              </c:numCache>
            </c:numRef>
          </c:val>
        </c:ser>
        <c:ser>
          <c:idx val="1"/>
          <c:order val="1"/>
          <c:tx>
            <c:strRef>
              <c:f>[图表.xlsx]Sheet1!$H$134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[图表.xlsx]Sheet1!$I$134</c:f>
              <c:numCache>
                <c:formatCode>General</c:formatCode>
                <c:ptCount val="1"/>
                <c:pt idx="0">
                  <c:v>763.44</c:v>
                </c:pt>
              </c:numCache>
            </c:numRef>
          </c:val>
        </c:ser>
        <c:dLbls>
          <c:showLegendKey val="0"/>
          <c:showVal val="1"/>
          <c:showCatName val="0"/>
          <c:showSerName val="0"/>
          <c:showPercent val="0"/>
          <c:showBubbleSize val="0"/>
        </c:dLbls>
        <c:gapWidth val="219"/>
        <c:overlap val="-27"/>
        <c:axId val="158010221"/>
        <c:axId val="806745929"/>
      </c:barChart>
      <c:catAx>
        <c:axId val="1580102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45929"/>
        <c:crosses val="autoZero"/>
        <c:auto val="1"/>
        <c:lblAlgn val="ctr"/>
        <c:lblOffset val="100"/>
        <c:noMultiLvlLbl val="0"/>
      </c:catAx>
      <c:valAx>
        <c:axId val="8067459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0102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ed7212-bdbf-45f7-b67e-9f45877a86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一般公共预算财政拨款支出决算结构（单位：万元）</a:t>
            </a:r>
            <a:endParaRPr sz="900"/>
          </a:p>
        </c:rich>
      </c:tx>
      <c:layout>
        <c:manualLayout>
          <c:xMode val="edge"/>
          <c:yMode val="edge"/>
          <c:x val="0.252536234416792"/>
          <c:y val="0.0072087175188600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60451628935591"/>
                  <c:y val="-0.29228688054466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教育支出674.4388.3</a:t>
                    </a:r>
                    <a:r>
                      <a:rPr lang="en-US" altLang="zh-CN"/>
                      <a:t>5</a:t>
                    </a:r>
                    <a:r>
                      <a:t>%</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47310578594758"/>
                  <c:y val="0.17168125279952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53128555176337"/>
                      <c:h val="0.197257769652651"/>
                    </c:manualLayout>
                  </c15:layout>
                </c:ext>
              </c:extLst>
            </c:dLbl>
            <c:dLbl>
              <c:idx val="2"/>
              <c:layout>
                <c:manualLayout>
                  <c:x val="-0.13341151960233"/>
                  <c:y val="0.0302318590830101"/>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14836206358369"/>
                  <c:y val="0.043719919393938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[图表.xlsx]Sheet1!$B$250:$B$253</c:f>
              <c:strCache>
                <c:ptCount val="4"/>
                <c:pt idx="0">
                  <c:v>教育支出</c:v>
                </c:pt>
                <c:pt idx="1">
                  <c:v>社会保障和就业支出</c:v>
                </c:pt>
                <c:pt idx="2">
                  <c:v>卫生健康支出</c:v>
                </c:pt>
                <c:pt idx="3">
                  <c:v>住房保障支出</c:v>
                </c:pt>
              </c:strCache>
            </c:strRef>
          </c:cat>
          <c:val>
            <c:numRef>
              <c:f>[图表.xlsx]Sheet1!$C$250:$C$253</c:f>
              <c:numCache>
                <c:formatCode>General</c:formatCode>
                <c:ptCount val="4"/>
                <c:pt idx="0">
                  <c:v>674.43</c:v>
                </c:pt>
                <c:pt idx="1">
                  <c:v>41.33</c:v>
                </c:pt>
                <c:pt idx="2">
                  <c:v>24.6</c:v>
                </c:pt>
                <c:pt idx="3">
                  <c:v>23.08</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24ca37-0b17-4dc1-9c49-8c08bf37a9a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“三公”经费财政拨款支出结构（单位：万元）</a:t>
            </a:r>
            <a:endParaRPr sz="900"/>
          </a:p>
        </c:rich>
      </c:tx>
      <c:layout>
        <c:manualLayout>
          <c:xMode val="edge"/>
          <c:yMode val="edge"/>
          <c:x val="0.247099483204134"/>
          <c:y val="0.0155152050394342"/>
        </c:manualLayout>
      </c:layout>
      <c:overlay val="0"/>
      <c:spPr>
        <a:noFill/>
        <a:ln>
          <a:noFill/>
        </a:ln>
        <a:effectLst/>
      </c:spPr>
    </c:title>
    <c:autoTitleDeleted val="0"/>
    <c:plotArea>
      <c:layout>
        <c:manualLayout>
          <c:layoutTarget val="inner"/>
          <c:xMode val="edge"/>
          <c:yMode val="edge"/>
          <c:x val="0.206527777777778"/>
          <c:y val="0.173605776616992"/>
          <c:w val="0.590555555555556"/>
          <c:h val="0.65324934705792"/>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29166666666667"/>
                  <c:y val="0.040033130396883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89583333333333"/>
                  <c:y val="-0.17402597402597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179166666666667"/>
                  <c:y val="0.0451388888888889"/>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[图表.xlsx]Sheet1!$B$301:$B$303</c:f>
              <c:strCache>
                <c:ptCount val="3"/>
                <c:pt idx="0">
                  <c:v>因公出国（境）费</c:v>
                </c:pt>
                <c:pt idx="1">
                  <c:v>公务用车购置及运行维护费</c:v>
                </c:pt>
                <c:pt idx="2">
                  <c:v>公务接待费</c:v>
                </c:pt>
              </c:strCache>
            </c:strRef>
          </c:cat>
          <c:val>
            <c:numRef>
              <c:f>[图表.xlsx]Sheet1!$C$301:$C$303</c:f>
              <c:numCache>
                <c:formatCode>General</c:formatCode>
                <c:ptCount val="3"/>
                <c:pt idx="0">
                  <c:v>0</c:v>
                </c:pt>
                <c:pt idx="1">
                  <c:v>0.72</c:v>
                </c:pt>
                <c:pt idx="2">
                  <c:v>0.12</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3a31dd1-d2d5-4c1f-b5e4-a97736a50e8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2104</Words>
  <Characters>2375</Characters>
  <Lines>61</Lines>
  <Paragraphs>17</Paragraphs>
  <TotalTime>8</TotalTime>
  <ScaleCrop>false</ScaleCrop>
  <LinksUpToDate>false</LinksUpToDate>
  <CharactersWithSpaces>2426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情深似海1397267251</cp:lastModifiedBy>
  <cp:lastPrinted>2025-10-20T02:43:34Z</cp:lastPrinted>
  <dcterms:modified xsi:type="dcterms:W3CDTF">2025-10-20T02:44:03Z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04787F2533EB45DC91BCDE4AB213247F</vt:lpwstr>
  </property>
  <property fmtid="{D5CDD505-2E9C-101B-9397-08002B2CF9AE}" pid="4" name="KSOTemplateDocerSaveRecord">
    <vt:lpwstr>eyJoZGlkIjoiMDVmYzYwZmM0Y2FlNDQ1Nzc5MjY5YTRlYjhmZmI2YjgiLCJ1c2VySWQiOiIxNDA1MTg0MiJ9</vt:lpwstr>
  </property>
</Properties>
</file>