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06267"/>
      <w:bookmarkStart w:id="1" w:name="_Toc15377425"/>
      <w:bookmarkStart w:id="2" w:name="_Toc15378441"/>
      <w:bookmarkStart w:id="3" w:name="_Toc15396475"/>
      <w:bookmarkStart w:id="4" w:name="_Toc15377193"/>
      <w:bookmarkStart w:id="5" w:name="_Toc15396597"/>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eastAsia="zh-CN"/>
        </w:rPr>
        <w:t>档案馆</w:t>
      </w:r>
      <w:r>
        <w:rPr>
          <w:rFonts w:hint="default" w:ascii="Times New Roman" w:hAnsi="Times New Roman" w:eastAsia="方正小标宋简体" w:cs="Times New Roman"/>
          <w:kern w:val="2"/>
          <w:sz w:val="72"/>
          <w:szCs w:val="72"/>
        </w:rPr>
        <w:t>部门决算</w:t>
      </w: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pPr>
        <w:spacing w:line="600" w:lineRule="exact"/>
        <w:jc w:val="center"/>
        <w:outlineLvl w:val="0"/>
        <w:rPr>
          <w:rFonts w:hint="default" w:ascii="Times New Roman" w:hAnsi="Times New Roman" w:eastAsia="方正小标宋简体" w:cs="Times New Roman"/>
          <w:sz w:val="72"/>
          <w:szCs w:val="72"/>
        </w:rPr>
      </w:pPr>
    </w:p>
    <w:p>
      <w:pPr>
        <w:pStyle w:val="22"/>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bookmarkEnd w:id="0"/>
    <w:bookmarkEnd w:id="1"/>
    <w:bookmarkEnd w:id="2"/>
    <w:bookmarkEnd w:id="3"/>
    <w:bookmarkEnd w:id="4"/>
    <w:bookmarkEnd w:id="5"/>
    <w:p>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公开时间：2025年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pPr>
        <w:rPr>
          <w:rFonts w:hint="default" w:ascii="Times New Roman" w:hAnsi="Times New Roman" w:cs="Times New Roman"/>
        </w:rPr>
      </w:pP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...................................................................1</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一、部门职责</w:t>
      </w:r>
      <w:r>
        <w:rPr>
          <w:rFonts w:hint="eastAsia" w:ascii="Times New Roman" w:hAnsi="Times New Roman" w:eastAsia="仿宋_GB2312" w:cs="Times New Roman"/>
          <w:sz w:val="32"/>
          <w:szCs w:val="32"/>
          <w:lang w:val="en-US" w:eastAsia="zh-CN"/>
        </w:rPr>
        <w:t>......................................................................1</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二、机构设置</w:t>
      </w:r>
      <w:r>
        <w:rPr>
          <w:rFonts w:hint="eastAsia" w:ascii="Times New Roman" w:hAnsi="Times New Roman" w:eastAsia="仿宋_GB2312" w:cs="Times New Roman"/>
          <w:sz w:val="32"/>
          <w:szCs w:val="32"/>
          <w:lang w:val="en-US" w:eastAsia="zh-CN"/>
        </w:rPr>
        <w:t>......................................................................2</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...................................3</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r>
        <w:rPr>
          <w:rFonts w:hint="eastAsia" w:ascii="Times New Roman" w:hAnsi="Times New Roman" w:eastAsia="仿宋_GB2312" w:cs="Times New Roman"/>
          <w:sz w:val="32"/>
          <w:szCs w:val="32"/>
          <w:lang w:val="en-US" w:eastAsia="zh-CN"/>
        </w:rPr>
        <w:t>.......................................3</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r>
        <w:rPr>
          <w:rFonts w:hint="eastAsia" w:ascii="Times New Roman" w:hAnsi="Times New Roman" w:eastAsia="仿宋_GB2312" w:cs="Times New Roman"/>
          <w:sz w:val="32"/>
          <w:szCs w:val="32"/>
          <w:lang w:val="en-US" w:eastAsia="zh-CN"/>
        </w:rPr>
        <w:t>.......................................................3</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三、支出决算情况说明</w:t>
      </w:r>
      <w:r>
        <w:rPr>
          <w:rFonts w:hint="eastAsia" w:ascii="Times New Roman" w:hAnsi="Times New Roman" w:eastAsia="仿宋_GB2312" w:cs="Times New Roman"/>
          <w:sz w:val="32"/>
          <w:szCs w:val="32"/>
          <w:lang w:val="en-US" w:eastAsia="zh-CN"/>
        </w:rPr>
        <w:t>.......................................................4</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四、财政拨款收入支出决算总体情况说明</w:t>
      </w:r>
      <w:r>
        <w:rPr>
          <w:rFonts w:hint="eastAsia" w:ascii="Times New Roman" w:hAnsi="Times New Roman" w:eastAsia="仿宋_GB2312" w:cs="Times New Roman"/>
          <w:sz w:val="32"/>
          <w:szCs w:val="32"/>
          <w:lang w:val="en-US" w:eastAsia="zh-CN"/>
        </w:rPr>
        <w:t>.......................4</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eastAsia" w:ascii="Times New Roman" w:hAnsi="Times New Roman" w:eastAsia="仿宋_GB2312" w:cs="Times New Roman"/>
          <w:sz w:val="32"/>
          <w:szCs w:val="32"/>
          <w:lang w:val="en-US" w:eastAsia="zh-CN"/>
        </w:rPr>
        <w:t>...............5</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ascii="Times New Roman" w:hAnsi="Times New Roman" w:eastAsia="仿宋_GB2312" w:cs="Times New Roman"/>
          <w:sz w:val="32"/>
          <w:szCs w:val="32"/>
          <w:lang w:val="en-US" w:eastAsia="zh-CN"/>
        </w:rPr>
        <w:t>.......7</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七、财政拨款“三公”经费支出决算情况说明</w:t>
      </w:r>
      <w:r>
        <w:rPr>
          <w:rFonts w:hint="eastAsia" w:ascii="Times New Roman" w:hAnsi="Times New Roman" w:eastAsia="仿宋_GB2312" w:cs="Times New Roman"/>
          <w:sz w:val="32"/>
          <w:szCs w:val="32"/>
          <w:lang w:val="en-US" w:eastAsia="zh-CN"/>
        </w:rPr>
        <w:t>...................8</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eastAsia" w:ascii="Times New Roman" w:hAnsi="Times New Roman" w:eastAsia="仿宋_GB2312" w:cs="Times New Roman"/>
          <w:sz w:val="32"/>
          <w:szCs w:val="32"/>
          <w:lang w:val="en-US" w:eastAsia="zh-CN"/>
        </w:rPr>
        <w:t>..........................9</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eastAsia" w:ascii="Times New Roman" w:hAnsi="Times New Roman" w:eastAsia="仿宋_GB2312" w:cs="Times New Roman"/>
          <w:sz w:val="32"/>
          <w:szCs w:val="32"/>
          <w:lang w:val="en-US" w:eastAsia="zh-CN"/>
        </w:rPr>
        <w:t>.....................10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ascii="Times New Roman" w:hAnsi="Times New Roman" w:eastAsia="仿宋_GB2312" w:cs="Times New Roman"/>
          <w:sz w:val="32"/>
          <w:szCs w:val="32"/>
          <w:lang w:val="en-US" w:eastAsia="zh-CN"/>
        </w:rPr>
        <w:t>.........................................10</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.................................................................12</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.........................................................................15</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五、财政拨款支出决算明细表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六、一般公共预算财政拨款支出决算表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七、一般公共预算财政拨款支出决算明细表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八、一般公共预算财政拨款基本支出决算明细表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九、一般公共预算财政拨款项目支出决算表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十、政府性基金预算财政拨款收入支出决算表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十一、国有资本经营预算财政拨款收入支出决算表</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十二、国有资本经营预算财政拨款支出决算表</w:t>
      </w:r>
      <w:r>
        <w:rPr>
          <w:rFonts w:hint="eastAsia" w:ascii="Times New Roman" w:hAnsi="Times New Roman" w:eastAsia="仿宋_GB2312" w:cs="Times New Roman"/>
          <w:sz w:val="32"/>
          <w:szCs w:val="32"/>
          <w:lang w:val="en-US" w:eastAsia="zh-CN"/>
        </w:rPr>
        <w:t>.............40</w:t>
      </w:r>
    </w:p>
    <w:p>
      <w:pPr>
        <w:pStyle w:val="16"/>
        <w:adjustRightInd w:val="0"/>
        <w:snapToGrid w:val="0"/>
        <w:spacing w:line="560" w:lineRule="exact"/>
        <w:ind w:left="0" w:leftChars="0" w:firstLine="640" w:firstLineChars="200"/>
        <w:jc w:val="left"/>
        <w:rPr>
          <w:rFonts w:hint="default" w:ascii="Times New Roman" w:hAnsi="Times New Roman" w:eastAsia="仿宋_GB2312" w:cs="Times New Roman"/>
          <w:b w:val="0"/>
          <w:lang w:val="en-US" w:eastAsia="zh-CN"/>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default" w:ascii="Times New Roman" w:hAnsi="Times New Roman" w:eastAsia="仿宋_GB2312" w:cs="Times New Roman"/>
          <w:sz w:val="32"/>
          <w:szCs w:val="32"/>
        </w:rPr>
        <w:t>十三、财政拨款“三公”经费支出决算表</w:t>
      </w:r>
      <w:bookmarkStart w:id="6" w:name="_Toc15377196"/>
      <w:bookmarkStart w:id="7" w:name="_Toc15396599"/>
      <w:r>
        <w:rPr>
          <w:rFonts w:hint="eastAsia" w:ascii="Times New Roman" w:hAnsi="Times New Roman" w:eastAsia="仿宋_GB2312" w:cs="Times New Roman"/>
          <w:sz w:val="32"/>
          <w:szCs w:val="32"/>
          <w:lang w:val="en-US" w:eastAsia="zh-CN"/>
        </w:rPr>
        <w:t>..........................40</w:t>
      </w:r>
    </w:p>
    <w:p>
      <w:pPr>
        <w:pStyle w:val="3"/>
        <w:jc w:val="center"/>
        <w:rPr>
          <w:rStyle w:val="31"/>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31"/>
          <w:rFonts w:hint="default" w:ascii="Times New Roman" w:hAnsi="Times New Roman" w:eastAsia="方正小标宋简体" w:cs="Times New Roman"/>
          <w:b w:val="0"/>
          <w:bCs w:val="0"/>
        </w:rPr>
        <w:t>部门概况</w:t>
      </w:r>
      <w:bookmarkEnd w:id="6"/>
      <w:bookmarkEnd w:id="7"/>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一、部门职责</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（一）贯彻执行党和国家档案事业的方针政策以及法律法规，落实省、市、县档案事业发展规划、计划和相关政策法规。</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（二）负责接收和保管县级党政机关、人民团体、国有企业事业单位和其他组织等本馆保管范围内对党、国家和社会有保存价值的各类档案（包括电子档案、名人档案等）、资料和政府公开信息，并提供利用。</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（三）研究制定本馆进馆档案的接收标准和规范，负责进馆档案整理质量检查和移交工作。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（四）负责组织征集整理散存在国内外有重要价值的档案资料（包括名人档案等）。</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（五）利用档案为县委和县政府决策服务。配合县委和县政府重大活动，开展档案展览、陈列、编纂出版工作。组织各单位依法依规开展馆藏档案解密、开放鉴定、销毁工作。依法依规开放档案信息资源。</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（六）维护馆藏档案资料安全，承担重要档案异地异质备份工作。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（七）组织实施电子档案移交系统或数据接口部署，承担本馆档案信息化建设、馆藏电子档案的管理和备份、馆藏档案资料数字化等工作。承担本馆数字档案馆的建设、运行、管理和维护等工作。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（八）承担馆藏档案资料的修复、缩微等抢救保护工作。开展档案保护技术研究和应用等科研工作。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（九）完成县委和县政府交办的其他任务。</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黑体" w:cs="Times New Roman"/>
          <w:b w:val="0"/>
          <w:bCs w:val="0"/>
          <w:kern w:val="2"/>
          <w:sz w:val="32"/>
          <w:szCs w:val="32"/>
          <w:lang w:val="en-US" w:eastAsia="zh-CN" w:bidi="ar-SA"/>
        </w:rPr>
      </w:pPr>
      <w:bookmarkStart w:id="8" w:name="_Toc15396601"/>
      <w:bookmarkStart w:id="9" w:name="_Toc15377200"/>
      <w:r>
        <w:rPr>
          <w:rFonts w:hint="default" w:ascii="Times New Roman" w:hAnsi="Times New Roman" w:eastAsia="黑体" w:cs="Times New Roman"/>
          <w:b w:val="0"/>
          <w:bCs w:val="0"/>
          <w:kern w:val="2"/>
          <w:sz w:val="32"/>
          <w:szCs w:val="32"/>
          <w:lang w:val="en-US" w:eastAsia="zh-CN" w:bidi="ar-SA"/>
        </w:rPr>
        <w:t>二、机构设置</w:t>
      </w:r>
      <w:bookmarkEnd w:id="8"/>
      <w:bookmarkEnd w:id="9"/>
    </w:p>
    <w:p>
      <w:pPr>
        <w:ind w:firstLine="640" w:firstLineChars="200"/>
        <w:rPr>
          <w:rFonts w:hint="default" w:ascii="Times New Roman" w:hAnsi="Times New Roman" w:eastAsia="仿宋" w:cs="Times New Roman"/>
          <w:kern w:val="0"/>
          <w:sz w:val="32"/>
          <w:szCs w:val="32"/>
        </w:rPr>
      </w:pPr>
      <w:r>
        <w:rPr>
          <w:rFonts w:hint="default" w:ascii="Times New Roman" w:hAnsi="Times New Roman" w:eastAsia="仿宋_GB2312" w:cs="Times New Roman"/>
          <w:b w:val="0"/>
          <w:bCs w:val="0"/>
          <w:kern w:val="2"/>
          <w:sz w:val="32"/>
          <w:szCs w:val="32"/>
          <w:lang w:val="en-US" w:eastAsia="zh-CN" w:bidi="ar-SA"/>
        </w:rPr>
        <w:t>盐边县档案馆下属二级预算单位0个，其中行政单位0个，参照公务员法管理的事业单位0个，其他事业单位0个。</w:t>
      </w:r>
      <w:r>
        <w:rPr>
          <w:rFonts w:hint="default" w:ascii="Times New Roman" w:hAnsi="Times New Roman" w:eastAsia="仿宋" w:cs="Times New Roman"/>
          <w:sz w:val="32"/>
          <w:szCs w:val="32"/>
        </w:rPr>
        <w:br w:type="page"/>
      </w:r>
    </w:p>
    <w:p>
      <w:pPr>
        <w:pStyle w:val="3"/>
        <w:jc w:val="center"/>
        <w:rPr>
          <w:rFonts w:hint="default" w:ascii="Times New Roman" w:hAnsi="Times New Roman" w:eastAsia="方正小标宋简体" w:cs="Times New Roman"/>
          <w:b w:val="0"/>
        </w:rPr>
      </w:pPr>
      <w:bookmarkStart w:id="10" w:name="_Toc15396602"/>
      <w:bookmarkStart w:id="11" w:name="_Toc15377204"/>
      <w:r>
        <w:rPr>
          <w:rFonts w:hint="default" w:ascii="Times New Roman" w:hAnsi="Times New Roman" w:eastAsia="方正小标宋简体" w:cs="Times New Roman"/>
          <w:b w:val="0"/>
        </w:rPr>
        <w:t>第二部分  2024年度部门决算情况说明</w:t>
      </w:r>
      <w:bookmarkEnd w:id="10"/>
      <w:bookmarkEnd w:id="11"/>
    </w:p>
    <w:p>
      <w:pPr>
        <w:pStyle w:val="30"/>
        <w:spacing w:line="600" w:lineRule="exact"/>
        <w:ind w:left="0" w:leftChars="0" w:firstLine="640" w:firstLineChars="200"/>
        <w:outlineLvl w:val="1"/>
        <w:rPr>
          <w:rStyle w:val="32"/>
          <w:rFonts w:hint="default" w:ascii="Times New Roman" w:hAnsi="Times New Roman" w:eastAsia="黑体" w:cs="Times New Roman"/>
          <w:b w:val="0"/>
        </w:rPr>
      </w:pPr>
      <w:bookmarkStart w:id="12" w:name="_Toc15377205"/>
      <w:bookmarkStart w:id="13" w:name="_Toc15396603"/>
      <w:r>
        <w:rPr>
          <w:rFonts w:hint="default" w:ascii="Times New Roman" w:hAnsi="Times New Roman" w:eastAsia="黑体" w:cs="Times New Roman"/>
          <w:sz w:val="32"/>
          <w:szCs w:val="32"/>
        </w:rPr>
        <w:t>一、收</w:t>
      </w:r>
      <w:r>
        <w:rPr>
          <w:rStyle w:val="32"/>
          <w:rFonts w:hint="default" w:ascii="Times New Roman" w:hAnsi="Times New Roman" w:eastAsia="黑体" w:cs="Times New Roman"/>
          <w:b w:val="0"/>
        </w:rPr>
        <w:t>入支出决算总体情况说明</w:t>
      </w:r>
      <w:bookmarkEnd w:id="12"/>
      <w:bookmarkEnd w:id="13"/>
    </w:p>
    <w:p>
      <w:pPr>
        <w:pStyle w:val="30"/>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2024年度收入、支出总计均为270.02万元。与2023年度相比，收入、支出总计各增加10.14万元，增长3.76%。主要变动原因</w:t>
      </w:r>
      <w:r>
        <w:rPr>
          <w:rFonts w:hint="eastAsia"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en-US" w:eastAsia="zh-CN" w:bidi="ar-SA"/>
        </w:rPr>
        <w:t>2024年正常的增资及增加了</w:t>
      </w:r>
      <w:r>
        <w:rPr>
          <w:rFonts w:hint="eastAsia" w:eastAsia="仿宋_GB2312" w:cs="Times New Roman"/>
          <w:b w:val="0"/>
          <w:bCs w:val="0"/>
          <w:kern w:val="2"/>
          <w:sz w:val="32"/>
          <w:szCs w:val="32"/>
          <w:lang w:val="en-US" w:eastAsia="zh-CN" w:bidi="ar-SA"/>
        </w:rPr>
        <w:t>1名职工</w:t>
      </w:r>
      <w:r>
        <w:rPr>
          <w:rFonts w:hint="default" w:ascii="Times New Roman" w:hAnsi="Times New Roman" w:eastAsia="仿宋_GB2312" w:cs="Times New Roman"/>
          <w:b w:val="0"/>
          <w:bCs w:val="0"/>
          <w:kern w:val="2"/>
          <w:sz w:val="32"/>
          <w:szCs w:val="32"/>
          <w:lang w:val="en-US" w:eastAsia="zh-CN" w:bidi="ar-SA"/>
        </w:rPr>
        <w:t>的经费，还有2024年增加了党建经费和档案安保项目经费的预算。</w:t>
      </w:r>
    </w:p>
    <w:p>
      <w:pPr>
        <w:ind w:firstLine="420" w:firstLineChars="200"/>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0"/>
        <w:spacing w:line="600" w:lineRule="exact"/>
        <w:ind w:firstLine="640"/>
        <w:outlineLvl w:val="1"/>
        <w:rPr>
          <w:rFonts w:hint="default" w:ascii="Times New Roman" w:hAnsi="Times New Roman" w:eastAsia="黑体" w:cs="Times New Roman"/>
          <w:sz w:val="32"/>
          <w:szCs w:val="32"/>
        </w:rPr>
      </w:pPr>
      <w:bookmarkStart w:id="14" w:name="_Toc15396604"/>
      <w:bookmarkStart w:id="15" w:name="_Toc15377206"/>
      <w:r>
        <w:rPr>
          <w:rFonts w:hint="default" w:ascii="Times New Roman" w:hAnsi="Times New Roman" w:eastAsia="黑体" w:cs="Times New Roman"/>
          <w:sz w:val="32"/>
          <w:szCs w:val="32"/>
        </w:rPr>
        <w:t>二、收入决算情况说明</w:t>
      </w:r>
      <w:bookmarkEnd w:id="14"/>
      <w:bookmarkEnd w:id="15"/>
    </w:p>
    <w:p>
      <w:pPr>
        <w:pStyle w:val="30"/>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2024年度本年收入合计270.02万元，其中：一般公共预算财政拨款收入270.02万元，占100%。</w:t>
      </w:r>
    </w:p>
    <w:p>
      <w:pPr>
        <w:ind w:firstLine="525" w:firstLineChars="250"/>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spacing w:line="600" w:lineRule="exact"/>
        <w:ind w:firstLine="640"/>
        <w:outlineLvl w:val="1"/>
        <w:rPr>
          <w:rStyle w:val="32"/>
          <w:rFonts w:hint="default" w:ascii="Times New Roman" w:hAnsi="Times New Roman" w:eastAsia="黑体" w:cs="Times New Roman"/>
          <w:b w:val="0"/>
        </w:rPr>
      </w:pPr>
      <w:bookmarkStart w:id="16" w:name="_Toc15377207"/>
      <w:bookmarkStart w:id="17" w:name="_Toc15396605"/>
      <w:r>
        <w:rPr>
          <w:rFonts w:hint="default" w:ascii="Times New Roman" w:hAnsi="Times New Roman" w:eastAsia="黑体" w:cs="Times New Roman"/>
          <w:sz w:val="32"/>
          <w:szCs w:val="32"/>
        </w:rPr>
        <w:t>三、支</w:t>
      </w:r>
      <w:r>
        <w:rPr>
          <w:rStyle w:val="32"/>
          <w:rFonts w:hint="default" w:ascii="Times New Roman" w:hAnsi="Times New Roman" w:eastAsia="黑体" w:cs="Times New Roman"/>
          <w:b w:val="0"/>
        </w:rPr>
        <w:t>出决算情况说明</w:t>
      </w:r>
      <w:bookmarkEnd w:id="16"/>
      <w:bookmarkEnd w:id="17"/>
    </w:p>
    <w:p>
      <w:pPr>
        <w:pStyle w:val="30"/>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2024年度本年支出合计270.02万元，其中：基本支出239.03万元，占88.52%；项目支出30.99万元，占11.48%。</w:t>
      </w:r>
    </w:p>
    <w:p>
      <w:pPr>
        <w:ind w:firstLine="525" w:firstLineChars="250"/>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2"/>
          <w:rFonts w:hint="default" w:ascii="Times New Roman" w:hAnsi="Times New Roman" w:eastAsia="黑体" w:cs="Times New Roman"/>
          <w:b w:val="0"/>
        </w:rPr>
      </w:pPr>
      <w:bookmarkStart w:id="18" w:name="_Toc15377208"/>
      <w:bookmarkStart w:id="19" w:name="_Toc15396606"/>
      <w:r>
        <w:rPr>
          <w:rFonts w:hint="default" w:ascii="Times New Roman" w:hAnsi="Times New Roman" w:eastAsia="黑体" w:cs="Times New Roman"/>
          <w:sz w:val="32"/>
          <w:szCs w:val="32"/>
        </w:rPr>
        <w:t>四、财</w:t>
      </w:r>
      <w:r>
        <w:rPr>
          <w:rStyle w:val="32"/>
          <w:rFonts w:hint="default" w:ascii="Times New Roman" w:hAnsi="Times New Roman" w:eastAsia="黑体" w:cs="Times New Roman"/>
          <w:b w:val="0"/>
        </w:rPr>
        <w:t>政拨款收入支出决算总体情况说明</w:t>
      </w:r>
      <w:bookmarkEnd w:id="18"/>
      <w:bookmarkEnd w:id="19"/>
    </w:p>
    <w:p>
      <w:pPr>
        <w:pStyle w:val="30"/>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2024年度财政拨款收入、支出总计均为270.02万元。与2023年度相比，财政拨款收入总计、支出总计各增加10.14万元，增长3.76%。主要变动原因</w:t>
      </w:r>
      <w:r>
        <w:rPr>
          <w:rFonts w:hint="eastAsia"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en-US" w:eastAsia="zh-CN" w:bidi="ar-SA"/>
        </w:rPr>
        <w:t>2024年正常的增资及增加了</w:t>
      </w:r>
      <w:r>
        <w:rPr>
          <w:rFonts w:hint="eastAsia" w:eastAsia="仿宋_GB2312" w:cs="Times New Roman"/>
          <w:b w:val="0"/>
          <w:bCs w:val="0"/>
          <w:kern w:val="2"/>
          <w:sz w:val="32"/>
          <w:szCs w:val="32"/>
          <w:lang w:val="en-US" w:eastAsia="zh-CN" w:bidi="ar-SA"/>
        </w:rPr>
        <w:t>1名职工</w:t>
      </w:r>
      <w:r>
        <w:rPr>
          <w:rFonts w:hint="default" w:ascii="Times New Roman" w:hAnsi="Times New Roman" w:eastAsia="仿宋_GB2312" w:cs="Times New Roman"/>
          <w:b w:val="0"/>
          <w:bCs w:val="0"/>
          <w:kern w:val="2"/>
          <w:sz w:val="32"/>
          <w:szCs w:val="32"/>
          <w:lang w:val="en-US" w:eastAsia="zh-CN" w:bidi="ar-SA"/>
        </w:rPr>
        <w:t>的经费，还有2024年增加了党建经费和档案安保项目经费的预算。</w:t>
      </w:r>
    </w:p>
    <w:p>
      <w:pPr>
        <w:pStyle w:val="2"/>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32"/>
          <w:rFonts w:hint="default" w:ascii="Times New Roman" w:hAnsi="Times New Roman" w:eastAsia="黑体" w:cs="Times New Roman"/>
          <w:b w:val="0"/>
        </w:rPr>
      </w:pPr>
      <w:bookmarkStart w:id="20" w:name="_Toc15396607"/>
      <w:bookmarkStart w:id="21"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般公共预算财政拨款支出决算情况说明</w:t>
      </w:r>
      <w:bookmarkEnd w:id="20"/>
      <w:bookmarkEnd w:id="21"/>
    </w:p>
    <w:p>
      <w:pPr>
        <w:spacing w:line="600" w:lineRule="exact"/>
        <w:ind w:firstLine="643" w:firstLineChars="200"/>
        <w:outlineLvl w:val="2"/>
        <w:rPr>
          <w:rFonts w:hint="default" w:ascii="Times New Roman" w:hAnsi="Times New Roman" w:eastAsia="楷体_GB2312" w:cs="Times New Roman"/>
          <w:b/>
          <w:sz w:val="32"/>
          <w:szCs w:val="32"/>
        </w:rPr>
      </w:pPr>
      <w:bookmarkStart w:id="22" w:name="_Toc15377210"/>
      <w:r>
        <w:rPr>
          <w:rFonts w:hint="default" w:ascii="Times New Roman" w:hAnsi="Times New Roman" w:eastAsia="楷体_GB2312" w:cs="Times New Roman"/>
          <w:b/>
          <w:sz w:val="32"/>
          <w:szCs w:val="32"/>
        </w:rPr>
        <w:t>（一）一般公共预算财政拨款支出决算总体情况</w:t>
      </w:r>
      <w:bookmarkEnd w:id="22"/>
    </w:p>
    <w:p>
      <w:pPr>
        <w:pStyle w:val="30"/>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2024年度一般公共预算财政拨款支出270.02万元，占本年支出合计的100%。与2023年度相比，一般公共预算财政拨款支出增加10.14万元，增长3.76%。主要变动原因</w:t>
      </w:r>
      <w:r>
        <w:rPr>
          <w:rFonts w:hint="eastAsia"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en-US" w:eastAsia="zh-CN" w:bidi="ar-SA"/>
        </w:rPr>
        <w:t>2024年正常的增资及增加了</w:t>
      </w:r>
      <w:r>
        <w:rPr>
          <w:rFonts w:hint="eastAsia" w:eastAsia="仿宋_GB2312" w:cs="Times New Roman"/>
          <w:b w:val="0"/>
          <w:bCs w:val="0"/>
          <w:kern w:val="2"/>
          <w:sz w:val="32"/>
          <w:szCs w:val="32"/>
          <w:lang w:val="en-US" w:eastAsia="zh-CN" w:bidi="ar-SA"/>
        </w:rPr>
        <w:t>1名职工</w:t>
      </w:r>
      <w:r>
        <w:rPr>
          <w:rFonts w:hint="default" w:ascii="Times New Roman" w:hAnsi="Times New Roman" w:eastAsia="仿宋_GB2312" w:cs="Times New Roman"/>
          <w:b w:val="0"/>
          <w:bCs w:val="0"/>
          <w:kern w:val="2"/>
          <w:sz w:val="32"/>
          <w:szCs w:val="32"/>
          <w:lang w:val="en-US" w:eastAsia="zh-CN" w:bidi="ar-SA"/>
        </w:rPr>
        <w:t>的经费，还有2024年增加了党建经费和档案安保项目经费的预算。</w:t>
      </w:r>
    </w:p>
    <w:p>
      <w:pPr>
        <w:pStyle w:val="2"/>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1"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hint="default" w:ascii="Times New Roman" w:hAnsi="Times New Roman" w:eastAsia="楷体_GB2312" w:cs="Times New Roman"/>
          <w:b/>
          <w:sz w:val="32"/>
          <w:szCs w:val="32"/>
        </w:rPr>
      </w:pPr>
      <w:bookmarkStart w:id="23" w:name="_Toc15377211"/>
      <w:r>
        <w:rPr>
          <w:rFonts w:hint="default" w:ascii="Times New Roman" w:hAnsi="Times New Roman" w:eastAsia="楷体_GB2312" w:cs="Times New Roman"/>
          <w:b/>
          <w:sz w:val="32"/>
          <w:szCs w:val="32"/>
        </w:rPr>
        <w:t>（二）一般公共预算财政拨款支出决算结构情况</w:t>
      </w:r>
      <w:bookmarkEnd w:id="23"/>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2024年度一般公共预算财政拨款支出270.02万元，主要用于以下方面：一般公共服务支出187.13万元，占69.3%；社会保障和就业支出51.67万元，占19.14%；卫生健康支出16.54万元，占6.12%；住房保障支出14.68万元，占5.44%。</w:t>
      </w:r>
    </w:p>
    <w:p>
      <w:pPr>
        <w:pStyle w:val="2"/>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2"/>
        <w:rPr>
          <w:rFonts w:hint="default" w:ascii="Times New Roman" w:hAnsi="Times New Roman" w:eastAsia="楷体_GB2312" w:cs="Times New Roman"/>
          <w:b/>
          <w:sz w:val="32"/>
          <w:szCs w:val="32"/>
        </w:rPr>
      </w:pPr>
      <w:bookmarkStart w:id="24" w:name="_Toc15377212"/>
      <w:r>
        <w:rPr>
          <w:rFonts w:hint="default" w:ascii="Times New Roman" w:hAnsi="Times New Roman" w:eastAsia="楷体_GB2312" w:cs="Times New Roman"/>
          <w:b/>
          <w:sz w:val="32"/>
          <w:szCs w:val="32"/>
        </w:rPr>
        <w:t>（三）一般公共预算财政拨款支出决算具体情况</w:t>
      </w:r>
      <w:bookmarkEnd w:id="24"/>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bookmarkStart w:id="25" w:name="_Toc15377213"/>
      <w:bookmarkStart w:id="26" w:name="_Toc15377444"/>
      <w:bookmarkStart w:id="27" w:name="_Toc15378460"/>
      <w:r>
        <w:rPr>
          <w:rFonts w:hint="default" w:ascii="Times New Roman" w:hAnsi="Times New Roman" w:eastAsia="仿宋_GB2312" w:cs="Times New Roman"/>
          <w:b w:val="0"/>
          <w:bCs w:val="0"/>
          <w:kern w:val="2"/>
          <w:sz w:val="32"/>
          <w:szCs w:val="32"/>
          <w:lang w:val="en-US" w:eastAsia="zh-CN" w:bidi="ar-SA"/>
        </w:rPr>
        <w:t>2024年度一般公共预算财政拨款支出决算数为270.02万元，完成预算100%。其中：</w:t>
      </w:r>
      <w:bookmarkEnd w:id="25"/>
      <w:bookmarkEnd w:id="26"/>
      <w:bookmarkEnd w:id="27"/>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般公共服务支出（类）档案事务（款）行政运行（项）：支出决算为156.14万元，完成预算100%，决算数等于预算数的主要原因是严格按照预算法执行，支出过程中未超支预算，按预算计划和申请使用，确保了决算和预算一致。</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2.一般公共服务支出（类）档案事务（款）档案馆（项）</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 xml:space="preserve"> 支出决算为30.99万元，完成预算100%，决算数等于预算数。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3.社会保障和就业支出（类）行政事业单位养老支出（款）行政单位离退休（项）：支出决算为12.67万元，完成预算100%，决算数等于预算数。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4.社会保障和就业支出（类）行政事业单位养老支出（款）机关事业单位基本养老保险缴费支出（项）：支出决算为17.96万元，完成预算100%，决算数等于预算数。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5.社会保障和就业支出（类）行政事业单位养老支出（款）机关事业单位职业年金缴费支出（项）：支出决算为19.52万元，完成预算100%，决算数等于预算数。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6.社会保障和就业支出（类）抚恤（款）伤残抚恤（项）：支出决算为1.52万元，完成预算100%，决算数等于预算数。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7.卫生健康支出（类）行政事业单位医疗（款）行政单位医疗（项）：支出决算为9.76万元，完成预算100%，决算数等于预算数。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8.卫生健康支出（类）行政事业单位医疗（款）公务员医疗补助（项）：支出决算为1万元，完成预算100%，决算数等于预算数。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9.卫生健康支出（类）行政事业单位医疗（款）其他行政事业单位医疗支出（项）：支出决算为5.78万元，完成预算100%，决算数等于预算数。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10.住房保障支出（类）住房改革支出（款）住房公积金（项）：支出决算为14.68万元，完成预算100%，决算数等于预算数。</w:t>
      </w:r>
      <w:bookmarkStart w:id="28" w:name="_Toc15396608"/>
      <w:bookmarkStart w:id="29" w:name="_Toc15377214"/>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sz w:val="32"/>
          <w:szCs w:val="32"/>
          <w:lang w:val="en-US" w:eastAsia="zh-CN"/>
        </w:rPr>
        <w:t>六、一般公共预算财政拨款基本支出决算情况说明</w:t>
      </w:r>
      <w:bookmarkEnd w:id="28"/>
      <w:bookmarkEnd w:id="29"/>
      <w:r>
        <w:rPr>
          <w:rFonts w:hint="default" w:ascii="Times New Roman" w:hAnsi="Times New Roman" w:eastAsia="黑体" w:cs="Times New Roman"/>
          <w:sz w:val="32"/>
          <w:szCs w:val="32"/>
          <w:lang w:val="en-US" w:eastAsia="zh-CN"/>
        </w:rPr>
        <w:tab/>
      </w:r>
      <w:r>
        <w:rPr>
          <w:rFonts w:hint="default" w:ascii="Times New Roman" w:hAnsi="Times New Roman" w:eastAsia="仿宋_GB2312" w:cs="Times New Roman"/>
          <w:b w:val="0"/>
          <w:bCs w:val="0"/>
          <w:kern w:val="2"/>
          <w:sz w:val="32"/>
          <w:szCs w:val="32"/>
          <w:lang w:val="en-US" w:eastAsia="zh-CN" w:bidi="ar-SA"/>
        </w:rPr>
        <w:t>2024年度一般公共预算财政拨款基本支出239.03万元，其中：</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人员经费218.81万元，主要包括：基本工资、津贴补贴、奖金、机关事业单位基本养老保险缴费、职业年金缴费、职工基本医疗保险缴费、公务员医疗补助缴费、其他社会保障缴费、住房公积金、其他工资福利支出、抚恤金、生活补助、医疗费补助。</w:t>
      </w:r>
      <w:r>
        <w:rPr>
          <w:rFonts w:hint="default" w:ascii="Times New Roman" w:hAnsi="Times New Roman" w:eastAsia="仿宋_GB2312" w:cs="Times New Roman"/>
          <w:b w:val="0"/>
          <w:bCs w:val="0"/>
          <w:kern w:val="2"/>
          <w:sz w:val="32"/>
          <w:szCs w:val="32"/>
          <w:lang w:val="en-US" w:eastAsia="zh-CN" w:bidi="ar-SA"/>
        </w:rPr>
        <w:br w:type="textWrapping"/>
      </w:r>
      <w:r>
        <w:rPr>
          <w:rFonts w:hint="default" w:ascii="Times New Roman" w:hAnsi="Times New Roman" w:eastAsia="仿宋_GB2312" w:cs="Times New Roman"/>
          <w:b w:val="0"/>
          <w:bCs w:val="0"/>
          <w:kern w:val="2"/>
          <w:sz w:val="32"/>
          <w:szCs w:val="32"/>
          <w:lang w:val="en-US" w:eastAsia="zh-CN" w:bidi="ar-SA"/>
        </w:rPr>
        <w:t>　　公用经费20.22万元，主要包括：办公费、水费、邮电费、差旅费、维修（护）费、培训费、劳务费、工会经费、福利费、其他交通费用、其他商品和服务支出。</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b/>
          <w:sz w:val="32"/>
          <w:szCs w:val="32"/>
        </w:rPr>
      </w:pPr>
      <w:bookmarkStart w:id="30" w:name="_Toc15377215"/>
      <w:bookmarkStart w:id="31" w:name="_Toc15396609"/>
      <w:r>
        <w:rPr>
          <w:rFonts w:hint="default" w:ascii="Times New Roman" w:hAnsi="Times New Roman" w:eastAsia="黑体" w:cs="Times New Roman"/>
          <w:sz w:val="32"/>
          <w:szCs w:val="32"/>
        </w:rPr>
        <w:t>财政拨款“三公”经费支出决算情况说明</w:t>
      </w:r>
      <w:bookmarkEnd w:id="30"/>
      <w:bookmarkEnd w:id="31"/>
      <w:bookmarkStart w:id="32" w:name="_Toc15377216"/>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“三公”经费财政拨款支出决算总体情况说明</w:t>
      </w:r>
      <w:bookmarkEnd w:id="3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2024年度“三公”经费财政拨款支出决算为0万元，完成预算0%，较上年度无增减变动。决算数与预算数持平的主要原因是严格控制“三公”经费的开支，2024年未发生“三公”经费。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sz w:val="32"/>
          <w:szCs w:val="32"/>
        </w:rPr>
      </w:pPr>
      <w:bookmarkStart w:id="33" w:name="_Toc15377217"/>
      <w:r>
        <w:rPr>
          <w:rFonts w:hint="default" w:ascii="Times New Roman" w:hAnsi="Times New Roman" w:eastAsia="楷体_GB2312" w:cs="Times New Roman"/>
          <w:b/>
          <w:sz w:val="32"/>
          <w:szCs w:val="32"/>
        </w:rPr>
        <w:t>（二）“三公”经费财政拨款支出决算具体情况说明</w:t>
      </w:r>
      <w:bookmarkEnd w:id="3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w:t>
      </w:r>
      <w:r>
        <w:rPr>
          <w:rFonts w:hint="default" w:ascii="Times New Roman" w:hAnsi="Times New Roman" w:eastAsia="仿宋_GB2312" w:cs="Times New Roman"/>
          <w:sz w:val="32"/>
          <w:szCs w:val="32"/>
          <w:lang w:eastAsia="zh-CN"/>
        </w:rPr>
        <w:t>无增减变动</w:t>
      </w:r>
      <w:r>
        <w:rPr>
          <w:rFonts w:hint="default" w:ascii="Times New Roman" w:hAnsi="Times New Roman" w:eastAsia="仿宋_GB2312" w:cs="Times New Roman"/>
          <w:sz w:val="32"/>
          <w:szCs w:val="32"/>
        </w:rPr>
        <w:t>。主要原因是</w:t>
      </w:r>
      <w:r>
        <w:rPr>
          <w:rFonts w:hint="default" w:ascii="Times New Roman" w:hAnsi="Times New Roman" w:eastAsia="仿宋" w:cs="Times New Roman"/>
          <w:sz w:val="32"/>
          <w:szCs w:val="32"/>
          <w:lang w:val="zh-CN"/>
        </w:rPr>
        <w:t>我单</w:t>
      </w:r>
      <w:r>
        <w:rPr>
          <w:rFonts w:hint="default" w:ascii="Times New Roman" w:hAnsi="Times New Roman" w:eastAsia="仿宋_GB2312" w:cs="Times New Roman"/>
          <w:sz w:val="32"/>
          <w:szCs w:val="32"/>
          <w:lang w:val="zh-CN"/>
        </w:rPr>
        <w:t>位202</w:t>
      </w:r>
      <w:r>
        <w:rPr>
          <w:rFonts w:hint="default" w:ascii="Times New Roman" w:hAnsi="Times New Roman" w:eastAsia="仿宋_GB2312" w:cs="Times New Roman"/>
          <w:sz w:val="32"/>
          <w:szCs w:val="32"/>
          <w:lang w:val="en-US" w:eastAsia="zh-CN"/>
        </w:rPr>
        <w:t>3和2024</w:t>
      </w:r>
      <w:r>
        <w:rPr>
          <w:rFonts w:hint="default" w:ascii="Times New Roman" w:hAnsi="Times New Roman" w:eastAsia="仿宋_GB2312" w:cs="Times New Roman"/>
          <w:sz w:val="32"/>
          <w:szCs w:val="32"/>
          <w:lang w:val="zh-CN"/>
        </w:rPr>
        <w:t>年均无因公出国（境）支出</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公务用车购置及运行维护费支出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w:t>
      </w:r>
      <w:r>
        <w:rPr>
          <w:rFonts w:hint="default" w:ascii="Times New Roman" w:hAnsi="Times New Roman" w:eastAsia="仿宋_GB2312" w:cs="Times New Roman"/>
          <w:sz w:val="32"/>
          <w:szCs w:val="32"/>
          <w:lang w:eastAsia="zh-CN"/>
        </w:rPr>
        <w:t>无增减变动</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我单位无公务用车。</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截至2024年12月31日，单位共有公务用车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w:t>
      </w:r>
      <w:r>
        <w:rPr>
          <w:rFonts w:hint="default" w:ascii="Times New Roman" w:hAnsi="Times New Roman" w:eastAsia="仿宋_GB2312" w:cs="Times New Roman"/>
          <w:sz w:val="32"/>
          <w:szCs w:val="32"/>
          <w:lang w:eastAsia="zh-CN"/>
        </w:rPr>
        <w:t>无增减变动</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2023年和2024年均无公务接待</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万元。国内公务接待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34" w:name="_Toc15396610"/>
      <w:bookmarkStart w:id="35" w:name="_Toc15377218"/>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left="0" w:leftChars="0" w:firstLine="640" w:firstLineChars="200"/>
        <w:textAlignment w:val="auto"/>
        <w:rPr>
          <w:rStyle w:val="32"/>
          <w:rFonts w:hint="default" w:ascii="Times New Roman" w:hAnsi="Times New Roman" w:eastAsia="黑体" w:cs="Times New Roman"/>
          <w:b w:val="0"/>
        </w:rPr>
      </w:pPr>
      <w:r>
        <w:rPr>
          <w:rStyle w:val="32"/>
          <w:rFonts w:hint="default" w:ascii="Times New Roman" w:hAnsi="Times New Roman" w:eastAsia="黑体" w:cs="Times New Roman"/>
          <w:b w:val="0"/>
        </w:rPr>
        <w:t>政府性基金预算支出决算情况说明</w:t>
      </w:r>
      <w:bookmarkEnd w:id="34"/>
      <w:bookmarkEnd w:id="3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%。与2023年度相比，政府性基金预算财政拨款支出</w:t>
      </w:r>
      <w:r>
        <w:rPr>
          <w:rFonts w:hint="default" w:ascii="Times New Roman" w:hAnsi="Times New Roman" w:eastAsia="仿宋_GB2312" w:cs="Times New Roman"/>
          <w:sz w:val="32"/>
          <w:szCs w:val="32"/>
          <w:lang w:eastAsia="zh-CN"/>
        </w:rPr>
        <w:t>与上年持平</w:t>
      </w:r>
      <w:bookmarkStart w:id="36" w:name="_Toc15396611"/>
      <w:bookmarkStart w:id="37" w:name="_Toc15377219"/>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left="0" w:leftChars="0" w:firstLine="640" w:firstLineChars="200"/>
        <w:textAlignment w:val="auto"/>
        <w:rPr>
          <w:rStyle w:val="32"/>
          <w:rFonts w:hint="default" w:ascii="Times New Roman" w:hAnsi="Times New Roman" w:eastAsia="黑体" w:cs="Times New Roman"/>
          <w:b w:val="0"/>
        </w:rPr>
      </w:pPr>
      <w:r>
        <w:rPr>
          <w:rStyle w:val="32"/>
          <w:rFonts w:hint="default" w:ascii="Times New Roman" w:hAnsi="Times New Roman" w:eastAsia="黑体" w:cs="Times New Roman"/>
          <w:b w:val="0"/>
        </w:rPr>
        <w:t>国有资本经营预算支出决算情况说明</w:t>
      </w:r>
      <w:bookmarkEnd w:id="36"/>
      <w:bookmarkEnd w:id="3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w:t>
      </w:r>
      <w:r>
        <w:rPr>
          <w:rFonts w:hint="default" w:ascii="Times New Roman" w:hAnsi="Times New Roman" w:eastAsia="仿宋_GB2312" w:cs="Times New Roman"/>
          <w:sz w:val="32"/>
          <w:szCs w:val="32"/>
          <w:lang w:eastAsia="zh-CN"/>
        </w:rPr>
        <w:t>与上年持平。</w:t>
      </w:r>
      <w:bookmarkStart w:id="38" w:name="_Toc15377221"/>
      <w:bookmarkStart w:id="39" w:name="_Toc15396612"/>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left="0" w:leftChars="0" w:firstLine="640" w:firstLineChars="200"/>
        <w:textAlignment w:val="auto"/>
        <w:rPr>
          <w:rStyle w:val="32"/>
          <w:rFonts w:hint="default" w:ascii="Times New Roman" w:hAnsi="Times New Roman" w:eastAsia="黑体" w:cs="Times New Roman"/>
          <w:b w:val="0"/>
        </w:rPr>
      </w:pPr>
      <w:r>
        <w:rPr>
          <w:rStyle w:val="32"/>
          <w:rFonts w:hint="default" w:ascii="Times New Roman" w:hAnsi="Times New Roman" w:eastAsia="黑体" w:cs="Times New Roman"/>
          <w:b w:val="0"/>
        </w:rPr>
        <w:t>其他重要事项的情况说明</w:t>
      </w:r>
      <w:bookmarkEnd w:id="38"/>
      <w:bookmarkEnd w:id="39"/>
      <w:bookmarkStart w:id="40" w:name="_Toc15377222"/>
    </w:p>
    <w:p>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机关运行经费支出情况</w:t>
      </w:r>
      <w:bookmarkEnd w:id="4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万元，比2023年度增加</w:t>
      </w:r>
      <w:r>
        <w:rPr>
          <w:rFonts w:hint="default" w:ascii="Times New Roman" w:hAnsi="Times New Roman" w:eastAsia="仿宋_GB2312" w:cs="Times New Roman"/>
          <w:sz w:val="32"/>
          <w:szCs w:val="32"/>
          <w:lang w:val="en-US" w:eastAsia="zh-CN"/>
        </w:rPr>
        <w:t>0.71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3.64</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2024年增加了党建经费预算</w:t>
      </w:r>
      <w:r>
        <w:rPr>
          <w:rFonts w:hint="default" w:ascii="Times New Roman" w:hAnsi="Times New Roman" w:eastAsia="仿宋_GB2312" w:cs="Times New Roman"/>
          <w:sz w:val="32"/>
          <w:szCs w:val="32"/>
          <w:lang w:eastAsia="zh-CN"/>
        </w:rPr>
        <w:t>。</w:t>
      </w:r>
      <w:bookmarkStart w:id="41" w:name="_Toc15377223"/>
    </w:p>
    <w:p>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政府采购支出情况</w:t>
      </w:r>
      <w:bookmarkEnd w:id="4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bookmarkStart w:id="42" w:name="_Toc15377224"/>
      <w:r>
        <w:rPr>
          <w:rFonts w:hint="default" w:ascii="Times New Roman" w:hAnsi="Times New Roman" w:eastAsia="楷体_GB2312" w:cs="Times New Roman"/>
          <w:b/>
          <w:bCs/>
          <w:sz w:val="32"/>
          <w:szCs w:val="32"/>
        </w:rPr>
        <w:t>（三）国有资产占有使用情况</w:t>
      </w:r>
      <w:bookmarkEnd w:id="4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辆。单价100万元（含）以上设备（不含车辆）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（四）预算绩效管理情况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在2024年度预算编制阶段，组织对</w:t>
      </w:r>
      <w:r>
        <w:rPr>
          <w:rFonts w:hint="default" w:ascii="Times New Roman" w:hAnsi="Times New Roman" w:eastAsia="仿宋_GB2312" w:cs="Times New Roman"/>
          <w:sz w:val="32"/>
          <w:szCs w:val="32"/>
          <w:lang w:eastAsia="zh-CN"/>
        </w:rPr>
        <w:t>档案馆电费、档案馆安保费</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个项目开展绩效监控。</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组织对2024年度一般公共预算资金全面开展绩效自评，形成</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部门整体（含部门预算项目）绩效自评报告、</w:t>
      </w:r>
      <w:r>
        <w:rPr>
          <w:rFonts w:hint="default" w:ascii="Times New Roman" w:hAnsi="Times New Roman" w:eastAsia="仿宋_GB2312" w:cs="Times New Roman"/>
          <w:sz w:val="32"/>
          <w:szCs w:val="32"/>
          <w:lang w:eastAsia="zh-CN"/>
        </w:rPr>
        <w:t>档案馆电费及档案馆安保费</w:t>
      </w:r>
      <w:r>
        <w:rPr>
          <w:rFonts w:hint="default" w:ascii="Times New Roman" w:hAnsi="Times New Roman" w:eastAsia="仿宋_GB2312" w:cs="Times New Roman"/>
          <w:sz w:val="32"/>
          <w:szCs w:val="32"/>
        </w:rPr>
        <w:t>专项预算项目绩效自评报告，其中，</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部门整体（含部门预算项目）绩效自评得分为</w:t>
      </w:r>
      <w:r>
        <w:rPr>
          <w:rFonts w:hint="default" w:ascii="Times New Roman" w:hAnsi="Times New Roman" w:eastAsia="仿宋_GB2312" w:cs="Times New Roman"/>
          <w:sz w:val="32"/>
          <w:szCs w:val="32"/>
          <w:lang w:val="en-US" w:eastAsia="zh-CN"/>
        </w:rPr>
        <w:t>96.5</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馆</w:t>
      </w:r>
      <w:r>
        <w:rPr>
          <w:rFonts w:hint="default" w:ascii="Times New Roman" w:hAnsi="Times New Roman" w:eastAsia="仿宋_GB2312" w:cs="Times New Roman"/>
          <w:sz w:val="32"/>
          <w:szCs w:val="32"/>
        </w:rPr>
        <w:t>部门整体支出绩效自查自评结果良好，全年基本支出保证了部门正常运转；</w:t>
      </w:r>
      <w:r>
        <w:rPr>
          <w:rFonts w:hint="default" w:ascii="Times New Roman" w:hAnsi="Times New Roman" w:eastAsia="仿宋_GB2312" w:cs="Times New Roman"/>
          <w:sz w:val="32"/>
          <w:szCs w:val="32"/>
          <w:lang w:eastAsia="zh-CN"/>
        </w:rPr>
        <w:t>档案馆电费</w:t>
      </w:r>
      <w:r>
        <w:rPr>
          <w:rFonts w:hint="default" w:ascii="Times New Roman" w:hAnsi="Times New Roman" w:eastAsia="仿宋_GB2312" w:cs="Times New Roman"/>
          <w:sz w:val="32"/>
          <w:szCs w:val="32"/>
        </w:rPr>
        <w:t>专项预算项目绩效自评得分为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保持档案馆基本</w:t>
      </w:r>
      <w:r>
        <w:rPr>
          <w:rFonts w:hint="eastAsia" w:eastAsia="仿宋_GB2312" w:cs="Times New Roman"/>
          <w:sz w:val="32"/>
          <w:szCs w:val="32"/>
          <w:lang w:val="en-US" w:eastAsia="zh-CN"/>
        </w:rPr>
        <w:t>运转</w:t>
      </w:r>
      <w:r>
        <w:rPr>
          <w:rFonts w:hint="default" w:ascii="Times New Roman" w:hAnsi="Times New Roman" w:eastAsia="仿宋_GB2312" w:cs="Times New Roman"/>
          <w:sz w:val="32"/>
          <w:szCs w:val="32"/>
          <w:lang w:val="en-US" w:eastAsia="zh-CN"/>
        </w:rPr>
        <w:t>稳定，数据服务器和消防系统等各项设施设备正常运行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档案馆安保费</w:t>
      </w:r>
      <w:r>
        <w:rPr>
          <w:rFonts w:hint="default" w:ascii="Times New Roman" w:hAnsi="Times New Roman" w:eastAsia="仿宋_GB2312" w:cs="Times New Roman"/>
          <w:sz w:val="32"/>
          <w:szCs w:val="32"/>
        </w:rPr>
        <w:t>专项预算项目绩效自评得分为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筑牢安全屏障，坚守安全红线，坚持24小时值班制度，加强门卫管理，确保馆藏档案绝对安全</w:t>
      </w:r>
      <w:r>
        <w:rPr>
          <w:rFonts w:hint="default" w:ascii="Times New Roman" w:hAnsi="Times New Roman" w:eastAsia="仿宋_GB2312" w:cs="Times New Roman"/>
          <w:sz w:val="32"/>
          <w:szCs w:val="32"/>
        </w:rPr>
        <w:t>。绩效自评报告详见附件。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pStyle w:val="15"/>
        <w:ind w:left="420"/>
        <w:rPr>
          <w:rFonts w:hint="default" w:ascii="Times New Roman" w:hAnsi="Times New Roman" w:cs="Times New Roman"/>
        </w:rPr>
      </w:pPr>
    </w:p>
    <w:p>
      <w:pPr>
        <w:pStyle w:val="15"/>
        <w:ind w:left="420"/>
        <w:rPr>
          <w:rFonts w:hint="default" w:ascii="Times New Roman" w:hAnsi="Times New Roman" w:cs="Times New Roman"/>
        </w:rPr>
      </w:pPr>
    </w:p>
    <w:p>
      <w:pPr>
        <w:spacing w:line="600" w:lineRule="exact"/>
        <w:jc w:val="center"/>
        <w:outlineLvl w:val="0"/>
        <w:rPr>
          <w:rFonts w:hint="default" w:ascii="Times New Roman" w:hAnsi="Times New Roman" w:eastAsia="黑体" w:cs="Times New Roman"/>
          <w:sz w:val="44"/>
          <w:szCs w:val="44"/>
        </w:rPr>
      </w:pPr>
      <w:bookmarkStart w:id="43" w:name="_Toc15396613"/>
      <w:bookmarkStart w:id="44" w:name="_Toc15377225"/>
      <w:r>
        <w:rPr>
          <w:rFonts w:hint="default" w:ascii="Times New Roman" w:hAnsi="Times New Roman" w:eastAsia="黑体" w:cs="Times New Roman"/>
          <w:sz w:val="44"/>
          <w:szCs w:val="44"/>
        </w:rPr>
        <w:t>第三部分  名词解释</w:t>
      </w:r>
      <w:bookmarkEnd w:id="43"/>
      <w:bookmarkEnd w:id="44"/>
    </w:p>
    <w:p>
      <w:pPr>
        <w:spacing w:line="600" w:lineRule="exact"/>
        <w:jc w:val="left"/>
        <w:rPr>
          <w:rFonts w:hint="default" w:ascii="Times New Roman" w:hAnsi="Times New Roman" w:cs="Times New Roman"/>
          <w:b/>
          <w:sz w:val="44"/>
          <w:szCs w:val="44"/>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2.一般公共服务</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档案</w:t>
      </w:r>
      <w:r>
        <w:rPr>
          <w:rFonts w:hint="default" w:ascii="Times New Roman" w:hAnsi="Times New Roman" w:eastAsia="方正仿宋_GBK" w:cs="Times New Roman"/>
          <w:sz w:val="32"/>
          <w:szCs w:val="32"/>
        </w:rPr>
        <w:t>事务（</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款）行政运行（</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行政单位（</w:t>
      </w:r>
      <w:r>
        <w:rPr>
          <w:rFonts w:hint="default" w:ascii="Times New Roman" w:hAnsi="Times New Roman" w:eastAsia="方正仿宋_GBK" w:cs="Times New Roman"/>
          <w:sz w:val="32"/>
          <w:szCs w:val="32"/>
          <w:lang w:eastAsia="zh-CN"/>
        </w:rPr>
        <w:t>包括实行</w:t>
      </w:r>
      <w:r>
        <w:rPr>
          <w:rFonts w:hint="default" w:ascii="Times New Roman" w:hAnsi="Times New Roman" w:eastAsia="方正仿宋_GBK" w:cs="Times New Roman"/>
          <w:sz w:val="32"/>
          <w:szCs w:val="32"/>
        </w:rPr>
        <w:t>公务员管理的事业单位）的基本支出。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.一般公共服务</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档案</w:t>
      </w:r>
      <w:r>
        <w:rPr>
          <w:rFonts w:hint="default" w:ascii="Times New Roman" w:hAnsi="Times New Roman" w:eastAsia="方正仿宋_GBK" w:cs="Times New Roman"/>
          <w:sz w:val="32"/>
          <w:szCs w:val="32"/>
        </w:rPr>
        <w:t>事务（</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eastAsia="zh-CN"/>
        </w:rPr>
        <w:t>档案馆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中央和地方</w:t>
      </w:r>
      <w:r>
        <w:rPr>
          <w:rFonts w:hint="eastAsia" w:eastAsia="方正仿宋_GBK" w:cs="Times New Roman"/>
          <w:sz w:val="32"/>
          <w:szCs w:val="32"/>
          <w:lang w:eastAsia="zh-CN"/>
        </w:rPr>
        <w:t>各级</w:t>
      </w:r>
      <w:r>
        <w:rPr>
          <w:rFonts w:hint="default" w:ascii="Times New Roman" w:hAnsi="Times New Roman" w:eastAsia="方正仿宋_GBK" w:cs="Times New Roman"/>
          <w:sz w:val="32"/>
          <w:szCs w:val="32"/>
        </w:rPr>
        <w:t xml:space="preserve">档案馆的支出，包括档案资料征集，档案抢救、保护、编纂、修复、现代化管理，档案信息资源开发、提供、利用，档案馆设备购置、维护，档案陈列展览等方面的支出。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社会保障和就业支出（208类）行政事业单位养老支出（05款）行政单位离退休（01项）：指行政单位（包括实行公务员管理的事业单位）开支的离退休经费。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5.社会保障和就业支出（208类）行政事业单位养老支出（05款）机关事业单位基本养老保险缴费支出（05项）：指机关事业单位实施养老保险制度由单位缴纳的基本养老保险费支出。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6.社会保障和就业支出（208类）行政事业单位养老支出（05款）机关事业单位职业年金缴费支出（06项）：指机关事业单位实施养老保险制度由单位实际缴纳的职业年金支出（含职业年金补记支出）。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7.社会保障和就业支出（208类）抚恤（08款）伤残抚恤（02项）：指按规定用于残疾人员的抚恤金和按规定开支的各种伤残补助费。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卫生健康支出（210类）行政事业单位医疗（11款）行政单位医疗（01项）：指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9.卫生健康支出（210类）行政事业单位医疗（11款）公务员医疗补助（03项）：指财政部门安排的公务员医疗补助经费。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10.卫生健康支出（210类）行政事业单位医疗（11款）其他行政事业单位医疗支出（99项）：指除上述项目以外的其他用于行政事业单位医疗方面的支出。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11.住房保障支出（221类）住房改革支出（02款）住房公积金（01项）：指行政事业单位按人力资源和社会保障部、财政部规定的基本工资和津贴补贴以及规定比例为职工缴纳的住房公积金。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12.基本支出：指为保障机构正常运转、完成日常工作任务而发生的人员支出和公用支出。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13.项目支出：指在基本支出之外为完成特定行政任务和事业发展目标所发生的支出。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default" w:ascii="Times New Roman" w:hAnsi="Times New Roman" w:eastAsia="仿宋_GB2312" w:cs="Times New Roman"/>
          <w:b/>
          <w:bCs/>
          <w:sz w:val="32"/>
          <w:szCs w:val="32"/>
        </w:rPr>
      </w:pPr>
    </w:p>
    <w:p>
      <w:pPr>
        <w:spacing w:line="600" w:lineRule="exact"/>
        <w:jc w:val="center"/>
        <w:rPr>
          <w:rStyle w:val="31"/>
          <w:rFonts w:hint="default" w:ascii="Times New Roman" w:hAnsi="Times New Roman" w:eastAsia="黑体" w:cs="Times New Roman"/>
          <w:b w:val="0"/>
        </w:rPr>
      </w:pPr>
      <w:bookmarkStart w:id="45" w:name="_Toc15377226"/>
      <w:r>
        <w:rPr>
          <w:rFonts w:hint="default" w:ascii="Times New Roman" w:hAnsi="Times New Roman" w:eastAsia="仿宋_GB2312" w:cs="Times New Roman"/>
          <w:sz w:val="32"/>
          <w:szCs w:val="32"/>
        </w:rPr>
        <w:br w:type="page"/>
      </w:r>
      <w:bookmarkStart w:id="46" w:name="_Toc15396614"/>
      <w:r>
        <w:rPr>
          <w:rFonts w:hint="default" w:ascii="Times New Roman" w:hAnsi="Times New Roman" w:eastAsia="黑体" w:cs="Times New Roman"/>
          <w:sz w:val="44"/>
          <w:szCs w:val="44"/>
        </w:rPr>
        <w:t>第四部分  附件</w:t>
      </w:r>
      <w:bookmarkEnd w:id="46"/>
    </w:p>
    <w:p>
      <w:pPr>
        <w:spacing w:line="572" w:lineRule="exact"/>
        <w:jc w:val="left"/>
        <w:outlineLvl w:val="0"/>
        <w:rPr>
          <w:rFonts w:hint="default" w:ascii="Times New Roman" w:hAnsi="Times New Roman" w:eastAsia="黑体" w:cs="Times New Roman"/>
          <w:sz w:val="32"/>
          <w:szCs w:val="32"/>
        </w:rPr>
      </w:pPr>
    </w:p>
    <w:p>
      <w:pPr>
        <w:spacing w:line="572" w:lineRule="exact"/>
        <w:jc w:val="left"/>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部门预算绩效评价报告</w:t>
      </w:r>
    </w:p>
    <w:p>
      <w:pPr>
        <w:widowControl/>
        <w:adjustRightInd w:val="0"/>
        <w:snapToGrid w:val="0"/>
        <w:spacing w:line="578" w:lineRule="exact"/>
        <w:ind w:firstLine="480" w:firstLineChars="200"/>
        <w:contextualSpacing/>
        <w:jc w:val="left"/>
        <w:rPr>
          <w:rFonts w:hint="default" w:ascii="Times New Roman" w:hAnsi="Times New Roman" w:eastAsia="黑体" w:cs="Times New Roman"/>
          <w:kern w:val="0"/>
          <w:sz w:val="24"/>
          <w:szCs w:val="32"/>
          <w:shd w:val="clear" w:color="auto" w:fill="FFFFFF"/>
        </w:rPr>
      </w:pP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一、部门（单位）基本情况</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（一）机构组成。</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盐边县档案馆内设股室</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个；下属二级预算单位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个，其中：行政单位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个，参照公务员法管理的事业单位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个，其他事业单位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widowControl/>
        <w:numPr>
          <w:ilvl w:val="0"/>
          <w:numId w:val="4"/>
        </w:numPr>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机构职能。</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1.贯彻执行党和国家档案事业的方针政策以及法律法规，落实省、市、县档案事业发展规划、计划和相关政策法规。</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2.负责接收本行政区域内对国家和社会具有保存价值的档案，通过接受捐献、购买、代存等方式收集档案。</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3.研究制定本馆进馆档案的接收标准和规范，负责进馆档案整理质量检查、移交、保管工作。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4.采取各种形式开发档案资源，为社会利用档案资源提供服务。</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5.组织各单位依法依规开展馆藏档案解密、开放鉴定、销毁工作。依法依规开放档案信息资源。</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6.维护馆藏档案资料安全，承担重要档案异地异质备份工作。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7.组织实施电子档案移交系统或数据接口部署，承担本馆档案信息化建设、馆藏电子档案的管理和备份、馆藏档案资料数字化等工作。承担本馆数字档案馆的建设、运行、管理和维护等工作。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8.承担馆藏档案资料的修复、缩微等抢救保护工作。开展档案保护技术研究和应用等科研工作。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9.完成县委和县政府交办的其他任务。</w:t>
      </w:r>
    </w:p>
    <w:p>
      <w:pPr>
        <w:numPr>
          <w:ilvl w:val="0"/>
          <w:numId w:val="0"/>
        </w:numPr>
        <w:spacing w:line="600" w:lineRule="exact"/>
        <w:ind w:firstLine="643" w:firstLineChars="200"/>
        <w:rPr>
          <w:rFonts w:hint="default" w:ascii="Times New Roman" w:hAnsi="Times New Roman" w:eastAsia="楷体_GB2312" w:cs="Times New Roman"/>
          <w:b/>
          <w:bCs/>
          <w:kern w:val="0"/>
          <w:sz w:val="32"/>
          <w:szCs w:val="32"/>
          <w:shd w:val="clear" w:color="auto" w:fill="FFFFFF"/>
          <w:lang w:val="zh-CN"/>
        </w:rPr>
      </w:pPr>
      <w:r>
        <w:rPr>
          <w:rFonts w:hint="eastAsia" w:eastAsia="楷体_GB2312" w:cs="Times New Roman"/>
          <w:b/>
          <w:bCs/>
          <w:kern w:val="0"/>
          <w:sz w:val="32"/>
          <w:szCs w:val="32"/>
          <w:shd w:val="clear" w:color="auto" w:fill="FFFFFF"/>
          <w:lang w:val="en-US" w:eastAsia="zh-CN"/>
        </w:rPr>
        <w:t>（</w:t>
      </w:r>
      <w:r>
        <w:rPr>
          <w:rFonts w:hint="default" w:ascii="Times New Roman" w:hAnsi="Times New Roman" w:eastAsia="楷体_GB2312" w:cs="Times New Roman"/>
          <w:b/>
          <w:bCs/>
          <w:kern w:val="0"/>
          <w:sz w:val="32"/>
          <w:szCs w:val="32"/>
          <w:shd w:val="clear" w:color="auto" w:fill="FFFFFF"/>
          <w:lang w:val="en-US" w:eastAsia="zh-CN"/>
        </w:rPr>
        <w:t>三）</w:t>
      </w:r>
      <w:r>
        <w:rPr>
          <w:rFonts w:hint="default" w:ascii="Times New Roman" w:hAnsi="Times New Roman" w:eastAsia="楷体_GB2312" w:cs="Times New Roman"/>
          <w:b/>
          <w:bCs/>
          <w:kern w:val="0"/>
          <w:sz w:val="32"/>
          <w:szCs w:val="32"/>
          <w:shd w:val="clear" w:color="auto" w:fill="FFFFFF"/>
          <w:lang w:val="zh-CN"/>
        </w:rPr>
        <w:t>人员概况。</w:t>
      </w:r>
    </w:p>
    <w:p>
      <w:pPr>
        <w:numPr>
          <w:ilvl w:val="0"/>
          <w:numId w:val="0"/>
        </w:numPr>
        <w:spacing w:line="600" w:lineRule="exact"/>
        <w:ind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截至2024年末，</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编制数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个，在职人员总数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人，其中：行政人员</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人，参照公务员法管理的事业人员</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人，其他事业人员</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人；离（退）休人员</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（一）收入情况。</w:t>
      </w:r>
    </w:p>
    <w:p>
      <w:pPr>
        <w:numPr>
          <w:ilvl w:val="0"/>
          <w:numId w:val="0"/>
        </w:numPr>
        <w:spacing w:line="600" w:lineRule="exact"/>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盐边县档案馆2024年年初预算收入</w:t>
      </w:r>
      <w:r>
        <w:rPr>
          <w:rFonts w:hint="default" w:ascii="Times New Roman" w:hAnsi="Times New Roman" w:eastAsia="仿宋_GB2312" w:cs="Times New Roman"/>
          <w:sz w:val="32"/>
          <w:szCs w:val="32"/>
          <w:lang w:val="en-US" w:eastAsia="zh-CN"/>
        </w:rPr>
        <w:t>239.13万元、</w:t>
      </w:r>
      <w:r>
        <w:rPr>
          <w:rFonts w:hint="default" w:ascii="Times New Roman" w:hAnsi="Times New Roman" w:eastAsia="仿宋_GB2312" w:cs="Times New Roman"/>
          <w:sz w:val="32"/>
          <w:szCs w:val="32"/>
          <w:lang w:val="zh-CN" w:eastAsia="zh-CN"/>
        </w:rPr>
        <w:t>决算报表收入</w:t>
      </w:r>
      <w:r>
        <w:rPr>
          <w:rFonts w:hint="default" w:ascii="Times New Roman" w:hAnsi="Times New Roman" w:eastAsia="仿宋_GB2312" w:cs="Times New Roman"/>
          <w:sz w:val="32"/>
          <w:szCs w:val="32"/>
          <w:lang w:val="en-US" w:eastAsia="zh-CN"/>
        </w:rPr>
        <w:t>270.02万元。</w:t>
      </w:r>
    </w:p>
    <w:p>
      <w:pPr>
        <w:widowControl/>
        <w:numPr>
          <w:ilvl w:val="0"/>
          <w:numId w:val="5"/>
        </w:numPr>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支出情况。</w:t>
      </w:r>
    </w:p>
    <w:p>
      <w:pPr>
        <w:numPr>
          <w:ilvl w:val="0"/>
          <w:numId w:val="0"/>
        </w:numPr>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盐边县档案馆</w:t>
      </w:r>
      <w:r>
        <w:rPr>
          <w:rFonts w:hint="default" w:ascii="Times New Roman" w:hAnsi="Times New Roman" w:eastAsia="仿宋_GB2312" w:cs="Times New Roman"/>
          <w:sz w:val="32"/>
          <w:szCs w:val="32"/>
          <w:lang w:val="zh-CN"/>
        </w:rPr>
        <w:t>2024年年初预算支出</w:t>
      </w:r>
      <w:r>
        <w:rPr>
          <w:rFonts w:hint="default" w:ascii="Times New Roman" w:hAnsi="Times New Roman" w:eastAsia="仿宋_GB2312" w:cs="Times New Roman"/>
          <w:sz w:val="32"/>
          <w:szCs w:val="32"/>
          <w:lang w:val="en-US" w:eastAsia="zh-CN"/>
        </w:rPr>
        <w:t>239.13万元</w:t>
      </w:r>
      <w:r>
        <w:rPr>
          <w:rFonts w:hint="default" w:ascii="Times New Roman" w:hAnsi="Times New Roman" w:eastAsia="仿宋_GB2312" w:cs="Times New Roman"/>
          <w:sz w:val="32"/>
          <w:szCs w:val="32"/>
          <w:lang w:val="zh-CN"/>
        </w:rPr>
        <w:t>、决算报表支出</w:t>
      </w:r>
      <w:r>
        <w:rPr>
          <w:rFonts w:hint="default" w:ascii="Times New Roman" w:hAnsi="Times New Roman" w:eastAsia="仿宋_GB2312" w:cs="Times New Roman"/>
          <w:sz w:val="32"/>
          <w:szCs w:val="32"/>
          <w:lang w:val="en-US" w:eastAsia="zh-CN"/>
        </w:rPr>
        <w:t>270.02万元</w:t>
      </w:r>
      <w:r>
        <w:rPr>
          <w:rFonts w:hint="default" w:ascii="Times New Roman" w:hAnsi="Times New Roman" w:eastAsia="仿宋_GB2312" w:cs="Times New Roman"/>
          <w:sz w:val="32"/>
          <w:szCs w:val="32"/>
          <w:lang w:val="zh-CN"/>
        </w:rPr>
        <w:t>，</w:t>
      </w:r>
      <w:bookmarkStart w:id="47" w:name="OLE_LINK4"/>
      <w:r>
        <w:rPr>
          <w:rFonts w:hint="default" w:ascii="Times New Roman" w:hAnsi="Times New Roman" w:eastAsia="仿宋_GB2312" w:cs="Times New Roman"/>
          <w:sz w:val="32"/>
          <w:szCs w:val="32"/>
          <w:lang w:val="zh-CN"/>
        </w:rPr>
        <w:t>其中：基本支出为</w:t>
      </w:r>
      <w:r>
        <w:rPr>
          <w:rFonts w:hint="default" w:ascii="Times New Roman" w:hAnsi="Times New Roman" w:eastAsia="仿宋_GB2312" w:cs="Times New Roman"/>
          <w:sz w:val="32"/>
          <w:szCs w:val="32"/>
          <w:lang w:val="en-US" w:eastAsia="zh-CN"/>
        </w:rPr>
        <w:t>239.02</w:t>
      </w:r>
      <w:r>
        <w:rPr>
          <w:rFonts w:hint="default" w:ascii="Times New Roman" w:hAnsi="Times New Roman" w:eastAsia="仿宋_GB2312" w:cs="Times New Roman"/>
          <w:sz w:val="32"/>
          <w:szCs w:val="32"/>
          <w:lang w:val="zh-CN"/>
        </w:rPr>
        <w:t>万元（人员经费支出</w:t>
      </w:r>
      <w:r>
        <w:rPr>
          <w:rFonts w:hint="default" w:ascii="Times New Roman" w:hAnsi="Times New Roman" w:eastAsia="仿宋_GB2312" w:cs="Times New Roman"/>
          <w:sz w:val="32"/>
          <w:szCs w:val="32"/>
          <w:lang w:val="en-US" w:eastAsia="zh-CN"/>
        </w:rPr>
        <w:t>218.8</w:t>
      </w:r>
      <w:r>
        <w:rPr>
          <w:rFonts w:hint="default" w:ascii="Times New Roman" w:hAnsi="Times New Roman" w:eastAsia="仿宋_GB2312" w:cs="Times New Roman"/>
          <w:sz w:val="32"/>
          <w:szCs w:val="32"/>
          <w:lang w:val="zh-CN"/>
        </w:rPr>
        <w:t>元，公用经费支出</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zh-CN"/>
        </w:rPr>
        <w:t>万元），项目支出</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zh-CN"/>
        </w:rPr>
        <w:t>万元。</w:t>
      </w:r>
    </w:p>
    <w:bookmarkEnd w:id="47"/>
    <w:p>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主要完成的任务：</w:t>
      </w:r>
    </w:p>
    <w:p>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一般公共服务决算支出</w:t>
      </w:r>
      <w:r>
        <w:rPr>
          <w:rFonts w:hint="default" w:ascii="Times New Roman" w:hAnsi="Times New Roman" w:eastAsia="仿宋_GB2312" w:cs="Times New Roman"/>
          <w:sz w:val="32"/>
          <w:szCs w:val="32"/>
          <w:lang w:val="en-US" w:eastAsia="zh-CN"/>
        </w:rPr>
        <w:t>187.13</w:t>
      </w:r>
      <w:r>
        <w:rPr>
          <w:rFonts w:hint="default" w:ascii="Times New Roman" w:hAnsi="Times New Roman" w:eastAsia="仿宋_GB2312" w:cs="Times New Roman"/>
          <w:sz w:val="32"/>
          <w:szCs w:val="32"/>
        </w:rPr>
        <w:t>万元，主要用于单位人员工资、日常运转以及为完成特定行政工作任务和事业发展目标而安排的年度项目支出，主要包括：行政运行支出</w:t>
      </w:r>
      <w:r>
        <w:rPr>
          <w:rFonts w:hint="default" w:ascii="Times New Roman" w:hAnsi="Times New Roman" w:eastAsia="仿宋_GB2312" w:cs="Times New Roman"/>
          <w:sz w:val="32"/>
          <w:szCs w:val="32"/>
          <w:lang w:val="en-US" w:eastAsia="zh-CN"/>
        </w:rPr>
        <w:t>156.14</w:t>
      </w:r>
      <w:r>
        <w:rPr>
          <w:rFonts w:hint="default" w:ascii="Times New Roman" w:hAnsi="Times New Roman" w:eastAsia="仿宋_GB2312" w:cs="Times New Roman"/>
          <w:sz w:val="32"/>
          <w:szCs w:val="32"/>
        </w:rPr>
        <w:t>万元，用于基本工资、津贴补贴、奖金、办公费、水费、电费、差旅费、维修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费、培训费、福利费、工会经费、其他交通费用</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维护了职工权益保障，激发职工工作积极性，确保了单位工作的正常运转</w:t>
      </w:r>
      <w:r>
        <w:rPr>
          <w:rFonts w:hint="default" w:ascii="Times New Roman" w:hAnsi="Times New Roman" w:eastAsia="仿宋_GB2312" w:cs="Times New Roman"/>
          <w:sz w:val="32"/>
          <w:szCs w:val="32"/>
        </w:rPr>
        <w:t>；档案馆项目支出</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万元，用于档案馆项目支出</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根据盐边财政〔202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〕8 号</w:t>
      </w:r>
      <w:r>
        <w:rPr>
          <w:rFonts w:hint="default" w:ascii="Times New Roman" w:hAnsi="Times New Roman" w:eastAsia="仿宋_GB2312" w:cs="Times New Roman"/>
          <w:sz w:val="32"/>
          <w:szCs w:val="32"/>
          <w:lang w:eastAsia="zh-CN"/>
        </w:rPr>
        <w:t>年初预算批复</w:t>
      </w:r>
      <w:r>
        <w:rPr>
          <w:rFonts w:hint="default" w:ascii="Times New Roman" w:hAnsi="Times New Roman" w:eastAsia="仿宋_GB2312" w:cs="Times New Roman"/>
          <w:sz w:val="32"/>
          <w:szCs w:val="32"/>
        </w:rPr>
        <w:t>下达档案馆电费</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万元，用于档案馆及展厅</w:t>
      </w:r>
      <w:r>
        <w:rPr>
          <w:rFonts w:hint="default" w:ascii="Times New Roman" w:hAnsi="Times New Roman" w:eastAsia="仿宋_GB2312" w:cs="Times New Roman"/>
          <w:sz w:val="32"/>
          <w:szCs w:val="32"/>
          <w:lang w:eastAsia="zh-CN"/>
        </w:rPr>
        <w:t>、库房设备等</w:t>
      </w:r>
      <w:r>
        <w:rPr>
          <w:rFonts w:hint="default" w:ascii="Times New Roman" w:hAnsi="Times New Roman" w:eastAsia="仿宋_GB2312" w:cs="Times New Roman"/>
          <w:sz w:val="32"/>
          <w:szCs w:val="32"/>
        </w:rPr>
        <w:t>正常运行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档案安全</w:t>
      </w:r>
      <w:r>
        <w:rPr>
          <w:rFonts w:hint="default" w:ascii="Times New Roman" w:hAnsi="Times New Roman" w:eastAsia="仿宋_GB2312" w:cs="Times New Roman"/>
          <w:sz w:val="32"/>
          <w:szCs w:val="32"/>
          <w:lang w:eastAsia="zh-CN"/>
        </w:rPr>
        <w:t>；电梯、消防维保费用</w:t>
      </w:r>
      <w:r>
        <w:rPr>
          <w:rFonts w:hint="default" w:ascii="Times New Roman" w:hAnsi="Times New Roman" w:eastAsia="仿宋_GB2312" w:cs="Times New Roman"/>
          <w:sz w:val="32"/>
          <w:szCs w:val="32"/>
          <w:lang w:val="en-US" w:eastAsia="zh-CN"/>
        </w:rPr>
        <w:t>2.2万元，用于档案馆消防系统及电梯维护，保障了档案安全及运输，全年无事故发生；</w:t>
      </w:r>
      <w:bookmarkStart w:id="48" w:name="OLE_LINK3"/>
      <w:r>
        <w:rPr>
          <w:rFonts w:hint="default" w:ascii="Times New Roman" w:hAnsi="Times New Roman" w:eastAsia="仿宋_GB2312" w:cs="Times New Roman"/>
          <w:sz w:val="32"/>
          <w:szCs w:val="32"/>
          <w:lang w:val="en-US" w:eastAsia="zh-CN"/>
        </w:rPr>
        <w:t>档案馆安保费</w:t>
      </w:r>
      <w:bookmarkEnd w:id="48"/>
      <w:r>
        <w:rPr>
          <w:rFonts w:hint="default" w:ascii="Times New Roman" w:hAnsi="Times New Roman" w:eastAsia="仿宋_GB2312" w:cs="Times New Roman"/>
          <w:sz w:val="32"/>
          <w:szCs w:val="32"/>
          <w:lang w:val="en-US" w:eastAsia="zh-CN"/>
        </w:rPr>
        <w:t>13.99万元，用于安保人员的劳务费，安保人员坚持24小时值班制度，加强门卫管理和来访人员登记，每日开展档案库房及中心机房安全巡查，进行安全隐患排查，确保馆藏档案和数字化成果的绝对安全；</w:t>
      </w:r>
      <w:bookmarkStart w:id="49" w:name="OLE_LINK5"/>
      <w:r>
        <w:rPr>
          <w:rFonts w:hint="default" w:ascii="Times New Roman" w:hAnsi="Times New Roman" w:eastAsia="仿宋_GB2312" w:cs="Times New Roman"/>
          <w:sz w:val="32"/>
          <w:szCs w:val="32"/>
          <w:lang w:val="en-US" w:eastAsia="zh-CN"/>
        </w:rPr>
        <w:t>档案数据维护、加工</w:t>
      </w:r>
      <w:bookmarkEnd w:id="49"/>
      <w:r>
        <w:rPr>
          <w:rFonts w:hint="default" w:ascii="Times New Roman" w:hAnsi="Times New Roman" w:eastAsia="仿宋_GB2312" w:cs="Times New Roman"/>
          <w:sz w:val="32"/>
          <w:szCs w:val="32"/>
          <w:lang w:val="en-US" w:eastAsia="zh-CN"/>
        </w:rPr>
        <w:t>3万元，用于档案数字化加工，充分展现了档案利用的价值，符合攀枝花市档案局档案“双套制”业务规范；</w:t>
      </w:r>
      <w:bookmarkStart w:id="50" w:name="OLE_LINK6"/>
      <w:r>
        <w:rPr>
          <w:rFonts w:hint="default" w:ascii="Times New Roman" w:hAnsi="Times New Roman" w:eastAsia="仿宋_GB2312" w:cs="Times New Roman"/>
          <w:sz w:val="32"/>
          <w:szCs w:val="32"/>
          <w:lang w:val="en-US" w:eastAsia="zh-CN"/>
        </w:rPr>
        <w:t>档案馆编研费</w:t>
      </w:r>
      <w:bookmarkEnd w:id="50"/>
      <w:r>
        <w:rPr>
          <w:rFonts w:hint="default" w:ascii="Times New Roman" w:hAnsi="Times New Roman" w:eastAsia="仿宋_GB2312" w:cs="Times New Roman"/>
          <w:sz w:val="32"/>
          <w:szCs w:val="32"/>
          <w:lang w:val="en-US" w:eastAsia="zh-CN"/>
        </w:rPr>
        <w:t>4.8万元，用于策划制作《追光—盐边县从脱贫攻坚迈向共同富裕的四个阶段》PPT及宣传册，档案编研成果得到县委主要领导的肯定性批示，为党委、政府决策和各级各部门推动工作提供了资政服务。</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社会保障和就业决算支出</w:t>
      </w:r>
      <w:r>
        <w:rPr>
          <w:rFonts w:hint="default" w:ascii="Times New Roman" w:hAnsi="Times New Roman" w:eastAsia="仿宋_GB2312" w:cs="Times New Roman"/>
          <w:sz w:val="32"/>
          <w:szCs w:val="32"/>
          <w:lang w:val="en-US" w:eastAsia="zh-CN"/>
        </w:rPr>
        <w:t>51.67</w:t>
      </w:r>
      <w:r>
        <w:rPr>
          <w:rFonts w:hint="default" w:ascii="Times New Roman" w:hAnsi="Times New Roman" w:eastAsia="仿宋_GB2312" w:cs="Times New Roman"/>
          <w:sz w:val="32"/>
          <w:szCs w:val="32"/>
        </w:rPr>
        <w:t>万元，主要用于单位离退休人员支出以及养老保险单位缴费等支出。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卫生健康决算支出</w:t>
      </w:r>
      <w:r>
        <w:rPr>
          <w:rFonts w:hint="default" w:ascii="Times New Roman" w:hAnsi="Times New Roman" w:eastAsia="仿宋_GB2312" w:cs="Times New Roman"/>
          <w:sz w:val="32"/>
          <w:szCs w:val="32"/>
          <w:lang w:val="en-US" w:eastAsia="zh-CN"/>
        </w:rPr>
        <w:t>16.54</w:t>
      </w:r>
      <w:r>
        <w:rPr>
          <w:rFonts w:hint="default" w:ascii="Times New Roman" w:hAnsi="Times New Roman" w:eastAsia="仿宋_GB2312" w:cs="Times New Roman"/>
          <w:sz w:val="32"/>
          <w:szCs w:val="32"/>
        </w:rPr>
        <w:t>万元，用于单位人员的职工基本医疗保险缴费、公务员医疗补助缴费等支出。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住房保障决算支出</w:t>
      </w:r>
      <w:r>
        <w:rPr>
          <w:rFonts w:hint="default" w:ascii="Times New Roman" w:hAnsi="Times New Roman" w:eastAsia="仿宋_GB2312" w:cs="Times New Roman"/>
          <w:sz w:val="32"/>
          <w:szCs w:val="32"/>
          <w:lang w:val="en-US" w:eastAsia="zh-CN"/>
        </w:rPr>
        <w:t>14.68</w:t>
      </w:r>
      <w:r>
        <w:rPr>
          <w:rFonts w:hint="default" w:ascii="Times New Roman" w:hAnsi="Times New Roman" w:eastAsia="仿宋_GB2312" w:cs="Times New Roman"/>
          <w:sz w:val="32"/>
          <w:szCs w:val="32"/>
        </w:rPr>
        <w:t>万元，用于按照规定标准为职工缴纳住房公积金支出。</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（三）结余分配和结转结余情况。</w:t>
      </w:r>
    </w:p>
    <w:p>
      <w:pPr>
        <w:numPr>
          <w:ilvl w:val="0"/>
          <w:numId w:val="0"/>
        </w:numPr>
        <w:spacing w:line="600" w:lineRule="exact"/>
        <w:ind w:firstLine="640" w:firstLineChars="200"/>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2024</w:t>
      </w:r>
      <w:r>
        <w:rPr>
          <w:rFonts w:hint="eastAsia" w:eastAsia="仿宋_GB2312" w:cs="Times New Roman"/>
          <w:sz w:val="32"/>
          <w:szCs w:val="32"/>
          <w:lang w:eastAsia="zh-CN"/>
        </w:rPr>
        <w:t>年度</w:t>
      </w:r>
      <w:r>
        <w:rPr>
          <w:rFonts w:hint="default" w:ascii="Times New Roman" w:hAnsi="Times New Roman" w:eastAsia="仿宋_GB2312" w:cs="Times New Roman"/>
          <w:sz w:val="32"/>
          <w:szCs w:val="32"/>
        </w:rPr>
        <w:t>决算报表</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结转结余。</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kern w:val="0"/>
          <w:sz w:val="32"/>
          <w:szCs w:val="32"/>
          <w:shd w:val="clear" w:color="auto" w:fill="FFFFFF"/>
          <w:lang w:val="zh-CN"/>
        </w:rPr>
        <w:t>（一）部门预算总体绩效分析。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1.履职效能。</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（1）档案馆安保工作目标完成绩效分析。</w:t>
      </w:r>
    </w:p>
    <w:p>
      <w:pPr>
        <w:spacing w:line="600" w:lineRule="exact"/>
        <w:ind w:firstLine="640"/>
        <w:rPr>
          <w:rFonts w:hint="default" w:ascii="Times New Roman" w:hAnsi="Times New Roman" w:eastAsia="仿宋_GB2312" w:cs="Times New Roman"/>
          <w:sz w:val="32"/>
          <w:szCs w:val="32"/>
          <w:lang w:val="en-US" w:eastAsia="zh-CN"/>
        </w:rPr>
      </w:pPr>
      <w:bookmarkStart w:id="51" w:name="OLE_LINK10"/>
      <w:r>
        <w:rPr>
          <w:rFonts w:hint="default" w:ascii="Times New Roman" w:hAnsi="Times New Roman" w:eastAsia="仿宋_GB2312" w:cs="Times New Roman"/>
          <w:sz w:val="32"/>
          <w:szCs w:val="32"/>
          <w:lang w:val="en-US" w:eastAsia="zh-CN"/>
        </w:rPr>
        <w:t>2024年档案馆安保工作项目年初预算资金13.99万元，资金到位率100%，预算执行率100%，为县级财政配套资金。在项目实施过程中，</w:t>
      </w:r>
      <w:bookmarkStart w:id="52" w:name="OLE_LINK7"/>
      <w:r>
        <w:rPr>
          <w:rFonts w:hint="default" w:ascii="Times New Roman" w:hAnsi="Times New Roman" w:eastAsia="仿宋_GB2312" w:cs="Times New Roman"/>
          <w:sz w:val="32"/>
          <w:szCs w:val="32"/>
          <w:lang w:val="en-US" w:eastAsia="zh-CN"/>
        </w:rPr>
        <w:t>严格按照单位的内控制度执行</w:t>
      </w:r>
      <w:bookmarkEnd w:id="52"/>
      <w:r>
        <w:rPr>
          <w:rFonts w:hint="default" w:ascii="Times New Roman" w:hAnsi="Times New Roman" w:eastAsia="仿宋_GB2312" w:cs="Times New Roman"/>
          <w:sz w:val="32"/>
          <w:szCs w:val="32"/>
          <w:lang w:val="en-US" w:eastAsia="zh-CN"/>
        </w:rPr>
        <w:t>，</w:t>
      </w:r>
      <w:bookmarkEnd w:id="51"/>
      <w:r>
        <w:rPr>
          <w:rFonts w:hint="default" w:ascii="Times New Roman" w:hAnsi="Times New Roman" w:eastAsia="仿宋_GB2312" w:cs="Times New Roman"/>
          <w:sz w:val="32"/>
          <w:szCs w:val="32"/>
          <w:lang w:val="en-US" w:eastAsia="zh-CN"/>
        </w:rPr>
        <w:t>平时实行了24小时值班制度，配备了3个保安轮值负责办公楼及周边日常安全巡查工作和公众利用厅前置登记与引导服务等事项，巡查做到了每日开展和安全隐患排查，</w:t>
      </w:r>
      <w:bookmarkStart w:id="53" w:name="OLE_LINK8"/>
      <w:bookmarkStart w:id="54" w:name="OLE_LINK11"/>
      <w:r>
        <w:rPr>
          <w:rFonts w:hint="default" w:ascii="Times New Roman" w:hAnsi="Times New Roman" w:eastAsia="仿宋_GB2312" w:cs="Times New Roman"/>
          <w:sz w:val="32"/>
          <w:szCs w:val="32"/>
          <w:lang w:val="en-US" w:eastAsia="zh-CN"/>
        </w:rPr>
        <w:t>一年来，项目运转良好，</w:t>
      </w:r>
      <w:bookmarkEnd w:id="53"/>
      <w:r>
        <w:rPr>
          <w:rFonts w:hint="default" w:ascii="Times New Roman" w:hAnsi="Times New Roman" w:eastAsia="仿宋_GB2312" w:cs="Times New Roman"/>
          <w:sz w:val="32"/>
          <w:szCs w:val="32"/>
          <w:lang w:val="en-US" w:eastAsia="zh-CN"/>
        </w:rPr>
        <w:t>确保档案馆基本运转、安全、稳定。</w:t>
      </w:r>
      <w:bookmarkEnd w:id="54"/>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运用监控设备、门禁系统、气体灭火系统、中央空调、低温杀虫灭菌消毒柜和防磁柜等设施设备严控档案安全风险。做好档案防尘除尘工作，持续做好消防工作，消防日巡查、月维保、年检测工作，签订消防责任书，加强应急学习培训，适时开展消防灭火应急演练，开展按照灭火应急疏散预案组织演练，增强工作人员安全防范能力，保护好了各个单位的档案资料及盐边发展的历史资料，安保服务群众满意度大于95%。确保馆藏档案和数字化成果的绝对安全。</w:t>
      </w:r>
    </w:p>
    <w:p>
      <w:pPr>
        <w:spacing w:line="600" w:lineRule="exact"/>
        <w:ind w:firstLine="640"/>
        <w:rPr>
          <w:rFonts w:hint="default" w:ascii="Times New Roman" w:hAnsi="Times New Roman" w:eastAsia="仿宋_GB2312" w:cs="Times New Roman"/>
          <w:sz w:val="32"/>
          <w:szCs w:val="32"/>
          <w:lang w:val="en-US" w:eastAsia="zh-CN"/>
        </w:rPr>
      </w:pPr>
      <w:bookmarkStart w:id="55" w:name="OLE_LINK9"/>
      <w:r>
        <w:rPr>
          <w:rFonts w:hint="default" w:ascii="Times New Roman" w:hAnsi="Times New Roman" w:eastAsia="仿宋_GB2312" w:cs="Times New Roman"/>
          <w:sz w:val="32"/>
          <w:szCs w:val="32"/>
          <w:lang w:val="en-US" w:eastAsia="zh-CN"/>
        </w:rPr>
        <w:t>本项目自评分为100分，评价等级为优良，达到了预期绩效目标。</w:t>
      </w:r>
    </w:p>
    <w:bookmarkEnd w:id="55"/>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（2）档案数据维护、加工工作目标完成绩效分析。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2024年档案数据维护、加工工作项目年初预算资金3万元，资金到位率100%，预算执行率100%，为县级财政配套资金。在项目实施过程中，严格按照单位的内控制度执行，</w:t>
      </w:r>
      <w:bookmarkStart w:id="56" w:name="OLE_LINK17"/>
      <w:r>
        <w:rPr>
          <w:rFonts w:hint="default" w:ascii="Times New Roman" w:hAnsi="Times New Roman" w:eastAsia="仿宋_GB2312" w:cs="Times New Roman"/>
          <w:sz w:val="32"/>
          <w:szCs w:val="32"/>
          <w:lang w:val="en-US" w:eastAsia="zh-CN"/>
        </w:rPr>
        <w:t>认真执行档案“双套制”进馆，2024年开展了5个单位（全宗），5个批次档案“双套制”接收进馆，完成了档案数字化规范指导、数据审核、实体核点及 进馆材料查验、档案冷冻消杀等工作，接收572卷（卷内6011条）、10821件，16.43万页档案。</w:t>
      </w:r>
      <w:bookmarkEnd w:id="56"/>
      <w:bookmarkStart w:id="57" w:name="OLE_LINK13"/>
      <w:bookmarkStart w:id="58" w:name="OLE_LINK12"/>
      <w:r>
        <w:rPr>
          <w:rFonts w:hint="default" w:ascii="Times New Roman" w:hAnsi="Times New Roman" w:eastAsia="仿宋_GB2312" w:cs="Times New Roman"/>
          <w:sz w:val="32"/>
          <w:szCs w:val="32"/>
          <w:lang w:val="en-US" w:eastAsia="zh-CN"/>
        </w:rPr>
        <w:t>一年来，项目运转良好，</w:t>
      </w:r>
      <w:bookmarkEnd w:id="57"/>
      <w:r>
        <w:rPr>
          <w:rFonts w:hint="default" w:ascii="Times New Roman" w:hAnsi="Times New Roman" w:eastAsia="仿宋_GB2312" w:cs="Times New Roman"/>
          <w:sz w:val="32"/>
          <w:szCs w:val="32"/>
          <w:lang w:val="en-US" w:eastAsia="zh-CN"/>
        </w:rPr>
        <w:t>发挥档案保管利用价值，确保档案数据安全。</w:t>
      </w:r>
    </w:p>
    <w:bookmarkEnd w:id="58"/>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为了充分展现档案利用的价值，符合攀枝花市档案局档案“双套制”业务规范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需要进行档案数字化加工，为积极探索数字化档案馆建设，专业人员对档案数据系统进行了维护，符合了攀枝花市档案局档案“双套制”业务规范。服务对象满意度大于95%，对档案查阅保护是长期性的有利影响。</w:t>
      </w:r>
    </w:p>
    <w:p>
      <w:pPr>
        <w:spacing w:line="600" w:lineRule="exact"/>
        <w:ind w:firstLine="640"/>
        <w:rPr>
          <w:rFonts w:hint="default" w:ascii="Times New Roman" w:hAnsi="Times New Roman" w:eastAsia="仿宋_GB2312" w:cs="Times New Roman"/>
          <w:sz w:val="32"/>
          <w:szCs w:val="32"/>
          <w:lang w:val="en-US" w:eastAsia="zh-CN"/>
        </w:rPr>
      </w:pPr>
      <w:bookmarkStart w:id="59" w:name="OLE_LINK14"/>
      <w:r>
        <w:rPr>
          <w:rFonts w:hint="default" w:ascii="Times New Roman" w:hAnsi="Times New Roman" w:eastAsia="仿宋_GB2312" w:cs="Times New Roman"/>
          <w:sz w:val="32"/>
          <w:szCs w:val="32"/>
          <w:lang w:val="en-US" w:eastAsia="zh-CN"/>
        </w:rPr>
        <w:t>本项目自评分为100分，评价等级为优良，达到了预期绩效目标。</w:t>
      </w:r>
    </w:p>
    <w:bookmarkEnd w:id="59"/>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（3）档案馆编研工作目标完成绩效分析。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2024年档案馆编研工作项目年初预算资金4.8万元，资金到位率100%，预算执行率100%，为县级财政配套资金。在项目实施过程中，严格按照单位的内控制度执行，完成了</w:t>
      </w:r>
      <w:bookmarkStart w:id="60" w:name="OLE_LINK16"/>
      <w:r>
        <w:rPr>
          <w:rFonts w:hint="default" w:ascii="Times New Roman" w:hAnsi="Times New Roman" w:eastAsia="仿宋_GB2312" w:cs="Times New Roman"/>
          <w:sz w:val="32"/>
          <w:szCs w:val="32"/>
          <w:lang w:val="en-US" w:eastAsia="zh-CN"/>
        </w:rPr>
        <w:t>《盐边县脱贫攻坚以来“三农”工作调研报告》，策划制作了《追光—盐边县从脱贫攻坚迈向共同富裕的四个阶段》PPT，并印制宣传册400册分发给全县各部门、乡镇传阅。</w:t>
      </w:r>
      <w:bookmarkEnd w:id="60"/>
      <w:r>
        <w:rPr>
          <w:rFonts w:hint="default" w:ascii="Times New Roman" w:hAnsi="Times New Roman" w:eastAsia="仿宋_GB2312" w:cs="Times New Roman"/>
          <w:sz w:val="32"/>
          <w:szCs w:val="32"/>
          <w:lang w:val="en-US" w:eastAsia="zh-CN"/>
        </w:rPr>
        <w:t>一年来，项目运转良好，便于档案服务利用。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档案编研成果得到县委主要领导的肯定性批示，为党委、政府决策和各级各部门推动工作提供了资政服务。以期向县委、县政府决策部署建言献策、激发更多人更大力量向盐边发展聚拢。编研成果满意度大于95%，宣传利用档案，发挥档案资政育人作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本项目自评分为100分，评价等级为优良，达到了预期绩效目标。</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严格按照要求编制年初部门预算，确保预算编制的科学性和准确性，按照政府信息公开有关规定公开相关预决算信息，2024年我</w:t>
      </w:r>
      <w:r>
        <w:rPr>
          <w:rFonts w:hint="default" w:ascii="Times New Roman" w:hAnsi="Times New Roman" w:eastAsia="仿宋_GB2312" w:cs="Times New Roman"/>
          <w:sz w:val="32"/>
          <w:szCs w:val="32"/>
          <w:lang w:val="zh-CN" w:eastAsia="zh-CN"/>
        </w:rPr>
        <w:t>馆</w:t>
      </w:r>
      <w:r>
        <w:rPr>
          <w:rFonts w:hint="default" w:ascii="Times New Roman" w:hAnsi="Times New Roman" w:eastAsia="仿宋_GB2312" w:cs="Times New Roman"/>
          <w:sz w:val="32"/>
          <w:szCs w:val="32"/>
          <w:lang w:val="en-US" w:eastAsia="zh-CN"/>
        </w:rPr>
        <w:t>根据《中华人民共和国预算法》相关规定，在县财政局规定时间内，在盐边县公众信息网上完成了2024年部门预算及“三公”经费预算公开工作，并对相关事项进行了解释说明，自觉接受社会监督。</w:t>
      </w:r>
      <w:r>
        <w:rPr>
          <w:rFonts w:hint="eastAsia" w:eastAsia="仿宋_GB2312" w:cs="Times New Roman"/>
          <w:sz w:val="32"/>
          <w:szCs w:val="32"/>
          <w:lang w:val="en-US" w:eastAsia="zh-CN"/>
        </w:rPr>
        <w:t>“三公”经费</w:t>
      </w:r>
      <w:r>
        <w:rPr>
          <w:rFonts w:hint="default" w:ascii="Times New Roman" w:hAnsi="Times New Roman" w:eastAsia="仿宋_GB2312" w:cs="Times New Roman"/>
          <w:sz w:val="32"/>
          <w:szCs w:val="32"/>
          <w:lang w:val="en-US" w:eastAsia="zh-CN"/>
        </w:rPr>
        <w:t>变动情况：我馆2024年“三公”经费预算执行0元，与上年对比持平，未发生</w:t>
      </w:r>
      <w:r>
        <w:rPr>
          <w:rFonts w:hint="eastAsia" w:eastAsia="仿宋_GB2312" w:cs="Times New Roman"/>
          <w:sz w:val="32"/>
          <w:szCs w:val="32"/>
          <w:lang w:val="en-US" w:eastAsia="zh-CN"/>
        </w:rPr>
        <w:t>“三公”经费</w:t>
      </w:r>
      <w:r>
        <w:rPr>
          <w:rFonts w:hint="default" w:ascii="Times New Roman" w:hAnsi="Times New Roman" w:eastAsia="仿宋_GB2312" w:cs="Times New Roman"/>
          <w:sz w:val="32"/>
          <w:szCs w:val="32"/>
          <w:lang w:val="en-US" w:eastAsia="zh-CN"/>
        </w:rPr>
        <w:t>。</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各预算资金严格按进度执行，年终无结余。我馆针对“三公”经费、会议、培训、差旅等一般性支出，构建了全方位、多层次的严控体系，力求将每一分财政资金都用在刀刃上。“三公”经费严格管控，近三</w:t>
      </w:r>
      <w:r>
        <w:rPr>
          <w:rFonts w:hint="eastAsia"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未发生。严控会议、培训数量，年初即统筹年度会议、培训计划。差旅费管理，从出差审批到费用报销，全流程进行规范，确保每一笔差旅费都合理合规使用。注重预算执行过程中的成本控制，控制各项支出，提高了资金利用效率。</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3.财务管理。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我馆制定了内部财务管理制度、预算管理制度、收支管理制度、政府采购管理制度、资产管理制度、合同管理制度等</w:t>
      </w:r>
      <w:r>
        <w:rPr>
          <w:rFonts w:hint="eastAsia" w:eastAsia="仿宋_GB2312" w:cs="Times New Roman"/>
          <w:sz w:val="32"/>
          <w:szCs w:val="32"/>
          <w:lang w:val="en-US" w:eastAsia="zh-CN"/>
        </w:rPr>
        <w:t>“三重一大”</w:t>
      </w:r>
      <w:r>
        <w:rPr>
          <w:rFonts w:hint="default" w:ascii="Times New Roman" w:hAnsi="Times New Roman" w:eastAsia="仿宋_GB2312" w:cs="Times New Roman"/>
          <w:sz w:val="32"/>
          <w:szCs w:val="32"/>
          <w:lang w:val="en-US" w:eastAsia="zh-CN"/>
        </w:rPr>
        <w:t>内控管理制度并执行落实。财务岗位设置符合相关财务管理制度要求，职责权限明确，严格实施不相容岗位分离，资金拨付审批程序合规，财务核算及时，会计信息真实。</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4.资产管理。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产配置严格按照资产配置标准和审批程序进行资产配置，新增资产及时登记入账，纳入单位资产管理信息系统进行动态管理。建立了资产使用管理制度，明确了资产使用责任，定期对资产进行清查盘点，确保资产安全完整。资产处置严格按照规定的程序和权限进行审批。</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5.采购管理。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执行政府采购制度，按照政府采购目录和限额标准，规范开展政府采购活动。我馆制定了采购管理制度，从采购预算、计划、组织形式、执行、合同、支付、履约与验收备案管理各方面作了具体的要求，2024年无采购发生。</w:t>
      </w:r>
    </w:p>
    <w:p>
      <w:pPr>
        <w:adjustRightInd w:val="0"/>
        <w:snapToGrid w:val="0"/>
        <w:spacing w:line="578" w:lineRule="exact"/>
        <w:ind w:firstLine="643" w:firstLineChars="200"/>
        <w:contextualSpacing/>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shd w:val="clear" w:color="auto" w:fill="FFFFFF"/>
          <w:lang w:val="zh-CN"/>
        </w:rPr>
        <w:t>（二）部门预算项目绩效分析。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常年项目绩效分析。该类项目总数  4 个，涉及预算总金额26.2万元，1—12月预算执行总体进度为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%，其中：预算结余率大于10%的项目共计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个。</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阶段（含一次性）项目绩效分析。该类项目总数  1  个，涉及预算总金额 4.8万元，1—12月预算执行总体进度为100 %，其中：预算结余率大于10%的项目共计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个。</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1.项目决策。围绕决策程序、目标设置、项目入库进行绩效分析。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我馆</w:t>
      </w:r>
      <w:r>
        <w:rPr>
          <w:rFonts w:hint="default" w:ascii="Times New Roman" w:hAnsi="Times New Roman" w:eastAsia="仿宋_GB2312" w:cs="Times New Roman"/>
          <w:sz w:val="32"/>
          <w:szCs w:val="32"/>
          <w:lang w:val="zh-CN" w:eastAsia="zh-CN"/>
        </w:rPr>
        <w:t>是县委直属事业（参公）单位，由县委办代管。项目都是常规性和阶段性的小项目，根据年度工作计划拟定预算项目，召开单位</w:t>
      </w:r>
      <w:r>
        <w:rPr>
          <w:rFonts w:hint="default" w:ascii="Times New Roman" w:hAnsi="Times New Roman" w:eastAsia="仿宋_GB2312" w:cs="Times New Roman"/>
          <w:sz w:val="32"/>
          <w:szCs w:val="32"/>
          <w:lang w:val="en-US" w:eastAsia="zh-CN"/>
        </w:rPr>
        <w:t>班子人员讨论研究通过后，再报县委办审批，项目决策过程中，能够较好地落实既定的决策程序。在设置绩效目标方面，与部门职责和发展规划紧密结合，大部分绩效目标设定较为明确，且具有可衡量性。在项目入库环节，建立了相对完善的审核流程。</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2.项目执行。围绕资金执行同向、项目调整、执行结果进行绩效分析。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我馆在项目资金使用上，</w:t>
      </w:r>
      <w:r>
        <w:rPr>
          <w:rFonts w:hint="eastAsia" w:eastAsia="仿宋_GB2312" w:cs="Times New Roman"/>
          <w:sz w:val="32"/>
          <w:szCs w:val="32"/>
          <w:lang w:val="en-US" w:eastAsia="zh-CN"/>
        </w:rPr>
        <w:t>整体</w:t>
      </w:r>
      <w:r>
        <w:rPr>
          <w:rFonts w:hint="default" w:ascii="Times New Roman" w:hAnsi="Times New Roman" w:eastAsia="仿宋_GB2312" w:cs="Times New Roman"/>
          <w:sz w:val="32"/>
          <w:szCs w:val="32"/>
          <w:lang w:val="en-US" w:eastAsia="zh-CN"/>
        </w:rPr>
        <w:t>围绕绩效目标进行安排，资金执行保持与年初预算绩效目标保持一致，项目达到了预期目标。</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3.目标实现。围绕目标完成、目标偏离、实现效果进行绩效分析。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2024年预算项目绩效目标完成良好，目标全部完成，不存在挤占、挪用、闲置资金情况，最大限度发挥了资金作用，服务对象满意率较高。</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（1）坚持政治引领，谋划年度工作。</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入学习贯彻党的二十大、二十届三中全会精神和习近平总书记对四川工作系列重要指示精神，以习近平总书记关于新时代档案工作重要批示为遵循，认真落实省委十二届六次全会精神，按照全国档案局长馆长会议、全省档案工作会议部署要求，强化“档案工作姓党”的鲜明政治属性，确保档案工作始终沿着正确政治方向前进，不断取得实效。</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（2）健全审核标准，创新方法提质。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根据馆藏档案实际，因地制宜制定了《盐边县档案馆档案开放审核工作实施方案》，明确工作职责，做到分工明确、责任到人、层层负责，确保档案开放审核工作有计划、有步骤、高质量地顺利推进。二是为依法有序开展馆藏档案开放审核工作，配合县档案局制定印发了《关于印发〈盐边县档案馆档案开放审核工作实施细则（试行）〉的通知》，对开放审核工作的各个环节精准施策，着力保障档案开放利用和保护档案信息安全相统一，牢守档案安全底线。三是按照“依法依规严审核、严谨缜密慎开放”的办法，会同档案形成单位严格执行开放审核程序，推动形成满25年馆藏档案依法、有序向社会开放，不断提高档案开放工作水平。2024年对县妇联、县科协已进馆的文书档案进行开放审核试点工作。截至目前，馆藏档案县科协、县妇联文书档案开放审核工作已完成1.2万余件。</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（3）用好档案资源，以档资政育人。</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为深化档案工作在全县发展中的创新服务，县档案馆主动为“早日把盐边建设成为雅砻江畔璀璨明珠”出谋划策，立足主责主业，将盐边“三农”工作作为课题项目，对馆藏有关扶贫、脱贫攻坚、乡村振兴等档案资料全面梳理，启动了盐边县脱贫攻坚档案编研工作，完成了《盐边县脱贫攻坚以来“三农”工作调研报告》，策划制作了《追光—盐边县从脱贫攻坚迈向共同富裕的四个阶段》PPT，下一步将制作PPT排版成主题宣传册，印制给全县各部门、乡镇传阅，尝试回答“盐边为什么能”，以及盐边“未来高质量发展的路该怎么走”的问题，以期向县委、县政府决策部署建言献策、激发更多人更大力量向盐边发展聚拢。</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二是盐边县展览馆截至11月接待团体及个人共228人次参观，继续发挥好盐边县展览馆党史教育基地、科普基地、爱国主义基地作用，展现“团结奋斗、守正创新、担当奉献、富民兴盐”的新时代盐边精神。</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积极开展6.9国际档案日系列宣传活动。利用LED显示屏滚动播放和档案文化墙营造浓厚氛围，以收看档案讲座、档案展览展示、举办培训班宣传普法等形式积极开展以“筑梦现代化，奋斗兰台人”为主题的6.9国际档案日活动，通过开展一系列宣传活动，进一步普及了档案知识，增强了公众档案意识，扩大了档案工作影响。</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（4）坚持依法治档，规范档案管理。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开展档案业务培训活动，高质量完成档案规范管理工作。2024年，我馆举办了2期档案业务培训班，培训内容涉及档案基础业务、“三合一”制度编制、档案工作标准化管理评价等，采用了实地参观、范例学习、实操演示和投屏等多种形式，对档案业务工作进行讲解指导，共培训县级部门及乡镇档案员60余人次。通过培训学习、电话指导、实地查看等方式，已完成42个单位“三合一”制度编制。</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大监督检查，提升治理效能。配合县档案局做好档案行政执法检查三年行动总结分析、档案工作标准化管理评价工作，以档案督导检查促进全县档案工作健康发展。2024年完成了13家立档单位档案行政执法检查，5家档案工作标准化管理评价工作，加强了法律知识学习和普法宣传，把普法宣传工作纳入检查内容，增强全县各部门（单位）的责任意识和档案法治意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（5）规范档案接收，跟进业务指导。</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认真执行档案“双套制”进馆，2024年开展了5个单位（全宗），5个批次档案“双套制”接收进馆，完成了档案数字化规范指导、数据审核、实体核点及进馆材料查验、档案冷冻消杀等工作，接收572卷（卷内6011条）、10821件，16.43万页档案。预计到12月将完成农村土地承包经营权确权登记颁证档案移交进馆工作。</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根据全县年度重点工作，延伸档案工作服务领域，主动跟进全县重点工作、重大项目、重要活动，按时间节点联合相关部门对档案工作进行业务指导，持续开展了对共同富裕、乌东德水电站、桐子林水电站、土地征补、棚改</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重点档案业务指导10余次，完成3家2024年全省重点项目档案管理登记，并继续做好机关单位文书档案工作，突出抓好科技、专业、音像、实物等门类档案收集、管理，做到应归尽归、应管尽管，规范档案收集管理，为数字化进馆打好基础。</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（6）强化档案利用，服务社会增效。</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着力惠民实效，助推共同富裕。为切实满足我县群众档案利用需求，特别是北部乡镇查档群众的舟车劳顿之苦，助力推动共同富裕，盐边县档案局、馆积极探索档案查询利用服务新途径，已在全县各乡镇便民服务中心配合下开展了档案查询利用延伸服务工作已稳步推进中，目前县域查档已服务43人次。将继续完善档案服务流程，结合“全国档案查阅利用服务平台”加强档案县域利用，以档案惠民实效助力共同富裕。2024年盐边县档案馆共接待1173人次档案查阅利用，其中711人次个人档案查阅利用，358人次公务查阅利用、57次异地查档利用，县域延伸查档47人次。完成指导、审核全县各单位档案室线上填报2023年度档案事业统计调查报表及国有档案资源普查及安全大排查工作，确保档案馆及各单位档案室数据统计准确完整，档案保管安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（7）聚焦信息发展，推进数字建设。</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县档案馆按照《中共四川省委办公厅 四川省人民政府办公厅印发〈关于加快档案工作数字化转型推动档案事业高质量发展的意见〉的通知》相关工作要求，积极探索数字档案馆发展工作。对照《数字档案馆建设资源配置情况表（参考）》对馆内设施设备进行全面梳理，积极申报四川省档案事业发展专项资金数字档案馆建设项目库，开展数字档案馆基础设施建设、应用系统建设、数字资源建设等谋划工作。</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（8）筑牢安全屏障，坚守安全红线。</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为消防重点单位，坚持24小时值班制度，加强门卫管理。持续加强库房及机房安全巡查，运用监控设备、门禁系统、气体灭火系统、中央空调、低温杀虫灭菌消毒柜和防磁柜等设施设备严控档案安全风险。做好档案防尘除尘工作，持续做好消防工作，消防日巡查、月维保、年检测工作，签订消防责任书，加强应急学习培训，适时开展消防灭火应急演练，确保馆藏档案绝对安全，开展按照灭火应急疏散预案组织演练，增强工作人员安全防范能力。</w:t>
      </w:r>
    </w:p>
    <w:p>
      <w:pPr>
        <w:spacing w:line="600" w:lineRule="exact"/>
        <w:ind w:firstLine="643" w:firstLineChars="200"/>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（三）绩效结果应用情况。</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部应用情况。将绩效评价结果与预算安排、项目调整、单位考核、下年度预算等挂钩。将评价结果作为预算增减或项目保留的重要依据。对绩效项目进行深入分析，将结果转化为下阶段管理的改进方向，进一步完善制度与工作机制，优化绩效目标和指标，强化项目管理和资金使用，体现花钱必问效原则。</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2.信息公开情况。我馆均按县财政局要求，按时在盐边县公众信息网的财政信息板块挂网公开，公开及时，内容完整、详细、真实，公开内容按照县财政局部门要求结合我馆年度预决算的相关数据情况编写。</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四、评价结论及建议</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（一）评价结论。</w:t>
      </w:r>
    </w:p>
    <w:p>
      <w:pPr>
        <w:pStyle w:val="38"/>
        <w:adjustRightInd w:val="0"/>
        <w:snapToGrid w:val="0"/>
        <w:spacing w:line="580" w:lineRule="exact"/>
        <w:ind w:firstLine="660"/>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我单位在资金预算编制方面、预算执行、综合管理、整体绩效方面，均按照国家政策法规规定，结合本单位实际情况及相关规定严格执行，并合理安排项目资金，使财政资金发挥最大的效益，确保各项工作高效规范有序运转，圆满完成年初下达的各项工作任务，切实推进了各项档案工作。在今后工作中，进一步提高工作效率，把有限的资金用在刀刃上，扎实为全县档案事务更好地服务。加强“三公”经费管理，严格把支出控制在年初的预算指标内，严格按照</w:t>
      </w:r>
      <w:r>
        <w:rPr>
          <w:rFonts w:hint="eastAsia" w:eastAsia="仿宋_GB2312" w:cs="Times New Roman"/>
          <w:bCs w:val="0"/>
          <w:color w:val="000000" w:themeColor="text1"/>
          <w:sz w:val="32"/>
          <w:szCs w:val="32"/>
          <w:highlight w:val="none"/>
          <w:lang w:val="en-US" w:eastAsia="zh-CN"/>
          <w14:textFill>
            <w14:solidFill>
              <w14:schemeClr w14:val="tx1"/>
            </w14:solidFill>
          </w14:textFill>
        </w:rPr>
        <w:t>中央八项规定</w:t>
      </w: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、省、市“十项规定”和财务相关规定执行财政资金的管理和使用。</w:t>
      </w:r>
    </w:p>
    <w:p>
      <w:pPr>
        <w:pStyle w:val="38"/>
        <w:adjustRightInd w:val="0"/>
        <w:snapToGrid w:val="0"/>
        <w:spacing w:line="580" w:lineRule="exact"/>
        <w:ind w:firstLine="660"/>
        <w:rPr>
          <w:rFonts w:hint="default" w:ascii="Times New Roman" w:hAnsi="Times New Roman" w:eastAsia="仿宋_GB2312" w:cs="Times New Roman"/>
          <w:sz w:val="32"/>
          <w:szCs w:val="32"/>
          <w:lang w:val="zh-CN"/>
        </w:rPr>
      </w:pP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2024年全年基本支出保证了部门的正常运行和日常工作的正常开展，项目支出保障了部门重点工作的实施，达到了预期绩效管理目标，自评结果为96.5分。</w:t>
      </w:r>
    </w:p>
    <w:p>
      <w:pPr>
        <w:widowControl/>
        <w:numPr>
          <w:ilvl w:val="0"/>
          <w:numId w:val="6"/>
        </w:numPr>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存在问题。</w:t>
      </w:r>
    </w:p>
    <w:p>
      <w:pPr>
        <w:pStyle w:val="38"/>
        <w:adjustRightInd w:val="0"/>
        <w:snapToGrid w:val="0"/>
        <w:spacing w:line="580" w:lineRule="exact"/>
        <w:ind w:firstLine="660"/>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1.内控制度基本明确了相关业务岗位的有关风险等级和风险防控措施，但相关业务股室领会认识不足，履行职能职责还不是很到位。</w:t>
      </w:r>
    </w:p>
    <w:p>
      <w:pPr>
        <w:pStyle w:val="7"/>
        <w:numPr>
          <w:ilvl w:val="0"/>
          <w:numId w:val="0"/>
        </w:num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2.财务人员业务不够熟练，工作效率需进一步提高。</w:t>
      </w:r>
    </w:p>
    <w:p>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en" w:bidi="ar"/>
        </w:rPr>
      </w:pPr>
      <w:r>
        <w:rPr>
          <w:rFonts w:hint="default" w:ascii="Times New Roman" w:hAnsi="Times New Roman" w:eastAsia="楷体_GB2312" w:cs="Times New Roman"/>
          <w:b/>
          <w:bCs/>
          <w:kern w:val="0"/>
          <w:sz w:val="32"/>
          <w:szCs w:val="32"/>
          <w:shd w:val="clear" w:color="auto" w:fill="FFFFFF"/>
          <w:lang w:val="zh-CN"/>
        </w:rPr>
        <w:t>（三）改进建议。</w:t>
      </w:r>
      <w:bookmarkStart w:id="61" w:name="_Hlk110546638"/>
    </w:p>
    <w:bookmarkEnd w:id="61"/>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1.加强预算管理，细化项目管理。单位在</w:t>
      </w:r>
      <w:r>
        <w:rPr>
          <w:rFonts w:hint="default" w:ascii="Times New Roman" w:hAnsi="Times New Roman" w:eastAsia="仿宋_GB2312" w:cs="Times New Roman"/>
          <w:color w:val="000000" w:themeColor="text1"/>
          <w:sz w:val="32"/>
          <w:szCs w:val="32"/>
          <w14:textFill>
            <w14:solidFill>
              <w14:schemeClr w14:val="tx1"/>
            </w14:solidFill>
          </w14:textFill>
        </w:rPr>
        <w:t>编制年度预算时，在进行调查研究的基础上，充分论证项目立项的必要性、经济性、绩效目标合理性、实施方案可行性，项目实施达到预期效果，发挥最大效益。认真细化方案，明确责任人，做好各项目支出绩效目标</w:t>
      </w:r>
      <w:r>
        <w:rPr>
          <w:rFonts w:hint="eastAsia" w:eastAsia="仿宋_GB2312" w:cs="Times New Roman"/>
          <w:color w:val="000000" w:themeColor="text1"/>
          <w:sz w:val="32"/>
          <w:szCs w:val="32"/>
          <w:lang w:eastAsia="zh-CN"/>
          <w14:textFill>
            <w14:solidFill>
              <w14:schemeClr w14:val="tx1"/>
            </w14:solidFill>
          </w14:textFill>
        </w:rPr>
        <w:t>执行</w:t>
      </w:r>
      <w:r>
        <w:rPr>
          <w:rFonts w:hint="default" w:ascii="Times New Roman" w:hAnsi="Times New Roman" w:eastAsia="仿宋_GB2312" w:cs="Times New Roman"/>
          <w:color w:val="000000" w:themeColor="text1"/>
          <w:sz w:val="32"/>
          <w:szCs w:val="32"/>
          <w14:textFill>
            <w14:solidFill>
              <w14:schemeClr w14:val="tx1"/>
            </w14:solidFill>
          </w14:textFill>
        </w:rPr>
        <w:t>的控制管理，确保资金对应绩效目标执行，强化项目管理，确保项目按计划推进。</w:t>
      </w:r>
    </w:p>
    <w:p>
      <w:pPr>
        <w:pStyle w:val="7"/>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建立健全内部监督管理制度，完善业务流程，将制衡机制嵌入部门内部管理各环节，建立起决策、执行和监督相互分离、相互制约的长效机制。</w:t>
      </w:r>
    </w:p>
    <w:p>
      <w:pPr>
        <w:snapToGrid w:val="0"/>
        <w:spacing w:line="590" w:lineRule="atLeas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3.严格人员管理，提高绩效目标管理水平。单位将</w:t>
      </w:r>
      <w:r>
        <w:rPr>
          <w:rFonts w:hint="default" w:ascii="Times New Roman" w:hAnsi="Times New Roman" w:eastAsia="仿宋_GB2312" w:cs="Times New Roman"/>
          <w:bCs w:val="0"/>
          <w:color w:val="000000" w:themeColor="text1"/>
          <w:sz w:val="32"/>
          <w:szCs w:val="32"/>
          <w14:textFill>
            <w14:solidFill>
              <w14:schemeClr w14:val="tx1"/>
            </w14:solidFill>
          </w14:textFill>
        </w:rPr>
        <w:t>加强财务人员培训，熟练掌握预算编制和预算执行等各项政策，严格遵守各项财经纪律，不断提高业务能力，不断提高绩效目标管理水平。</w:t>
      </w:r>
    </w:p>
    <w:p>
      <w:pPr>
        <w:pStyle w:val="15"/>
        <w:spacing w:line="560" w:lineRule="exact"/>
        <w:ind w:left="0" w:leftChars="0" w:firstLine="640"/>
        <w:rPr>
          <w:rFonts w:hint="default" w:ascii="Times New Roman" w:hAnsi="Times New Roman" w:eastAsia="仿宋_GB2312" w:cs="Times New Roman"/>
          <w:sz w:val="32"/>
          <w:lang w:val="zh-CN" w:bidi="ar"/>
        </w:rPr>
      </w:pPr>
    </w:p>
    <w:p>
      <w:pPr>
        <w:pStyle w:val="15"/>
        <w:spacing w:line="560" w:lineRule="exact"/>
        <w:ind w:left="0" w:leftChars="0" w:firstLine="640"/>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bidi="ar"/>
        </w:rPr>
        <w:t>附表：</w:t>
      </w:r>
      <w:r>
        <w:rPr>
          <w:rFonts w:hint="default" w:ascii="Times New Roman" w:hAnsi="Times New Roman" w:eastAsia="仿宋_GB2312" w:cs="Times New Roman"/>
          <w:sz w:val="32"/>
          <w:lang w:bidi="ar"/>
        </w:rPr>
        <w:t>部门预算项目支出绩效自评表（2024年度）</w:t>
      </w:r>
    </w:p>
    <w:p>
      <w:pPr>
        <w:pStyle w:val="2"/>
        <w:spacing w:before="93"/>
        <w:rPr>
          <w:rFonts w:hint="default" w:ascii="Times New Roman" w:hAnsi="Times New Roman" w:cs="Times New Roman"/>
          <w:sz w:val="32"/>
          <w:szCs w:val="32"/>
          <w:highlight w:val="yellow"/>
          <w:shd w:val="clear" w:color="auto" w:fill="FFFFFF"/>
          <w:lang w:val="zh-CN"/>
        </w:rPr>
      </w:pP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2"/>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7"/>
        <w:spacing w:line="578" w:lineRule="exact"/>
        <w:jc w:val="center"/>
        <w:rPr>
          <w:rFonts w:hint="default" w:ascii="Times New Roman" w:hAnsi="Times New Roman" w:eastAsia="方正小标宋简体" w:cs="Times New Roman"/>
          <w:color w:val="C00000"/>
          <w:kern w:val="2"/>
          <w:sz w:val="44"/>
          <w:szCs w:val="44"/>
          <w:lang w:val="en-US"/>
        </w:rPr>
      </w:pPr>
    </w:p>
    <w:p>
      <w:pPr>
        <w:pStyle w:val="37"/>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eastAsia="zh-CN"/>
        </w:rPr>
        <w:t>档案馆电费</w:t>
      </w:r>
      <w:r>
        <w:rPr>
          <w:rFonts w:hint="default" w:ascii="Times New Roman" w:hAnsi="Times New Roman" w:eastAsia="方正小标宋简体" w:cs="Times New Roman"/>
          <w:color w:val="auto"/>
          <w:kern w:val="2"/>
          <w:sz w:val="44"/>
          <w:szCs w:val="44"/>
          <w:lang w:val="en-US"/>
        </w:rPr>
        <w:t>专项</w:t>
      </w:r>
    </w:p>
    <w:p>
      <w:pPr>
        <w:pStyle w:val="37"/>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预算项目绩效评价报告</w:t>
      </w:r>
    </w:p>
    <w:p>
      <w:pPr>
        <w:pStyle w:val="37"/>
        <w:spacing w:line="578" w:lineRule="exact"/>
        <w:ind w:firstLine="640"/>
        <w:jc w:val="center"/>
        <w:rPr>
          <w:rFonts w:hint="default" w:ascii="Times New Roman" w:hAnsi="Times New Roman" w:eastAsia="仿宋_GB2312" w:cs="Times New Roman"/>
          <w:color w:val="auto"/>
          <w:kern w:val="2"/>
          <w:sz w:val="32"/>
          <w:szCs w:val="32"/>
        </w:rPr>
      </w:pP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w:t>
      </w:r>
      <w:bookmarkStart w:id="76" w:name="_GoBack"/>
      <w:bookmarkEnd w:id="76"/>
      <w:r>
        <w:rPr>
          <w:rFonts w:hint="default" w:ascii="Times New Roman" w:hAnsi="Times New Roman" w:eastAsia="仿宋_GB2312" w:cs="Times New Roman"/>
          <w:b/>
          <w:color w:val="auto"/>
          <w:sz w:val="32"/>
          <w:szCs w:val="32"/>
          <w:lang w:val="zh-CN"/>
        </w:rPr>
        <w:t>基本情况。</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1.县档案馆是项目监督管理的实施主体，负责项目建设监督管理、验收等工作。</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2.由于县综合档案馆要发挥爱国主义教育基地、档案安全保管基地、档案利用服务中心、政府信息公开中心、电子文件管理中心功能，加上县干部档案室、公务员档案室也设在县档案馆，</w:t>
      </w:r>
      <w:r>
        <w:rPr>
          <w:rFonts w:hint="default" w:ascii="Times New Roman" w:hAnsi="Times New Roman" w:eastAsia="方正仿宋_GBK" w:cs="Times New Roman"/>
          <w:color w:val="auto"/>
          <w:sz w:val="32"/>
          <w:szCs w:val="32"/>
          <w:lang w:eastAsia="zh-CN"/>
        </w:rPr>
        <w:t>用电量较大。</w:t>
      </w:r>
      <w:r>
        <w:rPr>
          <w:rFonts w:hint="default" w:ascii="Times New Roman" w:hAnsi="Times New Roman" w:eastAsia="方正仿宋_GBK" w:cs="Times New Roman"/>
          <w:color w:val="auto"/>
          <w:sz w:val="32"/>
          <w:szCs w:val="32"/>
        </w:rPr>
        <w:t>为发挥正常功能、确保库房及馆内档案的绝对</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、维持基本运转、确保社会稳定，在充分考虑财政现状的基础上经认真研究确定项目立项。</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该笔项目资金的管理，依据盐边财政关于项目资金的使用要求进行资金管理，专款专用。</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资金分配的原则：依据各项保证档案馆安全运行的分项，按</w:t>
      </w:r>
      <w:r>
        <w:rPr>
          <w:rFonts w:hint="default" w:ascii="Times New Roman" w:hAnsi="Times New Roman" w:eastAsia="方正仿宋_GBK" w:cs="Times New Roman"/>
          <w:color w:val="auto"/>
          <w:sz w:val="32"/>
          <w:szCs w:val="32"/>
          <w:lang w:eastAsia="zh-CN"/>
        </w:rPr>
        <w:t>月度电费消耗量</w:t>
      </w:r>
      <w:r>
        <w:rPr>
          <w:rFonts w:hint="default" w:ascii="Times New Roman" w:hAnsi="Times New Roman" w:eastAsia="方正仿宋_GBK" w:cs="Times New Roman"/>
          <w:color w:val="auto"/>
          <w:sz w:val="32"/>
          <w:szCs w:val="32"/>
        </w:rPr>
        <w:t>分配。</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（二）项目绩效目标。</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项目主要内容。主要是为保证档案馆安全运行、保障档案数据安全，档案库房中央空调24小时运行，天气干燥时需运行加湿器，机房有监控、档案服务器需要24小时运行，加上县干部档案室、公务员档案室也设在县档案馆，档案馆耗电量大。</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rPr>
        <w:t>项目应实现的具体绩效目标。保持档案馆基本运转、稳定，保障全县档案安全。更好地提供档案及展览服务。项目实施在202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zh-CN"/>
        </w:rPr>
        <w:t>年度持续进行。</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zh-CN"/>
        </w:rPr>
        <w:t>项目分析评价申报内容与实际相符，申报目标合理可行。</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（三）项目自评步骤及方法。</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结合实际档案工作需求，根据档案抢救、保护、利用的各项配套设施</w:t>
      </w:r>
      <w:r>
        <w:rPr>
          <w:rFonts w:hint="default" w:ascii="Times New Roman" w:hAnsi="Times New Roman" w:eastAsia="仿宋_GB2312" w:cs="Times New Roman"/>
          <w:color w:val="auto"/>
          <w:sz w:val="32"/>
          <w:szCs w:val="32"/>
          <w:lang w:val="zh-CN" w:eastAsia="zh-CN"/>
        </w:rPr>
        <w:t>用电</w:t>
      </w:r>
      <w:r>
        <w:rPr>
          <w:rFonts w:hint="default" w:ascii="Times New Roman" w:hAnsi="Times New Roman" w:eastAsia="仿宋_GB2312" w:cs="Times New Roman"/>
          <w:color w:val="auto"/>
          <w:sz w:val="32"/>
          <w:szCs w:val="32"/>
          <w:lang w:val="zh-CN"/>
        </w:rPr>
        <w:t>要求，对照支出绩效评价指标体系，按实际完成情况认真开展自评。</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二、项目资金申报及使用情况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（一）项目资金申报及批复情况。</w:t>
      </w:r>
    </w:p>
    <w:p>
      <w:pPr>
        <w:adjustRightInd w:val="0"/>
        <w:snapToGrid w:val="0"/>
        <w:spacing w:line="600" w:lineRule="exact"/>
        <w:ind w:firstLine="720"/>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rPr>
        <w:t>盐边财政〔202</w:t>
      </w:r>
      <w:r>
        <w:rPr>
          <w:rFonts w:hint="default" w:ascii="Times New Roman" w:hAnsi="Times New Roman" w:eastAsia="仿宋" w:cs="Times New Roman"/>
          <w:bCs/>
          <w:color w:val="auto"/>
          <w:sz w:val="32"/>
          <w:szCs w:val="32"/>
          <w:lang w:val="en-US" w:eastAsia="zh-CN"/>
        </w:rPr>
        <w:t>4</w:t>
      </w:r>
      <w:r>
        <w:rPr>
          <w:rFonts w:hint="default" w:ascii="Times New Roman" w:hAnsi="Times New Roman" w:eastAsia="仿宋" w:cs="Times New Roman"/>
          <w:bCs/>
          <w:color w:val="auto"/>
          <w:sz w:val="32"/>
          <w:szCs w:val="32"/>
        </w:rPr>
        <w:t>〕8 号</w:t>
      </w:r>
      <w:r>
        <w:rPr>
          <w:rFonts w:hint="default" w:ascii="Times New Roman" w:hAnsi="Times New Roman" w:eastAsia="仿宋" w:cs="Times New Roman"/>
          <w:bCs/>
          <w:color w:val="auto"/>
          <w:sz w:val="32"/>
          <w:szCs w:val="32"/>
          <w:lang w:eastAsia="zh-CN"/>
        </w:rPr>
        <w:t>年初预算批复</w:t>
      </w:r>
      <w:r>
        <w:rPr>
          <w:rFonts w:hint="default" w:ascii="Times New Roman" w:hAnsi="Times New Roman" w:eastAsia="仿宋" w:cs="Times New Roman"/>
          <w:bCs/>
          <w:color w:val="auto"/>
          <w:sz w:val="32"/>
          <w:szCs w:val="32"/>
        </w:rPr>
        <w:t>下达档案馆电费</w:t>
      </w:r>
      <w:r>
        <w:rPr>
          <w:rFonts w:hint="default" w:ascii="Times New Roman" w:hAnsi="Times New Roman" w:eastAsia="仿宋" w:cs="Times New Roman"/>
          <w:bCs/>
          <w:color w:val="auto"/>
          <w:sz w:val="32"/>
          <w:szCs w:val="32"/>
          <w:lang w:val="en-US" w:eastAsia="zh-CN"/>
        </w:rPr>
        <w:t>7</w:t>
      </w:r>
      <w:r>
        <w:rPr>
          <w:rFonts w:hint="default" w:ascii="Times New Roman" w:hAnsi="Times New Roman" w:eastAsia="仿宋" w:cs="Times New Roman"/>
          <w:bCs/>
          <w:color w:val="auto"/>
          <w:sz w:val="32"/>
          <w:szCs w:val="32"/>
        </w:rPr>
        <w:t>万元，用于档案馆及展厅</w:t>
      </w:r>
      <w:r>
        <w:rPr>
          <w:rFonts w:hint="default" w:ascii="Times New Roman" w:hAnsi="Times New Roman" w:eastAsia="仿宋" w:cs="Times New Roman"/>
          <w:bCs/>
          <w:color w:val="auto"/>
          <w:sz w:val="32"/>
          <w:szCs w:val="32"/>
          <w:lang w:eastAsia="zh-CN"/>
        </w:rPr>
        <w:t>、库房用电设备</w:t>
      </w:r>
      <w:r>
        <w:rPr>
          <w:rFonts w:hint="default" w:ascii="Times New Roman" w:hAnsi="Times New Roman" w:eastAsia="仿宋" w:cs="Times New Roman"/>
          <w:bCs/>
          <w:color w:val="auto"/>
          <w:sz w:val="32"/>
          <w:szCs w:val="32"/>
        </w:rPr>
        <w:t>正常运行</w:t>
      </w:r>
      <w:r>
        <w:rPr>
          <w:rFonts w:hint="default" w:ascii="Times New Roman" w:hAnsi="Times New Roman" w:eastAsia="仿宋" w:cs="Times New Roman"/>
          <w:bCs/>
          <w:color w:val="auto"/>
          <w:sz w:val="32"/>
          <w:szCs w:val="32"/>
          <w:lang w:eastAsia="zh-CN"/>
        </w:rPr>
        <w:t>。</w:t>
      </w:r>
    </w:p>
    <w:p>
      <w:pPr>
        <w:adjustRightInd w:val="0"/>
        <w:snapToGrid w:val="0"/>
        <w:spacing w:line="600" w:lineRule="exact"/>
        <w:ind w:firstLine="72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资金计划。</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年初预算批复</w:t>
      </w:r>
      <w:r>
        <w:rPr>
          <w:rFonts w:hint="default" w:ascii="Times New Roman" w:hAnsi="Times New Roman" w:eastAsia="仿宋_GB2312" w:cs="Times New Roman"/>
          <w:bCs/>
          <w:color w:val="auto"/>
          <w:sz w:val="32"/>
          <w:szCs w:val="32"/>
        </w:rPr>
        <w:t>下达档案馆电费</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，全部为县级财政拨款。</w:t>
      </w:r>
    </w:p>
    <w:p>
      <w:pPr>
        <w:adjustRightInd w:val="0"/>
        <w:snapToGrid w:val="0"/>
        <w:spacing w:line="600" w:lineRule="exact"/>
        <w:ind w:firstLine="72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资金到位。</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年初预算的</w:t>
      </w:r>
      <w:r>
        <w:rPr>
          <w:rFonts w:hint="default" w:ascii="Times New Roman" w:hAnsi="Times New Roman" w:eastAsia="仿宋_GB2312" w:cs="Times New Roman"/>
          <w:bCs/>
          <w:color w:val="auto"/>
          <w:sz w:val="32"/>
          <w:szCs w:val="32"/>
        </w:rPr>
        <w:t>档案馆电费</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，资金到位及时，到位率</w:t>
      </w:r>
      <w:r>
        <w:rPr>
          <w:rFonts w:hint="default" w:ascii="Times New Roman" w:hAnsi="Times New Roman" w:eastAsia="仿宋_GB2312" w:cs="Times New Roman"/>
          <w:bCs/>
          <w:color w:val="auto"/>
          <w:sz w:val="32"/>
          <w:szCs w:val="32"/>
          <w:lang w:val="en-US" w:eastAsia="zh-CN"/>
        </w:rPr>
        <w:t>100%。</w:t>
      </w:r>
    </w:p>
    <w:p>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资金使用。</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评价时项目资金的实际支出</w:t>
      </w:r>
      <w:r>
        <w:rPr>
          <w:rFonts w:hint="default" w:ascii="Times New Roman" w:hAnsi="Times New Roman" w:eastAsia="仿宋_GB2312" w:cs="Times New Roman"/>
          <w:color w:val="auto"/>
          <w:sz w:val="32"/>
          <w:szCs w:val="32"/>
          <w:lang w:val="en-US" w:eastAsia="zh-CN"/>
        </w:rPr>
        <w:t>7万元，支出情况为档案馆的电费，</w:t>
      </w:r>
      <w:r>
        <w:rPr>
          <w:rFonts w:hint="default" w:ascii="Times New Roman" w:hAnsi="Times New Roman" w:eastAsia="仿宋_GB2312" w:cs="Times New Roman"/>
          <w:bCs/>
          <w:color w:val="auto"/>
          <w:sz w:val="32"/>
          <w:szCs w:val="32"/>
          <w:lang w:val="en-US" w:eastAsia="zh-CN"/>
        </w:rPr>
        <w:t>年中按月支付电费</w:t>
      </w:r>
      <w:r>
        <w:rPr>
          <w:rFonts w:hint="default" w:ascii="Times New Roman" w:hAnsi="Times New Roman" w:eastAsia="仿宋_GB2312" w:cs="Times New Roman"/>
          <w:bCs/>
          <w:color w:val="auto"/>
          <w:sz w:val="32"/>
          <w:szCs w:val="32"/>
          <w:lang w:val="zh-CN"/>
        </w:rPr>
        <w:t>到电力公司账户。202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zh-CN"/>
        </w:rPr>
        <w:t>年电费项目</w:t>
      </w:r>
      <w:r>
        <w:rPr>
          <w:rFonts w:hint="default" w:ascii="Times New Roman" w:hAnsi="Times New Roman" w:eastAsia="仿宋_GB2312" w:cs="Times New Roman"/>
          <w:bCs/>
          <w:color w:val="auto"/>
          <w:sz w:val="32"/>
          <w:szCs w:val="32"/>
          <w:lang w:val="en-US" w:eastAsia="zh-CN"/>
        </w:rPr>
        <w:t>7万元</w:t>
      </w:r>
      <w:r>
        <w:rPr>
          <w:rFonts w:hint="default" w:ascii="Times New Roman" w:hAnsi="Times New Roman" w:eastAsia="仿宋_GB2312" w:cs="Times New Roman"/>
          <w:bCs/>
          <w:color w:val="auto"/>
          <w:sz w:val="32"/>
          <w:szCs w:val="32"/>
          <w:lang w:val="zh-CN"/>
        </w:rPr>
        <w:t>资金支付完成100%。</w:t>
      </w:r>
      <w:r>
        <w:rPr>
          <w:rFonts w:hint="default" w:ascii="Times New Roman" w:hAnsi="Times New Roman" w:eastAsia="仿宋_GB2312" w:cs="Times New Roman"/>
          <w:color w:val="auto"/>
          <w:sz w:val="32"/>
          <w:szCs w:val="32"/>
          <w:lang w:val="en-US" w:eastAsia="zh-CN"/>
        </w:rPr>
        <w:t>支付依据按照规定进行审核，合规合法，资金支付也与预算相符。</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我单位严格执行《行政事业单位财务管理制度》等财务管理制度，权限管理规范，内控较为严谨，账务处理及时，会计核算规范，项目资金从申报到支付，均严格遵守资金使用流程，专款专用，依法依规进行全流程、精细化管理，确保资金安全。</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三、项目实施及管理情况</w:t>
      </w:r>
    </w:p>
    <w:p>
      <w:pPr>
        <w:numPr>
          <w:ilvl w:val="0"/>
          <w:numId w:val="7"/>
        </w:num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lang w:val="zh-CN"/>
        </w:rPr>
      </w:pPr>
      <w:r>
        <w:rPr>
          <w:rFonts w:hint="eastAsia" w:eastAsia="仿宋_GB2312" w:cs="Times New Roman"/>
          <w:bCs/>
          <w:color w:val="auto"/>
          <w:sz w:val="32"/>
          <w:szCs w:val="32"/>
          <w:lang w:eastAsia="zh-CN"/>
        </w:rPr>
        <w:t>截至</w:t>
      </w:r>
      <w:r>
        <w:rPr>
          <w:rFonts w:hint="default" w:ascii="Times New Roman" w:hAnsi="Times New Roman" w:eastAsia="仿宋_GB2312" w:cs="Times New Roman"/>
          <w:bCs/>
          <w:color w:val="auto"/>
          <w:sz w:val="32"/>
          <w:szCs w:val="32"/>
          <w:lang w:val="en-US" w:eastAsia="zh-CN"/>
        </w:rPr>
        <w:t>2024年12月，按规定进行项目实施，遵循专款专用的原则。</w:t>
      </w:r>
      <w:r>
        <w:rPr>
          <w:rFonts w:hint="default" w:ascii="Times New Roman" w:hAnsi="Times New Roman" w:eastAsia="仿宋_GB2312" w:cs="Times New Roman"/>
          <w:bCs/>
          <w:color w:val="auto"/>
          <w:sz w:val="32"/>
          <w:szCs w:val="32"/>
        </w:rPr>
        <w:t>由于电费是需要转入电力公司后，根据每月电用量扣减电费才能正常用电，因此档案馆电费主要是分批次转入电力公司账户</w:t>
      </w:r>
      <w:r>
        <w:rPr>
          <w:rFonts w:hint="default" w:ascii="Times New Roman" w:hAnsi="Times New Roman" w:eastAsia="仿宋_GB2312" w:cs="Times New Roman"/>
          <w:bCs/>
          <w:color w:val="auto"/>
          <w:sz w:val="32"/>
          <w:szCs w:val="32"/>
          <w:lang w:eastAsia="zh-CN"/>
        </w:rPr>
        <w:t>。资金使用严把监督审核关，建立健全了内部审批制度。会计资料信息真实、及时、完整，资金使用较为安全。</w:t>
      </w:r>
    </w:p>
    <w:p>
      <w:pPr>
        <w:numPr>
          <w:ilvl w:val="0"/>
          <w:numId w:val="7"/>
        </w:numPr>
        <w:adjustRightInd w:val="0"/>
        <w:snapToGrid w:val="0"/>
        <w:spacing w:line="600" w:lineRule="exact"/>
        <w:ind w:left="0" w:leftChars="0" w:firstLine="720" w:firstLineChars="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项目管理情况。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由经办人员</w:t>
      </w:r>
      <w:r>
        <w:rPr>
          <w:rFonts w:hint="default" w:ascii="Times New Roman" w:hAnsi="Times New Roman" w:eastAsia="仿宋_GB2312" w:cs="Times New Roman"/>
          <w:bCs/>
          <w:color w:val="auto"/>
          <w:sz w:val="32"/>
          <w:szCs w:val="32"/>
          <w:lang w:eastAsia="zh-CN"/>
        </w:rPr>
        <w:t>专人管理，</w:t>
      </w:r>
      <w:r>
        <w:rPr>
          <w:rFonts w:hint="default" w:ascii="Times New Roman" w:hAnsi="Times New Roman" w:eastAsia="仿宋_GB2312" w:cs="Times New Roman"/>
          <w:bCs/>
          <w:color w:val="auto"/>
          <w:sz w:val="32"/>
          <w:szCs w:val="32"/>
        </w:rPr>
        <w:t>每月关注用量及电费余额，保证档案馆不断电。按照县财政统一部署安排预算在及时推进支付进度的同时，加强资金管理，优化资源配置。</w:t>
      </w:r>
    </w:p>
    <w:p>
      <w:pPr>
        <w:numPr>
          <w:ilvl w:val="0"/>
          <w:numId w:val="7"/>
        </w:numPr>
        <w:adjustRightInd w:val="0"/>
        <w:snapToGrid w:val="0"/>
        <w:spacing w:line="600" w:lineRule="exact"/>
        <w:ind w:left="0" w:leftChars="0" w:firstLine="720" w:firstLineChars="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项目监管情况。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档案馆电费项目由经办人员每月关注用量及电费余额，再根据情况由分管领导审批后分批次将电费转入电力公司账户。每次缴费均到电力营业厅开具收据，并每月打印电费发票，并由办公室人员把每季度用电情况录入能耗管理平台</w:t>
      </w:r>
      <w:r>
        <w:rPr>
          <w:rFonts w:hint="default" w:ascii="Times New Roman" w:hAnsi="Times New Roman" w:eastAsia="仿宋_GB2312" w:cs="Times New Roman"/>
          <w:bCs/>
          <w:color w:val="auto"/>
          <w:sz w:val="32"/>
          <w:szCs w:val="32"/>
          <w:lang w:eastAsia="zh-CN"/>
        </w:rPr>
        <w:t>，确保资金使用规范合理。</w:t>
      </w: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四、项目绩效情况</w:t>
      </w:r>
      <w:r>
        <w:rPr>
          <w:rFonts w:hint="default" w:ascii="Times New Roman" w:hAnsi="Times New Roman" w:eastAsia="黑体" w:cs="Times New Roman"/>
          <w:color w:val="auto"/>
          <w:sz w:val="32"/>
          <w:szCs w:val="32"/>
          <w:lang w:val="zh-CN"/>
        </w:rPr>
        <w:tab/>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Cs/>
          <w:color w:val="auto"/>
          <w:sz w:val="32"/>
          <w:szCs w:val="32"/>
          <w:lang w:val="zh-CN"/>
        </w:rPr>
        <w:t>档案馆及展厅各项设施设备正常运行，绩效目标完成良好，各项指标完成度高，完成率达100%。</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lang w:val="zh-CN"/>
        </w:rPr>
        <w:t>确保档案馆及展厅发挥正常功能，确保库房及馆内档案、数据的绝对安全，维持设备设施基本运转，保障查档、参观等服务，不发生重大安全事故，确保社会稳定，更好地提供档案服务。</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五、评价结论及建议</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bdr w:val="single" w:color="auto" w:sz="4" w:space="0"/>
          <w:lang w:val="zh-CN"/>
        </w:rPr>
      </w:pPr>
      <w:r>
        <w:rPr>
          <w:rFonts w:hint="default" w:ascii="Times New Roman" w:hAnsi="Times New Roman" w:eastAsia="仿宋_GB2312" w:cs="Times New Roman"/>
          <w:bCs/>
          <w:color w:val="auto"/>
          <w:sz w:val="32"/>
          <w:szCs w:val="32"/>
          <w:lang w:val="zh-CN"/>
        </w:rPr>
        <w:t>申报的项目资金实施后均已实现了预定的绩效目标，同时预定目标设置合理，符合相关规定和要求。</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eastAsia="zh-CN"/>
        </w:rPr>
      </w:pPr>
      <w:r>
        <w:rPr>
          <w:rFonts w:hint="default" w:ascii="Times New Roman" w:hAnsi="Times New Roman" w:eastAsia="仿宋_GB2312" w:cs="Times New Roman"/>
          <w:bCs/>
          <w:color w:val="auto"/>
          <w:sz w:val="32"/>
          <w:szCs w:val="32"/>
          <w:lang w:val="zh-CN" w:eastAsia="zh-CN"/>
        </w:rPr>
        <w:t>财务人员业务知识熟练程度不够。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color w:val="auto"/>
          <w:sz w:val="32"/>
          <w:szCs w:val="32"/>
          <w:lang w:val="zh-CN"/>
        </w:rPr>
        <w:tab/>
      </w:r>
      <w:r>
        <w:rPr>
          <w:rFonts w:hint="default" w:ascii="Times New Roman" w:hAnsi="Times New Roman" w:eastAsia="仿宋_GB2312" w:cs="Times New Roman"/>
          <w:b/>
          <w:color w:val="auto"/>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rPr>
      </w:pPr>
      <w:r>
        <w:rPr>
          <w:rFonts w:hint="default" w:ascii="Times New Roman" w:hAnsi="Times New Roman" w:eastAsia="仿宋_GB2312" w:cs="Times New Roman"/>
          <w:bCs/>
          <w:color w:val="auto"/>
          <w:sz w:val="32"/>
          <w:szCs w:val="32"/>
          <w:lang w:val="zh-CN"/>
        </w:rPr>
        <w:t>1.加强预算管理，细化项目管理。在编制年度预算时，在进行调查研究的基础上，充分论证项目立项的必要性、经济性、绩效目标合理性、实施方案可行性，项目实施达到预期效果，发挥最大效益。认真细化方案，明确责任人，做好各项目支出绩效目标</w:t>
      </w:r>
      <w:r>
        <w:rPr>
          <w:rFonts w:hint="eastAsia" w:eastAsia="仿宋_GB2312" w:cs="Times New Roman"/>
          <w:bCs/>
          <w:color w:val="auto"/>
          <w:sz w:val="32"/>
          <w:szCs w:val="32"/>
          <w:lang w:val="zh-CN"/>
        </w:rPr>
        <w:t>执行</w:t>
      </w:r>
      <w:r>
        <w:rPr>
          <w:rFonts w:hint="default" w:ascii="Times New Roman" w:hAnsi="Times New Roman" w:eastAsia="仿宋_GB2312" w:cs="Times New Roman"/>
          <w:bCs/>
          <w:color w:val="auto"/>
          <w:sz w:val="32"/>
          <w:szCs w:val="32"/>
          <w:lang w:val="zh-CN"/>
        </w:rPr>
        <w:t>的控制管理，确保资金对应绩效目标执行，强化项目管理，确保项目按计划推进。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sz w:val="32"/>
          <w:szCs w:val="32"/>
          <w:lang w:val="zh-CN"/>
        </w:rPr>
        <w:t>2.严格人员管理，提高绩效目标管理水平。加强财务人员培训，熟练掌握预算编制和预算执行等各项政策，严格遵守各项财经纪律，不断提高业务能力，不断提高绩效目标管理水平。</w:t>
      </w: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bookmarkStart w:id="62" w:name="_Toc15396618"/>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pStyle w:val="37"/>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7"/>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7"/>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7"/>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7"/>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7"/>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7"/>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eastAsia="zh-CN"/>
        </w:rPr>
        <w:t>档案馆安保费</w:t>
      </w:r>
      <w:r>
        <w:rPr>
          <w:rFonts w:hint="default" w:ascii="Times New Roman" w:hAnsi="Times New Roman" w:eastAsia="方正小标宋简体" w:cs="Times New Roman"/>
          <w:color w:val="auto"/>
          <w:kern w:val="2"/>
          <w:sz w:val="44"/>
          <w:szCs w:val="44"/>
          <w:lang w:val="en-US"/>
        </w:rPr>
        <w:t>专项</w:t>
      </w:r>
    </w:p>
    <w:p>
      <w:pPr>
        <w:pStyle w:val="37"/>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预算项目绩效评价报告</w:t>
      </w:r>
    </w:p>
    <w:p>
      <w:pPr>
        <w:pStyle w:val="37"/>
        <w:spacing w:line="578" w:lineRule="exact"/>
        <w:ind w:firstLine="640"/>
        <w:jc w:val="center"/>
        <w:rPr>
          <w:rFonts w:hint="default" w:ascii="Times New Roman" w:hAnsi="Times New Roman" w:eastAsia="仿宋_GB2312" w:cs="Times New Roman"/>
          <w:color w:val="auto"/>
          <w:kern w:val="2"/>
          <w:sz w:val="32"/>
          <w:szCs w:val="32"/>
        </w:rPr>
      </w:pP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（一）项目基本情况。</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县档案馆是项目监督管理的实施主体，负责项目建设监督管理、验收等工作。</w:t>
      </w:r>
    </w:p>
    <w:p>
      <w:pPr>
        <w:pStyle w:val="39"/>
        <w:spacing w:line="560" w:lineRule="exact"/>
        <w:ind w:firstLine="633" w:firstLineChars="198"/>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CN" w:eastAsia="zh-CN" w:bidi="ar-SA"/>
        </w:rPr>
        <w:t>由于县综合档案馆要发挥爱国主义教育基地、档案安</w:t>
      </w:r>
    </w:p>
    <w:p>
      <w:pPr>
        <w:pStyle w:val="39"/>
        <w:spacing w:line="560" w:lineRule="exac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全保管基地、档案利用服务中心、加上县干部档案室也设在县档案馆，为确保库房及馆内档案的绝对安全、维持基本运转，需要</w:t>
      </w:r>
      <w:r>
        <w:rPr>
          <w:rFonts w:hint="default" w:ascii="Times New Roman" w:hAnsi="Times New Roman" w:eastAsia="仿宋_GB2312" w:cs="Times New Roman"/>
          <w:color w:val="auto"/>
          <w:kern w:val="2"/>
          <w:sz w:val="32"/>
          <w:szCs w:val="32"/>
          <w:lang w:val="en-US" w:eastAsia="zh-CN" w:bidi="ar-SA"/>
        </w:rPr>
        <w:t>24小时安保服务，配备3个保安轮值负责办公楼及周边日常安全巡查工作和公众利用厅前置登记与引导服务等事项，</w:t>
      </w:r>
      <w:r>
        <w:rPr>
          <w:rFonts w:hint="default" w:ascii="Times New Roman" w:hAnsi="Times New Roman" w:eastAsia="仿宋_GB2312" w:cs="Times New Roman"/>
          <w:color w:val="auto"/>
          <w:kern w:val="2"/>
          <w:sz w:val="32"/>
          <w:szCs w:val="32"/>
          <w:lang w:val="zh-CN" w:eastAsia="zh-CN" w:bidi="ar-SA"/>
        </w:rPr>
        <w:t>在充分考虑财政现状的基础上经认真研究确定项目立项。</w:t>
      </w:r>
    </w:p>
    <w:p>
      <w:pPr>
        <w:pStyle w:val="39"/>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3.该笔项目资金的管理，依据盐边财政关于项目资金的使用要求进行资金管理，专款专用。</w:t>
      </w:r>
    </w:p>
    <w:p>
      <w:pPr>
        <w:numPr>
          <w:ilvl w:val="0"/>
          <w:numId w:val="0"/>
        </w:numPr>
        <w:autoSpaceDE w:val="0"/>
        <w:autoSpaceDN w:val="0"/>
        <w:adjustRightInd w:val="0"/>
        <w:spacing w:line="560" w:lineRule="exact"/>
        <w:ind w:firstLine="640" w:firstLineChars="200"/>
        <w:jc w:val="left"/>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kern w:val="2"/>
          <w:sz w:val="32"/>
          <w:szCs w:val="32"/>
          <w:lang w:val="en-US" w:eastAsia="zh-CN" w:bidi="ar-SA"/>
        </w:rPr>
        <w:t>4.资金分配的原则：</w:t>
      </w:r>
      <w:r>
        <w:rPr>
          <w:rFonts w:hint="default" w:ascii="Times New Roman" w:hAnsi="Times New Roman" w:eastAsia="仿宋_GB2312" w:cs="Times New Roman"/>
          <w:color w:val="auto"/>
          <w:kern w:val="2"/>
          <w:sz w:val="32"/>
          <w:szCs w:val="32"/>
          <w:lang w:val="zh-CN" w:eastAsia="zh-CN" w:bidi="ar-SA"/>
        </w:rPr>
        <w:t>依据各项保证档案馆安全运行的分项，按劳务派遣（保安人员）协议价分配。</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（二）项目绩效目标。</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项目主要内容。</w:t>
      </w:r>
      <w:r>
        <w:rPr>
          <w:rFonts w:hint="default" w:ascii="Times New Roman" w:hAnsi="Times New Roman" w:eastAsia="仿宋_GB2312" w:cs="Times New Roman"/>
          <w:color w:val="auto"/>
          <w:kern w:val="2"/>
          <w:sz w:val="32"/>
          <w:szCs w:val="32"/>
          <w:lang w:val="zh-CN" w:eastAsia="zh-CN" w:bidi="ar-SA"/>
        </w:rPr>
        <w:t>主要是安保人员坚持24小时值班制度，加强门卫管理和来访人员登记。每日开展档案库房及中心机房安全巡查，进行安全隐患排查，确保馆藏档案的绝对安全。</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项目应实现的具体绩效目标。</w:t>
      </w:r>
      <w:r>
        <w:rPr>
          <w:rFonts w:hint="default" w:ascii="Times New Roman" w:hAnsi="Times New Roman" w:eastAsia="仿宋_GB2312" w:cs="Times New Roman"/>
          <w:bCs/>
          <w:color w:val="auto"/>
          <w:kern w:val="2"/>
          <w:sz w:val="32"/>
          <w:szCs w:val="32"/>
          <w:lang w:val="zh-CN" w:eastAsia="zh-CN" w:bidi="ar-SA"/>
        </w:rPr>
        <w:t>24小时安保服务保障档案馆安全，不发生意外事故，保证档案馆基本运转、稳定，确保全县档案安全。</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项目分析评价申报内容与实际相符，申报目标合理可行。</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（三）项目自评步骤及方法。</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kern w:val="2"/>
          <w:sz w:val="32"/>
          <w:szCs w:val="32"/>
          <w:lang w:val="zh-CN" w:eastAsia="zh-CN" w:bidi="ar-SA"/>
        </w:rPr>
        <w:t>结合实际工作需求，根据档案馆的安全等各项要求，</w:t>
      </w:r>
      <w:r>
        <w:rPr>
          <w:rFonts w:hint="default" w:ascii="Times New Roman" w:hAnsi="Times New Roman" w:eastAsia="仿宋_GB2312" w:cs="Times New Roman"/>
          <w:color w:val="auto"/>
          <w:sz w:val="32"/>
          <w:szCs w:val="32"/>
          <w:lang w:val="zh-CN"/>
        </w:rPr>
        <w:t>对照支出绩效评价指标体系，按实际完成情况认真开展自评。</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二、项目资金申报及使用情况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（一）项目资金申报及批复情况。</w:t>
      </w:r>
    </w:p>
    <w:p>
      <w:pPr>
        <w:adjustRightInd w:val="0"/>
        <w:snapToGrid w:val="0"/>
        <w:spacing w:line="600" w:lineRule="exact"/>
        <w:ind w:firstLine="72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年初预算批复</w:t>
      </w:r>
      <w:r>
        <w:rPr>
          <w:rFonts w:hint="default" w:ascii="Times New Roman" w:hAnsi="Times New Roman" w:eastAsia="仿宋_GB2312" w:cs="Times New Roman"/>
          <w:bCs/>
          <w:color w:val="auto"/>
          <w:sz w:val="32"/>
          <w:szCs w:val="32"/>
        </w:rPr>
        <w:t>下达档案馆</w:t>
      </w:r>
      <w:r>
        <w:rPr>
          <w:rFonts w:hint="default" w:ascii="Times New Roman" w:hAnsi="Times New Roman" w:eastAsia="仿宋_GB2312" w:cs="Times New Roman"/>
          <w:bCs/>
          <w:color w:val="auto"/>
          <w:sz w:val="32"/>
          <w:szCs w:val="32"/>
          <w:lang w:eastAsia="zh-CN"/>
        </w:rPr>
        <w:t>安保</w:t>
      </w:r>
      <w:r>
        <w:rPr>
          <w:rFonts w:hint="default" w:ascii="Times New Roman" w:hAnsi="Times New Roman" w:eastAsia="仿宋_GB2312" w:cs="Times New Roman"/>
          <w:bCs/>
          <w:color w:val="auto"/>
          <w:sz w:val="32"/>
          <w:szCs w:val="32"/>
        </w:rPr>
        <w:t>费</w:t>
      </w:r>
      <w:r>
        <w:rPr>
          <w:rFonts w:hint="default" w:ascii="Times New Roman" w:hAnsi="Times New Roman" w:eastAsia="仿宋_GB2312" w:cs="Times New Roman"/>
          <w:bCs/>
          <w:color w:val="auto"/>
          <w:sz w:val="32"/>
          <w:szCs w:val="32"/>
          <w:lang w:val="en-US" w:eastAsia="zh-CN"/>
        </w:rPr>
        <w:t>13.99</w:t>
      </w:r>
      <w:r>
        <w:rPr>
          <w:rFonts w:hint="default" w:ascii="Times New Roman" w:hAnsi="Times New Roman" w:eastAsia="仿宋_GB2312" w:cs="Times New Roman"/>
          <w:bCs/>
          <w:color w:val="auto"/>
          <w:sz w:val="32"/>
          <w:szCs w:val="32"/>
        </w:rPr>
        <w:t>万元，用于</w:t>
      </w:r>
      <w:r>
        <w:rPr>
          <w:rFonts w:hint="default" w:ascii="Times New Roman" w:hAnsi="Times New Roman" w:eastAsia="仿宋_GB2312" w:cs="Times New Roman"/>
          <w:bCs/>
          <w:color w:val="auto"/>
          <w:sz w:val="32"/>
          <w:szCs w:val="32"/>
          <w:lang w:eastAsia="zh-CN"/>
        </w:rPr>
        <w:t>劳务派遣</w:t>
      </w:r>
      <w:r>
        <w:rPr>
          <w:rFonts w:hint="default" w:ascii="Times New Roman" w:hAnsi="Times New Roman" w:eastAsia="仿宋_GB2312" w:cs="Times New Roman"/>
          <w:bCs/>
          <w:color w:val="auto"/>
          <w:sz w:val="32"/>
          <w:szCs w:val="32"/>
          <w:lang w:val="en-US" w:eastAsia="zh-CN"/>
        </w:rPr>
        <w:t>3个安保人员的安保费。</w:t>
      </w:r>
    </w:p>
    <w:p>
      <w:pPr>
        <w:adjustRightInd w:val="0"/>
        <w:snapToGrid w:val="0"/>
        <w:spacing w:line="600" w:lineRule="exact"/>
        <w:ind w:firstLine="72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资金计划。</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年初预算批复</w:t>
      </w:r>
      <w:r>
        <w:rPr>
          <w:rFonts w:hint="default" w:ascii="Times New Roman" w:hAnsi="Times New Roman" w:eastAsia="仿宋_GB2312" w:cs="Times New Roman"/>
          <w:bCs/>
          <w:color w:val="auto"/>
          <w:sz w:val="32"/>
          <w:szCs w:val="32"/>
        </w:rPr>
        <w:t>下达档案馆</w:t>
      </w:r>
      <w:r>
        <w:rPr>
          <w:rFonts w:hint="default" w:ascii="Times New Roman" w:hAnsi="Times New Roman" w:eastAsia="仿宋_GB2312" w:cs="Times New Roman"/>
          <w:bCs/>
          <w:color w:val="auto"/>
          <w:sz w:val="32"/>
          <w:szCs w:val="32"/>
          <w:lang w:eastAsia="zh-CN"/>
        </w:rPr>
        <w:t>安保</w:t>
      </w:r>
      <w:r>
        <w:rPr>
          <w:rFonts w:hint="default" w:ascii="Times New Roman" w:hAnsi="Times New Roman" w:eastAsia="仿宋_GB2312" w:cs="Times New Roman"/>
          <w:bCs/>
          <w:color w:val="auto"/>
          <w:sz w:val="32"/>
          <w:szCs w:val="32"/>
        </w:rPr>
        <w:t>费</w:t>
      </w:r>
      <w:r>
        <w:rPr>
          <w:rFonts w:hint="default" w:ascii="Times New Roman" w:hAnsi="Times New Roman" w:eastAsia="仿宋_GB2312" w:cs="Times New Roman"/>
          <w:bCs/>
          <w:color w:val="auto"/>
          <w:sz w:val="32"/>
          <w:szCs w:val="32"/>
          <w:lang w:val="en-US" w:eastAsia="zh-CN"/>
        </w:rPr>
        <w:t>13.99</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，全部为县级财政拨款。</w:t>
      </w:r>
    </w:p>
    <w:p>
      <w:pPr>
        <w:adjustRightInd w:val="0"/>
        <w:snapToGrid w:val="0"/>
        <w:spacing w:line="600" w:lineRule="exact"/>
        <w:ind w:firstLine="72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资金到位。</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年初预算的</w:t>
      </w:r>
      <w:r>
        <w:rPr>
          <w:rFonts w:hint="default" w:ascii="Times New Roman" w:hAnsi="Times New Roman" w:eastAsia="仿宋_GB2312" w:cs="Times New Roman"/>
          <w:bCs/>
          <w:color w:val="auto"/>
          <w:sz w:val="32"/>
          <w:szCs w:val="32"/>
        </w:rPr>
        <w:t>档案馆</w:t>
      </w:r>
      <w:r>
        <w:rPr>
          <w:rFonts w:hint="default" w:ascii="Times New Roman" w:hAnsi="Times New Roman" w:eastAsia="仿宋_GB2312" w:cs="Times New Roman"/>
          <w:bCs/>
          <w:color w:val="auto"/>
          <w:sz w:val="32"/>
          <w:szCs w:val="32"/>
          <w:lang w:eastAsia="zh-CN"/>
        </w:rPr>
        <w:t>安保</w:t>
      </w:r>
      <w:r>
        <w:rPr>
          <w:rFonts w:hint="default" w:ascii="Times New Roman" w:hAnsi="Times New Roman" w:eastAsia="仿宋_GB2312" w:cs="Times New Roman"/>
          <w:bCs/>
          <w:color w:val="auto"/>
          <w:sz w:val="32"/>
          <w:szCs w:val="32"/>
        </w:rPr>
        <w:t>费</w:t>
      </w:r>
      <w:r>
        <w:rPr>
          <w:rFonts w:hint="default" w:ascii="Times New Roman" w:hAnsi="Times New Roman" w:eastAsia="仿宋_GB2312" w:cs="Times New Roman"/>
          <w:bCs/>
          <w:color w:val="auto"/>
          <w:sz w:val="32"/>
          <w:szCs w:val="32"/>
          <w:lang w:val="en-US" w:eastAsia="zh-CN"/>
        </w:rPr>
        <w:t>13.99</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，资金到位及时，到位率</w:t>
      </w:r>
      <w:r>
        <w:rPr>
          <w:rFonts w:hint="default" w:ascii="Times New Roman" w:hAnsi="Times New Roman" w:eastAsia="仿宋_GB2312" w:cs="Times New Roman"/>
          <w:bCs/>
          <w:color w:val="auto"/>
          <w:sz w:val="32"/>
          <w:szCs w:val="32"/>
          <w:lang w:val="en-US" w:eastAsia="zh-CN"/>
        </w:rPr>
        <w:t>100%。</w:t>
      </w:r>
    </w:p>
    <w:p>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资金使用。</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评价时项目资金的实际支出</w:t>
      </w:r>
      <w:r>
        <w:rPr>
          <w:rFonts w:hint="default" w:ascii="Times New Roman" w:hAnsi="Times New Roman" w:eastAsia="仿宋_GB2312" w:cs="Times New Roman"/>
          <w:color w:val="auto"/>
          <w:sz w:val="32"/>
          <w:szCs w:val="32"/>
          <w:lang w:val="en-US" w:eastAsia="zh-CN"/>
        </w:rPr>
        <w:t>13.99万元，支出情况为档案馆的安保费，</w:t>
      </w:r>
      <w:r>
        <w:rPr>
          <w:rFonts w:hint="default" w:ascii="Times New Roman" w:hAnsi="Times New Roman" w:eastAsia="仿宋_GB2312" w:cs="Times New Roman"/>
          <w:bCs/>
          <w:color w:val="auto"/>
          <w:sz w:val="32"/>
          <w:szCs w:val="32"/>
          <w:lang w:val="en-US" w:eastAsia="zh-CN"/>
        </w:rPr>
        <w:t>年中八月份录入，九月份全部支付给盐边县虹翔保安服务有限责任公司</w:t>
      </w:r>
      <w:r>
        <w:rPr>
          <w:rFonts w:hint="default" w:ascii="Times New Roman" w:hAnsi="Times New Roman" w:eastAsia="仿宋_GB2312" w:cs="Times New Roman"/>
          <w:bCs/>
          <w:color w:val="auto"/>
          <w:sz w:val="32"/>
          <w:szCs w:val="32"/>
          <w:lang w:val="zh-CN"/>
        </w:rPr>
        <w:t>。202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zh-CN"/>
        </w:rPr>
        <w:t>年安保费项目</w:t>
      </w:r>
      <w:r>
        <w:rPr>
          <w:rFonts w:hint="default" w:ascii="Times New Roman" w:hAnsi="Times New Roman" w:eastAsia="仿宋_GB2312" w:cs="Times New Roman"/>
          <w:bCs/>
          <w:color w:val="auto"/>
          <w:sz w:val="32"/>
          <w:szCs w:val="32"/>
          <w:lang w:val="en-US" w:eastAsia="zh-CN"/>
        </w:rPr>
        <w:t>13.99万元</w:t>
      </w:r>
      <w:r>
        <w:rPr>
          <w:rFonts w:hint="default" w:ascii="Times New Roman" w:hAnsi="Times New Roman" w:eastAsia="仿宋_GB2312" w:cs="Times New Roman"/>
          <w:bCs/>
          <w:color w:val="auto"/>
          <w:sz w:val="32"/>
          <w:szCs w:val="32"/>
          <w:lang w:val="zh-CN"/>
        </w:rPr>
        <w:t>资金支付完成100%。</w:t>
      </w:r>
      <w:r>
        <w:rPr>
          <w:rFonts w:hint="default" w:ascii="Times New Roman" w:hAnsi="Times New Roman" w:eastAsia="仿宋_GB2312" w:cs="Times New Roman"/>
          <w:color w:val="auto"/>
          <w:sz w:val="32"/>
          <w:szCs w:val="32"/>
          <w:lang w:val="en-US" w:eastAsia="zh-CN"/>
        </w:rPr>
        <w:t>支付依据按照规定进行审核，合规合法，资金支付也与预算相符。</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我单位严格执行《行政事业单位财务管理制度》等财务管理制度，权限管理规范，内控较为严谨，账务处理及时，会计核算规范，项目资金从申报到支付，均严格遵守资金使用流程，专款专用，依法依规进行全流程、精细化管理，确保资金安全。</w:t>
      </w:r>
    </w:p>
    <w:p>
      <w:pPr>
        <w:adjustRightInd w:val="0"/>
        <w:snapToGrid w:val="0"/>
        <w:spacing w:line="600" w:lineRule="exact"/>
        <w:ind w:firstLine="720"/>
        <w:rPr>
          <w:rFonts w:hint="default" w:ascii="Times New Roman" w:hAnsi="Times New Roman" w:eastAsia="仿宋_GB2312" w:cs="Times New Roman"/>
          <w:color w:val="auto"/>
          <w:sz w:val="32"/>
          <w:szCs w:val="32"/>
          <w:lang w:val="zh-CN"/>
        </w:rPr>
      </w:pPr>
      <w:r>
        <w:rPr>
          <w:rFonts w:hint="default" w:ascii="Times New Roman" w:hAnsi="Times New Roman" w:eastAsia="黑体" w:cs="Times New Roman"/>
          <w:color w:val="auto"/>
          <w:sz w:val="32"/>
          <w:szCs w:val="32"/>
        </w:rPr>
        <w:t>三、项目实施及管理情况</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eastAsia" w:eastAsia="仿宋_GB2312" w:cs="Times New Roman"/>
          <w:bCs/>
          <w:color w:val="auto"/>
          <w:sz w:val="32"/>
          <w:szCs w:val="32"/>
          <w:lang w:eastAsia="zh-CN"/>
        </w:rPr>
        <w:t>截至</w:t>
      </w:r>
      <w:r>
        <w:rPr>
          <w:rFonts w:hint="default" w:ascii="Times New Roman" w:hAnsi="Times New Roman" w:eastAsia="仿宋_GB2312" w:cs="Times New Roman"/>
          <w:bCs/>
          <w:color w:val="auto"/>
          <w:sz w:val="32"/>
          <w:szCs w:val="32"/>
          <w:lang w:val="en-US" w:eastAsia="zh-CN"/>
        </w:rPr>
        <w:t>2024年12月，按规定进行项目实施，遵循专款专用的原则。安保费按照</w:t>
      </w:r>
      <w:r>
        <w:rPr>
          <w:rFonts w:hint="default" w:ascii="Times New Roman" w:hAnsi="Times New Roman" w:eastAsia="仿宋_GB2312" w:cs="Times New Roman"/>
          <w:color w:val="auto"/>
          <w:kern w:val="2"/>
          <w:sz w:val="32"/>
          <w:szCs w:val="32"/>
          <w:lang w:val="zh-CN" w:eastAsia="zh-CN" w:bidi="ar-SA"/>
        </w:rPr>
        <w:t>劳务派遣（保安人员）协议，年中一次性支付，</w:t>
      </w:r>
      <w:r>
        <w:rPr>
          <w:rFonts w:hint="default" w:ascii="Times New Roman" w:hAnsi="Times New Roman" w:eastAsia="仿宋_GB2312" w:cs="Times New Roman"/>
          <w:bCs/>
          <w:color w:val="auto"/>
          <w:sz w:val="32"/>
          <w:szCs w:val="32"/>
          <w:lang w:eastAsia="zh-CN"/>
        </w:rPr>
        <w:t>资金使用严把监督审核关，建立健全了内部审批制度，会计资料信息真实、及时、完整，资金使用较为安全。</w:t>
      </w:r>
    </w:p>
    <w:p>
      <w:pPr>
        <w:numPr>
          <w:ilvl w:val="0"/>
          <w:numId w:val="0"/>
        </w:numPr>
        <w:adjustRightInd w:val="0"/>
        <w:snapToGrid w:val="0"/>
        <w:spacing w:line="600" w:lineRule="exact"/>
        <w:ind w:left="720" w:leftChars="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（二）项目管理情况。</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由经办人员</w:t>
      </w:r>
      <w:r>
        <w:rPr>
          <w:rFonts w:hint="default" w:ascii="Times New Roman" w:hAnsi="Times New Roman" w:eastAsia="仿宋_GB2312" w:cs="Times New Roman"/>
          <w:bCs/>
          <w:color w:val="auto"/>
          <w:sz w:val="32"/>
          <w:szCs w:val="32"/>
          <w:lang w:eastAsia="zh-CN"/>
        </w:rPr>
        <w:t>专人管理，</w:t>
      </w:r>
      <w:r>
        <w:rPr>
          <w:rFonts w:hint="default" w:ascii="Times New Roman" w:hAnsi="Times New Roman" w:eastAsia="仿宋_GB2312" w:cs="Times New Roman"/>
          <w:bCs/>
          <w:color w:val="auto"/>
          <w:sz w:val="32"/>
          <w:szCs w:val="32"/>
          <w:lang w:val="zh-CN" w:eastAsia="zh-CN"/>
        </w:rPr>
        <w:t>根据安保服务工作情况，</w:t>
      </w:r>
      <w:r>
        <w:rPr>
          <w:rFonts w:hint="default" w:ascii="Times New Roman" w:hAnsi="Times New Roman" w:eastAsia="仿宋_GB2312" w:cs="Times New Roman"/>
          <w:bCs/>
          <w:color w:val="auto"/>
          <w:sz w:val="32"/>
          <w:szCs w:val="32"/>
          <w:lang w:val="en-US" w:eastAsia="zh-CN"/>
        </w:rPr>
        <w:t>巡查做到了每日开展和安全隐患排查，一年来，项目运转良好，确保了档案馆基本运转、安全、稳定。</w:t>
      </w:r>
      <w:r>
        <w:rPr>
          <w:rFonts w:hint="default" w:ascii="Times New Roman" w:hAnsi="Times New Roman" w:eastAsia="仿宋_GB2312" w:cs="Times New Roman"/>
          <w:bCs/>
          <w:color w:val="auto"/>
          <w:sz w:val="32"/>
          <w:szCs w:val="32"/>
          <w:lang w:val="zh-CN"/>
        </w:rPr>
        <w:t>严格按照《中华人民共和国预算法</w:t>
      </w:r>
      <w:r>
        <w:rPr>
          <w:rFonts w:hint="eastAsia" w:eastAsia="仿宋_GB2312" w:cs="Times New Roman"/>
          <w:bCs/>
          <w:color w:val="auto"/>
          <w:sz w:val="32"/>
          <w:szCs w:val="32"/>
          <w:lang w:val="zh-CN"/>
        </w:rPr>
        <w:t>》《</w:t>
      </w:r>
      <w:r>
        <w:rPr>
          <w:rFonts w:hint="default" w:ascii="Times New Roman" w:hAnsi="Times New Roman" w:eastAsia="仿宋_GB2312" w:cs="Times New Roman"/>
          <w:bCs/>
          <w:color w:val="auto"/>
          <w:sz w:val="32"/>
          <w:szCs w:val="32"/>
          <w:lang w:val="zh-CN"/>
        </w:rPr>
        <w:t>中华人民共和国预算法实施条例》相关规定，按照县财政统一部署安排预算在及时推进支付进度的同时，加强资金管理，优化资源配置。</w:t>
      </w:r>
    </w:p>
    <w:p>
      <w:pPr>
        <w:numPr>
          <w:ilvl w:val="0"/>
          <w:numId w:val="0"/>
        </w:numPr>
        <w:adjustRightInd w:val="0"/>
        <w:snapToGrid w:val="0"/>
        <w:spacing w:line="600" w:lineRule="exact"/>
        <w:ind w:left="720" w:leftChars="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（三）项目监管情况。</w:t>
      </w:r>
    </w:p>
    <w:p>
      <w:pPr>
        <w:adjustRightInd w:val="0"/>
        <w:snapToGrid w:val="0"/>
        <w:spacing w:line="578" w:lineRule="exact"/>
        <w:ind w:firstLine="720"/>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Cs/>
          <w:color w:val="auto"/>
          <w:kern w:val="2"/>
          <w:sz w:val="32"/>
          <w:szCs w:val="32"/>
          <w:lang w:val="zh-CN" w:eastAsia="zh-CN" w:bidi="ar-SA"/>
        </w:rPr>
        <w:t>202</w:t>
      </w:r>
      <w:r>
        <w:rPr>
          <w:rFonts w:hint="default" w:ascii="Times New Roman" w:hAnsi="Times New Roman" w:eastAsia="仿宋_GB2312" w:cs="Times New Roman"/>
          <w:bCs/>
          <w:color w:val="auto"/>
          <w:kern w:val="2"/>
          <w:sz w:val="32"/>
          <w:szCs w:val="32"/>
          <w:lang w:val="en-US" w:eastAsia="zh-CN" w:bidi="ar-SA"/>
        </w:rPr>
        <w:t>4</w:t>
      </w:r>
      <w:r>
        <w:rPr>
          <w:rFonts w:hint="default" w:ascii="Times New Roman" w:hAnsi="Times New Roman" w:eastAsia="仿宋_GB2312" w:cs="Times New Roman"/>
          <w:bCs/>
          <w:color w:val="auto"/>
          <w:kern w:val="2"/>
          <w:sz w:val="32"/>
          <w:szCs w:val="32"/>
          <w:lang w:val="zh-CN" w:eastAsia="zh-CN" w:bidi="ar-SA"/>
        </w:rPr>
        <w:t>年度档案馆安保经费项目由经办人员根据预算绩效目标进行监管，按预算及劳务协议按时推进，及时进行绩效监控，掌握项目及资金支付进度。按照内部控制制度要求，严格预算业务管理，做到不相</w:t>
      </w:r>
      <w:r>
        <w:rPr>
          <w:rFonts w:hint="default" w:ascii="Times New Roman" w:hAnsi="Times New Roman" w:eastAsia="仿宋_GB2312" w:cs="Times New Roman"/>
          <w:b w:val="0"/>
          <w:bCs/>
          <w:color w:val="auto"/>
          <w:kern w:val="2"/>
          <w:sz w:val="32"/>
          <w:szCs w:val="32"/>
          <w:lang w:val="zh-CN" w:eastAsia="zh-CN" w:bidi="ar-SA"/>
        </w:rPr>
        <w:t>容岗</w:t>
      </w:r>
      <w:r>
        <w:rPr>
          <w:rFonts w:hint="default" w:ascii="Times New Roman" w:hAnsi="Times New Roman" w:eastAsia="仿宋_GB2312" w:cs="Times New Roman"/>
          <w:b w:val="0"/>
          <w:bCs/>
          <w:color w:val="auto"/>
          <w:sz w:val="32"/>
          <w:szCs w:val="32"/>
          <w:lang w:val="zh-CN" w:eastAsia="zh-CN"/>
        </w:rPr>
        <w:t>位及业务分离，不断提升中心内部管理能力和水平。</w:t>
      </w:r>
    </w:p>
    <w:p>
      <w:pPr>
        <w:pStyle w:val="2"/>
        <w:numPr>
          <w:ilvl w:val="0"/>
          <w:numId w:val="0"/>
        </w:numPr>
        <w:ind w:left="720" w:leftChars="0"/>
        <w:rPr>
          <w:rFonts w:hint="default" w:ascii="Times New Roman" w:hAnsi="Times New Roman" w:cs="Times New Roman"/>
          <w:color w:val="auto"/>
          <w:lang w:val="zh-CN"/>
        </w:rPr>
      </w:pP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四、项目绩效情况</w:t>
      </w:r>
      <w:r>
        <w:rPr>
          <w:rFonts w:hint="default" w:ascii="Times New Roman" w:hAnsi="Times New Roman" w:eastAsia="黑体" w:cs="Times New Roman"/>
          <w:color w:val="auto"/>
          <w:sz w:val="32"/>
          <w:szCs w:val="32"/>
          <w:lang w:val="zh-CN"/>
        </w:rPr>
        <w:tab/>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（一）项目完成情况。</w:t>
      </w:r>
    </w:p>
    <w:p>
      <w:pPr>
        <w:adjustRightInd w:val="0"/>
        <w:snapToGrid w:val="0"/>
        <w:spacing w:line="578" w:lineRule="exact"/>
        <w:ind w:firstLine="720"/>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color w:val="auto"/>
          <w:sz w:val="32"/>
          <w:szCs w:val="32"/>
          <w:lang w:val="zh-CN" w:eastAsia="zh-CN"/>
        </w:rPr>
        <w:t>档案馆持续实行24</w:t>
      </w:r>
      <w:r>
        <w:rPr>
          <w:rFonts w:hint="default" w:ascii="Times New Roman" w:hAnsi="Times New Roman" w:eastAsia="仿宋_GB2312" w:cs="Times New Roman"/>
          <w:bCs/>
          <w:color w:val="auto"/>
          <w:kern w:val="2"/>
          <w:sz w:val="32"/>
          <w:szCs w:val="32"/>
          <w:lang w:val="zh-CN" w:eastAsia="zh-CN" w:bidi="ar-SA"/>
        </w:rPr>
        <w:t>小时安保制度，保证了档案馆的安全运转和稳定，各项指标完成度高，完成率达100%。</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（二）项目效益情况。</w:t>
      </w:r>
    </w:p>
    <w:p>
      <w:pPr>
        <w:pStyle w:val="39"/>
        <w:spacing w:line="560" w:lineRule="exact"/>
        <w:ind w:firstLine="633" w:firstLineChars="198"/>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bCs/>
          <w:color w:val="auto"/>
          <w:kern w:val="2"/>
          <w:sz w:val="32"/>
          <w:szCs w:val="32"/>
          <w:lang w:val="zh-CN" w:eastAsia="zh-CN" w:bidi="ar-SA"/>
        </w:rPr>
        <w:t>确保档案馆馆内的绝对安全，维持档案馆正常运转，保障查档和参观人员秩序，不发生重大安全事故。</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五、评价结论及建议</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bdr w:val="single" w:color="auto" w:sz="4" w:space="0"/>
          <w:lang w:val="zh-CN"/>
        </w:rPr>
      </w:pPr>
      <w:r>
        <w:rPr>
          <w:rFonts w:hint="default" w:ascii="Times New Roman" w:hAnsi="Times New Roman" w:eastAsia="仿宋_GB2312" w:cs="Times New Roman"/>
          <w:bCs/>
          <w:color w:val="auto"/>
          <w:sz w:val="32"/>
          <w:szCs w:val="32"/>
          <w:lang w:val="zh-CN"/>
        </w:rPr>
        <w:t>申报的项目资金实施后均已实现了预定的绩效目标，同时预定目标设置合理，符合相关规定和要求。</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eastAsia="zh-CN"/>
        </w:rPr>
      </w:pPr>
      <w:r>
        <w:rPr>
          <w:rFonts w:hint="default" w:ascii="Times New Roman" w:hAnsi="Times New Roman" w:eastAsia="仿宋_GB2312" w:cs="Times New Roman"/>
          <w:bCs/>
          <w:color w:val="auto"/>
          <w:sz w:val="32"/>
          <w:szCs w:val="32"/>
          <w:lang w:val="zh-CN" w:eastAsia="zh-CN"/>
        </w:rPr>
        <w:t>财务人员业务知识熟练程度不够。</w:t>
      </w:r>
    </w:p>
    <w:p>
      <w:pPr>
        <w:adjustRightInd w:val="0"/>
        <w:snapToGrid w:val="0"/>
        <w:spacing w:line="600" w:lineRule="exact"/>
        <w:ind w:firstLine="640"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color w:val="auto"/>
          <w:sz w:val="32"/>
          <w:szCs w:val="32"/>
          <w:lang w:val="zh-CN"/>
        </w:rPr>
        <w:tab/>
      </w:r>
      <w:r>
        <w:rPr>
          <w:rFonts w:hint="default" w:ascii="Times New Roman" w:hAnsi="Times New Roman" w:eastAsia="仿宋_GB2312" w:cs="Times New Roman"/>
          <w:b/>
          <w:color w:val="auto"/>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rPr>
      </w:pPr>
      <w:r>
        <w:rPr>
          <w:rFonts w:hint="default" w:ascii="Times New Roman" w:hAnsi="Times New Roman" w:eastAsia="仿宋_GB2312" w:cs="Times New Roman"/>
          <w:bCs/>
          <w:color w:val="auto"/>
          <w:sz w:val="32"/>
          <w:szCs w:val="32"/>
          <w:lang w:val="zh-CN"/>
        </w:rPr>
        <w:t>1.加强预算管理，细化项目管理。在编制年度预算时，在进行调查研究的基础上，充分论证项目立项的必要性、经济性、绩效目标合理性、实施方案可行性，项目实施达到预期效果，发挥最大效益。认真细化方案，明确责任人，做好各项目支出绩效目标</w:t>
      </w:r>
      <w:r>
        <w:rPr>
          <w:rFonts w:hint="eastAsia" w:eastAsia="仿宋_GB2312" w:cs="Times New Roman"/>
          <w:bCs/>
          <w:color w:val="auto"/>
          <w:sz w:val="32"/>
          <w:szCs w:val="32"/>
          <w:lang w:val="zh-CN"/>
        </w:rPr>
        <w:t>执行</w:t>
      </w:r>
      <w:r>
        <w:rPr>
          <w:rFonts w:hint="default" w:ascii="Times New Roman" w:hAnsi="Times New Roman" w:eastAsia="仿宋_GB2312" w:cs="Times New Roman"/>
          <w:bCs/>
          <w:color w:val="auto"/>
          <w:sz w:val="32"/>
          <w:szCs w:val="32"/>
          <w:lang w:val="zh-CN"/>
        </w:rPr>
        <w:t>的控制管理，确保资金对应绩效目标执行，强化项目管理，确保项目按计划推进。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sz w:val="32"/>
          <w:szCs w:val="32"/>
          <w:lang w:val="zh-CN"/>
        </w:rPr>
        <w:t>2.严格人员管理，提高绩效目标管理水平。加强财务人员培训，熟练掌握预算编制和预算执行等各项政策，严格遵守各项财经纪律，不断提高业务能力，不断提高绩效目标管理水平。</w:t>
      </w:r>
    </w:p>
    <w:p>
      <w:pPr>
        <w:spacing w:line="578"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31"/>
          <w:rFonts w:hint="default" w:ascii="Times New Roman" w:hAnsi="Times New Roman" w:eastAsia="黑体" w:cs="Times New Roman"/>
          <w:b w:val="0"/>
        </w:rPr>
        <w:t>五部分 附表</w:t>
      </w:r>
      <w:bookmarkEnd w:id="45"/>
      <w:bookmarkEnd w:id="62"/>
      <w:bookmarkStart w:id="63" w:name="_Toc15396619"/>
    </w:p>
    <w:p>
      <w:pPr>
        <w:pStyle w:val="16"/>
        <w:adjustRightInd w:val="0"/>
        <w:snapToGrid w:val="0"/>
        <w:spacing w:line="560" w:lineRule="exact"/>
        <w:jc w:val="left"/>
        <w:rPr>
          <w:rFonts w:hint="default" w:ascii="Times New Roman" w:hAnsi="Times New Roman" w:eastAsia="仿宋_GB2312" w:cs="Times New Roman"/>
          <w:sz w:val="32"/>
          <w:szCs w:val="32"/>
        </w:rPr>
      </w:pPr>
    </w:p>
    <w:p>
      <w:pPr>
        <w:pStyle w:val="16"/>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63"/>
    </w:p>
    <w:p>
      <w:pPr>
        <w:pStyle w:val="16"/>
        <w:adjustRightInd w:val="0"/>
        <w:snapToGrid w:val="0"/>
        <w:spacing w:line="560" w:lineRule="exact"/>
        <w:jc w:val="left"/>
        <w:rPr>
          <w:rFonts w:hint="default" w:ascii="Times New Roman" w:hAnsi="Times New Roman" w:eastAsia="仿宋_GB2312" w:cs="Times New Roman"/>
          <w:sz w:val="32"/>
          <w:szCs w:val="32"/>
        </w:rPr>
      </w:pPr>
      <w:bookmarkStart w:id="64" w:name="_Toc15396620"/>
      <w:r>
        <w:rPr>
          <w:rFonts w:hint="default" w:ascii="Times New Roman" w:hAnsi="Times New Roman" w:eastAsia="仿宋_GB2312" w:cs="Times New Roman"/>
          <w:sz w:val="32"/>
          <w:szCs w:val="32"/>
        </w:rPr>
        <w:t>二、收入决算表</w:t>
      </w:r>
      <w:bookmarkEnd w:id="64"/>
    </w:p>
    <w:p>
      <w:pPr>
        <w:pStyle w:val="16"/>
        <w:adjustRightInd w:val="0"/>
        <w:snapToGrid w:val="0"/>
        <w:spacing w:line="560" w:lineRule="exact"/>
        <w:jc w:val="left"/>
        <w:rPr>
          <w:rFonts w:hint="default" w:ascii="Times New Roman" w:hAnsi="Times New Roman" w:eastAsia="仿宋_GB2312" w:cs="Times New Roman"/>
          <w:sz w:val="32"/>
          <w:szCs w:val="32"/>
        </w:rPr>
      </w:pPr>
      <w:bookmarkStart w:id="65" w:name="_Toc15396621"/>
      <w:r>
        <w:rPr>
          <w:rFonts w:hint="default" w:ascii="Times New Roman" w:hAnsi="Times New Roman" w:eastAsia="仿宋_GB2312" w:cs="Times New Roman"/>
          <w:sz w:val="32"/>
          <w:szCs w:val="32"/>
        </w:rPr>
        <w:t>三、支出决算表</w:t>
      </w:r>
      <w:bookmarkEnd w:id="65"/>
    </w:p>
    <w:p>
      <w:pPr>
        <w:pStyle w:val="16"/>
        <w:adjustRightInd w:val="0"/>
        <w:snapToGrid w:val="0"/>
        <w:spacing w:line="560" w:lineRule="exact"/>
        <w:jc w:val="left"/>
        <w:rPr>
          <w:rFonts w:hint="default" w:ascii="Times New Roman" w:hAnsi="Times New Roman" w:eastAsia="仿宋_GB2312" w:cs="Times New Roman"/>
          <w:sz w:val="32"/>
          <w:szCs w:val="32"/>
        </w:rPr>
      </w:pPr>
      <w:bookmarkStart w:id="66" w:name="_Toc15396622"/>
      <w:r>
        <w:rPr>
          <w:rFonts w:hint="default" w:ascii="Times New Roman" w:hAnsi="Times New Roman" w:eastAsia="仿宋_GB2312" w:cs="Times New Roman"/>
          <w:sz w:val="32"/>
          <w:szCs w:val="32"/>
        </w:rPr>
        <w:t>四、财政拨款收入支出决算总表</w:t>
      </w:r>
      <w:bookmarkEnd w:id="66"/>
    </w:p>
    <w:p>
      <w:pPr>
        <w:pStyle w:val="16"/>
        <w:adjustRightInd w:val="0"/>
        <w:snapToGrid w:val="0"/>
        <w:spacing w:line="560" w:lineRule="exact"/>
        <w:jc w:val="left"/>
        <w:rPr>
          <w:rFonts w:hint="default" w:ascii="Times New Roman" w:hAnsi="Times New Roman" w:eastAsia="仿宋_GB2312" w:cs="Times New Roman"/>
          <w:sz w:val="32"/>
          <w:szCs w:val="32"/>
        </w:rPr>
      </w:pPr>
      <w:bookmarkStart w:id="67" w:name="_Toc15396623"/>
      <w:r>
        <w:rPr>
          <w:rFonts w:hint="default" w:ascii="Times New Roman" w:hAnsi="Times New Roman" w:eastAsia="仿宋_GB2312" w:cs="Times New Roman"/>
          <w:sz w:val="32"/>
          <w:szCs w:val="32"/>
        </w:rPr>
        <w:t>五、财政拨款支出决算明细表</w:t>
      </w:r>
      <w:bookmarkEnd w:id="67"/>
      <w:bookmarkStart w:id="68" w:name="_Toc15396624"/>
    </w:p>
    <w:p>
      <w:pPr>
        <w:pStyle w:val="16"/>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68"/>
    </w:p>
    <w:p>
      <w:pPr>
        <w:pStyle w:val="16"/>
        <w:adjustRightInd w:val="0"/>
        <w:snapToGrid w:val="0"/>
        <w:spacing w:line="560" w:lineRule="exact"/>
        <w:jc w:val="left"/>
        <w:rPr>
          <w:rFonts w:hint="default" w:ascii="Times New Roman" w:hAnsi="Times New Roman" w:eastAsia="仿宋_GB2312" w:cs="Times New Roman"/>
          <w:sz w:val="32"/>
          <w:szCs w:val="32"/>
        </w:rPr>
      </w:pPr>
      <w:bookmarkStart w:id="69" w:name="_Toc15396625"/>
      <w:r>
        <w:rPr>
          <w:rFonts w:hint="default" w:ascii="Times New Roman" w:hAnsi="Times New Roman" w:eastAsia="仿宋_GB2312" w:cs="Times New Roman"/>
          <w:sz w:val="32"/>
          <w:szCs w:val="32"/>
        </w:rPr>
        <w:t>七、一般公共预算财政拨款支出决算明细表</w:t>
      </w:r>
      <w:bookmarkEnd w:id="69"/>
    </w:p>
    <w:p>
      <w:pPr>
        <w:pStyle w:val="16"/>
        <w:adjustRightInd w:val="0"/>
        <w:snapToGrid w:val="0"/>
        <w:spacing w:line="560" w:lineRule="exact"/>
        <w:jc w:val="left"/>
        <w:rPr>
          <w:rFonts w:hint="default" w:ascii="Times New Roman" w:hAnsi="Times New Roman" w:eastAsia="仿宋_GB2312" w:cs="Times New Roman"/>
          <w:sz w:val="32"/>
          <w:szCs w:val="32"/>
        </w:rPr>
      </w:pPr>
      <w:bookmarkStart w:id="70" w:name="_Toc15396626"/>
      <w:r>
        <w:rPr>
          <w:rFonts w:hint="default" w:ascii="Times New Roman" w:hAnsi="Times New Roman" w:eastAsia="仿宋_GB2312" w:cs="Times New Roman"/>
          <w:sz w:val="32"/>
          <w:szCs w:val="32"/>
        </w:rPr>
        <w:t>八、一般公共预算财政拨款基本支出决算表</w:t>
      </w:r>
      <w:bookmarkEnd w:id="70"/>
    </w:p>
    <w:p>
      <w:pPr>
        <w:pStyle w:val="16"/>
        <w:adjustRightInd w:val="0"/>
        <w:snapToGrid w:val="0"/>
        <w:spacing w:line="560" w:lineRule="exact"/>
        <w:jc w:val="left"/>
        <w:rPr>
          <w:rFonts w:hint="default" w:ascii="Times New Roman" w:hAnsi="Times New Roman" w:eastAsia="仿宋_GB2312" w:cs="Times New Roman"/>
          <w:sz w:val="32"/>
          <w:szCs w:val="32"/>
        </w:rPr>
      </w:pPr>
      <w:bookmarkStart w:id="71" w:name="_Toc15396627"/>
      <w:r>
        <w:rPr>
          <w:rFonts w:hint="default" w:ascii="Times New Roman" w:hAnsi="Times New Roman" w:eastAsia="仿宋_GB2312" w:cs="Times New Roman"/>
          <w:sz w:val="32"/>
          <w:szCs w:val="32"/>
        </w:rPr>
        <w:t>九、一般公共预算财政拨款项目支出决算表</w:t>
      </w:r>
      <w:bookmarkEnd w:id="71"/>
    </w:p>
    <w:p>
      <w:pPr>
        <w:pStyle w:val="16"/>
        <w:adjustRightInd w:val="0"/>
        <w:snapToGrid w:val="0"/>
        <w:spacing w:line="560" w:lineRule="exact"/>
        <w:jc w:val="left"/>
        <w:rPr>
          <w:rFonts w:hint="default" w:ascii="Times New Roman" w:hAnsi="Times New Roman" w:eastAsia="仿宋_GB2312" w:cs="Times New Roman"/>
          <w:sz w:val="32"/>
          <w:szCs w:val="32"/>
        </w:rPr>
      </w:pPr>
      <w:bookmarkStart w:id="72" w:name="_Toc15396628"/>
      <w:r>
        <w:rPr>
          <w:rFonts w:hint="default" w:ascii="Times New Roman" w:hAnsi="Times New Roman" w:eastAsia="仿宋_GB2312" w:cs="Times New Roman"/>
          <w:sz w:val="32"/>
          <w:szCs w:val="32"/>
        </w:rPr>
        <w:t>十、</w:t>
      </w:r>
      <w:bookmarkEnd w:id="72"/>
      <w:r>
        <w:rPr>
          <w:rFonts w:hint="default" w:ascii="Times New Roman" w:hAnsi="Times New Roman" w:eastAsia="仿宋_GB2312" w:cs="Times New Roman"/>
          <w:sz w:val="32"/>
          <w:szCs w:val="32"/>
        </w:rPr>
        <w:t>政府性基金预算财政拨款收入支出决算表</w:t>
      </w:r>
    </w:p>
    <w:p>
      <w:pPr>
        <w:pStyle w:val="16"/>
        <w:adjustRightInd w:val="0"/>
        <w:snapToGrid w:val="0"/>
        <w:spacing w:line="560" w:lineRule="exact"/>
        <w:jc w:val="left"/>
        <w:rPr>
          <w:rFonts w:hint="default" w:ascii="Times New Roman" w:hAnsi="Times New Roman" w:eastAsia="仿宋_GB2312" w:cs="Times New Roman"/>
          <w:sz w:val="32"/>
          <w:szCs w:val="32"/>
        </w:rPr>
      </w:pPr>
      <w:bookmarkStart w:id="73" w:name="_Toc15396629"/>
      <w:r>
        <w:rPr>
          <w:rFonts w:hint="default" w:ascii="Times New Roman" w:hAnsi="Times New Roman" w:eastAsia="仿宋_GB2312" w:cs="Times New Roman"/>
          <w:sz w:val="32"/>
          <w:szCs w:val="32"/>
        </w:rPr>
        <w:t>十一、</w:t>
      </w:r>
      <w:bookmarkEnd w:id="73"/>
      <w:r>
        <w:rPr>
          <w:rFonts w:hint="default" w:ascii="Times New Roman" w:hAnsi="Times New Roman" w:eastAsia="仿宋_GB2312" w:cs="Times New Roman"/>
          <w:sz w:val="32"/>
          <w:szCs w:val="32"/>
        </w:rPr>
        <w:t>国有资本经营预算财政拨款收入支出决算表</w:t>
      </w:r>
    </w:p>
    <w:p>
      <w:pPr>
        <w:pStyle w:val="16"/>
        <w:adjustRightInd w:val="0"/>
        <w:snapToGrid w:val="0"/>
        <w:spacing w:line="560" w:lineRule="exact"/>
        <w:jc w:val="left"/>
        <w:rPr>
          <w:rFonts w:hint="default" w:ascii="Times New Roman" w:hAnsi="Times New Roman" w:eastAsia="仿宋_GB2312" w:cs="Times New Roman"/>
          <w:sz w:val="32"/>
          <w:szCs w:val="32"/>
        </w:rPr>
      </w:pPr>
      <w:bookmarkStart w:id="74" w:name="_Toc15396630"/>
      <w:r>
        <w:rPr>
          <w:rFonts w:hint="default" w:ascii="Times New Roman" w:hAnsi="Times New Roman" w:eastAsia="仿宋_GB2312" w:cs="Times New Roman"/>
          <w:sz w:val="32"/>
          <w:szCs w:val="32"/>
        </w:rPr>
        <w:t>十二、</w:t>
      </w:r>
      <w:bookmarkEnd w:id="74"/>
      <w:r>
        <w:rPr>
          <w:rFonts w:hint="default" w:ascii="Times New Roman" w:hAnsi="Times New Roman" w:eastAsia="仿宋_GB2312" w:cs="Times New Roman"/>
          <w:sz w:val="32"/>
          <w:szCs w:val="32"/>
        </w:rPr>
        <w:t>国有资本经营预算财政拨款支出决算表</w:t>
      </w:r>
    </w:p>
    <w:p>
      <w:pPr>
        <w:pStyle w:val="16"/>
        <w:adjustRightInd w:val="0"/>
        <w:snapToGrid w:val="0"/>
        <w:spacing w:line="560" w:lineRule="exact"/>
        <w:jc w:val="left"/>
        <w:rPr>
          <w:rFonts w:hint="default" w:ascii="Times New Roman" w:hAnsi="Times New Roman" w:eastAsia="仿宋_GB2312" w:cs="Times New Roman"/>
          <w:sz w:val="32"/>
          <w:szCs w:val="32"/>
        </w:rPr>
      </w:pPr>
      <w:bookmarkStart w:id="75" w:name="_Toc15396631"/>
      <w:r>
        <w:rPr>
          <w:rFonts w:hint="default" w:ascii="Times New Roman" w:hAnsi="Times New Roman" w:eastAsia="仿宋_GB2312" w:cs="Times New Roman"/>
          <w:sz w:val="32"/>
          <w:szCs w:val="32"/>
        </w:rPr>
        <w:t>十三、</w:t>
      </w:r>
      <w:bookmarkEnd w:id="75"/>
      <w:r>
        <w:rPr>
          <w:rFonts w:hint="default" w:ascii="Times New Roman" w:hAnsi="Times New Roman" w:eastAsia="仿宋_GB2312" w:cs="Times New Roman"/>
          <w:sz w:val="32"/>
          <w:szCs w:val="32"/>
        </w:rPr>
        <w:t>财政拨款“三公”经费支出决算表</w:t>
      </w:r>
    </w:p>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0C47A"/>
    <w:multiLevelType w:val="singleLevel"/>
    <w:tmpl w:val="9790C47A"/>
    <w:lvl w:ilvl="0" w:tentative="0">
      <w:start w:val="1"/>
      <w:numFmt w:val="chineseCounting"/>
      <w:suff w:val="nothing"/>
      <w:lvlText w:val="（%1）"/>
      <w:lvlJc w:val="left"/>
      <w:rPr>
        <w:rFonts w:hint="eastAsia"/>
      </w:rPr>
    </w:lvl>
  </w:abstractNum>
  <w:abstractNum w:abstractNumId="1">
    <w:nsid w:val="EF035CE3"/>
    <w:multiLevelType w:val="singleLevel"/>
    <w:tmpl w:val="EF035CE3"/>
    <w:lvl w:ilvl="0" w:tentative="0">
      <w:start w:val="7"/>
      <w:numFmt w:val="chineseCounting"/>
      <w:suff w:val="nothing"/>
      <w:lvlText w:val="%1、"/>
      <w:lvlJc w:val="left"/>
      <w:rPr>
        <w:rFonts w:hint="eastAsia"/>
      </w:rPr>
    </w:lvl>
  </w:abstractNum>
  <w:abstractNum w:abstractNumId="2">
    <w:nsid w:val="01658779"/>
    <w:multiLevelType w:val="singleLevel"/>
    <w:tmpl w:val="01658779"/>
    <w:lvl w:ilvl="0" w:tentative="0">
      <w:start w:val="1"/>
      <w:numFmt w:val="chineseCounting"/>
      <w:suff w:val="nothing"/>
      <w:lvlText w:val="（%1）"/>
      <w:lvlJc w:val="left"/>
      <w:rPr>
        <w:rFonts w:hint="eastAsia"/>
      </w:rPr>
    </w:lvl>
  </w:abstractNum>
  <w:abstractNum w:abstractNumId="3">
    <w:nsid w:val="09D2269F"/>
    <w:multiLevelType w:val="singleLevel"/>
    <w:tmpl w:val="09D2269F"/>
    <w:lvl w:ilvl="0" w:tentative="0">
      <w:start w:val="1"/>
      <w:numFmt w:val="chineseCounting"/>
      <w:suff w:val="nothing"/>
      <w:lvlText w:val="（%1）"/>
      <w:lvlJc w:val="left"/>
      <w:rPr>
        <w:rFonts w:hint="eastAsia"/>
      </w:rPr>
    </w:lvl>
  </w:abstractNum>
  <w:abstractNum w:abstractNumId="4">
    <w:nsid w:val="1C53090D"/>
    <w:multiLevelType w:val="singleLevel"/>
    <w:tmpl w:val="1C53090D"/>
    <w:lvl w:ilvl="0" w:tentative="0">
      <w:start w:val="2"/>
      <w:numFmt w:val="chineseCounting"/>
      <w:suff w:val="nothing"/>
      <w:lvlText w:val="（%1）"/>
      <w:lvlJc w:val="left"/>
      <w:rPr>
        <w:rFonts w:hint="eastAsia"/>
      </w:rPr>
    </w:lvl>
  </w:abstractNum>
  <w:abstractNum w:abstractNumId="5">
    <w:nsid w:val="7094D5A3"/>
    <w:multiLevelType w:val="singleLevel"/>
    <w:tmpl w:val="7094D5A3"/>
    <w:lvl w:ilvl="0" w:tentative="0">
      <w:start w:val="2"/>
      <w:numFmt w:val="chineseCounting"/>
      <w:suff w:val="nothing"/>
      <w:lvlText w:val="（%1）"/>
      <w:lvlJc w:val="left"/>
      <w:rPr>
        <w:rFonts w:hint="eastAsia"/>
      </w:rPr>
    </w:lvl>
  </w:abstractNum>
  <w:abstractNum w:abstractNumId="6">
    <w:nsid w:val="72DCE9A8"/>
    <w:multiLevelType w:val="singleLevel"/>
    <w:tmpl w:val="72DCE9A8"/>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67C5F"/>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2702F7"/>
    <w:rsid w:val="0CA8290A"/>
    <w:rsid w:val="0D35B1ED"/>
    <w:rsid w:val="0E254B6B"/>
    <w:rsid w:val="0F98263C"/>
    <w:rsid w:val="101860EC"/>
    <w:rsid w:val="101F47CC"/>
    <w:rsid w:val="10C055FF"/>
    <w:rsid w:val="10DA2A27"/>
    <w:rsid w:val="11694EBD"/>
    <w:rsid w:val="11772AA4"/>
    <w:rsid w:val="118107EC"/>
    <w:rsid w:val="12C978DA"/>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596E71"/>
    <w:rsid w:val="1E740ACF"/>
    <w:rsid w:val="1E783253"/>
    <w:rsid w:val="1FF35744"/>
    <w:rsid w:val="1FF6BC77"/>
    <w:rsid w:val="2186353C"/>
    <w:rsid w:val="23860B96"/>
    <w:rsid w:val="240371BF"/>
    <w:rsid w:val="244F3473"/>
    <w:rsid w:val="24C97D99"/>
    <w:rsid w:val="25A718F0"/>
    <w:rsid w:val="25BB59F6"/>
    <w:rsid w:val="260F557C"/>
    <w:rsid w:val="26970054"/>
    <w:rsid w:val="27646DAE"/>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CB453B"/>
    <w:rsid w:val="3BF5BC2F"/>
    <w:rsid w:val="3CEBA265"/>
    <w:rsid w:val="3D3A2F0D"/>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58249F"/>
    <w:rsid w:val="4EAB630A"/>
    <w:rsid w:val="4ECE2238"/>
    <w:rsid w:val="4F833267"/>
    <w:rsid w:val="4FE9BD67"/>
    <w:rsid w:val="4FFB052F"/>
    <w:rsid w:val="537E6D0A"/>
    <w:rsid w:val="53DD28B2"/>
    <w:rsid w:val="53F74C96"/>
    <w:rsid w:val="54A86D6F"/>
    <w:rsid w:val="55170BA8"/>
    <w:rsid w:val="553218C9"/>
    <w:rsid w:val="567E1AA5"/>
    <w:rsid w:val="56E47B74"/>
    <w:rsid w:val="57175D52"/>
    <w:rsid w:val="57BD3DD4"/>
    <w:rsid w:val="5AC00D9E"/>
    <w:rsid w:val="5AF92295"/>
    <w:rsid w:val="5B250254"/>
    <w:rsid w:val="5BDD79E6"/>
    <w:rsid w:val="5BF561CA"/>
    <w:rsid w:val="5BFF5DFC"/>
    <w:rsid w:val="5CAA564F"/>
    <w:rsid w:val="5CD71FC4"/>
    <w:rsid w:val="5D1F11B5"/>
    <w:rsid w:val="5D695134"/>
    <w:rsid w:val="5DAE1B18"/>
    <w:rsid w:val="5DE7D9E5"/>
    <w:rsid w:val="5ECEC941"/>
    <w:rsid w:val="5FBF9FF3"/>
    <w:rsid w:val="5FCD4E2C"/>
    <w:rsid w:val="5FEF394A"/>
    <w:rsid w:val="5FF67715"/>
    <w:rsid w:val="62BF3928"/>
    <w:rsid w:val="63B3701E"/>
    <w:rsid w:val="63D2222A"/>
    <w:rsid w:val="647F5392"/>
    <w:rsid w:val="65E66580"/>
    <w:rsid w:val="664B1D71"/>
    <w:rsid w:val="664B4E8E"/>
    <w:rsid w:val="67277B67"/>
    <w:rsid w:val="67AA3209"/>
    <w:rsid w:val="698D0931"/>
    <w:rsid w:val="6A7FE5F3"/>
    <w:rsid w:val="6B053271"/>
    <w:rsid w:val="6B993763"/>
    <w:rsid w:val="6BB10909"/>
    <w:rsid w:val="6BDD78B3"/>
    <w:rsid w:val="6C4A05C8"/>
    <w:rsid w:val="6C8742B8"/>
    <w:rsid w:val="6D96653D"/>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4FC529D"/>
    <w:rsid w:val="75DEEEC2"/>
    <w:rsid w:val="75E32345"/>
    <w:rsid w:val="75ED6D9A"/>
    <w:rsid w:val="768B7FD8"/>
    <w:rsid w:val="76E3262B"/>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D26B92"/>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line="480" w:lineRule="auto"/>
      <w:ind w:firstLine="0" w:firstLineChars="0"/>
      <w:jc w:val="center"/>
      <w:outlineLvl w:val="3"/>
    </w:pPr>
    <w:rPr>
      <w:rFonts w:ascii="Arial" w:hAnsi="Arial"/>
      <w:b/>
      <w:sz w:val="3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7">
    <w:name w:val="Salutation"/>
    <w:basedOn w:val="1"/>
    <w:next w:val="1"/>
    <w:qFormat/>
    <w:uiPriority w:val="0"/>
  </w:style>
  <w:style w:type="paragraph" w:styleId="8">
    <w:name w:val="Body Text Indent"/>
    <w:basedOn w:val="1"/>
    <w:next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8"/>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0"/>
    <w:pPr>
      <w:spacing w:line="240" w:lineRule="atLeast"/>
      <w:jc w:val="center"/>
    </w:pPr>
    <w:rPr>
      <w:rFonts w:ascii="Cambria" w:hAnsi="Cambria"/>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_Style 1"/>
    <w:basedOn w:val="1"/>
    <w:qFormat/>
    <w:uiPriority w:val="0"/>
    <w:pPr>
      <w:ind w:firstLine="420" w:firstLineChars="200"/>
    </w:pPr>
    <w:rPr>
      <w:rFonts w:ascii="Times New Roman" w:hAnsi="Times New Roman"/>
      <w:szCs w:val="24"/>
    </w:rPr>
  </w:style>
  <w:style w:type="paragraph" w:styleId="3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XLSX 工作表.xlsx]Sheet1'!$E$6</c:f>
              <c:strCache>
                <c:ptCount val="1"/>
                <c:pt idx="0">
                  <c:v>收入</c:v>
                </c:pt>
              </c:strCache>
            </c:strRef>
          </c:tx>
          <c:spPr>
            <a:solidFill>
              <a:schemeClr val="accent1"/>
            </a:solidFill>
            <a:ln>
              <a:noFill/>
            </a:ln>
            <a:effectLst/>
          </c:spPr>
          <c:invertIfNegative val="0"/>
          <c:dLbls>
            <c:delete val="1"/>
          </c:dLbls>
          <c:cat>
            <c:numRef>
              <c:f>'[新建 XLSX 工作表.xlsx]Sheet1'!$F$5:$G$5</c:f>
              <c:numCache>
                <c:formatCode>General</c:formatCode>
                <c:ptCount val="2"/>
                <c:pt idx="0">
                  <c:v>2023</c:v>
                </c:pt>
                <c:pt idx="1">
                  <c:v>2024</c:v>
                </c:pt>
              </c:numCache>
            </c:numRef>
          </c:cat>
          <c:val>
            <c:numRef>
              <c:f>'[新建 XLSX 工作表.xlsx]Sheet1'!$F$6:$G$6</c:f>
              <c:numCache>
                <c:formatCode>General</c:formatCode>
                <c:ptCount val="2"/>
                <c:pt idx="0">
                  <c:v>259.88</c:v>
                </c:pt>
                <c:pt idx="1">
                  <c:v>270.02</c:v>
                </c:pt>
              </c:numCache>
            </c:numRef>
          </c:val>
        </c:ser>
        <c:ser>
          <c:idx val="1"/>
          <c:order val="1"/>
          <c:tx>
            <c:strRef>
              <c:f>'[新建 XLSX 工作表.xlsx]Sheet1'!$E$7</c:f>
              <c:strCache>
                <c:ptCount val="1"/>
                <c:pt idx="0">
                  <c:v>支出</c:v>
                </c:pt>
              </c:strCache>
            </c:strRef>
          </c:tx>
          <c:spPr>
            <a:solidFill>
              <a:schemeClr val="accent2"/>
            </a:solidFill>
            <a:ln>
              <a:noFill/>
            </a:ln>
            <a:effectLst/>
          </c:spPr>
          <c:invertIfNegative val="0"/>
          <c:dLbls>
            <c:delete val="1"/>
          </c:dLbls>
          <c:cat>
            <c:numRef>
              <c:f>'[新建 XLSX 工作表.xlsx]Sheet1'!$F$5:$G$5</c:f>
              <c:numCache>
                <c:formatCode>General</c:formatCode>
                <c:ptCount val="2"/>
                <c:pt idx="0">
                  <c:v>2023</c:v>
                </c:pt>
                <c:pt idx="1">
                  <c:v>2024</c:v>
                </c:pt>
              </c:numCache>
            </c:numRef>
          </c:cat>
          <c:val>
            <c:numRef>
              <c:f>'[新建 XLSX 工作表.xlsx]Sheet1'!$F$7:$G$7</c:f>
              <c:numCache>
                <c:formatCode>General</c:formatCode>
                <c:ptCount val="2"/>
                <c:pt idx="0">
                  <c:v>259.88</c:v>
                </c:pt>
                <c:pt idx="1">
                  <c:v>270.02</c:v>
                </c:pt>
              </c:numCache>
            </c:numRef>
          </c:val>
        </c:ser>
        <c:dLbls>
          <c:showLegendKey val="0"/>
          <c:showVal val="0"/>
          <c:showCatName val="0"/>
          <c:showSerName val="0"/>
          <c:showPercent val="0"/>
          <c:showBubbleSize val="0"/>
        </c:dLbls>
        <c:gapWidth val="219"/>
        <c:overlap val="-27"/>
        <c:axId val="709023097"/>
        <c:axId val="907869311"/>
      </c:barChart>
      <c:catAx>
        <c:axId val="7090230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7869311"/>
        <c:crosses val="autoZero"/>
        <c:auto val="1"/>
        <c:lblAlgn val="ctr"/>
        <c:lblOffset val="100"/>
        <c:noMultiLvlLbl val="0"/>
      </c:catAx>
      <c:valAx>
        <c:axId val="90786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02309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'[新建 XLSX 工作表.xlsx]Sheet1'!$E$5</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工作表.xlsx]Sheet1'!$F$4</c:f>
              <c:strCache>
                <c:ptCount val="1"/>
                <c:pt idx="0">
                  <c:v>一般公共预算财政拨款收入</c:v>
                </c:pt>
              </c:strCache>
            </c:strRef>
          </c:cat>
          <c:val>
            <c:numRef>
              <c:f>'[新建 XLSX 工作表.xlsx]Sheet1'!$F$5</c:f>
              <c:numCache>
                <c:formatCode>General</c:formatCode>
                <c:ptCount val="1"/>
                <c:pt idx="0">
                  <c:v>270.02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工作表.xlsx]Sheet1'!$E$5:$E$6</c:f>
              <c:strCache>
                <c:ptCount val="2"/>
                <c:pt idx="0">
                  <c:v>基本支出</c:v>
                </c:pt>
                <c:pt idx="1">
                  <c:v>项目支出</c:v>
                </c:pt>
              </c:strCache>
            </c:strRef>
          </c:cat>
          <c:val>
            <c:numRef>
              <c:f>'[新建 XLSX 工作表.xlsx]Sheet1'!$F$5:$F$6</c:f>
              <c:numCache>
                <c:formatCode>General</c:formatCode>
                <c:ptCount val="2"/>
                <c:pt idx="0">
                  <c:v>239.03</c:v>
                </c:pt>
                <c:pt idx="1">
                  <c:v>30.99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06111111111111"/>
          <c:y val="0.0243055555555556"/>
        </c:manualLayout>
      </c:layout>
      <c:overlay val="0"/>
      <c:spPr>
        <a:noFill/>
        <a:ln>
          <a:noFill/>
        </a:ln>
        <a:effectLst/>
      </c:spPr>
    </c:title>
    <c:autoTitleDeleted val="0"/>
    <c:plotArea>
      <c:layout/>
      <c:barChart>
        <c:barDir val="col"/>
        <c:grouping val="clustered"/>
        <c:varyColors val="0"/>
        <c:ser>
          <c:idx val="0"/>
          <c:order val="0"/>
          <c:tx>
            <c:strRef>
              <c:f>'[新建 XLSX 工作表.xlsx]Sheet1'!$E$5</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工作表.xlsx]Sheet1'!$F$4:$G$4</c:f>
              <c:strCache>
                <c:ptCount val="2"/>
                <c:pt idx="0">
                  <c:v>2023年</c:v>
                </c:pt>
                <c:pt idx="1">
                  <c:v>2024年</c:v>
                </c:pt>
              </c:strCache>
            </c:strRef>
          </c:cat>
          <c:val>
            <c:numRef>
              <c:f>'[新建 XLSX 工作表.xlsx]Sheet1'!$F$5:$G$5</c:f>
              <c:numCache>
                <c:formatCode>General</c:formatCode>
                <c:ptCount val="2"/>
                <c:pt idx="0">
                  <c:v>259.88</c:v>
                </c:pt>
                <c:pt idx="1">
                  <c:v>270.02</c:v>
                </c:pt>
              </c:numCache>
            </c:numRef>
          </c:val>
        </c:ser>
        <c:ser>
          <c:idx val="1"/>
          <c:order val="1"/>
          <c:tx>
            <c:strRef>
              <c:f>'[新建 XLSX 工作表.xlsx]Sheet1'!$E$6</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工作表.xlsx]Sheet1'!$F$4:$G$4</c:f>
              <c:strCache>
                <c:ptCount val="2"/>
                <c:pt idx="0">
                  <c:v>2023年</c:v>
                </c:pt>
                <c:pt idx="1">
                  <c:v>2024年</c:v>
                </c:pt>
              </c:strCache>
            </c:strRef>
          </c:cat>
          <c:val>
            <c:numRef>
              <c:f>'[新建 XLSX 工作表.xlsx]Sheet1'!$F$6:$G$6</c:f>
              <c:numCache>
                <c:formatCode>General</c:formatCode>
                <c:ptCount val="2"/>
                <c:pt idx="0">
                  <c:v>259.88</c:v>
                </c:pt>
                <c:pt idx="1">
                  <c:v>270.02</c:v>
                </c:pt>
              </c:numCache>
            </c:numRef>
          </c:val>
        </c:ser>
        <c:dLbls>
          <c:showLegendKey val="0"/>
          <c:showVal val="1"/>
          <c:showCatName val="0"/>
          <c:showSerName val="0"/>
          <c:showPercent val="0"/>
          <c:showBubbleSize val="0"/>
        </c:dLbls>
        <c:gapWidth val="219"/>
        <c:overlap val="-27"/>
        <c:axId val="842754974"/>
        <c:axId val="395357295"/>
      </c:barChart>
      <c:catAx>
        <c:axId val="8427549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5357295"/>
        <c:crosses val="autoZero"/>
        <c:auto val="1"/>
        <c:lblAlgn val="ctr"/>
        <c:lblOffset val="100"/>
        <c:noMultiLvlLbl val="0"/>
      </c:catAx>
      <c:valAx>
        <c:axId val="395357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27549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'[新建 XLSX 工作表.xlsx]Sheet1'!$F$4:$G$5</c:f>
              <c:multiLvlStrCache>
                <c:ptCount val="2"/>
                <c:lvl>
                  <c:pt idx="0">
                    <c:v>2023年</c:v>
                  </c:pt>
                  <c:pt idx="1">
                    <c:v>2024年</c:v>
                  </c:pt>
                </c:lvl>
                <c:lvl>
                  <c:pt idx="0">
                    <c:v>一般公共预算财政拨款支出</c:v>
                  </c:pt>
                </c:lvl>
              </c:multiLvlStrCache>
            </c:multiLvlStrRef>
          </c:cat>
          <c:val>
            <c:numRef>
              <c:f>'[新建 XLSX 工作表.xlsx]Sheet1'!$F$6:$G$6</c:f>
              <c:numCache>
                <c:formatCode>General</c:formatCode>
                <c:ptCount val="2"/>
                <c:pt idx="0">
                  <c:v>259.88</c:v>
                </c:pt>
                <c:pt idx="1">
                  <c:v>270.02</c:v>
                </c:pt>
              </c:numCache>
            </c:numRef>
          </c:val>
        </c:ser>
        <c:dLbls>
          <c:showLegendKey val="0"/>
          <c:showVal val="1"/>
          <c:showCatName val="0"/>
          <c:showSerName val="0"/>
          <c:showPercent val="0"/>
          <c:showBubbleSize val="0"/>
        </c:dLbls>
        <c:gapWidth val="219"/>
        <c:overlap val="-27"/>
        <c:axId val="453706507"/>
        <c:axId val="368996196"/>
      </c:barChart>
      <c:catAx>
        <c:axId val="4537065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996196"/>
        <c:crosses val="autoZero"/>
        <c:auto val="1"/>
        <c:lblAlgn val="ctr"/>
        <c:lblOffset val="100"/>
        <c:noMultiLvlLbl val="0"/>
      </c:catAx>
      <c:valAx>
        <c:axId val="3689961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7065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工作表.xlsx]Sheet1'!$E$10:$E$13</c:f>
              <c:strCache>
                <c:ptCount val="4"/>
                <c:pt idx="0">
                  <c:v>一般公共服务支出</c:v>
                </c:pt>
                <c:pt idx="1">
                  <c:v>社会保障和就业支出</c:v>
                </c:pt>
                <c:pt idx="2">
                  <c:v>卫生健康支出</c:v>
                </c:pt>
                <c:pt idx="3">
                  <c:v>住房保障支出</c:v>
                </c:pt>
              </c:strCache>
            </c:strRef>
          </c:cat>
          <c:val>
            <c:numRef>
              <c:f>'[新建 XLSX 工作表.xlsx]Sheet1'!$F$10:$F$13</c:f>
              <c:numCache>
                <c:formatCode>General</c:formatCode>
                <c:ptCount val="4"/>
                <c:pt idx="0">
                  <c:v>187.13</c:v>
                </c:pt>
                <c:pt idx="1">
                  <c:v>51.67</c:v>
                </c:pt>
                <c:pt idx="2">
                  <c:v>16.54</c:v>
                </c:pt>
                <c:pt idx="3">
                  <c:v>14.68</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12586</Words>
  <Characters>14478</Characters>
  <Lines>63</Lines>
  <Paragraphs>17</Paragraphs>
  <TotalTime>28</TotalTime>
  <ScaleCrop>false</ScaleCrop>
  <LinksUpToDate>false</LinksUpToDate>
  <CharactersWithSpaces>14520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2025-10-28T01:32:49Z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04787F2533EB45DC91BCDE4AB213247F</vt:lpwstr>
  </property>
  <property fmtid="{D5CDD505-2E9C-101B-9397-08002B2CF9AE}" pid="4" name="KSOTemplateDocerSaveRecord">
    <vt:lpwstr>eyJoZGlkIjoiZTcyNmQ5Y2FmY2QwMjM1YWQ4MzcyZGFkYTdlYjhhNzgiLCJ1c2VySWQiOiIyNTE4ODExNDEifQ==</vt:lpwstr>
  </property>
</Properties>
</file>