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473C2">
      <w:pPr>
        <w:pStyle w:val="5"/>
        <w:spacing w:before="93"/>
        <w:rPr>
          <w:rFonts w:hint="default" w:ascii="Times New Roman" w:hAnsi="Times New Roman" w:eastAsia="方正小标宋简体" w:cs="Times New Roman"/>
          <w:kern w:val="2"/>
          <w:sz w:val="72"/>
          <w:szCs w:val="72"/>
        </w:rPr>
      </w:pPr>
      <w:bookmarkStart w:id="0" w:name="_Toc15396597"/>
      <w:bookmarkStart w:id="1" w:name="_Toc15377425"/>
      <w:bookmarkStart w:id="2" w:name="_Toc15377193"/>
      <w:bookmarkStart w:id="3" w:name="_Toc15306267"/>
      <w:bookmarkStart w:id="4" w:name="_Toc15396475"/>
      <w:bookmarkStart w:id="5" w:name="_Toc15378441"/>
      <w:bookmarkStart w:id="66" w:name="_GoBack"/>
    </w:p>
    <w:p w14:paraId="3090DE5A">
      <w:pPr>
        <w:pStyle w:val="5"/>
        <w:spacing w:before="93"/>
        <w:rPr>
          <w:rFonts w:hint="default" w:ascii="Times New Roman" w:hAnsi="Times New Roman" w:eastAsia="方正小标宋简体" w:cs="Times New Roman"/>
          <w:kern w:val="2"/>
          <w:sz w:val="72"/>
          <w:szCs w:val="72"/>
        </w:rPr>
      </w:pPr>
    </w:p>
    <w:p w14:paraId="0EBFA49B">
      <w:pPr>
        <w:pStyle w:val="5"/>
        <w:spacing w:before="93"/>
        <w:rPr>
          <w:rFonts w:hint="default" w:ascii="Times New Roman" w:hAnsi="Times New Roman" w:eastAsia="方正小标宋简体" w:cs="Times New Roman"/>
          <w:kern w:val="2"/>
          <w:sz w:val="72"/>
          <w:szCs w:val="72"/>
        </w:rPr>
      </w:pPr>
    </w:p>
    <w:p w14:paraId="02E29519">
      <w:pPr>
        <w:pStyle w:val="5"/>
        <w:spacing w:before="93"/>
        <w:jc w:val="center"/>
        <w:rPr>
          <w:rFonts w:hint="default" w:ascii="Times New Roman" w:hAnsi="Times New Roman" w:eastAsia="方正小标宋简体" w:cs="Times New Roman"/>
          <w:kern w:val="2"/>
          <w:sz w:val="72"/>
          <w:szCs w:val="72"/>
          <w:lang w:val="en-US" w:eastAsia="zh-CN"/>
        </w:rPr>
      </w:pPr>
      <w:r>
        <w:rPr>
          <w:rFonts w:hint="default" w:ascii="Times New Roman" w:hAnsi="Times New Roman" w:eastAsia="方正小标宋简体" w:cs="Times New Roman"/>
          <w:kern w:val="2"/>
          <w:sz w:val="72"/>
          <w:szCs w:val="72"/>
          <w:lang w:val="en-US" w:eastAsia="zh-CN"/>
        </w:rPr>
        <w:t>2024年度</w:t>
      </w:r>
    </w:p>
    <w:p w14:paraId="1CE67ECB">
      <w:pPr>
        <w:pStyle w:val="5"/>
        <w:spacing w:before="93"/>
        <w:jc w:val="center"/>
        <w:rPr>
          <w:rFonts w:hint="default" w:ascii="Times New Roman" w:hAnsi="Times New Roman" w:eastAsia="方正小标宋简体" w:cs="Times New Roman"/>
          <w:kern w:val="2"/>
          <w:sz w:val="72"/>
          <w:szCs w:val="72"/>
          <w:lang w:val="en-US" w:eastAsia="zh-CN"/>
        </w:rPr>
      </w:pPr>
      <w:r>
        <w:rPr>
          <w:rFonts w:hint="default" w:ascii="Times New Roman" w:hAnsi="Times New Roman" w:eastAsia="方正小标宋简体" w:cs="Times New Roman"/>
          <w:kern w:val="2"/>
          <w:sz w:val="72"/>
          <w:szCs w:val="72"/>
          <w:lang w:val="en-US" w:eastAsia="zh-CN"/>
        </w:rPr>
        <w:t>中共盐边县委党校</w:t>
      </w:r>
    </w:p>
    <w:p w14:paraId="6F0EC009">
      <w:pPr>
        <w:pStyle w:val="5"/>
        <w:spacing w:before="93"/>
        <w:jc w:val="center"/>
        <w:rPr>
          <w:rFonts w:hint="default" w:ascii="Times New Roman" w:hAnsi="Times New Roman" w:eastAsia="方正小标宋简体" w:cs="Times New Roman"/>
          <w:kern w:val="2"/>
          <w:sz w:val="72"/>
          <w:szCs w:val="72"/>
          <w:lang w:val="en-US" w:eastAsia="zh-CN"/>
        </w:rPr>
      </w:pPr>
      <w:r>
        <w:rPr>
          <w:rFonts w:hint="default" w:ascii="Times New Roman" w:hAnsi="Times New Roman" w:eastAsia="方正小标宋简体" w:cs="Times New Roman"/>
          <w:kern w:val="2"/>
          <w:sz w:val="72"/>
          <w:szCs w:val="72"/>
          <w:lang w:val="en-US" w:eastAsia="zh-CN"/>
        </w:rPr>
        <w:t>部门决算</w:t>
      </w:r>
    </w:p>
    <w:p w14:paraId="3EAD6B8D">
      <w:pPr>
        <w:pStyle w:val="5"/>
        <w:spacing w:before="93"/>
        <w:jc w:val="center"/>
        <w:rPr>
          <w:rFonts w:hint="default" w:ascii="Times New Roman" w:hAnsi="Times New Roman" w:eastAsia="方正小标宋简体" w:cs="Times New Roman"/>
          <w:b/>
          <w:bCs/>
          <w:kern w:val="2"/>
          <w:sz w:val="44"/>
          <w:szCs w:val="44"/>
        </w:rPr>
      </w:pPr>
      <w:r>
        <w:rPr>
          <w:rFonts w:hint="default" w:ascii="Times New Roman" w:hAnsi="Times New Roman" w:eastAsia="方正小标宋简体" w:cs="Times New Roman"/>
          <w:kern w:val="2"/>
          <w:sz w:val="72"/>
          <w:szCs w:val="72"/>
          <w:lang w:val="en-US" w:eastAsia="zh-CN"/>
        </w:rPr>
        <w:t>公开编制说明</w:t>
      </w:r>
    </w:p>
    <w:p w14:paraId="00011CB4">
      <w:pPr>
        <w:pStyle w:val="5"/>
        <w:spacing w:before="93"/>
        <w:jc w:val="center"/>
        <w:rPr>
          <w:rFonts w:hint="default" w:ascii="Times New Roman" w:hAnsi="Times New Roman" w:eastAsia="方正小标宋简体" w:cs="Times New Roman"/>
          <w:kern w:val="2"/>
          <w:sz w:val="72"/>
          <w:szCs w:val="72"/>
        </w:rPr>
      </w:pPr>
    </w:p>
    <w:p w14:paraId="546F157A">
      <w:pPr>
        <w:spacing w:line="600" w:lineRule="exact"/>
        <w:jc w:val="center"/>
        <w:outlineLvl w:val="0"/>
        <w:rPr>
          <w:rFonts w:hint="default" w:ascii="Times New Roman" w:hAnsi="Times New Roman" w:eastAsia="方正小标宋简体" w:cs="Times New Roman"/>
          <w:sz w:val="72"/>
          <w:szCs w:val="72"/>
        </w:rPr>
      </w:pPr>
    </w:p>
    <w:p w14:paraId="141254CE">
      <w:pPr>
        <w:pStyle w:val="20"/>
        <w:rPr>
          <w:rFonts w:hint="default" w:ascii="Times New Roman" w:hAnsi="Times New Roman" w:cs="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bookmarkEnd w:id="66"/>
    <w:p w14:paraId="080C9EF9">
      <w:pPr>
        <w:rPr>
          <w:rFonts w:hint="default" w:ascii="Times New Roman" w:hAnsi="Times New Roman" w:cs="Times New Roman"/>
        </w:rPr>
      </w:pPr>
    </w:p>
    <w:bookmarkEnd w:id="0"/>
    <w:bookmarkEnd w:id="1"/>
    <w:bookmarkEnd w:id="2"/>
    <w:bookmarkEnd w:id="3"/>
    <w:bookmarkEnd w:id="4"/>
    <w:bookmarkEnd w:id="5"/>
    <w:p w14:paraId="3CB3089D">
      <w:pPr>
        <w:widowControl/>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目</w:t>
      </w:r>
      <w:r>
        <w:rPr>
          <w:rFonts w:hint="default" w:ascii="Times New Roman" w:hAnsi="Times New Roman" w:eastAsia="方正小标宋_GBK" w:cs="Times New Roman"/>
          <w:b/>
          <w:bCs/>
          <w:sz w:val="44"/>
          <w:szCs w:val="44"/>
          <w:lang w:val="en-US" w:eastAsia="zh-CN"/>
        </w:rPr>
        <w:t xml:space="preserve">    </w:t>
      </w:r>
      <w:r>
        <w:rPr>
          <w:rFonts w:hint="default" w:ascii="Times New Roman" w:hAnsi="Times New Roman" w:eastAsia="方正小标宋_GBK" w:cs="Times New Roman"/>
          <w:b/>
          <w:bCs/>
          <w:sz w:val="44"/>
          <w:szCs w:val="44"/>
        </w:rPr>
        <w:t>录</w:t>
      </w:r>
    </w:p>
    <w:p w14:paraId="5D54E8A9">
      <w:pPr>
        <w:widowControl/>
        <w:jc w:val="center"/>
        <w:rPr>
          <w:rFonts w:hint="default" w:ascii="Times New Roman" w:hAnsi="Times New Roman" w:eastAsia="黑体" w:cs="Times New Roman"/>
          <w:sz w:val="28"/>
          <w:szCs w:val="28"/>
        </w:rPr>
      </w:pPr>
    </w:p>
    <w:p w14:paraId="56A75D72">
      <w:pPr>
        <w:pStyle w:val="1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公开时间：2025年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日</w:t>
      </w:r>
    </w:p>
    <w:p w14:paraId="2CB7ED77">
      <w:pPr>
        <w:rPr>
          <w:rFonts w:hint="default" w:ascii="Times New Roman" w:hAnsi="Times New Roman" w:eastAsia="方正仿宋_GBK" w:cs="Times New Roman"/>
          <w:sz w:val="32"/>
          <w:szCs w:val="32"/>
        </w:rPr>
      </w:pPr>
    </w:p>
    <w:p w14:paraId="0F07F24E">
      <w:pPr>
        <w:pStyle w:val="12"/>
        <w:adjustRightInd w:val="0"/>
        <w:snapToGrid w:val="0"/>
        <w:spacing w:before="0"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第一部分 部门概况</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p>
    <w:p w14:paraId="56AF35D0">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一、部门职责</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p>
    <w:p w14:paraId="0657B977">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二、机构设置</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p>
    <w:p w14:paraId="1A061347">
      <w:pPr>
        <w:pStyle w:val="12"/>
        <w:adjustRightInd w:val="0"/>
        <w:snapToGrid w:val="0"/>
        <w:spacing w:before="0"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第二部分 2024年度部门决算情况说明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2</w:t>
      </w:r>
    </w:p>
    <w:p w14:paraId="3719E1BA">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一、收入支出决算总体情况说明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2</w:t>
      </w:r>
    </w:p>
    <w:p w14:paraId="32B91DE1">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二、收入决算情况说明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2</w:t>
      </w:r>
    </w:p>
    <w:p w14:paraId="72AA9FA4">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sz w:val="32"/>
          <w:szCs w:val="32"/>
        </w:rPr>
        <w:t>三、支出决算情况说明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3</w:t>
      </w:r>
    </w:p>
    <w:p w14:paraId="3BCB81D2">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四、财政拨款收入支出决算总体情况说明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4</w:t>
      </w:r>
    </w:p>
    <w:p w14:paraId="3DFFFE05">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五、一般公共预算财政拨款支出决算情况说明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4</w:t>
      </w:r>
    </w:p>
    <w:p w14:paraId="398F5D60">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六、一般公共预算财政拨款基本支出决算情况说明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7</w:t>
      </w:r>
    </w:p>
    <w:p w14:paraId="4589957C">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七、财政拨款“三公”经费支出决算情况说明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8</w:t>
      </w:r>
    </w:p>
    <w:p w14:paraId="576BAF69">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八、政府性基金预算支出决算情况说明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10</w:t>
      </w:r>
    </w:p>
    <w:p w14:paraId="199529B0">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九、国有资本经营预算支出决算情况说明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10</w:t>
      </w:r>
    </w:p>
    <w:p w14:paraId="31DD2D02">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十、其他重要事项的情况说明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11</w:t>
      </w:r>
    </w:p>
    <w:p w14:paraId="2CE7547F">
      <w:pPr>
        <w:pStyle w:val="12"/>
        <w:adjustRightInd w:val="0"/>
        <w:snapToGrid w:val="0"/>
        <w:spacing w:before="0" w:line="560" w:lineRule="exact"/>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sz w:val="32"/>
          <w:szCs w:val="32"/>
        </w:rPr>
        <w:t>第三部分 名词解释</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kern w:val="2"/>
          <w:sz w:val="32"/>
          <w:szCs w:val="32"/>
          <w:lang w:val="en-US" w:eastAsia="zh-CN" w:bidi="ar-SA"/>
        </w:rPr>
        <w:t>13</w:t>
      </w:r>
    </w:p>
    <w:p w14:paraId="639A21F1">
      <w:pPr>
        <w:pStyle w:val="12"/>
        <w:adjustRightInd w:val="0"/>
        <w:snapToGrid w:val="0"/>
        <w:spacing w:before="0"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第四部分 附件</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kern w:val="2"/>
          <w:sz w:val="32"/>
          <w:szCs w:val="32"/>
          <w:lang w:val="en-US" w:eastAsia="zh-CN" w:bidi="ar-SA"/>
        </w:rPr>
        <w:t>16</w:t>
      </w:r>
    </w:p>
    <w:p w14:paraId="5F067F7D">
      <w:pPr>
        <w:pStyle w:val="12"/>
        <w:adjustRightInd w:val="0"/>
        <w:snapToGrid w:val="0"/>
        <w:spacing w:before="0"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第五部分 附表</w:t>
      </w:r>
      <w:r>
        <w:rPr>
          <w:rFonts w:hint="default" w:ascii="Times New Roman" w:hAnsi="Times New Roman" w:eastAsia="方正仿宋_GBK" w:cs="Times New Roman"/>
          <w:sz w:val="32"/>
          <w:szCs w:val="32"/>
        </w:rPr>
        <w:ptab w:relativeTo="margin" w:alignment="right" w:leader="dot"/>
      </w:r>
      <w:r>
        <w:rPr>
          <w:rFonts w:hint="eastAsia" w:ascii="Times New Roman" w:hAnsi="Times New Roman" w:eastAsia="方正仿宋_GBK" w:cs="Times New Roman"/>
          <w:kern w:val="2"/>
          <w:sz w:val="32"/>
          <w:szCs w:val="32"/>
          <w:lang w:val="en-US" w:eastAsia="zh-CN" w:bidi="ar-SA"/>
        </w:rPr>
        <w:t>31</w:t>
      </w:r>
    </w:p>
    <w:p w14:paraId="7D8E4769">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一、收入支出决算总表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68D776C0">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二、收入决算表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002A18E1">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rPr>
        <w:sectPr>
          <w:footerReference r:id="rId7" w:type="first"/>
          <w:footerReference r:id="rId6" w:type="default"/>
          <w:pgSz w:w="11906" w:h="16838"/>
          <w:pgMar w:top="210" w:right="1800" w:bottom="1440" w:left="1800" w:header="851" w:footer="992" w:gutter="0"/>
          <w:pgNumType w:fmt="decimal" w:start="1"/>
          <w:cols w:space="425" w:num="1"/>
          <w:titlePg/>
          <w:docGrid w:type="lines" w:linePitch="312" w:charSpace="0"/>
        </w:sectPr>
      </w:pPr>
    </w:p>
    <w:p w14:paraId="0D3DA581">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三、支出决算表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2FDAF6AB">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四、财政拨款收入支出决算总表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1967864C">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五、财政拨款支出决算明细表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3E644B8A">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六、一般公共预算财政拨款支出决算表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4F9A3721">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七、一般公共预算财政拨款支出决算明细表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6579C314">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八、一般公共预算财政拨款基本支出决算明细表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59A2939C">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九、一般公共预算财政拨款项目支出决算表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27A3A4DE">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十、政府性基金预算财政拨款收入支出决算表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7E0A31F3">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十一、国有资本经营预算财政拨款收入支出决算表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04954E33">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十二、国有资本经营预算财政拨款支出决算表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1119F33B">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十三、财政拨款“三公”经费支出决算表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303D0D8F">
      <w:pPr>
        <w:pStyle w:val="2"/>
        <w:jc w:val="both"/>
        <w:rPr>
          <w:rFonts w:hint="default" w:ascii="Times New Roman" w:hAnsi="Times New Roman" w:eastAsia="方正仿宋_GBK" w:cs="Times New Roman"/>
          <w:b/>
          <w:bCs w:val="0"/>
          <w:sz w:val="32"/>
          <w:szCs w:val="32"/>
        </w:rPr>
        <w:sectPr>
          <w:footerReference r:id="rId9" w:type="first"/>
          <w:footerReference r:id="rId8" w:type="default"/>
          <w:pgSz w:w="11906" w:h="16838"/>
          <w:pgMar w:top="210" w:right="1800" w:bottom="1440" w:left="1800" w:header="851" w:footer="992" w:gutter="0"/>
          <w:pgNumType w:fmt="decimal" w:start="1"/>
          <w:cols w:space="425" w:num="1"/>
          <w:docGrid w:type="lines" w:linePitch="312" w:charSpace="0"/>
        </w:sectPr>
      </w:pPr>
      <w:bookmarkStart w:id="6" w:name="_Toc15396599"/>
      <w:bookmarkStart w:id="7" w:name="_Toc15377196"/>
    </w:p>
    <w:p w14:paraId="2943A8D5">
      <w:pPr>
        <w:pStyle w:val="2"/>
        <w:jc w:val="center"/>
        <w:rPr>
          <w:rFonts w:hint="default" w:ascii="Times New Roman" w:hAnsi="Times New Roman" w:eastAsia="方正小标宋_GBK" w:cs="Times New Roman"/>
          <w:b/>
          <w:bCs w:val="0"/>
        </w:rPr>
      </w:pPr>
      <w:r>
        <w:rPr>
          <w:rFonts w:hint="default" w:ascii="Times New Roman" w:hAnsi="Times New Roman" w:eastAsia="方正小标宋_GBK" w:cs="Times New Roman"/>
          <w:b/>
          <w:bCs w:val="0"/>
        </w:rPr>
        <w:t>第一部分  部门概况</w:t>
      </w:r>
      <w:bookmarkEnd w:id="6"/>
      <w:bookmarkEnd w:id="7"/>
    </w:p>
    <w:p w14:paraId="740534E2">
      <w:pPr>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rPr>
      </w:pPr>
    </w:p>
    <w:p w14:paraId="516FF99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firstLine="640" w:firstLineChars="200"/>
        <w:jc w:val="both"/>
        <w:textAlignment w:val="auto"/>
        <w:rPr>
          <w:rFonts w:hint="default" w:ascii="Times New Roman" w:hAnsi="Times New Roman" w:eastAsia="方正黑体_GBK" w:cs="Times New Roman"/>
          <w:b w:val="0"/>
          <w:sz w:val="32"/>
          <w:szCs w:val="32"/>
          <w:lang w:val="en-US" w:eastAsia="zh-CN"/>
        </w:rPr>
      </w:pPr>
      <w:r>
        <w:rPr>
          <w:rFonts w:hint="default" w:ascii="Times New Roman" w:hAnsi="Times New Roman" w:eastAsia="方正黑体_GBK" w:cs="Times New Roman"/>
          <w:b w:val="0"/>
          <w:sz w:val="32"/>
          <w:szCs w:val="32"/>
          <w:lang w:val="en-US" w:eastAsia="zh-CN"/>
        </w:rPr>
        <w:t>一、</w:t>
      </w:r>
      <w:r>
        <w:rPr>
          <w:rFonts w:hint="default" w:ascii="Times New Roman" w:hAnsi="Times New Roman" w:eastAsia="方正黑体_GBK" w:cs="Times New Roman"/>
          <w:b w:val="0"/>
          <w:sz w:val="32"/>
          <w:szCs w:val="32"/>
        </w:rPr>
        <w:t>部门职责</w:t>
      </w:r>
      <w:bookmarkStart w:id="8" w:name="_Toc15396601"/>
      <w:bookmarkStart w:id="9" w:name="_Toc15377200"/>
    </w:p>
    <w:p w14:paraId="63BB9CC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jc w:val="both"/>
        <w:textAlignment w:val="auto"/>
        <w:rPr>
          <w:rFonts w:hint="default" w:ascii="Times New Roman" w:hAnsi="Times New Roman" w:eastAsia="方正仿宋_GBK" w:cs="Times New Roman"/>
          <w:b w:val="0"/>
          <w:sz w:val="32"/>
          <w:szCs w:val="32"/>
          <w:lang w:val="en-US" w:eastAsia="zh-CN"/>
        </w:rPr>
      </w:pPr>
      <w:r>
        <w:rPr>
          <w:rFonts w:hint="default" w:ascii="Times New Roman" w:hAnsi="Times New Roman" w:eastAsia="方正仿宋_GBK" w:cs="Times New Roman"/>
          <w:b w:val="0"/>
          <w:bCs w:val="0"/>
          <w:color w:val="auto"/>
          <w:kern w:val="2"/>
          <w:sz w:val="32"/>
          <w:szCs w:val="32"/>
          <w:highlight w:val="none"/>
          <w:lang w:val="en-US" w:eastAsia="zh-CN" w:bidi="ar-SA"/>
        </w:rPr>
        <w:t>中共盐边县委党校属于参公事业单位，主要职能是培 训各级党员和干部；承办县委和县政府举办的专题研讨班； 围绕党的建设的重大课题和全县经济、社会、生态文明等 开展科学研究，推进理论创新；聚焦全县发展战略部署开 展咨政调研，作出决策咨政建议；根据县委及组织人事部 门的统一安排部署，举办多种形式的干部专题教育和培训，  提高干部素质能力；承担县委、县政府和市委党校交办的其</w:t>
      </w:r>
      <w:r>
        <w:rPr>
          <w:rFonts w:hint="default" w:ascii="Times New Roman" w:hAnsi="Times New Roman" w:eastAsia="方正仿宋_GBK" w:cs="Times New Roman"/>
          <w:b w:val="0"/>
          <w:sz w:val="32"/>
          <w:szCs w:val="32"/>
          <w:lang w:val="en-US" w:eastAsia="zh-CN"/>
        </w:rPr>
        <w:t>他任务。</w:t>
      </w:r>
    </w:p>
    <w:p w14:paraId="1945230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firstLine="640" w:firstLineChars="200"/>
        <w:jc w:val="both"/>
        <w:textAlignment w:val="auto"/>
        <w:rPr>
          <w:rFonts w:hint="default" w:ascii="Times New Roman" w:hAnsi="Times New Roman" w:eastAsia="方正仿宋_GBK" w:cs="Times New Roman"/>
          <w:b w:val="0"/>
          <w:sz w:val="32"/>
          <w:szCs w:val="32"/>
        </w:rPr>
      </w:pPr>
      <w:r>
        <w:rPr>
          <w:rFonts w:hint="default" w:ascii="Times New Roman" w:hAnsi="Times New Roman" w:eastAsia="方正黑体_GBK" w:cs="Times New Roman"/>
          <w:b w:val="0"/>
          <w:sz w:val="32"/>
          <w:szCs w:val="32"/>
          <w:lang w:val="en-US" w:eastAsia="zh-CN"/>
        </w:rPr>
        <w:t>二、机构设置</w:t>
      </w:r>
      <w:bookmarkEnd w:id="8"/>
      <w:bookmarkEnd w:id="9"/>
    </w:p>
    <w:p w14:paraId="4FDFF32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县委党校下属二级预算单位1个，其中行政单位0个，参照公务员法管理的事业单位0个，其他事业单位1个。</w:t>
      </w:r>
    </w:p>
    <w:p w14:paraId="7FF07E1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纳入中共盐边县委党校2024年度部门决算编制范围的二级预算单位包括：</w:t>
      </w:r>
      <w:bookmarkStart w:id="10" w:name="_Toc15306277"/>
      <w:bookmarkStart w:id="11" w:name="_Toc15378450"/>
      <w:bookmarkStart w:id="12" w:name="_Toc15377434"/>
      <w:bookmarkStart w:id="13" w:name="_Toc15377203"/>
      <w:r>
        <w:rPr>
          <w:rFonts w:hint="default" w:ascii="Times New Roman" w:hAnsi="Times New Roman" w:eastAsia="方正仿宋_GBK" w:cs="Times New Roman"/>
          <w:b w:val="0"/>
          <w:bCs w:val="0"/>
          <w:color w:val="auto"/>
          <w:kern w:val="2"/>
          <w:sz w:val="32"/>
          <w:szCs w:val="32"/>
          <w:highlight w:val="none"/>
          <w:lang w:val="en-US" w:eastAsia="zh-CN" w:bidi="ar-SA"/>
        </w:rPr>
        <w:t>盐边县乡村振兴学校</w:t>
      </w:r>
      <w:bookmarkEnd w:id="10"/>
      <w:bookmarkEnd w:id="11"/>
      <w:bookmarkEnd w:id="12"/>
      <w:bookmarkEnd w:id="13"/>
      <w:r>
        <w:rPr>
          <w:rFonts w:hint="default" w:ascii="Times New Roman" w:hAnsi="Times New Roman" w:eastAsia="方正仿宋_GBK" w:cs="Times New Roman"/>
          <w:b w:val="0"/>
          <w:bCs w:val="0"/>
          <w:color w:val="auto"/>
          <w:kern w:val="2"/>
          <w:sz w:val="32"/>
          <w:szCs w:val="32"/>
          <w:highlight w:val="none"/>
          <w:lang w:val="en-US" w:eastAsia="zh-CN" w:bidi="ar-SA"/>
        </w:rPr>
        <w:t>。</w:t>
      </w:r>
    </w:p>
    <w:p w14:paraId="6744CF9C">
      <w:pPr>
        <w:pageBreakBefore w:val="0"/>
        <w:kinsoku/>
        <w:wordWrap/>
        <w:overflowPunct/>
        <w:topLinePunct w:val="0"/>
        <w:autoSpaceDE/>
        <w:autoSpaceDN/>
        <w:bidi w:val="0"/>
        <w:adjustRightInd/>
        <w:snapToGrid/>
        <w:spacing w:line="240" w:lineRule="auto"/>
        <w:ind w:leftChars="0" w:firstLine="640" w:firstLineChars="200"/>
        <w:jc w:val="both"/>
        <w:textAlignment w:val="auto"/>
        <w:rPr>
          <w:rFonts w:hint="default" w:ascii="Times New Roman" w:hAnsi="Times New Roman" w:eastAsia="方正仿宋_GBK" w:cs="Times New Roman"/>
          <w:sz w:val="32"/>
          <w:szCs w:val="32"/>
        </w:rPr>
      </w:pPr>
    </w:p>
    <w:p w14:paraId="55C9F71D">
      <w:pPr>
        <w:pageBreakBefore w:val="0"/>
        <w:widowControl/>
        <w:kinsoku/>
        <w:wordWrap/>
        <w:overflowPunct/>
        <w:topLinePunct w:val="0"/>
        <w:autoSpaceDE/>
        <w:autoSpaceDN/>
        <w:bidi w:val="0"/>
        <w:adjustRightInd/>
        <w:snapToGrid/>
        <w:spacing w:line="240" w:lineRule="auto"/>
        <w:ind w:lef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br w:type="page"/>
      </w:r>
    </w:p>
    <w:p w14:paraId="29420C47">
      <w:pPr>
        <w:pStyle w:val="2"/>
        <w:jc w:val="center"/>
        <w:rPr>
          <w:rFonts w:hint="default" w:ascii="Times New Roman" w:hAnsi="Times New Roman" w:eastAsia="方正小标宋_GBK" w:cs="Times New Roman"/>
          <w:b/>
          <w:bCs w:val="0"/>
          <w:sz w:val="44"/>
          <w:szCs w:val="44"/>
        </w:rPr>
      </w:pPr>
      <w:bookmarkStart w:id="14" w:name="_Toc15396602"/>
      <w:bookmarkStart w:id="15" w:name="_Toc15377204"/>
      <w:r>
        <w:rPr>
          <w:rFonts w:hint="default" w:ascii="Times New Roman" w:hAnsi="Times New Roman" w:eastAsia="方正小标宋_GBK" w:cs="Times New Roman"/>
          <w:b/>
          <w:bCs w:val="0"/>
          <w:sz w:val="44"/>
          <w:szCs w:val="44"/>
        </w:rPr>
        <w:t>第二部分  2024年度部门决算情况说明</w:t>
      </w:r>
      <w:bookmarkEnd w:id="14"/>
      <w:bookmarkEnd w:id="15"/>
    </w:p>
    <w:p w14:paraId="7B24D783">
      <w:pPr>
        <w:rPr>
          <w:rFonts w:hint="default" w:ascii="Times New Roman" w:hAnsi="Times New Roman" w:eastAsia="方正仿宋_GBK" w:cs="Times New Roman"/>
          <w:sz w:val="32"/>
          <w:szCs w:val="32"/>
        </w:rPr>
      </w:pPr>
    </w:p>
    <w:p w14:paraId="29B6EB2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firstLine="640" w:firstLineChars="200"/>
        <w:jc w:val="both"/>
        <w:textAlignment w:val="auto"/>
        <w:rPr>
          <w:rStyle w:val="30"/>
          <w:rFonts w:hint="default" w:ascii="Times New Roman" w:hAnsi="Times New Roman" w:eastAsia="方正仿宋_GBK" w:cs="Times New Roman"/>
          <w:b w:val="0"/>
          <w:bCs/>
          <w:sz w:val="32"/>
          <w:szCs w:val="32"/>
        </w:rPr>
      </w:pPr>
      <w:bookmarkStart w:id="16" w:name="_Toc15396603"/>
      <w:bookmarkStart w:id="17" w:name="_Toc15377205"/>
      <w:r>
        <w:rPr>
          <w:rFonts w:hint="default" w:ascii="Times New Roman" w:hAnsi="Times New Roman" w:eastAsia="方正黑体_GBK" w:cs="Times New Roman"/>
          <w:b w:val="0"/>
          <w:sz w:val="32"/>
          <w:szCs w:val="32"/>
          <w:lang w:val="en-US" w:eastAsia="zh-CN"/>
        </w:rPr>
        <w:t>一、收入支出决算总体情况说明</w:t>
      </w:r>
      <w:bookmarkEnd w:id="16"/>
      <w:bookmarkEnd w:id="17"/>
    </w:p>
    <w:p w14:paraId="34A94945">
      <w:pPr>
        <w:pStyle w:val="28"/>
        <w:spacing w:line="600" w:lineRule="exact"/>
        <w:ind w:firstLine="640"/>
        <w:outlineLvl w:val="1"/>
        <w:rPr>
          <w:rFonts w:hint="default" w:ascii="Times New Roman" w:hAnsi="Times New Roman" w:eastAsia="方正仿宋_GBK" w:cs="Times New Roman"/>
          <w:color w:val="auto"/>
          <w:sz w:val="32"/>
          <w:szCs w:val="32"/>
          <w:highlight w:val="none"/>
          <w:lang w:val="en-US" w:eastAsia="zh-CN"/>
        </w:rPr>
      </w:pPr>
      <w:bookmarkStart w:id="18" w:name="_Toc15377206"/>
      <w:bookmarkStart w:id="19" w:name="_Toc15396604"/>
      <w:r>
        <w:rPr>
          <w:rFonts w:hint="default" w:ascii="Times New Roman" w:hAnsi="Times New Roman" w:eastAsia="方正仿宋_GBK" w:cs="Times New Roman"/>
          <w:color w:val="auto"/>
          <w:sz w:val="32"/>
          <w:szCs w:val="32"/>
          <w:highlight w:val="none"/>
          <w:lang w:val="en-US" w:eastAsia="zh-CN"/>
        </w:rPr>
        <w:t>2024年度收入、支出总计均为763.44万元。与2023年度相比，收入、支出总计各增加161.81万元，增长26.89%。主要变动原因是财政拨款收入中人员经费和日常公用经费，项目中的现场教学点经费、培训费增加。</w:t>
      </w:r>
    </w:p>
    <w:p w14:paraId="63B992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t>（图1：</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决算总计变动情况图）</w:t>
      </w:r>
      <w:r>
        <w:rPr>
          <w:rFonts w:hint="default" w:ascii="Times New Roman" w:hAnsi="Times New Roman" w:eastAsia="方正仿宋_GBK" w:cs="Times New Roman"/>
          <w:sz w:val="32"/>
          <w:szCs w:val="32"/>
        </w:rPr>
        <w:drawing>
          <wp:anchor distT="0" distB="0" distL="114300" distR="114300" simplePos="0" relativeHeight="251659264" behindDoc="1" locked="0" layoutInCell="1" allowOverlap="1">
            <wp:simplePos x="0" y="0"/>
            <wp:positionH relativeFrom="column">
              <wp:posOffset>588645</wp:posOffset>
            </wp:positionH>
            <wp:positionV relativeFrom="paragraph">
              <wp:posOffset>337185</wp:posOffset>
            </wp:positionV>
            <wp:extent cx="4525645" cy="3313430"/>
            <wp:effectExtent l="4445" t="5080" r="22860" b="15240"/>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1EB7A7E">
      <w:pPr>
        <w:pStyle w:val="28"/>
        <w:spacing w:line="600" w:lineRule="exact"/>
        <w:ind w:firstLine="640"/>
        <w:outlineLvl w:val="1"/>
        <w:rPr>
          <w:rFonts w:hint="default" w:ascii="Times New Roman" w:hAnsi="Times New Roman" w:eastAsia="方正仿宋_GBK" w:cs="Times New Roman"/>
          <w:sz w:val="32"/>
          <w:szCs w:val="32"/>
        </w:rPr>
      </w:pPr>
    </w:p>
    <w:p w14:paraId="53D9F7B6">
      <w:pPr>
        <w:pStyle w:val="28"/>
        <w:spacing w:line="600" w:lineRule="exact"/>
        <w:ind w:firstLine="640"/>
        <w:outlineLvl w:val="1"/>
        <w:rPr>
          <w:rFonts w:hint="default" w:ascii="Times New Roman" w:hAnsi="Times New Roman" w:eastAsia="方正仿宋_GBK" w:cs="Times New Roman"/>
          <w:sz w:val="32"/>
          <w:szCs w:val="32"/>
        </w:rPr>
      </w:pPr>
    </w:p>
    <w:p w14:paraId="509BF96E">
      <w:pPr>
        <w:pStyle w:val="28"/>
        <w:spacing w:line="600" w:lineRule="exact"/>
        <w:ind w:firstLine="640"/>
        <w:outlineLvl w:val="1"/>
        <w:rPr>
          <w:rFonts w:hint="default" w:ascii="Times New Roman" w:hAnsi="Times New Roman" w:eastAsia="方正仿宋_GBK" w:cs="Times New Roman"/>
          <w:sz w:val="32"/>
          <w:szCs w:val="32"/>
        </w:rPr>
      </w:pPr>
    </w:p>
    <w:p w14:paraId="3750446A">
      <w:pPr>
        <w:pStyle w:val="28"/>
        <w:spacing w:line="600" w:lineRule="exact"/>
        <w:ind w:firstLine="640"/>
        <w:outlineLvl w:val="1"/>
        <w:rPr>
          <w:rFonts w:hint="default" w:ascii="Times New Roman" w:hAnsi="Times New Roman" w:eastAsia="方正仿宋_GBK" w:cs="Times New Roman"/>
          <w:sz w:val="32"/>
          <w:szCs w:val="32"/>
        </w:rPr>
      </w:pPr>
    </w:p>
    <w:p w14:paraId="5F902138">
      <w:pPr>
        <w:pStyle w:val="28"/>
        <w:spacing w:line="600" w:lineRule="exact"/>
        <w:ind w:firstLine="640"/>
        <w:outlineLvl w:val="1"/>
        <w:rPr>
          <w:rFonts w:hint="default" w:ascii="Times New Roman" w:hAnsi="Times New Roman" w:eastAsia="方正仿宋_GBK" w:cs="Times New Roman"/>
          <w:sz w:val="32"/>
          <w:szCs w:val="32"/>
        </w:rPr>
      </w:pPr>
    </w:p>
    <w:p w14:paraId="010C2D8F">
      <w:pPr>
        <w:pStyle w:val="28"/>
        <w:spacing w:line="600" w:lineRule="exact"/>
        <w:ind w:firstLine="640"/>
        <w:outlineLvl w:val="1"/>
        <w:rPr>
          <w:rFonts w:hint="default" w:ascii="Times New Roman" w:hAnsi="Times New Roman" w:eastAsia="方正仿宋_GBK" w:cs="Times New Roman"/>
          <w:sz w:val="32"/>
          <w:szCs w:val="32"/>
        </w:rPr>
      </w:pPr>
    </w:p>
    <w:p w14:paraId="2ED991FE">
      <w:pPr>
        <w:pStyle w:val="28"/>
        <w:spacing w:line="600" w:lineRule="exact"/>
        <w:ind w:firstLine="640"/>
        <w:outlineLvl w:val="1"/>
        <w:rPr>
          <w:rFonts w:hint="default" w:ascii="Times New Roman" w:hAnsi="Times New Roman" w:eastAsia="方正仿宋_GBK" w:cs="Times New Roman"/>
          <w:sz w:val="32"/>
          <w:szCs w:val="32"/>
        </w:rPr>
      </w:pPr>
    </w:p>
    <w:p w14:paraId="6D4B6920">
      <w:pPr>
        <w:pStyle w:val="28"/>
        <w:spacing w:line="600" w:lineRule="exact"/>
        <w:ind w:firstLine="640"/>
        <w:outlineLvl w:val="1"/>
        <w:rPr>
          <w:rFonts w:hint="default" w:ascii="Times New Roman" w:hAnsi="Times New Roman" w:eastAsia="方正仿宋_GBK" w:cs="Times New Roman"/>
          <w:sz w:val="32"/>
          <w:szCs w:val="32"/>
        </w:rPr>
      </w:pPr>
    </w:p>
    <w:p w14:paraId="3C080742">
      <w:pPr>
        <w:pStyle w:val="28"/>
        <w:spacing w:line="600" w:lineRule="exact"/>
        <w:ind w:firstLine="640"/>
        <w:outlineLvl w:val="1"/>
        <w:rPr>
          <w:rFonts w:hint="default" w:ascii="Times New Roman" w:hAnsi="Times New Roman" w:eastAsia="方正仿宋_GBK" w:cs="Times New Roman"/>
          <w:sz w:val="32"/>
          <w:szCs w:val="32"/>
        </w:rPr>
      </w:pPr>
    </w:p>
    <w:p w14:paraId="0142E86B">
      <w:pPr>
        <w:pStyle w:val="28"/>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r>
        <w:rPr>
          <w:rFonts w:hint="default" w:ascii="Times New Roman" w:hAnsi="Times New Roman" w:eastAsia="方正黑体_GBK" w:cs="Times New Roman"/>
          <w:b w:val="0"/>
          <w:bCs/>
          <w:kern w:val="2"/>
          <w:sz w:val="32"/>
          <w:szCs w:val="32"/>
          <w:lang w:val="en-US" w:eastAsia="zh-CN" w:bidi="ar-SA"/>
        </w:rPr>
        <w:t>二、收入决算情况说明</w:t>
      </w:r>
      <w:bookmarkEnd w:id="18"/>
      <w:bookmarkEnd w:id="19"/>
    </w:p>
    <w:p w14:paraId="594EE67E">
      <w:pPr>
        <w:pStyle w:val="28"/>
        <w:spacing w:line="600" w:lineRule="exact"/>
        <w:ind w:firstLine="640"/>
        <w:outlineLvl w:val="1"/>
        <w:rPr>
          <w:rFonts w:hint="default" w:ascii="Times New Roman" w:hAnsi="Times New Roman" w:eastAsia="方正仿宋_GBK" w:cs="Times New Roman"/>
          <w:color w:val="auto"/>
          <w:sz w:val="32"/>
          <w:szCs w:val="32"/>
          <w:highlight w:val="none"/>
          <w:lang w:eastAsia="zh-CN"/>
        </w:rPr>
      </w:pPr>
      <w:bookmarkStart w:id="20" w:name="_Toc15396605"/>
      <w:bookmarkStart w:id="21" w:name="_Toc15377207"/>
      <w:r>
        <w:rPr>
          <w:rFonts w:hint="default" w:ascii="Times New Roman" w:hAnsi="Times New Roman" w:eastAsia="方正仿宋_GBK" w:cs="Times New Roman"/>
          <w:color w:val="auto"/>
          <w:sz w:val="32"/>
          <w:szCs w:val="32"/>
          <w:highlight w:val="none"/>
          <w:lang w:eastAsia="zh-CN"/>
        </w:rPr>
        <w:t>2024年度本年收入合计763.44万元，其中：一般公共预算财政拨款收入763.44万元，占100%；</w:t>
      </w:r>
    </w:p>
    <w:p w14:paraId="5B05BB42">
      <w:pPr>
        <w:pStyle w:val="28"/>
        <w:spacing w:line="600" w:lineRule="exact"/>
        <w:ind w:firstLine="640"/>
        <w:outlineLvl w:val="1"/>
        <w:rPr>
          <w:rFonts w:hint="default" w:ascii="Times New Roman" w:hAnsi="Times New Roman" w:eastAsia="方正仿宋_GBK" w:cs="Times New Roman"/>
          <w:color w:val="auto"/>
          <w:sz w:val="32"/>
          <w:szCs w:val="32"/>
          <w:highlight w:val="none"/>
          <w:lang w:eastAsia="zh-CN"/>
        </w:rPr>
      </w:pPr>
    </w:p>
    <w:p w14:paraId="3CF82A1F">
      <w:pPr>
        <w:pStyle w:val="28"/>
        <w:spacing w:line="600" w:lineRule="exact"/>
        <w:ind w:firstLine="640"/>
        <w:outlineLvl w:val="1"/>
        <w:rPr>
          <w:rFonts w:hint="default" w:ascii="Times New Roman" w:hAnsi="Times New Roman" w:eastAsia="方正仿宋_GBK" w:cs="Times New Roman"/>
          <w:color w:val="auto"/>
          <w:sz w:val="32"/>
          <w:szCs w:val="32"/>
          <w:highlight w:val="none"/>
          <w:lang w:eastAsia="zh-CN"/>
        </w:rPr>
      </w:pPr>
    </w:p>
    <w:p w14:paraId="5C2CB238">
      <w:pPr>
        <w:rPr>
          <w:rFonts w:hint="default" w:ascii="Times New Roman" w:hAnsi="Times New Roman" w:eastAsia="方正仿宋_GBK" w:cs="Times New Roman"/>
          <w:color w:val="auto"/>
          <w:sz w:val="32"/>
          <w:szCs w:val="32"/>
          <w:highlight w:val="none"/>
          <w:lang w:eastAsia="zh-CN"/>
        </w:rPr>
      </w:pPr>
    </w:p>
    <w:p w14:paraId="7655A92E">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lang w:eastAsia="zh-CN"/>
        </w:rPr>
        <w:t>（图2：收入决算结构图）</w:t>
      </w:r>
    </w:p>
    <w:p w14:paraId="34AE7D8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anchor distT="0" distB="0" distL="114300" distR="114300" simplePos="0" relativeHeight="251660288" behindDoc="1" locked="0" layoutInCell="1" allowOverlap="1">
            <wp:simplePos x="0" y="0"/>
            <wp:positionH relativeFrom="column">
              <wp:posOffset>802640</wp:posOffset>
            </wp:positionH>
            <wp:positionV relativeFrom="paragraph">
              <wp:posOffset>111760</wp:posOffset>
            </wp:positionV>
            <wp:extent cx="3818255" cy="2546350"/>
            <wp:effectExtent l="4445" t="4445" r="6350" b="20955"/>
            <wp:wrapNone/>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9859FD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p>
    <w:p w14:paraId="4E07C0A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p>
    <w:p w14:paraId="6BEDD19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p>
    <w:p w14:paraId="17237BD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p>
    <w:p w14:paraId="69E4A98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p>
    <w:p w14:paraId="7CEBA56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default" w:ascii="Times New Roman" w:hAnsi="Times New Roman" w:eastAsia="方正仿宋_GBK" w:cs="Times New Roman"/>
          <w:color w:val="auto"/>
          <w:sz w:val="32"/>
          <w:szCs w:val="32"/>
          <w:highlight w:val="none"/>
          <w:lang w:eastAsia="zh-CN"/>
        </w:rPr>
      </w:pPr>
    </w:p>
    <w:p w14:paraId="69ABE975">
      <w:pPr>
        <w:pStyle w:val="28"/>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r>
        <w:rPr>
          <w:rFonts w:hint="default" w:ascii="Times New Roman" w:hAnsi="Times New Roman" w:eastAsia="方正黑体_GBK" w:cs="Times New Roman"/>
          <w:b w:val="0"/>
          <w:bCs/>
          <w:kern w:val="2"/>
          <w:sz w:val="32"/>
          <w:szCs w:val="32"/>
          <w:lang w:val="en-US" w:eastAsia="zh-CN" w:bidi="ar-SA"/>
        </w:rPr>
        <w:t>三、支出决算情况说明</w:t>
      </w:r>
      <w:bookmarkEnd w:id="20"/>
      <w:bookmarkEnd w:id="21"/>
    </w:p>
    <w:p w14:paraId="0CDCB80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2024年度本年支出合计763.44万元，其中：基本支出326.33万元，占42.74%；项目支出437.11万元，占57.2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eastAsia="zh-CN"/>
        </w:rPr>
        <w:t>%。</w:t>
      </w:r>
    </w:p>
    <w:p w14:paraId="166ADFEA">
      <w:pPr>
        <w:ind w:firstLine="2400" w:firstLineChars="750"/>
        <w:jc w:val="both"/>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（图3：支出决算结构图）</w:t>
      </w:r>
    </w:p>
    <w:p w14:paraId="594AE0F2">
      <w:pPr>
        <w:ind w:firstLine="800" w:firstLineChars="2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inline distT="0" distB="0" distL="114300" distR="114300">
            <wp:extent cx="4770120" cy="3642995"/>
            <wp:effectExtent l="4445" t="4445" r="6985" b="1016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BDF334">
      <w:pPr>
        <w:spacing w:line="600" w:lineRule="exact"/>
        <w:ind w:firstLine="640" w:firstLineChars="200"/>
        <w:outlineLvl w:val="1"/>
        <w:rPr>
          <w:rStyle w:val="30"/>
          <w:rFonts w:hint="default" w:ascii="Times New Roman" w:hAnsi="Times New Roman" w:eastAsia="方正仿宋_GBK" w:cs="Times New Roman"/>
          <w:b w:val="0"/>
          <w:sz w:val="32"/>
          <w:szCs w:val="32"/>
        </w:rPr>
      </w:pPr>
      <w:bookmarkStart w:id="22" w:name="_Toc15377208"/>
      <w:bookmarkStart w:id="23" w:name="_Toc15396606"/>
      <w:r>
        <w:rPr>
          <w:rFonts w:hint="default" w:ascii="Times New Roman" w:hAnsi="Times New Roman" w:eastAsia="方正黑体_GBK" w:cs="Times New Roman"/>
          <w:sz w:val="32"/>
          <w:szCs w:val="32"/>
        </w:rPr>
        <w:t>四、财</w:t>
      </w:r>
      <w:r>
        <w:rPr>
          <w:rStyle w:val="30"/>
          <w:rFonts w:hint="default" w:ascii="Times New Roman" w:hAnsi="Times New Roman" w:eastAsia="方正黑体_GBK" w:cs="Times New Roman"/>
          <w:b w:val="0"/>
          <w:sz w:val="32"/>
          <w:szCs w:val="32"/>
        </w:rPr>
        <w:t>政拨款收入支出决算总体情况说明</w:t>
      </w:r>
      <w:bookmarkEnd w:id="22"/>
      <w:bookmarkEnd w:id="23"/>
    </w:p>
    <w:p w14:paraId="54023355">
      <w:pPr>
        <w:pStyle w:val="28"/>
        <w:spacing w:line="600" w:lineRule="exact"/>
        <w:ind w:firstLine="640"/>
        <w:outlineLvl w:val="1"/>
        <w:rPr>
          <w:rFonts w:hint="default" w:ascii="Times New Roman" w:hAnsi="Times New Roman" w:eastAsia="方正仿宋_GBK" w:cs="Times New Roman"/>
          <w:color w:val="auto"/>
          <w:sz w:val="32"/>
          <w:szCs w:val="32"/>
          <w:highlight w:val="none"/>
          <w:lang w:val="en-US" w:eastAsia="zh-CN"/>
        </w:rPr>
      </w:pPr>
      <w:bookmarkStart w:id="24" w:name="_Toc15377209"/>
      <w:bookmarkStart w:id="25" w:name="_Toc15396607"/>
      <w:r>
        <w:rPr>
          <w:rFonts w:hint="default" w:ascii="Times New Roman" w:hAnsi="Times New Roman" w:eastAsia="方正仿宋_GBK" w:cs="Times New Roman"/>
          <w:sz w:val="32"/>
          <w:szCs w:val="32"/>
        </w:rPr>
        <w:t>2</w:t>
      </w:r>
      <w:r>
        <w:rPr>
          <w:rFonts w:hint="default" w:ascii="Times New Roman" w:hAnsi="Times New Roman" w:eastAsia="方正仿宋_GBK" w:cs="Times New Roman"/>
          <w:color w:val="auto"/>
          <w:sz w:val="32"/>
          <w:szCs w:val="32"/>
          <w:highlight w:val="none"/>
          <w:lang w:val="en-US" w:eastAsia="zh-CN"/>
        </w:rPr>
        <w:t>2024年度财政拨款收入、支出总计均为</w:t>
      </w:r>
      <w:r>
        <w:rPr>
          <w:rFonts w:hint="default" w:ascii="Times New Roman" w:hAnsi="Times New Roman" w:eastAsia="方正仿宋_GBK" w:cs="Times New Roman"/>
          <w:color w:val="auto"/>
          <w:sz w:val="32"/>
          <w:szCs w:val="32"/>
          <w:highlight w:val="none"/>
          <w:lang w:eastAsia="zh-CN"/>
        </w:rPr>
        <w:t>763.44</w:t>
      </w:r>
      <w:r>
        <w:rPr>
          <w:rFonts w:hint="default" w:ascii="Times New Roman" w:hAnsi="Times New Roman" w:eastAsia="方正仿宋_GBK" w:cs="Times New Roman"/>
          <w:color w:val="auto"/>
          <w:sz w:val="32"/>
          <w:szCs w:val="32"/>
          <w:highlight w:val="none"/>
          <w:lang w:val="en-US" w:eastAsia="zh-CN"/>
        </w:rPr>
        <w:t>万元。与2023年度相比，财政拨款收入总计、支出总计各增加161.81万元，增长26.89%。主要变动原因是财政拨款收入中人员经费和日常公用经费，项目中的现场教学点经费、培训费增加。</w:t>
      </w:r>
    </w:p>
    <w:p w14:paraId="37B6441F">
      <w:pPr>
        <w:spacing w:line="600" w:lineRule="exact"/>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（图4：财政拨款收、支决算总计变动情况）</w:t>
      </w:r>
    </w:p>
    <w:p w14:paraId="75AAB619">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anchor distT="0" distB="0" distL="114300" distR="114300" simplePos="0" relativeHeight="251661312" behindDoc="1" locked="0" layoutInCell="1" allowOverlap="1">
            <wp:simplePos x="0" y="0"/>
            <wp:positionH relativeFrom="column">
              <wp:posOffset>548640</wp:posOffset>
            </wp:positionH>
            <wp:positionV relativeFrom="paragraph">
              <wp:posOffset>231140</wp:posOffset>
            </wp:positionV>
            <wp:extent cx="4345305" cy="3069590"/>
            <wp:effectExtent l="4445" t="4445" r="12700" b="12065"/>
            <wp:wrapNone/>
            <wp:docPr id="27"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7F5DE04">
      <w:pPr>
        <w:spacing w:line="600" w:lineRule="exact"/>
        <w:ind w:firstLine="640" w:firstLineChars="200"/>
        <w:rPr>
          <w:rFonts w:hint="default" w:ascii="Times New Roman" w:hAnsi="Times New Roman" w:eastAsia="方正仿宋_GBK" w:cs="Times New Roman"/>
          <w:sz w:val="32"/>
          <w:szCs w:val="32"/>
        </w:rPr>
      </w:pPr>
    </w:p>
    <w:p w14:paraId="6A37FCCB">
      <w:pPr>
        <w:spacing w:line="600" w:lineRule="exact"/>
        <w:ind w:firstLine="640" w:firstLineChars="200"/>
        <w:rPr>
          <w:rFonts w:hint="default" w:ascii="Times New Roman" w:hAnsi="Times New Roman" w:eastAsia="方正仿宋_GBK" w:cs="Times New Roman"/>
          <w:sz w:val="32"/>
          <w:szCs w:val="32"/>
        </w:rPr>
      </w:pPr>
    </w:p>
    <w:p w14:paraId="3BAE5468">
      <w:pPr>
        <w:spacing w:line="600" w:lineRule="exact"/>
        <w:ind w:firstLine="640" w:firstLineChars="200"/>
        <w:rPr>
          <w:rFonts w:hint="default" w:ascii="Times New Roman" w:hAnsi="Times New Roman" w:eastAsia="方正仿宋_GBK" w:cs="Times New Roman"/>
          <w:sz w:val="32"/>
          <w:szCs w:val="32"/>
        </w:rPr>
      </w:pPr>
    </w:p>
    <w:p w14:paraId="4C65BF6C">
      <w:pPr>
        <w:spacing w:line="600" w:lineRule="exact"/>
        <w:ind w:firstLine="640" w:firstLineChars="200"/>
        <w:rPr>
          <w:rFonts w:hint="default" w:ascii="Times New Roman" w:hAnsi="Times New Roman" w:eastAsia="方正仿宋_GBK" w:cs="Times New Roman"/>
          <w:sz w:val="32"/>
          <w:szCs w:val="32"/>
        </w:rPr>
      </w:pPr>
    </w:p>
    <w:p w14:paraId="046FFA2C">
      <w:pPr>
        <w:spacing w:line="600" w:lineRule="exact"/>
        <w:ind w:firstLine="640" w:firstLineChars="200"/>
        <w:rPr>
          <w:rFonts w:hint="default" w:ascii="Times New Roman" w:hAnsi="Times New Roman" w:eastAsia="方正仿宋_GBK" w:cs="Times New Roman"/>
          <w:sz w:val="32"/>
          <w:szCs w:val="32"/>
        </w:rPr>
      </w:pPr>
    </w:p>
    <w:p w14:paraId="596CB6CA">
      <w:pPr>
        <w:spacing w:line="600" w:lineRule="exact"/>
        <w:ind w:firstLine="640" w:firstLineChars="200"/>
        <w:rPr>
          <w:rFonts w:hint="default" w:ascii="Times New Roman" w:hAnsi="Times New Roman" w:eastAsia="方正仿宋_GBK" w:cs="Times New Roman"/>
          <w:sz w:val="32"/>
          <w:szCs w:val="32"/>
        </w:rPr>
      </w:pPr>
    </w:p>
    <w:p w14:paraId="3205B42C">
      <w:pPr>
        <w:spacing w:line="600" w:lineRule="exact"/>
        <w:ind w:firstLine="640" w:firstLineChars="200"/>
        <w:rPr>
          <w:rFonts w:hint="default" w:ascii="Times New Roman" w:hAnsi="Times New Roman" w:eastAsia="方正仿宋_GBK" w:cs="Times New Roman"/>
          <w:sz w:val="32"/>
          <w:szCs w:val="32"/>
        </w:rPr>
      </w:pPr>
    </w:p>
    <w:p w14:paraId="6D06294D">
      <w:pPr>
        <w:spacing w:line="600" w:lineRule="exact"/>
        <w:ind w:firstLine="640" w:firstLineChars="200"/>
        <w:rPr>
          <w:rFonts w:hint="default" w:ascii="Times New Roman" w:hAnsi="Times New Roman" w:eastAsia="方正仿宋_GBK" w:cs="Times New Roman"/>
          <w:sz w:val="32"/>
          <w:szCs w:val="32"/>
          <w:highlight w:val="yellow"/>
        </w:rPr>
      </w:pPr>
    </w:p>
    <w:p w14:paraId="41E017A0">
      <w:pPr>
        <w:spacing w:line="600" w:lineRule="exact"/>
        <w:ind w:firstLine="640" w:firstLineChars="200"/>
        <w:outlineLvl w:val="1"/>
        <w:rPr>
          <w:rStyle w:val="30"/>
          <w:rFonts w:hint="default" w:ascii="Times New Roman" w:hAnsi="Times New Roman" w:eastAsia="方正黑体_GBK" w:cs="Times New Roman"/>
          <w:b w:val="0"/>
          <w:sz w:val="32"/>
          <w:szCs w:val="32"/>
        </w:rPr>
      </w:pPr>
      <w:r>
        <w:rPr>
          <w:rFonts w:hint="default" w:ascii="Times New Roman" w:hAnsi="Times New Roman" w:eastAsia="方正黑体_GBK" w:cs="Times New Roman"/>
          <w:sz w:val="32"/>
          <w:szCs w:val="32"/>
        </w:rPr>
        <w:t>五、</w:t>
      </w:r>
      <w:r>
        <w:rPr>
          <w:rFonts w:hint="default" w:ascii="Times New Roman" w:hAnsi="Times New Roman" w:eastAsia="方正黑体_GBK" w:cs="Times New Roman"/>
          <w:b/>
          <w:sz w:val="32"/>
          <w:szCs w:val="32"/>
        </w:rPr>
        <w:t>一</w:t>
      </w:r>
      <w:r>
        <w:rPr>
          <w:rStyle w:val="30"/>
          <w:rFonts w:hint="default" w:ascii="Times New Roman" w:hAnsi="Times New Roman" w:eastAsia="方正黑体_GBK" w:cs="Times New Roman"/>
          <w:b w:val="0"/>
          <w:sz w:val="32"/>
          <w:szCs w:val="32"/>
        </w:rPr>
        <w:t>般公共预算财政拨款支出决算情况说明</w:t>
      </w:r>
      <w:bookmarkEnd w:id="24"/>
      <w:bookmarkEnd w:id="25"/>
    </w:p>
    <w:p w14:paraId="6248F605">
      <w:pPr>
        <w:spacing w:line="600" w:lineRule="exact"/>
        <w:ind w:firstLine="643" w:firstLineChars="200"/>
        <w:outlineLvl w:val="2"/>
        <w:rPr>
          <w:rFonts w:hint="default" w:ascii="Times New Roman" w:hAnsi="Times New Roman" w:eastAsia="方正楷体_GBK" w:cs="Times New Roman"/>
          <w:b/>
          <w:sz w:val="32"/>
          <w:szCs w:val="32"/>
        </w:rPr>
      </w:pPr>
      <w:bookmarkStart w:id="26" w:name="_Toc15377210"/>
      <w:r>
        <w:rPr>
          <w:rFonts w:hint="default" w:ascii="Times New Roman" w:hAnsi="Times New Roman" w:eastAsia="方正楷体_GBK" w:cs="Times New Roman"/>
          <w:b/>
          <w:sz w:val="32"/>
          <w:szCs w:val="32"/>
        </w:rPr>
        <w:t>（一）一般公共预算财政拨款支出决算总体情况</w:t>
      </w:r>
      <w:bookmarkEnd w:id="26"/>
    </w:p>
    <w:p w14:paraId="530F65CE">
      <w:pPr>
        <w:pStyle w:val="28"/>
        <w:spacing w:line="600" w:lineRule="exact"/>
        <w:ind w:firstLine="640"/>
        <w:outlineLvl w:val="1"/>
        <w:rPr>
          <w:rFonts w:hint="default" w:ascii="Times New Roman" w:hAnsi="Times New Roman" w:eastAsia="方正仿宋_GBK" w:cs="Times New Roman"/>
          <w:color w:val="auto"/>
          <w:kern w:val="2"/>
          <w:sz w:val="32"/>
          <w:szCs w:val="32"/>
          <w:highlight w:val="none"/>
          <w:lang w:val="en-US" w:eastAsia="zh-CN" w:bidi="ar-SA"/>
        </w:rPr>
      </w:pPr>
      <w:bookmarkStart w:id="27" w:name="_Toc15377211"/>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2024年度一般公共预算财政拨款支出763.44万元，占本年支出合计的100%。与2023年度相比，一般公共预算财政拨款支出增加161.81万元，增长26.89%。主要变动原因是</w:t>
      </w:r>
      <w:r>
        <w:rPr>
          <w:rFonts w:hint="default" w:ascii="Times New Roman" w:hAnsi="Times New Roman" w:eastAsia="方正仿宋_GBK" w:cs="Times New Roman"/>
          <w:color w:val="auto"/>
          <w:sz w:val="32"/>
          <w:szCs w:val="32"/>
          <w:highlight w:val="none"/>
          <w:lang w:val="en-US" w:eastAsia="zh-CN"/>
        </w:rPr>
        <w:t>财政拨款收入中人员经费和日常公用经费，项目中的现场教学点经费、培训费增加。</w:t>
      </w:r>
    </w:p>
    <w:p w14:paraId="08DBFE41">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2"/>
          <w:sz w:val="32"/>
          <w:szCs w:val="32"/>
          <w:highlight w:val="none"/>
          <w:lang w:val="en-US" w:eastAsia="zh-CN" w:bidi="ar-SA"/>
        </w:rPr>
        <w:t>（图5：一般公共预算财政拨款支出决算变动情况）</w:t>
      </w:r>
    </w:p>
    <w:p w14:paraId="30E3E1D3">
      <w:pPr>
        <w:spacing w:line="600" w:lineRule="exact"/>
        <w:ind w:firstLine="640" w:firstLineChars="200"/>
        <w:outlineLvl w:val="2"/>
        <w:rPr>
          <w:rFonts w:hint="default" w:ascii="Times New Roman" w:hAnsi="Times New Roman" w:eastAsia="方正仿宋_GBK" w:cs="Times New Roman"/>
          <w:sz w:val="32"/>
          <w:szCs w:val="32"/>
        </w:rPr>
      </w:pPr>
    </w:p>
    <w:p w14:paraId="5D2DB204">
      <w:pPr>
        <w:spacing w:line="600" w:lineRule="exact"/>
        <w:ind w:firstLine="640" w:firstLineChars="200"/>
        <w:outlineLvl w:val="2"/>
        <w:rPr>
          <w:rFonts w:hint="default" w:ascii="Times New Roman" w:hAnsi="Times New Roman" w:eastAsia="方正仿宋_GBK" w:cs="Times New Roman"/>
          <w:sz w:val="32"/>
          <w:szCs w:val="32"/>
        </w:rPr>
      </w:pPr>
    </w:p>
    <w:p w14:paraId="5CD18629">
      <w:pPr>
        <w:spacing w:line="600" w:lineRule="exact"/>
        <w:ind w:firstLine="640" w:firstLineChars="200"/>
        <w:outlineLvl w:val="2"/>
        <w:rPr>
          <w:rFonts w:hint="default" w:ascii="Times New Roman" w:hAnsi="Times New Roman" w:eastAsia="方正仿宋_GBK" w:cs="Times New Roman"/>
          <w:sz w:val="32"/>
          <w:szCs w:val="32"/>
        </w:rPr>
      </w:pPr>
    </w:p>
    <w:p w14:paraId="658E8911">
      <w:pPr>
        <w:spacing w:line="600" w:lineRule="exact"/>
        <w:ind w:firstLine="640" w:firstLineChars="200"/>
        <w:outlineLvl w:val="2"/>
        <w:rPr>
          <w:rFonts w:hint="default" w:ascii="Times New Roman" w:hAnsi="Times New Roman" w:eastAsia="方正仿宋_GBK" w:cs="Times New Roman"/>
          <w:sz w:val="32"/>
          <w:szCs w:val="32"/>
        </w:rPr>
      </w:pPr>
    </w:p>
    <w:p w14:paraId="2261949E">
      <w:pPr>
        <w:spacing w:line="600" w:lineRule="exact"/>
        <w:ind w:firstLine="640" w:firstLineChars="200"/>
        <w:outlineLvl w:val="2"/>
        <w:rPr>
          <w:rFonts w:hint="default" w:ascii="Times New Roman" w:hAnsi="Times New Roman" w:eastAsia="方正仿宋_GBK" w:cs="Times New Roman"/>
          <w:sz w:val="32"/>
          <w:szCs w:val="32"/>
        </w:rPr>
      </w:pPr>
    </w:p>
    <w:p w14:paraId="5693B273">
      <w:pPr>
        <w:spacing w:line="600" w:lineRule="exact"/>
        <w:ind w:firstLine="640" w:firstLineChars="200"/>
        <w:outlineLvl w:val="2"/>
        <w:rPr>
          <w:rFonts w:hint="default" w:ascii="Times New Roman" w:hAnsi="Times New Roman" w:eastAsia="方正仿宋_GBK" w:cs="Times New Roman"/>
          <w:sz w:val="32"/>
          <w:szCs w:val="32"/>
        </w:rPr>
      </w:pPr>
    </w:p>
    <w:p w14:paraId="219FB109">
      <w:pPr>
        <w:spacing w:line="600" w:lineRule="exact"/>
        <w:ind w:firstLine="640" w:firstLineChars="200"/>
        <w:outlineLvl w:val="2"/>
        <w:rPr>
          <w:rFonts w:hint="default" w:ascii="Times New Roman" w:hAnsi="Times New Roman" w:eastAsia="方正仿宋_GBK" w:cs="Times New Roman"/>
          <w:sz w:val="32"/>
          <w:szCs w:val="32"/>
        </w:rPr>
      </w:pPr>
    </w:p>
    <w:p w14:paraId="2B6F3EAF">
      <w:pPr>
        <w:spacing w:line="600" w:lineRule="exact"/>
        <w:ind w:firstLine="640" w:firstLineChars="200"/>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anchor distT="0" distB="0" distL="114300" distR="114300" simplePos="0" relativeHeight="251662336" behindDoc="1" locked="0" layoutInCell="1" allowOverlap="1">
            <wp:simplePos x="0" y="0"/>
            <wp:positionH relativeFrom="column">
              <wp:posOffset>271145</wp:posOffset>
            </wp:positionH>
            <wp:positionV relativeFrom="paragraph">
              <wp:posOffset>-2453005</wp:posOffset>
            </wp:positionV>
            <wp:extent cx="4572000" cy="2743200"/>
            <wp:effectExtent l="4445" t="4445" r="14605" b="14605"/>
            <wp:wrapNone/>
            <wp:docPr id="26"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34D4DADA">
      <w:pPr>
        <w:spacing w:line="600" w:lineRule="exact"/>
        <w:ind w:firstLine="643" w:firstLineChars="200"/>
        <w:outlineLvl w:val="2"/>
        <w:rPr>
          <w:rFonts w:hint="default" w:ascii="Times New Roman" w:hAnsi="Times New Roman" w:eastAsia="方正仿宋_GBK" w:cs="Times New Roman"/>
          <w:b/>
          <w:sz w:val="32"/>
          <w:szCs w:val="32"/>
        </w:rPr>
      </w:pPr>
      <w:r>
        <w:rPr>
          <w:rFonts w:hint="default" w:ascii="Times New Roman" w:hAnsi="Times New Roman" w:eastAsia="方正楷体_GBK" w:cs="Times New Roman"/>
          <w:b/>
          <w:sz w:val="32"/>
          <w:szCs w:val="32"/>
        </w:rPr>
        <w:t>（二）一般公共预算财政拨款支出决算结构情况</w:t>
      </w:r>
      <w:bookmarkEnd w:id="27"/>
    </w:p>
    <w:p w14:paraId="1CE9E1D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763.44</w:t>
      </w:r>
      <w:r>
        <w:rPr>
          <w:rFonts w:hint="default" w:ascii="Times New Roman" w:hAnsi="Times New Roman" w:eastAsia="方正仿宋_GBK" w:cs="Times New Roman"/>
          <w:color w:val="auto"/>
          <w:kern w:val="2"/>
          <w:sz w:val="32"/>
          <w:szCs w:val="32"/>
          <w:highlight w:val="none"/>
          <w:lang w:val="en-US" w:eastAsia="zh-CN" w:bidi="ar-SA"/>
        </w:rPr>
        <w:t>万元，主要用于以下方面：教育支出674.43万元，占88.35%；社会保障和就业支出41.33万元，占5.41%；卫生健康支出24.60万元，占3.22%；住房保障支出23.08万元，占3.02%。</w:t>
      </w:r>
    </w:p>
    <w:p w14:paraId="214D5F69">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2"/>
          <w:sz w:val="32"/>
          <w:szCs w:val="32"/>
          <w:highlight w:val="none"/>
          <w:lang w:val="en-US" w:eastAsia="zh-CN" w:bidi="ar-SA"/>
        </w:rPr>
        <w:t>（图6：一般公共预算财政拨款支出决算结构）</w:t>
      </w:r>
    </w:p>
    <w:p w14:paraId="1EAAA047">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anchor distT="0" distB="0" distL="114300" distR="114300" simplePos="0" relativeHeight="251663360" behindDoc="1" locked="0" layoutInCell="1" allowOverlap="1">
            <wp:simplePos x="0" y="0"/>
            <wp:positionH relativeFrom="column">
              <wp:posOffset>140970</wp:posOffset>
            </wp:positionH>
            <wp:positionV relativeFrom="paragraph">
              <wp:posOffset>14605</wp:posOffset>
            </wp:positionV>
            <wp:extent cx="4984115" cy="3439795"/>
            <wp:effectExtent l="5080" t="4445" r="20955" b="22860"/>
            <wp:wrapNone/>
            <wp:docPr id="22"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73223113">
      <w:pPr>
        <w:spacing w:line="600" w:lineRule="exact"/>
        <w:ind w:firstLine="640"/>
        <w:rPr>
          <w:rFonts w:hint="default" w:ascii="Times New Roman" w:hAnsi="Times New Roman" w:eastAsia="方正仿宋_GBK" w:cs="Times New Roman"/>
          <w:sz w:val="32"/>
          <w:szCs w:val="32"/>
        </w:rPr>
      </w:pPr>
    </w:p>
    <w:p w14:paraId="4C41BC8E">
      <w:pPr>
        <w:spacing w:line="600" w:lineRule="exact"/>
        <w:ind w:firstLine="640"/>
        <w:rPr>
          <w:rFonts w:hint="default" w:ascii="Times New Roman" w:hAnsi="Times New Roman" w:eastAsia="方正仿宋_GBK" w:cs="Times New Roman"/>
          <w:sz w:val="32"/>
          <w:szCs w:val="32"/>
        </w:rPr>
      </w:pPr>
    </w:p>
    <w:p w14:paraId="2F4F5203">
      <w:pPr>
        <w:spacing w:line="600" w:lineRule="exact"/>
        <w:ind w:firstLine="640"/>
        <w:rPr>
          <w:rFonts w:hint="default" w:ascii="Times New Roman" w:hAnsi="Times New Roman" w:eastAsia="方正仿宋_GBK" w:cs="Times New Roman"/>
          <w:sz w:val="32"/>
          <w:szCs w:val="32"/>
        </w:rPr>
      </w:pPr>
    </w:p>
    <w:p w14:paraId="6A1ADA04">
      <w:pPr>
        <w:spacing w:line="600" w:lineRule="exact"/>
        <w:ind w:firstLine="640"/>
        <w:rPr>
          <w:rFonts w:hint="default" w:ascii="Times New Roman" w:hAnsi="Times New Roman" w:eastAsia="方正仿宋_GBK" w:cs="Times New Roman"/>
          <w:sz w:val="32"/>
          <w:szCs w:val="32"/>
        </w:rPr>
      </w:pPr>
    </w:p>
    <w:p w14:paraId="0CEB746E">
      <w:pPr>
        <w:spacing w:line="600" w:lineRule="exact"/>
        <w:ind w:firstLine="640"/>
        <w:rPr>
          <w:rFonts w:hint="default" w:ascii="Times New Roman" w:hAnsi="Times New Roman" w:eastAsia="方正仿宋_GBK" w:cs="Times New Roman"/>
          <w:sz w:val="32"/>
          <w:szCs w:val="32"/>
        </w:rPr>
      </w:pPr>
    </w:p>
    <w:p w14:paraId="27DB0C92">
      <w:pPr>
        <w:spacing w:line="600" w:lineRule="exact"/>
        <w:ind w:firstLine="640"/>
        <w:rPr>
          <w:rFonts w:hint="default" w:ascii="Times New Roman" w:hAnsi="Times New Roman" w:eastAsia="方正仿宋_GBK" w:cs="Times New Roman"/>
          <w:sz w:val="32"/>
          <w:szCs w:val="32"/>
        </w:rPr>
      </w:pPr>
    </w:p>
    <w:p w14:paraId="053AEA2D">
      <w:pPr>
        <w:spacing w:line="600" w:lineRule="exact"/>
        <w:rPr>
          <w:rFonts w:hint="default" w:ascii="Times New Roman" w:hAnsi="Times New Roman" w:eastAsia="方正仿宋_GBK" w:cs="Times New Roman"/>
          <w:sz w:val="32"/>
          <w:szCs w:val="32"/>
          <w:highlight w:val="yellow"/>
        </w:rPr>
      </w:pPr>
    </w:p>
    <w:p w14:paraId="61BD1605">
      <w:pPr>
        <w:spacing w:line="600" w:lineRule="exact"/>
        <w:ind w:firstLine="643" w:firstLineChars="200"/>
        <w:outlineLvl w:val="2"/>
        <w:rPr>
          <w:rFonts w:hint="default" w:ascii="Times New Roman" w:hAnsi="Times New Roman" w:eastAsia="方正仿宋_GBK" w:cs="Times New Roman"/>
          <w:b/>
          <w:sz w:val="32"/>
          <w:szCs w:val="32"/>
        </w:rPr>
      </w:pPr>
      <w:bookmarkStart w:id="28" w:name="_Toc15377212"/>
      <w:r>
        <w:rPr>
          <w:rFonts w:hint="default" w:ascii="Times New Roman" w:hAnsi="Times New Roman" w:eastAsia="方正楷体_GBK" w:cs="Times New Roman"/>
          <w:b/>
          <w:sz w:val="32"/>
          <w:szCs w:val="32"/>
        </w:rPr>
        <w:t>（三）一般公共预算财政拨款支出决算具体情况</w:t>
      </w:r>
      <w:bookmarkEnd w:id="28"/>
    </w:p>
    <w:p w14:paraId="6A77E3C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bookmarkStart w:id="29" w:name="_Toc15378460"/>
      <w:bookmarkStart w:id="30" w:name="_Toc15377444"/>
      <w:bookmarkStart w:id="31" w:name="_Toc15377213"/>
      <w:bookmarkStart w:id="32" w:name="_Toc15396608"/>
      <w:bookmarkStart w:id="33" w:name="_Toc15377214"/>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2024年度一般公共预算财政拨款支出决算数为763.44万元，完成预算100%。其中：</w:t>
      </w:r>
      <w:bookmarkEnd w:id="29"/>
      <w:bookmarkEnd w:id="30"/>
      <w:bookmarkEnd w:id="31"/>
    </w:p>
    <w:p w14:paraId="6092F9E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w:t>
      </w:r>
      <w:r>
        <w:rPr>
          <w:rFonts w:hint="default" w:ascii="Times New Roman" w:hAnsi="Times New Roman" w:eastAsia="方正仿宋_GBK" w:cs="Times New Roman"/>
          <w:b/>
          <w:bCs/>
          <w:color w:val="auto"/>
          <w:sz w:val="32"/>
          <w:szCs w:val="32"/>
          <w:lang w:val="en-US" w:eastAsia="zh-CN"/>
        </w:rPr>
        <w:t>教育支出（类）</w:t>
      </w:r>
      <w:r>
        <w:rPr>
          <w:rFonts w:hint="default" w:ascii="Times New Roman" w:hAnsi="Times New Roman" w:eastAsia="方正仿宋_GBK" w:cs="Times New Roman"/>
          <w:color w:val="auto"/>
          <w:kern w:val="2"/>
          <w:sz w:val="32"/>
          <w:szCs w:val="32"/>
          <w:highlight w:val="none"/>
          <w:lang w:val="en-US" w:eastAsia="zh-CN" w:bidi="ar-SA"/>
        </w:rPr>
        <w:t>支出决算为674.43万元，完成预算100%。其中：</w:t>
      </w:r>
    </w:p>
    <w:p w14:paraId="13CF947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①教育支出（类）教育管理事务（款）行政运行（项）：支出决算数为138.43万元。</w:t>
      </w:r>
    </w:p>
    <w:p w14:paraId="3B35A5C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②教育支出（类）教育管理事务（款）其他教育管理事务支出（项）：支出决算数为0.70万元。</w:t>
      </w:r>
    </w:p>
    <w:p w14:paraId="53670B6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③教育支出（类）进修及培训（款）干部教育（项）：支出决算数为535.30万元。</w:t>
      </w:r>
    </w:p>
    <w:p w14:paraId="5B31E55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rPr>
        <w:t>社会保障和就业</w:t>
      </w:r>
      <w:r>
        <w:rPr>
          <w:rFonts w:hint="default" w:ascii="Times New Roman" w:hAnsi="Times New Roman" w:eastAsia="方正仿宋_GBK" w:cs="Times New Roman"/>
          <w:b/>
          <w:bCs/>
          <w:color w:val="auto"/>
          <w:sz w:val="32"/>
          <w:szCs w:val="32"/>
          <w:lang w:eastAsia="zh-CN"/>
        </w:rPr>
        <w:t>支出（</w:t>
      </w:r>
      <w:r>
        <w:rPr>
          <w:rFonts w:hint="default" w:ascii="Times New Roman" w:hAnsi="Times New Roman" w:eastAsia="方正仿宋_GBK" w:cs="Times New Roman"/>
          <w:b/>
          <w:bCs/>
          <w:color w:val="auto"/>
          <w:sz w:val="32"/>
          <w:szCs w:val="32"/>
          <w:lang w:val="en-US" w:eastAsia="zh-CN"/>
        </w:rPr>
        <w:t>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kern w:val="2"/>
          <w:sz w:val="32"/>
          <w:szCs w:val="32"/>
          <w:highlight w:val="none"/>
          <w:lang w:val="en-US" w:eastAsia="zh-CN" w:bidi="ar-SA"/>
        </w:rPr>
        <w:t>支出决算为41.33万元，完成预算100%。其中：</w:t>
      </w:r>
    </w:p>
    <w:p w14:paraId="2FB1126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①社会保障和就业支出（类）行政事业单位养老支出（款）机关事业单位基本养老保险缴费支出（项）：支出决算数为28.15万元。</w:t>
      </w:r>
    </w:p>
    <w:p w14:paraId="0869496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②社会保障和就业支出（类）行政事业单位养老支出（款）行政单位离退休（项）：支出决算数为7.45万元。</w:t>
      </w:r>
    </w:p>
    <w:p w14:paraId="31E0228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③社会保障和就业支出（类）行政事业单位养老支出（款）事业单位离退休（项）：支出决算数为5.73万元。</w:t>
      </w:r>
    </w:p>
    <w:p w14:paraId="74C18AE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rPr>
        <w:t>卫生健康</w:t>
      </w:r>
      <w:r>
        <w:rPr>
          <w:rFonts w:hint="default" w:ascii="Times New Roman" w:hAnsi="Times New Roman" w:eastAsia="方正仿宋_GBK" w:cs="Times New Roman"/>
          <w:b/>
          <w:bCs/>
          <w:color w:val="auto"/>
          <w:sz w:val="32"/>
          <w:szCs w:val="32"/>
          <w:lang w:eastAsia="zh-CN"/>
        </w:rPr>
        <w:t>支出（</w:t>
      </w:r>
      <w:r>
        <w:rPr>
          <w:rFonts w:hint="default" w:ascii="Times New Roman" w:hAnsi="Times New Roman" w:eastAsia="方正仿宋_GBK" w:cs="Times New Roman"/>
          <w:b/>
          <w:bCs/>
          <w:color w:val="auto"/>
          <w:sz w:val="32"/>
          <w:szCs w:val="32"/>
          <w:lang w:val="en-US" w:eastAsia="zh-CN"/>
        </w:rPr>
        <w:t>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kern w:val="2"/>
          <w:sz w:val="32"/>
          <w:szCs w:val="32"/>
          <w:highlight w:val="none"/>
          <w:lang w:val="en-US" w:eastAsia="zh-CN" w:bidi="ar-SA"/>
        </w:rPr>
        <w:t>支出决算为24.60万元，完成预算100%。其中：</w:t>
      </w:r>
    </w:p>
    <w:p w14:paraId="41CEE6F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①卫生健康支出（类）行政事业单位医疗（款）事业单位医疗（项）：支出决算数为6.19万元。  </w:t>
      </w:r>
    </w:p>
    <w:p w14:paraId="471C06F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②卫生健康支出（类）行政事业单位医疗（款）行政单位医疗（项）：支出决算数为8.74万元。</w:t>
      </w:r>
    </w:p>
    <w:p w14:paraId="31EF685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③卫生健康支出（类）行政事业单位医疗（款）公务员医疗补助（项）：支出决算数为0.9万元。</w:t>
      </w:r>
    </w:p>
    <w:p w14:paraId="3A6A397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④卫生健康支出（类）行政事业单位医疗（款）其他行政事业单位医疗支出（项）：支出决算数为8.77万元。</w:t>
      </w:r>
    </w:p>
    <w:p w14:paraId="50B812F7">
      <w:pPr>
        <w:tabs>
          <w:tab w:val="right" w:pos="8306"/>
        </w:tabs>
        <w:spacing w:line="600" w:lineRule="exact"/>
        <w:ind w:firstLine="640"/>
        <w:outlineLvl w:val="1"/>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lang w:val="en-US" w:eastAsia="zh-CN" w:bidi="ar-SA"/>
        </w:rPr>
        <w:t>4.住房保障支出</w:t>
      </w:r>
      <w:r>
        <w:rPr>
          <w:rFonts w:hint="default" w:ascii="Times New Roman" w:hAnsi="Times New Roman" w:eastAsia="方正仿宋_GBK" w:cs="Times New Roman"/>
          <w:kern w:val="2"/>
          <w:sz w:val="32"/>
          <w:szCs w:val="32"/>
          <w:lang w:val="en-US" w:eastAsia="zh-CN" w:bidi="ar-SA"/>
        </w:rPr>
        <w:t>（类）:</w:t>
      </w:r>
      <w:r>
        <w:rPr>
          <w:rFonts w:hint="default" w:ascii="Times New Roman" w:hAnsi="Times New Roman" w:eastAsia="方正仿宋_GBK" w:cs="Times New Roman"/>
          <w:color w:val="auto"/>
          <w:kern w:val="2"/>
          <w:sz w:val="32"/>
          <w:szCs w:val="32"/>
          <w:highlight w:val="none"/>
          <w:lang w:val="en-US" w:eastAsia="zh-CN" w:bidi="ar-SA"/>
        </w:rPr>
        <w:t>支出决算为23.08万元，完成预算100%。其中：住房保障支出（类）住房改革支出（款）住房公积金（项）：支出决算数为23.08万元。</w:t>
      </w:r>
    </w:p>
    <w:p w14:paraId="1D6798A2">
      <w:pPr>
        <w:tabs>
          <w:tab w:val="right" w:pos="8306"/>
        </w:tabs>
        <w:spacing w:line="600" w:lineRule="exact"/>
        <w:ind w:firstLine="640"/>
        <w:outlineLvl w:val="1"/>
        <w:rPr>
          <w:rStyle w:val="30"/>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六</w:t>
      </w:r>
      <w:r>
        <w:rPr>
          <w:rFonts w:hint="default" w:ascii="Times New Roman" w:hAnsi="Times New Roman" w:eastAsia="方正黑体_GBK" w:cs="Times New Roman"/>
          <w:b/>
          <w:sz w:val="32"/>
          <w:szCs w:val="32"/>
        </w:rPr>
        <w:t>、一</w:t>
      </w:r>
      <w:r>
        <w:rPr>
          <w:rStyle w:val="30"/>
          <w:rFonts w:hint="default" w:ascii="Times New Roman" w:hAnsi="Times New Roman" w:eastAsia="方正黑体_GBK" w:cs="Times New Roman"/>
          <w:b w:val="0"/>
          <w:sz w:val="32"/>
          <w:szCs w:val="32"/>
        </w:rPr>
        <w:t>般公共预算财政拨款基本支出决算情况说明</w:t>
      </w:r>
      <w:bookmarkEnd w:id="32"/>
      <w:bookmarkEnd w:id="33"/>
      <w:r>
        <w:rPr>
          <w:rStyle w:val="30"/>
          <w:rFonts w:hint="default" w:ascii="Times New Roman" w:hAnsi="Times New Roman" w:eastAsia="方正仿宋_GBK" w:cs="Times New Roman"/>
          <w:b w:val="0"/>
          <w:sz w:val="32"/>
          <w:szCs w:val="32"/>
        </w:rPr>
        <w:tab/>
      </w:r>
    </w:p>
    <w:p w14:paraId="09DE08C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2024年度一般公共预算财政拨款基本支出326.33万元，其中：</w:t>
      </w:r>
    </w:p>
    <w:p w14:paraId="495C37D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bookmarkStart w:id="34" w:name="_Toc15377215"/>
      <w:bookmarkStart w:id="35" w:name="_Toc15396609"/>
      <w:r>
        <w:rPr>
          <w:rFonts w:hint="default" w:ascii="Times New Roman" w:hAnsi="Times New Roman" w:eastAsia="方正仿宋_GBK" w:cs="Times New Roman"/>
          <w:color w:val="auto"/>
          <w:kern w:val="2"/>
          <w:sz w:val="32"/>
          <w:szCs w:val="32"/>
          <w:highlight w:val="none"/>
          <w:lang w:val="en-US" w:eastAsia="zh-CN" w:bidi="ar-SA"/>
        </w:rPr>
        <w:t>人员经费302.63万元，主要包括：基本工资、津贴补贴、奖金、绩效工资、机关事业单位基本养老保险缴费、职工基本医疗保险缴费、公务员医疗保险缴费、其他社会保障缴费、住房公积金、医疗费、其他工资福利支出、生活补助、医疗费补助、奖励金等。</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公用经费23.7万元，主要包括：办公费、差旅费、培训费、公务接待费、工会经费、福利费、公务用车运行维护费、其他交通费、其他商品和服务支出等。</w:t>
      </w:r>
    </w:p>
    <w:p w14:paraId="70FA2DF9">
      <w:pPr>
        <w:spacing w:line="600" w:lineRule="exact"/>
        <w:ind w:firstLine="640"/>
        <w:outlineLvl w:val="1"/>
        <w:rPr>
          <w:rStyle w:val="30"/>
          <w:rFonts w:hint="default" w:ascii="Times New Roman" w:hAnsi="Times New Roman" w:eastAsia="方正仿宋_GBK" w:cs="Times New Roman"/>
          <w:b w:val="0"/>
          <w:sz w:val="32"/>
          <w:szCs w:val="32"/>
        </w:rPr>
      </w:pPr>
      <w:r>
        <w:rPr>
          <w:rFonts w:hint="default" w:ascii="Times New Roman" w:hAnsi="Times New Roman" w:eastAsia="方正黑体_GBK" w:cs="Times New Roman"/>
          <w:sz w:val="32"/>
          <w:szCs w:val="32"/>
        </w:rPr>
        <w:t>七、</w:t>
      </w:r>
      <w:r>
        <w:rPr>
          <w:rStyle w:val="30"/>
          <w:rFonts w:hint="default" w:ascii="Times New Roman" w:hAnsi="Times New Roman" w:eastAsia="方正黑体_GBK" w:cs="Times New Roman"/>
          <w:b w:val="0"/>
          <w:sz w:val="32"/>
          <w:szCs w:val="32"/>
        </w:rPr>
        <w:t>财政拨款</w:t>
      </w:r>
      <w:r>
        <w:rPr>
          <w:rStyle w:val="30"/>
          <w:rFonts w:hint="default" w:ascii="Times New Roman" w:hAnsi="Times New Roman" w:eastAsia="方正黑体_GBK" w:cs="Times New Roman"/>
          <w:sz w:val="32"/>
          <w:szCs w:val="32"/>
        </w:rPr>
        <w:t>“</w:t>
      </w:r>
      <w:r>
        <w:rPr>
          <w:rStyle w:val="30"/>
          <w:rFonts w:hint="default" w:ascii="Times New Roman" w:hAnsi="Times New Roman" w:eastAsia="方正黑体_GBK" w:cs="Times New Roman"/>
          <w:b w:val="0"/>
          <w:sz w:val="32"/>
          <w:szCs w:val="32"/>
        </w:rPr>
        <w:t>三公”经费支出决算情况说明</w:t>
      </w:r>
      <w:bookmarkEnd w:id="34"/>
      <w:bookmarkEnd w:id="35"/>
    </w:p>
    <w:p w14:paraId="4B6F5B8A">
      <w:pPr>
        <w:spacing w:line="600" w:lineRule="exact"/>
        <w:ind w:firstLine="643" w:firstLineChars="200"/>
        <w:outlineLvl w:val="2"/>
        <w:rPr>
          <w:rFonts w:hint="default" w:ascii="Times New Roman" w:hAnsi="Times New Roman" w:eastAsia="方正仿宋_GBK" w:cs="Times New Roman"/>
          <w:b/>
          <w:sz w:val="32"/>
          <w:szCs w:val="32"/>
        </w:rPr>
      </w:pPr>
      <w:bookmarkStart w:id="36" w:name="_Toc15377216"/>
      <w:r>
        <w:rPr>
          <w:rFonts w:hint="default" w:ascii="Times New Roman" w:hAnsi="Times New Roman" w:eastAsia="方正楷体_GBK" w:cs="Times New Roman"/>
          <w:b/>
          <w:sz w:val="32"/>
          <w:szCs w:val="32"/>
        </w:rPr>
        <w:t>（一）“三公”经费财政拨款支出决算总体情况说明</w:t>
      </w:r>
      <w:bookmarkEnd w:id="36"/>
    </w:p>
    <w:p w14:paraId="279E802A">
      <w:pPr>
        <w:spacing w:line="600" w:lineRule="exact"/>
        <w:ind w:firstLine="640"/>
        <w:rPr>
          <w:rFonts w:hint="default" w:ascii="Times New Roman" w:hAnsi="Times New Roman" w:eastAsia="方正仿宋_GBK" w:cs="Times New Roman"/>
          <w:b/>
          <w:bCs/>
          <w:sz w:val="32"/>
          <w:szCs w:val="32"/>
        </w:rPr>
      </w:pPr>
      <w:bookmarkStart w:id="37" w:name="_Toc15377217"/>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2024年度“三公”经费财政拨款支出决算为0.84万元，完成预算100%，较上年度减少0.13万元，下降13.41%。</w:t>
      </w:r>
    </w:p>
    <w:p w14:paraId="571035CE">
      <w:pPr>
        <w:spacing w:line="600" w:lineRule="exact"/>
        <w:ind w:firstLine="643" w:firstLineChars="200"/>
        <w:outlineLvl w:val="2"/>
        <w:rPr>
          <w:rFonts w:hint="default" w:ascii="Times New Roman" w:hAnsi="Times New Roman" w:eastAsia="方正仿宋_GBK" w:cs="Times New Roman"/>
          <w:b/>
          <w:sz w:val="32"/>
          <w:szCs w:val="32"/>
        </w:rPr>
      </w:pPr>
      <w:r>
        <w:rPr>
          <w:rFonts w:hint="default" w:ascii="Times New Roman" w:hAnsi="Times New Roman" w:eastAsia="方正楷体_GBK" w:cs="Times New Roman"/>
          <w:b/>
          <w:sz w:val="32"/>
          <w:szCs w:val="32"/>
        </w:rPr>
        <w:t>（二）“三公”经费财政拨款支出决算具体情况说明</w:t>
      </w:r>
      <w:bookmarkEnd w:id="37"/>
    </w:p>
    <w:p w14:paraId="581903F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bookmarkStart w:id="38" w:name="_Toc15396610"/>
      <w:bookmarkStart w:id="39" w:name="_Toc15377218"/>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方正仿宋_GBK" w:cs="Times New Roman"/>
          <w:sz w:val="32"/>
          <w:szCs w:val="32"/>
        </w:rPr>
        <w:t>0.72</w:t>
      </w:r>
      <w:r>
        <w:rPr>
          <w:rFonts w:hint="default" w:ascii="Times New Roman" w:hAnsi="Times New Roman" w:eastAsia="方正仿宋_GBK" w:cs="Times New Roman"/>
          <w:color w:val="auto"/>
          <w:kern w:val="2"/>
          <w:sz w:val="32"/>
          <w:szCs w:val="32"/>
          <w:highlight w:val="none"/>
          <w:lang w:val="en-US" w:eastAsia="zh-CN" w:bidi="ar-SA"/>
        </w:rPr>
        <w:t>万元，占85.71%；公务接待费支出决算</w:t>
      </w:r>
      <w:r>
        <w:rPr>
          <w:rFonts w:hint="default" w:ascii="Times New Roman" w:hAnsi="Times New Roman" w:eastAsia="方正仿宋_GBK" w:cs="Times New Roman"/>
          <w:sz w:val="32"/>
          <w:szCs w:val="32"/>
        </w:rPr>
        <w:t>0.12</w:t>
      </w:r>
      <w:r>
        <w:rPr>
          <w:rFonts w:hint="default" w:ascii="Times New Roman" w:hAnsi="Times New Roman" w:eastAsia="方正仿宋_GBK" w:cs="Times New Roman"/>
          <w:color w:val="auto"/>
          <w:kern w:val="2"/>
          <w:sz w:val="32"/>
          <w:szCs w:val="32"/>
          <w:highlight w:val="none"/>
          <w:lang w:val="en-US" w:eastAsia="zh-CN" w:bidi="ar-SA"/>
        </w:rPr>
        <w:t>万元，占14.29%。具体情况如下：</w:t>
      </w:r>
    </w:p>
    <w:p w14:paraId="514E0F6D">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2"/>
          <w:sz w:val="32"/>
          <w:szCs w:val="32"/>
          <w:highlight w:val="none"/>
          <w:lang w:val="en-US" w:eastAsia="zh-CN" w:bidi="ar-SA"/>
        </w:rPr>
        <w:t>（图7：“三公”经费财政拨款支出结构）</w:t>
      </w:r>
    </w:p>
    <w:p w14:paraId="65AF37BF">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anchor distT="0" distB="0" distL="114300" distR="114300" simplePos="0" relativeHeight="251664384" behindDoc="1" locked="0" layoutInCell="1" allowOverlap="1">
            <wp:simplePos x="0" y="0"/>
            <wp:positionH relativeFrom="column">
              <wp:posOffset>243205</wp:posOffset>
            </wp:positionH>
            <wp:positionV relativeFrom="paragraph">
              <wp:posOffset>53340</wp:posOffset>
            </wp:positionV>
            <wp:extent cx="4862195" cy="3753485"/>
            <wp:effectExtent l="5080" t="4445" r="9525" b="13970"/>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251A989F">
      <w:pPr>
        <w:spacing w:line="600" w:lineRule="exact"/>
        <w:ind w:firstLine="640"/>
        <w:rPr>
          <w:rFonts w:hint="default" w:ascii="Times New Roman" w:hAnsi="Times New Roman" w:eastAsia="方正仿宋_GBK" w:cs="Times New Roman"/>
          <w:sz w:val="32"/>
          <w:szCs w:val="32"/>
        </w:rPr>
      </w:pPr>
    </w:p>
    <w:p w14:paraId="38B0F798">
      <w:pPr>
        <w:spacing w:line="600" w:lineRule="exact"/>
        <w:ind w:firstLine="640"/>
        <w:rPr>
          <w:rFonts w:hint="default" w:ascii="Times New Roman" w:hAnsi="Times New Roman" w:eastAsia="方正仿宋_GBK" w:cs="Times New Roman"/>
          <w:sz w:val="32"/>
          <w:szCs w:val="32"/>
        </w:rPr>
      </w:pPr>
    </w:p>
    <w:p w14:paraId="424BEA11">
      <w:pPr>
        <w:spacing w:line="600" w:lineRule="exact"/>
        <w:ind w:firstLine="640"/>
        <w:rPr>
          <w:rFonts w:hint="default" w:ascii="Times New Roman" w:hAnsi="Times New Roman" w:eastAsia="方正仿宋_GBK" w:cs="Times New Roman"/>
          <w:sz w:val="32"/>
          <w:szCs w:val="32"/>
        </w:rPr>
      </w:pPr>
    </w:p>
    <w:p w14:paraId="0EFE56C9">
      <w:pPr>
        <w:spacing w:line="600" w:lineRule="exact"/>
        <w:ind w:firstLine="640"/>
        <w:rPr>
          <w:rFonts w:hint="default" w:ascii="Times New Roman" w:hAnsi="Times New Roman" w:eastAsia="方正仿宋_GBK" w:cs="Times New Roman"/>
          <w:sz w:val="32"/>
          <w:szCs w:val="32"/>
        </w:rPr>
      </w:pPr>
    </w:p>
    <w:p w14:paraId="74244792">
      <w:pPr>
        <w:spacing w:line="600" w:lineRule="exact"/>
        <w:rPr>
          <w:rFonts w:hint="default" w:ascii="Times New Roman" w:hAnsi="Times New Roman" w:eastAsia="方正仿宋_GBK" w:cs="Times New Roman"/>
          <w:sz w:val="32"/>
          <w:szCs w:val="32"/>
        </w:rPr>
      </w:pPr>
    </w:p>
    <w:p w14:paraId="31DE0972">
      <w:pPr>
        <w:numPr>
          <w:ilvl w:val="0"/>
          <w:numId w:val="0"/>
        </w:numPr>
        <w:spacing w:line="600" w:lineRule="exact"/>
        <w:ind w:firstLine="643" w:firstLineChars="200"/>
        <w:rPr>
          <w:rFonts w:hint="default" w:ascii="Times New Roman" w:hAnsi="Times New Roman" w:eastAsia="方正仿宋_GBK" w:cs="Times New Roman"/>
          <w:b/>
          <w:bCs/>
          <w:color w:val="auto"/>
          <w:kern w:val="2"/>
          <w:sz w:val="32"/>
          <w:szCs w:val="32"/>
          <w:highlight w:val="none"/>
          <w:lang w:val="en-US" w:eastAsia="zh-CN" w:bidi="ar-SA"/>
        </w:rPr>
      </w:pPr>
    </w:p>
    <w:p w14:paraId="4C379283">
      <w:pPr>
        <w:numPr>
          <w:ilvl w:val="0"/>
          <w:numId w:val="0"/>
        </w:numPr>
        <w:spacing w:line="600" w:lineRule="exact"/>
        <w:ind w:firstLine="643" w:firstLineChars="200"/>
        <w:rPr>
          <w:rFonts w:hint="default" w:ascii="Times New Roman" w:hAnsi="Times New Roman" w:eastAsia="方正仿宋_GBK" w:cs="Times New Roman"/>
          <w:b/>
          <w:bCs/>
          <w:color w:val="auto"/>
          <w:kern w:val="2"/>
          <w:sz w:val="32"/>
          <w:szCs w:val="32"/>
          <w:highlight w:val="none"/>
          <w:lang w:val="en-US" w:eastAsia="zh-CN" w:bidi="ar-SA"/>
        </w:rPr>
      </w:pPr>
    </w:p>
    <w:p w14:paraId="124393D9">
      <w:pPr>
        <w:numPr>
          <w:ilvl w:val="0"/>
          <w:numId w:val="0"/>
        </w:numPr>
        <w:spacing w:line="600" w:lineRule="exact"/>
        <w:ind w:firstLine="643" w:firstLineChars="200"/>
        <w:rPr>
          <w:rFonts w:hint="default" w:ascii="Times New Roman" w:hAnsi="Times New Roman" w:eastAsia="方正仿宋_GBK" w:cs="Times New Roman"/>
          <w:b/>
          <w:bCs/>
          <w:color w:val="auto"/>
          <w:kern w:val="2"/>
          <w:sz w:val="32"/>
          <w:szCs w:val="32"/>
          <w:highlight w:val="none"/>
          <w:lang w:val="en-US" w:eastAsia="zh-CN" w:bidi="ar-SA"/>
        </w:rPr>
      </w:pPr>
    </w:p>
    <w:p w14:paraId="7611F74B">
      <w:pPr>
        <w:numPr>
          <w:ilvl w:val="0"/>
          <w:numId w:val="0"/>
        </w:numPr>
        <w:spacing w:line="600" w:lineRule="exact"/>
        <w:rPr>
          <w:rFonts w:hint="default" w:ascii="Times New Roman" w:hAnsi="Times New Roman" w:eastAsia="方正仿宋_GBK" w:cs="Times New Roman"/>
          <w:b/>
          <w:bCs/>
          <w:color w:val="auto"/>
          <w:kern w:val="2"/>
          <w:sz w:val="32"/>
          <w:szCs w:val="32"/>
          <w:highlight w:val="none"/>
          <w:lang w:val="en-US" w:eastAsia="zh-CN" w:bidi="ar-SA"/>
        </w:rPr>
      </w:pPr>
    </w:p>
    <w:p w14:paraId="6D358108">
      <w:pPr>
        <w:numPr>
          <w:ilvl w:val="0"/>
          <w:numId w:val="0"/>
        </w:numPr>
        <w:spacing w:line="600" w:lineRule="exact"/>
        <w:ind w:firstLine="643"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方正仿宋_GBK" w:cs="Times New Roman"/>
          <w:color w:val="auto"/>
          <w:kern w:val="2"/>
          <w:sz w:val="32"/>
          <w:szCs w:val="32"/>
          <w:highlight w:val="none"/>
          <w:lang w:val="en-US" w:eastAsia="zh-CN" w:bidi="ar-SA"/>
        </w:rPr>
        <w:t>全年安排因公出国（境）团组0次，出国（境）0人。因公出国（境）支出决算与2023年持平。</w:t>
      </w:r>
    </w:p>
    <w:p w14:paraId="5066209D">
      <w:pPr>
        <w:numPr>
          <w:ilvl w:val="0"/>
          <w:numId w:val="0"/>
        </w:numPr>
        <w:spacing w:line="600" w:lineRule="exact"/>
        <w:ind w:firstLine="643"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2.公务用车购置及运行维护费支出0.72万元，完成预算100%。</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公务用车购置及运行维护费支出决算比2023年度减少0.25万元，下降25.75%。主要原因是中途公务用车划拨给机关事务管理局。</w:t>
      </w:r>
    </w:p>
    <w:p w14:paraId="4B0D65C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1辆，其中：轿车1辆、越野车0辆、载客汽车0辆。</w:t>
      </w:r>
    </w:p>
    <w:p w14:paraId="3E9B9D4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公务用车运行维护费支出0.72万元。主要用于森林防灭火、调研、宣讲等工作所需的公务用车燃料费、保险费等支出。</w:t>
      </w:r>
    </w:p>
    <w:p w14:paraId="2676B9D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3.公务接待费支出0.12万元，完成预算100%。</w:t>
      </w:r>
      <w:r>
        <w:rPr>
          <w:rFonts w:hint="default" w:ascii="Times New Roman" w:hAnsi="Times New Roman" w:eastAsia="方正仿宋_GBK" w:cs="Times New Roman"/>
          <w:color w:val="auto"/>
          <w:kern w:val="2"/>
          <w:sz w:val="32"/>
          <w:szCs w:val="32"/>
          <w:highlight w:val="none"/>
          <w:lang w:val="en-US" w:eastAsia="zh-CN" w:bidi="ar-SA"/>
        </w:rPr>
        <w:t>公务接待费支出决算比2023年度增加0.12万元，增长100%。主要原因是开展公务接待。其中：</w:t>
      </w:r>
    </w:p>
    <w:p w14:paraId="12D3731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0.12万元，主要用于接待省委党校(执行公务、开展业务活动开支的会议费、用餐费等)。国内公务接待1批次，15人次（不包括陪同人员），共计支出0.12万元，具体内容包括：用餐费和会议室租赁费。</w:t>
      </w:r>
    </w:p>
    <w:p w14:paraId="71E8EFF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外事接待支出0万元。外事接待0批次，0人次（不包括陪同人员），共计支出0万元。</w:t>
      </w:r>
    </w:p>
    <w:p w14:paraId="7501E1EA">
      <w:pPr>
        <w:spacing w:line="600" w:lineRule="exact"/>
        <w:ind w:firstLine="640"/>
        <w:outlineLvl w:val="1"/>
        <w:rPr>
          <w:rStyle w:val="30"/>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八、</w:t>
      </w:r>
      <w:r>
        <w:rPr>
          <w:rStyle w:val="30"/>
          <w:rFonts w:hint="default" w:ascii="Times New Roman" w:hAnsi="Times New Roman" w:eastAsia="方正黑体_GBK" w:cs="Times New Roman"/>
          <w:b w:val="0"/>
          <w:sz w:val="32"/>
          <w:szCs w:val="32"/>
        </w:rPr>
        <w:t>政府性基金预算支出决算情况说明</w:t>
      </w:r>
      <w:bookmarkEnd w:id="38"/>
      <w:bookmarkEnd w:id="39"/>
    </w:p>
    <w:p w14:paraId="68ECA85C">
      <w:pPr>
        <w:spacing w:line="600" w:lineRule="exact"/>
        <w:ind w:firstLine="640"/>
        <w:rPr>
          <w:rFonts w:hint="default" w:ascii="Times New Roman" w:hAnsi="Times New Roman" w:eastAsia="方正仿宋_GBK" w:cs="Times New Roman"/>
          <w:color w:val="auto"/>
          <w:kern w:val="2"/>
          <w:sz w:val="32"/>
          <w:szCs w:val="32"/>
          <w:highlight w:val="none"/>
          <w:lang w:val="zh-CN" w:eastAsia="zh-CN" w:bidi="ar-SA"/>
        </w:rPr>
      </w:pPr>
      <w:bookmarkStart w:id="40" w:name="_Toc15396611"/>
      <w:bookmarkStart w:id="41" w:name="_Toc15377219"/>
      <w:r>
        <w:rPr>
          <w:rFonts w:hint="default" w:ascii="Times New Roman" w:hAnsi="Times New Roman" w:eastAsia="方正仿宋_GBK" w:cs="Times New Roman"/>
          <w:color w:val="auto"/>
          <w:kern w:val="2"/>
          <w:sz w:val="32"/>
          <w:szCs w:val="32"/>
          <w:highlight w:val="none"/>
          <w:lang w:val="en-US" w:eastAsia="zh-CN" w:bidi="ar-SA"/>
        </w:rPr>
        <w:t>2024年度政府性基金预算财政拨款支出0万元，占本年支出合计的0%。与2023年度相比，政府性基金预算财政拨款支出持平。</w:t>
      </w:r>
      <w:r>
        <w:rPr>
          <w:rFonts w:hint="default" w:ascii="Times New Roman" w:hAnsi="Times New Roman" w:eastAsia="方正仿宋_GBK" w:cs="Times New Roman"/>
          <w:color w:val="auto"/>
          <w:kern w:val="2"/>
          <w:sz w:val="32"/>
          <w:szCs w:val="32"/>
          <w:highlight w:val="none"/>
          <w:lang w:val="zh-CN" w:eastAsia="zh-CN" w:bidi="ar-SA"/>
        </w:rPr>
        <w:t>本单位没有政府性基金拨款收入，也没有使用政府性基金安排的支出。</w:t>
      </w:r>
    </w:p>
    <w:p w14:paraId="7FCC8F61">
      <w:pPr>
        <w:numPr>
          <w:ilvl w:val="0"/>
          <w:numId w:val="1"/>
        </w:numPr>
        <w:spacing w:line="600" w:lineRule="exact"/>
        <w:ind w:left="630"/>
        <w:outlineLvl w:val="1"/>
        <w:rPr>
          <w:rStyle w:val="30"/>
          <w:rFonts w:hint="default" w:ascii="Times New Roman" w:hAnsi="Times New Roman" w:eastAsia="方正黑体_GBK" w:cs="Times New Roman"/>
          <w:b w:val="0"/>
          <w:sz w:val="32"/>
          <w:szCs w:val="32"/>
        </w:rPr>
      </w:pPr>
      <w:r>
        <w:rPr>
          <w:rStyle w:val="30"/>
          <w:rFonts w:hint="default" w:ascii="Times New Roman" w:hAnsi="Times New Roman" w:eastAsia="方正黑体_GBK" w:cs="Times New Roman"/>
          <w:b w:val="0"/>
          <w:sz w:val="32"/>
          <w:szCs w:val="32"/>
        </w:rPr>
        <w:t>国有资本经营预算支出决算情况说明</w:t>
      </w:r>
      <w:bookmarkEnd w:id="40"/>
      <w:bookmarkEnd w:id="41"/>
    </w:p>
    <w:p w14:paraId="206AB75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2024年度国有资本经营预算财政拨款支出0万元，占本年支出合计的0%。与2023年度相比，国有资本经营预算财政拨款支出持平。</w:t>
      </w:r>
      <w:r>
        <w:rPr>
          <w:rFonts w:hint="default" w:ascii="Times New Roman" w:hAnsi="Times New Roman" w:eastAsia="方正仿宋_GBK" w:cs="Times New Roman"/>
          <w:color w:val="auto"/>
          <w:kern w:val="2"/>
          <w:sz w:val="32"/>
          <w:szCs w:val="32"/>
          <w:highlight w:val="none"/>
          <w:lang w:val="zh-CN" w:eastAsia="zh-CN" w:bidi="ar-SA"/>
        </w:rPr>
        <w:t>本单位没有国有资本经营预算拨款收入，也没有使用国有资本经营预算拨款安排的支出。</w:t>
      </w:r>
    </w:p>
    <w:p w14:paraId="613F92F8">
      <w:pPr>
        <w:spacing w:line="600" w:lineRule="exact"/>
        <w:ind w:left="630"/>
        <w:outlineLvl w:val="1"/>
        <w:rPr>
          <w:rStyle w:val="30"/>
          <w:rFonts w:hint="default" w:ascii="Times New Roman" w:hAnsi="Times New Roman" w:eastAsia="方正黑体_GBK" w:cs="Times New Roman"/>
          <w:b w:val="0"/>
          <w:sz w:val="32"/>
          <w:szCs w:val="32"/>
        </w:rPr>
      </w:pPr>
      <w:bookmarkStart w:id="42" w:name="_Toc15396612"/>
      <w:bookmarkStart w:id="43" w:name="_Toc15377221"/>
      <w:r>
        <w:rPr>
          <w:rStyle w:val="30"/>
          <w:rFonts w:hint="default" w:ascii="Times New Roman" w:hAnsi="Times New Roman" w:eastAsia="方正黑体_GBK" w:cs="Times New Roman"/>
          <w:b w:val="0"/>
          <w:sz w:val="32"/>
          <w:szCs w:val="32"/>
        </w:rPr>
        <w:t>十、其他重要事项的情况说明</w:t>
      </w:r>
      <w:bookmarkEnd w:id="42"/>
      <w:bookmarkEnd w:id="43"/>
    </w:p>
    <w:p w14:paraId="08B9940B">
      <w:pPr>
        <w:spacing w:line="600" w:lineRule="exact"/>
        <w:ind w:firstLine="643" w:firstLineChars="200"/>
        <w:outlineLvl w:val="2"/>
        <w:rPr>
          <w:rFonts w:hint="default" w:ascii="Times New Roman" w:hAnsi="Times New Roman" w:eastAsia="方正楷体_GBK" w:cs="Times New Roman"/>
          <w:b/>
          <w:sz w:val="32"/>
          <w:szCs w:val="32"/>
        </w:rPr>
      </w:pPr>
      <w:bookmarkStart w:id="44" w:name="_Toc15377222"/>
      <w:r>
        <w:rPr>
          <w:rFonts w:hint="default" w:ascii="Times New Roman" w:hAnsi="Times New Roman" w:eastAsia="方正楷体_GBK" w:cs="Times New Roman"/>
          <w:b/>
          <w:sz w:val="32"/>
          <w:szCs w:val="32"/>
        </w:rPr>
        <w:t>（一）机关运行经费支出情况</w:t>
      </w:r>
      <w:bookmarkEnd w:id="44"/>
    </w:p>
    <w:p w14:paraId="72B0385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2024年度，中国共产党资中县委员会办公室机关运行经费支出23.70万元，比2023年度减少119.4万元，下降83.43%主要原因是行政运行当中的培训费减少。</w:t>
      </w:r>
    </w:p>
    <w:p w14:paraId="24B2B0EF">
      <w:pPr>
        <w:spacing w:line="600" w:lineRule="exact"/>
        <w:ind w:firstLine="643" w:firstLineChars="200"/>
        <w:outlineLvl w:val="2"/>
        <w:rPr>
          <w:rFonts w:hint="default" w:ascii="Times New Roman" w:hAnsi="Times New Roman" w:eastAsia="方正楷体_GBK" w:cs="Times New Roman"/>
          <w:b/>
          <w:sz w:val="32"/>
          <w:szCs w:val="32"/>
        </w:rPr>
      </w:pPr>
      <w:bookmarkStart w:id="45" w:name="_Toc15377223"/>
      <w:r>
        <w:rPr>
          <w:rFonts w:hint="default" w:ascii="Times New Roman" w:hAnsi="Times New Roman" w:eastAsia="方正楷体_GBK" w:cs="Times New Roman"/>
          <w:b/>
          <w:sz w:val="32"/>
          <w:szCs w:val="32"/>
        </w:rPr>
        <w:t>（二）政府采购支出情况</w:t>
      </w:r>
      <w:bookmarkEnd w:id="45"/>
    </w:p>
    <w:p w14:paraId="3D11735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bookmarkStart w:id="46" w:name="_Toc15377224"/>
      <w:r>
        <w:rPr>
          <w:rFonts w:hint="default" w:ascii="Times New Roman" w:hAnsi="Times New Roman" w:eastAsia="方正仿宋_GBK" w:cs="Times New Roman"/>
          <w:color w:val="auto"/>
          <w:kern w:val="2"/>
          <w:sz w:val="32"/>
          <w:szCs w:val="32"/>
          <w:highlight w:val="none"/>
          <w:lang w:val="en-US" w:eastAsia="zh-CN" w:bidi="ar-SA"/>
        </w:rPr>
        <w:t>2024年度，中共盐边县委党校政府采购支出总额0.89万元，其中：政府采购货物支出0.59万元、政府采购工程支出0万元、政府采购服务支出0.3万元。主要用于机动车保险服务直接选定采购和台式计算机直接选定采购。授予中小企业合同金额0.59万元，占政府采购支出总额的66.27%，其中：授予小微企业合同金额0万元，占政府采购支出总额的0%。</w:t>
      </w:r>
    </w:p>
    <w:p w14:paraId="720DDD58">
      <w:pPr>
        <w:spacing w:line="600" w:lineRule="exact"/>
        <w:ind w:firstLine="643" w:firstLineChars="200"/>
        <w:outlineLvl w:val="2"/>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（三）国有资产占有使用情况</w:t>
      </w:r>
      <w:bookmarkEnd w:id="46"/>
    </w:p>
    <w:p w14:paraId="0A187A2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2024年12月31日，县委党校共有车辆1辆，其中：主要负责人用车0辆、机要通信用车0辆、应急保障用车1辆、其他用车1辆，主要用于森林防灭火、调研、宣讲等工作。单价100万元（含）以上设备（不含车辆）0台（套）。</w:t>
      </w:r>
    </w:p>
    <w:p w14:paraId="205FC91C">
      <w:pPr>
        <w:spacing w:line="600" w:lineRule="exact"/>
        <w:ind w:firstLine="643" w:firstLineChars="200"/>
        <w:outlineLvl w:val="2"/>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（四）预算绩效管理情况</w:t>
      </w:r>
    </w:p>
    <w:p w14:paraId="7323D61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根据预算绩效管理要求，本单位在2024年度预算编制阶段，组织主体班干部教育项目、科研资政项目、现场教学点位打造项目、办公楼租赁项目、通用办公设备采购等</w:t>
      </w:r>
      <w:r>
        <w:rPr>
          <w:rFonts w:hint="eastAsia"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个项目开展了预算事前绩效评估，对</w:t>
      </w:r>
      <w:r>
        <w:rPr>
          <w:rFonts w:hint="eastAsia"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个项目编制了绩效目标，预算执行过程中，选取</w:t>
      </w:r>
      <w:r>
        <w:rPr>
          <w:rFonts w:hint="eastAsia"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个项目开展绩效监控，组织对</w:t>
      </w:r>
      <w:r>
        <w:rPr>
          <w:rFonts w:hint="eastAsia"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个项目开展绩效自评，绩效自评表详见第四部分附件。</w:t>
      </w:r>
    </w:p>
    <w:p w14:paraId="69843A1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组织对2024年度一般公共预算开展绩效自评，形成县委党校部门整体绩效自评报告；干部教育项目、科研资政项目、现场教学点位打造项目、办公楼租赁项目、通用办公设备采购等专项预算项目绩效自评报告，其中，县委党校部门整体（含部门预算项目）绩效自评得分为98.5分，通过教学点位打造，丰富培训内容，学员体验感、获得感进一步增强。通过租赁，党校办学办公条件不断改善，基本满足党校各类培训及办公需要。绩效自评报告详见附件。</w:t>
      </w:r>
    </w:p>
    <w:p w14:paraId="4838740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p>
    <w:p w14:paraId="40181B1F">
      <w:pPr>
        <w:pStyle w:val="13"/>
        <w:rPr>
          <w:rFonts w:hint="default" w:ascii="Times New Roman" w:hAnsi="Times New Roman" w:eastAsia="方正仿宋_GBK" w:cs="Times New Roman"/>
          <w:sz w:val="32"/>
          <w:szCs w:val="32"/>
        </w:rPr>
      </w:pPr>
    </w:p>
    <w:p w14:paraId="05152597">
      <w:pPr>
        <w:pStyle w:val="7"/>
        <w:ind w:left="420"/>
        <w:rPr>
          <w:rFonts w:hint="default" w:ascii="Times New Roman" w:hAnsi="Times New Roman" w:eastAsia="方正仿宋_GBK" w:cs="Times New Roman"/>
          <w:sz w:val="32"/>
          <w:szCs w:val="32"/>
        </w:rPr>
      </w:pPr>
    </w:p>
    <w:p w14:paraId="20CB09F4">
      <w:pPr>
        <w:pStyle w:val="7"/>
        <w:ind w:left="420"/>
        <w:rPr>
          <w:rFonts w:hint="default" w:ascii="Times New Roman" w:hAnsi="Times New Roman" w:eastAsia="方正仿宋_GBK" w:cs="Times New Roman"/>
          <w:sz w:val="32"/>
          <w:szCs w:val="32"/>
        </w:rPr>
      </w:pPr>
    </w:p>
    <w:p w14:paraId="6736C8EE">
      <w:pPr>
        <w:spacing w:line="600" w:lineRule="exact"/>
        <w:ind w:firstLine="640"/>
        <w:rPr>
          <w:rFonts w:hint="default" w:ascii="Times New Roman" w:hAnsi="Times New Roman" w:eastAsia="方正仿宋_GBK" w:cs="Times New Roman"/>
          <w:sz w:val="32"/>
          <w:szCs w:val="32"/>
        </w:rPr>
      </w:pPr>
    </w:p>
    <w:p w14:paraId="632366A3">
      <w:pPr>
        <w:pStyle w:val="13"/>
        <w:rPr>
          <w:rFonts w:hint="default" w:ascii="Times New Roman" w:hAnsi="Times New Roman" w:eastAsia="方正仿宋_GBK" w:cs="Times New Roman"/>
          <w:sz w:val="32"/>
          <w:szCs w:val="32"/>
        </w:rPr>
      </w:pPr>
    </w:p>
    <w:p w14:paraId="7804CD0C">
      <w:pPr>
        <w:pStyle w:val="7"/>
        <w:ind w:left="420"/>
        <w:rPr>
          <w:rFonts w:hint="default" w:ascii="Times New Roman" w:hAnsi="Times New Roman" w:eastAsia="方正仿宋_GBK" w:cs="Times New Roman"/>
          <w:sz w:val="32"/>
          <w:szCs w:val="32"/>
        </w:rPr>
      </w:pPr>
    </w:p>
    <w:p w14:paraId="77EAA123">
      <w:pPr>
        <w:pStyle w:val="7"/>
        <w:ind w:left="420"/>
        <w:rPr>
          <w:rFonts w:hint="default" w:ascii="Times New Roman" w:hAnsi="Times New Roman" w:eastAsia="方正仿宋_GBK" w:cs="Times New Roman"/>
          <w:sz w:val="32"/>
          <w:szCs w:val="32"/>
        </w:rPr>
      </w:pPr>
    </w:p>
    <w:p w14:paraId="24CEE510">
      <w:pPr>
        <w:spacing w:line="600" w:lineRule="exact"/>
        <w:jc w:val="center"/>
        <w:outlineLvl w:val="0"/>
        <w:rPr>
          <w:rFonts w:hint="default" w:ascii="Times New Roman" w:hAnsi="Times New Roman" w:eastAsia="方正小标宋_GBK" w:cs="Times New Roman"/>
          <w:b/>
          <w:bCs/>
          <w:sz w:val="44"/>
          <w:szCs w:val="44"/>
        </w:rPr>
      </w:pPr>
      <w:bookmarkStart w:id="47" w:name="_Toc15396613"/>
      <w:bookmarkStart w:id="48" w:name="_Toc15377225"/>
      <w:r>
        <w:rPr>
          <w:rFonts w:hint="default" w:ascii="Times New Roman" w:hAnsi="Times New Roman" w:eastAsia="方正小标宋_GBK" w:cs="Times New Roman"/>
          <w:b/>
          <w:bCs/>
          <w:sz w:val="44"/>
          <w:szCs w:val="44"/>
        </w:rPr>
        <w:t>第三部分  名词解释</w:t>
      </w:r>
      <w:bookmarkEnd w:id="47"/>
      <w:bookmarkEnd w:id="48"/>
    </w:p>
    <w:p w14:paraId="135EE294">
      <w:pPr>
        <w:spacing w:line="600" w:lineRule="exact"/>
        <w:jc w:val="left"/>
        <w:rPr>
          <w:rFonts w:hint="default" w:ascii="Times New Roman" w:hAnsi="Times New Roman" w:eastAsia="方正仿宋_GBK" w:cs="Times New Roman"/>
          <w:b/>
          <w:sz w:val="32"/>
          <w:szCs w:val="32"/>
        </w:rPr>
      </w:pPr>
    </w:p>
    <w:p w14:paraId="48FC333A">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bookmarkStart w:id="49" w:name="_Toc15396614"/>
      <w:bookmarkStart w:id="50" w:name="_Toc15377226"/>
      <w:r>
        <w:rPr>
          <w:rFonts w:hint="default" w:ascii="Times New Roman" w:hAnsi="Times New Roman" w:eastAsia="方正仿宋_GBK" w:cs="Times New Roman"/>
          <w:color w:val="auto"/>
          <w:kern w:val="2"/>
          <w:sz w:val="32"/>
          <w:szCs w:val="32"/>
          <w:highlight w:val="none"/>
          <w:lang w:val="en-US" w:eastAsia="zh-CN" w:bidi="ar-SA"/>
        </w:rPr>
        <w:t>1.财政拨款收入：指单位从同级财政部门取得的财政预算资金。</w:t>
      </w:r>
    </w:p>
    <w:p w14:paraId="40A0E782">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2.事业收入：指事业单位开展专业业务活动及辅助活动取得的收入。</w:t>
      </w:r>
    </w:p>
    <w:p w14:paraId="5A8051CD">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3.经营收入：指事业单位在专业业务活动及其辅助活动之外开展非独立核算经营活动取得的收入。</w:t>
      </w:r>
    </w:p>
    <w:p w14:paraId="0B2D8CC3">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4.其他收入：指单位取得的除上述收入以外的各项收入。 </w:t>
      </w:r>
    </w:p>
    <w:p w14:paraId="34D2AB88">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50BBBF4E">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6.年初结转和结余：指以前年度尚未完成、结转到本年按有关规定继续使用的资金。 </w:t>
      </w:r>
    </w:p>
    <w:p w14:paraId="244E513D">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307A60A8">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8.年末结转和结余：指单位按有关规定结转到下年或以后年度继续使用的资金。</w:t>
      </w:r>
    </w:p>
    <w:p w14:paraId="7995114F">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9.教育（类）教育管理事务（款）行政运行（项）：指反映行政单位（包括实行公务员管理的事业单位）的基本支出。</w:t>
      </w:r>
    </w:p>
    <w:p w14:paraId="261BA2EA">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10.教育（类）教育管理事务（款）其他教育管理事务支出（项）：指反映除上述项目以外其他用教育管理事务方面的支出。</w:t>
      </w:r>
    </w:p>
    <w:p w14:paraId="16D9E63C">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11.教育（类）进行及培训（款）干部教育（项）：指反映各级党校、行政学院、社会主义学院、国家会计学院的支出。</w:t>
      </w:r>
    </w:p>
    <w:p w14:paraId="063BA99E">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12.社会保障和就业支出（类）行政事业单位养老支出（款）事业单位离退休费（项）：反映事业单位开支的离退休经费。</w:t>
      </w:r>
    </w:p>
    <w:p w14:paraId="25FB2E3A">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13.社会保障和就业支出（类）行政事业单位养老支出（款）行政单位离退休费（项）：反映行政单位（包括实行公务员管理的事业单位）开支的离退休经费。</w:t>
      </w:r>
    </w:p>
    <w:p w14:paraId="557D6FE5">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w:t>
      </w:r>
      <w:r>
        <w:rPr>
          <w:rFonts w:hint="default" w:ascii="Times New Roman" w:hAnsi="Times New Roman" w:eastAsia="方正仿宋_GBK" w:cs="Times New Roman"/>
          <w:color w:val="auto"/>
          <w:kern w:val="2"/>
          <w:sz w:val="32"/>
          <w:szCs w:val="32"/>
          <w:highlight w:val="none"/>
          <w:lang w:val="en-US" w:eastAsia="zh-CN" w:bidi="ar-SA"/>
        </w:rPr>
        <w:t>4</w:t>
      </w:r>
      <w:r>
        <w:rPr>
          <w:rFonts w:hint="default" w:ascii="Times New Roman" w:hAnsi="Times New Roman" w:eastAsia="方正仿宋_GBK" w:cs="Times New Roman"/>
          <w:color w:val="auto"/>
          <w:kern w:val="2"/>
          <w:sz w:val="32"/>
          <w:szCs w:val="32"/>
          <w:highlight w:val="none"/>
          <w:lang w:val="zh-CN" w:eastAsia="zh-CN" w:bidi="ar-SA"/>
        </w:rPr>
        <w:t>.社会保障和就业支出（类）</w:t>
      </w:r>
      <w:r>
        <w:rPr>
          <w:rFonts w:hint="default" w:ascii="Times New Roman" w:hAnsi="Times New Roman" w:eastAsia="方正仿宋_GBK" w:cs="Times New Roman"/>
          <w:color w:val="auto"/>
          <w:kern w:val="2"/>
          <w:sz w:val="32"/>
          <w:szCs w:val="32"/>
          <w:highlight w:val="none"/>
          <w:lang w:val="en-US" w:eastAsia="zh-CN" w:bidi="ar-SA"/>
        </w:rPr>
        <w:t>行政事业单位养老支出</w:t>
      </w:r>
      <w:r>
        <w:rPr>
          <w:rFonts w:hint="default" w:ascii="Times New Roman" w:hAnsi="Times New Roman" w:eastAsia="方正仿宋_GBK" w:cs="Times New Roman"/>
          <w:color w:val="auto"/>
          <w:kern w:val="2"/>
          <w:sz w:val="32"/>
          <w:szCs w:val="32"/>
          <w:highlight w:val="none"/>
          <w:lang w:val="zh-CN" w:eastAsia="zh-CN" w:bidi="ar-SA"/>
        </w:rPr>
        <w:t>（款）机关事业单位</w:t>
      </w:r>
      <w:r>
        <w:rPr>
          <w:rFonts w:hint="default" w:ascii="Times New Roman" w:hAnsi="Times New Roman" w:eastAsia="方正仿宋_GBK" w:cs="Times New Roman"/>
          <w:color w:val="auto"/>
          <w:kern w:val="2"/>
          <w:sz w:val="32"/>
          <w:szCs w:val="32"/>
          <w:highlight w:val="none"/>
          <w:lang w:val="en-US" w:eastAsia="zh-CN" w:bidi="ar-SA"/>
        </w:rPr>
        <w:t>基本</w:t>
      </w:r>
      <w:r>
        <w:rPr>
          <w:rFonts w:hint="default" w:ascii="Times New Roman" w:hAnsi="Times New Roman" w:eastAsia="方正仿宋_GBK" w:cs="Times New Roman"/>
          <w:color w:val="auto"/>
          <w:kern w:val="2"/>
          <w:sz w:val="32"/>
          <w:szCs w:val="32"/>
          <w:highlight w:val="none"/>
          <w:lang w:val="zh-CN" w:eastAsia="zh-CN" w:bidi="ar-SA"/>
        </w:rPr>
        <w:t>养老保险缴费支出（项）：反映</w:t>
      </w:r>
      <w:r>
        <w:rPr>
          <w:rFonts w:hint="default" w:ascii="Times New Roman" w:hAnsi="Times New Roman" w:eastAsia="方正仿宋_GBK" w:cs="Times New Roman"/>
          <w:color w:val="auto"/>
          <w:kern w:val="2"/>
          <w:sz w:val="32"/>
          <w:szCs w:val="32"/>
          <w:highlight w:val="none"/>
          <w:lang w:val="en-US" w:eastAsia="zh-CN" w:bidi="ar-SA"/>
        </w:rPr>
        <w:t>机关事业单位实施养老保险制度由单位缴纳的基本养老保险费支出</w:t>
      </w:r>
      <w:r>
        <w:rPr>
          <w:rFonts w:hint="default" w:ascii="Times New Roman" w:hAnsi="Times New Roman" w:eastAsia="方正仿宋_GBK" w:cs="Times New Roman"/>
          <w:color w:val="auto"/>
          <w:kern w:val="2"/>
          <w:sz w:val="32"/>
          <w:szCs w:val="32"/>
          <w:highlight w:val="none"/>
          <w:lang w:val="zh-CN" w:eastAsia="zh-CN" w:bidi="ar-SA"/>
        </w:rPr>
        <w:t>。</w:t>
      </w:r>
    </w:p>
    <w:p w14:paraId="2AA534DA">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w:t>
      </w:r>
      <w:r>
        <w:rPr>
          <w:rFonts w:hint="default" w:ascii="Times New Roman" w:hAnsi="Times New Roman" w:eastAsia="方正仿宋_GBK" w:cs="Times New Roman"/>
          <w:color w:val="auto"/>
          <w:kern w:val="2"/>
          <w:sz w:val="32"/>
          <w:szCs w:val="32"/>
          <w:highlight w:val="none"/>
          <w:lang w:val="en-US" w:eastAsia="zh-CN" w:bidi="ar-SA"/>
        </w:rPr>
        <w:t>5</w:t>
      </w:r>
      <w:r>
        <w:rPr>
          <w:rFonts w:hint="default" w:ascii="Times New Roman" w:hAnsi="Times New Roman" w:eastAsia="方正仿宋_GBK" w:cs="Times New Roman"/>
          <w:color w:val="auto"/>
          <w:kern w:val="2"/>
          <w:sz w:val="32"/>
          <w:szCs w:val="32"/>
          <w:highlight w:val="none"/>
          <w:lang w:val="zh-CN" w:eastAsia="zh-CN" w:bidi="ar-SA"/>
        </w:rPr>
        <w:t>.卫生健康支出（类）</w:t>
      </w:r>
      <w:r>
        <w:rPr>
          <w:rFonts w:hint="default" w:ascii="Times New Roman" w:hAnsi="Times New Roman" w:eastAsia="方正仿宋_GBK" w:cs="Times New Roman"/>
          <w:color w:val="auto"/>
          <w:kern w:val="2"/>
          <w:sz w:val="32"/>
          <w:szCs w:val="32"/>
          <w:highlight w:val="none"/>
          <w:lang w:val="en-US" w:eastAsia="zh-CN" w:bidi="ar-SA"/>
        </w:rPr>
        <w:t>行政事业单位医疗</w:t>
      </w:r>
      <w:r>
        <w:rPr>
          <w:rFonts w:hint="default" w:ascii="Times New Roman" w:hAnsi="Times New Roman" w:eastAsia="方正仿宋_GBK" w:cs="Times New Roman"/>
          <w:color w:val="auto"/>
          <w:kern w:val="2"/>
          <w:sz w:val="32"/>
          <w:szCs w:val="32"/>
          <w:highlight w:val="none"/>
          <w:lang w:val="zh-CN" w:eastAsia="zh-CN" w:bidi="ar-SA"/>
        </w:rPr>
        <w:t>（款）</w:t>
      </w:r>
      <w:r>
        <w:rPr>
          <w:rFonts w:hint="default" w:ascii="Times New Roman" w:hAnsi="Times New Roman" w:eastAsia="方正仿宋_GBK" w:cs="Times New Roman"/>
          <w:color w:val="auto"/>
          <w:kern w:val="2"/>
          <w:sz w:val="32"/>
          <w:szCs w:val="32"/>
          <w:highlight w:val="none"/>
          <w:lang w:val="en-US" w:eastAsia="zh-CN" w:bidi="ar-SA"/>
        </w:rPr>
        <w:t>事业单位医疗</w:t>
      </w:r>
      <w:r>
        <w:rPr>
          <w:rFonts w:hint="default" w:ascii="Times New Roman" w:hAnsi="Times New Roman" w:eastAsia="方正仿宋_GBK" w:cs="Times New Roman"/>
          <w:color w:val="auto"/>
          <w:kern w:val="2"/>
          <w:sz w:val="32"/>
          <w:szCs w:val="32"/>
          <w:highlight w:val="none"/>
          <w:lang w:val="zh-CN" w:eastAsia="zh-CN" w:bidi="ar-SA"/>
        </w:rPr>
        <w:t>（项）：反映财政部门安排的事业单位基本医疗保险缴费经费，未参加医疗保险的事业单位的公费医疗经费，按国家规定享受离休人员待遇的医疗经费。</w:t>
      </w:r>
    </w:p>
    <w:p w14:paraId="16FF25DC">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w:t>
      </w:r>
      <w:r>
        <w:rPr>
          <w:rFonts w:hint="default" w:ascii="Times New Roman" w:hAnsi="Times New Roman"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zh-CN" w:eastAsia="zh-CN" w:bidi="ar-SA"/>
        </w:rPr>
        <w:t>.卫生健康支出（类）</w:t>
      </w:r>
      <w:r>
        <w:rPr>
          <w:rFonts w:hint="default" w:ascii="Times New Roman" w:hAnsi="Times New Roman" w:eastAsia="方正仿宋_GBK" w:cs="Times New Roman"/>
          <w:color w:val="auto"/>
          <w:kern w:val="2"/>
          <w:sz w:val="32"/>
          <w:szCs w:val="32"/>
          <w:highlight w:val="none"/>
          <w:lang w:val="en-US" w:eastAsia="zh-CN" w:bidi="ar-SA"/>
        </w:rPr>
        <w:t>行政事业单位医疗</w:t>
      </w:r>
      <w:r>
        <w:rPr>
          <w:rFonts w:hint="default" w:ascii="Times New Roman" w:hAnsi="Times New Roman" w:eastAsia="方正仿宋_GBK" w:cs="Times New Roman"/>
          <w:color w:val="auto"/>
          <w:kern w:val="2"/>
          <w:sz w:val="32"/>
          <w:szCs w:val="32"/>
          <w:highlight w:val="none"/>
          <w:lang w:val="zh-CN" w:eastAsia="zh-CN" w:bidi="ar-SA"/>
        </w:rPr>
        <w:t>（款）</w:t>
      </w:r>
      <w:r>
        <w:rPr>
          <w:rFonts w:hint="default" w:ascii="Times New Roman" w:hAnsi="Times New Roman" w:eastAsia="方正仿宋_GBK" w:cs="Times New Roman"/>
          <w:color w:val="auto"/>
          <w:kern w:val="2"/>
          <w:sz w:val="32"/>
          <w:szCs w:val="32"/>
          <w:highlight w:val="none"/>
          <w:lang w:val="en-US" w:eastAsia="zh-CN" w:bidi="ar-SA"/>
        </w:rPr>
        <w:t>行政单位医疗</w:t>
      </w:r>
      <w:r>
        <w:rPr>
          <w:rFonts w:hint="default" w:ascii="Times New Roman" w:hAnsi="Times New Roman" w:eastAsia="方正仿宋_GBK" w:cs="Times New Roman"/>
          <w:color w:val="auto"/>
          <w:kern w:val="2"/>
          <w:sz w:val="32"/>
          <w:szCs w:val="32"/>
          <w:highlight w:val="none"/>
          <w:lang w:val="zh-CN" w:eastAsia="zh-CN" w:bidi="ar-SA"/>
        </w:rPr>
        <w:t>（项）：反映财政部门安排的</w:t>
      </w:r>
      <w:r>
        <w:rPr>
          <w:rFonts w:hint="default" w:ascii="Times New Roman" w:hAnsi="Times New Roman" w:eastAsia="方正仿宋_GBK" w:cs="Times New Roman"/>
          <w:color w:val="auto"/>
          <w:kern w:val="2"/>
          <w:sz w:val="32"/>
          <w:szCs w:val="32"/>
          <w:highlight w:val="none"/>
          <w:lang w:val="en-US" w:eastAsia="zh-CN" w:bidi="ar-SA"/>
        </w:rPr>
        <w:t>行政</w:t>
      </w:r>
      <w:r>
        <w:rPr>
          <w:rFonts w:hint="default" w:ascii="Times New Roman" w:hAnsi="Times New Roman" w:eastAsia="方正仿宋_GBK" w:cs="Times New Roman"/>
          <w:color w:val="auto"/>
          <w:kern w:val="2"/>
          <w:sz w:val="32"/>
          <w:szCs w:val="32"/>
          <w:highlight w:val="none"/>
          <w:lang w:val="zh-CN" w:eastAsia="zh-CN" w:bidi="ar-SA"/>
        </w:rPr>
        <w:t>单位基本医疗保险缴费经费，未参加医疗保险的</w:t>
      </w:r>
      <w:r>
        <w:rPr>
          <w:rFonts w:hint="default" w:ascii="Times New Roman" w:hAnsi="Times New Roman" w:eastAsia="方正仿宋_GBK" w:cs="Times New Roman"/>
          <w:color w:val="auto"/>
          <w:kern w:val="2"/>
          <w:sz w:val="32"/>
          <w:szCs w:val="32"/>
          <w:highlight w:val="none"/>
          <w:lang w:val="en-US" w:eastAsia="zh-CN" w:bidi="ar-SA"/>
        </w:rPr>
        <w:t>行政</w:t>
      </w:r>
      <w:r>
        <w:rPr>
          <w:rFonts w:hint="default" w:ascii="Times New Roman" w:hAnsi="Times New Roman" w:eastAsia="方正仿宋_GBK" w:cs="Times New Roman"/>
          <w:color w:val="auto"/>
          <w:kern w:val="2"/>
          <w:sz w:val="32"/>
          <w:szCs w:val="32"/>
          <w:highlight w:val="none"/>
          <w:lang w:val="zh-CN" w:eastAsia="zh-CN" w:bidi="ar-SA"/>
        </w:rPr>
        <w:t>单位的公费医疗经费，按国家规定享受离休人员、</w:t>
      </w:r>
      <w:r>
        <w:rPr>
          <w:rFonts w:hint="default" w:ascii="Times New Roman" w:hAnsi="Times New Roman" w:eastAsia="方正仿宋_GBK" w:cs="Times New Roman"/>
          <w:color w:val="auto"/>
          <w:kern w:val="2"/>
          <w:sz w:val="32"/>
          <w:szCs w:val="32"/>
          <w:highlight w:val="none"/>
          <w:lang w:val="en-US" w:eastAsia="zh-CN" w:bidi="ar-SA"/>
        </w:rPr>
        <w:t>红军老战士</w:t>
      </w:r>
      <w:r>
        <w:rPr>
          <w:rFonts w:hint="default" w:ascii="Times New Roman" w:hAnsi="Times New Roman" w:eastAsia="方正仿宋_GBK" w:cs="Times New Roman"/>
          <w:color w:val="auto"/>
          <w:kern w:val="2"/>
          <w:sz w:val="32"/>
          <w:szCs w:val="32"/>
          <w:highlight w:val="none"/>
          <w:lang w:val="zh-CN" w:eastAsia="zh-CN" w:bidi="ar-SA"/>
        </w:rPr>
        <w:t>待遇的医疗经费。</w:t>
      </w:r>
    </w:p>
    <w:p w14:paraId="64839B81">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17.</w:t>
      </w:r>
      <w:r>
        <w:rPr>
          <w:rFonts w:hint="default" w:ascii="Times New Roman" w:hAnsi="Times New Roman" w:eastAsia="方正仿宋_GBK" w:cs="Times New Roman"/>
          <w:color w:val="auto"/>
          <w:kern w:val="2"/>
          <w:sz w:val="32"/>
          <w:szCs w:val="32"/>
          <w:highlight w:val="none"/>
          <w:lang w:val="zh-CN" w:eastAsia="zh-CN" w:bidi="ar-SA"/>
        </w:rPr>
        <w:t>卫生健康支出（类）</w:t>
      </w:r>
      <w:r>
        <w:rPr>
          <w:rFonts w:hint="default" w:ascii="Times New Roman" w:hAnsi="Times New Roman" w:eastAsia="方正仿宋_GBK" w:cs="Times New Roman"/>
          <w:color w:val="auto"/>
          <w:kern w:val="2"/>
          <w:sz w:val="32"/>
          <w:szCs w:val="32"/>
          <w:highlight w:val="none"/>
          <w:lang w:val="en-US" w:eastAsia="zh-CN" w:bidi="ar-SA"/>
        </w:rPr>
        <w:t>行政事业单位医疗</w:t>
      </w:r>
      <w:r>
        <w:rPr>
          <w:rFonts w:hint="default" w:ascii="Times New Roman" w:hAnsi="Times New Roman" w:eastAsia="方正仿宋_GBK" w:cs="Times New Roman"/>
          <w:color w:val="auto"/>
          <w:kern w:val="2"/>
          <w:sz w:val="32"/>
          <w:szCs w:val="32"/>
          <w:highlight w:val="none"/>
          <w:lang w:val="zh-CN" w:eastAsia="zh-CN" w:bidi="ar-SA"/>
        </w:rPr>
        <w:t>（款）</w:t>
      </w:r>
      <w:r>
        <w:rPr>
          <w:rFonts w:hint="default" w:ascii="Times New Roman" w:hAnsi="Times New Roman" w:eastAsia="方正仿宋_GBK" w:cs="Times New Roman"/>
          <w:color w:val="auto"/>
          <w:kern w:val="2"/>
          <w:sz w:val="32"/>
          <w:szCs w:val="32"/>
          <w:highlight w:val="none"/>
          <w:lang w:val="en-US" w:eastAsia="zh-CN" w:bidi="ar-SA"/>
        </w:rPr>
        <w:t>公务员医疗补助</w:t>
      </w:r>
      <w:r>
        <w:rPr>
          <w:rFonts w:hint="default" w:ascii="Times New Roman" w:hAnsi="Times New Roman" w:eastAsia="方正仿宋_GBK" w:cs="Times New Roman"/>
          <w:color w:val="auto"/>
          <w:kern w:val="2"/>
          <w:sz w:val="32"/>
          <w:szCs w:val="32"/>
          <w:highlight w:val="none"/>
          <w:lang w:val="zh-CN" w:eastAsia="zh-CN" w:bidi="ar-SA"/>
        </w:rPr>
        <w:t>（项）：</w:t>
      </w:r>
      <w:r>
        <w:rPr>
          <w:rFonts w:hint="default" w:ascii="Times New Roman" w:hAnsi="Times New Roman" w:eastAsia="方正仿宋_GBK" w:cs="Times New Roman"/>
          <w:color w:val="auto"/>
          <w:kern w:val="2"/>
          <w:sz w:val="32"/>
          <w:szCs w:val="32"/>
          <w:highlight w:val="none"/>
          <w:lang w:val="en-US" w:eastAsia="zh-CN" w:bidi="ar-SA"/>
        </w:rPr>
        <w:t>反映财政部门安排的公务员医疗补助经费。</w:t>
      </w:r>
    </w:p>
    <w:p w14:paraId="05917C99">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18</w:t>
      </w:r>
      <w:r>
        <w:rPr>
          <w:rFonts w:hint="default" w:ascii="Times New Roman" w:hAnsi="Times New Roman" w:eastAsia="方正仿宋_GBK" w:cs="Times New Roman"/>
          <w:color w:val="auto"/>
          <w:kern w:val="2"/>
          <w:sz w:val="32"/>
          <w:szCs w:val="32"/>
          <w:highlight w:val="none"/>
          <w:lang w:val="zh-CN" w:eastAsia="zh-CN" w:bidi="ar-SA"/>
        </w:rPr>
        <w:t>.卫生健康支出（类）</w:t>
      </w:r>
      <w:r>
        <w:rPr>
          <w:rFonts w:hint="default" w:ascii="Times New Roman" w:hAnsi="Times New Roman" w:eastAsia="方正仿宋_GBK" w:cs="Times New Roman"/>
          <w:color w:val="auto"/>
          <w:kern w:val="2"/>
          <w:sz w:val="32"/>
          <w:szCs w:val="32"/>
          <w:highlight w:val="none"/>
          <w:lang w:val="en-US" w:eastAsia="zh-CN" w:bidi="ar-SA"/>
        </w:rPr>
        <w:t>行政事业单位医疗</w:t>
      </w:r>
      <w:r>
        <w:rPr>
          <w:rFonts w:hint="default" w:ascii="Times New Roman" w:hAnsi="Times New Roman" w:eastAsia="方正仿宋_GBK" w:cs="Times New Roman"/>
          <w:color w:val="auto"/>
          <w:kern w:val="2"/>
          <w:sz w:val="32"/>
          <w:szCs w:val="32"/>
          <w:highlight w:val="none"/>
          <w:lang w:val="zh-CN" w:eastAsia="zh-CN" w:bidi="ar-SA"/>
        </w:rPr>
        <w:t>（款）其他行政事业单位医疗支出（项）：反映除上述项目以外的其他用于行政事业单位医疗方面的支出。</w:t>
      </w:r>
    </w:p>
    <w:p w14:paraId="5C695578">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19</w:t>
      </w:r>
      <w:r>
        <w:rPr>
          <w:rFonts w:hint="default" w:ascii="Times New Roman" w:hAnsi="Times New Roman" w:eastAsia="方正仿宋_GBK" w:cs="Times New Roman"/>
          <w:color w:val="auto"/>
          <w:kern w:val="2"/>
          <w:sz w:val="32"/>
          <w:szCs w:val="32"/>
          <w:highlight w:val="none"/>
          <w:lang w:val="zh-CN" w:eastAsia="zh-CN" w:bidi="ar-SA"/>
        </w:rPr>
        <w:t>.住房保障</w:t>
      </w:r>
      <w:r>
        <w:rPr>
          <w:rFonts w:hint="default" w:ascii="Times New Roman" w:hAnsi="Times New Roman" w:eastAsia="方正仿宋_GBK" w:cs="Times New Roman"/>
          <w:color w:val="auto"/>
          <w:kern w:val="2"/>
          <w:sz w:val="32"/>
          <w:szCs w:val="32"/>
          <w:highlight w:val="none"/>
          <w:lang w:val="en-US" w:eastAsia="zh-CN" w:bidi="ar-SA"/>
        </w:rPr>
        <w:t>支出</w:t>
      </w:r>
      <w:r>
        <w:rPr>
          <w:rFonts w:hint="default" w:ascii="Times New Roman" w:hAnsi="Times New Roman" w:eastAsia="方正仿宋_GBK" w:cs="Times New Roman"/>
          <w:color w:val="auto"/>
          <w:kern w:val="2"/>
          <w:sz w:val="32"/>
          <w:szCs w:val="32"/>
          <w:highlight w:val="none"/>
          <w:lang w:val="zh-CN" w:eastAsia="zh-CN" w:bidi="ar-SA"/>
        </w:rPr>
        <w:t>（类）住房改革支出（款）住房公积金（项）：反映</w:t>
      </w:r>
      <w:r>
        <w:rPr>
          <w:rFonts w:hint="default" w:ascii="Times New Roman" w:hAnsi="Times New Roman" w:eastAsia="方正仿宋_GBK" w:cs="Times New Roman"/>
          <w:color w:val="auto"/>
          <w:kern w:val="2"/>
          <w:sz w:val="32"/>
          <w:szCs w:val="32"/>
          <w:highlight w:val="none"/>
          <w:lang w:val="en-US" w:eastAsia="zh-CN" w:bidi="ar-SA"/>
        </w:rPr>
        <w:t>行政事业单位按人力资源和社会保障部、财政部规定的基本工资和津贴补贴以及规定比例为职工缴纳的住房公积金。</w:t>
      </w:r>
    </w:p>
    <w:p w14:paraId="6BBED24A">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20.基本支出：指为保障机构正常运转、完成日常工作任务而发生的人员支出和公用支出。</w:t>
      </w:r>
    </w:p>
    <w:p w14:paraId="20F716FA">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21.项目支出：指在基本支出之外为完成特定行政任务和事业发展目标所发生的支出。 </w:t>
      </w:r>
    </w:p>
    <w:p w14:paraId="32697B9B">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22.“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1CFC0BF">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A18E04D">
      <w:pPr>
        <w:spacing w:line="600" w:lineRule="exact"/>
        <w:jc w:val="center"/>
        <w:rPr>
          <w:rStyle w:val="29"/>
          <w:rFonts w:hint="default" w:ascii="Times New Roman" w:hAnsi="Times New Roman" w:eastAsia="方正小标宋_GBK" w:cs="Times New Roman"/>
          <w:b/>
          <w:bCs/>
          <w:sz w:val="44"/>
          <w:szCs w:val="44"/>
        </w:rPr>
      </w:pPr>
      <w:r>
        <w:rPr>
          <w:rFonts w:hint="default" w:ascii="Times New Roman" w:hAnsi="Times New Roman" w:eastAsia="方正仿宋_GBK" w:cs="Times New Roman"/>
          <w:color w:val="auto"/>
          <w:sz w:val="32"/>
          <w:szCs w:val="32"/>
        </w:rPr>
        <w:br w:type="page"/>
      </w:r>
      <w:r>
        <w:rPr>
          <w:rFonts w:hint="default" w:ascii="Times New Roman" w:hAnsi="Times New Roman" w:eastAsia="方正小标宋_GBK" w:cs="Times New Roman"/>
          <w:b/>
          <w:bCs/>
          <w:sz w:val="44"/>
          <w:szCs w:val="44"/>
        </w:rPr>
        <w:t>第四部分  附件</w:t>
      </w:r>
      <w:bookmarkEnd w:id="49"/>
    </w:p>
    <w:p w14:paraId="529931E9">
      <w:pPr>
        <w:spacing w:line="572" w:lineRule="exact"/>
        <w:jc w:val="left"/>
        <w:outlineLvl w:val="0"/>
        <w:rPr>
          <w:rFonts w:hint="default" w:ascii="Times New Roman" w:hAnsi="Times New Roman" w:eastAsia="方正仿宋_GBK" w:cs="Times New Roman"/>
          <w:sz w:val="32"/>
          <w:szCs w:val="32"/>
        </w:rPr>
      </w:pPr>
    </w:p>
    <w:p w14:paraId="59195B9C">
      <w:pPr>
        <w:spacing w:line="572" w:lineRule="exact"/>
        <w:jc w:val="left"/>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14:paraId="3F8C71E4">
      <w:pPr>
        <w:widowControl/>
        <w:spacing w:line="578" w:lineRule="exact"/>
        <w:contextualSpacing/>
        <w:jc w:val="center"/>
        <w:rPr>
          <w:rFonts w:hint="default" w:ascii="Times New Roman" w:hAnsi="Times New Roman" w:eastAsia="方正仿宋_GBK" w:cs="Times New Roman"/>
          <w:bCs/>
          <w:sz w:val="32"/>
          <w:szCs w:val="32"/>
          <w:shd w:val="clear" w:color="auto" w:fill="FFFFFF"/>
        </w:rPr>
      </w:pPr>
    </w:p>
    <w:p w14:paraId="1B885283">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pPr>
      <w:r>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t>2024年中共盐边县委党校</w:t>
      </w:r>
    </w:p>
    <w:p w14:paraId="6E07CA24">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pPr>
      <w:r>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t>部门预算绩效评价报告</w:t>
      </w:r>
    </w:p>
    <w:p w14:paraId="39F17B48">
      <w:pPr>
        <w:pStyle w:val="20"/>
        <w:rPr>
          <w:rFonts w:hint="default" w:ascii="Times New Roman" w:hAnsi="Times New Roman" w:eastAsia="方正仿宋_GBK" w:cs="Times New Roman"/>
          <w:sz w:val="32"/>
          <w:szCs w:val="32"/>
        </w:rPr>
      </w:pPr>
    </w:p>
    <w:p w14:paraId="3E5F35A8">
      <w:pPr>
        <w:widowControl/>
        <w:adjustRightInd w:val="0"/>
        <w:snapToGrid w:val="0"/>
        <w:spacing w:line="578" w:lineRule="exact"/>
        <w:ind w:firstLine="640" w:firstLineChars="200"/>
        <w:contextualSpacing/>
        <w:jc w:val="left"/>
        <w:rPr>
          <w:rFonts w:hint="default" w:ascii="Times New Roman" w:hAnsi="Times New Roman" w:eastAsia="方正黑体_GBK" w:cs="Times New Roman"/>
          <w:kern w:val="0"/>
          <w:sz w:val="32"/>
          <w:szCs w:val="32"/>
          <w:shd w:val="clear" w:color="auto" w:fill="FFFFFF"/>
          <w:lang w:val="zh-CN"/>
        </w:rPr>
      </w:pPr>
      <w:r>
        <w:rPr>
          <w:rFonts w:hint="default" w:ascii="Times New Roman" w:hAnsi="Times New Roman" w:eastAsia="方正黑体_GBK" w:cs="Times New Roman"/>
          <w:kern w:val="0"/>
          <w:sz w:val="32"/>
          <w:szCs w:val="32"/>
          <w:shd w:val="clear" w:color="auto" w:fill="FFFFFF"/>
          <w:lang w:val="zh-CN"/>
        </w:rPr>
        <w:t>一、部门（单位）基本情况</w:t>
      </w:r>
    </w:p>
    <w:p w14:paraId="57B764CE">
      <w:pPr>
        <w:widowControl/>
        <w:adjustRightInd w:val="0"/>
        <w:snapToGrid w:val="0"/>
        <w:spacing w:line="578" w:lineRule="exact"/>
        <w:ind w:firstLine="643" w:firstLineChars="200"/>
        <w:contextualSpacing/>
        <w:jc w:val="left"/>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rPr>
        <w:t>（一）机构组成。</w:t>
      </w:r>
      <w:r>
        <w:rPr>
          <w:rFonts w:hint="default" w:ascii="Times New Roman" w:hAnsi="Times New Roman" w:eastAsia="方正仿宋_GBK" w:cs="Times New Roman"/>
          <w:color w:val="auto"/>
          <w:kern w:val="2"/>
          <w:sz w:val="32"/>
          <w:szCs w:val="32"/>
          <w:highlight w:val="none"/>
          <w:lang w:val="zh-CN" w:eastAsia="zh-CN" w:bidi="ar-SA"/>
        </w:rPr>
        <w:t>中共盐边县委党校为独立核算单位。</w:t>
      </w:r>
      <w:r>
        <w:rPr>
          <w:rFonts w:hint="default" w:ascii="Times New Roman" w:hAnsi="Times New Roman" w:eastAsia="方正仿宋_GBK" w:cs="Times New Roman"/>
          <w:color w:val="auto"/>
          <w:kern w:val="2"/>
          <w:sz w:val="32"/>
          <w:szCs w:val="32"/>
          <w:highlight w:val="none"/>
          <w:lang w:val="en-US" w:eastAsia="zh-CN" w:bidi="ar-SA"/>
        </w:rPr>
        <w:t>中共盐边县委党校</w:t>
      </w:r>
      <w:r>
        <w:rPr>
          <w:rFonts w:hint="default" w:ascii="Times New Roman" w:hAnsi="Times New Roman" w:eastAsia="方正仿宋_GBK" w:cs="Times New Roman"/>
          <w:sz w:val="32"/>
          <w:szCs w:val="32"/>
        </w:rPr>
        <w:t>下属非独立核算单位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其中：其他事业单位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个。主要包括：</w:t>
      </w:r>
      <w:r>
        <w:rPr>
          <w:rFonts w:hint="default" w:ascii="Times New Roman" w:hAnsi="Times New Roman" w:eastAsia="方正仿宋_GBK" w:cs="Times New Roman"/>
          <w:sz w:val="32"/>
          <w:szCs w:val="32"/>
          <w:lang w:val="en-US" w:eastAsia="zh-CN"/>
        </w:rPr>
        <w:t>盐边县乡村振兴学校</w:t>
      </w:r>
      <w:r>
        <w:rPr>
          <w:rFonts w:hint="default" w:ascii="Times New Roman" w:hAnsi="Times New Roman" w:eastAsia="方正仿宋_GBK" w:cs="Times New Roman"/>
          <w:color w:val="auto"/>
          <w:kern w:val="2"/>
          <w:sz w:val="32"/>
          <w:szCs w:val="32"/>
          <w:highlight w:val="none"/>
          <w:lang w:val="zh-CN" w:eastAsia="zh-CN" w:bidi="ar-SA"/>
        </w:rPr>
        <w:t>。</w:t>
      </w:r>
    </w:p>
    <w:p w14:paraId="726C0371">
      <w:pPr>
        <w:pStyle w:val="28"/>
        <w:spacing w:line="600" w:lineRule="exact"/>
        <w:ind w:firstLine="640"/>
        <w:outlineLvl w:val="1"/>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kern w:val="2"/>
          <w:sz w:val="32"/>
          <w:szCs w:val="32"/>
          <w:lang w:val="zh-CN" w:eastAsia="zh-CN" w:bidi="ar-SA"/>
        </w:rPr>
        <w:t>（二）机构职能。</w:t>
      </w:r>
      <w:r>
        <w:rPr>
          <w:rFonts w:hint="default" w:ascii="Times New Roman" w:hAnsi="Times New Roman" w:eastAsia="方正仿宋_GBK" w:cs="Times New Roman"/>
          <w:color w:val="auto"/>
          <w:kern w:val="2"/>
          <w:sz w:val="32"/>
          <w:szCs w:val="32"/>
          <w:highlight w:val="none"/>
          <w:lang w:val="en-US" w:eastAsia="zh-CN" w:bidi="ar-SA"/>
        </w:rPr>
        <w:t>中共盐边县委党校属于参公事业单位，主要职能是培 训各级党员和干部；承办县委和县政府举办的专题研讨班；围绕党的建设的重大课题和全县经济、社会、生态文明等开展科学研究，推进理论创新，聚焦全县发展战略部署开展咨政调研，作出决策咨政建议；根据县委及组织人事部门的统一安排部署，举办多种形式的干部专题教育和培训，提高干部素质能力；承担县委、县政府和市委党校交办的其他任务。</w:t>
      </w:r>
    </w:p>
    <w:p w14:paraId="5D03C70B">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rPr>
        <w:t>（三）人员概况。</w:t>
      </w:r>
      <w:r>
        <w:rPr>
          <w:rFonts w:hint="default" w:ascii="Times New Roman" w:hAnsi="Times New Roman" w:eastAsia="方正仿宋_GBK" w:cs="Times New Roman"/>
          <w:color w:val="auto"/>
          <w:kern w:val="2"/>
          <w:sz w:val="32"/>
          <w:szCs w:val="32"/>
          <w:highlight w:val="none"/>
          <w:lang w:val="en-US" w:eastAsia="zh-CN" w:bidi="ar-SA"/>
        </w:rPr>
        <w:t>中共盐边县委学校机关编制数 15人，其中：行政编制 7人，事业编制 8人，2024年末实有在职人数 14人，退休 7人，其中行政编制实有 7人，与上年相比减少 1人，原因 是退休 1人；事业编制实有 7人，与上年相比增加 1人， 原因是调进 2人，调出 1人</w:t>
      </w:r>
    </w:p>
    <w:p w14:paraId="6F8A8718">
      <w:pPr>
        <w:widowControl/>
        <w:adjustRightInd w:val="0"/>
        <w:snapToGrid w:val="0"/>
        <w:spacing w:line="578" w:lineRule="exact"/>
        <w:ind w:firstLine="640" w:firstLineChars="200"/>
        <w:contextualSpacing/>
        <w:jc w:val="left"/>
        <w:rPr>
          <w:rFonts w:hint="default" w:ascii="Times New Roman" w:hAnsi="Times New Roman" w:eastAsia="方正黑体_GBK" w:cs="Times New Roman"/>
          <w:kern w:val="0"/>
          <w:sz w:val="32"/>
          <w:szCs w:val="32"/>
          <w:shd w:val="clear" w:color="auto" w:fill="FFFFFF"/>
          <w:lang w:val="zh-CN"/>
        </w:rPr>
      </w:pPr>
      <w:r>
        <w:rPr>
          <w:rFonts w:hint="default" w:ascii="Times New Roman" w:hAnsi="Times New Roman" w:eastAsia="方正黑体_GBK" w:cs="Times New Roman"/>
          <w:kern w:val="0"/>
          <w:sz w:val="32"/>
          <w:szCs w:val="32"/>
          <w:shd w:val="clear" w:color="auto" w:fill="FFFFFF"/>
          <w:lang w:val="zh-CN"/>
        </w:rPr>
        <w:t>二、部门资金收支情况</w:t>
      </w:r>
    </w:p>
    <w:p w14:paraId="08B6592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（一）收入情况。</w:t>
      </w:r>
      <w:r>
        <w:rPr>
          <w:rFonts w:hint="default" w:ascii="Times New Roman" w:hAnsi="Times New Roman" w:eastAsia="方正仿宋_GBK" w:cs="Times New Roman"/>
          <w:color w:val="auto"/>
          <w:kern w:val="2"/>
          <w:sz w:val="32"/>
          <w:szCs w:val="32"/>
          <w:highlight w:val="none"/>
          <w:lang w:val="en-US" w:eastAsia="zh-CN" w:bidi="ar-SA"/>
        </w:rPr>
        <w:t>中共盐边县委党校</w:t>
      </w:r>
      <w:r>
        <w:rPr>
          <w:rFonts w:hint="default" w:ascii="Times New Roman" w:hAnsi="Times New Roman" w:eastAsia="方正仿宋_GBK" w:cs="Times New Roman"/>
          <w:color w:val="auto"/>
          <w:kern w:val="2"/>
          <w:sz w:val="32"/>
          <w:szCs w:val="32"/>
          <w:highlight w:val="none"/>
          <w:lang w:val="zh-CN" w:eastAsia="zh-CN" w:bidi="ar-SA"/>
        </w:rPr>
        <w:t>部门202</w:t>
      </w:r>
      <w:r>
        <w:rPr>
          <w:rFonts w:hint="default" w:ascii="Times New Roman" w:hAnsi="Times New Roman" w:eastAsia="方正仿宋_GBK" w:cs="Times New Roman"/>
          <w:color w:val="auto"/>
          <w:kern w:val="2"/>
          <w:sz w:val="32"/>
          <w:szCs w:val="32"/>
          <w:highlight w:val="none"/>
          <w:lang w:val="en-US" w:eastAsia="zh-CN" w:bidi="ar-SA"/>
        </w:rPr>
        <w:t>4年</w:t>
      </w:r>
      <w:r>
        <w:rPr>
          <w:rFonts w:hint="default" w:ascii="Times New Roman" w:hAnsi="Times New Roman" w:eastAsia="方正仿宋_GBK" w:cs="Times New Roman"/>
          <w:color w:val="auto"/>
          <w:kern w:val="2"/>
          <w:sz w:val="32"/>
          <w:szCs w:val="32"/>
          <w:highlight w:val="none"/>
          <w:lang w:val="zh-CN" w:eastAsia="zh-CN" w:bidi="ar-SA"/>
        </w:rPr>
        <w:t>年初</w:t>
      </w:r>
      <w:r>
        <w:rPr>
          <w:rFonts w:hint="default" w:ascii="Times New Roman" w:hAnsi="Times New Roman" w:eastAsia="方正仿宋_GBK" w:cs="Times New Roman"/>
          <w:color w:val="auto"/>
          <w:kern w:val="2"/>
          <w:sz w:val="32"/>
          <w:szCs w:val="32"/>
          <w:highlight w:val="none"/>
          <w:lang w:val="en-US" w:eastAsia="zh-CN" w:bidi="ar-SA"/>
        </w:rPr>
        <w:t>预算收入为655.12万元、当年调增和调减后，决算报表收入为763.44万元。</w:t>
      </w:r>
    </w:p>
    <w:p w14:paraId="0A5C4FF8">
      <w:pPr>
        <w:widowControl/>
        <w:adjustRightInd w:val="0"/>
        <w:snapToGrid w:val="0"/>
        <w:spacing w:line="578" w:lineRule="exact"/>
        <w:ind w:firstLine="643" w:firstLineChars="200"/>
        <w:contextualSpacing/>
        <w:jc w:val="left"/>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（二）支出情况。</w:t>
      </w:r>
      <w:r>
        <w:rPr>
          <w:rFonts w:hint="default" w:ascii="Times New Roman" w:hAnsi="Times New Roman" w:eastAsia="方正仿宋_GBK" w:cs="Times New Roman"/>
          <w:color w:val="auto"/>
          <w:kern w:val="2"/>
          <w:sz w:val="32"/>
          <w:szCs w:val="32"/>
          <w:highlight w:val="none"/>
          <w:lang w:val="en-US" w:eastAsia="zh-CN" w:bidi="ar-SA"/>
        </w:rPr>
        <w:t>中共盐边县委党校部门2024年年初预算支出655.12万元，。在预算执行过程中调增和调减后，决算报表支出为763.44万元。其中基本支出326.33万元，项目支出437.11万元。</w:t>
      </w:r>
    </w:p>
    <w:p w14:paraId="2EB6015E">
      <w:pPr>
        <w:spacing w:line="560" w:lineRule="exact"/>
        <w:ind w:firstLine="643" w:firstLineChars="200"/>
        <w:rPr>
          <w:rFonts w:hint="default" w:ascii="Times New Roman" w:hAnsi="Times New Roman" w:eastAsia="方正仿宋_GBK" w:cs="Times New Roman"/>
          <w:b/>
          <w:sz w:val="32"/>
          <w:szCs w:val="32"/>
          <w:lang w:eastAsia="zh-CN"/>
        </w:rPr>
      </w:pPr>
      <w:r>
        <w:rPr>
          <w:rFonts w:hint="default" w:ascii="Times New Roman" w:hAnsi="Times New Roman" w:eastAsia="方正仿宋_GBK" w:cs="Times New Roman"/>
          <w:b/>
          <w:sz w:val="32"/>
          <w:szCs w:val="32"/>
          <w:lang w:val="en-US" w:eastAsia="zh-CN"/>
        </w:rPr>
        <w:t>1</w:t>
      </w:r>
      <w:r>
        <w:rPr>
          <w:rFonts w:hint="default" w:ascii="Times New Roman" w:hAnsi="Times New Roman" w:eastAsia="方正仿宋_GBK" w:cs="Times New Roman"/>
          <w:b/>
          <w:sz w:val="32"/>
          <w:szCs w:val="32"/>
        </w:rPr>
        <w:t>.部门预算</w:t>
      </w:r>
      <w:r>
        <w:rPr>
          <w:rFonts w:hint="default" w:ascii="Times New Roman" w:hAnsi="Times New Roman" w:eastAsia="方正仿宋_GBK" w:cs="Times New Roman"/>
          <w:b/>
          <w:sz w:val="32"/>
          <w:szCs w:val="32"/>
          <w:lang w:val="en-US" w:eastAsia="zh-CN"/>
        </w:rPr>
        <w:t>基本支出</w:t>
      </w:r>
      <w:r>
        <w:rPr>
          <w:rFonts w:hint="default" w:ascii="Times New Roman" w:hAnsi="Times New Roman" w:eastAsia="方正仿宋_GBK" w:cs="Times New Roman"/>
          <w:b/>
          <w:sz w:val="32"/>
          <w:szCs w:val="32"/>
        </w:rPr>
        <w:t>安排及支出情况</w:t>
      </w:r>
      <w:r>
        <w:rPr>
          <w:rFonts w:hint="default" w:ascii="Times New Roman" w:hAnsi="Times New Roman" w:eastAsia="方正仿宋_GBK" w:cs="Times New Roman"/>
          <w:b/>
          <w:sz w:val="32"/>
          <w:szCs w:val="32"/>
          <w:lang w:eastAsia="zh-CN"/>
        </w:rPr>
        <w:t>。</w:t>
      </w:r>
    </w:p>
    <w:p w14:paraId="56A3FC9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2024年年初预算基本支出为285.12万元，其中人员经费258.87万元，日常公用经费26.25万元；在预算执行过程中调增和调减，基本支出决算数为326.33万元，其中人员经费302.63万元，日常公用经费23.7万元。</w:t>
      </w:r>
    </w:p>
    <w:p w14:paraId="5BC2561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302.63万元，主要包括：基本工资、津贴补贴、奖金、绩效工资、机关事业单位基本养老保险缴费、职工基本医疗保险缴费、公务员医疗保险缴费、其他社会保障缴费、住房公积金、医疗费、其他工资福利支出、生活补助、医疗费补助、奖励金等。</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公用经费23.7万元，主要包括：办公费、差旅费、培训费、公务接待费、工会经费、福利费、公务用车运行维护费、其他交通费、其他商品和服务支出等。</w:t>
      </w:r>
    </w:p>
    <w:p w14:paraId="05DF2CB8">
      <w:pPr>
        <w:spacing w:line="56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2.部门预算项目安排及支出情况。</w:t>
      </w:r>
    </w:p>
    <w:p w14:paraId="68B25AE3">
      <w:pPr>
        <w:pStyle w:val="5"/>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2024年年初部门预算安排项目支出370万元，在执行过程中调增和调减，项目支出决算为437.11万元。项目支出主要用于培训费、委托业务费、办公费、办公设备购置等方面的支出。</w:t>
      </w:r>
    </w:p>
    <w:p w14:paraId="400028F5">
      <w:pPr>
        <w:pageBreakBefore w:val="0"/>
        <w:widowControl w:val="0"/>
        <w:numPr>
          <w:ilvl w:val="0"/>
          <w:numId w:val="0"/>
        </w:numPr>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b/>
          <w:sz w:val="32"/>
          <w:szCs w:val="32"/>
          <w:lang w:val="zh-CN" w:eastAsia="zh-CN"/>
        </w:rPr>
        <w:t>（三）结余分配和结转结余情况。</w:t>
      </w:r>
      <w:r>
        <w:rPr>
          <w:rFonts w:hint="default" w:ascii="Times New Roman" w:hAnsi="Times New Roman" w:eastAsia="方正仿宋_GBK" w:cs="Times New Roman"/>
          <w:color w:val="auto"/>
          <w:kern w:val="2"/>
          <w:sz w:val="32"/>
          <w:szCs w:val="32"/>
          <w:highlight w:val="none"/>
          <w:lang w:val="en-US" w:eastAsia="zh-CN" w:bidi="ar-SA"/>
        </w:rPr>
        <w:t>中共盐边县委党校部门2024年决算报表，本年无结转结余</w:t>
      </w:r>
      <w:r>
        <w:rPr>
          <w:rFonts w:hint="default" w:ascii="Times New Roman" w:hAnsi="Times New Roman" w:eastAsia="方正仿宋_GBK" w:cs="Times New Roman"/>
          <w:kern w:val="0"/>
          <w:sz w:val="32"/>
          <w:szCs w:val="32"/>
          <w:shd w:val="clear" w:color="auto" w:fill="FFFFFF"/>
          <w:lang w:val="en-US" w:eastAsia="zh-CN" w:bidi="ar-SA"/>
        </w:rPr>
        <w:t>。</w:t>
      </w:r>
    </w:p>
    <w:p w14:paraId="40D6524C">
      <w:pPr>
        <w:widowControl/>
        <w:adjustRightInd w:val="0"/>
        <w:snapToGrid w:val="0"/>
        <w:spacing w:line="578" w:lineRule="exact"/>
        <w:ind w:firstLine="640" w:firstLineChars="200"/>
        <w:contextualSpacing/>
        <w:jc w:val="left"/>
        <w:rPr>
          <w:rFonts w:hint="default" w:ascii="Times New Roman" w:hAnsi="Times New Roman" w:eastAsia="方正黑体_GBK" w:cs="Times New Roman"/>
          <w:kern w:val="0"/>
          <w:sz w:val="32"/>
          <w:szCs w:val="32"/>
          <w:shd w:val="clear" w:color="auto" w:fill="FFFFFF"/>
          <w:lang w:val="zh-CN"/>
        </w:rPr>
      </w:pPr>
      <w:r>
        <w:rPr>
          <w:rFonts w:hint="default" w:ascii="Times New Roman" w:hAnsi="Times New Roman" w:eastAsia="方正黑体_GBK" w:cs="Times New Roman"/>
          <w:kern w:val="0"/>
          <w:sz w:val="32"/>
          <w:szCs w:val="32"/>
          <w:shd w:val="clear" w:color="auto" w:fill="FFFFFF"/>
          <w:lang w:val="zh-CN"/>
        </w:rPr>
        <w:t>三、部门预算绩效分析</w:t>
      </w:r>
    </w:p>
    <w:p w14:paraId="7F96E68C">
      <w:pPr>
        <w:widowControl/>
        <w:adjustRightInd w:val="0"/>
        <w:snapToGrid w:val="0"/>
        <w:spacing w:line="578" w:lineRule="exact"/>
        <w:ind w:firstLine="643" w:firstLineChars="200"/>
        <w:contextualSpacing/>
        <w:jc w:val="left"/>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（一）部门预算总体绩效分析。</w:t>
      </w:r>
    </w:p>
    <w:p w14:paraId="51D35DB3">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w:t>
      </w:r>
      <w:r>
        <w:rPr>
          <w:rFonts w:hint="default" w:ascii="Times New Roman" w:hAnsi="Times New Roman" w:eastAsia="方正仿宋_GBK" w:cs="Times New Roman"/>
          <w:color w:val="auto"/>
          <w:kern w:val="2"/>
          <w:sz w:val="32"/>
          <w:szCs w:val="32"/>
          <w:highlight w:val="none"/>
          <w:lang w:val="zh-CN" w:eastAsia="zh-CN" w:bidi="ar-SA"/>
        </w:rPr>
        <w:t>履职效能。</w:t>
      </w:r>
      <w:r>
        <w:rPr>
          <w:rFonts w:hint="default" w:ascii="Times New Roman" w:hAnsi="Times New Roman" w:eastAsia="方正仿宋_GBK" w:cs="Times New Roman"/>
          <w:color w:val="auto"/>
          <w:kern w:val="2"/>
          <w:sz w:val="32"/>
          <w:szCs w:val="32"/>
          <w:highlight w:val="none"/>
          <w:lang w:val="en-US" w:eastAsia="zh-CN" w:bidi="ar-SA"/>
        </w:rPr>
        <w:t>一是始终把政治建设摆在首位。坚持以习近平新时代中国特色社会主义思想为指导，不断强化党的二十届三中全会、省委十二届六次全会精神及市委、县委部署要求的学习贯彻、宣传宣讲和理论研究。牢牢把握意识形态工作领导权、主动权、话语权，严守党校规矩、严肃讲台纪律。坚持重要事项民主讨论、第一议题等制度，召开校委会10次、理论学习中心组会议6次。二是加强基层组织建设。及时开展支部换届选举，认真开展“三会一课”、主题党日等活动，召开支委会12次、党员大会6次，开展主题党日活动12次，讲专题党课5次，专题调研4次，按要求做好党费收缴工作。争取资金打造党员标准化活动室1间，解决了党校搬迁以来党员无活动场地的困境。三是扎实开展党纪学习教育。制定《县委党校党纪学习教育计划》，开展集体学习4次，党支部书记带头讲党纪专题党课1次，开展“六项纪律”等专题研讨，推动党纪学习教育进课程、进课堂，干部职工及学员纪律意识明显增强。四是认真开展群众身边不正之风和腐败问题整治。坚持把纪律和规矩挺在前面，结合“有事找纪检”工作，深入开展专项整治，加强对人、财、物的管理和关键岗位的监督，自查发现问题3个，并切实推进整改落实。通过观看警示教育片《招标迷局》《谁的芒果》、参观笮风清涟馆等方式促进全体党员干部增强纪律意识，在重大节假日进行廉政提醒，进一步筑牢思想防线。</w:t>
      </w:r>
    </w:p>
    <w:p w14:paraId="4CEEA544">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kern w:val="2"/>
          <w:sz w:val="32"/>
          <w:szCs w:val="32"/>
          <w:highlight w:val="none"/>
          <w:lang w:val="zh-CN" w:eastAsia="zh-CN" w:bidi="ar-SA"/>
        </w:rPr>
        <w:t>预算管理。</w:t>
      </w:r>
      <w:r>
        <w:rPr>
          <w:rFonts w:hint="default" w:ascii="Times New Roman" w:hAnsi="Times New Roman" w:eastAsia="方正仿宋_GBK" w:cs="Times New Roman"/>
          <w:color w:val="auto"/>
          <w:kern w:val="2"/>
          <w:sz w:val="32"/>
          <w:szCs w:val="32"/>
          <w:highlight w:val="none"/>
          <w:lang w:val="en-US" w:eastAsia="zh-CN" w:bidi="ar-SA"/>
        </w:rPr>
        <w:t>一是预算编制上</w:t>
      </w:r>
      <w:r>
        <w:rPr>
          <w:rFonts w:hint="default" w:ascii="Times New Roman" w:hAnsi="Times New Roman" w:eastAsia="方正仿宋_GBK" w:cs="Times New Roman"/>
          <w:color w:val="auto"/>
          <w:kern w:val="2"/>
          <w:sz w:val="32"/>
          <w:szCs w:val="32"/>
          <w:highlight w:val="none"/>
          <w:lang w:val="zh-CN" w:eastAsia="zh-CN" w:bidi="ar-SA"/>
        </w:rPr>
        <w:t>提高预算编制的准确性和科学性，加强数据收集和分析，确保预算编制与实际需求相符。建立预算编制的审核和反馈机制，及时发现和纠正问题。</w:t>
      </w:r>
      <w:r>
        <w:rPr>
          <w:rFonts w:hint="default" w:ascii="Times New Roman" w:hAnsi="Times New Roman" w:eastAsia="方正仿宋_GBK" w:cs="Times New Roman"/>
          <w:color w:val="auto"/>
          <w:kern w:val="2"/>
          <w:sz w:val="32"/>
          <w:szCs w:val="32"/>
          <w:highlight w:val="none"/>
          <w:lang w:val="en-US" w:eastAsia="zh-CN" w:bidi="ar-SA"/>
        </w:rPr>
        <w:t>二是支持执行进度上，</w:t>
      </w:r>
      <w:r>
        <w:rPr>
          <w:rFonts w:hint="default" w:ascii="Times New Roman" w:hAnsi="Times New Roman" w:eastAsia="方正仿宋_GBK" w:cs="Times New Roman"/>
          <w:color w:val="auto"/>
          <w:kern w:val="2"/>
          <w:sz w:val="32"/>
          <w:szCs w:val="32"/>
          <w:highlight w:val="none"/>
          <w:lang w:val="zh-CN" w:eastAsia="zh-CN" w:bidi="ar-SA"/>
        </w:rPr>
        <w:t>加强支出执行的监控和管理，确保支出进度与预算计划相符。建立支出执行的预警机制，及时发现和解决支出执行中的问题。</w:t>
      </w:r>
      <w:r>
        <w:rPr>
          <w:rFonts w:hint="default" w:ascii="Times New Roman" w:hAnsi="Times New Roman" w:eastAsia="方正仿宋_GBK" w:cs="Times New Roman"/>
          <w:color w:val="auto"/>
          <w:kern w:val="2"/>
          <w:sz w:val="32"/>
          <w:szCs w:val="32"/>
          <w:highlight w:val="none"/>
          <w:lang w:val="en-US" w:eastAsia="zh-CN" w:bidi="ar-SA"/>
        </w:rPr>
        <w:t>三是</w:t>
      </w:r>
      <w:r>
        <w:rPr>
          <w:rFonts w:hint="default" w:ascii="Times New Roman" w:hAnsi="Times New Roman" w:eastAsia="方正仿宋_GBK" w:cs="Times New Roman"/>
          <w:color w:val="auto"/>
          <w:kern w:val="2"/>
          <w:sz w:val="32"/>
          <w:szCs w:val="32"/>
          <w:highlight w:val="none"/>
          <w:lang w:val="zh-CN" w:eastAsia="zh-CN" w:bidi="ar-SA"/>
        </w:rPr>
        <w:t>预算年终结余，加强预算执行的精细化管理，提高资金使用效率。建立预算年终结余的评估机制，根据结余情况调整下一年度的预算编制。</w:t>
      </w:r>
      <w:r>
        <w:rPr>
          <w:rFonts w:hint="default" w:ascii="Times New Roman" w:hAnsi="Times New Roman" w:eastAsia="方正仿宋_GBK" w:cs="Times New Roman"/>
          <w:color w:val="auto"/>
          <w:kern w:val="2"/>
          <w:sz w:val="32"/>
          <w:szCs w:val="32"/>
          <w:highlight w:val="none"/>
          <w:lang w:val="en-US" w:eastAsia="zh-CN" w:bidi="ar-SA"/>
        </w:rPr>
        <w:t>四是</w:t>
      </w:r>
      <w:r>
        <w:rPr>
          <w:rFonts w:hint="default" w:ascii="Times New Roman" w:hAnsi="Times New Roman" w:eastAsia="方正仿宋_GBK" w:cs="Times New Roman"/>
          <w:color w:val="auto"/>
          <w:kern w:val="2"/>
          <w:sz w:val="32"/>
          <w:szCs w:val="32"/>
          <w:highlight w:val="none"/>
          <w:lang w:val="zh-CN" w:eastAsia="zh-CN" w:bidi="ar-SA"/>
        </w:rPr>
        <w:t>严控一般性支出，建立一般性支出的审批和监管机制，严格控制支出标准和范围。同时，加强员工对一般性支出的节约意识，鼓励员工在日常工作中节约开支。</w:t>
      </w:r>
    </w:p>
    <w:p w14:paraId="66D6824B">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3.</w:t>
      </w:r>
      <w:r>
        <w:rPr>
          <w:rFonts w:hint="default" w:ascii="Times New Roman" w:hAnsi="Times New Roman" w:eastAsia="方正仿宋_GBK" w:cs="Times New Roman"/>
          <w:color w:val="auto"/>
          <w:kern w:val="2"/>
          <w:sz w:val="32"/>
          <w:szCs w:val="32"/>
          <w:highlight w:val="none"/>
          <w:lang w:val="zh-CN" w:eastAsia="zh-CN" w:bidi="ar-SA"/>
        </w:rPr>
        <w:t>财务管理。</w:t>
      </w:r>
      <w:r>
        <w:rPr>
          <w:rFonts w:hint="default" w:ascii="Times New Roman" w:hAnsi="Times New Roman" w:eastAsia="方正仿宋_GBK" w:cs="Times New Roman"/>
          <w:color w:val="auto"/>
          <w:kern w:val="2"/>
          <w:sz w:val="32"/>
          <w:szCs w:val="32"/>
          <w:highlight w:val="none"/>
          <w:lang w:val="en-US" w:eastAsia="zh-CN" w:bidi="ar-SA"/>
        </w:rPr>
        <w:t>一是</w:t>
      </w:r>
      <w:r>
        <w:rPr>
          <w:rFonts w:hint="default" w:ascii="Times New Roman" w:hAnsi="Times New Roman" w:eastAsia="方正仿宋_GBK" w:cs="Times New Roman"/>
          <w:color w:val="auto"/>
          <w:kern w:val="2"/>
          <w:sz w:val="32"/>
          <w:szCs w:val="32"/>
          <w:highlight w:val="none"/>
          <w:lang w:val="zh-CN" w:eastAsia="zh-CN" w:bidi="ar-SA"/>
        </w:rPr>
        <w:t>财务管理制度，定期对财务管理制度进行审查和更新，确保其适应组织发展的需要。加强制度培训，确保所有财务相关人员都能准确理解和遵守制度。建立制度执行的监督机制，对违规行为进行及时纠正和处罚。</w:t>
      </w:r>
      <w:r>
        <w:rPr>
          <w:rFonts w:hint="default" w:ascii="Times New Roman" w:hAnsi="Times New Roman" w:eastAsia="方正仿宋_GBK" w:cs="Times New Roman"/>
          <w:color w:val="auto"/>
          <w:kern w:val="2"/>
          <w:sz w:val="32"/>
          <w:szCs w:val="32"/>
          <w:highlight w:val="none"/>
          <w:lang w:val="en-US" w:eastAsia="zh-CN" w:bidi="ar-SA"/>
        </w:rPr>
        <w:t>二是</w:t>
      </w:r>
      <w:r>
        <w:rPr>
          <w:rFonts w:hint="default" w:ascii="Times New Roman" w:hAnsi="Times New Roman" w:eastAsia="方正仿宋_GBK" w:cs="Times New Roman"/>
          <w:color w:val="auto"/>
          <w:kern w:val="2"/>
          <w:sz w:val="32"/>
          <w:szCs w:val="32"/>
          <w:highlight w:val="none"/>
          <w:lang w:val="zh-CN" w:eastAsia="zh-CN" w:bidi="ar-SA"/>
        </w:rPr>
        <w:t>财务岗位设置建立人员考核机制，激励员工提升工作绩效。</w:t>
      </w:r>
      <w:r>
        <w:rPr>
          <w:rFonts w:hint="default" w:ascii="Times New Roman" w:hAnsi="Times New Roman" w:eastAsia="方正仿宋_GBK" w:cs="Times New Roman"/>
          <w:color w:val="auto"/>
          <w:kern w:val="2"/>
          <w:sz w:val="32"/>
          <w:szCs w:val="32"/>
          <w:highlight w:val="none"/>
          <w:lang w:val="en-US" w:eastAsia="zh-CN" w:bidi="ar-SA"/>
        </w:rPr>
        <w:t>三是</w:t>
      </w:r>
      <w:r>
        <w:rPr>
          <w:rFonts w:hint="default" w:ascii="Times New Roman" w:hAnsi="Times New Roman" w:eastAsia="方正仿宋_GBK" w:cs="Times New Roman"/>
          <w:color w:val="auto"/>
          <w:kern w:val="2"/>
          <w:sz w:val="32"/>
          <w:szCs w:val="32"/>
          <w:highlight w:val="none"/>
          <w:lang w:val="zh-CN" w:eastAsia="zh-CN" w:bidi="ar-SA"/>
        </w:rPr>
        <w:t>资金使用规范建立严格的资金使用审批流程，确保每一笔资金的使用都经过合法合规的审批。加强资金流动的监控和分析，及时发现和解决资金使用中的问题。优化资金配置，提高资金使用效率。</w:t>
      </w:r>
    </w:p>
    <w:p w14:paraId="27F83404">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4.</w:t>
      </w:r>
      <w:r>
        <w:rPr>
          <w:rFonts w:hint="default" w:ascii="Times New Roman" w:hAnsi="Times New Roman" w:eastAsia="方正仿宋_GBK" w:cs="Times New Roman"/>
          <w:color w:val="auto"/>
          <w:kern w:val="2"/>
          <w:sz w:val="32"/>
          <w:szCs w:val="32"/>
          <w:highlight w:val="none"/>
          <w:lang w:val="zh-CN" w:eastAsia="zh-CN" w:bidi="ar-SA"/>
        </w:rPr>
        <w:t>资产管理。</w:t>
      </w:r>
      <w:r>
        <w:rPr>
          <w:rFonts w:hint="default" w:ascii="Times New Roman" w:hAnsi="Times New Roman" w:eastAsia="方正仿宋_GBK" w:cs="Times New Roman"/>
          <w:color w:val="auto"/>
          <w:kern w:val="2"/>
          <w:sz w:val="32"/>
          <w:szCs w:val="32"/>
          <w:highlight w:val="none"/>
          <w:lang w:val="en-US" w:eastAsia="zh-CN" w:bidi="ar-SA"/>
        </w:rPr>
        <w:t>一是</w:t>
      </w:r>
      <w:r>
        <w:rPr>
          <w:rFonts w:hint="default" w:ascii="Times New Roman" w:hAnsi="Times New Roman" w:eastAsia="方正仿宋_GBK" w:cs="Times New Roman"/>
          <w:color w:val="auto"/>
          <w:kern w:val="2"/>
          <w:sz w:val="32"/>
          <w:szCs w:val="32"/>
          <w:highlight w:val="none"/>
          <w:lang w:val="zh-CN" w:eastAsia="zh-CN" w:bidi="ar-SA"/>
        </w:rPr>
        <w:t>人均资产变化率</w:t>
      </w:r>
      <w:r>
        <w:rPr>
          <w:rFonts w:hint="default" w:ascii="Times New Roman" w:hAnsi="Times New Roman" w:eastAsia="方正仿宋_GBK" w:cs="Times New Roman"/>
          <w:color w:val="auto"/>
          <w:kern w:val="2"/>
          <w:sz w:val="32"/>
          <w:szCs w:val="32"/>
          <w:highlight w:val="none"/>
          <w:lang w:val="en-US" w:eastAsia="zh-CN" w:bidi="ar-SA"/>
        </w:rPr>
        <w:t>上</w:t>
      </w:r>
      <w:r>
        <w:rPr>
          <w:rFonts w:hint="default" w:ascii="Times New Roman" w:hAnsi="Times New Roman" w:eastAsia="方正仿宋_GBK" w:cs="Times New Roman"/>
          <w:color w:val="auto"/>
          <w:kern w:val="2"/>
          <w:sz w:val="32"/>
          <w:szCs w:val="32"/>
          <w:highlight w:val="none"/>
          <w:lang w:val="zh-CN" w:eastAsia="zh-CN" w:bidi="ar-SA"/>
        </w:rPr>
        <w:t>加强资产管理人员的培训和能力提升，提高资产管理水平。</w:t>
      </w:r>
      <w:r>
        <w:rPr>
          <w:rFonts w:hint="default" w:ascii="Times New Roman" w:hAnsi="Times New Roman" w:eastAsia="方正仿宋_GBK" w:cs="Times New Roman"/>
          <w:color w:val="auto"/>
          <w:kern w:val="2"/>
          <w:sz w:val="32"/>
          <w:szCs w:val="32"/>
          <w:highlight w:val="none"/>
          <w:lang w:val="en-US" w:eastAsia="zh-CN" w:bidi="ar-SA"/>
        </w:rPr>
        <w:t>二是</w:t>
      </w:r>
      <w:r>
        <w:rPr>
          <w:rFonts w:hint="default" w:ascii="Times New Roman" w:hAnsi="Times New Roman" w:eastAsia="方正仿宋_GBK" w:cs="Times New Roman"/>
          <w:color w:val="auto"/>
          <w:kern w:val="2"/>
          <w:sz w:val="32"/>
          <w:szCs w:val="32"/>
          <w:highlight w:val="none"/>
          <w:lang w:val="zh-CN" w:eastAsia="zh-CN" w:bidi="ar-SA"/>
        </w:rPr>
        <w:t>资产利用率</w:t>
      </w:r>
      <w:r>
        <w:rPr>
          <w:rFonts w:hint="default" w:ascii="Times New Roman" w:hAnsi="Times New Roman" w:eastAsia="方正仿宋_GBK" w:cs="Times New Roman"/>
          <w:color w:val="auto"/>
          <w:kern w:val="2"/>
          <w:sz w:val="32"/>
          <w:szCs w:val="32"/>
          <w:highlight w:val="none"/>
          <w:lang w:val="en-US" w:eastAsia="zh-CN" w:bidi="ar-SA"/>
        </w:rPr>
        <w:t>上定期进行资产清查和盘点，及时发现并处理闲置资产三是</w:t>
      </w:r>
      <w:r>
        <w:rPr>
          <w:rFonts w:hint="default" w:ascii="Times New Roman" w:hAnsi="Times New Roman" w:eastAsia="方正仿宋_GBK" w:cs="Times New Roman"/>
          <w:color w:val="auto"/>
          <w:kern w:val="2"/>
          <w:sz w:val="32"/>
          <w:szCs w:val="32"/>
          <w:highlight w:val="none"/>
          <w:lang w:val="zh-CN" w:eastAsia="zh-CN" w:bidi="ar-SA"/>
        </w:rPr>
        <w:t>资产盘活率</w:t>
      </w:r>
      <w:r>
        <w:rPr>
          <w:rFonts w:hint="default" w:ascii="Times New Roman" w:hAnsi="Times New Roman" w:eastAsia="方正仿宋_GBK" w:cs="Times New Roman"/>
          <w:color w:val="auto"/>
          <w:kern w:val="2"/>
          <w:sz w:val="32"/>
          <w:szCs w:val="32"/>
          <w:highlight w:val="none"/>
          <w:lang w:val="en-US" w:eastAsia="zh-CN" w:bidi="ar-SA"/>
        </w:rPr>
        <w:t>上建立完善的资产管理制度和流程，确保资产管理的规范化和标准化。</w:t>
      </w:r>
    </w:p>
    <w:p w14:paraId="1F90B39B">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5.</w:t>
      </w:r>
      <w:r>
        <w:rPr>
          <w:rFonts w:hint="default" w:ascii="Times New Roman" w:hAnsi="Times New Roman" w:eastAsia="方正仿宋_GBK" w:cs="Times New Roman"/>
          <w:color w:val="auto"/>
          <w:kern w:val="2"/>
          <w:sz w:val="32"/>
          <w:szCs w:val="32"/>
          <w:highlight w:val="none"/>
          <w:lang w:val="zh-CN" w:eastAsia="zh-CN" w:bidi="ar-SA"/>
        </w:rPr>
        <w:t>采购管理。建立对采购活动的监督机制，确保采购计划的严格执行和采购活动的合规性。对采购执行率进行定期评估和考核，及时发现问题并采取改进措施。</w:t>
      </w:r>
    </w:p>
    <w:p w14:paraId="492AF0C3">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（二）部门预算项目绩效分析。</w:t>
      </w:r>
      <w:r>
        <w:rPr>
          <w:rFonts w:hint="default" w:ascii="Times New Roman" w:hAnsi="Times New Roman" w:eastAsia="方正仿宋_GBK" w:cs="Times New Roman"/>
          <w:color w:val="auto"/>
          <w:kern w:val="2"/>
          <w:sz w:val="32"/>
          <w:szCs w:val="32"/>
          <w:highlight w:val="none"/>
          <w:lang w:val="zh-CN" w:eastAsia="zh-CN" w:bidi="ar-SA"/>
        </w:rPr>
        <w:t>常年项目绩效分析。该类项目总数</w:t>
      </w:r>
      <w:r>
        <w:rPr>
          <w:rFonts w:hint="eastAsia"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zh-CN" w:eastAsia="zh-CN" w:bidi="ar-SA"/>
        </w:rPr>
        <w:t>个，涉及预算总金额</w:t>
      </w:r>
      <w:r>
        <w:rPr>
          <w:rFonts w:hint="default" w:ascii="Times New Roman" w:hAnsi="Times New Roman" w:eastAsia="方正仿宋_GBK" w:cs="Times New Roman"/>
          <w:color w:val="auto"/>
          <w:kern w:val="2"/>
          <w:sz w:val="32"/>
          <w:szCs w:val="32"/>
          <w:highlight w:val="none"/>
          <w:lang w:val="en-US" w:eastAsia="zh-CN" w:bidi="ar-SA"/>
        </w:rPr>
        <w:t>437.11</w:t>
      </w:r>
      <w:r>
        <w:rPr>
          <w:rFonts w:hint="default" w:ascii="Times New Roman" w:hAnsi="Times New Roman" w:eastAsia="方正仿宋_GBK" w:cs="Times New Roman"/>
          <w:color w:val="auto"/>
          <w:kern w:val="2"/>
          <w:sz w:val="32"/>
          <w:szCs w:val="32"/>
          <w:highlight w:val="none"/>
          <w:lang w:val="zh-CN" w:eastAsia="zh-CN" w:bidi="ar-SA"/>
        </w:rPr>
        <w:t>万元，1</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zh-CN" w:eastAsia="zh-CN" w:bidi="ar-SA"/>
        </w:rPr>
        <w:t>12月预算执行总体进度为</w:t>
      </w:r>
      <w:r>
        <w:rPr>
          <w:rFonts w:hint="default" w:ascii="Times New Roman" w:hAnsi="Times New Roman" w:eastAsia="方正仿宋_GBK" w:cs="Times New Roman"/>
          <w:color w:val="auto"/>
          <w:kern w:val="2"/>
          <w:sz w:val="32"/>
          <w:szCs w:val="32"/>
          <w:highlight w:val="none"/>
          <w:lang w:val="en-US" w:eastAsia="zh-CN" w:bidi="ar-SA"/>
        </w:rPr>
        <w:t>100</w:t>
      </w:r>
      <w:r>
        <w:rPr>
          <w:rFonts w:hint="default" w:ascii="Times New Roman" w:hAnsi="Times New Roman" w:eastAsia="方正仿宋_GBK" w:cs="Times New Roman"/>
          <w:color w:val="auto"/>
          <w:kern w:val="2"/>
          <w:sz w:val="32"/>
          <w:szCs w:val="32"/>
          <w:highlight w:val="none"/>
          <w:lang w:val="zh-CN" w:eastAsia="zh-CN" w:bidi="ar-SA"/>
        </w:rPr>
        <w:t xml:space="preserve"> %，其中：预算结余率大于10%的项目共计</w:t>
      </w:r>
      <w:r>
        <w:rPr>
          <w:rFonts w:hint="default" w:ascii="Times New Roman" w:hAnsi="Times New Roman" w:eastAsia="方正仿宋_GBK" w:cs="Times New Roman"/>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zh-CN" w:eastAsia="zh-CN" w:bidi="ar-SA"/>
        </w:rPr>
        <w:t>个。</w:t>
      </w:r>
    </w:p>
    <w:p w14:paraId="737A79CF">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1.项目决策。</w:t>
      </w:r>
      <w:r>
        <w:rPr>
          <w:rFonts w:hint="default" w:ascii="Times New Roman" w:hAnsi="Times New Roman" w:eastAsia="方正仿宋_GBK" w:cs="Times New Roman"/>
          <w:color w:val="auto"/>
          <w:kern w:val="2"/>
          <w:sz w:val="32"/>
          <w:szCs w:val="32"/>
          <w:highlight w:val="none"/>
          <w:lang w:val="zh-CN" w:eastAsia="zh-CN" w:bidi="ar-SA"/>
        </w:rPr>
        <w:t>制定明确的入库标准和流程，确保入库项目的质量和效益。加强项目储备库的建设和管理，完善项目储备机制，为组织的未来发展提供有力支持。建立完善的项目效益评估体系，对入库项目进行全面的效益评估，确保项目的经济效益和社会效益</w:t>
      </w:r>
    </w:p>
    <w:p w14:paraId="06FDBB77">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2.项目执行。一是</w:t>
      </w:r>
      <w:r>
        <w:rPr>
          <w:rFonts w:hint="default" w:ascii="Times New Roman" w:hAnsi="Times New Roman" w:eastAsia="方正仿宋_GBK" w:cs="Times New Roman"/>
          <w:color w:val="auto"/>
          <w:kern w:val="2"/>
          <w:sz w:val="32"/>
          <w:szCs w:val="32"/>
          <w:highlight w:val="none"/>
          <w:lang w:val="zh-CN" w:eastAsia="zh-CN" w:bidi="ar-SA"/>
        </w:rPr>
        <w:t>资金执行</w:t>
      </w:r>
      <w:r>
        <w:rPr>
          <w:rFonts w:hint="default" w:ascii="Times New Roman" w:hAnsi="Times New Roman" w:eastAsia="方正仿宋_GBK" w:cs="Times New Roman"/>
          <w:color w:val="auto"/>
          <w:kern w:val="2"/>
          <w:sz w:val="32"/>
          <w:szCs w:val="32"/>
          <w:highlight w:val="none"/>
          <w:lang w:val="en-US" w:eastAsia="zh-CN" w:bidi="ar-SA"/>
        </w:rPr>
        <w:t>上</w:t>
      </w:r>
      <w:r>
        <w:rPr>
          <w:rFonts w:hint="default" w:ascii="Times New Roman" w:hAnsi="Times New Roman" w:eastAsia="方正仿宋_GBK" w:cs="Times New Roman"/>
          <w:color w:val="auto"/>
          <w:kern w:val="2"/>
          <w:sz w:val="32"/>
          <w:szCs w:val="32"/>
          <w:highlight w:val="none"/>
          <w:lang w:val="zh-CN" w:eastAsia="zh-CN" w:bidi="ar-SA"/>
        </w:rPr>
        <w:t>加强财务管理和监控，确保资金的合规使用和有效利用。建立资金与项目进度的联动机制，确保资金的投入与项目的实际进度相匹配。提高资金使用的效益意识，优化资金使用结构，确保资金的投入能够带来预期的项目效益。</w:t>
      </w:r>
      <w:r>
        <w:rPr>
          <w:rFonts w:hint="default" w:ascii="Times New Roman" w:hAnsi="Times New Roman" w:eastAsia="方正仿宋_GBK" w:cs="Times New Roman"/>
          <w:color w:val="auto"/>
          <w:kern w:val="2"/>
          <w:sz w:val="32"/>
          <w:szCs w:val="32"/>
          <w:highlight w:val="none"/>
          <w:lang w:val="en-US" w:eastAsia="zh-CN" w:bidi="ar-SA"/>
        </w:rPr>
        <w:t>二是建立项目调整的预警机制，及时发现和处理项目执行过程中出现的问题。加强调整方案的论证和评估，确保调整方案的合理性和可行性。强化调整后的执行监控和评估，确保调整方案能够得到有效执行并达到预期效果。</w:t>
      </w:r>
      <w:r>
        <w:rPr>
          <w:rFonts w:hint="default" w:ascii="Times New Roman" w:hAnsi="Times New Roman" w:eastAsia="方正仿宋_GBK" w:cs="Times New Roman"/>
          <w:color w:val="auto"/>
          <w:kern w:val="2"/>
          <w:sz w:val="32"/>
          <w:szCs w:val="32"/>
          <w:highlight w:val="none"/>
          <w:lang w:val="zh-CN" w:eastAsia="zh-CN" w:bidi="ar-SA"/>
        </w:rPr>
        <w:t>项目调整、执行结果进行绩效分析。</w:t>
      </w:r>
      <w:r>
        <w:rPr>
          <w:rFonts w:hint="default" w:ascii="Times New Roman" w:hAnsi="Times New Roman" w:eastAsia="方正仿宋_GBK" w:cs="Times New Roman"/>
          <w:color w:val="auto"/>
          <w:kern w:val="2"/>
          <w:sz w:val="32"/>
          <w:szCs w:val="32"/>
          <w:highlight w:val="none"/>
          <w:lang w:val="en-US" w:eastAsia="zh-CN" w:bidi="ar-SA"/>
        </w:rPr>
        <w:t>三是项目执行上建立项目执行结果的评估机制，对项目目标的达成情况和项目效益的发挥进行全面评估。加强项目经验的总结与分享，将成功经验纳入组织的知识管理体系，为未来的项目执行提供有益的参考和借鉴。根据项目执行结果的评估结果，及时总结经验教训，优化项目管理流程和方法，提高项目管理能力和水平。</w:t>
      </w:r>
    </w:p>
    <w:p w14:paraId="73309D75">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3.目标实现。</w:t>
      </w:r>
      <w:r>
        <w:rPr>
          <w:rFonts w:hint="default" w:ascii="Times New Roman" w:hAnsi="Times New Roman" w:eastAsia="方正仿宋_GBK" w:cs="Times New Roman"/>
          <w:color w:val="auto"/>
          <w:kern w:val="2"/>
          <w:sz w:val="32"/>
          <w:szCs w:val="32"/>
          <w:highlight w:val="none"/>
          <w:lang w:val="zh-CN" w:eastAsia="zh-CN" w:bidi="ar-SA"/>
        </w:rPr>
        <w:t>加强经济效益的评估和优化，提高目标实现的商业价值。注重社会效益的提升，增强组织的社会责任感和影响力。制定长期发展战略，确保目标实现的可持续性和长远发展。</w:t>
      </w:r>
    </w:p>
    <w:p w14:paraId="7E853532">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w:t>
      </w:r>
      <w:r>
        <w:rPr>
          <w:rFonts w:hint="default" w:ascii="Times New Roman" w:hAnsi="Times New Roman" w:eastAsia="方正楷体_GBK" w:cs="Times New Roman"/>
          <w:b/>
          <w:sz w:val="32"/>
          <w:szCs w:val="32"/>
          <w:lang w:val="en-US" w:eastAsia="zh-CN"/>
        </w:rPr>
        <w:t>三</w:t>
      </w:r>
      <w:r>
        <w:rPr>
          <w:rFonts w:hint="default" w:ascii="Times New Roman" w:hAnsi="Times New Roman" w:eastAsia="方正楷体_GBK" w:cs="Times New Roman"/>
          <w:b/>
          <w:sz w:val="32"/>
          <w:szCs w:val="32"/>
          <w:lang w:val="zh-CN" w:eastAsia="zh-CN"/>
        </w:rPr>
        <w:t>）绩效结果应用情况。</w:t>
      </w:r>
      <w:r>
        <w:rPr>
          <w:rFonts w:hint="default" w:ascii="Times New Roman" w:hAnsi="Times New Roman" w:eastAsia="方正仿宋_GBK" w:cs="Times New Roman"/>
          <w:color w:val="auto"/>
          <w:kern w:val="2"/>
          <w:sz w:val="32"/>
          <w:szCs w:val="32"/>
          <w:highlight w:val="none"/>
          <w:lang w:val="zh-CN" w:eastAsia="zh-CN" w:bidi="ar-SA"/>
        </w:rPr>
        <w:t>保障工资及时发放、足额发放，</w:t>
      </w:r>
      <w:r>
        <w:rPr>
          <w:rFonts w:hint="default" w:ascii="Times New Roman" w:hAnsi="Times New Roman" w:eastAsia="方正仿宋_GBK" w:cs="Times New Roman"/>
          <w:color w:val="auto"/>
          <w:kern w:val="2"/>
          <w:sz w:val="32"/>
          <w:szCs w:val="32"/>
          <w:highlight w:val="none"/>
          <w:lang w:val="en-US" w:eastAsia="zh-CN" w:bidi="ar-SA"/>
        </w:rPr>
        <w:t>及单位日常运转，并保质保量的完成了2024年党校培训任务。</w:t>
      </w:r>
    </w:p>
    <w:p w14:paraId="039FBCC9">
      <w:pPr>
        <w:widowControl/>
        <w:adjustRightInd w:val="0"/>
        <w:snapToGrid w:val="0"/>
        <w:spacing w:line="578" w:lineRule="exact"/>
        <w:ind w:firstLine="640" w:firstLineChars="200"/>
        <w:contextualSpacing/>
        <w:jc w:val="left"/>
        <w:rPr>
          <w:rFonts w:hint="default" w:ascii="Times New Roman" w:hAnsi="Times New Roman" w:eastAsia="方正黑体_GBK" w:cs="Times New Roman"/>
          <w:kern w:val="0"/>
          <w:sz w:val="32"/>
          <w:szCs w:val="32"/>
          <w:shd w:val="clear" w:color="auto" w:fill="FFFFFF"/>
          <w:lang w:val="zh-CN"/>
        </w:rPr>
      </w:pPr>
      <w:r>
        <w:rPr>
          <w:rFonts w:hint="default" w:ascii="Times New Roman" w:hAnsi="Times New Roman" w:eastAsia="方正黑体_GBK" w:cs="Times New Roman"/>
          <w:kern w:val="0"/>
          <w:sz w:val="32"/>
          <w:szCs w:val="32"/>
          <w:shd w:val="clear" w:color="auto" w:fill="FFFFFF"/>
          <w:lang w:val="zh-CN"/>
        </w:rPr>
        <w:t>四、评价结论及建议</w:t>
      </w:r>
    </w:p>
    <w:p w14:paraId="3865F4C3">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rPr>
        <w:t>（一）</w:t>
      </w:r>
      <w:r>
        <w:rPr>
          <w:rFonts w:hint="default" w:ascii="Times New Roman" w:hAnsi="Times New Roman" w:eastAsia="方正楷体_GBK" w:cs="Times New Roman"/>
          <w:b/>
          <w:sz w:val="32"/>
          <w:szCs w:val="32"/>
          <w:lang w:val="zh-CN" w:eastAsia="zh-CN"/>
        </w:rPr>
        <w:t>评价结论。</w:t>
      </w:r>
      <w:r>
        <w:rPr>
          <w:rFonts w:hint="default" w:ascii="Times New Roman" w:hAnsi="Times New Roman" w:eastAsia="方正仿宋_GBK" w:cs="Times New Roman"/>
          <w:color w:val="auto"/>
          <w:kern w:val="2"/>
          <w:sz w:val="32"/>
          <w:szCs w:val="32"/>
          <w:highlight w:val="none"/>
          <w:lang w:val="en-US" w:eastAsia="zh-CN" w:bidi="ar-SA"/>
        </w:rPr>
        <w:t>本年度</w:t>
      </w:r>
      <w:r>
        <w:rPr>
          <w:rFonts w:hint="default" w:ascii="Times New Roman" w:hAnsi="Times New Roman" w:eastAsia="方正仿宋_GBK" w:cs="Times New Roman"/>
          <w:color w:val="auto"/>
          <w:kern w:val="2"/>
          <w:sz w:val="32"/>
          <w:szCs w:val="32"/>
          <w:highlight w:val="none"/>
          <w:lang w:val="zh-CN" w:eastAsia="zh-CN" w:bidi="ar-SA"/>
        </w:rPr>
        <w:t>整体支出绩效</w:t>
      </w:r>
      <w:r>
        <w:rPr>
          <w:rFonts w:hint="default" w:ascii="Times New Roman" w:hAnsi="Times New Roman" w:eastAsia="方正仿宋_GBK" w:cs="Times New Roman"/>
          <w:color w:val="auto"/>
          <w:kern w:val="2"/>
          <w:sz w:val="32"/>
          <w:szCs w:val="32"/>
          <w:highlight w:val="none"/>
          <w:lang w:val="en-US" w:eastAsia="zh-CN" w:bidi="ar-SA"/>
        </w:rPr>
        <w:t>评价指标体系自评得分95.8分，根据评分表</w:t>
      </w:r>
      <w:r>
        <w:rPr>
          <w:rFonts w:hint="default" w:ascii="Times New Roman" w:hAnsi="Times New Roman" w:eastAsia="方正仿宋_GBK" w:cs="Times New Roman"/>
          <w:color w:val="auto"/>
          <w:kern w:val="2"/>
          <w:sz w:val="32"/>
          <w:szCs w:val="32"/>
          <w:highlight w:val="none"/>
          <w:lang w:val="zh-CN" w:eastAsia="zh-CN" w:bidi="ar-SA"/>
        </w:rPr>
        <w:t>结果显示，我单位绩效管理情况较为理想，</w:t>
      </w:r>
      <w:r>
        <w:rPr>
          <w:rFonts w:hint="default" w:ascii="Times New Roman" w:hAnsi="Times New Roman" w:eastAsia="方正仿宋_GBK" w:cs="Times New Roman"/>
          <w:color w:val="auto"/>
          <w:kern w:val="2"/>
          <w:sz w:val="32"/>
          <w:szCs w:val="32"/>
          <w:highlight w:val="none"/>
          <w:lang w:val="en-US" w:eastAsia="zh-CN" w:bidi="ar-SA"/>
        </w:rPr>
        <w:t>基本</w:t>
      </w:r>
      <w:r>
        <w:rPr>
          <w:rFonts w:hint="default" w:ascii="Times New Roman" w:hAnsi="Times New Roman" w:eastAsia="方正仿宋_GBK" w:cs="Times New Roman"/>
          <w:color w:val="auto"/>
          <w:kern w:val="2"/>
          <w:sz w:val="32"/>
          <w:szCs w:val="32"/>
          <w:highlight w:val="none"/>
          <w:lang w:val="zh-CN" w:eastAsia="zh-CN" w:bidi="ar-SA"/>
        </w:rPr>
        <w:t>达到了年初设定的各项绩效目标。所有资金使用严格按审批程序办理、操作规范，会计核算结果真实、准确，各项支出严格按照各项制度执行。</w:t>
      </w:r>
    </w:p>
    <w:p w14:paraId="76E0D429">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绩效自评结果用于指导今后的部门预算绩效工作，全面做到保障单位正常工作运转，结合我校年度工作计划，按照进度有序使用资金。部门预算整体绩效自评表部门预算整体绩效评价自评报告将在按照规定在盐边县公众信息网进行公开公示。</w:t>
      </w:r>
    </w:p>
    <w:p w14:paraId="223014C3">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w:t>
      </w:r>
      <w:r>
        <w:rPr>
          <w:rFonts w:hint="default" w:ascii="Times New Roman" w:hAnsi="Times New Roman" w:eastAsia="方正楷体_GBK" w:cs="Times New Roman"/>
          <w:b/>
          <w:sz w:val="32"/>
          <w:szCs w:val="32"/>
          <w:lang w:val="en-US" w:eastAsia="zh-CN"/>
        </w:rPr>
        <w:t>二</w:t>
      </w:r>
      <w:r>
        <w:rPr>
          <w:rFonts w:hint="default" w:ascii="Times New Roman" w:hAnsi="Times New Roman" w:eastAsia="方正楷体_GBK" w:cs="Times New Roman"/>
          <w:b/>
          <w:sz w:val="32"/>
          <w:szCs w:val="32"/>
          <w:lang w:val="zh-CN" w:eastAsia="zh-CN"/>
        </w:rPr>
        <w:t>）存在问题。</w:t>
      </w:r>
      <w:r>
        <w:rPr>
          <w:rFonts w:hint="default" w:ascii="Times New Roman" w:hAnsi="Times New Roman" w:eastAsia="方正仿宋_GBK" w:cs="Times New Roman"/>
          <w:color w:val="auto"/>
          <w:kern w:val="2"/>
          <w:sz w:val="32"/>
          <w:szCs w:val="32"/>
          <w:highlight w:val="none"/>
          <w:lang w:val="zh-CN" w:eastAsia="zh-CN" w:bidi="ar-SA"/>
        </w:rPr>
        <w:t>加强我校人员的培训教育，提高对预算资金使用效率的认识。</w:t>
      </w:r>
    </w:p>
    <w:p w14:paraId="18C3385F">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（三）改进建议。</w:t>
      </w:r>
      <w:bookmarkStart w:id="51" w:name="_Hlk110546638"/>
      <w:r>
        <w:rPr>
          <w:rFonts w:hint="default" w:ascii="Times New Roman" w:hAnsi="Times New Roman" w:eastAsia="方正仿宋_GBK" w:cs="Times New Roman"/>
          <w:color w:val="auto"/>
          <w:kern w:val="2"/>
          <w:sz w:val="32"/>
          <w:szCs w:val="32"/>
          <w:highlight w:val="none"/>
          <w:lang w:val="zh-CN" w:eastAsia="zh-CN" w:bidi="ar-SA"/>
        </w:rPr>
        <w:t>加强对财务人员培训和继续教育工作，提高财务人员的整体专业技术水平。加强单位人员的培训教育，提高对预算资金使用效率的认识。进一步加强预算资金管理，减少预算资金使用的随意性，加大预算监督管理力度，提高预算资金使用效率。</w:t>
      </w:r>
      <w:bookmarkEnd w:id="51"/>
    </w:p>
    <w:p w14:paraId="3F2A80EF">
      <w:pPr>
        <w:pStyle w:val="5"/>
        <w:rPr>
          <w:rFonts w:hint="default" w:ascii="Times New Roman" w:hAnsi="Times New Roman" w:cs="Times New Roman"/>
          <w:lang w:val="zh-CN"/>
        </w:rPr>
      </w:pPr>
    </w:p>
    <w:p w14:paraId="18572F07">
      <w:pPr>
        <w:pStyle w:val="7"/>
        <w:spacing w:line="560" w:lineRule="exact"/>
        <w:ind w:left="0" w:leftChars="0" w:firstLine="640"/>
        <w:rPr>
          <w:rFonts w:hint="default" w:ascii="Times New Roman" w:hAnsi="Times New Roman" w:eastAsia="方正仿宋_GBK" w:cs="Times New Roman"/>
          <w:sz w:val="32"/>
          <w:szCs w:val="32"/>
          <w:lang w:val="zh-CN" w:bidi="ar"/>
        </w:rPr>
      </w:pPr>
      <w:r>
        <w:rPr>
          <w:rFonts w:hint="default" w:ascii="Times New Roman" w:hAnsi="Times New Roman" w:eastAsia="方正仿宋_GBK" w:cs="Times New Roman"/>
          <w:sz w:val="32"/>
          <w:szCs w:val="32"/>
          <w:lang w:val="zh-CN" w:bidi="ar"/>
        </w:rPr>
        <w:t>附表：</w:t>
      </w:r>
      <w:r>
        <w:rPr>
          <w:rFonts w:hint="default" w:ascii="Times New Roman" w:hAnsi="Times New Roman" w:eastAsia="方正仿宋_GBK" w:cs="Times New Roman"/>
          <w:sz w:val="32"/>
          <w:szCs w:val="32"/>
          <w:lang w:bidi="ar"/>
        </w:rPr>
        <w:t>部门预算项目支出绩效自评表（2024年度）</w:t>
      </w:r>
    </w:p>
    <w:p w14:paraId="19C52597">
      <w:pPr>
        <w:pStyle w:val="7"/>
        <w:spacing w:line="560" w:lineRule="exact"/>
        <w:ind w:left="0" w:leftChars="0" w:firstLine="0" w:firstLineChars="0"/>
        <w:rPr>
          <w:rFonts w:hint="default" w:ascii="Times New Roman" w:hAnsi="Times New Roman" w:eastAsia="方正仿宋_GBK" w:cs="Times New Roman"/>
          <w:sz w:val="32"/>
          <w:szCs w:val="32"/>
          <w:highlight w:val="yellow"/>
          <w:lang w:val="zh-CN"/>
        </w:rPr>
      </w:pPr>
    </w:p>
    <w:p w14:paraId="343059C2">
      <w:pPr>
        <w:pStyle w:val="5"/>
        <w:spacing w:before="93"/>
        <w:rPr>
          <w:rFonts w:hint="default" w:ascii="Times New Roman" w:hAnsi="Times New Roman" w:eastAsia="方正仿宋_GBK" w:cs="Times New Roman"/>
          <w:sz w:val="32"/>
          <w:szCs w:val="32"/>
          <w:highlight w:val="yellow"/>
          <w:shd w:val="clear" w:color="auto" w:fill="FFFFFF"/>
          <w:lang w:val="zh-CN"/>
        </w:rPr>
      </w:pPr>
    </w:p>
    <w:p w14:paraId="2B86A9E4">
      <w:pPr>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br w:type="page"/>
      </w:r>
    </w:p>
    <w:p w14:paraId="5FF2E2A2">
      <w:pPr>
        <w:pStyle w:val="5"/>
        <w:spacing w:before="93"/>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shd w:val="clear" w:color="auto" w:fill="FFFFFF"/>
          <w:lang w:val="zh-CN"/>
        </w:rPr>
        <w:t>附件</w:t>
      </w:r>
      <w:r>
        <w:rPr>
          <w:rFonts w:hint="default" w:ascii="Times New Roman" w:hAnsi="Times New Roman" w:eastAsia="方正黑体_GBK" w:cs="Times New Roman"/>
          <w:sz w:val="32"/>
          <w:szCs w:val="32"/>
          <w:shd w:val="clear" w:color="auto" w:fill="FFFFFF"/>
        </w:rPr>
        <w:t>2</w:t>
      </w:r>
    </w:p>
    <w:p w14:paraId="4F0B16F6">
      <w:pPr>
        <w:pStyle w:val="35"/>
        <w:spacing w:line="578" w:lineRule="exact"/>
        <w:jc w:val="center"/>
        <w:rPr>
          <w:rFonts w:hint="default" w:ascii="Times New Roman" w:hAnsi="Times New Roman" w:eastAsia="方正仿宋_GBK" w:cs="Times New Roman"/>
          <w:color w:val="auto"/>
          <w:kern w:val="2"/>
          <w:sz w:val="32"/>
          <w:szCs w:val="32"/>
          <w:lang w:val="en-US"/>
        </w:rPr>
      </w:pPr>
    </w:p>
    <w:p w14:paraId="7E839552">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pPr>
      <w:r>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t>中共盐边县委党校</w:t>
      </w:r>
    </w:p>
    <w:p w14:paraId="305BE4B8">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color w:val="000000" w:themeColor="text1"/>
          <w:kern w:val="2"/>
          <w:sz w:val="44"/>
          <w:szCs w:val="44"/>
          <w:lang w:val="en-US"/>
          <w14:textFill>
            <w14:solidFill>
              <w14:schemeClr w14:val="tx1"/>
            </w14:solidFill>
          </w14:textFill>
        </w:rPr>
      </w:pPr>
      <w:r>
        <w:rPr>
          <w:rFonts w:hint="default" w:ascii="Times New Roman" w:hAnsi="Times New Roman" w:eastAsia="方正小标宋_GBK" w:cs="Times New Roman"/>
          <w:b/>
          <w:bCs/>
          <w:color w:val="000000" w:themeColor="text1"/>
          <w:kern w:val="2"/>
          <w:sz w:val="44"/>
          <w:szCs w:val="44"/>
          <w:lang w:val="en-US"/>
          <w14:textFill>
            <w14:solidFill>
              <w14:schemeClr w14:val="tx1"/>
            </w14:solidFill>
          </w14:textFill>
        </w:rPr>
        <w:t>202</w:t>
      </w:r>
      <w:r>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t>4</w:t>
      </w:r>
      <w:r>
        <w:rPr>
          <w:rFonts w:hint="default" w:ascii="Times New Roman" w:hAnsi="Times New Roman" w:eastAsia="方正小标宋_GBK" w:cs="Times New Roman"/>
          <w:b/>
          <w:bCs/>
          <w:color w:val="000000" w:themeColor="text1"/>
          <w:kern w:val="2"/>
          <w:sz w:val="44"/>
          <w:szCs w:val="44"/>
          <w:lang w:val="en-US"/>
          <w14:textFill>
            <w14:solidFill>
              <w14:schemeClr w14:val="tx1"/>
            </w14:solidFill>
          </w14:textFill>
        </w:rPr>
        <w:t>年专项资金预算项目绩效自评报告</w:t>
      </w:r>
    </w:p>
    <w:p w14:paraId="1C3353FB">
      <w:pPr>
        <w:pStyle w:val="35"/>
        <w:pageBreakBefore w:val="0"/>
        <w:widowControl w:val="0"/>
        <w:kinsoku/>
        <w:wordWrap/>
        <w:overflowPunct/>
        <w:topLinePunct w:val="0"/>
        <w:bidi w:val="0"/>
        <w:spacing w:line="576" w:lineRule="exact"/>
        <w:ind w:left="0" w:leftChars="0" w:right="0"/>
        <w:jc w:val="center"/>
        <w:textAlignment w:val="auto"/>
        <w:rPr>
          <w:rFonts w:hint="default" w:ascii="Times New Roman" w:hAnsi="Times New Roman" w:eastAsia="方正楷体_GBK" w:cs="Times New Roman"/>
          <w:b/>
          <w:bCs/>
          <w:color w:val="000000" w:themeColor="text1"/>
          <w:kern w:val="2"/>
          <w:sz w:val="32"/>
          <w:szCs w:val="32"/>
          <w:lang w:val="en-US" w:eastAsia="zh-CN"/>
          <w14:textFill>
            <w14:solidFill>
              <w14:schemeClr w14:val="tx1"/>
            </w14:solidFill>
          </w14:textFill>
        </w:rPr>
      </w:pPr>
      <w:r>
        <w:rPr>
          <w:rFonts w:hint="default" w:ascii="Times New Roman" w:hAnsi="Times New Roman" w:eastAsia="方正楷体_GBK" w:cs="Times New Roman"/>
          <w:b/>
          <w:bCs/>
          <w:color w:val="000000" w:themeColor="text1"/>
          <w:kern w:val="2"/>
          <w:sz w:val="32"/>
          <w:szCs w:val="32"/>
          <w:lang w:val="en-US" w:eastAsia="zh-CN"/>
          <w14:textFill>
            <w14:solidFill>
              <w14:schemeClr w14:val="tx1"/>
            </w14:solidFill>
          </w14:textFill>
        </w:rPr>
        <w:t>（2024年</w:t>
      </w:r>
      <w:r>
        <w:rPr>
          <w:rFonts w:hint="default" w:ascii="Times New Roman" w:hAnsi="Times New Roman" w:eastAsia="方正楷体_GBK" w:cs="Times New Roman"/>
          <w:b/>
          <w:bCs/>
          <w:sz w:val="32"/>
          <w:szCs w:val="32"/>
          <w:lang w:val="en-US" w:eastAsia="zh-CN"/>
        </w:rPr>
        <w:t>干部教育项目</w:t>
      </w:r>
      <w:r>
        <w:rPr>
          <w:rFonts w:hint="default" w:ascii="Times New Roman" w:hAnsi="Times New Roman" w:eastAsia="方正楷体_GBK" w:cs="Times New Roman"/>
          <w:b/>
          <w:bCs/>
          <w:color w:val="000000" w:themeColor="text1"/>
          <w:kern w:val="2"/>
          <w:sz w:val="32"/>
          <w:szCs w:val="32"/>
          <w:lang w:val="en-US" w:eastAsia="zh-CN"/>
          <w14:textFill>
            <w14:solidFill>
              <w14:schemeClr w14:val="tx1"/>
            </w14:solidFill>
          </w14:textFill>
        </w:rPr>
        <w:t>）</w:t>
      </w:r>
    </w:p>
    <w:p w14:paraId="135D408E">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lang w:val="zh-CN"/>
        </w:rPr>
      </w:pPr>
    </w:p>
    <w:p w14:paraId="71539885">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一、项目概况</w:t>
      </w:r>
    </w:p>
    <w:p w14:paraId="67E399D6">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（一）设立背景及基本情况</w:t>
      </w:r>
    </w:p>
    <w:p w14:paraId="34BBA666">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w:t>
      </w:r>
      <w:r>
        <w:rPr>
          <w:rFonts w:hint="default" w:ascii="Times New Roman" w:hAnsi="Times New Roman" w:eastAsia="方正仿宋_GBK" w:cs="Times New Roman"/>
          <w:color w:val="auto"/>
          <w:kern w:val="2"/>
          <w:sz w:val="32"/>
          <w:szCs w:val="32"/>
          <w:highlight w:val="none"/>
          <w:lang w:val="en-US" w:eastAsia="zh-CN" w:bidi="ar-SA"/>
        </w:rPr>
        <w:t>2024年县委党校工作经费项目</w:t>
      </w:r>
      <w:r>
        <w:rPr>
          <w:rFonts w:hint="default" w:ascii="Times New Roman" w:hAnsi="Times New Roman" w:eastAsia="方正仿宋_GBK" w:cs="Times New Roman"/>
          <w:color w:val="auto"/>
          <w:kern w:val="2"/>
          <w:sz w:val="32"/>
          <w:szCs w:val="32"/>
          <w:highlight w:val="none"/>
          <w:lang w:val="zh-CN" w:eastAsia="zh-CN" w:bidi="ar-SA"/>
        </w:rPr>
        <w:t>主管部门是中共盐边县委党校，其职能是</w:t>
      </w:r>
      <w:r>
        <w:rPr>
          <w:rFonts w:hint="default" w:ascii="Times New Roman" w:hAnsi="Times New Roman" w:eastAsia="方正仿宋_GBK" w:cs="Times New Roman"/>
          <w:color w:val="auto"/>
          <w:kern w:val="2"/>
          <w:sz w:val="32"/>
          <w:szCs w:val="32"/>
          <w:highlight w:val="none"/>
          <w:lang w:val="en-US" w:eastAsia="zh-CN" w:bidi="ar-SA"/>
        </w:rPr>
        <w:t>对培训经费合规使用进行监督</w:t>
      </w:r>
      <w:r>
        <w:rPr>
          <w:rFonts w:hint="default" w:ascii="Times New Roman" w:hAnsi="Times New Roman" w:eastAsia="方正仿宋_GBK" w:cs="Times New Roman"/>
          <w:color w:val="auto"/>
          <w:kern w:val="2"/>
          <w:sz w:val="32"/>
          <w:szCs w:val="32"/>
          <w:highlight w:val="none"/>
          <w:lang w:val="zh-CN" w:eastAsia="zh-CN" w:bidi="ar-SA"/>
        </w:rPr>
        <w:t>，对资金进行划拨、使用和审核。</w:t>
      </w:r>
    </w:p>
    <w:p w14:paraId="725F799C">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kern w:val="2"/>
          <w:sz w:val="32"/>
          <w:szCs w:val="32"/>
          <w:highlight w:val="none"/>
          <w:lang w:val="zh-CN" w:eastAsia="zh-CN" w:bidi="ar-SA"/>
        </w:rPr>
        <w:t>项目依据《中国共产党党校（行政学院）工作条例》《干部教育培训学员管理规定》《市县级党校办学质量评估办法》《市县级党校主体班班次办学规范》申报资金。</w:t>
      </w:r>
    </w:p>
    <w:p w14:paraId="1D347422">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3.</w:t>
      </w:r>
      <w:r>
        <w:rPr>
          <w:rFonts w:hint="default" w:ascii="Times New Roman" w:hAnsi="Times New Roman" w:eastAsia="方正仿宋_GBK" w:cs="Times New Roman"/>
          <w:color w:val="auto"/>
          <w:kern w:val="2"/>
          <w:sz w:val="32"/>
          <w:szCs w:val="32"/>
          <w:highlight w:val="none"/>
          <w:lang w:val="zh-CN" w:eastAsia="zh-CN" w:bidi="ar-SA"/>
        </w:rPr>
        <w:t>干部教育培训相关项目由校委会审定在全县各部门、乡镇征求意见后，报经县委常委会审议通过，并报市委党校备案。制定了相关干部培训资金管理办法，按程序支出。</w:t>
      </w:r>
    </w:p>
    <w:p w14:paraId="57C1FEBC">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4.</w:t>
      </w:r>
      <w:r>
        <w:rPr>
          <w:rFonts w:hint="default" w:ascii="Times New Roman" w:hAnsi="Times New Roman" w:eastAsia="方正仿宋_GBK" w:cs="Times New Roman"/>
          <w:color w:val="auto"/>
          <w:kern w:val="2"/>
          <w:sz w:val="32"/>
          <w:szCs w:val="32"/>
          <w:highlight w:val="none"/>
          <w:lang w:val="zh-CN" w:eastAsia="zh-CN" w:bidi="ar-SA"/>
        </w:rPr>
        <w:t>资金按照各培训班实际费用及培训费支出规定进行分配。</w:t>
      </w:r>
    </w:p>
    <w:p w14:paraId="2001A44C">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en-US" w:eastAsia="zh-CN"/>
        </w:rPr>
        <w:t>（二）</w:t>
      </w:r>
      <w:r>
        <w:rPr>
          <w:rFonts w:hint="default" w:ascii="Times New Roman" w:hAnsi="Times New Roman" w:eastAsia="方正楷体_GBK" w:cs="Times New Roman"/>
          <w:b/>
          <w:sz w:val="32"/>
          <w:szCs w:val="32"/>
          <w:lang w:val="zh-CN"/>
        </w:rPr>
        <w:t>实施目的及支持方向</w:t>
      </w:r>
    </w:p>
    <w:p w14:paraId="3BF54144">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仿宋_GBK" w:cs="Times New Roman"/>
          <w:color w:val="auto"/>
          <w:kern w:val="2"/>
          <w:sz w:val="32"/>
          <w:szCs w:val="32"/>
          <w:highlight w:val="none"/>
          <w:lang w:val="zh-CN" w:eastAsia="zh-CN" w:bidi="ar-SA"/>
        </w:rPr>
        <w:t>项目立项、资金申报的依据是</w:t>
      </w:r>
      <w:r>
        <w:rPr>
          <w:rFonts w:hint="default" w:ascii="Times New Roman" w:hAnsi="Times New Roman" w:eastAsia="方正仿宋_GBK" w:cs="Times New Roman"/>
          <w:color w:val="auto"/>
          <w:kern w:val="2"/>
          <w:sz w:val="32"/>
          <w:szCs w:val="32"/>
          <w:highlight w:val="none"/>
          <w:lang w:val="en-US" w:eastAsia="zh-CN" w:bidi="ar-SA"/>
        </w:rPr>
        <w:t>保证党校日常工作正常进行</w:t>
      </w:r>
      <w:r>
        <w:rPr>
          <w:rFonts w:hint="default" w:ascii="Times New Roman" w:hAnsi="Times New Roman" w:eastAsia="方正仿宋_GBK" w:cs="Times New Roman"/>
          <w:color w:val="auto"/>
          <w:kern w:val="2"/>
          <w:sz w:val="32"/>
          <w:szCs w:val="32"/>
          <w:highlight w:val="none"/>
          <w:lang w:val="zh-CN" w:eastAsia="zh-CN" w:bidi="ar-SA"/>
        </w:rPr>
        <w:t>。资金由县委党校预算并向县政府请示，由县财政局划拨使用。</w:t>
      </w:r>
      <w:r>
        <w:rPr>
          <w:rFonts w:hint="default" w:ascii="Times New Roman" w:hAnsi="Times New Roman" w:eastAsia="方正仿宋_GBK" w:cs="Times New Roman"/>
          <w:color w:val="auto"/>
          <w:kern w:val="2"/>
          <w:sz w:val="32"/>
          <w:szCs w:val="32"/>
          <w:highlight w:val="none"/>
          <w:lang w:val="en-US" w:eastAsia="zh-CN" w:bidi="ar-SA"/>
        </w:rPr>
        <w:t>资金实际使用174.85万元</w:t>
      </w:r>
      <w:r>
        <w:rPr>
          <w:rFonts w:hint="default" w:ascii="Times New Roman" w:hAnsi="Times New Roman" w:eastAsia="方正仿宋_GBK" w:cs="Times New Roman"/>
          <w:sz w:val="32"/>
          <w:szCs w:val="32"/>
          <w:lang w:val="en-US" w:eastAsia="zh-CN"/>
        </w:rPr>
        <w:t>。</w:t>
      </w:r>
    </w:p>
    <w:p w14:paraId="143CA253">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（三）预算安排及分配管理</w:t>
      </w:r>
    </w:p>
    <w:p w14:paraId="4749068A">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资金使用严格按照经费支出的要求列支</w:t>
      </w:r>
      <w:r>
        <w:rPr>
          <w:rFonts w:hint="default" w:ascii="Times New Roman" w:hAnsi="Times New Roman" w:eastAsia="方正仿宋_GBK" w:cs="Times New Roman"/>
          <w:color w:val="auto"/>
          <w:kern w:val="2"/>
          <w:sz w:val="32"/>
          <w:szCs w:val="32"/>
          <w:highlight w:val="none"/>
          <w:lang w:val="zh-CN" w:eastAsia="zh-CN" w:bidi="ar-SA"/>
        </w:rPr>
        <w:t>，资金按照各项</w:t>
      </w:r>
      <w:r>
        <w:rPr>
          <w:rFonts w:hint="default" w:ascii="Times New Roman" w:hAnsi="Times New Roman" w:eastAsia="方正仿宋_GBK" w:cs="Times New Roman"/>
          <w:color w:val="auto"/>
          <w:kern w:val="2"/>
          <w:sz w:val="32"/>
          <w:szCs w:val="32"/>
          <w:highlight w:val="none"/>
          <w:lang w:val="en-US" w:eastAsia="zh-CN" w:bidi="ar-SA"/>
        </w:rPr>
        <w:t>日常办公支出</w:t>
      </w:r>
      <w:r>
        <w:rPr>
          <w:rFonts w:hint="default" w:ascii="Times New Roman" w:hAnsi="Times New Roman" w:eastAsia="方正仿宋_GBK" w:cs="Times New Roman"/>
          <w:color w:val="auto"/>
          <w:kern w:val="2"/>
          <w:sz w:val="32"/>
          <w:szCs w:val="32"/>
          <w:highlight w:val="none"/>
          <w:lang w:val="zh-CN" w:eastAsia="zh-CN" w:bidi="ar-SA"/>
        </w:rPr>
        <w:t>实际指出进行分配。</w:t>
      </w:r>
    </w:p>
    <w:p w14:paraId="6E880DE9">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（四）项目绩效目标设置</w:t>
      </w:r>
    </w:p>
    <w:p w14:paraId="13416701">
      <w:pPr>
        <w:pStyle w:val="15"/>
        <w:pageBreakBefore w:val="0"/>
        <w:widowControl w:val="0"/>
        <w:kinsoku/>
        <w:wordWrap/>
        <w:overflowPunct/>
        <w:topLinePunct w:val="0"/>
        <w:bidi w:val="0"/>
        <w:spacing w:beforeAutospacing="0" w:afterAutospacing="0"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统筹使用省市党校、高校及区县党校师资库力量，邀请教师、专家、学者到我校上课，优化师资队伍结构。推行开展校本研学、送外培训、跟班学习等师资提能活动，开展校本研学4次，培训班次16次，调训干部1276人，切实提升干部职工教学能力和科研资政能力。</w:t>
      </w:r>
    </w:p>
    <w:p w14:paraId="1D86E4C8">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二、评价实施</w:t>
      </w:r>
    </w:p>
    <w:p w14:paraId="7C3270E6">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（一）评价目的。</w:t>
      </w:r>
      <w:r>
        <w:rPr>
          <w:rFonts w:hint="default" w:ascii="Times New Roman" w:hAnsi="Times New Roman" w:eastAsia="方正仿宋_GBK" w:cs="Times New Roman"/>
          <w:color w:val="auto"/>
          <w:kern w:val="2"/>
          <w:sz w:val="32"/>
          <w:szCs w:val="32"/>
          <w:highlight w:val="none"/>
          <w:lang w:val="en-US" w:eastAsia="zh-CN" w:bidi="ar-SA"/>
        </w:rPr>
        <w:t>为确保项目按质按量完成，资金使用合法合规</w:t>
      </w:r>
      <w:r>
        <w:rPr>
          <w:rFonts w:hint="default" w:ascii="Times New Roman" w:hAnsi="Times New Roman" w:eastAsia="方正仿宋_GBK" w:cs="Times New Roman"/>
          <w:color w:val="auto"/>
          <w:kern w:val="2"/>
          <w:sz w:val="32"/>
          <w:szCs w:val="32"/>
          <w:highlight w:val="none"/>
          <w:lang w:val="zh-CN" w:eastAsia="zh-CN" w:bidi="ar-SA"/>
        </w:rPr>
        <w:t>。</w:t>
      </w:r>
    </w:p>
    <w:p w14:paraId="43DC5C12">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（二）预设问题及评价重点。</w:t>
      </w:r>
      <w:r>
        <w:rPr>
          <w:rFonts w:hint="default" w:ascii="Times New Roman" w:hAnsi="Times New Roman" w:eastAsia="方正仿宋_GBK" w:cs="Times New Roman"/>
          <w:color w:val="auto"/>
          <w:kern w:val="2"/>
          <w:sz w:val="32"/>
          <w:szCs w:val="32"/>
          <w:highlight w:val="none"/>
          <w:lang w:val="en-US" w:eastAsia="zh-CN" w:bidi="ar-SA"/>
        </w:rPr>
        <w:t>是否能够满足调研顺利进行。</w:t>
      </w:r>
    </w:p>
    <w:p w14:paraId="4953617D">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（三）评价选点。</w:t>
      </w:r>
      <w:r>
        <w:rPr>
          <w:rFonts w:hint="default" w:ascii="Times New Roman" w:hAnsi="Times New Roman" w:eastAsia="方正仿宋_GBK" w:cs="Times New Roman"/>
          <w:color w:val="auto"/>
          <w:kern w:val="2"/>
          <w:sz w:val="32"/>
          <w:szCs w:val="32"/>
          <w:highlight w:val="none"/>
          <w:lang w:val="en-US" w:eastAsia="zh-CN" w:bidi="ar-SA"/>
        </w:rPr>
        <w:t>分别对产出指标及效益指标进行监控</w:t>
      </w:r>
      <w:r>
        <w:rPr>
          <w:rFonts w:hint="default" w:ascii="Times New Roman" w:hAnsi="Times New Roman" w:eastAsia="方正仿宋_GBK" w:cs="Times New Roman"/>
          <w:color w:val="auto"/>
          <w:kern w:val="2"/>
          <w:sz w:val="32"/>
          <w:szCs w:val="32"/>
          <w:highlight w:val="none"/>
          <w:lang w:val="zh-CN" w:eastAsia="zh-CN" w:bidi="ar-SA"/>
        </w:rPr>
        <w:t>。</w:t>
      </w:r>
    </w:p>
    <w:p w14:paraId="1CDE35FD">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（四）评价方法。</w:t>
      </w:r>
      <w:r>
        <w:rPr>
          <w:rFonts w:hint="default" w:ascii="Times New Roman" w:hAnsi="Times New Roman" w:eastAsia="方正仿宋_GBK" w:cs="Times New Roman"/>
          <w:color w:val="auto"/>
          <w:kern w:val="2"/>
          <w:sz w:val="32"/>
          <w:szCs w:val="32"/>
          <w:highlight w:val="none"/>
          <w:lang w:val="en-US" w:eastAsia="zh-CN" w:bidi="ar-SA"/>
        </w:rPr>
        <w:t>项目采取</w:t>
      </w:r>
      <w:r>
        <w:rPr>
          <w:rFonts w:hint="default" w:ascii="Times New Roman" w:hAnsi="Times New Roman" w:eastAsia="方正仿宋_GBK" w:cs="Times New Roman"/>
          <w:color w:val="auto"/>
          <w:kern w:val="2"/>
          <w:sz w:val="32"/>
          <w:szCs w:val="32"/>
          <w:highlight w:val="none"/>
          <w:lang w:val="zh-CN" w:eastAsia="zh-CN" w:bidi="ar-SA"/>
        </w:rPr>
        <w:t>单位自评法、实地勘察法、座谈调研法多种方法。</w:t>
      </w:r>
    </w:p>
    <w:p w14:paraId="248852A3">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（五）评价组织。</w:t>
      </w:r>
      <w:r>
        <w:rPr>
          <w:rFonts w:hint="default" w:ascii="Times New Roman" w:hAnsi="Times New Roman" w:eastAsia="方正仿宋_GBK" w:cs="Times New Roman"/>
          <w:color w:val="auto"/>
          <w:kern w:val="2"/>
          <w:sz w:val="32"/>
          <w:szCs w:val="32"/>
          <w:highlight w:val="none"/>
          <w:lang w:val="zh-CN" w:eastAsia="zh-CN" w:bidi="ar-SA"/>
        </w:rPr>
        <w:t>评价组</w:t>
      </w:r>
      <w:r>
        <w:rPr>
          <w:rFonts w:hint="default" w:ascii="Times New Roman" w:hAnsi="Times New Roman" w:eastAsia="方正仿宋_GBK" w:cs="Times New Roman"/>
          <w:color w:val="auto"/>
          <w:kern w:val="2"/>
          <w:sz w:val="32"/>
          <w:szCs w:val="32"/>
          <w:highlight w:val="none"/>
          <w:lang w:val="en-US" w:eastAsia="zh-CN" w:bidi="ar-SA"/>
        </w:rPr>
        <w:t>由主要领导，财务分管领导及财务人员组成</w:t>
      </w:r>
      <w:r>
        <w:rPr>
          <w:rFonts w:hint="default"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en-US" w:eastAsia="zh-CN" w:bidi="ar-SA"/>
        </w:rPr>
        <w:t>主要分别负责监控项目实施进度、资金使用及报账流程等。</w:t>
      </w:r>
    </w:p>
    <w:p w14:paraId="2C37A3E3">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eastAsia="zh-CN"/>
        </w:rPr>
      </w:pPr>
      <w:r>
        <w:rPr>
          <w:rFonts w:hint="default" w:ascii="Times New Roman" w:hAnsi="Times New Roman" w:eastAsia="方正黑体_GBK" w:cs="Times New Roman"/>
          <w:sz w:val="32"/>
          <w:szCs w:val="32"/>
          <w:lang w:val="zh-CN" w:eastAsia="zh-CN"/>
        </w:rPr>
        <w:t>三、绩效分析</w:t>
      </w:r>
    </w:p>
    <w:p w14:paraId="394919BA">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eastAsia="zh-CN"/>
        </w:rPr>
      </w:pPr>
      <w:r>
        <w:rPr>
          <w:rFonts w:hint="default" w:ascii="Times New Roman" w:hAnsi="Times New Roman" w:eastAsia="方正楷体_GBK" w:cs="Times New Roman"/>
          <w:b/>
          <w:sz w:val="32"/>
          <w:szCs w:val="32"/>
          <w:lang w:val="zh-CN" w:eastAsia="zh-CN"/>
        </w:rPr>
        <w:t>（一）通用指标绩效分析</w:t>
      </w:r>
    </w:p>
    <w:p w14:paraId="51DFB5FB">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1.项目决策。</w:t>
      </w:r>
      <w:r>
        <w:rPr>
          <w:rFonts w:hint="default" w:ascii="Times New Roman" w:hAnsi="Times New Roman" w:eastAsia="方正仿宋_GBK" w:cs="Times New Roman"/>
          <w:color w:val="auto"/>
          <w:kern w:val="2"/>
          <w:sz w:val="32"/>
          <w:szCs w:val="32"/>
          <w:highlight w:val="none"/>
          <w:lang w:val="en-US" w:eastAsia="zh-CN" w:bidi="ar-SA"/>
        </w:rPr>
        <w:t>一是</w:t>
      </w:r>
      <w:r>
        <w:rPr>
          <w:rFonts w:hint="default" w:ascii="Times New Roman" w:hAnsi="Times New Roman" w:eastAsia="方正仿宋_GBK" w:cs="Times New Roman"/>
          <w:color w:val="auto"/>
          <w:kern w:val="2"/>
          <w:sz w:val="32"/>
          <w:szCs w:val="32"/>
          <w:highlight w:val="none"/>
          <w:lang w:val="zh-CN" w:eastAsia="zh-CN" w:bidi="ar-SA"/>
        </w:rPr>
        <w:t>程序规范性：检查决策过程是否遵循了既定的规章制度和流程，确保每一步都合法合规。</w:t>
      </w:r>
      <w:r>
        <w:rPr>
          <w:rFonts w:hint="default" w:ascii="Times New Roman" w:hAnsi="Times New Roman" w:eastAsia="方正仿宋_GBK" w:cs="Times New Roman"/>
          <w:color w:val="auto"/>
          <w:kern w:val="2"/>
          <w:sz w:val="32"/>
          <w:szCs w:val="32"/>
          <w:highlight w:val="none"/>
          <w:lang w:val="en-US" w:eastAsia="zh-CN" w:bidi="ar-SA"/>
        </w:rPr>
        <w:t>二是</w:t>
      </w:r>
      <w:r>
        <w:rPr>
          <w:rFonts w:hint="default" w:ascii="Times New Roman" w:hAnsi="Times New Roman" w:eastAsia="方正仿宋_GBK" w:cs="Times New Roman"/>
          <w:color w:val="auto"/>
          <w:kern w:val="2"/>
          <w:sz w:val="32"/>
          <w:szCs w:val="32"/>
          <w:highlight w:val="none"/>
          <w:lang w:val="zh-CN" w:eastAsia="zh-CN" w:bidi="ar-SA"/>
        </w:rPr>
        <w:t>决策效率：评估决策过程的时间成本，即从项目提出到最终决策所需的时间。高效决策有助于项目快速启动，减少时间浪费。</w:t>
      </w:r>
      <w:r>
        <w:rPr>
          <w:rFonts w:hint="default" w:ascii="Times New Roman" w:hAnsi="Times New Roman" w:eastAsia="方正仿宋_GBK" w:cs="Times New Roman"/>
          <w:color w:val="auto"/>
          <w:kern w:val="2"/>
          <w:sz w:val="32"/>
          <w:szCs w:val="32"/>
          <w:highlight w:val="none"/>
          <w:lang w:val="en-US" w:eastAsia="zh-CN" w:bidi="ar-SA"/>
        </w:rPr>
        <w:t>三是</w:t>
      </w:r>
      <w:r>
        <w:rPr>
          <w:rFonts w:hint="default" w:ascii="Times New Roman" w:hAnsi="Times New Roman" w:eastAsia="方正仿宋_GBK" w:cs="Times New Roman"/>
          <w:color w:val="auto"/>
          <w:kern w:val="2"/>
          <w:sz w:val="32"/>
          <w:szCs w:val="32"/>
          <w:highlight w:val="none"/>
          <w:lang w:val="zh-CN" w:eastAsia="zh-CN" w:bidi="ar-SA"/>
        </w:rPr>
        <w:t>决策质量：分析决策结果是否基于充分的信息和合理的判断，以及决策是否考虑了项目的长期效益和风险。</w:t>
      </w:r>
      <w:r>
        <w:rPr>
          <w:rFonts w:hint="default" w:ascii="Times New Roman" w:hAnsi="Times New Roman" w:eastAsia="方正仿宋_GBK" w:cs="Times New Roman"/>
          <w:color w:val="auto"/>
          <w:kern w:val="2"/>
          <w:sz w:val="32"/>
          <w:szCs w:val="32"/>
          <w:highlight w:val="none"/>
          <w:lang w:val="en-US" w:eastAsia="zh-CN" w:bidi="ar-SA"/>
        </w:rPr>
        <w:t>四是</w:t>
      </w:r>
      <w:r>
        <w:rPr>
          <w:rFonts w:hint="default" w:ascii="Times New Roman" w:hAnsi="Times New Roman" w:eastAsia="方正仿宋_GBK" w:cs="Times New Roman"/>
          <w:color w:val="auto"/>
          <w:kern w:val="2"/>
          <w:sz w:val="32"/>
          <w:szCs w:val="32"/>
          <w:highlight w:val="none"/>
          <w:lang w:val="zh-CN" w:eastAsia="zh-CN" w:bidi="ar-SA"/>
        </w:rPr>
        <w:t>参与程度：评估决策过程中各方利益的代表性和参与度，确保决策过程公正、透明。</w:t>
      </w:r>
    </w:p>
    <w:p w14:paraId="3AC811BD">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zh-CN" w:eastAsia="zh-CN" w:bidi="ar-SA"/>
        </w:rPr>
        <w:t>2.项目管理。此项目严格按照</w:t>
      </w:r>
      <w:r>
        <w:rPr>
          <w:rFonts w:hint="default" w:ascii="Times New Roman" w:hAnsi="Times New Roman" w:eastAsia="方正仿宋_GBK" w:cs="Times New Roman"/>
          <w:color w:val="auto"/>
          <w:kern w:val="2"/>
          <w:sz w:val="32"/>
          <w:szCs w:val="32"/>
          <w:highlight w:val="none"/>
          <w:lang w:val="en-US" w:eastAsia="zh-CN" w:bidi="ar-SA"/>
        </w:rPr>
        <w:t>经费支出手续完成支付。</w:t>
      </w:r>
    </w:p>
    <w:p w14:paraId="064D98CE">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3.项目实施。此项目按照预定在</w:t>
      </w:r>
      <w:r>
        <w:rPr>
          <w:rFonts w:hint="default" w:ascii="Times New Roman" w:hAnsi="Times New Roman" w:eastAsia="方正仿宋_GBK" w:cs="Times New Roman"/>
          <w:color w:val="auto"/>
          <w:kern w:val="2"/>
          <w:sz w:val="32"/>
          <w:szCs w:val="32"/>
          <w:highlight w:val="none"/>
          <w:lang w:val="en-US" w:eastAsia="zh-CN" w:bidi="ar-SA"/>
        </w:rPr>
        <w:t>调研期间完成</w:t>
      </w:r>
      <w:r>
        <w:rPr>
          <w:rFonts w:hint="default" w:ascii="Times New Roman" w:hAnsi="Times New Roman" w:eastAsia="方正仿宋_GBK" w:cs="Times New Roman"/>
          <w:color w:val="auto"/>
          <w:kern w:val="2"/>
          <w:sz w:val="32"/>
          <w:szCs w:val="32"/>
          <w:highlight w:val="none"/>
          <w:lang w:val="zh-CN" w:eastAsia="zh-CN" w:bidi="ar-SA"/>
        </w:rPr>
        <w:t>。</w:t>
      </w:r>
    </w:p>
    <w:p w14:paraId="4DBB8D83">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4.项目结果此项目按照规定时间按时推进，</w:t>
      </w:r>
      <w:r>
        <w:rPr>
          <w:rFonts w:hint="default" w:ascii="Times New Roman" w:hAnsi="Times New Roman" w:eastAsia="方正仿宋_GBK" w:cs="Times New Roman"/>
          <w:color w:val="auto"/>
          <w:kern w:val="2"/>
          <w:sz w:val="32"/>
          <w:szCs w:val="32"/>
          <w:highlight w:val="none"/>
          <w:lang w:val="en-US" w:eastAsia="zh-CN" w:bidi="ar-SA"/>
        </w:rPr>
        <w:t>满足日常工作需求</w:t>
      </w:r>
      <w:r>
        <w:rPr>
          <w:rFonts w:hint="default" w:ascii="Times New Roman" w:hAnsi="Times New Roman" w:eastAsia="方正仿宋_GBK" w:cs="Times New Roman"/>
          <w:color w:val="auto"/>
          <w:kern w:val="2"/>
          <w:sz w:val="32"/>
          <w:szCs w:val="32"/>
          <w:highlight w:val="none"/>
          <w:lang w:val="zh-CN" w:eastAsia="zh-CN" w:bidi="ar-SA"/>
        </w:rPr>
        <w:t>。</w:t>
      </w:r>
    </w:p>
    <w:p w14:paraId="17A9C57A">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（二）专用指标绩效分析</w:t>
      </w:r>
    </w:p>
    <w:p w14:paraId="5BFB0060">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检查行政决策是否遵循了法定的决策程序和规定，是否进行了充分的调研和论证。评估标准：决策程序是否符合法律法规、政策文件和行业标准，是否体现了民主、科学、公正的原则。绩效指标，决策程序合规率、决策质量评估、公众参与度等。</w:t>
      </w:r>
    </w:p>
    <w:p w14:paraId="54B7D945">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（三）个性指标绩效分析。</w:t>
      </w:r>
    </w:p>
    <w:p w14:paraId="15B90E46">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根据</w:t>
      </w:r>
      <w:r>
        <w:rPr>
          <w:rFonts w:hint="default" w:ascii="Times New Roman" w:hAnsi="Times New Roman" w:eastAsia="方正仿宋_GBK" w:cs="Times New Roman"/>
          <w:color w:val="auto"/>
          <w:kern w:val="2"/>
          <w:sz w:val="32"/>
          <w:szCs w:val="32"/>
          <w:highlight w:val="none"/>
          <w:lang w:val="en-US" w:eastAsia="zh-CN" w:bidi="ar-SA"/>
        </w:rPr>
        <w:t>年初工作安排完成</w:t>
      </w:r>
      <w:r>
        <w:rPr>
          <w:rFonts w:hint="default" w:ascii="Times New Roman" w:hAnsi="Times New Roman" w:eastAsia="方正仿宋_GBK" w:cs="Times New Roman"/>
          <w:color w:val="auto"/>
          <w:kern w:val="2"/>
          <w:sz w:val="32"/>
          <w:szCs w:val="32"/>
          <w:highlight w:val="none"/>
          <w:lang w:val="zh-CN" w:eastAsia="zh-CN" w:bidi="ar-SA"/>
        </w:rPr>
        <w:t>。</w:t>
      </w:r>
    </w:p>
    <w:p w14:paraId="74AF1AF1">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四、评价结论</w:t>
      </w:r>
    </w:p>
    <w:p w14:paraId="4DFF5880">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坚持“缺什么、学什么”原则，采取“互动教学+现场教学+现场交流”等方式进行效果明显。</w:t>
      </w:r>
    </w:p>
    <w:p w14:paraId="350EC01C">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五、存在主要问题</w:t>
      </w:r>
    </w:p>
    <w:p w14:paraId="7D657A8C">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无</w:t>
      </w:r>
    </w:p>
    <w:p w14:paraId="55D0E318">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六、改进建议</w:t>
      </w:r>
    </w:p>
    <w:p w14:paraId="368F89A5">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pPr>
      <w:r>
        <w:rPr>
          <w:rFonts w:hint="default" w:ascii="Times New Roman" w:hAnsi="Times New Roman" w:eastAsia="方正仿宋_GBK" w:cs="Times New Roman"/>
          <w:color w:val="auto"/>
          <w:kern w:val="2"/>
          <w:sz w:val="32"/>
          <w:szCs w:val="32"/>
          <w:highlight w:val="none"/>
          <w:lang w:val="en-US" w:eastAsia="zh-CN" w:bidi="ar-SA"/>
        </w:rPr>
        <w:t>无。</w:t>
      </w:r>
    </w:p>
    <w:p w14:paraId="5CDC6BB1">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pPr>
      <w:r>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t>中共盐边县委党校</w:t>
      </w:r>
    </w:p>
    <w:p w14:paraId="34338AA6">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color w:val="000000" w:themeColor="text1"/>
          <w:kern w:val="2"/>
          <w:sz w:val="44"/>
          <w:szCs w:val="44"/>
          <w:lang w:val="en-US"/>
          <w14:textFill>
            <w14:solidFill>
              <w14:schemeClr w14:val="tx1"/>
            </w14:solidFill>
          </w14:textFill>
        </w:rPr>
      </w:pPr>
      <w:r>
        <w:rPr>
          <w:rFonts w:hint="default" w:ascii="Times New Roman" w:hAnsi="Times New Roman" w:eastAsia="方正小标宋_GBK" w:cs="Times New Roman"/>
          <w:b/>
          <w:bCs/>
          <w:color w:val="000000" w:themeColor="text1"/>
          <w:kern w:val="2"/>
          <w:sz w:val="44"/>
          <w:szCs w:val="44"/>
          <w:lang w:val="en-US"/>
          <w14:textFill>
            <w14:solidFill>
              <w14:schemeClr w14:val="tx1"/>
            </w14:solidFill>
          </w14:textFill>
        </w:rPr>
        <w:t>202</w:t>
      </w:r>
      <w:r>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t>4</w:t>
      </w:r>
      <w:r>
        <w:rPr>
          <w:rFonts w:hint="default" w:ascii="Times New Roman" w:hAnsi="Times New Roman" w:eastAsia="方正小标宋_GBK" w:cs="Times New Roman"/>
          <w:b/>
          <w:bCs/>
          <w:color w:val="000000" w:themeColor="text1"/>
          <w:kern w:val="2"/>
          <w:sz w:val="44"/>
          <w:szCs w:val="44"/>
          <w:lang w:val="en-US"/>
          <w14:textFill>
            <w14:solidFill>
              <w14:schemeClr w14:val="tx1"/>
            </w14:solidFill>
          </w14:textFill>
        </w:rPr>
        <w:t>年专项资金预算项目绩效自评报告</w:t>
      </w:r>
    </w:p>
    <w:p w14:paraId="11F5AE4C">
      <w:pPr>
        <w:pStyle w:val="35"/>
        <w:pageBreakBefore w:val="0"/>
        <w:widowControl w:val="0"/>
        <w:kinsoku/>
        <w:wordWrap/>
        <w:overflowPunct/>
        <w:topLinePunct w:val="0"/>
        <w:bidi w:val="0"/>
        <w:spacing w:line="576" w:lineRule="exact"/>
        <w:ind w:left="0" w:leftChars="0" w:right="0"/>
        <w:jc w:val="center"/>
        <w:textAlignment w:val="auto"/>
        <w:rPr>
          <w:rFonts w:hint="default" w:ascii="Times New Roman" w:hAnsi="Times New Roman" w:eastAsia="方正楷体_GBK" w:cs="Times New Roman"/>
          <w:b/>
          <w:bCs/>
          <w:color w:val="000000" w:themeColor="text1"/>
          <w:kern w:val="2"/>
          <w:sz w:val="32"/>
          <w:szCs w:val="32"/>
          <w:lang w:val="en-US" w:eastAsia="zh-CN"/>
          <w14:textFill>
            <w14:solidFill>
              <w14:schemeClr w14:val="tx1"/>
            </w14:solidFill>
          </w14:textFill>
        </w:rPr>
      </w:pPr>
      <w:r>
        <w:rPr>
          <w:rFonts w:hint="default" w:ascii="Times New Roman" w:hAnsi="Times New Roman" w:eastAsia="方正楷体_GBK" w:cs="Times New Roman"/>
          <w:b/>
          <w:bCs/>
          <w:color w:val="000000" w:themeColor="text1"/>
          <w:kern w:val="2"/>
          <w:sz w:val="32"/>
          <w:szCs w:val="32"/>
          <w:lang w:val="en-US" w:eastAsia="zh-CN"/>
          <w14:textFill>
            <w14:solidFill>
              <w14:schemeClr w14:val="tx1"/>
            </w14:solidFill>
          </w14:textFill>
        </w:rPr>
        <w:t>（2024年</w:t>
      </w:r>
      <w:r>
        <w:rPr>
          <w:rFonts w:hint="eastAsia" w:ascii="Times New Roman" w:hAnsi="Times New Roman" w:eastAsia="方正楷体_GBK" w:cs="Times New Roman"/>
          <w:b/>
          <w:bCs/>
          <w:sz w:val="32"/>
          <w:szCs w:val="32"/>
          <w:lang w:val="en-US" w:eastAsia="zh-CN"/>
        </w:rPr>
        <w:t>办公楼租赁项目</w:t>
      </w:r>
      <w:r>
        <w:rPr>
          <w:rFonts w:hint="default" w:ascii="Times New Roman" w:hAnsi="Times New Roman" w:eastAsia="方正楷体_GBK" w:cs="Times New Roman"/>
          <w:b/>
          <w:bCs/>
          <w:color w:val="000000" w:themeColor="text1"/>
          <w:kern w:val="2"/>
          <w:sz w:val="32"/>
          <w:szCs w:val="32"/>
          <w:lang w:val="en-US" w:eastAsia="zh-CN"/>
          <w14:textFill>
            <w14:solidFill>
              <w14:schemeClr w14:val="tx1"/>
            </w14:solidFill>
          </w14:textFill>
        </w:rPr>
        <w:t>）</w:t>
      </w:r>
    </w:p>
    <w:p w14:paraId="4682C2CD">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一、项目概况</w:t>
      </w:r>
    </w:p>
    <w:p w14:paraId="6B2B5E8A">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（一）设立背景及基本情况</w:t>
      </w:r>
    </w:p>
    <w:p w14:paraId="476C76AE">
      <w:pPr>
        <w:spacing w:line="520" w:lineRule="exact"/>
        <w:ind w:firstLine="640" w:firstLineChars="200"/>
        <w:rPr>
          <w:rFonts w:hint="eastAsia" w:eastAsia="仿宋_GB2312"/>
          <w:sz w:val="32"/>
          <w:szCs w:val="32"/>
        </w:rPr>
      </w:pPr>
      <w:r>
        <w:rPr>
          <w:rFonts w:hint="default" w:ascii="Times New Roman" w:hAnsi="Times New Roman" w:eastAsia="方正仿宋_GBK" w:cs="Times New Roman"/>
          <w:color w:val="auto"/>
          <w:kern w:val="2"/>
          <w:sz w:val="32"/>
          <w:szCs w:val="32"/>
          <w:highlight w:val="none"/>
          <w:lang w:val="zh-CN" w:eastAsia="zh-CN" w:bidi="ar-SA"/>
        </w:rPr>
        <w:t>1.</w:t>
      </w:r>
      <w:r>
        <w:rPr>
          <w:rFonts w:hint="eastAsia" w:eastAsia="仿宋_GB2312"/>
          <w:sz w:val="32"/>
          <w:szCs w:val="32"/>
        </w:rPr>
        <w:t>深入贯彻习近平总书记关于党的建设的重要思想，深入贯彻党的二十大精神，认真落实新时代党的建设总要求和新时代党的组织路线，</w:t>
      </w:r>
      <w:r>
        <w:rPr>
          <w:rFonts w:eastAsia="仿宋_GB2312"/>
          <w:sz w:val="32"/>
          <w:szCs w:val="32"/>
        </w:rPr>
        <w:t>按照县委</w:t>
      </w:r>
      <w:r>
        <w:rPr>
          <w:rFonts w:hint="eastAsia" w:eastAsia="仿宋_GB2312"/>
          <w:sz w:val="32"/>
          <w:szCs w:val="32"/>
        </w:rPr>
        <w:t>“钒钛首县、滋味盐边”发展定位，聚焦高质量发展推动共同富裕试验区建设，</w:t>
      </w:r>
      <w:r>
        <w:rPr>
          <w:rFonts w:eastAsia="仿宋_GB2312"/>
          <w:sz w:val="32"/>
          <w:szCs w:val="32"/>
        </w:rPr>
        <w:t>坚持</w:t>
      </w:r>
      <w:r>
        <w:rPr>
          <w:rFonts w:hint="eastAsia" w:eastAsia="仿宋_GB2312"/>
          <w:sz w:val="32"/>
          <w:szCs w:val="32"/>
        </w:rPr>
        <w:t>“</w:t>
      </w:r>
      <w:r>
        <w:rPr>
          <w:rFonts w:eastAsia="仿宋_GB2312"/>
          <w:sz w:val="32"/>
          <w:szCs w:val="32"/>
        </w:rPr>
        <w:t>缺什么、学什么</w:t>
      </w:r>
      <w:r>
        <w:rPr>
          <w:rFonts w:hint="eastAsia" w:eastAsia="仿宋_GB2312"/>
          <w:sz w:val="32"/>
          <w:szCs w:val="32"/>
        </w:rPr>
        <w:t>”</w:t>
      </w:r>
      <w:r>
        <w:rPr>
          <w:rFonts w:eastAsia="仿宋_GB2312"/>
          <w:sz w:val="32"/>
          <w:szCs w:val="32"/>
        </w:rPr>
        <w:t>原则，重点培训</w:t>
      </w:r>
      <w:r>
        <w:rPr>
          <w:rFonts w:hint="eastAsia" w:eastAsia="仿宋_GB2312"/>
          <w:sz w:val="32"/>
          <w:szCs w:val="32"/>
        </w:rPr>
        <w:t>全</w:t>
      </w:r>
      <w:r>
        <w:rPr>
          <w:rFonts w:eastAsia="仿宋_GB2312"/>
          <w:sz w:val="32"/>
          <w:szCs w:val="32"/>
        </w:rPr>
        <w:t>县干部在工业经济发展、现代农业发展、</w:t>
      </w:r>
      <w:r>
        <w:rPr>
          <w:rFonts w:hint="eastAsia" w:eastAsia="仿宋_GB2312"/>
          <w:sz w:val="32"/>
          <w:szCs w:val="32"/>
        </w:rPr>
        <w:t>乡村振兴</w:t>
      </w:r>
      <w:r>
        <w:rPr>
          <w:rFonts w:eastAsia="仿宋_GB2312"/>
          <w:sz w:val="32"/>
          <w:szCs w:val="32"/>
        </w:rPr>
        <w:t>、生态文明建设、社会建设</w:t>
      </w:r>
      <w:r>
        <w:rPr>
          <w:rFonts w:hint="eastAsia" w:eastAsia="仿宋_GB2312"/>
          <w:sz w:val="32"/>
          <w:szCs w:val="32"/>
        </w:rPr>
        <w:t>及共同富裕试验区建设</w:t>
      </w:r>
      <w:r>
        <w:rPr>
          <w:rFonts w:eastAsia="仿宋_GB2312"/>
          <w:sz w:val="32"/>
          <w:szCs w:val="32"/>
        </w:rPr>
        <w:t>等方面的履职能力和专业化水平</w:t>
      </w:r>
      <w:r>
        <w:rPr>
          <w:rFonts w:hint="eastAsia" w:eastAsia="仿宋_GB2312"/>
          <w:sz w:val="32"/>
          <w:szCs w:val="32"/>
        </w:rPr>
        <w:t>。确保主体班顺利开展。</w:t>
      </w:r>
    </w:p>
    <w:p w14:paraId="111707BB">
      <w:pPr>
        <w:spacing w:line="520" w:lineRule="exact"/>
        <w:ind w:firstLine="640" w:firstLineChars="200"/>
        <w:rPr>
          <w:rFonts w:eastAsia="仿宋_GB2312"/>
          <w:sz w:val="32"/>
          <w:szCs w:val="32"/>
        </w:rPr>
      </w:pPr>
      <w:r>
        <w:rPr>
          <w:rFonts w:hint="default" w:ascii="Times New Roman" w:hAnsi="Times New Roman" w:eastAsia="方正仿宋_GBK" w:cs="Times New Roman"/>
          <w:color w:val="auto"/>
          <w:kern w:val="2"/>
          <w:sz w:val="32"/>
          <w:szCs w:val="32"/>
          <w:highlight w:val="none"/>
          <w:lang w:val="en-US" w:eastAsia="zh-CN" w:bidi="ar-SA"/>
        </w:rPr>
        <w:t>2.</w:t>
      </w:r>
      <w:r>
        <w:rPr>
          <w:rFonts w:eastAsia="仿宋_GB2312"/>
          <w:sz w:val="32"/>
          <w:szCs w:val="32"/>
        </w:rPr>
        <w:t>项目依据：《中国共产党党校（行政学院）工作条例》《干部教育培训学员管理规定》《市县级党校办学质量评估办法》《市县级党校主体班班次办学规范》和</w:t>
      </w:r>
      <w:r>
        <w:rPr>
          <w:rFonts w:hint="eastAsia" w:eastAsia="仿宋_GB2312"/>
          <w:sz w:val="32"/>
          <w:szCs w:val="32"/>
        </w:rPr>
        <w:t>《全国干部教育培训规划（2023－2027年）》</w:t>
      </w:r>
      <w:r>
        <w:rPr>
          <w:rFonts w:eastAsia="仿宋_GB2312"/>
          <w:sz w:val="32"/>
          <w:szCs w:val="32"/>
        </w:rPr>
        <w:t>申报资金。</w:t>
      </w:r>
    </w:p>
    <w:p w14:paraId="2FCDC7A0">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3.</w:t>
      </w:r>
      <w:r>
        <w:rPr>
          <w:rFonts w:hint="default" w:ascii="Times New Roman" w:hAnsi="Times New Roman" w:eastAsia="方正仿宋_GBK" w:cs="Times New Roman"/>
          <w:color w:val="auto"/>
          <w:kern w:val="2"/>
          <w:sz w:val="32"/>
          <w:szCs w:val="32"/>
          <w:highlight w:val="none"/>
          <w:lang w:val="zh-CN" w:eastAsia="zh-CN" w:bidi="ar-SA"/>
        </w:rPr>
        <w:t>由校委会审定在全县各部门、乡镇征求意见后，报经县委常委会审议通过，并报市委党校备案。制定了相关干部培训资金管理办法，按程序支出。</w:t>
      </w:r>
    </w:p>
    <w:p w14:paraId="1219D874">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4.</w:t>
      </w:r>
      <w:r>
        <w:rPr>
          <w:rFonts w:hint="default" w:ascii="Times New Roman" w:hAnsi="Times New Roman" w:eastAsia="方正仿宋_GBK" w:cs="Times New Roman"/>
          <w:color w:val="auto"/>
          <w:kern w:val="2"/>
          <w:sz w:val="32"/>
          <w:szCs w:val="32"/>
          <w:highlight w:val="none"/>
          <w:lang w:val="zh-CN" w:eastAsia="zh-CN" w:bidi="ar-SA"/>
        </w:rPr>
        <w:t>资金按照各培训班实际费用及培训费支出规定进行分配。</w:t>
      </w:r>
    </w:p>
    <w:p w14:paraId="57FDCEF0">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en-US" w:eastAsia="zh-CN"/>
        </w:rPr>
        <w:t>（二）</w:t>
      </w:r>
      <w:r>
        <w:rPr>
          <w:rFonts w:hint="default" w:ascii="Times New Roman" w:hAnsi="Times New Roman" w:eastAsia="方正楷体_GBK" w:cs="Times New Roman"/>
          <w:b/>
          <w:sz w:val="32"/>
          <w:szCs w:val="32"/>
          <w:lang w:val="zh-CN"/>
        </w:rPr>
        <w:t>实施目的及支持方向</w:t>
      </w:r>
    </w:p>
    <w:p w14:paraId="09D34499">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仿宋_GBK" w:cs="Times New Roman"/>
          <w:color w:val="auto"/>
          <w:kern w:val="2"/>
          <w:sz w:val="32"/>
          <w:szCs w:val="32"/>
          <w:highlight w:val="none"/>
          <w:lang w:val="zh-CN" w:eastAsia="zh-CN" w:bidi="ar-SA"/>
        </w:rPr>
        <w:t>项目立项、资金申报的依据是</w:t>
      </w:r>
      <w:r>
        <w:rPr>
          <w:rFonts w:hint="default" w:ascii="Times New Roman" w:hAnsi="Times New Roman" w:eastAsia="方正仿宋_GBK" w:cs="Times New Roman"/>
          <w:color w:val="auto"/>
          <w:kern w:val="2"/>
          <w:sz w:val="32"/>
          <w:szCs w:val="32"/>
          <w:highlight w:val="none"/>
          <w:lang w:val="en-US" w:eastAsia="zh-CN" w:bidi="ar-SA"/>
        </w:rPr>
        <w:t>保证党校日常工作正常进行</w:t>
      </w:r>
      <w:r>
        <w:rPr>
          <w:rFonts w:hint="default" w:ascii="Times New Roman" w:hAnsi="Times New Roman" w:eastAsia="方正仿宋_GBK" w:cs="Times New Roman"/>
          <w:color w:val="auto"/>
          <w:kern w:val="2"/>
          <w:sz w:val="32"/>
          <w:szCs w:val="32"/>
          <w:highlight w:val="none"/>
          <w:lang w:val="zh-CN" w:eastAsia="zh-CN" w:bidi="ar-SA"/>
        </w:rPr>
        <w:t>。资金由县委党校预算并向县政府请示，由县财政局划拨使用。</w:t>
      </w:r>
      <w:r>
        <w:rPr>
          <w:rFonts w:hint="default" w:ascii="Times New Roman" w:hAnsi="Times New Roman" w:eastAsia="方正仿宋_GBK" w:cs="Times New Roman"/>
          <w:color w:val="auto"/>
          <w:kern w:val="2"/>
          <w:sz w:val="32"/>
          <w:szCs w:val="32"/>
          <w:highlight w:val="none"/>
          <w:lang w:val="en-US" w:eastAsia="zh-CN" w:bidi="ar-SA"/>
        </w:rPr>
        <w:t>资金实际使用</w:t>
      </w:r>
      <w:r>
        <w:rPr>
          <w:rFonts w:hint="eastAsia" w:eastAsia="方正仿宋_GBK" w:cs="Times New Roman"/>
          <w:color w:val="auto"/>
          <w:kern w:val="2"/>
          <w:sz w:val="32"/>
          <w:szCs w:val="32"/>
          <w:highlight w:val="none"/>
          <w:lang w:val="en-US" w:eastAsia="zh-CN" w:bidi="ar-SA"/>
        </w:rPr>
        <w:t>252</w:t>
      </w:r>
      <w:r>
        <w:rPr>
          <w:rFonts w:hint="default" w:ascii="Times New Roman" w:hAnsi="Times New Roman" w:eastAsia="方正仿宋_GBK" w:cs="Times New Roman"/>
          <w:color w:val="auto"/>
          <w:kern w:val="2"/>
          <w:sz w:val="32"/>
          <w:szCs w:val="32"/>
          <w:highlight w:val="none"/>
          <w:lang w:val="en-US" w:eastAsia="zh-CN" w:bidi="ar-SA"/>
        </w:rPr>
        <w:t>万元</w:t>
      </w:r>
      <w:r>
        <w:rPr>
          <w:rFonts w:hint="default" w:ascii="Times New Roman" w:hAnsi="Times New Roman" w:eastAsia="方正仿宋_GBK" w:cs="Times New Roman"/>
          <w:sz w:val="32"/>
          <w:szCs w:val="32"/>
          <w:lang w:val="en-US" w:eastAsia="zh-CN"/>
        </w:rPr>
        <w:t>。</w:t>
      </w:r>
    </w:p>
    <w:p w14:paraId="42BA6F33">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（三）预算安排及分配管理</w:t>
      </w:r>
    </w:p>
    <w:p w14:paraId="7E732479">
      <w:pPr>
        <w:spacing w:line="520" w:lineRule="exact"/>
        <w:ind w:firstLine="640" w:firstLineChars="200"/>
        <w:rPr>
          <w:rFonts w:eastAsia="仿宋_GB2312"/>
          <w:sz w:val="32"/>
          <w:szCs w:val="32"/>
        </w:rPr>
      </w:pPr>
      <w:r>
        <w:rPr>
          <w:rFonts w:eastAsia="仿宋_GB2312"/>
          <w:sz w:val="32"/>
          <w:szCs w:val="32"/>
        </w:rPr>
        <w:t>1.由校委会审定在全县各部门、乡镇征求意见后，报经县委常委会审议通过，并报市委党校备案。制定完善相关干部培训资金管理办法，按程序支出。</w:t>
      </w:r>
    </w:p>
    <w:p w14:paraId="18FCA5B2">
      <w:pPr>
        <w:spacing w:line="520" w:lineRule="exact"/>
        <w:ind w:firstLine="640" w:firstLineChars="200"/>
        <w:rPr>
          <w:rFonts w:eastAsia="仿宋_GB2312"/>
          <w:sz w:val="32"/>
          <w:szCs w:val="32"/>
        </w:rPr>
      </w:pPr>
      <w:r>
        <w:rPr>
          <w:rFonts w:eastAsia="仿宋_GB2312"/>
          <w:sz w:val="32"/>
          <w:szCs w:val="32"/>
        </w:rPr>
        <w:t>2.资金分配根据干部培训开支使用情况，按程序据实报销。</w:t>
      </w:r>
    </w:p>
    <w:p w14:paraId="55EBA27F">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（四）项目绩效目标设置</w:t>
      </w:r>
    </w:p>
    <w:p w14:paraId="1BC11FAB">
      <w:pPr>
        <w:spacing w:line="52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完成房屋租金支付保障办班后勤</w:t>
      </w:r>
    </w:p>
    <w:p w14:paraId="3C97ECC3">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二、评价实施</w:t>
      </w:r>
    </w:p>
    <w:p w14:paraId="5079001A">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（一）评价目的。</w:t>
      </w:r>
      <w:r>
        <w:rPr>
          <w:rFonts w:hint="default" w:ascii="Times New Roman" w:hAnsi="Times New Roman" w:eastAsia="方正仿宋_GBK" w:cs="Times New Roman"/>
          <w:color w:val="auto"/>
          <w:kern w:val="2"/>
          <w:sz w:val="32"/>
          <w:szCs w:val="32"/>
          <w:highlight w:val="none"/>
          <w:lang w:val="en-US" w:eastAsia="zh-CN" w:bidi="ar-SA"/>
        </w:rPr>
        <w:t>为确保项目按质按量完成，资金使用合法合规</w:t>
      </w:r>
      <w:r>
        <w:rPr>
          <w:rFonts w:hint="default" w:ascii="Times New Roman" w:hAnsi="Times New Roman" w:eastAsia="方正仿宋_GBK" w:cs="Times New Roman"/>
          <w:color w:val="auto"/>
          <w:kern w:val="2"/>
          <w:sz w:val="32"/>
          <w:szCs w:val="32"/>
          <w:highlight w:val="none"/>
          <w:lang w:val="zh-CN" w:eastAsia="zh-CN" w:bidi="ar-SA"/>
        </w:rPr>
        <w:t>。</w:t>
      </w:r>
    </w:p>
    <w:p w14:paraId="434B1494">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（二）预设问题及评价重点。</w:t>
      </w:r>
      <w:r>
        <w:rPr>
          <w:rFonts w:hint="default" w:ascii="Times New Roman" w:hAnsi="Times New Roman" w:eastAsia="方正仿宋_GBK" w:cs="Times New Roman"/>
          <w:color w:val="auto"/>
          <w:kern w:val="2"/>
          <w:sz w:val="32"/>
          <w:szCs w:val="32"/>
          <w:highlight w:val="none"/>
          <w:lang w:val="en-US" w:eastAsia="zh-CN" w:bidi="ar-SA"/>
        </w:rPr>
        <w:t>是否能够满足调研顺利进行。</w:t>
      </w:r>
    </w:p>
    <w:p w14:paraId="1C1354A8">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（三）评价选点。</w:t>
      </w:r>
      <w:r>
        <w:rPr>
          <w:rFonts w:hint="default" w:ascii="Times New Roman" w:hAnsi="Times New Roman" w:eastAsia="方正仿宋_GBK" w:cs="Times New Roman"/>
          <w:color w:val="auto"/>
          <w:kern w:val="2"/>
          <w:sz w:val="32"/>
          <w:szCs w:val="32"/>
          <w:highlight w:val="none"/>
          <w:lang w:val="en-US" w:eastAsia="zh-CN" w:bidi="ar-SA"/>
        </w:rPr>
        <w:t>分别对产出指标及效益指标进行监控</w:t>
      </w:r>
      <w:r>
        <w:rPr>
          <w:rFonts w:hint="default" w:ascii="Times New Roman" w:hAnsi="Times New Roman" w:eastAsia="方正仿宋_GBK" w:cs="Times New Roman"/>
          <w:color w:val="auto"/>
          <w:kern w:val="2"/>
          <w:sz w:val="32"/>
          <w:szCs w:val="32"/>
          <w:highlight w:val="none"/>
          <w:lang w:val="zh-CN" w:eastAsia="zh-CN" w:bidi="ar-SA"/>
        </w:rPr>
        <w:t>。</w:t>
      </w:r>
    </w:p>
    <w:p w14:paraId="35AA76B1">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（四）评价方法。</w:t>
      </w:r>
      <w:r>
        <w:rPr>
          <w:rFonts w:hint="default" w:ascii="Times New Roman" w:hAnsi="Times New Roman" w:eastAsia="方正仿宋_GBK" w:cs="Times New Roman"/>
          <w:color w:val="auto"/>
          <w:kern w:val="2"/>
          <w:sz w:val="32"/>
          <w:szCs w:val="32"/>
          <w:highlight w:val="none"/>
          <w:lang w:val="en-US" w:eastAsia="zh-CN" w:bidi="ar-SA"/>
        </w:rPr>
        <w:t>项目采取</w:t>
      </w:r>
      <w:r>
        <w:rPr>
          <w:rFonts w:hint="default" w:ascii="Times New Roman" w:hAnsi="Times New Roman" w:eastAsia="方正仿宋_GBK" w:cs="Times New Roman"/>
          <w:color w:val="auto"/>
          <w:kern w:val="2"/>
          <w:sz w:val="32"/>
          <w:szCs w:val="32"/>
          <w:highlight w:val="none"/>
          <w:lang w:val="zh-CN" w:eastAsia="zh-CN" w:bidi="ar-SA"/>
        </w:rPr>
        <w:t>单位自评法、实地勘察法、座谈调研法多种方法。</w:t>
      </w:r>
    </w:p>
    <w:p w14:paraId="05A5265A">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（五）评价组织。</w:t>
      </w:r>
      <w:r>
        <w:rPr>
          <w:rFonts w:hint="default" w:ascii="Times New Roman" w:hAnsi="Times New Roman" w:eastAsia="方正仿宋_GBK" w:cs="Times New Roman"/>
          <w:color w:val="auto"/>
          <w:kern w:val="2"/>
          <w:sz w:val="32"/>
          <w:szCs w:val="32"/>
          <w:highlight w:val="none"/>
          <w:lang w:val="zh-CN" w:eastAsia="zh-CN" w:bidi="ar-SA"/>
        </w:rPr>
        <w:t>评价组</w:t>
      </w:r>
      <w:r>
        <w:rPr>
          <w:rFonts w:hint="default" w:ascii="Times New Roman" w:hAnsi="Times New Roman" w:eastAsia="方正仿宋_GBK" w:cs="Times New Roman"/>
          <w:color w:val="auto"/>
          <w:kern w:val="2"/>
          <w:sz w:val="32"/>
          <w:szCs w:val="32"/>
          <w:highlight w:val="none"/>
          <w:lang w:val="en-US" w:eastAsia="zh-CN" w:bidi="ar-SA"/>
        </w:rPr>
        <w:t>由主要领导，财务分管领导及财务人员组成</w:t>
      </w:r>
      <w:r>
        <w:rPr>
          <w:rFonts w:hint="default"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en-US" w:eastAsia="zh-CN" w:bidi="ar-SA"/>
        </w:rPr>
        <w:t>主要分别负责监控项目实施进度、资金使用及报账流程等。</w:t>
      </w:r>
    </w:p>
    <w:p w14:paraId="324ABE16">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eastAsia="zh-CN"/>
        </w:rPr>
      </w:pPr>
      <w:r>
        <w:rPr>
          <w:rFonts w:hint="default" w:ascii="Times New Roman" w:hAnsi="Times New Roman" w:eastAsia="方正黑体_GBK" w:cs="Times New Roman"/>
          <w:sz w:val="32"/>
          <w:szCs w:val="32"/>
          <w:lang w:val="zh-CN" w:eastAsia="zh-CN"/>
        </w:rPr>
        <w:t>三、绩效分析</w:t>
      </w:r>
    </w:p>
    <w:p w14:paraId="50F877F5">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eastAsia="zh-CN"/>
        </w:rPr>
      </w:pPr>
      <w:r>
        <w:rPr>
          <w:rFonts w:hint="default" w:ascii="Times New Roman" w:hAnsi="Times New Roman" w:eastAsia="方正楷体_GBK" w:cs="Times New Roman"/>
          <w:b/>
          <w:sz w:val="32"/>
          <w:szCs w:val="32"/>
          <w:lang w:val="zh-CN" w:eastAsia="zh-CN"/>
        </w:rPr>
        <w:t>（一）通用指标绩效分析</w:t>
      </w:r>
    </w:p>
    <w:p w14:paraId="4F08AB63">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1.项目决策。</w:t>
      </w:r>
      <w:r>
        <w:rPr>
          <w:rFonts w:hint="default" w:ascii="Times New Roman" w:hAnsi="Times New Roman" w:eastAsia="方正仿宋_GBK" w:cs="Times New Roman"/>
          <w:color w:val="auto"/>
          <w:kern w:val="2"/>
          <w:sz w:val="32"/>
          <w:szCs w:val="32"/>
          <w:highlight w:val="none"/>
          <w:lang w:val="en-US" w:eastAsia="zh-CN" w:bidi="ar-SA"/>
        </w:rPr>
        <w:t>一是</w:t>
      </w:r>
      <w:r>
        <w:rPr>
          <w:rFonts w:hint="default" w:ascii="Times New Roman" w:hAnsi="Times New Roman" w:eastAsia="方正仿宋_GBK" w:cs="Times New Roman"/>
          <w:color w:val="auto"/>
          <w:kern w:val="2"/>
          <w:sz w:val="32"/>
          <w:szCs w:val="32"/>
          <w:highlight w:val="none"/>
          <w:lang w:val="zh-CN" w:eastAsia="zh-CN" w:bidi="ar-SA"/>
        </w:rPr>
        <w:t>程序规范性：检查决策过程是否遵循了既定的规章制度和流程，确保每一步都合法合规。</w:t>
      </w:r>
      <w:r>
        <w:rPr>
          <w:rFonts w:hint="default" w:ascii="Times New Roman" w:hAnsi="Times New Roman" w:eastAsia="方正仿宋_GBK" w:cs="Times New Roman"/>
          <w:color w:val="auto"/>
          <w:kern w:val="2"/>
          <w:sz w:val="32"/>
          <w:szCs w:val="32"/>
          <w:highlight w:val="none"/>
          <w:lang w:val="en-US" w:eastAsia="zh-CN" w:bidi="ar-SA"/>
        </w:rPr>
        <w:t>二是</w:t>
      </w:r>
      <w:r>
        <w:rPr>
          <w:rFonts w:hint="default" w:ascii="Times New Roman" w:hAnsi="Times New Roman" w:eastAsia="方正仿宋_GBK" w:cs="Times New Roman"/>
          <w:color w:val="auto"/>
          <w:kern w:val="2"/>
          <w:sz w:val="32"/>
          <w:szCs w:val="32"/>
          <w:highlight w:val="none"/>
          <w:lang w:val="zh-CN" w:eastAsia="zh-CN" w:bidi="ar-SA"/>
        </w:rPr>
        <w:t>决策效率：评估决策过程的时间成本，即从项目提出到最终决策所需的时间。高效决策有助于项目快速启动，减少时间浪费。</w:t>
      </w:r>
      <w:r>
        <w:rPr>
          <w:rFonts w:hint="default" w:ascii="Times New Roman" w:hAnsi="Times New Roman" w:eastAsia="方正仿宋_GBK" w:cs="Times New Roman"/>
          <w:color w:val="auto"/>
          <w:kern w:val="2"/>
          <w:sz w:val="32"/>
          <w:szCs w:val="32"/>
          <w:highlight w:val="none"/>
          <w:lang w:val="en-US" w:eastAsia="zh-CN" w:bidi="ar-SA"/>
        </w:rPr>
        <w:t>三是</w:t>
      </w:r>
      <w:r>
        <w:rPr>
          <w:rFonts w:hint="default" w:ascii="Times New Roman" w:hAnsi="Times New Roman" w:eastAsia="方正仿宋_GBK" w:cs="Times New Roman"/>
          <w:color w:val="auto"/>
          <w:kern w:val="2"/>
          <w:sz w:val="32"/>
          <w:szCs w:val="32"/>
          <w:highlight w:val="none"/>
          <w:lang w:val="zh-CN" w:eastAsia="zh-CN" w:bidi="ar-SA"/>
        </w:rPr>
        <w:t>决策质量：分析决策结果是否基于充分的信息和合理的判断，以及决策是否考虑了项目的长期效益和风险。</w:t>
      </w:r>
      <w:r>
        <w:rPr>
          <w:rFonts w:hint="default" w:ascii="Times New Roman" w:hAnsi="Times New Roman" w:eastAsia="方正仿宋_GBK" w:cs="Times New Roman"/>
          <w:color w:val="auto"/>
          <w:kern w:val="2"/>
          <w:sz w:val="32"/>
          <w:szCs w:val="32"/>
          <w:highlight w:val="none"/>
          <w:lang w:val="en-US" w:eastAsia="zh-CN" w:bidi="ar-SA"/>
        </w:rPr>
        <w:t>四是</w:t>
      </w:r>
      <w:r>
        <w:rPr>
          <w:rFonts w:hint="default" w:ascii="Times New Roman" w:hAnsi="Times New Roman" w:eastAsia="方正仿宋_GBK" w:cs="Times New Roman"/>
          <w:color w:val="auto"/>
          <w:kern w:val="2"/>
          <w:sz w:val="32"/>
          <w:szCs w:val="32"/>
          <w:highlight w:val="none"/>
          <w:lang w:val="zh-CN" w:eastAsia="zh-CN" w:bidi="ar-SA"/>
        </w:rPr>
        <w:t>参与程度：评估决策过程中各方利益的代表性和参与度，确保决策过程公正、透明。</w:t>
      </w:r>
    </w:p>
    <w:p w14:paraId="4EDF32EC">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zh-CN" w:eastAsia="zh-CN" w:bidi="ar-SA"/>
        </w:rPr>
        <w:t>2.项目管理。此项目严格按照</w:t>
      </w:r>
      <w:r>
        <w:rPr>
          <w:rFonts w:hint="default" w:ascii="Times New Roman" w:hAnsi="Times New Roman" w:eastAsia="方正仿宋_GBK" w:cs="Times New Roman"/>
          <w:color w:val="auto"/>
          <w:kern w:val="2"/>
          <w:sz w:val="32"/>
          <w:szCs w:val="32"/>
          <w:highlight w:val="none"/>
          <w:lang w:val="en-US" w:eastAsia="zh-CN" w:bidi="ar-SA"/>
        </w:rPr>
        <w:t>经费支出手续完成支付。</w:t>
      </w:r>
    </w:p>
    <w:p w14:paraId="1E128CBC">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3.项目实施。此项目按照预定在</w:t>
      </w:r>
      <w:r>
        <w:rPr>
          <w:rFonts w:hint="default" w:ascii="Times New Roman" w:hAnsi="Times New Roman" w:eastAsia="方正仿宋_GBK" w:cs="Times New Roman"/>
          <w:color w:val="auto"/>
          <w:kern w:val="2"/>
          <w:sz w:val="32"/>
          <w:szCs w:val="32"/>
          <w:highlight w:val="none"/>
          <w:lang w:val="en-US" w:eastAsia="zh-CN" w:bidi="ar-SA"/>
        </w:rPr>
        <w:t>调研期间完成</w:t>
      </w:r>
      <w:r>
        <w:rPr>
          <w:rFonts w:hint="default" w:ascii="Times New Roman" w:hAnsi="Times New Roman" w:eastAsia="方正仿宋_GBK" w:cs="Times New Roman"/>
          <w:color w:val="auto"/>
          <w:kern w:val="2"/>
          <w:sz w:val="32"/>
          <w:szCs w:val="32"/>
          <w:highlight w:val="none"/>
          <w:lang w:val="zh-CN" w:eastAsia="zh-CN" w:bidi="ar-SA"/>
        </w:rPr>
        <w:t>。</w:t>
      </w:r>
    </w:p>
    <w:p w14:paraId="5D1477E5">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4.项目结果此项目按照规定时间按时推进，</w:t>
      </w:r>
      <w:r>
        <w:rPr>
          <w:rFonts w:hint="default" w:ascii="Times New Roman" w:hAnsi="Times New Roman" w:eastAsia="方正仿宋_GBK" w:cs="Times New Roman"/>
          <w:color w:val="auto"/>
          <w:kern w:val="2"/>
          <w:sz w:val="32"/>
          <w:szCs w:val="32"/>
          <w:highlight w:val="none"/>
          <w:lang w:val="en-US" w:eastAsia="zh-CN" w:bidi="ar-SA"/>
        </w:rPr>
        <w:t>满足日常工作需求</w:t>
      </w:r>
      <w:r>
        <w:rPr>
          <w:rFonts w:hint="default" w:ascii="Times New Roman" w:hAnsi="Times New Roman" w:eastAsia="方正仿宋_GBK" w:cs="Times New Roman"/>
          <w:color w:val="auto"/>
          <w:kern w:val="2"/>
          <w:sz w:val="32"/>
          <w:szCs w:val="32"/>
          <w:highlight w:val="none"/>
          <w:lang w:val="zh-CN" w:eastAsia="zh-CN" w:bidi="ar-SA"/>
        </w:rPr>
        <w:t>。</w:t>
      </w:r>
    </w:p>
    <w:p w14:paraId="7D7B923A">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（二）专用指标绩效分析</w:t>
      </w:r>
    </w:p>
    <w:p w14:paraId="66372D06">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检查行政决策是否遵循了法定的决策程序和规定，是否进行了充分的调研和论证。评估标准：决策程序是否符合法律法规、政策文件和行业标准，是否体现了民主、科学、公正的原则。绩效指标，决策程序合规率、决策质量评估、公众参与度等。</w:t>
      </w:r>
    </w:p>
    <w:p w14:paraId="3F04E801">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（三）个性指标绩效分析。</w:t>
      </w:r>
    </w:p>
    <w:p w14:paraId="763BA08C">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根据</w:t>
      </w:r>
      <w:r>
        <w:rPr>
          <w:rFonts w:hint="default" w:ascii="Times New Roman" w:hAnsi="Times New Roman" w:eastAsia="方正仿宋_GBK" w:cs="Times New Roman"/>
          <w:color w:val="auto"/>
          <w:kern w:val="2"/>
          <w:sz w:val="32"/>
          <w:szCs w:val="32"/>
          <w:highlight w:val="none"/>
          <w:lang w:val="en-US" w:eastAsia="zh-CN" w:bidi="ar-SA"/>
        </w:rPr>
        <w:t>年初工作安排完成</w:t>
      </w:r>
      <w:r>
        <w:rPr>
          <w:rFonts w:hint="default" w:ascii="Times New Roman" w:hAnsi="Times New Roman" w:eastAsia="方正仿宋_GBK" w:cs="Times New Roman"/>
          <w:color w:val="auto"/>
          <w:kern w:val="2"/>
          <w:sz w:val="32"/>
          <w:szCs w:val="32"/>
          <w:highlight w:val="none"/>
          <w:lang w:val="zh-CN" w:eastAsia="zh-CN" w:bidi="ar-SA"/>
        </w:rPr>
        <w:t>。</w:t>
      </w:r>
    </w:p>
    <w:p w14:paraId="188EAF93">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四、评价结论</w:t>
      </w:r>
    </w:p>
    <w:p w14:paraId="617E8574">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坚持“缺什么、学什么”原则，采取“互动教学+现场教学+现场交流”等方式进行效果明显。</w:t>
      </w:r>
    </w:p>
    <w:p w14:paraId="07462D87">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五、存在主要问题</w:t>
      </w:r>
    </w:p>
    <w:p w14:paraId="325712C1">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无</w:t>
      </w:r>
    </w:p>
    <w:p w14:paraId="24E7F727">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六、改进建议</w:t>
      </w:r>
    </w:p>
    <w:p w14:paraId="4F949EE4">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pPr>
      <w:r>
        <w:rPr>
          <w:rFonts w:hint="default" w:ascii="Times New Roman" w:hAnsi="Times New Roman" w:eastAsia="方正仿宋_GBK" w:cs="Times New Roman"/>
          <w:color w:val="auto"/>
          <w:kern w:val="2"/>
          <w:sz w:val="32"/>
          <w:szCs w:val="32"/>
          <w:highlight w:val="none"/>
          <w:lang w:val="en-US" w:eastAsia="zh-CN" w:bidi="ar-SA"/>
        </w:rPr>
        <w:t>无。</w:t>
      </w:r>
    </w:p>
    <w:p w14:paraId="143C05EB">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pPr>
    </w:p>
    <w:p w14:paraId="11E5F934">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pPr>
    </w:p>
    <w:p w14:paraId="2FF73597">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pPr>
      <w:r>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t>中共盐边县委党校</w:t>
      </w:r>
    </w:p>
    <w:p w14:paraId="75E129BE">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b/>
          <w:bCs/>
          <w:color w:val="000000" w:themeColor="text1"/>
          <w:kern w:val="2"/>
          <w:sz w:val="44"/>
          <w:szCs w:val="44"/>
          <w:lang w:val="en-US"/>
          <w14:textFill>
            <w14:solidFill>
              <w14:schemeClr w14:val="tx1"/>
            </w14:solidFill>
          </w14:textFill>
        </w:rPr>
      </w:pPr>
      <w:r>
        <w:rPr>
          <w:rFonts w:hint="default" w:ascii="Times New Roman" w:hAnsi="Times New Roman" w:eastAsia="方正小标宋_GBK" w:cs="Times New Roman"/>
          <w:b/>
          <w:bCs/>
          <w:color w:val="000000" w:themeColor="text1"/>
          <w:kern w:val="2"/>
          <w:sz w:val="44"/>
          <w:szCs w:val="44"/>
          <w:lang w:val="en-US"/>
          <w14:textFill>
            <w14:solidFill>
              <w14:schemeClr w14:val="tx1"/>
            </w14:solidFill>
          </w14:textFill>
        </w:rPr>
        <w:t>202</w:t>
      </w:r>
      <w:r>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t>4</w:t>
      </w:r>
      <w:r>
        <w:rPr>
          <w:rFonts w:hint="default" w:ascii="Times New Roman" w:hAnsi="Times New Roman" w:eastAsia="方正小标宋_GBK" w:cs="Times New Roman"/>
          <w:b/>
          <w:bCs/>
          <w:color w:val="000000" w:themeColor="text1"/>
          <w:kern w:val="2"/>
          <w:sz w:val="44"/>
          <w:szCs w:val="44"/>
          <w:lang w:val="en-US"/>
          <w14:textFill>
            <w14:solidFill>
              <w14:schemeClr w14:val="tx1"/>
            </w14:solidFill>
          </w14:textFill>
        </w:rPr>
        <w:t>年专项资金预算项目绩效自评报告</w:t>
      </w:r>
    </w:p>
    <w:p w14:paraId="140E61B7">
      <w:pPr>
        <w:pStyle w:val="35"/>
        <w:pageBreakBefore w:val="0"/>
        <w:widowControl w:val="0"/>
        <w:kinsoku/>
        <w:wordWrap/>
        <w:overflowPunct/>
        <w:topLinePunct w:val="0"/>
        <w:bidi w:val="0"/>
        <w:spacing w:line="576" w:lineRule="exact"/>
        <w:ind w:left="0" w:leftChars="0" w:right="0"/>
        <w:jc w:val="center"/>
        <w:textAlignment w:val="auto"/>
        <w:rPr>
          <w:rFonts w:hint="default" w:ascii="Times New Roman" w:hAnsi="Times New Roman" w:eastAsia="方正楷体_GBK" w:cs="Times New Roman"/>
          <w:b/>
          <w:bCs/>
          <w:color w:val="000000" w:themeColor="text1"/>
          <w:kern w:val="2"/>
          <w:sz w:val="32"/>
          <w:szCs w:val="32"/>
          <w:lang w:val="en-US" w:eastAsia="zh-CN"/>
          <w14:textFill>
            <w14:solidFill>
              <w14:schemeClr w14:val="tx1"/>
            </w14:solidFill>
          </w14:textFill>
        </w:rPr>
      </w:pPr>
      <w:r>
        <w:rPr>
          <w:rFonts w:hint="default" w:ascii="Times New Roman" w:hAnsi="Times New Roman" w:eastAsia="方正楷体_GBK" w:cs="Times New Roman"/>
          <w:b/>
          <w:bCs/>
          <w:color w:val="000000" w:themeColor="text1"/>
          <w:kern w:val="2"/>
          <w:sz w:val="32"/>
          <w:szCs w:val="32"/>
          <w:lang w:val="en-US" w:eastAsia="zh-CN"/>
          <w14:textFill>
            <w14:solidFill>
              <w14:schemeClr w14:val="tx1"/>
            </w14:solidFill>
          </w14:textFill>
        </w:rPr>
        <w:t>（2024年度科研资政项目）</w:t>
      </w:r>
    </w:p>
    <w:p w14:paraId="66CB39F2">
      <w:pPr>
        <w:pageBreakBefore w:val="0"/>
        <w:widowControl w:val="0"/>
        <w:kinsoku/>
        <w:wordWrap/>
        <w:overflowPunct/>
        <w:topLinePunct w:val="0"/>
        <w:bidi w:val="0"/>
        <w:spacing w:line="576" w:lineRule="exact"/>
        <w:ind w:left="0" w:leftChars="0" w:right="0"/>
        <w:jc w:val="both"/>
        <w:textAlignment w:val="auto"/>
        <w:rPr>
          <w:rFonts w:hint="default" w:ascii="Times New Roman" w:hAnsi="Times New Roman" w:eastAsia="方正仿宋_GBK" w:cs="Times New Roman"/>
          <w:b/>
          <w:bCs/>
          <w:sz w:val="32"/>
          <w:szCs w:val="32"/>
          <w:lang w:val="zh-CN"/>
        </w:rPr>
      </w:pPr>
    </w:p>
    <w:p w14:paraId="0B4DF09C">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一、项目概况</w:t>
      </w:r>
    </w:p>
    <w:p w14:paraId="59F1F6AB">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（一）设立背景及基本情况</w:t>
      </w:r>
    </w:p>
    <w:p w14:paraId="7CD2FF5D">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2024年县委党校工作经费项目</w:t>
      </w:r>
      <w:r>
        <w:rPr>
          <w:rFonts w:hint="default" w:ascii="Times New Roman" w:hAnsi="Times New Roman" w:eastAsia="方正仿宋_GBK" w:cs="Times New Roman"/>
          <w:color w:val="auto"/>
          <w:kern w:val="2"/>
          <w:sz w:val="32"/>
          <w:szCs w:val="32"/>
          <w:highlight w:val="none"/>
          <w:lang w:val="zh-CN" w:eastAsia="zh-CN" w:bidi="ar-SA"/>
        </w:rPr>
        <w:t>主管部门是中共盐边县委党校，其职能是</w:t>
      </w:r>
      <w:r>
        <w:rPr>
          <w:rFonts w:hint="default" w:ascii="Times New Roman" w:hAnsi="Times New Roman" w:eastAsia="方正仿宋_GBK" w:cs="Times New Roman"/>
          <w:color w:val="auto"/>
          <w:kern w:val="2"/>
          <w:sz w:val="32"/>
          <w:szCs w:val="32"/>
          <w:highlight w:val="none"/>
          <w:lang w:val="en-US" w:eastAsia="zh-CN" w:bidi="ar-SA"/>
        </w:rPr>
        <w:t>校工作经费项目</w:t>
      </w:r>
      <w:r>
        <w:rPr>
          <w:rFonts w:hint="default" w:ascii="Times New Roman" w:hAnsi="Times New Roman" w:eastAsia="方正仿宋_GBK" w:cs="Times New Roman"/>
          <w:color w:val="auto"/>
          <w:kern w:val="2"/>
          <w:sz w:val="32"/>
          <w:szCs w:val="32"/>
          <w:highlight w:val="none"/>
          <w:lang w:val="zh-CN" w:eastAsia="zh-CN" w:bidi="ar-SA"/>
        </w:rPr>
        <w:t>进行督促指导及验收，对资金进行划拨、使用和审核。</w:t>
      </w:r>
    </w:p>
    <w:p w14:paraId="0DC99929">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en-US" w:eastAsia="zh-CN"/>
        </w:rPr>
        <w:t>二</w:t>
      </w:r>
      <w:r>
        <w:rPr>
          <w:rFonts w:hint="default" w:ascii="Times New Roman" w:hAnsi="Times New Roman" w:eastAsia="方正楷体_GBK" w:cs="Times New Roman"/>
          <w:b/>
          <w:sz w:val="32"/>
          <w:szCs w:val="32"/>
          <w:lang w:val="zh-CN"/>
        </w:rPr>
        <w:t>）实施目的及支持方向</w:t>
      </w:r>
    </w:p>
    <w:p w14:paraId="1BBC9FD0">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2"/>
          <w:sz w:val="32"/>
          <w:szCs w:val="32"/>
          <w:highlight w:val="none"/>
          <w:lang w:val="zh-CN" w:eastAsia="zh-CN" w:bidi="ar-SA"/>
        </w:rPr>
        <w:t>项目立项、资金申报的依据是</w:t>
      </w:r>
      <w:r>
        <w:rPr>
          <w:rFonts w:hint="default" w:ascii="Times New Roman" w:hAnsi="Times New Roman" w:eastAsia="方正仿宋_GBK" w:cs="Times New Roman"/>
          <w:color w:val="auto"/>
          <w:kern w:val="2"/>
          <w:sz w:val="32"/>
          <w:szCs w:val="32"/>
          <w:highlight w:val="none"/>
          <w:lang w:val="en-US" w:eastAsia="zh-CN" w:bidi="ar-SA"/>
        </w:rPr>
        <w:t>保证党校日常工作正常进行</w:t>
      </w:r>
      <w:r>
        <w:rPr>
          <w:rFonts w:hint="default" w:ascii="Times New Roman" w:hAnsi="Times New Roman" w:eastAsia="方正仿宋_GBK" w:cs="Times New Roman"/>
          <w:color w:val="auto"/>
          <w:kern w:val="2"/>
          <w:sz w:val="32"/>
          <w:szCs w:val="32"/>
          <w:highlight w:val="none"/>
          <w:lang w:val="zh-CN" w:eastAsia="zh-CN" w:bidi="ar-SA"/>
        </w:rPr>
        <w:t>。资金由县委党校预算并向县政府请示，由县财政局划拨使用。</w:t>
      </w:r>
      <w:r>
        <w:rPr>
          <w:rFonts w:hint="default" w:ascii="Times New Roman" w:hAnsi="Times New Roman" w:eastAsia="方正仿宋_GBK" w:cs="Times New Roman"/>
          <w:color w:val="auto"/>
          <w:kern w:val="2"/>
          <w:sz w:val="32"/>
          <w:szCs w:val="32"/>
          <w:highlight w:val="none"/>
          <w:lang w:val="en-US" w:eastAsia="zh-CN" w:bidi="ar-SA"/>
        </w:rPr>
        <w:t>资金实际使用4.68万元</w:t>
      </w:r>
      <w:r>
        <w:rPr>
          <w:rFonts w:hint="default" w:ascii="Times New Roman" w:hAnsi="Times New Roman" w:eastAsia="方正仿宋_GBK" w:cs="Times New Roman"/>
          <w:sz w:val="32"/>
          <w:szCs w:val="32"/>
          <w:lang w:val="en-US" w:eastAsia="zh-CN"/>
        </w:rPr>
        <w:t>。</w:t>
      </w:r>
    </w:p>
    <w:p w14:paraId="09AD07B4">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en-US" w:eastAsia="zh-CN"/>
        </w:rPr>
        <w:t>三</w:t>
      </w:r>
      <w:r>
        <w:rPr>
          <w:rFonts w:hint="default" w:ascii="Times New Roman" w:hAnsi="Times New Roman" w:eastAsia="方正楷体_GBK" w:cs="Times New Roman"/>
          <w:b/>
          <w:sz w:val="32"/>
          <w:szCs w:val="32"/>
          <w:lang w:val="zh-CN"/>
        </w:rPr>
        <w:t>）预算安排及分配管理</w:t>
      </w:r>
    </w:p>
    <w:p w14:paraId="71F0DE7E">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资金使用严格按照经费支出的要求列支</w:t>
      </w:r>
      <w:r>
        <w:rPr>
          <w:rFonts w:hint="default" w:ascii="Times New Roman" w:hAnsi="Times New Roman" w:eastAsia="方正仿宋_GBK" w:cs="Times New Roman"/>
          <w:color w:val="auto"/>
          <w:kern w:val="2"/>
          <w:sz w:val="32"/>
          <w:szCs w:val="32"/>
          <w:highlight w:val="none"/>
          <w:lang w:val="zh-CN" w:eastAsia="zh-CN" w:bidi="ar-SA"/>
        </w:rPr>
        <w:t>，资金按照各项</w:t>
      </w:r>
      <w:r>
        <w:rPr>
          <w:rFonts w:hint="default" w:ascii="Times New Roman" w:hAnsi="Times New Roman" w:eastAsia="方正仿宋_GBK" w:cs="Times New Roman"/>
          <w:color w:val="auto"/>
          <w:kern w:val="2"/>
          <w:sz w:val="32"/>
          <w:szCs w:val="32"/>
          <w:highlight w:val="none"/>
          <w:lang w:val="en-US" w:eastAsia="zh-CN" w:bidi="ar-SA"/>
        </w:rPr>
        <w:t>日常办公支出</w:t>
      </w:r>
      <w:r>
        <w:rPr>
          <w:rFonts w:hint="default" w:ascii="Times New Roman" w:hAnsi="Times New Roman" w:eastAsia="方正仿宋_GBK" w:cs="Times New Roman"/>
          <w:color w:val="auto"/>
          <w:kern w:val="2"/>
          <w:sz w:val="32"/>
          <w:szCs w:val="32"/>
          <w:highlight w:val="none"/>
          <w:lang w:val="zh-CN" w:eastAsia="zh-CN" w:bidi="ar-SA"/>
        </w:rPr>
        <w:t>实际指出进行分配。</w:t>
      </w:r>
    </w:p>
    <w:p w14:paraId="55DA9F31">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en-US" w:eastAsia="zh-CN"/>
        </w:rPr>
        <w:t>四</w:t>
      </w:r>
      <w:r>
        <w:rPr>
          <w:rFonts w:hint="default" w:ascii="Times New Roman" w:hAnsi="Times New Roman" w:eastAsia="方正楷体_GBK" w:cs="Times New Roman"/>
          <w:b/>
          <w:sz w:val="32"/>
          <w:szCs w:val="32"/>
          <w:lang w:val="zh-CN"/>
        </w:rPr>
        <w:t>）项目绩效目标设置</w:t>
      </w:r>
    </w:p>
    <w:p w14:paraId="74A99DDF">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1．项目主要内容</w:t>
      </w:r>
      <w:r>
        <w:rPr>
          <w:rFonts w:hint="default" w:ascii="Times New Roman" w:hAnsi="Times New Roman" w:eastAsia="方正仿宋_GBK" w:cs="Times New Roman"/>
          <w:color w:val="auto"/>
          <w:kern w:val="2"/>
          <w:sz w:val="32"/>
          <w:szCs w:val="32"/>
          <w:highlight w:val="none"/>
          <w:lang w:val="en-US" w:eastAsia="zh-CN" w:bidi="ar-SA"/>
        </w:rPr>
        <w:t>全面推动调研作，为县委政府提供资政建议做好后勤保障工作</w:t>
      </w:r>
      <w:r>
        <w:rPr>
          <w:rFonts w:hint="default" w:ascii="Times New Roman" w:hAnsi="Times New Roman" w:eastAsia="方正仿宋_GBK" w:cs="Times New Roman"/>
          <w:color w:val="auto"/>
          <w:kern w:val="2"/>
          <w:sz w:val="32"/>
          <w:szCs w:val="32"/>
          <w:highlight w:val="none"/>
          <w:lang w:val="zh-CN" w:eastAsia="zh-CN" w:bidi="ar-SA"/>
        </w:rPr>
        <w:t>。</w:t>
      </w:r>
    </w:p>
    <w:p w14:paraId="0BDA3DCA">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kern w:val="2"/>
          <w:sz w:val="32"/>
          <w:szCs w:val="32"/>
          <w:highlight w:val="none"/>
          <w:lang w:val="zh-CN" w:eastAsia="zh-CN" w:bidi="ar-SA"/>
        </w:rPr>
        <w:t>分析评价申报内容是否与实际相符：此项目对全面推进县级党校分类改革工作作用大，切实提升了党校办学水平。</w:t>
      </w:r>
    </w:p>
    <w:p w14:paraId="75C4467F">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eastAsia="zh-CN"/>
        </w:rPr>
      </w:pPr>
      <w:r>
        <w:rPr>
          <w:rFonts w:hint="default" w:ascii="Times New Roman" w:hAnsi="Times New Roman" w:eastAsia="方正黑体_GBK" w:cs="Times New Roman"/>
          <w:sz w:val="32"/>
          <w:szCs w:val="32"/>
          <w:lang w:val="zh-CN" w:eastAsia="zh-CN"/>
        </w:rPr>
        <w:t>二、评价实施</w:t>
      </w:r>
    </w:p>
    <w:p w14:paraId="3B7B0B90">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（一）评价目的。</w:t>
      </w:r>
      <w:r>
        <w:rPr>
          <w:rFonts w:hint="default" w:ascii="Times New Roman" w:hAnsi="Times New Roman" w:eastAsia="方正仿宋_GBK" w:cs="Times New Roman"/>
          <w:color w:val="auto"/>
          <w:kern w:val="2"/>
          <w:sz w:val="32"/>
          <w:szCs w:val="32"/>
          <w:highlight w:val="none"/>
          <w:lang w:val="en-US" w:eastAsia="zh-CN" w:bidi="ar-SA"/>
        </w:rPr>
        <w:t>为确保项目按质按量完成，资金使用合法合规</w:t>
      </w:r>
      <w:r>
        <w:rPr>
          <w:rFonts w:hint="default" w:ascii="Times New Roman" w:hAnsi="Times New Roman" w:eastAsia="方正仿宋_GBK" w:cs="Times New Roman"/>
          <w:color w:val="auto"/>
          <w:kern w:val="2"/>
          <w:sz w:val="32"/>
          <w:szCs w:val="32"/>
          <w:highlight w:val="none"/>
          <w:lang w:val="zh-CN" w:eastAsia="zh-CN" w:bidi="ar-SA"/>
        </w:rPr>
        <w:t>。</w:t>
      </w:r>
    </w:p>
    <w:p w14:paraId="22DA82F1">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（二）预设问题及评价重点。</w:t>
      </w:r>
      <w:r>
        <w:rPr>
          <w:rFonts w:hint="default" w:ascii="Times New Roman" w:hAnsi="Times New Roman" w:eastAsia="方正仿宋_GBK" w:cs="Times New Roman"/>
          <w:color w:val="auto"/>
          <w:kern w:val="2"/>
          <w:sz w:val="32"/>
          <w:szCs w:val="32"/>
          <w:highlight w:val="none"/>
          <w:lang w:val="en-US" w:eastAsia="zh-CN" w:bidi="ar-SA"/>
        </w:rPr>
        <w:t>是否能够满足调研顺利进行。</w:t>
      </w:r>
    </w:p>
    <w:p w14:paraId="10FA5C7B">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（三）评价选点。</w:t>
      </w:r>
      <w:r>
        <w:rPr>
          <w:rFonts w:hint="default" w:ascii="Times New Roman" w:hAnsi="Times New Roman" w:eastAsia="方正仿宋_GBK" w:cs="Times New Roman"/>
          <w:color w:val="auto"/>
          <w:kern w:val="2"/>
          <w:sz w:val="32"/>
          <w:szCs w:val="32"/>
          <w:highlight w:val="none"/>
          <w:lang w:val="en-US" w:eastAsia="zh-CN" w:bidi="ar-SA"/>
        </w:rPr>
        <w:t>分别对产出指标及效益指标进行监控</w:t>
      </w:r>
      <w:r>
        <w:rPr>
          <w:rFonts w:hint="default" w:ascii="Times New Roman" w:hAnsi="Times New Roman" w:eastAsia="方正仿宋_GBK" w:cs="Times New Roman"/>
          <w:color w:val="auto"/>
          <w:kern w:val="2"/>
          <w:sz w:val="32"/>
          <w:szCs w:val="32"/>
          <w:highlight w:val="none"/>
          <w:lang w:val="zh-CN" w:eastAsia="zh-CN" w:bidi="ar-SA"/>
        </w:rPr>
        <w:t>。</w:t>
      </w:r>
    </w:p>
    <w:p w14:paraId="0815B055">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（四）评价方法。</w:t>
      </w:r>
      <w:r>
        <w:rPr>
          <w:rFonts w:hint="default" w:ascii="Times New Roman" w:hAnsi="Times New Roman" w:eastAsia="方正仿宋_GBK" w:cs="Times New Roman"/>
          <w:color w:val="auto"/>
          <w:kern w:val="2"/>
          <w:sz w:val="32"/>
          <w:szCs w:val="32"/>
          <w:highlight w:val="none"/>
          <w:lang w:val="en-US" w:eastAsia="zh-CN" w:bidi="ar-SA"/>
        </w:rPr>
        <w:t>项目采取</w:t>
      </w:r>
      <w:r>
        <w:rPr>
          <w:rFonts w:hint="default" w:ascii="Times New Roman" w:hAnsi="Times New Roman" w:eastAsia="方正仿宋_GBK" w:cs="Times New Roman"/>
          <w:color w:val="auto"/>
          <w:kern w:val="2"/>
          <w:sz w:val="32"/>
          <w:szCs w:val="32"/>
          <w:highlight w:val="none"/>
          <w:lang w:val="zh-CN" w:eastAsia="zh-CN" w:bidi="ar-SA"/>
        </w:rPr>
        <w:t>单位自评法、实地勘察法、座谈调研法多种方法。</w:t>
      </w:r>
    </w:p>
    <w:p w14:paraId="17D663DB">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（五）评价组织。</w:t>
      </w:r>
      <w:r>
        <w:rPr>
          <w:rFonts w:hint="default" w:ascii="Times New Roman" w:hAnsi="Times New Roman" w:eastAsia="方正仿宋_GBK" w:cs="Times New Roman"/>
          <w:color w:val="auto"/>
          <w:kern w:val="2"/>
          <w:sz w:val="32"/>
          <w:szCs w:val="32"/>
          <w:highlight w:val="none"/>
          <w:lang w:val="zh-CN" w:eastAsia="zh-CN" w:bidi="ar-SA"/>
        </w:rPr>
        <w:t>评价组</w:t>
      </w:r>
      <w:r>
        <w:rPr>
          <w:rFonts w:hint="default" w:ascii="Times New Roman" w:hAnsi="Times New Roman" w:eastAsia="方正仿宋_GBK" w:cs="Times New Roman"/>
          <w:color w:val="auto"/>
          <w:kern w:val="2"/>
          <w:sz w:val="32"/>
          <w:szCs w:val="32"/>
          <w:highlight w:val="none"/>
          <w:lang w:val="en-US" w:eastAsia="zh-CN" w:bidi="ar-SA"/>
        </w:rPr>
        <w:t>由主要领导，财务分管领导及财务人员组成</w:t>
      </w:r>
      <w:r>
        <w:rPr>
          <w:rFonts w:hint="default"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en-US" w:eastAsia="zh-CN" w:bidi="ar-SA"/>
        </w:rPr>
        <w:t>主要分别负责监控项目实施进度、资金使用及报账流程等。</w:t>
      </w:r>
    </w:p>
    <w:p w14:paraId="61DA518E">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eastAsia="zh-CN"/>
        </w:rPr>
      </w:pPr>
      <w:r>
        <w:rPr>
          <w:rFonts w:hint="default" w:ascii="Times New Roman" w:hAnsi="Times New Roman" w:eastAsia="方正黑体_GBK" w:cs="Times New Roman"/>
          <w:sz w:val="32"/>
          <w:szCs w:val="32"/>
          <w:lang w:val="zh-CN" w:eastAsia="zh-CN"/>
        </w:rPr>
        <w:t>三、绩效分析</w:t>
      </w:r>
    </w:p>
    <w:p w14:paraId="706CFA88">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（一）通用指标绩效分析</w:t>
      </w:r>
    </w:p>
    <w:p w14:paraId="4D526AD0">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1.项目决策。</w:t>
      </w:r>
      <w:r>
        <w:rPr>
          <w:rFonts w:hint="default" w:ascii="Times New Roman" w:hAnsi="Times New Roman" w:eastAsia="方正仿宋_GBK" w:cs="Times New Roman"/>
          <w:color w:val="auto"/>
          <w:kern w:val="2"/>
          <w:sz w:val="32"/>
          <w:szCs w:val="32"/>
          <w:highlight w:val="none"/>
          <w:lang w:val="en-US" w:eastAsia="zh-CN" w:bidi="ar-SA"/>
        </w:rPr>
        <w:t>一是</w:t>
      </w:r>
      <w:r>
        <w:rPr>
          <w:rFonts w:hint="default" w:ascii="Times New Roman" w:hAnsi="Times New Roman" w:eastAsia="方正仿宋_GBK" w:cs="Times New Roman"/>
          <w:color w:val="auto"/>
          <w:kern w:val="2"/>
          <w:sz w:val="32"/>
          <w:szCs w:val="32"/>
          <w:highlight w:val="none"/>
          <w:lang w:val="zh-CN" w:eastAsia="zh-CN" w:bidi="ar-SA"/>
        </w:rPr>
        <w:t>程序规范性：检查决策过程是否遵循了既定的规章制度和流程，确保每一步都合法合规。</w:t>
      </w:r>
      <w:r>
        <w:rPr>
          <w:rFonts w:hint="default" w:ascii="Times New Roman" w:hAnsi="Times New Roman" w:eastAsia="方正仿宋_GBK" w:cs="Times New Roman"/>
          <w:color w:val="auto"/>
          <w:kern w:val="2"/>
          <w:sz w:val="32"/>
          <w:szCs w:val="32"/>
          <w:highlight w:val="none"/>
          <w:lang w:val="en-US" w:eastAsia="zh-CN" w:bidi="ar-SA"/>
        </w:rPr>
        <w:t>二是</w:t>
      </w:r>
      <w:r>
        <w:rPr>
          <w:rFonts w:hint="default" w:ascii="Times New Roman" w:hAnsi="Times New Roman" w:eastAsia="方正仿宋_GBK" w:cs="Times New Roman"/>
          <w:color w:val="auto"/>
          <w:kern w:val="2"/>
          <w:sz w:val="32"/>
          <w:szCs w:val="32"/>
          <w:highlight w:val="none"/>
          <w:lang w:val="zh-CN" w:eastAsia="zh-CN" w:bidi="ar-SA"/>
        </w:rPr>
        <w:t>决策效率：评估决策过程的时间成本，即从项目提出到最终决策所需的时间。高效决策有助于项目快速启动，减少时间浪费。</w:t>
      </w:r>
      <w:r>
        <w:rPr>
          <w:rFonts w:hint="default" w:ascii="Times New Roman" w:hAnsi="Times New Roman" w:eastAsia="方正仿宋_GBK" w:cs="Times New Roman"/>
          <w:color w:val="auto"/>
          <w:kern w:val="2"/>
          <w:sz w:val="32"/>
          <w:szCs w:val="32"/>
          <w:highlight w:val="none"/>
          <w:lang w:val="en-US" w:eastAsia="zh-CN" w:bidi="ar-SA"/>
        </w:rPr>
        <w:t>三是</w:t>
      </w:r>
      <w:r>
        <w:rPr>
          <w:rFonts w:hint="default" w:ascii="Times New Roman" w:hAnsi="Times New Roman" w:eastAsia="方正仿宋_GBK" w:cs="Times New Roman"/>
          <w:color w:val="auto"/>
          <w:kern w:val="2"/>
          <w:sz w:val="32"/>
          <w:szCs w:val="32"/>
          <w:highlight w:val="none"/>
          <w:lang w:val="zh-CN" w:eastAsia="zh-CN" w:bidi="ar-SA"/>
        </w:rPr>
        <w:t>决策质量：分析决策结果是否基于充分的信息和合理的判断，以及决策是否考虑了项目的长期效益和风险。</w:t>
      </w:r>
      <w:r>
        <w:rPr>
          <w:rFonts w:hint="default" w:ascii="Times New Roman" w:hAnsi="Times New Roman" w:eastAsia="方正仿宋_GBK" w:cs="Times New Roman"/>
          <w:color w:val="auto"/>
          <w:kern w:val="2"/>
          <w:sz w:val="32"/>
          <w:szCs w:val="32"/>
          <w:highlight w:val="none"/>
          <w:lang w:val="en-US" w:eastAsia="zh-CN" w:bidi="ar-SA"/>
        </w:rPr>
        <w:t>四是</w:t>
      </w:r>
      <w:r>
        <w:rPr>
          <w:rFonts w:hint="default" w:ascii="Times New Roman" w:hAnsi="Times New Roman" w:eastAsia="方正仿宋_GBK" w:cs="Times New Roman"/>
          <w:color w:val="auto"/>
          <w:kern w:val="2"/>
          <w:sz w:val="32"/>
          <w:szCs w:val="32"/>
          <w:highlight w:val="none"/>
          <w:lang w:val="zh-CN" w:eastAsia="zh-CN" w:bidi="ar-SA"/>
        </w:rPr>
        <w:t>参与程度：评估决策过程中各方利益的代表性和参与度，确保决策过程公正、透明。</w:t>
      </w:r>
    </w:p>
    <w:p w14:paraId="51AB341E">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zh-CN" w:eastAsia="zh-CN" w:bidi="ar-SA"/>
        </w:rPr>
        <w:t>2.项目管理。此项目严格按照</w:t>
      </w:r>
      <w:r>
        <w:rPr>
          <w:rFonts w:hint="default" w:ascii="Times New Roman" w:hAnsi="Times New Roman" w:eastAsia="方正仿宋_GBK" w:cs="Times New Roman"/>
          <w:color w:val="auto"/>
          <w:kern w:val="2"/>
          <w:sz w:val="32"/>
          <w:szCs w:val="32"/>
          <w:highlight w:val="none"/>
          <w:lang w:val="en-US" w:eastAsia="zh-CN" w:bidi="ar-SA"/>
        </w:rPr>
        <w:t>经费支出手续完成支付。</w:t>
      </w:r>
    </w:p>
    <w:p w14:paraId="43A3E658">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3.项目实施。此项目按照预定培训</w:t>
      </w:r>
      <w:r>
        <w:rPr>
          <w:rFonts w:hint="default" w:ascii="Times New Roman" w:hAnsi="Times New Roman" w:eastAsia="方正仿宋_GBK" w:cs="Times New Roman"/>
          <w:color w:val="auto"/>
          <w:kern w:val="2"/>
          <w:sz w:val="32"/>
          <w:szCs w:val="32"/>
          <w:highlight w:val="none"/>
          <w:lang w:val="en-US" w:eastAsia="zh-CN" w:bidi="ar-SA"/>
        </w:rPr>
        <w:t>期间完成</w:t>
      </w:r>
      <w:r>
        <w:rPr>
          <w:rFonts w:hint="default" w:ascii="Times New Roman" w:hAnsi="Times New Roman" w:eastAsia="方正仿宋_GBK" w:cs="Times New Roman"/>
          <w:color w:val="auto"/>
          <w:kern w:val="2"/>
          <w:sz w:val="32"/>
          <w:szCs w:val="32"/>
          <w:highlight w:val="none"/>
          <w:lang w:val="zh-CN" w:eastAsia="zh-CN" w:bidi="ar-SA"/>
        </w:rPr>
        <w:t>。</w:t>
      </w:r>
    </w:p>
    <w:p w14:paraId="10C9298E">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4.项目结果此项目按照规定时间按时推进，</w:t>
      </w:r>
      <w:r>
        <w:rPr>
          <w:rFonts w:hint="default" w:ascii="Times New Roman" w:hAnsi="Times New Roman" w:eastAsia="方正仿宋_GBK" w:cs="Times New Roman"/>
          <w:color w:val="auto"/>
          <w:kern w:val="2"/>
          <w:sz w:val="32"/>
          <w:szCs w:val="32"/>
          <w:highlight w:val="none"/>
          <w:lang w:val="en-US" w:eastAsia="zh-CN" w:bidi="ar-SA"/>
        </w:rPr>
        <w:t>满足日常工作需求</w:t>
      </w:r>
      <w:r>
        <w:rPr>
          <w:rFonts w:hint="default" w:ascii="Times New Roman" w:hAnsi="Times New Roman" w:eastAsia="方正仿宋_GBK" w:cs="Times New Roman"/>
          <w:color w:val="auto"/>
          <w:kern w:val="2"/>
          <w:sz w:val="32"/>
          <w:szCs w:val="32"/>
          <w:highlight w:val="none"/>
          <w:lang w:val="zh-CN" w:eastAsia="zh-CN" w:bidi="ar-SA"/>
        </w:rPr>
        <w:t>。</w:t>
      </w:r>
    </w:p>
    <w:p w14:paraId="5B4EF085">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（二）专用指标绩效分析</w:t>
      </w:r>
    </w:p>
    <w:p w14:paraId="6B5CE648">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检查行政决策是否遵循了法定的决策程序和规定，是</w:t>
      </w:r>
      <w:r>
        <w:rPr>
          <w:rFonts w:hint="default" w:ascii="Times New Roman" w:hAnsi="Times New Roman" w:eastAsia="方正仿宋_GBK" w:cs="Times New Roman"/>
          <w:sz w:val="32"/>
          <w:szCs w:val="32"/>
          <w:lang w:val="zh-CN"/>
        </w:rPr>
        <w:t>否</w:t>
      </w:r>
      <w:r>
        <w:rPr>
          <w:rFonts w:hint="default" w:ascii="Times New Roman" w:hAnsi="Times New Roman" w:eastAsia="方正仿宋_GBK" w:cs="Times New Roman"/>
          <w:color w:val="auto"/>
          <w:kern w:val="2"/>
          <w:sz w:val="32"/>
          <w:szCs w:val="32"/>
          <w:highlight w:val="none"/>
          <w:lang w:val="zh-CN" w:eastAsia="zh-CN" w:bidi="ar-SA"/>
        </w:rPr>
        <w:t>进行了充分的调研和论证。评估标准：决策程序是否符合法律法规、政策文件和行业标准，是否体现了民主、科学、公正的原则。绩效指标，决策程序合规率、决策质量评估、公众参与度等。</w:t>
      </w:r>
    </w:p>
    <w:p w14:paraId="1D817DFC">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（三）个性指标绩效分析</w:t>
      </w:r>
    </w:p>
    <w:p w14:paraId="20093369">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完成县委党校</w:t>
      </w:r>
      <w:r>
        <w:rPr>
          <w:rFonts w:hint="default" w:ascii="Times New Roman" w:hAnsi="Times New Roman" w:eastAsia="方正仿宋_GBK" w:cs="Times New Roman"/>
          <w:color w:val="auto"/>
          <w:kern w:val="2"/>
          <w:sz w:val="32"/>
          <w:szCs w:val="32"/>
          <w:highlight w:val="none"/>
          <w:lang w:val="en-US" w:eastAsia="zh-CN" w:bidi="ar-SA"/>
        </w:rPr>
        <w:t>调研4次，</w:t>
      </w:r>
      <w:r>
        <w:rPr>
          <w:rFonts w:hint="default" w:ascii="Times New Roman" w:hAnsi="Times New Roman" w:eastAsia="方正仿宋_GBK" w:cs="Times New Roman"/>
          <w:color w:val="auto"/>
          <w:kern w:val="2"/>
          <w:sz w:val="32"/>
          <w:szCs w:val="32"/>
          <w:highlight w:val="none"/>
          <w:lang w:val="zh-CN" w:eastAsia="zh-CN" w:bidi="ar-SA"/>
        </w:rPr>
        <w:t>切实发挥党校围绕中心服务大局作用。</w:t>
      </w:r>
    </w:p>
    <w:p w14:paraId="03748DAA">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eastAsia="zh-CN"/>
        </w:rPr>
      </w:pPr>
      <w:r>
        <w:rPr>
          <w:rFonts w:hint="default" w:ascii="Times New Roman" w:hAnsi="Times New Roman" w:eastAsia="方正黑体_GBK" w:cs="Times New Roman"/>
          <w:sz w:val="32"/>
          <w:szCs w:val="32"/>
          <w:lang w:val="zh-CN" w:eastAsia="zh-CN"/>
        </w:rPr>
        <w:t>四、评价结论</w:t>
      </w:r>
    </w:p>
    <w:p w14:paraId="587A4977">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此项目是盐边县委政府推进，县级党校分类改革工作的一项重大举措，切实提升了中共盐边县委党校独立办学能力。</w:t>
      </w:r>
    </w:p>
    <w:p w14:paraId="18282346">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eastAsia="zh-CN"/>
        </w:rPr>
      </w:pPr>
      <w:r>
        <w:rPr>
          <w:rFonts w:hint="default" w:ascii="Times New Roman" w:hAnsi="Times New Roman" w:eastAsia="方正黑体_GBK" w:cs="Times New Roman"/>
          <w:sz w:val="32"/>
          <w:szCs w:val="32"/>
          <w:lang w:val="zh-CN" w:eastAsia="zh-CN"/>
        </w:rPr>
        <w:t>五、存在主要问题</w:t>
      </w:r>
    </w:p>
    <w:p w14:paraId="133C777D">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随着县级党校分类改革工作不断推进，培训学员增多</w:t>
      </w:r>
      <w:r>
        <w:rPr>
          <w:rFonts w:hint="default" w:ascii="Times New Roman" w:hAnsi="Times New Roman" w:eastAsia="方正仿宋_GBK" w:cs="Times New Roman"/>
          <w:color w:val="auto"/>
          <w:kern w:val="2"/>
          <w:sz w:val="32"/>
          <w:szCs w:val="32"/>
          <w:highlight w:val="none"/>
          <w:lang w:val="en-US" w:eastAsia="zh-CN" w:bidi="ar-SA"/>
        </w:rPr>
        <w:t>费用增加，2024年对预算的执行有偏差。</w:t>
      </w:r>
    </w:p>
    <w:p w14:paraId="56AAB20F">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eastAsia="zh-CN"/>
        </w:rPr>
      </w:pPr>
      <w:r>
        <w:rPr>
          <w:rFonts w:hint="default" w:ascii="Times New Roman" w:hAnsi="Times New Roman" w:eastAsia="方正黑体_GBK" w:cs="Times New Roman"/>
          <w:sz w:val="32"/>
          <w:szCs w:val="32"/>
          <w:lang w:val="zh-CN" w:eastAsia="zh-CN"/>
        </w:rPr>
        <w:t>六、改进建议</w:t>
      </w:r>
    </w:p>
    <w:p w14:paraId="18095D53">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保持经费投入。</w:t>
      </w:r>
    </w:p>
    <w:p w14:paraId="664C7159">
      <w:pPr>
        <w:pStyle w:val="35"/>
        <w:pageBreakBefore w:val="0"/>
        <w:widowControl w:val="0"/>
        <w:kinsoku/>
        <w:wordWrap/>
        <w:overflowPunct/>
        <w:topLinePunct w:val="0"/>
        <w:bidi w:val="0"/>
        <w:spacing w:line="576" w:lineRule="exact"/>
        <w:ind w:left="0" w:leftChars="0" w:right="0"/>
        <w:jc w:val="both"/>
        <w:textAlignment w:val="auto"/>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pPr>
    </w:p>
    <w:p w14:paraId="1F3C9834">
      <w:pPr>
        <w:spacing w:line="578" w:lineRule="exact"/>
        <w:ind w:firstLine="640"/>
        <w:rPr>
          <w:rFonts w:hint="default" w:ascii="Times New Roman" w:hAnsi="Times New Roman" w:eastAsia="方正仿宋_GBK" w:cs="Times New Roman"/>
          <w:kern w:val="0"/>
          <w:sz w:val="32"/>
          <w:szCs w:val="32"/>
        </w:rPr>
      </w:pPr>
    </w:p>
    <w:p w14:paraId="015E817A">
      <w:pPr>
        <w:spacing w:line="578" w:lineRule="exact"/>
        <w:ind w:firstLine="640"/>
        <w:rPr>
          <w:rFonts w:hint="default" w:ascii="Times New Roman" w:hAnsi="Times New Roman" w:eastAsia="方正仿宋_GBK" w:cs="Times New Roman"/>
          <w:kern w:val="0"/>
          <w:sz w:val="32"/>
          <w:szCs w:val="32"/>
        </w:rPr>
      </w:pPr>
    </w:p>
    <w:p w14:paraId="7059694F">
      <w:pPr>
        <w:spacing w:line="578" w:lineRule="exact"/>
        <w:ind w:firstLine="640"/>
        <w:rPr>
          <w:rFonts w:hint="default" w:ascii="Times New Roman" w:hAnsi="Times New Roman" w:eastAsia="方正仿宋_GBK" w:cs="Times New Roman"/>
          <w:kern w:val="0"/>
          <w:sz w:val="32"/>
          <w:szCs w:val="32"/>
        </w:rPr>
      </w:pPr>
      <w:bookmarkStart w:id="52" w:name="_Toc15396618"/>
      <w:r>
        <w:rPr>
          <w:rFonts w:hint="default" w:ascii="Times New Roman" w:hAnsi="Times New Roman" w:eastAsia="方正仿宋_GBK" w:cs="Times New Roman"/>
          <w:kern w:val="0"/>
          <w:sz w:val="32"/>
          <w:szCs w:val="32"/>
        </w:rPr>
        <w:br w:type="page"/>
      </w:r>
    </w:p>
    <w:p w14:paraId="126B11F5">
      <w:pPr>
        <w:widowControl/>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第</w:t>
      </w:r>
      <w:r>
        <w:rPr>
          <w:rStyle w:val="29"/>
          <w:rFonts w:hint="default" w:ascii="Times New Roman" w:hAnsi="Times New Roman" w:eastAsia="方正小标宋_GBK" w:cs="Times New Roman"/>
          <w:b/>
          <w:bCs/>
          <w:sz w:val="44"/>
          <w:szCs w:val="44"/>
        </w:rPr>
        <w:t>五部分</w:t>
      </w:r>
      <w:r>
        <w:rPr>
          <w:rStyle w:val="29"/>
          <w:rFonts w:hint="default" w:ascii="Times New Roman" w:hAnsi="Times New Roman" w:eastAsia="方正小标宋_GBK" w:cs="Times New Roman"/>
          <w:b/>
          <w:bCs/>
          <w:sz w:val="44"/>
          <w:szCs w:val="44"/>
          <w:lang w:val="en-US" w:eastAsia="zh-CN"/>
        </w:rPr>
        <w:t xml:space="preserve"> </w:t>
      </w:r>
      <w:r>
        <w:rPr>
          <w:rStyle w:val="29"/>
          <w:rFonts w:hint="default" w:ascii="Times New Roman" w:hAnsi="Times New Roman" w:eastAsia="方正小标宋_GBK" w:cs="Times New Roman"/>
          <w:b/>
          <w:bCs/>
          <w:sz w:val="44"/>
          <w:szCs w:val="44"/>
        </w:rPr>
        <w:t xml:space="preserve"> 附表</w:t>
      </w:r>
      <w:bookmarkEnd w:id="50"/>
      <w:bookmarkEnd w:id="52"/>
      <w:bookmarkStart w:id="53" w:name="_Toc15396619"/>
    </w:p>
    <w:p w14:paraId="1108915F">
      <w:pPr>
        <w:pStyle w:val="14"/>
        <w:adjustRightInd w:val="0"/>
        <w:snapToGrid w:val="0"/>
        <w:spacing w:line="560" w:lineRule="exact"/>
        <w:jc w:val="left"/>
        <w:rPr>
          <w:rFonts w:hint="default" w:ascii="Times New Roman" w:hAnsi="Times New Roman" w:eastAsia="方正仿宋_GBK" w:cs="Times New Roman"/>
          <w:sz w:val="32"/>
          <w:szCs w:val="32"/>
        </w:rPr>
      </w:pPr>
    </w:p>
    <w:p w14:paraId="30883495">
      <w:pPr>
        <w:pStyle w:val="14"/>
        <w:adjustRightInd w:val="0"/>
        <w:snapToGrid w:val="0"/>
        <w:spacing w:line="56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一、收入支出决算总表</w:t>
      </w:r>
      <w:bookmarkEnd w:id="53"/>
    </w:p>
    <w:p w14:paraId="6020932F">
      <w:pPr>
        <w:pStyle w:val="14"/>
        <w:adjustRightInd w:val="0"/>
        <w:snapToGrid w:val="0"/>
        <w:spacing w:line="560" w:lineRule="exact"/>
        <w:jc w:val="left"/>
        <w:rPr>
          <w:rFonts w:hint="default" w:ascii="Times New Roman" w:hAnsi="Times New Roman" w:eastAsia="方正仿宋_GBK" w:cs="Times New Roman"/>
          <w:sz w:val="32"/>
          <w:szCs w:val="32"/>
        </w:rPr>
      </w:pPr>
      <w:bookmarkStart w:id="54" w:name="_Toc15396620"/>
      <w:r>
        <w:rPr>
          <w:rFonts w:hint="default" w:ascii="Times New Roman" w:hAnsi="Times New Roman" w:eastAsia="方正仿宋_GBK" w:cs="Times New Roman"/>
          <w:sz w:val="32"/>
          <w:szCs w:val="32"/>
        </w:rPr>
        <w:t>二、收入决算表</w:t>
      </w:r>
      <w:bookmarkEnd w:id="54"/>
    </w:p>
    <w:p w14:paraId="061EFF6A">
      <w:pPr>
        <w:pStyle w:val="14"/>
        <w:adjustRightInd w:val="0"/>
        <w:snapToGrid w:val="0"/>
        <w:spacing w:line="560" w:lineRule="exact"/>
        <w:jc w:val="left"/>
        <w:rPr>
          <w:rFonts w:hint="default" w:ascii="Times New Roman" w:hAnsi="Times New Roman" w:eastAsia="方正仿宋_GBK" w:cs="Times New Roman"/>
          <w:sz w:val="32"/>
          <w:szCs w:val="32"/>
        </w:rPr>
      </w:pPr>
      <w:bookmarkStart w:id="55" w:name="_Toc15396621"/>
      <w:r>
        <w:rPr>
          <w:rFonts w:hint="default" w:ascii="Times New Roman" w:hAnsi="Times New Roman" w:eastAsia="方正仿宋_GBK" w:cs="Times New Roman"/>
          <w:sz w:val="32"/>
          <w:szCs w:val="32"/>
        </w:rPr>
        <w:t>三、支出决算表</w:t>
      </w:r>
      <w:bookmarkEnd w:id="55"/>
    </w:p>
    <w:p w14:paraId="4B6C96EC">
      <w:pPr>
        <w:pStyle w:val="14"/>
        <w:adjustRightInd w:val="0"/>
        <w:snapToGrid w:val="0"/>
        <w:spacing w:line="560" w:lineRule="exact"/>
        <w:jc w:val="left"/>
        <w:rPr>
          <w:rFonts w:hint="default" w:ascii="Times New Roman" w:hAnsi="Times New Roman" w:eastAsia="方正仿宋_GBK" w:cs="Times New Roman"/>
          <w:sz w:val="32"/>
          <w:szCs w:val="32"/>
        </w:rPr>
      </w:pPr>
      <w:bookmarkStart w:id="56" w:name="_Toc15396622"/>
      <w:r>
        <w:rPr>
          <w:rFonts w:hint="default" w:ascii="Times New Roman" w:hAnsi="Times New Roman" w:eastAsia="方正仿宋_GBK" w:cs="Times New Roman"/>
          <w:sz w:val="32"/>
          <w:szCs w:val="32"/>
        </w:rPr>
        <w:t>四、财政拨款收入支出决算总表</w:t>
      </w:r>
      <w:bookmarkEnd w:id="56"/>
    </w:p>
    <w:p w14:paraId="2B2D980F">
      <w:pPr>
        <w:pStyle w:val="14"/>
        <w:adjustRightInd w:val="0"/>
        <w:snapToGrid w:val="0"/>
        <w:spacing w:line="560" w:lineRule="exact"/>
        <w:jc w:val="left"/>
        <w:rPr>
          <w:rFonts w:hint="default" w:ascii="Times New Roman" w:hAnsi="Times New Roman" w:eastAsia="方正仿宋_GBK" w:cs="Times New Roman"/>
          <w:sz w:val="32"/>
          <w:szCs w:val="32"/>
        </w:rPr>
      </w:pPr>
      <w:bookmarkStart w:id="57" w:name="_Toc15396623"/>
      <w:r>
        <w:rPr>
          <w:rFonts w:hint="default" w:ascii="Times New Roman" w:hAnsi="Times New Roman" w:eastAsia="方正仿宋_GBK" w:cs="Times New Roman"/>
          <w:sz w:val="32"/>
          <w:szCs w:val="32"/>
        </w:rPr>
        <w:t>五、财政拨款支出决算明细表</w:t>
      </w:r>
      <w:bookmarkEnd w:id="57"/>
      <w:bookmarkStart w:id="58" w:name="_Toc15396624"/>
    </w:p>
    <w:p w14:paraId="27F59184">
      <w:pPr>
        <w:pStyle w:val="14"/>
        <w:adjustRightInd w:val="0"/>
        <w:snapToGrid w:val="0"/>
        <w:spacing w:line="56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六、一般公共预算财政拨款支出决算表</w:t>
      </w:r>
      <w:bookmarkEnd w:id="58"/>
    </w:p>
    <w:p w14:paraId="6CCA3DBA">
      <w:pPr>
        <w:pStyle w:val="14"/>
        <w:adjustRightInd w:val="0"/>
        <w:snapToGrid w:val="0"/>
        <w:spacing w:line="560" w:lineRule="exact"/>
        <w:jc w:val="left"/>
        <w:rPr>
          <w:rFonts w:hint="default" w:ascii="Times New Roman" w:hAnsi="Times New Roman" w:eastAsia="方正仿宋_GBK" w:cs="Times New Roman"/>
          <w:sz w:val="32"/>
          <w:szCs w:val="32"/>
        </w:rPr>
      </w:pPr>
      <w:bookmarkStart w:id="59" w:name="_Toc15396625"/>
      <w:r>
        <w:rPr>
          <w:rFonts w:hint="default" w:ascii="Times New Roman" w:hAnsi="Times New Roman" w:eastAsia="方正仿宋_GBK" w:cs="Times New Roman"/>
          <w:sz w:val="32"/>
          <w:szCs w:val="32"/>
        </w:rPr>
        <w:t>七、一般公共预算财政拨款支出决算明细表</w:t>
      </w:r>
      <w:bookmarkEnd w:id="59"/>
    </w:p>
    <w:p w14:paraId="4F776BE0">
      <w:pPr>
        <w:pStyle w:val="14"/>
        <w:adjustRightInd w:val="0"/>
        <w:snapToGrid w:val="0"/>
        <w:spacing w:line="560" w:lineRule="exact"/>
        <w:jc w:val="left"/>
        <w:rPr>
          <w:rFonts w:hint="default" w:ascii="Times New Roman" w:hAnsi="Times New Roman" w:eastAsia="方正仿宋_GBK" w:cs="Times New Roman"/>
          <w:sz w:val="32"/>
          <w:szCs w:val="32"/>
        </w:rPr>
      </w:pPr>
      <w:bookmarkStart w:id="60" w:name="_Toc15396626"/>
      <w:r>
        <w:rPr>
          <w:rFonts w:hint="default" w:ascii="Times New Roman" w:hAnsi="Times New Roman" w:eastAsia="方正仿宋_GBK" w:cs="Times New Roman"/>
          <w:sz w:val="32"/>
          <w:szCs w:val="32"/>
        </w:rPr>
        <w:t>八、一般公共预算财政拨款基本支出决算表</w:t>
      </w:r>
      <w:bookmarkEnd w:id="60"/>
    </w:p>
    <w:p w14:paraId="49DDBAAE">
      <w:pPr>
        <w:pStyle w:val="14"/>
        <w:adjustRightInd w:val="0"/>
        <w:snapToGrid w:val="0"/>
        <w:spacing w:line="560" w:lineRule="exact"/>
        <w:jc w:val="left"/>
        <w:rPr>
          <w:rFonts w:hint="default" w:ascii="Times New Roman" w:hAnsi="Times New Roman" w:eastAsia="方正仿宋_GBK" w:cs="Times New Roman"/>
          <w:sz w:val="32"/>
          <w:szCs w:val="32"/>
        </w:rPr>
      </w:pPr>
      <w:bookmarkStart w:id="61" w:name="_Toc15396627"/>
      <w:r>
        <w:rPr>
          <w:rFonts w:hint="default" w:ascii="Times New Roman" w:hAnsi="Times New Roman" w:eastAsia="方正仿宋_GBK" w:cs="Times New Roman"/>
          <w:sz w:val="32"/>
          <w:szCs w:val="32"/>
        </w:rPr>
        <w:t>九、一般公共预算财政拨款项目支出决算表</w:t>
      </w:r>
      <w:bookmarkEnd w:id="61"/>
    </w:p>
    <w:p w14:paraId="02E70D89">
      <w:pPr>
        <w:pStyle w:val="14"/>
        <w:adjustRightInd w:val="0"/>
        <w:snapToGrid w:val="0"/>
        <w:spacing w:line="560" w:lineRule="exact"/>
        <w:jc w:val="left"/>
        <w:rPr>
          <w:rFonts w:hint="default" w:ascii="Times New Roman" w:hAnsi="Times New Roman" w:eastAsia="方正仿宋_GBK" w:cs="Times New Roman"/>
          <w:sz w:val="32"/>
          <w:szCs w:val="32"/>
        </w:rPr>
      </w:pPr>
      <w:bookmarkStart w:id="62" w:name="_Toc15396628"/>
      <w:r>
        <w:rPr>
          <w:rFonts w:hint="default" w:ascii="Times New Roman" w:hAnsi="Times New Roman" w:eastAsia="方正仿宋_GBK" w:cs="Times New Roman"/>
          <w:sz w:val="32"/>
          <w:szCs w:val="32"/>
        </w:rPr>
        <w:t>十、</w:t>
      </w:r>
      <w:bookmarkEnd w:id="62"/>
      <w:r>
        <w:rPr>
          <w:rFonts w:hint="default" w:ascii="Times New Roman" w:hAnsi="Times New Roman" w:eastAsia="方正仿宋_GBK" w:cs="Times New Roman"/>
          <w:sz w:val="32"/>
          <w:szCs w:val="32"/>
        </w:rPr>
        <w:t>政府性基金预算财政拨款收入支出决算表</w:t>
      </w:r>
    </w:p>
    <w:p w14:paraId="143526EA">
      <w:pPr>
        <w:pStyle w:val="14"/>
        <w:adjustRightInd w:val="0"/>
        <w:snapToGrid w:val="0"/>
        <w:spacing w:line="560" w:lineRule="exact"/>
        <w:jc w:val="left"/>
        <w:rPr>
          <w:rFonts w:hint="default" w:ascii="Times New Roman" w:hAnsi="Times New Roman" w:eastAsia="方正仿宋_GBK" w:cs="Times New Roman"/>
          <w:sz w:val="32"/>
          <w:szCs w:val="32"/>
        </w:rPr>
      </w:pPr>
      <w:bookmarkStart w:id="63" w:name="_Toc15396629"/>
      <w:r>
        <w:rPr>
          <w:rFonts w:hint="default" w:ascii="Times New Roman" w:hAnsi="Times New Roman" w:eastAsia="方正仿宋_GBK" w:cs="Times New Roman"/>
          <w:sz w:val="32"/>
          <w:szCs w:val="32"/>
        </w:rPr>
        <w:t>十一、</w:t>
      </w:r>
      <w:bookmarkEnd w:id="63"/>
      <w:r>
        <w:rPr>
          <w:rFonts w:hint="default" w:ascii="Times New Roman" w:hAnsi="Times New Roman" w:eastAsia="方正仿宋_GBK" w:cs="Times New Roman"/>
          <w:sz w:val="32"/>
          <w:szCs w:val="32"/>
        </w:rPr>
        <w:t>国有资本经营预算财政拨款收入支出决算表</w:t>
      </w:r>
    </w:p>
    <w:p w14:paraId="7FA3F283">
      <w:pPr>
        <w:pStyle w:val="14"/>
        <w:adjustRightInd w:val="0"/>
        <w:snapToGrid w:val="0"/>
        <w:spacing w:line="560" w:lineRule="exact"/>
        <w:jc w:val="left"/>
        <w:rPr>
          <w:rFonts w:hint="default" w:ascii="Times New Roman" w:hAnsi="Times New Roman" w:eastAsia="方正仿宋_GBK" w:cs="Times New Roman"/>
          <w:sz w:val="32"/>
          <w:szCs w:val="32"/>
        </w:rPr>
      </w:pPr>
      <w:bookmarkStart w:id="64" w:name="_Toc15396630"/>
      <w:r>
        <w:rPr>
          <w:rFonts w:hint="default" w:ascii="Times New Roman" w:hAnsi="Times New Roman" w:eastAsia="方正仿宋_GBK" w:cs="Times New Roman"/>
          <w:sz w:val="32"/>
          <w:szCs w:val="32"/>
        </w:rPr>
        <w:t>十二、</w:t>
      </w:r>
      <w:bookmarkEnd w:id="64"/>
      <w:r>
        <w:rPr>
          <w:rFonts w:hint="default" w:ascii="Times New Roman" w:hAnsi="Times New Roman" w:eastAsia="方正仿宋_GBK" w:cs="Times New Roman"/>
          <w:sz w:val="32"/>
          <w:szCs w:val="32"/>
        </w:rPr>
        <w:t>国有资本经营预算财政拨款支出决算表</w:t>
      </w:r>
    </w:p>
    <w:p w14:paraId="56BA06CA">
      <w:pPr>
        <w:pStyle w:val="14"/>
        <w:adjustRightInd w:val="0"/>
        <w:snapToGrid w:val="0"/>
        <w:spacing w:line="560" w:lineRule="exact"/>
        <w:jc w:val="left"/>
        <w:rPr>
          <w:rFonts w:hint="default" w:ascii="Times New Roman" w:hAnsi="Times New Roman" w:eastAsia="方正仿宋_GBK" w:cs="Times New Roman"/>
          <w:sz w:val="32"/>
          <w:szCs w:val="32"/>
        </w:rPr>
      </w:pPr>
      <w:bookmarkStart w:id="65" w:name="_Toc15396631"/>
      <w:r>
        <w:rPr>
          <w:rFonts w:hint="default" w:ascii="Times New Roman" w:hAnsi="Times New Roman" w:eastAsia="方正仿宋_GBK" w:cs="Times New Roman"/>
          <w:sz w:val="32"/>
          <w:szCs w:val="32"/>
        </w:rPr>
        <w:t>十三、</w:t>
      </w:r>
      <w:bookmarkEnd w:id="65"/>
      <w:r>
        <w:rPr>
          <w:rFonts w:hint="default" w:ascii="Times New Roman" w:hAnsi="Times New Roman" w:eastAsia="方正仿宋_GBK" w:cs="Times New Roman"/>
          <w:sz w:val="32"/>
          <w:szCs w:val="32"/>
        </w:rPr>
        <w:t>财政拨款“三公”经费支出决算表</w:t>
      </w:r>
    </w:p>
    <w:p w14:paraId="22385435">
      <w:pPr>
        <w:rPr>
          <w:rFonts w:hint="default" w:ascii="Times New Roman" w:hAnsi="Times New Roman" w:eastAsia="方正仿宋_GBK" w:cs="Times New Roman"/>
          <w:sz w:val="32"/>
          <w:szCs w:val="32"/>
        </w:rPr>
      </w:pPr>
    </w:p>
    <w:sectPr>
      <w:footerReference r:id="rId11" w:type="first"/>
      <w:footerReference r:id="rId10" w:type="default"/>
      <w:pgSz w:w="11906" w:h="16838"/>
      <w:pgMar w:top="21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040CA9-3A47-40BA-A822-0C5DF98CC0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02E68F99-4F81-4AA4-B7DC-31341DF8273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00000" w:usb2="00000000" w:usb3="00000000" w:csb0="00040000" w:csb1="00000000"/>
    <w:embedRegular r:id="rId3" w:fontKey="{D95B3752-F9E9-4C84-B285-FA5C3D9A30A4}"/>
  </w:font>
  <w:font w:name="方正小标宋_GBK">
    <w:panose1 w:val="02000000000000000000"/>
    <w:charset w:val="86"/>
    <w:family w:val="auto"/>
    <w:pitch w:val="default"/>
    <w:sig w:usb0="A00002BF" w:usb1="38CF7CFA" w:usb2="00082016" w:usb3="00000000" w:csb0="00040001" w:csb1="00000000"/>
    <w:embedRegular r:id="rId4" w:fontKey="{AF60B5CF-DD96-4012-87DF-2E413FA504F5}"/>
  </w:font>
  <w:font w:name="方正仿宋_GBK">
    <w:panose1 w:val="02000000000000000000"/>
    <w:charset w:val="86"/>
    <w:family w:val="script"/>
    <w:pitch w:val="default"/>
    <w:sig w:usb0="A00002BF" w:usb1="38CF7CFA" w:usb2="00082016" w:usb3="00000000" w:csb0="00040001" w:csb1="00000000"/>
    <w:embedRegular r:id="rId5" w:fontKey="{4A6F38DD-97E0-4BB2-9A2E-5D26A7E20797}"/>
  </w:font>
  <w:font w:name="方正黑体_GBK">
    <w:panose1 w:val="02010600010101010101"/>
    <w:charset w:val="86"/>
    <w:family w:val="auto"/>
    <w:pitch w:val="default"/>
    <w:sig w:usb0="00000001" w:usb1="080E0000" w:usb2="00000000" w:usb3="00000000" w:csb0="00040000" w:csb1="00000000"/>
    <w:embedRegular r:id="rId6" w:fontKey="{7A4DA4F7-1C11-4F77-BDD2-5CCC9A24AD58}"/>
  </w:font>
  <w:font w:name="方正楷体_GBK">
    <w:panose1 w:val="02000000000000000000"/>
    <w:charset w:val="86"/>
    <w:family w:val="auto"/>
    <w:pitch w:val="default"/>
    <w:sig w:usb0="800002BF" w:usb1="38CF7CFA" w:usb2="00000016" w:usb3="00000000" w:csb0="00040000" w:csb1="00000000"/>
    <w:embedRegular r:id="rId7" w:fontKey="{AC01F5EF-EBD9-41A4-B1D1-52B3297D5E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A9E">
    <w:pPr>
      <w:pStyle w:val="10"/>
      <w:jc w:val="center"/>
    </w:pPr>
  </w:p>
  <w:p w14:paraId="7C40520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B2F8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F8BC8">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AF8BC8">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0C9BC">
    <w:pPr>
      <w:pStyle w:val="10"/>
      <w:jc w:val="center"/>
    </w:pPr>
  </w:p>
  <w:p w14:paraId="666987E7">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627BE">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583ED">
    <w:pPr>
      <w:pStyle w:val="10"/>
      <w:jc w:val="center"/>
    </w:pPr>
  </w:p>
  <w:p w14:paraId="34AD464B">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DC201">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6C8DD">
                          <w:pPr>
                            <w:pStyle w:val="1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406C8DD">
                    <w:pPr>
                      <w:pStyle w:val="1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A444A">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B8420">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79B8420">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14:paraId="7E67922F">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3199B">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8B548">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F18B548">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5850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26D96D"/>
    <w:multiLevelType w:val="singleLevel"/>
    <w:tmpl w:val="D226D96D"/>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682380F"/>
    <w:rsid w:val="07996F6E"/>
    <w:rsid w:val="07DFD8BA"/>
    <w:rsid w:val="09867E8F"/>
    <w:rsid w:val="0A2032A3"/>
    <w:rsid w:val="0A743E91"/>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AD4F97"/>
    <w:rsid w:val="1BE8440E"/>
    <w:rsid w:val="1CC6347C"/>
    <w:rsid w:val="1D155CEE"/>
    <w:rsid w:val="1D1638FE"/>
    <w:rsid w:val="1E312DEB"/>
    <w:rsid w:val="1E740ACF"/>
    <w:rsid w:val="1FF35744"/>
    <w:rsid w:val="1FF6BC77"/>
    <w:rsid w:val="2186353C"/>
    <w:rsid w:val="21A06FF7"/>
    <w:rsid w:val="23860B96"/>
    <w:rsid w:val="240371BF"/>
    <w:rsid w:val="242E5F8D"/>
    <w:rsid w:val="244F3473"/>
    <w:rsid w:val="24C97D99"/>
    <w:rsid w:val="25A718F0"/>
    <w:rsid w:val="25BB59F6"/>
    <w:rsid w:val="260F557C"/>
    <w:rsid w:val="26970054"/>
    <w:rsid w:val="271E133D"/>
    <w:rsid w:val="281408E2"/>
    <w:rsid w:val="29FD04D3"/>
    <w:rsid w:val="2BFF7BC6"/>
    <w:rsid w:val="2C8A61B5"/>
    <w:rsid w:val="2DF04E50"/>
    <w:rsid w:val="2E32160A"/>
    <w:rsid w:val="2E354EE6"/>
    <w:rsid w:val="2E586DFA"/>
    <w:rsid w:val="2F040D46"/>
    <w:rsid w:val="2F6B035B"/>
    <w:rsid w:val="2F793DEE"/>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1E3204"/>
    <w:rsid w:val="3E740A63"/>
    <w:rsid w:val="3E78745D"/>
    <w:rsid w:val="3EE17838"/>
    <w:rsid w:val="3F55381A"/>
    <w:rsid w:val="3F7F7599"/>
    <w:rsid w:val="3FF4CAE0"/>
    <w:rsid w:val="3FF7B227"/>
    <w:rsid w:val="412F2E76"/>
    <w:rsid w:val="418072E7"/>
    <w:rsid w:val="43CC351F"/>
    <w:rsid w:val="449948D2"/>
    <w:rsid w:val="44A60AC5"/>
    <w:rsid w:val="44E268DA"/>
    <w:rsid w:val="450D13D7"/>
    <w:rsid w:val="45506656"/>
    <w:rsid w:val="45EC0C36"/>
    <w:rsid w:val="486A6C7A"/>
    <w:rsid w:val="4A627F82"/>
    <w:rsid w:val="4B0E6D7D"/>
    <w:rsid w:val="4B0E749A"/>
    <w:rsid w:val="4B2477C4"/>
    <w:rsid w:val="4B4F25DA"/>
    <w:rsid w:val="4BE068DB"/>
    <w:rsid w:val="4D577224"/>
    <w:rsid w:val="4D6940B7"/>
    <w:rsid w:val="4DBF1CEB"/>
    <w:rsid w:val="4DF0007C"/>
    <w:rsid w:val="4EAB630A"/>
    <w:rsid w:val="4ECE2238"/>
    <w:rsid w:val="4F4D38C6"/>
    <w:rsid w:val="4F833267"/>
    <w:rsid w:val="4FE9BD67"/>
    <w:rsid w:val="4FFB052F"/>
    <w:rsid w:val="537E6D0A"/>
    <w:rsid w:val="53F74C96"/>
    <w:rsid w:val="5403433C"/>
    <w:rsid w:val="5462713E"/>
    <w:rsid w:val="55170BA8"/>
    <w:rsid w:val="553218C9"/>
    <w:rsid w:val="55DA5A30"/>
    <w:rsid w:val="567E1AA5"/>
    <w:rsid w:val="56815DB2"/>
    <w:rsid w:val="56E47B74"/>
    <w:rsid w:val="57175D52"/>
    <w:rsid w:val="57BD3DD4"/>
    <w:rsid w:val="5A6038A3"/>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813486A"/>
    <w:rsid w:val="698D0931"/>
    <w:rsid w:val="6A7FE5F3"/>
    <w:rsid w:val="6B053271"/>
    <w:rsid w:val="6BD86DDD"/>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41528D"/>
    <w:rsid w:val="73AB61DA"/>
    <w:rsid w:val="73AD73D5"/>
    <w:rsid w:val="73B6EB34"/>
    <w:rsid w:val="73FA497D"/>
    <w:rsid w:val="7400051E"/>
    <w:rsid w:val="744731E5"/>
    <w:rsid w:val="74BBD01D"/>
    <w:rsid w:val="74ED5379"/>
    <w:rsid w:val="7561491D"/>
    <w:rsid w:val="75DEEEC2"/>
    <w:rsid w:val="75E32345"/>
    <w:rsid w:val="76E3355F"/>
    <w:rsid w:val="76FF5125"/>
    <w:rsid w:val="776F6FFA"/>
    <w:rsid w:val="777D59E2"/>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BFE05A3"/>
    <w:rsid w:val="7C1F3737"/>
    <w:rsid w:val="7CBFC87B"/>
    <w:rsid w:val="7CFE0F48"/>
    <w:rsid w:val="7D272ABC"/>
    <w:rsid w:val="7D7EC23E"/>
    <w:rsid w:val="7D972AED"/>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Autospacing="1" w:afterAutospacing="1"/>
      <w:jc w:val="left"/>
    </w:pPr>
    <w:rPr>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收入、支出决算情况表（单位：万元）</a:t>
            </a:r>
            <a:endParaRPr sz="1000"/>
          </a:p>
        </c:rich>
      </c:tx>
      <c:layout>
        <c:manualLayout>
          <c:xMode val="edge"/>
          <c:yMode val="edge"/>
          <c:x val="0.22905850989196"/>
          <c:y val="0.00574932924492143"/>
        </c:manualLayout>
      </c:layout>
      <c:overlay val="0"/>
      <c:spPr>
        <a:noFill/>
        <a:ln>
          <a:noFill/>
        </a:ln>
        <a:effectLst/>
      </c:spPr>
    </c:title>
    <c:autoTitleDeleted val="0"/>
    <c:plotArea>
      <c:layout>
        <c:manualLayout>
          <c:layoutTarget val="inner"/>
          <c:xMode val="edge"/>
          <c:yMode val="edge"/>
          <c:x val="0.0772555072260418"/>
          <c:y val="0.127635109237256"/>
          <c:w val="0.893559702539638"/>
          <c:h val="0.692870831736297"/>
        </c:manualLayout>
      </c:layout>
      <c:barChart>
        <c:barDir val="col"/>
        <c:grouping val="clustered"/>
        <c:varyColors val="0"/>
        <c:ser>
          <c:idx val="0"/>
          <c:order val="0"/>
          <c:tx>
            <c:strRef>
              <c:f>[图表.xlsx]Sheet1!$B$10</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[图表.xlsx]Sheet1!$C$9:$D$9</c:f>
              <c:strCache>
                <c:ptCount val="2"/>
                <c:pt idx="0">
                  <c:v>收入</c:v>
                </c:pt>
                <c:pt idx="1">
                  <c:v>支出</c:v>
                </c:pt>
              </c:strCache>
            </c:strRef>
          </c:cat>
          <c:val>
            <c:numRef>
              <c:f>[图表.xlsx]Sheet1!$C$10:$D$10</c:f>
              <c:numCache>
                <c:formatCode>General</c:formatCode>
                <c:ptCount val="2"/>
                <c:pt idx="0">
                  <c:v>601.63</c:v>
                </c:pt>
                <c:pt idx="1">
                  <c:v>601.63</c:v>
                </c:pt>
              </c:numCache>
            </c:numRef>
          </c:val>
        </c:ser>
        <c:ser>
          <c:idx val="1"/>
          <c:order val="1"/>
          <c:tx>
            <c:strRef>
              <c:f>[图表.xlsx]Sheet1!$B$11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[图表.xlsx]Sheet1!$C$9:$D$9</c:f>
              <c:strCache>
                <c:ptCount val="2"/>
                <c:pt idx="0">
                  <c:v>收入</c:v>
                </c:pt>
                <c:pt idx="1">
                  <c:v>支出</c:v>
                </c:pt>
              </c:strCache>
            </c:strRef>
          </c:cat>
          <c:val>
            <c:numRef>
              <c:f>[图表.xlsx]Sheet1!$C$11:$D$11</c:f>
              <c:numCache>
                <c:formatCode>General</c:formatCode>
                <c:ptCount val="2"/>
                <c:pt idx="0">
                  <c:v>763.44</c:v>
                </c:pt>
                <c:pt idx="1">
                  <c:v>763.44</c:v>
                </c:pt>
              </c:numCache>
            </c:numRef>
          </c:val>
        </c:ser>
        <c:dLbls>
          <c:showLegendKey val="0"/>
          <c:showVal val="1"/>
          <c:showCatName val="0"/>
          <c:showSerName val="0"/>
          <c:showPercent val="0"/>
          <c:showBubbleSize val="0"/>
        </c:dLbls>
        <c:gapWidth val="219"/>
        <c:overlap val="-27"/>
        <c:axId val="927626806"/>
        <c:axId val="635985398"/>
      </c:barChart>
      <c:catAx>
        <c:axId val="9276268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5985398"/>
        <c:crosses val="autoZero"/>
        <c:auto val="1"/>
        <c:lblAlgn val="ctr"/>
        <c:lblOffset val="100"/>
        <c:noMultiLvlLbl val="0"/>
      </c:catAx>
      <c:valAx>
        <c:axId val="63598539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76268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c3d7623-c7d1-440e-bece-f193c16c0a1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收入决算结构图（单位：万元）</a:t>
            </a:r>
            <a:endParaRPr sz="900"/>
          </a:p>
        </c:rich>
      </c:tx>
      <c:layout>
        <c:manualLayout>
          <c:xMode val="edge"/>
          <c:yMode val="edge"/>
          <c:x val="0.30151338766007"/>
          <c:y val="0.026184538653366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Lbls>
            <c:dLbl>
              <c:idx val="0"/>
              <c:layout>
                <c:manualLayout>
                  <c:x val="0.206041585904006"/>
                  <c:y val="-0.17035326076382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[图表.xlsx]Sheet1!$B$63</c:f>
              <c:strCache>
                <c:ptCount val="1"/>
                <c:pt idx="0">
                  <c:v>一般公共预算财政拨款收入</c:v>
                </c:pt>
              </c:strCache>
            </c:strRef>
          </c:cat>
          <c:val>
            <c:numRef>
              <c:f>[图表.xlsx]Sheet1!$C$63</c:f>
              <c:numCache>
                <c:formatCode>General</c:formatCode>
                <c:ptCount val="1"/>
                <c:pt idx="0">
                  <c:v>763.44</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0cb68e7-b1ab-49b6-adf8-47286ce7d1d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支出决算结构图（单位：万元）</a:t>
            </a:r>
          </a:p>
        </c:rich>
      </c:tx>
      <c:layout>
        <c:manualLayout>
          <c:xMode val="edge"/>
          <c:yMode val="edge"/>
          <c:x val="0.230416666666667"/>
          <c:y val="0.020833333333333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10416666666667"/>
                  <c:y val="-0.131944444444444"/>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6875"/>
                  <c:y val="0.083333333333333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[图表.xlsx]Sheet1!$B$94:$B$95</c:f>
              <c:strCache>
                <c:ptCount val="2"/>
                <c:pt idx="0">
                  <c:v>基本支出</c:v>
                </c:pt>
                <c:pt idx="1">
                  <c:v>项目支出</c:v>
                </c:pt>
              </c:strCache>
            </c:strRef>
          </c:cat>
          <c:val>
            <c:numRef>
              <c:f>[图表.xlsx]Sheet1!$C$94:$C$95</c:f>
              <c:numCache>
                <c:formatCode>#,##0.00</c:formatCode>
                <c:ptCount val="2"/>
                <c:pt idx="0">
                  <c:v>326.33</c:v>
                </c:pt>
                <c:pt idx="1" c:formatCode="General">
                  <c:v>437.11</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manualLayout>
          <c:xMode val="edge"/>
          <c:yMode val="edge"/>
          <c:x val="0.145555555555556"/>
          <c:y val="0.91597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7c22215-8051-4562-9412-65b18647523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财政拨款收入、支出决算情况表（单位：万元）</a:t>
            </a:r>
          </a:p>
        </c:rich>
      </c:tx>
      <c:layout>
        <c:manualLayout>
          <c:xMode val="edge"/>
          <c:yMode val="edge"/>
          <c:x val="0.181454979129398"/>
          <c:y val="0.0277777777777778"/>
        </c:manualLayout>
      </c:layout>
      <c:overlay val="0"/>
      <c:spPr>
        <a:noFill/>
        <a:ln>
          <a:noFill/>
        </a:ln>
        <a:effectLst/>
      </c:spPr>
    </c:title>
    <c:autoTitleDeleted val="0"/>
    <c:plotArea>
      <c:layout/>
      <c:barChart>
        <c:barDir val="col"/>
        <c:grouping val="clustered"/>
        <c:varyColors val="0"/>
        <c:ser>
          <c:idx val="0"/>
          <c:order val="0"/>
          <c:tx>
            <c:strRef>
              <c:f>[图表.xlsx]Sheet1!$B$119</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[图表.xlsx]Sheet1!$C$118:$D$118</c:f>
              <c:strCache>
                <c:ptCount val="2"/>
                <c:pt idx="0">
                  <c:v>财政拨款收入</c:v>
                </c:pt>
                <c:pt idx="1">
                  <c:v>财政拨款支出</c:v>
                </c:pt>
              </c:strCache>
            </c:strRef>
          </c:cat>
          <c:val>
            <c:numRef>
              <c:f>[图表.xlsx]Sheet1!$C$119:$D$119</c:f>
              <c:numCache>
                <c:formatCode>General</c:formatCode>
                <c:ptCount val="2"/>
                <c:pt idx="0">
                  <c:v>601.63</c:v>
                </c:pt>
                <c:pt idx="1">
                  <c:v>601.63</c:v>
                </c:pt>
              </c:numCache>
            </c:numRef>
          </c:val>
        </c:ser>
        <c:ser>
          <c:idx val="1"/>
          <c:order val="1"/>
          <c:tx>
            <c:strRef>
              <c:f>[图表.xlsx]Sheet1!$B$120</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[图表.xlsx]Sheet1!$C$118:$D$118</c:f>
              <c:strCache>
                <c:ptCount val="2"/>
                <c:pt idx="0">
                  <c:v>财政拨款收入</c:v>
                </c:pt>
                <c:pt idx="1">
                  <c:v>财政拨款支出</c:v>
                </c:pt>
              </c:strCache>
            </c:strRef>
          </c:cat>
          <c:val>
            <c:numRef>
              <c:f>[图表.xlsx]Sheet1!$C$120:$D$120</c:f>
              <c:numCache>
                <c:formatCode>General</c:formatCode>
                <c:ptCount val="2"/>
                <c:pt idx="0">
                  <c:v>763.44</c:v>
                </c:pt>
                <c:pt idx="1">
                  <c:v>763.44</c:v>
                </c:pt>
              </c:numCache>
            </c:numRef>
          </c:val>
        </c:ser>
        <c:dLbls>
          <c:showLegendKey val="0"/>
          <c:showVal val="1"/>
          <c:showCatName val="0"/>
          <c:showSerName val="0"/>
          <c:showPercent val="0"/>
          <c:showBubbleSize val="0"/>
        </c:dLbls>
        <c:gapWidth val="219"/>
        <c:overlap val="-27"/>
        <c:axId val="806790413"/>
        <c:axId val="42444325"/>
      </c:barChart>
      <c:catAx>
        <c:axId val="8067904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444325"/>
        <c:crosses val="autoZero"/>
        <c:auto val="1"/>
        <c:lblAlgn val="ctr"/>
        <c:lblOffset val="100"/>
        <c:noMultiLvlLbl val="0"/>
      </c:catAx>
      <c:valAx>
        <c:axId val="4244432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679041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3f8c8eb-4d40-4447-8584-bf91d9cbeb3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一般公共预算财政拨款支出决算情况表（单位：万元）</a:t>
            </a:r>
            <a:endParaRPr sz="1000"/>
          </a:p>
        </c:rich>
      </c:tx>
      <c:layout/>
      <c:overlay val="0"/>
      <c:spPr>
        <a:noFill/>
        <a:ln>
          <a:noFill/>
        </a:ln>
        <a:effectLst/>
      </c:spPr>
    </c:title>
    <c:autoTitleDeleted val="0"/>
    <c:plotArea>
      <c:layout/>
      <c:barChart>
        <c:barDir val="col"/>
        <c:grouping val="clustered"/>
        <c:varyColors val="0"/>
        <c:ser>
          <c:idx val="0"/>
          <c:order val="0"/>
          <c:tx>
            <c:strRef>
              <c:f>[图表.xlsx]Sheet1!$H$133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[图表.xlsx]Sheet1!$I$132</c:f>
              <c:strCache>
                <c:ptCount val="1"/>
                <c:pt idx="0">
                  <c:v>一般公共预算财政拨款支出</c:v>
                </c:pt>
              </c:strCache>
            </c:strRef>
          </c:cat>
          <c:val>
            <c:numRef>
              <c:f>[图表.xlsx]Sheet1!$I$133</c:f>
              <c:numCache>
                <c:formatCode>General</c:formatCode>
                <c:ptCount val="1"/>
                <c:pt idx="0">
                  <c:v>601.63</c:v>
                </c:pt>
              </c:numCache>
            </c:numRef>
          </c:val>
        </c:ser>
        <c:ser>
          <c:idx val="1"/>
          <c:order val="1"/>
          <c:tx>
            <c:strRef>
              <c:f>[图表.xlsx]Sheet1!$H$134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[图表.xlsx]Sheet1!$I$132</c:f>
              <c:strCache>
                <c:ptCount val="1"/>
                <c:pt idx="0">
                  <c:v>一般公共预算财政拨款支出</c:v>
                </c:pt>
              </c:strCache>
            </c:strRef>
          </c:cat>
          <c:val>
            <c:numRef>
              <c:f>[图表.xlsx]Sheet1!$I$134</c:f>
              <c:numCache>
                <c:formatCode>General</c:formatCode>
                <c:ptCount val="1"/>
                <c:pt idx="0">
                  <c:v>763.44</c:v>
                </c:pt>
              </c:numCache>
            </c:numRef>
          </c:val>
        </c:ser>
        <c:dLbls>
          <c:showLegendKey val="0"/>
          <c:showVal val="1"/>
          <c:showCatName val="0"/>
          <c:showSerName val="0"/>
          <c:showPercent val="0"/>
          <c:showBubbleSize val="0"/>
        </c:dLbls>
        <c:gapWidth val="219"/>
        <c:overlap val="-27"/>
        <c:axId val="158010221"/>
        <c:axId val="806745929"/>
      </c:barChart>
      <c:catAx>
        <c:axId val="1580102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6745929"/>
        <c:crosses val="autoZero"/>
        <c:auto val="1"/>
        <c:lblAlgn val="ctr"/>
        <c:lblOffset val="100"/>
        <c:noMultiLvlLbl val="0"/>
      </c:catAx>
      <c:valAx>
        <c:axId val="8067459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80102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380cb2a-9b9f-43fd-9bda-b99a54b779e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一般公共预算财政拨款支出决算结构（单位：万元）</a:t>
            </a:r>
            <a:endParaRPr sz="900"/>
          </a:p>
        </c:rich>
      </c:tx>
      <c:layout>
        <c:manualLayout>
          <c:xMode val="edge"/>
          <c:yMode val="edge"/>
          <c:x val="0.252536234416792"/>
          <c:y val="0.00720871751886002"/>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60451628935591"/>
                  <c:y val="-0.29228688054466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教育支出674.4388.3</a:t>
                    </a:r>
                    <a:r>
                      <a:rPr lang="en-US" altLang="zh-CN"/>
                      <a:t>5</a:t>
                    </a:r>
                    <a:r>
                      <a:t>%</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47310578594758"/>
                  <c:y val="0.171681252799527"/>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53128555176337"/>
                      <c:h val="0.197257769652651"/>
                    </c:manualLayout>
                  </c15:layout>
                </c:ext>
              </c:extLst>
            </c:dLbl>
            <c:dLbl>
              <c:idx val="2"/>
              <c:layout>
                <c:manualLayout>
                  <c:x val="-0.13341151960233"/>
                  <c:y val="0.0302318590830101"/>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14836206358369"/>
                  <c:y val="0.043719919393938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[图表.xlsx]Sheet1!$B$250:$B$253</c:f>
              <c:strCache>
                <c:ptCount val="4"/>
                <c:pt idx="0">
                  <c:v>教育支出</c:v>
                </c:pt>
                <c:pt idx="1">
                  <c:v>社会保障和就业支出</c:v>
                </c:pt>
                <c:pt idx="2">
                  <c:v>卫生健康支出</c:v>
                </c:pt>
                <c:pt idx="3">
                  <c:v>住房保障支出</c:v>
                </c:pt>
              </c:strCache>
            </c:strRef>
          </c:cat>
          <c:val>
            <c:numRef>
              <c:f>[图表.xlsx]Sheet1!$C$250:$C$253</c:f>
              <c:numCache>
                <c:formatCode>General</c:formatCode>
                <c:ptCount val="4"/>
                <c:pt idx="0">
                  <c:v>674.43</c:v>
                </c:pt>
                <c:pt idx="1">
                  <c:v>41.33</c:v>
                </c:pt>
                <c:pt idx="2">
                  <c:v>24.6</c:v>
                </c:pt>
                <c:pt idx="3">
                  <c:v>23.08</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67f62cd-cb1e-4ce2-b603-d7ea34b02d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“三公”经费财政拨款支出结构（单位：万元）</a:t>
            </a:r>
            <a:endParaRPr sz="900"/>
          </a:p>
        </c:rich>
      </c:tx>
      <c:layout>
        <c:manualLayout>
          <c:xMode val="edge"/>
          <c:yMode val="edge"/>
          <c:x val="0.247099483204134"/>
          <c:y val="0.0155152050394342"/>
        </c:manualLayout>
      </c:layout>
      <c:overlay val="0"/>
      <c:spPr>
        <a:noFill/>
        <a:ln>
          <a:noFill/>
        </a:ln>
        <a:effectLst/>
      </c:spPr>
    </c:title>
    <c:autoTitleDeleted val="0"/>
    <c:plotArea>
      <c:layout>
        <c:manualLayout>
          <c:layoutTarget val="inner"/>
          <c:xMode val="edge"/>
          <c:yMode val="edge"/>
          <c:x val="0.206527777777778"/>
          <c:y val="0.173605776616992"/>
          <c:w val="0.590555555555556"/>
          <c:h val="0.65324934705792"/>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229166666666667"/>
                  <c:y val="0.0400331303968838"/>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89583333333333"/>
                  <c:y val="-0.174025974025974"/>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179166666666667"/>
                  <c:y val="0.0451388888888889"/>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[图表.xlsx]Sheet1!$B$301:$B$303</c:f>
              <c:strCache>
                <c:ptCount val="3"/>
                <c:pt idx="0">
                  <c:v>因公出国（境）费</c:v>
                </c:pt>
                <c:pt idx="1">
                  <c:v>公务用车购置及运行维护费</c:v>
                </c:pt>
                <c:pt idx="2">
                  <c:v>公务接待费</c:v>
                </c:pt>
              </c:strCache>
            </c:strRef>
          </c:cat>
          <c:val>
            <c:numRef>
              <c:f>[图表.xlsx]Sheet1!$C$301:$C$303</c:f>
              <c:numCache>
                <c:formatCode>General</c:formatCode>
                <c:ptCount val="3"/>
                <c:pt idx="0">
                  <c:v>0</c:v>
                </c:pt>
                <c:pt idx="1">
                  <c:v>0.72</c:v>
                </c:pt>
                <c:pt idx="2">
                  <c:v>0.12</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1c6fa78-e554-431f-b3b0-72b3b72d15a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6950</Words>
  <Characters>7536</Characters>
  <Lines>63</Lines>
  <Paragraphs>17</Paragraphs>
  <TotalTime>7</TotalTime>
  <ScaleCrop>false</ScaleCrop>
  <LinksUpToDate>false</LinksUpToDate>
  <CharactersWithSpaces>7617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情深似海1397267251</cp:lastModifiedBy>
  <cp:lastPrinted>2025-10-20T02:45:19Z</cp:lastPrinted>
  <dcterms:modified xsi:type="dcterms:W3CDTF">2025-10-20T02:48:57Z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04787F2533EB45DC91BCDE4AB213247F</vt:lpwstr>
  </property>
  <property fmtid="{D5CDD505-2E9C-101B-9397-08002B2CF9AE}" pid="4" name="KSOTemplateDocerSaveRecord">
    <vt:lpwstr>eyJoZGlkIjoiMDVmYzYwZmM0Y2FlNDQ1Nzc5MjY5YTRlYjhmZmI2YjgiLCJ1c2VySWQiOiIxNDA1MTg0MiJ9</vt:lpwstr>
  </property>
</Properties>
</file>