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BDC24">
      <w:pPr>
        <w:pStyle w:val="8"/>
        <w:spacing w:before="93"/>
        <w:rPr>
          <w:rFonts w:ascii="Times New Roman" w:eastAsia="方正小标宋简体"/>
          <w:kern w:val="2"/>
          <w:sz w:val="72"/>
          <w:szCs w:val="72"/>
        </w:rPr>
      </w:pPr>
      <w:bookmarkStart w:id="0" w:name="_Toc15377193"/>
      <w:bookmarkStart w:id="1" w:name="_Toc15378441"/>
      <w:bookmarkStart w:id="2" w:name="_Toc15396597"/>
      <w:bookmarkStart w:id="3" w:name="_Toc15306267"/>
      <w:bookmarkStart w:id="4" w:name="_Toc15396475"/>
      <w:bookmarkStart w:id="5" w:name="_Toc15377425"/>
    </w:p>
    <w:p w14:paraId="028F89EE">
      <w:pPr>
        <w:pStyle w:val="8"/>
        <w:spacing w:before="93"/>
        <w:rPr>
          <w:rFonts w:ascii="Times New Roman" w:eastAsia="方正小标宋简体"/>
          <w:kern w:val="2"/>
          <w:sz w:val="72"/>
          <w:szCs w:val="72"/>
        </w:rPr>
      </w:pPr>
    </w:p>
    <w:p w14:paraId="49D2E1BF">
      <w:pPr>
        <w:pStyle w:val="8"/>
        <w:spacing w:before="93"/>
        <w:rPr>
          <w:rFonts w:ascii="Times New Roman" w:eastAsia="方正小标宋简体"/>
          <w:kern w:val="2"/>
          <w:sz w:val="72"/>
          <w:szCs w:val="72"/>
        </w:rPr>
      </w:pPr>
    </w:p>
    <w:p w14:paraId="1BA63A0B">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6780242D">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盐边县机关事务服务中心决算公开编制说明</w:t>
      </w:r>
    </w:p>
    <w:p w14:paraId="15BBAEE3">
      <w:pPr>
        <w:spacing w:line="600" w:lineRule="exact"/>
        <w:jc w:val="center"/>
        <w:outlineLvl w:val="0"/>
        <w:rPr>
          <w:rFonts w:eastAsia="方正小标宋简体"/>
          <w:sz w:val="72"/>
          <w:szCs w:val="72"/>
        </w:rPr>
      </w:pPr>
    </w:p>
    <w:p w14:paraId="38134666">
      <w:pPr>
        <w:pStyle w:val="2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bookmarkEnd w:id="0"/>
    <w:bookmarkEnd w:id="1"/>
    <w:bookmarkEnd w:id="2"/>
    <w:bookmarkEnd w:id="3"/>
    <w:bookmarkEnd w:id="4"/>
    <w:bookmarkEnd w:id="5"/>
    <w:sdt>
      <w:sdtPr>
        <w:rPr>
          <w:rFonts w:ascii="宋体" w:hAnsi="宋体" w:eastAsia="宋体"/>
          <w:sz w:val="21"/>
        </w:rPr>
        <w:id w:val="147461777"/>
        <w:docPartObj>
          <w:docPartGallery w:val="Table of Contents"/>
          <w:docPartUnique/>
        </w:docPartObj>
      </w:sdtPr>
      <w:sdtEndPr>
        <w:rPr>
          <w:rFonts w:hint="eastAsia" w:ascii="Times New Roman" w:hAnsi="Times New Roman" w:eastAsia="宋体"/>
          <w:sz w:val="18"/>
          <w:szCs w:val="18"/>
        </w:rPr>
      </w:sdtEndPr>
      <w:sdtContent>
        <w:p w14:paraId="3E8F4C02">
          <w:pPr>
            <w:jc w:val="center"/>
            <w:rPr>
              <w:rFonts w:eastAsia="黑体"/>
              <w:sz w:val="48"/>
              <w:szCs w:val="48"/>
            </w:rPr>
          </w:pPr>
          <w:bookmarkStart w:id="6" w:name="_Toc15396599"/>
          <w:bookmarkStart w:id="7" w:name="_Toc15377196"/>
          <w:r>
            <w:rPr>
              <w:rFonts w:hint="eastAsia" w:eastAsia="黑体"/>
              <w:sz w:val="48"/>
              <w:szCs w:val="48"/>
            </w:rPr>
            <w:t>目录</w:t>
          </w:r>
        </w:p>
        <w:p w14:paraId="449BFE43">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60AA7A82">
          <w:pPr>
            <w:pStyle w:val="13"/>
            <w:tabs>
              <w:tab w:val="right" w:leader="dot" w:pos="8306"/>
              <w:tab w:val="clear" w:pos="8296"/>
            </w:tabs>
            <w:rPr>
              <w:rFonts w:ascii="黑体" w:hAnsi="黑体" w:eastAsia="黑体" w:cs="黑体"/>
            </w:rPr>
          </w:pPr>
          <w:r>
            <w:fldChar w:fldCharType="begin"/>
          </w:r>
          <w:r>
            <w:instrText xml:space="preserve">TOC \o "1-2" \h \u </w:instrText>
          </w:r>
          <w:r>
            <w:fldChar w:fldCharType="separate"/>
          </w:r>
          <w:r>
            <w:fldChar w:fldCharType="begin"/>
          </w:r>
          <w:r>
            <w:instrText xml:space="preserve"> HYPERLINK \l "_Toc29719" </w:instrText>
          </w:r>
          <w:r>
            <w:fldChar w:fldCharType="separate"/>
          </w:r>
          <w:r>
            <w:rPr>
              <w:rFonts w:hint="eastAsia" w:ascii="黑体" w:hAnsi="黑体" w:eastAsia="黑体" w:cs="黑体"/>
            </w:rPr>
            <w:t>第一部分单位概况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_Toc29719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0BAB364C">
          <w:pPr>
            <w:pStyle w:val="14"/>
            <w:tabs>
              <w:tab w:val="right" w:leader="dot" w:pos="8306"/>
              <w:tab w:val="clear" w:pos="8296"/>
            </w:tabs>
            <w:ind w:left="640"/>
            <w:rPr>
              <w:sz w:val="28"/>
              <w:szCs w:val="28"/>
            </w:rPr>
          </w:pPr>
          <w:r>
            <w:fldChar w:fldCharType="begin"/>
          </w:r>
          <w:r>
            <w:instrText xml:space="preserve"> HYPERLINK \l "_Toc6326" </w:instrText>
          </w:r>
          <w:r>
            <w:fldChar w:fldCharType="separate"/>
          </w:r>
          <w:r>
            <w:rPr>
              <w:rFonts w:hint="eastAsia"/>
              <w:sz w:val="28"/>
              <w:szCs w:val="28"/>
            </w:rPr>
            <w:t>一、主要职责</w:t>
          </w:r>
          <w:r>
            <w:rPr>
              <w:sz w:val="28"/>
              <w:szCs w:val="28"/>
            </w:rPr>
            <w:tab/>
          </w:r>
          <w:r>
            <w:rPr>
              <w:sz w:val="28"/>
              <w:szCs w:val="28"/>
            </w:rPr>
            <w:fldChar w:fldCharType="begin"/>
          </w:r>
          <w:r>
            <w:rPr>
              <w:sz w:val="28"/>
              <w:szCs w:val="28"/>
            </w:rPr>
            <w:instrText xml:space="preserve"> PAGEREF _Toc6326 \h </w:instrText>
          </w:r>
          <w:r>
            <w:rPr>
              <w:sz w:val="28"/>
              <w:szCs w:val="28"/>
            </w:rPr>
            <w:fldChar w:fldCharType="separate"/>
          </w:r>
          <w:r>
            <w:rPr>
              <w:sz w:val="28"/>
              <w:szCs w:val="28"/>
            </w:rPr>
            <w:t>1</w:t>
          </w:r>
          <w:r>
            <w:rPr>
              <w:sz w:val="28"/>
              <w:szCs w:val="28"/>
            </w:rPr>
            <w:fldChar w:fldCharType="end"/>
          </w:r>
          <w:r>
            <w:rPr>
              <w:sz w:val="28"/>
              <w:szCs w:val="28"/>
            </w:rPr>
            <w:fldChar w:fldCharType="end"/>
          </w:r>
        </w:p>
        <w:p w14:paraId="10F89727">
          <w:pPr>
            <w:pStyle w:val="14"/>
            <w:tabs>
              <w:tab w:val="right" w:leader="dot" w:pos="8306"/>
              <w:tab w:val="clear" w:pos="8296"/>
            </w:tabs>
            <w:ind w:left="640"/>
            <w:rPr>
              <w:sz w:val="28"/>
              <w:szCs w:val="28"/>
            </w:rPr>
          </w:pPr>
          <w:r>
            <w:fldChar w:fldCharType="begin"/>
          </w:r>
          <w:r>
            <w:instrText xml:space="preserve"> HYPERLINK \l "_Toc20642" </w:instrText>
          </w:r>
          <w:r>
            <w:fldChar w:fldCharType="separate"/>
          </w:r>
          <w:r>
            <w:rPr>
              <w:rFonts w:hint="eastAsia"/>
              <w:sz w:val="28"/>
              <w:szCs w:val="28"/>
            </w:rPr>
            <w:t>二、机构设置</w:t>
          </w:r>
          <w:r>
            <w:rPr>
              <w:sz w:val="28"/>
              <w:szCs w:val="28"/>
            </w:rPr>
            <w:tab/>
          </w:r>
          <w:r>
            <w:rPr>
              <w:sz w:val="28"/>
              <w:szCs w:val="28"/>
            </w:rPr>
            <w:fldChar w:fldCharType="begin"/>
          </w:r>
          <w:r>
            <w:rPr>
              <w:sz w:val="28"/>
              <w:szCs w:val="28"/>
            </w:rPr>
            <w:instrText xml:space="preserve"> PAGEREF _Toc20642 \h </w:instrText>
          </w:r>
          <w:r>
            <w:rPr>
              <w:sz w:val="28"/>
              <w:szCs w:val="28"/>
            </w:rPr>
            <w:fldChar w:fldCharType="separate"/>
          </w:r>
          <w:r>
            <w:rPr>
              <w:sz w:val="28"/>
              <w:szCs w:val="28"/>
            </w:rPr>
            <w:t>2</w:t>
          </w:r>
          <w:r>
            <w:rPr>
              <w:sz w:val="28"/>
              <w:szCs w:val="28"/>
            </w:rPr>
            <w:fldChar w:fldCharType="end"/>
          </w:r>
          <w:r>
            <w:rPr>
              <w:sz w:val="28"/>
              <w:szCs w:val="28"/>
            </w:rPr>
            <w:fldChar w:fldCharType="end"/>
          </w:r>
        </w:p>
        <w:p w14:paraId="71A75B2C">
          <w:pPr>
            <w:pStyle w:val="13"/>
            <w:tabs>
              <w:tab w:val="right" w:leader="dot" w:pos="8306"/>
              <w:tab w:val="clear" w:pos="8296"/>
            </w:tabs>
            <w:rPr>
              <w:rFonts w:ascii="黑体" w:hAnsi="黑体" w:eastAsia="黑体" w:cs="黑体"/>
            </w:rPr>
          </w:pPr>
          <w:r>
            <w:fldChar w:fldCharType="begin"/>
          </w:r>
          <w:r>
            <w:instrText xml:space="preserve"> HYPERLINK \l "_Toc30452" </w:instrText>
          </w:r>
          <w:r>
            <w:fldChar w:fldCharType="separate"/>
          </w:r>
          <w:r>
            <w:rPr>
              <w:rFonts w:hint="eastAsia" w:ascii="黑体" w:hAnsi="黑体" w:eastAsia="黑体" w:cs="黑体"/>
            </w:rPr>
            <w:t>第二部分  2024年度部门决算情况说明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_Toc30452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0391ABEC">
          <w:pPr>
            <w:pStyle w:val="14"/>
            <w:tabs>
              <w:tab w:val="right" w:leader="dot" w:pos="8306"/>
              <w:tab w:val="clear" w:pos="8296"/>
            </w:tabs>
            <w:ind w:left="640"/>
            <w:rPr>
              <w:sz w:val="28"/>
              <w:szCs w:val="28"/>
            </w:rPr>
          </w:pPr>
          <w:r>
            <w:fldChar w:fldCharType="begin"/>
          </w:r>
          <w:r>
            <w:instrText xml:space="preserve"> HYPERLINK \l "_Toc7022" </w:instrText>
          </w:r>
          <w:r>
            <w:fldChar w:fldCharType="separate"/>
          </w:r>
          <w:r>
            <w:rPr>
              <w:rFonts w:hint="eastAsia"/>
              <w:sz w:val="28"/>
              <w:szCs w:val="28"/>
            </w:rPr>
            <w:t>一、收入支出决算总体情况说明</w:t>
          </w:r>
          <w:r>
            <w:rPr>
              <w:sz w:val="28"/>
              <w:szCs w:val="28"/>
            </w:rPr>
            <w:tab/>
          </w:r>
          <w:r>
            <w:rPr>
              <w:sz w:val="28"/>
              <w:szCs w:val="28"/>
            </w:rPr>
            <w:fldChar w:fldCharType="begin"/>
          </w:r>
          <w:r>
            <w:rPr>
              <w:sz w:val="28"/>
              <w:szCs w:val="28"/>
            </w:rPr>
            <w:instrText xml:space="preserve"> PAGEREF _Toc7022 \h </w:instrText>
          </w:r>
          <w:r>
            <w:rPr>
              <w:sz w:val="28"/>
              <w:szCs w:val="28"/>
            </w:rPr>
            <w:fldChar w:fldCharType="separate"/>
          </w:r>
          <w:r>
            <w:rPr>
              <w:sz w:val="28"/>
              <w:szCs w:val="28"/>
            </w:rPr>
            <w:t>3</w:t>
          </w:r>
          <w:r>
            <w:rPr>
              <w:sz w:val="28"/>
              <w:szCs w:val="28"/>
            </w:rPr>
            <w:fldChar w:fldCharType="end"/>
          </w:r>
          <w:r>
            <w:rPr>
              <w:sz w:val="28"/>
              <w:szCs w:val="28"/>
            </w:rPr>
            <w:fldChar w:fldCharType="end"/>
          </w:r>
        </w:p>
        <w:p w14:paraId="0660FC8D">
          <w:pPr>
            <w:pStyle w:val="14"/>
            <w:tabs>
              <w:tab w:val="right" w:leader="dot" w:pos="8306"/>
              <w:tab w:val="clear" w:pos="8296"/>
            </w:tabs>
            <w:ind w:left="640"/>
            <w:rPr>
              <w:sz w:val="28"/>
              <w:szCs w:val="28"/>
            </w:rPr>
          </w:pPr>
          <w:r>
            <w:fldChar w:fldCharType="begin"/>
          </w:r>
          <w:r>
            <w:instrText xml:space="preserve"> HYPERLINK \l "_Toc8860" </w:instrText>
          </w:r>
          <w:r>
            <w:fldChar w:fldCharType="separate"/>
          </w:r>
          <w:r>
            <w:rPr>
              <w:rFonts w:hint="eastAsia"/>
              <w:sz w:val="28"/>
              <w:szCs w:val="28"/>
            </w:rPr>
            <w:t>二、收入决算情况说明</w:t>
          </w:r>
          <w:r>
            <w:rPr>
              <w:sz w:val="28"/>
              <w:szCs w:val="28"/>
            </w:rPr>
            <w:tab/>
          </w:r>
          <w:r>
            <w:rPr>
              <w:sz w:val="28"/>
              <w:szCs w:val="28"/>
            </w:rPr>
            <w:fldChar w:fldCharType="begin"/>
          </w:r>
          <w:r>
            <w:rPr>
              <w:sz w:val="28"/>
              <w:szCs w:val="28"/>
            </w:rPr>
            <w:instrText xml:space="preserve"> PAGEREF _Toc8860 \h </w:instrText>
          </w:r>
          <w:r>
            <w:rPr>
              <w:sz w:val="28"/>
              <w:szCs w:val="28"/>
            </w:rPr>
            <w:fldChar w:fldCharType="separate"/>
          </w:r>
          <w:r>
            <w:rPr>
              <w:sz w:val="28"/>
              <w:szCs w:val="28"/>
            </w:rPr>
            <w:t>3</w:t>
          </w:r>
          <w:r>
            <w:rPr>
              <w:sz w:val="28"/>
              <w:szCs w:val="28"/>
            </w:rPr>
            <w:fldChar w:fldCharType="end"/>
          </w:r>
          <w:r>
            <w:rPr>
              <w:sz w:val="28"/>
              <w:szCs w:val="28"/>
            </w:rPr>
            <w:fldChar w:fldCharType="end"/>
          </w:r>
        </w:p>
        <w:p w14:paraId="25440158">
          <w:pPr>
            <w:pStyle w:val="14"/>
            <w:tabs>
              <w:tab w:val="right" w:leader="dot" w:pos="8306"/>
              <w:tab w:val="clear" w:pos="8296"/>
            </w:tabs>
            <w:ind w:left="640"/>
            <w:rPr>
              <w:sz w:val="28"/>
              <w:szCs w:val="28"/>
            </w:rPr>
          </w:pPr>
          <w:r>
            <w:fldChar w:fldCharType="begin"/>
          </w:r>
          <w:r>
            <w:instrText xml:space="preserve"> HYPERLINK \l "_Toc15988" </w:instrText>
          </w:r>
          <w:r>
            <w:fldChar w:fldCharType="separate"/>
          </w:r>
          <w:r>
            <w:rPr>
              <w:rFonts w:hint="eastAsia"/>
              <w:sz w:val="28"/>
              <w:szCs w:val="28"/>
            </w:rPr>
            <w:t>三、支出决算情况说明</w:t>
          </w:r>
          <w:r>
            <w:rPr>
              <w:sz w:val="28"/>
              <w:szCs w:val="28"/>
            </w:rPr>
            <w:tab/>
          </w:r>
          <w:r>
            <w:rPr>
              <w:sz w:val="28"/>
              <w:szCs w:val="28"/>
            </w:rPr>
            <w:fldChar w:fldCharType="begin"/>
          </w:r>
          <w:r>
            <w:rPr>
              <w:sz w:val="28"/>
              <w:szCs w:val="28"/>
            </w:rPr>
            <w:instrText xml:space="preserve"> PAGEREF _Toc15988 \h </w:instrText>
          </w:r>
          <w:r>
            <w:rPr>
              <w:sz w:val="28"/>
              <w:szCs w:val="28"/>
            </w:rPr>
            <w:fldChar w:fldCharType="separate"/>
          </w:r>
          <w:r>
            <w:rPr>
              <w:sz w:val="28"/>
              <w:szCs w:val="28"/>
            </w:rPr>
            <w:t>4</w:t>
          </w:r>
          <w:r>
            <w:rPr>
              <w:sz w:val="28"/>
              <w:szCs w:val="28"/>
            </w:rPr>
            <w:fldChar w:fldCharType="end"/>
          </w:r>
          <w:r>
            <w:rPr>
              <w:sz w:val="28"/>
              <w:szCs w:val="28"/>
            </w:rPr>
            <w:fldChar w:fldCharType="end"/>
          </w:r>
        </w:p>
        <w:p w14:paraId="03C92B3D">
          <w:pPr>
            <w:pStyle w:val="14"/>
            <w:tabs>
              <w:tab w:val="right" w:leader="dot" w:pos="8306"/>
              <w:tab w:val="clear" w:pos="8296"/>
            </w:tabs>
            <w:ind w:left="640"/>
            <w:rPr>
              <w:sz w:val="28"/>
              <w:szCs w:val="28"/>
            </w:rPr>
          </w:pPr>
          <w:r>
            <w:fldChar w:fldCharType="begin"/>
          </w:r>
          <w:r>
            <w:instrText xml:space="preserve"> HYPERLINK \l "_Toc26933" </w:instrText>
          </w:r>
          <w:r>
            <w:fldChar w:fldCharType="separate"/>
          </w:r>
          <w:r>
            <w:rPr>
              <w:rFonts w:hint="eastAsia"/>
              <w:sz w:val="28"/>
              <w:szCs w:val="28"/>
            </w:rPr>
            <w:t>四、财政拨款收入支出决算总体情况说明</w:t>
          </w:r>
          <w:r>
            <w:rPr>
              <w:sz w:val="28"/>
              <w:szCs w:val="28"/>
            </w:rPr>
            <w:tab/>
          </w:r>
          <w:r>
            <w:rPr>
              <w:sz w:val="28"/>
              <w:szCs w:val="28"/>
            </w:rPr>
            <w:fldChar w:fldCharType="begin"/>
          </w:r>
          <w:r>
            <w:rPr>
              <w:sz w:val="28"/>
              <w:szCs w:val="28"/>
            </w:rPr>
            <w:instrText xml:space="preserve"> PAGEREF _Toc26933 \h </w:instrText>
          </w:r>
          <w:r>
            <w:rPr>
              <w:sz w:val="28"/>
              <w:szCs w:val="28"/>
            </w:rPr>
            <w:fldChar w:fldCharType="separate"/>
          </w:r>
          <w:r>
            <w:rPr>
              <w:sz w:val="28"/>
              <w:szCs w:val="28"/>
            </w:rPr>
            <w:t>4</w:t>
          </w:r>
          <w:r>
            <w:rPr>
              <w:sz w:val="28"/>
              <w:szCs w:val="28"/>
            </w:rPr>
            <w:fldChar w:fldCharType="end"/>
          </w:r>
          <w:r>
            <w:rPr>
              <w:sz w:val="28"/>
              <w:szCs w:val="28"/>
            </w:rPr>
            <w:fldChar w:fldCharType="end"/>
          </w:r>
        </w:p>
        <w:p w14:paraId="7697E195">
          <w:pPr>
            <w:pStyle w:val="14"/>
            <w:tabs>
              <w:tab w:val="right" w:leader="dot" w:pos="8306"/>
              <w:tab w:val="clear" w:pos="8296"/>
            </w:tabs>
            <w:ind w:left="640"/>
            <w:rPr>
              <w:sz w:val="28"/>
              <w:szCs w:val="28"/>
            </w:rPr>
          </w:pPr>
          <w:r>
            <w:fldChar w:fldCharType="begin"/>
          </w:r>
          <w:r>
            <w:instrText xml:space="preserve"> HYPERLINK \l "_Toc30402" </w:instrText>
          </w:r>
          <w:r>
            <w:fldChar w:fldCharType="separate"/>
          </w:r>
          <w:r>
            <w:rPr>
              <w:rFonts w:hint="eastAsia"/>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_Toc30402 \h </w:instrText>
          </w:r>
          <w:r>
            <w:rPr>
              <w:sz w:val="28"/>
              <w:szCs w:val="28"/>
            </w:rPr>
            <w:fldChar w:fldCharType="separate"/>
          </w:r>
          <w:r>
            <w:rPr>
              <w:sz w:val="28"/>
              <w:szCs w:val="28"/>
            </w:rPr>
            <w:t>5</w:t>
          </w:r>
          <w:r>
            <w:rPr>
              <w:sz w:val="28"/>
              <w:szCs w:val="28"/>
            </w:rPr>
            <w:fldChar w:fldCharType="end"/>
          </w:r>
          <w:r>
            <w:rPr>
              <w:sz w:val="28"/>
              <w:szCs w:val="28"/>
            </w:rPr>
            <w:fldChar w:fldCharType="end"/>
          </w:r>
        </w:p>
        <w:p w14:paraId="0A83414A">
          <w:pPr>
            <w:pStyle w:val="14"/>
            <w:tabs>
              <w:tab w:val="right" w:leader="dot" w:pos="8306"/>
              <w:tab w:val="clear" w:pos="8296"/>
            </w:tabs>
            <w:ind w:left="640"/>
            <w:rPr>
              <w:sz w:val="28"/>
              <w:szCs w:val="28"/>
            </w:rPr>
          </w:pPr>
          <w:r>
            <w:fldChar w:fldCharType="begin"/>
          </w:r>
          <w:r>
            <w:instrText xml:space="preserve"> HYPERLINK \l "_Toc19098" </w:instrText>
          </w:r>
          <w:r>
            <w:fldChar w:fldCharType="separate"/>
          </w:r>
          <w:r>
            <w:rPr>
              <w:rFonts w:hint="eastAsia"/>
              <w:sz w:val="28"/>
              <w:szCs w:val="28"/>
            </w:rPr>
            <w:t>六、一般公共预算财政拨款基本支出决算情况说明</w:t>
          </w:r>
          <w:r>
            <w:rPr>
              <w:sz w:val="28"/>
              <w:szCs w:val="28"/>
            </w:rPr>
            <w:tab/>
          </w:r>
          <w:r>
            <w:rPr>
              <w:sz w:val="28"/>
              <w:szCs w:val="28"/>
            </w:rPr>
            <w:fldChar w:fldCharType="begin"/>
          </w:r>
          <w:r>
            <w:rPr>
              <w:sz w:val="28"/>
              <w:szCs w:val="28"/>
            </w:rPr>
            <w:instrText xml:space="preserve"> PAGEREF _Toc19098 \h </w:instrText>
          </w:r>
          <w:r>
            <w:rPr>
              <w:sz w:val="28"/>
              <w:szCs w:val="28"/>
            </w:rPr>
            <w:fldChar w:fldCharType="separate"/>
          </w:r>
          <w:r>
            <w:rPr>
              <w:sz w:val="28"/>
              <w:szCs w:val="28"/>
            </w:rPr>
            <w:t>8</w:t>
          </w:r>
          <w:r>
            <w:rPr>
              <w:sz w:val="28"/>
              <w:szCs w:val="28"/>
            </w:rPr>
            <w:fldChar w:fldCharType="end"/>
          </w:r>
          <w:r>
            <w:rPr>
              <w:sz w:val="28"/>
              <w:szCs w:val="28"/>
            </w:rPr>
            <w:fldChar w:fldCharType="end"/>
          </w:r>
        </w:p>
        <w:p w14:paraId="05650302">
          <w:pPr>
            <w:pStyle w:val="14"/>
            <w:tabs>
              <w:tab w:val="right" w:leader="dot" w:pos="8306"/>
              <w:tab w:val="clear" w:pos="8296"/>
            </w:tabs>
            <w:ind w:left="640"/>
            <w:rPr>
              <w:sz w:val="28"/>
              <w:szCs w:val="28"/>
            </w:rPr>
          </w:pPr>
          <w:r>
            <w:fldChar w:fldCharType="begin"/>
          </w:r>
          <w:r>
            <w:instrText xml:space="preserve"> HYPERLINK \l "_Toc10184" </w:instrText>
          </w:r>
          <w:r>
            <w:fldChar w:fldCharType="separate"/>
          </w:r>
          <w:r>
            <w:rPr>
              <w:rFonts w:hint="eastAsia"/>
              <w:sz w:val="28"/>
              <w:szCs w:val="28"/>
            </w:rPr>
            <w:t>七、财政拨款“三公”经费支出决算情况说明</w:t>
          </w:r>
          <w:r>
            <w:rPr>
              <w:sz w:val="28"/>
              <w:szCs w:val="28"/>
            </w:rPr>
            <w:tab/>
          </w:r>
          <w:r>
            <w:rPr>
              <w:sz w:val="28"/>
              <w:szCs w:val="28"/>
            </w:rPr>
            <w:fldChar w:fldCharType="begin"/>
          </w:r>
          <w:r>
            <w:rPr>
              <w:sz w:val="28"/>
              <w:szCs w:val="28"/>
            </w:rPr>
            <w:instrText xml:space="preserve"> PAGEREF _Toc10184 \h </w:instrText>
          </w:r>
          <w:r>
            <w:rPr>
              <w:sz w:val="28"/>
              <w:szCs w:val="28"/>
            </w:rPr>
            <w:fldChar w:fldCharType="separate"/>
          </w:r>
          <w:r>
            <w:rPr>
              <w:sz w:val="28"/>
              <w:szCs w:val="28"/>
            </w:rPr>
            <w:t>8</w:t>
          </w:r>
          <w:r>
            <w:rPr>
              <w:sz w:val="28"/>
              <w:szCs w:val="28"/>
            </w:rPr>
            <w:fldChar w:fldCharType="end"/>
          </w:r>
          <w:r>
            <w:rPr>
              <w:sz w:val="28"/>
              <w:szCs w:val="28"/>
            </w:rPr>
            <w:fldChar w:fldCharType="end"/>
          </w:r>
        </w:p>
        <w:p w14:paraId="181EADE8">
          <w:pPr>
            <w:pStyle w:val="14"/>
            <w:tabs>
              <w:tab w:val="right" w:leader="dot" w:pos="8306"/>
              <w:tab w:val="clear" w:pos="8296"/>
            </w:tabs>
            <w:ind w:left="640"/>
            <w:rPr>
              <w:sz w:val="28"/>
              <w:szCs w:val="28"/>
            </w:rPr>
          </w:pPr>
          <w:r>
            <w:fldChar w:fldCharType="begin"/>
          </w:r>
          <w:r>
            <w:instrText xml:space="preserve"> HYPERLINK \l "_Toc23434" </w:instrText>
          </w:r>
          <w:r>
            <w:fldChar w:fldCharType="separate"/>
          </w:r>
          <w:r>
            <w:rPr>
              <w:rFonts w:hint="eastAsia"/>
              <w:sz w:val="28"/>
              <w:szCs w:val="28"/>
            </w:rPr>
            <w:t>八、政府性基金预算支出决算情况说明</w:t>
          </w:r>
          <w:r>
            <w:rPr>
              <w:sz w:val="28"/>
              <w:szCs w:val="28"/>
            </w:rPr>
            <w:tab/>
          </w:r>
          <w:r>
            <w:rPr>
              <w:sz w:val="28"/>
              <w:szCs w:val="28"/>
            </w:rPr>
            <w:fldChar w:fldCharType="begin"/>
          </w:r>
          <w:r>
            <w:rPr>
              <w:sz w:val="28"/>
              <w:szCs w:val="28"/>
            </w:rPr>
            <w:instrText xml:space="preserve"> PAGEREF _Toc23434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1554F60">
          <w:pPr>
            <w:pStyle w:val="14"/>
            <w:tabs>
              <w:tab w:val="right" w:leader="dot" w:pos="8306"/>
              <w:tab w:val="clear" w:pos="8296"/>
            </w:tabs>
            <w:ind w:left="640"/>
            <w:rPr>
              <w:sz w:val="28"/>
              <w:szCs w:val="28"/>
            </w:rPr>
          </w:pPr>
          <w:r>
            <w:fldChar w:fldCharType="begin"/>
          </w:r>
          <w:r>
            <w:instrText xml:space="preserve"> HYPERLINK \l "_Toc7697" </w:instrText>
          </w:r>
          <w:r>
            <w:fldChar w:fldCharType="separate"/>
          </w:r>
          <w:r>
            <w:rPr>
              <w:rFonts w:hint="eastAsia"/>
              <w:sz w:val="28"/>
              <w:szCs w:val="28"/>
            </w:rPr>
            <w:t>九、国有资本经营预算支出决算情况说明</w:t>
          </w:r>
          <w:r>
            <w:rPr>
              <w:sz w:val="28"/>
              <w:szCs w:val="28"/>
            </w:rPr>
            <w:tab/>
          </w:r>
          <w:r>
            <w:rPr>
              <w:sz w:val="28"/>
              <w:szCs w:val="28"/>
            </w:rPr>
            <w:fldChar w:fldCharType="begin"/>
          </w:r>
          <w:r>
            <w:rPr>
              <w:sz w:val="28"/>
              <w:szCs w:val="28"/>
            </w:rPr>
            <w:instrText xml:space="preserve"> PAGEREF _Toc7697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BF5DF0B">
          <w:pPr>
            <w:pStyle w:val="14"/>
            <w:tabs>
              <w:tab w:val="right" w:leader="dot" w:pos="8306"/>
              <w:tab w:val="clear" w:pos="8296"/>
            </w:tabs>
            <w:ind w:left="640"/>
            <w:rPr>
              <w:sz w:val="28"/>
              <w:szCs w:val="28"/>
            </w:rPr>
          </w:pPr>
          <w:r>
            <w:fldChar w:fldCharType="begin"/>
          </w:r>
          <w:r>
            <w:instrText xml:space="preserve"> HYPERLINK \l "_Toc15882" </w:instrText>
          </w:r>
          <w:r>
            <w:fldChar w:fldCharType="separate"/>
          </w:r>
          <w:r>
            <w:rPr>
              <w:rFonts w:hint="eastAsia"/>
              <w:sz w:val="28"/>
              <w:szCs w:val="28"/>
            </w:rPr>
            <w:t>十、其他重要事项的情况说明</w:t>
          </w:r>
          <w:r>
            <w:rPr>
              <w:sz w:val="28"/>
              <w:szCs w:val="28"/>
            </w:rPr>
            <w:tab/>
          </w:r>
          <w:r>
            <w:rPr>
              <w:sz w:val="28"/>
              <w:szCs w:val="28"/>
            </w:rPr>
            <w:fldChar w:fldCharType="begin"/>
          </w:r>
          <w:r>
            <w:rPr>
              <w:sz w:val="28"/>
              <w:szCs w:val="28"/>
            </w:rPr>
            <w:instrText xml:space="preserve"> PAGEREF _Toc15882 \h </w:instrText>
          </w:r>
          <w:r>
            <w:rPr>
              <w:sz w:val="28"/>
              <w:szCs w:val="28"/>
            </w:rPr>
            <w:fldChar w:fldCharType="separate"/>
          </w:r>
          <w:r>
            <w:rPr>
              <w:sz w:val="28"/>
              <w:szCs w:val="28"/>
            </w:rPr>
            <w:t>11</w:t>
          </w:r>
          <w:r>
            <w:rPr>
              <w:sz w:val="28"/>
              <w:szCs w:val="28"/>
            </w:rPr>
            <w:fldChar w:fldCharType="end"/>
          </w:r>
          <w:r>
            <w:rPr>
              <w:sz w:val="28"/>
              <w:szCs w:val="28"/>
            </w:rPr>
            <w:fldChar w:fldCharType="end"/>
          </w:r>
        </w:p>
        <w:p w14:paraId="0F07E81F">
          <w:pPr>
            <w:pStyle w:val="13"/>
            <w:tabs>
              <w:tab w:val="right" w:leader="dot" w:pos="8306"/>
              <w:tab w:val="clear" w:pos="8296"/>
            </w:tabs>
            <w:rPr>
              <w:rFonts w:ascii="黑体" w:hAnsi="黑体" w:eastAsia="黑体" w:cs="黑体"/>
            </w:rPr>
          </w:pPr>
          <w:r>
            <w:fldChar w:fldCharType="begin"/>
          </w:r>
          <w:r>
            <w:instrText xml:space="preserve"> HYPERLINK \l "_Toc25764" </w:instrText>
          </w:r>
          <w:r>
            <w:fldChar w:fldCharType="separate"/>
          </w:r>
          <w:r>
            <w:rPr>
              <w:rFonts w:hint="eastAsia" w:ascii="黑体" w:hAnsi="黑体" w:eastAsia="黑体" w:cs="黑体"/>
            </w:rPr>
            <w:t>第三部分名词解释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_Toc25764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14:paraId="49955237">
          <w:pPr>
            <w:pStyle w:val="13"/>
            <w:tabs>
              <w:tab w:val="right" w:leader="dot" w:pos="8306"/>
              <w:tab w:val="clear" w:pos="8296"/>
            </w:tabs>
            <w:rPr>
              <w:rFonts w:ascii="黑体" w:hAnsi="黑体" w:eastAsia="黑体" w:cs="黑体"/>
            </w:rPr>
          </w:pPr>
          <w:r>
            <w:fldChar w:fldCharType="begin"/>
          </w:r>
          <w:r>
            <w:instrText xml:space="preserve"> HYPERLINK \l "_Toc26033" </w:instrText>
          </w:r>
          <w:r>
            <w:fldChar w:fldCharType="separate"/>
          </w:r>
          <w:r>
            <w:rPr>
              <w:rFonts w:hint="eastAsia" w:ascii="黑体" w:hAnsi="黑体" w:eastAsia="黑体" w:cs="黑体"/>
            </w:rPr>
            <w:t>第四部分附件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_Toc26033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5FADA86D">
          <w:pPr>
            <w:pStyle w:val="13"/>
            <w:tabs>
              <w:tab w:val="right" w:leader="dot" w:pos="8306"/>
              <w:tab w:val="clear" w:pos="8296"/>
            </w:tabs>
            <w:rPr>
              <w:rFonts w:ascii="黑体" w:hAnsi="黑体" w:eastAsia="黑体" w:cs="黑体"/>
            </w:rPr>
          </w:pPr>
          <w:r>
            <w:fldChar w:fldCharType="begin"/>
          </w:r>
          <w:r>
            <w:instrText xml:space="preserve"> HYPERLINK \l "_Toc10925" </w:instrText>
          </w:r>
          <w:r>
            <w:fldChar w:fldCharType="separate"/>
          </w:r>
          <w:r>
            <w:rPr>
              <w:rFonts w:hint="eastAsia" w:ascii="黑体" w:hAnsi="黑体" w:eastAsia="黑体" w:cs="黑体"/>
            </w:rPr>
            <w:t>第五部分附表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_Toc10925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34F5859B">
          <w:r>
            <w:rPr>
              <w:szCs w:val="28"/>
            </w:rPr>
            <w:fldChar w:fldCharType="end"/>
          </w:r>
        </w:p>
      </w:sdtContent>
    </w:sdt>
    <w:p w14:paraId="68BB9EFC">
      <w:pPr>
        <w:pStyle w:val="5"/>
        <w:sectPr>
          <w:footerReference r:id="rId11" w:type="first"/>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bookmarkStart w:id="8" w:name="_Toc23481"/>
      <w:bookmarkStart w:id="9" w:name="_Toc4012"/>
    </w:p>
    <w:p w14:paraId="5237D94C">
      <w:pPr>
        <w:pStyle w:val="5"/>
      </w:pPr>
      <w:bookmarkStart w:id="10" w:name="_Toc29719"/>
      <w:r>
        <w:rPr>
          <w:rFonts w:hint="eastAsia"/>
        </w:rPr>
        <w:t>第一部分单位概况</w:t>
      </w:r>
      <w:bookmarkEnd w:id="6"/>
      <w:bookmarkEnd w:id="7"/>
      <w:bookmarkEnd w:id="8"/>
      <w:bookmarkEnd w:id="9"/>
      <w:bookmarkEnd w:id="10"/>
    </w:p>
    <w:p w14:paraId="37B396B5">
      <w:pPr>
        <w:pStyle w:val="6"/>
      </w:pPr>
      <w:bookmarkStart w:id="11" w:name="_Toc6326"/>
      <w:bookmarkStart w:id="12" w:name="_Toc15746"/>
      <w:r>
        <w:rPr>
          <w:rFonts w:hint="eastAsia"/>
        </w:rPr>
        <w:t>一、主要职责</w:t>
      </w:r>
      <w:bookmarkEnd w:id="11"/>
      <w:bookmarkEnd w:id="12"/>
    </w:p>
    <w:p w14:paraId="2C88CEE0">
      <w:pPr>
        <w:spacing w:line="600" w:lineRule="exact"/>
        <w:ind w:firstLine="480" w:firstLineChars="150"/>
        <w:rPr>
          <w:rFonts w:ascii="仿宋_GB2312" w:hAnsi="华文中宋"/>
          <w:szCs w:val="32"/>
        </w:rPr>
      </w:pPr>
      <w:r>
        <w:rPr>
          <w:rFonts w:hint="eastAsia" w:ascii="仿宋_GB2312" w:hAnsi="华文中宋"/>
          <w:szCs w:val="32"/>
        </w:rPr>
        <w:t>（一）贯彻执行国家和省、市、县相关政策措施，研究制定机关事务管理工作规章制度并负责组织实施。</w:t>
      </w:r>
    </w:p>
    <w:p w14:paraId="30B4463A">
      <w:pPr>
        <w:spacing w:line="600" w:lineRule="exact"/>
        <w:ind w:firstLine="480" w:firstLineChars="150"/>
        <w:rPr>
          <w:rFonts w:ascii="仿宋_GB2312" w:hAnsi="华文中宋"/>
          <w:szCs w:val="32"/>
        </w:rPr>
      </w:pPr>
      <w:r>
        <w:rPr>
          <w:rFonts w:hint="eastAsia" w:ascii="仿宋_GB2312" w:hAnsi="华文中宋"/>
          <w:szCs w:val="32"/>
        </w:rPr>
        <w:t>（二）负责对县政府各部门机关事务进行统一管理，指导各乡镇政府机关事务管理工作，建立健全相关管理制度，统筹配置资源。</w:t>
      </w:r>
    </w:p>
    <w:p w14:paraId="3767405F">
      <w:pPr>
        <w:spacing w:line="600" w:lineRule="exact"/>
        <w:ind w:firstLine="480" w:firstLineChars="150"/>
        <w:rPr>
          <w:rFonts w:ascii="仿宋_GB2312" w:hAnsi="华文中宋"/>
          <w:szCs w:val="32"/>
        </w:rPr>
      </w:pPr>
      <w:r>
        <w:rPr>
          <w:rFonts w:hint="eastAsia" w:ascii="仿宋_GB2312" w:hAnsi="华文中宋"/>
          <w:szCs w:val="32"/>
        </w:rPr>
        <w:t>（三）会同县级有关部门制定和组织实施机关配置、调剂、处置等具体管理制度。</w:t>
      </w:r>
    </w:p>
    <w:p w14:paraId="59C88E42">
      <w:pPr>
        <w:spacing w:line="600" w:lineRule="exact"/>
        <w:ind w:firstLine="480" w:firstLineChars="150"/>
        <w:rPr>
          <w:rFonts w:ascii="仿宋_GB2312" w:hAnsi="华文中宋"/>
          <w:szCs w:val="32"/>
        </w:rPr>
      </w:pPr>
      <w:r>
        <w:rPr>
          <w:rFonts w:hint="eastAsia" w:ascii="仿宋_GB2312" w:hAnsi="华文中宋"/>
          <w:szCs w:val="32"/>
        </w:rPr>
        <w:t>（四）统筹管理机关事业单位用地、集中管理机关事业单位办公用房。</w:t>
      </w:r>
    </w:p>
    <w:p w14:paraId="376C174B">
      <w:pPr>
        <w:spacing w:line="600" w:lineRule="exact"/>
        <w:ind w:firstLine="480" w:firstLineChars="150"/>
        <w:rPr>
          <w:rFonts w:ascii="仿宋_GB2312" w:hAnsi="华文中宋"/>
          <w:szCs w:val="32"/>
        </w:rPr>
      </w:pPr>
      <w:r>
        <w:rPr>
          <w:rFonts w:hint="eastAsia" w:ascii="仿宋_GB2312" w:hAnsi="华文中宋"/>
          <w:szCs w:val="32"/>
        </w:rPr>
        <w:t>（五）负责对全县机关事业单位公务用车进行统一管理，并建立健全相关管理制度。</w:t>
      </w:r>
    </w:p>
    <w:p w14:paraId="40A5D919">
      <w:pPr>
        <w:spacing w:line="600" w:lineRule="exact"/>
        <w:ind w:firstLine="480" w:firstLineChars="150"/>
        <w:rPr>
          <w:rFonts w:ascii="仿宋_GB2312" w:hAnsi="华文中宋"/>
          <w:szCs w:val="32"/>
        </w:rPr>
      </w:pPr>
      <w:r>
        <w:rPr>
          <w:rFonts w:hint="eastAsia" w:ascii="仿宋_GB2312" w:hAnsi="华文中宋"/>
          <w:szCs w:val="32"/>
        </w:rPr>
        <w:t>（六）组织开展公共机构节约能源资源工作。</w:t>
      </w:r>
    </w:p>
    <w:p w14:paraId="2D66FD19">
      <w:pPr>
        <w:spacing w:line="600" w:lineRule="exact"/>
        <w:ind w:firstLine="480" w:firstLineChars="150"/>
        <w:rPr>
          <w:rFonts w:ascii="仿宋_GB2312" w:hAnsi="华文中宋"/>
          <w:szCs w:val="32"/>
        </w:rPr>
      </w:pPr>
      <w:r>
        <w:rPr>
          <w:rFonts w:hint="eastAsia" w:ascii="仿宋_GB2312" w:hAnsi="华文中宋"/>
          <w:szCs w:val="32"/>
        </w:rPr>
        <w:t>（七）</w:t>
      </w:r>
      <w:r>
        <w:rPr>
          <w:rFonts w:hint="eastAsia" w:ascii="仿宋_GB2312" w:hAnsi="华文中宋"/>
          <w:szCs w:val="32"/>
          <w:lang w:eastAsia="zh-CN"/>
        </w:rPr>
        <w:t>制</w:t>
      </w:r>
      <w:bookmarkStart w:id="116" w:name="_GoBack"/>
      <w:bookmarkEnd w:id="116"/>
      <w:r>
        <w:rPr>
          <w:rFonts w:hint="eastAsia" w:ascii="仿宋_GB2312" w:hAnsi="华文中宋"/>
          <w:szCs w:val="32"/>
          <w:lang w:eastAsia="zh-CN"/>
        </w:rPr>
        <w:t>定机</w:t>
      </w:r>
      <w:r>
        <w:rPr>
          <w:rFonts w:hint="eastAsia" w:ascii="仿宋_GB2312" w:hAnsi="华文中宋"/>
          <w:szCs w:val="32"/>
        </w:rPr>
        <w:t>关后勤服务管理制度，确定机关后勤服务项目和标准，指导和监督政府各部门后勤服务工作。</w:t>
      </w:r>
    </w:p>
    <w:p w14:paraId="2C504AA9">
      <w:pPr>
        <w:ind w:firstLine="480" w:firstLineChars="150"/>
      </w:pPr>
      <w:r>
        <w:rPr>
          <w:rFonts w:hint="eastAsia" w:ascii="仿宋_GB2312" w:hAnsi="华文中宋"/>
          <w:szCs w:val="32"/>
        </w:rPr>
        <w:t>（八）建立健全机关后勤应急保障制度，制定并组织实施后勤应急保障预案。</w:t>
      </w:r>
    </w:p>
    <w:p w14:paraId="2140E487">
      <w:pPr>
        <w:pStyle w:val="6"/>
        <w:rPr>
          <w:rFonts w:ascii="Times New Roman" w:hAnsi="Times New Roman" w:eastAsia="黑体"/>
          <w:b w:val="0"/>
        </w:rPr>
        <w:sectPr>
          <w:footerReference r:id="rId12" w:type="default"/>
          <w:pgSz w:w="11906" w:h="16838"/>
          <w:pgMar w:top="1440" w:right="1800" w:bottom="1440" w:left="1800" w:header="851" w:footer="992" w:gutter="0"/>
          <w:pgNumType w:start="1"/>
          <w:cols w:space="425" w:num="1"/>
          <w:docGrid w:type="lines" w:linePitch="312" w:charSpace="0"/>
        </w:sectPr>
      </w:pPr>
      <w:bookmarkStart w:id="13" w:name="_Toc15377200"/>
      <w:bookmarkStart w:id="14" w:name="_Toc15396601"/>
    </w:p>
    <w:p w14:paraId="0F771E24">
      <w:pPr>
        <w:pStyle w:val="6"/>
      </w:pPr>
      <w:bookmarkStart w:id="15" w:name="_Toc20642"/>
      <w:bookmarkStart w:id="16" w:name="_Toc19138"/>
      <w:r>
        <w:rPr>
          <w:rFonts w:hint="eastAsia"/>
        </w:rPr>
        <w:t>二、机构设置</w:t>
      </w:r>
      <w:bookmarkEnd w:id="13"/>
      <w:bookmarkEnd w:id="14"/>
      <w:bookmarkEnd w:id="15"/>
      <w:bookmarkEnd w:id="16"/>
    </w:p>
    <w:p w14:paraId="51A582D8">
      <w:pPr>
        <w:ind w:firstLine="640" w:firstLineChars="200"/>
      </w:pPr>
      <w:bookmarkStart w:id="17" w:name="_Toc24997"/>
      <w:r>
        <w:rPr>
          <w:rFonts w:hint="eastAsia"/>
        </w:rPr>
        <w:t>盐边县机关事务服务中心内设综合股、房产股、公车股三个股室，单位编制人数7人，在编正式职工6人（其中正科级1人，副科级2人，科员3人）。</w:t>
      </w:r>
      <w:bookmarkEnd w:id="17"/>
    </w:p>
    <w:p w14:paraId="245A1901">
      <w:pPr>
        <w:ind w:firstLine="800" w:firstLineChars="250"/>
        <w:rPr>
          <w:rFonts w:cs="仿宋_GB2312"/>
          <w:szCs w:val="32"/>
        </w:rPr>
      </w:pPr>
    </w:p>
    <w:p w14:paraId="16D7AC65">
      <w:pPr>
        <w:pStyle w:val="2"/>
      </w:pPr>
    </w:p>
    <w:p w14:paraId="44CCF53C">
      <w:pPr>
        <w:pStyle w:val="3"/>
        <w:ind w:left="640" w:firstLine="640"/>
      </w:pPr>
    </w:p>
    <w:p w14:paraId="63532983">
      <w:pPr>
        <w:pStyle w:val="3"/>
        <w:ind w:left="640" w:firstLine="640"/>
      </w:pPr>
    </w:p>
    <w:p w14:paraId="06E15DB4">
      <w:pPr>
        <w:pStyle w:val="3"/>
        <w:ind w:left="640" w:firstLine="640"/>
      </w:pPr>
    </w:p>
    <w:p w14:paraId="478BC33B">
      <w:pPr>
        <w:pStyle w:val="3"/>
        <w:ind w:left="640" w:firstLine="640"/>
      </w:pPr>
    </w:p>
    <w:p w14:paraId="1DA10D40">
      <w:pPr>
        <w:pStyle w:val="3"/>
        <w:ind w:left="640" w:firstLine="640"/>
      </w:pPr>
    </w:p>
    <w:p w14:paraId="206177BD">
      <w:pPr>
        <w:pStyle w:val="3"/>
        <w:ind w:left="640" w:firstLine="640"/>
      </w:pPr>
    </w:p>
    <w:p w14:paraId="115B8580">
      <w:pPr>
        <w:pStyle w:val="3"/>
        <w:ind w:left="640" w:firstLine="640"/>
      </w:pPr>
    </w:p>
    <w:p w14:paraId="5D9C0269">
      <w:pPr>
        <w:pStyle w:val="3"/>
        <w:ind w:left="640" w:firstLine="640"/>
      </w:pPr>
    </w:p>
    <w:p w14:paraId="72E25706">
      <w:pPr>
        <w:pStyle w:val="3"/>
        <w:ind w:left="640" w:firstLine="640"/>
      </w:pPr>
    </w:p>
    <w:p w14:paraId="5B1AAF3B">
      <w:pPr>
        <w:pStyle w:val="3"/>
        <w:ind w:left="640" w:firstLine="640"/>
      </w:pPr>
    </w:p>
    <w:p w14:paraId="47AFF158">
      <w:pPr>
        <w:pStyle w:val="3"/>
        <w:ind w:left="640" w:firstLine="640"/>
      </w:pPr>
    </w:p>
    <w:p w14:paraId="028AF0C8">
      <w:pPr>
        <w:pStyle w:val="3"/>
        <w:ind w:left="640" w:firstLine="640"/>
      </w:pPr>
    </w:p>
    <w:p w14:paraId="37D55DA7">
      <w:pPr>
        <w:pStyle w:val="3"/>
        <w:ind w:left="640" w:firstLine="640"/>
      </w:pPr>
    </w:p>
    <w:p w14:paraId="345D7E97">
      <w:pPr>
        <w:pStyle w:val="3"/>
        <w:ind w:left="640" w:firstLine="640"/>
      </w:pPr>
    </w:p>
    <w:p w14:paraId="5A2D124F">
      <w:pPr>
        <w:pStyle w:val="5"/>
      </w:pPr>
      <w:bookmarkStart w:id="18" w:name="_Toc30452"/>
      <w:bookmarkStart w:id="19" w:name="_Toc13914"/>
      <w:bookmarkStart w:id="20" w:name="_Toc15396602"/>
      <w:bookmarkStart w:id="21" w:name="_Toc15377204"/>
      <w:bookmarkStart w:id="22" w:name="_Toc6209"/>
      <w:r>
        <w:rPr>
          <w:rFonts w:hint="eastAsia"/>
        </w:rPr>
        <w:t>第二部分  2024年度部门决算情况说明</w:t>
      </w:r>
      <w:bookmarkEnd w:id="18"/>
      <w:bookmarkEnd w:id="19"/>
      <w:bookmarkEnd w:id="20"/>
      <w:bookmarkEnd w:id="21"/>
      <w:bookmarkEnd w:id="22"/>
    </w:p>
    <w:p w14:paraId="27E35E52">
      <w:pPr>
        <w:pStyle w:val="6"/>
      </w:pPr>
      <w:bookmarkStart w:id="23" w:name="_Toc7444"/>
      <w:bookmarkStart w:id="24" w:name="_Toc15377205"/>
      <w:bookmarkStart w:id="25" w:name="_Toc7022"/>
      <w:bookmarkStart w:id="26" w:name="_Toc15396603"/>
      <w:r>
        <w:rPr>
          <w:rFonts w:hint="eastAsia"/>
        </w:rPr>
        <w:t>一、收入支出决算总体情况说明</w:t>
      </w:r>
      <w:bookmarkEnd w:id="23"/>
      <w:bookmarkEnd w:id="24"/>
      <w:bookmarkEnd w:id="25"/>
      <w:bookmarkEnd w:id="26"/>
    </w:p>
    <w:p w14:paraId="3553CA2F">
      <w:pPr>
        <w:ind w:firstLine="640" w:firstLineChars="200"/>
      </w:pPr>
      <w:bookmarkStart w:id="27" w:name="_Toc1454"/>
      <w:bookmarkStart w:id="28" w:name="_Toc1373"/>
      <w:r>
        <w:rPr>
          <w:rFonts w:hint="eastAsia"/>
        </w:rPr>
        <w:t>2024年度收入、支出总计均为1861.64万元。与2023年度相比，收入、支出总计各增加264.7万元，增长16.58%。主要变动原因是县机关职工食堂2024年新一轮招标增加项目支出，年中追加项目增加项目支出。</w:t>
      </w:r>
      <w:bookmarkEnd w:id="27"/>
      <w:bookmarkEnd w:id="28"/>
    </w:p>
    <w:p w14:paraId="2E3EF70B">
      <w:pPr>
        <w:ind w:firstLine="640" w:firstLineChars="200"/>
        <w:rPr>
          <w:rFonts w:cs="仿宋_GB2312"/>
          <w:szCs w:val="32"/>
        </w:rPr>
      </w:pPr>
      <w:r>
        <w:drawing>
          <wp:inline distT="0" distB="0" distL="0" distR="0">
            <wp:extent cx="4943475" cy="1695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203CA7">
      <w:pPr>
        <w:ind w:firstLine="640" w:firstLineChars="200"/>
        <w:rPr>
          <w:rFonts w:cs="仿宋_GB2312"/>
          <w:szCs w:val="32"/>
        </w:rPr>
      </w:pPr>
      <w:r>
        <w:rPr>
          <w:rFonts w:hint="eastAsia" w:cs="仿宋_GB2312"/>
          <w:szCs w:val="32"/>
        </w:rPr>
        <w:t>（图1：收入、支出决算总计变动情况图）（柱状图）</w:t>
      </w:r>
    </w:p>
    <w:p w14:paraId="1BBA228C">
      <w:pPr>
        <w:pStyle w:val="6"/>
      </w:pPr>
      <w:bookmarkStart w:id="29" w:name="_Toc15377206"/>
      <w:bookmarkStart w:id="30" w:name="_Toc15396604"/>
      <w:bookmarkStart w:id="31" w:name="_Toc8860"/>
      <w:bookmarkStart w:id="32" w:name="_Toc22056"/>
      <w:r>
        <w:rPr>
          <w:rFonts w:hint="eastAsia"/>
        </w:rPr>
        <w:t>二、收入决算情况说明</w:t>
      </w:r>
      <w:bookmarkEnd w:id="29"/>
      <w:bookmarkEnd w:id="30"/>
      <w:bookmarkEnd w:id="31"/>
      <w:bookmarkEnd w:id="32"/>
    </w:p>
    <w:p w14:paraId="7EE99FD2">
      <w:pPr>
        <w:ind w:firstLine="640" w:firstLineChars="200"/>
      </w:pPr>
      <w:bookmarkStart w:id="33" w:name="_Toc7510"/>
      <w:bookmarkStart w:id="34" w:name="_Toc15617"/>
      <w:r>
        <w:rPr>
          <w:rFonts w:hint="eastAsia"/>
        </w:rPr>
        <w:t>2024年度本年收入合计1861.64万元，其中：一般公共预算财政拨款收入1861.64万元，占100%。</w:t>
      </w:r>
      <w:bookmarkEnd w:id="33"/>
      <w:bookmarkEnd w:id="34"/>
    </w:p>
    <w:p w14:paraId="55713CBB">
      <w:pPr>
        <w:ind w:firstLine="800" w:firstLineChars="250"/>
        <w:rPr>
          <w:rFonts w:cs="仿宋_GB2312"/>
          <w:szCs w:val="32"/>
        </w:rPr>
      </w:pPr>
      <w:r>
        <w:drawing>
          <wp:inline distT="0" distB="0" distL="0" distR="0">
            <wp:extent cx="4676775" cy="1552575"/>
            <wp:effectExtent l="0" t="0" r="0" b="0"/>
            <wp:docPr id="4"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77AAB2">
      <w:pPr>
        <w:ind w:firstLine="800" w:firstLineChars="250"/>
        <w:rPr>
          <w:rFonts w:cs="仿宋_GB2312"/>
          <w:szCs w:val="32"/>
        </w:rPr>
      </w:pPr>
      <w:r>
        <w:rPr>
          <w:rFonts w:hint="eastAsia" w:cs="仿宋_GB2312"/>
          <w:szCs w:val="32"/>
        </w:rPr>
        <w:t>（图2：收入决算结构图）（饼状图）</w:t>
      </w:r>
    </w:p>
    <w:p w14:paraId="06DD1919">
      <w:pPr>
        <w:pStyle w:val="6"/>
      </w:pPr>
      <w:bookmarkStart w:id="35" w:name="_Toc15988"/>
      <w:bookmarkStart w:id="36" w:name="_Toc15377207"/>
      <w:bookmarkStart w:id="37" w:name="_Toc23099"/>
      <w:bookmarkStart w:id="38" w:name="_Toc15396605"/>
      <w:r>
        <w:rPr>
          <w:rFonts w:hint="eastAsia"/>
        </w:rPr>
        <w:t>三、支出决算情况说明</w:t>
      </w:r>
      <w:bookmarkEnd w:id="35"/>
      <w:bookmarkEnd w:id="36"/>
      <w:bookmarkEnd w:id="37"/>
      <w:bookmarkEnd w:id="38"/>
    </w:p>
    <w:p w14:paraId="1D93F7D8">
      <w:pPr>
        <w:ind w:firstLine="640" w:firstLineChars="200"/>
      </w:pPr>
      <w:bookmarkStart w:id="39" w:name="_Toc13547"/>
      <w:bookmarkStart w:id="40" w:name="_Toc17576"/>
      <w:r>
        <w:rPr>
          <w:rFonts w:hint="eastAsia"/>
        </w:rPr>
        <w:t>2024年度本年支出合计1861.64万元，其中：基本支出682.85万元，占36.68%；项目支出1178.79万元，占63.32%。</w:t>
      </w:r>
      <w:bookmarkEnd w:id="39"/>
      <w:bookmarkEnd w:id="40"/>
    </w:p>
    <w:p w14:paraId="03514C92">
      <w:pPr>
        <w:ind w:firstLine="800" w:firstLineChars="250"/>
        <w:rPr>
          <w:rFonts w:cs="仿宋_GB2312"/>
          <w:szCs w:val="32"/>
        </w:rPr>
      </w:pPr>
      <w:r>
        <w:rPr>
          <w:rFonts w:cs="仿宋_GB2312"/>
          <w:szCs w:val="32"/>
        </w:rPr>
        <w:drawing>
          <wp:inline distT="0" distB="0" distL="0" distR="0">
            <wp:extent cx="4676775" cy="1552575"/>
            <wp:effectExtent l="19050" t="0" r="9525" b="0"/>
            <wp:docPr id="5"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F6A46B">
      <w:pPr>
        <w:ind w:firstLine="800" w:firstLineChars="250"/>
        <w:rPr>
          <w:rFonts w:cs="仿宋_GB2312"/>
          <w:szCs w:val="32"/>
        </w:rPr>
      </w:pPr>
      <w:r>
        <w:rPr>
          <w:rFonts w:hint="eastAsia" w:cs="仿宋_GB2312"/>
          <w:szCs w:val="32"/>
        </w:rPr>
        <w:t>（图3：支出决算结构图）（饼状图）</w:t>
      </w:r>
    </w:p>
    <w:p w14:paraId="67F1A23C">
      <w:pPr>
        <w:pStyle w:val="6"/>
      </w:pPr>
      <w:bookmarkStart w:id="41" w:name="_Toc15377208"/>
      <w:bookmarkStart w:id="42" w:name="_Toc15396606"/>
      <w:bookmarkStart w:id="43" w:name="_Toc22193"/>
      <w:bookmarkStart w:id="44" w:name="_Toc26933"/>
      <w:r>
        <w:rPr>
          <w:rFonts w:hint="eastAsia"/>
        </w:rPr>
        <w:t>四、财政拨款收入支出决算总体情况说明</w:t>
      </w:r>
      <w:bookmarkEnd w:id="41"/>
      <w:bookmarkEnd w:id="42"/>
      <w:bookmarkEnd w:id="43"/>
      <w:bookmarkEnd w:id="44"/>
    </w:p>
    <w:p w14:paraId="209776BC">
      <w:pPr>
        <w:ind w:firstLine="640" w:firstLineChars="200"/>
      </w:pPr>
      <w:r>
        <w:rPr>
          <w:rFonts w:hint="eastAsia"/>
        </w:rPr>
        <w:t>2024年度财政拨款收入、支出总计均为1861.64万元。与2023年度相比，财政拨款收入总计、支出总计各增加264.7万元，增长16.58%。主要变动原因是县机关职工食堂2024年新一轮招标增加项目支出，年中追加项目增加项目支出。</w:t>
      </w:r>
    </w:p>
    <w:p w14:paraId="2CFB5BC4">
      <w:pPr>
        <w:pStyle w:val="3"/>
        <w:ind w:left="304" w:leftChars="95" w:firstLine="419" w:firstLineChars="131"/>
      </w:pPr>
      <w:r>
        <w:rPr>
          <w:rFonts w:hint="eastAsia" w:cs="仿宋_GB2312"/>
        </w:rPr>
        <w:drawing>
          <wp:inline distT="0" distB="0" distL="0" distR="0">
            <wp:extent cx="4724400" cy="1819275"/>
            <wp:effectExtent l="19050" t="0" r="19050" b="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D5DCB7">
      <w:pPr>
        <w:spacing w:line="600" w:lineRule="exact"/>
        <w:ind w:firstLine="640"/>
        <w:rPr>
          <w:rFonts w:cs="仿宋_GB2312"/>
          <w:szCs w:val="32"/>
        </w:rPr>
      </w:pPr>
      <w:r>
        <w:rPr>
          <w:rFonts w:hint="eastAsia" w:cs="仿宋_GB2312"/>
          <w:szCs w:val="32"/>
        </w:rPr>
        <w:t>（图4：财政拨款收、支决算总计变动情况）（柱状图）</w:t>
      </w:r>
    </w:p>
    <w:p w14:paraId="03E83495">
      <w:pPr>
        <w:pStyle w:val="6"/>
      </w:pPr>
      <w:bookmarkStart w:id="45" w:name="_Toc15396607"/>
      <w:bookmarkStart w:id="46" w:name="_Toc15377209"/>
      <w:bookmarkStart w:id="47" w:name="_Toc16649"/>
      <w:bookmarkStart w:id="48" w:name="_Toc30402"/>
      <w:r>
        <w:rPr>
          <w:rFonts w:hint="eastAsia"/>
        </w:rPr>
        <w:t>五、一般公共预算财政拨款支出决算情况说明</w:t>
      </w:r>
      <w:bookmarkEnd w:id="45"/>
      <w:bookmarkEnd w:id="46"/>
      <w:bookmarkEnd w:id="47"/>
      <w:bookmarkEnd w:id="48"/>
    </w:p>
    <w:p w14:paraId="26743FED">
      <w:pPr>
        <w:spacing w:line="600" w:lineRule="exact"/>
        <w:ind w:firstLine="643" w:firstLineChars="200"/>
        <w:outlineLvl w:val="2"/>
        <w:rPr>
          <w:rFonts w:eastAsia="楷体_GB2312" w:cs="楷体_GB2312"/>
          <w:b/>
          <w:szCs w:val="32"/>
        </w:rPr>
      </w:pPr>
      <w:bookmarkStart w:id="49" w:name="_Toc15377210"/>
      <w:r>
        <w:rPr>
          <w:rFonts w:hint="eastAsia" w:eastAsia="楷体_GB2312" w:cs="楷体_GB2312"/>
          <w:b/>
          <w:szCs w:val="32"/>
        </w:rPr>
        <w:t>（一）一般公共预算财政拨款支出决算总体情况</w:t>
      </w:r>
      <w:bookmarkEnd w:id="49"/>
    </w:p>
    <w:p w14:paraId="04979250">
      <w:pPr>
        <w:ind w:firstLine="640" w:firstLineChars="200"/>
      </w:pPr>
      <w:r>
        <w:rPr>
          <w:rFonts w:hint="eastAsia"/>
        </w:rPr>
        <w:t>2024年度一般公共预算财政拨款支出1861.64万元，占本年支出合计的100%。与2023年度相比，一般公共预算财政拨款支出增加264.7万元，增长16.58%。主要变动原因是县机关职工食堂2024年新一轮招标增加项目支出，年中追加项目增加项目支出。</w:t>
      </w:r>
    </w:p>
    <w:p w14:paraId="051ECFEE">
      <w:pPr>
        <w:pStyle w:val="3"/>
        <w:ind w:left="0" w:leftChars="0" w:firstLine="320" w:firstLineChars="100"/>
      </w:pPr>
      <w:r>
        <w:rPr>
          <w:rFonts w:hint="eastAsia"/>
        </w:rPr>
        <w:drawing>
          <wp:inline distT="0" distB="0" distL="0" distR="0">
            <wp:extent cx="4962525" cy="1790700"/>
            <wp:effectExtent l="19050" t="0" r="9525" b="0"/>
            <wp:docPr id="1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EDC867">
      <w:pPr>
        <w:spacing w:line="600" w:lineRule="exact"/>
        <w:ind w:firstLine="640"/>
        <w:rPr>
          <w:rFonts w:cs="仿宋_GB2312"/>
          <w:szCs w:val="32"/>
        </w:rPr>
      </w:pPr>
      <w:r>
        <w:rPr>
          <w:rFonts w:hint="eastAsia" w:cs="仿宋_GB2312"/>
          <w:szCs w:val="32"/>
        </w:rPr>
        <w:t>（图5：一般公共预算财政拨款支出决算变动情况）（柱状图）</w:t>
      </w:r>
    </w:p>
    <w:p w14:paraId="2E93292E">
      <w:pPr>
        <w:spacing w:line="600" w:lineRule="exact"/>
        <w:ind w:firstLine="643" w:firstLineChars="200"/>
        <w:outlineLvl w:val="2"/>
        <w:rPr>
          <w:rFonts w:eastAsia="楷体_GB2312" w:cs="楷体_GB2312"/>
          <w:b/>
          <w:szCs w:val="32"/>
        </w:rPr>
      </w:pPr>
      <w:bookmarkStart w:id="50" w:name="_Toc15377211"/>
      <w:r>
        <w:rPr>
          <w:rFonts w:hint="eastAsia" w:eastAsia="楷体_GB2312" w:cs="楷体_GB2312"/>
          <w:b/>
          <w:szCs w:val="32"/>
        </w:rPr>
        <w:t>（二）一般公共预算财政拨款支出决算结构情况</w:t>
      </w:r>
      <w:bookmarkEnd w:id="50"/>
    </w:p>
    <w:p w14:paraId="49C372CB">
      <w:pPr>
        <w:ind w:firstLine="640" w:firstLineChars="200"/>
        <w:rPr>
          <w:rFonts w:cs="仿宋_GB2312"/>
          <w:b/>
          <w:bCs/>
          <w:szCs w:val="32"/>
        </w:rPr>
      </w:pPr>
      <w:r>
        <w:rPr>
          <w:rFonts w:hint="eastAsia" w:cs="仿宋_GB2312"/>
          <w:szCs w:val="32"/>
        </w:rPr>
        <w:t>2024年度一般公共预算财政拨款支出1861.64万元，主要用于以下方面：一般公共服务支出1820.7万元，占97.8%；社会保障和就业支出15.87万元，占0.85%；卫生健康支出13.32万元，占0.72%；住房保障支出11.74万元，占0.63%。</w:t>
      </w:r>
    </w:p>
    <w:p w14:paraId="28E91972">
      <w:pPr>
        <w:spacing w:line="600" w:lineRule="exact"/>
        <w:ind w:firstLine="640"/>
        <w:rPr>
          <w:rFonts w:cs="仿宋_GB2312"/>
          <w:szCs w:val="32"/>
        </w:rPr>
      </w:pPr>
    </w:p>
    <w:p w14:paraId="42264F40">
      <w:pPr>
        <w:spacing w:line="600" w:lineRule="exact"/>
        <w:rPr>
          <w:rFonts w:cs="仿宋_GB2312"/>
          <w:szCs w:val="32"/>
        </w:rPr>
      </w:pPr>
    </w:p>
    <w:p w14:paraId="12C6A407">
      <w:pPr>
        <w:pStyle w:val="2"/>
      </w:pPr>
    </w:p>
    <w:p w14:paraId="54D5E797">
      <w:pPr>
        <w:pStyle w:val="3"/>
        <w:ind w:left="0" w:leftChars="0" w:firstLine="640"/>
      </w:pPr>
      <w:r>
        <w:rPr>
          <w:rFonts w:hint="eastAsia"/>
        </w:rPr>
        <w:drawing>
          <wp:inline distT="0" distB="0" distL="0" distR="0">
            <wp:extent cx="4829175" cy="1981200"/>
            <wp:effectExtent l="19050" t="0" r="9525"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F748E9">
      <w:pPr>
        <w:spacing w:line="600" w:lineRule="exact"/>
        <w:rPr>
          <w:rFonts w:cs="仿宋_GB2312"/>
          <w:szCs w:val="32"/>
        </w:rPr>
      </w:pPr>
      <w:r>
        <w:rPr>
          <w:rFonts w:hint="eastAsia" w:cs="仿宋_GB2312"/>
          <w:szCs w:val="32"/>
        </w:rPr>
        <w:t>（图6：一般公共预算财政拨款支出决算结构）（饼状图）</w:t>
      </w:r>
    </w:p>
    <w:p w14:paraId="2E57F1B5">
      <w:pPr>
        <w:spacing w:line="600" w:lineRule="exact"/>
        <w:ind w:firstLine="643" w:firstLineChars="200"/>
        <w:outlineLvl w:val="2"/>
        <w:rPr>
          <w:rFonts w:eastAsia="楷体_GB2312" w:cs="楷体_GB2312"/>
          <w:b/>
          <w:szCs w:val="32"/>
        </w:rPr>
      </w:pPr>
      <w:bookmarkStart w:id="51" w:name="_Toc15377212"/>
      <w:r>
        <w:rPr>
          <w:rFonts w:hint="eastAsia" w:eastAsia="楷体_GB2312" w:cs="楷体_GB2312"/>
          <w:b/>
          <w:szCs w:val="32"/>
        </w:rPr>
        <w:t>（三）一般公共预算财政拨款支出决算具体情况</w:t>
      </w:r>
      <w:bookmarkEnd w:id="51"/>
    </w:p>
    <w:p w14:paraId="14CBFDA0">
      <w:pPr>
        <w:ind w:firstLine="640" w:firstLineChars="200"/>
      </w:pPr>
      <w:bookmarkStart w:id="52" w:name="_Toc15378460"/>
      <w:bookmarkStart w:id="53" w:name="_Toc15377213"/>
      <w:bookmarkStart w:id="54" w:name="_Toc15377444"/>
      <w:r>
        <w:rPr>
          <w:rFonts w:hint="eastAsia"/>
        </w:rPr>
        <w:t>2024年度一般公共预算财政拨款支出决算数为1861.64</w:t>
      </w:r>
      <w:r>
        <w:t>万元</w:t>
      </w:r>
      <w:r>
        <w:rPr>
          <w:rFonts w:hint="eastAsia"/>
        </w:rPr>
        <w:t>，完成预算100%。其中：</w:t>
      </w:r>
      <w:bookmarkEnd w:id="52"/>
      <w:bookmarkEnd w:id="53"/>
      <w:bookmarkEnd w:id="54"/>
    </w:p>
    <w:p w14:paraId="6667B24A">
      <w:pPr>
        <w:ind w:firstLine="640" w:firstLineChars="200"/>
      </w:pPr>
      <w:r>
        <w:rPr>
          <w:rFonts w:hint="eastAsia"/>
        </w:rPr>
        <w:t>1.一般公共服务支出（类）政府办公厅（室）及相关机构事务（款）行政运行（项）</w:t>
      </w:r>
      <w:r>
        <w:rPr>
          <w:rFonts w:hint="eastAsia"/>
          <w:lang w:eastAsia="zh-CN"/>
        </w:rPr>
        <w:t>:</w:t>
      </w:r>
      <w:r>
        <w:rPr>
          <w:rFonts w:hint="eastAsia"/>
        </w:rPr>
        <w:t>出决算为641.91万元，完成预算100</w:t>
      </w:r>
      <w:r>
        <w:t>%</w:t>
      </w:r>
      <w:r>
        <w:rPr>
          <w:rFonts w:hint="eastAsia"/>
        </w:rPr>
        <w:t>，决算数与预算数持平。</w:t>
      </w:r>
    </w:p>
    <w:p w14:paraId="01C53182">
      <w:pPr>
        <w:ind w:firstLine="640" w:firstLineChars="200"/>
      </w:pPr>
      <w:r>
        <w:rPr>
          <w:rFonts w:hint="eastAsia"/>
        </w:rPr>
        <w:t>2.一般公共服务支出（类）政府办公厅（室）及相关机构事务（款）机关服务（项）</w:t>
      </w:r>
      <w:r>
        <w:rPr>
          <w:rFonts w:hint="eastAsia"/>
          <w:lang w:eastAsia="zh-CN"/>
        </w:rPr>
        <w:t>:</w:t>
      </w:r>
      <w:r>
        <w:rPr>
          <w:rFonts w:hint="eastAsia"/>
        </w:rPr>
        <w:t>出决算为343.28万元，完成预算100</w:t>
      </w:r>
      <w:r>
        <w:t>%</w:t>
      </w:r>
      <w:r>
        <w:rPr>
          <w:rFonts w:hint="eastAsia"/>
        </w:rPr>
        <w:t>，决算数与预算数持平。</w:t>
      </w:r>
    </w:p>
    <w:p w14:paraId="006028B4">
      <w:pPr>
        <w:ind w:firstLine="640" w:firstLineChars="200"/>
      </w:pPr>
      <w:r>
        <w:rPr>
          <w:rFonts w:hint="eastAsia"/>
        </w:rPr>
        <w:t>3.一般公共服务支出（类）政府办公厅（室）及相关机构事务（款）专项业务及机关事务管理（项）</w:t>
      </w:r>
      <w:r>
        <w:rPr>
          <w:rFonts w:hint="eastAsia"/>
          <w:lang w:eastAsia="zh-CN"/>
        </w:rPr>
        <w:t>:</w:t>
      </w:r>
      <w:r>
        <w:rPr>
          <w:rFonts w:hint="eastAsia"/>
        </w:rPr>
        <w:t>出决算为495.64万元，完成预算100</w:t>
      </w:r>
      <w:r>
        <w:t>%</w:t>
      </w:r>
      <w:r>
        <w:rPr>
          <w:rFonts w:hint="eastAsia"/>
        </w:rPr>
        <w:t>，决算数与预算数持平。</w:t>
      </w:r>
    </w:p>
    <w:p w14:paraId="2B052CD0">
      <w:pPr>
        <w:ind w:firstLine="640" w:firstLineChars="200"/>
      </w:pPr>
      <w:r>
        <w:rPr>
          <w:rFonts w:hint="eastAsia"/>
        </w:rPr>
        <w:t>4.一般公共服务支出（类）政府办公厅（室）及相关机构事务（款）其他政府办公厅（室）及相关机构事务支出（项）</w:t>
      </w:r>
      <w:r>
        <w:rPr>
          <w:rFonts w:hint="eastAsia"/>
          <w:lang w:eastAsia="zh-CN"/>
        </w:rPr>
        <w:t>:</w:t>
      </w:r>
      <w:r>
        <w:rPr>
          <w:rFonts w:hint="eastAsia"/>
        </w:rPr>
        <w:t>出决算为339.87万元，完成预算100</w:t>
      </w:r>
      <w:r>
        <w:t>%</w:t>
      </w:r>
      <w:r>
        <w:rPr>
          <w:rFonts w:hint="eastAsia"/>
        </w:rPr>
        <w:t>，决算数与预算数持平。</w:t>
      </w:r>
    </w:p>
    <w:p w14:paraId="260F457D">
      <w:pPr>
        <w:ind w:firstLine="640" w:firstLineChars="200"/>
      </w:pPr>
      <w:r>
        <w:rPr>
          <w:rFonts w:hint="eastAsia"/>
        </w:rPr>
        <w:t>5.社会保障和就业支出（类）行政事业单位养老支出（款）行政单位离退休（项）</w:t>
      </w:r>
      <w:r>
        <w:rPr>
          <w:rFonts w:hint="eastAsia"/>
          <w:lang w:eastAsia="zh-CN"/>
        </w:rPr>
        <w:t>:</w:t>
      </w:r>
      <w:r>
        <w:rPr>
          <w:rFonts w:hint="eastAsia"/>
        </w:rPr>
        <w:t>出决算为1.89万元，完成预算100</w:t>
      </w:r>
      <w:r>
        <w:t>%</w:t>
      </w:r>
      <w:r>
        <w:rPr>
          <w:rFonts w:hint="eastAsia"/>
        </w:rPr>
        <w:t>，决算数与预算数持平。</w:t>
      </w:r>
    </w:p>
    <w:p w14:paraId="3642A0D6">
      <w:pPr>
        <w:ind w:firstLine="640" w:firstLineChars="200"/>
      </w:pPr>
      <w:r>
        <w:rPr>
          <w:rFonts w:hint="eastAsia"/>
        </w:rPr>
        <w:t>6.社会保障和就业支出（类）行政事业单位养老支出（款）机关事业单位基本养老保险缴费支出（项）</w:t>
      </w:r>
      <w:r>
        <w:rPr>
          <w:rFonts w:hint="eastAsia"/>
          <w:lang w:eastAsia="zh-CN"/>
        </w:rPr>
        <w:t>:</w:t>
      </w:r>
      <w:r>
        <w:rPr>
          <w:rFonts w:hint="eastAsia"/>
        </w:rPr>
        <w:t>出决算为13.99万元，完成预算100</w:t>
      </w:r>
      <w:r>
        <w:t>%</w:t>
      </w:r>
      <w:r>
        <w:rPr>
          <w:rFonts w:hint="eastAsia"/>
        </w:rPr>
        <w:t>，决算数与预算数持平。</w:t>
      </w:r>
    </w:p>
    <w:p w14:paraId="467C3CC0">
      <w:pPr>
        <w:ind w:firstLine="640" w:firstLineChars="200"/>
      </w:pPr>
      <w:r>
        <w:rPr>
          <w:rFonts w:hint="eastAsia"/>
        </w:rPr>
        <w:t>7.社会保障和就业支出（类）行政事业单位养老支出（款）机关事业单位职业年金缴费支出（项）</w:t>
      </w:r>
      <w:r>
        <w:rPr>
          <w:rFonts w:hint="eastAsia"/>
          <w:lang w:eastAsia="zh-CN"/>
        </w:rPr>
        <w:t>:</w:t>
      </w:r>
      <w:r>
        <w:rPr>
          <w:rFonts w:hint="eastAsia"/>
        </w:rPr>
        <w:t>出决算为0.1万元，完成预算100</w:t>
      </w:r>
      <w:r>
        <w:t>%</w:t>
      </w:r>
      <w:r>
        <w:rPr>
          <w:rFonts w:hint="eastAsia"/>
        </w:rPr>
        <w:t>，决算数与预算数持平。</w:t>
      </w:r>
    </w:p>
    <w:p w14:paraId="17F04110">
      <w:pPr>
        <w:ind w:firstLine="640" w:firstLineChars="200"/>
      </w:pPr>
      <w:r>
        <w:rPr>
          <w:rFonts w:hint="eastAsia"/>
        </w:rPr>
        <w:t>8.卫生健康支出（类）行政事业单位医疗（款）行政单位医疗（项）</w:t>
      </w:r>
      <w:r>
        <w:rPr>
          <w:rFonts w:hint="eastAsia"/>
          <w:lang w:eastAsia="zh-CN"/>
        </w:rPr>
        <w:t>:</w:t>
      </w:r>
      <w:r>
        <w:rPr>
          <w:rFonts w:hint="eastAsia"/>
        </w:rPr>
        <w:t>出决算为8.87万元，完成预算100</w:t>
      </w:r>
      <w:r>
        <w:t>%</w:t>
      </w:r>
      <w:r>
        <w:rPr>
          <w:rFonts w:hint="eastAsia"/>
        </w:rPr>
        <w:t>，决算数与预算数持平。</w:t>
      </w:r>
    </w:p>
    <w:p w14:paraId="3DA33712">
      <w:pPr>
        <w:ind w:firstLine="640" w:firstLineChars="200"/>
      </w:pPr>
      <w:r>
        <w:rPr>
          <w:rFonts w:hint="eastAsia"/>
        </w:rPr>
        <w:t>9.卫生健康支出（类）行政事业单位医疗（款）公务员医疗补助（项）</w:t>
      </w:r>
      <w:r>
        <w:rPr>
          <w:rFonts w:hint="eastAsia"/>
          <w:lang w:eastAsia="zh-CN"/>
        </w:rPr>
        <w:t>：</w:t>
      </w:r>
      <w:r>
        <w:rPr>
          <w:rFonts w:hint="eastAsia"/>
        </w:rPr>
        <w:t>支出决算为1.04万元，完成预算100</w:t>
      </w:r>
      <w:r>
        <w:t>%</w:t>
      </w:r>
      <w:r>
        <w:rPr>
          <w:rFonts w:hint="eastAsia"/>
        </w:rPr>
        <w:t>，决算数与预算数持平。</w:t>
      </w:r>
    </w:p>
    <w:p w14:paraId="72B1EFCD">
      <w:pPr>
        <w:ind w:firstLine="640" w:firstLineChars="200"/>
      </w:pPr>
      <w:r>
        <w:rPr>
          <w:rFonts w:hint="eastAsia"/>
        </w:rPr>
        <w:t>10.卫生健康支出（类）行政事业单位医疗（款）其他行政事业单位医疗支出（项）</w:t>
      </w:r>
      <w:r>
        <w:rPr>
          <w:rFonts w:hint="eastAsia"/>
          <w:lang w:eastAsia="zh-CN"/>
        </w:rPr>
        <w:t>：</w:t>
      </w:r>
      <w:r>
        <w:rPr>
          <w:rFonts w:hint="eastAsia"/>
        </w:rPr>
        <w:t>支出决算为4.06万元，完成预算100</w:t>
      </w:r>
      <w:r>
        <w:t>%</w:t>
      </w:r>
      <w:r>
        <w:rPr>
          <w:rFonts w:hint="eastAsia"/>
        </w:rPr>
        <w:t>，决算数与预算数持平。</w:t>
      </w:r>
    </w:p>
    <w:p w14:paraId="77A5CEE3">
      <w:pPr>
        <w:ind w:firstLine="640" w:firstLineChars="200"/>
      </w:pPr>
      <w:r>
        <w:rPr>
          <w:rFonts w:hint="eastAsia"/>
        </w:rPr>
        <w:t>11.住房保障支出（类）住房改革支出（款）住房公积金（项）：支出决算为13.23万元，完成预算100%，决算数与预算数持平。</w:t>
      </w:r>
    </w:p>
    <w:p w14:paraId="1D833E34">
      <w:pPr>
        <w:pStyle w:val="6"/>
      </w:pPr>
      <w:bookmarkStart w:id="55" w:name="_Toc15377214"/>
      <w:bookmarkStart w:id="56" w:name="_Toc9077"/>
      <w:bookmarkStart w:id="57" w:name="_Toc15396608"/>
      <w:bookmarkStart w:id="58" w:name="_Toc19098"/>
      <w:r>
        <w:rPr>
          <w:rFonts w:hint="eastAsia"/>
        </w:rPr>
        <w:t>六、一般公共预算财政拨款基本支出决算情况说明</w:t>
      </w:r>
      <w:bookmarkEnd w:id="55"/>
      <w:bookmarkEnd w:id="56"/>
      <w:bookmarkEnd w:id="57"/>
      <w:bookmarkEnd w:id="58"/>
      <w:r>
        <w:rPr>
          <w:rFonts w:hint="eastAsia"/>
        </w:rPr>
        <w:tab/>
      </w:r>
    </w:p>
    <w:p w14:paraId="4FA46CE6">
      <w:pPr>
        <w:ind w:firstLine="640" w:firstLineChars="200"/>
      </w:pPr>
      <w:r>
        <w:rPr>
          <w:rFonts w:hint="eastAsia"/>
        </w:rPr>
        <w:t>2024年度一般公共预算财政拨款基本支出682.85万元，其中：</w:t>
      </w:r>
    </w:p>
    <w:p w14:paraId="2DA6A7CF">
      <w:pPr>
        <w:ind w:firstLine="640" w:firstLineChars="200"/>
      </w:pPr>
      <w:r>
        <w:rPr>
          <w:rFonts w:hint="eastAsia"/>
        </w:rPr>
        <w:t>人员经费142.69万元，主要包括：基本工资、津贴补贴、奖金、机关事业单位基本养老保险缴费、职工基本医疗保险缴费、公务员医疗补助缴费、其他社会保障缴费、住房公积金、其他工资福利支出、对个人和家庭补助、生活补助、医疗费补助等。</w:t>
      </w:r>
    </w:p>
    <w:p w14:paraId="564CCA05">
      <w:pPr>
        <w:ind w:firstLine="640" w:firstLineChars="200"/>
      </w:pPr>
      <w:r>
        <w:rPr>
          <w:rFonts w:hint="eastAsia"/>
        </w:rPr>
        <w:t>公用经费540.16万元，主要包括：办公费、水费、电费、邮电费、差旅费、维修（护）费、租赁费、会议费、培训费、公务接待费、专用材料费、劳务费、委托业务费、工会经费、福利费、公务用车运行维护费、其他交通费用、其他商品和服务支出、办公设备购置、专用设备购置、公务用车购置等。</w:t>
      </w:r>
    </w:p>
    <w:p w14:paraId="3CBA20C1">
      <w:pPr>
        <w:pStyle w:val="6"/>
      </w:pPr>
      <w:bookmarkStart w:id="59" w:name="_Toc9862"/>
      <w:bookmarkStart w:id="60" w:name="_Toc10184"/>
      <w:bookmarkStart w:id="61" w:name="_Toc15396609"/>
      <w:bookmarkStart w:id="62" w:name="_Toc15377215"/>
      <w:r>
        <w:rPr>
          <w:rFonts w:hint="eastAsia"/>
        </w:rPr>
        <w:t>七、财政拨款“三公”经费支出决算情况说明</w:t>
      </w:r>
      <w:bookmarkEnd w:id="59"/>
      <w:bookmarkEnd w:id="60"/>
      <w:bookmarkEnd w:id="61"/>
      <w:bookmarkEnd w:id="62"/>
    </w:p>
    <w:p w14:paraId="7B46D05E">
      <w:pPr>
        <w:ind w:firstLine="640" w:firstLineChars="200"/>
      </w:pPr>
      <w:bookmarkStart w:id="63" w:name="_Toc15377216"/>
      <w:r>
        <w:rPr>
          <w:rFonts w:hint="eastAsia"/>
        </w:rPr>
        <w:t>（一）“三公”经费财政拨款支出决算总体情况说明</w:t>
      </w:r>
      <w:bookmarkEnd w:id="63"/>
    </w:p>
    <w:p w14:paraId="3315CBC0">
      <w:pPr>
        <w:ind w:firstLine="640" w:firstLineChars="200"/>
      </w:pPr>
      <w:r>
        <w:rPr>
          <w:rFonts w:hint="eastAsia"/>
        </w:rPr>
        <w:t>2024年度“三公”经费财政拨款支出决算为396.87万元，完成预算100%，较上年度增加49.12万元，增长14.13%。决算数与预算数持平。</w:t>
      </w:r>
    </w:p>
    <w:p w14:paraId="162E6EF1">
      <w:pPr>
        <w:ind w:firstLine="640" w:firstLineChars="200"/>
      </w:pPr>
      <w:bookmarkStart w:id="64" w:name="_Toc15377217"/>
      <w:r>
        <w:rPr>
          <w:rFonts w:hint="eastAsia"/>
        </w:rPr>
        <w:t>（二）“三公”经费财政拨款支出决算具体情况说明</w:t>
      </w:r>
      <w:bookmarkEnd w:id="64"/>
    </w:p>
    <w:p w14:paraId="08DC1297">
      <w:pPr>
        <w:ind w:firstLine="640" w:firstLineChars="200"/>
      </w:pPr>
      <w:r>
        <w:rPr>
          <w:rFonts w:hint="eastAsia"/>
        </w:rPr>
        <w:t>2024年度“三公”经费财政拨款支出决算中，因公出国（境）费支出决算0万元，占0%；公务用车购置及运行维护费支出决算381.58万元，占96.15%；公务接待费支出决算</w:t>
      </w:r>
      <w:r>
        <w:rPr>
          <w:rFonts w:hint="eastAsia"/>
        </w:rPr>
        <w:drawing>
          <wp:anchor distT="0" distB="0" distL="114300" distR="114300" simplePos="0" relativeHeight="251659264" behindDoc="1" locked="0" layoutInCell="1" allowOverlap="1">
            <wp:simplePos x="0" y="0"/>
            <wp:positionH relativeFrom="column">
              <wp:posOffset>123825</wp:posOffset>
            </wp:positionH>
            <wp:positionV relativeFrom="paragraph">
              <wp:posOffset>504825</wp:posOffset>
            </wp:positionV>
            <wp:extent cx="4924425" cy="2019300"/>
            <wp:effectExtent l="19050" t="0" r="9525" b="0"/>
            <wp:wrapTight wrapText="bothSides">
              <wp:wrapPolygon>
                <wp:start x="-84" y="0"/>
                <wp:lineTo x="-84" y="21600"/>
                <wp:lineTo x="21642" y="21600"/>
                <wp:lineTo x="21642" y="0"/>
                <wp:lineTo x="-84" y="0"/>
              </wp:wrapPolygon>
            </wp:wrapTight>
            <wp:docPr id="1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hint="eastAsia"/>
        </w:rPr>
        <w:t>15.29万元，占3.85%。具体情况如下：</w:t>
      </w:r>
    </w:p>
    <w:p w14:paraId="74ABCC67">
      <w:pPr>
        <w:ind w:firstLine="640" w:firstLineChars="200"/>
      </w:pPr>
      <w:r>
        <w:rPr>
          <w:rFonts w:hint="eastAsia"/>
        </w:rPr>
        <w:t>（图7：“三公”经费财政拨款支出结构）（饼状图）</w:t>
      </w:r>
    </w:p>
    <w:p w14:paraId="42DD950B">
      <w:pPr>
        <w:ind w:firstLine="640" w:firstLineChars="200"/>
      </w:pPr>
      <w:r>
        <w:rPr>
          <w:rFonts w:hint="eastAsia"/>
        </w:rPr>
        <w:t>1.因公出国（境）经费支出0万元，完成预算0%。全年安排因公出国（境）团组0次，出国（境）0人。因公出国（境）支出决算比2023年度持平。主要原因是我单位当年无因公出境人员开支。</w:t>
      </w:r>
    </w:p>
    <w:p w14:paraId="2D03331A">
      <w:pPr>
        <w:ind w:firstLine="640" w:firstLineChars="200"/>
      </w:pPr>
      <w:r>
        <w:rPr>
          <w:rFonts w:hint="eastAsia"/>
        </w:rPr>
        <w:t>2.公务用车购置及运行维护费支出381.58万元，完成预算100%。公务用车购置及运行维护费支出决算比2023年度增加53.63万元，增长16.35%。主要原因是公务用车购置费用增加，公务用车运行维护费用增加。</w:t>
      </w:r>
    </w:p>
    <w:p w14:paraId="74778832">
      <w:pPr>
        <w:ind w:firstLine="640" w:firstLineChars="200"/>
      </w:pPr>
      <w:r>
        <w:rPr>
          <w:rFonts w:hint="eastAsia"/>
        </w:rPr>
        <w:t>其中：公务用车购置支出89.36万元。全年按规定更新购置公务用车4辆，其中：轿车0辆、金额0万元，越野车2辆、金额41.18万元，小型普通客车2辆、金额48.18万元，主要用于保障全县公务出行。截至2024年12月31日，单位共有公务用车68辆，其中：轿车26辆、越野车38辆、载客汽车4辆。</w:t>
      </w:r>
    </w:p>
    <w:p w14:paraId="7D7F55DF">
      <w:pPr>
        <w:ind w:firstLine="640" w:firstLineChars="200"/>
      </w:pPr>
      <w:r>
        <w:rPr>
          <w:rFonts w:hint="eastAsia"/>
        </w:rPr>
        <w:t>公务用车运行维护费支出292.21万元。主要用于全县公务用车出行所需的公务用车燃料费、维修费、过路过桥费、保险费等支出。</w:t>
      </w:r>
    </w:p>
    <w:p w14:paraId="6CA93603">
      <w:pPr>
        <w:ind w:firstLine="640" w:firstLineChars="200"/>
      </w:pPr>
      <w:r>
        <w:rPr>
          <w:rFonts w:hint="eastAsia"/>
        </w:rPr>
        <w:t>3.公务接待费支出15.29万元，完成预算100%。公务接待费支出决算比2023年度减少4.51万元，下降22.78%。主要原因是贯彻落实党中央“过紧日子”指示精神，从严从紧严控“三公”经费支出，减少公务接待工作开支。其中：</w:t>
      </w:r>
    </w:p>
    <w:p w14:paraId="56E84D4F">
      <w:pPr>
        <w:ind w:firstLine="640" w:firstLineChars="200"/>
      </w:pPr>
      <w:r>
        <w:rPr>
          <w:rFonts w:hint="eastAsia"/>
        </w:rPr>
        <w:t>国内公务接待支出15.29万元，主要用于接待人员接待来访工作人员执行公务、开展业务活动开支的交通费、住宿费、用餐费等。国内公务接待290批次，1600人次（不包括陪同人员），共计支出15.29万元，具体内容包括：外来访人员执行公务时所支出的相关费用。</w:t>
      </w:r>
    </w:p>
    <w:p w14:paraId="2D9B5544">
      <w:pPr>
        <w:ind w:firstLine="640" w:firstLineChars="200"/>
      </w:pPr>
      <w:r>
        <w:rPr>
          <w:rFonts w:hint="eastAsia"/>
        </w:rPr>
        <w:t>外事接待支出0万元，主要用于外事接待。外事接待0批次，0人次（不包括陪同人员），共计支出0万元。</w:t>
      </w:r>
    </w:p>
    <w:p w14:paraId="07CE598E">
      <w:pPr>
        <w:pStyle w:val="6"/>
      </w:pPr>
      <w:bookmarkStart w:id="65" w:name="_Toc15377218"/>
      <w:bookmarkStart w:id="66" w:name="_Toc15396610"/>
      <w:bookmarkStart w:id="67" w:name="_Toc23434"/>
      <w:bookmarkStart w:id="68" w:name="_Toc12870"/>
      <w:r>
        <w:rPr>
          <w:rFonts w:hint="eastAsia"/>
        </w:rPr>
        <w:t>八、政府性基金预算支出决算情况说明</w:t>
      </w:r>
      <w:bookmarkEnd w:id="65"/>
      <w:bookmarkEnd w:id="66"/>
      <w:bookmarkEnd w:id="67"/>
      <w:bookmarkEnd w:id="68"/>
    </w:p>
    <w:p w14:paraId="21B23625">
      <w:pPr>
        <w:ind w:firstLine="640" w:firstLineChars="200"/>
      </w:pPr>
      <w:r>
        <w:rPr>
          <w:rFonts w:hint="eastAsia"/>
        </w:rPr>
        <w:t>2024年度政府性基金预算财政拨款支出0万元，占本年支出合计的0%。与2023年度相比，政府性基金预算财政拨款支出持平。主要变动原因是无。</w:t>
      </w:r>
    </w:p>
    <w:p w14:paraId="33D15F4B">
      <w:pPr>
        <w:ind w:firstLine="640" w:firstLineChars="200"/>
      </w:pPr>
    </w:p>
    <w:p w14:paraId="15AAA88A">
      <w:pPr>
        <w:pStyle w:val="6"/>
      </w:pPr>
      <w:bookmarkStart w:id="69" w:name="_Toc15377219"/>
      <w:bookmarkStart w:id="70" w:name="_Toc21597"/>
      <w:bookmarkStart w:id="71" w:name="_Toc15396611"/>
      <w:bookmarkStart w:id="72" w:name="_Toc7697"/>
      <w:r>
        <w:rPr>
          <w:rFonts w:hint="eastAsia"/>
        </w:rPr>
        <w:t>九、国有资本经营预算支出决算情况说明</w:t>
      </w:r>
      <w:bookmarkEnd w:id="69"/>
      <w:bookmarkEnd w:id="70"/>
      <w:bookmarkEnd w:id="71"/>
      <w:bookmarkEnd w:id="72"/>
    </w:p>
    <w:p w14:paraId="3AD54275">
      <w:pPr>
        <w:ind w:firstLine="640" w:firstLineChars="200"/>
      </w:pPr>
      <w:r>
        <w:rPr>
          <w:rFonts w:hint="eastAsia"/>
        </w:rPr>
        <w:t>2024年度国有资本经营预算财政拨款支出0万元，占本年支出合计的0%。与2023年度相比，国有资本经营预算财政拨款支出持平。主要变动原因是无。</w:t>
      </w:r>
    </w:p>
    <w:p w14:paraId="710F5C49">
      <w:pPr>
        <w:pStyle w:val="6"/>
      </w:pPr>
      <w:bookmarkStart w:id="73" w:name="_Toc20870"/>
      <w:bookmarkStart w:id="74" w:name="_Toc15882"/>
      <w:bookmarkStart w:id="75" w:name="_Toc15396612"/>
      <w:bookmarkStart w:id="76" w:name="_Toc15377221"/>
      <w:r>
        <w:rPr>
          <w:rFonts w:hint="eastAsia"/>
        </w:rPr>
        <w:t>十、其他重要事项的情况说明</w:t>
      </w:r>
      <w:bookmarkEnd w:id="73"/>
      <w:bookmarkEnd w:id="74"/>
      <w:bookmarkEnd w:id="75"/>
      <w:bookmarkEnd w:id="76"/>
    </w:p>
    <w:p w14:paraId="6B1B4079">
      <w:pPr>
        <w:ind w:firstLine="640" w:firstLineChars="200"/>
      </w:pPr>
      <w:bookmarkStart w:id="77" w:name="_Toc15377222"/>
      <w:r>
        <w:rPr>
          <w:rFonts w:hint="eastAsia"/>
        </w:rPr>
        <w:t>（一）机关运行经费支出情况</w:t>
      </w:r>
      <w:bookmarkEnd w:id="77"/>
    </w:p>
    <w:p w14:paraId="3B0A0928">
      <w:pPr>
        <w:ind w:firstLine="640" w:firstLineChars="200"/>
      </w:pPr>
      <w:r>
        <w:rPr>
          <w:rFonts w:hint="eastAsia"/>
        </w:rPr>
        <w:t>2024年度，盐边县机关事务服务中心机关运行经费支出540.16万元，比2023年度增加238.05万元，增长78.8%。主要原因是年中追加劳务派遣人员（司勤人员）经费和公务用车运行维护费。</w:t>
      </w:r>
    </w:p>
    <w:p w14:paraId="203729A2">
      <w:pPr>
        <w:ind w:firstLine="640" w:firstLineChars="200"/>
      </w:pPr>
      <w:bookmarkStart w:id="78" w:name="_Toc15377223"/>
      <w:r>
        <w:rPr>
          <w:rFonts w:hint="eastAsia"/>
        </w:rPr>
        <w:t>（二）政府采购支出情况</w:t>
      </w:r>
      <w:bookmarkEnd w:id="78"/>
    </w:p>
    <w:p w14:paraId="3FF83A2A">
      <w:pPr>
        <w:ind w:firstLine="640" w:firstLineChars="200"/>
      </w:pPr>
      <w:r>
        <w:rPr>
          <w:rFonts w:hint="eastAsia"/>
        </w:rPr>
        <w:t>2024年度，盐边县机关事务服务中心政府采购支出总额607.02万元，其中：政府采购货物支出97.22万元、政府采购工程支出0万元、政府采购服务支出509.8万元。主要用于</w:t>
      </w:r>
      <w:r>
        <w:t>公务用车购置</w:t>
      </w:r>
      <w:r>
        <w:rPr>
          <w:rFonts w:hint="eastAsia"/>
        </w:rPr>
        <w:t>、</w:t>
      </w:r>
      <w:r>
        <w:t>电梯更换</w:t>
      </w:r>
      <w:r>
        <w:rPr>
          <w:rFonts w:hint="eastAsia"/>
        </w:rPr>
        <w:t>、</w:t>
      </w:r>
      <w:r>
        <w:t>办公设备购置及县机关职工食堂餐饮服务</w:t>
      </w:r>
      <w:r>
        <w:rPr>
          <w:rFonts w:hint="eastAsia"/>
        </w:rPr>
        <w:t>。授予中小企业合同金额484.77万元，占政府采购支出总额的79.86%，其中：授予小微企业合同金额443.61万元，占政府采购支出总额的73.08%。</w:t>
      </w:r>
    </w:p>
    <w:p w14:paraId="7F30DE78">
      <w:pPr>
        <w:ind w:firstLine="640" w:firstLineChars="200"/>
      </w:pPr>
      <w:bookmarkStart w:id="79" w:name="_Toc15377224"/>
      <w:r>
        <w:rPr>
          <w:rFonts w:hint="eastAsia"/>
        </w:rPr>
        <w:t>（三）国有资产占有使用情况</w:t>
      </w:r>
      <w:bookmarkEnd w:id="79"/>
    </w:p>
    <w:p w14:paraId="3643350D">
      <w:pPr>
        <w:ind w:firstLine="640" w:firstLineChars="200"/>
      </w:pPr>
      <w:r>
        <w:rPr>
          <w:rFonts w:hint="eastAsia"/>
        </w:rPr>
        <w:t>截至2024年12月31日，盐边县机关事务服务中心共有车辆68辆，其中：主要领导干部用车0辆、机要通信用车0辆、应急保障用车68辆、其他用车0辆，其他用车主要是用于无。单价</w:t>
      </w:r>
      <w:r>
        <w:t>50</w:t>
      </w:r>
      <w:r>
        <w:rPr>
          <w:rFonts w:hint="eastAsia"/>
        </w:rPr>
        <w:t>万元以上通用设备0台（套），单价</w:t>
      </w:r>
      <w:r>
        <w:t>100</w:t>
      </w:r>
      <w:r>
        <w:rPr>
          <w:rFonts w:hint="eastAsia"/>
        </w:rPr>
        <w:t>万元以上专用设备（不含车辆）0台（套）。</w:t>
      </w:r>
    </w:p>
    <w:p w14:paraId="24B82396">
      <w:pPr>
        <w:ind w:firstLine="640" w:firstLineChars="200"/>
      </w:pPr>
      <w:r>
        <w:rPr>
          <w:rFonts w:hint="eastAsia"/>
        </w:rPr>
        <w:t>（四）预算绩效管理情况</w:t>
      </w:r>
    </w:p>
    <w:p w14:paraId="02A5C251">
      <w:pPr>
        <w:ind w:firstLine="640" w:firstLineChars="200"/>
      </w:pPr>
      <w:r>
        <w:rPr>
          <w:rFonts w:hint="eastAsia"/>
        </w:rPr>
        <w:t>根据预算绩效管理要求，盐边县机关事务服务中心在2024年度预算编制阶段，组织对盐边县机关食堂运行经费、县政府大楼及武装部周转房运行经费、综治中心办公大楼物业管理、公务用车运行维护等22个项目开展了预算事前绩效评估，对22个项目编制了绩效目标，预算执行过程中，选取22个项目开展绩效监控。</w:t>
      </w:r>
    </w:p>
    <w:p w14:paraId="38D87150">
      <w:pPr>
        <w:ind w:firstLine="640" w:firstLineChars="200"/>
      </w:pPr>
      <w:r>
        <w:rPr>
          <w:rFonts w:hint="eastAsia"/>
        </w:rPr>
        <w:t>组织对2024年度一般公共预算、政府性基金预算、国有资本经营预算、社会保险基金预算以及资本资产、债券资金等全面开展绩效自评，形成盐边县机关事务服务中心2024年部门整体（含部门预算项目）绩效自评报告，其中，盐边县机关事务服务中心部门整体（含部门预算项目）绩效自评得分为98分，绩效自评综述为优秀等级，本年度部门整体预算执行规范高效，各项机关事务保障工作有序开展；盐边县机关食堂运行专项预算项目绩效自评得分为95分，绩效自评综述该项目严格按照预算执行，食堂餐饮服务保障有力，有效满足了机关干部职工的用餐需求；县政府大楼及武装部周转房运行专项预算项目绩效自评得分为96分，绩效自评综述项目资金使用规范，大楼及周转房的设施维护、水电保障、安全管理等工作落实到位；综治中心办公大楼物业管理专项预算项目绩效自评得分为94分，绩效自评综述物业管理服务专业规范，在大楼安保、清洁、设备运维等方面表现突出，保障了综治中心办公秩序的高效有序；公务用车运行维护专项预算项目绩效自评得分为97分，绩效自评综述公务用车调度合理、维护及时，车辆使用效率高，安全运行无事故，有效保障了公务出行需求。</w:t>
      </w:r>
    </w:p>
    <w:p w14:paraId="6AB9D475">
      <w:pPr>
        <w:spacing w:line="600" w:lineRule="exact"/>
        <w:ind w:firstLine="640"/>
        <w:rPr>
          <w:rFonts w:cs="仿宋_GB2312"/>
          <w:szCs w:val="32"/>
        </w:rPr>
      </w:pPr>
    </w:p>
    <w:p w14:paraId="471BF2D3">
      <w:pPr>
        <w:pStyle w:val="2"/>
      </w:pPr>
    </w:p>
    <w:p w14:paraId="0B23D310">
      <w:pPr>
        <w:pStyle w:val="3"/>
        <w:ind w:left="640" w:firstLine="640"/>
      </w:pPr>
    </w:p>
    <w:p w14:paraId="18E07D07">
      <w:pPr>
        <w:pStyle w:val="3"/>
        <w:ind w:left="640" w:firstLine="640"/>
      </w:pPr>
    </w:p>
    <w:p w14:paraId="1614434F">
      <w:pPr>
        <w:pStyle w:val="3"/>
        <w:ind w:left="640" w:firstLine="640"/>
      </w:pPr>
    </w:p>
    <w:p w14:paraId="4876E0F5">
      <w:pPr>
        <w:pStyle w:val="3"/>
        <w:ind w:left="640" w:firstLine="640"/>
      </w:pPr>
    </w:p>
    <w:p w14:paraId="25677F63">
      <w:pPr>
        <w:pStyle w:val="3"/>
        <w:ind w:left="640" w:firstLine="640"/>
      </w:pPr>
    </w:p>
    <w:p w14:paraId="229A7C86">
      <w:pPr>
        <w:pStyle w:val="3"/>
        <w:ind w:left="640" w:firstLine="640"/>
      </w:pPr>
    </w:p>
    <w:p w14:paraId="7A72A870">
      <w:pPr>
        <w:pStyle w:val="3"/>
        <w:ind w:left="640" w:firstLine="640"/>
      </w:pPr>
    </w:p>
    <w:p w14:paraId="4F375958">
      <w:pPr>
        <w:pStyle w:val="3"/>
        <w:ind w:left="640" w:firstLine="640"/>
      </w:pPr>
    </w:p>
    <w:p w14:paraId="71D79D91">
      <w:pPr>
        <w:pStyle w:val="3"/>
        <w:ind w:left="640" w:firstLine="640"/>
      </w:pPr>
    </w:p>
    <w:p w14:paraId="5A938B9A">
      <w:r>
        <w:br w:type="page"/>
      </w:r>
    </w:p>
    <w:p w14:paraId="79C9AC8F">
      <w:pPr>
        <w:pStyle w:val="5"/>
      </w:pPr>
      <w:bookmarkStart w:id="80" w:name="_Toc25764"/>
      <w:bookmarkStart w:id="81" w:name="_Toc15377225"/>
      <w:bookmarkStart w:id="82" w:name="_Toc21873"/>
      <w:bookmarkStart w:id="83" w:name="_Toc12716"/>
      <w:bookmarkStart w:id="84" w:name="_Toc15396613"/>
      <w:r>
        <w:rPr>
          <w:rFonts w:hint="eastAsia"/>
        </w:rPr>
        <w:t>第三部分名词解释</w:t>
      </w:r>
      <w:bookmarkEnd w:id="80"/>
      <w:bookmarkEnd w:id="81"/>
      <w:bookmarkEnd w:id="82"/>
      <w:bookmarkEnd w:id="83"/>
      <w:bookmarkEnd w:id="84"/>
    </w:p>
    <w:p w14:paraId="75BD275C">
      <w:pPr>
        <w:ind w:firstLine="640" w:firstLineChars="200"/>
      </w:pPr>
      <w:r>
        <w:rPr>
          <w:rFonts w:hint="eastAsia"/>
        </w:rPr>
        <w:t>1.财政拨款收入：指单位从同级财政部门取得的财政预算资金。</w:t>
      </w:r>
    </w:p>
    <w:p w14:paraId="5F4C2BCD">
      <w:pPr>
        <w:ind w:firstLine="640" w:firstLineChars="200"/>
      </w:pPr>
      <w:bookmarkStart w:id="85" w:name="_Toc15186"/>
      <w:bookmarkStart w:id="86" w:name="_Toc9835"/>
      <w:r>
        <w:rPr>
          <w:rFonts w:hint="eastAsia"/>
        </w:rPr>
        <w:t>2.</w:t>
      </w:r>
      <w:r>
        <w:rPr>
          <w:rFonts w:hint="eastAsia"/>
          <w:lang w:eastAsia="zh-CN"/>
        </w:rPr>
        <w:t>一般公共预算财政拨款</w:t>
      </w:r>
      <w:r>
        <w:t>收入：指县级财政当年拨付的资金。</w:t>
      </w:r>
      <w:bookmarkEnd w:id="85"/>
      <w:bookmarkEnd w:id="86"/>
    </w:p>
    <w:p w14:paraId="23822699">
      <w:pPr>
        <w:ind w:firstLine="640" w:firstLineChars="200"/>
      </w:pPr>
      <w:bookmarkStart w:id="87" w:name="_Toc5471"/>
      <w:bookmarkStart w:id="88" w:name="_Toc28796"/>
      <w:r>
        <w:rPr>
          <w:rFonts w:hint="eastAsia"/>
        </w:rPr>
        <w:t>3.一般公共服务支出：反映政府提供</w:t>
      </w:r>
      <w:r>
        <w:rPr>
          <w:rFonts w:hint="eastAsia"/>
          <w:lang w:eastAsia="zh-CN"/>
        </w:rPr>
        <w:t>一般公共服务支出</w:t>
      </w:r>
      <w:r>
        <w:rPr>
          <w:rFonts w:hint="eastAsia"/>
        </w:rPr>
        <w:t>。</w:t>
      </w:r>
      <w:bookmarkEnd w:id="87"/>
      <w:bookmarkEnd w:id="88"/>
    </w:p>
    <w:p w14:paraId="73407217">
      <w:pPr>
        <w:ind w:firstLine="640" w:firstLineChars="200"/>
      </w:pPr>
      <w:bookmarkStart w:id="89" w:name="_Toc16194"/>
      <w:bookmarkStart w:id="90" w:name="_Toc8637"/>
      <w:bookmarkStart w:id="91" w:name="_Toc9309"/>
      <w:r>
        <w:rPr>
          <w:rFonts w:hint="eastAsia"/>
        </w:rPr>
        <w:t>4.一般公共服务支出201（类）政府办公厅（室）及相关机构事务03（款）行政运行01（项）：反映行政单位（包括实行公务员管理的事业单位）的基本支出。</w:t>
      </w:r>
      <w:bookmarkEnd w:id="89"/>
      <w:bookmarkEnd w:id="90"/>
      <w:bookmarkEnd w:id="91"/>
    </w:p>
    <w:p w14:paraId="437855CB">
      <w:pPr>
        <w:ind w:firstLine="640" w:firstLineChars="200"/>
      </w:pPr>
      <w:r>
        <w:rPr>
          <w:rFonts w:hint="eastAsia"/>
        </w:rPr>
        <w:t>5.一般公共服务支出201（类）政府办公厅（室）及相关机构事务03（款）机关服务03（项）：反映为行政单位（包括实行公务员管理的事业单位）提供后勤服务的各类后勤服务中心、医疗室等附属事业单位的支出。其他事业单位的支出，凡单独设置了项级科目的，在单独设置的项级科目中反映。未单设项级科目的，在“其他”项级科目中反映。</w:t>
      </w:r>
    </w:p>
    <w:p w14:paraId="7DCEC3D3">
      <w:pPr>
        <w:ind w:firstLine="640" w:firstLineChars="200"/>
      </w:pPr>
      <w:bookmarkStart w:id="92" w:name="_Toc19534"/>
      <w:bookmarkStart w:id="93" w:name="_Toc23654"/>
      <w:bookmarkStart w:id="94" w:name="_Toc29773"/>
      <w:r>
        <w:rPr>
          <w:rFonts w:hint="eastAsia"/>
        </w:rPr>
        <w:t>6.一般公共服务支出201（类）政府办公厅（室）及相关机构事务03（款）专项业务及机关事务管理05（项）：反映各级政府举行各类重大活动、召开重要会议（如国务院一类会议、国庆招待会、全国劳模大会）的支出，政府机关房地产管理、公务用车管理等方面的支出。</w:t>
      </w:r>
      <w:bookmarkEnd w:id="92"/>
      <w:bookmarkEnd w:id="93"/>
      <w:bookmarkEnd w:id="94"/>
    </w:p>
    <w:p w14:paraId="60C40D5F">
      <w:pPr>
        <w:ind w:firstLine="640" w:firstLineChars="200"/>
      </w:pPr>
      <w:r>
        <w:rPr>
          <w:rFonts w:hint="eastAsia"/>
        </w:rPr>
        <w:t>7.一般公共服务支出201（类）政府办公厅（室）及相关机构事务03（款）其他政府办公厅（室）及相关机构事务支出99（项）：反映除上述项目以外的其他政府办公厅（室）及相关机构事务支出。</w:t>
      </w:r>
    </w:p>
    <w:p w14:paraId="7874E5F3">
      <w:pPr>
        <w:ind w:firstLine="640" w:firstLineChars="200"/>
      </w:pPr>
      <w:r>
        <w:rPr>
          <w:rFonts w:hint="eastAsia"/>
        </w:rPr>
        <w:t>8.社会保障和就业支出208（类）行政事业单位养老支出05（款）行政单位离退休01（项）：反映行政单位（包括实行公务员管理的事业单位）开支的离退休经费。</w:t>
      </w:r>
    </w:p>
    <w:p w14:paraId="4ED4A5AB">
      <w:pPr>
        <w:ind w:firstLine="640" w:firstLineChars="200"/>
      </w:pPr>
      <w:r>
        <w:rPr>
          <w:rFonts w:hint="eastAsia"/>
        </w:rPr>
        <w:t>9.社会保障和就业支出208（类）行政事业单位养老支出05（款）机关事业单位基本养老保险缴费支出05（项）：反映机关事业单位实施养老保险制度由单位缴纳的基本养老保险费支出。</w:t>
      </w:r>
    </w:p>
    <w:p w14:paraId="740D1097">
      <w:pPr>
        <w:ind w:firstLine="640" w:firstLineChars="200"/>
      </w:pPr>
      <w:r>
        <w:rPr>
          <w:rFonts w:hint="eastAsia"/>
        </w:rPr>
        <w:t>10.社会保障和就业支出208（类）行政事业单位养老支出05（款）机关事业单位职业年金缴费支出06（项）：反映机关事业单位实施养老保险制度由单位实际缴纳的职业年金支出。</w:t>
      </w:r>
    </w:p>
    <w:p w14:paraId="2AC3FB68">
      <w:pPr>
        <w:ind w:firstLine="640" w:firstLineChars="200"/>
      </w:pPr>
      <w:r>
        <w:rPr>
          <w:rFonts w:hint="eastAsia"/>
        </w:rPr>
        <w:t>11. 卫生健康支出210</w:t>
      </w:r>
      <w:r>
        <w:t>（类）行政事业单位医疗</w:t>
      </w:r>
      <w:r>
        <w:rPr>
          <w:rFonts w:hint="eastAsia"/>
        </w:rPr>
        <w:t>11</w:t>
      </w:r>
      <w:r>
        <w:t>（款）行政单位医疗</w:t>
      </w:r>
      <w:r>
        <w:rPr>
          <w:rFonts w:hint="eastAsia"/>
        </w:rPr>
        <w:t>01</w:t>
      </w:r>
      <w:r>
        <w:t>（项）：</w:t>
      </w:r>
      <w:r>
        <w:rPr>
          <w:rFonts w:hint="eastAsia"/>
        </w:rPr>
        <w:t>反映</w:t>
      </w:r>
      <w:r>
        <w:t>财政部门安排的行政单位</w:t>
      </w:r>
      <w:r>
        <w:rPr>
          <w:rFonts w:hint="eastAsia"/>
        </w:rPr>
        <w:t>（包括实行公务员管理的事业单位，下同）基本医疗保险缴费经费，未参加医疗保险的行政单位的公费医疗经费，按国家规定享受离休人员、红军老战士待遇人员的医疗经费。</w:t>
      </w:r>
    </w:p>
    <w:p w14:paraId="06262234">
      <w:pPr>
        <w:ind w:firstLine="640" w:firstLineChars="200"/>
      </w:pPr>
      <w:r>
        <w:rPr>
          <w:rFonts w:hint="eastAsia"/>
        </w:rPr>
        <w:t>12. 卫生健康支出210</w:t>
      </w:r>
      <w:r>
        <w:t>（类）行政事业单位医疗</w:t>
      </w:r>
      <w:r>
        <w:rPr>
          <w:rFonts w:hint="eastAsia"/>
        </w:rPr>
        <w:t>11</w:t>
      </w:r>
      <w:r>
        <w:t>（款）</w:t>
      </w:r>
      <w:r>
        <w:rPr>
          <w:rFonts w:hint="eastAsia"/>
        </w:rPr>
        <w:t>公务员</w:t>
      </w:r>
      <w:r>
        <w:t>医疗补助</w:t>
      </w:r>
      <w:r>
        <w:rPr>
          <w:rFonts w:hint="eastAsia"/>
        </w:rPr>
        <w:t>03</w:t>
      </w:r>
      <w:r>
        <w:t>（项）：</w:t>
      </w:r>
      <w:r>
        <w:rPr>
          <w:rFonts w:hint="eastAsia"/>
        </w:rPr>
        <w:t>反映</w:t>
      </w:r>
      <w:r>
        <w:t>财政部门安排的公务员医疗补助经费。</w:t>
      </w:r>
    </w:p>
    <w:p w14:paraId="219D3E7C">
      <w:pPr>
        <w:ind w:firstLine="640" w:firstLineChars="200"/>
      </w:pPr>
      <w:r>
        <w:rPr>
          <w:rFonts w:hint="eastAsia"/>
        </w:rPr>
        <w:t>13. 卫生健康支出210</w:t>
      </w:r>
      <w:r>
        <w:t>（类）行政事业单位医疗</w:t>
      </w:r>
      <w:r>
        <w:rPr>
          <w:rFonts w:hint="eastAsia"/>
        </w:rPr>
        <w:t>11</w:t>
      </w:r>
      <w:r>
        <w:t>（款）</w:t>
      </w:r>
      <w:r>
        <w:rPr>
          <w:rFonts w:hint="eastAsia"/>
        </w:rPr>
        <w:t>其他行政事业单位医疗支出99</w:t>
      </w:r>
      <w:r>
        <w:t>（项）：</w:t>
      </w:r>
      <w:r>
        <w:rPr>
          <w:rFonts w:hint="eastAsia"/>
        </w:rPr>
        <w:t>反映除</w:t>
      </w:r>
      <w:r>
        <w:t>上述</w:t>
      </w:r>
      <w:r>
        <w:rPr>
          <w:rFonts w:hint="eastAsia"/>
        </w:rPr>
        <w:t>项目以外的其他用于</w:t>
      </w:r>
      <w:r>
        <w:rPr>
          <w:rFonts w:hint="eastAsia"/>
          <w:lang w:eastAsia="zh-CN"/>
        </w:rPr>
        <w:t>行政</w:t>
      </w:r>
      <w:r>
        <w:rPr>
          <w:rFonts w:hint="eastAsia"/>
        </w:rPr>
        <w:t>事业单位医疗方面的支出</w:t>
      </w:r>
      <w:r>
        <w:t>。</w:t>
      </w:r>
    </w:p>
    <w:p w14:paraId="4CCE5B5C">
      <w:pPr>
        <w:ind w:firstLine="640" w:firstLineChars="200"/>
      </w:pPr>
      <w:bookmarkStart w:id="95" w:name="_Toc2955"/>
      <w:bookmarkStart w:id="96" w:name="_Toc26235"/>
      <w:bookmarkStart w:id="97" w:name="_Toc4080"/>
      <w:r>
        <w:rPr>
          <w:rFonts w:hint="eastAsia"/>
        </w:rPr>
        <w:t>14. 住房保障支出221（类）住房改革支出02（款）住房公积金01（项）：反映行政事业单位按人力资源和社会保障部、财政部规定的基本工资和津贴补贴以及规定比例为职工缴纳的住房公积金支出。</w:t>
      </w:r>
      <w:bookmarkEnd w:id="95"/>
      <w:bookmarkEnd w:id="96"/>
      <w:bookmarkEnd w:id="97"/>
    </w:p>
    <w:p w14:paraId="73C0F75B">
      <w:pPr>
        <w:ind w:firstLine="640" w:firstLineChars="200"/>
      </w:pPr>
      <w:r>
        <w:rPr>
          <w:rFonts w:hint="eastAsia"/>
        </w:rPr>
        <w:t>15.基本支出：指为保障机构正常运转、完成日常工作任务而发生的人员支出和公用支出。</w:t>
      </w:r>
    </w:p>
    <w:p w14:paraId="79EB9DF2">
      <w:pPr>
        <w:ind w:firstLine="640" w:firstLineChars="200"/>
      </w:pPr>
      <w:r>
        <w:rPr>
          <w:rFonts w:hint="eastAsia"/>
        </w:rPr>
        <w:t>16.项目支出：指在基本支出之外为完成特定行政任务和事业发展目标所发生的支出。</w:t>
      </w:r>
    </w:p>
    <w:p w14:paraId="1664AFCB">
      <w:pPr>
        <w:ind w:firstLine="640" w:firstLineChars="200"/>
      </w:pPr>
      <w:r>
        <w:rPr>
          <w:rFonts w:hint="eastAsia"/>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桥过路费、保险费、安全奖励费等支出；公务接待费反映单位按规定开支的各类公务接待（含外宾接待）费用。</w:t>
      </w:r>
    </w:p>
    <w:p w14:paraId="27E22585">
      <w:pPr>
        <w:ind w:firstLine="640" w:firstLineChars="200"/>
      </w:pPr>
      <w:r>
        <w:rPr>
          <w:rFonts w:hint="eastAsia"/>
        </w:rPr>
        <w:t>18.机关运行经费：为保障行政单位（含参照公务员法管理的事业单位）运行用于购买货物和服务的各项资金，包括办公及邮电费、差旅费、会议费、福利费、日常维修费、专用材料及一般设备购置费、水电费、公务用车运行维护费以及其他费用。</w:t>
      </w:r>
    </w:p>
    <w:p w14:paraId="75568307">
      <w:pPr>
        <w:pStyle w:val="5"/>
      </w:pPr>
      <w:bookmarkStart w:id="98" w:name="_Toc15377226"/>
      <w:r>
        <w:rPr>
          <w:rFonts w:hint="eastAsia" w:eastAsia="仿宋_GB2312" w:cs="仿宋_GB2312"/>
          <w:szCs w:val="32"/>
        </w:rPr>
        <w:br w:type="page"/>
      </w:r>
      <w:bookmarkStart w:id="99" w:name="_Toc15396614"/>
      <w:bookmarkStart w:id="100" w:name="_Toc26033"/>
      <w:r>
        <w:rPr>
          <w:rFonts w:hint="eastAsia"/>
        </w:rPr>
        <w:t>第四部分附件</w:t>
      </w:r>
      <w:bookmarkEnd w:id="99"/>
      <w:bookmarkEnd w:id="100"/>
    </w:p>
    <w:p w14:paraId="0BF3F11E">
      <w:pPr>
        <w:widowControl/>
        <w:spacing w:line="578" w:lineRule="exact"/>
        <w:contextualSpacing/>
        <w:rPr>
          <w:rFonts w:eastAsia="黑体" w:cs="黑体"/>
          <w:szCs w:val="32"/>
        </w:rPr>
      </w:pPr>
    </w:p>
    <w:p w14:paraId="04E8E502">
      <w:pPr>
        <w:widowControl/>
        <w:spacing w:line="578" w:lineRule="exact"/>
        <w:ind w:firstLine="320" w:firstLineChars="100"/>
        <w:contextualSpacing/>
      </w:pPr>
      <w:r>
        <w:rPr>
          <w:rFonts w:hint="eastAsia" w:eastAsia="黑体" w:cs="黑体"/>
          <w:szCs w:val="32"/>
        </w:rPr>
        <w:t>附件：部门预算项目支出绩效评价表（2024年度）</w:t>
      </w:r>
    </w:p>
    <w:p w14:paraId="5C6F2ED6">
      <w:pPr>
        <w:pStyle w:val="3"/>
        <w:spacing w:line="560" w:lineRule="exact"/>
        <w:ind w:leftChars="0" w:firstLine="320" w:firstLineChars="100"/>
        <w:rPr>
          <w:rFonts w:ascii="Times New Roman" w:cs="仿宋_GB2312"/>
        </w:rPr>
      </w:pPr>
      <w:r>
        <w:rPr>
          <w:rFonts w:hint="eastAsia" w:ascii="Times New Roman" w:cs="仿宋_GB2312"/>
        </w:rPr>
        <w:t>详见：附件盐边县机关事务服务中心2024年度预算项目支出绩效自评表</w:t>
      </w:r>
      <w:bookmarkStart w:id="101" w:name="_Toc15396618"/>
      <w:r>
        <w:rPr>
          <w:rFonts w:hint="eastAsia" w:cs="仿宋_GB2312"/>
          <w:kern w:val="0"/>
        </w:rPr>
        <w:br w:type="page"/>
      </w:r>
    </w:p>
    <w:p w14:paraId="6FF9C57B">
      <w:pPr>
        <w:pStyle w:val="5"/>
      </w:pPr>
      <w:bookmarkStart w:id="102" w:name="_Toc10925"/>
      <w:r>
        <w:rPr>
          <w:rFonts w:hint="eastAsia"/>
        </w:rPr>
        <w:t>第五部分附表</w:t>
      </w:r>
      <w:bookmarkEnd w:id="98"/>
      <w:bookmarkEnd w:id="101"/>
      <w:bookmarkEnd w:id="102"/>
      <w:bookmarkStart w:id="103" w:name="_Toc15396619"/>
    </w:p>
    <w:p w14:paraId="1AF6B3A5">
      <w:pPr>
        <w:pStyle w:val="14"/>
        <w:adjustRightInd w:val="0"/>
        <w:snapToGrid w:val="0"/>
        <w:spacing w:line="560" w:lineRule="exact"/>
        <w:ind w:left="640"/>
        <w:jc w:val="left"/>
        <w:rPr>
          <w:rFonts w:cs="仿宋_GB2312"/>
          <w:szCs w:val="32"/>
        </w:rPr>
      </w:pPr>
    </w:p>
    <w:p w14:paraId="2C5EB85D">
      <w:pPr>
        <w:pStyle w:val="14"/>
        <w:adjustRightInd w:val="0"/>
        <w:snapToGrid w:val="0"/>
        <w:spacing w:line="560" w:lineRule="exact"/>
        <w:ind w:left="640"/>
        <w:jc w:val="left"/>
        <w:rPr>
          <w:rFonts w:cs="仿宋_GB2312"/>
          <w:szCs w:val="32"/>
        </w:rPr>
      </w:pPr>
      <w:r>
        <w:rPr>
          <w:rFonts w:hint="eastAsia" w:cs="仿宋_GB2312"/>
          <w:szCs w:val="32"/>
        </w:rPr>
        <w:t>一、收入支出决算总表</w:t>
      </w:r>
      <w:bookmarkEnd w:id="103"/>
    </w:p>
    <w:p w14:paraId="04FB2602">
      <w:pPr>
        <w:pStyle w:val="14"/>
        <w:adjustRightInd w:val="0"/>
        <w:snapToGrid w:val="0"/>
        <w:spacing w:line="560" w:lineRule="exact"/>
        <w:ind w:left="640"/>
        <w:jc w:val="left"/>
        <w:rPr>
          <w:rFonts w:cs="仿宋_GB2312"/>
          <w:szCs w:val="32"/>
        </w:rPr>
      </w:pPr>
      <w:bookmarkStart w:id="104" w:name="_Toc15396620"/>
      <w:r>
        <w:rPr>
          <w:rFonts w:hint="eastAsia" w:cs="仿宋_GB2312"/>
          <w:szCs w:val="32"/>
        </w:rPr>
        <w:t>二、收入决算表</w:t>
      </w:r>
      <w:bookmarkEnd w:id="104"/>
    </w:p>
    <w:p w14:paraId="2935D517">
      <w:pPr>
        <w:pStyle w:val="14"/>
        <w:adjustRightInd w:val="0"/>
        <w:snapToGrid w:val="0"/>
        <w:spacing w:line="560" w:lineRule="exact"/>
        <w:ind w:left="640"/>
        <w:jc w:val="left"/>
        <w:rPr>
          <w:rFonts w:cs="仿宋_GB2312"/>
          <w:szCs w:val="32"/>
        </w:rPr>
      </w:pPr>
      <w:bookmarkStart w:id="105" w:name="_Toc15396621"/>
      <w:r>
        <w:rPr>
          <w:rFonts w:hint="eastAsia" w:cs="仿宋_GB2312"/>
          <w:szCs w:val="32"/>
        </w:rPr>
        <w:t>三、支出决算表</w:t>
      </w:r>
      <w:bookmarkEnd w:id="105"/>
    </w:p>
    <w:p w14:paraId="3B335B38">
      <w:pPr>
        <w:pStyle w:val="14"/>
        <w:adjustRightInd w:val="0"/>
        <w:snapToGrid w:val="0"/>
        <w:spacing w:line="560" w:lineRule="exact"/>
        <w:ind w:left="640"/>
        <w:jc w:val="left"/>
        <w:rPr>
          <w:rFonts w:cs="仿宋_GB2312"/>
          <w:szCs w:val="32"/>
        </w:rPr>
      </w:pPr>
      <w:bookmarkStart w:id="106" w:name="_Toc15396622"/>
      <w:r>
        <w:rPr>
          <w:rFonts w:hint="eastAsia" w:cs="仿宋_GB2312"/>
          <w:szCs w:val="32"/>
        </w:rPr>
        <w:t>四、财政拨款收入支出决算总表</w:t>
      </w:r>
      <w:bookmarkEnd w:id="106"/>
    </w:p>
    <w:p w14:paraId="4980387F">
      <w:pPr>
        <w:pStyle w:val="14"/>
        <w:adjustRightInd w:val="0"/>
        <w:snapToGrid w:val="0"/>
        <w:spacing w:line="560" w:lineRule="exact"/>
        <w:ind w:left="640"/>
        <w:jc w:val="left"/>
        <w:rPr>
          <w:rFonts w:cs="仿宋_GB2312"/>
          <w:szCs w:val="32"/>
        </w:rPr>
      </w:pPr>
      <w:bookmarkStart w:id="107" w:name="_Toc15396623"/>
      <w:r>
        <w:rPr>
          <w:rFonts w:hint="eastAsia" w:cs="仿宋_GB2312"/>
          <w:szCs w:val="32"/>
        </w:rPr>
        <w:t>五、财政拨款支出决算明细表</w:t>
      </w:r>
      <w:bookmarkEnd w:id="107"/>
      <w:bookmarkStart w:id="108" w:name="_Toc15396624"/>
    </w:p>
    <w:p w14:paraId="7319EDD9">
      <w:pPr>
        <w:pStyle w:val="14"/>
        <w:adjustRightInd w:val="0"/>
        <w:snapToGrid w:val="0"/>
        <w:spacing w:line="560" w:lineRule="exact"/>
        <w:ind w:left="640"/>
        <w:jc w:val="left"/>
        <w:rPr>
          <w:rFonts w:cs="仿宋_GB2312"/>
          <w:szCs w:val="32"/>
        </w:rPr>
      </w:pPr>
      <w:r>
        <w:rPr>
          <w:rFonts w:hint="eastAsia" w:cs="仿宋_GB2312"/>
          <w:szCs w:val="32"/>
        </w:rPr>
        <w:t>六、一般公共预算财政拨款支出决算表</w:t>
      </w:r>
      <w:bookmarkEnd w:id="108"/>
    </w:p>
    <w:p w14:paraId="6D72262A">
      <w:pPr>
        <w:pStyle w:val="14"/>
        <w:adjustRightInd w:val="0"/>
        <w:snapToGrid w:val="0"/>
        <w:spacing w:line="560" w:lineRule="exact"/>
        <w:ind w:left="640"/>
        <w:jc w:val="left"/>
        <w:rPr>
          <w:rFonts w:cs="仿宋_GB2312"/>
          <w:szCs w:val="32"/>
        </w:rPr>
      </w:pPr>
      <w:bookmarkStart w:id="109" w:name="_Toc15396625"/>
      <w:r>
        <w:rPr>
          <w:rFonts w:hint="eastAsia" w:cs="仿宋_GB2312"/>
          <w:szCs w:val="32"/>
        </w:rPr>
        <w:t>七、一般公共预算财政拨款支出决算明细表</w:t>
      </w:r>
      <w:bookmarkEnd w:id="109"/>
    </w:p>
    <w:p w14:paraId="3DC10321">
      <w:pPr>
        <w:pStyle w:val="14"/>
        <w:adjustRightInd w:val="0"/>
        <w:snapToGrid w:val="0"/>
        <w:spacing w:line="560" w:lineRule="exact"/>
        <w:ind w:left="640"/>
        <w:jc w:val="left"/>
        <w:rPr>
          <w:rFonts w:cs="仿宋_GB2312"/>
          <w:szCs w:val="32"/>
        </w:rPr>
      </w:pPr>
      <w:bookmarkStart w:id="110" w:name="_Toc15396626"/>
      <w:r>
        <w:rPr>
          <w:rFonts w:hint="eastAsia" w:cs="仿宋_GB2312"/>
          <w:szCs w:val="32"/>
        </w:rPr>
        <w:t>八、一般公共预算财政拨款基本支出决算表</w:t>
      </w:r>
      <w:bookmarkEnd w:id="110"/>
    </w:p>
    <w:p w14:paraId="466B7679">
      <w:pPr>
        <w:pStyle w:val="14"/>
        <w:adjustRightInd w:val="0"/>
        <w:snapToGrid w:val="0"/>
        <w:spacing w:line="560" w:lineRule="exact"/>
        <w:ind w:left="640"/>
        <w:jc w:val="left"/>
        <w:rPr>
          <w:rFonts w:cs="仿宋_GB2312"/>
          <w:szCs w:val="32"/>
        </w:rPr>
      </w:pPr>
      <w:bookmarkStart w:id="111" w:name="_Toc15396627"/>
      <w:r>
        <w:rPr>
          <w:rFonts w:hint="eastAsia" w:cs="仿宋_GB2312"/>
          <w:szCs w:val="32"/>
        </w:rPr>
        <w:t>九、一般公共预算财政拨款项目支出决算表</w:t>
      </w:r>
      <w:bookmarkEnd w:id="111"/>
    </w:p>
    <w:p w14:paraId="52B810FD">
      <w:pPr>
        <w:pStyle w:val="14"/>
        <w:adjustRightInd w:val="0"/>
        <w:snapToGrid w:val="0"/>
        <w:spacing w:line="560" w:lineRule="exact"/>
        <w:ind w:left="640"/>
        <w:jc w:val="left"/>
        <w:rPr>
          <w:rFonts w:cs="仿宋_GB2312"/>
          <w:szCs w:val="32"/>
        </w:rPr>
      </w:pPr>
      <w:bookmarkStart w:id="112" w:name="_Toc15396628"/>
      <w:r>
        <w:rPr>
          <w:rFonts w:hint="eastAsia" w:cs="仿宋_GB2312"/>
          <w:szCs w:val="32"/>
        </w:rPr>
        <w:t>十、</w:t>
      </w:r>
      <w:bookmarkEnd w:id="112"/>
      <w:r>
        <w:rPr>
          <w:rFonts w:hint="eastAsia" w:cs="仿宋_GB2312"/>
          <w:szCs w:val="32"/>
        </w:rPr>
        <w:t>政府性基金预算财政拨款收入支出决算表</w:t>
      </w:r>
    </w:p>
    <w:p w14:paraId="018B604E">
      <w:pPr>
        <w:pStyle w:val="14"/>
        <w:adjustRightInd w:val="0"/>
        <w:snapToGrid w:val="0"/>
        <w:spacing w:line="560" w:lineRule="exact"/>
        <w:ind w:left="640"/>
        <w:jc w:val="left"/>
        <w:rPr>
          <w:rFonts w:cs="仿宋_GB2312"/>
          <w:szCs w:val="32"/>
        </w:rPr>
      </w:pPr>
      <w:bookmarkStart w:id="113" w:name="_Toc15396629"/>
      <w:r>
        <w:rPr>
          <w:rFonts w:hint="eastAsia" w:cs="仿宋_GB2312"/>
          <w:szCs w:val="32"/>
        </w:rPr>
        <w:t>十一、</w:t>
      </w:r>
      <w:bookmarkEnd w:id="113"/>
      <w:r>
        <w:rPr>
          <w:rFonts w:hint="eastAsia" w:cs="仿宋_GB2312"/>
          <w:szCs w:val="32"/>
        </w:rPr>
        <w:t>国有资本经营预算财政拨款收入支出决算表</w:t>
      </w:r>
    </w:p>
    <w:p w14:paraId="1AC5EE55">
      <w:pPr>
        <w:pStyle w:val="14"/>
        <w:adjustRightInd w:val="0"/>
        <w:snapToGrid w:val="0"/>
        <w:spacing w:line="560" w:lineRule="exact"/>
        <w:ind w:left="640"/>
        <w:jc w:val="left"/>
        <w:rPr>
          <w:rFonts w:cs="仿宋_GB2312"/>
          <w:szCs w:val="32"/>
        </w:rPr>
      </w:pPr>
      <w:bookmarkStart w:id="114" w:name="_Toc15396630"/>
      <w:r>
        <w:rPr>
          <w:rFonts w:hint="eastAsia" w:cs="仿宋_GB2312"/>
          <w:szCs w:val="32"/>
        </w:rPr>
        <w:t>十二、</w:t>
      </w:r>
      <w:bookmarkEnd w:id="114"/>
      <w:r>
        <w:rPr>
          <w:rFonts w:hint="eastAsia" w:cs="仿宋_GB2312"/>
          <w:szCs w:val="32"/>
        </w:rPr>
        <w:t>国有资本经营预算财政拨款支出决算表</w:t>
      </w:r>
    </w:p>
    <w:p w14:paraId="025B0C6C">
      <w:pPr>
        <w:pStyle w:val="14"/>
        <w:adjustRightInd w:val="0"/>
        <w:snapToGrid w:val="0"/>
        <w:spacing w:line="560" w:lineRule="exact"/>
        <w:ind w:left="640"/>
        <w:jc w:val="left"/>
        <w:rPr>
          <w:rFonts w:cs="仿宋_GB2312"/>
          <w:szCs w:val="32"/>
        </w:rPr>
      </w:pPr>
      <w:bookmarkStart w:id="115" w:name="_Toc15396631"/>
      <w:r>
        <w:rPr>
          <w:rFonts w:hint="eastAsia" w:cs="仿宋_GB2312"/>
          <w:szCs w:val="32"/>
        </w:rPr>
        <w:t>十三、</w:t>
      </w:r>
      <w:bookmarkEnd w:id="115"/>
      <w:r>
        <w:rPr>
          <w:rFonts w:hint="eastAsia" w:cs="仿宋_GB2312"/>
          <w:szCs w:val="32"/>
        </w:rPr>
        <w:t>财政拨款“三公”经费支出决算表</w:t>
      </w:r>
    </w:p>
    <w:p w14:paraId="2ADC9A92"/>
    <w:sectPr>
      <w:footerReference r:id="rId14" w:type="firs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671B">
    <w:pPr>
      <w:pStyle w:val="11"/>
      <w:jc w:val="center"/>
    </w:pPr>
  </w:p>
  <w:p w14:paraId="6702579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AEC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D41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C471">
    <w:pPr>
      <w:pStyle w:val="11"/>
    </w:pPr>
    <w:r>
      <w:pict>
        <v:shape id="文本框 30" o:spid="_x0000_s4102"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0Z5IF5wEAAMkD&#10;AAAOAAAAAAAAAAEAIAAAAB4BAABkcnMvZTJvRG9jLnhtbFBLBQYAAAAABgAGAFkBAAB3BQAAAAA=&#10;">
          <v:path/>
          <v:fill on="f" focussize="0,0"/>
          <v:stroke on="f" joinstyle="miter"/>
          <v:imagedata o:title=""/>
          <o:lock v:ext="edit"/>
          <v:textbox inset="0mm,0mm,0mm,0mm" style="mso-fit-shape-to-text:t;">
            <w:txbxContent>
              <w:p w14:paraId="0356A2AD">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0936F6F8">
    <w:pPr>
      <w:pStyle w:val="11"/>
    </w:pPr>
    <w:r>
      <w:pict>
        <v:shape id="文本框 9" o:spid="_x0000_s4101" o:spt="202" type="#_x0000_t202" style="position:absolute;left:0pt;margin-left:195.2pt;margin-top:-5pt;height:16pt;width:34.9pt;mso-position-horizontal-relative:margin;z-index:251661312;mso-width-relative:page;mso-height-relative:page;" filled="f" stroked="f" coordsize="21600,21600" o:gfxdata="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x0ortkAAAAKAQAADwAAAAAAAAABACAAAAAiAAAAZHJzL2Rvd25yZXYueG1sUEsBAhQAFAAAAAgA&#10;h07iQBmnte7rAQAAxwMAAA4AAAAAAAAAAQAgAAAAKAEAAGRycy9lMm9Eb2MueG1sUEsFBgAAAAAG&#10;AAYAWQEAAIUFAAAAAA==&#10;">
          <v:path/>
          <v:fill on="f" focussize="0,0"/>
          <v:stroke on="f" joinstyle="miter"/>
          <v:imagedata o:title=""/>
          <o:lock v:ext="edit"/>
          <v:textbox inset="0mm,0mm,0mm,0mm">
            <w:txbxContent>
              <w:p w14:paraId="5D4F8386">
                <w:pPr>
                  <w:pStyle w:val="11"/>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6D3E">
    <w:pPr>
      <w:pStyle w:val="11"/>
    </w:pPr>
    <w:r>
      <w:pict>
        <v:shape id="文本框 10" o:spid="_x0000_s410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wyjhw5wEAAMgD&#10;AAAOAAAAAAAAAAEAIAAAAB4BAABkcnMvZTJvRG9jLnhtbFBLBQYAAAAABgAGAFkBAAB3BQAAAAA=&#10;">
          <v:path/>
          <v:fill on="f" focussize="0,0"/>
          <v:stroke on="f" joinstyle="miter"/>
          <v:imagedata o:title=""/>
          <o:lock v:ext="edit"/>
          <v:textbox inset="0mm,0mm,0mm,0mm" style="mso-fit-shape-to-text:t;">
            <w:txbxContent>
              <w:p w14:paraId="7B3256A9">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B0A4">
    <w:pPr>
      <w:pStyle w:val="11"/>
    </w:pPr>
    <w:r>
      <w:pict>
        <v:shape id="_x0000_s4100" o:spid="_x0000_s4100"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7DY2m5wEAAMkD&#10;AAAOAAAAAAAAAAEAIAAAAB4BAABkcnMvZTJvRG9jLnhtbFBLBQYAAAAABgAGAFkBAAB3BQAAAAA=&#10;">
          <v:path/>
          <v:fill on="f" focussize="0,0"/>
          <v:stroke on="f" joinstyle="miter"/>
          <v:imagedata o:title=""/>
          <o:lock v:ext="edit"/>
          <v:textbox inset="0mm,0mm,0mm,0mm" style="mso-fit-shape-to-text:t;">
            <w:txbxContent>
              <w:p w14:paraId="616799ED">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4F30E4CA">
    <w:pPr>
      <w:pStyle w:val="11"/>
    </w:pPr>
    <w:r>
      <w:pict>
        <v:shape id="_x0000_s4099" o:spid="_x0000_s4099" o:spt="202" type="#_x0000_t202" style="position:absolute;left:0pt;margin-left:195.2pt;margin-top:-5pt;height:16pt;width:34.9pt;mso-position-horizontal-relative:margin;z-index:251665408;mso-width-relative:page;mso-height-relative:page;" filled="f" stroked="f" coordsize="21600,21600" o:gfxdata="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x0ortkAAAAKAQAADwAAAAAAAAABACAAAAAiAAAAZHJzL2Rvd25yZXYueG1sUEsBAhQAFAAAAAgA&#10;h07iQPYmqPfrAQAAyAMAAA4AAAAAAAAAAQAgAAAAKAEAAGRycy9lMm9Eb2MueG1sUEsFBgAAAAAG&#10;AAYAWQEAAIUFAAAAAA==&#10;">
          <v:path/>
          <v:fill on="f" focussize="0,0"/>
          <v:stroke on="f" joinstyle="miter"/>
          <v:imagedata o:title=""/>
          <o:lock v:ext="edit"/>
          <v:textbox inset="0mm,0mm,0mm,0mm">
            <w:txbxContent>
              <w:p w14:paraId="6D76EE80">
                <w:pPr>
                  <w:pStyle w:val="11"/>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D700">
    <w:pPr>
      <w:pStyle w:val="11"/>
    </w:pPr>
    <w:r>
      <w:pict>
        <v:shape id="文本框 31" o:spid="_x0000_s4097"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BZsgS5wEAAMkD&#10;AAAOAAAAAAAAAAEAIAAAAB4BAABkcnMvZTJvRG9jLnhtbFBLBQYAAAAABgAGAFkBAAB3BQAAAAA=&#10;">
          <v:path/>
          <v:fill on="f" focussize="0,0"/>
          <v:stroke on="f" joinstyle="miter"/>
          <v:imagedata o:title=""/>
          <o:lock v:ext="edit"/>
          <v:textbox inset="0mm,0mm,0mm,0mm" style="mso-fit-shape-to-text:t;">
            <w:txbxContent>
              <w:p w14:paraId="1D29DCA0">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90DF">
    <w:pPr>
      <w:pStyle w:val="11"/>
    </w:pPr>
    <w:r>
      <w:pict>
        <v:shape id="文本框 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path/>
          <v:fill on="f" focussize="0,0"/>
          <v:stroke on="f" joinstyle="miter"/>
          <v:imagedata o:title=""/>
          <o:lock v:ext="edit"/>
          <v:textbox inset="0mm,0mm,0mm,0mm" style="mso-fit-shape-to-text:t;">
            <w:txbxContent>
              <w:p w14:paraId="4353697C">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99EF">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B30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6AC5">
    <w:pPr>
      <w:pStyle w:val="12"/>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983A">
    <w:pPr>
      <w:pStyle w:val="12"/>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310DA"/>
    <w:rsid w:val="00142216"/>
    <w:rsid w:val="00144D6A"/>
    <w:rsid w:val="0014729F"/>
    <w:rsid w:val="00157BAB"/>
    <w:rsid w:val="001654D1"/>
    <w:rsid w:val="00174518"/>
    <w:rsid w:val="0018106D"/>
    <w:rsid w:val="00184459"/>
    <w:rsid w:val="001877A7"/>
    <w:rsid w:val="00191536"/>
    <w:rsid w:val="00196687"/>
    <w:rsid w:val="001A43E3"/>
    <w:rsid w:val="001C0962"/>
    <w:rsid w:val="001D6E1A"/>
    <w:rsid w:val="001D7531"/>
    <w:rsid w:val="001E737D"/>
    <w:rsid w:val="001F0592"/>
    <w:rsid w:val="001F7506"/>
    <w:rsid w:val="002006CD"/>
    <w:rsid w:val="00202B36"/>
    <w:rsid w:val="00204B7A"/>
    <w:rsid w:val="00204CDE"/>
    <w:rsid w:val="0021101A"/>
    <w:rsid w:val="00214DDE"/>
    <w:rsid w:val="00220536"/>
    <w:rsid w:val="00220F98"/>
    <w:rsid w:val="002217DA"/>
    <w:rsid w:val="00235629"/>
    <w:rsid w:val="00260C38"/>
    <w:rsid w:val="002616C0"/>
    <w:rsid w:val="00265372"/>
    <w:rsid w:val="002662AA"/>
    <w:rsid w:val="00280496"/>
    <w:rsid w:val="00294DC9"/>
    <w:rsid w:val="00295495"/>
    <w:rsid w:val="00296F0C"/>
    <w:rsid w:val="002A31DE"/>
    <w:rsid w:val="002A77D0"/>
    <w:rsid w:val="002B2613"/>
    <w:rsid w:val="002D6D05"/>
    <w:rsid w:val="002F1818"/>
    <w:rsid w:val="002F567B"/>
    <w:rsid w:val="003033EB"/>
    <w:rsid w:val="00316873"/>
    <w:rsid w:val="003216A9"/>
    <w:rsid w:val="00335A74"/>
    <w:rsid w:val="00350554"/>
    <w:rsid w:val="0036047E"/>
    <w:rsid w:val="0036561B"/>
    <w:rsid w:val="0037013F"/>
    <w:rsid w:val="0037413C"/>
    <w:rsid w:val="00380C92"/>
    <w:rsid w:val="003A3BDB"/>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20E1B"/>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27E7"/>
    <w:rsid w:val="0071798E"/>
    <w:rsid w:val="00721D25"/>
    <w:rsid w:val="007416B6"/>
    <w:rsid w:val="00746F48"/>
    <w:rsid w:val="0075404D"/>
    <w:rsid w:val="0076182A"/>
    <w:rsid w:val="00767B7E"/>
    <w:rsid w:val="007770C3"/>
    <w:rsid w:val="00784D24"/>
    <w:rsid w:val="00785FBA"/>
    <w:rsid w:val="00786E4A"/>
    <w:rsid w:val="007875EB"/>
    <w:rsid w:val="0079426B"/>
    <w:rsid w:val="007A588C"/>
    <w:rsid w:val="007D1682"/>
    <w:rsid w:val="007D312A"/>
    <w:rsid w:val="007D3F19"/>
    <w:rsid w:val="007E23B0"/>
    <w:rsid w:val="007E23E5"/>
    <w:rsid w:val="007E6BE6"/>
    <w:rsid w:val="007F1991"/>
    <w:rsid w:val="007F2C2F"/>
    <w:rsid w:val="007F30C7"/>
    <w:rsid w:val="007F55FC"/>
    <w:rsid w:val="007F5665"/>
    <w:rsid w:val="00800112"/>
    <w:rsid w:val="00813348"/>
    <w:rsid w:val="0081577E"/>
    <w:rsid w:val="00820160"/>
    <w:rsid w:val="008253BB"/>
    <w:rsid w:val="0083706E"/>
    <w:rsid w:val="008408F6"/>
    <w:rsid w:val="008423A5"/>
    <w:rsid w:val="00850625"/>
    <w:rsid w:val="00853718"/>
    <w:rsid w:val="00855221"/>
    <w:rsid w:val="00860645"/>
    <w:rsid w:val="008665E4"/>
    <w:rsid w:val="00871F71"/>
    <w:rsid w:val="00872FD8"/>
    <w:rsid w:val="00885AF4"/>
    <w:rsid w:val="008939CD"/>
    <w:rsid w:val="008B0462"/>
    <w:rsid w:val="008B768C"/>
    <w:rsid w:val="008C4DB1"/>
    <w:rsid w:val="008C4EAF"/>
    <w:rsid w:val="008C5176"/>
    <w:rsid w:val="008C7FD0"/>
    <w:rsid w:val="008D43D4"/>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38F0"/>
    <w:rsid w:val="009B2C43"/>
    <w:rsid w:val="009B4EAE"/>
    <w:rsid w:val="009B7573"/>
    <w:rsid w:val="009C22F4"/>
    <w:rsid w:val="009C2A4B"/>
    <w:rsid w:val="009C2E98"/>
    <w:rsid w:val="009C7B4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2C65"/>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AF5076"/>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4CD7"/>
    <w:rsid w:val="00B77EA6"/>
    <w:rsid w:val="00B81598"/>
    <w:rsid w:val="00B841F1"/>
    <w:rsid w:val="00B944D6"/>
    <w:rsid w:val="00BA4CF4"/>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7420"/>
    <w:rsid w:val="00CD1E3F"/>
    <w:rsid w:val="00CE44F6"/>
    <w:rsid w:val="00CE49DA"/>
    <w:rsid w:val="00CE7B61"/>
    <w:rsid w:val="00D00095"/>
    <w:rsid w:val="00D114F0"/>
    <w:rsid w:val="00D20620"/>
    <w:rsid w:val="00D254F7"/>
    <w:rsid w:val="00D26091"/>
    <w:rsid w:val="00D2685C"/>
    <w:rsid w:val="00D307B8"/>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1BFE"/>
    <w:rsid w:val="00E82267"/>
    <w:rsid w:val="00E853CE"/>
    <w:rsid w:val="00E867B6"/>
    <w:rsid w:val="00EA010F"/>
    <w:rsid w:val="00EA6C14"/>
    <w:rsid w:val="00ED1B63"/>
    <w:rsid w:val="00ED3C1F"/>
    <w:rsid w:val="00ED4085"/>
    <w:rsid w:val="00ED420E"/>
    <w:rsid w:val="00ED67B1"/>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50B"/>
    <w:rsid w:val="00F754A1"/>
    <w:rsid w:val="00F81FD9"/>
    <w:rsid w:val="00F841AA"/>
    <w:rsid w:val="00F84A94"/>
    <w:rsid w:val="00F87E96"/>
    <w:rsid w:val="00F97833"/>
    <w:rsid w:val="00FA23E8"/>
    <w:rsid w:val="00FA6DC3"/>
    <w:rsid w:val="00FC06F1"/>
    <w:rsid w:val="00FD3CC1"/>
    <w:rsid w:val="00FF1E02"/>
    <w:rsid w:val="00FF30B4"/>
    <w:rsid w:val="012A5EC2"/>
    <w:rsid w:val="015975B8"/>
    <w:rsid w:val="02FEBE30"/>
    <w:rsid w:val="046248DD"/>
    <w:rsid w:val="04916F1E"/>
    <w:rsid w:val="061E35DE"/>
    <w:rsid w:val="066E0107"/>
    <w:rsid w:val="07996F6E"/>
    <w:rsid w:val="07DFD8BA"/>
    <w:rsid w:val="09867E8F"/>
    <w:rsid w:val="0A2032A3"/>
    <w:rsid w:val="0CA8290A"/>
    <w:rsid w:val="0D35B1ED"/>
    <w:rsid w:val="0E254B6B"/>
    <w:rsid w:val="0E9E4764"/>
    <w:rsid w:val="0F230706"/>
    <w:rsid w:val="0F98263C"/>
    <w:rsid w:val="101860EC"/>
    <w:rsid w:val="101F47CC"/>
    <w:rsid w:val="10C055FF"/>
    <w:rsid w:val="11454381"/>
    <w:rsid w:val="11694EBD"/>
    <w:rsid w:val="11772AA4"/>
    <w:rsid w:val="118107EC"/>
    <w:rsid w:val="12E24EE2"/>
    <w:rsid w:val="13D50BC4"/>
    <w:rsid w:val="14B17F78"/>
    <w:rsid w:val="165E0673"/>
    <w:rsid w:val="16B831D5"/>
    <w:rsid w:val="16BB723D"/>
    <w:rsid w:val="17E50567"/>
    <w:rsid w:val="186504BB"/>
    <w:rsid w:val="19A445FC"/>
    <w:rsid w:val="1BE8440E"/>
    <w:rsid w:val="1CC6347C"/>
    <w:rsid w:val="1CF222B5"/>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ED72B9"/>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DC1948"/>
    <w:rsid w:val="3EE17838"/>
    <w:rsid w:val="3F55381A"/>
    <w:rsid w:val="3F7F7599"/>
    <w:rsid w:val="3FC419CD"/>
    <w:rsid w:val="3FF4CAE0"/>
    <w:rsid w:val="3FF7B227"/>
    <w:rsid w:val="448D4A8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E20BC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9E1008E"/>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6">
    <w:name w:val="heading 2"/>
    <w:basedOn w:val="1"/>
    <w:next w:val="1"/>
    <w:link w:val="30"/>
    <w:unhideWhenUsed/>
    <w:qFormat/>
    <w:uiPriority w:val="9"/>
    <w:pPr>
      <w:keepNext/>
      <w:keepLines/>
      <w:spacing w:before="260" w:after="260" w:line="416" w:lineRule="auto"/>
      <w:jc w:val="left"/>
      <w:outlineLvl w:val="1"/>
    </w:pPr>
    <w:rPr>
      <w:rFonts w:asciiTheme="majorHAnsi" w:hAnsiTheme="majorHAnsi" w:cstheme="majorBidi"/>
      <w:b/>
      <w:bCs/>
      <w:szCs w:val="32"/>
    </w:rPr>
  </w:style>
  <w:style w:type="paragraph" w:styleId="7">
    <w:name w:val="heading 3"/>
    <w:basedOn w:val="1"/>
    <w:next w:val="1"/>
    <w:link w:val="33"/>
    <w:unhideWhenUsed/>
    <w:qFormat/>
    <w:uiPriority w:val="9"/>
    <w:pPr>
      <w:keepNext/>
      <w:keepLines/>
      <w:spacing w:before="260" w:after="260" w:line="416" w:lineRule="auto"/>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1"/>
    <w:qFormat/>
    <w:locked/>
    <w:uiPriority w:val="0"/>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5"/>
    <w:qFormat/>
    <w:uiPriority w:val="9"/>
    <w:rPr>
      <w:rFonts w:ascii="Times New Roman" w:hAnsi="Times New Roman" w:eastAsia="黑体"/>
      <w:b/>
      <w:bCs/>
      <w:kern w:val="44"/>
      <w:sz w:val="44"/>
      <w:szCs w:val="44"/>
    </w:rPr>
  </w:style>
  <w:style w:type="character" w:customStyle="1" w:styleId="30">
    <w:name w:val="标题 2 Char"/>
    <w:basedOn w:val="16"/>
    <w:link w:val="6"/>
    <w:qFormat/>
    <w:uiPriority w:val="9"/>
    <w:rPr>
      <w:rFonts w:eastAsia="仿宋_GB2312" w:asciiTheme="majorHAnsi" w:hAnsiTheme="majorHAnsi"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标题3"/>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265625"/>
          <c:y val="0.0714285714285714"/>
          <c:w val="0.794921875"/>
          <c:h val="0.744047619047619"/>
        </c:manualLayout>
      </c:layout>
      <c:barChart>
        <c:barDir val="col"/>
        <c:grouping val="clustered"/>
        <c:varyColors val="0"/>
        <c:ser>
          <c:idx val="0"/>
          <c:order val="0"/>
          <c:tx>
            <c:strRef>
              <c:f>Sheet1!$A$2</c:f>
              <c:strCache>
                <c:ptCount val="1"/>
                <c:pt idx="0">
                  <c:v>2023年</c:v>
                </c:pt>
              </c:strCache>
            </c:strRef>
          </c:tx>
          <c:spPr>
            <a:solidFill>
              <a:srgbClr val="9999FF"/>
            </a:solidFill>
            <a:ln w="13448">
              <a:solidFill>
                <a:srgbClr val="000000"/>
              </a:solidFill>
              <a:prstDash val="solid"/>
            </a:ln>
          </c:spPr>
          <c:invertIfNegative val="0"/>
          <c:dLbls>
            <c:delete val="1"/>
          </c:dLbls>
          <c:cat>
            <c:strRef>
              <c:f>Sheet1!$B$1:$E$1</c:f>
              <c:strCache>
                <c:ptCount val="3"/>
                <c:pt idx="1">
                  <c:v>收入</c:v>
                </c:pt>
                <c:pt idx="2">
                  <c:v>支出</c:v>
                </c:pt>
              </c:strCache>
            </c:strRef>
          </c:cat>
          <c:val>
            <c:numRef>
              <c:f>Sheet1!$B$2:$E$2</c:f>
              <c:numCache>
                <c:formatCode>General</c:formatCode>
                <c:ptCount val="4"/>
                <c:pt idx="1">
                  <c:v>1596.94</c:v>
                </c:pt>
                <c:pt idx="2">
                  <c:v>1596.94</c:v>
                </c:pt>
              </c:numCache>
            </c:numRef>
          </c:val>
        </c:ser>
        <c:ser>
          <c:idx val="1"/>
          <c:order val="1"/>
          <c:tx>
            <c:strRef>
              <c:f>Sheet1!$A$3</c:f>
              <c:strCache>
                <c:ptCount val="1"/>
                <c:pt idx="0">
                  <c:v>2024年</c:v>
                </c:pt>
              </c:strCache>
            </c:strRef>
          </c:tx>
          <c:spPr>
            <a:solidFill>
              <a:srgbClr val="993366"/>
            </a:solidFill>
            <a:ln w="13448">
              <a:solidFill>
                <a:srgbClr val="000000"/>
              </a:solidFill>
              <a:prstDash val="solid"/>
            </a:ln>
          </c:spPr>
          <c:invertIfNegative val="0"/>
          <c:dLbls>
            <c:delete val="1"/>
          </c:dLbls>
          <c:cat>
            <c:strRef>
              <c:f>Sheet1!$B$1:$E$1</c:f>
              <c:strCache>
                <c:ptCount val="3"/>
                <c:pt idx="1">
                  <c:v>收入</c:v>
                </c:pt>
                <c:pt idx="2">
                  <c:v>支出</c:v>
                </c:pt>
              </c:strCache>
            </c:strRef>
          </c:cat>
          <c:val>
            <c:numRef>
              <c:f>Sheet1!$B$3:$E$3</c:f>
              <c:numCache>
                <c:formatCode>General</c:formatCode>
                <c:ptCount val="4"/>
                <c:pt idx="1">
                  <c:v>1861.64</c:v>
                </c:pt>
                <c:pt idx="2">
                  <c:v>1861.64</c:v>
                </c:pt>
              </c:numCache>
            </c:numRef>
          </c:val>
        </c:ser>
        <c:dLbls>
          <c:showLegendKey val="0"/>
          <c:showVal val="0"/>
          <c:showCatName val="0"/>
          <c:showSerName val="0"/>
          <c:showPercent val="0"/>
          <c:showBubbleSize val="0"/>
        </c:dLbls>
        <c:gapWidth val="150"/>
        <c:axId val="194333696"/>
        <c:axId val="194335488"/>
      </c:barChart>
      <c:catAx>
        <c:axId val="194333696"/>
        <c:scaling>
          <c:orientation val="minMax"/>
        </c:scaling>
        <c:delete val="0"/>
        <c:axPos val="b"/>
        <c:numFmt formatCode="General" sourceLinked="1"/>
        <c:majorTickMark val="in"/>
        <c:minorTickMark val="none"/>
        <c:tickLblPos val="low"/>
        <c:spPr>
          <a:ln w="3362" cap="flat" cmpd="sng" algn="ctr">
            <a:solidFill>
              <a:srgbClr val="000000"/>
            </a:solidFill>
            <a:prstDash val="solid"/>
            <a:roun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4335488"/>
        <c:crosses val="autoZero"/>
        <c:auto val="1"/>
        <c:lblAlgn val="ctr"/>
        <c:lblOffset val="100"/>
        <c:tickLblSkip val="1"/>
        <c:noMultiLvlLbl val="0"/>
      </c:catAx>
      <c:valAx>
        <c:axId val="194335488"/>
        <c:scaling>
          <c:orientation val="minMax"/>
        </c:scaling>
        <c:delete val="0"/>
        <c:axPos val="l"/>
        <c:majorGridlines>
          <c:spPr>
            <a:ln w="3362" cap="flat" cmpd="sng" algn="ctr">
              <a:solidFill>
                <a:srgbClr val="000000"/>
              </a:solidFill>
              <a:prstDash val="solid"/>
              <a:round/>
            </a:ln>
          </c:spPr>
        </c:majorGridlines>
        <c:numFmt formatCode="General" sourceLinked="1"/>
        <c:majorTickMark val="in"/>
        <c:minorTickMark val="none"/>
        <c:tickLblPos val="nextTo"/>
        <c:spPr>
          <a:ln w="3362" cap="flat" cmpd="sng" algn="ctr">
            <a:solidFill>
              <a:srgbClr val="000000"/>
            </a:solidFill>
            <a:prstDash val="solid"/>
            <a:roun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433369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88671875"/>
          <c:y val="0.404761904761905"/>
          <c:w val="0.103515625"/>
          <c:h val="0.196428571428571"/>
        </c:manualLayout>
      </c:layout>
      <c:overlay val="0"/>
      <c:spPr>
        <a:noFill/>
        <a:ln w="3362">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8caf058-35f5-466d-9708-12d942a2265d}"/>
      </c:ext>
    </c:extLst>
  </c:chart>
  <c:spPr>
    <a:noFill/>
    <a:ln w="9525" cap="flat" cmpd="sng" algn="ctr">
      <a:noFill/>
      <a:prstDash val="solid"/>
      <a:round/>
    </a:ln>
  </c:spPr>
  <c:txPr>
    <a:bodyPr/>
    <a:lstStyle/>
    <a:p>
      <a:pPr>
        <a:defRPr lang="zh-CN" sz="8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90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22857142857143"/>
          <c:y val="0.325153374233129"/>
          <c:w val="0.148571428571429"/>
          <c:h val="0.478527607361963"/>
        </c:manualLayout>
      </c:layout>
      <c:pieChart>
        <c:varyColors val="1"/>
        <c:ser>
          <c:idx val="0"/>
          <c:order val="0"/>
          <c:tx>
            <c:strRef>
              <c:f>Sheet1!$B$1</c:f>
              <c:strCache>
                <c:ptCount val="1"/>
                <c:pt idx="0">
                  <c:v>2024年收入</c:v>
                </c:pt>
              </c:strCache>
            </c:strRef>
          </c:tx>
          <c:explosion val="0"/>
          <c:dPt>
            <c:idx val="0"/>
            <c:bubble3D val="0"/>
          </c:dPt>
          <c:dLbls>
            <c:delete val="1"/>
          </c:dLbls>
          <c:cat>
            <c:strRef>
              <c:f>Sheet1!$A$2</c:f>
              <c:strCache>
                <c:ptCount val="1"/>
                <c:pt idx="0">
                  <c:v>一般公共预算财政拨款收入</c:v>
                </c:pt>
              </c:strCache>
            </c:strRef>
          </c:cat>
          <c:val>
            <c:numRef>
              <c:f>Sheet1!$B$2</c:f>
              <c:numCache>
                <c:formatCode>General</c:formatCode>
                <c:ptCount val="1"/>
                <c:pt idx="0">
                  <c:v>1861.64</c:v>
                </c:pt>
              </c:numCache>
            </c:numRef>
          </c:val>
        </c:ser>
        <c:dLbls>
          <c:showLegendKey val="0"/>
          <c:showVal val="0"/>
          <c:showCatName val="0"/>
          <c:showSerName val="0"/>
          <c:showPercent val="0"/>
          <c:showBubbleSize val="0"/>
          <c:showLeaderLines val="1"/>
        </c:dLbls>
        <c:firstSliceAng val="0"/>
      </c:pieChart>
      <c:spPr>
        <a:noFill/>
        <a:ln w="26886">
          <a:noFill/>
        </a:ln>
      </c:spPr>
    </c:plotArea>
    <c:legend>
      <c:legendPos val="r"/>
      <c:layout/>
      <c:overlay val="0"/>
      <c:txPr>
        <a:bodyPr rot="0" spcFirstLastPara="0" vertOverflow="ellipsis" vert="horz" wrap="square" anchor="ctr" anchorCtr="1"/>
        <a:lstStyle/>
        <a:p>
          <a:pPr>
            <a:defRPr lang="zh-CN" sz="106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b388e4d-886f-4d78-a5bf-5598c078981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90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22857142857143"/>
          <c:y val="0.325153374233129"/>
          <c:w val="0.148571428571429"/>
          <c:h val="0.478527607361964"/>
        </c:manualLayout>
      </c:layout>
      <c:pieChart>
        <c:varyColors val="1"/>
        <c:ser>
          <c:idx val="0"/>
          <c:order val="0"/>
          <c:tx>
            <c:strRef>
              <c:f>Sheet1!$B$1</c:f>
              <c:strCache>
                <c:ptCount val="1"/>
                <c:pt idx="0">
                  <c:v>2024年支出</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682.85</c:v>
                </c:pt>
                <c:pt idx="1">
                  <c:v>1178.79</c:v>
                </c:pt>
              </c:numCache>
            </c:numRef>
          </c:val>
        </c:ser>
        <c:dLbls>
          <c:showLegendKey val="0"/>
          <c:showVal val="0"/>
          <c:showCatName val="0"/>
          <c:showSerName val="0"/>
          <c:showPercent val="0"/>
          <c:showBubbleSize val="0"/>
          <c:showLeaderLines val="1"/>
        </c:dLbls>
        <c:firstSliceAng val="0"/>
      </c:pieChart>
      <c:spPr>
        <a:noFill/>
        <a:ln w="26886">
          <a:noFill/>
        </a:ln>
      </c:spPr>
    </c:plotArea>
    <c:legend>
      <c:legendPos val="r"/>
      <c:layout/>
      <c:overlay val="0"/>
      <c:txPr>
        <a:bodyPr rot="0" spcFirstLastPara="0" vertOverflow="ellipsis" vert="horz" wrap="square" anchor="ctr" anchorCtr="1"/>
        <a:lstStyle/>
        <a:p>
          <a:pPr>
            <a:defRPr lang="zh-CN" sz="106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f02f5c5-0c2f-4422-b924-531f6cca2b6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773727880789"/>
          <c:y val="0.126294272039524"/>
          <c:w val="0.745106680213361"/>
          <c:h val="0.651934537594567"/>
        </c:manualLayout>
      </c:layout>
      <c:barChart>
        <c:barDir val="col"/>
        <c:grouping val="clustered"/>
        <c:varyColors val="0"/>
        <c:ser>
          <c:idx val="0"/>
          <c:order val="0"/>
          <c:tx>
            <c:strRef>
              <c:f>Sheet1!$B$1</c:f>
              <c:strCache>
                <c:ptCount val="1"/>
                <c:pt idx="0">
                  <c:v>2023</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1596.94</c:v>
                </c:pt>
                <c:pt idx="1">
                  <c:v>1596.94</c:v>
                </c:pt>
              </c:numCache>
            </c:numRef>
          </c:val>
        </c:ser>
        <c:ser>
          <c:idx val="1"/>
          <c:order val="1"/>
          <c:tx>
            <c:strRef>
              <c:f>Sheet1!$C$1</c:f>
              <c:strCache>
                <c:ptCount val="1"/>
                <c:pt idx="0">
                  <c:v>2024</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1861.64</c:v>
                </c:pt>
                <c:pt idx="1">
                  <c:v>1861.64</c:v>
                </c:pt>
              </c:numCache>
            </c:numRef>
          </c:val>
        </c:ser>
        <c:dLbls>
          <c:showLegendKey val="0"/>
          <c:showVal val="0"/>
          <c:showCatName val="0"/>
          <c:showSerName val="0"/>
          <c:showPercent val="0"/>
          <c:showBubbleSize val="0"/>
        </c:dLbls>
        <c:gapWidth val="150"/>
        <c:axId val="194558208"/>
        <c:axId val="194740224"/>
      </c:barChart>
      <c:catAx>
        <c:axId val="194558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740224"/>
        <c:crosses val="autoZero"/>
        <c:auto val="1"/>
        <c:lblAlgn val="ctr"/>
        <c:lblOffset val="100"/>
        <c:noMultiLvlLbl val="0"/>
      </c:catAx>
      <c:valAx>
        <c:axId val="194740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5582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922ea00-6cdd-45b8-a11c-d622c868c29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4380610923514"/>
          <c:y val="0.0623427025182224"/>
          <c:w val="0.791330809148496"/>
          <c:h val="0.816807651365561"/>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1596.94</c:v>
                </c:pt>
              </c:numCache>
            </c:numRef>
          </c:val>
        </c:ser>
        <c:ser>
          <c:idx val="1"/>
          <c:order val="1"/>
          <c:tx>
            <c:strRef>
              <c:f>Sheet1!$C$1</c:f>
              <c:strCache>
                <c:ptCount val="1"/>
                <c:pt idx="0">
                  <c:v>2024年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1861.64</c:v>
                </c:pt>
              </c:numCache>
            </c:numRef>
          </c:val>
        </c:ser>
        <c:dLbls>
          <c:showLegendKey val="0"/>
          <c:showVal val="0"/>
          <c:showCatName val="0"/>
          <c:showSerName val="0"/>
          <c:showPercent val="0"/>
          <c:showBubbleSize val="0"/>
        </c:dLbls>
        <c:gapWidth val="150"/>
        <c:axId val="194718720"/>
        <c:axId val="194728704"/>
      </c:barChart>
      <c:catAx>
        <c:axId val="1947187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728704"/>
        <c:crosses val="autoZero"/>
        <c:auto val="1"/>
        <c:lblAlgn val="ctr"/>
        <c:lblOffset val="100"/>
        <c:noMultiLvlLbl val="0"/>
      </c:catAx>
      <c:valAx>
        <c:axId val="1947287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7187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2318564-fd5c-4e5b-bd25-233b4e73a3c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1820.7</c:v>
                </c:pt>
                <c:pt idx="1">
                  <c:v>15.87</c:v>
                </c:pt>
                <c:pt idx="2">
                  <c:v>13.32</c:v>
                </c:pt>
                <c:pt idx="3">
                  <c:v>11.74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df96b26-ea62-4fa1-90c3-7f6a82911557}"/>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1712015410547"/>
          <c:y val="0.0357142857142857"/>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delete val="1"/>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381.58</c:v>
                </c:pt>
                <c:pt idx="2">
                  <c:v>15.29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337859d-85a2-4ea2-b640-6f734c4a99d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customShpInfo spid="_x0000_s4101"/>
    <customShpInfo spid="_x0000_s4103"/>
    <customShpInfo spid="_x0000_s4100"/>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1BD2E-DA50-4503-A762-9D5B17BB637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5941</Words>
  <Characters>6543</Characters>
  <Lines>15</Lines>
  <Paragraphs>21</Paragraphs>
  <TotalTime>6</TotalTime>
  <ScaleCrop>false</ScaleCrop>
  <LinksUpToDate>false</LinksUpToDate>
  <CharactersWithSpaces>6603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2025-10-22T07:26:00Z</cp:lastPrinted>
  <dcterms:modified xsi:type="dcterms:W3CDTF">2025-10-28T03:17:21Z</dcterms:modified>
  <dc:title>四川省***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68F0703A8D224F189DF1234A730D59EB_13</vt:lpwstr>
  </property>
  <property fmtid="{D5CDD505-2E9C-101B-9397-08002B2CF9AE}" pid="4" name="KSOTemplateDocerSaveRecord">
    <vt:lpwstr>eyJoZGlkIjoiYTdhMzhhMTZmYzM4OTZkMzU5NWRhNjhhN2RlMGU4NzYiLCJ1c2VySWQiOiIxMDE3MTIzMjQ5In0=</vt:lpwstr>
  </property>
</Properties>
</file>