
<file path=[Content_Types].xml><?xml version="1.0" encoding="utf-8"?>
<Types xmlns="http://schemas.openxmlformats.org/package/2006/content-types">
  <Default Extension="xlsx" ContentType="application/vnd.openxmlformats-officedocument.spreadsheetml.sheet"/>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theme/theme1.xml" ContentType="application/vnd.openxmlformats-officedocument.theme+xml"/>
  <Override PartName="/word/charts/chart3.xml" ContentType="application/vnd.openxmlformats-officedocument.drawingml.chart+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Override5.xml" ContentType="application/vnd.openxmlformats-officedocument.themeOverride+xml"/>
  <Override PartName="/word/theme/themeOverride1.xml" ContentType="application/vnd.openxmlformats-officedocument.themeOverride+xml"/>
  <Override PartName="/word/footer3.xml" ContentType="application/vnd.openxmlformats-officedocument.wordprocessingml.footer+xml"/>
  <Override PartName="/word/charts/chart4.xml" ContentType="application/vnd.openxmlformats-officedocument.drawingml.chart+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word/fontTable.xml" ContentType="application/vnd.openxmlformats-officedocument.wordprocessingml.fontTable+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docProps/custom.xml" ContentType="application/vnd.openxmlformats-officedocument.custom-properties+xml"/>
  <Override PartName="/word/footer5.xml" ContentType="application/vnd.openxmlformats-officedocument.wordprocessingml.footer+xml"/>
  <Override PartName="/word/footer8.xml" ContentType="application/vnd.openxmlformats-officedocument.wordprocessingml.footer+xml"/>
  <Override PartName="/word/theme/themeOverride4.xml" ContentType="application/vnd.openxmlformats-officedocument.themeOverride+xml"/>
  <Override PartName="/word/charts/chart2.xml" ContentType="application/vnd.openxmlformats-officedocument.drawingml.chart+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C78CB76">
      <w:pPr>
        <w:pStyle w:val="style66"/>
        <w:spacing w:before="93"/>
        <w:rPr>
          <w:rFonts w:ascii="Times New Roman" w:eastAsia="方正小标宋简体" w:hint="eastAsia"/>
          <w:kern w:val="2"/>
          <w:sz w:val="72"/>
          <w:szCs w:val="72"/>
        </w:rPr>
      </w:pPr>
      <w:bookmarkStart w:id="0" w:name="_Toc15377193"/>
      <w:bookmarkStart w:id="1" w:name="_Toc15396597"/>
      <w:bookmarkStart w:id="2" w:name="_Toc15378441"/>
      <w:bookmarkStart w:id="3" w:name="_Toc15396475"/>
      <w:bookmarkStart w:id="4" w:name="_Toc15306267"/>
      <w:bookmarkStart w:id="5" w:name="_Toc15377425"/>
    </w:p>
    <w:p w14:paraId="AECB919A">
      <w:pPr>
        <w:pStyle w:val="style66"/>
        <w:spacing w:before="93"/>
        <w:rPr>
          <w:rFonts w:ascii="Times New Roman" w:eastAsia="方正小标宋简体"/>
          <w:kern w:val="2"/>
          <w:sz w:val="72"/>
          <w:szCs w:val="72"/>
        </w:rPr>
      </w:pPr>
    </w:p>
    <w:p w14:paraId="274A19D9">
      <w:pPr>
        <w:pStyle w:val="style66"/>
        <w:spacing w:before="93"/>
        <w:rPr>
          <w:rFonts w:ascii="Times New Roman" w:eastAsia="方正小标宋简体"/>
          <w:kern w:val="2"/>
          <w:sz w:val="72"/>
          <w:szCs w:val="72"/>
        </w:rPr>
      </w:pPr>
    </w:p>
    <w:p w14:paraId="F4B05016">
      <w:pPr>
        <w:pStyle w:val="style66"/>
        <w:spacing w:before="93"/>
        <w:jc w:val="center"/>
        <w:rPr>
          <w:rFonts w:ascii="Times New Roman" w:eastAsia="方正小标宋简体"/>
          <w:kern w:val="2"/>
          <w:sz w:val="72"/>
          <w:szCs w:val="72"/>
        </w:rPr>
      </w:pPr>
      <w:r>
        <w:rPr>
          <w:rFonts w:ascii="Times New Roman" w:eastAsia="方正小标宋简体" w:hint="eastAsia"/>
          <w:kern w:val="2"/>
          <w:sz w:val="72"/>
          <w:szCs w:val="72"/>
        </w:rPr>
        <w:t>2024</w:t>
      </w:r>
      <w:r>
        <w:rPr>
          <w:rFonts w:ascii="Times New Roman" w:eastAsia="方正小标宋简体" w:hint="eastAsia"/>
          <w:kern w:val="2"/>
          <w:sz w:val="72"/>
          <w:szCs w:val="72"/>
        </w:rPr>
        <w:t>年度</w:t>
      </w:r>
    </w:p>
    <w:p w14:paraId="520168A0">
      <w:pPr>
        <w:pStyle w:val="style66"/>
        <w:spacing w:before="93"/>
        <w:jc w:val="center"/>
        <w:rPr>
          <w:rFonts w:ascii="Times New Roman" w:eastAsia="方正小标宋简体"/>
          <w:kern w:val="2"/>
          <w:sz w:val="72"/>
          <w:szCs w:val="72"/>
        </w:rPr>
      </w:pPr>
      <w:r>
        <w:rPr>
          <w:rFonts w:ascii="Times New Roman" w:eastAsia="方正小标宋简体" w:hint="eastAsia"/>
          <w:kern w:val="2"/>
          <w:sz w:val="72"/>
          <w:szCs w:val="72"/>
        </w:rPr>
        <w:t>盐边县自然资源和规划局单位决算公开编制说明</w:t>
      </w:r>
    </w:p>
    <w:p w14:paraId="D5A50612">
      <w:pPr>
        <w:pStyle w:val="style0"/>
        <w:spacing w:lineRule="exact" w:line="600"/>
        <w:jc w:val="center"/>
        <w:outlineLvl w:val="0"/>
        <w:rPr>
          <w:rFonts w:eastAsia="方正小标宋简体"/>
          <w:sz w:val="72"/>
          <w:szCs w:val="72"/>
        </w:rPr>
      </w:pPr>
    </w:p>
    <w:p w14:paraId="9E06B9D3">
      <w:pPr>
        <w:pStyle w:val="style4097"/>
        <w:rPr>
          <w:rFonts w:ascii="Times New Roman" w:hAnsi="Times New Roman"/>
        </w:rPr>
        <w:sectPr>
          <w:headerReference w:type="default" r:id="rId2"/>
          <w:footerReference w:type="default" r:id="rId3"/>
          <w:pgSz w:w="11906" w:h="16838" w:orient="portrait"/>
          <w:pgMar w:top="1440" w:right="1800" w:bottom="1440" w:left="1800" w:header="851" w:footer="992" w:gutter="0"/>
          <w:pgNumType w:fmt="numberInDash" w:start="1"/>
          <w:cols w:space="425"/>
          <w:titlePg/>
          <w:docGrid w:type="lines" w:linePitch="312"/>
        </w:sectPr>
      </w:pPr>
    </w:p>
    <w:p w14:paraId="835F30E0">
      <w:pPr>
        <w:pStyle w:val="style0"/>
        <w:rPr/>
      </w:pPr>
    </w:p>
    <w:bookmarkEnd w:id="0"/>
    <w:bookmarkEnd w:id="1"/>
    <w:bookmarkEnd w:id="2"/>
    <w:bookmarkEnd w:id="3"/>
    <w:bookmarkEnd w:id="4"/>
    <w:bookmarkEnd w:id="5"/>
    <w:p w14:paraId="DFBF5817">
      <w:pPr>
        <w:pStyle w:val="style0"/>
        <w:widowControl/>
        <w:jc w:val="center"/>
        <w:rPr>
          <w:rFonts w:eastAsia="黑体"/>
          <w:sz w:val="48"/>
          <w:szCs w:val="48"/>
        </w:rPr>
      </w:pPr>
      <w:r>
        <w:rPr>
          <w:rFonts w:eastAsia="黑体" w:hint="eastAsia"/>
          <w:sz w:val="48"/>
          <w:szCs w:val="48"/>
        </w:rPr>
        <w:t>目录</w:t>
      </w:r>
    </w:p>
    <w:p w14:paraId="82AAEC6C">
      <w:pPr>
        <w:pStyle w:val="style0"/>
        <w:widowControl/>
        <w:jc w:val="center"/>
        <w:rPr>
          <w:rFonts w:cs="宋体" w:eastAsia="黑体"/>
          <w:sz w:val="28"/>
          <w:szCs w:val="28"/>
        </w:rPr>
      </w:pPr>
    </w:p>
    <w:p w14:paraId="17FE15B9">
      <w:pPr>
        <w:pStyle w:val="style19"/>
        <w:rPr>
          <w:rFonts w:ascii="Times New Roman" w:cs="仿宋_GB2312" w:eastAsia="仿宋_GB2312" w:hAnsi="Times New Roman"/>
        </w:rPr>
      </w:pPr>
      <w:r>
        <w:rPr>
          <w:rFonts w:ascii="Times New Roman" w:cs="仿宋_GB2312" w:eastAsia="仿宋_GB2312" w:hAnsi="Times New Roman" w:hint="eastAsia"/>
        </w:rPr>
        <w:t>公开时间：</w:t>
      </w:r>
      <w:r>
        <w:rPr>
          <w:rFonts w:ascii="Times New Roman" w:cs="仿宋_GB2312" w:eastAsia="仿宋_GB2312" w:hAnsi="Times New Roman" w:hint="eastAsia"/>
        </w:rPr>
        <w:t>2025</w:t>
      </w:r>
      <w:r>
        <w:rPr>
          <w:rFonts w:ascii="Times New Roman" w:cs="仿宋_GB2312" w:eastAsia="仿宋_GB2312" w:hAnsi="Times New Roman" w:hint="eastAsia"/>
        </w:rPr>
        <w:t>年</w:t>
      </w:r>
      <w:r>
        <w:rPr>
          <w:rFonts w:ascii="Times New Roman" w:cs="仿宋_GB2312" w:eastAsia="仿宋_GB2312" w:hAnsi="Times New Roman" w:hint="eastAsia"/>
        </w:rPr>
        <w:t>10</w:t>
      </w:r>
      <w:r>
        <w:rPr>
          <w:rFonts w:ascii="Times New Roman" w:cs="仿宋_GB2312" w:eastAsia="仿宋_GB2312" w:hAnsi="Times New Roman" w:hint="eastAsia"/>
        </w:rPr>
        <w:t>月</w:t>
      </w:r>
      <w:r>
        <w:rPr>
          <w:rFonts w:ascii="Times New Roman" w:cs="仿宋_GB2312" w:eastAsia="仿宋_GB2312" w:hAnsi="Times New Roman" w:hint="eastAsia"/>
        </w:rPr>
        <w:t xml:space="preserve"> 28 </w:t>
      </w:r>
      <w:r>
        <w:rPr>
          <w:rFonts w:ascii="Times New Roman" w:cs="仿宋_GB2312" w:eastAsia="仿宋_GB2312" w:hAnsi="Times New Roman" w:hint="eastAsia"/>
        </w:rPr>
        <w:t>日</w:t>
      </w:r>
    </w:p>
    <w:p w14:paraId="D9C8C7A3">
      <w:pPr>
        <w:pStyle w:val="style0"/>
        <w:rPr>
          <w:sz w:val="28"/>
          <w:szCs w:val="28"/>
        </w:rPr>
      </w:pPr>
    </w:p>
    <w:p w14:paraId="89C1EFBD">
      <w:pPr>
        <w:pStyle w:val="style19"/>
        <w:adjustRightInd w:val="false"/>
        <w:snapToGrid w:val="false"/>
        <w:spacing w:before="0" w:lineRule="exact" w:line="560"/>
        <w:jc w:val="left"/>
        <w:rPr>
          <w:rFonts w:ascii="Times New Roman" w:cs="黑体" w:eastAsia="黑体" w:hAnsi="Times New Roman"/>
        </w:rPr>
      </w:pPr>
      <w:r>
        <w:rPr>
          <w:rFonts w:ascii="Times New Roman" w:cs="黑体" w:eastAsia="黑体" w:hAnsi="Times New Roman" w:hint="eastAsia"/>
        </w:rPr>
        <w:t>第一部分</w:t>
      </w:r>
      <w:r>
        <w:rPr>
          <w:rFonts w:ascii="Times New Roman" w:cs="黑体" w:eastAsia="黑体" w:hAnsi="Times New Roman" w:hint="eastAsia"/>
        </w:rPr>
        <w:t xml:space="preserve"> </w:t>
      </w:r>
      <w:r>
        <w:rPr>
          <w:rFonts w:ascii="Times New Roman" w:cs="黑体" w:eastAsia="黑体" w:hAnsi="Times New Roman" w:hint="eastAsia"/>
        </w:rPr>
        <w:t>单位概况……</w:t>
      </w:r>
      <w:r>
        <w:rPr>
          <w:rFonts w:ascii="Times New Roman" w:cs="黑体" w:eastAsia="黑体" w:hAnsi="Times New Roman" w:hint="eastAsia"/>
        </w:rPr>
        <w:t>……………………………………………</w:t>
      </w:r>
      <w:r>
        <w:rPr>
          <w:rFonts w:ascii="Times New Roman" w:cs="黑体" w:eastAsia="黑体" w:hAnsi="Times New Roman" w:hint="eastAsia"/>
        </w:rPr>
        <w:t>（</w:t>
      </w:r>
      <w:r>
        <w:rPr>
          <w:rFonts w:ascii="Times New Roman" w:cs="黑体" w:eastAsia="黑体" w:hAnsi="Times New Roman" w:hint="eastAsia"/>
        </w:rPr>
        <w:t>1</w:t>
      </w:r>
      <w:r>
        <w:rPr>
          <w:rFonts w:ascii="Times New Roman" w:cs="黑体" w:eastAsia="黑体" w:hAnsi="Times New Roman" w:hint="eastAsia"/>
        </w:rPr>
        <w:t>）</w:t>
      </w:r>
    </w:p>
    <w:p w14:paraId="60B7263A">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一、主要职责……</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1</w:t>
      </w:r>
      <w:r>
        <w:rPr>
          <w:rFonts w:cs="仿宋_GB2312" w:eastAsia="仿宋_GB2312" w:hint="eastAsia"/>
          <w:sz w:val="28"/>
          <w:szCs w:val="28"/>
        </w:rPr>
        <w:t>）</w:t>
      </w:r>
    </w:p>
    <w:p w14:paraId="A78CD380">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二、机构设置……</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1</w:t>
      </w:r>
      <w:r>
        <w:rPr>
          <w:rFonts w:cs="仿宋_GB2312" w:eastAsia="仿宋_GB2312" w:hint="eastAsia"/>
          <w:sz w:val="28"/>
          <w:szCs w:val="28"/>
        </w:rPr>
        <w:t>）</w:t>
      </w:r>
    </w:p>
    <w:p w14:paraId="EFE40F37">
      <w:pPr>
        <w:pStyle w:val="style19"/>
        <w:adjustRightInd w:val="false"/>
        <w:snapToGrid w:val="false"/>
        <w:spacing w:before="0" w:lineRule="exact" w:line="560"/>
        <w:jc w:val="left"/>
        <w:rPr>
          <w:rFonts w:ascii="Times New Roman" w:cs="黑体" w:eastAsia="黑体" w:hAnsi="Times New Roman"/>
        </w:rPr>
      </w:pPr>
      <w:r>
        <w:rPr>
          <w:rFonts w:ascii="Times New Roman" w:cs="黑体" w:eastAsia="黑体" w:hAnsi="Times New Roman" w:hint="eastAsia"/>
        </w:rPr>
        <w:t>第二部分</w:t>
      </w:r>
      <w:r>
        <w:rPr>
          <w:rFonts w:ascii="Times New Roman" w:cs="黑体" w:eastAsia="黑体" w:hAnsi="Times New Roman" w:hint="eastAsia"/>
        </w:rPr>
        <w:t xml:space="preserve"> 2024</w:t>
      </w:r>
      <w:r>
        <w:rPr>
          <w:rFonts w:ascii="Times New Roman" w:cs="黑体" w:eastAsia="黑体" w:hAnsi="Times New Roman" w:hint="eastAsia"/>
        </w:rPr>
        <w:t>年度部门决算情况说明……</w:t>
      </w:r>
      <w:r>
        <w:rPr>
          <w:rFonts w:ascii="Times New Roman" w:cs="黑体" w:eastAsia="黑体" w:hAnsi="Times New Roman" w:hint="eastAsia"/>
        </w:rPr>
        <w:t>………………………</w:t>
      </w:r>
      <w:r>
        <w:rPr>
          <w:rFonts w:ascii="Times New Roman" w:cs="黑体" w:eastAsia="黑体" w:hAnsi="Times New Roman" w:hint="eastAsia"/>
        </w:rPr>
        <w:t>（</w:t>
      </w:r>
      <w:r>
        <w:rPr>
          <w:rFonts w:ascii="Times New Roman" w:cs="黑体" w:eastAsia="黑体" w:hAnsi="Times New Roman" w:hint="eastAsia"/>
        </w:rPr>
        <w:t>3</w:t>
      </w:r>
      <w:r>
        <w:rPr>
          <w:rFonts w:ascii="Times New Roman" w:cs="黑体" w:eastAsia="黑体" w:hAnsi="Times New Roman" w:hint="eastAsia"/>
        </w:rPr>
        <w:t>）</w:t>
      </w:r>
    </w:p>
    <w:p w14:paraId="72BA77D5">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一、收入支出决算总体情况说明……</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3</w:t>
      </w:r>
      <w:r>
        <w:rPr>
          <w:rFonts w:cs="仿宋_GB2312" w:eastAsia="仿宋_GB2312" w:hint="eastAsia"/>
          <w:sz w:val="28"/>
          <w:szCs w:val="28"/>
        </w:rPr>
        <w:t>）</w:t>
      </w:r>
    </w:p>
    <w:p w14:paraId="3FBA99F8">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二、收入决算情况说明……</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3</w:t>
      </w:r>
      <w:r>
        <w:rPr>
          <w:rFonts w:cs="仿宋_GB2312" w:eastAsia="仿宋_GB2312" w:hint="eastAsia"/>
          <w:sz w:val="28"/>
          <w:szCs w:val="28"/>
        </w:rPr>
        <w:t>）</w:t>
      </w:r>
    </w:p>
    <w:p w14:paraId="BC101E4C">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三、支出决算情况说明……</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4</w:t>
      </w:r>
      <w:r>
        <w:rPr>
          <w:rFonts w:cs="仿宋_GB2312" w:eastAsia="仿宋_GB2312" w:hint="eastAsia"/>
          <w:sz w:val="28"/>
          <w:szCs w:val="28"/>
        </w:rPr>
        <w:t>）</w:t>
      </w:r>
    </w:p>
    <w:p w14:paraId="7EF81562">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四、财政拨款收入支出决算总体情况说明……</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5</w:t>
      </w:r>
      <w:r>
        <w:rPr>
          <w:rFonts w:cs="仿宋_GB2312" w:eastAsia="仿宋_GB2312" w:hint="eastAsia"/>
          <w:sz w:val="28"/>
          <w:szCs w:val="28"/>
        </w:rPr>
        <w:t>）</w:t>
      </w:r>
    </w:p>
    <w:p w14:paraId="2112B477">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五、一般公共预算财政拨款支出决算情况说明……</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5</w:t>
      </w:r>
      <w:r>
        <w:rPr>
          <w:rFonts w:cs="仿宋_GB2312" w:eastAsia="仿宋_GB2312" w:hint="eastAsia"/>
          <w:sz w:val="28"/>
          <w:szCs w:val="28"/>
        </w:rPr>
        <w:t>）</w:t>
      </w:r>
    </w:p>
    <w:p w14:paraId="D6544998">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六、一般公共预算财政拨款基本支出决算情况说明……</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10</w:t>
      </w:r>
      <w:r>
        <w:rPr>
          <w:rFonts w:cs="仿宋_GB2312" w:eastAsia="仿宋_GB2312" w:hint="eastAsia"/>
          <w:sz w:val="28"/>
          <w:szCs w:val="28"/>
        </w:rPr>
        <w:t>）</w:t>
      </w:r>
    </w:p>
    <w:p w14:paraId="6B6E622C">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七、财政拨款“三公”经费支出决算情况说明……</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11</w:t>
      </w:r>
      <w:r>
        <w:rPr>
          <w:rFonts w:cs="仿宋_GB2312" w:eastAsia="仿宋_GB2312" w:hint="eastAsia"/>
          <w:sz w:val="28"/>
          <w:szCs w:val="28"/>
        </w:rPr>
        <w:t>）</w:t>
      </w:r>
    </w:p>
    <w:p w14:paraId="DAF106EF">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八、政府性基金预算支出决算情况说明……</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13</w:t>
      </w:r>
      <w:r>
        <w:rPr>
          <w:rFonts w:cs="仿宋_GB2312" w:eastAsia="仿宋_GB2312" w:hint="eastAsia"/>
          <w:sz w:val="28"/>
          <w:szCs w:val="28"/>
        </w:rPr>
        <w:t>）</w:t>
      </w:r>
    </w:p>
    <w:p w14:paraId="02F7E5E7">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九、国有资本经营预算支出决算情况说明……</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13</w:t>
      </w:r>
      <w:r>
        <w:rPr>
          <w:rFonts w:cs="仿宋_GB2312" w:eastAsia="仿宋_GB2312" w:hint="eastAsia"/>
          <w:sz w:val="28"/>
          <w:szCs w:val="28"/>
        </w:rPr>
        <w:t>）</w:t>
      </w:r>
    </w:p>
    <w:p w14:paraId="65058861">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十、其他重要事项的情况说明……</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13</w:t>
      </w:r>
      <w:r>
        <w:rPr>
          <w:rFonts w:cs="仿宋_GB2312" w:eastAsia="仿宋_GB2312" w:hint="eastAsia"/>
          <w:sz w:val="28"/>
          <w:szCs w:val="28"/>
        </w:rPr>
        <w:t>）</w:t>
      </w:r>
    </w:p>
    <w:p w14:paraId="F16C9B56">
      <w:pPr>
        <w:pStyle w:val="style19"/>
        <w:adjustRightInd w:val="false"/>
        <w:snapToGrid w:val="false"/>
        <w:spacing w:before="0" w:lineRule="exact" w:line="560"/>
        <w:jc w:val="left"/>
        <w:rPr>
          <w:rFonts w:ascii="Times New Roman" w:cs="黑体" w:eastAsia="黑体" w:hAnsi="Times New Roman"/>
        </w:rPr>
      </w:pPr>
      <w:r>
        <w:rPr>
          <w:rFonts w:ascii="Times New Roman" w:cs="黑体" w:eastAsia="黑体" w:hAnsi="Times New Roman" w:hint="eastAsia"/>
        </w:rPr>
        <w:t>第三部分</w:t>
      </w:r>
      <w:r>
        <w:rPr>
          <w:rFonts w:ascii="Times New Roman" w:cs="黑体" w:eastAsia="黑体" w:hAnsi="Times New Roman" w:hint="eastAsia"/>
        </w:rPr>
        <w:t xml:space="preserve"> </w:t>
      </w:r>
      <w:r>
        <w:rPr>
          <w:rFonts w:ascii="Times New Roman" w:cs="黑体" w:eastAsia="黑体" w:hAnsi="Times New Roman" w:hint="eastAsia"/>
        </w:rPr>
        <w:t>名词解释……</w:t>
      </w:r>
      <w:r>
        <w:rPr>
          <w:rFonts w:ascii="Times New Roman" w:cs="黑体" w:eastAsia="黑体" w:hAnsi="Times New Roman" w:hint="eastAsia"/>
        </w:rPr>
        <w:t>……………………………………………</w:t>
      </w:r>
      <w:r>
        <w:rPr>
          <w:rFonts w:ascii="Times New Roman" w:cs="黑体" w:eastAsia="黑体" w:hAnsi="Times New Roman" w:hint="eastAsia"/>
        </w:rPr>
        <w:t>（</w:t>
      </w:r>
      <w:r>
        <w:rPr>
          <w:rFonts w:ascii="Times New Roman" w:cs="黑体" w:eastAsia="黑体" w:hAnsi="Times New Roman" w:hint="eastAsia"/>
        </w:rPr>
        <w:t>16</w:t>
      </w:r>
      <w:r>
        <w:rPr>
          <w:rFonts w:ascii="Times New Roman" w:cs="黑体" w:eastAsia="黑体" w:hAnsi="Times New Roman" w:hint="eastAsia"/>
        </w:rPr>
        <w:t>）</w:t>
      </w:r>
    </w:p>
    <w:p w14:paraId="F50FE544">
      <w:pPr>
        <w:pStyle w:val="style19"/>
        <w:adjustRightInd w:val="false"/>
        <w:snapToGrid w:val="false"/>
        <w:spacing w:before="0" w:lineRule="exact" w:line="560"/>
        <w:jc w:val="left"/>
        <w:rPr>
          <w:rFonts w:ascii="Times New Roman" w:cs="黑体" w:eastAsia="黑体" w:hAnsi="Times New Roman"/>
        </w:rPr>
      </w:pPr>
      <w:r>
        <w:rPr>
          <w:rFonts w:ascii="Times New Roman" w:cs="黑体" w:eastAsia="黑体" w:hAnsi="Times New Roman" w:hint="eastAsia"/>
        </w:rPr>
        <w:t>第四部分</w:t>
      </w:r>
      <w:r>
        <w:rPr>
          <w:rFonts w:ascii="Times New Roman" w:cs="黑体" w:eastAsia="黑体" w:hAnsi="Times New Roman" w:hint="eastAsia"/>
        </w:rPr>
        <w:t xml:space="preserve"> </w:t>
      </w:r>
      <w:r>
        <w:rPr>
          <w:rFonts w:ascii="Times New Roman" w:cs="黑体" w:eastAsia="黑体" w:hAnsi="Times New Roman" w:hint="eastAsia"/>
        </w:rPr>
        <w:t>附件……</w:t>
      </w:r>
      <w:r>
        <w:rPr>
          <w:rFonts w:ascii="Times New Roman" w:cs="黑体" w:eastAsia="黑体" w:hAnsi="Times New Roman" w:hint="eastAsia"/>
        </w:rPr>
        <w:t>…………………………………………………</w:t>
      </w:r>
      <w:r>
        <w:rPr>
          <w:rFonts w:ascii="Times New Roman" w:cs="黑体" w:eastAsia="黑体" w:hAnsi="Times New Roman" w:hint="eastAsia"/>
        </w:rPr>
        <w:t>（</w:t>
      </w:r>
      <w:r>
        <w:rPr>
          <w:rFonts w:ascii="Times New Roman" w:cs="黑体" w:eastAsia="黑体" w:hAnsi="Times New Roman" w:hint="eastAsia"/>
        </w:rPr>
        <w:t>22</w:t>
      </w:r>
      <w:r>
        <w:rPr>
          <w:rFonts w:ascii="Times New Roman" w:cs="黑体" w:eastAsia="黑体" w:hAnsi="Times New Roman" w:hint="eastAsia"/>
        </w:rPr>
        <w:t>）</w:t>
      </w:r>
    </w:p>
    <w:p w14:paraId="D3408B14">
      <w:pPr>
        <w:pStyle w:val="style19"/>
        <w:adjustRightInd w:val="false"/>
        <w:snapToGrid w:val="false"/>
        <w:spacing w:before="0" w:lineRule="exact" w:line="560"/>
        <w:jc w:val="left"/>
        <w:rPr>
          <w:rFonts w:ascii="Times New Roman" w:cs="黑体" w:eastAsia="黑体" w:hAnsi="Times New Roman"/>
        </w:rPr>
      </w:pPr>
      <w:r>
        <w:rPr>
          <w:rFonts w:ascii="Times New Roman" w:cs="黑体" w:eastAsia="黑体" w:hAnsi="Times New Roman" w:hint="eastAsia"/>
        </w:rPr>
        <w:t>第五部分</w:t>
      </w:r>
      <w:r>
        <w:rPr>
          <w:rFonts w:ascii="Times New Roman" w:cs="黑体" w:eastAsia="黑体" w:hAnsi="Times New Roman" w:hint="eastAsia"/>
        </w:rPr>
        <w:t xml:space="preserve"> </w:t>
      </w:r>
      <w:r>
        <w:rPr>
          <w:rFonts w:ascii="Times New Roman" w:cs="黑体" w:eastAsia="黑体" w:hAnsi="Times New Roman" w:hint="eastAsia"/>
        </w:rPr>
        <w:t>附表……</w:t>
      </w:r>
      <w:r>
        <w:rPr>
          <w:rFonts w:ascii="Times New Roman" w:cs="黑体" w:eastAsia="黑体" w:hAnsi="Times New Roman" w:hint="eastAsia"/>
        </w:rPr>
        <w:t>…………………………………………………</w:t>
      </w:r>
      <w:r>
        <w:rPr>
          <w:rFonts w:ascii="Times New Roman" w:cs="黑体" w:eastAsia="黑体" w:hAnsi="Times New Roman" w:hint="eastAsia"/>
        </w:rPr>
        <w:t>（</w:t>
      </w:r>
      <w:r>
        <w:rPr>
          <w:rFonts w:ascii="Times New Roman" w:cs="黑体" w:eastAsia="黑体" w:hAnsi="Times New Roman" w:hint="eastAsia"/>
        </w:rPr>
        <w:t>23</w:t>
      </w:r>
      <w:r>
        <w:rPr>
          <w:rFonts w:ascii="Times New Roman" w:cs="黑体" w:eastAsia="黑体" w:hAnsi="Times New Roman" w:hint="eastAsia"/>
        </w:rPr>
        <w:t>）</w:t>
      </w:r>
    </w:p>
    <w:p w14:paraId="A7B73131">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一、收入支出决算总表……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89D67608">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二、收入决算表……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FBF58C5C">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三、支出决算表……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8DC8F1B0">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四、财政拨款收入支出决算总表……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FEE4BA11">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五、财政拨款支出决算明细表……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128CD1CC">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六、一般公共预算财政拨款支出决算表……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ED6EFF29">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七、一般公共预算财政拨款支出决算明细表……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32C8A44D">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八、一般公共预算财政拨款基本支出决算明细表……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B912CC07">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九、一般公共预算财政拨款项目支出决算表……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122C9A8D">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十、政府性基金预算财政拨款收入支出决算表……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6B16F3D6">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十一、国有资本经营预算财政拨款收入支出决算表……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B0E9D67A">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十二、国有资本经营预算财政拨款支出决算表……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93D358C3">
      <w:pPr>
        <w:pStyle w:val="style20"/>
        <w:adjustRightInd w:val="false"/>
        <w:snapToGrid w:val="false"/>
        <w:spacing w:lineRule="exact" w:line="560"/>
        <w:ind w:left="0" w:leftChars="0" w:firstLine="560" w:firstLineChars="200"/>
        <w:jc w:val="left"/>
        <w:rPr>
          <w:rFonts w:cs="仿宋_GB2312" w:eastAsia="仿宋_GB2312"/>
          <w:sz w:val="28"/>
          <w:szCs w:val="28"/>
        </w:rPr>
      </w:pPr>
      <w:r>
        <w:rPr>
          <w:rFonts w:cs="仿宋_GB2312" w:eastAsia="仿宋_GB2312" w:hint="eastAsia"/>
          <w:sz w:val="28"/>
          <w:szCs w:val="28"/>
        </w:rPr>
        <w:t>十三、财政拨款“三公”经费支出决算表……</w:t>
      </w:r>
      <w:r>
        <w:rPr>
          <w:rFonts w:cs="仿宋_GB2312" w:eastAsia="仿宋_GB2312" w:hint="eastAsia"/>
          <w:sz w:val="28"/>
          <w:szCs w:val="28"/>
        </w:rPr>
        <w:t>…………………</w:t>
      </w:r>
      <w:r>
        <w:rPr>
          <w:rFonts w:cs="仿宋_GB2312" w:eastAsia="仿宋_GB2312" w:hint="eastAsia"/>
          <w:sz w:val="28"/>
          <w:szCs w:val="28"/>
        </w:rPr>
        <w:t>（</w:t>
      </w:r>
      <w:r>
        <w:rPr>
          <w:rFonts w:cs="仿宋_GB2312" w:eastAsia="仿宋_GB2312" w:hint="eastAsia"/>
          <w:sz w:val="28"/>
          <w:szCs w:val="28"/>
        </w:rPr>
        <w:t>23</w:t>
      </w:r>
      <w:r>
        <w:rPr>
          <w:rFonts w:cs="仿宋_GB2312" w:eastAsia="仿宋_GB2312" w:hint="eastAsia"/>
          <w:sz w:val="28"/>
          <w:szCs w:val="28"/>
        </w:rPr>
        <w:t>）</w:t>
      </w:r>
    </w:p>
    <w:p w14:paraId="EA86368D">
      <w:pPr>
        <w:pStyle w:val="style20"/>
        <w:adjustRightInd w:val="false"/>
        <w:snapToGrid w:val="false"/>
        <w:spacing w:lineRule="exact" w:line="560"/>
        <w:ind w:left="0" w:leftChars="0" w:firstLine="562" w:firstLineChars="200"/>
        <w:jc w:val="left"/>
        <w:rPr>
          <w:rFonts w:cs="仿宋_GB2312" w:eastAsia="仿宋_GB2312"/>
          <w:b/>
          <w:bCs/>
          <w:sz w:val="28"/>
          <w:szCs w:val="28"/>
        </w:rPr>
      </w:pPr>
    </w:p>
    <w:bookmarkStart w:id="6" w:name="_Toc15396599"/>
    <w:bookmarkStart w:id="7" w:name="_Toc15377196"/>
    <w:p w14:paraId="A3A35F3D">
      <w:pPr>
        <w:pStyle w:val="style1"/>
        <w:jc w:val="center"/>
        <w:rPr>
          <w:rFonts w:cs="方正小标宋简体" w:eastAsia="方正小标宋简体"/>
          <w:b w:val="false"/>
        </w:rPr>
        <w:sectPr>
          <w:footerReference w:type="default" r:id="rId4"/>
          <w:footerReference w:type="first" r:id="rId5"/>
          <w:pgSz w:w="11906" w:h="16838" w:orient="portrait"/>
          <w:pgMar w:top="1440" w:right="1800" w:bottom="1440" w:left="1800" w:header="851" w:footer="992" w:gutter="0"/>
          <w:pgNumType w:fmt="numberInDash" w:start="1"/>
          <w:cols w:space="425"/>
          <w:titlePg/>
          <w:docGrid w:type="lines" w:linePitch="312"/>
        </w:sectPr>
      </w:pPr>
    </w:p>
    <w:p w14:paraId="BADF08A4">
      <w:pPr>
        <w:pStyle w:val="style1"/>
        <w:jc w:val="center"/>
        <w:rPr>
          <w:rFonts w:cs="方正小标宋简体" w:eastAsia="方正小标宋简体"/>
          <w:bCs w:val="false"/>
        </w:rPr>
      </w:pPr>
      <w:r>
        <w:rPr>
          <w:rFonts w:cs="方正小标宋简体" w:eastAsia="方正小标宋简体" w:hint="eastAsia"/>
          <w:b w:val="false"/>
        </w:rPr>
        <w:t>第一部分</w:t>
      </w:r>
      <w:r>
        <w:rPr>
          <w:rFonts w:cs="方正小标宋简体" w:eastAsia="方正小标宋简体" w:hint="eastAsia"/>
          <w:b w:val="false"/>
        </w:rPr>
        <w:t xml:space="preserve">  </w:t>
      </w:r>
      <w:r>
        <w:rPr>
          <w:rStyle w:val="style4105"/>
          <w:rFonts w:cs="方正小标宋简体" w:eastAsia="方正小标宋简体" w:hint="eastAsia"/>
        </w:rPr>
        <w:t>单位概况</w:t>
      </w:r>
      <w:bookmarkEnd w:id="6"/>
      <w:bookmarkEnd w:id="7"/>
    </w:p>
    <w:p w14:paraId="7A0B5368">
      <w:pPr>
        <w:pStyle w:val="style2"/>
        <w:numPr>
          <w:ilvl w:val="0"/>
          <w:numId w:val="1"/>
        </w:numPr>
        <w:rPr>
          <w:rFonts w:ascii="Times New Roman" w:eastAsia="黑体" w:hAnsi="Times New Roman"/>
          <w:b w:val="false"/>
        </w:rPr>
      </w:pPr>
      <w:r>
        <w:rPr>
          <w:rFonts w:ascii="Times New Roman" w:eastAsia="黑体" w:hAnsi="Times New Roman" w:hint="eastAsia"/>
          <w:b w:val="false"/>
        </w:rPr>
        <w:t>主要职责</w:t>
      </w:r>
    </w:p>
    <w:p w14:paraId="C98E4140">
      <w:pPr>
        <w:pStyle w:val="style0"/>
        <w:rPr/>
      </w:pPr>
      <w:r>
        <w:rPr>
          <w:rFonts w:hint="eastAsia"/>
          <w:sz w:val="32"/>
          <w:szCs w:val="32"/>
        </w:rPr>
        <w:t xml:space="preserve"> </w:t>
      </w:r>
      <w:r>
        <w:rPr>
          <w:rFonts w:hint="eastAsia"/>
          <w:sz w:val="32"/>
          <w:szCs w:val="32"/>
        </w:rPr>
        <w:t xml:space="preserve"> </w:t>
      </w:r>
      <w:r>
        <w:rPr>
          <w:rFonts w:hint="eastAsia"/>
          <w:sz w:val="32"/>
          <w:szCs w:val="32"/>
        </w:rPr>
        <w:t xml:space="preserve">  </w:t>
      </w:r>
      <w:r>
        <w:rPr>
          <w:rFonts w:eastAsia="仿宋_GB2312" w:hint="eastAsia"/>
          <w:sz w:val="32"/>
          <w:szCs w:val="32"/>
        </w:rPr>
        <w:t>盐边县自然资源和规划局主要职责</w:t>
      </w:r>
      <w:r>
        <w:rPr>
          <w:rFonts w:eastAsia="仿宋_GB2312" w:hint="eastAsia"/>
          <w:sz w:val="32"/>
          <w:szCs w:val="32"/>
        </w:rPr>
        <w:t>是按照规定权限，履行全民所有土地、矿产、水等自然资源资产所有者职责和所有国土空间用途管制职责。贯彻执行国家、省、市有关自然资源和国土空间规划及测绘等方面的法律、法规、规章，制定有关政策措施并组织实施等各种涉及自然资源的工作。负责县政府机关的上情下达，下情上报及上级机关交办的其他工作。</w:t>
      </w:r>
    </w:p>
    <w:bookmarkStart w:id="8" w:name="_Toc15377200"/>
    <w:bookmarkStart w:id="9" w:name="_Toc15396601"/>
    <w:p w14:paraId="BDDC2603">
      <w:pPr>
        <w:pStyle w:val="style2"/>
        <w:spacing w:before="0" w:after="0"/>
        <w:rPr>
          <w:rFonts w:ascii="Times New Roman" w:eastAsia="黑体" w:hAnsi="Times New Roman"/>
          <w:b w:val="false"/>
          <w:bCs w:val="false"/>
        </w:rPr>
      </w:pPr>
      <w:r>
        <w:rPr>
          <w:rFonts w:ascii="Times New Roman" w:eastAsia="黑体" w:hAnsi="Times New Roman" w:hint="eastAsia"/>
          <w:b w:val="false"/>
        </w:rPr>
        <w:t>二、机</w:t>
      </w:r>
      <w:r>
        <w:rPr>
          <w:rStyle w:val="style4106"/>
          <w:rFonts w:ascii="Times New Roman" w:eastAsia="黑体" w:hAnsi="Times New Roman" w:hint="eastAsia"/>
        </w:rPr>
        <w:t>构设置</w:t>
      </w:r>
      <w:bookmarkEnd w:id="8"/>
      <w:bookmarkEnd w:id="9"/>
    </w:p>
    <w:p w14:paraId="2A25CB6C">
      <w:pPr>
        <w:pStyle w:val="style0"/>
        <w:ind w:firstLine="825" w:firstLineChars="250"/>
        <w:rPr>
          <w:rFonts w:cs="仿宋_GB2312" w:eastAsia="仿宋_GB2312"/>
          <w:sz w:val="32"/>
          <w:szCs w:val="32"/>
        </w:rPr>
      </w:pPr>
      <w:r>
        <w:rPr>
          <w:rFonts w:ascii="方正仿宋_GBK" w:eastAsia="方正仿宋_GBK" w:hint="default"/>
          <w:color w:val="000000"/>
          <w:sz w:val="33"/>
          <w:szCs w:val="33"/>
          <w:lang w:val="en-US"/>
        </w:rPr>
        <w:t>盐边</w:t>
      </w:r>
      <w:r>
        <w:rPr>
          <w:rFonts w:ascii="方正仿宋_GBK" w:eastAsia="方正仿宋_GBK" w:hint="eastAsia"/>
          <w:color w:val="000000"/>
          <w:sz w:val="33"/>
          <w:szCs w:val="33"/>
        </w:rPr>
        <w:t>县自然资源和规划局下设</w:t>
      </w:r>
      <w:r>
        <w:rPr>
          <w:rFonts w:ascii="方正仿宋_GBK" w:eastAsia="方正仿宋_GBK" w:hint="default"/>
          <w:color w:val="000000"/>
          <w:sz w:val="33"/>
          <w:szCs w:val="33"/>
          <w:lang w:val="en-US"/>
        </w:rPr>
        <w:t>4股1室，含</w:t>
      </w:r>
      <w:r>
        <w:rPr>
          <w:rFonts w:ascii="方正仿宋_GBK" w:eastAsia="方正仿宋_GBK" w:hint="eastAsia"/>
          <w:color w:val="000000"/>
          <w:sz w:val="33"/>
          <w:szCs w:val="33"/>
        </w:rPr>
        <w:t>办公室、空间规划和用途管制股、</w:t>
      </w:r>
      <w:r>
        <w:rPr>
          <w:rFonts w:ascii="TimesNewRoman" w:hAnsi="TimesNewRoman"/>
          <w:color w:val="000000"/>
          <w:sz w:val="33"/>
          <w:szCs w:val="33"/>
        </w:rPr>
        <w:t xml:space="preserve"> </w:t>
      </w:r>
      <w:r>
        <w:rPr>
          <w:rFonts w:ascii="方正仿宋_GBK" w:eastAsia="方正仿宋_GBK" w:hint="eastAsia"/>
          <w:color w:val="000000"/>
          <w:sz w:val="33"/>
          <w:szCs w:val="33"/>
        </w:rPr>
        <w:t>调查确权和开发利用股、地质矿产股、政策法规股（行政审批股）。</w:t>
      </w:r>
    </w:p>
    <w:p w14:paraId="2150C450">
      <w:pPr>
        <w:pStyle w:val="style29"/>
        <w:rPr/>
      </w:pPr>
    </w:p>
    <w:p w14:paraId="8103C5FE">
      <w:pPr>
        <w:pStyle w:val="style78"/>
        <w:ind w:left="420"/>
        <w:rPr/>
      </w:pPr>
    </w:p>
    <w:p w14:paraId="1A729147">
      <w:pPr>
        <w:pStyle w:val="style78"/>
        <w:ind w:left="420"/>
        <w:rPr/>
      </w:pPr>
    </w:p>
    <w:p w14:paraId="4BEDC94E">
      <w:pPr>
        <w:pStyle w:val="style78"/>
        <w:ind w:left="420"/>
        <w:rPr/>
      </w:pPr>
    </w:p>
    <w:p w14:paraId="6EBACB4A">
      <w:pPr>
        <w:pStyle w:val="style78"/>
        <w:ind w:left="420"/>
        <w:rPr/>
      </w:pPr>
    </w:p>
    <w:p w14:paraId="7F0C5AE3">
      <w:pPr>
        <w:pStyle w:val="style78"/>
        <w:ind w:left="420"/>
        <w:rPr/>
      </w:pPr>
    </w:p>
    <w:p w14:paraId="DD3CC67F">
      <w:pPr>
        <w:pStyle w:val="style78"/>
        <w:ind w:left="420"/>
        <w:rPr/>
      </w:pPr>
    </w:p>
    <w:p w14:paraId="51AD312E">
      <w:pPr>
        <w:pStyle w:val="style78"/>
        <w:ind w:left="420"/>
        <w:rPr/>
      </w:pPr>
    </w:p>
    <w:p w14:paraId="E99D4C1E">
      <w:pPr>
        <w:pStyle w:val="style78"/>
        <w:ind w:left="420"/>
        <w:rPr/>
      </w:pPr>
    </w:p>
    <w:p w14:paraId="C16EBC55">
      <w:pPr>
        <w:pStyle w:val="style78"/>
        <w:ind w:left="420"/>
        <w:rPr/>
      </w:pPr>
    </w:p>
    <w:p w14:paraId="FF1B7223">
      <w:pPr>
        <w:pStyle w:val="style78"/>
        <w:ind w:left="420"/>
        <w:rPr/>
        <w:sectPr>
          <w:footerReference w:type="default" r:id="rId6"/>
          <w:footerReference w:type="first" r:id="rId7"/>
          <w:pgSz w:w="11906" w:h="16838" w:orient="portrait"/>
          <w:pgMar w:top="1440" w:right="1800" w:bottom="1440" w:left="1800" w:header="851" w:footer="992" w:gutter="0"/>
          <w:pgNumType w:start="1"/>
          <w:cols w:space="425"/>
          <w:titlePg/>
          <w:docGrid w:type="lines" w:linePitch="312"/>
        </w:sectPr>
      </w:pPr>
    </w:p>
    <w:bookmarkStart w:id="10" w:name="_Toc15396602"/>
    <w:bookmarkStart w:id="11" w:name="_Toc15377204"/>
    <w:p w14:paraId="722FFA43">
      <w:pPr>
        <w:pStyle w:val="style1"/>
        <w:jc w:val="center"/>
        <w:rPr>
          <w:rFonts w:cs="方正小标宋简体" w:eastAsia="方正小标宋简体"/>
          <w:b w:val="false"/>
        </w:rPr>
      </w:pPr>
      <w:r>
        <w:rPr>
          <w:rFonts w:cs="方正小标宋简体" w:eastAsia="方正小标宋简体" w:hint="eastAsia"/>
          <w:b w:val="false"/>
        </w:rPr>
        <w:t>第二部分</w:t>
      </w:r>
      <w:r>
        <w:rPr>
          <w:rFonts w:cs="方正小标宋简体" w:eastAsia="方正小标宋简体" w:hint="eastAsia"/>
          <w:b w:val="false"/>
        </w:rPr>
        <w:t xml:space="preserve">  2024</w:t>
      </w:r>
      <w:r>
        <w:rPr>
          <w:rFonts w:cs="方正小标宋简体" w:eastAsia="方正小标宋简体" w:hint="eastAsia"/>
          <w:b w:val="false"/>
        </w:rPr>
        <w:t>年度部门决算情况说明</w:t>
      </w:r>
      <w:bookmarkEnd w:id="10"/>
      <w:bookmarkEnd w:id="11"/>
    </w:p>
    <w:p w14:paraId="077B34C3">
      <w:pPr>
        <w:pStyle w:val="style0"/>
        <w:rPr/>
      </w:pPr>
    </w:p>
    <w:bookmarkStart w:id="12" w:name="_Toc15396603"/>
    <w:bookmarkStart w:id="13" w:name="_Toc15377205"/>
    <w:p w14:paraId="8F58227E">
      <w:pPr>
        <w:pStyle w:val="style179"/>
        <w:spacing w:lineRule="exact" w:line="600"/>
        <w:ind w:firstLine="640"/>
        <w:outlineLvl w:val="1"/>
        <w:rPr>
          <w:rStyle w:val="style4106"/>
          <w:rFonts w:ascii="Times New Roman" w:eastAsia="黑体" w:hAnsi="Times New Roman"/>
          <w:b w:val="false"/>
        </w:rPr>
      </w:pPr>
      <w:r>
        <w:rPr>
          <w:rFonts w:eastAsia="黑体" w:hint="eastAsia"/>
          <w:sz w:val="32"/>
          <w:szCs w:val="32"/>
        </w:rPr>
        <w:t>一、收</w:t>
      </w:r>
      <w:r>
        <w:rPr>
          <w:rStyle w:val="style4106"/>
          <w:rFonts w:ascii="Times New Roman" w:eastAsia="黑体" w:hAnsi="Times New Roman" w:hint="eastAsia"/>
          <w:b w:val="false"/>
        </w:rPr>
        <w:t>入支出决算总体情况说明</w:t>
      </w:r>
      <w:bookmarkEnd w:id="12"/>
      <w:bookmarkEnd w:id="13"/>
    </w:p>
    <w:p w14:paraId="D445406F">
      <w:pPr>
        <w:pStyle w:val="style179"/>
        <w:spacing w:lineRule="exact" w:line="600"/>
        <w:ind w:firstLine="640"/>
        <w:outlineLvl w:val="1"/>
        <w:rPr>
          <w:rFonts w:ascii="仿宋_GB2312" w:eastAsia="仿宋_GB2312"/>
          <w:sz w:val="32"/>
          <w:szCs w:val="32"/>
        </w:rPr>
      </w:pPr>
      <w:r>
        <w:rPr>
          <w:rFonts w:cs="仿宋_GB2312" w:eastAsia="仿宋_GB2312" w:hint="eastAsia"/>
          <w:sz w:val="32"/>
          <w:szCs w:val="32"/>
        </w:rPr>
        <w:t>2024</w:t>
      </w:r>
      <w:r>
        <w:rPr>
          <w:rFonts w:cs="仿宋_GB2312" w:eastAsia="仿宋_GB2312" w:hint="eastAsia"/>
          <w:sz w:val="32"/>
          <w:szCs w:val="32"/>
        </w:rPr>
        <w:t>年度收入、支出总计均为</w:t>
      </w:r>
      <w:r>
        <w:rPr>
          <w:rFonts w:cs="仿宋_GB2312" w:eastAsia="仿宋_GB2312" w:hint="eastAsia"/>
          <w:sz w:val="32"/>
          <w:szCs w:val="32"/>
        </w:rPr>
        <w:t>31282.55</w:t>
      </w:r>
      <w:r>
        <w:rPr>
          <w:rFonts w:cs="仿宋_GB2312" w:eastAsia="仿宋_GB2312" w:hint="eastAsia"/>
          <w:sz w:val="32"/>
          <w:szCs w:val="32"/>
        </w:rPr>
        <w:t>万元。与</w:t>
      </w:r>
      <w:r>
        <w:rPr>
          <w:rFonts w:cs="仿宋_GB2312" w:eastAsia="仿宋_GB2312" w:hint="eastAsia"/>
          <w:sz w:val="32"/>
          <w:szCs w:val="32"/>
        </w:rPr>
        <w:t>2023</w:t>
      </w:r>
      <w:r>
        <w:rPr>
          <w:rFonts w:cs="仿宋_GB2312" w:eastAsia="仿宋_GB2312" w:hint="eastAsia"/>
          <w:sz w:val="32"/>
          <w:szCs w:val="32"/>
        </w:rPr>
        <w:t>年度相比，收入、支出总计各增加</w:t>
      </w:r>
      <w:r>
        <w:rPr>
          <w:rFonts w:ascii="仿宋_GB2312" w:eastAsia="仿宋_GB2312" w:hint="eastAsia"/>
          <w:sz w:val="32"/>
          <w:szCs w:val="32"/>
        </w:rPr>
        <w:t>16337.34</w:t>
      </w:r>
      <w:r>
        <w:rPr>
          <w:rFonts w:cs="仿宋_GB2312" w:eastAsia="仿宋_GB2312" w:hint="eastAsia"/>
          <w:sz w:val="32"/>
          <w:szCs w:val="32"/>
        </w:rPr>
        <w:t>万元，增长</w:t>
      </w:r>
      <w:r>
        <w:rPr>
          <w:rFonts w:cs="仿宋_GB2312" w:eastAsia="仿宋_GB2312" w:hint="eastAsia"/>
          <w:sz w:val="32"/>
          <w:szCs w:val="32"/>
        </w:rPr>
        <w:t>109%</w:t>
      </w:r>
      <w:r>
        <w:rPr>
          <w:rFonts w:cs="仿宋_GB2312" w:eastAsia="仿宋_GB2312" w:hint="eastAsia"/>
          <w:sz w:val="32"/>
          <w:szCs w:val="32"/>
        </w:rPr>
        <w:t>。主要变动原因是</w:t>
      </w:r>
      <w:r>
        <w:rPr>
          <w:rFonts w:ascii="仿宋_GB2312" w:eastAsia="仿宋_GB2312"/>
          <w:sz w:val="32"/>
          <w:szCs w:val="32"/>
        </w:rPr>
        <w:t>根据工作开展，新增收储土地工作经费，新增国债项目收入</w:t>
      </w:r>
      <w:r>
        <w:rPr>
          <w:rFonts w:ascii="仿宋_GB2312" w:eastAsia="仿宋_GB2312" w:hint="eastAsia"/>
          <w:sz w:val="32"/>
          <w:szCs w:val="32"/>
        </w:rPr>
        <w:t>。</w:t>
      </w:r>
    </w:p>
    <w:p w14:paraId="5141AB8F">
      <w:pPr>
        <w:pStyle w:val="style0"/>
        <w:spacing w:lineRule="exact" w:line="600"/>
        <w:ind w:firstLine="419" w:firstLineChars="131"/>
        <w:outlineLvl w:val="1"/>
        <w:rPr>
          <w:rFonts w:ascii="仿宋_GB2312" w:eastAsia="仿宋_GB2312"/>
          <w:sz w:val="32"/>
          <w:szCs w:val="32"/>
        </w:rPr>
      </w:pPr>
      <w:r>
        <w:rPr>
          <w:rFonts w:ascii="仿宋_GB2312" w:eastAsia="仿宋_GB2312" w:hint="eastAsia"/>
          <w:noProof/>
          <w:sz w:val="32"/>
          <w:szCs w:val="32"/>
        </w:rPr>
        <w:drawing>
          <wp:anchor distT="0" distB="0" distL="0" distR="0" simplePos="false" relativeHeight="2" behindDoc="true" locked="false" layoutInCell="true" allowOverlap="true">
            <wp:simplePos x="0" y="0"/>
            <wp:positionH relativeFrom="column">
              <wp:posOffset>134620</wp:posOffset>
            </wp:positionH>
            <wp:positionV relativeFrom="paragraph">
              <wp:posOffset>252094</wp:posOffset>
            </wp:positionV>
            <wp:extent cx="5314315" cy="2847340"/>
            <wp:effectExtent l="0" t="0" r="0" b="0"/>
            <wp:wrapNone/>
            <wp:docPr id="1026"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8" cstate="print"/>
                    <a:srcRect l="0" t="0" r="0" b="0"/>
                    <a:stretch/>
                  </pic:blipFill>
                  <pic:spPr>
                    <a:xfrm rot="0">
                      <a:off x="0" y="0"/>
                      <a:ext cx="5314315" cy="2847340"/>
                    </a:xfrm>
                    <a:prstGeom prst="rect"/>
                    <a:ln>
                      <a:noFill/>
                    </a:ln>
                  </pic:spPr>
                </pic:pic>
              </a:graphicData>
            </a:graphic>
          </wp:anchor>
        </w:drawing>
      </w:r>
      <w:r>
        <w:rPr>
          <w:rFonts w:ascii="仿宋_GB2312" w:eastAsia="仿宋_GB2312" w:hint="eastAsia"/>
          <w:sz w:val="32"/>
          <w:szCs w:val="32"/>
        </w:rPr>
        <w:t xml:space="preserve">            收入、支出决算总计变动表</w:t>
      </w:r>
    </w:p>
    <w:p w14:paraId="7D3104E4">
      <w:pPr>
        <w:pStyle w:val="style0"/>
        <w:spacing w:lineRule="exact" w:line="600"/>
        <w:ind w:firstLine="419" w:firstLineChars="131"/>
        <w:outlineLvl w:val="1"/>
        <w:rPr>
          <w:rFonts w:ascii="仿宋_GB2312" w:eastAsia="仿宋_GB2312"/>
          <w:sz w:val="32"/>
          <w:szCs w:val="32"/>
        </w:rPr>
      </w:pPr>
    </w:p>
    <w:p w14:paraId="492615A0">
      <w:pPr>
        <w:pStyle w:val="style179"/>
        <w:spacing w:lineRule="exact" w:line="600"/>
        <w:ind w:firstLine="640"/>
        <w:outlineLvl w:val="1"/>
        <w:rPr>
          <w:rFonts w:ascii="仿宋_GB2312" w:eastAsia="仿宋_GB2312"/>
          <w:sz w:val="32"/>
          <w:szCs w:val="32"/>
        </w:rPr>
      </w:pPr>
    </w:p>
    <w:p w14:paraId="61CFDD7B">
      <w:pPr>
        <w:pStyle w:val="style179"/>
        <w:spacing w:lineRule="exact" w:line="600"/>
        <w:ind w:firstLine="640"/>
        <w:outlineLvl w:val="1"/>
        <w:rPr>
          <w:rFonts w:ascii="仿宋_GB2312" w:eastAsia="仿宋_GB2312"/>
          <w:sz w:val="32"/>
          <w:szCs w:val="32"/>
        </w:rPr>
      </w:pPr>
    </w:p>
    <w:p w14:paraId="3B9565C6">
      <w:pPr>
        <w:pStyle w:val="style179"/>
        <w:spacing w:lineRule="exact" w:line="600"/>
        <w:ind w:firstLine="640"/>
        <w:outlineLvl w:val="1"/>
        <w:rPr>
          <w:rFonts w:ascii="仿宋_GB2312" w:eastAsia="仿宋_GB2312"/>
          <w:sz w:val="32"/>
          <w:szCs w:val="32"/>
        </w:rPr>
      </w:pPr>
    </w:p>
    <w:p w14:paraId="1CD8BC62">
      <w:pPr>
        <w:pStyle w:val="style179"/>
        <w:spacing w:lineRule="exact" w:line="600"/>
        <w:ind w:firstLine="640"/>
        <w:outlineLvl w:val="1"/>
        <w:rPr>
          <w:rFonts w:ascii="仿宋_GB2312" w:eastAsia="仿宋_GB2312"/>
          <w:sz w:val="32"/>
          <w:szCs w:val="32"/>
        </w:rPr>
      </w:pPr>
    </w:p>
    <w:p w14:paraId="515DEF39">
      <w:pPr>
        <w:pStyle w:val="style179"/>
        <w:spacing w:lineRule="exact" w:line="600"/>
        <w:ind w:firstLine="640"/>
        <w:outlineLvl w:val="1"/>
        <w:rPr>
          <w:rFonts w:ascii="仿宋_GB2312" w:eastAsia="仿宋_GB2312"/>
          <w:sz w:val="32"/>
          <w:szCs w:val="32"/>
        </w:rPr>
      </w:pPr>
    </w:p>
    <w:p w14:paraId="5AAF1970">
      <w:pPr>
        <w:pStyle w:val="style179"/>
        <w:spacing w:lineRule="exact" w:line="600"/>
        <w:ind w:firstLine="640"/>
        <w:outlineLvl w:val="1"/>
        <w:rPr>
          <w:rFonts w:cs="仿宋_GB2312" w:eastAsia="仿宋_GB2312"/>
          <w:sz w:val="32"/>
          <w:szCs w:val="32"/>
        </w:rPr>
      </w:pPr>
    </w:p>
    <w:p w14:paraId="A1D11058">
      <w:pPr>
        <w:pStyle w:val="style0"/>
        <w:ind w:firstLine="640" w:firstLineChars="200"/>
        <w:rPr>
          <w:rFonts w:cs="仿宋_GB2312" w:eastAsia="仿宋_GB2312"/>
          <w:sz w:val="32"/>
          <w:szCs w:val="32"/>
        </w:rPr>
      </w:pPr>
      <w:r>
        <w:rPr>
          <w:rFonts w:cs="仿宋_GB2312" w:eastAsia="仿宋_GB2312" w:hint="eastAsia"/>
          <w:sz w:val="32"/>
          <w:szCs w:val="32"/>
        </w:rPr>
        <w:t>（图</w:t>
      </w:r>
      <w:r>
        <w:rPr>
          <w:rFonts w:cs="仿宋_GB2312" w:eastAsia="仿宋_GB2312" w:hint="eastAsia"/>
          <w:sz w:val="32"/>
          <w:szCs w:val="32"/>
        </w:rPr>
        <w:t>1</w:t>
      </w:r>
      <w:r>
        <w:rPr>
          <w:rFonts w:cs="仿宋_GB2312" w:eastAsia="仿宋_GB2312" w:hint="eastAsia"/>
          <w:sz w:val="32"/>
          <w:szCs w:val="32"/>
        </w:rPr>
        <w:t>：收入、支出决算总计变动情况图）（柱状图）</w:t>
      </w:r>
    </w:p>
    <w:bookmarkStart w:id="14" w:name="_Toc15396604"/>
    <w:bookmarkStart w:id="15" w:name="_Toc15377206"/>
    <w:p w14:paraId="BC6A6CF0">
      <w:pPr>
        <w:pStyle w:val="style179"/>
        <w:spacing w:lineRule="exact" w:line="600"/>
        <w:ind w:firstLine="640"/>
        <w:outlineLvl w:val="1"/>
        <w:rPr>
          <w:rFonts w:eastAsia="黑体"/>
          <w:sz w:val="32"/>
          <w:szCs w:val="32"/>
        </w:rPr>
      </w:pPr>
      <w:r>
        <w:rPr>
          <w:rFonts w:eastAsia="黑体" w:hint="eastAsia"/>
          <w:sz w:val="32"/>
          <w:szCs w:val="32"/>
        </w:rPr>
        <w:t>二、收入决算情况说明</w:t>
      </w:r>
      <w:bookmarkEnd w:id="14"/>
      <w:bookmarkEnd w:id="15"/>
    </w:p>
    <w:p w14:paraId="93FD7CDE">
      <w:pPr>
        <w:pStyle w:val="style179"/>
        <w:spacing w:lineRule="exact" w:line="600"/>
        <w:ind w:firstLine="640"/>
        <w:jc w:val="left"/>
        <w:outlineLvl w:val="1"/>
        <w:rPr>
          <w:rFonts w:cs="仿宋_GB2312" w:eastAsia="仿宋_GB2312"/>
          <w:b/>
          <w:bCs/>
          <w:sz w:val="32"/>
          <w:szCs w:val="32"/>
        </w:rPr>
      </w:pPr>
      <w:r>
        <w:rPr>
          <w:rFonts w:ascii="仿宋_GB2312" w:cs="仿宋_GB2312" w:eastAsia="仿宋_GB2312" w:hAnsi="仿宋_GB2312" w:hint="eastAsia"/>
          <w:sz w:val="32"/>
          <w:szCs w:val="32"/>
        </w:rPr>
        <w:t>2024年度本年收入合计31282.55万元，其中：一般公共预算财政拨款收入12897.83万元，占41.23%；政府性基金预算财政拨款收入13335.08万元，占42.63%；其他收入5049.64万元，占16.14%。</w:t>
      </w:r>
    </w:p>
    <w:p w14:paraId="620EAA36">
      <w:pPr>
        <w:pStyle w:val="style0"/>
        <w:rPr>
          <w:rFonts w:cs="仿宋_GB2312" w:eastAsia="仿宋_GB2312"/>
          <w:sz w:val="32"/>
          <w:szCs w:val="32"/>
        </w:rPr>
      </w:pPr>
    </w:p>
    <w:p w14:paraId="15E5B249">
      <w:pPr>
        <w:pStyle w:val="style0"/>
        <w:rPr>
          <w:rFonts w:cs="仿宋_GB2312" w:eastAsia="仿宋_GB2312"/>
          <w:sz w:val="32"/>
          <w:szCs w:val="32"/>
        </w:rPr>
      </w:pPr>
      <w:r>
        <w:rPr>
          <w:rFonts w:cs="仿宋_GB2312" w:eastAsia="仿宋_GB2312" w:hint="eastAsia"/>
          <w:noProof/>
          <w:sz w:val="32"/>
          <w:szCs w:val="32"/>
        </w:rPr>
        <w:drawing>
          <wp:anchor distT="0" distB="0" distL="0" distR="0" simplePos="false" relativeHeight="3" behindDoc="true" locked="false" layoutInCell="true" allowOverlap="true">
            <wp:simplePos x="0" y="0"/>
            <wp:positionH relativeFrom="column">
              <wp:posOffset>-152400</wp:posOffset>
            </wp:positionH>
            <wp:positionV relativeFrom="paragraph">
              <wp:posOffset>172085</wp:posOffset>
            </wp:positionV>
            <wp:extent cx="5581650" cy="3152774"/>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F0160038">
      <w:pPr>
        <w:pStyle w:val="style0"/>
        <w:rPr>
          <w:rFonts w:cs="仿宋_GB2312" w:eastAsia="仿宋_GB2312"/>
          <w:sz w:val="32"/>
          <w:szCs w:val="32"/>
        </w:rPr>
      </w:pPr>
    </w:p>
    <w:p w14:paraId="86444672">
      <w:pPr>
        <w:pStyle w:val="style0"/>
        <w:rPr>
          <w:rFonts w:cs="仿宋_GB2312" w:eastAsia="仿宋_GB2312"/>
          <w:sz w:val="32"/>
          <w:szCs w:val="32"/>
        </w:rPr>
      </w:pPr>
    </w:p>
    <w:p w14:paraId="03292EF0">
      <w:pPr>
        <w:pStyle w:val="style0"/>
        <w:rPr>
          <w:rFonts w:cs="仿宋_GB2312" w:eastAsia="仿宋_GB2312"/>
          <w:sz w:val="32"/>
          <w:szCs w:val="32"/>
        </w:rPr>
      </w:pPr>
    </w:p>
    <w:p w14:paraId="129D5445">
      <w:pPr>
        <w:pStyle w:val="style0"/>
        <w:rPr>
          <w:rFonts w:cs="仿宋_GB2312" w:eastAsia="仿宋_GB2312"/>
          <w:sz w:val="32"/>
          <w:szCs w:val="32"/>
        </w:rPr>
      </w:pPr>
    </w:p>
    <w:p w14:paraId="DEE9D0BC">
      <w:pPr>
        <w:pStyle w:val="style0"/>
        <w:rPr>
          <w:rFonts w:cs="仿宋_GB2312" w:eastAsia="仿宋_GB2312"/>
          <w:sz w:val="32"/>
          <w:szCs w:val="32"/>
        </w:rPr>
      </w:pPr>
    </w:p>
    <w:p w14:paraId="C0B3E979">
      <w:pPr>
        <w:pStyle w:val="style0"/>
        <w:rPr>
          <w:rFonts w:cs="仿宋_GB2312" w:eastAsia="仿宋_GB2312"/>
          <w:sz w:val="32"/>
          <w:szCs w:val="32"/>
        </w:rPr>
      </w:pPr>
    </w:p>
    <w:p w14:paraId="D0811766">
      <w:pPr>
        <w:pStyle w:val="style0"/>
        <w:rPr>
          <w:rFonts w:cs="仿宋_GB2312" w:eastAsia="仿宋_GB2312"/>
          <w:sz w:val="32"/>
          <w:szCs w:val="32"/>
        </w:rPr>
      </w:pPr>
    </w:p>
    <w:p w14:paraId="CF3AD4BE">
      <w:pPr>
        <w:pStyle w:val="style0"/>
        <w:ind w:firstLine="960" w:firstLineChars="300"/>
        <w:rPr>
          <w:rFonts w:cs="仿宋_GB2312" w:eastAsia="仿宋_GB2312"/>
          <w:sz w:val="32"/>
          <w:szCs w:val="32"/>
        </w:rPr>
      </w:pPr>
      <w:r>
        <w:rPr>
          <w:rFonts w:cs="仿宋_GB2312" w:eastAsia="仿宋_GB2312" w:hint="eastAsia"/>
          <w:sz w:val="32"/>
          <w:szCs w:val="32"/>
        </w:rPr>
        <w:t>（图</w:t>
      </w:r>
      <w:r>
        <w:rPr>
          <w:rFonts w:cs="仿宋_GB2312" w:eastAsia="仿宋_GB2312" w:hint="eastAsia"/>
          <w:sz w:val="32"/>
          <w:szCs w:val="32"/>
        </w:rPr>
        <w:t>2</w:t>
      </w:r>
      <w:r>
        <w:rPr>
          <w:rFonts w:cs="仿宋_GB2312" w:eastAsia="仿宋_GB2312" w:hint="eastAsia"/>
          <w:sz w:val="32"/>
          <w:szCs w:val="32"/>
        </w:rPr>
        <w:t>：收入决算结构图）（饼状图）</w:t>
      </w:r>
    </w:p>
    <w:bookmarkStart w:id="16" w:name="_Toc15377207"/>
    <w:bookmarkStart w:id="17" w:name="_Toc15396605"/>
    <w:p w14:paraId="24AE4F6C">
      <w:pPr>
        <w:pStyle w:val="style179"/>
        <w:spacing w:lineRule="exact" w:line="600"/>
        <w:ind w:firstLine="640"/>
        <w:outlineLvl w:val="1"/>
        <w:rPr>
          <w:rStyle w:val="style4106"/>
          <w:rFonts w:ascii="Times New Roman" w:eastAsia="黑体" w:hAnsi="Times New Roman"/>
          <w:b w:val="false"/>
        </w:rPr>
      </w:pPr>
      <w:r>
        <w:rPr>
          <w:rFonts w:eastAsia="黑体" w:hint="eastAsia"/>
          <w:sz w:val="32"/>
          <w:szCs w:val="32"/>
        </w:rPr>
        <w:t>三、支</w:t>
      </w:r>
      <w:r>
        <w:rPr>
          <w:rStyle w:val="style4106"/>
          <w:rFonts w:ascii="Times New Roman" w:eastAsia="黑体" w:hAnsi="Times New Roman" w:hint="eastAsia"/>
          <w:b w:val="false"/>
        </w:rPr>
        <w:t>出决算情况说明</w:t>
      </w:r>
      <w:bookmarkEnd w:id="16"/>
      <w:bookmarkEnd w:id="17"/>
    </w:p>
    <w:p w14:paraId="F43D729D">
      <w:pPr>
        <w:pStyle w:val="style179"/>
        <w:spacing w:lineRule="exact" w:line="600"/>
        <w:ind w:firstLine="640"/>
        <w:jc w:val="left"/>
        <w:outlineLvl w:val="1"/>
        <w:rPr>
          <w:rFonts w:ascii="仿宋_GB2312" w:cs="仿宋_GB2312" w:eastAsia="仿宋_GB2312" w:hAnsi="仿宋_GB2312"/>
          <w:sz w:val="32"/>
          <w:szCs w:val="32"/>
        </w:rPr>
      </w:pPr>
      <w:r>
        <w:rPr>
          <w:rFonts w:ascii="仿宋_GB2312" w:cs="仿宋_GB2312" w:eastAsia="仿宋_GB2312" w:hAnsi="仿宋_GB2312" w:hint="eastAsia"/>
          <w:sz w:val="32"/>
          <w:szCs w:val="32"/>
        </w:rPr>
        <w:t>2024年度本年支出合计31282.55万元，其中：基本支出1201.7万元，占3.84%；项目支出30080.82万元，占96.16%。</w:t>
      </w:r>
    </w:p>
    <w:p w14:paraId="A418F1E1">
      <w:pPr>
        <w:pStyle w:val="style0"/>
        <w:rPr>
          <w:rFonts w:cs="仿宋_GB2312" w:eastAsia="仿宋_GB2312"/>
          <w:sz w:val="32"/>
          <w:szCs w:val="32"/>
        </w:rPr>
      </w:pPr>
      <w:r>
        <w:rPr>
          <w:noProof/>
        </w:rPr>
      </w:r>
      <w:r>
        <w:rPr>
          <w:noProof/>
        </w:rPr>
      </w:r>
      <w:r>
        <w:rPr>
          <w:noProof/>
        </w:rPr>
      </w:r>
      <w:r>
        <w:rPr>
          <w:noProof/>
        </w:rPr>
        <w:drawing>
          <wp:inline distL="114300" distT="0" distB="0" distR="114300">
            <wp:extent cx="5276850" cy="288607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r>
    </w:p>
    <w:p w14:paraId="D592AFB3">
      <w:pPr>
        <w:pStyle w:val="style0"/>
        <w:ind w:firstLine="800" w:firstLineChars="250"/>
        <w:rPr>
          <w:rFonts w:cs="仿宋_GB2312" w:eastAsia="仿宋_GB2312"/>
          <w:sz w:val="32"/>
          <w:szCs w:val="32"/>
        </w:rPr>
      </w:pPr>
      <w:r>
        <w:rPr>
          <w:rFonts w:cs="仿宋_GB2312" w:eastAsia="仿宋_GB2312" w:hint="eastAsia"/>
          <w:sz w:val="32"/>
          <w:szCs w:val="32"/>
        </w:rPr>
        <w:t>（图</w:t>
      </w:r>
      <w:r>
        <w:rPr>
          <w:rFonts w:cs="仿宋_GB2312" w:eastAsia="仿宋_GB2312" w:hint="eastAsia"/>
          <w:sz w:val="32"/>
          <w:szCs w:val="32"/>
        </w:rPr>
        <w:t>3</w:t>
      </w:r>
      <w:r>
        <w:rPr>
          <w:rFonts w:cs="仿宋_GB2312" w:eastAsia="仿宋_GB2312" w:hint="eastAsia"/>
          <w:sz w:val="32"/>
          <w:szCs w:val="32"/>
        </w:rPr>
        <w:t>：支出决算结构图）（饼状图）</w:t>
      </w:r>
    </w:p>
    <w:p w14:paraId="BA37AF64">
      <w:pPr>
        <w:pStyle w:val="style0"/>
        <w:ind w:firstLine="800" w:firstLineChars="250"/>
        <w:rPr>
          <w:rFonts w:cs="仿宋_GB2312" w:eastAsia="仿宋_GB2312"/>
          <w:sz w:val="32"/>
          <w:szCs w:val="32"/>
        </w:rPr>
      </w:pPr>
    </w:p>
    <w:p w14:paraId="7DFDE62F">
      <w:pPr>
        <w:pStyle w:val="style0"/>
        <w:ind w:firstLine="800" w:firstLineChars="250"/>
        <w:rPr>
          <w:rFonts w:cs="仿宋_GB2312" w:eastAsia="仿宋_GB2312"/>
          <w:sz w:val="32"/>
          <w:szCs w:val="32"/>
        </w:rPr>
      </w:pPr>
    </w:p>
    <w:bookmarkStart w:id="18" w:name="_Toc15396606"/>
    <w:bookmarkStart w:id="19" w:name="_Toc15377208"/>
    <w:p w14:paraId="7A595C17">
      <w:pPr>
        <w:pStyle w:val="style0"/>
        <w:spacing w:lineRule="exact" w:line="600"/>
        <w:ind w:firstLine="640" w:firstLineChars="200"/>
        <w:outlineLvl w:val="1"/>
        <w:rPr>
          <w:rStyle w:val="style4106"/>
          <w:rFonts w:ascii="Times New Roman" w:eastAsia="黑体" w:hAnsi="Times New Roman"/>
          <w:b w:val="false"/>
        </w:rPr>
      </w:pPr>
      <w:r>
        <w:rPr>
          <w:rFonts w:eastAsia="黑体" w:hint="eastAsia"/>
          <w:sz w:val="32"/>
          <w:szCs w:val="32"/>
        </w:rPr>
        <w:t>四、财</w:t>
      </w:r>
      <w:r>
        <w:rPr>
          <w:rStyle w:val="style4106"/>
          <w:rFonts w:ascii="Times New Roman" w:eastAsia="黑体" w:hAnsi="Times New Roman" w:hint="eastAsia"/>
          <w:b w:val="false"/>
        </w:rPr>
        <w:t>政拨款收入支出决算总体情况说明</w:t>
      </w:r>
      <w:bookmarkEnd w:id="18"/>
      <w:bookmarkEnd w:id="19"/>
    </w:p>
    <w:p w14:paraId="88C1836F">
      <w:pPr>
        <w:pStyle w:val="style0"/>
        <w:spacing w:lineRule="exact" w:line="600"/>
        <w:ind w:firstLine="640"/>
        <w:rPr>
          <w:rFonts w:cs="仿宋_GB2312" w:eastAsia="仿宋_GB2312"/>
          <w:sz w:val="32"/>
          <w:szCs w:val="32"/>
        </w:rPr>
      </w:pPr>
      <w:r>
        <w:rPr>
          <w:rFonts w:cs="仿宋_GB2312" w:eastAsia="仿宋_GB2312" w:hint="eastAsia"/>
          <w:sz w:val="32"/>
          <w:szCs w:val="32"/>
        </w:rPr>
        <w:t>2024</w:t>
      </w:r>
      <w:r>
        <w:rPr>
          <w:rFonts w:cs="仿宋_GB2312" w:eastAsia="仿宋_GB2312" w:hint="eastAsia"/>
          <w:sz w:val="32"/>
          <w:szCs w:val="32"/>
        </w:rPr>
        <w:t>年度财政拨款收入、支出总计均为</w:t>
      </w:r>
      <w:r>
        <w:rPr>
          <w:rFonts w:ascii="仿宋_GB2312" w:cs="仿宋_GB2312" w:eastAsia="仿宋_GB2312" w:hAnsi="仿宋_GB2312" w:hint="eastAsia"/>
          <w:sz w:val="32"/>
          <w:szCs w:val="32"/>
        </w:rPr>
        <w:t>31282.55</w:t>
      </w:r>
      <w:r>
        <w:rPr>
          <w:rFonts w:cs="仿宋_GB2312" w:eastAsia="仿宋_GB2312" w:hint="eastAsia"/>
          <w:sz w:val="32"/>
          <w:szCs w:val="32"/>
        </w:rPr>
        <w:t>万元。与</w:t>
      </w:r>
      <w:r>
        <w:rPr>
          <w:rFonts w:cs="仿宋_GB2312" w:eastAsia="仿宋_GB2312" w:hint="eastAsia"/>
          <w:sz w:val="32"/>
          <w:szCs w:val="32"/>
        </w:rPr>
        <w:t>2023</w:t>
      </w:r>
      <w:r>
        <w:rPr>
          <w:rFonts w:cs="仿宋_GB2312" w:eastAsia="仿宋_GB2312" w:hint="eastAsia"/>
          <w:sz w:val="32"/>
          <w:szCs w:val="32"/>
        </w:rPr>
        <w:t>年度相比，财政拨款收入总计、支出总计各增加</w:t>
      </w:r>
      <w:r>
        <w:rPr>
          <w:rFonts w:cs="仿宋_GB2312" w:eastAsia="仿宋_GB2312" w:hint="eastAsia"/>
          <w:sz w:val="32"/>
          <w:szCs w:val="32"/>
        </w:rPr>
        <w:t>16337.34</w:t>
      </w:r>
      <w:r>
        <w:rPr>
          <w:rFonts w:cs="仿宋_GB2312" w:eastAsia="仿宋_GB2312" w:hint="eastAsia"/>
          <w:sz w:val="32"/>
          <w:szCs w:val="32"/>
        </w:rPr>
        <w:t>万元，增长</w:t>
      </w:r>
      <w:r>
        <w:rPr>
          <w:rFonts w:cs="仿宋_GB2312" w:eastAsia="仿宋_GB2312" w:hint="eastAsia"/>
          <w:sz w:val="32"/>
          <w:szCs w:val="32"/>
        </w:rPr>
        <w:t>109%</w:t>
      </w:r>
      <w:r>
        <w:rPr>
          <w:rFonts w:cs="仿宋_GB2312" w:eastAsia="仿宋_GB2312" w:hint="eastAsia"/>
          <w:sz w:val="32"/>
          <w:szCs w:val="32"/>
        </w:rPr>
        <w:t>。主要变动原因是</w:t>
      </w:r>
      <w:r>
        <w:rPr>
          <w:rFonts w:ascii="仿宋_GB2312" w:eastAsia="仿宋_GB2312"/>
          <w:sz w:val="32"/>
          <w:szCs w:val="32"/>
        </w:rPr>
        <w:t>根据工作开展，新增收储土地工作经费，新增国债项目收入。</w:t>
      </w:r>
    </w:p>
    <w:p w14:paraId="546ED940">
      <w:pPr>
        <w:pStyle w:val="style78"/>
        <w:ind w:left="420"/>
        <w:rPr/>
      </w:pPr>
      <w:r>
        <w:rPr>
          <w:noProof/>
        </w:rPr>
        <w:object>
          <v:shape id="1031" type="#_x0000_t75" filled="f" stroked="f" style="position:absolute;margin-left:10.5pt;margin-top:12.75pt;width:429.75pt;height:250.5pt;z-index:4;mso-position-horizontal-relative:text;mso-position-vertical-relative:text;mso-width-relative:page;mso-height-relative:page;mso-wrap-distance-left:0.0pt;mso-wrap-distance-right:0.0pt;visibility:visible;">
            <v:imagedata r:id="rId11" embosscolor="white" o:title=""/>
            <v:stroke on="f"/>
            <v:fill/>
          </v:shape>
          <o:OLEObject Type="EMBED" ProgID="Excel.Chart.8" ShapeID="1031" DrawAspect="Content" ObjectID="0" r:id="rId12"/>
        </w:object>
      </w:r>
    </w:p>
    <w:p w14:paraId="00E458E5">
      <w:pPr>
        <w:pStyle w:val="style78"/>
        <w:ind w:left="420"/>
        <w:rPr/>
      </w:pPr>
    </w:p>
    <w:p w14:paraId="D6670B39">
      <w:pPr>
        <w:pStyle w:val="style78"/>
        <w:ind w:left="420"/>
        <w:rPr/>
      </w:pPr>
    </w:p>
    <w:p w14:paraId="D9E796DF">
      <w:pPr>
        <w:pStyle w:val="style78"/>
        <w:ind w:left="420"/>
        <w:rPr/>
      </w:pPr>
    </w:p>
    <w:p w14:paraId="EFB0CD65">
      <w:pPr>
        <w:pStyle w:val="style78"/>
        <w:ind w:left="420"/>
        <w:rPr/>
      </w:pPr>
    </w:p>
    <w:p w14:paraId="81B3190F">
      <w:pPr>
        <w:pStyle w:val="style78"/>
        <w:ind w:left="420"/>
        <w:rPr/>
      </w:pPr>
    </w:p>
    <w:p w14:paraId="8EB1A29A">
      <w:pPr>
        <w:pStyle w:val="style78"/>
        <w:ind w:left="420"/>
        <w:rPr/>
      </w:pPr>
    </w:p>
    <w:p w14:paraId="9138B611">
      <w:pPr>
        <w:pStyle w:val="style78"/>
        <w:ind w:left="420"/>
        <w:rPr/>
      </w:pPr>
    </w:p>
    <w:p w14:paraId="541DC3D0">
      <w:pPr>
        <w:pStyle w:val="style78"/>
        <w:ind w:left="420"/>
        <w:rPr/>
      </w:pPr>
    </w:p>
    <w:p w14:paraId="A800B583">
      <w:pPr>
        <w:pStyle w:val="style78"/>
        <w:ind w:left="420"/>
        <w:rPr/>
      </w:pPr>
    </w:p>
    <w:p w14:paraId="034B3921">
      <w:pPr>
        <w:pStyle w:val="style78"/>
        <w:ind w:left="420"/>
        <w:rPr/>
      </w:pPr>
    </w:p>
    <w:p w14:paraId="3E87D26B">
      <w:pPr>
        <w:pStyle w:val="style78"/>
        <w:ind w:left="420"/>
        <w:rPr/>
      </w:pPr>
    </w:p>
    <w:p w14:paraId="5C44E601">
      <w:pPr>
        <w:pStyle w:val="style0"/>
        <w:spacing w:lineRule="exact" w:line="600"/>
        <w:ind w:firstLine="640" w:firstLineChars="200"/>
        <w:rPr>
          <w:rFonts w:cs="仿宋_GB2312" w:eastAsia="仿宋_GB2312"/>
          <w:sz w:val="32"/>
          <w:szCs w:val="32"/>
        </w:rPr>
      </w:pPr>
      <w:r>
        <w:rPr>
          <w:rFonts w:cs="仿宋_GB2312" w:eastAsia="仿宋_GB2312" w:hint="eastAsia"/>
          <w:sz w:val="32"/>
          <w:szCs w:val="32"/>
        </w:rPr>
        <w:t>（图</w:t>
      </w:r>
      <w:r>
        <w:rPr>
          <w:rFonts w:cs="仿宋_GB2312" w:eastAsia="仿宋_GB2312" w:hint="eastAsia"/>
          <w:sz w:val="32"/>
          <w:szCs w:val="32"/>
        </w:rPr>
        <w:t>4</w:t>
      </w:r>
      <w:r>
        <w:rPr>
          <w:rFonts w:cs="仿宋_GB2312" w:eastAsia="仿宋_GB2312" w:hint="eastAsia"/>
          <w:sz w:val="32"/>
          <w:szCs w:val="32"/>
        </w:rPr>
        <w:t>：财政拨款收、支决算总计变动情况）（柱状图）</w:t>
      </w:r>
    </w:p>
    <w:bookmarkStart w:id="20" w:name="_Toc15377209"/>
    <w:bookmarkStart w:id="21" w:name="_Toc15396607"/>
    <w:p w14:paraId="AF3762F0">
      <w:pPr>
        <w:pStyle w:val="style0"/>
        <w:spacing w:lineRule="exact" w:line="600"/>
        <w:ind w:firstLine="640" w:firstLineChars="200"/>
        <w:outlineLvl w:val="1"/>
        <w:rPr>
          <w:rStyle w:val="style4106"/>
          <w:rFonts w:ascii="Times New Roman" w:eastAsia="黑体" w:hAnsi="Times New Roman"/>
          <w:b w:val="false"/>
        </w:rPr>
      </w:pPr>
      <w:r>
        <w:rPr>
          <w:rFonts w:eastAsia="黑体" w:hint="eastAsia"/>
          <w:sz w:val="32"/>
          <w:szCs w:val="32"/>
        </w:rPr>
        <w:t>五、</w:t>
      </w:r>
      <w:r>
        <w:rPr>
          <w:rFonts w:eastAsia="黑体" w:hint="eastAsia"/>
          <w:b/>
          <w:sz w:val="32"/>
          <w:szCs w:val="32"/>
        </w:rPr>
        <w:t>一</w:t>
      </w:r>
      <w:r>
        <w:rPr>
          <w:rStyle w:val="style4106"/>
          <w:rFonts w:ascii="Times New Roman" w:eastAsia="黑体" w:hAnsi="Times New Roman" w:hint="eastAsia"/>
          <w:b w:val="false"/>
        </w:rPr>
        <w:t>般公共预算财政拨款支出决算情况说明</w:t>
      </w:r>
      <w:bookmarkEnd w:id="20"/>
      <w:bookmarkEnd w:id="21"/>
    </w:p>
    <w:bookmarkStart w:id="22" w:name="_Toc15377210"/>
    <w:p w14:paraId="936C73E4">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（一）一般公共预算财政拨款支出决算总体情况</w:t>
      </w:r>
      <w:bookmarkEnd w:id="22"/>
    </w:p>
    <w:p w14:paraId="6CA13A44">
      <w:pPr>
        <w:pStyle w:val="style0"/>
        <w:spacing w:lineRule="exact" w:line="600"/>
        <w:ind w:firstLine="640"/>
        <w:rPr>
          <w:rFonts w:ascii="仿宋_GB2312" w:cs="仿宋_GB2312" w:eastAsia="仿宋_GB2312" w:hAnsi="仿宋_GB2312"/>
          <w:color w:val="ff0000"/>
          <w:sz w:val="32"/>
          <w:szCs w:val="32"/>
        </w:rPr>
      </w:pPr>
      <w:r>
        <w:rPr>
          <w:rFonts w:ascii="仿宋_GB2312" w:cs="仿宋_GB2312" w:eastAsia="仿宋_GB2312" w:hAnsi="仿宋_GB2312" w:hint="eastAsia"/>
          <w:sz w:val="32"/>
          <w:szCs w:val="32"/>
        </w:rPr>
        <w:t>2024年度一般公共预算财政拨款支出12897.83万元，占本年支出合计的41.22%。与2023年度相比，一般公共预算财政拨款支出增加5994.98万元，增长86.85%。主要变动原因是争取到位2024年度18处地灾点位地质灾害综合治理及51户避险搬迁安置补助国债资金补助。</w:t>
      </w:r>
    </w:p>
    <w:p w14:paraId="764D7E60">
      <w:pPr>
        <w:pStyle w:val="style29"/>
        <w:rPr/>
      </w:pPr>
    </w:p>
    <w:p w14:paraId="969404A7">
      <w:pPr>
        <w:pStyle w:val="style78"/>
        <w:ind w:left="420"/>
        <w:rPr/>
      </w:pPr>
    </w:p>
    <w:p w14:paraId="834136E2">
      <w:pPr>
        <w:pStyle w:val="style78"/>
        <w:ind w:left="420"/>
        <w:rPr/>
      </w:pPr>
    </w:p>
    <w:p w14:paraId="4C780179">
      <w:pPr>
        <w:pStyle w:val="style78"/>
        <w:ind w:left="420"/>
        <w:rPr/>
      </w:pPr>
    </w:p>
    <w:p w14:paraId="51123F0C">
      <w:pPr>
        <w:pStyle w:val="style78"/>
        <w:ind w:left="0" w:leftChars="0" w:firstLine="0" w:firstLineChars="0"/>
        <w:rPr/>
      </w:pPr>
      <w:r>
        <w:rPr>
          <w:noProof/>
        </w:rPr>
      </w:r>
      <w:r>
        <w:rPr>
          <w:noProof/>
        </w:rPr>
      </w:r>
      <w:r>
        <w:rPr>
          <w:noProof/>
        </w:rPr>
      </w:r>
      <w:r>
        <w:rPr>
          <w:noProof/>
        </w:rPr>
        <w:drawing>
          <wp:inline distL="114300" distT="0" distB="0" distR="114300">
            <wp:extent cx="5276850" cy="3305175"/>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r>
    </w:p>
    <w:p w14:paraId="6231F467">
      <w:pPr>
        <w:pStyle w:val="style0"/>
        <w:spacing w:lineRule="exact" w:line="600"/>
        <w:rPr>
          <w:rFonts w:cs="仿宋_GB2312" w:eastAsia="仿宋_GB2312"/>
          <w:sz w:val="32"/>
          <w:szCs w:val="32"/>
        </w:rPr>
      </w:pPr>
      <w:r>
        <w:rPr>
          <w:rFonts w:cs="仿宋_GB2312" w:eastAsia="仿宋_GB2312" w:hint="eastAsia"/>
          <w:sz w:val="32"/>
          <w:szCs w:val="32"/>
        </w:rPr>
        <w:t>（图</w:t>
      </w:r>
      <w:r>
        <w:rPr>
          <w:rFonts w:cs="仿宋_GB2312" w:eastAsia="仿宋_GB2312" w:hint="eastAsia"/>
          <w:sz w:val="32"/>
          <w:szCs w:val="32"/>
        </w:rPr>
        <w:t>5</w:t>
      </w:r>
      <w:r>
        <w:rPr>
          <w:rFonts w:cs="仿宋_GB2312" w:eastAsia="仿宋_GB2312" w:hint="eastAsia"/>
          <w:sz w:val="32"/>
          <w:szCs w:val="32"/>
        </w:rPr>
        <w:t>：一般公共预算财政拨款支出决算变动情况）（柱状图）</w:t>
      </w:r>
    </w:p>
    <w:bookmarkStart w:id="23" w:name="_Toc15377211"/>
    <w:p w14:paraId="00B92F40">
      <w:pPr>
        <w:pStyle w:val="style0"/>
        <w:spacing w:lineRule="exact" w:line="600"/>
        <w:ind w:firstLine="643" w:firstLineChars="200"/>
        <w:outlineLvl w:val="2"/>
        <w:rPr>
          <w:rFonts w:cs="楷体_GB2312" w:eastAsia="楷体_GB2312"/>
          <w:b/>
          <w:sz w:val="32"/>
          <w:szCs w:val="32"/>
        </w:rPr>
      </w:pPr>
    </w:p>
    <w:p w14:paraId="6C7853D3">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（二）一般公共预算财政拨款支出决算结构情况</w:t>
      </w:r>
      <w:bookmarkEnd w:id="23"/>
    </w:p>
    <w:p w14:paraId="3BE4B541">
      <w:pPr>
        <w:pStyle w:val="style0"/>
        <w:spacing w:lineRule="exact" w:line="600"/>
        <w:ind w:firstLine="640"/>
        <w:rPr>
          <w:rFonts w:cs="仿宋_GB2312" w:eastAsia="仿宋_GB2312"/>
          <w:b/>
          <w:bCs/>
          <w:sz w:val="32"/>
          <w:szCs w:val="32"/>
        </w:rPr>
      </w:pPr>
      <w:r>
        <w:rPr>
          <w:rFonts w:cs="仿宋_GB2312" w:eastAsia="仿宋_GB2312" w:hint="eastAsia"/>
          <w:sz w:val="32"/>
          <w:szCs w:val="32"/>
        </w:rPr>
        <w:t>2024</w:t>
      </w:r>
      <w:r>
        <w:rPr>
          <w:rFonts w:cs="仿宋_GB2312" w:eastAsia="仿宋_GB2312" w:hint="eastAsia"/>
          <w:sz w:val="32"/>
          <w:szCs w:val="32"/>
        </w:rPr>
        <w:t>年度一般公共预算财政拨款支出</w:t>
      </w:r>
      <w:r>
        <w:rPr>
          <w:rFonts w:ascii="仿宋_GB2312" w:cs="仿宋_GB2312" w:eastAsia="仿宋_GB2312" w:hAnsi="仿宋_GB2312" w:hint="eastAsia"/>
          <w:sz w:val="32"/>
          <w:szCs w:val="32"/>
        </w:rPr>
        <w:t>12897.83万元</w:t>
      </w:r>
      <w:r>
        <w:rPr>
          <w:rFonts w:cs="仿宋_GB2312" w:eastAsia="仿宋_GB2312" w:hint="eastAsia"/>
          <w:sz w:val="32"/>
          <w:szCs w:val="32"/>
        </w:rPr>
        <w:t>，主要用于以下方面：一般公共服务支出</w:t>
      </w:r>
      <w:r>
        <w:rPr>
          <w:rFonts w:cs="仿宋_GB2312" w:eastAsia="仿宋_GB2312" w:hint="eastAsia"/>
          <w:sz w:val="32"/>
          <w:szCs w:val="32"/>
        </w:rPr>
        <w:t>1700.00</w:t>
      </w:r>
      <w:r>
        <w:rPr>
          <w:rFonts w:cs="仿宋_GB2312" w:eastAsia="仿宋_GB2312" w:hint="eastAsia"/>
          <w:sz w:val="32"/>
          <w:szCs w:val="32"/>
        </w:rPr>
        <w:t>万元，社会保障和就业支出</w:t>
      </w:r>
      <w:r>
        <w:rPr>
          <w:rFonts w:cs="仿宋_GB2312" w:eastAsia="仿宋_GB2312" w:hint="eastAsia"/>
          <w:sz w:val="32"/>
          <w:szCs w:val="32"/>
        </w:rPr>
        <w:t>213.10</w:t>
      </w:r>
      <w:r>
        <w:rPr>
          <w:rFonts w:cs="仿宋_GB2312" w:eastAsia="仿宋_GB2312" w:hint="eastAsia"/>
          <w:sz w:val="32"/>
          <w:szCs w:val="32"/>
        </w:rPr>
        <w:t>万元，占</w:t>
      </w:r>
      <w:r>
        <w:rPr>
          <w:rFonts w:cs="仿宋_GB2312" w:eastAsia="仿宋_GB2312" w:hint="eastAsia"/>
          <w:sz w:val="32"/>
          <w:szCs w:val="32"/>
        </w:rPr>
        <w:t>1.65%</w:t>
      </w:r>
      <w:r>
        <w:rPr>
          <w:rFonts w:cs="仿宋_GB2312" w:eastAsia="仿宋_GB2312" w:hint="eastAsia"/>
          <w:sz w:val="32"/>
          <w:szCs w:val="32"/>
        </w:rPr>
        <w:t>；卫生健康支出</w:t>
      </w:r>
      <w:r>
        <w:rPr>
          <w:rFonts w:cs="仿宋_GB2312" w:eastAsia="仿宋_GB2312" w:hint="eastAsia"/>
          <w:sz w:val="32"/>
          <w:szCs w:val="32"/>
        </w:rPr>
        <w:t>89.07</w:t>
      </w:r>
      <w:r>
        <w:rPr>
          <w:rFonts w:cs="仿宋_GB2312" w:eastAsia="仿宋_GB2312" w:hint="eastAsia"/>
          <w:sz w:val="32"/>
          <w:szCs w:val="32"/>
        </w:rPr>
        <w:t>万元，占</w:t>
      </w:r>
      <w:r>
        <w:rPr>
          <w:rFonts w:cs="仿宋_GB2312" w:eastAsia="仿宋_GB2312" w:hint="eastAsia"/>
          <w:sz w:val="32"/>
          <w:szCs w:val="32"/>
        </w:rPr>
        <w:t>0.7%</w:t>
      </w:r>
      <w:r>
        <w:rPr>
          <w:rFonts w:cs="仿宋_GB2312" w:eastAsia="仿宋_GB2312" w:hint="eastAsia"/>
          <w:sz w:val="32"/>
          <w:szCs w:val="32"/>
        </w:rPr>
        <w:t>；节能环保支出</w:t>
      </w:r>
      <w:r>
        <w:rPr>
          <w:rFonts w:cs="仿宋_GB2312" w:eastAsia="仿宋_GB2312" w:hint="eastAsia"/>
          <w:sz w:val="32"/>
          <w:szCs w:val="32"/>
        </w:rPr>
        <w:t>1336.64</w:t>
      </w:r>
      <w:r>
        <w:rPr>
          <w:rFonts w:cs="仿宋_GB2312" w:eastAsia="仿宋_GB2312" w:hint="eastAsia"/>
          <w:sz w:val="32"/>
          <w:szCs w:val="32"/>
        </w:rPr>
        <w:t>万元，占</w:t>
      </w:r>
      <w:r>
        <w:rPr>
          <w:rFonts w:cs="仿宋_GB2312" w:eastAsia="仿宋_GB2312" w:hint="eastAsia"/>
          <w:sz w:val="32"/>
          <w:szCs w:val="32"/>
        </w:rPr>
        <w:t>10.36%</w:t>
      </w:r>
      <w:r>
        <w:rPr>
          <w:rFonts w:cs="仿宋_GB2312" w:eastAsia="仿宋_GB2312" w:hint="eastAsia"/>
          <w:sz w:val="32"/>
          <w:szCs w:val="32"/>
        </w:rPr>
        <w:t>，农林水支出</w:t>
      </w:r>
      <w:r>
        <w:rPr>
          <w:rFonts w:cs="仿宋_GB2312" w:eastAsia="仿宋_GB2312" w:hint="eastAsia"/>
          <w:sz w:val="32"/>
          <w:szCs w:val="32"/>
        </w:rPr>
        <w:t>2.00</w:t>
      </w:r>
      <w:r>
        <w:rPr>
          <w:rFonts w:cs="仿宋_GB2312" w:eastAsia="仿宋_GB2312" w:hint="eastAsia"/>
          <w:sz w:val="32"/>
          <w:szCs w:val="32"/>
        </w:rPr>
        <w:t>万元，占</w:t>
      </w:r>
      <w:r>
        <w:rPr>
          <w:rFonts w:cs="仿宋_GB2312" w:eastAsia="仿宋_GB2312" w:hint="eastAsia"/>
          <w:sz w:val="32"/>
          <w:szCs w:val="32"/>
        </w:rPr>
        <w:t>0.02%</w:t>
      </w:r>
      <w:r>
        <w:rPr>
          <w:rFonts w:cs="仿宋_GB2312" w:eastAsia="仿宋_GB2312" w:hint="eastAsia"/>
          <w:sz w:val="32"/>
          <w:szCs w:val="32"/>
        </w:rPr>
        <w:t>，自然资源海洋气象等支出</w:t>
      </w:r>
      <w:r>
        <w:rPr>
          <w:rFonts w:cs="仿宋_GB2312" w:eastAsia="仿宋_GB2312" w:hint="eastAsia"/>
          <w:sz w:val="32"/>
          <w:szCs w:val="32"/>
        </w:rPr>
        <w:t>4539.08</w:t>
      </w:r>
      <w:r>
        <w:rPr>
          <w:rFonts w:cs="仿宋_GB2312" w:eastAsia="仿宋_GB2312" w:hint="eastAsia"/>
          <w:sz w:val="32"/>
          <w:szCs w:val="32"/>
        </w:rPr>
        <w:t>万元，占</w:t>
      </w:r>
      <w:r>
        <w:rPr>
          <w:rFonts w:cs="仿宋_GB2312" w:eastAsia="仿宋_GB2312" w:hint="eastAsia"/>
          <w:sz w:val="32"/>
          <w:szCs w:val="32"/>
        </w:rPr>
        <w:t>35.19%</w:t>
      </w:r>
      <w:r>
        <w:rPr>
          <w:rFonts w:cs="仿宋_GB2312" w:eastAsia="仿宋_GB2312" w:hint="eastAsia"/>
          <w:sz w:val="32"/>
          <w:szCs w:val="32"/>
        </w:rPr>
        <w:t>，住房保障支出</w:t>
      </w:r>
      <w:r>
        <w:rPr>
          <w:rFonts w:cs="仿宋_GB2312" w:eastAsia="仿宋_GB2312" w:hint="eastAsia"/>
          <w:sz w:val="32"/>
          <w:szCs w:val="32"/>
        </w:rPr>
        <w:t>82.14</w:t>
      </w:r>
      <w:r>
        <w:rPr>
          <w:rFonts w:cs="仿宋_GB2312" w:eastAsia="仿宋_GB2312" w:hint="eastAsia"/>
          <w:sz w:val="32"/>
          <w:szCs w:val="32"/>
        </w:rPr>
        <w:t>万元，占</w:t>
      </w:r>
      <w:r>
        <w:rPr>
          <w:rFonts w:cs="仿宋_GB2312" w:eastAsia="仿宋_GB2312" w:hint="eastAsia"/>
          <w:sz w:val="32"/>
          <w:szCs w:val="32"/>
        </w:rPr>
        <w:t>0.64%</w:t>
      </w:r>
      <w:r>
        <w:rPr>
          <w:rFonts w:cs="仿宋_GB2312" w:eastAsia="仿宋_GB2312" w:hint="eastAsia"/>
          <w:sz w:val="32"/>
          <w:szCs w:val="32"/>
        </w:rPr>
        <w:t>；灾害防治及应急管理支出</w:t>
      </w:r>
      <w:r>
        <w:rPr>
          <w:rFonts w:cs="仿宋_GB2312" w:eastAsia="仿宋_GB2312" w:hint="eastAsia"/>
          <w:sz w:val="32"/>
          <w:szCs w:val="32"/>
        </w:rPr>
        <w:t>4935.81</w:t>
      </w:r>
      <w:r>
        <w:rPr>
          <w:rFonts w:cs="仿宋_GB2312" w:eastAsia="仿宋_GB2312" w:hint="eastAsia"/>
          <w:sz w:val="32"/>
          <w:szCs w:val="32"/>
        </w:rPr>
        <w:t>万元，占</w:t>
      </w:r>
      <w:r>
        <w:rPr>
          <w:rFonts w:cs="仿宋_GB2312" w:eastAsia="仿宋_GB2312" w:hint="eastAsia"/>
          <w:sz w:val="32"/>
          <w:szCs w:val="32"/>
        </w:rPr>
        <w:t>38.27%</w:t>
      </w:r>
      <w:r>
        <w:rPr>
          <w:rFonts w:cs="仿宋_GB2312" w:eastAsia="仿宋_GB2312" w:hint="eastAsia"/>
          <w:sz w:val="32"/>
          <w:szCs w:val="32"/>
        </w:rPr>
        <w:t>。</w:t>
      </w:r>
    </w:p>
    <w:p w14:paraId="80BCCAD6">
      <w:pPr>
        <w:pStyle w:val="style0"/>
        <w:spacing w:lineRule="exact" w:line="600"/>
        <w:ind w:firstLine="640"/>
        <w:rPr>
          <w:rFonts w:cs="仿宋_GB2312" w:eastAsia="仿宋_GB2312"/>
          <w:sz w:val="32"/>
          <w:szCs w:val="32"/>
        </w:rPr>
      </w:pPr>
    </w:p>
    <w:p w14:paraId="2C9589E1">
      <w:pPr>
        <w:pStyle w:val="style0"/>
        <w:spacing w:lineRule="exact" w:line="600"/>
        <w:ind w:firstLine="640"/>
        <w:rPr>
          <w:rFonts w:cs="仿宋_GB2312" w:eastAsia="仿宋_GB2312"/>
          <w:sz w:val="32"/>
          <w:szCs w:val="32"/>
        </w:rPr>
      </w:pPr>
    </w:p>
    <w:p w14:paraId="5F743B9E">
      <w:pPr>
        <w:pStyle w:val="style0"/>
        <w:spacing w:lineRule="exact" w:line="600"/>
        <w:ind w:firstLine="640"/>
        <w:rPr>
          <w:rFonts w:cs="仿宋_GB2312" w:eastAsia="仿宋_GB2312"/>
          <w:sz w:val="32"/>
          <w:szCs w:val="32"/>
        </w:rPr>
      </w:pPr>
    </w:p>
    <w:p w14:paraId="5E574C1C">
      <w:pPr>
        <w:pStyle w:val="style0"/>
        <w:spacing w:lineRule="exact" w:line="600"/>
        <w:ind w:firstLine="640"/>
        <w:rPr>
          <w:rFonts w:cs="仿宋_GB2312" w:eastAsia="仿宋_GB2312"/>
          <w:sz w:val="32"/>
          <w:szCs w:val="32"/>
        </w:rPr>
      </w:pPr>
      <w:r>
        <w:rPr>
          <w:rFonts w:cs="仿宋_GB2312" w:eastAsia="仿宋_GB2312" w:hint="eastAsia"/>
          <w:noProof/>
          <w:sz w:val="32"/>
          <w:szCs w:val="32"/>
        </w:rPr>
        <w:drawing>
          <wp:anchor distT="0" distB="0" distL="0" distR="0" simplePos="false" relativeHeight="5" behindDoc="false" locked="false" layoutInCell="true" allowOverlap="true">
            <wp:simplePos x="0" y="0"/>
            <wp:positionH relativeFrom="column">
              <wp:posOffset>5080</wp:posOffset>
            </wp:positionH>
            <wp:positionV relativeFrom="paragraph">
              <wp:posOffset>186055</wp:posOffset>
            </wp:positionV>
            <wp:extent cx="5256530" cy="2988310"/>
            <wp:effectExtent l="0" t="0" r="0" b="0"/>
            <wp:wrapTopAndBottom/>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cs="仿宋_GB2312" w:eastAsia="仿宋_GB2312" w:hint="eastAsia"/>
          <w:sz w:val="32"/>
          <w:szCs w:val="32"/>
        </w:rPr>
        <w:t>（图</w:t>
      </w:r>
      <w:r>
        <w:rPr>
          <w:rFonts w:cs="仿宋_GB2312" w:eastAsia="仿宋_GB2312" w:hint="eastAsia"/>
          <w:sz w:val="32"/>
          <w:szCs w:val="32"/>
        </w:rPr>
        <w:t>6</w:t>
      </w:r>
      <w:r>
        <w:rPr>
          <w:rFonts w:cs="仿宋_GB2312" w:eastAsia="仿宋_GB2312" w:hint="eastAsia"/>
          <w:sz w:val="32"/>
          <w:szCs w:val="32"/>
        </w:rPr>
        <w:t>：一般公共预算财政拨款支出决算结构）（饼状图）</w:t>
      </w:r>
    </w:p>
    <w:p w14:paraId="88CEAE37">
      <w:pPr>
        <w:pStyle w:val="style0"/>
        <w:spacing w:lineRule="exact" w:line="600"/>
        <w:ind w:firstLine="640"/>
        <w:rPr>
          <w:rFonts w:cs="仿宋_GB2312" w:eastAsia="仿宋_GB2312"/>
          <w:sz w:val="32"/>
          <w:szCs w:val="32"/>
        </w:rPr>
      </w:pPr>
    </w:p>
    <w:bookmarkStart w:id="24" w:name="_Toc15377212"/>
    <w:p w14:paraId="DF30CC3D">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（三）一般公共预算财政拨款支出决算具体情况</w:t>
      </w:r>
      <w:bookmarkEnd w:id="24"/>
    </w:p>
    <w:bookmarkStart w:id="25" w:name="_Toc15377444"/>
    <w:bookmarkStart w:id="26" w:name="_Toc15377213"/>
    <w:bookmarkStart w:id="27" w:name="_Toc15378460"/>
    <w:p w14:paraId="22A13F3F">
      <w:pPr>
        <w:pStyle w:val="style0"/>
        <w:spacing w:lineRule="exact" w:line="600"/>
        <w:ind w:firstLine="640"/>
        <w:rPr>
          <w:rFonts w:cs="仿宋_GB2312" w:eastAsia="仿宋_GB2312"/>
          <w:sz w:val="32"/>
          <w:szCs w:val="32"/>
        </w:rPr>
      </w:pPr>
      <w:r>
        <w:rPr>
          <w:rFonts w:cs="仿宋_GB2312" w:eastAsia="仿宋_GB2312" w:hint="eastAsia"/>
          <w:sz w:val="32"/>
          <w:szCs w:val="32"/>
        </w:rPr>
        <w:t>2024</w:t>
      </w:r>
      <w:r>
        <w:rPr>
          <w:rFonts w:cs="仿宋_GB2312" w:eastAsia="仿宋_GB2312" w:hint="eastAsia"/>
          <w:sz w:val="32"/>
          <w:szCs w:val="32"/>
        </w:rPr>
        <w:t>年度一般公共预算财政拨款支出决算数为</w:t>
      </w:r>
      <w:r>
        <w:rPr>
          <w:rFonts w:ascii="仿宋_GB2312" w:cs="仿宋_GB2312" w:eastAsia="仿宋_GB2312" w:hAnsi="仿宋_GB2312" w:hint="eastAsia"/>
          <w:sz w:val="32"/>
          <w:szCs w:val="32"/>
        </w:rPr>
        <w:t>12897.83</w:t>
      </w:r>
      <w:r>
        <w:rPr>
          <w:rFonts w:ascii="仿宋_GB2312" w:cs="仿宋_GB2312" w:eastAsia="仿宋_GB2312" w:hAnsi="仿宋_GB2312"/>
          <w:sz w:val="32"/>
          <w:szCs w:val="32"/>
        </w:rPr>
        <w:t>万元</w:t>
      </w:r>
      <w:r>
        <w:rPr>
          <w:rFonts w:ascii="仿宋_GB2312" w:cs="仿宋_GB2312" w:eastAsia="仿宋_GB2312" w:hAnsi="仿宋_GB2312" w:hint="eastAsia"/>
          <w:sz w:val="32"/>
          <w:szCs w:val="32"/>
        </w:rPr>
        <w:t>，</w:t>
      </w:r>
      <w:r>
        <w:rPr>
          <w:rFonts w:cs="仿宋_GB2312" w:eastAsia="仿宋_GB2312" w:hint="eastAsia"/>
          <w:sz w:val="32"/>
          <w:szCs w:val="32"/>
        </w:rPr>
        <w:t>完成预算</w:t>
      </w:r>
      <w:r>
        <w:rPr>
          <w:rFonts w:cs="仿宋_GB2312" w:eastAsia="仿宋_GB2312" w:hint="eastAsia"/>
          <w:sz w:val="32"/>
          <w:szCs w:val="32"/>
        </w:rPr>
        <w:t>100%</w:t>
      </w:r>
      <w:r>
        <w:rPr>
          <w:rFonts w:cs="仿宋_GB2312" w:eastAsia="仿宋_GB2312" w:hint="eastAsia"/>
          <w:sz w:val="32"/>
          <w:szCs w:val="32"/>
        </w:rPr>
        <w:t>。其中：</w:t>
      </w:r>
      <w:bookmarkEnd w:id="25"/>
      <w:bookmarkEnd w:id="26"/>
      <w:bookmarkEnd w:id="27"/>
    </w:p>
    <w:p w14:paraId="720ADD58">
      <w:pPr>
        <w:pStyle w:val="style0"/>
        <w:spacing w:lineRule="exact" w:line="600"/>
        <w:ind w:firstLine="640" w:firstLineChars="200"/>
        <w:outlineLvl w:val="2"/>
        <w:rPr>
          <w:rFonts w:ascii="仿宋_GB2312" w:eastAsia="仿宋_GB2312" w:hAnsi="仿宋"/>
          <w:sz w:val="32"/>
          <w:szCs w:val="32"/>
        </w:rPr>
      </w:pPr>
      <w:r>
        <w:rPr>
          <w:rFonts w:ascii="仿宋_GB2312" w:eastAsia="仿宋_GB2312" w:hAnsi="仿宋" w:hint="eastAsia"/>
          <w:sz w:val="32"/>
          <w:szCs w:val="32"/>
        </w:rPr>
        <w:t>1.一般公共服务支出</w:t>
      </w:r>
      <w:r>
        <w:rPr>
          <w:rFonts w:ascii="仿宋_GB2312" w:eastAsia="仿宋_GB2312" w:hAnsi="仿宋"/>
          <w:sz w:val="32"/>
          <w:szCs w:val="32"/>
        </w:rPr>
        <w:t>（20</w:t>
      </w:r>
      <w:r>
        <w:rPr>
          <w:rFonts w:ascii="仿宋_GB2312" w:eastAsia="仿宋_GB2312" w:hAnsi="仿宋" w:hint="eastAsia"/>
          <w:sz w:val="32"/>
          <w:szCs w:val="32"/>
        </w:rPr>
        <w:t>1</w:t>
      </w:r>
      <w:r>
        <w:rPr>
          <w:rFonts w:ascii="仿宋_GB2312" w:eastAsia="仿宋_GB2312" w:hAnsi="仿宋"/>
          <w:sz w:val="32"/>
          <w:szCs w:val="32"/>
        </w:rPr>
        <w:t>类）政府办公厅（室）及相关机构事务支出（0</w:t>
      </w:r>
      <w:r>
        <w:rPr>
          <w:rFonts w:ascii="仿宋_GB2312" w:eastAsia="仿宋_GB2312" w:hAnsi="仿宋" w:hint="eastAsia"/>
          <w:sz w:val="32"/>
          <w:szCs w:val="32"/>
        </w:rPr>
        <w:t>3</w:t>
      </w:r>
      <w:r>
        <w:rPr>
          <w:rFonts w:ascii="仿宋_GB2312" w:eastAsia="仿宋_GB2312" w:hAnsi="仿宋"/>
          <w:sz w:val="32"/>
          <w:szCs w:val="32"/>
        </w:rPr>
        <w:t>款）其他政府办公厅（室）及相关机构事务支出（</w:t>
      </w:r>
      <w:r>
        <w:rPr>
          <w:rFonts w:ascii="仿宋_GB2312" w:eastAsia="仿宋_GB2312" w:hAnsi="仿宋" w:hint="eastAsia"/>
          <w:sz w:val="32"/>
          <w:szCs w:val="32"/>
        </w:rPr>
        <w:t>99</w:t>
      </w:r>
      <w:r>
        <w:rPr>
          <w:rFonts w:ascii="仿宋_GB2312" w:eastAsia="仿宋_GB2312" w:hAnsi="仿宋"/>
          <w:sz w:val="32"/>
          <w:szCs w:val="32"/>
        </w:rPr>
        <w:t>项）：支出决算为</w:t>
      </w:r>
      <w:r>
        <w:rPr>
          <w:rFonts w:ascii="仿宋_GB2312" w:eastAsia="仿宋_GB2312" w:hAnsi="仿宋" w:hint="eastAsia"/>
          <w:sz w:val="32"/>
          <w:szCs w:val="32"/>
        </w:rPr>
        <w:t>1700.00万元，</w:t>
      </w:r>
      <w:r>
        <w:rPr>
          <w:rFonts w:ascii="仿宋_GB2312" w:eastAsia="仿宋_GB2312" w:hAnsi="仿宋"/>
          <w:sz w:val="32"/>
          <w:szCs w:val="32"/>
        </w:rPr>
        <w:t>完成预算100%，</w:t>
      </w:r>
      <w:r>
        <w:rPr>
          <w:rFonts w:ascii="仿宋_GB2312" w:eastAsia="仿宋_GB2312" w:hAnsi="仿宋" w:hint="eastAsia"/>
          <w:sz w:val="32"/>
          <w:szCs w:val="32"/>
        </w:rPr>
        <w:t>决算数等于预算数。</w:t>
      </w:r>
    </w:p>
    <w:p w14:paraId="1A955897">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.社会保障和就业支出（208类）行政事业单位养老支出（05款）行政单位离退休（01项）:支出决算为</w:t>
      </w:r>
      <w:r>
        <w:rPr>
          <w:rFonts w:ascii="仿宋_GB2312" w:eastAsia="仿宋_GB2312" w:hAnsi="仿宋" w:hint="eastAsia"/>
          <w:sz w:val="32"/>
          <w:szCs w:val="32"/>
        </w:rPr>
        <w:t>32.18</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C3B0BEA1">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.社会保障和就业支出（208类）行政事业单位养老支出（05款）事业单位离退休（02项）:支出决算为</w:t>
      </w:r>
      <w:r>
        <w:rPr>
          <w:rFonts w:ascii="仿宋_GB2312" w:eastAsia="仿宋_GB2312" w:hAnsi="仿宋" w:hint="eastAsia"/>
          <w:sz w:val="32"/>
          <w:szCs w:val="32"/>
        </w:rPr>
        <w:t>18.88</w:t>
      </w:r>
      <w:r>
        <w:rPr>
          <w:rFonts w:ascii="仿宋_GB2312" w:eastAsia="仿宋_GB2312" w:hAnsi="仿宋"/>
          <w:sz w:val="32"/>
          <w:szCs w:val="32"/>
        </w:rPr>
        <w:t>万</w:t>
      </w:r>
      <w:r>
        <w:rPr>
          <w:rFonts w:ascii="仿宋_GB2312" w:eastAsia="仿宋_GB2312" w:hAnsi="仿宋"/>
          <w:sz w:val="32"/>
          <w:szCs w:val="32"/>
        </w:rPr>
        <w:t>元，完成预算100%，</w:t>
      </w:r>
      <w:r>
        <w:rPr>
          <w:rFonts w:ascii="仿宋_GB2312" w:eastAsia="仿宋_GB2312" w:hAnsi="仿宋" w:hint="eastAsia"/>
          <w:sz w:val="32"/>
          <w:szCs w:val="32"/>
        </w:rPr>
        <w:t>决算数等于预算数。</w:t>
      </w:r>
    </w:p>
    <w:p w14:paraId="C84F9512">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.社会保障和就业支出（类208）行政事业单位养老支出（05款）机关事业单位基本养老保险缴费（05项）:支出决算为</w:t>
      </w:r>
      <w:r>
        <w:rPr>
          <w:rFonts w:ascii="仿宋_GB2312" w:eastAsia="仿宋_GB2312" w:hAnsi="仿宋" w:hint="eastAsia"/>
          <w:sz w:val="32"/>
          <w:szCs w:val="32"/>
        </w:rPr>
        <w:t>100.3</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3D66218C">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社会保障和就业支出（208类）行政事业单位养老支出（05款）机关事业单位职业年金缴费（06项）:支出决算为</w:t>
      </w:r>
      <w:r>
        <w:rPr>
          <w:rFonts w:ascii="仿宋_GB2312" w:eastAsia="仿宋_GB2312" w:hAnsi="仿宋" w:hint="eastAsia"/>
          <w:sz w:val="32"/>
          <w:szCs w:val="32"/>
        </w:rPr>
        <w:t>12.12</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E81F5A42">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sz w:val="32"/>
          <w:szCs w:val="32"/>
        </w:rPr>
        <w:t>.社会保障和就业支出（208类）抚恤（08款）死亡抚恤（01项）:支出决算为</w:t>
      </w:r>
      <w:r>
        <w:rPr>
          <w:rFonts w:ascii="仿宋_GB2312" w:eastAsia="仿宋_GB2312" w:hAnsi="仿宋" w:hint="eastAsia"/>
          <w:sz w:val="32"/>
          <w:szCs w:val="32"/>
        </w:rPr>
        <w:t>46.96</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B29057CD">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sz w:val="32"/>
          <w:szCs w:val="32"/>
        </w:rPr>
        <w:t>.社会保障和就业支出（208类）抚恤（08款）伤残抚恤（0</w:t>
      </w:r>
      <w:r>
        <w:rPr>
          <w:rFonts w:ascii="仿宋_GB2312" w:eastAsia="仿宋_GB2312" w:hAnsi="仿宋" w:hint="eastAsia"/>
          <w:sz w:val="32"/>
          <w:szCs w:val="32"/>
        </w:rPr>
        <w:t>2</w:t>
      </w:r>
      <w:r>
        <w:rPr>
          <w:rFonts w:ascii="仿宋_GB2312" w:eastAsia="仿宋_GB2312" w:hAnsi="仿宋"/>
          <w:sz w:val="32"/>
          <w:szCs w:val="32"/>
        </w:rPr>
        <w:t>项）:支出决算为</w:t>
      </w:r>
      <w:r>
        <w:rPr>
          <w:rFonts w:ascii="仿宋_GB2312" w:eastAsia="仿宋_GB2312" w:hAnsi="仿宋" w:hint="eastAsia"/>
          <w:sz w:val="32"/>
          <w:szCs w:val="32"/>
        </w:rPr>
        <w:t>2.66</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622F433F">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sz w:val="32"/>
          <w:szCs w:val="32"/>
        </w:rPr>
        <w:t>.卫生健康支出（210类）行政事业单位医疗（11款）行政单位医疗（01项）:支出决算为</w:t>
      </w:r>
      <w:r>
        <w:rPr>
          <w:rFonts w:ascii="仿宋_GB2312" w:eastAsia="仿宋_GB2312" w:hAnsi="仿宋" w:hint="eastAsia"/>
          <w:sz w:val="32"/>
          <w:szCs w:val="32"/>
        </w:rPr>
        <w:t>26.57</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2F7868BE">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sz w:val="32"/>
          <w:szCs w:val="32"/>
        </w:rPr>
        <w:t>.卫生健康支出（210类）行政事业单位医疗（11款）事业单位医疗（02项）:支出决算为</w:t>
      </w:r>
      <w:r>
        <w:rPr>
          <w:rFonts w:ascii="仿宋_GB2312" w:eastAsia="仿宋_GB2312" w:hAnsi="仿宋" w:hint="eastAsia"/>
          <w:sz w:val="32"/>
          <w:szCs w:val="32"/>
        </w:rPr>
        <w:t>27.93</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F2CF1638">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10</w:t>
      </w:r>
      <w:r>
        <w:rPr>
          <w:rFonts w:ascii="仿宋_GB2312" w:eastAsia="仿宋_GB2312" w:hAnsi="仿宋"/>
          <w:sz w:val="32"/>
          <w:szCs w:val="32"/>
        </w:rPr>
        <w:t>.卫生健康支出（210类）行政事业单位医疗（11款）公务员医疗补助（03项）:支出决算为</w:t>
      </w:r>
      <w:r>
        <w:rPr>
          <w:rFonts w:ascii="仿宋_GB2312" w:eastAsia="仿宋_GB2312" w:hAnsi="仿宋" w:hint="eastAsia"/>
          <w:sz w:val="32"/>
          <w:szCs w:val="32"/>
        </w:rPr>
        <w:t>3.29</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63FA0AF3">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11</w:t>
      </w:r>
      <w:r>
        <w:rPr>
          <w:rFonts w:ascii="仿宋_GB2312" w:eastAsia="仿宋_GB2312" w:hAnsi="仿宋"/>
          <w:sz w:val="32"/>
          <w:szCs w:val="32"/>
        </w:rPr>
        <w:t>.卫生健康支出（210类）行政事业单位医疗（11款）</w:t>
      </w:r>
      <w:r>
        <w:rPr>
          <w:rFonts w:ascii="仿宋_GB2312" w:eastAsia="仿宋_GB2312" w:hAnsi="仿宋"/>
          <w:sz w:val="32"/>
          <w:szCs w:val="32"/>
        </w:rPr>
        <w:t>其他行政事业单位医疗支出（99项）:支出决算为</w:t>
      </w:r>
      <w:r>
        <w:rPr>
          <w:rFonts w:ascii="仿宋_GB2312" w:eastAsia="仿宋_GB2312" w:hAnsi="仿宋" w:hint="eastAsia"/>
          <w:sz w:val="32"/>
          <w:szCs w:val="32"/>
        </w:rPr>
        <w:t>31.29</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3F11C563">
      <w:pPr>
        <w:pStyle w:val="style0"/>
        <w:spacing w:lineRule="exact" w:line="600"/>
        <w:ind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2</w:t>
      </w:r>
      <w:r>
        <w:rPr>
          <w:rFonts w:ascii="仿宋_GB2312" w:eastAsia="仿宋_GB2312" w:hAnsi="仿宋"/>
          <w:sz w:val="32"/>
          <w:szCs w:val="32"/>
        </w:rPr>
        <w:t>.节能环保支出（211类）其他节能环保支出（</w:t>
      </w:r>
      <w:r>
        <w:rPr>
          <w:rFonts w:ascii="仿宋_GB2312" w:eastAsia="仿宋_GB2312" w:hAnsi="仿宋" w:hint="eastAsia"/>
          <w:sz w:val="32"/>
          <w:szCs w:val="32"/>
        </w:rPr>
        <w:t>99</w:t>
      </w:r>
      <w:r>
        <w:rPr>
          <w:rFonts w:ascii="仿宋_GB2312" w:eastAsia="仿宋_GB2312" w:hAnsi="仿宋"/>
          <w:sz w:val="32"/>
          <w:szCs w:val="32"/>
        </w:rPr>
        <w:t>款）其他节能环保支出（</w:t>
      </w:r>
      <w:r>
        <w:rPr>
          <w:rFonts w:ascii="仿宋_GB2312" w:eastAsia="仿宋_GB2312" w:hAnsi="仿宋" w:hint="eastAsia"/>
          <w:sz w:val="32"/>
          <w:szCs w:val="32"/>
        </w:rPr>
        <w:t>99</w:t>
      </w:r>
      <w:r>
        <w:rPr>
          <w:rFonts w:ascii="仿宋_GB2312" w:eastAsia="仿宋_GB2312" w:hAnsi="仿宋"/>
          <w:sz w:val="32"/>
          <w:szCs w:val="32"/>
        </w:rPr>
        <w:t>项）:支出决算为</w:t>
      </w:r>
      <w:r>
        <w:rPr>
          <w:rFonts w:ascii="仿宋_GB2312" w:eastAsia="仿宋_GB2312" w:hAnsi="仿宋" w:hint="eastAsia"/>
          <w:sz w:val="32"/>
          <w:szCs w:val="32"/>
        </w:rPr>
        <w:t>1336.64</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134828F8">
      <w:pPr>
        <w:pStyle w:val="style0"/>
        <w:spacing w:lineRule="exact" w:line="600"/>
        <w:ind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3</w:t>
      </w:r>
      <w:r>
        <w:rPr>
          <w:rFonts w:ascii="仿宋_GB2312" w:eastAsia="仿宋_GB2312" w:hAnsi="仿宋"/>
          <w:sz w:val="32"/>
          <w:szCs w:val="32"/>
        </w:rPr>
        <w:t>.农林水支出（213类）其他农林水支出（</w:t>
      </w:r>
      <w:r>
        <w:rPr>
          <w:rFonts w:ascii="仿宋_GB2312" w:eastAsia="仿宋_GB2312" w:hAnsi="仿宋" w:hint="eastAsia"/>
          <w:sz w:val="32"/>
          <w:szCs w:val="32"/>
        </w:rPr>
        <w:t>99</w:t>
      </w:r>
      <w:r>
        <w:rPr>
          <w:rFonts w:ascii="仿宋_GB2312" w:eastAsia="仿宋_GB2312" w:hAnsi="仿宋"/>
          <w:sz w:val="32"/>
          <w:szCs w:val="32"/>
        </w:rPr>
        <w:t>款）其他农林水支出（</w:t>
      </w:r>
      <w:r>
        <w:rPr>
          <w:rFonts w:ascii="仿宋_GB2312" w:eastAsia="仿宋_GB2312" w:hAnsi="仿宋" w:hint="eastAsia"/>
          <w:sz w:val="32"/>
          <w:szCs w:val="32"/>
        </w:rPr>
        <w:t>99</w:t>
      </w:r>
      <w:r>
        <w:rPr>
          <w:rFonts w:ascii="仿宋_GB2312" w:eastAsia="仿宋_GB2312" w:hAnsi="仿宋"/>
          <w:sz w:val="32"/>
          <w:szCs w:val="32"/>
        </w:rPr>
        <w:t>项）: 支出决算为</w:t>
      </w:r>
      <w:r>
        <w:rPr>
          <w:rFonts w:ascii="仿宋_GB2312" w:eastAsia="仿宋_GB2312" w:hAnsi="仿宋" w:hint="eastAsia"/>
          <w:sz w:val="32"/>
          <w:szCs w:val="32"/>
        </w:rPr>
        <w:t>2.00</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75019D40">
      <w:pPr>
        <w:pStyle w:val="style0"/>
        <w:spacing w:lineRule="exact" w:line="600"/>
        <w:ind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4</w:t>
      </w:r>
      <w:r>
        <w:rPr>
          <w:rFonts w:ascii="仿宋_GB2312" w:eastAsia="仿宋_GB2312" w:hAnsi="仿宋"/>
          <w:sz w:val="32"/>
          <w:szCs w:val="32"/>
        </w:rPr>
        <w:t>.自然资源海洋气象等支出（2</w:t>
      </w:r>
      <w:r>
        <w:rPr>
          <w:rFonts w:ascii="仿宋_GB2312" w:eastAsia="仿宋_GB2312" w:hAnsi="仿宋" w:hint="eastAsia"/>
          <w:sz w:val="32"/>
          <w:szCs w:val="32"/>
        </w:rPr>
        <w:t>20</w:t>
      </w:r>
      <w:r>
        <w:rPr>
          <w:rFonts w:ascii="仿宋_GB2312" w:eastAsia="仿宋_GB2312" w:hAnsi="仿宋"/>
          <w:sz w:val="32"/>
          <w:szCs w:val="32"/>
        </w:rPr>
        <w:t>类）自然资源事务（0</w:t>
      </w:r>
      <w:r>
        <w:rPr>
          <w:rFonts w:ascii="仿宋_GB2312" w:eastAsia="仿宋_GB2312" w:hAnsi="仿宋" w:hint="eastAsia"/>
          <w:sz w:val="32"/>
          <w:szCs w:val="32"/>
        </w:rPr>
        <w:t>1</w:t>
      </w:r>
      <w:r>
        <w:rPr>
          <w:rFonts w:ascii="仿宋_GB2312" w:eastAsia="仿宋_GB2312" w:hAnsi="仿宋"/>
          <w:sz w:val="32"/>
          <w:szCs w:val="32"/>
        </w:rPr>
        <w:t>款）行政运行（0</w:t>
      </w:r>
      <w:r>
        <w:rPr>
          <w:rFonts w:ascii="仿宋_GB2312" w:eastAsia="仿宋_GB2312" w:hAnsi="仿宋" w:hint="eastAsia"/>
          <w:sz w:val="32"/>
          <w:szCs w:val="32"/>
        </w:rPr>
        <w:t>1</w:t>
      </w:r>
      <w:r>
        <w:rPr>
          <w:rFonts w:ascii="仿宋_GB2312" w:eastAsia="仿宋_GB2312" w:hAnsi="仿宋"/>
          <w:sz w:val="32"/>
          <w:szCs w:val="32"/>
        </w:rPr>
        <w:t>项）: 支出决算为</w:t>
      </w:r>
      <w:r>
        <w:rPr>
          <w:rFonts w:ascii="仿宋_GB2312" w:eastAsia="仿宋_GB2312" w:hAnsi="仿宋" w:hint="eastAsia"/>
          <w:sz w:val="32"/>
          <w:szCs w:val="32"/>
        </w:rPr>
        <w:t>410.28</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r>
        <w:rPr>
          <w:rFonts w:ascii="仿宋_GB2312" w:eastAsia="仿宋_GB2312" w:hAnsi="仿宋"/>
          <w:sz w:val="32"/>
          <w:szCs w:val="32"/>
        </w:rPr>
        <w:t>。</w:t>
      </w:r>
    </w:p>
    <w:p w14:paraId="BB8EEBCB">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15.</w:t>
      </w:r>
      <w:r>
        <w:rPr>
          <w:rFonts w:ascii="仿宋_GB2312" w:eastAsia="仿宋_GB2312" w:hAnsi="仿宋"/>
          <w:sz w:val="32"/>
          <w:szCs w:val="32"/>
        </w:rPr>
        <w:t>自然资源海洋气象等支出（2</w:t>
      </w:r>
      <w:r>
        <w:rPr>
          <w:rFonts w:ascii="仿宋_GB2312" w:eastAsia="仿宋_GB2312" w:hAnsi="仿宋" w:hint="eastAsia"/>
          <w:sz w:val="32"/>
          <w:szCs w:val="32"/>
        </w:rPr>
        <w:t>20</w:t>
      </w:r>
      <w:r>
        <w:rPr>
          <w:rFonts w:ascii="仿宋_GB2312" w:eastAsia="仿宋_GB2312" w:hAnsi="仿宋"/>
          <w:sz w:val="32"/>
          <w:szCs w:val="32"/>
        </w:rPr>
        <w:t>类）自然资源事务（0</w:t>
      </w:r>
      <w:r>
        <w:rPr>
          <w:rFonts w:ascii="仿宋_GB2312" w:eastAsia="仿宋_GB2312" w:hAnsi="仿宋" w:hint="eastAsia"/>
          <w:sz w:val="32"/>
          <w:szCs w:val="32"/>
        </w:rPr>
        <w:t>1</w:t>
      </w:r>
      <w:r>
        <w:rPr>
          <w:rFonts w:ascii="仿宋_GB2312" w:eastAsia="仿宋_GB2312" w:hAnsi="仿宋"/>
          <w:sz w:val="32"/>
          <w:szCs w:val="32"/>
        </w:rPr>
        <w:t>款）自然资源规划及管理（</w:t>
      </w:r>
      <w:r>
        <w:rPr>
          <w:rFonts w:ascii="仿宋_GB2312" w:eastAsia="仿宋_GB2312" w:hAnsi="仿宋" w:hint="eastAsia"/>
          <w:sz w:val="32"/>
          <w:szCs w:val="32"/>
        </w:rPr>
        <w:t>04</w:t>
      </w:r>
      <w:r>
        <w:rPr>
          <w:rFonts w:ascii="仿宋_GB2312" w:eastAsia="仿宋_GB2312" w:hAnsi="仿宋"/>
          <w:sz w:val="32"/>
          <w:szCs w:val="32"/>
        </w:rPr>
        <w:t>项）: 支出决算为</w:t>
      </w:r>
      <w:r>
        <w:rPr>
          <w:rFonts w:ascii="仿宋_GB2312" w:eastAsia="仿宋_GB2312" w:hAnsi="仿宋" w:hint="eastAsia"/>
          <w:sz w:val="32"/>
          <w:szCs w:val="32"/>
        </w:rPr>
        <w:t>494.13</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85157FE6">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16</w:t>
      </w:r>
      <w:r>
        <w:rPr>
          <w:rFonts w:ascii="仿宋_GB2312" w:eastAsia="仿宋_GB2312" w:hAnsi="仿宋"/>
          <w:sz w:val="32"/>
          <w:szCs w:val="32"/>
        </w:rPr>
        <w:t>.自然资源海洋气象等支出（2</w:t>
      </w:r>
      <w:r>
        <w:rPr>
          <w:rFonts w:ascii="仿宋_GB2312" w:eastAsia="仿宋_GB2312" w:hAnsi="仿宋" w:hint="eastAsia"/>
          <w:sz w:val="32"/>
          <w:szCs w:val="32"/>
        </w:rPr>
        <w:t>20</w:t>
      </w:r>
      <w:r>
        <w:rPr>
          <w:rFonts w:ascii="仿宋_GB2312" w:eastAsia="仿宋_GB2312" w:hAnsi="仿宋"/>
          <w:sz w:val="32"/>
          <w:szCs w:val="32"/>
        </w:rPr>
        <w:t>类）自然资源事务（0</w:t>
      </w:r>
      <w:r>
        <w:rPr>
          <w:rFonts w:ascii="仿宋_GB2312" w:eastAsia="仿宋_GB2312" w:hAnsi="仿宋" w:hint="eastAsia"/>
          <w:sz w:val="32"/>
          <w:szCs w:val="32"/>
        </w:rPr>
        <w:t>1</w:t>
      </w:r>
      <w:r>
        <w:rPr>
          <w:rFonts w:ascii="仿宋_GB2312" w:eastAsia="仿宋_GB2312" w:hAnsi="仿宋"/>
          <w:sz w:val="32"/>
          <w:szCs w:val="32"/>
        </w:rPr>
        <w:t>款）自然资源调查与确权登记（0</w:t>
      </w:r>
      <w:r>
        <w:rPr>
          <w:rFonts w:ascii="仿宋_GB2312" w:eastAsia="仿宋_GB2312" w:hAnsi="仿宋" w:hint="eastAsia"/>
          <w:sz w:val="32"/>
          <w:szCs w:val="32"/>
        </w:rPr>
        <w:t>6</w:t>
      </w:r>
      <w:r>
        <w:rPr>
          <w:rFonts w:ascii="仿宋_GB2312" w:eastAsia="仿宋_GB2312" w:hAnsi="仿宋"/>
          <w:sz w:val="32"/>
          <w:szCs w:val="32"/>
        </w:rPr>
        <w:t>项）: 支出决算为</w:t>
      </w:r>
      <w:r>
        <w:rPr>
          <w:rFonts w:ascii="仿宋_GB2312" w:eastAsia="仿宋_GB2312" w:hAnsi="仿宋" w:hint="eastAsia"/>
          <w:sz w:val="32"/>
          <w:szCs w:val="32"/>
        </w:rPr>
        <w:t>950.88</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B8C209A5">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17</w:t>
      </w:r>
      <w:r>
        <w:rPr>
          <w:rFonts w:ascii="仿宋_GB2312" w:eastAsia="仿宋_GB2312" w:hAnsi="仿宋"/>
          <w:sz w:val="32"/>
          <w:szCs w:val="32"/>
        </w:rPr>
        <w:t>.自然资源海洋气象等支出（2</w:t>
      </w:r>
      <w:r>
        <w:rPr>
          <w:rFonts w:ascii="仿宋_GB2312" w:eastAsia="仿宋_GB2312" w:hAnsi="仿宋" w:hint="eastAsia"/>
          <w:sz w:val="32"/>
          <w:szCs w:val="32"/>
        </w:rPr>
        <w:t>20</w:t>
      </w:r>
      <w:r>
        <w:rPr>
          <w:rFonts w:ascii="仿宋_GB2312" w:eastAsia="仿宋_GB2312" w:hAnsi="仿宋"/>
          <w:sz w:val="32"/>
          <w:szCs w:val="32"/>
        </w:rPr>
        <w:t>类）自然资源事务（0</w:t>
      </w:r>
      <w:r>
        <w:rPr>
          <w:rFonts w:ascii="仿宋_GB2312" w:eastAsia="仿宋_GB2312" w:hAnsi="仿宋" w:hint="eastAsia"/>
          <w:sz w:val="32"/>
          <w:szCs w:val="32"/>
        </w:rPr>
        <w:t>1</w:t>
      </w:r>
      <w:r>
        <w:rPr>
          <w:rFonts w:ascii="仿宋_GB2312" w:eastAsia="仿宋_GB2312" w:hAnsi="仿宋"/>
          <w:sz w:val="32"/>
          <w:szCs w:val="32"/>
        </w:rPr>
        <w:t>款）事业运行（</w:t>
      </w:r>
      <w:r>
        <w:rPr>
          <w:rFonts w:ascii="仿宋_GB2312" w:eastAsia="仿宋_GB2312" w:hAnsi="仿宋" w:hint="eastAsia"/>
          <w:sz w:val="32"/>
          <w:szCs w:val="32"/>
        </w:rPr>
        <w:t>50</w:t>
      </w:r>
      <w:r>
        <w:rPr>
          <w:rFonts w:ascii="仿宋_GB2312" w:eastAsia="仿宋_GB2312" w:hAnsi="仿宋"/>
          <w:sz w:val="32"/>
          <w:szCs w:val="32"/>
        </w:rPr>
        <w:t>项）: 支出决算为</w:t>
      </w:r>
      <w:r>
        <w:rPr>
          <w:rFonts w:ascii="仿宋_GB2312" w:eastAsia="仿宋_GB2312" w:hAnsi="仿宋" w:hint="eastAsia"/>
          <w:sz w:val="32"/>
          <w:szCs w:val="32"/>
        </w:rPr>
        <w:t>407.10</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2FDB7DC1">
      <w:pPr>
        <w:pStyle w:val="style0"/>
        <w:spacing w:lineRule="exact" w:line="600"/>
        <w:rPr>
          <w:rFonts w:ascii="仿宋_GB2312" w:eastAsia="仿宋_GB2312" w:hAnsi="仿宋"/>
          <w:sz w:val="32"/>
          <w:szCs w:val="32"/>
        </w:rPr>
      </w:pPr>
      <w:r>
        <w:rPr>
          <w:rFonts w:hint="eastAsia"/>
        </w:rPr>
        <w:t xml:space="preserve">     </w:t>
      </w:r>
      <w:r>
        <w:rPr>
          <w:rFonts w:ascii="仿宋_GB2312" w:eastAsia="仿宋_GB2312" w:hAnsi="仿宋" w:hint="eastAsia"/>
          <w:sz w:val="32"/>
          <w:szCs w:val="32"/>
        </w:rPr>
        <w:t>18</w:t>
      </w:r>
      <w:r>
        <w:rPr>
          <w:rFonts w:ascii="仿宋_GB2312" w:eastAsia="仿宋_GB2312" w:hAnsi="仿宋"/>
          <w:sz w:val="32"/>
          <w:szCs w:val="32"/>
        </w:rPr>
        <w:t>.自然资源海洋气象等支出（2</w:t>
      </w:r>
      <w:r>
        <w:rPr>
          <w:rFonts w:ascii="仿宋_GB2312" w:eastAsia="仿宋_GB2312" w:hAnsi="仿宋" w:hint="eastAsia"/>
          <w:sz w:val="32"/>
          <w:szCs w:val="32"/>
        </w:rPr>
        <w:t>20</w:t>
      </w:r>
      <w:r>
        <w:rPr>
          <w:rFonts w:ascii="仿宋_GB2312" w:eastAsia="仿宋_GB2312" w:hAnsi="仿宋"/>
          <w:sz w:val="32"/>
          <w:szCs w:val="32"/>
        </w:rPr>
        <w:t>类）自然资源事务（0</w:t>
      </w:r>
      <w:r>
        <w:rPr>
          <w:rFonts w:ascii="仿宋_GB2312" w:eastAsia="仿宋_GB2312" w:hAnsi="仿宋" w:hint="eastAsia"/>
          <w:sz w:val="32"/>
          <w:szCs w:val="32"/>
        </w:rPr>
        <w:t>1</w:t>
      </w:r>
      <w:r>
        <w:rPr>
          <w:rFonts w:ascii="仿宋_GB2312" w:eastAsia="仿宋_GB2312" w:hAnsi="仿宋"/>
          <w:sz w:val="32"/>
          <w:szCs w:val="32"/>
        </w:rPr>
        <w:t>款）自然资源调查与确权登记（</w:t>
      </w:r>
      <w:r>
        <w:rPr>
          <w:rFonts w:ascii="仿宋_GB2312" w:eastAsia="仿宋_GB2312" w:hAnsi="仿宋" w:hint="eastAsia"/>
          <w:sz w:val="32"/>
          <w:szCs w:val="32"/>
        </w:rPr>
        <w:t>09</w:t>
      </w:r>
      <w:r>
        <w:rPr>
          <w:rFonts w:ascii="仿宋_GB2312" w:eastAsia="仿宋_GB2312" w:hAnsi="仿宋"/>
          <w:sz w:val="32"/>
          <w:szCs w:val="32"/>
        </w:rPr>
        <w:t>项）: 支出决算为</w:t>
      </w:r>
      <w:r>
        <w:rPr>
          <w:rFonts w:ascii="仿宋_GB2312" w:eastAsia="仿宋_GB2312" w:hAnsi="仿宋" w:hint="eastAsia"/>
          <w:sz w:val="32"/>
          <w:szCs w:val="32"/>
        </w:rPr>
        <w:t>49.15</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C3A82B49">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19</w:t>
      </w:r>
      <w:r>
        <w:rPr>
          <w:rFonts w:ascii="仿宋_GB2312" w:eastAsia="仿宋_GB2312" w:hAnsi="仿宋"/>
          <w:sz w:val="32"/>
          <w:szCs w:val="32"/>
        </w:rPr>
        <w:t>.自然资源海洋气象等支出（2</w:t>
      </w:r>
      <w:r>
        <w:rPr>
          <w:rFonts w:ascii="仿宋_GB2312" w:eastAsia="仿宋_GB2312" w:hAnsi="仿宋" w:hint="eastAsia"/>
          <w:sz w:val="32"/>
          <w:szCs w:val="32"/>
        </w:rPr>
        <w:t>20</w:t>
      </w:r>
      <w:r>
        <w:rPr>
          <w:rFonts w:ascii="仿宋_GB2312" w:eastAsia="仿宋_GB2312" w:hAnsi="仿宋"/>
          <w:sz w:val="32"/>
          <w:szCs w:val="32"/>
        </w:rPr>
        <w:t>类）自然资源事务（0</w:t>
      </w:r>
      <w:r>
        <w:rPr>
          <w:rFonts w:ascii="仿宋_GB2312" w:eastAsia="仿宋_GB2312" w:hAnsi="仿宋" w:hint="eastAsia"/>
          <w:sz w:val="32"/>
          <w:szCs w:val="32"/>
        </w:rPr>
        <w:t>1</w:t>
      </w:r>
      <w:r>
        <w:rPr>
          <w:rFonts w:ascii="仿宋_GB2312" w:eastAsia="仿宋_GB2312" w:hAnsi="仿宋"/>
          <w:sz w:val="32"/>
          <w:szCs w:val="32"/>
        </w:rPr>
        <w:t>款）其他自然资源事务支出（</w:t>
      </w:r>
      <w:r>
        <w:rPr>
          <w:rFonts w:ascii="仿宋_GB2312" w:eastAsia="仿宋_GB2312" w:hAnsi="仿宋" w:hint="eastAsia"/>
          <w:sz w:val="32"/>
          <w:szCs w:val="32"/>
        </w:rPr>
        <w:t>99</w:t>
      </w:r>
      <w:r>
        <w:rPr>
          <w:rFonts w:ascii="仿宋_GB2312" w:eastAsia="仿宋_GB2312" w:hAnsi="仿宋"/>
          <w:sz w:val="32"/>
          <w:szCs w:val="32"/>
        </w:rPr>
        <w:t>项）: 支出决算为</w:t>
      </w:r>
      <w:r>
        <w:rPr>
          <w:rFonts w:ascii="仿宋_GB2312" w:eastAsia="仿宋_GB2312" w:hAnsi="仿宋" w:hint="eastAsia"/>
          <w:sz w:val="32"/>
          <w:szCs w:val="32"/>
        </w:rPr>
        <w:t>2227.53</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BD7E6681">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20</w:t>
      </w:r>
      <w:r>
        <w:rPr>
          <w:rFonts w:ascii="仿宋_GB2312" w:eastAsia="仿宋_GB2312" w:hAnsi="仿宋"/>
          <w:sz w:val="32"/>
          <w:szCs w:val="32"/>
        </w:rPr>
        <w:t>.住房保障支出（221类)住房改革支出（02款）住房公积金（01项）: 支出决算为</w:t>
      </w:r>
      <w:r>
        <w:rPr>
          <w:rFonts w:ascii="仿宋_GB2312" w:eastAsia="仿宋_GB2312" w:hAnsi="仿宋" w:hint="eastAsia"/>
          <w:sz w:val="32"/>
          <w:szCs w:val="32"/>
        </w:rPr>
        <w:t>82.14</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71D8F641">
      <w:pPr>
        <w:pStyle w:val="style0"/>
        <w:spacing w:lineRule="exact" w:line="600"/>
        <w:ind w:firstLine="640"/>
        <w:rPr>
          <w:rFonts w:ascii="仿宋_GB2312" w:eastAsia="仿宋_GB2312" w:hAnsi="仿宋"/>
          <w:sz w:val="32"/>
          <w:szCs w:val="32"/>
        </w:rPr>
      </w:pPr>
      <w:r>
        <w:rPr>
          <w:rFonts w:ascii="仿宋_GB2312" w:eastAsia="仿宋_GB2312" w:hAnsi="仿宋" w:hint="eastAsia"/>
          <w:sz w:val="32"/>
          <w:szCs w:val="32"/>
        </w:rPr>
        <w:t>21.</w:t>
      </w:r>
      <w:r>
        <w:rPr>
          <w:rFonts w:ascii="仿宋_GB2312" w:eastAsia="仿宋_GB2312" w:hAnsi="仿宋"/>
          <w:sz w:val="32"/>
          <w:szCs w:val="32"/>
        </w:rPr>
        <w:t>灾害防治及应急管理支出（2</w:t>
      </w:r>
      <w:r>
        <w:rPr>
          <w:rFonts w:ascii="仿宋_GB2312" w:eastAsia="仿宋_GB2312" w:hAnsi="仿宋" w:hint="eastAsia"/>
          <w:sz w:val="32"/>
          <w:szCs w:val="32"/>
        </w:rPr>
        <w:t>24</w:t>
      </w:r>
      <w:r>
        <w:rPr>
          <w:rFonts w:ascii="仿宋_GB2312" w:eastAsia="仿宋_GB2312" w:hAnsi="仿宋"/>
          <w:sz w:val="32"/>
          <w:szCs w:val="32"/>
        </w:rPr>
        <w:t>类）自然灾害防治（0</w:t>
      </w:r>
      <w:r>
        <w:rPr>
          <w:rFonts w:ascii="仿宋_GB2312" w:eastAsia="仿宋_GB2312" w:hAnsi="仿宋" w:hint="eastAsia"/>
          <w:sz w:val="32"/>
          <w:szCs w:val="32"/>
        </w:rPr>
        <w:t>6</w:t>
      </w:r>
      <w:r>
        <w:rPr>
          <w:rFonts w:ascii="仿宋_GB2312" w:eastAsia="仿宋_GB2312" w:hAnsi="仿宋"/>
          <w:sz w:val="32"/>
          <w:szCs w:val="32"/>
        </w:rPr>
        <w:t>款）地质灾害防治（0</w:t>
      </w:r>
      <w:r>
        <w:rPr>
          <w:rFonts w:ascii="仿宋_GB2312" w:eastAsia="仿宋_GB2312" w:hAnsi="仿宋" w:hint="eastAsia"/>
          <w:sz w:val="32"/>
          <w:szCs w:val="32"/>
        </w:rPr>
        <w:t>1</w:t>
      </w:r>
      <w:r>
        <w:rPr>
          <w:rFonts w:ascii="仿宋_GB2312" w:eastAsia="仿宋_GB2312" w:hAnsi="仿宋"/>
          <w:sz w:val="32"/>
          <w:szCs w:val="32"/>
        </w:rPr>
        <w:t>项）：支出决算为</w:t>
      </w:r>
      <w:r>
        <w:rPr>
          <w:rFonts w:ascii="仿宋_GB2312" w:eastAsia="仿宋_GB2312" w:hAnsi="仿宋" w:hint="eastAsia"/>
          <w:sz w:val="32"/>
          <w:szCs w:val="32"/>
        </w:rPr>
        <w:t>4623.03</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p w14:paraId="BAEB965C">
      <w:pPr>
        <w:pStyle w:val="style0"/>
        <w:spacing w:lineRule="exact" w:line="600"/>
        <w:ind w:firstLine="640"/>
        <w:rPr>
          <w:rFonts w:ascii="仿宋_GB2312" w:eastAsia="仿宋_GB2312" w:hAnsi="仿宋"/>
          <w:b/>
          <w:sz w:val="32"/>
          <w:szCs w:val="32"/>
        </w:rPr>
      </w:pPr>
      <w:r>
        <w:rPr>
          <w:rFonts w:ascii="仿宋_GB2312" w:eastAsia="仿宋_GB2312" w:hAnsi="仿宋" w:hint="eastAsia"/>
          <w:sz w:val="32"/>
          <w:szCs w:val="32"/>
        </w:rPr>
        <w:t>22.</w:t>
      </w:r>
      <w:r>
        <w:rPr>
          <w:rFonts w:ascii="仿宋_GB2312" w:eastAsia="仿宋_GB2312" w:hAnsi="仿宋"/>
          <w:sz w:val="32"/>
          <w:szCs w:val="32"/>
        </w:rPr>
        <w:t>灾害防治及应急管理支出（2</w:t>
      </w:r>
      <w:r>
        <w:rPr>
          <w:rFonts w:ascii="仿宋_GB2312" w:eastAsia="仿宋_GB2312" w:hAnsi="仿宋" w:hint="eastAsia"/>
          <w:sz w:val="32"/>
          <w:szCs w:val="32"/>
        </w:rPr>
        <w:t>24</w:t>
      </w:r>
      <w:r>
        <w:rPr>
          <w:rFonts w:ascii="仿宋_GB2312" w:eastAsia="仿宋_GB2312" w:hAnsi="仿宋"/>
          <w:sz w:val="32"/>
          <w:szCs w:val="32"/>
        </w:rPr>
        <w:t>类）自然灾害防治（0</w:t>
      </w:r>
      <w:r>
        <w:rPr>
          <w:rFonts w:ascii="仿宋_GB2312" w:eastAsia="仿宋_GB2312" w:hAnsi="仿宋" w:hint="eastAsia"/>
          <w:sz w:val="32"/>
          <w:szCs w:val="32"/>
        </w:rPr>
        <w:t>6</w:t>
      </w:r>
      <w:r>
        <w:rPr>
          <w:rFonts w:ascii="仿宋_GB2312" w:eastAsia="仿宋_GB2312" w:hAnsi="仿宋"/>
          <w:sz w:val="32"/>
          <w:szCs w:val="32"/>
        </w:rPr>
        <w:t>款）其他自然灾害防治支出（</w:t>
      </w:r>
      <w:r>
        <w:rPr>
          <w:rFonts w:ascii="仿宋_GB2312" w:eastAsia="仿宋_GB2312" w:hAnsi="仿宋" w:hint="eastAsia"/>
          <w:sz w:val="32"/>
          <w:szCs w:val="32"/>
        </w:rPr>
        <w:t>99</w:t>
      </w:r>
      <w:r>
        <w:rPr>
          <w:rFonts w:ascii="仿宋_GB2312" w:eastAsia="仿宋_GB2312" w:hAnsi="仿宋"/>
          <w:sz w:val="32"/>
          <w:szCs w:val="32"/>
        </w:rPr>
        <w:t>项）：支出决算为</w:t>
      </w:r>
      <w:r>
        <w:rPr>
          <w:rFonts w:ascii="仿宋_GB2312" w:eastAsia="仿宋_GB2312" w:hAnsi="仿宋" w:hint="eastAsia"/>
          <w:sz w:val="32"/>
          <w:szCs w:val="32"/>
        </w:rPr>
        <w:t>312.78</w:t>
      </w:r>
      <w:r>
        <w:rPr>
          <w:rFonts w:ascii="仿宋_GB2312" w:eastAsia="仿宋_GB2312" w:hAnsi="仿宋"/>
          <w:sz w:val="32"/>
          <w:szCs w:val="32"/>
        </w:rPr>
        <w:t>万元，完成预算100%，</w:t>
      </w:r>
      <w:r>
        <w:rPr>
          <w:rFonts w:ascii="仿宋_GB2312" w:eastAsia="仿宋_GB2312" w:hAnsi="仿宋" w:hint="eastAsia"/>
          <w:sz w:val="32"/>
          <w:szCs w:val="32"/>
        </w:rPr>
        <w:t>决算数等于预算数。</w:t>
      </w:r>
    </w:p>
    <w:bookmarkStart w:id="28" w:name="_Toc15377214"/>
    <w:bookmarkStart w:id="29" w:name="_Toc15396608"/>
    <w:p w14:paraId="6911865B">
      <w:pPr>
        <w:pStyle w:val="style0"/>
        <w:tabs>
          <w:tab w:val="right" w:leader="none" w:pos="8306"/>
        </w:tabs>
        <w:spacing w:lineRule="exact" w:line="600"/>
        <w:ind w:firstLine="640"/>
        <w:outlineLvl w:val="1"/>
        <w:rPr>
          <w:rStyle w:val="style4106"/>
          <w:rFonts w:ascii="Times New Roman" w:hAnsi="Times New Roman"/>
        </w:rPr>
      </w:pPr>
      <w:r>
        <w:rPr>
          <w:rFonts w:eastAsia="黑体" w:hint="eastAsia"/>
          <w:sz w:val="32"/>
          <w:szCs w:val="32"/>
        </w:rPr>
        <w:t>六</w:t>
      </w:r>
      <w:r>
        <w:rPr>
          <w:rFonts w:eastAsia="黑体" w:hint="eastAsia"/>
          <w:b/>
          <w:sz w:val="32"/>
          <w:szCs w:val="32"/>
        </w:rPr>
        <w:t>、一</w:t>
      </w:r>
      <w:r>
        <w:rPr>
          <w:rStyle w:val="style4106"/>
          <w:rFonts w:ascii="Times New Roman" w:eastAsia="黑体" w:hAnsi="Times New Roman" w:hint="eastAsia"/>
          <w:b w:val="false"/>
        </w:rPr>
        <w:t>般公共预算财政拨款基本支出决算情况说明</w:t>
      </w:r>
      <w:bookmarkEnd w:id="28"/>
      <w:bookmarkEnd w:id="29"/>
      <w:r>
        <w:rPr>
          <w:rStyle w:val="style4106"/>
          <w:rFonts w:ascii="Times New Roman" w:eastAsia="黑体" w:hAnsi="Times New Roman"/>
          <w:b w:val="false"/>
        </w:rPr>
        <w:tab/>
      </w:r>
    </w:p>
    <w:p w14:paraId="85DF87FE">
      <w:pPr>
        <w:pStyle w:val="style0"/>
        <w:spacing w:lineRule="exact" w:line="600"/>
        <w:ind w:firstLine="640"/>
        <w:rPr>
          <w:rFonts w:cs="仿宋_GB2312" w:eastAsia="仿宋_GB2312"/>
          <w:sz w:val="32"/>
          <w:szCs w:val="32"/>
        </w:rPr>
      </w:pPr>
      <w:r>
        <w:rPr>
          <w:rFonts w:cs="仿宋_GB2312" w:eastAsia="仿宋_GB2312" w:hint="eastAsia"/>
          <w:sz w:val="32"/>
          <w:szCs w:val="32"/>
        </w:rPr>
        <w:t>2024</w:t>
      </w:r>
      <w:r>
        <w:rPr>
          <w:rFonts w:cs="仿宋_GB2312" w:eastAsia="仿宋_GB2312" w:hint="eastAsia"/>
          <w:sz w:val="32"/>
          <w:szCs w:val="32"/>
        </w:rPr>
        <w:t>年度一般公共预算财政拨款基本支出</w:t>
      </w:r>
      <w:r>
        <w:rPr>
          <w:rFonts w:ascii="仿宋_GB2312" w:cs="仿宋_GB2312" w:eastAsia="仿宋_GB2312" w:hAnsi="仿宋_GB2312" w:hint="eastAsia"/>
          <w:sz w:val="32"/>
          <w:szCs w:val="32"/>
        </w:rPr>
        <w:t>1201.70万</w:t>
      </w:r>
      <w:r>
        <w:rPr>
          <w:rFonts w:cs="仿宋_GB2312" w:eastAsia="仿宋_GB2312" w:hint="eastAsia"/>
          <w:sz w:val="32"/>
          <w:szCs w:val="32"/>
        </w:rPr>
        <w:t>元，其中：</w:t>
      </w:r>
    </w:p>
    <w:p w14:paraId="3F99B18E">
      <w:pPr>
        <w:pStyle w:val="style0"/>
        <w:spacing w:lineRule="exact" w:line="600"/>
        <w:ind w:firstLine="640"/>
        <w:rPr>
          <w:rFonts w:cs="仿宋_GB2312" w:eastAsia="仿宋_GB2312"/>
          <w:sz w:val="32"/>
          <w:szCs w:val="32"/>
        </w:rPr>
      </w:pPr>
      <w:r>
        <w:rPr>
          <w:rFonts w:cs="仿宋_GB2312" w:eastAsia="仿宋_GB2312" w:hint="eastAsia"/>
          <w:sz w:val="32"/>
          <w:szCs w:val="32"/>
        </w:rPr>
        <w:t>人员经费</w:t>
      </w:r>
      <w:r>
        <w:rPr>
          <w:rFonts w:ascii="仿宋_GB2312" w:cs="仿宋_GB2312" w:eastAsia="仿宋_GB2312" w:hAnsi="仿宋_GB2312" w:hint="eastAsia"/>
          <w:sz w:val="32"/>
          <w:szCs w:val="32"/>
        </w:rPr>
        <w:t>1121.23万</w:t>
      </w:r>
      <w:r>
        <w:rPr>
          <w:rFonts w:cs="仿宋_GB2312" w:eastAsia="仿宋_GB2312" w:hint="eastAsia"/>
          <w:sz w:val="32"/>
          <w:szCs w:val="32"/>
        </w:rPr>
        <w:t>元，主要包括：基本工资、津贴补贴、奖金、绩效工资、机关事业单位基本养老保险缴费、职业年金缴费、其他社会保障缴费、其他工资福利支出、抚恤金、生活补助、医疗费补助、奖励金、住房公积金等。</w:t>
      </w:r>
      <w:r>
        <w:rPr>
          <w:rFonts w:cs="仿宋_GB2312" w:eastAsia="仿宋_GB2312" w:hint="eastAsia"/>
          <w:sz w:val="32"/>
          <w:szCs w:val="32"/>
        </w:rPr>
        <w:br/>
      </w:r>
      <w:r>
        <w:rPr>
          <w:rFonts w:cs="仿宋_GB2312" w:eastAsia="仿宋_GB2312" w:hint="eastAsia"/>
          <w:sz w:val="32"/>
          <w:szCs w:val="32"/>
        </w:rPr>
        <w:t>　　公用经费</w:t>
      </w:r>
      <w:r>
        <w:rPr>
          <w:rFonts w:ascii="仿宋_GB2312" w:cs="仿宋_GB2312" w:eastAsia="仿宋_GB2312" w:hAnsi="仿宋_GB2312" w:hint="eastAsia"/>
          <w:sz w:val="32"/>
          <w:szCs w:val="32"/>
        </w:rPr>
        <w:t>80.47万</w:t>
      </w:r>
      <w:r>
        <w:rPr>
          <w:rFonts w:cs="仿宋_GB2312" w:eastAsia="仿宋_GB2312" w:hint="eastAsia"/>
          <w:sz w:val="32"/>
          <w:szCs w:val="32"/>
        </w:rPr>
        <w:t>元，主要包括：办公费、水费、电费、邮电费、物业管理费、差旅费、维修（护）费、租赁费、培训费、公务接待费、劳务费、工会经费、福利费、公务用车运行维护费、其他交通费、其他商品和服务支出等。</w:t>
      </w:r>
    </w:p>
    <w:bookmarkStart w:id="30" w:name="_Toc15377215"/>
    <w:bookmarkStart w:id="31" w:name="_Toc15396609"/>
    <w:p w14:paraId="F91389DA">
      <w:pPr>
        <w:pStyle w:val="style0"/>
        <w:spacing w:lineRule="exact" w:line="600"/>
        <w:ind w:firstLine="640"/>
        <w:outlineLvl w:val="1"/>
        <w:rPr>
          <w:rStyle w:val="style4106"/>
          <w:rFonts w:ascii="Times New Roman" w:eastAsia="黑体" w:hAnsi="Times New Roman"/>
          <w:b w:val="false"/>
        </w:rPr>
      </w:pPr>
      <w:r>
        <w:rPr>
          <w:rFonts w:eastAsia="黑体" w:hint="eastAsia"/>
          <w:sz w:val="32"/>
          <w:szCs w:val="32"/>
        </w:rPr>
        <w:t>七、</w:t>
      </w:r>
      <w:r>
        <w:rPr>
          <w:rStyle w:val="style4106"/>
          <w:rFonts w:ascii="Times New Roman" w:eastAsia="黑体" w:hAnsi="Times New Roman" w:hint="eastAsia"/>
          <w:b w:val="false"/>
        </w:rPr>
        <w:t>财政拨款</w:t>
      </w:r>
      <w:r>
        <w:rPr>
          <w:rStyle w:val="style4106"/>
          <w:rFonts w:ascii="Times New Roman" w:eastAsia="黑体" w:hAnsi="Times New Roman" w:hint="eastAsia"/>
        </w:rPr>
        <w:t>“</w:t>
      </w:r>
      <w:r>
        <w:rPr>
          <w:rStyle w:val="style4106"/>
          <w:rFonts w:ascii="Times New Roman" w:eastAsia="黑体" w:hAnsi="Times New Roman" w:hint="eastAsia"/>
          <w:b w:val="false"/>
        </w:rPr>
        <w:t>三公”经费支出决算情况说明</w:t>
      </w:r>
      <w:bookmarkEnd w:id="30"/>
      <w:bookmarkEnd w:id="31"/>
    </w:p>
    <w:bookmarkStart w:id="32" w:name="_Toc15377216"/>
    <w:p w14:paraId="4DA68C81">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（一）“三公”经费财政拨款支出决算总体情况说明</w:t>
      </w:r>
      <w:bookmarkEnd w:id="32"/>
    </w:p>
    <w:p w14:paraId="FECF738D">
      <w:pPr>
        <w:pStyle w:val="style0"/>
        <w:spacing w:lineRule="exact" w:line="600"/>
        <w:ind w:firstLine="640"/>
        <w:rPr>
          <w:rFonts w:cs="仿宋_GB2312" w:eastAsia="仿宋_GB2312"/>
          <w:sz w:val="32"/>
          <w:szCs w:val="32"/>
        </w:rPr>
      </w:pPr>
      <w:r>
        <w:rPr>
          <w:rFonts w:cs="仿宋_GB2312" w:eastAsia="仿宋_GB2312" w:hint="eastAsia"/>
          <w:sz w:val="32"/>
          <w:szCs w:val="32"/>
        </w:rPr>
        <w:t>2024</w:t>
      </w:r>
      <w:r>
        <w:rPr>
          <w:rFonts w:cs="仿宋_GB2312" w:eastAsia="仿宋_GB2312" w:hint="eastAsia"/>
          <w:sz w:val="32"/>
          <w:szCs w:val="32"/>
        </w:rPr>
        <w:t>年度“三公”经费财政拨款支出决算为</w:t>
      </w:r>
      <w:r>
        <w:rPr>
          <w:rFonts w:ascii="仿宋_GB2312" w:cs="仿宋_GB2312" w:eastAsia="仿宋_GB2312" w:hAnsi="仿宋_GB2312" w:hint="eastAsia"/>
          <w:sz w:val="32"/>
          <w:szCs w:val="32"/>
        </w:rPr>
        <w:t>1.45万元，完成预算100%，</w:t>
      </w:r>
      <w:r>
        <w:rPr>
          <w:rFonts w:cs="仿宋_GB2312" w:eastAsia="仿宋_GB2312" w:hint="eastAsia"/>
          <w:sz w:val="32"/>
          <w:szCs w:val="32"/>
        </w:rPr>
        <w:t>较上年度增加</w:t>
      </w:r>
      <w:r>
        <w:rPr>
          <w:rFonts w:cs="仿宋_GB2312" w:eastAsia="仿宋_GB2312" w:hint="eastAsia"/>
          <w:sz w:val="32"/>
          <w:szCs w:val="32"/>
        </w:rPr>
        <w:t>0.01</w:t>
      </w:r>
      <w:r>
        <w:rPr>
          <w:rFonts w:cs="仿宋_GB2312" w:eastAsia="仿宋_GB2312" w:hint="eastAsia"/>
          <w:sz w:val="32"/>
          <w:szCs w:val="32"/>
        </w:rPr>
        <w:t>万元，增长</w:t>
      </w:r>
      <w:r>
        <w:rPr>
          <w:rFonts w:cs="仿宋_GB2312" w:eastAsia="仿宋_GB2312" w:hint="eastAsia"/>
          <w:sz w:val="32"/>
          <w:szCs w:val="32"/>
        </w:rPr>
        <w:t>0.7%</w:t>
      </w:r>
      <w:r>
        <w:rPr>
          <w:rFonts w:cs="仿宋_GB2312" w:eastAsia="仿宋_GB2312" w:hint="eastAsia"/>
          <w:sz w:val="32"/>
          <w:szCs w:val="32"/>
        </w:rPr>
        <w:t>。决算数与预算数持平。</w:t>
      </w:r>
    </w:p>
    <w:bookmarkStart w:id="33" w:name="_Toc15377217"/>
    <w:p w14:paraId="7F0AD512">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（二）“三公”经费财政拨款支出决算具体情况说明</w:t>
      </w:r>
      <w:bookmarkEnd w:id="33"/>
    </w:p>
    <w:p w14:paraId="499C8962">
      <w:pPr>
        <w:pStyle w:val="style0"/>
        <w:spacing w:lineRule="exact" w:line="600"/>
        <w:ind w:firstLine="640"/>
        <w:rPr>
          <w:rFonts w:ascii="仿宋_GB2312" w:cs="仿宋_GB2312" w:eastAsia="仿宋_GB2312" w:hAnsi="仿宋_GB2312"/>
          <w:sz w:val="32"/>
          <w:szCs w:val="32"/>
        </w:rPr>
      </w:pPr>
      <w:r>
        <w:rPr>
          <w:rFonts w:ascii="仿宋_GB2312" w:cs="仿宋_GB2312" w:eastAsia="仿宋_GB2312" w:hAnsi="仿宋_GB2312" w:hint="eastAsia"/>
          <w:sz w:val="32"/>
          <w:szCs w:val="32"/>
        </w:rPr>
        <w:t>2024年度“三公”经费财政拨款支出决算中，因公出国（境）费支出决算0万元，占0%；公务用车购置及运行维护费支出决算0.8万元，占55.17%；公务接待费支出决算0.65万元，占44.83%。具体情况如下：</w:t>
      </w:r>
    </w:p>
    <w:p w14:paraId="C397B6B8">
      <w:pPr>
        <w:pStyle w:val="style29"/>
        <w:rPr/>
      </w:pPr>
    </w:p>
    <w:p w14:paraId="7E236D65">
      <w:pPr>
        <w:pStyle w:val="style78"/>
        <w:ind w:left="0" w:leftChars="0" w:firstLine="0" w:firstLineChars="0"/>
        <w:rPr/>
      </w:pPr>
    </w:p>
    <w:p w14:paraId="4431F2AD">
      <w:pPr>
        <w:pStyle w:val="style78"/>
        <w:ind w:left="0" w:leftChars="0" w:firstLine="0" w:firstLineChars="0"/>
        <w:rPr/>
      </w:pPr>
      <w:r>
        <w:rPr>
          <w:noProof/>
        </w:rPr>
      </w:r>
      <w:r>
        <w:rPr>
          <w:noProof/>
        </w:rPr>
      </w:r>
      <w:r>
        <w:rPr>
          <w:noProof/>
        </w:rPr>
      </w:r>
      <w:r>
        <w:rPr>
          <w:noProof/>
        </w:rPr>
        <w:drawing>
          <wp:inline distL="114300" distT="0" distB="0" distR="114300">
            <wp:extent cx="5276850" cy="3038475"/>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r>
    </w:p>
    <w:p w14:paraId="D19EBDE6">
      <w:pPr>
        <w:pStyle w:val="style0"/>
        <w:spacing w:lineRule="exact" w:line="600"/>
        <w:ind w:firstLine="640"/>
        <w:rPr>
          <w:rFonts w:cs="仿宋_GB2312" w:eastAsia="仿宋_GB2312"/>
          <w:sz w:val="32"/>
          <w:szCs w:val="32"/>
        </w:rPr>
      </w:pPr>
      <w:r>
        <w:rPr>
          <w:rFonts w:cs="仿宋_GB2312" w:eastAsia="仿宋_GB2312" w:hint="eastAsia"/>
          <w:sz w:val="32"/>
          <w:szCs w:val="32"/>
        </w:rPr>
        <w:t>（图</w:t>
      </w:r>
      <w:r>
        <w:rPr>
          <w:rFonts w:cs="仿宋_GB2312" w:eastAsia="仿宋_GB2312" w:hint="eastAsia"/>
          <w:sz w:val="32"/>
          <w:szCs w:val="32"/>
        </w:rPr>
        <w:t>7</w:t>
      </w:r>
      <w:r>
        <w:rPr>
          <w:rFonts w:cs="仿宋_GB2312" w:eastAsia="仿宋_GB2312" w:hint="eastAsia"/>
          <w:sz w:val="32"/>
          <w:szCs w:val="32"/>
        </w:rPr>
        <w:t>：“三公”经费财政拨款支出结构）（饼状图）</w:t>
      </w:r>
    </w:p>
    <w:p w14:paraId="BE0E5719">
      <w:pPr>
        <w:pStyle w:val="style0"/>
        <w:spacing w:lineRule="exact" w:line="600"/>
        <w:ind w:firstLine="640"/>
        <w:rPr>
          <w:rFonts w:cs="仿宋_GB2312" w:eastAsia="仿宋_GB2312"/>
          <w:sz w:val="32"/>
          <w:szCs w:val="32"/>
        </w:rPr>
      </w:pPr>
      <w:r>
        <w:rPr>
          <w:rFonts w:cs="仿宋_GB2312" w:eastAsia="仿宋_GB2312" w:hint="eastAsia"/>
          <w:b/>
          <w:bCs/>
          <w:sz w:val="32"/>
          <w:szCs w:val="32"/>
        </w:rPr>
        <w:t>1.</w:t>
      </w:r>
      <w:r>
        <w:rPr>
          <w:rFonts w:cs="仿宋_GB2312" w:eastAsia="仿宋_GB2312" w:hint="eastAsia"/>
          <w:b/>
          <w:bCs/>
          <w:sz w:val="32"/>
          <w:szCs w:val="32"/>
        </w:rPr>
        <w:t>因公出国（境）经费支出</w:t>
      </w:r>
      <w:r>
        <w:rPr>
          <w:rFonts w:cs="仿宋_GB2312" w:eastAsia="仿宋_GB2312" w:hint="eastAsia"/>
          <w:b/>
          <w:bCs/>
          <w:sz w:val="32"/>
          <w:szCs w:val="32"/>
        </w:rPr>
        <w:t>0</w:t>
      </w:r>
      <w:r>
        <w:rPr>
          <w:rFonts w:cs="仿宋_GB2312" w:eastAsia="仿宋_GB2312" w:hint="eastAsia"/>
          <w:b/>
          <w:bCs/>
          <w:sz w:val="32"/>
          <w:szCs w:val="32"/>
        </w:rPr>
        <w:t>万元，完成预算</w:t>
      </w:r>
      <w:r>
        <w:rPr>
          <w:rFonts w:cs="仿宋_GB2312" w:eastAsia="仿宋_GB2312" w:hint="eastAsia"/>
          <w:b/>
          <w:bCs/>
          <w:sz w:val="32"/>
          <w:szCs w:val="32"/>
        </w:rPr>
        <w:t>0%</w:t>
      </w:r>
      <w:r>
        <w:rPr>
          <w:rFonts w:cs="仿宋_GB2312" w:eastAsia="仿宋_GB2312" w:hint="eastAsia"/>
          <w:b/>
          <w:bCs/>
          <w:sz w:val="32"/>
          <w:szCs w:val="32"/>
        </w:rPr>
        <w:t>。</w:t>
      </w:r>
      <w:r>
        <w:rPr>
          <w:rFonts w:cs="仿宋_GB2312" w:eastAsia="仿宋_GB2312" w:hint="eastAsia"/>
          <w:sz w:val="32"/>
          <w:szCs w:val="32"/>
        </w:rPr>
        <w:t>全年安排因公出国（境）团</w:t>
      </w:r>
      <w:r>
        <w:rPr>
          <w:rFonts w:ascii="仿宋_GB2312" w:cs="仿宋_GB2312" w:eastAsia="仿宋_GB2312" w:hAnsi="仿宋_GB2312" w:hint="eastAsia"/>
          <w:sz w:val="32"/>
          <w:szCs w:val="32"/>
        </w:rPr>
        <w:t>组0</w:t>
      </w:r>
      <w:r>
        <w:rPr>
          <w:rFonts w:cs="仿宋_GB2312" w:eastAsia="仿宋_GB2312" w:hint="eastAsia"/>
          <w:sz w:val="32"/>
          <w:szCs w:val="32"/>
        </w:rPr>
        <w:t>次，出国（境）</w:t>
      </w:r>
      <w:r>
        <w:rPr>
          <w:rFonts w:ascii="仿宋_GB2312" w:cs="仿宋_GB2312" w:eastAsia="仿宋_GB2312" w:hAnsi="仿宋_GB2312" w:hint="eastAsia"/>
          <w:sz w:val="32"/>
          <w:szCs w:val="32"/>
        </w:rPr>
        <w:t>0人</w:t>
      </w:r>
      <w:r>
        <w:rPr>
          <w:rFonts w:cs="仿宋_GB2312" w:eastAsia="仿宋_GB2312" w:hint="eastAsia"/>
          <w:sz w:val="32"/>
          <w:szCs w:val="32"/>
        </w:rPr>
        <w:t>。因公出</w:t>
      </w:r>
      <w:r>
        <w:rPr>
          <w:rFonts w:cs="仿宋_GB2312" w:eastAsia="仿宋_GB2312" w:hint="eastAsia"/>
          <w:sz w:val="32"/>
          <w:szCs w:val="32"/>
        </w:rPr>
        <w:t>国（境）支出决算与</w:t>
      </w:r>
      <w:r>
        <w:rPr>
          <w:rFonts w:cs="仿宋_GB2312" w:eastAsia="仿宋_GB2312" w:hint="eastAsia"/>
          <w:sz w:val="32"/>
          <w:szCs w:val="32"/>
        </w:rPr>
        <w:t>2023</w:t>
      </w:r>
      <w:r>
        <w:rPr>
          <w:rFonts w:cs="仿宋_GB2312" w:eastAsia="仿宋_GB2312" w:hint="eastAsia"/>
          <w:sz w:val="32"/>
          <w:szCs w:val="32"/>
        </w:rPr>
        <w:t>年持平。</w:t>
      </w:r>
    </w:p>
    <w:p w14:paraId="6A32CEAB">
      <w:pPr>
        <w:pStyle w:val="style0"/>
        <w:spacing w:lineRule="exact" w:line="600"/>
        <w:ind w:firstLine="640"/>
        <w:rPr>
          <w:rFonts w:cs="仿宋_GB2312" w:eastAsia="仿宋_GB2312"/>
          <w:color w:val="ff0000"/>
          <w:sz w:val="32"/>
          <w:szCs w:val="32"/>
        </w:rPr>
      </w:pPr>
      <w:r>
        <w:rPr>
          <w:rFonts w:cs="仿宋_GB2312" w:eastAsia="仿宋_GB2312" w:hint="eastAsia"/>
          <w:b/>
          <w:bCs/>
          <w:sz w:val="32"/>
          <w:szCs w:val="32"/>
        </w:rPr>
        <w:t>2.</w:t>
      </w:r>
      <w:r>
        <w:rPr>
          <w:rFonts w:cs="仿宋_GB2312" w:eastAsia="仿宋_GB2312" w:hint="eastAsia"/>
          <w:b/>
          <w:bCs/>
          <w:sz w:val="32"/>
          <w:szCs w:val="32"/>
        </w:rPr>
        <w:t>公务用车购置及运行维护费支出</w:t>
      </w:r>
      <w:r>
        <w:rPr>
          <w:rFonts w:ascii="仿宋_GB2312" w:cs="仿宋_GB2312" w:eastAsia="仿宋_GB2312" w:hAnsi="仿宋_GB2312" w:hint="eastAsia"/>
          <w:b/>
          <w:bCs/>
          <w:sz w:val="32"/>
          <w:szCs w:val="32"/>
        </w:rPr>
        <w:t>0.8万</w:t>
      </w:r>
      <w:r>
        <w:rPr>
          <w:rFonts w:cs="仿宋_GB2312" w:eastAsia="仿宋_GB2312" w:hint="eastAsia"/>
          <w:b/>
          <w:bCs/>
          <w:sz w:val="32"/>
          <w:szCs w:val="32"/>
        </w:rPr>
        <w:t>元，完成预算</w:t>
      </w:r>
      <w:r>
        <w:rPr>
          <w:rFonts w:cs="仿宋_GB2312" w:eastAsia="仿宋_GB2312" w:hint="eastAsia"/>
          <w:b/>
          <w:bCs/>
          <w:sz w:val="32"/>
          <w:szCs w:val="32"/>
        </w:rPr>
        <w:t>100%</w:t>
      </w:r>
      <w:r>
        <w:rPr>
          <w:rFonts w:cs="仿宋_GB2312" w:eastAsia="仿宋_GB2312" w:hint="eastAsia"/>
          <w:b/>
          <w:bCs/>
          <w:sz w:val="32"/>
          <w:szCs w:val="32"/>
        </w:rPr>
        <w:t>。</w:t>
      </w:r>
      <w:r>
        <w:rPr>
          <w:rFonts w:cs="仿宋_GB2312" w:eastAsia="仿宋_GB2312" w:hint="eastAsia"/>
          <w:sz w:val="32"/>
          <w:szCs w:val="32"/>
        </w:rPr>
        <w:t>公务用车购置及运行维护费支出决算与</w:t>
      </w:r>
      <w:r>
        <w:rPr>
          <w:rFonts w:cs="仿宋_GB2312" w:eastAsia="仿宋_GB2312" w:hint="eastAsia"/>
          <w:sz w:val="32"/>
          <w:szCs w:val="32"/>
        </w:rPr>
        <w:t>2023</w:t>
      </w:r>
      <w:r>
        <w:rPr>
          <w:rFonts w:cs="仿宋_GB2312" w:eastAsia="仿宋_GB2312" w:hint="eastAsia"/>
          <w:sz w:val="32"/>
          <w:szCs w:val="32"/>
        </w:rPr>
        <w:t>年度持平。</w:t>
      </w:r>
    </w:p>
    <w:p w14:paraId="9FC3D3F9">
      <w:pPr>
        <w:pStyle w:val="style0"/>
        <w:spacing w:lineRule="exact" w:line="600"/>
        <w:ind w:firstLine="640"/>
        <w:rPr>
          <w:rFonts w:cs="仿宋_GB2312" w:eastAsia="仿宋_GB2312"/>
          <w:sz w:val="32"/>
          <w:szCs w:val="32"/>
        </w:rPr>
      </w:pPr>
      <w:r>
        <w:rPr>
          <w:rFonts w:cs="仿宋_GB2312" w:eastAsia="仿宋_GB2312" w:hint="eastAsia"/>
          <w:sz w:val="32"/>
          <w:szCs w:val="32"/>
        </w:rPr>
        <w:t>其中：公务用车购置支</w:t>
      </w:r>
      <w:r>
        <w:rPr>
          <w:rFonts w:ascii="仿宋_GB2312" w:cs="仿宋_GB2312" w:eastAsia="仿宋_GB2312" w:hAnsi="仿宋_GB2312" w:hint="eastAsia"/>
          <w:sz w:val="32"/>
          <w:szCs w:val="32"/>
        </w:rPr>
        <w:t>出0</w:t>
      </w:r>
      <w:r>
        <w:rPr>
          <w:rFonts w:cs="仿宋_GB2312" w:eastAsia="仿宋_GB2312" w:hint="eastAsia"/>
          <w:sz w:val="32"/>
          <w:szCs w:val="32"/>
        </w:rPr>
        <w:t>万元。全年按规定更新购置公务用车</w:t>
      </w:r>
      <w:r>
        <w:rPr>
          <w:rFonts w:cs="仿宋_GB2312" w:eastAsia="仿宋_GB2312" w:hint="eastAsia"/>
          <w:sz w:val="32"/>
          <w:szCs w:val="32"/>
        </w:rPr>
        <w:t>0</w:t>
      </w:r>
      <w:r>
        <w:rPr>
          <w:rFonts w:cs="仿宋_GB2312" w:eastAsia="仿宋_GB2312" w:hint="eastAsia"/>
          <w:sz w:val="32"/>
          <w:szCs w:val="32"/>
        </w:rPr>
        <w:t>辆，其中：轿车</w:t>
      </w:r>
      <w:r>
        <w:rPr>
          <w:rFonts w:cs="仿宋_GB2312" w:eastAsia="仿宋_GB2312" w:hint="eastAsia"/>
          <w:sz w:val="32"/>
          <w:szCs w:val="32"/>
        </w:rPr>
        <w:t>0</w:t>
      </w:r>
      <w:r>
        <w:rPr>
          <w:rFonts w:cs="仿宋_GB2312" w:eastAsia="仿宋_GB2312" w:hint="eastAsia"/>
          <w:sz w:val="32"/>
          <w:szCs w:val="32"/>
        </w:rPr>
        <w:t>辆、金额</w:t>
      </w:r>
      <w:r>
        <w:rPr>
          <w:rFonts w:cs="仿宋_GB2312" w:eastAsia="仿宋_GB2312" w:hint="eastAsia"/>
          <w:sz w:val="32"/>
          <w:szCs w:val="32"/>
        </w:rPr>
        <w:t>0</w:t>
      </w:r>
      <w:r>
        <w:rPr>
          <w:rFonts w:cs="仿宋_GB2312" w:eastAsia="仿宋_GB2312" w:hint="eastAsia"/>
          <w:sz w:val="32"/>
          <w:szCs w:val="32"/>
        </w:rPr>
        <w:t>万元，越野车</w:t>
      </w:r>
      <w:r>
        <w:rPr>
          <w:rFonts w:cs="仿宋_GB2312" w:eastAsia="仿宋_GB2312" w:hint="eastAsia"/>
          <w:sz w:val="32"/>
          <w:szCs w:val="32"/>
        </w:rPr>
        <w:t>0</w:t>
      </w:r>
      <w:r>
        <w:rPr>
          <w:rFonts w:cs="仿宋_GB2312" w:eastAsia="仿宋_GB2312" w:hint="eastAsia"/>
          <w:sz w:val="32"/>
          <w:szCs w:val="32"/>
        </w:rPr>
        <w:t>辆、金额</w:t>
      </w:r>
      <w:r>
        <w:rPr>
          <w:rFonts w:cs="仿宋_GB2312" w:eastAsia="仿宋_GB2312" w:hint="eastAsia"/>
          <w:sz w:val="32"/>
          <w:szCs w:val="32"/>
        </w:rPr>
        <w:t>0</w:t>
      </w:r>
      <w:r>
        <w:rPr>
          <w:rFonts w:cs="仿宋_GB2312" w:eastAsia="仿宋_GB2312" w:hint="eastAsia"/>
          <w:sz w:val="32"/>
          <w:szCs w:val="32"/>
        </w:rPr>
        <w:t>万元，载客汽车</w:t>
      </w:r>
      <w:r>
        <w:rPr>
          <w:rFonts w:cs="仿宋_GB2312" w:eastAsia="仿宋_GB2312" w:hint="eastAsia"/>
          <w:sz w:val="32"/>
          <w:szCs w:val="32"/>
        </w:rPr>
        <w:t>0</w:t>
      </w:r>
      <w:r>
        <w:rPr>
          <w:rFonts w:cs="仿宋_GB2312" w:eastAsia="仿宋_GB2312" w:hint="eastAsia"/>
          <w:sz w:val="32"/>
          <w:szCs w:val="32"/>
        </w:rPr>
        <w:t>辆、金额</w:t>
      </w:r>
      <w:r>
        <w:rPr>
          <w:rFonts w:cs="仿宋_GB2312" w:eastAsia="仿宋_GB2312" w:hint="eastAsia"/>
          <w:sz w:val="32"/>
          <w:szCs w:val="32"/>
        </w:rPr>
        <w:t>**</w:t>
      </w:r>
      <w:r>
        <w:rPr>
          <w:rFonts w:cs="仿宋_GB2312" w:eastAsia="仿宋_GB2312" w:hint="eastAsia"/>
          <w:sz w:val="32"/>
          <w:szCs w:val="32"/>
        </w:rPr>
        <w:t>万元。截至</w:t>
      </w:r>
      <w:r>
        <w:rPr>
          <w:rFonts w:cs="仿宋_GB2312" w:eastAsia="仿宋_GB2312" w:hint="eastAsia"/>
          <w:sz w:val="32"/>
          <w:szCs w:val="32"/>
        </w:rPr>
        <w:t>2024</w:t>
      </w:r>
      <w:r>
        <w:rPr>
          <w:rFonts w:cs="仿宋_GB2312" w:eastAsia="仿宋_GB2312" w:hint="eastAsia"/>
          <w:sz w:val="32"/>
          <w:szCs w:val="32"/>
        </w:rPr>
        <w:t>年</w:t>
      </w:r>
      <w:r>
        <w:rPr>
          <w:rFonts w:cs="仿宋_GB2312" w:eastAsia="仿宋_GB2312" w:hint="eastAsia"/>
          <w:sz w:val="32"/>
          <w:szCs w:val="32"/>
        </w:rPr>
        <w:t>12</w:t>
      </w:r>
      <w:r>
        <w:rPr>
          <w:rFonts w:cs="仿宋_GB2312" w:eastAsia="仿宋_GB2312" w:hint="eastAsia"/>
          <w:sz w:val="32"/>
          <w:szCs w:val="32"/>
        </w:rPr>
        <w:t>月</w:t>
      </w:r>
      <w:r>
        <w:rPr>
          <w:rFonts w:cs="仿宋_GB2312" w:eastAsia="仿宋_GB2312" w:hint="eastAsia"/>
          <w:sz w:val="32"/>
          <w:szCs w:val="32"/>
        </w:rPr>
        <w:t>31</w:t>
      </w:r>
      <w:r>
        <w:rPr>
          <w:rFonts w:cs="仿宋_GB2312" w:eastAsia="仿宋_GB2312" w:hint="eastAsia"/>
          <w:sz w:val="32"/>
          <w:szCs w:val="32"/>
        </w:rPr>
        <w:t>日，单位共有公务用车</w:t>
      </w:r>
      <w:r>
        <w:rPr>
          <w:rFonts w:cs="仿宋_GB2312" w:eastAsia="仿宋_GB2312" w:hint="eastAsia"/>
          <w:sz w:val="32"/>
          <w:szCs w:val="32"/>
        </w:rPr>
        <w:t>1</w:t>
      </w:r>
      <w:r>
        <w:rPr>
          <w:rFonts w:cs="仿宋_GB2312" w:eastAsia="仿宋_GB2312" w:hint="eastAsia"/>
          <w:sz w:val="32"/>
          <w:szCs w:val="32"/>
        </w:rPr>
        <w:t>辆，其中：轿车</w:t>
      </w:r>
      <w:r>
        <w:rPr>
          <w:rFonts w:cs="仿宋_GB2312" w:eastAsia="仿宋_GB2312" w:hint="eastAsia"/>
          <w:sz w:val="32"/>
          <w:szCs w:val="32"/>
        </w:rPr>
        <w:t>0</w:t>
      </w:r>
      <w:r>
        <w:rPr>
          <w:rFonts w:cs="仿宋_GB2312" w:eastAsia="仿宋_GB2312" w:hint="eastAsia"/>
          <w:sz w:val="32"/>
          <w:szCs w:val="32"/>
        </w:rPr>
        <w:t>辆、越野车</w:t>
      </w:r>
      <w:r>
        <w:rPr>
          <w:rFonts w:cs="仿宋_GB2312" w:eastAsia="仿宋_GB2312" w:hint="eastAsia"/>
          <w:sz w:val="32"/>
          <w:szCs w:val="32"/>
        </w:rPr>
        <w:t>1</w:t>
      </w:r>
      <w:r>
        <w:rPr>
          <w:rFonts w:cs="仿宋_GB2312" w:eastAsia="仿宋_GB2312" w:hint="eastAsia"/>
          <w:sz w:val="32"/>
          <w:szCs w:val="32"/>
        </w:rPr>
        <w:t>辆、载客汽车</w:t>
      </w:r>
      <w:r>
        <w:rPr>
          <w:rFonts w:cs="仿宋_GB2312" w:eastAsia="仿宋_GB2312" w:hint="eastAsia"/>
          <w:sz w:val="32"/>
          <w:szCs w:val="32"/>
        </w:rPr>
        <w:t>0</w:t>
      </w:r>
      <w:r>
        <w:rPr>
          <w:rFonts w:cs="仿宋_GB2312" w:eastAsia="仿宋_GB2312" w:hint="eastAsia"/>
          <w:sz w:val="32"/>
          <w:szCs w:val="32"/>
        </w:rPr>
        <w:t>辆。</w:t>
      </w:r>
    </w:p>
    <w:p w14:paraId="8B984FFB">
      <w:pPr>
        <w:pStyle w:val="style0"/>
        <w:spacing w:lineRule="exact" w:line="600"/>
        <w:ind w:firstLine="640"/>
        <w:rPr>
          <w:rFonts w:cs="仿宋_GB2312" w:eastAsia="仿宋_GB2312"/>
          <w:color w:val="ff0000"/>
          <w:sz w:val="32"/>
          <w:szCs w:val="32"/>
        </w:rPr>
      </w:pPr>
      <w:r>
        <w:rPr>
          <w:rFonts w:cs="仿宋_GB2312" w:eastAsia="仿宋_GB2312" w:hint="eastAsia"/>
          <w:sz w:val="32"/>
          <w:szCs w:val="32"/>
        </w:rPr>
        <w:t>公务用车运行维护费支</w:t>
      </w:r>
      <w:r>
        <w:rPr>
          <w:rFonts w:ascii="仿宋_GB2312" w:cs="仿宋_GB2312" w:eastAsia="仿宋_GB2312" w:hAnsi="仿宋_GB2312" w:hint="eastAsia"/>
          <w:sz w:val="32"/>
          <w:szCs w:val="32"/>
        </w:rPr>
        <w:t>出0.8</w:t>
      </w:r>
      <w:r>
        <w:rPr>
          <w:rFonts w:cs="仿宋_GB2312" w:eastAsia="仿宋_GB2312" w:hint="eastAsia"/>
          <w:sz w:val="32"/>
          <w:szCs w:val="32"/>
        </w:rPr>
        <w:t>万元。主要用于自然资源综合管理日常业务所需的公务用车燃料费、维修费、过路过桥费、保险费等支出。</w:t>
      </w:r>
    </w:p>
    <w:bookmarkStart w:id="34" w:name="_Toc15377218"/>
    <w:bookmarkStart w:id="35" w:name="_Toc15396610"/>
    <w:p w14:paraId="D4B13F68">
      <w:pPr>
        <w:pStyle w:val="style0"/>
        <w:spacing w:lineRule="exact" w:line="600"/>
        <w:ind w:firstLine="640"/>
        <w:rPr>
          <w:rFonts w:cs="仿宋_GB2312" w:eastAsia="仿宋_GB2312"/>
          <w:color w:val="ff0000"/>
          <w:sz w:val="32"/>
          <w:szCs w:val="32"/>
        </w:rPr>
      </w:pPr>
      <w:r>
        <w:rPr>
          <w:rFonts w:cs="仿宋_GB2312" w:eastAsia="仿宋_GB2312" w:hint="eastAsia"/>
          <w:b/>
          <w:bCs/>
          <w:sz w:val="32"/>
          <w:szCs w:val="32"/>
        </w:rPr>
        <w:t>3.</w:t>
      </w:r>
      <w:r>
        <w:rPr>
          <w:rFonts w:cs="仿宋_GB2312" w:eastAsia="仿宋_GB2312" w:hint="eastAsia"/>
          <w:b/>
          <w:bCs/>
          <w:sz w:val="32"/>
          <w:szCs w:val="32"/>
        </w:rPr>
        <w:t>公务接待费支出</w:t>
      </w:r>
      <w:r>
        <w:rPr>
          <w:rFonts w:ascii="仿宋_GB2312" w:cs="仿宋_GB2312" w:eastAsia="仿宋_GB2312" w:hAnsi="仿宋_GB2312" w:hint="eastAsia"/>
          <w:b/>
          <w:bCs/>
          <w:sz w:val="32"/>
          <w:szCs w:val="32"/>
        </w:rPr>
        <w:t>0.66万元</w:t>
      </w:r>
      <w:r>
        <w:rPr>
          <w:rFonts w:cs="仿宋_GB2312" w:eastAsia="仿宋_GB2312" w:hint="eastAsia"/>
          <w:b/>
          <w:bCs/>
          <w:sz w:val="32"/>
          <w:szCs w:val="32"/>
        </w:rPr>
        <w:t>，完成预算</w:t>
      </w:r>
      <w:r>
        <w:rPr>
          <w:rFonts w:cs="仿宋_GB2312" w:eastAsia="仿宋_GB2312" w:hint="eastAsia"/>
          <w:b/>
          <w:bCs/>
          <w:sz w:val="32"/>
          <w:szCs w:val="32"/>
        </w:rPr>
        <w:t>100%</w:t>
      </w:r>
      <w:r>
        <w:rPr>
          <w:rFonts w:cs="仿宋_GB2312" w:eastAsia="仿宋_GB2312" w:hint="eastAsia"/>
          <w:b/>
          <w:bCs/>
          <w:sz w:val="32"/>
          <w:szCs w:val="32"/>
        </w:rPr>
        <w:t>。</w:t>
      </w:r>
      <w:r>
        <w:rPr>
          <w:rFonts w:cs="仿宋_GB2312" w:eastAsia="仿宋_GB2312" w:hint="eastAsia"/>
          <w:sz w:val="32"/>
          <w:szCs w:val="32"/>
        </w:rPr>
        <w:t>公务接待费支出决算比</w:t>
      </w:r>
      <w:r>
        <w:rPr>
          <w:rFonts w:cs="仿宋_GB2312" w:eastAsia="仿宋_GB2312" w:hint="eastAsia"/>
          <w:sz w:val="32"/>
          <w:szCs w:val="32"/>
        </w:rPr>
        <w:t>2023</w:t>
      </w:r>
      <w:r>
        <w:rPr>
          <w:rFonts w:cs="仿宋_GB2312" w:eastAsia="仿宋_GB2312" w:hint="eastAsia"/>
          <w:sz w:val="32"/>
          <w:szCs w:val="32"/>
        </w:rPr>
        <w:t>年度增加</w:t>
      </w:r>
      <w:r>
        <w:rPr>
          <w:rFonts w:cs="仿宋_GB2312" w:eastAsia="仿宋_GB2312" w:hint="eastAsia"/>
          <w:sz w:val="32"/>
          <w:szCs w:val="32"/>
        </w:rPr>
        <w:t>0.01</w:t>
      </w:r>
      <w:r>
        <w:rPr>
          <w:rFonts w:cs="仿宋_GB2312" w:eastAsia="仿宋_GB2312" w:hint="eastAsia"/>
          <w:sz w:val="32"/>
          <w:szCs w:val="32"/>
        </w:rPr>
        <w:t>万元，增长</w:t>
      </w:r>
      <w:r>
        <w:rPr>
          <w:rFonts w:cs="仿宋_GB2312" w:eastAsia="仿宋_GB2312" w:hint="eastAsia"/>
          <w:sz w:val="32"/>
          <w:szCs w:val="32"/>
        </w:rPr>
        <w:t>1.56%</w:t>
      </w:r>
      <w:r>
        <w:rPr>
          <w:rFonts w:cs="仿宋_GB2312" w:eastAsia="仿宋_GB2312" w:hint="eastAsia"/>
          <w:sz w:val="32"/>
          <w:szCs w:val="32"/>
        </w:rPr>
        <w:t>。基本持平。其中：</w:t>
      </w:r>
    </w:p>
    <w:p w14:paraId="C53857E1">
      <w:pPr>
        <w:pStyle w:val="style0"/>
        <w:spacing w:lineRule="exact" w:line="600"/>
        <w:ind w:firstLine="640"/>
        <w:rPr>
          <w:rFonts w:cs="仿宋_GB2312" w:eastAsia="仿宋_GB2312"/>
          <w:color w:val="ff0000"/>
          <w:sz w:val="32"/>
          <w:szCs w:val="32"/>
        </w:rPr>
      </w:pPr>
      <w:r>
        <w:rPr>
          <w:rFonts w:cs="仿宋_GB2312" w:eastAsia="仿宋_GB2312" w:hint="eastAsia"/>
          <w:sz w:val="32"/>
          <w:szCs w:val="32"/>
        </w:rPr>
        <w:t>国内公务接待支</w:t>
      </w:r>
      <w:r>
        <w:rPr>
          <w:rFonts w:ascii="仿宋_GB2312" w:cs="仿宋_GB2312" w:eastAsia="仿宋_GB2312" w:hAnsi="仿宋_GB2312" w:hint="eastAsia"/>
          <w:sz w:val="32"/>
          <w:szCs w:val="32"/>
        </w:rPr>
        <w:t>出0.66万元</w:t>
      </w:r>
      <w:r>
        <w:rPr>
          <w:rFonts w:cs="仿宋_GB2312" w:eastAsia="仿宋_GB2312" w:hint="eastAsia"/>
          <w:sz w:val="32"/>
          <w:szCs w:val="32"/>
        </w:rPr>
        <w:t>，主要用于执行公务、开展业务活动开支的用餐费。国内公务接</w:t>
      </w:r>
      <w:r>
        <w:rPr>
          <w:rFonts w:ascii="仿宋_GB2312" w:cs="仿宋_GB2312" w:eastAsia="仿宋_GB2312" w:hAnsi="仿宋_GB2312" w:hint="eastAsia"/>
          <w:sz w:val="32"/>
          <w:szCs w:val="32"/>
        </w:rPr>
        <w:t>待5批次，65</w:t>
      </w:r>
      <w:r>
        <w:rPr>
          <w:rFonts w:cs="仿宋_GB2312" w:eastAsia="仿宋_GB2312" w:hint="eastAsia"/>
          <w:sz w:val="32"/>
          <w:szCs w:val="32"/>
        </w:rPr>
        <w:t>人次（不包括陪同人员），共计支出</w:t>
      </w:r>
      <w:r>
        <w:rPr>
          <w:rFonts w:cs="仿宋_GB2312" w:eastAsia="仿宋_GB2312" w:hint="eastAsia"/>
          <w:sz w:val="32"/>
          <w:szCs w:val="32"/>
        </w:rPr>
        <w:t>0.66</w:t>
      </w:r>
      <w:r>
        <w:rPr>
          <w:rFonts w:cs="仿宋_GB2312" w:eastAsia="仿宋_GB2312" w:hint="eastAsia"/>
          <w:sz w:val="32"/>
          <w:szCs w:val="32"/>
        </w:rPr>
        <w:t>万元，具体内容包括：伊金霍洛旗自然资源局考察学习集体经营性建设用地入市、</w:t>
      </w:r>
      <w:r>
        <w:rPr>
          <w:rFonts w:cs="仿宋_GB2312" w:eastAsia="仿宋_GB2312" w:hint="eastAsia"/>
          <w:sz w:val="32"/>
          <w:szCs w:val="32"/>
        </w:rPr>
        <w:t>1080</w:t>
      </w:r>
      <w:r>
        <w:rPr>
          <w:rFonts w:cs="仿宋_GB2312" w:eastAsia="仿宋_GB2312" w:hint="eastAsia"/>
          <w:sz w:val="32"/>
          <w:szCs w:val="32"/>
        </w:rPr>
        <w:t>元；规划编制生态修复等座谈交流、</w:t>
      </w:r>
      <w:r>
        <w:rPr>
          <w:rFonts w:cs="仿宋_GB2312" w:eastAsia="仿宋_GB2312" w:hint="eastAsia"/>
          <w:sz w:val="32"/>
          <w:szCs w:val="32"/>
        </w:rPr>
        <w:t>2286</w:t>
      </w:r>
      <w:r>
        <w:rPr>
          <w:rFonts w:cs="仿宋_GB2312" w:eastAsia="仿宋_GB2312" w:hint="eastAsia"/>
          <w:sz w:val="32"/>
          <w:szCs w:val="32"/>
        </w:rPr>
        <w:t>元；耕地保护政策</w:t>
      </w:r>
      <w:r>
        <w:rPr>
          <w:rFonts w:cs="仿宋_GB2312" w:eastAsia="仿宋_GB2312" w:hint="eastAsia"/>
          <w:sz w:val="32"/>
          <w:szCs w:val="32"/>
        </w:rPr>
        <w:t>宣传暨田长</w:t>
      </w:r>
      <w:r>
        <w:rPr>
          <w:rFonts w:cs="仿宋_GB2312" w:eastAsia="仿宋_GB2312" w:hint="eastAsia"/>
          <w:sz w:val="32"/>
          <w:szCs w:val="32"/>
        </w:rPr>
        <w:t>巡</w:t>
      </w:r>
      <w:r>
        <w:rPr>
          <w:rFonts w:cs="仿宋_GB2312" w:eastAsia="仿宋_GB2312" w:hint="eastAsia"/>
          <w:sz w:val="32"/>
          <w:szCs w:val="32"/>
        </w:rPr>
        <w:t>田业务</w:t>
      </w:r>
      <w:r>
        <w:rPr>
          <w:rFonts w:cs="仿宋_GB2312" w:eastAsia="仿宋_GB2312" w:hint="eastAsia"/>
          <w:sz w:val="32"/>
          <w:szCs w:val="32"/>
        </w:rPr>
        <w:t>培训、</w:t>
      </w:r>
      <w:r>
        <w:rPr>
          <w:rFonts w:cs="仿宋_GB2312" w:eastAsia="仿宋_GB2312" w:hint="eastAsia"/>
          <w:sz w:val="32"/>
          <w:szCs w:val="32"/>
        </w:rPr>
        <w:t>480</w:t>
      </w:r>
      <w:r>
        <w:rPr>
          <w:rFonts w:cs="仿宋_GB2312" w:eastAsia="仿宋_GB2312" w:hint="eastAsia"/>
          <w:sz w:val="32"/>
          <w:szCs w:val="32"/>
        </w:rPr>
        <w:t>元；自然资源系统生态环境突出问题排查整治省级抽查工作、</w:t>
      </w:r>
      <w:r>
        <w:rPr>
          <w:rFonts w:cs="仿宋_GB2312" w:eastAsia="仿宋_GB2312" w:hint="eastAsia"/>
          <w:sz w:val="32"/>
          <w:szCs w:val="32"/>
        </w:rPr>
        <w:t>1038</w:t>
      </w:r>
      <w:r>
        <w:rPr>
          <w:rFonts w:cs="仿宋_GB2312" w:eastAsia="仿宋_GB2312" w:hint="eastAsia"/>
          <w:sz w:val="32"/>
          <w:szCs w:val="32"/>
        </w:rPr>
        <w:t>元；新一轮找矿突破战略行动专题调研、</w:t>
      </w:r>
      <w:r>
        <w:rPr>
          <w:rFonts w:cs="仿宋_GB2312" w:eastAsia="仿宋_GB2312" w:hint="eastAsia"/>
          <w:sz w:val="32"/>
          <w:szCs w:val="32"/>
        </w:rPr>
        <w:t>1712</w:t>
      </w:r>
      <w:r>
        <w:rPr>
          <w:rFonts w:cs="仿宋_GB2312" w:eastAsia="仿宋_GB2312" w:hint="eastAsia"/>
          <w:sz w:val="32"/>
          <w:szCs w:val="32"/>
        </w:rPr>
        <w:t>元。</w:t>
      </w:r>
    </w:p>
    <w:p w14:paraId="F55B4E41">
      <w:pPr>
        <w:pStyle w:val="style0"/>
        <w:spacing w:lineRule="exact" w:line="600"/>
        <w:ind w:firstLine="640"/>
        <w:outlineLvl w:val="1"/>
        <w:rPr>
          <w:rStyle w:val="style4106"/>
          <w:rFonts w:ascii="Times New Roman" w:eastAsia="黑体" w:hAnsi="Times New Roman"/>
        </w:rPr>
      </w:pPr>
      <w:r>
        <w:rPr>
          <w:rFonts w:eastAsia="黑体" w:hint="eastAsia"/>
          <w:sz w:val="32"/>
          <w:szCs w:val="32"/>
        </w:rPr>
        <w:t>八、</w:t>
      </w:r>
      <w:r>
        <w:rPr>
          <w:rStyle w:val="style4106"/>
          <w:rFonts w:ascii="Times New Roman" w:eastAsia="黑体" w:hAnsi="Times New Roman" w:hint="eastAsia"/>
          <w:b w:val="false"/>
        </w:rPr>
        <w:t>政府性基金预算支出决算情况说明</w:t>
      </w:r>
      <w:bookmarkEnd w:id="34"/>
      <w:bookmarkEnd w:id="35"/>
    </w:p>
    <w:p w14:paraId="B67EF2AA">
      <w:pPr>
        <w:pStyle w:val="style0"/>
        <w:spacing w:lineRule="exact" w:line="600"/>
        <w:ind w:firstLine="640"/>
        <w:rPr>
          <w:rFonts w:cs="仿宋_GB2312" w:eastAsia="仿宋_GB2312"/>
          <w:sz w:val="32"/>
          <w:szCs w:val="32"/>
        </w:rPr>
      </w:pPr>
      <w:r>
        <w:rPr>
          <w:rFonts w:ascii="仿宋_GB2312" w:cs="仿宋_GB2312" w:eastAsia="仿宋_GB2312" w:hAnsi="仿宋_GB2312" w:hint="eastAsia"/>
          <w:sz w:val="32"/>
          <w:szCs w:val="32"/>
        </w:rPr>
        <w:t>2024年度政府性基金预算财政拨款支出13335.08万元，占本年支出合计的42.63%</w:t>
      </w:r>
      <w:r>
        <w:rPr>
          <w:rFonts w:cs="仿宋_GB2312" w:eastAsia="仿宋_GB2312" w:hint="eastAsia"/>
          <w:sz w:val="32"/>
          <w:szCs w:val="32"/>
        </w:rPr>
        <w:t>。与</w:t>
      </w:r>
      <w:r>
        <w:rPr>
          <w:rFonts w:cs="仿宋_GB2312" w:eastAsia="仿宋_GB2312" w:hint="eastAsia"/>
          <w:sz w:val="32"/>
          <w:szCs w:val="32"/>
        </w:rPr>
        <w:t>2023</w:t>
      </w:r>
      <w:r>
        <w:rPr>
          <w:rFonts w:cs="仿宋_GB2312" w:eastAsia="仿宋_GB2312" w:hint="eastAsia"/>
          <w:sz w:val="32"/>
          <w:szCs w:val="32"/>
        </w:rPr>
        <w:t>年度相比，政府性基金预算财政拨款支出增加</w:t>
      </w:r>
      <w:r>
        <w:rPr>
          <w:rFonts w:cs="仿宋_GB2312" w:eastAsia="仿宋_GB2312" w:hint="eastAsia"/>
          <w:sz w:val="32"/>
          <w:szCs w:val="32"/>
        </w:rPr>
        <w:t>5292.72</w:t>
      </w:r>
      <w:r>
        <w:rPr>
          <w:rFonts w:cs="仿宋_GB2312" w:eastAsia="仿宋_GB2312" w:hint="eastAsia"/>
          <w:sz w:val="32"/>
          <w:szCs w:val="32"/>
        </w:rPr>
        <w:t>万元，增长</w:t>
      </w:r>
      <w:r>
        <w:rPr>
          <w:rFonts w:cs="仿宋_GB2312" w:eastAsia="仿宋_GB2312" w:hint="eastAsia"/>
          <w:sz w:val="32"/>
          <w:szCs w:val="32"/>
        </w:rPr>
        <w:t>65.81%</w:t>
      </w:r>
      <w:r>
        <w:rPr>
          <w:rFonts w:cs="仿宋_GB2312" w:eastAsia="仿宋_GB2312" w:hint="eastAsia"/>
          <w:sz w:val="32"/>
          <w:szCs w:val="32"/>
        </w:rPr>
        <w:t>主要变动原因是按照当年目标任务及产业布局需要开展了部分土地的收储工作。</w:t>
      </w:r>
    </w:p>
    <w:bookmarkStart w:id="36" w:name="_Toc15396611"/>
    <w:bookmarkStart w:id="37" w:name="_Toc15377219"/>
    <w:p w14:paraId="24F4E3DC">
      <w:pPr>
        <w:pStyle w:val="style0"/>
        <w:spacing w:lineRule="exact" w:line="600"/>
        <w:ind w:left="630"/>
        <w:outlineLvl w:val="1"/>
        <w:rPr>
          <w:rStyle w:val="style4106"/>
          <w:rFonts w:ascii="Times New Roman" w:eastAsia="黑体" w:hAnsi="Times New Roman"/>
          <w:b w:val="false"/>
        </w:rPr>
      </w:pPr>
      <w:r>
        <w:rPr>
          <w:rStyle w:val="style4106"/>
          <w:rFonts w:ascii="Times New Roman" w:eastAsia="黑体" w:hAnsi="Times New Roman" w:hint="eastAsia"/>
          <w:b w:val="false"/>
        </w:rPr>
        <w:t>九、国有资本经营预算支出决算情况说明</w:t>
      </w:r>
      <w:bookmarkEnd w:id="36"/>
      <w:bookmarkEnd w:id="37"/>
    </w:p>
    <w:p w14:paraId="E0B05163">
      <w:pPr>
        <w:pStyle w:val="style0"/>
        <w:spacing w:lineRule="exact" w:line="600"/>
        <w:ind w:firstLine="640"/>
        <w:rPr>
          <w:rFonts w:cs="仿宋_GB2312" w:eastAsia="仿宋_GB2312"/>
          <w:sz w:val="32"/>
          <w:szCs w:val="32"/>
        </w:rPr>
      </w:pPr>
      <w:r>
        <w:rPr>
          <w:rFonts w:cs="仿宋_GB2312" w:eastAsia="仿宋_GB2312" w:hint="eastAsia"/>
          <w:sz w:val="32"/>
          <w:szCs w:val="32"/>
        </w:rPr>
        <w:t>2024</w:t>
      </w:r>
      <w:r>
        <w:rPr>
          <w:rFonts w:cs="仿宋_GB2312" w:eastAsia="仿宋_GB2312" w:hint="eastAsia"/>
          <w:sz w:val="32"/>
          <w:szCs w:val="32"/>
        </w:rPr>
        <w:t>年度国有资本经营预算财政拨款支出</w:t>
      </w:r>
      <w:r>
        <w:rPr>
          <w:rFonts w:ascii="仿宋_GB2312" w:cs="仿宋_GB2312" w:eastAsia="仿宋_GB2312" w:hAnsi="仿宋_GB2312" w:hint="eastAsia"/>
          <w:sz w:val="32"/>
          <w:szCs w:val="32"/>
        </w:rPr>
        <w:t>0万元，占本年支出合计的0%</w:t>
      </w:r>
      <w:r>
        <w:rPr>
          <w:rFonts w:cs="仿宋_GB2312" w:eastAsia="仿宋_GB2312" w:hint="eastAsia"/>
          <w:sz w:val="32"/>
          <w:szCs w:val="32"/>
        </w:rPr>
        <w:t>。与</w:t>
      </w:r>
      <w:r>
        <w:rPr>
          <w:rFonts w:cs="仿宋_GB2312" w:eastAsia="仿宋_GB2312" w:hint="eastAsia"/>
          <w:sz w:val="32"/>
          <w:szCs w:val="32"/>
        </w:rPr>
        <w:t>2023</w:t>
      </w:r>
      <w:r>
        <w:rPr>
          <w:rFonts w:cs="仿宋_GB2312" w:eastAsia="仿宋_GB2312" w:hint="eastAsia"/>
          <w:sz w:val="32"/>
          <w:szCs w:val="32"/>
        </w:rPr>
        <w:t>年度持平。</w:t>
      </w:r>
    </w:p>
    <w:bookmarkStart w:id="38" w:name="_Toc15396612"/>
    <w:bookmarkStart w:id="39" w:name="_Toc15377221"/>
    <w:p w14:paraId="AE7CFE5D">
      <w:pPr>
        <w:pStyle w:val="style0"/>
        <w:spacing w:lineRule="exact" w:line="600"/>
        <w:ind w:left="630"/>
        <w:outlineLvl w:val="1"/>
        <w:rPr>
          <w:rStyle w:val="style4106"/>
          <w:rFonts w:ascii="Times New Roman" w:eastAsia="黑体" w:hAnsi="Times New Roman"/>
          <w:b w:val="false"/>
        </w:rPr>
      </w:pPr>
      <w:r>
        <w:rPr>
          <w:rStyle w:val="style4106"/>
          <w:rFonts w:ascii="Times New Roman" w:eastAsia="黑体" w:hAnsi="Times New Roman" w:hint="eastAsia"/>
          <w:b w:val="false"/>
        </w:rPr>
        <w:t>十、其他重要事项的情况说明</w:t>
      </w:r>
      <w:bookmarkEnd w:id="38"/>
      <w:bookmarkEnd w:id="39"/>
    </w:p>
    <w:bookmarkStart w:id="40" w:name="_Toc15377222"/>
    <w:p w14:paraId="5A303243">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（一）机关运行经费支出情况</w:t>
      </w:r>
      <w:bookmarkEnd w:id="40"/>
    </w:p>
    <w:p w14:paraId="9F350D9B">
      <w:pPr>
        <w:pStyle w:val="style0"/>
        <w:spacing w:lineRule="exact" w:line="600"/>
        <w:ind w:firstLine="640"/>
        <w:rPr>
          <w:rFonts w:cs="仿宋_GB2312" w:eastAsia="仿宋_GB2312"/>
          <w:sz w:val="32"/>
          <w:szCs w:val="32"/>
        </w:rPr>
      </w:pPr>
      <w:r>
        <w:rPr>
          <w:rFonts w:cs="仿宋_GB2312" w:eastAsia="仿宋_GB2312" w:hint="eastAsia"/>
          <w:sz w:val="32"/>
          <w:szCs w:val="32"/>
        </w:rPr>
        <w:t>2024</w:t>
      </w:r>
      <w:r>
        <w:rPr>
          <w:rFonts w:cs="仿宋_GB2312" w:eastAsia="仿宋_GB2312" w:hint="eastAsia"/>
          <w:sz w:val="32"/>
          <w:szCs w:val="32"/>
        </w:rPr>
        <w:t>年度</w:t>
      </w:r>
      <w:r>
        <w:rPr>
          <w:rFonts w:ascii="仿宋_GB2312" w:cs="仿宋_GB2312" w:eastAsia="仿宋_GB2312" w:hAnsi="仿宋_GB2312" w:hint="eastAsia"/>
          <w:sz w:val="32"/>
          <w:szCs w:val="32"/>
        </w:rPr>
        <w:t>，盐边县自然资源和规划局机关运行经费支出80.47万</w:t>
      </w:r>
      <w:r>
        <w:rPr>
          <w:rFonts w:cs="仿宋_GB2312" w:eastAsia="仿宋_GB2312" w:hint="eastAsia"/>
          <w:sz w:val="32"/>
          <w:szCs w:val="32"/>
        </w:rPr>
        <w:t>元，比</w:t>
      </w:r>
      <w:r>
        <w:rPr>
          <w:rFonts w:cs="仿宋_GB2312" w:eastAsia="仿宋_GB2312" w:hint="eastAsia"/>
          <w:sz w:val="32"/>
          <w:szCs w:val="32"/>
        </w:rPr>
        <w:t>2023</w:t>
      </w:r>
      <w:r>
        <w:rPr>
          <w:rFonts w:cs="仿宋_GB2312" w:eastAsia="仿宋_GB2312" w:hint="eastAsia"/>
          <w:sz w:val="32"/>
          <w:szCs w:val="32"/>
        </w:rPr>
        <w:t>年度增加</w:t>
      </w:r>
      <w:r>
        <w:rPr>
          <w:rFonts w:cs="仿宋_GB2312" w:eastAsia="仿宋_GB2312" w:hint="eastAsia"/>
          <w:sz w:val="32"/>
          <w:szCs w:val="32"/>
        </w:rPr>
        <w:t>5.03</w:t>
      </w:r>
      <w:r>
        <w:rPr>
          <w:rFonts w:cs="仿宋_GB2312" w:eastAsia="仿宋_GB2312" w:hint="eastAsia"/>
          <w:sz w:val="32"/>
          <w:szCs w:val="32"/>
        </w:rPr>
        <w:t>万元，增长</w:t>
      </w:r>
      <w:r>
        <w:rPr>
          <w:rFonts w:cs="仿宋_GB2312" w:eastAsia="仿宋_GB2312" w:hint="eastAsia"/>
          <w:sz w:val="32"/>
          <w:szCs w:val="32"/>
        </w:rPr>
        <w:t>6.67%</w:t>
      </w:r>
      <w:r>
        <w:rPr>
          <w:rFonts w:cs="仿宋_GB2312" w:eastAsia="仿宋_GB2312" w:hint="eastAsia"/>
          <w:sz w:val="32"/>
          <w:szCs w:val="32"/>
        </w:rPr>
        <w:t>。主要原因是新增新进人员</w:t>
      </w:r>
      <w:r>
        <w:rPr>
          <w:rFonts w:cs="仿宋_GB2312" w:eastAsia="仿宋_GB2312" w:hint="eastAsia"/>
          <w:sz w:val="32"/>
          <w:szCs w:val="32"/>
        </w:rPr>
        <w:t>7</w:t>
      </w:r>
      <w:r>
        <w:rPr>
          <w:rFonts w:cs="仿宋_GB2312" w:eastAsia="仿宋_GB2312" w:hint="eastAsia"/>
          <w:sz w:val="32"/>
          <w:szCs w:val="32"/>
        </w:rPr>
        <w:t>名。</w:t>
      </w:r>
    </w:p>
    <w:bookmarkStart w:id="41" w:name="_Toc15377223"/>
    <w:p w14:paraId="2ADF33B9">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（二）政府采购支出情况</w:t>
      </w:r>
      <w:bookmarkEnd w:id="41"/>
    </w:p>
    <w:p w14:paraId="DC3E7111">
      <w:pPr>
        <w:pStyle w:val="style0"/>
        <w:spacing w:lineRule="exact" w:line="600"/>
        <w:ind w:firstLine="640"/>
        <w:rPr>
          <w:rFonts w:ascii="仿宋_GB2312" w:cs="仿宋_GB2312" w:eastAsia="仿宋_GB2312" w:hAnsi="仿宋_GB2312"/>
          <w:sz w:val="32"/>
          <w:szCs w:val="32"/>
        </w:rPr>
      </w:pPr>
      <w:r>
        <w:rPr>
          <w:rFonts w:ascii="仿宋_GB2312" w:cs="仿宋_GB2312" w:eastAsia="仿宋_GB2312" w:hAnsi="仿宋_GB2312" w:hint="eastAsia"/>
          <w:sz w:val="32"/>
          <w:szCs w:val="32"/>
        </w:rPr>
        <w:t>2024年度，盐边县自然资源和规划政府采购支出总额3931.46万元，其中：政府采购货物支出2.72万元、政府采购工程支出2935.80万元、政府采购服务支出993.94万元。主要用于16处地质灾害项目治理、2处排危除险项目治理、年度地质灾害防治驻守督导、拟设矿业权勘查、国土变更调查、自然资源统一确权登记、不动产登记平台升级与网络运行完善等。授予中小企业合同金额3305.02万元，占政府采购支出总额的84.07%，其中：授予小</w:t>
      </w:r>
      <w:r>
        <w:rPr>
          <w:rFonts w:ascii="仿宋_GB2312" w:cs="仿宋_GB2312" w:eastAsia="仿宋_GB2312" w:hAnsi="仿宋_GB2312" w:hint="eastAsia"/>
          <w:sz w:val="32"/>
          <w:szCs w:val="32"/>
        </w:rPr>
        <w:t>微企业</w:t>
      </w:r>
      <w:r>
        <w:rPr>
          <w:rFonts w:ascii="仿宋_GB2312" w:cs="仿宋_GB2312" w:eastAsia="仿宋_GB2312" w:hAnsi="仿宋_GB2312" w:hint="eastAsia"/>
          <w:sz w:val="32"/>
          <w:szCs w:val="32"/>
        </w:rPr>
        <w:t>合同金额2988.02</w:t>
      </w:r>
      <w:r>
        <w:rPr>
          <w:rFonts w:ascii="仿宋_GB2312" w:cs="仿宋_GB2312" w:eastAsia="仿宋_GB2312" w:hAnsi="仿宋_GB2312" w:hint="eastAsia"/>
          <w:sz w:val="32"/>
          <w:szCs w:val="32"/>
        </w:rPr>
        <w:t>万元，占政府采购支出总额的76%。</w:t>
      </w:r>
    </w:p>
    <w:bookmarkStart w:id="42" w:name="_Toc15377224"/>
    <w:p w14:paraId="6DFE9096">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（三）国有资产占有使用情况</w:t>
      </w:r>
      <w:bookmarkEnd w:id="42"/>
    </w:p>
    <w:p w14:paraId="C317294E">
      <w:pPr>
        <w:pStyle w:val="style0"/>
        <w:spacing w:lineRule="exact" w:line="600"/>
        <w:ind w:firstLine="640"/>
        <w:rPr>
          <w:rFonts w:cs="仿宋_GB2312" w:eastAsia="仿宋_GB2312"/>
          <w:sz w:val="32"/>
          <w:szCs w:val="32"/>
        </w:rPr>
      </w:pPr>
      <w:r>
        <w:rPr>
          <w:rFonts w:ascii="仿宋_GB2312" w:cs="仿宋_GB2312" w:eastAsia="仿宋_GB2312" w:hAnsi="仿宋_GB2312" w:hint="eastAsia"/>
          <w:sz w:val="32"/>
          <w:szCs w:val="32"/>
        </w:rPr>
        <w:t>截至2024年12月31日，盐边县自然资源和规划共有车辆15辆，其中：主要负责人用车0辆、机要通信用车0辆、应急保障用车0辆、其他用车15辆，其他用车主要是用于满足</w:t>
      </w:r>
      <w:r>
        <w:rPr>
          <w:rFonts w:ascii="仿宋_GB2312" w:eastAsia="仿宋_GB2312" w:hint="eastAsia"/>
          <w:sz w:val="32"/>
          <w:szCs w:val="32"/>
        </w:rPr>
        <w:t>自然资源监管日常业务需要</w:t>
      </w:r>
      <w:r>
        <w:rPr>
          <w:rFonts w:ascii="仿宋_GB2312" w:cs="仿宋_GB2312" w:eastAsia="仿宋_GB2312" w:hAnsi="仿宋_GB2312" w:hint="eastAsia"/>
          <w:sz w:val="32"/>
          <w:szCs w:val="32"/>
        </w:rPr>
        <w:t>。单价100万元（含）以上设备（不含车辆）0台（套）</w:t>
      </w:r>
    </w:p>
    <w:p w14:paraId="66B5081B">
      <w:pPr>
        <w:pStyle w:val="style0"/>
        <w:spacing w:lineRule="exact" w:line="600"/>
        <w:ind w:firstLine="643" w:firstLineChars="200"/>
        <w:outlineLvl w:val="2"/>
        <w:rPr>
          <w:rFonts w:cs="楷体_GB2312" w:eastAsia="楷体_GB2312"/>
          <w:b/>
          <w:sz w:val="32"/>
          <w:szCs w:val="32"/>
        </w:rPr>
      </w:pPr>
      <w:r>
        <w:rPr>
          <w:rFonts w:cs="楷体_GB2312" w:eastAsia="楷体_GB2312" w:hint="eastAsia"/>
          <w:b/>
          <w:sz w:val="32"/>
          <w:szCs w:val="32"/>
        </w:rPr>
        <w:t>（四）预算绩效管理情况</w:t>
      </w:r>
    </w:p>
    <w:p w14:paraId="676A24AE">
      <w:pPr>
        <w:pStyle w:val="style0"/>
        <w:spacing w:lineRule="exact" w:line="600"/>
        <w:ind w:firstLine="640"/>
        <w:rPr>
          <w:rFonts w:cs="仿宋_GB2312" w:eastAsia="仿宋_GB2312"/>
          <w:sz w:val="32"/>
          <w:szCs w:val="32"/>
        </w:rPr>
      </w:pPr>
      <w:r>
        <w:rPr>
          <w:rFonts w:cs="仿宋_GB2312" w:eastAsia="仿宋_GB2312" w:hint="eastAsia"/>
          <w:sz w:val="32"/>
          <w:szCs w:val="32"/>
        </w:rPr>
        <w:t>根据预算绩效管理要求，盐边县自然资源和规划局在</w:t>
      </w:r>
      <w:r>
        <w:rPr>
          <w:rFonts w:cs="仿宋_GB2312" w:eastAsia="仿宋_GB2312" w:hint="eastAsia"/>
          <w:sz w:val="32"/>
          <w:szCs w:val="32"/>
        </w:rPr>
        <w:t>2024</w:t>
      </w:r>
      <w:r>
        <w:rPr>
          <w:rFonts w:cs="仿宋_GB2312" w:eastAsia="仿宋_GB2312" w:hint="eastAsia"/>
          <w:sz w:val="32"/>
          <w:szCs w:val="32"/>
        </w:rPr>
        <w:t>年度预算编制阶段，组织对</w:t>
      </w:r>
      <w:r>
        <w:rPr>
          <w:rFonts w:cs="仿宋_GB2312" w:eastAsia="仿宋_GB2312" w:hint="eastAsia"/>
          <w:sz w:val="32"/>
          <w:szCs w:val="32"/>
        </w:rPr>
        <w:t>2022</w:t>
      </w:r>
      <w:r>
        <w:rPr>
          <w:rFonts w:cs="仿宋_GB2312" w:eastAsia="仿宋_GB2312" w:hint="eastAsia"/>
          <w:sz w:val="32"/>
          <w:szCs w:val="32"/>
        </w:rPr>
        <w:t>年第一批地质灾害防治体系建设（中央）补助资金项目、集体土地所有权确权登记成果更新等</w:t>
      </w:r>
      <w:r>
        <w:rPr>
          <w:rFonts w:cs="仿宋_GB2312" w:eastAsia="仿宋_GB2312" w:hint="eastAsia"/>
          <w:sz w:val="32"/>
          <w:szCs w:val="32"/>
        </w:rPr>
        <w:t>11</w:t>
      </w:r>
      <w:r>
        <w:rPr>
          <w:rFonts w:cs="仿宋_GB2312" w:eastAsia="仿宋_GB2312" w:hint="eastAsia"/>
          <w:sz w:val="32"/>
          <w:szCs w:val="32"/>
        </w:rPr>
        <w:t>个项目开展了预算事前绩效评估，对</w:t>
      </w:r>
      <w:r>
        <w:rPr>
          <w:rFonts w:cs="仿宋_GB2312" w:eastAsia="仿宋_GB2312" w:hint="eastAsia"/>
          <w:sz w:val="32"/>
          <w:szCs w:val="32"/>
        </w:rPr>
        <w:t>11</w:t>
      </w:r>
      <w:r>
        <w:rPr>
          <w:rFonts w:cs="仿宋_GB2312" w:eastAsia="仿宋_GB2312" w:hint="eastAsia"/>
          <w:sz w:val="32"/>
          <w:szCs w:val="32"/>
        </w:rPr>
        <w:t>个项目编制了绩效目标，预算执行过程中，选取</w:t>
      </w:r>
      <w:r>
        <w:rPr>
          <w:rFonts w:cs="仿宋_GB2312" w:eastAsia="仿宋_GB2312" w:hint="eastAsia"/>
          <w:sz w:val="32"/>
          <w:szCs w:val="32"/>
        </w:rPr>
        <w:t>38</w:t>
      </w:r>
      <w:r>
        <w:rPr>
          <w:rFonts w:cs="仿宋_GB2312" w:eastAsia="仿宋_GB2312" w:hint="eastAsia"/>
          <w:sz w:val="32"/>
          <w:szCs w:val="32"/>
        </w:rPr>
        <w:t>个项目开展绩效监控。</w:t>
      </w:r>
    </w:p>
    <w:p w14:paraId="6A4CDD68">
      <w:pPr>
        <w:pStyle w:val="style0"/>
        <w:spacing w:lineRule="exact" w:line="600"/>
        <w:ind w:firstLine="640"/>
        <w:rPr>
          <w:rFonts w:cs="仿宋_GB2312" w:eastAsia="仿宋_GB2312"/>
          <w:sz w:val="32"/>
          <w:szCs w:val="32"/>
        </w:rPr>
      </w:pPr>
      <w:r>
        <w:rPr>
          <w:rFonts w:cs="仿宋_GB2312" w:eastAsia="仿宋_GB2312" w:hint="eastAsia"/>
          <w:sz w:val="32"/>
          <w:szCs w:val="32"/>
        </w:rPr>
        <w:t>组织对</w:t>
      </w:r>
      <w:r>
        <w:rPr>
          <w:rFonts w:cs="仿宋_GB2312" w:eastAsia="仿宋_GB2312" w:hint="eastAsia"/>
          <w:sz w:val="32"/>
          <w:szCs w:val="32"/>
        </w:rPr>
        <w:t>2024</w:t>
      </w:r>
      <w:r>
        <w:rPr>
          <w:rFonts w:cs="仿宋_GB2312" w:eastAsia="仿宋_GB2312" w:hint="eastAsia"/>
          <w:sz w:val="32"/>
          <w:szCs w:val="32"/>
        </w:rPr>
        <w:t>年度一般公共预算、政府性基金预算、债券资金等全面开展绩效自评，形成盐边县自然资源和规划局部门整体（含部门预算项目）绩效自评报告、盐边县</w:t>
      </w:r>
      <w:r>
        <w:rPr>
          <w:rFonts w:cs="仿宋_GB2312" w:eastAsia="仿宋_GB2312" w:hint="eastAsia"/>
          <w:sz w:val="32"/>
          <w:szCs w:val="32"/>
        </w:rPr>
        <w:t>2024</w:t>
      </w:r>
      <w:r>
        <w:rPr>
          <w:rFonts w:cs="仿宋_GB2312" w:eastAsia="仿宋_GB2312" w:hint="eastAsia"/>
          <w:sz w:val="32"/>
          <w:szCs w:val="32"/>
        </w:rPr>
        <w:t>年度地质灾害治理项目、</w:t>
      </w:r>
      <w:r>
        <w:rPr>
          <w:rFonts w:cs="仿宋_GB2312" w:eastAsia="仿宋_GB2312" w:hint="eastAsia"/>
          <w:sz w:val="32"/>
          <w:szCs w:val="32"/>
        </w:rPr>
        <w:t>2024</w:t>
      </w:r>
      <w:r>
        <w:rPr>
          <w:rFonts w:cs="仿宋_GB2312" w:eastAsia="仿宋_GB2312" w:hint="eastAsia"/>
          <w:sz w:val="32"/>
          <w:szCs w:val="32"/>
        </w:rPr>
        <w:t>年第一批地质灾害防治体系建设（中央和省级）补助项目等专项预算项目绩效自评报告，其中，盐边县自然资源和规划局部门整体（含部门预算项目）绩效自评得分为</w:t>
      </w:r>
      <w:r>
        <w:rPr>
          <w:rFonts w:cs="仿宋_GB2312" w:eastAsia="仿宋_GB2312" w:hint="eastAsia"/>
          <w:sz w:val="32"/>
          <w:szCs w:val="32"/>
        </w:rPr>
        <w:t>96.5</w:t>
      </w:r>
      <w:r>
        <w:rPr>
          <w:rFonts w:cs="仿宋_GB2312" w:eastAsia="仿宋_GB2312" w:hint="eastAsia"/>
          <w:sz w:val="32"/>
          <w:szCs w:val="32"/>
        </w:rPr>
        <w:t>分，绩效自评综述</w:t>
      </w:r>
      <w:r>
        <w:rPr>
          <w:rFonts w:cs="仿宋_GB2312" w:eastAsia="仿宋_GB2312" w:hint="eastAsia"/>
          <w:sz w:val="32"/>
          <w:szCs w:val="32"/>
        </w:rPr>
        <w:t>2024</w:t>
      </w:r>
      <w:r>
        <w:rPr>
          <w:rFonts w:cs="仿宋_GB2312" w:eastAsia="仿宋_GB2312" w:hint="eastAsia"/>
          <w:sz w:val="32"/>
          <w:szCs w:val="32"/>
        </w:rPr>
        <w:t>年收入和支出均列入财政预算、决算，按照年度预算批复严格控制预算执行，无随意调整和变更等行为。认真落实厉行节约各项政策，</w:t>
      </w:r>
      <w:r>
        <w:rPr>
          <w:rFonts w:cs="仿宋_GB2312" w:eastAsia="仿宋_GB2312" w:hint="eastAsia"/>
          <w:sz w:val="32"/>
          <w:szCs w:val="32"/>
        </w:rPr>
        <w:t>强化资金统筹，优化资金结构，明确开支范围，确保了各项资金及时、规范支付，确保预期绩效目标的实现，总体较为满意；盐边县</w:t>
      </w:r>
      <w:r>
        <w:rPr>
          <w:rFonts w:cs="仿宋_GB2312" w:eastAsia="仿宋_GB2312" w:hint="eastAsia"/>
          <w:sz w:val="32"/>
          <w:szCs w:val="32"/>
        </w:rPr>
        <w:t>2024</w:t>
      </w:r>
      <w:r>
        <w:rPr>
          <w:rFonts w:cs="仿宋_GB2312" w:eastAsia="仿宋_GB2312" w:hint="eastAsia"/>
          <w:sz w:val="32"/>
          <w:szCs w:val="32"/>
        </w:rPr>
        <w:t>年度地质灾害治理项目专项预算项目绩效自评得分为</w:t>
      </w:r>
      <w:r>
        <w:rPr>
          <w:rFonts w:cs="仿宋_GB2312" w:eastAsia="仿宋_GB2312" w:hint="eastAsia"/>
          <w:sz w:val="32"/>
          <w:szCs w:val="32"/>
        </w:rPr>
        <w:t>96.3</w:t>
      </w:r>
      <w:r>
        <w:rPr>
          <w:rFonts w:cs="仿宋_GB2312" w:eastAsia="仿宋_GB2312" w:hint="eastAsia"/>
          <w:sz w:val="32"/>
          <w:szCs w:val="32"/>
        </w:rPr>
        <w:t>分，绩效自评综述：本项目严格遵循预算执行要求，已按既定目标完成工程治理、排危除险、避险搬迁等核心任务，项目资金使用合</w:t>
      </w:r>
      <w:r>
        <w:rPr>
          <w:rFonts w:cs="仿宋_GB2312" w:eastAsia="仿宋_GB2312" w:hint="eastAsia"/>
          <w:sz w:val="32"/>
          <w:szCs w:val="32"/>
        </w:rPr>
        <w:t>规</w:t>
      </w:r>
      <w:r>
        <w:rPr>
          <w:rFonts w:cs="仿宋_GB2312" w:eastAsia="仿宋_GB2312" w:hint="eastAsia"/>
          <w:sz w:val="32"/>
          <w:szCs w:val="32"/>
        </w:rPr>
        <w:t>、核算规范，无超支或挪用情况。从绩效成果看，项目实施后成功消除了目标区域地质灾害风险，保障了周边群众生命财产安全，同时提升了区域防灾减灾能力，社会效益与生态效益显著；</w:t>
      </w:r>
      <w:r>
        <w:rPr>
          <w:rFonts w:cs="仿宋_GB2312" w:eastAsia="仿宋_GB2312" w:hint="eastAsia"/>
          <w:sz w:val="32"/>
          <w:szCs w:val="32"/>
        </w:rPr>
        <w:t>2024</w:t>
      </w:r>
      <w:r>
        <w:rPr>
          <w:rFonts w:cs="仿宋_GB2312" w:eastAsia="仿宋_GB2312" w:hint="eastAsia"/>
          <w:sz w:val="32"/>
          <w:szCs w:val="32"/>
        </w:rPr>
        <w:t>年第一批地质灾害防治体系建设（中央和省级）补助项目专项预算项目绩效自评得分为</w:t>
      </w:r>
      <w:r>
        <w:rPr>
          <w:rFonts w:cs="仿宋_GB2312" w:eastAsia="仿宋_GB2312" w:hint="eastAsia"/>
          <w:sz w:val="32"/>
          <w:szCs w:val="32"/>
        </w:rPr>
        <w:t>96.3</w:t>
      </w:r>
      <w:r>
        <w:rPr>
          <w:rFonts w:cs="仿宋_GB2312" w:eastAsia="仿宋_GB2312" w:hint="eastAsia"/>
          <w:sz w:val="32"/>
          <w:szCs w:val="32"/>
        </w:rPr>
        <w:t>分，绩效自评综述盐边县</w:t>
      </w:r>
      <w:r>
        <w:rPr>
          <w:rFonts w:cs="仿宋_GB2312" w:eastAsia="仿宋_GB2312" w:hint="eastAsia"/>
          <w:sz w:val="32"/>
          <w:szCs w:val="32"/>
        </w:rPr>
        <w:t>2024</w:t>
      </w:r>
      <w:r>
        <w:rPr>
          <w:rFonts w:cs="仿宋_GB2312" w:eastAsia="仿宋_GB2312" w:hint="eastAsia"/>
          <w:sz w:val="32"/>
          <w:szCs w:val="32"/>
        </w:rPr>
        <w:t>年度地质灾害专职监测员补助项目于</w:t>
      </w:r>
      <w:r>
        <w:rPr>
          <w:rFonts w:cs="仿宋_GB2312" w:eastAsia="仿宋_GB2312" w:hint="eastAsia"/>
          <w:sz w:val="32"/>
          <w:szCs w:val="32"/>
        </w:rPr>
        <w:t>2024</w:t>
      </w:r>
      <w:r>
        <w:rPr>
          <w:rFonts w:cs="仿宋_GB2312" w:eastAsia="仿宋_GB2312" w:hint="eastAsia"/>
          <w:sz w:val="32"/>
          <w:szCs w:val="32"/>
        </w:rPr>
        <w:t>年</w:t>
      </w:r>
      <w:r>
        <w:rPr>
          <w:rFonts w:cs="仿宋_GB2312" w:eastAsia="仿宋_GB2312" w:hint="eastAsia"/>
          <w:sz w:val="32"/>
          <w:szCs w:val="32"/>
        </w:rPr>
        <w:t>12</w:t>
      </w:r>
      <w:r>
        <w:rPr>
          <w:rFonts w:cs="仿宋_GB2312" w:eastAsia="仿宋_GB2312" w:hint="eastAsia"/>
          <w:sz w:val="32"/>
          <w:szCs w:val="32"/>
        </w:rPr>
        <w:t>月</w:t>
      </w:r>
      <w:r>
        <w:rPr>
          <w:rFonts w:cs="仿宋_GB2312" w:eastAsia="仿宋_GB2312" w:hint="eastAsia"/>
          <w:sz w:val="32"/>
          <w:szCs w:val="32"/>
        </w:rPr>
        <w:t>30</w:t>
      </w:r>
      <w:r>
        <w:rPr>
          <w:rFonts w:cs="仿宋_GB2312" w:eastAsia="仿宋_GB2312" w:hint="eastAsia"/>
          <w:sz w:val="32"/>
          <w:szCs w:val="32"/>
        </w:rPr>
        <w:t>日前完成；盐边县国胜乡大石房社区西</w:t>
      </w:r>
      <w:r>
        <w:rPr>
          <w:rFonts w:cs="仿宋_GB2312" w:eastAsia="仿宋_GB2312" w:hint="eastAsia"/>
          <w:sz w:val="32"/>
          <w:szCs w:val="32"/>
        </w:rPr>
        <w:t>番组小山</w:t>
      </w:r>
      <w:r>
        <w:rPr>
          <w:rFonts w:cs="仿宋_GB2312" w:eastAsia="仿宋_GB2312" w:hint="eastAsia"/>
          <w:sz w:val="32"/>
          <w:szCs w:val="32"/>
        </w:rPr>
        <w:t>滑坡治理工程项目已完工。项目资金拨付均按照相关法定文件、合同及补偿标准合</w:t>
      </w:r>
      <w:r>
        <w:rPr>
          <w:rFonts w:cs="仿宋_GB2312" w:eastAsia="仿宋_GB2312" w:hint="eastAsia"/>
          <w:sz w:val="32"/>
          <w:szCs w:val="32"/>
        </w:rPr>
        <w:t>规</w:t>
      </w:r>
      <w:r>
        <w:rPr>
          <w:rFonts w:cs="仿宋_GB2312" w:eastAsia="仿宋_GB2312" w:hint="eastAsia"/>
          <w:sz w:val="32"/>
          <w:szCs w:val="32"/>
        </w:rPr>
        <w:t>合法及时支付。有效提高了我县地质灾害防灾能力，减少了因地质灾害造成的人员及财产损失，成功消除</w:t>
      </w:r>
      <w:r>
        <w:rPr>
          <w:rFonts w:cs="仿宋_GB2312" w:eastAsia="仿宋_GB2312" w:hint="eastAsia"/>
          <w:sz w:val="32"/>
          <w:szCs w:val="32"/>
        </w:rPr>
        <w:t>1</w:t>
      </w:r>
      <w:r>
        <w:rPr>
          <w:rFonts w:cs="仿宋_GB2312" w:eastAsia="仿宋_GB2312" w:hint="eastAsia"/>
          <w:sz w:val="32"/>
          <w:szCs w:val="32"/>
        </w:rPr>
        <w:t>处地质灾害隐患点，保护了</w:t>
      </w:r>
      <w:r>
        <w:rPr>
          <w:rFonts w:cs="仿宋_GB2312" w:eastAsia="仿宋_GB2312" w:hint="eastAsia"/>
          <w:sz w:val="32"/>
          <w:szCs w:val="32"/>
        </w:rPr>
        <w:t>44</w:t>
      </w:r>
      <w:r>
        <w:rPr>
          <w:rFonts w:cs="仿宋_GB2312" w:eastAsia="仿宋_GB2312" w:hint="eastAsia"/>
          <w:sz w:val="32"/>
          <w:szCs w:val="32"/>
        </w:rPr>
        <w:t>名受威胁群众生命安全，保护财产</w:t>
      </w:r>
      <w:r>
        <w:rPr>
          <w:rFonts w:cs="仿宋_GB2312" w:eastAsia="仿宋_GB2312" w:hint="eastAsia"/>
          <w:sz w:val="32"/>
          <w:szCs w:val="32"/>
        </w:rPr>
        <w:t>800</w:t>
      </w:r>
      <w:r>
        <w:rPr>
          <w:rFonts w:cs="仿宋_GB2312" w:eastAsia="仿宋_GB2312" w:hint="eastAsia"/>
          <w:sz w:val="32"/>
          <w:szCs w:val="32"/>
        </w:rPr>
        <w:t>万元、实施区域受益人群满意度均在</w:t>
      </w:r>
      <w:r>
        <w:rPr>
          <w:rFonts w:cs="仿宋_GB2312" w:eastAsia="仿宋_GB2312" w:hint="eastAsia"/>
          <w:sz w:val="32"/>
          <w:szCs w:val="32"/>
        </w:rPr>
        <w:t>95%</w:t>
      </w:r>
      <w:r>
        <w:rPr>
          <w:rFonts w:cs="仿宋_GB2312" w:eastAsia="仿宋_GB2312" w:hint="eastAsia"/>
          <w:sz w:val="32"/>
          <w:szCs w:val="32"/>
        </w:rPr>
        <w:t>以上。</w:t>
      </w:r>
    </w:p>
    <w:p w14:paraId="B4566140">
      <w:pPr>
        <w:pStyle w:val="style0"/>
        <w:spacing w:lineRule="exact" w:line="600"/>
        <w:ind w:firstLine="640"/>
        <w:rPr>
          <w:rFonts w:cs="仿宋_GB2312" w:eastAsia="仿宋_GB2312"/>
          <w:sz w:val="32"/>
          <w:szCs w:val="32"/>
        </w:rPr>
      </w:pPr>
    </w:p>
    <w:p w14:paraId="5DC75384">
      <w:pPr>
        <w:pStyle w:val="style29"/>
        <w:rPr/>
      </w:pPr>
    </w:p>
    <w:p w14:paraId="8DED2608">
      <w:pPr>
        <w:pStyle w:val="style78"/>
        <w:ind w:left="420"/>
        <w:rPr/>
      </w:pPr>
    </w:p>
    <w:p w14:paraId="D2308ABB">
      <w:pPr>
        <w:pStyle w:val="style78"/>
        <w:ind w:left="420"/>
        <w:rPr/>
      </w:pPr>
    </w:p>
    <w:p w14:paraId="9530D815">
      <w:pPr>
        <w:pStyle w:val="style78"/>
        <w:ind w:left="420"/>
        <w:rPr>
          <w:rFonts w:hint="eastAsia"/>
        </w:rPr>
      </w:pPr>
    </w:p>
    <w:p w14:paraId="74FEBC1F">
      <w:pPr>
        <w:pStyle w:val="style78"/>
        <w:ind w:left="420"/>
        <w:rPr/>
      </w:pPr>
    </w:p>
    <w:p w14:paraId="0A6F6EB8">
      <w:pPr>
        <w:pStyle w:val="style78"/>
        <w:ind w:left="420"/>
        <w:rPr/>
      </w:pPr>
    </w:p>
    <w:bookmarkStart w:id="43" w:name="_Toc15396613"/>
    <w:bookmarkStart w:id="44" w:name="_Toc15377225"/>
    <w:p w14:paraId="DC584D97">
      <w:pPr>
        <w:pStyle w:val="style0"/>
        <w:spacing w:lineRule="exact" w:line="600"/>
        <w:jc w:val="center"/>
        <w:outlineLvl w:val="0"/>
        <w:rPr>
          <w:rFonts w:eastAsia="黑体"/>
          <w:sz w:val="44"/>
          <w:szCs w:val="44"/>
        </w:rPr>
      </w:pPr>
      <w:r>
        <w:rPr>
          <w:rFonts w:eastAsia="黑体" w:hint="eastAsia"/>
          <w:sz w:val="44"/>
          <w:szCs w:val="44"/>
        </w:rPr>
        <w:t>第三部分</w:t>
      </w:r>
      <w:r>
        <w:rPr>
          <w:rFonts w:eastAsia="黑体" w:hint="eastAsia"/>
          <w:sz w:val="44"/>
          <w:szCs w:val="44"/>
        </w:rPr>
        <w:t xml:space="preserve">  </w:t>
      </w:r>
      <w:r>
        <w:rPr>
          <w:rFonts w:eastAsia="黑体" w:hint="eastAsia"/>
          <w:sz w:val="44"/>
          <w:szCs w:val="44"/>
        </w:rPr>
        <w:t>名词解释</w:t>
      </w:r>
      <w:bookmarkEnd w:id="43"/>
      <w:bookmarkEnd w:id="44"/>
    </w:p>
    <w:p w14:paraId="FFE4C3BB">
      <w:pPr>
        <w:pStyle w:val="style0"/>
        <w:spacing w:lineRule="exact" w:line="600"/>
        <w:jc w:val="left"/>
        <w:rPr>
          <w:b/>
          <w:sz w:val="44"/>
          <w:szCs w:val="44"/>
        </w:rPr>
      </w:pPr>
    </w:p>
    <w:p w14:paraId="011DC737">
      <w:pPr>
        <w:pStyle w:val="style0"/>
        <w:spacing w:lineRule="exact" w:line="600"/>
        <w:ind w:firstLine="640"/>
        <w:rPr>
          <w:rFonts w:cs="仿宋_GB2312" w:eastAsia="仿宋_GB2312"/>
          <w:sz w:val="32"/>
          <w:szCs w:val="32"/>
        </w:rPr>
      </w:pPr>
      <w:r>
        <w:rPr>
          <w:rFonts w:cs="仿宋_GB2312" w:eastAsia="仿宋_GB2312" w:hint="eastAsia"/>
          <w:sz w:val="32"/>
          <w:szCs w:val="32"/>
        </w:rPr>
        <w:t>1.</w:t>
      </w:r>
      <w:r>
        <w:rPr>
          <w:rFonts w:cs="仿宋_GB2312" w:eastAsia="仿宋_GB2312" w:hint="eastAsia"/>
          <w:sz w:val="32"/>
          <w:szCs w:val="32"/>
        </w:rPr>
        <w:t>财政拨款收入：指单位从同级财政部门取得的财政预算资金。</w:t>
      </w:r>
    </w:p>
    <w:p w14:paraId="0492EC30">
      <w:pPr>
        <w:pStyle w:val="style0"/>
        <w:spacing w:lineRule="exact" w:line="600"/>
        <w:ind w:firstLine="640"/>
        <w:rPr>
          <w:rFonts w:cs="仿宋_GB2312" w:eastAsia="仿宋_GB2312"/>
          <w:sz w:val="32"/>
          <w:szCs w:val="32"/>
        </w:rPr>
      </w:pPr>
      <w:r>
        <w:rPr>
          <w:rFonts w:cs="仿宋_GB2312" w:eastAsia="仿宋_GB2312" w:hint="eastAsia"/>
          <w:sz w:val="32"/>
          <w:szCs w:val="32"/>
        </w:rPr>
        <w:t>2.</w:t>
      </w:r>
      <w:r>
        <w:rPr>
          <w:rFonts w:cs="仿宋_GB2312" w:eastAsia="仿宋_GB2312" w:hint="eastAsia"/>
          <w:sz w:val="32"/>
          <w:szCs w:val="32"/>
        </w:rPr>
        <w:t>事业收入：指事业单位开展专业业务活动及辅助活动取得的收入。</w:t>
      </w:r>
    </w:p>
    <w:p w14:paraId="8F49FD5F">
      <w:pPr>
        <w:pStyle w:val="style0"/>
        <w:spacing w:lineRule="exact" w:line="600"/>
        <w:ind w:firstLine="640"/>
        <w:rPr>
          <w:rFonts w:cs="仿宋_GB2312" w:eastAsia="仿宋_GB2312"/>
          <w:sz w:val="32"/>
          <w:szCs w:val="32"/>
        </w:rPr>
      </w:pPr>
      <w:r>
        <w:rPr>
          <w:rFonts w:cs="仿宋_GB2312" w:eastAsia="仿宋_GB2312" w:hint="eastAsia"/>
          <w:sz w:val="32"/>
          <w:szCs w:val="32"/>
        </w:rPr>
        <w:t>3.</w:t>
      </w:r>
      <w:r>
        <w:rPr>
          <w:rFonts w:cs="仿宋_GB2312" w:eastAsia="仿宋_GB2312" w:hint="eastAsia"/>
          <w:sz w:val="32"/>
          <w:szCs w:val="32"/>
        </w:rPr>
        <w:t>经营收入：指事业单位在专业业务活动及其辅助活动之外开展非独立核算经营活动取得的收入。</w:t>
      </w:r>
    </w:p>
    <w:p w14:paraId="FDB49AC5">
      <w:pPr>
        <w:pStyle w:val="style0"/>
        <w:spacing w:lineRule="exact" w:line="600"/>
        <w:ind w:firstLine="640"/>
        <w:rPr>
          <w:rFonts w:cs="仿宋_GB2312" w:eastAsia="仿宋_GB2312"/>
          <w:sz w:val="32"/>
          <w:szCs w:val="32"/>
        </w:rPr>
      </w:pPr>
      <w:r>
        <w:rPr>
          <w:rFonts w:cs="仿宋_GB2312" w:eastAsia="仿宋_GB2312" w:hint="eastAsia"/>
          <w:sz w:val="32"/>
          <w:szCs w:val="32"/>
        </w:rPr>
        <w:t>4.</w:t>
      </w:r>
      <w:r>
        <w:rPr>
          <w:rFonts w:cs="仿宋_GB2312" w:eastAsia="仿宋_GB2312" w:hint="eastAsia"/>
          <w:sz w:val="32"/>
          <w:szCs w:val="32"/>
        </w:rPr>
        <w:t>其他收入：指单位取得的除上述收入以外的各项收入。</w:t>
      </w:r>
    </w:p>
    <w:p w14:paraId="494F6B00">
      <w:pPr>
        <w:pStyle w:val="style0"/>
        <w:spacing w:lineRule="exact" w:line="600"/>
        <w:ind w:firstLine="640"/>
        <w:rPr>
          <w:rFonts w:cs="仿宋_GB2312" w:eastAsia="仿宋_GB2312"/>
          <w:sz w:val="32"/>
          <w:szCs w:val="32"/>
        </w:rPr>
      </w:pPr>
      <w:r>
        <w:rPr>
          <w:rFonts w:cs="仿宋_GB2312" w:eastAsia="仿宋_GB2312" w:hint="eastAsia"/>
          <w:sz w:val="32"/>
          <w:szCs w:val="32"/>
        </w:rPr>
        <w:t>5.</w:t>
      </w:r>
      <w:r>
        <w:rPr>
          <w:rFonts w:cs="仿宋_GB2312" w:eastAsia="仿宋_GB2312" w:hint="eastAsia"/>
          <w:sz w:val="32"/>
          <w:szCs w:val="32"/>
        </w:rPr>
        <w:t>使用非财政拨款结余（含专用结余）：指事业单位使用以前年度积累的非财政拨款结余弥补当年收支差额的金额。</w:t>
      </w:r>
      <w:r>
        <w:rPr>
          <w:rFonts w:cs="仿宋_GB2312" w:eastAsia="仿宋_GB2312" w:hint="eastAsia"/>
          <w:sz w:val="32"/>
          <w:szCs w:val="32"/>
        </w:rPr>
        <w:t xml:space="preserve"> </w:t>
      </w:r>
    </w:p>
    <w:p w14:paraId="DF976A42">
      <w:pPr>
        <w:pStyle w:val="style0"/>
        <w:spacing w:lineRule="exact" w:line="600"/>
        <w:ind w:firstLine="640"/>
        <w:rPr>
          <w:rFonts w:cs="仿宋_GB2312" w:eastAsia="仿宋_GB2312"/>
          <w:sz w:val="32"/>
          <w:szCs w:val="32"/>
        </w:rPr>
      </w:pPr>
      <w:r>
        <w:rPr>
          <w:rFonts w:cs="仿宋_GB2312" w:eastAsia="仿宋_GB2312" w:hint="eastAsia"/>
          <w:sz w:val="32"/>
          <w:szCs w:val="32"/>
        </w:rPr>
        <w:t>6.</w:t>
      </w:r>
      <w:r>
        <w:rPr>
          <w:rFonts w:cs="仿宋_GB2312" w:eastAsia="仿宋_GB2312" w:hint="eastAsia"/>
          <w:sz w:val="32"/>
          <w:szCs w:val="32"/>
        </w:rPr>
        <w:t>年初结转和结余：指以前年度尚未完成、结转到本年按有关规定继续使用的资金。</w:t>
      </w:r>
      <w:r>
        <w:rPr>
          <w:rFonts w:cs="仿宋_GB2312" w:eastAsia="仿宋_GB2312" w:hint="eastAsia"/>
          <w:sz w:val="32"/>
          <w:szCs w:val="32"/>
        </w:rPr>
        <w:t xml:space="preserve"> </w:t>
      </w:r>
    </w:p>
    <w:p w14:paraId="4539180A">
      <w:pPr>
        <w:pStyle w:val="style0"/>
        <w:spacing w:lineRule="exact" w:line="600"/>
        <w:ind w:firstLine="640"/>
        <w:rPr>
          <w:rFonts w:cs="仿宋_GB2312" w:eastAsia="仿宋_GB2312"/>
          <w:sz w:val="32"/>
          <w:szCs w:val="32"/>
        </w:rPr>
      </w:pPr>
      <w:r>
        <w:rPr>
          <w:rFonts w:cs="仿宋_GB2312" w:eastAsia="仿宋_GB2312" w:hint="eastAsia"/>
          <w:sz w:val="32"/>
          <w:szCs w:val="32"/>
        </w:rPr>
        <w:t>7.</w:t>
      </w:r>
      <w:r>
        <w:rPr>
          <w:rFonts w:cs="仿宋_GB2312" w:eastAsia="仿宋_GB2312" w:hint="eastAsia"/>
          <w:sz w:val="32"/>
          <w:szCs w:val="32"/>
        </w:rPr>
        <w:t>结余分配：指事业单位按照会计制度规定缴纳的所得税、提取的专用结余以及转入非财政拨款结余的金额等。</w:t>
      </w:r>
    </w:p>
    <w:p w14:paraId="1EF29FAA">
      <w:pPr>
        <w:pStyle w:val="style0"/>
        <w:spacing w:lineRule="exact" w:line="600"/>
        <w:ind w:firstLine="640"/>
        <w:rPr>
          <w:rFonts w:cs="仿宋_GB2312" w:eastAsia="仿宋_GB2312"/>
          <w:sz w:val="32"/>
          <w:szCs w:val="32"/>
        </w:rPr>
      </w:pPr>
      <w:r>
        <w:rPr>
          <w:rFonts w:cs="仿宋_GB2312" w:eastAsia="仿宋_GB2312" w:hint="eastAsia"/>
          <w:sz w:val="32"/>
          <w:szCs w:val="32"/>
        </w:rPr>
        <w:t>8.</w:t>
      </w:r>
      <w:r>
        <w:rPr>
          <w:rFonts w:cs="仿宋_GB2312" w:eastAsia="仿宋_GB2312" w:hint="eastAsia"/>
          <w:sz w:val="32"/>
          <w:szCs w:val="32"/>
        </w:rPr>
        <w:t>年末结转和结余：指单位按有关规定结转到下年或以后年度继续使用的资金。</w:t>
      </w:r>
    </w:p>
    <w:p w14:paraId="146B3EF5">
      <w:pPr>
        <w:pStyle w:val="style0"/>
        <w:spacing w:lineRule="exact" w:line="600"/>
        <w:ind w:firstLine="640"/>
        <w:rPr>
          <w:rFonts w:cs="仿宋_GB2312" w:eastAsia="仿宋_GB2312"/>
          <w:sz w:val="32"/>
          <w:szCs w:val="32"/>
        </w:rPr>
      </w:pPr>
      <w:r>
        <w:rPr>
          <w:rFonts w:cs="仿宋_GB2312" w:eastAsia="仿宋_GB2312" w:hint="eastAsia"/>
          <w:sz w:val="32"/>
          <w:szCs w:val="32"/>
        </w:rPr>
        <w:t>9.</w:t>
      </w:r>
      <w:r>
        <w:rPr>
          <w:rFonts w:cs="仿宋_GB2312" w:eastAsia="仿宋_GB2312" w:hint="eastAsia"/>
          <w:sz w:val="32"/>
          <w:szCs w:val="32"/>
        </w:rPr>
        <w:t>一般公共服务（</w:t>
      </w:r>
      <w:r>
        <w:rPr>
          <w:rFonts w:cs="仿宋_GB2312" w:eastAsia="仿宋_GB2312" w:hint="eastAsia"/>
          <w:sz w:val="32"/>
          <w:szCs w:val="32"/>
        </w:rPr>
        <w:t>201</w:t>
      </w:r>
      <w:r>
        <w:rPr>
          <w:rFonts w:cs="仿宋_GB2312" w:eastAsia="仿宋_GB2312" w:hint="eastAsia"/>
          <w:sz w:val="32"/>
          <w:szCs w:val="32"/>
        </w:rPr>
        <w:t>类）政府办公厅（室）及相关机关机构事务（</w:t>
      </w:r>
      <w:r>
        <w:rPr>
          <w:rFonts w:cs="仿宋_GB2312" w:eastAsia="仿宋_GB2312" w:hint="eastAsia"/>
          <w:sz w:val="32"/>
          <w:szCs w:val="32"/>
        </w:rPr>
        <w:t>03</w:t>
      </w:r>
      <w:r>
        <w:rPr>
          <w:rFonts w:cs="仿宋_GB2312" w:eastAsia="仿宋_GB2312" w:hint="eastAsia"/>
          <w:sz w:val="32"/>
          <w:szCs w:val="32"/>
        </w:rPr>
        <w:t>款）</w:t>
      </w:r>
      <w:r>
        <w:rPr>
          <w:rFonts w:cs="仿宋_GB2312" w:eastAsia="仿宋_GB2312"/>
          <w:sz w:val="32"/>
          <w:szCs w:val="32"/>
        </w:rPr>
        <w:t>其他政府办公厅（室）及相关机构事务支出</w:t>
      </w:r>
      <w:r>
        <w:rPr>
          <w:rFonts w:cs="仿宋_GB2312" w:eastAsia="仿宋_GB2312" w:hint="eastAsia"/>
          <w:sz w:val="32"/>
          <w:szCs w:val="32"/>
        </w:rPr>
        <w:t>（</w:t>
      </w:r>
      <w:r>
        <w:rPr>
          <w:rFonts w:cs="仿宋_GB2312" w:eastAsia="仿宋_GB2312" w:hint="eastAsia"/>
          <w:sz w:val="32"/>
          <w:szCs w:val="32"/>
        </w:rPr>
        <w:t>99</w:t>
      </w:r>
      <w:r>
        <w:rPr>
          <w:rFonts w:cs="仿宋_GB2312" w:eastAsia="仿宋_GB2312" w:hint="eastAsia"/>
          <w:sz w:val="32"/>
          <w:szCs w:val="32"/>
        </w:rPr>
        <w:t>项）：指反映除上述项目以外的其他政府办公厅（室）及相关机构事务支出。</w:t>
      </w:r>
    </w:p>
    <w:p w14:paraId="906AC0E1">
      <w:pPr>
        <w:pStyle w:val="style0"/>
        <w:spacing w:lineRule="exact" w:line="600"/>
        <w:ind w:firstLine="640"/>
        <w:rPr>
          <w:rFonts w:eastAsia="仿宋_GB2312"/>
          <w:sz w:val="32"/>
          <w:szCs w:val="32"/>
        </w:rPr>
      </w:pPr>
      <w:r>
        <w:rPr>
          <w:rFonts w:cs="仿宋_GB2312" w:eastAsia="仿宋_GB2312" w:hint="eastAsia"/>
          <w:sz w:val="32"/>
          <w:szCs w:val="32"/>
        </w:rPr>
        <w:t>10.</w:t>
      </w:r>
      <w:r>
        <w:rPr>
          <w:rFonts w:eastAsia="仿宋_GB2312"/>
          <w:sz w:val="32"/>
          <w:szCs w:val="32"/>
        </w:rPr>
        <w:t xml:space="preserve"> </w:t>
      </w:r>
      <w:r>
        <w:rPr>
          <w:rFonts w:eastAsia="仿宋_GB2312"/>
          <w:sz w:val="32"/>
          <w:szCs w:val="32"/>
        </w:rPr>
        <w:t>社会保障和就业（</w:t>
      </w:r>
      <w:r>
        <w:rPr>
          <w:rFonts w:eastAsia="仿宋_GB2312"/>
          <w:sz w:val="32"/>
          <w:szCs w:val="32"/>
        </w:rPr>
        <w:t>208</w:t>
      </w:r>
      <w:r>
        <w:rPr>
          <w:rFonts w:eastAsia="仿宋_GB2312"/>
          <w:sz w:val="32"/>
          <w:szCs w:val="32"/>
        </w:rPr>
        <w:t>类）</w:t>
      </w:r>
      <w:r>
        <w:rPr>
          <w:rFonts w:eastAsia="仿宋_GB2312"/>
          <w:color w:val="000000"/>
          <w:sz w:val="32"/>
          <w:szCs w:val="32"/>
        </w:rPr>
        <w:t>行政事业单位养老支出</w:t>
      </w:r>
      <w:r>
        <w:rPr>
          <w:rFonts w:eastAsia="仿宋_GB2312"/>
          <w:sz w:val="32"/>
          <w:szCs w:val="32"/>
        </w:rPr>
        <w:t>（</w:t>
      </w:r>
      <w:r>
        <w:rPr>
          <w:rFonts w:eastAsia="仿宋_GB2312"/>
          <w:sz w:val="32"/>
          <w:szCs w:val="32"/>
        </w:rPr>
        <w:t>05</w:t>
      </w:r>
      <w:r>
        <w:rPr>
          <w:rFonts w:eastAsia="仿宋_GB2312"/>
          <w:sz w:val="32"/>
          <w:szCs w:val="32"/>
        </w:rPr>
        <w:t>款）</w:t>
      </w:r>
      <w:r>
        <w:rPr>
          <w:rFonts w:eastAsia="仿宋_GB2312"/>
          <w:color w:val="000000"/>
          <w:sz w:val="32"/>
          <w:szCs w:val="32"/>
        </w:rPr>
        <w:t>行政单位离退休</w:t>
      </w:r>
      <w:r>
        <w:rPr>
          <w:rFonts w:eastAsia="仿宋_GB2312"/>
          <w:sz w:val="32"/>
          <w:szCs w:val="32"/>
        </w:rPr>
        <w:t>（</w:t>
      </w:r>
      <w:r>
        <w:rPr>
          <w:rFonts w:eastAsia="仿宋_GB2312"/>
          <w:sz w:val="32"/>
          <w:szCs w:val="32"/>
        </w:rPr>
        <w:t>01</w:t>
      </w:r>
      <w:r>
        <w:rPr>
          <w:rFonts w:eastAsia="仿宋_GB2312"/>
          <w:sz w:val="32"/>
          <w:szCs w:val="32"/>
        </w:rPr>
        <w:t>项）：</w:t>
      </w:r>
      <w:r>
        <w:rPr>
          <w:rFonts w:eastAsia="仿宋_GB2312"/>
          <w:color w:val="000000"/>
          <w:sz w:val="32"/>
          <w:szCs w:val="32"/>
        </w:rPr>
        <w:t>指行政单位（包括实行</w:t>
      </w:r>
      <w:r>
        <w:rPr>
          <w:rFonts w:eastAsia="仿宋_GB2312"/>
          <w:color w:val="000000"/>
          <w:sz w:val="32"/>
          <w:szCs w:val="32"/>
        </w:rPr>
        <w:t>公务员管理的事业单位）开支的离退休经费</w:t>
      </w:r>
      <w:r>
        <w:rPr>
          <w:rFonts w:eastAsia="仿宋_GB2312"/>
          <w:sz w:val="32"/>
          <w:szCs w:val="32"/>
        </w:rPr>
        <w:t>。</w:t>
      </w:r>
    </w:p>
    <w:p w14:paraId="D02A839D">
      <w:pPr>
        <w:pStyle w:val="style0"/>
        <w:spacing w:lineRule="exact" w:line="600"/>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1</w:t>
      </w:r>
      <w:r>
        <w:rPr>
          <w:rFonts w:eastAsia="仿宋_GB2312"/>
          <w:color w:val="000000"/>
          <w:sz w:val="32"/>
          <w:szCs w:val="32"/>
        </w:rPr>
        <w:t>.</w:t>
      </w:r>
      <w:r>
        <w:rPr>
          <w:rFonts w:eastAsia="仿宋_GB2312"/>
          <w:color w:val="000000"/>
          <w:sz w:val="32"/>
          <w:szCs w:val="32"/>
        </w:rPr>
        <w:t>社会保障和就业（</w:t>
      </w:r>
      <w:r>
        <w:rPr>
          <w:rFonts w:eastAsia="仿宋_GB2312"/>
          <w:color w:val="000000"/>
          <w:sz w:val="32"/>
          <w:szCs w:val="32"/>
        </w:rPr>
        <w:t>208</w:t>
      </w:r>
      <w:r>
        <w:rPr>
          <w:rFonts w:eastAsia="仿宋_GB2312"/>
          <w:color w:val="000000"/>
          <w:sz w:val="32"/>
          <w:szCs w:val="32"/>
        </w:rPr>
        <w:t>类）行政事业单位养老支出（</w:t>
      </w:r>
      <w:r>
        <w:rPr>
          <w:rFonts w:eastAsia="仿宋_GB2312"/>
          <w:color w:val="000000"/>
          <w:sz w:val="32"/>
          <w:szCs w:val="32"/>
        </w:rPr>
        <w:t>05</w:t>
      </w:r>
      <w:r>
        <w:rPr>
          <w:rFonts w:eastAsia="仿宋_GB2312"/>
          <w:color w:val="000000"/>
          <w:sz w:val="32"/>
          <w:szCs w:val="32"/>
        </w:rPr>
        <w:t>款）事业单位离退休（</w:t>
      </w:r>
      <w:r>
        <w:rPr>
          <w:rFonts w:eastAsia="仿宋_GB2312"/>
          <w:color w:val="000000"/>
          <w:sz w:val="32"/>
          <w:szCs w:val="32"/>
        </w:rPr>
        <w:t>02</w:t>
      </w:r>
      <w:r>
        <w:rPr>
          <w:rFonts w:eastAsia="仿宋_GB2312"/>
          <w:color w:val="000000"/>
          <w:sz w:val="32"/>
          <w:szCs w:val="32"/>
        </w:rPr>
        <w:t>项）：指事业单位开支的离退休经费。</w:t>
      </w:r>
    </w:p>
    <w:p w14:paraId="7FB0EC67">
      <w:pPr>
        <w:pStyle w:val="style0"/>
        <w:spacing w:lineRule="exact" w:line="600"/>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2</w:t>
      </w:r>
      <w:r>
        <w:rPr>
          <w:rFonts w:eastAsia="仿宋_GB2312"/>
          <w:color w:val="000000"/>
          <w:sz w:val="32"/>
          <w:szCs w:val="32"/>
        </w:rPr>
        <w:t>.</w:t>
      </w:r>
      <w:r>
        <w:rPr>
          <w:rFonts w:eastAsia="仿宋_GB2312"/>
          <w:color w:val="000000"/>
          <w:sz w:val="32"/>
          <w:szCs w:val="32"/>
        </w:rPr>
        <w:t>社会保障和就业（</w:t>
      </w:r>
      <w:r>
        <w:rPr>
          <w:rFonts w:eastAsia="仿宋_GB2312"/>
          <w:color w:val="000000"/>
          <w:sz w:val="32"/>
          <w:szCs w:val="32"/>
        </w:rPr>
        <w:t>208</w:t>
      </w:r>
      <w:r>
        <w:rPr>
          <w:rFonts w:eastAsia="仿宋_GB2312"/>
          <w:color w:val="000000"/>
          <w:sz w:val="32"/>
          <w:szCs w:val="32"/>
        </w:rPr>
        <w:t>类）行政事业单位养老支出（</w:t>
      </w:r>
      <w:r>
        <w:rPr>
          <w:rFonts w:eastAsia="仿宋_GB2312"/>
          <w:color w:val="000000"/>
          <w:sz w:val="32"/>
          <w:szCs w:val="32"/>
        </w:rPr>
        <w:t>05</w:t>
      </w:r>
      <w:r>
        <w:rPr>
          <w:rFonts w:eastAsia="仿宋_GB2312"/>
          <w:color w:val="000000"/>
          <w:sz w:val="32"/>
          <w:szCs w:val="32"/>
        </w:rPr>
        <w:t>款）机关事业单位基本养老保险缴费支出（</w:t>
      </w:r>
      <w:r>
        <w:rPr>
          <w:rFonts w:eastAsia="仿宋_GB2312"/>
          <w:color w:val="000000"/>
          <w:sz w:val="32"/>
          <w:szCs w:val="32"/>
        </w:rPr>
        <w:t>05</w:t>
      </w:r>
      <w:r>
        <w:rPr>
          <w:rFonts w:eastAsia="仿宋_GB2312"/>
          <w:color w:val="000000"/>
          <w:sz w:val="32"/>
          <w:szCs w:val="32"/>
        </w:rPr>
        <w:t>项）：指机关事业单位实施养老保险制度由单位缴纳的基本养老保险费支出。</w:t>
      </w:r>
    </w:p>
    <w:p w14:paraId="F5B7C4A8">
      <w:pPr>
        <w:pStyle w:val="style0"/>
        <w:spacing w:lineRule="exact" w:line="600"/>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3</w:t>
      </w:r>
      <w:r>
        <w:rPr>
          <w:rFonts w:eastAsia="仿宋_GB2312"/>
          <w:color w:val="000000"/>
          <w:sz w:val="32"/>
          <w:szCs w:val="32"/>
        </w:rPr>
        <w:t>.</w:t>
      </w:r>
      <w:r>
        <w:rPr>
          <w:rFonts w:eastAsia="仿宋_GB2312"/>
          <w:color w:val="000000"/>
          <w:sz w:val="32"/>
          <w:szCs w:val="32"/>
        </w:rPr>
        <w:t>社会保障和就业（</w:t>
      </w:r>
      <w:r>
        <w:rPr>
          <w:rFonts w:eastAsia="仿宋_GB2312"/>
          <w:color w:val="000000"/>
          <w:sz w:val="32"/>
          <w:szCs w:val="32"/>
        </w:rPr>
        <w:t>208</w:t>
      </w:r>
      <w:r>
        <w:rPr>
          <w:rFonts w:eastAsia="仿宋_GB2312"/>
          <w:color w:val="000000"/>
          <w:sz w:val="32"/>
          <w:szCs w:val="32"/>
        </w:rPr>
        <w:t>类）行政事业单位养老支出（</w:t>
      </w:r>
      <w:r>
        <w:rPr>
          <w:rFonts w:eastAsia="仿宋_GB2312"/>
          <w:color w:val="000000"/>
          <w:sz w:val="32"/>
          <w:szCs w:val="32"/>
        </w:rPr>
        <w:t>05</w:t>
      </w:r>
      <w:r>
        <w:rPr>
          <w:rFonts w:eastAsia="仿宋_GB2312"/>
          <w:color w:val="000000"/>
          <w:sz w:val="32"/>
          <w:szCs w:val="32"/>
        </w:rPr>
        <w:t>款）机关事业单位职业年金缴费支出（</w:t>
      </w:r>
      <w:r>
        <w:rPr>
          <w:rFonts w:eastAsia="仿宋_GB2312"/>
          <w:color w:val="000000"/>
          <w:sz w:val="32"/>
          <w:szCs w:val="32"/>
        </w:rPr>
        <w:t>06</w:t>
      </w:r>
      <w:r>
        <w:rPr>
          <w:rFonts w:eastAsia="仿宋_GB2312"/>
          <w:color w:val="000000"/>
          <w:sz w:val="32"/>
          <w:szCs w:val="32"/>
        </w:rPr>
        <w:t>项）：指机关事业单位实施养老保险制度由单位缴纳的职业年金支出。</w:t>
      </w:r>
    </w:p>
    <w:p w14:paraId="42DECE44">
      <w:pPr>
        <w:pStyle w:val="style0"/>
        <w:spacing w:lineRule="exact" w:line="600"/>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4</w:t>
      </w:r>
      <w:r>
        <w:rPr>
          <w:rFonts w:eastAsia="仿宋_GB2312"/>
          <w:color w:val="000000"/>
          <w:sz w:val="32"/>
          <w:szCs w:val="32"/>
        </w:rPr>
        <w:t>.</w:t>
      </w:r>
      <w:r>
        <w:rPr>
          <w:rFonts w:eastAsia="仿宋_GB2312"/>
          <w:color w:val="000000"/>
          <w:sz w:val="32"/>
          <w:szCs w:val="32"/>
        </w:rPr>
        <w:t>社会保障和就业支出（</w:t>
      </w:r>
      <w:r>
        <w:rPr>
          <w:rFonts w:eastAsia="仿宋_GB2312"/>
          <w:color w:val="000000"/>
          <w:sz w:val="32"/>
          <w:szCs w:val="32"/>
        </w:rPr>
        <w:t>208</w:t>
      </w:r>
      <w:r>
        <w:rPr>
          <w:rFonts w:eastAsia="仿宋_GB2312"/>
          <w:color w:val="000000"/>
          <w:sz w:val="32"/>
          <w:szCs w:val="32"/>
        </w:rPr>
        <w:t>类）抚恤（</w:t>
      </w:r>
      <w:r>
        <w:rPr>
          <w:rFonts w:eastAsia="仿宋_GB2312"/>
          <w:color w:val="000000"/>
          <w:sz w:val="32"/>
          <w:szCs w:val="32"/>
        </w:rPr>
        <w:t>08</w:t>
      </w:r>
      <w:r>
        <w:rPr>
          <w:rFonts w:eastAsia="仿宋_GB2312"/>
          <w:color w:val="000000"/>
          <w:sz w:val="32"/>
          <w:szCs w:val="32"/>
        </w:rPr>
        <w:t>款）死亡抚恤（</w:t>
      </w:r>
      <w:r>
        <w:rPr>
          <w:rFonts w:eastAsia="仿宋_GB2312"/>
          <w:color w:val="000000"/>
          <w:sz w:val="32"/>
          <w:szCs w:val="32"/>
        </w:rPr>
        <w:t>01</w:t>
      </w:r>
      <w:r>
        <w:rPr>
          <w:rFonts w:eastAsia="仿宋_GB2312"/>
          <w:color w:val="000000"/>
          <w:sz w:val="32"/>
          <w:szCs w:val="32"/>
        </w:rPr>
        <w:t>项）</w:t>
      </w:r>
      <w:r>
        <w:rPr>
          <w:rFonts w:eastAsia="仿宋_GB2312"/>
          <w:color w:val="000000"/>
          <w:sz w:val="32"/>
          <w:szCs w:val="32"/>
        </w:rPr>
        <w:t>:</w:t>
      </w:r>
      <w:r>
        <w:rPr>
          <w:rFonts w:eastAsia="仿宋_GB2312"/>
          <w:color w:val="000000"/>
          <w:sz w:val="32"/>
          <w:szCs w:val="32"/>
        </w:rPr>
        <w:t>指按规定用于烈士和牺牲、病故人员家属的一次性和定期抚恤金、丧葬补助费以及烈士褒扬金。</w:t>
      </w:r>
    </w:p>
    <w:p w14:paraId="3A63E87B">
      <w:pPr>
        <w:pStyle w:val="style0"/>
        <w:spacing w:lineRule="exact" w:line="600"/>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5</w:t>
      </w:r>
      <w:r>
        <w:rPr>
          <w:rFonts w:eastAsia="仿宋_GB2312"/>
          <w:color w:val="000000"/>
          <w:sz w:val="32"/>
          <w:szCs w:val="32"/>
        </w:rPr>
        <w:t>.</w:t>
      </w:r>
      <w:r>
        <w:rPr>
          <w:rFonts w:eastAsia="仿宋_GB2312"/>
          <w:color w:val="000000"/>
          <w:sz w:val="32"/>
          <w:szCs w:val="32"/>
        </w:rPr>
        <w:t>社会保障和就业（</w:t>
      </w:r>
      <w:r>
        <w:rPr>
          <w:rFonts w:eastAsia="仿宋_GB2312"/>
          <w:color w:val="000000"/>
          <w:sz w:val="32"/>
          <w:szCs w:val="32"/>
        </w:rPr>
        <w:t>208</w:t>
      </w:r>
      <w:r>
        <w:rPr>
          <w:rFonts w:eastAsia="仿宋_GB2312"/>
          <w:color w:val="000000"/>
          <w:sz w:val="32"/>
          <w:szCs w:val="32"/>
        </w:rPr>
        <w:t>类）行政事业单位养老支出（</w:t>
      </w:r>
      <w:r>
        <w:rPr>
          <w:rFonts w:eastAsia="仿宋_GB2312"/>
          <w:color w:val="000000"/>
          <w:sz w:val="32"/>
          <w:szCs w:val="32"/>
        </w:rPr>
        <w:t>08</w:t>
      </w:r>
      <w:r>
        <w:rPr>
          <w:rFonts w:eastAsia="仿宋_GB2312"/>
          <w:color w:val="000000"/>
          <w:sz w:val="32"/>
          <w:szCs w:val="32"/>
        </w:rPr>
        <w:t>款）伤残抚恤（</w:t>
      </w:r>
      <w:r>
        <w:rPr>
          <w:rFonts w:eastAsia="仿宋_GB2312"/>
          <w:color w:val="000000"/>
          <w:sz w:val="32"/>
          <w:szCs w:val="32"/>
        </w:rPr>
        <w:t>02</w:t>
      </w:r>
      <w:r>
        <w:rPr>
          <w:rFonts w:eastAsia="仿宋_GB2312"/>
          <w:color w:val="000000"/>
          <w:sz w:val="32"/>
          <w:szCs w:val="32"/>
        </w:rPr>
        <w:t>项）：指按规定用于伤残人员的抚恤金和按规定开支的各种伤残补助费。</w:t>
      </w:r>
    </w:p>
    <w:p w14:paraId="29A3182D">
      <w:pPr>
        <w:pStyle w:val="style0"/>
        <w:spacing w:lineRule="exact" w:line="600"/>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6</w:t>
      </w:r>
      <w:r>
        <w:rPr>
          <w:rFonts w:eastAsia="仿宋_GB2312"/>
          <w:color w:val="000000"/>
          <w:sz w:val="32"/>
          <w:szCs w:val="32"/>
        </w:rPr>
        <w:t>.</w:t>
      </w:r>
      <w:r>
        <w:rPr>
          <w:rFonts w:eastAsia="仿宋_GB2312"/>
          <w:color w:val="000000"/>
          <w:sz w:val="32"/>
          <w:szCs w:val="32"/>
        </w:rPr>
        <w:t>卫生健康（</w:t>
      </w:r>
      <w:r>
        <w:rPr>
          <w:rFonts w:eastAsia="仿宋_GB2312"/>
          <w:color w:val="000000"/>
          <w:sz w:val="32"/>
          <w:szCs w:val="32"/>
        </w:rPr>
        <w:t>210</w:t>
      </w:r>
      <w:r>
        <w:rPr>
          <w:rFonts w:eastAsia="仿宋_GB2312"/>
          <w:color w:val="000000"/>
          <w:sz w:val="32"/>
          <w:szCs w:val="32"/>
        </w:rPr>
        <w:t>类）行政事业单位医疗（</w:t>
      </w:r>
      <w:r>
        <w:rPr>
          <w:rFonts w:eastAsia="仿宋_GB2312"/>
          <w:color w:val="000000"/>
          <w:sz w:val="32"/>
          <w:szCs w:val="32"/>
        </w:rPr>
        <w:t>11</w:t>
      </w:r>
      <w:r>
        <w:rPr>
          <w:rFonts w:eastAsia="仿宋_GB2312"/>
          <w:color w:val="000000"/>
          <w:sz w:val="32"/>
          <w:szCs w:val="32"/>
        </w:rPr>
        <w:t>款）行政单位医疗（</w:t>
      </w:r>
      <w:r>
        <w:rPr>
          <w:rFonts w:eastAsia="仿宋_GB2312"/>
          <w:color w:val="000000"/>
          <w:sz w:val="32"/>
          <w:szCs w:val="32"/>
        </w:rPr>
        <w:t>01</w:t>
      </w:r>
      <w:r>
        <w:rPr>
          <w:rFonts w:eastAsia="仿宋_GB2312"/>
          <w:color w:val="000000"/>
          <w:sz w:val="32"/>
          <w:szCs w:val="32"/>
        </w:rPr>
        <w:t>项）：指财政部门安排的行政单位（包括实行公务员管理的事业单位）基本医疗保险缴费经费，未参加医疗保险的行政单位的公费医疗经费，按国家规定享受离休人员、红军老战士待遇人员的医疗经费。</w:t>
      </w:r>
    </w:p>
    <w:p w14:paraId="9ADD8459">
      <w:pPr>
        <w:pStyle w:val="style0"/>
        <w:spacing w:lineRule="exact" w:line="600"/>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7</w:t>
      </w:r>
      <w:r>
        <w:rPr>
          <w:rFonts w:eastAsia="仿宋_GB2312"/>
          <w:color w:val="000000"/>
          <w:sz w:val="32"/>
          <w:szCs w:val="32"/>
        </w:rPr>
        <w:t>.</w:t>
      </w:r>
      <w:r>
        <w:rPr>
          <w:rFonts w:eastAsia="仿宋_GB2312"/>
          <w:color w:val="000000"/>
          <w:sz w:val="32"/>
          <w:szCs w:val="32"/>
        </w:rPr>
        <w:t>卫生健康（</w:t>
      </w:r>
      <w:r>
        <w:rPr>
          <w:rFonts w:eastAsia="仿宋_GB2312"/>
          <w:color w:val="000000"/>
          <w:sz w:val="32"/>
          <w:szCs w:val="32"/>
        </w:rPr>
        <w:t>210</w:t>
      </w:r>
      <w:r>
        <w:rPr>
          <w:rFonts w:eastAsia="仿宋_GB2312"/>
          <w:color w:val="000000"/>
          <w:sz w:val="32"/>
          <w:szCs w:val="32"/>
        </w:rPr>
        <w:t>类）行政事业单位医疗（</w:t>
      </w:r>
      <w:r>
        <w:rPr>
          <w:rFonts w:eastAsia="仿宋_GB2312"/>
          <w:color w:val="000000"/>
          <w:sz w:val="32"/>
          <w:szCs w:val="32"/>
        </w:rPr>
        <w:t>11</w:t>
      </w:r>
      <w:r>
        <w:rPr>
          <w:rFonts w:eastAsia="仿宋_GB2312"/>
          <w:color w:val="000000"/>
          <w:sz w:val="32"/>
          <w:szCs w:val="32"/>
        </w:rPr>
        <w:t>款）事业</w:t>
      </w:r>
      <w:r>
        <w:rPr>
          <w:rFonts w:eastAsia="仿宋_GB2312"/>
          <w:color w:val="000000"/>
          <w:sz w:val="32"/>
          <w:szCs w:val="32"/>
        </w:rPr>
        <w:t>单位医疗（</w:t>
      </w:r>
      <w:r>
        <w:rPr>
          <w:rFonts w:eastAsia="仿宋_GB2312"/>
          <w:color w:val="000000"/>
          <w:sz w:val="32"/>
          <w:szCs w:val="32"/>
        </w:rPr>
        <w:t>02</w:t>
      </w:r>
      <w:r>
        <w:rPr>
          <w:rFonts w:eastAsia="仿宋_GB2312"/>
          <w:color w:val="000000"/>
          <w:sz w:val="32"/>
          <w:szCs w:val="32"/>
        </w:rPr>
        <w:t>项）：指财政部门安排的事业单位基本医疗保险缴费经费，未参加医疗保险的事业单位的公费医疗经费，按国家规定享受离休人员待遇人员的医疗经费。</w:t>
      </w:r>
    </w:p>
    <w:p w14:paraId="E0153921">
      <w:pPr>
        <w:pStyle w:val="style0"/>
        <w:spacing w:lineRule="exact" w:line="600"/>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8</w:t>
      </w:r>
      <w:r>
        <w:rPr>
          <w:rFonts w:eastAsia="仿宋_GB2312"/>
          <w:color w:val="000000"/>
          <w:sz w:val="32"/>
          <w:szCs w:val="32"/>
        </w:rPr>
        <w:t>.</w:t>
      </w:r>
      <w:r>
        <w:rPr>
          <w:rFonts w:eastAsia="仿宋_GB2312"/>
          <w:color w:val="000000"/>
          <w:sz w:val="32"/>
          <w:szCs w:val="32"/>
        </w:rPr>
        <w:t>卫生健康（</w:t>
      </w:r>
      <w:r>
        <w:rPr>
          <w:rFonts w:eastAsia="仿宋_GB2312"/>
          <w:color w:val="000000"/>
          <w:sz w:val="32"/>
          <w:szCs w:val="32"/>
        </w:rPr>
        <w:t>210</w:t>
      </w:r>
      <w:r>
        <w:rPr>
          <w:rFonts w:eastAsia="仿宋_GB2312"/>
          <w:color w:val="000000"/>
          <w:sz w:val="32"/>
          <w:szCs w:val="32"/>
        </w:rPr>
        <w:t>类）行政事业单位医疗（</w:t>
      </w:r>
      <w:r>
        <w:rPr>
          <w:rFonts w:eastAsia="仿宋_GB2312"/>
          <w:color w:val="000000"/>
          <w:sz w:val="32"/>
          <w:szCs w:val="32"/>
        </w:rPr>
        <w:t>11</w:t>
      </w:r>
      <w:r>
        <w:rPr>
          <w:rFonts w:eastAsia="仿宋_GB2312"/>
          <w:color w:val="000000"/>
          <w:sz w:val="32"/>
          <w:szCs w:val="32"/>
        </w:rPr>
        <w:t>款）公务员医疗补助（</w:t>
      </w:r>
      <w:r>
        <w:rPr>
          <w:rFonts w:eastAsia="仿宋_GB2312"/>
          <w:color w:val="000000"/>
          <w:sz w:val="32"/>
          <w:szCs w:val="32"/>
        </w:rPr>
        <w:t>03</w:t>
      </w:r>
      <w:r>
        <w:rPr>
          <w:rFonts w:eastAsia="仿宋_GB2312"/>
          <w:color w:val="000000"/>
          <w:sz w:val="32"/>
          <w:szCs w:val="32"/>
        </w:rPr>
        <w:t>项）：指财政部门安排的公务员医疗补助经费。</w:t>
      </w:r>
    </w:p>
    <w:p w14:paraId="830B8CD9">
      <w:pPr>
        <w:pStyle w:val="style0"/>
        <w:spacing w:lineRule="exact" w:line="600"/>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9</w:t>
      </w:r>
      <w:r>
        <w:rPr>
          <w:rFonts w:eastAsia="仿宋_GB2312"/>
          <w:color w:val="000000"/>
          <w:sz w:val="32"/>
          <w:szCs w:val="32"/>
        </w:rPr>
        <w:t>.</w:t>
      </w:r>
      <w:r>
        <w:rPr>
          <w:rFonts w:eastAsia="仿宋_GB2312"/>
          <w:color w:val="000000"/>
          <w:sz w:val="32"/>
          <w:szCs w:val="32"/>
        </w:rPr>
        <w:t>卫生健康（</w:t>
      </w:r>
      <w:r>
        <w:rPr>
          <w:rFonts w:eastAsia="仿宋_GB2312"/>
          <w:color w:val="000000"/>
          <w:sz w:val="32"/>
          <w:szCs w:val="32"/>
        </w:rPr>
        <w:t>210</w:t>
      </w:r>
      <w:r>
        <w:rPr>
          <w:rFonts w:eastAsia="仿宋_GB2312"/>
          <w:color w:val="000000"/>
          <w:sz w:val="32"/>
          <w:szCs w:val="32"/>
        </w:rPr>
        <w:t>类）行政事业单位医疗（</w:t>
      </w:r>
      <w:r>
        <w:rPr>
          <w:rFonts w:eastAsia="仿宋_GB2312"/>
          <w:color w:val="000000"/>
          <w:sz w:val="32"/>
          <w:szCs w:val="32"/>
        </w:rPr>
        <w:t>11</w:t>
      </w:r>
      <w:r>
        <w:rPr>
          <w:rFonts w:eastAsia="仿宋_GB2312"/>
          <w:color w:val="000000"/>
          <w:sz w:val="32"/>
          <w:szCs w:val="32"/>
        </w:rPr>
        <w:t>款）其他行政事业单位医疗支出（</w:t>
      </w:r>
      <w:r>
        <w:rPr>
          <w:rFonts w:eastAsia="仿宋_GB2312"/>
          <w:color w:val="000000"/>
          <w:sz w:val="32"/>
          <w:szCs w:val="32"/>
        </w:rPr>
        <w:t>99</w:t>
      </w:r>
      <w:r>
        <w:rPr>
          <w:rFonts w:eastAsia="仿宋_GB2312"/>
          <w:color w:val="000000"/>
          <w:sz w:val="32"/>
          <w:szCs w:val="32"/>
        </w:rPr>
        <w:t>项）：其他用于行政事业单位医疗方面的支出。</w:t>
      </w:r>
    </w:p>
    <w:p w14:paraId="B9307A95">
      <w:pPr>
        <w:pStyle w:val="style0"/>
        <w:spacing w:lineRule="exact" w:line="600"/>
        <w:ind w:firstLine="640"/>
        <w:rPr>
          <w:rFonts w:eastAsia="仿宋_GB2312"/>
          <w:color w:val="000000"/>
          <w:sz w:val="32"/>
          <w:szCs w:val="32"/>
        </w:rPr>
      </w:pPr>
      <w:r>
        <w:rPr>
          <w:rFonts w:eastAsia="仿宋_GB2312" w:hint="eastAsia"/>
          <w:color w:val="000000"/>
          <w:sz w:val="32"/>
          <w:szCs w:val="32"/>
        </w:rPr>
        <w:t>20</w:t>
      </w:r>
      <w:r>
        <w:rPr>
          <w:rFonts w:eastAsia="仿宋_GB2312"/>
          <w:color w:val="000000"/>
          <w:sz w:val="32"/>
          <w:szCs w:val="32"/>
        </w:rPr>
        <w:t>.</w:t>
      </w:r>
      <w:r>
        <w:rPr>
          <w:rFonts w:eastAsia="仿宋_GB2312"/>
          <w:color w:val="000000"/>
          <w:sz w:val="32"/>
          <w:szCs w:val="32"/>
        </w:rPr>
        <w:t>节能环保支出（</w:t>
      </w:r>
      <w:r>
        <w:rPr>
          <w:rFonts w:eastAsia="仿宋_GB2312"/>
          <w:color w:val="000000"/>
          <w:sz w:val="32"/>
          <w:szCs w:val="32"/>
        </w:rPr>
        <w:t>211</w:t>
      </w:r>
      <w:r>
        <w:rPr>
          <w:rFonts w:eastAsia="仿宋_GB2312"/>
          <w:color w:val="000000"/>
          <w:sz w:val="32"/>
          <w:szCs w:val="32"/>
        </w:rPr>
        <w:t>类）</w:t>
      </w:r>
      <w:r>
        <w:rPr>
          <w:rFonts w:eastAsia="仿宋_GB2312" w:hint="eastAsia"/>
          <w:color w:val="000000"/>
          <w:sz w:val="32"/>
          <w:szCs w:val="32"/>
        </w:rPr>
        <w:t>其他节能环保支出</w:t>
      </w:r>
      <w:r>
        <w:rPr>
          <w:rFonts w:eastAsia="仿宋_GB2312"/>
          <w:color w:val="000000"/>
          <w:sz w:val="32"/>
          <w:szCs w:val="32"/>
        </w:rPr>
        <w:t>（</w:t>
      </w:r>
      <w:r>
        <w:rPr>
          <w:rFonts w:eastAsia="仿宋_GB2312" w:hint="eastAsia"/>
          <w:color w:val="000000"/>
          <w:sz w:val="32"/>
          <w:szCs w:val="32"/>
        </w:rPr>
        <w:t>99</w:t>
      </w:r>
      <w:r>
        <w:rPr>
          <w:rFonts w:eastAsia="仿宋_GB2312"/>
          <w:color w:val="000000"/>
          <w:sz w:val="32"/>
          <w:szCs w:val="32"/>
        </w:rPr>
        <w:t>款）</w:t>
      </w:r>
      <w:r>
        <w:rPr>
          <w:rFonts w:eastAsia="仿宋_GB2312" w:hint="eastAsia"/>
          <w:color w:val="000000"/>
          <w:sz w:val="32"/>
          <w:szCs w:val="32"/>
        </w:rPr>
        <w:t>其他节能环保支出</w:t>
      </w:r>
      <w:r>
        <w:rPr>
          <w:rFonts w:eastAsia="仿宋_GB2312"/>
          <w:color w:val="000000"/>
          <w:sz w:val="32"/>
          <w:szCs w:val="32"/>
        </w:rPr>
        <w:t>（</w:t>
      </w:r>
      <w:r>
        <w:rPr>
          <w:rFonts w:eastAsia="仿宋_GB2312" w:hint="eastAsia"/>
          <w:color w:val="000000"/>
          <w:sz w:val="32"/>
          <w:szCs w:val="32"/>
        </w:rPr>
        <w:t>99</w:t>
      </w:r>
      <w:r>
        <w:rPr>
          <w:rFonts w:eastAsia="仿宋_GB2312"/>
          <w:color w:val="000000"/>
          <w:sz w:val="32"/>
          <w:szCs w:val="32"/>
        </w:rPr>
        <w:t>项）</w:t>
      </w:r>
      <w:r>
        <w:rPr>
          <w:rFonts w:eastAsia="仿宋_GB2312"/>
          <w:color w:val="000000"/>
          <w:sz w:val="32"/>
          <w:szCs w:val="32"/>
        </w:rPr>
        <w:t>:</w:t>
      </w:r>
      <w:r>
        <w:rPr>
          <w:rFonts w:eastAsia="仿宋_GB2312"/>
          <w:color w:val="000000"/>
          <w:sz w:val="32"/>
          <w:szCs w:val="32"/>
        </w:rPr>
        <w:t>指反映</w:t>
      </w:r>
      <w:r>
        <w:rPr>
          <w:rFonts w:eastAsia="仿宋_GB2312" w:hint="eastAsia"/>
          <w:color w:val="000000"/>
          <w:sz w:val="32"/>
          <w:szCs w:val="32"/>
        </w:rPr>
        <w:t>上述项目以外其他用于节能环保方面的支出</w:t>
      </w:r>
      <w:r>
        <w:rPr>
          <w:rFonts w:eastAsia="仿宋_GB2312"/>
          <w:color w:val="000000"/>
          <w:sz w:val="32"/>
          <w:szCs w:val="32"/>
        </w:rPr>
        <w:t>。</w:t>
      </w:r>
    </w:p>
    <w:p w14:paraId="8BF9D307">
      <w:pPr>
        <w:pStyle w:val="style0"/>
        <w:spacing w:lineRule="exact" w:line="600"/>
        <w:ind w:firstLine="640"/>
        <w:rPr>
          <w:rFonts w:cs="仿宋_GB2312" w:eastAsia="仿宋_GB2312"/>
          <w:sz w:val="32"/>
          <w:szCs w:val="32"/>
        </w:rPr>
      </w:pPr>
      <w:r>
        <w:rPr>
          <w:rFonts w:cs="仿宋_GB2312" w:eastAsia="仿宋_GB2312" w:hint="eastAsia"/>
          <w:sz w:val="32"/>
          <w:szCs w:val="32"/>
        </w:rPr>
        <w:t>21.</w:t>
      </w:r>
      <w:r>
        <w:rPr>
          <w:rFonts w:cs="仿宋_GB2312" w:eastAsia="仿宋_GB2312" w:hint="eastAsia"/>
          <w:sz w:val="32"/>
          <w:szCs w:val="32"/>
        </w:rPr>
        <w:t>城乡社区支出（</w:t>
      </w:r>
      <w:r>
        <w:rPr>
          <w:rFonts w:cs="仿宋_GB2312" w:eastAsia="仿宋_GB2312" w:hint="eastAsia"/>
          <w:sz w:val="32"/>
          <w:szCs w:val="32"/>
        </w:rPr>
        <w:t>212</w:t>
      </w:r>
      <w:r>
        <w:rPr>
          <w:rFonts w:cs="仿宋_GB2312" w:eastAsia="仿宋_GB2312" w:hint="eastAsia"/>
          <w:sz w:val="32"/>
          <w:szCs w:val="32"/>
        </w:rPr>
        <w:t>类）国有土地使用权出让安排的支出（</w:t>
      </w:r>
      <w:r>
        <w:rPr>
          <w:rFonts w:cs="仿宋_GB2312" w:eastAsia="仿宋_GB2312" w:hint="eastAsia"/>
          <w:sz w:val="32"/>
          <w:szCs w:val="32"/>
        </w:rPr>
        <w:t>08</w:t>
      </w:r>
      <w:r>
        <w:rPr>
          <w:rFonts w:cs="仿宋_GB2312" w:eastAsia="仿宋_GB2312" w:hint="eastAsia"/>
          <w:sz w:val="32"/>
          <w:szCs w:val="32"/>
        </w:rPr>
        <w:t>款）征地和拆迁补偿补偿支出（</w:t>
      </w:r>
      <w:r>
        <w:rPr>
          <w:rFonts w:cs="仿宋_GB2312" w:eastAsia="仿宋_GB2312" w:hint="eastAsia"/>
          <w:sz w:val="32"/>
          <w:szCs w:val="32"/>
        </w:rPr>
        <w:t>01</w:t>
      </w:r>
      <w:r>
        <w:rPr>
          <w:rFonts w:cs="仿宋_GB2312" w:eastAsia="仿宋_GB2312" w:hint="eastAsia"/>
          <w:sz w:val="32"/>
          <w:szCs w:val="32"/>
        </w:rPr>
        <w:t>项）：指反映新疆生产建设兵团和地方政府在征地和收购土地过程中支付的土地补偿费、安置补偿费、地上附着和青苗补偿费、拆迁补偿费支出。</w:t>
      </w:r>
    </w:p>
    <w:p w14:paraId="27CED8BD">
      <w:pPr>
        <w:pStyle w:val="style0"/>
        <w:spacing w:lineRule="exact" w:line="600"/>
        <w:ind w:firstLine="640"/>
        <w:rPr>
          <w:rFonts w:cs="仿宋_GB2312" w:eastAsia="仿宋_GB2312"/>
          <w:sz w:val="32"/>
          <w:szCs w:val="32"/>
        </w:rPr>
      </w:pPr>
      <w:r>
        <w:rPr>
          <w:rFonts w:cs="仿宋_GB2312" w:eastAsia="仿宋_GB2312" w:hint="eastAsia"/>
          <w:sz w:val="32"/>
          <w:szCs w:val="32"/>
        </w:rPr>
        <w:t>22.</w:t>
      </w:r>
      <w:r>
        <w:rPr>
          <w:rFonts w:cs="仿宋_GB2312" w:eastAsia="仿宋_GB2312" w:hint="eastAsia"/>
          <w:sz w:val="32"/>
          <w:szCs w:val="32"/>
        </w:rPr>
        <w:t>城乡社区支出（</w:t>
      </w:r>
      <w:r>
        <w:rPr>
          <w:rFonts w:cs="仿宋_GB2312" w:eastAsia="仿宋_GB2312" w:hint="eastAsia"/>
          <w:sz w:val="32"/>
          <w:szCs w:val="32"/>
        </w:rPr>
        <w:t>212</w:t>
      </w:r>
      <w:r>
        <w:rPr>
          <w:rFonts w:cs="仿宋_GB2312" w:eastAsia="仿宋_GB2312" w:hint="eastAsia"/>
          <w:sz w:val="32"/>
          <w:szCs w:val="32"/>
        </w:rPr>
        <w:t>类）国有土地使用权出让安排的支出（</w:t>
      </w:r>
      <w:r>
        <w:rPr>
          <w:rFonts w:cs="仿宋_GB2312" w:eastAsia="仿宋_GB2312" w:hint="eastAsia"/>
          <w:sz w:val="32"/>
          <w:szCs w:val="32"/>
        </w:rPr>
        <w:t>08</w:t>
      </w:r>
      <w:r>
        <w:rPr>
          <w:rFonts w:cs="仿宋_GB2312" w:eastAsia="仿宋_GB2312" w:hint="eastAsia"/>
          <w:sz w:val="32"/>
          <w:szCs w:val="32"/>
        </w:rPr>
        <w:t>款）农村基础设施建设支出（</w:t>
      </w:r>
      <w:r>
        <w:rPr>
          <w:rFonts w:cs="仿宋_GB2312" w:eastAsia="仿宋_GB2312" w:hint="eastAsia"/>
          <w:sz w:val="32"/>
          <w:szCs w:val="32"/>
        </w:rPr>
        <w:t>04</w:t>
      </w:r>
      <w:r>
        <w:rPr>
          <w:rFonts w:cs="仿宋_GB2312" w:eastAsia="仿宋_GB2312" w:hint="eastAsia"/>
          <w:sz w:val="32"/>
          <w:szCs w:val="32"/>
        </w:rPr>
        <w:t>项）：指反映土地出让收入用于农村供水保障</w:t>
      </w:r>
      <w:r>
        <w:rPr>
          <w:rFonts w:cs="仿宋_GB2312" w:eastAsia="仿宋_GB2312" w:hint="eastAsia"/>
          <w:sz w:val="32"/>
          <w:szCs w:val="32"/>
        </w:rPr>
        <w:t xml:space="preserve"> </w:t>
      </w:r>
      <w:r>
        <w:rPr>
          <w:rFonts w:cs="仿宋_GB2312" w:eastAsia="仿宋_GB2312" w:hint="eastAsia"/>
          <w:sz w:val="32"/>
          <w:szCs w:val="32"/>
        </w:rPr>
        <w:t>、村庄公共设施建设和管护以及农业农村直接相关的以工代赈等方面的支出。</w:t>
      </w:r>
    </w:p>
    <w:p w14:paraId="5EE0774D">
      <w:pPr>
        <w:pStyle w:val="style0"/>
        <w:spacing w:lineRule="exact" w:line="600"/>
        <w:ind w:firstLine="640" w:firstLineChars="200"/>
        <w:rPr>
          <w:rFonts w:cs="仿宋_GB2312" w:eastAsia="仿宋_GB2312"/>
          <w:sz w:val="32"/>
          <w:szCs w:val="32"/>
        </w:rPr>
      </w:pPr>
      <w:r>
        <w:rPr>
          <w:rFonts w:cs="仿宋_GB2312" w:eastAsia="仿宋_GB2312" w:hint="eastAsia"/>
          <w:sz w:val="32"/>
          <w:szCs w:val="32"/>
        </w:rPr>
        <w:t>23.</w:t>
      </w:r>
      <w:r>
        <w:rPr>
          <w:rFonts w:cs="仿宋_GB2312" w:eastAsia="仿宋_GB2312" w:hint="eastAsia"/>
          <w:sz w:val="32"/>
          <w:szCs w:val="32"/>
        </w:rPr>
        <w:t>城乡社区支出（</w:t>
      </w:r>
      <w:r>
        <w:rPr>
          <w:rFonts w:cs="仿宋_GB2312" w:eastAsia="仿宋_GB2312" w:hint="eastAsia"/>
          <w:sz w:val="32"/>
          <w:szCs w:val="32"/>
        </w:rPr>
        <w:t>212</w:t>
      </w:r>
      <w:r>
        <w:rPr>
          <w:rFonts w:cs="仿宋_GB2312" w:eastAsia="仿宋_GB2312" w:hint="eastAsia"/>
          <w:sz w:val="32"/>
          <w:szCs w:val="32"/>
        </w:rPr>
        <w:t>类）国有土地使用权出让安排的支出（</w:t>
      </w:r>
      <w:r>
        <w:rPr>
          <w:rFonts w:cs="仿宋_GB2312" w:eastAsia="仿宋_GB2312" w:hint="eastAsia"/>
          <w:sz w:val="32"/>
          <w:szCs w:val="32"/>
        </w:rPr>
        <w:t>08</w:t>
      </w:r>
      <w:r>
        <w:rPr>
          <w:rFonts w:cs="仿宋_GB2312" w:eastAsia="仿宋_GB2312" w:hint="eastAsia"/>
          <w:sz w:val="32"/>
          <w:szCs w:val="32"/>
        </w:rPr>
        <w:t>款）其他国有土地使用权出让收入安排的支出（</w:t>
      </w:r>
      <w:r>
        <w:rPr>
          <w:rFonts w:cs="仿宋_GB2312" w:eastAsia="仿宋_GB2312" w:hint="eastAsia"/>
          <w:sz w:val="32"/>
          <w:szCs w:val="32"/>
        </w:rPr>
        <w:t>99</w:t>
      </w:r>
      <w:r>
        <w:rPr>
          <w:rFonts w:cs="仿宋_GB2312" w:eastAsia="仿宋_GB2312" w:hint="eastAsia"/>
          <w:sz w:val="32"/>
          <w:szCs w:val="32"/>
        </w:rPr>
        <w:t>项）：指反映土地出让收入用于其他方面的支出。</w:t>
      </w:r>
    </w:p>
    <w:p w14:paraId="46EA92D9">
      <w:pPr>
        <w:pStyle w:val="style0"/>
        <w:spacing w:lineRule="exact" w:line="600"/>
        <w:ind w:firstLine="640" w:firstLineChars="200"/>
        <w:rPr>
          <w:rFonts w:cs="仿宋_GB2312" w:eastAsia="仿宋_GB2312"/>
          <w:sz w:val="32"/>
          <w:szCs w:val="32"/>
        </w:rPr>
      </w:pPr>
      <w:r>
        <w:rPr>
          <w:rFonts w:cs="仿宋_GB2312" w:eastAsia="仿宋_GB2312" w:hint="eastAsia"/>
          <w:sz w:val="32"/>
          <w:szCs w:val="32"/>
        </w:rPr>
        <w:t>24.</w:t>
      </w:r>
      <w:r>
        <w:rPr>
          <w:rFonts w:eastAsia="仿宋_GB2312"/>
          <w:color w:val="000000"/>
          <w:sz w:val="32"/>
          <w:szCs w:val="32"/>
        </w:rPr>
        <w:t>农林水支出（</w:t>
      </w:r>
      <w:r>
        <w:rPr>
          <w:rFonts w:eastAsia="仿宋_GB2312"/>
          <w:color w:val="000000"/>
          <w:sz w:val="32"/>
          <w:szCs w:val="32"/>
        </w:rPr>
        <w:t>213</w:t>
      </w:r>
      <w:r>
        <w:rPr>
          <w:rFonts w:eastAsia="仿宋_GB2312"/>
          <w:color w:val="000000"/>
          <w:sz w:val="32"/>
          <w:szCs w:val="32"/>
        </w:rPr>
        <w:t>类）其他农林水支出（</w:t>
      </w:r>
      <w:r>
        <w:rPr>
          <w:rFonts w:eastAsia="仿宋_GB2312"/>
          <w:color w:val="000000"/>
          <w:sz w:val="32"/>
          <w:szCs w:val="32"/>
        </w:rPr>
        <w:t>99</w:t>
      </w:r>
      <w:r>
        <w:rPr>
          <w:rFonts w:eastAsia="仿宋_GB2312"/>
          <w:color w:val="000000"/>
          <w:sz w:val="32"/>
          <w:szCs w:val="32"/>
        </w:rPr>
        <w:t>款）其他农林水支出（</w:t>
      </w:r>
      <w:r>
        <w:rPr>
          <w:rFonts w:eastAsia="仿宋_GB2312"/>
          <w:color w:val="000000"/>
          <w:sz w:val="32"/>
          <w:szCs w:val="32"/>
        </w:rPr>
        <w:t>99</w:t>
      </w:r>
      <w:r>
        <w:rPr>
          <w:rFonts w:eastAsia="仿宋_GB2312"/>
          <w:color w:val="000000"/>
          <w:sz w:val="32"/>
          <w:szCs w:val="32"/>
        </w:rPr>
        <w:t>项）</w:t>
      </w:r>
      <w:r>
        <w:rPr>
          <w:rFonts w:eastAsia="仿宋_GB2312"/>
          <w:color w:val="000000"/>
          <w:sz w:val="32"/>
          <w:szCs w:val="32"/>
        </w:rPr>
        <w:t xml:space="preserve">: </w:t>
      </w:r>
      <w:r>
        <w:rPr>
          <w:rFonts w:eastAsia="仿宋_GB2312"/>
          <w:color w:val="000000"/>
          <w:sz w:val="32"/>
          <w:szCs w:val="32"/>
        </w:rPr>
        <w:t>指反映除化解债务支出以外其他用于农林水方面的支出。</w:t>
      </w:r>
    </w:p>
    <w:p w14:paraId="380E2584">
      <w:pPr>
        <w:pStyle w:val="style0"/>
        <w:spacing w:lineRule="exact" w:line="600"/>
        <w:ind w:firstLine="640"/>
        <w:rPr>
          <w:rFonts w:cs="仿宋_GB2312" w:eastAsia="仿宋_GB2312"/>
          <w:sz w:val="32"/>
          <w:szCs w:val="32"/>
        </w:rPr>
      </w:pPr>
      <w:r>
        <w:rPr>
          <w:rFonts w:cs="仿宋_GB2312" w:eastAsia="仿宋_GB2312" w:hint="eastAsia"/>
          <w:sz w:val="32"/>
          <w:szCs w:val="32"/>
        </w:rPr>
        <w:t>25.</w:t>
      </w:r>
      <w:r>
        <w:rPr>
          <w:rFonts w:cs="仿宋_GB2312" w:eastAsia="仿宋_GB2312" w:hint="eastAsia"/>
          <w:sz w:val="32"/>
          <w:szCs w:val="32"/>
        </w:rPr>
        <w:t>自然资源海洋气象等支出（</w:t>
      </w:r>
      <w:r>
        <w:rPr>
          <w:rFonts w:cs="仿宋_GB2312" w:eastAsia="仿宋_GB2312" w:hint="eastAsia"/>
          <w:sz w:val="32"/>
          <w:szCs w:val="32"/>
        </w:rPr>
        <w:t>220</w:t>
      </w:r>
      <w:r>
        <w:rPr>
          <w:rFonts w:cs="仿宋_GB2312" w:eastAsia="仿宋_GB2312" w:hint="eastAsia"/>
          <w:sz w:val="32"/>
          <w:szCs w:val="32"/>
        </w:rPr>
        <w:t>类）自然资源事务（</w:t>
      </w:r>
      <w:r>
        <w:rPr>
          <w:rFonts w:cs="仿宋_GB2312" w:eastAsia="仿宋_GB2312" w:hint="eastAsia"/>
          <w:sz w:val="32"/>
          <w:szCs w:val="32"/>
        </w:rPr>
        <w:t>01</w:t>
      </w:r>
      <w:r>
        <w:rPr>
          <w:rFonts w:cs="仿宋_GB2312" w:eastAsia="仿宋_GB2312" w:hint="eastAsia"/>
          <w:sz w:val="32"/>
          <w:szCs w:val="32"/>
        </w:rPr>
        <w:t>款）行政运行（</w:t>
      </w:r>
      <w:r>
        <w:rPr>
          <w:rFonts w:cs="仿宋_GB2312" w:eastAsia="仿宋_GB2312" w:hint="eastAsia"/>
          <w:sz w:val="32"/>
          <w:szCs w:val="32"/>
        </w:rPr>
        <w:t>01</w:t>
      </w:r>
      <w:r>
        <w:rPr>
          <w:rFonts w:cs="仿宋_GB2312" w:eastAsia="仿宋_GB2312" w:hint="eastAsia"/>
          <w:sz w:val="32"/>
          <w:szCs w:val="32"/>
        </w:rPr>
        <w:t>项）：指反映行政单位（包括实行公务员管理的事业单位）的基本支出。</w:t>
      </w:r>
    </w:p>
    <w:p w14:paraId="EE16BB50">
      <w:pPr>
        <w:pStyle w:val="style0"/>
        <w:spacing w:lineRule="exact" w:line="600"/>
        <w:ind w:firstLine="640"/>
        <w:rPr>
          <w:rFonts w:cs="仿宋_GB2312" w:eastAsia="仿宋_GB2312"/>
          <w:sz w:val="32"/>
          <w:szCs w:val="32"/>
        </w:rPr>
      </w:pPr>
      <w:r>
        <w:rPr>
          <w:rFonts w:cs="仿宋_GB2312" w:eastAsia="仿宋_GB2312" w:hint="eastAsia"/>
          <w:sz w:val="32"/>
          <w:szCs w:val="32"/>
        </w:rPr>
        <w:t>26.</w:t>
      </w:r>
      <w:r>
        <w:rPr>
          <w:rFonts w:cs="仿宋_GB2312" w:eastAsia="仿宋_GB2312" w:hint="eastAsia"/>
          <w:sz w:val="32"/>
          <w:szCs w:val="32"/>
        </w:rPr>
        <w:t>自然资源海洋气象等支出（</w:t>
      </w:r>
      <w:r>
        <w:rPr>
          <w:rFonts w:cs="仿宋_GB2312" w:eastAsia="仿宋_GB2312" w:hint="eastAsia"/>
          <w:sz w:val="32"/>
          <w:szCs w:val="32"/>
        </w:rPr>
        <w:t>220</w:t>
      </w:r>
      <w:r>
        <w:rPr>
          <w:rFonts w:cs="仿宋_GB2312" w:eastAsia="仿宋_GB2312" w:hint="eastAsia"/>
          <w:sz w:val="32"/>
          <w:szCs w:val="32"/>
        </w:rPr>
        <w:t>类）自然资源事务（</w:t>
      </w:r>
      <w:r>
        <w:rPr>
          <w:rFonts w:cs="仿宋_GB2312" w:eastAsia="仿宋_GB2312" w:hint="eastAsia"/>
          <w:sz w:val="32"/>
          <w:szCs w:val="32"/>
        </w:rPr>
        <w:t>01</w:t>
      </w:r>
      <w:r>
        <w:rPr>
          <w:rFonts w:cs="仿宋_GB2312" w:eastAsia="仿宋_GB2312" w:hint="eastAsia"/>
          <w:sz w:val="32"/>
          <w:szCs w:val="32"/>
        </w:rPr>
        <w:t>款）一般行政管理事务（</w:t>
      </w:r>
      <w:r>
        <w:rPr>
          <w:rFonts w:cs="仿宋_GB2312" w:eastAsia="仿宋_GB2312" w:hint="eastAsia"/>
          <w:sz w:val="32"/>
          <w:szCs w:val="32"/>
        </w:rPr>
        <w:t>02</w:t>
      </w:r>
      <w:r>
        <w:rPr>
          <w:rFonts w:cs="仿宋_GB2312" w:eastAsia="仿宋_GB2312" w:hint="eastAsia"/>
          <w:sz w:val="32"/>
          <w:szCs w:val="32"/>
        </w:rPr>
        <w:t>项）：指反映行政单位（包括实行公务员管理的事业单位）未单独设置项级科目的其他项目支出。</w:t>
      </w:r>
    </w:p>
    <w:p w14:paraId="20F21BA8">
      <w:pPr>
        <w:pStyle w:val="style0"/>
        <w:spacing w:lineRule="exact" w:line="600"/>
        <w:ind w:firstLine="640"/>
        <w:rPr>
          <w:rFonts w:cs="仿宋_GB2312" w:eastAsia="仿宋_GB2312"/>
          <w:sz w:val="32"/>
          <w:szCs w:val="32"/>
        </w:rPr>
      </w:pPr>
      <w:r>
        <w:rPr>
          <w:rFonts w:cs="仿宋_GB2312" w:eastAsia="仿宋_GB2312" w:hint="eastAsia"/>
          <w:sz w:val="32"/>
          <w:szCs w:val="32"/>
        </w:rPr>
        <w:t>27.</w:t>
      </w:r>
      <w:r>
        <w:rPr>
          <w:rFonts w:cs="仿宋_GB2312" w:eastAsia="仿宋_GB2312" w:hint="eastAsia"/>
          <w:sz w:val="32"/>
          <w:szCs w:val="32"/>
        </w:rPr>
        <w:t>自然资源海洋气象等支出（</w:t>
      </w:r>
      <w:r>
        <w:rPr>
          <w:rFonts w:cs="仿宋_GB2312" w:eastAsia="仿宋_GB2312" w:hint="eastAsia"/>
          <w:sz w:val="32"/>
          <w:szCs w:val="32"/>
        </w:rPr>
        <w:t>220</w:t>
      </w:r>
      <w:r>
        <w:rPr>
          <w:rFonts w:cs="仿宋_GB2312" w:eastAsia="仿宋_GB2312" w:hint="eastAsia"/>
          <w:sz w:val="32"/>
          <w:szCs w:val="32"/>
        </w:rPr>
        <w:t>类）自然资源事务（</w:t>
      </w:r>
      <w:r>
        <w:rPr>
          <w:rFonts w:cs="仿宋_GB2312" w:eastAsia="仿宋_GB2312" w:hint="eastAsia"/>
          <w:sz w:val="32"/>
          <w:szCs w:val="32"/>
        </w:rPr>
        <w:t>01</w:t>
      </w:r>
      <w:r>
        <w:rPr>
          <w:rFonts w:cs="仿宋_GB2312" w:eastAsia="仿宋_GB2312" w:hint="eastAsia"/>
          <w:sz w:val="32"/>
          <w:szCs w:val="32"/>
        </w:rPr>
        <w:t>款）自然资源规划及管理（</w:t>
      </w:r>
      <w:r>
        <w:rPr>
          <w:rFonts w:cs="仿宋_GB2312" w:eastAsia="仿宋_GB2312" w:hint="eastAsia"/>
          <w:sz w:val="32"/>
          <w:szCs w:val="32"/>
        </w:rPr>
        <w:t>04</w:t>
      </w:r>
      <w:r>
        <w:rPr>
          <w:rFonts w:cs="仿宋_GB2312" w:eastAsia="仿宋_GB2312" w:hint="eastAsia"/>
          <w:sz w:val="32"/>
          <w:szCs w:val="32"/>
        </w:rPr>
        <w:t>项）：指反映用于国土空间规划、国土空间开发适宜性评价等方面的支出。</w:t>
      </w:r>
    </w:p>
    <w:p w14:paraId="4DAF3324">
      <w:pPr>
        <w:pStyle w:val="style0"/>
        <w:spacing w:lineRule="exact" w:line="600"/>
        <w:ind w:firstLine="640"/>
        <w:rPr>
          <w:rFonts w:cs="仿宋_GB2312" w:eastAsia="仿宋_GB2312"/>
          <w:sz w:val="32"/>
          <w:szCs w:val="32"/>
        </w:rPr>
      </w:pPr>
      <w:r>
        <w:rPr>
          <w:rFonts w:cs="仿宋_GB2312" w:eastAsia="仿宋_GB2312" w:hint="eastAsia"/>
          <w:sz w:val="32"/>
          <w:szCs w:val="32"/>
        </w:rPr>
        <w:t>28.</w:t>
      </w:r>
      <w:r>
        <w:rPr>
          <w:rFonts w:cs="仿宋_GB2312" w:eastAsia="仿宋_GB2312" w:hint="eastAsia"/>
          <w:sz w:val="32"/>
          <w:szCs w:val="32"/>
        </w:rPr>
        <w:t>自然资源海洋气象等支出（</w:t>
      </w:r>
      <w:r>
        <w:rPr>
          <w:rFonts w:cs="仿宋_GB2312" w:eastAsia="仿宋_GB2312" w:hint="eastAsia"/>
          <w:sz w:val="32"/>
          <w:szCs w:val="32"/>
        </w:rPr>
        <w:t>220</w:t>
      </w:r>
      <w:r>
        <w:rPr>
          <w:rFonts w:cs="仿宋_GB2312" w:eastAsia="仿宋_GB2312" w:hint="eastAsia"/>
          <w:sz w:val="32"/>
          <w:szCs w:val="32"/>
        </w:rPr>
        <w:t>类）自然资源事务（</w:t>
      </w:r>
      <w:r>
        <w:rPr>
          <w:rFonts w:cs="仿宋_GB2312" w:eastAsia="仿宋_GB2312" w:hint="eastAsia"/>
          <w:sz w:val="32"/>
          <w:szCs w:val="32"/>
        </w:rPr>
        <w:t>01</w:t>
      </w:r>
      <w:r>
        <w:rPr>
          <w:rFonts w:cs="仿宋_GB2312" w:eastAsia="仿宋_GB2312" w:hint="eastAsia"/>
          <w:sz w:val="32"/>
          <w:szCs w:val="32"/>
        </w:rPr>
        <w:t>款）自然字眼调查与确权登记（</w:t>
      </w:r>
      <w:r>
        <w:rPr>
          <w:rFonts w:cs="仿宋_GB2312" w:eastAsia="仿宋_GB2312" w:hint="eastAsia"/>
          <w:sz w:val="32"/>
          <w:szCs w:val="32"/>
        </w:rPr>
        <w:t>06</w:t>
      </w:r>
      <w:r>
        <w:rPr>
          <w:rFonts w:cs="仿宋_GB2312" w:eastAsia="仿宋_GB2312" w:hint="eastAsia"/>
          <w:sz w:val="32"/>
          <w:szCs w:val="32"/>
        </w:rPr>
        <w:t>项）：指反映用于自然资源有偿使用与合理开发利用，国土空间生态修复，国土整治，耕地保护等方面的支出。</w:t>
      </w:r>
    </w:p>
    <w:p w14:paraId="D6A7AA06">
      <w:pPr>
        <w:pStyle w:val="style0"/>
        <w:spacing w:lineRule="exact" w:line="600"/>
        <w:ind w:firstLine="640"/>
        <w:rPr>
          <w:rFonts w:cs="仿宋_GB2312" w:eastAsia="仿宋_GB2312"/>
          <w:sz w:val="32"/>
          <w:szCs w:val="32"/>
        </w:rPr>
      </w:pPr>
      <w:r>
        <w:rPr>
          <w:rFonts w:cs="仿宋_GB2312" w:eastAsia="仿宋_GB2312" w:hint="eastAsia"/>
          <w:sz w:val="32"/>
          <w:szCs w:val="32"/>
        </w:rPr>
        <w:t>29.</w:t>
      </w:r>
      <w:r>
        <w:rPr>
          <w:rFonts w:cs="仿宋_GB2312" w:eastAsia="仿宋_GB2312" w:hint="eastAsia"/>
          <w:sz w:val="32"/>
          <w:szCs w:val="32"/>
        </w:rPr>
        <w:t>自然资源海洋气象等支出（</w:t>
      </w:r>
      <w:r>
        <w:rPr>
          <w:rFonts w:cs="仿宋_GB2312" w:eastAsia="仿宋_GB2312" w:hint="eastAsia"/>
          <w:sz w:val="32"/>
          <w:szCs w:val="32"/>
        </w:rPr>
        <w:t>220</w:t>
      </w:r>
      <w:r>
        <w:rPr>
          <w:rFonts w:cs="仿宋_GB2312" w:eastAsia="仿宋_GB2312" w:hint="eastAsia"/>
          <w:sz w:val="32"/>
          <w:szCs w:val="32"/>
        </w:rPr>
        <w:t>类）自然资源事务（</w:t>
      </w:r>
      <w:r>
        <w:rPr>
          <w:rFonts w:cs="仿宋_GB2312" w:eastAsia="仿宋_GB2312" w:hint="eastAsia"/>
          <w:sz w:val="32"/>
          <w:szCs w:val="32"/>
        </w:rPr>
        <w:t>01</w:t>
      </w:r>
      <w:r>
        <w:rPr>
          <w:rFonts w:cs="仿宋_GB2312" w:eastAsia="仿宋_GB2312" w:hint="eastAsia"/>
          <w:sz w:val="32"/>
          <w:szCs w:val="32"/>
        </w:rPr>
        <w:t>款）自然资源调查与确权登记（</w:t>
      </w:r>
      <w:r>
        <w:rPr>
          <w:rFonts w:cs="仿宋_GB2312" w:eastAsia="仿宋_GB2312" w:hint="eastAsia"/>
          <w:sz w:val="32"/>
          <w:szCs w:val="32"/>
        </w:rPr>
        <w:t>09</w:t>
      </w:r>
      <w:r>
        <w:rPr>
          <w:rFonts w:cs="仿宋_GB2312" w:eastAsia="仿宋_GB2312" w:hint="eastAsia"/>
          <w:sz w:val="32"/>
          <w:szCs w:val="32"/>
        </w:rPr>
        <w:t>项）：指反映自然资源部门用于自然资源调查监测评价，自然资源统一确权登记等方面的支出。</w:t>
      </w:r>
    </w:p>
    <w:p w14:paraId="40E22DCA">
      <w:pPr>
        <w:pStyle w:val="style0"/>
        <w:spacing w:lineRule="exact" w:line="600"/>
        <w:ind w:firstLine="640"/>
        <w:rPr>
          <w:rFonts w:cs="仿宋_GB2312" w:eastAsia="仿宋_GB2312"/>
          <w:sz w:val="32"/>
          <w:szCs w:val="32"/>
        </w:rPr>
      </w:pPr>
      <w:r>
        <w:rPr>
          <w:rFonts w:cs="仿宋_GB2312" w:eastAsia="仿宋_GB2312" w:hint="eastAsia"/>
          <w:sz w:val="32"/>
          <w:szCs w:val="32"/>
        </w:rPr>
        <w:t>30.</w:t>
      </w:r>
      <w:r>
        <w:rPr>
          <w:rFonts w:cs="仿宋_GB2312" w:eastAsia="仿宋_GB2312" w:hint="eastAsia"/>
          <w:sz w:val="32"/>
          <w:szCs w:val="32"/>
        </w:rPr>
        <w:t>自然资源海洋气象等支出（</w:t>
      </w:r>
      <w:r>
        <w:rPr>
          <w:rFonts w:cs="仿宋_GB2312" w:eastAsia="仿宋_GB2312" w:hint="eastAsia"/>
          <w:sz w:val="32"/>
          <w:szCs w:val="32"/>
        </w:rPr>
        <w:t>220</w:t>
      </w:r>
      <w:r>
        <w:rPr>
          <w:rFonts w:cs="仿宋_GB2312" w:eastAsia="仿宋_GB2312" w:hint="eastAsia"/>
          <w:sz w:val="32"/>
          <w:szCs w:val="32"/>
        </w:rPr>
        <w:t>类）自然资源事务（</w:t>
      </w:r>
      <w:r>
        <w:rPr>
          <w:rFonts w:cs="仿宋_GB2312" w:eastAsia="仿宋_GB2312" w:hint="eastAsia"/>
          <w:sz w:val="32"/>
          <w:szCs w:val="32"/>
        </w:rPr>
        <w:t>01</w:t>
      </w:r>
      <w:r>
        <w:rPr>
          <w:rFonts w:cs="仿宋_GB2312" w:eastAsia="仿宋_GB2312" w:hint="eastAsia"/>
          <w:sz w:val="32"/>
          <w:szCs w:val="32"/>
        </w:rPr>
        <w:t>款）事业运行（</w:t>
      </w:r>
      <w:r>
        <w:rPr>
          <w:rFonts w:cs="仿宋_GB2312" w:eastAsia="仿宋_GB2312" w:hint="eastAsia"/>
          <w:sz w:val="32"/>
          <w:szCs w:val="32"/>
        </w:rPr>
        <w:t>50</w:t>
      </w:r>
      <w:r>
        <w:rPr>
          <w:rFonts w:cs="仿宋_GB2312" w:eastAsia="仿宋_GB2312" w:hint="eastAsia"/>
          <w:sz w:val="32"/>
          <w:szCs w:val="32"/>
        </w:rPr>
        <w:t>项）：指反映事业单位的基本支出，不包括行政单位（包括实行公务员管理的事业单位）后勤服务中心、医务室等附属事业单位。</w:t>
      </w:r>
    </w:p>
    <w:p w14:paraId="1F86CAE6">
      <w:pPr>
        <w:pStyle w:val="style0"/>
        <w:spacing w:lineRule="exact" w:line="600"/>
        <w:ind w:firstLine="640"/>
        <w:rPr>
          <w:rFonts w:cs="仿宋_GB2312" w:eastAsia="仿宋_GB2312"/>
          <w:sz w:val="32"/>
          <w:szCs w:val="32"/>
        </w:rPr>
      </w:pPr>
      <w:r>
        <w:rPr>
          <w:rFonts w:cs="仿宋_GB2312" w:eastAsia="仿宋_GB2312" w:hint="eastAsia"/>
          <w:sz w:val="32"/>
          <w:szCs w:val="32"/>
        </w:rPr>
        <w:t>31.</w:t>
      </w:r>
      <w:r>
        <w:rPr>
          <w:rFonts w:cs="仿宋_GB2312" w:eastAsia="仿宋_GB2312" w:hint="eastAsia"/>
          <w:sz w:val="32"/>
          <w:szCs w:val="32"/>
        </w:rPr>
        <w:t>自然资源海洋气象等支出（</w:t>
      </w:r>
      <w:r>
        <w:rPr>
          <w:rFonts w:cs="仿宋_GB2312" w:eastAsia="仿宋_GB2312" w:hint="eastAsia"/>
          <w:sz w:val="32"/>
          <w:szCs w:val="32"/>
        </w:rPr>
        <w:t>220</w:t>
      </w:r>
      <w:r>
        <w:rPr>
          <w:rFonts w:cs="仿宋_GB2312" w:eastAsia="仿宋_GB2312" w:hint="eastAsia"/>
          <w:sz w:val="32"/>
          <w:szCs w:val="32"/>
        </w:rPr>
        <w:t>类）自然资源事务（</w:t>
      </w:r>
      <w:r>
        <w:rPr>
          <w:rFonts w:cs="仿宋_GB2312" w:eastAsia="仿宋_GB2312" w:hint="eastAsia"/>
          <w:sz w:val="32"/>
          <w:szCs w:val="32"/>
        </w:rPr>
        <w:t>01</w:t>
      </w:r>
      <w:r>
        <w:rPr>
          <w:rFonts w:cs="仿宋_GB2312" w:eastAsia="仿宋_GB2312" w:hint="eastAsia"/>
          <w:sz w:val="32"/>
          <w:szCs w:val="32"/>
        </w:rPr>
        <w:t>款）其他自然资源事务支出（</w:t>
      </w:r>
      <w:r>
        <w:rPr>
          <w:rFonts w:cs="仿宋_GB2312" w:eastAsia="仿宋_GB2312" w:hint="eastAsia"/>
          <w:sz w:val="32"/>
          <w:szCs w:val="32"/>
        </w:rPr>
        <w:t>99</w:t>
      </w:r>
      <w:r>
        <w:rPr>
          <w:rFonts w:cs="仿宋_GB2312" w:eastAsia="仿宋_GB2312" w:hint="eastAsia"/>
          <w:sz w:val="32"/>
          <w:szCs w:val="32"/>
        </w:rPr>
        <w:t>项）：指除上述项目以外其他用于自然资源事务方面的支出。</w:t>
      </w:r>
    </w:p>
    <w:p w14:paraId="B4E9E6DF">
      <w:pPr>
        <w:pStyle w:val="style0"/>
        <w:spacing w:lineRule="exact" w:line="600"/>
        <w:ind w:firstLine="640"/>
        <w:rPr>
          <w:rFonts w:cs="仿宋_GB2312" w:eastAsia="仿宋_GB2312"/>
          <w:sz w:val="32"/>
          <w:szCs w:val="32"/>
        </w:rPr>
      </w:pPr>
      <w:r>
        <w:rPr>
          <w:rFonts w:cs="仿宋_GB2312" w:eastAsia="仿宋_GB2312" w:hint="eastAsia"/>
          <w:sz w:val="32"/>
          <w:szCs w:val="32"/>
        </w:rPr>
        <w:t>32.</w:t>
      </w:r>
      <w:r>
        <w:rPr>
          <w:rFonts w:cs="仿宋_GB2312" w:eastAsia="仿宋_GB2312" w:hint="eastAsia"/>
          <w:sz w:val="32"/>
          <w:szCs w:val="32"/>
        </w:rPr>
        <w:t>灾害防治及应急管理支出（</w:t>
      </w:r>
      <w:r>
        <w:rPr>
          <w:rFonts w:cs="仿宋_GB2312" w:eastAsia="仿宋_GB2312" w:hint="eastAsia"/>
          <w:sz w:val="32"/>
          <w:szCs w:val="32"/>
        </w:rPr>
        <w:t>224</w:t>
      </w:r>
      <w:r>
        <w:rPr>
          <w:rFonts w:cs="仿宋_GB2312" w:eastAsia="仿宋_GB2312" w:hint="eastAsia"/>
          <w:sz w:val="32"/>
          <w:szCs w:val="32"/>
        </w:rPr>
        <w:t>类）自然灾害防治（</w:t>
      </w:r>
      <w:r>
        <w:rPr>
          <w:rFonts w:cs="仿宋_GB2312" w:eastAsia="仿宋_GB2312" w:hint="eastAsia"/>
          <w:sz w:val="32"/>
          <w:szCs w:val="32"/>
        </w:rPr>
        <w:t>06</w:t>
      </w:r>
      <w:r>
        <w:rPr>
          <w:rFonts w:cs="仿宋_GB2312" w:eastAsia="仿宋_GB2312" w:hint="eastAsia"/>
          <w:sz w:val="32"/>
          <w:szCs w:val="32"/>
        </w:rPr>
        <w:t>款）地质灾害防治（</w:t>
      </w:r>
      <w:r>
        <w:rPr>
          <w:rFonts w:cs="仿宋_GB2312" w:eastAsia="仿宋_GB2312" w:hint="eastAsia"/>
          <w:sz w:val="32"/>
          <w:szCs w:val="32"/>
        </w:rPr>
        <w:t>01</w:t>
      </w:r>
      <w:r>
        <w:rPr>
          <w:rFonts w:cs="仿宋_GB2312" w:eastAsia="仿宋_GB2312" w:hint="eastAsia"/>
          <w:sz w:val="32"/>
          <w:szCs w:val="32"/>
        </w:rPr>
        <w:t>项）：指反映防治地质灾害方面的支出。</w:t>
      </w:r>
    </w:p>
    <w:p w14:paraId="19AEA0C8">
      <w:pPr>
        <w:pStyle w:val="style0"/>
        <w:spacing w:lineRule="exact" w:line="600"/>
        <w:ind w:firstLine="640"/>
        <w:rPr>
          <w:rFonts w:cs="仿宋_GB2312" w:eastAsia="仿宋_GB2312"/>
          <w:sz w:val="32"/>
          <w:szCs w:val="32"/>
        </w:rPr>
      </w:pPr>
      <w:r>
        <w:rPr>
          <w:rFonts w:cs="仿宋_GB2312" w:eastAsia="仿宋_GB2312" w:hint="eastAsia"/>
          <w:sz w:val="32"/>
          <w:szCs w:val="32"/>
        </w:rPr>
        <w:t>33.</w:t>
      </w:r>
      <w:r>
        <w:rPr>
          <w:rFonts w:cs="仿宋_GB2312" w:eastAsia="仿宋_GB2312" w:hint="eastAsia"/>
          <w:sz w:val="32"/>
          <w:szCs w:val="32"/>
        </w:rPr>
        <w:t>灾害防治及应急管理支出（</w:t>
      </w:r>
      <w:r>
        <w:rPr>
          <w:rFonts w:cs="仿宋_GB2312" w:eastAsia="仿宋_GB2312" w:hint="eastAsia"/>
          <w:sz w:val="32"/>
          <w:szCs w:val="32"/>
        </w:rPr>
        <w:t>224</w:t>
      </w:r>
      <w:r>
        <w:rPr>
          <w:rFonts w:cs="仿宋_GB2312" w:eastAsia="仿宋_GB2312" w:hint="eastAsia"/>
          <w:sz w:val="32"/>
          <w:szCs w:val="32"/>
        </w:rPr>
        <w:t>类）自然灾害防治（</w:t>
      </w:r>
      <w:r>
        <w:rPr>
          <w:rFonts w:cs="仿宋_GB2312" w:eastAsia="仿宋_GB2312" w:hint="eastAsia"/>
          <w:sz w:val="32"/>
          <w:szCs w:val="32"/>
        </w:rPr>
        <w:t>06</w:t>
      </w:r>
      <w:r>
        <w:rPr>
          <w:rFonts w:cs="仿宋_GB2312" w:eastAsia="仿宋_GB2312" w:hint="eastAsia"/>
          <w:sz w:val="32"/>
          <w:szCs w:val="32"/>
        </w:rPr>
        <w:t>款）其他自然灾害防治支出（</w:t>
      </w:r>
      <w:r>
        <w:rPr>
          <w:rFonts w:cs="仿宋_GB2312" w:eastAsia="仿宋_GB2312" w:hint="eastAsia"/>
          <w:sz w:val="32"/>
          <w:szCs w:val="32"/>
        </w:rPr>
        <w:t>99</w:t>
      </w:r>
      <w:r>
        <w:rPr>
          <w:rFonts w:cs="仿宋_GB2312" w:eastAsia="仿宋_GB2312" w:hint="eastAsia"/>
          <w:sz w:val="32"/>
          <w:szCs w:val="32"/>
        </w:rPr>
        <w:t>项）：指反映除上述项目以外其他用于自然灾害防治的支出。</w:t>
      </w:r>
    </w:p>
    <w:p w14:paraId="C4D56192">
      <w:pPr>
        <w:pStyle w:val="style0"/>
        <w:spacing w:lineRule="exact" w:line="600"/>
        <w:ind w:firstLine="640"/>
        <w:rPr>
          <w:rFonts w:cs="仿宋_GB2312" w:eastAsia="仿宋_GB2312"/>
          <w:sz w:val="32"/>
          <w:szCs w:val="32"/>
        </w:rPr>
      </w:pPr>
      <w:r>
        <w:rPr>
          <w:rFonts w:cs="仿宋_GB2312" w:eastAsia="仿宋_GB2312" w:hint="eastAsia"/>
          <w:sz w:val="32"/>
          <w:szCs w:val="32"/>
        </w:rPr>
        <w:t>34.</w:t>
      </w:r>
      <w:r>
        <w:rPr>
          <w:rFonts w:cs="仿宋_GB2312" w:eastAsia="仿宋_GB2312" w:hint="eastAsia"/>
          <w:sz w:val="32"/>
          <w:szCs w:val="32"/>
        </w:rPr>
        <w:t>住房保障（类）住房改革支出（款）住房公积金（项）：指</w:t>
      </w:r>
      <w:r>
        <w:rPr>
          <w:rFonts w:eastAsia="仿宋_GB2312"/>
          <w:color w:val="000000"/>
          <w:sz w:val="32"/>
          <w:szCs w:val="32"/>
        </w:rPr>
        <w:t>行政事业单位按人力资源和社会保障部、财政部规定的基本工资和津贴补贴以及规定比例为职工缴纳的住房公积金。</w:t>
      </w:r>
    </w:p>
    <w:p w14:paraId="E90A19A2">
      <w:pPr>
        <w:pStyle w:val="style0"/>
        <w:spacing w:lineRule="exact" w:line="600"/>
        <w:ind w:firstLine="640"/>
        <w:rPr>
          <w:rFonts w:cs="仿宋_GB2312" w:eastAsia="仿宋_GB2312"/>
          <w:sz w:val="32"/>
          <w:szCs w:val="32"/>
        </w:rPr>
      </w:pPr>
      <w:r>
        <w:rPr>
          <w:rFonts w:cs="仿宋_GB2312" w:eastAsia="仿宋_GB2312" w:hint="eastAsia"/>
          <w:sz w:val="32"/>
          <w:szCs w:val="32"/>
        </w:rPr>
        <w:t>35.</w:t>
      </w:r>
      <w:r>
        <w:rPr>
          <w:rFonts w:cs="仿宋_GB2312" w:eastAsia="仿宋_GB2312" w:hint="eastAsia"/>
          <w:sz w:val="32"/>
          <w:szCs w:val="32"/>
        </w:rPr>
        <w:t>基本支出：指为保障机构正常运转、完成日常工作任务而发生的人员支出和公用支出。</w:t>
      </w:r>
    </w:p>
    <w:p w14:paraId="F5802E2C">
      <w:pPr>
        <w:pStyle w:val="style0"/>
        <w:spacing w:lineRule="exact" w:line="600"/>
        <w:ind w:firstLine="640"/>
        <w:rPr>
          <w:rFonts w:cs="仿宋_GB2312" w:eastAsia="仿宋_GB2312"/>
          <w:sz w:val="32"/>
          <w:szCs w:val="32"/>
        </w:rPr>
      </w:pPr>
      <w:r>
        <w:rPr>
          <w:rFonts w:cs="仿宋_GB2312" w:eastAsia="仿宋_GB2312" w:hint="eastAsia"/>
          <w:sz w:val="32"/>
          <w:szCs w:val="32"/>
        </w:rPr>
        <w:t>36.</w:t>
      </w:r>
      <w:r>
        <w:rPr>
          <w:rFonts w:cs="仿宋_GB2312" w:eastAsia="仿宋_GB2312" w:hint="eastAsia"/>
          <w:sz w:val="32"/>
          <w:szCs w:val="32"/>
        </w:rPr>
        <w:t>项目支出：指在基本支出之外为完成特定行政任务和事业发展目标所发生的支出。</w:t>
      </w:r>
      <w:r>
        <w:rPr>
          <w:rFonts w:cs="仿宋_GB2312" w:eastAsia="仿宋_GB2312" w:hint="eastAsia"/>
          <w:sz w:val="32"/>
          <w:szCs w:val="32"/>
        </w:rPr>
        <w:t xml:space="preserve"> </w:t>
      </w:r>
    </w:p>
    <w:p w14:paraId="373F688F">
      <w:pPr>
        <w:pStyle w:val="style0"/>
        <w:spacing w:lineRule="exact" w:line="600"/>
        <w:ind w:firstLine="640"/>
        <w:rPr>
          <w:rFonts w:cs="仿宋_GB2312" w:eastAsia="仿宋_GB2312"/>
          <w:sz w:val="32"/>
          <w:szCs w:val="32"/>
        </w:rPr>
      </w:pPr>
      <w:r>
        <w:rPr>
          <w:rFonts w:cs="仿宋_GB2312" w:eastAsia="仿宋_GB2312" w:hint="eastAsia"/>
          <w:sz w:val="32"/>
          <w:szCs w:val="32"/>
        </w:rPr>
        <w:t>37.</w:t>
      </w:r>
      <w:r>
        <w:rPr>
          <w:rFonts w:cs="仿宋_GB2312" w:eastAsia="仿宋_GB2312" w:hint="eastAsia"/>
          <w:sz w:val="32"/>
          <w:szCs w:val="32"/>
        </w:rPr>
        <w:t>经营支出：指事业单位在专业业务活动及其辅助活动之外开展非独立核算经营活动发生的支出。</w:t>
      </w:r>
    </w:p>
    <w:p w14:paraId="97E47742">
      <w:pPr>
        <w:pStyle w:val="style0"/>
        <w:spacing w:lineRule="exact" w:line="600"/>
        <w:ind w:firstLine="640"/>
        <w:rPr>
          <w:rFonts w:cs="仿宋_GB2312" w:eastAsia="仿宋_GB2312"/>
          <w:sz w:val="32"/>
          <w:szCs w:val="32"/>
        </w:rPr>
      </w:pPr>
      <w:r>
        <w:rPr>
          <w:rFonts w:cs="仿宋_GB2312" w:eastAsia="仿宋_GB2312" w:hint="eastAsia"/>
          <w:sz w:val="32"/>
          <w:szCs w:val="32"/>
        </w:rPr>
        <w:t>38.</w:t>
      </w:r>
      <w:r>
        <w:rPr>
          <w:rFonts w:cs="仿宋_GB2312" w:eastAsia="仿宋_GB2312" w:hint="eastAsia"/>
          <w:sz w:val="32"/>
          <w:szCs w:val="32"/>
        </w:rPr>
        <w:t>“三公”经费：指部门用财政拨款安排的因公出国（境）费、公务用车购置及运行费和公务接待费。其中，因公出国</w:t>
      </w:r>
      <w:r>
        <w:rPr>
          <w:rFonts w:cs="仿宋_GB2312" w:eastAsia="仿宋_GB2312" w:hint="eastAsia"/>
          <w:sz w:val="32"/>
          <w:szCs w:val="32"/>
        </w:rPr>
        <w:t>（境）</w:t>
      </w:r>
      <w:r>
        <w:rPr>
          <w:rFonts w:cs="仿宋_GB2312" w:eastAsia="仿宋_GB2312" w:hint="eastAsia"/>
          <w:sz w:val="32"/>
          <w:szCs w:val="32"/>
        </w:rPr>
        <w:t>费反映</w:t>
      </w:r>
      <w:r>
        <w:rPr>
          <w:rFonts w:cs="仿宋_GB2312" w:eastAsia="仿宋_GB2312" w:hint="eastAsia"/>
          <w:sz w:val="32"/>
          <w:szCs w:val="32"/>
        </w:rPr>
        <w:t>单位公务出国（境）的国际旅费、国外城市间交通费、住宿费、伙食费、培训费、公杂费等支出；公务用车购置及运行</w:t>
      </w:r>
      <w:r>
        <w:rPr>
          <w:rFonts w:cs="仿宋_GB2312" w:eastAsia="仿宋_GB2312" w:hint="eastAsia"/>
          <w:sz w:val="32"/>
          <w:szCs w:val="32"/>
        </w:rPr>
        <w:t>费反映</w:t>
      </w:r>
      <w:r>
        <w:rPr>
          <w:rFonts w:cs="仿宋_GB2312" w:eastAsia="仿宋_GB2312" w:hint="eastAsia"/>
          <w:sz w:val="32"/>
          <w:szCs w:val="32"/>
        </w:rPr>
        <w:t>单位公务用车车辆购置支出（</w:t>
      </w:r>
      <w:r>
        <w:rPr>
          <w:rFonts w:cs="仿宋_GB2312" w:eastAsia="仿宋_GB2312" w:hint="eastAsia"/>
          <w:sz w:val="32"/>
          <w:szCs w:val="32"/>
        </w:rPr>
        <w:t>含车辆</w:t>
      </w:r>
      <w:r>
        <w:rPr>
          <w:rFonts w:cs="仿宋_GB2312" w:eastAsia="仿宋_GB2312" w:hint="eastAsia"/>
          <w:sz w:val="32"/>
          <w:szCs w:val="32"/>
        </w:rPr>
        <w:t>购置税）及租用费、燃料费、维修费、过路过桥费、保险费等支出；公务接待</w:t>
      </w:r>
      <w:r>
        <w:rPr>
          <w:rFonts w:cs="仿宋_GB2312" w:eastAsia="仿宋_GB2312" w:hint="eastAsia"/>
          <w:sz w:val="32"/>
          <w:szCs w:val="32"/>
        </w:rPr>
        <w:t>费反映</w:t>
      </w:r>
      <w:r>
        <w:rPr>
          <w:rFonts w:cs="仿宋_GB2312" w:eastAsia="仿宋_GB2312" w:hint="eastAsia"/>
          <w:sz w:val="32"/>
          <w:szCs w:val="32"/>
        </w:rPr>
        <w:t>单位按规定开支的各类公务接待（含外宾接待）支出。</w:t>
      </w:r>
    </w:p>
    <w:p w14:paraId="79BC90B5">
      <w:pPr>
        <w:pStyle w:val="style0"/>
        <w:spacing w:lineRule="exact" w:line="600"/>
        <w:ind w:firstLine="640"/>
        <w:rPr>
          <w:rFonts w:cs="仿宋_GB2312" w:eastAsia="仿宋_GB2312"/>
          <w:sz w:val="32"/>
          <w:szCs w:val="32"/>
        </w:rPr>
      </w:pPr>
      <w:r>
        <w:rPr>
          <w:rFonts w:cs="仿宋_GB2312" w:eastAsia="仿宋_GB2312" w:hint="eastAsia"/>
          <w:sz w:val="32"/>
          <w:szCs w:val="32"/>
        </w:rPr>
        <w:t>39.</w:t>
      </w:r>
      <w:r>
        <w:rPr>
          <w:rFonts w:cs="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Start w:id="45" w:name="_Toc15377226"/>
    <w:p w14:paraId="30EE1886">
      <w:pPr>
        <w:pStyle w:val="style0"/>
        <w:spacing w:lineRule="exact" w:line="600"/>
        <w:jc w:val="center"/>
        <w:rPr>
          <w:rFonts w:cs="仿宋_GB2312" w:eastAsia="仿宋_GB2312"/>
          <w:sz w:val="32"/>
          <w:szCs w:val="32"/>
        </w:rPr>
      </w:pPr>
      <w:r>
        <w:rPr>
          <w:rFonts w:cs="仿宋_GB2312" w:eastAsia="仿宋_GB2312" w:hint="eastAsia"/>
          <w:sz w:val="32"/>
          <w:szCs w:val="32"/>
        </w:rPr>
        <w:br w:type="page"/>
      </w:r>
      <w:bookmarkStart w:id="46" w:name="_Toc15396614"/>
    </w:p>
    <w:p w14:paraId="07010DB9">
      <w:pPr>
        <w:pStyle w:val="style0"/>
        <w:numPr>
          <w:ilvl w:val="0"/>
          <w:numId w:val="3"/>
        </w:numPr>
        <w:spacing w:lineRule="exact" w:line="600"/>
        <w:jc w:val="center"/>
        <w:rPr>
          <w:rFonts w:eastAsia="黑体"/>
          <w:sz w:val="44"/>
          <w:szCs w:val="44"/>
        </w:rPr>
      </w:pPr>
      <w:r>
        <w:rPr>
          <w:rFonts w:eastAsia="黑体" w:hint="eastAsia"/>
          <w:sz w:val="44"/>
          <w:szCs w:val="44"/>
        </w:rPr>
        <w:t xml:space="preserve"> </w:t>
      </w:r>
      <w:r>
        <w:rPr>
          <w:rFonts w:eastAsia="黑体" w:hint="eastAsia"/>
          <w:sz w:val="44"/>
          <w:szCs w:val="44"/>
        </w:rPr>
        <w:t>附件</w:t>
      </w:r>
      <w:bookmarkEnd w:id="46"/>
    </w:p>
    <w:p w14:paraId="0BA57EDD">
      <w:pPr>
        <w:pStyle w:val="style29"/>
        <w:rPr/>
      </w:pPr>
    </w:p>
    <w:p w14:paraId="14FCAA44">
      <w:pPr>
        <w:pStyle w:val="style0"/>
        <w:widowControl/>
        <w:spacing w:lineRule="exact" w:line="578"/>
        <w:jc w:val="center"/>
        <w:contextualSpacing/>
        <w:rPr/>
      </w:pPr>
      <w:r>
        <w:rPr>
          <w:rFonts w:cs="黑体" w:eastAsia="黑体" w:hint="eastAsia"/>
          <w:sz w:val="32"/>
          <w:szCs w:val="32"/>
        </w:rPr>
        <w:t>部门预算项目支出绩效评价表（</w:t>
      </w:r>
      <w:r>
        <w:rPr>
          <w:rFonts w:cs="黑体" w:eastAsia="黑体" w:hint="eastAsia"/>
          <w:sz w:val="32"/>
          <w:szCs w:val="32"/>
        </w:rPr>
        <w:t>2024</w:t>
      </w:r>
      <w:r>
        <w:rPr>
          <w:rFonts w:cs="黑体" w:eastAsia="黑体" w:hint="eastAsia"/>
          <w:sz w:val="32"/>
          <w:szCs w:val="32"/>
        </w:rPr>
        <w:t>年度）</w:t>
      </w:r>
    </w:p>
    <w:p w14:paraId="DB614C5B">
      <w:pPr>
        <w:pStyle w:val="style0"/>
        <w:spacing w:lineRule="exact" w:line="572"/>
        <w:jc w:val="left"/>
        <w:outlineLvl w:val="0"/>
        <w:rPr>
          <w:rFonts w:cs="黑体" w:eastAsia="黑体"/>
          <w:sz w:val="32"/>
          <w:szCs w:val="32"/>
        </w:rPr>
      </w:pPr>
    </w:p>
    <w:bookmarkStart w:id="47" w:name="_Toc15396618"/>
    <w:p w14:paraId="A33424FA">
      <w:pPr>
        <w:pStyle w:val="style0"/>
        <w:widowControl/>
        <w:jc w:val="center"/>
        <w:rPr>
          <w:rFonts w:eastAsia="黑体"/>
          <w:sz w:val="44"/>
          <w:szCs w:val="44"/>
        </w:rPr>
      </w:pPr>
    </w:p>
    <w:p w14:paraId="ED0943D1">
      <w:pPr>
        <w:pStyle w:val="style0"/>
        <w:widowControl/>
        <w:jc w:val="center"/>
        <w:rPr>
          <w:rFonts w:eastAsia="黑体"/>
          <w:sz w:val="44"/>
          <w:szCs w:val="44"/>
        </w:rPr>
      </w:pPr>
    </w:p>
    <w:p w14:paraId="EA4236F5">
      <w:pPr>
        <w:pStyle w:val="style0"/>
        <w:widowControl/>
        <w:jc w:val="center"/>
        <w:rPr>
          <w:rFonts w:eastAsia="黑体"/>
          <w:sz w:val="44"/>
          <w:szCs w:val="44"/>
        </w:rPr>
      </w:pPr>
    </w:p>
    <w:p w14:paraId="4EC8A520">
      <w:pPr>
        <w:pStyle w:val="style0"/>
        <w:widowControl/>
        <w:jc w:val="center"/>
        <w:rPr>
          <w:rFonts w:eastAsia="黑体"/>
          <w:sz w:val="44"/>
          <w:szCs w:val="44"/>
        </w:rPr>
      </w:pPr>
    </w:p>
    <w:p w14:paraId="E4AF3FE0">
      <w:pPr>
        <w:pStyle w:val="style0"/>
        <w:widowControl/>
        <w:jc w:val="center"/>
        <w:rPr>
          <w:rFonts w:eastAsia="黑体"/>
          <w:sz w:val="44"/>
          <w:szCs w:val="44"/>
        </w:rPr>
      </w:pPr>
    </w:p>
    <w:p w14:paraId="EB5C62C6">
      <w:pPr>
        <w:pStyle w:val="style0"/>
        <w:widowControl/>
        <w:jc w:val="center"/>
        <w:rPr>
          <w:rFonts w:eastAsia="黑体"/>
          <w:sz w:val="44"/>
          <w:szCs w:val="44"/>
        </w:rPr>
      </w:pPr>
    </w:p>
    <w:p w14:paraId="5CF87509">
      <w:pPr>
        <w:pStyle w:val="style0"/>
        <w:widowControl/>
        <w:jc w:val="center"/>
        <w:rPr>
          <w:rFonts w:eastAsia="黑体"/>
          <w:sz w:val="44"/>
          <w:szCs w:val="44"/>
        </w:rPr>
      </w:pPr>
    </w:p>
    <w:p w14:paraId="46AC1F15">
      <w:pPr>
        <w:pStyle w:val="style0"/>
        <w:widowControl/>
        <w:jc w:val="center"/>
        <w:rPr>
          <w:rFonts w:eastAsia="黑体"/>
          <w:sz w:val="44"/>
          <w:szCs w:val="44"/>
        </w:rPr>
      </w:pPr>
    </w:p>
    <w:p w14:paraId="8939C83B">
      <w:pPr>
        <w:pStyle w:val="style0"/>
        <w:widowControl/>
        <w:jc w:val="center"/>
        <w:rPr>
          <w:rFonts w:eastAsia="黑体"/>
          <w:sz w:val="44"/>
          <w:szCs w:val="44"/>
        </w:rPr>
      </w:pPr>
    </w:p>
    <w:p w14:paraId="838A6E01">
      <w:pPr>
        <w:pStyle w:val="style0"/>
        <w:widowControl/>
        <w:jc w:val="center"/>
        <w:rPr>
          <w:rFonts w:eastAsia="黑体"/>
          <w:sz w:val="44"/>
          <w:szCs w:val="44"/>
        </w:rPr>
      </w:pPr>
    </w:p>
    <w:p w14:paraId="CE5108F2">
      <w:pPr>
        <w:pStyle w:val="style0"/>
        <w:widowControl/>
        <w:jc w:val="center"/>
        <w:rPr>
          <w:rFonts w:eastAsia="黑体"/>
          <w:sz w:val="44"/>
          <w:szCs w:val="44"/>
        </w:rPr>
      </w:pPr>
    </w:p>
    <w:p w14:paraId="C453621E">
      <w:pPr>
        <w:pStyle w:val="style0"/>
        <w:widowControl/>
        <w:jc w:val="center"/>
        <w:rPr>
          <w:rFonts w:eastAsia="黑体"/>
          <w:sz w:val="44"/>
          <w:szCs w:val="44"/>
        </w:rPr>
      </w:pPr>
    </w:p>
    <w:p w14:paraId="F169D399">
      <w:pPr>
        <w:pStyle w:val="style0"/>
        <w:widowControl/>
        <w:jc w:val="center"/>
        <w:rPr>
          <w:rFonts w:eastAsia="黑体"/>
          <w:sz w:val="44"/>
          <w:szCs w:val="44"/>
        </w:rPr>
      </w:pPr>
    </w:p>
    <w:p w14:paraId="7EA6D06C">
      <w:pPr>
        <w:pStyle w:val="style0"/>
        <w:widowControl/>
        <w:jc w:val="center"/>
        <w:rPr>
          <w:rFonts w:eastAsia="黑体"/>
          <w:sz w:val="44"/>
          <w:szCs w:val="44"/>
        </w:rPr>
      </w:pPr>
    </w:p>
    <w:p w14:paraId="35CD5683">
      <w:pPr>
        <w:pStyle w:val="style0"/>
        <w:widowControl/>
        <w:jc w:val="center"/>
        <w:rPr>
          <w:rFonts w:eastAsia="黑体"/>
          <w:sz w:val="44"/>
          <w:szCs w:val="44"/>
        </w:rPr>
      </w:pPr>
    </w:p>
    <w:p w14:paraId="22D55789">
      <w:pPr>
        <w:pStyle w:val="style0"/>
        <w:widowControl/>
        <w:jc w:val="center"/>
        <w:rPr>
          <w:rFonts w:eastAsia="黑体"/>
          <w:sz w:val="44"/>
          <w:szCs w:val="44"/>
        </w:rPr>
      </w:pPr>
    </w:p>
    <w:p w14:paraId="4158B85C">
      <w:pPr>
        <w:pStyle w:val="style0"/>
        <w:widowControl/>
        <w:jc w:val="center"/>
        <w:rPr>
          <w:rFonts w:eastAsia="黑体"/>
          <w:sz w:val="44"/>
          <w:szCs w:val="44"/>
        </w:rPr>
      </w:pPr>
    </w:p>
    <w:p w14:paraId="0D805894">
      <w:pPr>
        <w:pStyle w:val="style0"/>
        <w:widowControl/>
        <w:jc w:val="center"/>
        <w:rPr>
          <w:rFonts w:eastAsia="黑体"/>
          <w:sz w:val="44"/>
          <w:szCs w:val="44"/>
        </w:rPr>
      </w:pPr>
    </w:p>
    <w:p w14:paraId="4C64BFA8">
      <w:pPr>
        <w:pStyle w:val="style0"/>
        <w:widowControl/>
        <w:jc w:val="center"/>
        <w:rPr>
          <w:rFonts w:eastAsia="黑体"/>
          <w:sz w:val="44"/>
          <w:szCs w:val="44"/>
        </w:rPr>
      </w:pPr>
    </w:p>
    <w:p w14:paraId="D884694C">
      <w:pPr>
        <w:pStyle w:val="style0"/>
        <w:widowControl/>
        <w:jc w:val="center"/>
        <w:rPr>
          <w:rFonts w:eastAsia="仿宋"/>
        </w:rPr>
      </w:pPr>
      <w:r>
        <w:rPr>
          <w:rFonts w:eastAsia="黑体" w:hint="eastAsia"/>
          <w:sz w:val="44"/>
          <w:szCs w:val="44"/>
        </w:rPr>
        <w:t>第</w:t>
      </w:r>
      <w:r>
        <w:rPr>
          <w:rStyle w:val="style4105"/>
          <w:rFonts w:eastAsia="黑体" w:hint="eastAsia"/>
          <w:b w:val="false"/>
        </w:rPr>
        <w:t>五部分</w:t>
      </w:r>
      <w:r>
        <w:rPr>
          <w:rStyle w:val="style4105"/>
          <w:rFonts w:eastAsia="黑体" w:hint="eastAsia"/>
          <w:b w:val="false"/>
        </w:rPr>
        <w:t xml:space="preserve"> </w:t>
      </w:r>
      <w:r>
        <w:rPr>
          <w:rStyle w:val="style4105"/>
          <w:rFonts w:eastAsia="黑体" w:hint="eastAsia"/>
          <w:b w:val="false"/>
        </w:rPr>
        <w:t>附表</w:t>
      </w:r>
      <w:bookmarkStart w:id="48" w:name="_Toc15396619"/>
      <w:bookmarkEnd w:id="45"/>
      <w:bookmarkEnd w:id="47"/>
    </w:p>
    <w:p w14:paraId="A52AFED9">
      <w:pPr>
        <w:pStyle w:val="style20"/>
        <w:adjustRightInd w:val="false"/>
        <w:snapToGrid w:val="false"/>
        <w:spacing w:lineRule="exact" w:line="560"/>
        <w:jc w:val="left"/>
        <w:rPr>
          <w:rFonts w:cs="仿宋_GB2312" w:eastAsia="仿宋_GB2312"/>
          <w:sz w:val="32"/>
          <w:szCs w:val="32"/>
        </w:rPr>
      </w:pPr>
    </w:p>
    <w:p w14:paraId="9204E375">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一、收入支出决算总表</w:t>
      </w:r>
      <w:bookmarkEnd w:id="48"/>
    </w:p>
    <w:bookmarkStart w:id="49" w:name="_Toc15396620"/>
    <w:p w14:paraId="4C24AEA3">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二、收入决算表</w:t>
      </w:r>
      <w:bookmarkEnd w:id="49"/>
    </w:p>
    <w:bookmarkStart w:id="50" w:name="_Toc15396621"/>
    <w:p w14:paraId="4C381D83">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三、支出决算表</w:t>
      </w:r>
      <w:bookmarkEnd w:id="50"/>
    </w:p>
    <w:bookmarkStart w:id="51" w:name="_Toc15396622"/>
    <w:p w14:paraId="2A2382D6">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四、财政拨款收入支出决算总表</w:t>
      </w:r>
      <w:bookmarkEnd w:id="51"/>
    </w:p>
    <w:bookmarkStart w:id="52" w:name="_Toc15396623"/>
    <w:p w14:paraId="348A8308">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五、财政拨款支出决算明细表</w:t>
      </w:r>
      <w:bookmarkStart w:id="53" w:name="_Toc15396624"/>
      <w:bookmarkEnd w:id="52"/>
    </w:p>
    <w:p w14:paraId="4FE6110B">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六、一般公共预算财政拨款支出决算表</w:t>
      </w:r>
      <w:bookmarkEnd w:id="53"/>
    </w:p>
    <w:bookmarkStart w:id="54" w:name="_Toc15396625"/>
    <w:p w14:paraId="B50DC802">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七、一般公共预算财政拨款支出决算明细表</w:t>
      </w:r>
      <w:bookmarkEnd w:id="54"/>
    </w:p>
    <w:bookmarkStart w:id="55" w:name="_Toc15396626"/>
    <w:p w14:paraId="ED741080">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八、一般公共预算财政拨款基本支出决算表</w:t>
      </w:r>
      <w:bookmarkEnd w:id="55"/>
    </w:p>
    <w:bookmarkStart w:id="56" w:name="_Toc15396627"/>
    <w:p w14:paraId="9CCA379E">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九、一般公共预算财政拨款项目支出决算表</w:t>
      </w:r>
      <w:bookmarkEnd w:id="56"/>
    </w:p>
    <w:bookmarkStart w:id="57" w:name="_Toc15396628"/>
    <w:p w14:paraId="2E10E9C6">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十、</w:t>
      </w:r>
      <w:bookmarkEnd w:id="57"/>
      <w:r>
        <w:rPr>
          <w:rFonts w:cs="仿宋_GB2312" w:eastAsia="仿宋_GB2312" w:hint="eastAsia"/>
          <w:sz w:val="32"/>
          <w:szCs w:val="32"/>
        </w:rPr>
        <w:t>政府性基金预算财政拨款收入支出决算表</w:t>
      </w:r>
    </w:p>
    <w:bookmarkStart w:id="58" w:name="_Toc15396629"/>
    <w:p w14:paraId="48BF78C5">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十一、</w:t>
      </w:r>
      <w:bookmarkEnd w:id="58"/>
      <w:r>
        <w:rPr>
          <w:rFonts w:cs="仿宋_GB2312" w:eastAsia="仿宋_GB2312" w:hint="eastAsia"/>
          <w:sz w:val="32"/>
          <w:szCs w:val="32"/>
        </w:rPr>
        <w:t>国有资本经营预算财政拨款收入支出决算表</w:t>
      </w:r>
    </w:p>
    <w:bookmarkStart w:id="59" w:name="_Toc15396630"/>
    <w:p w14:paraId="7F4F77C7">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十二、</w:t>
      </w:r>
      <w:bookmarkEnd w:id="59"/>
      <w:r>
        <w:rPr>
          <w:rFonts w:cs="仿宋_GB2312" w:eastAsia="仿宋_GB2312" w:hint="eastAsia"/>
          <w:sz w:val="32"/>
          <w:szCs w:val="32"/>
        </w:rPr>
        <w:t>国有资本经营预算财政拨款支出决算表</w:t>
      </w:r>
    </w:p>
    <w:bookmarkStart w:id="60" w:name="_Toc15396631"/>
    <w:p w14:paraId="2B9E32EE">
      <w:pPr>
        <w:pStyle w:val="style20"/>
        <w:adjustRightInd w:val="false"/>
        <w:snapToGrid w:val="false"/>
        <w:spacing w:lineRule="exact" w:line="560"/>
        <w:jc w:val="left"/>
        <w:rPr>
          <w:rFonts w:cs="仿宋_GB2312" w:eastAsia="仿宋_GB2312"/>
          <w:sz w:val="32"/>
          <w:szCs w:val="32"/>
        </w:rPr>
      </w:pPr>
      <w:r>
        <w:rPr>
          <w:rFonts w:cs="仿宋_GB2312" w:eastAsia="仿宋_GB2312" w:hint="eastAsia"/>
          <w:sz w:val="32"/>
          <w:szCs w:val="32"/>
        </w:rPr>
        <w:t>十三、</w:t>
      </w:r>
      <w:bookmarkEnd w:id="60"/>
      <w:r>
        <w:rPr>
          <w:rFonts w:cs="仿宋_GB2312" w:eastAsia="仿宋_GB2312" w:hint="eastAsia"/>
          <w:sz w:val="32"/>
          <w:szCs w:val="32"/>
        </w:rPr>
        <w:t>财政拨款“三公”经费支出决算表</w:t>
      </w:r>
    </w:p>
    <w:p w14:paraId="FD369EFA">
      <w:pPr>
        <w:pStyle w:val="style0"/>
        <w:rPr/>
      </w:pPr>
    </w:p>
    <w:sectPr>
      <w:footerReference w:type="default" r:id="rId16"/>
      <w:footerReference w:type="first" r:id="rId17"/>
      <w:pgSz w:w="11906" w:h="16838" w:orient="portrait"/>
      <w:pgMar w:top="1440" w:right="1800" w:bottom="1440" w:left="1800" w:header="851" w:footer="992"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 w:name="仿宋_GB2312">
    <w:altName w:val="仿宋"/>
    <w:panose1 w:val="02010609030001010101"/>
    <w:charset w:val="86"/>
    <w:family w:val="modern"/>
    <w:pitch w:val="fixed"/>
    <w:sig w:usb0="00000001" w:usb1="080E0000" w:usb2="00000010" w:usb3="00000000" w:csb0="00040000" w:csb1="00000000"/>
  </w:font>
  <w:font w:name="仿宋">
    <w:altName w:val="仿宋"/>
    <w:panose1 w:val="02010609060001010101"/>
    <w:charset w:val="86"/>
    <w:family w:val="modern"/>
    <w:pitch w:val="fixed"/>
    <w:sig w:usb0="800002BF" w:usb1="38CF7CFA"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黑体">
    <w:altName w:val="SimHei"/>
    <w:panose1 w:val="020106090600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仿宋_GBK">
    <w:altName w:val="方正仿宋_GBK"/>
    <w:panose1 w:val="03000509000000000000"/>
    <w:charset w:val="86"/>
    <w:family w:val="script"/>
    <w:pitch w:val="fixed"/>
    <w:sig w:usb0="00000001" w:usb1="080E0000" w:usb2="00000010" w:usb3="00000000" w:csb0="00040000" w:csb1="00000000"/>
  </w:font>
  <w:font w:name="楷体_GB2312">
    <w:altName w:val="楷体"/>
    <w:panose1 w:val="02010609030001010101"/>
    <w:charset w:val="86"/>
    <w:family w:val="modern"/>
    <w:pitch w:val="fixed"/>
    <w:sig w:usb0="00000001" w:usb1="080E0000" w:usb2="00000010" w:usb3="00000000" w:csb0="0004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89B046AE">
    <w:pPr>
      <w:pStyle w:val="style32"/>
      <w:jc w:val="center"/>
      <w:rPr/>
    </w:pPr>
  </w:p>
  <w:p w14:paraId="FF1EC095">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E5065777">
    <w:pPr>
      <w:pStyle w:val="style32"/>
      <w:jc w:val="center"/>
      <w:rPr/>
    </w:pPr>
  </w:p>
  <w:p w14:paraId="DE296E99">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6AD7672">
    <w:pPr>
      <w:pStyle w:val="style3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E865BEA">
    <w:pPr>
      <w:pStyle w:val="style32"/>
      <w:jc w:val="center"/>
      <w:rPr/>
    </w:pPr>
    <w:r>
      <w:rPr>
        <w:noProof/>
      </w:rPr>
      <w:obje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43A8E0DD">
                <w:pPr>
                  <w:pStyle w:val="style32"/>
                  <w:rPr/>
                </w:pPr>
                <w:r>
                  <w:t xml:space="preserve">— </w:t>
                </w:r>
                <w:r>
                  <w:rPr/>
                  <w:fldChar w:fldCharType="begin"/>
                </w:r>
                <w:r>
                  <w:instrText xml:space="preserve"> PAGE  \* MERGEFORMAT </w:instrText>
                </w:r>
                <w:r>
                  <w:rPr/>
                  <w:fldChar w:fldCharType="separate"/>
                </w:r>
                <w:r>
                  <w:rPr>
                    <w:noProof/>
                  </w:rPr>
                  <w:t>4</w:t>
                </w:r>
                <w:r>
                  <w:rPr/>
                  <w:fldChar w:fldCharType="end"/>
                </w:r>
                <w:r>
                  <w:t xml:space="preserve"> —</w:t>
                </w:r>
              </w:p>
            </w:txbxContent>
          </v:textbox>
        </v:rect>
      </w:object>
    </w:r>
  </w:p>
  <w:p w14:paraId="86EECF9D">
    <w:pPr>
      <w:pStyle w:val="style32"/>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ACFD584B">
    <w:pPr>
      <w:pStyle w:val="style32"/>
      <w:rPr/>
    </w:pPr>
    <w:r>
      <w:rPr>
        <w:noProof/>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FE4D37FF">
                          <w:pPr>
                            <w:pStyle w:val="style32"/>
                            <w:rPr/>
                          </w:pPr>
                          <w:r>
                            <w:t xml:space="preserve">— </w:t>
                          </w:r>
                          <w:r>
                            <w:rPr/>
                            <w:fldChar w:fldCharType="begin"/>
                          </w:r>
                          <w:r>
                            <w:instrText xml:space="preserve"> PAGE  \* MERGEFORMAT </w:instrText>
                          </w:r>
                          <w:r>
                            <w:rPr/>
                            <w:fldChar w:fldCharType="separate"/>
                          </w:r>
                          <w:r>
                            <w:rPr>
                              <w:noProof/>
                            </w:rPr>
                            <w:t>1</w:t>
                          </w:r>
                          <w:r>
                            <w:rPr/>
                            <w:fldChar w:fldCharType="end"/>
                          </w:r>
                          <w:r>
                            <w:t xml:space="preserve"> —</w:t>
                          </w: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FE4D37FF">
                    <w:pPr>
                      <w:pStyle w:val="style32"/>
                      <w:rPr/>
                    </w:pPr>
                    <w:r>
                      <w:t xml:space="preserve">— </w:t>
                    </w:r>
                    <w:r>
                      <w:rPr/>
                      <w:fldChar w:fldCharType="begin"/>
                    </w:r>
                    <w:r>
                      <w:instrText xml:space="preserve"> PAGE  \* MERGEFORMAT </w:instrText>
                    </w:r>
                    <w:r>
                      <w:rPr/>
                      <w:fldChar w:fldCharType="separate"/>
                    </w:r>
                    <w:r>
                      <w:rPr>
                        <w:noProof/>
                      </w:rPr>
                      <w:t>1</w:t>
                    </w:r>
                    <w:r>
                      <w:rPr/>
                      <w:fldChar w:fldCharType="end"/>
                    </w:r>
                    <w:r>
                      <w:t xml:space="preserve"> —</w:t>
                    </w:r>
                  </w:p>
                </w:txbxContent>
              </v:textbox>
            </v:rect>
          </w:pict>
        </mc:Fallback>
      </mc:AlternateConten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3A8083B">
    <w:pPr>
      <w:pStyle w:val="style32"/>
      <w:jc w:val="center"/>
      <w:rPr/>
    </w:pPr>
    <w:r>
      <w:rPr>
        <w:noProof/>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14:paraId="FC22EE01">
                          <w:pPr>
                            <w:pStyle w:val="style32"/>
                            <w:rPr/>
                          </w:pPr>
                          <w:r>
                            <w:t xml:space="preserve">— </w:t>
                          </w:r>
                          <w:r>
                            <w:rPr/>
                            <w:fldChar w:fldCharType="begin"/>
                          </w:r>
                          <w:r>
                            <w:instrText xml:space="preserve"> PAGE  \* MERGEFORMAT </w:instrText>
                          </w:r>
                          <w:r>
                            <w:rPr/>
                            <w:fldChar w:fldCharType="separate"/>
                          </w:r>
                          <w:r>
                            <w:rPr>
                              <w:noProof/>
                            </w:rPr>
                            <w:t>25</w:t>
                          </w:r>
                          <w:r>
                            <w:rPr/>
                            <w:fldChar w:fldCharType="end"/>
                          </w:r>
                          <w:r>
                            <w:t xml:space="preserve"> —</w:t>
                          </w:r>
                        </w:p>
                      </w:txbxContent>
                    </wps:txbx>
                    <wps:bodyPr lIns="0" rIns="0" tIns="0" bIns="0" vert="horz" anchor="t" wrap="none">
                      <a:prstTxWarp prst="textNoShape"/>
                      <a:spAutoFit/>
                    </wps:bodyPr>
                  </wps:wsp>
                </a:graphicData>
              </a:graphic>
            </wp:anchor>
          </w:drawing>
        </mc:Choice>
        <mc:Fallback>
          <w:pict>
            <v:rect id="4099"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FC22EE01">
                    <w:pPr>
                      <w:pStyle w:val="style32"/>
                      <w:rPr/>
                    </w:pPr>
                    <w:r>
                      <w:t xml:space="preserve">— </w:t>
                    </w:r>
                    <w:r>
                      <w:rPr/>
                      <w:fldChar w:fldCharType="begin"/>
                    </w:r>
                    <w:r>
                      <w:instrText xml:space="preserve"> PAGE  \* MERGEFORMAT </w:instrText>
                    </w:r>
                    <w:r>
                      <w:rPr/>
                      <w:fldChar w:fldCharType="separate"/>
                    </w:r>
                    <w:r>
                      <w:rPr>
                        <w:noProof/>
                      </w:rPr>
                      <w:t>25</w:t>
                    </w:r>
                    <w:r>
                      <w:rPr/>
                      <w:fldChar w:fldCharType="end"/>
                    </w:r>
                    <w:r>
                      <w:t xml:space="preserve"> —</w:t>
                    </w:r>
                  </w:p>
                </w:txbxContent>
              </v:textbox>
            </v:rect>
          </w:pict>
        </mc:Fallback>
      </mc:AlternateContent>
    </w:r>
  </w:p>
  <w:p w14:paraId="1943A466">
    <w:pPr>
      <w:pStyle w:val="style32"/>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994DA572">
    <w:pPr>
      <w:pStyle w:val="style32"/>
      <w:rPr/>
    </w:pPr>
    <w:r>
      <w:rPr>
        <w:noProof/>
      </w:rPr>
      <mc:AlternateContent>
        <mc:Choice Requires="wps">
          <w:drawing>
            <wp:anchor distT="0" distB="0" distL="0" distR="0" simplePos="false" relativeHeight="5"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文本框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14:paraId="5EA02489">
                          <w:pPr>
                            <w:pStyle w:val="style32"/>
                            <w:rPr/>
                          </w:pPr>
                          <w:r>
                            <w:t xml:space="preserve">— </w:t>
                          </w:r>
                          <w:r>
                            <w:rPr/>
                            <w:fldChar w:fldCharType="begin"/>
                          </w:r>
                          <w:r>
                            <w:instrText xml:space="preserve"> PAGE  \* MERGEFORMAT </w:instrText>
                          </w:r>
                          <w:r>
                            <w:rPr/>
                            <w:fldChar w:fldCharType="separate"/>
                          </w:r>
                          <w:r>
                            <w:rPr>
                              <w:noProof/>
                            </w:rPr>
                            <w:t>5</w:t>
                          </w:r>
                          <w:r>
                            <w:rPr/>
                            <w:fldChar w:fldCharType="end"/>
                          </w:r>
                          <w:r>
                            <w:t xml:space="preserve"> —</w:t>
                          </w:r>
                        </w:p>
                      </w:txbxContent>
                    </wps:txbx>
                    <wps:bodyPr lIns="0" rIns="0" tIns="0" bIns="0" vert="horz" anchor="t" wrap="none">
                      <a:prstTxWarp prst="textNoShape"/>
                      <a:spAutoFit/>
                    </wps:bodyPr>
                  </wps:wsp>
                </a:graphicData>
              </a:graphic>
            </wp:anchor>
          </w:drawing>
        </mc:Choice>
        <mc:Fallback>
          <w:pict>
            <v:rect id="4100" filled="f" stroked="f" style="position:absolute;margin-left:0.0pt;margin-top:0.0pt;width:144.0pt;height:144.0pt;z-index:5;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5EA02489">
                    <w:pPr>
                      <w:pStyle w:val="style32"/>
                      <w:rPr/>
                    </w:pPr>
                    <w:r>
                      <w:t xml:space="preserve">— </w:t>
                    </w:r>
                    <w:r>
                      <w:rPr/>
                      <w:fldChar w:fldCharType="begin"/>
                    </w:r>
                    <w:r>
                      <w:instrText xml:space="preserve"> PAGE  \* MERGEFORMAT </w:instrText>
                    </w:r>
                    <w:r>
                      <w:rPr/>
                      <w:fldChar w:fldCharType="separate"/>
                    </w:r>
                    <w:r>
                      <w:rPr>
                        <w:noProof/>
                      </w:rPr>
                      <w:t>5</w:t>
                    </w:r>
                    <w:r>
                      <w:rPr/>
                      <w:fldChar w:fldCharType="end"/>
                    </w:r>
                    <w:r>
                      <w:t xml:space="preserve"> —</w:t>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AE9CC612">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D3BC812"/>
    <w:lvl w:ilvl="0">
      <w:start w:val="4"/>
      <w:numFmt w:val="chineseCounting"/>
      <w:suff w:val="space"/>
      <w:lvlText w:val="第%1部分"/>
      <w:lvlJc w:val="left"/>
      <w:pPr/>
      <w:rPr>
        <w:rFonts w:hint="eastAsia"/>
      </w:rPr>
    </w:lvl>
  </w:abstractNum>
  <w:abstractNum w:abstractNumId="1">
    <w:nsid w:val="00000001"/>
    <w:multiLevelType w:val="singleLevel"/>
    <w:tmpl w:val="170C117E"/>
    <w:lvl w:ilvl="0">
      <w:start w:val="1"/>
      <w:numFmt w:val="decimal"/>
      <w:suff w:val="nothing"/>
      <w:lvlText w:val="（%1）"/>
      <w:lvlJc w:val="left"/>
      <w:pPr/>
    </w:lvl>
  </w:abstractNum>
  <w:abstractNum w:abstractNumId="2">
    <w:nsid w:val="00000002"/>
    <w:multiLevelType w:val="multilevel"/>
    <w:tmpl w:val="5AC50EAB"/>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29"/>
    <w:qFormat/>
    <w:pPr>
      <w:widowControl w:val="false"/>
      <w:jc w:val="both"/>
    </w:pPr>
    <w:rPr>
      <w:rFonts w:ascii="Times New Roman" w:cs="Times New Roman" w:eastAsia="宋体" w:hAnsi="Times New Roman"/>
      <w:kern w:val="2"/>
      <w:sz w:val="21"/>
      <w:szCs w:val="24"/>
    </w:rPr>
  </w:style>
  <w:style w:type="paragraph" w:styleId="style1">
    <w:name w:val="heading 1"/>
    <w:basedOn w:val="style0"/>
    <w:next w:val="style0"/>
    <w:link w:val="style4105"/>
    <w:qFormat/>
    <w:uiPriority w:val="9"/>
    <w:pPr>
      <w:keepNext/>
      <w:keepLines/>
      <w:spacing w:before="340" w:after="330" w:lineRule="auto" w:line="578"/>
      <w:outlineLvl w:val="0"/>
    </w:pPr>
    <w:rPr>
      <w:b/>
      <w:bCs/>
      <w:kern w:val="44"/>
      <w:sz w:val="44"/>
      <w:szCs w:val="44"/>
    </w:rPr>
  </w:style>
  <w:style w:type="paragraph" w:styleId="style2">
    <w:name w:val="heading 2"/>
    <w:basedOn w:val="style0"/>
    <w:next w:val="style0"/>
    <w:link w:val="style4106"/>
    <w:qFormat/>
    <w:uiPriority w:val="9"/>
    <w:pPr>
      <w:keepNext/>
      <w:keepLines/>
      <w:spacing w:before="260" w:after="260" w:lineRule="auto" w:line="416"/>
      <w:outlineLvl w:val="1"/>
    </w:pPr>
    <w:rPr>
      <w:rFonts w:ascii="Cambria" w:cs="宋体" w:eastAsia="宋体" w:hAnsi="Cambria"/>
      <w:b/>
      <w:bCs/>
      <w:sz w:val="32"/>
      <w:szCs w:val="32"/>
    </w:rPr>
  </w:style>
  <w:style w:type="paragraph" w:styleId="style3">
    <w:name w:val="heading 3"/>
    <w:basedOn w:val="style0"/>
    <w:next w:val="style0"/>
    <w:link w:val="style4109"/>
    <w:qFormat/>
    <w:uiPriority w:val="9"/>
    <w:pPr>
      <w:keepNext/>
      <w:keepLines/>
      <w:spacing w:before="260" w:after="260" w:lineRule="auto" w:line="416"/>
      <w:outlineLvl w:val="2"/>
    </w:pPr>
    <w:rPr>
      <w:b/>
      <w:bCs/>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9">
    <w:name w:val="footnote text"/>
    <w:basedOn w:val="style0"/>
    <w:next w:val="style78"/>
    <w:qFormat/>
    <w:pPr>
      <w:snapToGrid w:val="false"/>
      <w:jc w:val="left"/>
    </w:pPr>
    <w:rPr>
      <w:sz w:val="18"/>
      <w:szCs w:val="18"/>
    </w:rPr>
  </w:style>
  <w:style w:type="paragraph" w:styleId="style78">
    <w:name w:val="Body Text First Indent 2"/>
    <w:basedOn w:val="style67"/>
    <w:next w:val="style78"/>
    <w:qFormat/>
    <w:uiPriority w:val="99"/>
    <w:pPr>
      <w:ind w:firstLine="420" w:firstLineChars="200"/>
    </w:pPr>
    <w:rPr/>
  </w:style>
  <w:style w:type="paragraph" w:styleId="style67">
    <w:name w:val="Body Text Indent"/>
    <w:basedOn w:val="style0"/>
    <w:next w:val="style78"/>
    <w:qFormat/>
    <w:pPr>
      <w:spacing w:after="120"/>
      <w:ind w:left="200" w:leftChars="200"/>
    </w:pPr>
    <w:rPr>
      <w:rFonts w:ascii="仿宋_GB2312"/>
      <w:szCs w:val="32"/>
    </w:rPr>
  </w:style>
  <w:style w:type="paragraph" w:styleId="style66">
    <w:name w:val="Body Text"/>
    <w:basedOn w:val="style0"/>
    <w:next w:val="style66"/>
    <w:link w:val="style4103"/>
    <w:qFormat/>
    <w:uiPriority w:val="99"/>
    <w:pPr>
      <w:spacing w:beforeLines="30"/>
    </w:pPr>
    <w:rPr>
      <w:rFonts w:ascii="仿宋_GB2312" w:eastAsia="仿宋_GB2312"/>
      <w:kern w:val="0"/>
      <w:sz w:val="30"/>
    </w:rPr>
  </w:style>
  <w:style w:type="paragraph" w:styleId="style21">
    <w:name w:val="toc 3"/>
    <w:basedOn w:val="style0"/>
    <w:next w:val="style0"/>
    <w:qFormat/>
    <w:uiPriority w:val="39"/>
    <w:pPr>
      <w:tabs>
        <w:tab w:val="right" w:leader="dot" w:pos="8296"/>
      </w:tabs>
      <w:ind w:left="840" w:leftChars="400"/>
    </w:pPr>
    <w:rPr/>
  </w:style>
  <w:style w:type="paragraph" w:styleId="style153">
    <w:name w:val="Balloon Text"/>
    <w:basedOn w:val="style0"/>
    <w:next w:val="style153"/>
    <w:link w:val="style4108"/>
    <w:qFormat/>
    <w:uiPriority w:val="99"/>
    <w:pPr/>
    <w:rPr>
      <w:sz w:val="18"/>
      <w:szCs w:val="18"/>
    </w:rPr>
  </w:style>
  <w:style w:type="paragraph" w:styleId="style32">
    <w:name w:val="footer"/>
    <w:basedOn w:val="style0"/>
    <w:next w:val="style32"/>
    <w:link w:val="style4101"/>
    <w:qFormat/>
    <w:uiPriority w:val="99"/>
    <w:pPr>
      <w:tabs>
        <w:tab w:val="center" w:leader="none" w:pos="4153"/>
        <w:tab w:val="right" w:leader="none" w:pos="8306"/>
      </w:tabs>
      <w:snapToGrid w:val="false"/>
      <w:jc w:val="left"/>
    </w:pPr>
    <w:rPr>
      <w:rFonts w:ascii="Calibri" w:hAnsi="Calibri"/>
      <w:kern w:val="0"/>
      <w:sz w:val="18"/>
      <w:szCs w:val="18"/>
    </w:rPr>
  </w:style>
  <w:style w:type="paragraph" w:styleId="style31">
    <w:name w:val="header"/>
    <w:basedOn w:val="style0"/>
    <w:next w:val="style31"/>
    <w:link w:val="style4099"/>
    <w:qFormat/>
    <w:uiPriority w:val="99"/>
    <w:pPr>
      <w:pBdr>
        <w:bottom w:val="single" w:sz="6" w:space="1" w:color="auto"/>
      </w:pBdr>
      <w:tabs>
        <w:tab w:val="center" w:leader="none" w:pos="4153"/>
        <w:tab w:val="right" w:leader="none" w:pos="8306"/>
      </w:tabs>
      <w:snapToGrid w:val="false"/>
      <w:jc w:val="center"/>
    </w:pPr>
    <w:rPr>
      <w:rFonts w:ascii="Calibri" w:hAnsi="Calibri"/>
      <w:kern w:val="0"/>
      <w:sz w:val="18"/>
      <w:szCs w:val="18"/>
    </w:rPr>
  </w:style>
  <w:style w:type="paragraph" w:styleId="style19">
    <w:name w:val="toc 1"/>
    <w:basedOn w:val="style0"/>
    <w:next w:val="style0"/>
    <w:qFormat/>
    <w:uiPriority w:val="39"/>
    <w:pPr>
      <w:tabs>
        <w:tab w:val="right" w:leader="dot" w:pos="8296"/>
      </w:tabs>
      <w:spacing w:before="93"/>
      <w:jc w:val="center"/>
    </w:pPr>
    <w:rPr>
      <w:rFonts w:ascii="仿宋" w:eastAsia="仿宋" w:hAnsi="仿宋"/>
      <w:sz w:val="28"/>
      <w:szCs w:val="28"/>
    </w:rPr>
  </w:style>
  <w:style w:type="paragraph" w:styleId="style20">
    <w:name w:val="toc 2"/>
    <w:basedOn w:val="style0"/>
    <w:next w:val="style0"/>
    <w:qFormat/>
    <w:uiPriority w:val="39"/>
    <w:pPr>
      <w:tabs>
        <w:tab w:val="right" w:leader="dot" w:pos="8296"/>
      </w:tabs>
      <w:ind w:left="420" w:leftChars="200"/>
    </w:pPr>
    <w:rPr/>
  </w:style>
  <w:style w:type="character" w:styleId="style87">
    <w:name w:val="Strong"/>
    <w:basedOn w:val="style65"/>
    <w:next w:val="style87"/>
    <w:qFormat/>
    <w:uiPriority w:val="99"/>
    <w:rPr>
      <w:b/>
    </w:rPr>
  </w:style>
  <w:style w:type="character" w:styleId="style85">
    <w:name w:val="Hyperlink"/>
    <w:basedOn w:val="style65"/>
    <w:next w:val="style85"/>
    <w:qFormat/>
    <w:uiPriority w:val="99"/>
    <w:rPr>
      <w:color w:val="0000ff"/>
      <w:u w:val="single"/>
    </w:rPr>
  </w:style>
  <w:style w:type="paragraph" w:customStyle="1" w:styleId="style4097">
    <w:name w:val="标题 5（有编号）（绿盟科技）"/>
    <w:next w:val="style0"/>
    <w:qFormat/>
    <w:uiPriority w:val="99"/>
    <w:pPr>
      <w:keepNext/>
      <w:keepLines/>
      <w:widowControl w:val="false"/>
      <w:spacing w:before="280" w:after="156" w:lineRule="auto" w:line="377"/>
      <w:outlineLvl w:val="4"/>
    </w:pPr>
    <w:rPr>
      <w:rFonts w:ascii="Arial" w:cs="Times New Roman" w:eastAsia="黑体" w:hAnsi="Arial"/>
      <w:b/>
      <w:kern w:val="2"/>
      <w:sz w:val="24"/>
      <w:szCs w:val="28"/>
    </w:rPr>
  </w:style>
  <w:style w:type="character" w:customStyle="1" w:styleId="style4098">
    <w:name w:val="Header Char_c8e8d8a2-0e97-4fbc-91d6-4c6d46203bf4"/>
    <w:basedOn w:val="style65"/>
    <w:next w:val="style4098"/>
    <w:qFormat/>
    <w:uiPriority w:val="99"/>
    <w:rPr>
      <w:rFonts w:ascii="Times New Roman" w:hAnsi="Times New Roman"/>
      <w:sz w:val="18"/>
      <w:szCs w:val="18"/>
    </w:rPr>
  </w:style>
  <w:style w:type="character" w:customStyle="1" w:styleId="style4099">
    <w:name w:val="页眉 Char"/>
    <w:next w:val="style4099"/>
    <w:link w:val="style31"/>
    <w:qFormat/>
    <w:uiPriority w:val="99"/>
    <w:rPr>
      <w:sz w:val="18"/>
    </w:rPr>
  </w:style>
  <w:style w:type="character" w:customStyle="1" w:styleId="style4100">
    <w:name w:val="Footer Char_12a164f9-2a49-4736-96ec-c5d45d6310f4"/>
    <w:basedOn w:val="style65"/>
    <w:next w:val="style4100"/>
    <w:qFormat/>
    <w:uiPriority w:val="99"/>
    <w:rPr>
      <w:rFonts w:ascii="Times New Roman" w:hAnsi="Times New Roman"/>
      <w:sz w:val="18"/>
      <w:szCs w:val="18"/>
    </w:rPr>
  </w:style>
  <w:style w:type="character" w:customStyle="1" w:styleId="style4101">
    <w:name w:val="页脚 Char"/>
    <w:next w:val="style4101"/>
    <w:link w:val="style32"/>
    <w:qFormat/>
    <w:uiPriority w:val="99"/>
    <w:rPr>
      <w:sz w:val="18"/>
    </w:rPr>
  </w:style>
  <w:style w:type="character" w:customStyle="1" w:styleId="style4102">
    <w:name w:val="Body Text Char"/>
    <w:basedOn w:val="style65"/>
    <w:next w:val="style4102"/>
    <w:qFormat/>
    <w:uiPriority w:val="99"/>
    <w:rPr>
      <w:rFonts w:ascii="Times New Roman" w:hAnsi="Times New Roman"/>
      <w:szCs w:val="24"/>
    </w:rPr>
  </w:style>
  <w:style w:type="character" w:customStyle="1" w:styleId="style4103">
    <w:name w:val="正文文本 Char"/>
    <w:next w:val="style4103"/>
    <w:link w:val="style66"/>
    <w:qFormat/>
    <w:uiPriority w:val="99"/>
    <w:rPr>
      <w:rFonts w:ascii="仿宋_GB2312" w:eastAsia="仿宋_GB2312" w:hAnsi="Times New Roman"/>
      <w:sz w:val="24"/>
    </w:rPr>
  </w:style>
  <w:style w:type="paragraph" w:customStyle="1" w:styleId="style4104">
    <w:name w:val="Default"/>
    <w:next w:val="style4104"/>
    <w:qFormat/>
    <w:uiPriority w:val="99"/>
    <w:pPr>
      <w:widowControl w:val="false"/>
      <w:autoSpaceDE w:val="false"/>
      <w:autoSpaceDN w:val="false"/>
      <w:adjustRightInd w:val="false"/>
    </w:pPr>
    <w:rPr>
      <w:rFonts w:ascii="仿宋" w:cs="仿宋" w:eastAsia="仿宋" w:hAnsi="Calibri"/>
      <w:color w:val="000000"/>
      <w:sz w:val="24"/>
      <w:szCs w:val="24"/>
    </w:rPr>
  </w:style>
  <w:style w:type="paragraph" w:styleId="style179">
    <w:name w:val="List Paragraph"/>
    <w:basedOn w:val="style0"/>
    <w:next w:val="style179"/>
    <w:qFormat/>
    <w:uiPriority w:val="34"/>
    <w:pPr>
      <w:ind w:firstLine="420" w:firstLineChars="200"/>
    </w:pPr>
    <w:rPr/>
  </w:style>
  <w:style w:type="character" w:customStyle="1" w:styleId="style4105">
    <w:name w:val="标题 1 Char"/>
    <w:basedOn w:val="style65"/>
    <w:next w:val="style4105"/>
    <w:link w:val="style1"/>
    <w:qFormat/>
    <w:uiPriority w:val="9"/>
    <w:rPr>
      <w:rFonts w:ascii="Times New Roman" w:hAnsi="Times New Roman"/>
      <w:b/>
      <w:bCs/>
      <w:kern w:val="44"/>
      <w:sz w:val="44"/>
      <w:szCs w:val="44"/>
    </w:rPr>
  </w:style>
  <w:style w:type="character" w:customStyle="1" w:styleId="style4106">
    <w:name w:val="标题 2 Char"/>
    <w:basedOn w:val="style65"/>
    <w:next w:val="style4106"/>
    <w:link w:val="style2"/>
    <w:qFormat/>
    <w:uiPriority w:val="9"/>
    <w:rPr>
      <w:rFonts w:ascii="Cambria" w:cs="宋体" w:eastAsia="宋体" w:hAnsi="Cambria"/>
      <w:b/>
      <w:bCs/>
      <w:kern w:val="2"/>
      <w:sz w:val="32"/>
      <w:szCs w:val="32"/>
    </w:rPr>
  </w:style>
  <w:style w:type="paragraph" w:customStyle="1" w:styleId="style4107">
    <w:name w:val="TOC 标题1"/>
    <w:basedOn w:val="style1"/>
    <w:next w:val="style0"/>
    <w:qFormat/>
    <w:uiPriority w:val="39"/>
    <w:pPr>
      <w:widowControl/>
      <w:spacing w:before="480" w:after="0" w:lineRule="auto" w:line="276"/>
      <w:jc w:val="left"/>
      <w:outlineLvl w:val="9"/>
    </w:pPr>
    <w:rPr>
      <w:rFonts w:ascii="Cambria" w:cs="宋体" w:eastAsia="宋体" w:hAnsi="Cambria"/>
      <w:color w:val="365f91"/>
      <w:kern w:val="0"/>
      <w:sz w:val="28"/>
      <w:szCs w:val="28"/>
    </w:rPr>
  </w:style>
  <w:style w:type="character" w:customStyle="1" w:styleId="style4108">
    <w:name w:val="批注框文本 Char"/>
    <w:basedOn w:val="style65"/>
    <w:next w:val="style4108"/>
    <w:link w:val="style153"/>
    <w:qFormat/>
    <w:uiPriority w:val="99"/>
    <w:rPr>
      <w:rFonts w:ascii="Times New Roman" w:hAnsi="Times New Roman"/>
      <w:kern w:val="2"/>
      <w:sz w:val="18"/>
      <w:szCs w:val="18"/>
    </w:rPr>
  </w:style>
  <w:style w:type="character" w:customStyle="1" w:styleId="style4109">
    <w:name w:val="标题 3 Char"/>
    <w:basedOn w:val="style65"/>
    <w:next w:val="style4109"/>
    <w:link w:val="style3"/>
    <w:qFormat/>
    <w:uiPriority w:val="9"/>
    <w:rPr>
      <w:rFonts w:ascii="Times New Roman" w:hAnsi="Times New Roman"/>
      <w:b/>
      <w:bCs/>
      <w:kern w:val="2"/>
      <w:sz w:val="32"/>
      <w:szCs w:val="32"/>
    </w:rPr>
  </w:style>
  <w:style w:type="paragraph" w:customStyle="1" w:styleId="style4110">
    <w:name w:val="TOC 标题2"/>
    <w:basedOn w:val="style1"/>
    <w:next w:val="style0"/>
    <w:qFormat/>
    <w:uiPriority w:val="39"/>
    <w:pPr>
      <w:widowControl/>
      <w:spacing w:before="480" w:after="0" w:lineRule="auto" w:line="276"/>
      <w:jc w:val="left"/>
      <w:outlineLvl w:val="9"/>
    </w:pPr>
    <w:rPr>
      <w:rFonts w:ascii="Cambria" w:cs="宋体" w:eastAsia="宋体" w:hAnsi="Cambria"/>
      <w:color w:val="365f91"/>
      <w:kern w:val="0"/>
      <w:sz w:val="28"/>
      <w:szCs w:val="28"/>
    </w:rPr>
  </w:style>
  <w:style w:type="paragraph" w:customStyle="1" w:styleId="style4111">
    <w:name w:val="四号正文"/>
    <w:basedOn w:val="style0"/>
    <w:next w:val="style4111"/>
    <w:qFormat/>
    <w:pPr>
      <w:spacing w:lineRule="auto" w:line="360"/>
    </w:pPr>
    <w:rPr>
      <w:rFonts w:ascii="??" w:hAnsi="??"/>
      <w:color w:val="000000"/>
      <w:kern w:val="0"/>
      <w:sz w:val="28"/>
      <w:szCs w:val="21"/>
      <w:lang w:val="zh-CN"/>
    </w:rPr>
  </w:style>
  <w:style w:type="paragraph" w:customStyle="1" w:styleId="style4112">
    <w:name w:val="正文-公1"/>
    <w:basedOn w:val="style0"/>
    <w:next w:val="style0"/>
    <w:qFormat/>
    <w:pPr>
      <w:ind w:firstLine="200" w:firstLineChars="200"/>
    </w:pPr>
    <w:rPr>
      <w:szCs w:val="20"/>
    </w:rPr>
  </w:style>
</w:styles>
</file>

<file path=word/_rels/document.xml.rels><?xml version="1.0" encoding="UTF-8"?>
<Relationships xmlns="http://schemas.openxmlformats.org/package/2006/relationships"><Relationship Id="rId20" Type="http://schemas.openxmlformats.org/officeDocument/2006/relationships/settings" Target="settings.xml"/><Relationship Id="rId11" Type="http://schemas.openxmlformats.org/officeDocument/2006/relationships/image" Target="media/image2.emf"/><Relationship Id="rId22" Type="http://schemas.openxmlformats.org/officeDocument/2006/relationships/customXml" Target="../customXml/item1.xml"/><Relationship Id="rId10" Type="http://schemas.openxmlformats.org/officeDocument/2006/relationships/chart" Target="charts/chart2.xml"/><Relationship Id="rId21" Type="http://schemas.openxmlformats.org/officeDocument/2006/relationships/theme" Target="theme/theme1.xml"/><Relationship Id="rId13" Type="http://schemas.openxmlformats.org/officeDocument/2006/relationships/chart" Target="charts/chart3.xml"/><Relationship Id="rId12" Type="http://schemas.openxmlformats.org/officeDocument/2006/relationships/oleObject" Target="embeddings/oleObject1.bin"/><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chart" Target="charts/chart1.xml"/><Relationship Id="rId15" Type="http://schemas.openxmlformats.org/officeDocument/2006/relationships/chart" Target="charts/chart5.xml"/><Relationship Id="rId14" Type="http://schemas.openxmlformats.org/officeDocument/2006/relationships/chart" Target="charts/chart4.xml"/><Relationship Id="rId17" Type="http://schemas.openxmlformats.org/officeDocument/2006/relationships/footer" Target="footer8.xml"/><Relationship Id="rId16" Type="http://schemas.openxmlformats.org/officeDocument/2006/relationships/footer" Target="footer7.xml"/><Relationship Id="rId5" Type="http://schemas.openxmlformats.org/officeDocument/2006/relationships/footer" Target="footer4.xml"/><Relationship Id="rId19" Type="http://schemas.openxmlformats.org/officeDocument/2006/relationships/fontTable" Target="fontTable.xml"/><Relationship Id="rId6" Type="http://schemas.openxmlformats.org/officeDocument/2006/relationships/footer" Target="footer5.xml"/><Relationship Id="rId18" Type="http://schemas.openxmlformats.org/officeDocument/2006/relationships/styles" Target="styles.xml"/><Relationship Id="rId7" Type="http://schemas.openxmlformats.org/officeDocument/2006/relationships/footer" Target="footer6.xml"/><Relationship Id="rId8" Type="http://schemas.openxmlformats.org/officeDocument/2006/relationships/image" Target="media/image1.png"/></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3.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4.xlsx"/><Relationship Id="rId2" Type="http://schemas.openxmlformats.org/officeDocument/2006/relationships/themeOverride" Target="../theme/themeOverride4.xml"/></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1.xlsx"/><Relationship Id="rId2" Type="http://schemas.openxmlformats.org/officeDocument/2006/relationships/themeOverride" Target="../theme/themeOverride1.xml"/></Relationships>
</file>

<file path=word/charts/_rels/chart4.xml.rels><?xml version="1.0" encoding="UTF-8"?>
<Relationships xmlns="http://schemas.openxmlformats.org/package/2006/relationships"><Relationship Id="rId1" Type="http://schemas.openxmlformats.org/officeDocument/2006/relationships/package" Target="../embeddings/Microsoft_Excel____2.xlsx"/></Relationships>
</file>

<file path=word/charts/_rels/chart5.xml.rels><?xml version="1.0" encoding="UTF-8"?>
<Relationships xmlns="http://schemas.openxmlformats.org/package/2006/relationships"><Relationship Id="rId1" Type="http://schemas.openxmlformats.org/officeDocument/2006/relationships/package" Target="../embeddings/Microsoft_Excel____5.xlsx"/><Relationship Id="rId2"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266055045872"/>
          <c:y val="0.0381944444444444"/>
          <c:w val="0.726605504587156"/>
          <c:h val="0.802083333333333"/>
        </c:manualLayout>
      </c:layout>
      <c:barChart>
        <c:barDir val="col"/>
        <c:grouping val="clustered"/>
        <c:varyColors val="0"/>
        <c:ser>
          <c:idx val="1"/>
          <c:order val="0"/>
          <c:tx>
            <c:strRef>
              <c:f>Sheet1!$A$2</c:f>
              <c:strCache>
                <c:ptCount val="1"/>
                <c:pt idx="0">
                  <c:v>收入</c:v>
                </c:pt>
              </c:strCache>
            </c:strRef>
          </c:tx>
          <c:spPr>
            <a:solidFill>
              <a:srgbClr val="993366"/>
            </a:solidFill>
            <a:ln w="9525">
              <a:solidFill>
                <a:srgbClr val="000000"/>
              </a:solidFill>
              <a:prstDash val="solid"/>
            </a:ln>
          </c:spPr>
          <c:invertIfNegative val="0"/>
          <c:cat>
            <c:strRef>
              <c:f>Sheet1!$B$1:$C$1</c:f>
              <c:strCache>
                <c:ptCount val="2"/>
                <c:pt idx="0">
                  <c:v>2023年</c:v>
                </c:pt>
                <c:pt idx="1">
                  <c:v>2024年</c:v>
                </c:pt>
              </c:strCache>
            </c:strRef>
          </c:cat>
          <c:val>
            <c:numRef>
              <c:f>Sheet1!$B$2:$C$2</c:f>
              <c:numCache>
                <c:formatCode>General</c:formatCode>
                <c:ptCount val="2"/>
                <c:pt idx="0">
                  <c:v>14945.21</c:v>
                </c:pt>
                <c:pt idx="1">
                  <c:v>31282.55</c:v>
                </c:pt>
              </c:numCache>
            </c:numRef>
          </c:val>
        </c:ser>
        <c:ser>
          <c:idx val="2"/>
          <c:order val="1"/>
          <c:tx>
            <c:strRef>
              <c:f>Sheet1!$A$3</c:f>
              <c:strCache>
                <c:ptCount val="1"/>
                <c:pt idx="0">
                  <c:v>支出</c:v>
                </c:pt>
              </c:strCache>
            </c:strRef>
          </c:tx>
          <c:spPr>
            <a:solidFill>
              <a:srgbClr val="FFFFCC"/>
            </a:solidFill>
            <a:ln w="9525">
              <a:solidFill>
                <a:srgbClr val="000000"/>
              </a:solidFill>
              <a:prstDash val="solid"/>
            </a:ln>
          </c:spPr>
          <c:invertIfNegative val="0"/>
          <c:cat>
            <c:strRef>
              <c:f>Sheet1!$B$1:$C$1</c:f>
              <c:strCache>
                <c:ptCount val="2"/>
                <c:pt idx="0">
                  <c:v>2023年</c:v>
                </c:pt>
                <c:pt idx="1">
                  <c:v>2024年</c:v>
                </c:pt>
              </c:strCache>
            </c:strRef>
          </c:cat>
          <c:val>
            <c:numRef>
              <c:f>Sheet1!$B$3:$C$3</c:f>
              <c:numCache>
                <c:formatCode>General</c:formatCode>
                <c:ptCount val="2"/>
                <c:pt idx="0">
                  <c:v>14945.21</c:v>
                </c:pt>
                <c:pt idx="1">
                  <c:v>31282.55</c:v>
                </c:pt>
              </c:numCache>
            </c:numRef>
          </c:val>
        </c:ser>
        <c:dLbls>
          <c:showLegendKey val="0"/>
          <c:showVal val="0"/>
          <c:showCatName val="0"/>
          <c:showSerName val="0"/>
          <c:showPercent val="0"/>
          <c:showBubbleSize val="0"/>
        </c:dLbls>
        <c:gapWidth val="150"/>
        <c:axId val="176803328"/>
        <c:axId val="127826112"/>
      </c:barChart>
      <c:catAx>
        <c:axId val="176803328"/>
        <c:scaling>
          <c:orientation val="minMax"/>
        </c:scaling>
        <c:delete val="0"/>
        <c:axPos val="b"/>
        <c:numFmt formatCode="General" sourceLinked="1"/>
        <c:majorTickMark val="in"/>
        <c:minorTickMark val="none"/>
        <c:tickLblPos val="low"/>
        <c:spPr>
          <a:ln w="2381" cap="flat" cmpd="sng" algn="ctr">
            <a:solidFill>
              <a:srgbClr val="000000"/>
            </a:solidFill>
            <a:prstDash val="solid"/>
            <a:round/>
          </a:ln>
        </c:spPr>
        <c:txPr>
          <a:bodyPr rot="0" spcFirstLastPara="0" vertOverflow="ellipsis" vert="horz" wrap="square" anchor="ctr" anchorCtr="1"/>
          <a:lstStyle/>
          <a:p>
            <a:pPr>
              <a:defRPr lang="zh-CN" sz="107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27826112"/>
        <c:crosses val="autoZero"/>
        <c:auto val="1"/>
        <c:lblAlgn val="ctr"/>
        <c:lblOffset val="100"/>
        <c:tickLblSkip val="1"/>
        <c:noMultiLvlLbl val="0"/>
      </c:catAx>
      <c:valAx>
        <c:axId val="127826112"/>
        <c:scaling>
          <c:orientation val="minMax"/>
        </c:scaling>
        <c:delete val="0"/>
        <c:axPos val="l"/>
        <c:majorGridlines>
          <c:spPr>
            <a:ln w="2381" cap="flat" cmpd="sng" algn="ctr">
              <a:solidFill>
                <a:srgbClr val="000000"/>
              </a:solidFill>
              <a:prstDash val="solid"/>
              <a:round/>
            </a:ln>
          </c:spPr>
        </c:majorGridlines>
        <c:numFmt formatCode="General" sourceLinked="1"/>
        <c:majorTickMark val="in"/>
        <c:minorTickMark val="none"/>
        <c:tickLblPos val="nextTo"/>
        <c:spPr>
          <a:ln w="2381" cap="flat" cmpd="sng" algn="ctr">
            <a:solidFill>
              <a:srgbClr val="000000"/>
            </a:solidFill>
            <a:prstDash val="solid"/>
            <a:round/>
          </a:ln>
        </c:spPr>
        <c:txPr>
          <a:bodyPr rot="0" spcFirstLastPara="0" vertOverflow="ellipsis" vert="horz" wrap="square" anchor="ctr" anchorCtr="1"/>
          <a:lstStyle/>
          <a:p>
            <a:pPr>
              <a:defRPr lang="zh-CN" sz="107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76803328"/>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86605504587156"/>
          <c:y val="0.402777777777778"/>
          <c:w val="0.126605504587156"/>
          <c:h val="0.197916666666667"/>
        </c:manualLayout>
      </c:layout>
      <c:overlay val="0"/>
      <c:spPr>
        <a:noFill/>
        <a:ln w="2381">
          <a:solidFill>
            <a:srgbClr val="000000"/>
          </a:solidFill>
          <a:prstDash val="solid"/>
        </a:ln>
      </c:spPr>
      <c:txPr>
        <a:bodyPr rot="0" spcFirstLastPara="0" vertOverflow="ellipsis" vert="horz" wrap="square" anchor="ctr" anchorCtr="1"/>
        <a:lstStyle/>
        <a:p>
          <a:pPr>
            <a:defRPr lang="zh-CN" sz="98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noFill/>
    <a:ln w="9525" cap="flat" cmpd="sng" algn="ctr">
      <a:noFill/>
      <a:prstDash val="solid"/>
      <a:round/>
    </a:ln>
  </c:spPr>
  <c:txPr>
    <a:bodyPr/>
    <a:lstStyle/>
    <a:p>
      <a:pPr>
        <a:defRPr lang="zh-CN" sz="107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  支出决算结构图</a:t>
            </a:r>
          </a:p>
        </c:rich>
      </c:tx>
      <c:overlay val="0"/>
      <c:spPr>
        <a:noFill/>
        <a:ln w="25400">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dPt>
            <c:idx val="0"/>
            <c:bubble3D val="0"/>
          </c:dPt>
          <c:dPt>
            <c:idx val="1"/>
            <c:bubble3D val="0"/>
            <c:spPr>
              <a:solidFill>
                <a:srgbClr val="993366"/>
              </a:solidFill>
              <a:ln w="12700">
                <a:solidFill>
                  <a:srgbClr val="000000">
                    <a:alpha val="100000"/>
                  </a:srgbClr>
                </a:solidFill>
                <a:prstDash val="solid"/>
              </a:ln>
              <a:effectLst/>
            </c:spPr>
          </c:dPt>
          <c:dLbls>
            <c:dLbl>
              <c:idx val="0"/>
              <c:layout>
                <c:manualLayout>
                  <c:x val="-0.0861303111169681"/>
                  <c:y val="0.15159581506605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0847821009821471"/>
                  <c:y val="-0.1865189289012"/>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Sheet1!$B$34:$B$35</c:f>
              <c:strCache>
                <c:ptCount val="2"/>
                <c:pt idx="0">
                  <c:v>基本支出</c:v>
                </c:pt>
                <c:pt idx="1">
                  <c:v>项目支出</c:v>
                </c:pt>
              </c:strCache>
            </c:strRef>
          </c:cat>
          <c:val>
            <c:numRef>
              <c:f>Sheet1!$C$34:$C$35</c:f>
              <c:numCache>
                <c:formatCode>General</c:formatCode>
                <c:ptCount val="2"/>
                <c:pt idx="0">
                  <c:v>1201.7</c:v>
                </c:pt>
                <c:pt idx="1">
                  <c:v>30080.82</c:v>
                </c:pt>
              </c:numCache>
            </c:numRef>
          </c:val>
        </c:ser>
        <c:ser>
          <c:idx val="1"/>
          <c:order val="1"/>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cat>
            <c:strRef>
              <c:f>Sheet1!$B$34:$B$35</c:f>
              <c:strCache>
                <c:ptCount val="2"/>
                <c:pt idx="0">
                  <c:v>基本支出</c:v>
                </c:pt>
                <c:pt idx="1">
                  <c:v>项目支出</c:v>
                </c:pt>
              </c:strCache>
            </c:strRef>
          </c:cat>
          <c:val>
            <c:numRef>
              <c:f>Sheet1!$D$34:$D$35</c:f>
              <c:numCache>
                <c:formatCode>0.00%</c:formatCode>
                <c:ptCount val="2"/>
                <c:pt idx="0">
                  <c:v>0.038414387573903</c:v>
                </c:pt>
                <c:pt idx="1">
                  <c:v>0.961584653424993</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000040266933"/>
          <c:y val="0.4175000973543"/>
          <c:w val="0.237249988102952"/>
          <c:h val="0.29824995911119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Sheet1!$B$81:$C$81</c:f>
              <c:strCache>
                <c:ptCount val="2"/>
                <c:pt idx="0">
                  <c:v>2023年</c:v>
                </c:pt>
                <c:pt idx="1">
                  <c:v>2024年</c:v>
                </c:pt>
              </c:strCache>
            </c:strRef>
          </c:cat>
          <c:val>
            <c:numRef>
              <c:f>Sheet1!$B$82:$C$82</c:f>
              <c:numCache>
                <c:formatCode>General</c:formatCode>
                <c:ptCount val="2"/>
                <c:pt idx="0">
                  <c:v>6902.85</c:v>
                </c:pt>
                <c:pt idx="1">
                  <c:v>12897.83</c:v>
                </c:pt>
              </c:numCache>
            </c:numRef>
          </c:val>
        </c:ser>
        <c:dLbls>
          <c:showLegendKey val="0"/>
          <c:showVal val="0"/>
          <c:showCatName val="0"/>
          <c:showSerName val="0"/>
          <c:showPercent val="0"/>
          <c:showBubbleSize val="0"/>
        </c:dLbls>
        <c:gapWidth val="150"/>
        <c:axId val="178891776"/>
        <c:axId val="178813120"/>
      </c:barChart>
      <c:catAx>
        <c:axId val="17889177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78813120"/>
        <c:crosses val="autoZero"/>
        <c:auto val="1"/>
        <c:lblAlgn val="ctr"/>
        <c:lblOffset val="100"/>
        <c:noMultiLvlLbl val="0"/>
      </c:catAx>
      <c:valAx>
        <c:axId val="178813120"/>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78891776"/>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78749986038979"/>
          <c:y val="0.505750039035489"/>
          <c:w val="0.315249976731632"/>
          <c:h val="0.178866171987868"/>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一般公共预算财政拨款支出决算结构</c:v>
                </c:pt>
              </c:strCache>
            </c:strRef>
          </c:tx>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endParaRPr lang="zh-CN"/>
                </a:p>
              </c:txPr>
              <c:dLblPos val="outEnd"/>
              <c:showLegendKey val="0"/>
              <c:showVal val="1"/>
              <c:showCatName val="1"/>
              <c:showSerName val="0"/>
              <c:showPercent val="1"/>
              <c:showBubbleSize val="0"/>
            </c:dLbl>
            <c:dLbl>
              <c:idx val="2"/>
              <c:layout>
                <c:manualLayout>
                  <c:x val="0.169122976564388"/>
                  <c:y val="0.0354866128346791"/>
                </c:manualLayout>
              </c:layout>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3"/>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endParaRPr lang="zh-CN"/>
                </a:p>
              </c:txPr>
              <c:dLblPos val="outEnd"/>
              <c:showLegendKey val="0"/>
              <c:showVal val="1"/>
              <c:showCatName val="1"/>
              <c:showSerName val="0"/>
              <c:showPercent val="1"/>
              <c:showBubbleSize val="0"/>
            </c:dLbl>
            <c:dLbl>
              <c:idx val="4"/>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endParaRPr lang="zh-CN"/>
                </a:p>
              </c:txPr>
              <c:dLblPos val="outEnd"/>
              <c:showLegendKey val="0"/>
              <c:showVal val="1"/>
              <c:showCatName val="1"/>
              <c:showSerName val="0"/>
              <c:showPercent val="1"/>
              <c:showBubbleSize val="0"/>
            </c:dLbl>
            <c:dLbl>
              <c:idx val="5"/>
              <c:layout>
                <c:manualLayout>
                  <c:x val="0.128895868567287"/>
                  <c:y val="-0.00339991500212495"/>
                </c:manualLayout>
              </c:layout>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6"/>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lumMod val="60000"/>
                        </a:schemeClr>
                      </a:solidFill>
                      <a:latin typeface="+mn-lt"/>
                      <a:ea typeface="+mn-ea"/>
                      <a:cs typeface="+mn-cs"/>
                    </a:defRPr>
                  </a:pPr>
                  <a:endParaRPr lang="zh-CN"/>
                </a:p>
              </c:txPr>
              <c:dLblPos val="outEnd"/>
              <c:showLegendKey val="0"/>
              <c:showVal val="1"/>
              <c:showCatName val="1"/>
              <c:showSerName val="0"/>
              <c:showPercent val="1"/>
              <c:showBubbleSize val="0"/>
            </c:dLbl>
            <c:dLbl>
              <c:idx val="7"/>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lumMod val="60000"/>
                        </a:schemeClr>
                      </a:solidFill>
                      <a:latin typeface="+mn-lt"/>
                      <a:ea typeface="+mn-ea"/>
                      <a:cs typeface="+mn-cs"/>
                    </a:defRPr>
                  </a:pPr>
                  <a:endParaRPr lang="zh-CN"/>
                </a:p>
              </c:txPr>
              <c:dLblPos val="outEnd"/>
              <c:showLegendKey val="0"/>
              <c:showVal val="1"/>
              <c:showCatName val="1"/>
              <c:showSerName val="0"/>
              <c:showPercent val="1"/>
              <c:showBubbleSize val="0"/>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一般公共服务支出</c:v>
                </c:pt>
                <c:pt idx="1">
                  <c:v>社会保障和就业支出</c:v>
                </c:pt>
                <c:pt idx="2">
                  <c:v>卫生健康支出</c:v>
                </c:pt>
                <c:pt idx="3">
                  <c:v>节能环保支出</c:v>
                </c:pt>
                <c:pt idx="4">
                  <c:v>农林水支出</c:v>
                </c:pt>
                <c:pt idx="5">
                  <c:v>自然资源海洋气象等支出</c:v>
                </c:pt>
                <c:pt idx="6">
                  <c:v>住房保障支出</c:v>
                </c:pt>
                <c:pt idx="7">
                  <c:v>灾害防治及应急管理支出</c:v>
                </c:pt>
              </c:strCache>
            </c:strRef>
          </c:cat>
          <c:val>
            <c:numRef>
              <c:f>Sheet1!$B$2:$B$9</c:f>
              <c:numCache>
                <c:formatCode>General</c:formatCode>
                <c:ptCount val="8"/>
                <c:pt idx="0">
                  <c:v>1700.0</c:v>
                </c:pt>
                <c:pt idx="1">
                  <c:v>213.1</c:v>
                </c:pt>
                <c:pt idx="2">
                  <c:v>89.07</c:v>
                </c:pt>
                <c:pt idx="3">
                  <c:v>1336.64</c:v>
                </c:pt>
                <c:pt idx="4">
                  <c:v>2.0</c:v>
                </c:pt>
                <c:pt idx="5">
                  <c:v>4539.08</c:v>
                </c:pt>
                <c:pt idx="6">
                  <c:v>82.14</c:v>
                </c:pt>
                <c:pt idx="7">
                  <c:v>4935.81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333333"/>
                </a:solidFill>
                <a:latin typeface="Arial" panose="020B0604020202020204" pitchFamily="2"/>
                <a:cs typeface="Arial" panose="020B0604020202020204" pitchFamily="2"/>
              </a:rPr>
              <a:t>7</a:t>
            </a:r>
            <a:r>
              <a:rPr lang="en-US" altLang="zh-CN" sz="1400" b="0" i="0" u="none" strike="noStrike" baseline="0">
                <a:solidFill>
                  <a:srgbClr val="000000"/>
                </a:solidFill>
                <a:latin typeface="宋体" panose="02010600030101010101" charset="-122"/>
                <a:ea typeface="宋体" panose="02010600030101010101" charset="-122"/>
              </a:rPr>
              <a:t>  “</a:t>
            </a:r>
            <a:r>
              <a:rPr lang="zh-CN" altLang="en-US" sz="1400" b="0" i="0" u="none" strike="noStrike" baseline="0">
                <a:solidFill>
                  <a:srgbClr val="000000"/>
                </a:solidFill>
                <a:latin typeface="宋体" panose="02010600030101010101" charset="-122"/>
                <a:ea typeface="宋体" panose="02010600030101010101" charset="-122"/>
              </a:rPr>
              <a:t>三公”经费财政拨款支出结构</a:t>
            </a:r>
          </a:p>
        </c:rich>
      </c:tx>
      <c:layout>
        <c:manualLayout>
          <c:xMode val="edge"/>
          <c:yMode val="edge"/>
          <c:x val="0.267368596216539"/>
          <c:y val="0.0221606648199446"/>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dPt>
            <c:idx val="0"/>
            <c:bubble3D val="0"/>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175792507204611"/>
                  <c:y val="0.047091412742382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Sheet1!$B$135:$B$137</c:f>
              <c:strCache>
                <c:ptCount val="3"/>
                <c:pt idx="0">
                  <c:v>因公出国（境）费支出</c:v>
                </c:pt>
                <c:pt idx="1">
                  <c:v>公务用车购置及运行维护费支出</c:v>
                </c:pt>
                <c:pt idx="2">
                  <c:v>公务接待费支出</c:v>
                </c:pt>
              </c:strCache>
            </c:strRef>
          </c:cat>
          <c:val>
            <c:numRef>
              <c:f>Sheet1!$C$135:$C$137</c:f>
              <c:numCache>
                <c:formatCode>General</c:formatCode>
                <c:ptCount val="3"/>
                <c:pt idx="0">
                  <c:v>0.0</c:v>
                </c:pt>
                <c:pt idx="1">
                  <c:v>0.8</c:v>
                </c:pt>
                <c:pt idx="2">
                  <c:v>0.65</c:v>
                </c:pt>
              </c:numCache>
            </c:numRef>
          </c:val>
        </c:ser>
        <c:ser>
          <c:idx val="1"/>
          <c:order val="1"/>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cat>
            <c:strRef>
              <c:f>Sheet1!$B$135:$B$137</c:f>
              <c:strCache>
                <c:ptCount val="3"/>
                <c:pt idx="0">
                  <c:v>因公出国（境）费支出</c:v>
                </c:pt>
                <c:pt idx="1">
                  <c:v>公务用车购置及运行维护费支出</c:v>
                </c:pt>
                <c:pt idx="2">
                  <c:v>公务接待费支出</c:v>
                </c:pt>
              </c:strCache>
            </c:strRef>
          </c:cat>
          <c:val>
            <c:numRef>
              <c:f>Sheet1!$D$135:$D$137</c:f>
              <c:numCache>
                <c:formatCode>0%</c:formatCode>
                <c:ptCount val="3"/>
                <c:pt idx="0" formatCode="General">
                  <c:v>0.0</c:v>
                </c:pt>
                <c:pt idx="1">
                  <c:v>0.0</c:v>
                </c:pt>
                <c:pt idx="2">
                  <c:v>0.0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35706884"/>
          <c:y val="0.400499923659127"/>
          <c:w val="0.338499928142988"/>
          <c:h val="0.332500127234788"/>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Words>8678</Words>
  <Pages>28</Pages>
  <Characters>9689</Characters>
  <Application>WPS Office</Application>
  <DocSecurity>0</DocSecurity>
  <Paragraphs>295</Paragraphs>
  <ScaleCrop>false</ScaleCrop>
  <Company>四川省财政厅</Company>
  <LinksUpToDate>false</LinksUpToDate>
  <CharactersWithSpaces>9751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2020-08-09T09:49:00Z</dcterms:created>
  <dc:creator>曹颖</dc:creator>
  <lastModifiedBy>WGR-AN19</lastModifiedBy>
  <lastPrinted>2025-10-10T03:06:00Z</lastPrinted>
  <dcterms:modified xsi:type="dcterms:W3CDTF">2025-10-28T03:07:42Z</dcterms:modified>
  <revision>48</revision>
  <dc:title>四川省***</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447f26b8816b45b5b0cf4e9ae4df78e2_23</vt:lpwstr>
  </property>
  <property fmtid="{D5CDD505-2E9C-101B-9397-08002B2CF9AE}" pid="4" name="KSOTemplateDocerSaveRecord">
    <vt:lpwstr>eyJoZGlkIjoiMWRlZGMxZTNiYWExNzIyOTVmNTE0MjU4NjVhYWRiMjAiLCJ1c2VySWQiOiI3NzM0OTYzMDYifQ==</vt:lpwstr>
  </property>
</Properties>
</file>