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8B95">
      <w:pPr>
        <w:pStyle w:val="8"/>
        <w:spacing w:before="93"/>
        <w:rPr>
          <w:rFonts w:ascii="Times New Roman" w:eastAsia="方正小标宋简体"/>
          <w:kern w:val="2"/>
          <w:sz w:val="72"/>
          <w:szCs w:val="72"/>
        </w:rPr>
      </w:pPr>
      <w:bookmarkStart w:id="0" w:name="_Toc15377425"/>
      <w:bookmarkStart w:id="1" w:name="_Toc15396475"/>
      <w:bookmarkStart w:id="2" w:name="_Toc15396597"/>
      <w:bookmarkStart w:id="3" w:name="_Toc15306267"/>
      <w:bookmarkStart w:id="4" w:name="_Toc15377193"/>
      <w:bookmarkStart w:id="5" w:name="_Toc15378441"/>
    </w:p>
    <w:p w14:paraId="29AAA6C6">
      <w:pPr>
        <w:pStyle w:val="8"/>
        <w:spacing w:before="93"/>
        <w:rPr>
          <w:rFonts w:ascii="Times New Roman" w:eastAsia="方正小标宋简体"/>
          <w:kern w:val="2"/>
          <w:sz w:val="72"/>
          <w:szCs w:val="72"/>
        </w:rPr>
      </w:pPr>
    </w:p>
    <w:p w14:paraId="04A9A901">
      <w:pPr>
        <w:pStyle w:val="8"/>
        <w:spacing w:before="93"/>
        <w:rPr>
          <w:rFonts w:ascii="Times New Roman" w:eastAsia="方正小标宋简体"/>
          <w:kern w:val="2"/>
          <w:sz w:val="72"/>
          <w:szCs w:val="72"/>
        </w:rPr>
      </w:pPr>
    </w:p>
    <w:p w14:paraId="7ADF2DC4">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55C7828">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红十字会</w:t>
      </w:r>
      <w:r>
        <w:rPr>
          <w:rFonts w:hint="eastAsia" w:ascii="Times New Roman" w:eastAsia="方正小标宋简体"/>
          <w:kern w:val="2"/>
          <w:sz w:val="72"/>
          <w:szCs w:val="72"/>
        </w:rPr>
        <w:t>部门决算</w:t>
      </w:r>
    </w:p>
    <w:p w14:paraId="37E29856">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3AFFB933">
      <w:pPr>
        <w:spacing w:line="600" w:lineRule="exact"/>
        <w:jc w:val="center"/>
        <w:outlineLvl w:val="0"/>
        <w:rPr>
          <w:rFonts w:eastAsia="方正小标宋简体"/>
          <w:sz w:val="72"/>
          <w:szCs w:val="72"/>
        </w:rPr>
      </w:pPr>
    </w:p>
    <w:p w14:paraId="07F78EBA">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90AF336"/>
    <w:bookmarkEnd w:id="0"/>
    <w:bookmarkEnd w:id="1"/>
    <w:bookmarkEnd w:id="2"/>
    <w:bookmarkEnd w:id="3"/>
    <w:bookmarkEnd w:id="4"/>
    <w:bookmarkEnd w:id="5"/>
    <w:p w14:paraId="19459A75">
      <w:pPr>
        <w:widowControl/>
        <w:jc w:val="center"/>
        <w:rPr>
          <w:rFonts w:eastAsia="黑体"/>
          <w:sz w:val="48"/>
          <w:szCs w:val="48"/>
        </w:rPr>
      </w:pPr>
      <w:r>
        <w:rPr>
          <w:rFonts w:hint="eastAsia" w:eastAsia="黑体"/>
          <w:sz w:val="48"/>
          <w:szCs w:val="48"/>
        </w:rPr>
        <w:t>目录</w:t>
      </w:r>
    </w:p>
    <w:p w14:paraId="68ECC990">
      <w:pPr>
        <w:widowControl/>
        <w:jc w:val="center"/>
        <w:rPr>
          <w:rFonts w:eastAsia="黑体" w:cstheme="minorBidi"/>
          <w:sz w:val="28"/>
          <w:szCs w:val="28"/>
        </w:rPr>
      </w:pPr>
    </w:p>
    <w:p w14:paraId="40EDD00D">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公开时间：2025年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 xml:space="preserve"> 日</w:t>
      </w:r>
    </w:p>
    <w:p w14:paraId="7DDD99F7"/>
    <w:p w14:paraId="24FADB16">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..................................................................1</w:t>
      </w:r>
    </w:p>
    <w:p w14:paraId="3846333E">
      <w:pPr>
        <w:pStyle w:val="13"/>
        <w:adjustRightInd w:val="0"/>
        <w:snapToGrid w:val="0"/>
        <w:spacing w:before="0" w:line="560" w:lineRule="exact"/>
        <w:jc w:val="left"/>
        <w:rPr>
          <w:rFonts w:eastAsia="仿宋_GB2312" w:cs="仿宋_GB2312"/>
          <w:sz w:val="32"/>
          <w:szCs w:val="32"/>
        </w:rPr>
      </w:pPr>
      <w:r>
        <w:rPr>
          <w:rFonts w:hint="eastAsia" w:eastAsia="仿宋_GB2312" w:cs="仿宋_GB2312"/>
          <w:sz w:val="32"/>
          <w:szCs w:val="32"/>
        </w:rPr>
        <w:t>一、部门职责</w:t>
      </w:r>
      <w:r>
        <w:rPr>
          <w:rFonts w:hint="eastAsia" w:ascii="Times New Roman" w:hAnsi="Times New Roman" w:eastAsia="黑体" w:cs="黑体"/>
          <w:sz w:val="32"/>
          <w:szCs w:val="32"/>
          <w:lang w:val="en-US" w:eastAsia="zh-CN"/>
        </w:rPr>
        <w:t>............................................................................1</w:t>
      </w:r>
    </w:p>
    <w:p w14:paraId="1CA0B283">
      <w:pPr>
        <w:pStyle w:val="13"/>
        <w:adjustRightInd w:val="0"/>
        <w:snapToGrid w:val="0"/>
        <w:spacing w:before="0" w:line="560" w:lineRule="exact"/>
        <w:jc w:val="left"/>
        <w:rPr>
          <w:rFonts w:eastAsia="仿宋_GB2312" w:cs="仿宋_GB2312"/>
          <w:sz w:val="32"/>
          <w:szCs w:val="32"/>
        </w:rPr>
      </w:pPr>
      <w:r>
        <w:rPr>
          <w:rFonts w:hint="eastAsia" w:eastAsia="仿宋_GB2312" w:cs="仿宋_GB2312"/>
          <w:sz w:val="32"/>
          <w:szCs w:val="32"/>
        </w:rPr>
        <w:t>二、机构设置</w:t>
      </w:r>
      <w:r>
        <w:rPr>
          <w:rFonts w:hint="eastAsia" w:ascii="Times New Roman" w:hAnsi="Times New Roman" w:eastAsia="黑体" w:cs="黑体"/>
          <w:sz w:val="32"/>
          <w:szCs w:val="32"/>
          <w:lang w:val="en-US" w:eastAsia="zh-CN"/>
        </w:rPr>
        <w:t>............................................................................1</w:t>
      </w:r>
      <w:bookmarkStart w:id="30" w:name="_GoBack"/>
      <w:bookmarkEnd w:id="30"/>
    </w:p>
    <w:p w14:paraId="429779B7">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.................................2</w:t>
      </w:r>
    </w:p>
    <w:p w14:paraId="6261142B">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....................................2</w:t>
      </w:r>
    </w:p>
    <w:p w14:paraId="724B858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....................................................2</w:t>
      </w:r>
    </w:p>
    <w:p w14:paraId="5976EB4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....................................................3</w:t>
      </w:r>
    </w:p>
    <w:p w14:paraId="32C3C47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....................4</w:t>
      </w:r>
    </w:p>
    <w:p w14:paraId="17A2C1D9">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............4</w:t>
      </w:r>
    </w:p>
    <w:p w14:paraId="431024A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....7</w:t>
      </w:r>
    </w:p>
    <w:p w14:paraId="144BD62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............7</w:t>
      </w:r>
    </w:p>
    <w:p w14:paraId="34FB0FC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........................8</w:t>
      </w:r>
    </w:p>
    <w:p w14:paraId="58C690C9">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....................8</w:t>
      </w:r>
    </w:p>
    <w:p w14:paraId="5ABF732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........................................9</w:t>
      </w:r>
    </w:p>
    <w:p w14:paraId="59824B52">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.................................................................10</w:t>
      </w:r>
    </w:p>
    <w:p w14:paraId="4BCD5166">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.........................................................................13</w:t>
      </w:r>
    </w:p>
    <w:p w14:paraId="3C6AC523">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.........................................................................22</w:t>
      </w:r>
    </w:p>
    <w:p w14:paraId="691B78F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ascii="Times New Roman" w:hAnsi="Times New Roman" w:eastAsia="黑体" w:cs="黑体"/>
          <w:sz w:val="32"/>
          <w:szCs w:val="32"/>
          <w:lang w:val="en-US" w:eastAsia="zh-CN"/>
        </w:rPr>
        <w:t>...................................................22</w:t>
      </w:r>
    </w:p>
    <w:p w14:paraId="78F9316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ascii="Times New Roman" w:hAnsi="Times New Roman" w:eastAsia="黑体" w:cs="黑体"/>
          <w:sz w:val="32"/>
          <w:szCs w:val="32"/>
          <w:lang w:val="en-US" w:eastAsia="zh-CN"/>
        </w:rPr>
        <w:t>...............................................................22</w:t>
      </w:r>
    </w:p>
    <w:p w14:paraId="3A479D3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ascii="Times New Roman" w:hAnsi="Times New Roman" w:eastAsia="黑体" w:cs="黑体"/>
          <w:sz w:val="32"/>
          <w:szCs w:val="32"/>
          <w:lang w:val="en-US" w:eastAsia="zh-CN"/>
        </w:rPr>
        <w:t>...............................................................22</w:t>
      </w:r>
    </w:p>
    <w:p w14:paraId="4D88DD6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ascii="Times New Roman" w:hAnsi="Times New Roman" w:eastAsia="黑体" w:cs="黑体"/>
          <w:sz w:val="32"/>
          <w:szCs w:val="32"/>
          <w:lang w:val="en-US" w:eastAsia="zh-CN"/>
        </w:rPr>
        <w:t>....................................22</w:t>
      </w:r>
    </w:p>
    <w:p w14:paraId="4345DF3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ascii="Times New Roman" w:hAnsi="Times New Roman" w:eastAsia="黑体" w:cs="黑体"/>
          <w:sz w:val="32"/>
          <w:szCs w:val="32"/>
          <w:lang w:val="en-US" w:eastAsia="zh-CN"/>
        </w:rPr>
        <w:t>........................................22</w:t>
      </w:r>
    </w:p>
    <w:p w14:paraId="5BAA2A7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ascii="Times New Roman" w:hAnsi="Times New Roman" w:eastAsia="黑体" w:cs="黑体"/>
          <w:sz w:val="32"/>
          <w:szCs w:val="32"/>
          <w:lang w:val="en-US" w:eastAsia="zh-CN"/>
        </w:rPr>
        <w:t>........................22</w:t>
      </w:r>
    </w:p>
    <w:p w14:paraId="0875403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ascii="Times New Roman" w:hAnsi="Times New Roman" w:eastAsia="黑体" w:cs="黑体"/>
          <w:sz w:val="32"/>
          <w:szCs w:val="32"/>
          <w:lang w:val="en-US" w:eastAsia="zh-CN"/>
        </w:rPr>
        <w:t>................22</w:t>
      </w:r>
    </w:p>
    <w:p w14:paraId="7DF73C7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ascii="Times New Roman" w:hAnsi="Times New Roman" w:eastAsia="黑体" w:cs="黑体"/>
          <w:sz w:val="32"/>
          <w:szCs w:val="32"/>
          <w:lang w:val="en-US" w:eastAsia="zh-CN"/>
        </w:rPr>
        <w:t>.........22</w:t>
      </w:r>
    </w:p>
    <w:p w14:paraId="58275ED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ascii="Times New Roman" w:hAnsi="Times New Roman" w:eastAsia="黑体" w:cs="黑体"/>
          <w:sz w:val="32"/>
          <w:szCs w:val="32"/>
          <w:lang w:val="en-US" w:eastAsia="zh-CN"/>
        </w:rPr>
        <w:t>................22</w:t>
      </w:r>
    </w:p>
    <w:p w14:paraId="4B3CAEB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ascii="Times New Roman" w:hAnsi="Times New Roman" w:eastAsia="黑体" w:cs="黑体"/>
          <w:sz w:val="32"/>
          <w:szCs w:val="32"/>
          <w:lang w:val="en-US" w:eastAsia="zh-CN"/>
        </w:rPr>
        <w:t>............22</w:t>
      </w:r>
    </w:p>
    <w:p w14:paraId="76F9D52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.....22</w:t>
      </w:r>
    </w:p>
    <w:p w14:paraId="3760186B">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.............22</w:t>
      </w:r>
    </w:p>
    <w:p w14:paraId="01A6E1A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.......................22</w:t>
      </w:r>
    </w:p>
    <w:p w14:paraId="45FF5FB1">
      <w:pPr>
        <w:pStyle w:val="5"/>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1BD3153A">
      <w:pPr>
        <w:pStyle w:val="5"/>
        <w:jc w:val="center"/>
        <w:rPr>
          <w:rStyle w:val="28"/>
          <w:rFonts w:eastAsia="方正小标宋简体" w:cs="方正小标宋简体"/>
          <w:b/>
          <w:bCs w:val="0"/>
        </w:rPr>
      </w:pPr>
      <w:bookmarkStart w:id="6" w:name="_Toc15377196"/>
      <w:bookmarkStart w:id="7" w:name="_Toc15396599"/>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p>
    <w:p w14:paraId="1478341D">
      <w:pPr>
        <w:widowControl/>
        <w:jc w:val="left"/>
        <w:rPr>
          <w:rFonts w:eastAsia="黑体"/>
          <w:sz w:val="32"/>
          <w:szCs w:val="32"/>
        </w:rPr>
      </w:pPr>
    </w:p>
    <w:p w14:paraId="1FC8506C">
      <w:pPr>
        <w:pStyle w:val="27"/>
        <w:spacing w:line="600" w:lineRule="exact"/>
        <w:ind w:left="0" w:leftChars="0" w:firstLine="640" w:firstLineChars="200"/>
        <w:outlineLvl w:val="1"/>
        <w:rPr>
          <w:rStyle w:val="29"/>
          <w:rFonts w:hint="eastAsia" w:ascii="Times New Roman" w:hAnsi="Times New Roman" w:eastAsia="黑体"/>
          <w:b w:val="0"/>
        </w:rPr>
      </w:pPr>
      <w:r>
        <w:rPr>
          <w:rStyle w:val="29"/>
          <w:rFonts w:hint="eastAsia" w:eastAsia="黑体"/>
          <w:b w:val="0"/>
          <w:lang w:eastAsia="zh-CN"/>
        </w:rPr>
        <w:t>一、</w:t>
      </w:r>
      <w:r>
        <w:rPr>
          <w:rStyle w:val="29"/>
          <w:rFonts w:hint="eastAsia" w:ascii="Times New Roman" w:hAnsi="Times New Roman" w:eastAsia="黑体"/>
          <w:b w:val="0"/>
        </w:rPr>
        <w:t>部门职责</w:t>
      </w:r>
    </w:p>
    <w:p w14:paraId="1E2C1314">
      <w:pPr>
        <w:pStyle w:val="27"/>
        <w:spacing w:line="600" w:lineRule="exact"/>
        <w:outlineLvl w:val="1"/>
        <w:rPr>
          <w:rFonts w:hint="eastAsia" w:eastAsia="仿宋_GB2312" w:cs="仿宋_GB2312"/>
          <w:sz w:val="32"/>
          <w:szCs w:val="32"/>
        </w:rPr>
      </w:pPr>
      <w:r>
        <w:rPr>
          <w:rFonts w:hint="default" w:eastAsia="仿宋_GB2312" w:cs="仿宋_GB2312"/>
          <w:sz w:val="32"/>
          <w:szCs w:val="32"/>
          <w:lang w:val="en-US" w:eastAsia="zh-CN"/>
        </w:rPr>
        <w:t>完成应急救护培训任务、开展红十字生命教育工作，开展人道动员宣传工作，开展人道救援及生命教育宣传，开展基层组织建设和红十字志愿服务，红十字青少年工作。开展筹资工作，参与腾讯99公益日活动等，开展红十字救灾备灾工作，完善赈济救援队装备及强化培训。</w:t>
      </w:r>
    </w:p>
    <w:p w14:paraId="4CBAD1B5">
      <w:pPr>
        <w:pStyle w:val="27"/>
        <w:spacing w:line="600" w:lineRule="exact"/>
        <w:ind w:left="0" w:leftChars="0" w:firstLine="640" w:firstLineChars="200"/>
        <w:outlineLvl w:val="1"/>
        <w:rPr>
          <w:rStyle w:val="29"/>
          <w:rFonts w:hint="eastAsia" w:eastAsia="黑体"/>
          <w:b w:val="0"/>
          <w:lang w:eastAsia="zh-CN"/>
        </w:rPr>
      </w:pPr>
      <w:bookmarkStart w:id="8" w:name="_Toc15396601"/>
      <w:bookmarkStart w:id="9" w:name="_Toc15377200"/>
      <w:r>
        <w:rPr>
          <w:rStyle w:val="29"/>
          <w:rFonts w:hint="eastAsia" w:eastAsia="黑体"/>
          <w:b w:val="0"/>
          <w:lang w:eastAsia="zh-CN"/>
        </w:rPr>
        <w:t>二、机构设置</w:t>
      </w:r>
      <w:bookmarkEnd w:id="8"/>
      <w:bookmarkEnd w:id="9"/>
    </w:p>
    <w:p w14:paraId="19FE7889">
      <w:pPr>
        <w:pStyle w:val="27"/>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lang w:val="en-US" w:eastAsia="zh-CN"/>
        </w:rPr>
        <w:t>2021年底新成立单位，属于群团组织，2023年新独立纳入一级预算单位。</w:t>
      </w:r>
    </w:p>
    <w:p w14:paraId="25570BE2">
      <w:pPr>
        <w:pStyle w:val="27"/>
        <w:spacing w:line="600" w:lineRule="exact"/>
        <w:ind w:firstLine="640"/>
        <w:outlineLvl w:val="1"/>
        <w:rPr>
          <w:rFonts w:hint="eastAsia" w:eastAsia="仿宋_GB2312" w:cs="仿宋_GB2312"/>
          <w:sz w:val="32"/>
          <w:szCs w:val="32"/>
          <w:lang w:val="en-US" w:eastAsia="zh-CN"/>
        </w:rPr>
        <w:sectPr>
          <w:footerReference r:id="rId8" w:type="first"/>
          <w:footerReference r:id="rId7" w:type="default"/>
          <w:pgSz w:w="11906" w:h="16838"/>
          <w:pgMar w:top="2098" w:right="1474" w:bottom="1984" w:left="1587" w:header="851" w:footer="992" w:gutter="0"/>
          <w:pgNumType w:fmt="decimal" w:start="1"/>
          <w:cols w:space="425" w:num="1"/>
          <w:docGrid w:type="lines" w:linePitch="312" w:charSpace="0"/>
        </w:sectPr>
      </w:pPr>
    </w:p>
    <w:p w14:paraId="0F402DA3">
      <w:pPr>
        <w:pStyle w:val="5"/>
        <w:jc w:val="center"/>
        <w:rPr>
          <w:rFonts w:eastAsia="方正小标宋简体" w:cs="方正小标宋简体"/>
          <w:b w:val="0"/>
        </w:rPr>
      </w:pPr>
      <w:r>
        <w:rPr>
          <w:rFonts w:hint="eastAsia" w:eastAsia="方正小标宋简体" w:cs="方正小标宋简体"/>
          <w:b w:val="0"/>
        </w:rPr>
        <w:t>第二部分  2024年度部门决算情况说明</w:t>
      </w:r>
    </w:p>
    <w:p w14:paraId="57ABA29E"/>
    <w:p w14:paraId="0011D0CD">
      <w:pPr>
        <w:pStyle w:val="27"/>
        <w:spacing w:line="600" w:lineRule="exact"/>
        <w:ind w:firstLine="640"/>
        <w:outlineLvl w:val="1"/>
        <w:rPr>
          <w:rStyle w:val="29"/>
          <w:rFonts w:ascii="Times New Roman" w:hAnsi="Times New Roman" w:eastAsia="黑体"/>
          <w:b w:val="0"/>
        </w:rPr>
      </w:pPr>
      <w:r>
        <w:rPr>
          <w:rFonts w:hint="eastAsia" w:eastAsia="黑体"/>
          <w:sz w:val="32"/>
          <w:szCs w:val="32"/>
        </w:rPr>
        <w:t>一、收</w:t>
      </w:r>
      <w:r>
        <w:rPr>
          <w:rStyle w:val="29"/>
          <w:rFonts w:hint="eastAsia" w:ascii="Times New Roman" w:hAnsi="Times New Roman" w:eastAsia="黑体"/>
          <w:b w:val="0"/>
        </w:rPr>
        <w:t>入支出决算总体情况说明</w:t>
      </w:r>
    </w:p>
    <w:p w14:paraId="5DD8753F">
      <w:pPr>
        <w:pStyle w:val="27"/>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2024年度收入、支出总计均为76.49万元。与2023年度</w:t>
      </w:r>
      <w:r>
        <w:rPr>
          <w:rFonts w:hint="eastAsia" w:eastAsia="仿宋_GB2312" w:cs="仿宋_GB2312"/>
          <w:sz w:val="32"/>
          <w:szCs w:val="32"/>
          <w:lang w:eastAsia="zh-CN"/>
        </w:rPr>
        <w:t>（</w:t>
      </w:r>
      <w:r>
        <w:rPr>
          <w:rFonts w:hint="eastAsia" w:eastAsia="仿宋_GB2312" w:cs="仿宋_GB2312"/>
          <w:sz w:val="32"/>
          <w:szCs w:val="32"/>
        </w:rPr>
        <w:t>91.51万元</w:t>
      </w:r>
      <w:r>
        <w:rPr>
          <w:rFonts w:hint="eastAsia" w:eastAsia="仿宋_GB2312" w:cs="仿宋_GB2312"/>
          <w:sz w:val="32"/>
          <w:szCs w:val="32"/>
          <w:lang w:eastAsia="zh-CN"/>
        </w:rPr>
        <w:t>）</w:t>
      </w:r>
      <w:r>
        <w:rPr>
          <w:rFonts w:hint="eastAsia" w:eastAsia="仿宋_GB2312" w:cs="仿宋_GB2312"/>
          <w:sz w:val="32"/>
          <w:szCs w:val="32"/>
        </w:rPr>
        <w:t>相比，收入、支出总计各减少</w:t>
      </w:r>
      <w:r>
        <w:rPr>
          <w:rFonts w:hint="eastAsia" w:eastAsia="仿宋_GB2312" w:cs="仿宋_GB2312"/>
          <w:sz w:val="32"/>
          <w:szCs w:val="32"/>
          <w:lang w:val="en-US" w:eastAsia="zh-CN"/>
        </w:rPr>
        <w:t>15.02</w:t>
      </w:r>
      <w:r>
        <w:rPr>
          <w:rFonts w:hint="eastAsia" w:eastAsia="仿宋_GB2312" w:cs="仿宋_GB2312"/>
          <w:sz w:val="32"/>
          <w:szCs w:val="32"/>
        </w:rPr>
        <w:t>万元，下降</w:t>
      </w:r>
      <w:r>
        <w:rPr>
          <w:rFonts w:hint="eastAsia" w:eastAsia="仿宋_GB2312" w:cs="仿宋_GB2312"/>
          <w:sz w:val="32"/>
          <w:szCs w:val="32"/>
          <w:lang w:val="en-US" w:eastAsia="zh-CN"/>
        </w:rPr>
        <w:t>19.64</w:t>
      </w:r>
      <w:r>
        <w:rPr>
          <w:rFonts w:hint="eastAsia" w:eastAsia="仿宋_GB2312" w:cs="仿宋_GB2312"/>
          <w:sz w:val="32"/>
          <w:szCs w:val="32"/>
        </w:rPr>
        <w:t>%。主要变动原因是</w:t>
      </w:r>
      <w:r>
        <w:rPr>
          <w:rFonts w:hint="eastAsia" w:eastAsia="仿宋_GB2312" w:cs="仿宋_GB2312"/>
          <w:sz w:val="32"/>
          <w:szCs w:val="32"/>
          <w:lang w:val="en-US" w:eastAsia="zh-CN"/>
        </w:rPr>
        <w:t>2023年实有人数4人，2024年实有人数3人，导致人员经费、公用经费都减少。</w:t>
      </w:r>
    </w:p>
    <w:p w14:paraId="4619B0B2">
      <w:pPr>
        <w:pStyle w:val="27"/>
        <w:spacing w:line="600" w:lineRule="exact"/>
        <w:ind w:firstLine="640"/>
        <w:outlineLvl w:val="1"/>
        <w:rPr>
          <w:rFonts w:hint="default" w:eastAsia="仿宋_GB2312" w:cs="仿宋_GB2312"/>
          <w:sz w:val="32"/>
          <w:szCs w:val="32"/>
          <w:lang w:val="en-US" w:eastAsia="zh-CN"/>
        </w:rPr>
      </w:pPr>
      <w:r>
        <w:rPr>
          <w:rFonts w:ascii="仿宋" w:hAnsi="仿宋" w:eastAsia="仿宋"/>
          <w:b/>
          <w:sz w:val="32"/>
          <w:szCs w:val="32"/>
        </w:rPr>
        <w:pict>
          <v:shape id="_x0000_s1026" o:spid="_x0000_s1026" o:spt="75" type="#_x0000_t75" style="position:absolute;left:0pt;margin-left:7.6pt;margin-top:16.75pt;height:239.5pt;width:399.2pt;z-index:-251654144;mso-width-relative:page;mso-height-relative:page;" o:ole="t" filled="f" o:preferrelative="t" stroked="f" coordsize="21600,21600">
            <v:path/>
            <v:fill on="f" focussize="0,0"/>
            <v:stroke on="f"/>
            <v:imagedata r:id="rId13" o:title=""/>
            <o:lock v:ext="edit" aspectratio="t"/>
          </v:shape>
          <o:OLEObject Type="Embed" ProgID="Excel.Chart.8" ShapeID="_x0000_s1026" DrawAspect="Content" ObjectID="_1468075725" r:id="rId12">
            <o:LockedField>false</o:LockedField>
          </o:OLEObject>
        </w:pict>
      </w:r>
    </w:p>
    <w:p w14:paraId="4038FF0D">
      <w:pPr>
        <w:pStyle w:val="27"/>
        <w:spacing w:line="600" w:lineRule="exact"/>
        <w:ind w:firstLine="640"/>
        <w:outlineLvl w:val="1"/>
        <w:rPr>
          <w:rFonts w:hint="default" w:eastAsia="仿宋_GB2312" w:cs="仿宋_GB2312"/>
          <w:sz w:val="32"/>
          <w:szCs w:val="32"/>
          <w:lang w:val="en-US" w:eastAsia="zh-CN"/>
        </w:rPr>
      </w:pPr>
    </w:p>
    <w:p w14:paraId="68408AE2">
      <w:pPr>
        <w:pStyle w:val="27"/>
        <w:spacing w:line="600" w:lineRule="exact"/>
        <w:ind w:firstLine="640"/>
        <w:outlineLvl w:val="1"/>
        <w:rPr>
          <w:rFonts w:hint="default" w:eastAsia="仿宋_GB2312" w:cs="仿宋_GB2312"/>
          <w:sz w:val="32"/>
          <w:szCs w:val="32"/>
          <w:lang w:val="en-US" w:eastAsia="zh-CN"/>
        </w:rPr>
      </w:pPr>
    </w:p>
    <w:p w14:paraId="5CE96974">
      <w:pPr>
        <w:pStyle w:val="27"/>
        <w:spacing w:line="600" w:lineRule="exact"/>
        <w:ind w:firstLine="640"/>
        <w:outlineLvl w:val="1"/>
        <w:rPr>
          <w:rFonts w:hint="default" w:eastAsia="仿宋_GB2312" w:cs="仿宋_GB2312"/>
          <w:sz w:val="32"/>
          <w:szCs w:val="32"/>
          <w:lang w:val="en-US" w:eastAsia="zh-CN"/>
        </w:rPr>
      </w:pPr>
    </w:p>
    <w:p w14:paraId="3ECEBD75">
      <w:pPr>
        <w:pStyle w:val="27"/>
        <w:spacing w:line="600" w:lineRule="exact"/>
        <w:ind w:firstLine="640"/>
        <w:outlineLvl w:val="1"/>
        <w:rPr>
          <w:rFonts w:hint="default" w:eastAsia="仿宋_GB2312" w:cs="仿宋_GB2312"/>
          <w:sz w:val="32"/>
          <w:szCs w:val="32"/>
          <w:lang w:val="en-US" w:eastAsia="zh-CN"/>
        </w:rPr>
      </w:pPr>
    </w:p>
    <w:p w14:paraId="1111D7BB">
      <w:pPr>
        <w:pStyle w:val="27"/>
        <w:spacing w:line="600" w:lineRule="exact"/>
        <w:ind w:firstLine="640"/>
        <w:outlineLvl w:val="1"/>
        <w:rPr>
          <w:rFonts w:hint="default" w:eastAsia="仿宋_GB2312" w:cs="仿宋_GB2312"/>
          <w:sz w:val="32"/>
          <w:szCs w:val="32"/>
          <w:lang w:val="en-US" w:eastAsia="zh-CN"/>
        </w:rPr>
      </w:pPr>
    </w:p>
    <w:p w14:paraId="10E6A289">
      <w:pPr>
        <w:pStyle w:val="27"/>
        <w:spacing w:line="600" w:lineRule="exact"/>
        <w:ind w:firstLine="640"/>
        <w:outlineLvl w:val="1"/>
        <w:rPr>
          <w:rFonts w:hint="default" w:eastAsia="仿宋_GB2312" w:cs="仿宋_GB2312"/>
          <w:sz w:val="32"/>
          <w:szCs w:val="32"/>
          <w:lang w:val="en-US" w:eastAsia="zh-CN"/>
        </w:rPr>
      </w:pPr>
    </w:p>
    <w:p w14:paraId="4D30BE7B">
      <w:pPr>
        <w:pStyle w:val="27"/>
        <w:spacing w:line="600" w:lineRule="exact"/>
        <w:ind w:firstLine="640"/>
        <w:outlineLvl w:val="1"/>
        <w:rPr>
          <w:rFonts w:hint="default" w:eastAsia="仿宋_GB2312" w:cs="仿宋_GB2312"/>
          <w:sz w:val="32"/>
          <w:szCs w:val="32"/>
          <w:lang w:val="en-US" w:eastAsia="zh-CN"/>
        </w:rPr>
      </w:pPr>
    </w:p>
    <w:p w14:paraId="34BB17CD">
      <w:pPr>
        <w:pStyle w:val="27"/>
        <w:spacing w:line="600" w:lineRule="exact"/>
        <w:ind w:firstLine="640"/>
        <w:outlineLvl w:val="1"/>
        <w:rPr>
          <w:rFonts w:hint="default" w:eastAsia="仿宋_GB2312" w:cs="仿宋_GB2312"/>
          <w:sz w:val="32"/>
          <w:szCs w:val="32"/>
          <w:lang w:val="en-US" w:eastAsia="zh-CN"/>
        </w:rPr>
      </w:pPr>
    </w:p>
    <w:p w14:paraId="4F7E4B9D">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2C628A83">
      <w:pPr>
        <w:pStyle w:val="27"/>
        <w:spacing w:line="600" w:lineRule="exact"/>
        <w:ind w:firstLine="640"/>
        <w:outlineLvl w:val="1"/>
        <w:rPr>
          <w:rFonts w:eastAsia="黑体"/>
          <w:sz w:val="32"/>
          <w:szCs w:val="32"/>
        </w:rPr>
      </w:pPr>
      <w:r>
        <w:rPr>
          <w:rFonts w:hint="eastAsia" w:eastAsia="黑体"/>
          <w:sz w:val="32"/>
          <w:szCs w:val="32"/>
        </w:rPr>
        <w:t>二、收入决算情况说明</w:t>
      </w:r>
    </w:p>
    <w:p w14:paraId="50C6C88D">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t>2024年度本年收入合计76.49万元，其中：一般公共预算财政拨款收入76.49万元，占100%；政府性基金预算财政拨款收入0万元，占0%%；国有资本经营预算财政拨款收入0万元，占0%；上级补助收入0万元，占0%；事业收入0万元，占0%；经营收入0万元，占0%；附属单位上缴收入0万元，占0%；其他收入0万元，占0%。</w:t>
      </w:r>
    </w:p>
    <w:p w14:paraId="6D080DA6">
      <w:pPr>
        <w:ind w:firstLine="2080" w:firstLineChars="650"/>
        <w:rPr>
          <w:rFonts w:eastAsia="仿宋_GB2312" w:cs="仿宋_GB2312"/>
          <w:sz w:val="32"/>
          <w:szCs w:val="32"/>
        </w:rPr>
      </w:pPr>
      <w:r>
        <w:rPr>
          <w:rFonts w:hint="eastAsia" w:ascii="仿宋" w:hAnsi="仿宋" w:eastAsia="仿宋" w:cs="Times New Roman"/>
          <w:sz w:val="32"/>
          <w:szCs w:val="32"/>
        </w:rPr>
        <w:pict>
          <v:shape id="Object 3" o:spid="_x0000_s1027" o:spt="75" type="#_x0000_t75" style="position:absolute;left:0pt;margin-left:25.8pt;margin-top:3.6pt;height:222.75pt;width:388.45pt;mso-wrap-distance-bottom:0pt;mso-wrap-distance-left:9pt;mso-wrap-distance-right:9pt;mso-wrap-distance-top:0pt;z-index:251663360;mso-width-relative:page;mso-height-relative:page;" o:ole="t" filled="f" o:preferrelative="t" stroked="f" coordsize="21600,21600">
            <v:path/>
            <v:fill on="f" focussize="0,0"/>
            <v:stroke on="f"/>
            <v:imagedata r:id="rId15" o:title=""/>
            <o:lock v:ext="edit" aspectratio="t"/>
            <w10:wrap type="square"/>
          </v:shape>
          <o:OLEObject Type="Embed" ProgID="Excel.Chart.8" ShapeID="Object 3" DrawAspect="Content" ObjectID="_1468075726" r:id="rId14">
            <o:LockedField>false</o:LockedField>
          </o:OLEObject>
        </w:pict>
      </w:r>
      <w:r>
        <w:rPr>
          <w:rFonts w:hint="eastAsia" w:eastAsia="仿宋_GB2312" w:cs="仿宋_GB2312"/>
          <w:sz w:val="32"/>
          <w:szCs w:val="32"/>
        </w:rPr>
        <w:t>（图2：收入决算结构图）</w:t>
      </w:r>
    </w:p>
    <w:p w14:paraId="0BCAA1C4">
      <w:pPr>
        <w:pStyle w:val="27"/>
        <w:spacing w:line="600" w:lineRule="exact"/>
        <w:ind w:firstLine="640"/>
        <w:outlineLvl w:val="1"/>
        <w:rPr>
          <w:rStyle w:val="29"/>
          <w:rFonts w:ascii="Times New Roman" w:hAnsi="Times New Roman" w:eastAsia="黑体"/>
          <w:b w:val="0"/>
        </w:rPr>
      </w:pPr>
      <w:r>
        <w:rPr>
          <w:rFonts w:hint="eastAsia" w:eastAsia="黑体"/>
          <w:sz w:val="32"/>
          <w:szCs w:val="32"/>
        </w:rPr>
        <w:t>三、支</w:t>
      </w:r>
      <w:r>
        <w:rPr>
          <w:rStyle w:val="29"/>
          <w:rFonts w:hint="eastAsia" w:ascii="Times New Roman" w:hAnsi="Times New Roman" w:eastAsia="黑体"/>
          <w:b w:val="0"/>
        </w:rPr>
        <w:t>出决算情况说明</w:t>
      </w:r>
    </w:p>
    <w:p w14:paraId="687D8D78">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eastAsia="zh-CN"/>
        </w:rPr>
        <w:t>2024年度本年支出合计</w:t>
      </w:r>
      <w:r>
        <w:rPr>
          <w:rFonts w:hint="eastAsia" w:eastAsia="仿宋_GB2312" w:cs="仿宋_GB2312"/>
          <w:sz w:val="32"/>
          <w:szCs w:val="32"/>
        </w:rPr>
        <w:t>76.49</w:t>
      </w:r>
      <w:r>
        <w:rPr>
          <w:rFonts w:hint="eastAsia" w:eastAsia="仿宋_GB2312" w:cs="仿宋_GB2312"/>
          <w:sz w:val="32"/>
          <w:szCs w:val="32"/>
          <w:lang w:eastAsia="zh-CN"/>
        </w:rPr>
        <w:t>万元，其中：基本支出</w:t>
      </w:r>
      <w:r>
        <w:rPr>
          <w:rFonts w:hint="eastAsia" w:eastAsia="仿宋_GB2312" w:cs="仿宋_GB2312"/>
          <w:sz w:val="32"/>
          <w:szCs w:val="32"/>
        </w:rPr>
        <w:t>66.69</w:t>
      </w:r>
      <w:r>
        <w:rPr>
          <w:rFonts w:hint="eastAsia" w:eastAsia="仿宋_GB2312" w:cs="仿宋_GB2312"/>
          <w:sz w:val="32"/>
          <w:szCs w:val="32"/>
          <w:lang w:eastAsia="zh-CN"/>
        </w:rPr>
        <w:t>万元，占</w:t>
      </w:r>
      <w:r>
        <w:rPr>
          <w:rFonts w:hint="eastAsia" w:eastAsia="仿宋_GB2312" w:cs="仿宋_GB2312"/>
          <w:sz w:val="32"/>
          <w:szCs w:val="32"/>
        </w:rPr>
        <w:t>87.19</w:t>
      </w:r>
      <w:r>
        <w:rPr>
          <w:rFonts w:hint="eastAsia" w:eastAsia="仿宋_GB2312" w:cs="仿宋_GB2312"/>
          <w:sz w:val="32"/>
          <w:szCs w:val="32"/>
          <w:lang w:eastAsia="zh-CN"/>
        </w:rPr>
        <w:t>%；项目支出</w:t>
      </w:r>
      <w:r>
        <w:rPr>
          <w:rFonts w:hint="eastAsia" w:eastAsia="仿宋_GB2312" w:cs="仿宋_GB2312"/>
          <w:sz w:val="32"/>
          <w:szCs w:val="32"/>
        </w:rPr>
        <w:t>9.8</w:t>
      </w:r>
      <w:r>
        <w:rPr>
          <w:rFonts w:hint="eastAsia" w:eastAsia="仿宋_GB2312" w:cs="仿宋_GB2312"/>
          <w:sz w:val="32"/>
          <w:szCs w:val="32"/>
          <w:lang w:eastAsia="zh-CN"/>
        </w:rPr>
        <w:t>万元，占</w:t>
      </w:r>
      <w:r>
        <w:rPr>
          <w:rFonts w:hint="eastAsia" w:eastAsia="仿宋_GB2312" w:cs="仿宋_GB2312"/>
          <w:sz w:val="32"/>
          <w:szCs w:val="32"/>
        </w:rPr>
        <w:t>12.8</w:t>
      </w:r>
      <w:r>
        <w:rPr>
          <w:rFonts w:hint="eastAsia" w:eastAsia="仿宋_GB2312" w:cs="仿宋_GB2312"/>
          <w:sz w:val="32"/>
          <w:szCs w:val="32"/>
          <w:lang w:eastAsia="zh-CN"/>
        </w:rPr>
        <w:t>%；上缴上级支出</w:t>
      </w:r>
      <w:r>
        <w:rPr>
          <w:rFonts w:hint="eastAsia" w:eastAsia="仿宋_GB2312" w:cs="仿宋_GB2312"/>
          <w:sz w:val="32"/>
          <w:szCs w:val="32"/>
        </w:rPr>
        <w:t>0</w:t>
      </w:r>
      <w:r>
        <w:rPr>
          <w:rFonts w:hint="eastAsia" w:eastAsia="仿宋_GB2312" w:cs="仿宋_GB2312"/>
          <w:sz w:val="32"/>
          <w:szCs w:val="32"/>
          <w:lang w:eastAsia="zh-CN"/>
        </w:rPr>
        <w:t>万元，占</w:t>
      </w:r>
      <w:r>
        <w:rPr>
          <w:rFonts w:hint="eastAsia" w:eastAsia="仿宋_GB2312" w:cs="仿宋_GB2312"/>
          <w:sz w:val="32"/>
          <w:szCs w:val="32"/>
        </w:rPr>
        <w:t>0</w:t>
      </w:r>
      <w:r>
        <w:rPr>
          <w:rFonts w:hint="eastAsia" w:eastAsia="仿宋_GB2312" w:cs="仿宋_GB2312"/>
          <w:sz w:val="32"/>
          <w:szCs w:val="32"/>
          <w:lang w:eastAsia="zh-CN"/>
        </w:rPr>
        <w:t>%；经营支出</w:t>
      </w:r>
      <w:r>
        <w:rPr>
          <w:rFonts w:hint="eastAsia" w:eastAsia="仿宋_GB2312" w:cs="仿宋_GB2312"/>
          <w:sz w:val="32"/>
          <w:szCs w:val="32"/>
        </w:rPr>
        <w:t>0</w:t>
      </w:r>
      <w:r>
        <w:rPr>
          <w:rFonts w:hint="eastAsia" w:eastAsia="仿宋_GB2312" w:cs="仿宋_GB2312"/>
          <w:sz w:val="32"/>
          <w:szCs w:val="32"/>
          <w:lang w:eastAsia="zh-CN"/>
        </w:rPr>
        <w:t>万元，占</w:t>
      </w:r>
      <w:r>
        <w:rPr>
          <w:rFonts w:hint="eastAsia" w:eastAsia="仿宋_GB2312" w:cs="仿宋_GB2312"/>
          <w:sz w:val="32"/>
          <w:szCs w:val="32"/>
        </w:rPr>
        <w:t>0</w:t>
      </w:r>
      <w:r>
        <w:rPr>
          <w:rFonts w:hint="eastAsia" w:eastAsia="仿宋_GB2312" w:cs="仿宋_GB2312"/>
          <w:sz w:val="32"/>
          <w:szCs w:val="32"/>
          <w:lang w:eastAsia="zh-CN"/>
        </w:rPr>
        <w:t>%；对附属单位补助支出</w:t>
      </w:r>
      <w:r>
        <w:rPr>
          <w:rFonts w:hint="eastAsia" w:eastAsia="仿宋_GB2312" w:cs="仿宋_GB2312"/>
          <w:sz w:val="32"/>
          <w:szCs w:val="32"/>
        </w:rPr>
        <w:t>0</w:t>
      </w:r>
      <w:r>
        <w:rPr>
          <w:rFonts w:hint="eastAsia" w:eastAsia="仿宋_GB2312" w:cs="仿宋_GB2312"/>
          <w:sz w:val="32"/>
          <w:szCs w:val="32"/>
          <w:lang w:eastAsia="zh-CN"/>
        </w:rPr>
        <w:t>万元，占</w:t>
      </w:r>
      <w:r>
        <w:rPr>
          <w:rFonts w:hint="eastAsia" w:eastAsia="仿宋_GB2312" w:cs="仿宋_GB2312"/>
          <w:sz w:val="32"/>
          <w:szCs w:val="32"/>
        </w:rPr>
        <w:t>0%</w:t>
      </w:r>
      <w:r>
        <w:rPr>
          <w:rFonts w:hint="eastAsia" w:eastAsia="仿宋_GB2312" w:cs="仿宋_GB2312"/>
          <w:sz w:val="32"/>
          <w:szCs w:val="32"/>
          <w:lang w:eastAsia="zh-CN"/>
        </w:rPr>
        <w:t>。</w:t>
      </w:r>
    </w:p>
    <w:p w14:paraId="16E394C6">
      <w:pPr>
        <w:pStyle w:val="27"/>
        <w:spacing w:line="600" w:lineRule="exact"/>
        <w:ind w:firstLine="640"/>
        <w:jc w:val="left"/>
        <w:outlineLvl w:val="1"/>
        <w:rPr>
          <w:rFonts w:hint="eastAsia" w:ascii="仿宋_GB2312" w:hAnsi="仿宋_GB2312" w:eastAsia="仿宋_GB2312" w:cs="仿宋_GB2312"/>
          <w:color w:val="auto"/>
          <w:sz w:val="32"/>
          <w:szCs w:val="32"/>
          <w:highlight w:val="none"/>
          <w:lang w:eastAsia="zh-CN"/>
        </w:rPr>
      </w:pPr>
      <w:r>
        <w:rPr>
          <w:rFonts w:ascii="黑体" w:hAnsi="黑体" w:eastAsia="黑体"/>
          <w:sz w:val="32"/>
          <w:szCs w:val="32"/>
        </w:rPr>
        <w:pict>
          <v:shape id="_x0000_s1028" o:spid="_x0000_s1028" o:spt="75" type="#_x0000_t75" style="position:absolute;left:0pt;margin-left:62.05pt;margin-top:8.05pt;height:173.95pt;width:339.15pt;mso-wrap-distance-bottom:0pt;mso-wrap-distance-left:9pt;mso-wrap-distance-right:9pt;mso-wrap-distance-top:0pt;z-index:251664384;mso-width-relative:page;mso-height-relative:page;" o:ole="t" filled="f" o:preferrelative="t" stroked="f" coordsize="21600,21600">
            <v:path/>
            <v:fill on="f" focussize="0,0"/>
            <v:stroke on="f"/>
            <v:imagedata r:id="rId17" o:title=""/>
            <o:lock v:ext="edit" aspectratio="t"/>
            <w10:wrap type="square"/>
          </v:shape>
          <o:OLEObject Type="Embed" ProgID="Excel.Chart.8" ShapeID="_x0000_s1028" DrawAspect="Content" ObjectID="_1468075727" r:id="rId16">
            <o:LockedField>false</o:LockedField>
          </o:OLEObject>
        </w:pict>
      </w:r>
    </w:p>
    <w:p w14:paraId="085AC2A6">
      <w:pPr>
        <w:ind w:firstLine="800" w:firstLineChars="250"/>
        <w:rPr>
          <w:rFonts w:hint="eastAsia" w:eastAsia="仿宋_GB2312" w:cs="仿宋_GB2312"/>
          <w:sz w:val="32"/>
          <w:szCs w:val="32"/>
        </w:rPr>
      </w:pPr>
    </w:p>
    <w:p w14:paraId="141A826C">
      <w:pPr>
        <w:ind w:firstLine="800" w:firstLineChars="250"/>
        <w:rPr>
          <w:rFonts w:hint="eastAsia" w:eastAsia="仿宋_GB2312" w:cs="仿宋_GB2312"/>
          <w:sz w:val="32"/>
          <w:szCs w:val="32"/>
        </w:rPr>
      </w:pPr>
    </w:p>
    <w:p w14:paraId="1EC77624">
      <w:pPr>
        <w:ind w:firstLine="800" w:firstLineChars="250"/>
        <w:rPr>
          <w:rFonts w:hint="eastAsia" w:eastAsia="仿宋_GB2312" w:cs="仿宋_GB2312"/>
          <w:sz w:val="32"/>
          <w:szCs w:val="32"/>
        </w:rPr>
      </w:pPr>
    </w:p>
    <w:p w14:paraId="2BA28A52">
      <w:pPr>
        <w:ind w:firstLine="800" w:firstLineChars="250"/>
        <w:rPr>
          <w:rFonts w:hint="eastAsia" w:eastAsia="仿宋_GB2312" w:cs="仿宋_GB2312"/>
          <w:sz w:val="32"/>
          <w:szCs w:val="32"/>
        </w:rPr>
      </w:pPr>
    </w:p>
    <w:p w14:paraId="1E171761">
      <w:pPr>
        <w:rPr>
          <w:rFonts w:hint="eastAsia" w:eastAsia="仿宋_GB2312" w:cs="仿宋_GB2312"/>
          <w:sz w:val="32"/>
          <w:szCs w:val="32"/>
        </w:rPr>
      </w:pPr>
    </w:p>
    <w:p w14:paraId="17B523B2">
      <w:pPr>
        <w:ind w:firstLine="960" w:firstLineChars="300"/>
        <w:jc w:val="center"/>
        <w:rPr>
          <w:rFonts w:eastAsia="仿宋_GB2312" w:cs="仿宋_GB2312"/>
          <w:sz w:val="32"/>
          <w:szCs w:val="32"/>
        </w:rPr>
      </w:pPr>
      <w:r>
        <w:rPr>
          <w:rFonts w:hint="eastAsia" w:eastAsia="仿宋_GB2312" w:cs="仿宋_GB2312"/>
          <w:sz w:val="32"/>
          <w:szCs w:val="32"/>
        </w:rPr>
        <w:t>（图3：支出决算结构图）（饼状图）</w:t>
      </w:r>
    </w:p>
    <w:p w14:paraId="18D17A00">
      <w:pPr>
        <w:spacing w:line="600" w:lineRule="exact"/>
        <w:ind w:firstLine="640" w:firstLineChars="200"/>
        <w:outlineLvl w:val="1"/>
        <w:rPr>
          <w:rStyle w:val="29"/>
          <w:rFonts w:ascii="Times New Roman" w:hAnsi="Times New Roman" w:eastAsia="黑体"/>
          <w:b w:val="0"/>
        </w:rPr>
      </w:pPr>
      <w:r>
        <w:rPr>
          <w:rFonts w:hint="eastAsia" w:eastAsia="黑体"/>
          <w:sz w:val="32"/>
          <w:szCs w:val="32"/>
        </w:rPr>
        <w:t>四、财</w:t>
      </w:r>
      <w:r>
        <w:rPr>
          <w:rStyle w:val="29"/>
          <w:rFonts w:hint="eastAsia" w:ascii="Times New Roman" w:hAnsi="Times New Roman" w:eastAsia="黑体"/>
          <w:b w:val="0"/>
        </w:rPr>
        <w:t>政拨款收入支出决算总体情况说明</w:t>
      </w:r>
    </w:p>
    <w:p w14:paraId="140B1D62">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2024年度财政拨款收入、支出总计均为76.49</w:t>
      </w:r>
      <w:r>
        <w:rPr>
          <w:rFonts w:hint="eastAsia" w:eastAsia="仿宋_GB2312" w:cs="仿宋_GB2312"/>
          <w:sz w:val="32"/>
          <w:szCs w:val="32"/>
          <w:lang w:val="en-US" w:eastAsia="zh-CN"/>
        </w:rPr>
        <w:t>万元</w:t>
      </w:r>
      <w:r>
        <w:rPr>
          <w:rFonts w:hint="eastAsia" w:eastAsia="仿宋_GB2312" w:cs="仿宋_GB2312"/>
          <w:sz w:val="32"/>
          <w:szCs w:val="32"/>
        </w:rPr>
        <w:t>。与2023年度</w:t>
      </w:r>
      <w:r>
        <w:rPr>
          <w:rFonts w:hint="eastAsia" w:eastAsia="仿宋_GB2312" w:cs="仿宋_GB2312"/>
          <w:sz w:val="32"/>
          <w:szCs w:val="32"/>
          <w:lang w:eastAsia="zh-CN"/>
        </w:rPr>
        <w:t>（</w:t>
      </w:r>
      <w:r>
        <w:rPr>
          <w:rFonts w:hint="eastAsia" w:eastAsia="仿宋_GB2312" w:cs="仿宋_GB2312"/>
          <w:sz w:val="32"/>
          <w:szCs w:val="32"/>
        </w:rPr>
        <w:t>91.51万元</w:t>
      </w:r>
      <w:r>
        <w:rPr>
          <w:rFonts w:hint="eastAsia" w:eastAsia="仿宋_GB2312" w:cs="仿宋_GB2312"/>
          <w:sz w:val="32"/>
          <w:szCs w:val="32"/>
          <w:lang w:eastAsia="zh-CN"/>
        </w:rPr>
        <w:t>）</w:t>
      </w:r>
      <w:r>
        <w:rPr>
          <w:rFonts w:hint="eastAsia" w:eastAsia="仿宋_GB2312" w:cs="仿宋_GB2312"/>
          <w:sz w:val="32"/>
          <w:szCs w:val="32"/>
        </w:rPr>
        <w:t>相比，财政拨款收入总计、支出总计各减少</w:t>
      </w:r>
      <w:r>
        <w:rPr>
          <w:rFonts w:hint="eastAsia" w:eastAsia="仿宋_GB2312" w:cs="仿宋_GB2312"/>
          <w:sz w:val="32"/>
          <w:szCs w:val="32"/>
          <w:lang w:val="en-US" w:eastAsia="zh-CN"/>
        </w:rPr>
        <w:t>15.02</w:t>
      </w:r>
      <w:r>
        <w:rPr>
          <w:rFonts w:hint="eastAsia" w:eastAsia="仿宋_GB2312" w:cs="仿宋_GB2312"/>
          <w:sz w:val="32"/>
          <w:szCs w:val="32"/>
        </w:rPr>
        <w:t>万元，下降</w:t>
      </w:r>
      <w:r>
        <w:rPr>
          <w:rFonts w:hint="eastAsia" w:eastAsia="仿宋_GB2312" w:cs="仿宋_GB2312"/>
          <w:sz w:val="32"/>
          <w:szCs w:val="32"/>
          <w:lang w:val="en-US" w:eastAsia="zh-CN"/>
        </w:rPr>
        <w:t>19.64</w:t>
      </w:r>
      <w:r>
        <w:rPr>
          <w:rFonts w:hint="eastAsia" w:eastAsia="仿宋_GB2312" w:cs="仿宋_GB2312"/>
          <w:sz w:val="32"/>
          <w:szCs w:val="32"/>
        </w:rPr>
        <w:t>%。主要变动原因是</w:t>
      </w:r>
      <w:r>
        <w:rPr>
          <w:rFonts w:hint="eastAsia" w:eastAsia="仿宋_GB2312" w:cs="仿宋_GB2312"/>
          <w:sz w:val="32"/>
          <w:szCs w:val="32"/>
          <w:lang w:val="en-US" w:eastAsia="zh-CN"/>
        </w:rPr>
        <w:t>2023年实有人数4人，2024年实有人数3人，导致人员经费、公用经费都减少。</w:t>
      </w:r>
    </w:p>
    <w:p w14:paraId="358D48DE">
      <w:pPr>
        <w:spacing w:line="600" w:lineRule="exact"/>
        <w:ind w:firstLine="643" w:firstLineChars="200"/>
        <w:rPr>
          <w:rFonts w:hint="eastAsia" w:eastAsia="仿宋_GB2312" w:cs="仿宋_GB2312"/>
          <w:sz w:val="32"/>
          <w:szCs w:val="32"/>
        </w:rPr>
      </w:pPr>
      <w:r>
        <w:rPr>
          <w:rFonts w:ascii="仿宋" w:hAnsi="仿宋" w:eastAsia="仿宋"/>
          <w:b/>
          <w:sz w:val="32"/>
          <w:szCs w:val="32"/>
        </w:rPr>
        <w:pict>
          <v:shape id="_x0000_s1029" o:spid="_x0000_s1029" o:spt="75" type="#_x0000_t75" style="position:absolute;left:0pt;margin-left:30.3pt;margin-top:15.7pt;height:190.4pt;width:378.1pt;mso-wrap-distance-bottom:0pt;mso-wrap-distance-left:9pt;mso-wrap-distance-right:9pt;mso-wrap-distance-top:0pt;z-index:25166540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9" DrawAspect="Content" ObjectID="_1468075728" r:id="rId18">
            <o:LockedField>false</o:LockedField>
          </o:OLEObject>
        </w:pict>
      </w:r>
    </w:p>
    <w:p w14:paraId="6D254D7B">
      <w:pPr>
        <w:spacing w:line="600" w:lineRule="exact"/>
        <w:ind w:firstLine="640" w:firstLineChars="200"/>
        <w:rPr>
          <w:rFonts w:hint="eastAsia" w:eastAsia="仿宋_GB2312" w:cs="仿宋_GB2312"/>
          <w:sz w:val="32"/>
          <w:szCs w:val="32"/>
        </w:rPr>
      </w:pPr>
    </w:p>
    <w:p w14:paraId="76E70DC9">
      <w:pPr>
        <w:spacing w:line="600" w:lineRule="exact"/>
        <w:ind w:firstLine="640" w:firstLineChars="200"/>
        <w:rPr>
          <w:rFonts w:hint="eastAsia" w:eastAsia="仿宋_GB2312" w:cs="仿宋_GB2312"/>
          <w:sz w:val="32"/>
          <w:szCs w:val="32"/>
        </w:rPr>
      </w:pPr>
    </w:p>
    <w:p w14:paraId="735E2709">
      <w:pPr>
        <w:spacing w:line="600" w:lineRule="exact"/>
        <w:ind w:firstLine="640" w:firstLineChars="200"/>
        <w:rPr>
          <w:rFonts w:hint="eastAsia" w:eastAsia="仿宋_GB2312" w:cs="仿宋_GB2312"/>
          <w:sz w:val="32"/>
          <w:szCs w:val="32"/>
        </w:rPr>
      </w:pPr>
    </w:p>
    <w:p w14:paraId="45534263">
      <w:pPr>
        <w:spacing w:line="600" w:lineRule="exact"/>
        <w:ind w:firstLine="640" w:firstLineChars="200"/>
        <w:rPr>
          <w:rFonts w:hint="eastAsia" w:eastAsia="仿宋_GB2312" w:cs="仿宋_GB2312"/>
          <w:sz w:val="32"/>
          <w:szCs w:val="32"/>
        </w:rPr>
      </w:pPr>
    </w:p>
    <w:p w14:paraId="034CF0C1">
      <w:pPr>
        <w:spacing w:line="600" w:lineRule="exact"/>
        <w:ind w:firstLine="640" w:firstLineChars="200"/>
        <w:rPr>
          <w:rFonts w:hint="eastAsia" w:eastAsia="仿宋_GB2312" w:cs="仿宋_GB2312"/>
          <w:sz w:val="32"/>
          <w:szCs w:val="32"/>
        </w:rPr>
      </w:pPr>
    </w:p>
    <w:p w14:paraId="2896EBE5">
      <w:pPr>
        <w:spacing w:line="600" w:lineRule="exact"/>
        <w:ind w:firstLine="640" w:firstLineChars="200"/>
        <w:rPr>
          <w:rFonts w:hint="eastAsia" w:eastAsia="仿宋_GB2312" w:cs="仿宋_GB2312"/>
          <w:sz w:val="32"/>
          <w:szCs w:val="32"/>
        </w:rPr>
      </w:pPr>
    </w:p>
    <w:p w14:paraId="1A3CD710">
      <w:pPr>
        <w:spacing w:line="600" w:lineRule="exact"/>
        <w:ind w:firstLine="1280" w:firstLineChars="400"/>
        <w:rPr>
          <w:rFonts w:eastAsia="仿宋_GB2312" w:cs="仿宋_GB2312"/>
          <w:sz w:val="32"/>
          <w:szCs w:val="32"/>
        </w:rPr>
      </w:pPr>
      <w:r>
        <w:rPr>
          <w:rFonts w:hint="eastAsia" w:eastAsia="仿宋_GB2312" w:cs="仿宋_GB2312"/>
          <w:sz w:val="32"/>
          <w:szCs w:val="32"/>
        </w:rPr>
        <w:t>（图4：财政拨款收、支决算总计变动情况）</w:t>
      </w:r>
    </w:p>
    <w:p w14:paraId="5655300A">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p>
    <w:p w14:paraId="2CC7BD1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（一）一般公共预算财政拨款支出决算总体情况</w:t>
      </w:r>
    </w:p>
    <w:p w14:paraId="71E64F33">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2024年度一般公共预算财政拨款支出76.49万元，占本年支出合计的100%。与2023年度（91.51万元）相比，一般公共预算财政拨款支出减少15.02万元，下降19.64%。主要变动原因是2023年实有人数4人，2024年实有人数3人，导致人员经费、公用经费都减少。</w:t>
      </w:r>
    </w:p>
    <w:p w14:paraId="3F807B1D">
      <w:pPr>
        <w:spacing w:line="600" w:lineRule="exact"/>
        <w:ind w:firstLine="640"/>
        <w:rPr>
          <w:rFonts w:hint="eastAsia" w:eastAsia="仿宋_GB2312" w:cs="仿宋_GB2312"/>
          <w:sz w:val="32"/>
          <w:szCs w:val="32"/>
          <w:lang w:val="en-US" w:eastAsia="zh-CN"/>
        </w:rPr>
      </w:pPr>
    </w:p>
    <w:p w14:paraId="2075EE34">
      <w:pPr>
        <w:spacing w:line="600" w:lineRule="exact"/>
        <w:ind w:firstLine="640"/>
        <w:rPr>
          <w:rFonts w:hint="eastAsia" w:eastAsia="仿宋_GB2312" w:cs="仿宋_GB2312"/>
          <w:sz w:val="32"/>
          <w:szCs w:val="32"/>
          <w:lang w:val="en-US" w:eastAsia="zh-CN"/>
        </w:rPr>
      </w:pPr>
      <w:r>
        <w:rPr>
          <w:rFonts w:hint="default" w:ascii="仿宋" w:hAnsi="仿宋" w:eastAsia="仿宋" w:cs="Times New Roman"/>
          <w:sz w:val="32"/>
          <w:szCs w:val="32"/>
        </w:rPr>
        <w:pict>
          <v:shape id="_x0000_s1030" o:spid="_x0000_s1030" o:spt="75" type="#_x0000_t75" style="position:absolute;left:0pt;margin-left:35pt;margin-top:13.15pt;height:183.6pt;width:367.1pt;mso-wrap-distance-bottom:0pt;mso-wrap-distance-left:9pt;mso-wrap-distance-right:9pt;mso-wrap-distance-top:0pt;z-index:251666432;mso-width-relative:page;mso-height-relative:page;" o:ole="t" filled="f" o:preferrelative="t" stroked="f" coordsize="21600,21600">
            <v:path/>
            <v:fill on="f" focussize="0,0"/>
            <v:stroke on="f"/>
            <v:imagedata r:id="rId21" o:title=""/>
            <o:lock v:ext="edit" aspectratio="t"/>
            <w10:wrap type="square"/>
          </v:shape>
          <o:OLEObject Type="Embed" ProgID="Excel.Chart.8" ShapeID="_x0000_s1030" DrawAspect="Content" ObjectID="_1468075729" r:id="rId20">
            <o:LockedField>false</o:LockedField>
          </o:OLEObject>
        </w:pict>
      </w:r>
    </w:p>
    <w:p w14:paraId="10BA9306">
      <w:pPr>
        <w:spacing w:line="600" w:lineRule="exact"/>
        <w:ind w:firstLine="640"/>
        <w:rPr>
          <w:rFonts w:hint="eastAsia" w:eastAsia="仿宋_GB2312" w:cs="仿宋_GB2312"/>
          <w:sz w:val="32"/>
          <w:szCs w:val="32"/>
          <w:lang w:val="en-US" w:eastAsia="zh-CN"/>
        </w:rPr>
      </w:pPr>
    </w:p>
    <w:p w14:paraId="45E191B2">
      <w:pPr>
        <w:spacing w:line="600" w:lineRule="exact"/>
        <w:ind w:firstLine="640"/>
        <w:rPr>
          <w:rFonts w:hint="eastAsia" w:eastAsia="仿宋_GB2312" w:cs="仿宋_GB2312"/>
          <w:sz w:val="32"/>
          <w:szCs w:val="32"/>
          <w:lang w:val="en-US" w:eastAsia="zh-CN"/>
        </w:rPr>
      </w:pPr>
    </w:p>
    <w:p w14:paraId="7FF9D132">
      <w:pPr>
        <w:spacing w:line="600" w:lineRule="exact"/>
        <w:ind w:firstLine="640"/>
        <w:rPr>
          <w:rFonts w:hint="eastAsia" w:eastAsia="仿宋_GB2312" w:cs="仿宋_GB2312"/>
          <w:sz w:val="32"/>
          <w:szCs w:val="32"/>
          <w:lang w:val="en-US" w:eastAsia="zh-CN"/>
        </w:rPr>
      </w:pPr>
    </w:p>
    <w:p w14:paraId="26976783">
      <w:pPr>
        <w:spacing w:line="600" w:lineRule="exact"/>
        <w:ind w:firstLine="640"/>
        <w:rPr>
          <w:rFonts w:hint="eastAsia" w:eastAsia="仿宋_GB2312" w:cs="仿宋_GB2312"/>
          <w:sz w:val="32"/>
          <w:szCs w:val="32"/>
        </w:rPr>
      </w:pPr>
    </w:p>
    <w:p w14:paraId="48C4F88E">
      <w:pPr>
        <w:spacing w:line="600" w:lineRule="exact"/>
        <w:ind w:firstLine="640"/>
        <w:rPr>
          <w:rFonts w:hint="eastAsia" w:eastAsia="仿宋_GB2312" w:cs="仿宋_GB2312"/>
          <w:sz w:val="32"/>
          <w:szCs w:val="32"/>
        </w:rPr>
      </w:pPr>
    </w:p>
    <w:p w14:paraId="28769493">
      <w:pPr>
        <w:spacing w:line="600" w:lineRule="exact"/>
        <w:ind w:firstLine="640"/>
        <w:rPr>
          <w:rFonts w:hint="eastAsia" w:eastAsia="仿宋_GB2312" w:cs="仿宋_GB2312"/>
          <w:sz w:val="32"/>
          <w:szCs w:val="32"/>
        </w:rPr>
      </w:pPr>
    </w:p>
    <w:p w14:paraId="6D828D87">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22E170B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p>
    <w:p w14:paraId="2F0BB5A3">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2024年度一般公共预算财政拨款支出76.49万元，主要用于以下方面：社会保障和就业支出65.75万元，占85.96%；卫生健康支出5.70万元，占7.46%；住房保障支出5.04万元，占6.58%。</w:t>
      </w:r>
    </w:p>
    <w:p w14:paraId="6BBA95FA">
      <w:pPr>
        <w:spacing w:line="600" w:lineRule="exact"/>
        <w:ind w:firstLine="640"/>
        <w:rPr>
          <w:rFonts w:hint="eastAsia" w:eastAsia="仿宋_GB2312" w:cs="仿宋_GB2312"/>
          <w:sz w:val="32"/>
          <w:szCs w:val="32"/>
          <w:lang w:eastAsia="zh-CN"/>
        </w:rPr>
      </w:pPr>
      <w:r>
        <w:rPr>
          <w:rFonts w:hint="eastAsia" w:ascii="仿宋" w:hAnsi="仿宋" w:eastAsia="仿宋" w:cs="Times New Roman"/>
          <w:sz w:val="32"/>
          <w:szCs w:val="32"/>
        </w:rPr>
        <w:pict>
          <v:shape id="_x0000_s1031" o:spid="_x0000_s1031" o:spt="75" type="#_x0000_t75" style="position:absolute;left:0pt;margin-left:30.15pt;margin-top:9pt;height:222.75pt;width:368.05pt;mso-wrap-distance-bottom:0pt;mso-wrap-distance-left:9pt;mso-wrap-distance-right:9pt;mso-wrap-distance-top:0pt;z-index:251667456;mso-width-relative:page;mso-height-relative:page;" o:ole="t" filled="f" o:preferrelative="t" stroked="f" coordsize="21600,21600">
            <v:path/>
            <v:fill on="f" focussize="0,0"/>
            <v:stroke on="f"/>
            <v:imagedata r:id="rId23" o:title=""/>
            <o:lock v:ext="edit" aspectratio="t"/>
            <w10:wrap type="square"/>
          </v:shape>
          <o:OLEObject Type="Embed" ProgID="Excel.Chart.8" ShapeID="_x0000_s1031" DrawAspect="Content" ObjectID="_1468075730" r:id="rId22">
            <o:LockedField>false</o:LockedField>
          </o:OLEObject>
        </w:pict>
      </w:r>
    </w:p>
    <w:p w14:paraId="6BAC3BA4">
      <w:pPr>
        <w:spacing w:line="600" w:lineRule="exact"/>
        <w:ind w:firstLine="640"/>
        <w:rPr>
          <w:rFonts w:hint="eastAsia" w:eastAsia="仿宋_GB2312" w:cs="仿宋_GB2312"/>
          <w:sz w:val="32"/>
          <w:szCs w:val="32"/>
          <w:lang w:eastAsia="zh-CN"/>
        </w:rPr>
      </w:pPr>
    </w:p>
    <w:p w14:paraId="43481D92">
      <w:pPr>
        <w:spacing w:line="600" w:lineRule="exact"/>
        <w:ind w:firstLine="640"/>
        <w:rPr>
          <w:rFonts w:hint="eastAsia" w:eastAsia="仿宋_GB2312" w:cs="仿宋_GB2312"/>
          <w:sz w:val="32"/>
          <w:szCs w:val="32"/>
          <w:lang w:eastAsia="zh-CN"/>
        </w:rPr>
      </w:pPr>
    </w:p>
    <w:p w14:paraId="729E5F40">
      <w:pPr>
        <w:spacing w:line="600" w:lineRule="exact"/>
        <w:ind w:firstLine="640"/>
        <w:rPr>
          <w:rFonts w:hint="eastAsia" w:eastAsia="仿宋_GB2312" w:cs="仿宋_GB2312"/>
          <w:sz w:val="32"/>
          <w:szCs w:val="32"/>
          <w:lang w:eastAsia="zh-CN"/>
        </w:rPr>
      </w:pPr>
    </w:p>
    <w:p w14:paraId="1CFCB852">
      <w:pPr>
        <w:spacing w:line="600" w:lineRule="exact"/>
        <w:ind w:firstLine="640"/>
        <w:rPr>
          <w:rFonts w:hint="eastAsia" w:eastAsia="仿宋_GB2312" w:cs="仿宋_GB2312"/>
          <w:sz w:val="32"/>
          <w:szCs w:val="32"/>
          <w:lang w:eastAsia="zh-CN"/>
        </w:rPr>
      </w:pPr>
    </w:p>
    <w:p w14:paraId="65C363BF">
      <w:pPr>
        <w:spacing w:line="600" w:lineRule="exact"/>
        <w:ind w:firstLine="640"/>
        <w:rPr>
          <w:rFonts w:hint="eastAsia" w:eastAsia="仿宋_GB2312" w:cs="仿宋_GB2312"/>
          <w:sz w:val="32"/>
          <w:szCs w:val="32"/>
          <w:lang w:val="en-US" w:eastAsia="zh-CN"/>
        </w:rPr>
      </w:pPr>
    </w:p>
    <w:p w14:paraId="41EC0782">
      <w:pPr>
        <w:spacing w:line="600" w:lineRule="exact"/>
        <w:rPr>
          <w:rFonts w:hint="eastAsia" w:eastAsia="仿宋_GB2312" w:cs="仿宋_GB2312"/>
          <w:sz w:val="32"/>
          <w:szCs w:val="32"/>
        </w:rPr>
      </w:pPr>
    </w:p>
    <w:p w14:paraId="317761F5">
      <w:pPr>
        <w:spacing w:line="600" w:lineRule="exact"/>
        <w:rPr>
          <w:rFonts w:hint="eastAsia" w:eastAsia="仿宋_GB2312" w:cs="仿宋_GB2312"/>
          <w:sz w:val="32"/>
          <w:szCs w:val="32"/>
        </w:rPr>
      </w:pPr>
    </w:p>
    <w:p w14:paraId="4397E18C">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18EEC502">
      <w:pPr>
        <w:spacing w:line="600" w:lineRule="exact"/>
        <w:ind w:firstLine="643" w:firstLineChars="200"/>
        <w:outlineLvl w:val="2"/>
        <w:rPr>
          <w:rFonts w:hint="eastAsia" w:eastAsia="楷体_GB2312" w:cs="楷体_GB2312"/>
          <w:b/>
          <w:sz w:val="32"/>
          <w:szCs w:val="32"/>
        </w:rPr>
      </w:pPr>
    </w:p>
    <w:p w14:paraId="15091EF6">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p>
    <w:p w14:paraId="1BFF0491">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2024年度一般公共预算财政拨款支出决算数为76.49万元，完成预算100%。其中：</w:t>
      </w:r>
    </w:p>
    <w:p w14:paraId="1C8B9FB7">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社会保障和就业（208类）行政事业单位养老支出（05款）机关事业单位基本养老保险缴费支出（05项）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支出决算为</w:t>
      </w:r>
      <w:r>
        <w:rPr>
          <w:rFonts w:hint="eastAsia" w:ascii="Times New Roman" w:hAnsi="Times New Roman" w:eastAsia="仿宋_GB2312" w:cs="仿宋_GB2312"/>
          <w:sz w:val="32"/>
          <w:szCs w:val="32"/>
          <w:lang w:val="en-US" w:eastAsia="zh-CN"/>
        </w:rPr>
        <w:t>6.31</w:t>
      </w:r>
      <w:r>
        <w:rPr>
          <w:rFonts w:hint="eastAsia" w:ascii="Times New Roman" w:hAnsi="Times New Roman" w:eastAsia="仿宋_GB2312" w:cs="仿宋_GB2312"/>
          <w:sz w:val="32"/>
          <w:szCs w:val="32"/>
        </w:rPr>
        <w:t>万元，完成预算100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，决算数等于预算数。</w:t>
      </w:r>
    </w:p>
    <w:p w14:paraId="6E20EBC5">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社会保障和就业（208类）红十字事业（16款）行政运行（01项）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支出决算为</w:t>
      </w:r>
      <w:r>
        <w:rPr>
          <w:rFonts w:hint="eastAsia" w:ascii="Times New Roman" w:hAnsi="Times New Roman" w:eastAsia="仿宋_GB2312" w:cs="仿宋_GB2312"/>
          <w:sz w:val="32"/>
          <w:szCs w:val="32"/>
          <w:lang w:val="en-US" w:eastAsia="zh-CN"/>
        </w:rPr>
        <w:t>49.64</w:t>
      </w:r>
      <w:r>
        <w:rPr>
          <w:rFonts w:hint="eastAsia" w:ascii="Times New Roman" w:hAnsi="Times New Roman" w:eastAsia="仿宋_GB2312" w:cs="仿宋_GB2312"/>
          <w:sz w:val="32"/>
          <w:szCs w:val="32"/>
        </w:rPr>
        <w:t>万元，完成预算100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，决算数等于预算数。</w:t>
      </w:r>
    </w:p>
    <w:p w14:paraId="3459C3D7">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社会保障和就业（208类）红十字事业（16款）其他红十字事业支出（99项）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支出决算为</w:t>
      </w:r>
      <w:r>
        <w:rPr>
          <w:rFonts w:hint="eastAsia" w:ascii="Times New Roman" w:hAnsi="Times New Roman" w:eastAsia="仿宋_GB2312" w:cs="仿宋_GB2312"/>
          <w:sz w:val="32"/>
          <w:szCs w:val="32"/>
          <w:lang w:val="en-US" w:eastAsia="zh-CN"/>
        </w:rPr>
        <w:t>9.80</w:t>
      </w:r>
      <w:r>
        <w:rPr>
          <w:rFonts w:hint="eastAsia" w:ascii="Times New Roman" w:hAnsi="Times New Roman" w:eastAsia="仿宋_GB2312" w:cs="仿宋_GB2312"/>
          <w:sz w:val="32"/>
          <w:szCs w:val="32"/>
        </w:rPr>
        <w:t>万元，完成预算100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，决算数等于预算数。</w:t>
      </w:r>
    </w:p>
    <w:p w14:paraId="5819B935">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卫生健康（210类）行政事业单位医疗（11款）行政单位医疗（01项）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支出决算为3.</w:t>
      </w:r>
      <w:r>
        <w:rPr>
          <w:rFonts w:hint="eastAsia" w:ascii="Times New Roman" w:hAnsi="Times New Roman" w:eastAsia="仿宋_GB2312" w:cs="仿宋_GB2312"/>
          <w:sz w:val="32"/>
          <w:szCs w:val="32"/>
          <w:lang w:val="en-US" w:eastAsia="zh-CN"/>
        </w:rPr>
        <w:t>45</w:t>
      </w:r>
      <w:r>
        <w:rPr>
          <w:rFonts w:hint="eastAsia" w:ascii="Times New Roman" w:hAnsi="Times New Roman" w:eastAsia="仿宋_GB2312" w:cs="仿宋_GB2312"/>
          <w:sz w:val="32"/>
          <w:szCs w:val="32"/>
        </w:rPr>
        <w:t>万元，完成预算100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，决算数等于预算数。</w:t>
      </w:r>
    </w:p>
    <w:p w14:paraId="4A6A9C9B">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卫生健康（210类）行政事业单位医疗（11款）公务员医疗补助（03项）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支出决算为0.</w:t>
      </w:r>
      <w:r>
        <w:rPr>
          <w:rFonts w:hint="eastAsia" w:ascii="Times New Roman" w:hAnsi="Times New Roman" w:eastAsia="仿宋_GB2312" w:cs="仿宋_GB2312"/>
          <w:sz w:val="32"/>
          <w:szCs w:val="32"/>
          <w:lang w:val="en-US" w:eastAsia="zh-CN"/>
        </w:rPr>
        <w:t>38</w:t>
      </w:r>
      <w:r>
        <w:rPr>
          <w:rFonts w:hint="eastAsia" w:ascii="Times New Roman" w:hAnsi="Times New Roman" w:eastAsia="仿宋_GB2312" w:cs="仿宋_GB2312"/>
          <w:sz w:val="32"/>
          <w:szCs w:val="32"/>
        </w:rPr>
        <w:t>万元，完成预算100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，决算数等于预算数。</w:t>
      </w:r>
    </w:p>
    <w:p w14:paraId="6FCFBF66">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卫生健康（210类）行政事业单位医疗（11款）其他行政事业单位医疗支出（99项）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支出决算为</w:t>
      </w:r>
      <w:r>
        <w:rPr>
          <w:rFonts w:hint="eastAsia" w:ascii="Times New Roman" w:hAnsi="Times New Roman" w:eastAsia="仿宋_GB2312" w:cs="仿宋_GB2312"/>
          <w:sz w:val="32"/>
          <w:szCs w:val="32"/>
          <w:lang w:val="en-US" w:eastAsia="zh-CN"/>
        </w:rPr>
        <w:t>1.87</w:t>
      </w:r>
      <w:r>
        <w:rPr>
          <w:rFonts w:hint="eastAsia" w:ascii="Times New Roman" w:hAnsi="Times New Roman" w:eastAsia="仿宋_GB2312" w:cs="仿宋_GB2312"/>
          <w:sz w:val="32"/>
          <w:szCs w:val="32"/>
        </w:rPr>
        <w:t>万元，完成预算100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，决算数等于预算数。</w:t>
      </w:r>
    </w:p>
    <w:p w14:paraId="50B6B027">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7.住房保障（221类）住房改革支出（02款）住房公积金（01项）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支出决算为</w:t>
      </w:r>
      <w:r>
        <w:rPr>
          <w:rFonts w:hint="eastAsia" w:ascii="Times New Roman" w:hAnsi="Times New Roman" w:eastAsia="仿宋_GB2312" w:cs="仿宋_GB2312"/>
          <w:sz w:val="32"/>
          <w:szCs w:val="32"/>
          <w:lang w:val="en-US" w:eastAsia="zh-CN"/>
        </w:rPr>
        <w:t>5.04</w:t>
      </w:r>
      <w:r>
        <w:rPr>
          <w:rFonts w:hint="eastAsia" w:ascii="Times New Roman" w:hAnsi="Times New Roman" w:eastAsia="仿宋_GB2312" w:cs="仿宋_GB2312"/>
          <w:sz w:val="32"/>
          <w:szCs w:val="32"/>
        </w:rPr>
        <w:t>万元，完成预算100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，决算数等于预算数。</w:t>
      </w:r>
    </w:p>
    <w:p w14:paraId="56848901">
      <w:pPr>
        <w:tabs>
          <w:tab w:val="right" w:pos="8306"/>
        </w:tabs>
        <w:spacing w:line="600" w:lineRule="exact"/>
        <w:ind w:firstLine="640" w:firstLineChars="200"/>
        <w:outlineLvl w:val="1"/>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r>
        <w:rPr>
          <w:rStyle w:val="29"/>
          <w:rFonts w:ascii="Times New Roman" w:hAnsi="Times New Roman" w:eastAsia="黑体"/>
          <w:b w:val="0"/>
        </w:rPr>
        <w:tab/>
      </w:r>
    </w:p>
    <w:p w14:paraId="1CC72323">
      <w:pPr>
        <w:spacing w:line="60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人员经费</w:t>
      </w:r>
      <w:r>
        <w:rPr>
          <w:rFonts w:hint="eastAsia" w:ascii="Times New Roman" w:hAnsi="Times New Roman" w:eastAsia="仿宋_GB2312" w:cs="仿宋_GB2312"/>
          <w:sz w:val="32"/>
          <w:szCs w:val="32"/>
        </w:rPr>
        <w:t>60.13</w:t>
      </w:r>
      <w:r>
        <w:rPr>
          <w:rFonts w:hint="eastAsia" w:ascii="Times New Roman" w:hAnsi="Times New Roman" w:eastAsia="仿宋_GB2312" w:cs="仿宋_GB2312"/>
          <w:sz w:val="32"/>
          <w:szCs w:val="32"/>
          <w:lang w:val="en-US" w:eastAsia="zh-CN"/>
        </w:rPr>
        <w:t>万元，主要包括：</w:t>
      </w:r>
      <w:r>
        <w:rPr>
          <w:rFonts w:hint="eastAsia" w:ascii="Times New Roman" w:hAnsi="Times New Roman" w:eastAsia="仿宋_GB2312" w:cs="仿宋_GB2312"/>
          <w:sz w:val="32"/>
          <w:szCs w:val="32"/>
        </w:rPr>
        <w:t>基本工资、津贴补贴、奖金、其他工资福利支出、机关事业单位基本养老保险缴费、其他社会保障缴费、医疗费补助、住房公积金、奖励金等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br w:type="textWrapping"/>
      </w:r>
      <w:r>
        <w:rPr>
          <w:rFonts w:hint="eastAsia" w:ascii="Times New Roman" w:hAnsi="Times New Roman" w:eastAsia="仿宋_GB2312" w:cs="仿宋_GB2312"/>
          <w:sz w:val="32"/>
          <w:szCs w:val="32"/>
          <w:lang w:val="en-US" w:eastAsia="zh-CN"/>
        </w:rPr>
        <w:t>　　公用经费</w:t>
      </w:r>
      <w:r>
        <w:rPr>
          <w:rFonts w:hint="eastAsia" w:ascii="Times New Roman" w:hAnsi="Times New Roman" w:eastAsia="仿宋_GB2312" w:cs="仿宋_GB2312"/>
          <w:sz w:val="32"/>
          <w:szCs w:val="32"/>
        </w:rPr>
        <w:t>6.56</w:t>
      </w:r>
      <w:r>
        <w:rPr>
          <w:rFonts w:hint="eastAsia" w:ascii="Times New Roman" w:hAnsi="Times New Roman" w:eastAsia="仿宋_GB2312" w:cs="仿宋_GB2312"/>
          <w:sz w:val="32"/>
          <w:szCs w:val="32"/>
          <w:lang w:val="en-US" w:eastAsia="zh-CN"/>
        </w:rPr>
        <w:t>万元，主要包括：</w:t>
      </w:r>
      <w:r>
        <w:rPr>
          <w:rFonts w:hint="eastAsia" w:ascii="Times New Roman" w:hAnsi="Times New Roman" w:eastAsia="仿宋_GB2312" w:cs="仿宋_GB2312"/>
          <w:sz w:val="32"/>
          <w:szCs w:val="32"/>
        </w:rPr>
        <w:t>办公费、印刷费电费、邮电费、差旅费、培训费、专用材料费、劳务费、工会经费、福利费、其他交通费、其他商品和服务支出等。</w:t>
      </w:r>
    </w:p>
    <w:p w14:paraId="4F642F57">
      <w:pPr>
        <w:spacing w:line="600" w:lineRule="exact"/>
        <w:ind w:firstLine="640"/>
        <w:outlineLvl w:val="1"/>
        <w:rPr>
          <w:rStyle w:val="29"/>
          <w:rFonts w:ascii="Times New Roman" w:hAnsi="Times New Roman" w:eastAsia="黑体"/>
          <w:b w:val="0"/>
        </w:rPr>
      </w:pPr>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p>
    <w:p w14:paraId="680B228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（一）“三公”经费财政拨款支出决算总体情况说明</w:t>
      </w:r>
    </w:p>
    <w:p w14:paraId="108CC8BE">
      <w:pPr>
        <w:spacing w:line="600" w:lineRule="exact"/>
        <w:ind w:firstLine="64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2023年-</w:t>
      </w:r>
      <w:r>
        <w:rPr>
          <w:rFonts w:hint="eastAsia" w:ascii="Times New Roman" w:hAnsi="Times New Roman" w:eastAsia="仿宋_GB2312" w:cs="仿宋_GB2312"/>
          <w:sz w:val="32"/>
          <w:szCs w:val="32"/>
        </w:rPr>
        <w:t>2024年度“三公”经费财政拨款支出决算为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万元，完成预算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14:paraId="27A64045">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（二）“三公”经费财政拨款支出决算具体情况说明</w:t>
      </w:r>
    </w:p>
    <w:p w14:paraId="1523708B">
      <w:pPr>
        <w:spacing w:line="60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pict>
          <v:shape id="_x0000_s1032" o:spid="_x0000_s1032" o:spt="75" type="#_x0000_t75" style="position:absolute;left:0pt;margin-left:37.5pt;margin-top:121.05pt;height:190.55pt;width:340.35pt;mso-wrap-distance-bottom:0pt;mso-wrap-distance-left:9pt;mso-wrap-distance-right:9pt;mso-wrap-distance-top:0pt;z-index:251668480;mso-width-relative:page;mso-height-relative:page;" o:ole="t" filled="f" o:preferrelative="t" stroked="f" coordsize="21600,21600">
            <v:path/>
            <v:fill on="f" focussize="0,0"/>
            <v:stroke on="f"/>
            <v:imagedata r:id="rId25" o:title=""/>
            <o:lock v:ext="edit" aspectratio="t"/>
            <w10:wrap type="square"/>
          </v:shape>
          <o:OLEObject Type="Embed" ProgID="Excel.Chart.8" ShapeID="_x0000_s1032" DrawAspect="Content" ObjectID="_1468075731" r:id="rId24">
            <o:LockedField>false</o:LockedField>
          </o:OLEObject>
        </w:pict>
      </w:r>
      <w:r>
        <w:rPr>
          <w:rFonts w:hint="eastAsia" w:ascii="Times New Roman" w:hAnsi="Times New Roman" w:eastAsia="仿宋_GB2312" w:cs="仿宋_GB2312"/>
          <w:sz w:val="32"/>
          <w:szCs w:val="32"/>
        </w:rPr>
        <w:t>2024年度“三公”经费财政拨款支出决算中，因公出国（境）费支出决算</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万元，占</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；公务用车购置及运行维护费支出决算</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万元，占</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；公务接待费支出决算</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万元，占</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。具体情况如下：</w:t>
      </w:r>
    </w:p>
    <w:p w14:paraId="64EC5CB1">
      <w:pPr>
        <w:spacing w:line="600" w:lineRule="exact"/>
        <w:ind w:firstLine="640"/>
        <w:rPr>
          <w:rFonts w:hint="eastAsia" w:ascii="仿宋" w:hAnsi="仿宋" w:eastAsia="仿宋" w:cs="Times New Roman"/>
          <w:sz w:val="32"/>
          <w:szCs w:val="32"/>
        </w:rPr>
      </w:pPr>
    </w:p>
    <w:p w14:paraId="62AD654C">
      <w:pPr>
        <w:spacing w:line="600" w:lineRule="exact"/>
        <w:ind w:firstLine="640"/>
        <w:rPr>
          <w:rFonts w:hint="eastAsia" w:ascii="仿宋" w:hAnsi="仿宋" w:eastAsia="仿宋" w:cs="Times New Roman"/>
          <w:sz w:val="32"/>
          <w:szCs w:val="32"/>
        </w:rPr>
      </w:pPr>
    </w:p>
    <w:p w14:paraId="5D7357C0">
      <w:pPr>
        <w:spacing w:line="600" w:lineRule="exact"/>
        <w:ind w:firstLine="640"/>
        <w:jc w:val="center"/>
        <w:rPr>
          <w:rFonts w:hint="eastAsia" w:eastAsia="仿宋_GB2312" w:cs="仿宋_GB2312"/>
          <w:sz w:val="32"/>
          <w:szCs w:val="32"/>
        </w:rPr>
      </w:pPr>
      <w:r>
        <w:rPr>
          <w:rFonts w:hint="eastAsia" w:eastAsia="仿宋_GB2312" w:cs="仿宋_GB2312"/>
          <w:sz w:val="32"/>
          <w:szCs w:val="32"/>
        </w:rPr>
        <w:t>（图7：“三公”经费财政拨款支出结构）</w:t>
      </w:r>
    </w:p>
    <w:p w14:paraId="127CFC7C">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rPr>
        <w:t>因公出国（境）经费支出</w:t>
      </w:r>
      <w:r>
        <w:rPr>
          <w:rFonts w:hint="default" w:ascii="Times New Roman" w:hAnsi="Times New Roman" w:eastAsia="仿宋_GB2312" w:cs="仿宋_GB2312"/>
          <w:b/>
          <w:bCs/>
          <w:sz w:val="32"/>
          <w:szCs w:val="32"/>
        </w:rPr>
        <w:t>0</w:t>
      </w:r>
      <w:r>
        <w:rPr>
          <w:rFonts w:hint="eastAsia" w:ascii="Times New Roman" w:hAnsi="Times New Roman" w:eastAsia="仿宋_GB2312" w:cs="仿宋_GB2312"/>
          <w:b/>
          <w:bCs/>
          <w:sz w:val="32"/>
          <w:szCs w:val="32"/>
        </w:rPr>
        <w:t>万元，</w:t>
      </w:r>
      <w:r>
        <w:rPr>
          <w:rFonts w:hint="eastAsia" w:ascii="Times New Roman" w:hAnsi="Times New Roman" w:eastAsia="仿宋_GB2312" w:cs="仿宋_GB2312"/>
          <w:sz w:val="32"/>
          <w:szCs w:val="32"/>
        </w:rPr>
        <w:t>完成预算</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。全年安排因公出国（境）团组</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次，出国（境）</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人。因公出国（境）支出决算比202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年增加0万元，增长0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w:t>
      </w:r>
    </w:p>
    <w:p w14:paraId="0A3FCBC7">
      <w:pPr>
        <w:spacing w:line="600" w:lineRule="exact"/>
        <w:ind w:firstLine="640"/>
        <w:rPr>
          <w:rFonts w:hint="default" w:ascii="Times New Roman" w:hAnsi="Times New Roman" w:eastAsia="仿宋_GB2312" w:cs="仿宋_GB2312"/>
          <w:sz w:val="32"/>
          <w:szCs w:val="32"/>
        </w:rPr>
      </w:pPr>
      <w:r>
        <w:rPr>
          <w:rFonts w:hint="default" w:ascii="Times New Roman" w:hAnsi="Times New Roman" w:eastAsia="仿宋_GB2312" w:cs="仿宋_GB2312"/>
          <w:b/>
          <w:bCs/>
          <w:sz w:val="32"/>
          <w:szCs w:val="32"/>
        </w:rPr>
        <w:t>2.</w:t>
      </w:r>
      <w:r>
        <w:rPr>
          <w:rFonts w:hint="eastAsia" w:ascii="Times New Roman" w:hAnsi="Times New Roman" w:eastAsia="仿宋_GB2312" w:cs="仿宋_GB2312"/>
          <w:b/>
          <w:bCs/>
          <w:sz w:val="32"/>
          <w:szCs w:val="32"/>
        </w:rPr>
        <w:t>公务用车购置及运行维护费支出</w:t>
      </w:r>
      <w:r>
        <w:rPr>
          <w:rFonts w:hint="default" w:ascii="Times New Roman" w:hAnsi="Times New Roman" w:eastAsia="仿宋_GB2312" w:cs="仿宋_GB2312"/>
          <w:b/>
          <w:bCs/>
          <w:sz w:val="32"/>
          <w:szCs w:val="32"/>
        </w:rPr>
        <w:t>0</w:t>
      </w:r>
      <w:r>
        <w:rPr>
          <w:rFonts w:hint="eastAsia" w:ascii="Times New Roman" w:hAnsi="Times New Roman" w:eastAsia="仿宋_GB2312" w:cs="仿宋_GB2312"/>
          <w:b/>
          <w:bCs/>
          <w:sz w:val="32"/>
          <w:szCs w:val="32"/>
        </w:rPr>
        <w:t>万元</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完成预算</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。公务用车购置及运行维护费支出决算比202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年度增加0万元，增长0</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w:t>
      </w:r>
    </w:p>
    <w:p w14:paraId="1B1250EC">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其中：公务用车购置支出</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万元。</w:t>
      </w:r>
    </w:p>
    <w:p w14:paraId="646F899C">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公务用车运行维护费支出</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万元。</w:t>
      </w:r>
    </w:p>
    <w:p w14:paraId="08A1572E">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b/>
          <w:bCs/>
          <w:sz w:val="32"/>
          <w:szCs w:val="32"/>
        </w:rPr>
        <w:t>3.公务接待费支出</w:t>
      </w:r>
      <w:r>
        <w:rPr>
          <w:rFonts w:hint="default" w:ascii="Times New Roman" w:hAnsi="Times New Roman" w:eastAsia="仿宋_GB2312" w:cs="仿宋_GB2312"/>
          <w:b/>
          <w:bCs/>
          <w:sz w:val="32"/>
          <w:szCs w:val="32"/>
        </w:rPr>
        <w:t>0</w:t>
      </w:r>
      <w:r>
        <w:rPr>
          <w:rFonts w:hint="eastAsia" w:ascii="Times New Roman" w:hAnsi="Times New Roman" w:eastAsia="仿宋_GB2312" w:cs="仿宋_GB2312"/>
          <w:b/>
          <w:bCs/>
          <w:sz w:val="32"/>
          <w:szCs w:val="32"/>
        </w:rPr>
        <w:t>万元</w:t>
      </w:r>
      <w:r>
        <w:rPr>
          <w:rFonts w:hint="eastAsia" w:ascii="仿宋" w:hAnsi="仿宋" w:eastAsia="仿宋" w:cs="Times New Roman"/>
          <w:sz w:val="32"/>
          <w:szCs w:val="32"/>
        </w:rPr>
        <w:t>，</w:t>
      </w:r>
      <w:r>
        <w:rPr>
          <w:rFonts w:hint="eastAsia" w:ascii="Times New Roman" w:hAnsi="Times New Roman" w:eastAsia="仿宋_GB2312" w:cs="仿宋_GB2312"/>
          <w:sz w:val="32"/>
          <w:szCs w:val="32"/>
        </w:rPr>
        <w:t>完成预算</w:t>
      </w:r>
      <w:r>
        <w:rPr>
          <w:rFonts w:hint="default" w:ascii="Times New Roman" w:hAnsi="Times New Roman" w:eastAsia="仿宋_GB2312" w:cs="仿宋_GB2312"/>
          <w:sz w:val="32"/>
          <w:szCs w:val="32"/>
        </w:rPr>
        <w:t>0%</w:t>
      </w:r>
      <w:r>
        <w:rPr>
          <w:rFonts w:hint="eastAsia" w:ascii="Times New Roman" w:hAnsi="Times New Roman" w:eastAsia="仿宋_GB2312" w:cs="仿宋_GB2312"/>
          <w:sz w:val="32"/>
          <w:szCs w:val="32"/>
        </w:rPr>
        <w:t>。</w:t>
      </w:r>
    </w:p>
    <w:p w14:paraId="14B54299">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国内公务接待支出0万元。</w:t>
      </w:r>
    </w:p>
    <w:p w14:paraId="6CA6CE3A">
      <w:pPr>
        <w:spacing w:line="60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外事接待支出0万元。</w:t>
      </w:r>
    </w:p>
    <w:p w14:paraId="209AADBD">
      <w:pPr>
        <w:spacing w:line="600" w:lineRule="exact"/>
        <w:ind w:firstLine="640"/>
        <w:outlineLvl w:val="1"/>
        <w:rPr>
          <w:rStyle w:val="29"/>
          <w:rFonts w:hint="eastAsia" w:ascii="Times New Roman" w:hAnsi="Times New Roman" w:eastAsia="黑体"/>
          <w:b w:val="0"/>
        </w:rPr>
      </w:pPr>
      <w:bookmarkStart w:id="10" w:name="_Toc10216"/>
      <w:r>
        <w:rPr>
          <w:rStyle w:val="29"/>
          <w:rFonts w:hint="eastAsia" w:ascii="Times New Roman" w:hAnsi="Times New Roman" w:eastAsia="黑体"/>
          <w:b w:val="0"/>
        </w:rPr>
        <w:t>八、政府性基金预算支出决算情况说明</w:t>
      </w:r>
      <w:bookmarkEnd w:id="10"/>
    </w:p>
    <w:p w14:paraId="775C39CE">
      <w:pPr>
        <w:spacing w:line="600" w:lineRule="exact"/>
        <w:ind w:firstLine="640"/>
        <w:rPr>
          <w:rFonts w:hint="eastAsia" w:ascii="Times New Roman" w:hAnsi="Times New Roman" w:eastAsia="仿宋_GB2312" w:cs="仿宋_GB2312"/>
          <w:sz w:val="32"/>
          <w:szCs w:val="32"/>
          <w:lang w:val="en-US" w:eastAsia="zh-CN"/>
        </w:rPr>
      </w:pPr>
      <w:bookmarkStart w:id="11" w:name="_Toc21029"/>
      <w:r>
        <w:rPr>
          <w:rFonts w:hint="eastAsia" w:ascii="Times New Roman" w:hAnsi="Times New Roman" w:eastAsia="仿宋_GB2312" w:cs="仿宋_GB2312"/>
          <w:sz w:val="32"/>
          <w:szCs w:val="32"/>
          <w:lang w:val="en-US" w:eastAsia="zh-CN"/>
        </w:rPr>
        <w:t>2024年度政府性基金预算财政拨款支出</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万元，占本年支出合计的</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w:t>
      </w:r>
    </w:p>
    <w:p w14:paraId="7BDBB3BC">
      <w:pPr>
        <w:spacing w:line="600" w:lineRule="exact"/>
        <w:ind w:firstLine="640"/>
        <w:outlineLvl w:val="1"/>
        <w:rPr>
          <w:rStyle w:val="29"/>
          <w:rFonts w:hint="eastAsia" w:ascii="Times New Roman" w:hAnsi="Times New Roman" w:eastAsia="黑体"/>
          <w:b w:val="0"/>
        </w:rPr>
      </w:pPr>
      <w:r>
        <w:rPr>
          <w:rStyle w:val="29"/>
          <w:rFonts w:hint="eastAsia" w:ascii="Times New Roman" w:hAnsi="Times New Roman" w:eastAsia="黑体"/>
          <w:b w:val="0"/>
          <w:lang w:val="en-US" w:eastAsia="zh-CN"/>
        </w:rPr>
        <w:t>九、</w:t>
      </w:r>
      <w:r>
        <w:rPr>
          <w:rStyle w:val="29"/>
          <w:rFonts w:hint="eastAsia" w:ascii="Times New Roman" w:hAnsi="Times New Roman" w:eastAsia="黑体"/>
          <w:b w:val="0"/>
        </w:rPr>
        <w:t>国有资本经营预算支出决算情况说明</w:t>
      </w:r>
      <w:bookmarkEnd w:id="11"/>
    </w:p>
    <w:p w14:paraId="47AA4012">
      <w:pPr>
        <w:spacing w:line="60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2024年度国有资本经营预算财政拨款支出0万元，占本年支出合计的0%。</w:t>
      </w:r>
    </w:p>
    <w:p w14:paraId="547DCA7A">
      <w:pPr>
        <w:spacing w:line="600" w:lineRule="exact"/>
        <w:ind w:firstLine="640"/>
        <w:outlineLvl w:val="1"/>
        <w:rPr>
          <w:rStyle w:val="29"/>
          <w:rFonts w:hint="eastAsia" w:ascii="Times New Roman" w:hAnsi="Times New Roman" w:eastAsia="黑体"/>
          <w:b w:val="0"/>
        </w:rPr>
      </w:pPr>
      <w:r>
        <w:rPr>
          <w:rStyle w:val="29"/>
          <w:rFonts w:hint="eastAsia" w:ascii="Times New Roman" w:hAnsi="Times New Roman" w:eastAsia="黑体"/>
          <w:b w:val="0"/>
        </w:rPr>
        <w:t>十、其他重要事项的情况说明</w:t>
      </w:r>
    </w:p>
    <w:p w14:paraId="468FA2D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（一）机关运行经费支出情况</w:t>
      </w:r>
    </w:p>
    <w:p w14:paraId="02A91EE4">
      <w:pPr>
        <w:spacing w:line="60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w:t>
      </w:r>
      <w:r>
        <w:rPr>
          <w:rFonts w:hint="eastAsia" w:ascii="Times New Roman" w:hAnsi="Times New Roman" w:eastAsia="仿宋_GB2312" w:cs="仿宋_GB2312"/>
          <w:sz w:val="32"/>
          <w:szCs w:val="32"/>
          <w:lang w:val="en-US" w:eastAsia="zh-CN"/>
        </w:rPr>
        <w:t>盐边县红十字会</w:t>
      </w:r>
      <w:r>
        <w:rPr>
          <w:rFonts w:hint="eastAsia" w:ascii="Times New Roman" w:hAnsi="Times New Roman" w:eastAsia="仿宋_GB2312" w:cs="仿宋_GB2312"/>
          <w:sz w:val="32"/>
          <w:szCs w:val="32"/>
        </w:rPr>
        <w:t>机关运行经费支出</w:t>
      </w:r>
      <w:r>
        <w:rPr>
          <w:rFonts w:hint="eastAsia" w:ascii="Times New Roman" w:hAnsi="Times New Roman" w:eastAsia="仿宋_GB2312" w:cs="仿宋_GB2312"/>
          <w:sz w:val="32"/>
          <w:szCs w:val="32"/>
          <w:lang w:val="en-US" w:eastAsia="zh-CN"/>
        </w:rPr>
        <w:t>6.56</w:t>
      </w:r>
      <w:r>
        <w:rPr>
          <w:rFonts w:hint="eastAsia" w:ascii="Times New Roman" w:hAnsi="Times New Roman" w:eastAsia="仿宋_GB2312" w:cs="仿宋_GB2312"/>
          <w:sz w:val="32"/>
          <w:szCs w:val="32"/>
        </w:rPr>
        <w:t>万元，比2023年度</w:t>
      </w:r>
      <w:r>
        <w:rPr>
          <w:rFonts w:hint="eastAsia"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8.37</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减少</w:t>
      </w:r>
      <w:r>
        <w:rPr>
          <w:rFonts w:hint="eastAsia" w:ascii="Times New Roman" w:hAnsi="Times New Roman" w:eastAsia="仿宋_GB2312" w:cs="仿宋_GB2312"/>
          <w:sz w:val="32"/>
          <w:szCs w:val="32"/>
          <w:lang w:val="en-US" w:eastAsia="zh-CN"/>
        </w:rPr>
        <w:t>1.81</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21.62</w:t>
      </w:r>
      <w:r>
        <w:rPr>
          <w:rFonts w:hint="eastAsia" w:ascii="Times New Roman" w:hAnsi="Times New Roman" w:eastAsia="仿宋_GB2312" w:cs="仿宋_GB2312"/>
          <w:sz w:val="32"/>
          <w:szCs w:val="32"/>
        </w:rPr>
        <w:t>%主要变动原因是</w:t>
      </w:r>
      <w:r>
        <w:rPr>
          <w:rFonts w:hint="eastAsia" w:ascii="Times New Roman" w:hAnsi="Times New Roman" w:eastAsia="仿宋_GB2312" w:cs="仿宋_GB2312"/>
          <w:sz w:val="32"/>
          <w:szCs w:val="32"/>
          <w:lang w:val="en-US" w:eastAsia="zh-CN"/>
        </w:rPr>
        <w:t>2023年实有人数4人，2024年实有人数3人，导致人员经费、公用经费都减少。</w:t>
      </w:r>
    </w:p>
    <w:p w14:paraId="03C9DD31">
      <w:pPr>
        <w:spacing w:line="600" w:lineRule="exact"/>
        <w:ind w:firstLine="643" w:firstLineChars="200"/>
        <w:outlineLvl w:val="2"/>
        <w:rPr>
          <w:rFonts w:eastAsia="楷体_GB2312" w:cs="楷体_GB2312"/>
          <w:b/>
          <w:sz w:val="32"/>
          <w:szCs w:val="32"/>
        </w:rPr>
      </w:pPr>
      <w:r>
        <w:rPr>
          <w:rFonts w:hint="eastAsia" w:ascii="Times New Roman" w:hAnsi="Times New Roman" w:eastAsia="楷体_GB2312" w:cs="楷体_GB2312"/>
          <w:b/>
          <w:sz w:val="32"/>
          <w:szCs w:val="32"/>
        </w:rPr>
        <w:t>（二）政府采购支出情况</w:t>
      </w:r>
    </w:p>
    <w:p w14:paraId="43E72250">
      <w:pPr>
        <w:spacing w:line="60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2024年度，</w:t>
      </w:r>
      <w:r>
        <w:rPr>
          <w:rFonts w:hint="eastAsia" w:ascii="Times New Roman" w:hAnsi="Times New Roman" w:eastAsia="仿宋_GB2312" w:cs="仿宋_GB2312"/>
          <w:sz w:val="32"/>
          <w:szCs w:val="32"/>
        </w:rPr>
        <w:t>盐边县红十字会</w:t>
      </w:r>
      <w:r>
        <w:rPr>
          <w:rFonts w:hint="eastAsia" w:ascii="Times New Roman" w:hAnsi="Times New Roman" w:eastAsia="仿宋_GB2312" w:cs="仿宋_GB2312"/>
          <w:sz w:val="32"/>
          <w:szCs w:val="32"/>
          <w:lang w:val="en-US" w:eastAsia="zh-CN"/>
        </w:rPr>
        <w:t>政府采购支出总额</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万元，其中：政府采购货物支出</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万元、政府采购工程支出</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万元、政府采购服务支出</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万元。授予中小企业合同金额</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万元，占政府采购支出总额的</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%，其中：授予小微企业合同金额</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万元，占政府采购支出总额的</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w:t>
      </w:r>
    </w:p>
    <w:p w14:paraId="57BFF7C0">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（三）国有资产占有使用情况</w:t>
      </w:r>
    </w:p>
    <w:p w14:paraId="7F45F271">
      <w:pPr>
        <w:spacing w:line="60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截至2024年12月31日，盐边县红十字会共有车辆0辆，单价100万元（含）以上设备（不含车辆）0台（套）。</w:t>
      </w:r>
    </w:p>
    <w:p w14:paraId="226A9EBE">
      <w:pPr>
        <w:spacing w:line="600" w:lineRule="exact"/>
        <w:ind w:firstLine="643" w:firstLineChars="200"/>
        <w:outlineLvl w:val="2"/>
        <w:rPr>
          <w:rFonts w:hint="eastAsia" w:eastAsia="楷体_GB2312" w:cs="楷体_GB2312"/>
          <w:b/>
          <w:sz w:val="32"/>
          <w:szCs w:val="32"/>
        </w:rPr>
      </w:pPr>
      <w:r>
        <w:rPr>
          <w:rFonts w:hint="eastAsia" w:eastAsia="楷体_GB2312" w:cs="楷体_GB2312"/>
          <w:b/>
          <w:sz w:val="32"/>
          <w:szCs w:val="32"/>
        </w:rPr>
        <w:t>（四）预算绩效管理情况</w:t>
      </w:r>
    </w:p>
    <w:p w14:paraId="695973D5">
      <w:pPr>
        <w:spacing w:line="600" w:lineRule="exact"/>
        <w:ind w:firstLine="64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根据预算绩效管理要求，本部门在2024年度预算编制阶段，组织对三救三献项目1个项目开展了预算事前绩效评估，对1个项目编制了绩效目标，预算执行过程中，选取1个项目开展绩效监控。</w:t>
      </w:r>
    </w:p>
    <w:p w14:paraId="1E73A8EF">
      <w:pPr>
        <w:spacing w:line="600" w:lineRule="exact"/>
        <w:ind w:firstLine="64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织对2024年度一般公共预算、政府性基金预算、国有资本经营预算等全面开展绩效自评，形成盐边县红十字会部门整体绩效自评报告、三救三献等专项预算项目绩效自评报告，其中，盐边县红十字会部门整体绩效自评得分为100分，三救三献项目专项预算项目绩效自评得分为100分，绩效自评报告详见附件。</w:t>
      </w:r>
    </w:p>
    <w:p w14:paraId="711C7024">
      <w:pPr>
        <w:spacing w:line="600" w:lineRule="exact"/>
        <w:ind w:firstLine="640"/>
        <w:rPr>
          <w:rFonts w:eastAsia="仿宋_GB2312" w:cs="仿宋_GB2312"/>
          <w:sz w:val="32"/>
          <w:szCs w:val="32"/>
        </w:rPr>
      </w:pPr>
    </w:p>
    <w:p w14:paraId="445D41DE">
      <w:pPr>
        <w:spacing w:line="600" w:lineRule="exact"/>
        <w:ind w:firstLine="640"/>
        <w:rPr>
          <w:rFonts w:eastAsia="仿宋_GB2312" w:cs="仿宋_GB2312"/>
          <w:sz w:val="32"/>
          <w:szCs w:val="32"/>
        </w:rPr>
      </w:pPr>
    </w:p>
    <w:p w14:paraId="2BD417F7">
      <w:pPr>
        <w:pStyle w:val="2"/>
      </w:pPr>
    </w:p>
    <w:p w14:paraId="68F3EBF0">
      <w:pPr>
        <w:spacing w:line="600" w:lineRule="exact"/>
        <w:jc w:val="center"/>
        <w:outlineLvl w:val="0"/>
        <w:rPr>
          <w:rFonts w:eastAsia="黑体"/>
          <w:sz w:val="44"/>
          <w:szCs w:val="44"/>
        </w:rPr>
      </w:pPr>
      <w:r>
        <w:rPr>
          <w:rFonts w:hint="eastAsia" w:eastAsia="黑体"/>
          <w:sz w:val="44"/>
          <w:szCs w:val="44"/>
        </w:rPr>
        <w:t>第三部分  名词解释</w:t>
      </w:r>
    </w:p>
    <w:p w14:paraId="2F44B95F">
      <w:pPr>
        <w:spacing w:line="600" w:lineRule="exact"/>
        <w:jc w:val="left"/>
        <w:rPr>
          <w:b/>
          <w:sz w:val="44"/>
          <w:szCs w:val="44"/>
        </w:rPr>
      </w:pPr>
    </w:p>
    <w:p w14:paraId="6F0FE2C8">
      <w:pPr>
        <w:spacing w:line="600" w:lineRule="exact"/>
        <w:ind w:firstLine="640"/>
        <w:rPr>
          <w:rFonts w:hint="default" w:ascii="Times New Roman" w:hAnsi="Times New Roman" w:eastAsia="仿宋_GB2312" w:cs="仿宋_GB2312"/>
          <w:sz w:val="32"/>
          <w:szCs w:val="32"/>
        </w:rPr>
      </w:pPr>
      <w:bookmarkStart w:id="12" w:name="_Toc12200"/>
      <w:r>
        <w:rPr>
          <w:rFonts w:hint="eastAsia" w:ascii="Times New Roman" w:hAnsi="Times New Roman" w:eastAsia="仿宋_GB2312" w:cs="仿宋_GB2312"/>
          <w:sz w:val="32"/>
          <w:szCs w:val="32"/>
        </w:rPr>
        <w:t>1.财政拨款收入：指单位从同级财政部门取得的财政预算资金。</w:t>
      </w:r>
      <w:bookmarkEnd w:id="12"/>
    </w:p>
    <w:p w14:paraId="4032A788">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2.事业收入：指事业单位开展专业业务活动及辅助活动取得的收入。</w:t>
      </w:r>
    </w:p>
    <w:p w14:paraId="22D5F71E">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3.经营收入：指事业单位在专业业务活动及其辅助活动之外开展非独立核算经营活动取得的收入。</w:t>
      </w:r>
    </w:p>
    <w:p w14:paraId="0C9B85D8">
      <w:pPr>
        <w:spacing w:line="600" w:lineRule="exact"/>
        <w:ind w:firstLine="640"/>
        <w:rPr>
          <w:rFonts w:hint="default" w:ascii="Times New Roman" w:hAnsi="Times New Roman" w:eastAsia="仿宋_GB2312" w:cs="仿宋_GB2312"/>
          <w:sz w:val="32"/>
          <w:szCs w:val="32"/>
        </w:rPr>
      </w:pPr>
      <w:bookmarkStart w:id="13" w:name="_Toc25566"/>
      <w:r>
        <w:rPr>
          <w:rFonts w:hint="eastAsia" w:ascii="Times New Roman" w:hAnsi="Times New Roman" w:eastAsia="仿宋_GB2312" w:cs="仿宋_GB2312"/>
          <w:sz w:val="32"/>
          <w:szCs w:val="32"/>
        </w:rPr>
        <w:t>4.其他收入：指单位取得的除上述收入以外的各项收入。</w:t>
      </w:r>
      <w:bookmarkEnd w:id="13"/>
      <w:r>
        <w:rPr>
          <w:rFonts w:hint="eastAsia" w:ascii="Times New Roman" w:hAnsi="Times New Roman" w:eastAsia="仿宋_GB2312" w:cs="仿宋_GB2312"/>
          <w:sz w:val="32"/>
          <w:szCs w:val="32"/>
        </w:rPr>
        <w:t xml:space="preserve"> </w:t>
      </w:r>
    </w:p>
    <w:p w14:paraId="726261FB">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5.使用非财政拨款结余（含专用结余）：指事业单位使用以前年度积累的非财政拨款结余弥补当年收支差额的金额。 </w:t>
      </w:r>
    </w:p>
    <w:p w14:paraId="0EC6FF0D">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6.年初结转和结余：指以前年度尚未完成、结转到本年按有关规定继续使用的资金。 </w:t>
      </w:r>
    </w:p>
    <w:p w14:paraId="38C44BEF">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7.结余分配：指事业单位按照会计制度规定缴纳的所得税、提取的专用结余以及转入非财政拨款结余的金额等。</w:t>
      </w:r>
    </w:p>
    <w:p w14:paraId="69DB7051">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8.年末结转和结余：指单位按有关规定结转到下年或以后年度继续使用的资金。</w:t>
      </w:r>
    </w:p>
    <w:p w14:paraId="0C764D3C">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9.社会保障和就业（类）行政事业单位养老支出（款）机关事业单位基本养老保险缴费支出（项）：指反映机关事业单位实施养老保险制度由单位缴纳的基本养老保险支出。</w:t>
      </w:r>
    </w:p>
    <w:p w14:paraId="0849F4B4">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10.社会保障和就业（类）红十字事业（款）行政运行（项）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反映行政单位（包括实行公务员管理的事业单位）的基本支出。</w:t>
      </w:r>
    </w:p>
    <w:p w14:paraId="0532CA35">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11</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社会保障和就业（类）红十字事业（款）其他红十字事业支出（项）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反映除上述项目以外其他用于红十字会事业</w:t>
      </w:r>
      <w:r>
        <w:rPr>
          <w:rFonts w:hint="eastAsia" w:ascii="Times New Roman" w:hAnsi="Times New Roman" w:eastAsia="仿宋_GB2312" w:cs="仿宋_GB2312"/>
          <w:sz w:val="32"/>
          <w:szCs w:val="32"/>
          <w:lang w:val="en-US" w:eastAsia="zh-CN"/>
        </w:rPr>
        <w:t>方</w:t>
      </w:r>
      <w:r>
        <w:rPr>
          <w:rFonts w:hint="eastAsia" w:ascii="Times New Roman" w:hAnsi="Times New Roman" w:eastAsia="仿宋_GB2312" w:cs="仿宋_GB2312"/>
          <w:sz w:val="32"/>
          <w:szCs w:val="32"/>
        </w:rPr>
        <w:t>面的支出。</w:t>
      </w:r>
    </w:p>
    <w:p w14:paraId="5631158E">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12.卫生健康支出（类）行政事业单位医疗（款）行政单位医疗（项）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反映财政部门安排的行政单位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包括实行公务员管理的事业单位，下同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基本医疗保险缴费经费，</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rPr>
        <w:t>参加医疗保险的行政单位的公费医疗经费，按国家规定享受离休人员、红军老战士待遇人员的</w:t>
      </w:r>
      <w:r>
        <w:rPr>
          <w:rFonts w:hint="eastAsia" w:ascii="Times New Roman" w:hAnsi="Times New Roman" w:eastAsia="仿宋_GB2312" w:cs="仿宋_GB2312"/>
          <w:sz w:val="32"/>
          <w:szCs w:val="32"/>
          <w:lang w:eastAsia="zh-CN"/>
        </w:rPr>
        <w:t>医疗</w:t>
      </w:r>
      <w:r>
        <w:rPr>
          <w:rFonts w:hint="eastAsia" w:ascii="Times New Roman" w:hAnsi="Times New Roman" w:eastAsia="仿宋_GB2312" w:cs="仿宋_GB2312"/>
          <w:sz w:val="32"/>
          <w:szCs w:val="32"/>
        </w:rPr>
        <w:t>经费。</w:t>
      </w:r>
    </w:p>
    <w:p w14:paraId="4F2EC9F8">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13</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卫生健康（类）行政事业单位医疗（款）公务员医疗补助（项）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反映财政部门安排的公务员医疗补助经费。</w:t>
      </w:r>
    </w:p>
    <w:p w14:paraId="2AC2D895">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14</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rPr>
        <w:t>卫生健康（类）行政事业单位医疗（款）其他行政事业单位医疗支出（项）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反映除上述项目以外的其他用于行政事业单位医疗方面的支出。</w:t>
      </w:r>
    </w:p>
    <w:p w14:paraId="3A4F6B41">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15.住房保障（类）住房改革支出（款）住房公积金（项）</w:t>
      </w:r>
      <w:r>
        <w:rPr>
          <w:rFonts w:hint="eastAsia"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反映行政事业单位按人力资源和社会保障部、财政部规定的基本工资和津贴补贴以及规定比例为职工缴纳的住房公积金。</w:t>
      </w:r>
    </w:p>
    <w:p w14:paraId="3ACE3F09">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16.基本支出：指为保障机构正常运转、完成日常工作任务而发生的人员支出和公用支出。</w:t>
      </w:r>
    </w:p>
    <w:p w14:paraId="6ADF1DC1">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17.项目支出：指在基本支出之外为完成特定行政任务和事业发展目标所发生的支出。 </w:t>
      </w:r>
    </w:p>
    <w:p w14:paraId="327259E7">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18.经营支出：指事业单位在专业业务活动及其辅助活动之外开展非独立核算经营活动发生的支出。</w:t>
      </w:r>
    </w:p>
    <w:p w14:paraId="37B621E7">
      <w:pPr>
        <w:spacing w:line="600" w:lineRule="exact"/>
        <w:ind w:firstLine="64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2D013A">
      <w:pPr>
        <w:spacing w:line="600" w:lineRule="exact"/>
        <w:ind w:firstLine="640"/>
        <w:rPr>
          <w:rStyle w:val="28"/>
          <w:rFonts w:eastAsia="黑体"/>
          <w:b w:val="0"/>
        </w:rPr>
      </w:pPr>
      <w:r>
        <w:rPr>
          <w:rFonts w:hint="eastAsia" w:ascii="Times New Roman" w:hAnsi="Times New Roman"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sz w:val="32"/>
          <w:szCs w:val="32"/>
        </w:rPr>
        <w:br w:type="page"/>
      </w:r>
      <w:r>
        <w:rPr>
          <w:rFonts w:hint="eastAsia" w:eastAsia="仿宋_GB2312" w:cs="仿宋_GB2312"/>
          <w:sz w:val="32"/>
          <w:szCs w:val="32"/>
          <w:lang w:val="en-US" w:eastAsia="zh-CN"/>
        </w:rPr>
        <w:t xml:space="preserve">                 </w:t>
      </w:r>
      <w:r>
        <w:rPr>
          <w:rFonts w:hint="eastAsia" w:eastAsia="黑体"/>
          <w:sz w:val="44"/>
          <w:szCs w:val="44"/>
        </w:rPr>
        <w:t>第四部分  附件</w:t>
      </w:r>
    </w:p>
    <w:p w14:paraId="7FED0F77">
      <w:pPr>
        <w:spacing w:line="572" w:lineRule="exact"/>
        <w:jc w:val="left"/>
        <w:outlineLvl w:val="0"/>
        <w:rPr>
          <w:rFonts w:eastAsia="黑体" w:cs="黑体"/>
          <w:sz w:val="32"/>
          <w:szCs w:val="32"/>
        </w:rPr>
      </w:pPr>
    </w:p>
    <w:p w14:paraId="5D9276D0">
      <w:pPr>
        <w:spacing w:line="572" w:lineRule="exact"/>
        <w:jc w:val="left"/>
        <w:outlineLvl w:val="0"/>
        <w:rPr>
          <w:rFonts w:eastAsia="黑体" w:cs="方正小标宋简体"/>
          <w:sz w:val="44"/>
          <w:szCs w:val="44"/>
        </w:rPr>
      </w:pPr>
      <w:r>
        <w:rPr>
          <w:rFonts w:hint="eastAsia" w:eastAsia="黑体" w:cs="黑体"/>
          <w:sz w:val="32"/>
          <w:szCs w:val="32"/>
        </w:rPr>
        <w:t>附件1</w:t>
      </w:r>
    </w:p>
    <w:p w14:paraId="2C9C62AE">
      <w:pPr>
        <w:widowControl/>
        <w:spacing w:line="578" w:lineRule="exact"/>
        <w:contextualSpacing/>
        <w:jc w:val="center"/>
        <w:rPr>
          <w:rFonts w:hint="default" w:eastAsia="方正小标宋简体"/>
          <w:bCs/>
          <w:sz w:val="44"/>
          <w:szCs w:val="44"/>
          <w:shd w:val="clear" w:color="auto" w:fill="FFFFFF"/>
          <w:lang w:val="en-US" w:eastAsia="zh-CN"/>
        </w:rPr>
      </w:pPr>
      <w:r>
        <w:rPr>
          <w:rFonts w:hint="eastAsia" w:eastAsia="方正小标宋简体"/>
          <w:bCs/>
          <w:sz w:val="44"/>
          <w:szCs w:val="44"/>
          <w:shd w:val="clear" w:color="auto" w:fill="FFFFFF"/>
          <w:lang w:val="en-US" w:eastAsia="zh-CN"/>
        </w:rPr>
        <w:t>盐边县红十字会</w:t>
      </w:r>
    </w:p>
    <w:p w14:paraId="37298EF5">
      <w:pPr>
        <w:widowControl/>
        <w:spacing w:line="578" w:lineRule="exact"/>
        <w:contextualSpacing/>
        <w:jc w:val="center"/>
        <w:rPr>
          <w:rFonts w:eastAsia="仿宋_GB2312"/>
          <w:sz w:val="32"/>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20814C0C">
      <w:pPr>
        <w:widowControl/>
        <w:adjustRightInd w:val="0"/>
        <w:snapToGrid w:val="0"/>
        <w:spacing w:line="578" w:lineRule="exact"/>
        <w:ind w:firstLine="480" w:firstLineChars="200"/>
        <w:contextualSpacing/>
        <w:jc w:val="left"/>
        <w:rPr>
          <w:rFonts w:eastAsia="黑体"/>
          <w:kern w:val="0"/>
          <w:sz w:val="24"/>
          <w:szCs w:val="32"/>
          <w:shd w:val="clear" w:color="auto" w:fill="FFFFFF"/>
        </w:rPr>
      </w:pPr>
    </w:p>
    <w:p w14:paraId="2980E8AB">
      <w:pPr>
        <w:spacing w:line="600" w:lineRule="exact"/>
        <w:ind w:firstLine="640"/>
        <w:outlineLvl w:val="1"/>
        <w:rPr>
          <w:rStyle w:val="29"/>
          <w:rFonts w:hint="eastAsia" w:ascii="Times New Roman" w:hAnsi="Times New Roman" w:eastAsia="黑体"/>
          <w:b w:val="0"/>
          <w:lang w:val="zh-CN"/>
        </w:rPr>
      </w:pPr>
      <w:r>
        <w:rPr>
          <w:rStyle w:val="29"/>
          <w:rFonts w:hint="eastAsia" w:ascii="Times New Roman" w:hAnsi="Times New Roman" w:eastAsia="黑体"/>
          <w:b w:val="0"/>
          <w:lang w:val="zh-CN"/>
        </w:rPr>
        <w:t>一、部门（单位）基本情况</w:t>
      </w:r>
    </w:p>
    <w:p w14:paraId="7682BBBB">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02AE6116">
      <w:pPr>
        <w:spacing w:line="60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盐边县红十字会部门内设股室一个：综合股，人员3人。</w:t>
      </w:r>
    </w:p>
    <w:p w14:paraId="127394B0">
      <w:pPr>
        <w:widowControl/>
        <w:adjustRightInd w:val="0"/>
        <w:snapToGrid w:val="0"/>
        <w:spacing w:line="578" w:lineRule="exact"/>
        <w:ind w:firstLine="643" w:firstLineChars="200"/>
        <w:contextualSpacing/>
        <w:jc w:val="left"/>
        <w:rPr>
          <w:rFonts w:hint="eastAsia" w:eastAsia="楷体_GB2312" w:cs="楷体_GB2312"/>
          <w:b/>
          <w:sz w:val="32"/>
          <w:szCs w:val="32"/>
          <w:lang w:val="zh-CN"/>
        </w:rPr>
      </w:pPr>
      <w:r>
        <w:rPr>
          <w:rFonts w:eastAsia="楷体_GB2312" w:cs="楷体_GB2312"/>
          <w:b/>
          <w:sz w:val="32"/>
          <w:szCs w:val="32"/>
          <w:lang w:val="zh-CN"/>
        </w:rPr>
        <w:t>（二）机构职能</w:t>
      </w:r>
    </w:p>
    <w:p w14:paraId="43659AC8">
      <w:pPr>
        <w:spacing w:line="600"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完成应急救护培训任务、开展红十字生命教育工作，开展人道动员宣传工作，开展人道救援及生命教育宣传，开展基层组织建设和红十字志愿服务，红十字青少年工作。开展筹资工作，参与腾讯99公益日活动等，开展红十字救灾备灾工作，完善赈济救援队装备及强化培训。</w:t>
      </w:r>
    </w:p>
    <w:p w14:paraId="269BB788">
      <w:pPr>
        <w:numPr>
          <w:ilvl w:val="0"/>
          <w:numId w:val="1"/>
        </w:numPr>
        <w:spacing w:line="600" w:lineRule="exact"/>
        <w:ind w:firstLine="643" w:firstLineChars="200"/>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人员概况</w:t>
      </w:r>
    </w:p>
    <w:p w14:paraId="70CA3366">
      <w:pPr>
        <w:spacing w:line="60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截至2024年末，盐边县红十字会单位编制情况有4人，年末实有人数3人。</w:t>
      </w:r>
    </w:p>
    <w:p w14:paraId="4E005A46">
      <w:pPr>
        <w:spacing w:line="600" w:lineRule="exact"/>
        <w:ind w:firstLine="640"/>
        <w:outlineLvl w:val="1"/>
        <w:rPr>
          <w:rStyle w:val="29"/>
          <w:rFonts w:hint="eastAsia" w:ascii="Times New Roman" w:hAnsi="Times New Roman" w:eastAsia="黑体"/>
          <w:b w:val="0"/>
          <w:lang w:val="zh-CN"/>
        </w:rPr>
      </w:pPr>
      <w:r>
        <w:rPr>
          <w:rStyle w:val="29"/>
          <w:rFonts w:hint="eastAsia" w:ascii="Times New Roman" w:hAnsi="Times New Roman" w:eastAsia="黑体"/>
          <w:b w:val="0"/>
          <w:lang w:val="zh-CN"/>
        </w:rPr>
        <w:t>二、部门资金收支情况</w:t>
      </w:r>
    </w:p>
    <w:p w14:paraId="1B468A10">
      <w:pPr>
        <w:widowControl/>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p>
    <w:p w14:paraId="31E546AF">
      <w:pPr>
        <w:widowControl/>
        <w:adjustRightInd w:val="0"/>
        <w:snapToGrid w:val="0"/>
        <w:spacing w:line="578" w:lineRule="exact"/>
        <w:ind w:firstLine="640" w:firstLineChars="200"/>
        <w:contextualSpacing/>
        <w:jc w:val="left"/>
        <w:rPr>
          <w:rFonts w:eastAsia="楷体_GB2312"/>
          <w:b/>
          <w:bCs/>
          <w:kern w:val="0"/>
          <w:szCs w:val="32"/>
          <w:shd w:val="clear" w:color="auto" w:fill="FFFFFF"/>
        </w:rPr>
      </w:pPr>
      <w:r>
        <w:rPr>
          <w:rFonts w:hint="eastAsia" w:eastAsia="仿宋_GB2312" w:cs="仿宋_GB2312"/>
          <w:sz w:val="32"/>
          <w:szCs w:val="32"/>
          <w:lang w:val="en-US" w:eastAsia="zh-CN"/>
        </w:rPr>
        <w:t>本部门</w:t>
      </w:r>
      <w:r>
        <w:rPr>
          <w:rFonts w:hint="eastAsia" w:eastAsia="仿宋_GB2312"/>
          <w:sz w:val="32"/>
          <w:szCs w:val="32"/>
        </w:rPr>
        <w:t>2024年年初预算收入、决算报表收入</w:t>
      </w:r>
      <w:r>
        <w:rPr>
          <w:rFonts w:hint="eastAsia" w:eastAsia="仿宋_GB2312"/>
          <w:sz w:val="32"/>
          <w:szCs w:val="32"/>
          <w:lang w:val="en-US" w:eastAsia="zh-CN"/>
        </w:rPr>
        <w:t>都是76.49万元</w:t>
      </w:r>
      <w:r>
        <w:rPr>
          <w:rFonts w:hint="eastAsia" w:eastAsia="仿宋_GB2312"/>
          <w:sz w:val="32"/>
          <w:szCs w:val="32"/>
        </w:rPr>
        <w:t>。</w:t>
      </w:r>
    </w:p>
    <w:p w14:paraId="51A3102F">
      <w:pPr>
        <w:widowControl/>
        <w:numPr>
          <w:ilvl w:val="0"/>
          <w:numId w:val="2"/>
        </w:numPr>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hint="eastAsia" w:eastAsia="楷体_GB2312"/>
          <w:b/>
          <w:bCs/>
          <w:kern w:val="0"/>
          <w:sz w:val="32"/>
          <w:szCs w:val="32"/>
          <w:shd w:val="clear" w:color="auto" w:fill="FFFFFF"/>
          <w:lang w:val="zh-CN"/>
        </w:rPr>
        <w:t>支出情况</w:t>
      </w:r>
    </w:p>
    <w:p w14:paraId="605ACD82">
      <w:pPr>
        <w:widowControl/>
        <w:numPr>
          <w:ilvl w:val="0"/>
          <w:numId w:val="0"/>
        </w:numPr>
        <w:adjustRightInd w:val="0"/>
        <w:snapToGrid w:val="0"/>
        <w:spacing w:line="578" w:lineRule="exact"/>
        <w:ind w:firstLine="640" w:firstLineChars="200"/>
        <w:contextualSpacing/>
        <w:jc w:val="left"/>
        <w:rPr>
          <w:szCs w:val="32"/>
          <w:lang w:val="zh-CN"/>
        </w:rPr>
      </w:pPr>
      <w:r>
        <w:rPr>
          <w:rFonts w:hint="eastAsia" w:eastAsia="仿宋_GB2312" w:cs="仿宋_GB2312"/>
          <w:sz w:val="32"/>
          <w:szCs w:val="32"/>
          <w:lang w:val="en-US" w:eastAsia="zh-CN"/>
        </w:rPr>
        <w:t>本部门</w:t>
      </w:r>
      <w:r>
        <w:rPr>
          <w:rFonts w:hint="eastAsia" w:eastAsia="仿宋_GB2312"/>
          <w:sz w:val="32"/>
          <w:szCs w:val="32"/>
        </w:rPr>
        <w:t>2024年年初预算支出、决算报表支出</w:t>
      </w:r>
      <w:r>
        <w:rPr>
          <w:rFonts w:hint="eastAsia" w:eastAsia="仿宋_GB2312"/>
          <w:sz w:val="32"/>
          <w:szCs w:val="32"/>
          <w:lang w:val="en-US" w:eastAsia="zh-CN"/>
        </w:rPr>
        <w:t>都是76.49万元</w:t>
      </w:r>
      <w:r>
        <w:rPr>
          <w:rFonts w:hint="eastAsia" w:eastAsia="仿宋_GB2312"/>
          <w:sz w:val="32"/>
          <w:szCs w:val="32"/>
        </w:rPr>
        <w:t>。</w:t>
      </w:r>
    </w:p>
    <w:p w14:paraId="5D722FC7">
      <w:pPr>
        <w:widowControl/>
        <w:numPr>
          <w:ilvl w:val="0"/>
          <w:numId w:val="2"/>
        </w:numPr>
        <w:adjustRightInd w:val="0"/>
        <w:snapToGrid w:val="0"/>
        <w:spacing w:line="578" w:lineRule="exact"/>
        <w:ind w:left="0" w:leftChars="0" w:firstLine="643" w:firstLineChars="200"/>
        <w:contextualSpacing/>
        <w:jc w:val="left"/>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结余分配和结转结余情况</w:t>
      </w:r>
    </w:p>
    <w:p w14:paraId="03959A81">
      <w:pPr>
        <w:widowControl/>
        <w:numPr>
          <w:ilvl w:val="0"/>
          <w:numId w:val="0"/>
        </w:numPr>
        <w:adjustRightInd w:val="0"/>
        <w:snapToGrid w:val="0"/>
        <w:spacing w:line="578" w:lineRule="exact"/>
        <w:ind w:leftChars="200" w:firstLine="320" w:firstLineChars="100"/>
        <w:contextualSpacing/>
        <w:jc w:val="left"/>
        <w:rPr>
          <w:rFonts w:eastAsia="仿宋_GB2312"/>
          <w:kern w:val="0"/>
          <w:szCs w:val="32"/>
          <w:shd w:val="clear" w:color="auto" w:fill="FFFFFF"/>
          <w:lang w:val="zh-CN"/>
        </w:rPr>
      </w:pPr>
      <w:r>
        <w:rPr>
          <w:rFonts w:hint="eastAsia" w:eastAsia="仿宋_GB2312" w:cs="仿宋_GB2312"/>
          <w:sz w:val="32"/>
          <w:szCs w:val="32"/>
          <w:lang w:val="en-US" w:eastAsia="zh-CN"/>
        </w:rPr>
        <w:t>本部门</w:t>
      </w:r>
      <w:r>
        <w:rPr>
          <w:rFonts w:hint="eastAsia" w:eastAsia="仿宋_GB2312"/>
          <w:sz w:val="32"/>
          <w:szCs w:val="32"/>
        </w:rPr>
        <w:t>2024年</w:t>
      </w:r>
      <w:r>
        <w:rPr>
          <w:rFonts w:hint="eastAsia" w:eastAsia="仿宋_GB2312"/>
          <w:sz w:val="32"/>
          <w:szCs w:val="32"/>
          <w:lang w:val="en-US" w:eastAsia="zh-CN"/>
        </w:rPr>
        <w:t>无结转结余</w:t>
      </w:r>
      <w:r>
        <w:rPr>
          <w:rFonts w:eastAsia="仿宋_GB2312"/>
          <w:sz w:val="32"/>
          <w:szCs w:val="32"/>
        </w:rPr>
        <w:t>。</w:t>
      </w:r>
    </w:p>
    <w:p w14:paraId="26B9DD9C">
      <w:pPr>
        <w:spacing w:line="600" w:lineRule="exact"/>
        <w:ind w:firstLine="640"/>
        <w:outlineLvl w:val="1"/>
        <w:rPr>
          <w:rStyle w:val="29"/>
          <w:rFonts w:hint="eastAsia" w:ascii="Times New Roman" w:hAnsi="Times New Roman" w:eastAsia="黑体"/>
          <w:b w:val="0"/>
          <w:lang w:val="zh-CN"/>
        </w:rPr>
      </w:pPr>
      <w:r>
        <w:rPr>
          <w:rStyle w:val="29"/>
          <w:rFonts w:hint="eastAsia" w:ascii="Times New Roman" w:hAnsi="Times New Roman" w:eastAsia="黑体"/>
          <w:b w:val="0"/>
          <w:lang w:val="zh-CN"/>
        </w:rPr>
        <w:t>三、部门预算绩效分析</w:t>
      </w:r>
    </w:p>
    <w:p w14:paraId="13C6902C">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p>
    <w:p w14:paraId="0B31B646">
      <w:pPr>
        <w:widowControl/>
        <w:numPr>
          <w:ilvl w:val="0"/>
          <w:numId w:val="0"/>
        </w:numPr>
        <w:adjustRightInd w:val="0"/>
        <w:snapToGrid w:val="0"/>
        <w:spacing w:line="578" w:lineRule="exact"/>
        <w:ind w:firstLine="640" w:firstLineChars="200"/>
        <w:contextualSpacing/>
        <w:jc w:val="left"/>
        <w:rPr>
          <w:rFonts w:hint="default" w:eastAsia="仿宋_GB2312"/>
          <w:sz w:val="32"/>
          <w:szCs w:val="32"/>
          <w:lang w:val="zh-CN"/>
        </w:rPr>
      </w:pPr>
      <w:r>
        <w:rPr>
          <w:rFonts w:hint="eastAsia" w:eastAsia="仿宋_GB2312"/>
          <w:sz w:val="32"/>
          <w:szCs w:val="32"/>
          <w:lang w:val="zh-CN"/>
        </w:rPr>
        <w:t>1.履职效能。在202</w:t>
      </w:r>
      <w:r>
        <w:rPr>
          <w:rFonts w:hint="eastAsia" w:eastAsia="仿宋_GB2312"/>
          <w:sz w:val="32"/>
          <w:szCs w:val="32"/>
          <w:lang w:val="en-US" w:eastAsia="zh-CN"/>
        </w:rPr>
        <w:t>4</w:t>
      </w:r>
      <w:r>
        <w:rPr>
          <w:rFonts w:hint="eastAsia" w:eastAsia="仿宋_GB2312"/>
          <w:sz w:val="32"/>
          <w:szCs w:val="32"/>
          <w:lang w:val="zh-CN"/>
        </w:rPr>
        <w:t>年</w:t>
      </w:r>
      <w:r>
        <w:rPr>
          <w:rFonts w:hint="eastAsia" w:eastAsia="仿宋_GB2312"/>
          <w:sz w:val="32"/>
          <w:szCs w:val="32"/>
        </w:rPr>
        <w:t>本</w:t>
      </w:r>
      <w:r>
        <w:rPr>
          <w:rFonts w:hint="eastAsia" w:eastAsia="仿宋_GB2312"/>
          <w:sz w:val="32"/>
          <w:szCs w:val="32"/>
          <w:lang w:val="en-US" w:eastAsia="zh-CN"/>
        </w:rPr>
        <w:t>部门</w:t>
      </w:r>
      <w:r>
        <w:rPr>
          <w:rFonts w:hint="eastAsia" w:eastAsia="仿宋_GB2312"/>
          <w:sz w:val="32"/>
          <w:szCs w:val="32"/>
          <w:lang w:val="zh-CN"/>
        </w:rPr>
        <w:t>顺利完成了各个项目预算执行任务。通过各项指标的监测和分析，工作效率得到了提高，例如财务处理速度加快、资金使用率提高等，通过对过去一年的工作进行分析和评估，我们认为自己在部门整体履职绩效方面表现良好。但是，我们也意识到还有一些需要改进的地方。需要进一步加强预算执行的管理和监督，确保预算资金使用的合规性和效益性；进一步提高工作效率和质量，优化工作流程和服务流程；加强合作能力，更好地协调各部门之间工作关系和信息共享；我们将在今后的工作中更加注重效率和质量，努力提高履职绩效，不断提升综合素质和能力。</w:t>
      </w:r>
    </w:p>
    <w:p w14:paraId="6CBBC860">
      <w:pPr>
        <w:widowControl/>
        <w:numPr>
          <w:ilvl w:val="0"/>
          <w:numId w:val="0"/>
        </w:numPr>
        <w:adjustRightInd w:val="0"/>
        <w:snapToGrid w:val="0"/>
        <w:spacing w:line="578" w:lineRule="exact"/>
        <w:ind w:firstLine="640" w:firstLineChars="200"/>
        <w:contextualSpacing/>
        <w:jc w:val="left"/>
        <w:rPr>
          <w:rFonts w:hint="default" w:eastAsia="仿宋_GB2312"/>
          <w:sz w:val="32"/>
          <w:szCs w:val="32"/>
          <w:lang w:val="zh-CN"/>
        </w:rPr>
      </w:pPr>
      <w:r>
        <w:rPr>
          <w:rFonts w:hint="eastAsia" w:eastAsia="仿宋_GB2312"/>
          <w:sz w:val="32"/>
          <w:szCs w:val="32"/>
          <w:lang w:val="en-US" w:eastAsia="zh-CN"/>
        </w:rPr>
        <w:t>2.</w:t>
      </w:r>
      <w:r>
        <w:rPr>
          <w:rFonts w:hint="eastAsia" w:eastAsia="仿宋_GB2312"/>
          <w:sz w:val="32"/>
          <w:szCs w:val="32"/>
          <w:lang w:val="zh-CN"/>
        </w:rPr>
        <w:t>预算管理。202</w:t>
      </w:r>
      <w:r>
        <w:rPr>
          <w:rFonts w:hint="eastAsia" w:eastAsia="仿宋_GB2312"/>
          <w:sz w:val="32"/>
          <w:szCs w:val="32"/>
          <w:lang w:val="en-US" w:eastAsia="zh-CN"/>
        </w:rPr>
        <w:t>4</w:t>
      </w:r>
      <w:r>
        <w:rPr>
          <w:rFonts w:hint="eastAsia" w:eastAsia="仿宋_GB2312"/>
          <w:sz w:val="32"/>
          <w:szCs w:val="32"/>
          <w:lang w:val="zh-CN"/>
        </w:rPr>
        <w:t>年年初的预算编制是严格按照财政局预算口径进行，所有单位收入都进行统筹，202</w:t>
      </w:r>
      <w:r>
        <w:rPr>
          <w:rFonts w:hint="eastAsia" w:eastAsia="仿宋_GB2312"/>
          <w:sz w:val="32"/>
          <w:szCs w:val="32"/>
          <w:lang w:val="en-US" w:eastAsia="zh-CN"/>
        </w:rPr>
        <w:t>4</w:t>
      </w:r>
      <w:r>
        <w:rPr>
          <w:rFonts w:hint="eastAsia" w:eastAsia="仿宋_GB2312"/>
          <w:sz w:val="32"/>
          <w:szCs w:val="32"/>
          <w:lang w:val="zh-CN"/>
        </w:rPr>
        <w:t>年度年底无结转结余资金。本部门以围绕我局重点项目，优化支出结构为导向，合理保障部门正常履职运转为目标，按照预算管理科学化和精细化的要求，根据业务工作特性，经过充分调查、论证测算，科学合理编制预算，严格执行预算管理集体决策程序。进一步加强预算管理，落实预算执行责任；</w:t>
      </w:r>
      <w:r>
        <w:rPr>
          <w:rFonts w:hint="eastAsia" w:eastAsia="仿宋_GB2312"/>
          <w:sz w:val="32"/>
          <w:szCs w:val="32"/>
          <w:lang w:val="zh-CN" w:eastAsia="zh-CN"/>
        </w:rPr>
        <w:t>按照</w:t>
      </w:r>
      <w:r>
        <w:rPr>
          <w:rFonts w:hint="eastAsia" w:eastAsia="仿宋_GB2312"/>
          <w:sz w:val="32"/>
          <w:szCs w:val="32"/>
          <w:lang w:val="zh-CN"/>
        </w:rPr>
        <w:t>项目实施进度，适时跟进支出执行进度，各项经费严格按照时间节点及工作进度编制用款计划；坚持把财政资金用在刀刃上，认真执行中央八项规定，厉行节约、反对浪费，严控一般性支出。</w:t>
      </w:r>
    </w:p>
    <w:p w14:paraId="4D509135">
      <w:pPr>
        <w:widowControl/>
        <w:numPr>
          <w:ilvl w:val="0"/>
          <w:numId w:val="0"/>
        </w:numPr>
        <w:adjustRightInd w:val="0"/>
        <w:snapToGrid w:val="0"/>
        <w:spacing w:line="578" w:lineRule="exact"/>
        <w:ind w:firstLine="640" w:firstLineChars="200"/>
        <w:contextualSpacing/>
        <w:jc w:val="left"/>
        <w:rPr>
          <w:rFonts w:hint="default" w:eastAsia="仿宋_GB2312"/>
          <w:sz w:val="32"/>
          <w:szCs w:val="32"/>
          <w:lang w:val="zh-CN"/>
        </w:rPr>
      </w:pPr>
      <w:r>
        <w:rPr>
          <w:rFonts w:hint="eastAsia" w:eastAsia="仿宋_GB2312"/>
          <w:sz w:val="32"/>
          <w:szCs w:val="32"/>
          <w:lang w:val="en-US" w:eastAsia="zh-CN"/>
        </w:rPr>
        <w:t>3.</w:t>
      </w:r>
      <w:r>
        <w:rPr>
          <w:rFonts w:hint="eastAsia" w:eastAsia="仿宋_GB2312"/>
          <w:sz w:val="32"/>
          <w:szCs w:val="32"/>
          <w:lang w:val="zh-CN" w:eastAsia="zh-CN"/>
        </w:rPr>
        <w:t>财务管理。</w:t>
      </w:r>
      <w:r>
        <w:rPr>
          <w:rFonts w:hint="eastAsia" w:eastAsia="仿宋_GB2312"/>
          <w:sz w:val="32"/>
          <w:szCs w:val="32"/>
          <w:lang w:val="zh-CN"/>
        </w:rPr>
        <w:t>本部门严格按照预算管理制度和单位财务会计制度，单位的资金实行日清月结，账目清楚、无侵占、截留项目资金的情况发生，不存在超预算、无预算安排支出，严格执行公务卡结算以及政府采购制度，也无公款私存、滥发钱物、私设“小金库”的情况，同时严格执行会计法、行政事业单位会计制度及各项财经制度，财务岗位设置基本合理，财务岗位职责清晰，按规定设置了财务负责人、会计、出纳、资产管理等岗位。严格执行财务管理规定，从严管理财政资金，规范会计核算，加强“三公”经费管理。细化收支业务管理、采购管理、固定资产管理等制度，不断健全内控制度，不断规范收支行为。</w:t>
      </w:r>
    </w:p>
    <w:p w14:paraId="376EA01D">
      <w:pPr>
        <w:widowControl/>
        <w:numPr>
          <w:ilvl w:val="0"/>
          <w:numId w:val="0"/>
        </w:numPr>
        <w:adjustRightInd w:val="0"/>
        <w:snapToGrid w:val="0"/>
        <w:spacing w:line="578" w:lineRule="exact"/>
        <w:ind w:firstLine="640" w:firstLineChars="200"/>
        <w:contextualSpacing/>
        <w:jc w:val="left"/>
        <w:rPr>
          <w:rFonts w:hint="default" w:eastAsia="仿宋_GB2312"/>
          <w:sz w:val="32"/>
          <w:szCs w:val="32"/>
          <w:lang w:val="zh-CN"/>
        </w:rPr>
      </w:pPr>
      <w:r>
        <w:rPr>
          <w:rFonts w:hint="eastAsia" w:eastAsia="仿宋_GB2312"/>
          <w:sz w:val="32"/>
          <w:szCs w:val="32"/>
          <w:lang w:val="en-US" w:eastAsia="zh-CN"/>
        </w:rPr>
        <w:t>4.</w:t>
      </w:r>
      <w:r>
        <w:rPr>
          <w:rFonts w:hint="eastAsia" w:eastAsia="仿宋_GB2312"/>
          <w:sz w:val="32"/>
          <w:szCs w:val="32"/>
          <w:lang w:val="zh-CN" w:eastAsia="zh-CN"/>
        </w:rPr>
        <w:t>资产管理。</w:t>
      </w:r>
      <w:r>
        <w:rPr>
          <w:rFonts w:hint="eastAsia" w:eastAsia="仿宋_GB2312"/>
          <w:sz w:val="32"/>
          <w:szCs w:val="32"/>
          <w:lang w:val="zh-CN"/>
        </w:rPr>
        <w:t>本单位严格按照会计管理办法要求对资产进行入账处理，只要</w:t>
      </w:r>
      <w:r>
        <w:rPr>
          <w:rFonts w:hint="eastAsia" w:eastAsia="仿宋_GB2312"/>
          <w:sz w:val="32"/>
          <w:szCs w:val="32"/>
          <w:lang w:val="zh-CN" w:eastAsia="zh-CN"/>
        </w:rPr>
        <w:t>正常</w:t>
      </w:r>
      <w:r>
        <w:rPr>
          <w:rFonts w:hint="eastAsia" w:eastAsia="仿宋_GB2312"/>
          <w:sz w:val="32"/>
          <w:szCs w:val="32"/>
          <w:lang w:val="zh-CN"/>
        </w:rPr>
        <w:t>使用一年就入资产。</w:t>
      </w:r>
    </w:p>
    <w:p w14:paraId="70B9E0B5">
      <w:pPr>
        <w:widowControl/>
        <w:numPr>
          <w:ilvl w:val="0"/>
          <w:numId w:val="0"/>
        </w:numPr>
        <w:adjustRightInd w:val="0"/>
        <w:snapToGrid w:val="0"/>
        <w:spacing w:line="578" w:lineRule="exact"/>
        <w:ind w:firstLine="640" w:firstLineChars="200"/>
        <w:contextualSpacing/>
        <w:jc w:val="left"/>
        <w:rPr>
          <w:rFonts w:hint="default" w:eastAsia="仿宋_GB2312"/>
          <w:sz w:val="32"/>
          <w:szCs w:val="32"/>
          <w:lang w:val="zh-CN"/>
        </w:rPr>
      </w:pPr>
      <w:r>
        <w:rPr>
          <w:rFonts w:hint="eastAsia" w:eastAsia="仿宋_GB2312"/>
          <w:sz w:val="32"/>
          <w:szCs w:val="32"/>
          <w:lang w:val="en-US" w:eastAsia="zh-CN"/>
        </w:rPr>
        <w:t>5.</w:t>
      </w:r>
      <w:r>
        <w:rPr>
          <w:rFonts w:hint="eastAsia" w:eastAsia="仿宋_GB2312"/>
          <w:sz w:val="32"/>
          <w:szCs w:val="32"/>
          <w:lang w:val="zh-CN" w:eastAsia="zh-CN"/>
        </w:rPr>
        <w:t>采购管理。</w:t>
      </w:r>
      <w:r>
        <w:rPr>
          <w:rFonts w:hint="eastAsia" w:eastAsia="仿宋_GB2312"/>
          <w:sz w:val="32"/>
          <w:szCs w:val="32"/>
          <w:lang w:val="zh-CN"/>
        </w:rPr>
        <w:t>本单位严格遵循政府采购管理办法进行采购。</w:t>
      </w:r>
    </w:p>
    <w:p w14:paraId="70E2E7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sz w:val="32"/>
          <w:szCs w:val="32"/>
          <w:lang w:val="zh-CN"/>
        </w:rPr>
      </w:pPr>
      <w:r>
        <w:rPr>
          <w:rFonts w:eastAsia="楷体_GB2312"/>
          <w:b/>
          <w:bCs/>
          <w:kern w:val="0"/>
          <w:sz w:val="32"/>
          <w:szCs w:val="32"/>
          <w:shd w:val="clear" w:color="auto" w:fill="FFFFFF"/>
          <w:lang w:val="zh-CN"/>
        </w:rPr>
        <w:t>（二）部门预算项目绩效分析。</w:t>
      </w:r>
      <w:r>
        <w:rPr>
          <w:rFonts w:hint="eastAsia" w:eastAsia="仿宋_GB2312"/>
          <w:sz w:val="32"/>
          <w:szCs w:val="32"/>
          <w:lang w:val="zh-CN"/>
        </w:rPr>
        <w:t>常年项目绩效分析。该类项目总数</w:t>
      </w:r>
      <w:r>
        <w:rPr>
          <w:rFonts w:hint="eastAsia" w:eastAsia="仿宋_GB2312"/>
          <w:sz w:val="32"/>
          <w:szCs w:val="32"/>
          <w:lang w:val="en-US" w:eastAsia="zh-CN"/>
        </w:rPr>
        <w:t>1</w:t>
      </w:r>
      <w:r>
        <w:rPr>
          <w:rFonts w:hint="eastAsia" w:eastAsia="仿宋_GB2312"/>
          <w:sz w:val="32"/>
          <w:szCs w:val="32"/>
          <w:lang w:val="zh-CN"/>
        </w:rPr>
        <w:t>个，涉及预算总金额9.</w:t>
      </w:r>
      <w:r>
        <w:rPr>
          <w:rFonts w:hint="eastAsia" w:eastAsia="仿宋_GB2312"/>
          <w:sz w:val="32"/>
          <w:szCs w:val="32"/>
          <w:lang w:val="en-US" w:eastAsia="zh-CN"/>
        </w:rPr>
        <w:t>80</w:t>
      </w:r>
      <w:r>
        <w:rPr>
          <w:rFonts w:hint="eastAsia" w:eastAsia="仿宋_GB2312"/>
          <w:sz w:val="32"/>
          <w:szCs w:val="32"/>
          <w:lang w:val="zh-CN"/>
        </w:rPr>
        <w:t>万元，1—12月预算执行总体进度为100%，其中：预算结余率大于10%的项目共计0个。</w:t>
      </w:r>
    </w:p>
    <w:p w14:paraId="78F7E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rPr>
      </w:pPr>
      <w:r>
        <w:rPr>
          <w:rFonts w:hint="eastAsia" w:eastAsia="仿宋_GB2312"/>
          <w:sz w:val="32"/>
          <w:szCs w:val="32"/>
          <w:lang w:val="zh-CN" w:eastAsia="zh-CN"/>
        </w:rPr>
        <w:t>1.项目决策。</w:t>
      </w:r>
      <w:r>
        <w:rPr>
          <w:rFonts w:hint="eastAsia" w:eastAsia="仿宋_GB2312"/>
          <w:sz w:val="32"/>
          <w:szCs w:val="32"/>
          <w:lang w:val="zh-CN"/>
        </w:rPr>
        <w:t>项目决策程序严格按照有关规定执行，强化项目评审论证，完善逐级审核机制，确保项目合理性、必要性，明确项目入库规则，规范项目信息填报。</w:t>
      </w:r>
    </w:p>
    <w:p w14:paraId="6D9BB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rPr>
      </w:pPr>
      <w:r>
        <w:rPr>
          <w:rFonts w:hint="eastAsia" w:eastAsia="仿宋_GB2312"/>
          <w:sz w:val="32"/>
          <w:szCs w:val="32"/>
          <w:lang w:val="zh-CN" w:eastAsia="zh-CN"/>
        </w:rPr>
        <w:t>2.项目执行。</w:t>
      </w:r>
      <w:r>
        <w:rPr>
          <w:rFonts w:hint="eastAsia" w:eastAsia="仿宋_GB2312"/>
          <w:sz w:val="32"/>
          <w:szCs w:val="32"/>
          <w:lang w:val="zh-CN"/>
        </w:rPr>
        <w:t>强化绩效管理，加大绩效管理力度，积极做好项目事前、事中、事后绩效工作。项目实施过程，督促各相关人员严格按照相关程序及规范实施，并将绩效目标落实到项目管理过程中，定期检查数量指标、质量指标、进度完成情况等，控制项目绩效指标值，并通过相关措施有效控制成本，为完成绩效目标做好监督工作，资金投向符合有关资金管理要求。</w:t>
      </w:r>
    </w:p>
    <w:p w14:paraId="25C30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zh-CN"/>
        </w:rPr>
      </w:pPr>
      <w:r>
        <w:rPr>
          <w:rFonts w:hint="eastAsia" w:eastAsia="仿宋_GB2312"/>
          <w:sz w:val="32"/>
          <w:szCs w:val="32"/>
          <w:lang w:val="zh-CN" w:eastAsia="zh-CN"/>
        </w:rPr>
        <w:t>3.目标实现。</w:t>
      </w:r>
      <w:r>
        <w:rPr>
          <w:rFonts w:hint="eastAsia" w:eastAsia="仿宋_GB2312"/>
          <w:sz w:val="32"/>
          <w:szCs w:val="32"/>
          <w:lang w:val="zh-CN"/>
        </w:rPr>
        <w:t>严格控制各项支出，及时处置账务和执行资金支付，当年预算支出完成率100%，实际支出按预算执行，无违规记录等情况。项目任务量完成较好、质量和时效符合要求，成本控制较好，基本实现既定目标任务。</w:t>
      </w:r>
    </w:p>
    <w:p w14:paraId="47F9DA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rPr>
        <w:t>三</w:t>
      </w:r>
      <w:r>
        <w:rPr>
          <w:rFonts w:eastAsia="楷体_GB2312"/>
          <w:b/>
          <w:bCs/>
          <w:kern w:val="0"/>
          <w:sz w:val="32"/>
          <w:szCs w:val="32"/>
          <w:shd w:val="clear" w:color="auto" w:fill="FFFFFF"/>
          <w:lang w:val="zh-CN"/>
        </w:rPr>
        <w:t>）绩效结果应用情况</w:t>
      </w:r>
    </w:p>
    <w:p w14:paraId="6907D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rPr>
      </w:pPr>
      <w:r>
        <w:rPr>
          <w:rFonts w:hint="eastAsia" w:eastAsia="仿宋_GB2312"/>
          <w:sz w:val="32"/>
          <w:szCs w:val="32"/>
          <w:lang w:val="zh-CN"/>
        </w:rPr>
        <w:t>绩效自评对规范财政资金支出管理、强化绩效目标管理理念、加强资金使用效率起到了积极的促进作用。我局将此次绩效自评的结果运用到202</w:t>
      </w:r>
      <w:r>
        <w:rPr>
          <w:rFonts w:hint="eastAsia" w:eastAsia="仿宋_GB2312"/>
          <w:sz w:val="32"/>
          <w:szCs w:val="32"/>
          <w:lang w:val="en-US" w:eastAsia="zh-CN"/>
        </w:rPr>
        <w:t>5</w:t>
      </w:r>
      <w:r>
        <w:rPr>
          <w:rFonts w:hint="eastAsia" w:eastAsia="仿宋_GB2312"/>
          <w:sz w:val="32"/>
          <w:szCs w:val="32"/>
          <w:lang w:val="zh-CN"/>
        </w:rPr>
        <w:t>年工作统筹安排、项目资金合理分配使用上，进一步提高工作效率，保质保量完成县委、县政府交办的各项工作。</w:t>
      </w:r>
    </w:p>
    <w:p w14:paraId="269EB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zh-CN"/>
        </w:rPr>
      </w:pPr>
      <w:r>
        <w:rPr>
          <w:rFonts w:hint="eastAsia" w:eastAsia="仿宋_GB2312"/>
          <w:sz w:val="32"/>
          <w:szCs w:val="32"/>
          <w:lang w:val="zh-CN"/>
        </w:rPr>
        <w:t>绩效自评工作完成后将结果在“盐边县公众信息网”财政信息版块下的“财政绩效评价信息专栏”进行公示。</w:t>
      </w:r>
    </w:p>
    <w:p w14:paraId="741C48D2">
      <w:pPr>
        <w:widowControl/>
        <w:numPr>
          <w:ilvl w:val="0"/>
          <w:numId w:val="3"/>
        </w:numPr>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评价结论及建议</w:t>
      </w:r>
      <w:bookmarkStart w:id="14" w:name="_Toc32362"/>
      <w:bookmarkStart w:id="15" w:name="_Toc31224"/>
    </w:p>
    <w:p w14:paraId="7590D2AD">
      <w:pPr>
        <w:widowControl/>
        <w:numPr>
          <w:ilvl w:val="0"/>
          <w:numId w:val="4"/>
        </w:numPr>
        <w:adjustRightInd w:val="0"/>
        <w:snapToGrid w:val="0"/>
        <w:spacing w:line="578" w:lineRule="exact"/>
        <w:ind w:firstLine="643" w:firstLineChars="200"/>
        <w:contextualSpacing/>
        <w:jc w:val="left"/>
        <w:rPr>
          <w:rFonts w:hint="default" w:ascii="Times New Roman" w:hAnsi="Times New Roman" w:eastAsia="仿宋_GB2312" w:cs="Times New Roman"/>
          <w:b w:val="0"/>
          <w:bCs w:val="0"/>
          <w:color w:val="000000"/>
          <w:kern w:val="2"/>
          <w:sz w:val="32"/>
          <w:szCs w:val="32"/>
          <w:lang w:val="en-US" w:eastAsia="zh-CN" w:bidi="ar-SA"/>
        </w:rPr>
      </w:pPr>
      <w:r>
        <w:rPr>
          <w:rFonts w:hint="eastAsia" w:eastAsia="楷体_GB2312"/>
          <w:b/>
          <w:bCs/>
          <w:kern w:val="0"/>
          <w:sz w:val="32"/>
          <w:szCs w:val="32"/>
          <w:shd w:val="clear" w:color="auto" w:fill="FFFFFF"/>
          <w:lang w:val="zh-CN" w:eastAsia="zh-CN"/>
        </w:rPr>
        <w:t>评价结论</w:t>
      </w:r>
      <w:bookmarkEnd w:id="14"/>
      <w:bookmarkEnd w:id="15"/>
    </w:p>
    <w:p w14:paraId="44A14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预算编制情况较好，但项目实际推进较慢，预算执行进度受到一定的影响。</w:t>
      </w:r>
    </w:p>
    <w:p w14:paraId="532D5C0C">
      <w:pPr>
        <w:widowControl/>
        <w:numPr>
          <w:ilvl w:val="0"/>
          <w:numId w:val="0"/>
        </w:numPr>
        <w:adjustRightInd w:val="0"/>
        <w:snapToGrid w:val="0"/>
        <w:spacing w:line="578" w:lineRule="exact"/>
        <w:ind w:firstLine="643" w:firstLineChars="200"/>
        <w:contextualSpacing/>
        <w:jc w:val="left"/>
        <w:rPr>
          <w:rFonts w:hint="eastAsia" w:eastAsia="楷体_GB2312"/>
          <w:b/>
          <w:bCs/>
          <w:kern w:val="0"/>
          <w:sz w:val="32"/>
          <w:szCs w:val="32"/>
          <w:shd w:val="clear" w:color="auto" w:fill="FFFFFF"/>
          <w:lang w:val="zh-CN" w:eastAsia="zh-CN"/>
        </w:rPr>
      </w:pPr>
      <w:bookmarkStart w:id="16" w:name="_Toc6189"/>
      <w:bookmarkStart w:id="17" w:name="_Toc18881"/>
      <w:r>
        <w:rPr>
          <w:rFonts w:hint="eastAsia" w:eastAsia="楷体_GB2312"/>
          <w:b/>
          <w:bCs/>
          <w:kern w:val="0"/>
          <w:sz w:val="32"/>
          <w:szCs w:val="32"/>
          <w:shd w:val="clear" w:color="auto" w:fill="FFFFFF"/>
          <w:lang w:val="zh-CN" w:eastAsia="zh-CN"/>
        </w:rPr>
        <w:t>（</w:t>
      </w:r>
      <w:r>
        <w:rPr>
          <w:rFonts w:hint="eastAsia" w:eastAsia="楷体_GB2312"/>
          <w:b/>
          <w:bCs/>
          <w:kern w:val="0"/>
          <w:sz w:val="32"/>
          <w:szCs w:val="32"/>
          <w:shd w:val="clear" w:color="auto" w:fill="FFFFFF"/>
          <w:lang w:val="en-US" w:eastAsia="zh-CN"/>
        </w:rPr>
        <w:t>二</w:t>
      </w:r>
      <w:r>
        <w:rPr>
          <w:rFonts w:hint="eastAsia" w:eastAsia="楷体_GB2312"/>
          <w:b/>
          <w:bCs/>
          <w:kern w:val="0"/>
          <w:sz w:val="32"/>
          <w:szCs w:val="32"/>
          <w:shd w:val="clear" w:color="auto" w:fill="FFFFFF"/>
          <w:lang w:val="zh-CN" w:eastAsia="zh-CN"/>
        </w:rPr>
        <w:t>）存在问题</w:t>
      </w:r>
      <w:bookmarkEnd w:id="16"/>
      <w:bookmarkEnd w:id="17"/>
    </w:p>
    <w:p w14:paraId="2FBEA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一是年初设置绩效目标不够科学，目标设立不够明确、细化和量化；二是预算执行有待进一步严格，预算编制与实际支出项目有的仍存在差异。三是城市管理基础设施薄弱，日常管理维护人力物力和经费投入不够。</w:t>
      </w:r>
    </w:p>
    <w:p w14:paraId="1625799D">
      <w:pPr>
        <w:widowControl/>
        <w:numPr>
          <w:ilvl w:val="0"/>
          <w:numId w:val="0"/>
        </w:numPr>
        <w:adjustRightInd w:val="0"/>
        <w:snapToGrid w:val="0"/>
        <w:spacing w:line="578" w:lineRule="exact"/>
        <w:ind w:firstLine="643" w:firstLineChars="200"/>
        <w:contextualSpacing/>
        <w:jc w:val="left"/>
        <w:rPr>
          <w:rFonts w:hint="eastAsia" w:eastAsia="楷体_GB2312"/>
          <w:b/>
          <w:bCs/>
          <w:kern w:val="0"/>
          <w:sz w:val="32"/>
          <w:szCs w:val="32"/>
          <w:shd w:val="clear" w:color="auto" w:fill="FFFFFF"/>
          <w:lang w:val="zh-CN" w:eastAsia="zh-CN"/>
        </w:rPr>
      </w:pPr>
      <w:bookmarkStart w:id="18" w:name="_Toc15390"/>
      <w:bookmarkStart w:id="19" w:name="_Toc22344"/>
      <w:r>
        <w:rPr>
          <w:rFonts w:hint="eastAsia" w:eastAsia="楷体_GB2312"/>
          <w:b/>
          <w:bCs/>
          <w:kern w:val="0"/>
          <w:sz w:val="32"/>
          <w:szCs w:val="32"/>
          <w:shd w:val="clear" w:color="auto" w:fill="FFFFFF"/>
          <w:lang w:val="zh-CN" w:eastAsia="zh-CN"/>
        </w:rPr>
        <w:t>（三）改进建议</w:t>
      </w:r>
      <w:bookmarkEnd w:id="18"/>
      <w:bookmarkEnd w:id="19"/>
    </w:p>
    <w:p w14:paraId="124A6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zh-CN" w:eastAsia="zh-CN"/>
        </w:rPr>
      </w:pPr>
      <w:r>
        <w:rPr>
          <w:rFonts w:hint="eastAsia" w:eastAsia="仿宋_GB2312"/>
          <w:sz w:val="32"/>
          <w:szCs w:val="32"/>
          <w:lang w:val="en-US" w:eastAsia="zh-CN"/>
        </w:rPr>
        <w:t>一是加强绩效评价相关文件和知识的学习，提升绩效自评能力，结合单位实际和项目资金科学、合理设置绩效目标，尽可能细化、量化。二是加强预算编制的合理性，细化预算编制，严格预算执行。进一步加强单位内部机构各科室的预算管理意识，严格按照预算编制的相关制度和要求进行预算编制。严格按照预算规定的项目和用途抓好财务审核关，强化财务核算，切实提高部门预算收支管理水平。三是建立从根本上解决问题的长效机制，加强建设基础设施薄弱环节，及时解决问题。</w:t>
      </w:r>
    </w:p>
    <w:p w14:paraId="209B001A">
      <w:pPr>
        <w:pStyle w:val="3"/>
        <w:spacing w:line="560" w:lineRule="exact"/>
        <w:ind w:left="0" w:leftChars="0" w:firstLine="640"/>
        <w:rPr>
          <w:rFonts w:hint="eastAsia" w:ascii="Times New Roman" w:eastAsia="仿宋_GB2312"/>
          <w:sz w:val="32"/>
          <w:lang w:val="zh-CN" w:bidi="ar"/>
        </w:rPr>
      </w:pPr>
    </w:p>
    <w:p w14:paraId="5398B105">
      <w:pPr>
        <w:pStyle w:val="3"/>
        <w:spacing w:line="560" w:lineRule="exact"/>
        <w:ind w:left="0" w:leftChars="0" w:firstLine="640"/>
        <w:rPr>
          <w:rFonts w:hint="eastAsia" w:ascii="Times New Roman" w:eastAsia="仿宋_GB2312"/>
          <w:sz w:val="32"/>
          <w:lang w:val="zh-CN" w:bidi="ar"/>
        </w:rPr>
      </w:pPr>
    </w:p>
    <w:p w14:paraId="7BEFF3CF">
      <w:pPr>
        <w:pStyle w:val="3"/>
        <w:spacing w:line="560" w:lineRule="exact"/>
        <w:ind w:left="0" w:leftChars="0" w:firstLine="0" w:firstLineChars="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1E754F72">
      <w:pPr>
        <w:pStyle w:val="3"/>
        <w:spacing w:line="560" w:lineRule="exact"/>
        <w:ind w:left="0" w:leftChars="0" w:firstLine="0" w:firstLineChars="0"/>
        <w:rPr>
          <w:rFonts w:ascii="Times New Roman"/>
          <w:sz w:val="32"/>
          <w:highlight w:val="yellow"/>
          <w:lang w:val="zh-CN"/>
        </w:rPr>
      </w:pPr>
    </w:p>
    <w:p w14:paraId="4CB798C6">
      <w:pPr>
        <w:pStyle w:val="8"/>
        <w:spacing w:before="93"/>
        <w:rPr>
          <w:rFonts w:ascii="Times New Roman" w:cs="宋体"/>
          <w:sz w:val="32"/>
          <w:szCs w:val="32"/>
          <w:highlight w:val="yellow"/>
          <w:shd w:val="clear" w:color="auto" w:fill="FFFFFF"/>
          <w:lang w:val="zh-CN"/>
        </w:rPr>
      </w:pPr>
    </w:p>
    <w:p w14:paraId="0052F59B">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3C8E2BC0">
      <w:pPr>
        <w:pStyle w:val="8"/>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38DE884E">
      <w:pPr>
        <w:pStyle w:val="34"/>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14:paraId="7C5BE523">
      <w:pPr>
        <w:jc w:val="center"/>
        <w:rPr>
          <w:rFonts w:hint="eastAsia" w:ascii="Times New Roman" w:hAnsi="Times New Roman" w:eastAsia="仿宋-GB3212" w:cs="Times New Roman"/>
          <w:sz w:val="32"/>
          <w:szCs w:val="32"/>
          <w:highlight w:val="none"/>
        </w:rPr>
      </w:pPr>
      <w:r>
        <w:rPr>
          <w:rFonts w:hint="eastAsia" w:ascii="Times New Roman" w:hAnsi="Times New Roman" w:eastAsia="仿宋-GB3212" w:cs="Times New Roman"/>
          <w:sz w:val="32"/>
          <w:szCs w:val="32"/>
          <w:highlight w:val="none"/>
        </w:rPr>
        <w:t>（三救三献项目）</w:t>
      </w:r>
    </w:p>
    <w:p w14:paraId="6538D784">
      <w:pPr>
        <w:adjustRightInd w:val="0"/>
        <w:snapToGrid w:val="0"/>
        <w:spacing w:line="578" w:lineRule="exact"/>
        <w:ind w:firstLine="720"/>
        <w:rPr>
          <w:rFonts w:hint="eastAsia" w:ascii="黑体" w:hAnsi="宋体" w:eastAsia="黑体" w:cs="Times New Roman"/>
          <w:sz w:val="32"/>
          <w:szCs w:val="32"/>
          <w:lang w:val="zh-CN" w:eastAsia="zh-CN"/>
        </w:rPr>
      </w:pPr>
      <w:bookmarkStart w:id="20" w:name="_Toc30746"/>
      <w:r>
        <w:rPr>
          <w:rFonts w:hint="eastAsia" w:ascii="黑体" w:hAnsi="宋体" w:eastAsia="黑体" w:cs="Times New Roman"/>
          <w:sz w:val="32"/>
          <w:szCs w:val="32"/>
          <w:lang w:val="zh-CN" w:eastAsia="zh-CN"/>
        </w:rPr>
        <w:t>一、项目概况</w:t>
      </w:r>
      <w:bookmarkEnd w:id="20"/>
    </w:p>
    <w:p w14:paraId="5DEB8126">
      <w:pPr>
        <w:spacing w:line="560" w:lineRule="exact"/>
        <w:ind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（一）设立背景及基本情况</w:t>
      </w:r>
    </w:p>
    <w:p w14:paraId="4AC73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en-US" w:eastAsia="zh-CN"/>
        </w:rPr>
        <w:t>2</w:t>
      </w:r>
      <w:r>
        <w:rPr>
          <w:rFonts w:hint="eastAsia" w:eastAsia="仿宋_GB2312"/>
          <w:sz w:val="32"/>
          <w:szCs w:val="32"/>
          <w:lang w:val="zh-CN" w:eastAsia="zh-CN"/>
        </w:rPr>
        <w:t>021年11月，县委批复设立县红十字会，明确盐边县红十字会是由县委领导分管、县政府领导联系的依法独立从事人道主义工作的社会救助团体，是中国红十字会总会所属的地方红十字组织，纳入群团序列管理。我县依法成立了理事会、监事会，落实了独立办公场所、救灾物资仓库等，独立开展县红十字会工作。红十字会主要职责为制定并实施盐边县红十字事业发展规划；开展救援救灾的相关工作；开展应急救护培训；参与推动无偿献血、遗体和人体器官（组织）捐献工作，参与开展造血干细胞捐献工作；开展募捐、红十字志愿服务工作。202</w:t>
      </w:r>
      <w:r>
        <w:rPr>
          <w:rFonts w:hint="eastAsia" w:eastAsia="仿宋_GB2312"/>
          <w:sz w:val="32"/>
          <w:szCs w:val="32"/>
          <w:lang w:val="en-US" w:eastAsia="zh-CN"/>
        </w:rPr>
        <w:t>4</w:t>
      </w:r>
      <w:r>
        <w:rPr>
          <w:rFonts w:hint="eastAsia" w:eastAsia="仿宋_GB2312"/>
          <w:sz w:val="32"/>
          <w:szCs w:val="32"/>
          <w:lang w:val="zh-CN" w:eastAsia="zh-CN"/>
        </w:rPr>
        <w:t>年经预算，需要经费</w:t>
      </w:r>
      <w:r>
        <w:rPr>
          <w:rFonts w:hint="eastAsia" w:eastAsia="仿宋_GB2312"/>
          <w:sz w:val="32"/>
          <w:szCs w:val="32"/>
          <w:lang w:val="en-US" w:eastAsia="zh-CN"/>
        </w:rPr>
        <w:t>9.80</w:t>
      </w:r>
      <w:r>
        <w:rPr>
          <w:rFonts w:hint="eastAsia" w:eastAsia="仿宋_GB2312"/>
          <w:sz w:val="32"/>
          <w:szCs w:val="32"/>
          <w:lang w:val="zh-CN" w:eastAsia="zh-CN"/>
        </w:rPr>
        <w:t>万元。</w:t>
      </w:r>
    </w:p>
    <w:p w14:paraId="552B1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 w:val="0"/>
          <w:bCs/>
          <w:sz w:val="32"/>
          <w:szCs w:val="32"/>
          <w:lang w:val="zh-CN" w:eastAsia="zh-CN"/>
        </w:rPr>
      </w:pPr>
      <w:r>
        <w:rPr>
          <w:rFonts w:hint="eastAsia" w:eastAsia="仿宋_GB2312"/>
          <w:sz w:val="32"/>
          <w:szCs w:val="32"/>
          <w:lang w:val="zh-CN" w:eastAsia="zh-CN"/>
        </w:rPr>
        <w:t>主管部门职能：完成应急救护培训任务、开展红十字生命教育工作，开展人道动员宣传工作，开展人道救援及生命教育宣传，开展基层组织建设和红十字志愿服务，红十字青少年工作。开展筹资工作，参与腾讯99公益日活动等，开展红十字救灾备灾工作，完善赈济救援队装备及强化培训。</w:t>
      </w:r>
    </w:p>
    <w:p w14:paraId="545D13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二</w:t>
      </w:r>
      <w:r>
        <w:rPr>
          <w:rFonts w:hint="eastAsia" w:ascii="楷体_GB2312" w:hAnsi="宋体" w:eastAsia="楷体_GB2312" w:cs="Times New Roman"/>
          <w:b/>
          <w:sz w:val="32"/>
          <w:szCs w:val="32"/>
          <w:lang w:val="zh-CN"/>
        </w:rPr>
        <w:t>）实施目的及支持方向</w:t>
      </w:r>
    </w:p>
    <w:p w14:paraId="7474D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制定了项目支出审批流程，项目资金严格按照合同约定和绩效考核结果进行支出，并履行部门决策程序。项目资金用于支付三救三献培训费、差旅费、办公费。</w:t>
      </w:r>
    </w:p>
    <w:p w14:paraId="55A91E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三</w:t>
      </w:r>
      <w:r>
        <w:rPr>
          <w:rFonts w:hint="eastAsia" w:ascii="楷体_GB2312" w:hAnsi="宋体" w:eastAsia="楷体_GB2312" w:cs="Times New Roman"/>
          <w:b/>
          <w:sz w:val="32"/>
          <w:szCs w:val="32"/>
          <w:lang w:val="zh-CN"/>
        </w:rPr>
        <w:t>）预算安排及分配管理</w:t>
      </w:r>
    </w:p>
    <w:p w14:paraId="56BC2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项目资金按照每次发生培训费、差旅费、劳务费据实支付金额。</w:t>
      </w:r>
    </w:p>
    <w:p w14:paraId="09C21D6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项目绩效目标设置</w:t>
      </w:r>
    </w:p>
    <w:p w14:paraId="6C85FC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zh-CN" w:eastAsia="zh-CN"/>
        </w:rPr>
      </w:pPr>
      <w:r>
        <w:rPr>
          <w:rFonts w:hint="eastAsia" w:eastAsia="仿宋_GB2312"/>
          <w:sz w:val="32"/>
          <w:szCs w:val="32"/>
          <w:lang w:val="zh-CN" w:eastAsia="zh-CN"/>
        </w:rPr>
        <w:t>202</w:t>
      </w:r>
      <w:r>
        <w:rPr>
          <w:rFonts w:hint="eastAsia" w:eastAsia="仿宋_GB2312"/>
          <w:sz w:val="32"/>
          <w:szCs w:val="32"/>
          <w:lang w:val="en-US" w:eastAsia="zh-CN"/>
        </w:rPr>
        <w:t>4</w:t>
      </w:r>
      <w:r>
        <w:rPr>
          <w:rFonts w:hint="eastAsia" w:eastAsia="仿宋_GB2312"/>
          <w:sz w:val="32"/>
          <w:szCs w:val="32"/>
          <w:lang w:val="zh-CN" w:eastAsia="zh-CN"/>
        </w:rPr>
        <w:t>年完成应急救护培训，救护员培训300人以上，应急救护普训2000人以上；开展红十字生命教育工作，宣传献血，推动造血干细胞采集和遗体、眼角膜捐献报名宣传登记工作，人道慰问和人道救助项目。开展人道动员宣传工作等，符合省、市红十字会提升能力建设的要求，通过开展应急救护，宣传红十字精神，具有现实需要，具有明显的经济、社会、环境或可持续性效益等必要性。</w:t>
      </w:r>
      <w:bookmarkStart w:id="21" w:name="_Toc25079"/>
    </w:p>
    <w:p w14:paraId="3FCAB35F">
      <w:pPr>
        <w:adjustRightInd w:val="0"/>
        <w:snapToGrid w:val="0"/>
        <w:spacing w:line="578" w:lineRule="exact"/>
        <w:ind w:firstLine="72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二、评价实施</w:t>
      </w:r>
      <w:bookmarkEnd w:id="21"/>
    </w:p>
    <w:p w14:paraId="46823D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宋体" w:eastAsia="楷体_GB2312" w:cs="Times New Roman"/>
          <w:b/>
          <w:sz w:val="32"/>
          <w:szCs w:val="32"/>
          <w:lang w:val="zh-CN"/>
        </w:rPr>
      </w:pPr>
      <w:bookmarkStart w:id="22" w:name="_Toc29463"/>
      <w:r>
        <w:rPr>
          <w:rFonts w:hint="eastAsia" w:ascii="楷体_GB2312" w:hAnsi="宋体" w:eastAsia="楷体_GB2312" w:cs="Times New Roman"/>
          <w:b/>
          <w:sz w:val="32"/>
          <w:szCs w:val="32"/>
          <w:lang w:val="zh-CN"/>
        </w:rPr>
        <w:t>（一）评价目的</w:t>
      </w:r>
    </w:p>
    <w:bookmarkEnd w:id="22"/>
    <w:p w14:paraId="3D6BE7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zh-CN" w:eastAsia="zh-CN"/>
        </w:rPr>
      </w:pPr>
      <w:r>
        <w:rPr>
          <w:rFonts w:hint="eastAsia" w:eastAsia="仿宋_GB2312"/>
          <w:sz w:val="32"/>
          <w:szCs w:val="32"/>
          <w:lang w:val="zh-CN" w:eastAsia="zh-CN"/>
        </w:rPr>
        <w:t>开展红十字生命教育工作，宣传献血，推动造血干细胞采集和遗体、眼角膜捐献报名宣传登记工作，人道慰问和人道救助项目。开展人道动员宣传工作等，符合省、市红十字会提升能力建设的要求，通过开展应急救护，宣传红十字精神，具有现实需要，具有明显的经济、社会、环境或可持续性效益等必要性。</w:t>
      </w:r>
    </w:p>
    <w:p w14:paraId="4C28E2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（二）预设问题及评价重点</w:t>
      </w:r>
    </w:p>
    <w:p w14:paraId="6C4761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按照绩效评价指标体系，对资金支出使用全过程进行综合评价。</w:t>
      </w:r>
    </w:p>
    <w:p w14:paraId="3AAA20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宋体" w:eastAsia="楷体_GB2312" w:cs="Times New Roman"/>
          <w:b/>
          <w:sz w:val="32"/>
          <w:szCs w:val="32"/>
          <w:lang w:val="zh-CN" w:eastAsia="zh-CN"/>
        </w:rPr>
      </w:pPr>
      <w:bookmarkStart w:id="23" w:name="_Toc23231"/>
      <w:r>
        <w:rPr>
          <w:rFonts w:hint="eastAsia" w:ascii="楷体_GB2312" w:hAnsi="宋体" w:eastAsia="楷体_GB2312" w:cs="Times New Roman"/>
          <w:b/>
          <w:sz w:val="32"/>
          <w:szCs w:val="32"/>
          <w:lang w:val="zh-CN" w:eastAsia="zh-CN"/>
        </w:rPr>
        <w:t>（三）评价选点</w:t>
      </w:r>
    </w:p>
    <w:p w14:paraId="13E3EF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无。</w:t>
      </w:r>
      <w:bookmarkEnd w:id="23"/>
    </w:p>
    <w:p w14:paraId="394506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（四）评价方法</w:t>
      </w:r>
    </w:p>
    <w:p w14:paraId="6CF997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根据本项目情况和评价重点，采用成本效益分析法、单位自评法、实地勘察法等多种方法对项目绩效进行评价。</w:t>
      </w:r>
    </w:p>
    <w:p w14:paraId="5587F5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Times New Roman"/>
          <w:b/>
          <w:sz w:val="32"/>
          <w:szCs w:val="32"/>
          <w:lang w:val="zh-CN"/>
        </w:rPr>
      </w:pPr>
      <w:bookmarkStart w:id="24" w:name="_Toc32032"/>
      <w:r>
        <w:rPr>
          <w:rFonts w:hint="eastAsia" w:ascii="楷体_GB2312" w:hAnsi="宋体" w:eastAsia="楷体_GB2312" w:cs="Times New Roman"/>
          <w:b/>
          <w:sz w:val="32"/>
          <w:szCs w:val="32"/>
          <w:lang w:val="zh-CN"/>
        </w:rPr>
        <w:t>（五）评价组织</w:t>
      </w:r>
    </w:p>
    <w:p w14:paraId="2FAF6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无。</w:t>
      </w:r>
      <w:bookmarkEnd w:id="24"/>
    </w:p>
    <w:p w14:paraId="641C13B9">
      <w:pPr>
        <w:adjustRightInd w:val="0"/>
        <w:snapToGrid w:val="0"/>
        <w:spacing w:line="578" w:lineRule="exact"/>
        <w:ind w:firstLine="720"/>
        <w:rPr>
          <w:rFonts w:hint="eastAsia" w:ascii="黑体" w:hAnsi="宋体" w:eastAsia="黑体" w:cs="Times New Roman"/>
          <w:sz w:val="32"/>
          <w:szCs w:val="32"/>
          <w:lang w:val="zh-CN" w:eastAsia="zh-CN"/>
        </w:rPr>
      </w:pPr>
      <w:bookmarkStart w:id="25" w:name="_Toc19107"/>
      <w:r>
        <w:rPr>
          <w:rFonts w:hint="eastAsia" w:ascii="黑体" w:hAnsi="宋体" w:eastAsia="黑体" w:cs="Times New Roman"/>
          <w:sz w:val="32"/>
          <w:szCs w:val="32"/>
          <w:lang w:val="zh-CN" w:eastAsia="zh-CN"/>
        </w:rPr>
        <w:t>三、绩效分析</w:t>
      </w:r>
      <w:bookmarkEnd w:id="25"/>
    </w:p>
    <w:p w14:paraId="5C0478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根据项目预算绩效评价指标体系“通用指标”“专用指标”“个性指标”涉及二、三级指标进行逐项绩效分析并评分。</w:t>
      </w:r>
    </w:p>
    <w:p w14:paraId="50158E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宋体" w:eastAsia="楷体_GB2312" w:cs="Times New Roman"/>
          <w:b/>
          <w:sz w:val="32"/>
          <w:szCs w:val="32"/>
          <w:lang w:val="zh-CN"/>
        </w:rPr>
      </w:pPr>
      <w:bookmarkStart w:id="26" w:name="_Toc16917"/>
      <w:r>
        <w:rPr>
          <w:rFonts w:hint="eastAsia" w:ascii="楷体_GB2312" w:hAnsi="宋体" w:eastAsia="楷体_GB2312" w:cs="Times New Roman"/>
          <w:b/>
          <w:sz w:val="32"/>
          <w:szCs w:val="32"/>
          <w:lang w:val="zh-CN"/>
        </w:rPr>
        <w:t>（一）通用指标绩效分析。</w:t>
      </w:r>
      <w:bookmarkEnd w:id="26"/>
    </w:p>
    <w:p w14:paraId="1AB6D8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GB3212" w:cs="Times New Roman"/>
          <w:b/>
          <w:bCs/>
          <w:sz w:val="32"/>
          <w:szCs w:val="32"/>
          <w:highlight w:val="none"/>
          <w:lang w:val="zh-CN"/>
        </w:rPr>
      </w:pPr>
      <w:r>
        <w:rPr>
          <w:rFonts w:hint="eastAsia" w:ascii="Times New Roman" w:hAnsi="Times New Roman" w:eastAsia="仿宋-GB3212" w:cs="Times New Roman"/>
          <w:b/>
          <w:bCs/>
          <w:sz w:val="32"/>
          <w:szCs w:val="32"/>
          <w:highlight w:val="none"/>
          <w:lang w:val="zh-CN"/>
        </w:rPr>
        <w:t>1.项目决策</w:t>
      </w:r>
    </w:p>
    <w:p w14:paraId="60602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无。</w:t>
      </w:r>
    </w:p>
    <w:p w14:paraId="5EFB48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GB3212" w:cs="Times New Roman"/>
          <w:b/>
          <w:bCs/>
          <w:sz w:val="32"/>
          <w:szCs w:val="32"/>
          <w:highlight w:val="none"/>
          <w:lang w:val="zh-CN"/>
        </w:rPr>
      </w:pPr>
      <w:r>
        <w:rPr>
          <w:rFonts w:hint="eastAsia" w:ascii="Times New Roman" w:hAnsi="Times New Roman" w:eastAsia="仿宋-GB3212" w:cs="Times New Roman"/>
          <w:b/>
          <w:bCs/>
          <w:sz w:val="32"/>
          <w:szCs w:val="32"/>
          <w:highlight w:val="none"/>
          <w:lang w:val="zh-CN"/>
        </w:rPr>
        <w:t>2.项目管理</w:t>
      </w:r>
    </w:p>
    <w:p w14:paraId="01ACD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资金来源渠道为财政支出，合法合规性，符合法律法规规定，结构合理，资金来源渠道明确，红十字会有独立的师资，能够落实相应培训及宣传。</w:t>
      </w:r>
    </w:p>
    <w:p w14:paraId="4D8240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GB3212" w:cs="Times New Roman"/>
          <w:b/>
          <w:bCs/>
          <w:sz w:val="32"/>
          <w:szCs w:val="32"/>
          <w:highlight w:val="none"/>
          <w:lang w:val="zh-CN"/>
        </w:rPr>
      </w:pPr>
      <w:r>
        <w:rPr>
          <w:rFonts w:hint="eastAsia" w:ascii="Times New Roman" w:hAnsi="Times New Roman" w:eastAsia="仿宋-GB3212" w:cs="Times New Roman"/>
          <w:b/>
          <w:bCs/>
          <w:sz w:val="32"/>
          <w:szCs w:val="32"/>
          <w:highlight w:val="none"/>
          <w:lang w:val="zh-CN"/>
        </w:rPr>
        <w:t>3.项目实施</w:t>
      </w:r>
    </w:p>
    <w:p w14:paraId="31B56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202</w:t>
      </w:r>
      <w:r>
        <w:rPr>
          <w:rFonts w:hint="eastAsia" w:eastAsia="仿宋_GB2312"/>
          <w:sz w:val="32"/>
          <w:szCs w:val="32"/>
          <w:lang w:val="en-US" w:eastAsia="zh-CN"/>
        </w:rPr>
        <w:t>4</w:t>
      </w:r>
      <w:r>
        <w:rPr>
          <w:rFonts w:hint="eastAsia" w:eastAsia="仿宋_GB2312"/>
          <w:sz w:val="32"/>
          <w:szCs w:val="32"/>
          <w:lang w:val="zh-CN" w:eastAsia="zh-CN"/>
        </w:rPr>
        <w:t>年全年预算</w:t>
      </w:r>
      <w:r>
        <w:rPr>
          <w:rFonts w:hint="eastAsia" w:eastAsia="仿宋_GB2312"/>
          <w:sz w:val="32"/>
          <w:szCs w:val="32"/>
          <w:lang w:val="en-US" w:eastAsia="zh-CN"/>
        </w:rPr>
        <w:t>9.80</w:t>
      </w:r>
      <w:r>
        <w:rPr>
          <w:rFonts w:hint="eastAsia" w:eastAsia="仿宋_GB2312"/>
          <w:sz w:val="32"/>
          <w:szCs w:val="32"/>
          <w:lang w:val="zh-CN" w:eastAsia="zh-CN"/>
        </w:rPr>
        <w:t>万元，支付数</w:t>
      </w:r>
      <w:r>
        <w:rPr>
          <w:rFonts w:hint="eastAsia" w:eastAsia="仿宋_GB2312"/>
          <w:sz w:val="32"/>
          <w:szCs w:val="32"/>
          <w:lang w:val="en-US" w:eastAsia="zh-CN"/>
        </w:rPr>
        <w:t>9.80</w:t>
      </w:r>
      <w:r>
        <w:rPr>
          <w:rFonts w:hint="eastAsia" w:eastAsia="仿宋_GB2312"/>
          <w:sz w:val="32"/>
          <w:szCs w:val="32"/>
          <w:lang w:val="zh-CN" w:eastAsia="zh-CN"/>
        </w:rPr>
        <w:t>万元，1-12月执行率100%。</w:t>
      </w:r>
    </w:p>
    <w:p w14:paraId="271A60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GB3212" w:cs="Times New Roman"/>
          <w:b/>
          <w:bCs/>
          <w:sz w:val="32"/>
          <w:szCs w:val="32"/>
          <w:highlight w:val="none"/>
          <w:lang w:val="zh-CN"/>
        </w:rPr>
      </w:pPr>
      <w:r>
        <w:rPr>
          <w:rFonts w:hint="eastAsia" w:ascii="Times New Roman" w:hAnsi="Times New Roman" w:eastAsia="仿宋-GB3212" w:cs="Times New Roman"/>
          <w:b/>
          <w:bCs/>
          <w:sz w:val="32"/>
          <w:szCs w:val="32"/>
          <w:highlight w:val="none"/>
          <w:lang w:val="zh-CN"/>
        </w:rPr>
        <w:t>4.项目结果</w:t>
      </w:r>
    </w:p>
    <w:p w14:paraId="69891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计划全年完成救护员培训300人以上；深入开展应急救护普及培训，全年完成培训2000人。加强全县红十字志愿服务队伍的建设与管理，积极开展志愿服务活动，不断提高市民灾害预防和应急处置能力；传递社会正能量，各项活动普及率。</w:t>
      </w:r>
    </w:p>
    <w:p w14:paraId="1557F1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（二）专用指标绩效分析</w:t>
      </w:r>
    </w:p>
    <w:p w14:paraId="7BAF8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GB3212" w:cs="Times New Roman"/>
          <w:sz w:val="32"/>
          <w:szCs w:val="32"/>
          <w:highlight w:val="none"/>
          <w:lang w:eastAsia="zh-CN"/>
        </w:rPr>
      </w:pPr>
      <w:r>
        <w:rPr>
          <w:rFonts w:hint="eastAsia" w:eastAsia="仿宋_GB2312"/>
          <w:sz w:val="32"/>
          <w:szCs w:val="32"/>
          <w:lang w:val="zh-CN" w:eastAsia="zh-CN"/>
        </w:rPr>
        <w:t>无。</w:t>
      </w:r>
    </w:p>
    <w:p w14:paraId="18D7A5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cs="Times New Roman"/>
          <w:b/>
          <w:sz w:val="32"/>
          <w:szCs w:val="32"/>
          <w:lang w:val="zh-CN" w:eastAsia="zh-CN"/>
        </w:rPr>
      </w:pPr>
      <w:r>
        <w:rPr>
          <w:rFonts w:hint="eastAsia" w:ascii="楷体_GB2312" w:hAnsi="宋体" w:eastAsia="楷体_GB2312" w:cs="Times New Roman"/>
          <w:b/>
          <w:sz w:val="32"/>
          <w:szCs w:val="32"/>
          <w:lang w:val="zh-CN" w:eastAsia="zh-CN"/>
        </w:rPr>
        <w:t>（三）个性指标绩效分析</w:t>
      </w:r>
    </w:p>
    <w:p w14:paraId="7A6EA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zh-CN" w:eastAsia="zh-CN"/>
        </w:rPr>
      </w:pPr>
      <w:r>
        <w:rPr>
          <w:rFonts w:hint="eastAsia" w:eastAsia="仿宋_GB2312"/>
          <w:sz w:val="32"/>
          <w:szCs w:val="32"/>
          <w:lang w:val="en-US" w:eastAsia="zh-CN"/>
        </w:rPr>
        <w:t>无。</w:t>
      </w:r>
    </w:p>
    <w:p w14:paraId="0B9AB720">
      <w:pPr>
        <w:adjustRightInd w:val="0"/>
        <w:snapToGrid w:val="0"/>
        <w:spacing w:line="578" w:lineRule="exact"/>
        <w:ind w:firstLine="720"/>
        <w:rPr>
          <w:rFonts w:hint="eastAsia" w:ascii="黑体" w:hAnsi="宋体" w:eastAsia="黑体" w:cs="Times New Roman"/>
          <w:sz w:val="32"/>
          <w:szCs w:val="32"/>
          <w:lang w:val="zh-CN" w:eastAsia="zh-CN"/>
        </w:rPr>
      </w:pPr>
      <w:bookmarkStart w:id="27" w:name="_Toc508"/>
      <w:r>
        <w:rPr>
          <w:rFonts w:hint="eastAsia" w:ascii="黑体" w:hAnsi="宋体" w:eastAsia="黑体" w:cs="Times New Roman"/>
          <w:sz w:val="32"/>
          <w:szCs w:val="32"/>
          <w:lang w:val="zh-CN" w:eastAsia="zh-CN"/>
        </w:rPr>
        <w:t>四、评价结论</w:t>
      </w:r>
      <w:bookmarkEnd w:id="27"/>
    </w:p>
    <w:p w14:paraId="08E8E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 xml:space="preserve">根据主要职责，开展相关活动，不断提高市民灾害预防和应急处置能力；宣传红十字精神，提高培训合格率，确保满意度达到90%以上。 </w:t>
      </w:r>
    </w:p>
    <w:p w14:paraId="3D69F5E1">
      <w:pPr>
        <w:adjustRightInd w:val="0"/>
        <w:snapToGrid w:val="0"/>
        <w:spacing w:line="578" w:lineRule="exact"/>
        <w:ind w:firstLine="720"/>
        <w:rPr>
          <w:rFonts w:hint="eastAsia" w:ascii="黑体" w:hAnsi="宋体" w:eastAsia="黑体" w:cs="Times New Roman"/>
          <w:sz w:val="32"/>
          <w:szCs w:val="32"/>
          <w:lang w:val="zh-CN" w:eastAsia="zh-CN"/>
        </w:rPr>
      </w:pPr>
      <w:bookmarkStart w:id="28" w:name="_Toc15617"/>
      <w:r>
        <w:rPr>
          <w:rFonts w:hint="eastAsia" w:ascii="黑体" w:hAnsi="宋体" w:eastAsia="黑体" w:cs="Times New Roman"/>
          <w:sz w:val="32"/>
          <w:szCs w:val="32"/>
          <w:lang w:val="zh-CN" w:eastAsia="zh-CN"/>
        </w:rPr>
        <w:t>五、存在主要问题</w:t>
      </w:r>
      <w:bookmarkEnd w:id="28"/>
    </w:p>
    <w:p w14:paraId="44A0C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zh-CN" w:eastAsia="zh-CN"/>
        </w:rPr>
      </w:pPr>
      <w:r>
        <w:rPr>
          <w:rFonts w:hint="eastAsia" w:eastAsia="仿宋_GB2312"/>
          <w:sz w:val="32"/>
          <w:szCs w:val="32"/>
          <w:lang w:val="zh-CN" w:eastAsia="zh-CN"/>
        </w:rPr>
        <w:t>本部门无专项预算项目绩效自评发现的主要问题。</w:t>
      </w:r>
    </w:p>
    <w:p w14:paraId="7F30DB73">
      <w:pPr>
        <w:adjustRightInd w:val="0"/>
        <w:snapToGrid w:val="0"/>
        <w:spacing w:line="578" w:lineRule="exact"/>
        <w:ind w:firstLine="720"/>
        <w:rPr>
          <w:rFonts w:hint="eastAsia" w:ascii="黑体" w:hAnsi="宋体" w:eastAsia="黑体" w:cs="Times New Roman"/>
          <w:sz w:val="32"/>
          <w:szCs w:val="32"/>
          <w:lang w:val="zh-CN" w:eastAsia="zh-CN"/>
        </w:rPr>
      </w:pPr>
      <w:bookmarkStart w:id="29" w:name="_Toc4980"/>
      <w:r>
        <w:rPr>
          <w:rFonts w:hint="eastAsia" w:ascii="黑体" w:hAnsi="宋体" w:eastAsia="黑体" w:cs="Times New Roman"/>
          <w:sz w:val="32"/>
          <w:szCs w:val="32"/>
          <w:lang w:val="zh-CN" w:eastAsia="zh-CN"/>
        </w:rPr>
        <w:t>六、改进建议</w:t>
      </w:r>
      <w:bookmarkEnd w:id="29"/>
    </w:p>
    <w:p w14:paraId="085C2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zh-CN" w:eastAsia="zh-CN"/>
        </w:rPr>
      </w:pPr>
      <w:r>
        <w:rPr>
          <w:rFonts w:hint="eastAsia" w:eastAsia="仿宋_GB2312"/>
          <w:sz w:val="32"/>
          <w:szCs w:val="32"/>
          <w:lang w:val="zh-CN" w:eastAsia="zh-CN"/>
        </w:rPr>
        <w:t>下一步县红十字会将围绕推进红十字改革、基层组织建设、信息化建设和应急救护培训等工作早谋划，推动红十字事业发展再上新台阶，大力弘扬“人道、博爱、奉献”的红十字精神，以“助力疫情防控，红十字救在身边”为主题，广泛开展“三救”“三献”等工作。</w:t>
      </w:r>
    </w:p>
    <w:p w14:paraId="5925997A">
      <w:pPr>
        <w:widowControl/>
        <w:jc w:val="center"/>
        <w:rPr>
          <w:rFonts w:hint="eastAsia" w:ascii="CESI仿宋-GB2312" w:hAnsi="CESI仿宋-GB2312" w:eastAsia="CESI仿宋-GB2312" w:cs="CESI仿宋-GB2312"/>
          <w:b w:val="0"/>
          <w:bCs/>
          <w:sz w:val="32"/>
          <w:szCs w:val="32"/>
          <w:lang w:val="zh-CN"/>
        </w:rPr>
      </w:pPr>
    </w:p>
    <w:p w14:paraId="3E315B58">
      <w:pPr>
        <w:widowControl/>
        <w:jc w:val="center"/>
        <w:rPr>
          <w:rFonts w:hint="eastAsia" w:ascii="CESI仿宋-GB2312" w:hAnsi="CESI仿宋-GB2312" w:eastAsia="CESI仿宋-GB2312" w:cs="CESI仿宋-GB2312"/>
          <w:b w:val="0"/>
          <w:bCs/>
          <w:sz w:val="32"/>
          <w:szCs w:val="32"/>
          <w:lang w:val="zh-CN"/>
        </w:rPr>
      </w:pPr>
    </w:p>
    <w:p w14:paraId="56DF68E1">
      <w:pPr>
        <w:widowControl/>
        <w:jc w:val="center"/>
        <w:rPr>
          <w:rFonts w:hint="eastAsia" w:ascii="CESI仿宋-GB2312" w:hAnsi="CESI仿宋-GB2312" w:eastAsia="CESI仿宋-GB2312" w:cs="CESI仿宋-GB2312"/>
          <w:b w:val="0"/>
          <w:bCs/>
          <w:sz w:val="32"/>
          <w:szCs w:val="32"/>
          <w:lang w:val="zh-CN"/>
        </w:rPr>
      </w:pPr>
    </w:p>
    <w:p w14:paraId="2B6416FC">
      <w:pPr>
        <w:widowControl/>
        <w:jc w:val="center"/>
        <w:rPr>
          <w:rFonts w:hint="eastAsia" w:ascii="CESI仿宋-GB2312" w:hAnsi="CESI仿宋-GB2312" w:eastAsia="CESI仿宋-GB2312" w:cs="CESI仿宋-GB2312"/>
          <w:b w:val="0"/>
          <w:bCs/>
          <w:sz w:val="32"/>
          <w:szCs w:val="32"/>
          <w:lang w:val="zh-CN"/>
        </w:rPr>
      </w:pPr>
    </w:p>
    <w:p w14:paraId="19550E2B">
      <w:pPr>
        <w:widowControl/>
        <w:jc w:val="center"/>
        <w:rPr>
          <w:rFonts w:hint="eastAsia" w:ascii="CESI仿宋-GB2312" w:hAnsi="CESI仿宋-GB2312" w:eastAsia="CESI仿宋-GB2312" w:cs="CESI仿宋-GB2312"/>
          <w:b w:val="0"/>
          <w:bCs/>
          <w:sz w:val="32"/>
          <w:szCs w:val="32"/>
          <w:lang w:val="zh-CN"/>
        </w:rPr>
      </w:pPr>
    </w:p>
    <w:p w14:paraId="080EC38C">
      <w:pPr>
        <w:widowControl/>
        <w:jc w:val="center"/>
        <w:rPr>
          <w:rFonts w:hint="eastAsia" w:ascii="CESI仿宋-GB2312" w:hAnsi="CESI仿宋-GB2312" w:eastAsia="CESI仿宋-GB2312" w:cs="CESI仿宋-GB2312"/>
          <w:b w:val="0"/>
          <w:bCs/>
          <w:sz w:val="32"/>
          <w:szCs w:val="32"/>
          <w:lang w:val="zh-CN"/>
        </w:rPr>
      </w:pPr>
    </w:p>
    <w:p w14:paraId="71C5694F">
      <w:pPr>
        <w:widowControl/>
        <w:jc w:val="center"/>
        <w:rPr>
          <w:rFonts w:hint="eastAsia" w:eastAsia="黑体"/>
          <w:sz w:val="44"/>
          <w:szCs w:val="44"/>
        </w:rPr>
      </w:pPr>
    </w:p>
    <w:p w14:paraId="3160DA8B">
      <w:pPr>
        <w:widowControl/>
        <w:jc w:val="center"/>
        <w:rPr>
          <w:rFonts w:eastAsia="仿宋"/>
        </w:rPr>
      </w:pPr>
      <w:r>
        <w:rPr>
          <w:rFonts w:hint="eastAsia" w:eastAsia="黑体"/>
          <w:sz w:val="44"/>
          <w:szCs w:val="44"/>
        </w:rPr>
        <w:t>第</w:t>
      </w:r>
      <w:r>
        <w:rPr>
          <w:rStyle w:val="28"/>
          <w:rFonts w:hint="eastAsia" w:eastAsia="黑体"/>
          <w:b w:val="0"/>
        </w:rPr>
        <w:t>五部分 附表</w:t>
      </w:r>
    </w:p>
    <w:p w14:paraId="296E3048">
      <w:pPr>
        <w:pStyle w:val="14"/>
        <w:adjustRightInd w:val="0"/>
        <w:snapToGrid w:val="0"/>
        <w:spacing w:line="560" w:lineRule="exact"/>
        <w:jc w:val="left"/>
        <w:rPr>
          <w:rFonts w:eastAsia="仿宋_GB2312" w:cs="仿宋_GB2312"/>
          <w:sz w:val="32"/>
          <w:szCs w:val="32"/>
        </w:rPr>
      </w:pPr>
    </w:p>
    <w:p w14:paraId="2005B767">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一、收入支出决算总表</w:t>
      </w:r>
    </w:p>
    <w:p w14:paraId="24B37DC9">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二、收入决算表</w:t>
      </w:r>
    </w:p>
    <w:p w14:paraId="1BCF4A07">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三、支出决算表</w:t>
      </w:r>
    </w:p>
    <w:p w14:paraId="5A1FD5DB">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四、财政拨款收入支出决算总表</w:t>
      </w:r>
    </w:p>
    <w:p w14:paraId="0E55026F">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五、财政拨款支出决算明细表</w:t>
      </w:r>
    </w:p>
    <w:p w14:paraId="63F5FD69">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六、一般公共预算财政拨款支出决算表</w:t>
      </w:r>
    </w:p>
    <w:p w14:paraId="7E40992C">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七、一般公共预算财政拨款支出决算明细表</w:t>
      </w:r>
    </w:p>
    <w:p w14:paraId="2E16AB19">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八、一般公共预算财政拨款基本支出决算表</w:t>
      </w:r>
    </w:p>
    <w:p w14:paraId="1A37F366">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九、一般公共预算财政拨款项目支出决算表</w:t>
      </w:r>
    </w:p>
    <w:p w14:paraId="7815D202">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十、政府性基金预算财政拨款收入支出决算表</w:t>
      </w:r>
    </w:p>
    <w:p w14:paraId="57A1B919">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十一、国有资本经营预算财政拨款收入支出决算表</w:t>
      </w:r>
    </w:p>
    <w:p w14:paraId="17CC55B2">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十二、国有资本经营预算财政拨款支出决算表</w:t>
      </w:r>
    </w:p>
    <w:p w14:paraId="10DFD907">
      <w:pPr>
        <w:pStyle w:val="14"/>
        <w:adjustRightInd w:val="0"/>
        <w:snapToGrid w:val="0"/>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十三、财政拨款“三公”经费支出决算表</w:t>
      </w:r>
    </w:p>
    <w:p w14:paraId="4DACA44A"/>
    <w:p w14:paraId="4C74154F">
      <w:pPr>
        <w:widowControl/>
        <w:jc w:val="left"/>
      </w:pPr>
    </w:p>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GB3212">
    <w:altName w:val="仿宋"/>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13B0">
    <w:pPr>
      <w:pStyle w:val="11"/>
      <w:jc w:val="center"/>
    </w:pPr>
  </w:p>
  <w:p w14:paraId="74D7475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3D648">
    <w:pPr>
      <w:pStyle w:val="11"/>
      <w:jc w:val="center"/>
    </w:pPr>
  </w:p>
  <w:p w14:paraId="6B4D6C5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71B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0A98">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848F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A848F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86ED764">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123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6C07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E6C07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83C0">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3DD5">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03DD5">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CF0A95E">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D6313">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3E18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23E18A">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EDD0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C4BE9"/>
    <w:multiLevelType w:val="singleLevel"/>
    <w:tmpl w:val="C1CC4BE9"/>
    <w:lvl w:ilvl="0" w:tentative="0">
      <w:start w:val="1"/>
      <w:numFmt w:val="chineseCounting"/>
      <w:suff w:val="nothing"/>
      <w:lvlText w:val="（%1）"/>
      <w:lvlJc w:val="left"/>
      <w:rPr>
        <w:rFonts w:hint="eastAsia"/>
      </w:rPr>
    </w:lvl>
  </w:abstractNum>
  <w:abstractNum w:abstractNumId="1">
    <w:nsid w:val="F28F2AC7"/>
    <w:multiLevelType w:val="singleLevel"/>
    <w:tmpl w:val="F28F2AC7"/>
    <w:lvl w:ilvl="0" w:tentative="0">
      <w:start w:val="2"/>
      <w:numFmt w:val="chineseCounting"/>
      <w:suff w:val="nothing"/>
      <w:lvlText w:val="（%1）"/>
      <w:lvlJc w:val="left"/>
      <w:rPr>
        <w:rFonts w:hint="eastAsia"/>
      </w:rPr>
    </w:lvl>
  </w:abstractNum>
  <w:abstractNum w:abstractNumId="2">
    <w:nsid w:val="FD4C402F"/>
    <w:multiLevelType w:val="singleLevel"/>
    <w:tmpl w:val="FD4C402F"/>
    <w:lvl w:ilvl="0" w:tentative="0">
      <w:start w:val="3"/>
      <w:numFmt w:val="chineseCounting"/>
      <w:suff w:val="nothing"/>
      <w:lvlText w:val="（%1）"/>
      <w:lvlJc w:val="left"/>
      <w:rPr>
        <w:rFonts w:hint="eastAsia"/>
      </w:rPr>
    </w:lvl>
  </w:abstractNum>
  <w:abstractNum w:abstractNumId="3">
    <w:nsid w:val="680E1D2D"/>
    <w:multiLevelType w:val="singleLevel"/>
    <w:tmpl w:val="680E1D2D"/>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7149A8"/>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66200B"/>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0CE0A81"/>
    <w:rsid w:val="319F7F4E"/>
    <w:rsid w:val="32BD1EF1"/>
    <w:rsid w:val="3304709D"/>
    <w:rsid w:val="33A773CB"/>
    <w:rsid w:val="349D6851"/>
    <w:rsid w:val="36AA5135"/>
    <w:rsid w:val="36BE0DA7"/>
    <w:rsid w:val="376B6AA6"/>
    <w:rsid w:val="376D39B2"/>
    <w:rsid w:val="37E16F03"/>
    <w:rsid w:val="37F53A3B"/>
    <w:rsid w:val="389B6C89"/>
    <w:rsid w:val="38D469F0"/>
    <w:rsid w:val="39290F4A"/>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79E3E8A"/>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625644"/>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A99742E"/>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15B74"/>
    <w:rsid w:val="77A75DCA"/>
    <w:rsid w:val="77DC22F5"/>
    <w:rsid w:val="783E271A"/>
    <w:rsid w:val="78616DE9"/>
    <w:rsid w:val="78E875D7"/>
    <w:rsid w:val="79086DAD"/>
    <w:rsid w:val="79D7FD79"/>
    <w:rsid w:val="79EE5BA4"/>
    <w:rsid w:val="7A894339"/>
    <w:rsid w:val="7AD284E8"/>
    <w:rsid w:val="7AFF7572"/>
    <w:rsid w:val="7B6C7DFB"/>
    <w:rsid w:val="7BBFBED0"/>
    <w:rsid w:val="7BC3E394"/>
    <w:rsid w:val="7C0A6D8E"/>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emf"/><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8261</Words>
  <Characters>9884</Characters>
  <Lines>63</Lines>
  <Paragraphs>17</Paragraphs>
  <TotalTime>16</TotalTime>
  <ScaleCrop>false</ScaleCrop>
  <LinksUpToDate>false</LinksUpToDate>
  <CharactersWithSpaces>9928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诗和远方</cp:lastModifiedBy>
  <cp:lastPrinted>2025-08-06T17:34:00Z</cp:lastPrinted>
  <dcterms:modified xsi:type="dcterms:W3CDTF">2025-10-21T01:07:05Z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eyJoZGlkIjoiZTM1NGM2MjAxYzNiNDE3ZTc4OWEwNWYzNjk1MWQ2YmMiLCJ1c2VySWQiOiI0NTg3NzkxNjgifQ==</vt:lpwstr>
  </property>
</Properties>
</file>