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C671F">
      <w:pPr>
        <w:pStyle w:val="8"/>
        <w:spacing w:before="93"/>
        <w:rPr>
          <w:rFonts w:ascii="Times New Roman" w:eastAsia="方正小标宋_GBK"/>
          <w:kern w:val="2"/>
          <w:sz w:val="72"/>
          <w:szCs w:val="72"/>
        </w:rPr>
      </w:pPr>
      <w:bookmarkStart w:id="0" w:name="_Toc15396475"/>
      <w:bookmarkStart w:id="1" w:name="_Toc15377193"/>
      <w:bookmarkStart w:id="2" w:name="_Toc15378441"/>
      <w:bookmarkStart w:id="3" w:name="_Toc15377425"/>
      <w:bookmarkStart w:id="4" w:name="_Toc15396597"/>
      <w:bookmarkStart w:id="5" w:name="_Toc15306267"/>
    </w:p>
    <w:p w14:paraId="5AE3C0B1">
      <w:pPr>
        <w:pStyle w:val="8"/>
        <w:spacing w:before="93"/>
        <w:rPr>
          <w:rFonts w:ascii="Times New Roman" w:eastAsia="方正小标宋_GBK"/>
          <w:kern w:val="2"/>
          <w:sz w:val="72"/>
          <w:szCs w:val="72"/>
        </w:rPr>
      </w:pPr>
    </w:p>
    <w:p w14:paraId="2CF3F6C5">
      <w:pPr>
        <w:pStyle w:val="8"/>
        <w:spacing w:before="93"/>
        <w:rPr>
          <w:rFonts w:ascii="Times New Roman" w:eastAsia="方正小标宋_GBK"/>
          <w:kern w:val="2"/>
          <w:sz w:val="72"/>
          <w:szCs w:val="72"/>
        </w:rPr>
      </w:pPr>
    </w:p>
    <w:p w14:paraId="0090CE48">
      <w:pPr>
        <w:pStyle w:val="8"/>
        <w:spacing w:before="93"/>
        <w:jc w:val="center"/>
        <w:rPr>
          <w:rFonts w:ascii="Times New Roman" w:eastAsia="方正小标宋_GBK"/>
          <w:kern w:val="2"/>
          <w:sz w:val="72"/>
          <w:szCs w:val="72"/>
        </w:rPr>
      </w:pPr>
      <w:r>
        <w:rPr>
          <w:rFonts w:hint="eastAsia" w:ascii="Times New Roman" w:eastAsia="方正小标宋_GBK"/>
          <w:kern w:val="2"/>
          <w:sz w:val="72"/>
          <w:szCs w:val="72"/>
        </w:rPr>
        <w:t>2024年度</w:t>
      </w:r>
    </w:p>
    <w:p w14:paraId="3563F3B3">
      <w:pPr>
        <w:pStyle w:val="8"/>
        <w:spacing w:before="93"/>
        <w:jc w:val="center"/>
        <w:rPr>
          <w:rFonts w:ascii="Times New Roman" w:eastAsia="方正小标宋_GBK"/>
          <w:kern w:val="2"/>
          <w:sz w:val="72"/>
          <w:szCs w:val="72"/>
        </w:rPr>
      </w:pPr>
      <w:r>
        <w:rPr>
          <w:rFonts w:hint="eastAsia" w:ascii="Times New Roman" w:eastAsia="方正小标宋_GBK"/>
          <w:kern w:val="2"/>
          <w:sz w:val="72"/>
          <w:szCs w:val="72"/>
        </w:rPr>
        <w:t>盐边县</w:t>
      </w:r>
      <w:r>
        <w:rPr>
          <w:rFonts w:hint="eastAsia" w:ascii="Times New Roman" w:eastAsia="方正小标宋_GBK"/>
          <w:kern w:val="2"/>
          <w:sz w:val="72"/>
          <w:szCs w:val="72"/>
          <w:lang w:val="en-US" w:eastAsia="zh-CN"/>
        </w:rPr>
        <w:t>社会保险事务中心</w:t>
      </w:r>
      <w:r>
        <w:rPr>
          <w:rFonts w:hint="eastAsia" w:ascii="Times New Roman" w:eastAsia="方正小标宋_GBK"/>
          <w:kern w:val="2"/>
          <w:sz w:val="72"/>
          <w:szCs w:val="72"/>
        </w:rPr>
        <w:t>单位决算公开编制说明</w:t>
      </w:r>
    </w:p>
    <w:p w14:paraId="1BC3CFEF">
      <w:pPr>
        <w:spacing w:line="600" w:lineRule="exact"/>
        <w:jc w:val="center"/>
        <w:outlineLvl w:val="0"/>
        <w:rPr>
          <w:rFonts w:eastAsia="方正小标宋_GBK"/>
          <w:sz w:val="72"/>
          <w:szCs w:val="72"/>
        </w:rPr>
      </w:pPr>
    </w:p>
    <w:p w14:paraId="49A17318">
      <w:pPr>
        <w:pStyle w:val="19"/>
        <w:rPr>
          <w:rFonts w:ascii="Times New Roman" w:hAnsi="Times New Roman" w:eastAsia="方正黑体_GBK"/>
        </w:rPr>
        <w:sectPr>
          <w:footerReference r:id="rId5" w:type="first"/>
          <w:headerReference r:id="rId3" w:type="default"/>
          <w:footerReference r:id="rId4" w:type="default"/>
          <w:pgSz w:w="11906" w:h="16838"/>
          <w:pgMar w:top="2098" w:right="1474" w:bottom="1984" w:left="1588" w:header="851" w:footer="992" w:gutter="0"/>
          <w:pgNumType w:fmt="numberInDash" w:start="1"/>
          <w:cols w:space="425" w:num="1"/>
          <w:titlePg/>
          <w:docGrid w:type="lines" w:linePitch="312" w:charSpace="0"/>
        </w:sectPr>
      </w:pPr>
    </w:p>
    <w:p w14:paraId="2EEE1F5E"/>
    <w:bookmarkEnd w:id="0"/>
    <w:bookmarkEnd w:id="1"/>
    <w:bookmarkEnd w:id="2"/>
    <w:bookmarkEnd w:id="3"/>
    <w:bookmarkEnd w:id="4"/>
    <w:bookmarkEnd w:id="5"/>
    <w:p w14:paraId="73C9FC3F">
      <w:pPr>
        <w:widowControl/>
        <w:jc w:val="center"/>
        <w:rPr>
          <w:rFonts w:eastAsia="方正黑体_GBK"/>
          <w:sz w:val="48"/>
          <w:szCs w:val="48"/>
        </w:rPr>
      </w:pPr>
      <w:r>
        <w:rPr>
          <w:rFonts w:hint="eastAsia" w:eastAsia="方正黑体_GBK"/>
          <w:sz w:val="48"/>
          <w:szCs w:val="48"/>
        </w:rPr>
        <w:t>目录</w:t>
      </w:r>
    </w:p>
    <w:p w14:paraId="4D85665A">
      <w:pPr>
        <w:widowControl/>
        <w:jc w:val="center"/>
        <w:rPr>
          <w:rFonts w:eastAsia="方正黑体_GBK" w:cstheme="minorBidi"/>
          <w:sz w:val="28"/>
          <w:szCs w:val="28"/>
        </w:rPr>
      </w:pPr>
    </w:p>
    <w:p w14:paraId="047EAF7A">
      <w:pPr>
        <w:pStyle w:val="13"/>
        <w:rPr>
          <w:rFonts w:ascii="Times New Roman" w:hAnsi="Times New Roman" w:eastAsia="方正仿宋_GBK" w:cs="仿宋_GB2312"/>
        </w:rPr>
      </w:pPr>
      <w:r>
        <w:rPr>
          <w:rFonts w:hint="eastAsia" w:ascii="Times New Roman" w:hAnsi="Times New Roman" w:eastAsia="方正仿宋_GBK" w:cs="仿宋_GB2312"/>
        </w:rPr>
        <w:t>公开时间：2025年10月</w:t>
      </w:r>
      <w:r>
        <w:rPr>
          <w:rFonts w:hint="eastAsia" w:ascii="Times New Roman" w:hAnsi="Times New Roman" w:eastAsia="方正仿宋_GBK" w:cs="仿宋_GB2312"/>
          <w:lang w:val="en-US" w:eastAsia="zh-CN"/>
        </w:rPr>
        <w:t>28</w:t>
      </w:r>
      <w:r>
        <w:rPr>
          <w:rFonts w:hint="eastAsia" w:ascii="Times New Roman" w:hAnsi="Times New Roman" w:eastAsia="方正仿宋_GBK" w:cs="仿宋_GB2312"/>
        </w:rPr>
        <w:t>日</w:t>
      </w:r>
    </w:p>
    <w:p w14:paraId="0FBD31DE">
      <w:pPr>
        <w:rPr>
          <w:sz w:val="28"/>
          <w:szCs w:val="28"/>
        </w:rPr>
      </w:pPr>
    </w:p>
    <w:p w14:paraId="1454004D">
      <w:pPr>
        <w:pStyle w:val="13"/>
        <w:adjustRightInd w:val="0"/>
        <w:snapToGrid w:val="0"/>
        <w:spacing w:before="0" w:line="560" w:lineRule="exact"/>
        <w:jc w:val="left"/>
        <w:rPr>
          <w:rFonts w:hint="default" w:ascii="Times New Roman" w:hAnsi="Times New Roman" w:eastAsia="方正黑体_GBK" w:cs="黑体"/>
          <w:color w:val="auto"/>
          <w:lang w:val="en-US" w:eastAsia="zh-CN"/>
        </w:rPr>
      </w:pPr>
      <w:r>
        <w:rPr>
          <w:rFonts w:hint="eastAsia" w:ascii="Times New Roman" w:hAnsi="Times New Roman" w:eastAsia="方正黑体_GBK" w:cs="黑体"/>
          <w:color w:val="auto"/>
        </w:rPr>
        <w:t>第一部分 单位概况</w:t>
      </w:r>
      <w:r>
        <w:rPr>
          <w:rFonts w:hint="eastAsia" w:ascii="Times New Roman" w:hAnsi="Times New Roman" w:eastAsia="方正黑体_GBK" w:cs="黑体"/>
          <w:color w:val="auto"/>
          <w:lang w:val="en-US" w:eastAsia="zh-CN"/>
        </w:rPr>
        <w:t>.................................................................................1</w:t>
      </w:r>
    </w:p>
    <w:p w14:paraId="12BB3F5A">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一、主要职责</w:t>
      </w:r>
      <w:r>
        <w:rPr>
          <w:rFonts w:hint="eastAsia" w:eastAsia="方正仿宋_GBK" w:cs="仿宋_GB2312"/>
          <w:color w:val="auto"/>
          <w:sz w:val="28"/>
          <w:szCs w:val="28"/>
          <w:lang w:val="en-US" w:eastAsia="zh-CN"/>
        </w:rPr>
        <w:t>...................................................................................1</w:t>
      </w:r>
    </w:p>
    <w:p w14:paraId="7FE01F50">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rPr>
      </w:pPr>
      <w:r>
        <w:rPr>
          <w:rFonts w:hint="eastAsia" w:eastAsia="方正仿宋_GBK" w:cs="仿宋_GB2312"/>
          <w:color w:val="auto"/>
          <w:sz w:val="28"/>
          <w:szCs w:val="28"/>
        </w:rPr>
        <w:t>二、机构设置</w:t>
      </w:r>
      <w:r>
        <w:rPr>
          <w:rFonts w:hint="eastAsia" w:eastAsia="方正仿宋_GBK" w:cs="仿宋_GB2312"/>
          <w:color w:val="auto"/>
          <w:sz w:val="28"/>
          <w:szCs w:val="28"/>
          <w:lang w:val="en-US" w:eastAsia="zh-CN"/>
        </w:rPr>
        <w:t>...................................................................................1</w:t>
      </w:r>
    </w:p>
    <w:p w14:paraId="18E71AB5">
      <w:pPr>
        <w:pStyle w:val="13"/>
        <w:adjustRightInd w:val="0"/>
        <w:snapToGrid w:val="0"/>
        <w:spacing w:before="0" w:line="560" w:lineRule="exact"/>
        <w:jc w:val="left"/>
        <w:rPr>
          <w:rFonts w:hint="default" w:ascii="Times New Roman" w:hAnsi="Times New Roman" w:eastAsia="方正黑体_GBK" w:cs="黑体"/>
          <w:color w:val="auto"/>
          <w:lang w:val="en-US" w:eastAsia="zh-CN"/>
        </w:rPr>
      </w:pPr>
      <w:r>
        <w:rPr>
          <w:rFonts w:hint="eastAsia" w:ascii="Times New Roman" w:hAnsi="Times New Roman" w:eastAsia="方正黑体_GBK" w:cs="黑体"/>
          <w:color w:val="auto"/>
        </w:rPr>
        <w:t>第二部分 2024年度部门决算情况说明</w:t>
      </w:r>
      <w:r>
        <w:rPr>
          <w:rFonts w:hint="eastAsia" w:ascii="Times New Roman" w:hAnsi="Times New Roman" w:eastAsia="方正黑体_GBK" w:cs="黑体"/>
          <w:color w:val="auto"/>
          <w:lang w:val="en-US" w:eastAsia="zh-CN"/>
        </w:rPr>
        <w:t>................................................2</w:t>
      </w:r>
    </w:p>
    <w:p w14:paraId="07A76685">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一、收入支出决算总体情况说明</w:t>
      </w:r>
      <w:r>
        <w:rPr>
          <w:rFonts w:hint="eastAsia" w:eastAsia="方正仿宋_GBK" w:cs="仿宋_GB2312"/>
          <w:color w:val="auto"/>
          <w:sz w:val="28"/>
          <w:szCs w:val="28"/>
          <w:lang w:val="en-US" w:eastAsia="zh-CN"/>
        </w:rPr>
        <w:t>...................................................2</w:t>
      </w:r>
    </w:p>
    <w:p w14:paraId="2883F6CF">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二、收入决算情况说明</w:t>
      </w:r>
      <w:r>
        <w:rPr>
          <w:rFonts w:hint="eastAsia" w:eastAsia="方正仿宋_GBK" w:cs="仿宋_GB2312"/>
          <w:color w:val="auto"/>
          <w:sz w:val="28"/>
          <w:szCs w:val="28"/>
          <w:lang w:val="en-US" w:eastAsia="zh-CN"/>
        </w:rPr>
        <w:t>...................................................................2</w:t>
      </w:r>
    </w:p>
    <w:p w14:paraId="3586C4AC">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三、支出决算情况说明</w:t>
      </w:r>
      <w:r>
        <w:rPr>
          <w:rFonts w:hint="eastAsia" w:eastAsia="方正仿宋_GBK" w:cs="仿宋_GB2312"/>
          <w:color w:val="auto"/>
          <w:sz w:val="28"/>
          <w:szCs w:val="28"/>
          <w:lang w:val="en-US" w:eastAsia="zh-CN"/>
        </w:rPr>
        <w:t>...................................................................3</w:t>
      </w:r>
    </w:p>
    <w:p w14:paraId="297E39D5">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四、财政拨款收入支出决算总体情况说明</w:t>
      </w:r>
      <w:r>
        <w:rPr>
          <w:rFonts w:hint="eastAsia" w:eastAsia="方正仿宋_GBK" w:cs="仿宋_GB2312"/>
          <w:color w:val="auto"/>
          <w:sz w:val="28"/>
          <w:szCs w:val="28"/>
          <w:lang w:val="en-US" w:eastAsia="zh-CN"/>
        </w:rPr>
        <w:t>...................................3</w:t>
      </w:r>
    </w:p>
    <w:p w14:paraId="6836E0FE">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五、一般公共预算财政拨款支出决算情况说明</w:t>
      </w:r>
      <w:r>
        <w:rPr>
          <w:rFonts w:hint="eastAsia" w:eastAsia="方正仿宋_GBK" w:cs="仿宋_GB2312"/>
          <w:color w:val="auto"/>
          <w:sz w:val="28"/>
          <w:szCs w:val="28"/>
          <w:lang w:val="en-US" w:eastAsia="zh-CN"/>
        </w:rPr>
        <w:t>...........................4</w:t>
      </w:r>
    </w:p>
    <w:p w14:paraId="11CC9F2A">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六、一般公共预算财政拨款基本支出决算情况说明</w:t>
      </w:r>
      <w:r>
        <w:rPr>
          <w:rFonts w:hint="eastAsia" w:eastAsia="方正仿宋_GBK" w:cs="仿宋_GB2312"/>
          <w:color w:val="auto"/>
          <w:sz w:val="28"/>
          <w:szCs w:val="28"/>
          <w:lang w:val="en-US" w:eastAsia="zh-CN"/>
        </w:rPr>
        <w:t>...................7</w:t>
      </w:r>
    </w:p>
    <w:p w14:paraId="16FA4877">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七、财政拨款“三公”经费支出决算情况说明</w:t>
      </w:r>
      <w:r>
        <w:rPr>
          <w:rFonts w:hint="eastAsia" w:eastAsia="方正仿宋_GBK" w:cs="仿宋_GB2312"/>
          <w:color w:val="auto"/>
          <w:sz w:val="28"/>
          <w:szCs w:val="28"/>
          <w:lang w:val="en-US" w:eastAsia="zh-CN"/>
        </w:rPr>
        <w:t>...........................7</w:t>
      </w:r>
    </w:p>
    <w:p w14:paraId="719C512D">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八、政府性基金预算支出决算情况说明</w:t>
      </w:r>
      <w:r>
        <w:rPr>
          <w:rFonts w:hint="eastAsia" w:eastAsia="方正仿宋_GBK" w:cs="仿宋_GB2312"/>
          <w:color w:val="auto"/>
          <w:sz w:val="28"/>
          <w:szCs w:val="28"/>
          <w:lang w:val="en-US" w:eastAsia="zh-CN"/>
        </w:rPr>
        <w:t>.......................................8</w:t>
      </w:r>
    </w:p>
    <w:p w14:paraId="548E3DD4">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九、国有资本经营预算支出决算情况说明</w:t>
      </w:r>
      <w:r>
        <w:rPr>
          <w:rFonts w:hint="eastAsia" w:eastAsia="方正仿宋_GBK" w:cs="仿宋_GB2312"/>
          <w:color w:val="auto"/>
          <w:sz w:val="28"/>
          <w:szCs w:val="28"/>
          <w:lang w:val="en-US" w:eastAsia="zh-CN"/>
        </w:rPr>
        <w:t>...................................9</w:t>
      </w:r>
    </w:p>
    <w:p w14:paraId="0ED02E17">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十、其他重要事项的情况说明</w:t>
      </w:r>
      <w:r>
        <w:rPr>
          <w:rFonts w:hint="eastAsia" w:eastAsia="方正仿宋_GBK" w:cs="仿宋_GB2312"/>
          <w:color w:val="auto"/>
          <w:sz w:val="28"/>
          <w:szCs w:val="28"/>
          <w:lang w:val="en-US" w:eastAsia="zh-CN"/>
        </w:rPr>
        <w:t>.......................................................9</w:t>
      </w:r>
    </w:p>
    <w:p w14:paraId="2F177282">
      <w:pPr>
        <w:pStyle w:val="13"/>
        <w:adjustRightInd w:val="0"/>
        <w:snapToGrid w:val="0"/>
        <w:spacing w:before="0" w:line="560" w:lineRule="exact"/>
        <w:jc w:val="left"/>
        <w:rPr>
          <w:rFonts w:hint="default" w:ascii="Times New Roman" w:hAnsi="Times New Roman" w:eastAsia="方正黑体_GBK" w:cs="黑体"/>
          <w:color w:val="auto"/>
          <w:lang w:val="en-US" w:eastAsia="zh-CN"/>
        </w:rPr>
      </w:pPr>
      <w:r>
        <w:rPr>
          <w:rFonts w:hint="eastAsia" w:ascii="Times New Roman" w:hAnsi="Times New Roman" w:eastAsia="方正黑体_GBK" w:cs="黑体"/>
          <w:color w:val="auto"/>
        </w:rPr>
        <w:t>第三部分 名词解释</w:t>
      </w:r>
      <w:r>
        <w:rPr>
          <w:rFonts w:hint="eastAsia" w:ascii="Times New Roman" w:hAnsi="Times New Roman" w:eastAsia="方正黑体_GBK" w:cs="黑体"/>
          <w:color w:val="auto"/>
          <w:lang w:val="en-US" w:eastAsia="zh-CN"/>
        </w:rPr>
        <w:t>...............................................................................11</w:t>
      </w:r>
    </w:p>
    <w:p w14:paraId="403DB42B">
      <w:pPr>
        <w:pStyle w:val="13"/>
        <w:adjustRightInd w:val="0"/>
        <w:snapToGrid w:val="0"/>
        <w:spacing w:before="0" w:line="560" w:lineRule="exact"/>
        <w:jc w:val="left"/>
        <w:rPr>
          <w:rFonts w:hint="default" w:ascii="Times New Roman" w:hAnsi="Times New Roman" w:eastAsia="方正黑体_GBK" w:cs="黑体"/>
          <w:color w:val="auto"/>
          <w:lang w:val="en-US" w:eastAsia="zh-CN"/>
        </w:rPr>
      </w:pPr>
      <w:r>
        <w:rPr>
          <w:rFonts w:hint="eastAsia" w:ascii="Times New Roman" w:hAnsi="Times New Roman" w:eastAsia="方正黑体_GBK" w:cs="黑体"/>
          <w:color w:val="auto"/>
        </w:rPr>
        <w:t>第四部分 附件</w:t>
      </w:r>
      <w:r>
        <w:rPr>
          <w:rFonts w:hint="eastAsia" w:ascii="Times New Roman" w:hAnsi="Times New Roman" w:eastAsia="方正黑体_GBK" w:cs="黑体"/>
          <w:color w:val="auto"/>
          <w:lang w:val="en-US" w:eastAsia="zh-CN"/>
        </w:rPr>
        <w:t>.......................................................................................15</w:t>
      </w:r>
    </w:p>
    <w:p w14:paraId="78427BA9">
      <w:pPr>
        <w:pStyle w:val="13"/>
        <w:adjustRightInd w:val="0"/>
        <w:snapToGrid w:val="0"/>
        <w:spacing w:before="0" w:line="560" w:lineRule="exact"/>
        <w:jc w:val="left"/>
        <w:rPr>
          <w:rFonts w:hint="default" w:ascii="Times New Roman" w:hAnsi="Times New Roman" w:eastAsia="方正黑体_GBK" w:cs="黑体"/>
          <w:color w:val="auto"/>
          <w:lang w:val="en-US" w:eastAsia="zh-CN"/>
        </w:rPr>
      </w:pPr>
      <w:r>
        <w:rPr>
          <w:rFonts w:hint="eastAsia" w:ascii="Times New Roman" w:hAnsi="Times New Roman" w:eastAsia="方正黑体_GBK" w:cs="黑体"/>
          <w:color w:val="auto"/>
        </w:rPr>
        <w:t>第五部分 附表</w:t>
      </w:r>
      <w:r>
        <w:rPr>
          <w:rFonts w:hint="eastAsia" w:ascii="Times New Roman" w:hAnsi="Times New Roman" w:eastAsia="方正黑体_GBK" w:cs="黑体"/>
          <w:color w:val="auto"/>
          <w:lang w:val="en-US" w:eastAsia="zh-CN"/>
        </w:rPr>
        <w:t>.......................................................................................16</w:t>
      </w:r>
    </w:p>
    <w:p w14:paraId="3296CC87">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一、收入支出决算总表</w:t>
      </w:r>
      <w:r>
        <w:rPr>
          <w:rFonts w:hint="eastAsia" w:eastAsia="方正仿宋_GBK" w:cs="仿宋_GB2312"/>
          <w:color w:val="auto"/>
          <w:sz w:val="28"/>
          <w:szCs w:val="28"/>
          <w:lang w:val="en-US" w:eastAsia="zh-CN"/>
        </w:rPr>
        <w:t>.................................................................15</w:t>
      </w:r>
    </w:p>
    <w:p w14:paraId="6E675E5C">
      <w:pPr>
        <w:pStyle w:val="14"/>
        <w:adjustRightInd w:val="0"/>
        <w:snapToGrid w:val="0"/>
        <w:spacing w:line="560" w:lineRule="exact"/>
        <w:ind w:left="0" w:leftChars="0" w:firstLine="560" w:firstLineChars="200"/>
        <w:jc w:val="left"/>
        <w:rPr>
          <w:rFonts w:hint="eastAsia" w:eastAsia="方正仿宋_GBK" w:cs="仿宋_GB2312"/>
          <w:color w:val="auto"/>
          <w:sz w:val="28"/>
          <w:szCs w:val="28"/>
          <w:lang w:val="en-US" w:eastAsia="zh-CN"/>
        </w:rPr>
      </w:pPr>
      <w:r>
        <w:rPr>
          <w:rFonts w:hint="eastAsia" w:eastAsia="方正仿宋_GBK" w:cs="仿宋_GB2312"/>
          <w:color w:val="auto"/>
          <w:sz w:val="28"/>
          <w:szCs w:val="28"/>
        </w:rPr>
        <w:t>二、收入决算表</w:t>
      </w:r>
      <w:r>
        <w:rPr>
          <w:rFonts w:hint="eastAsia" w:eastAsia="方正仿宋_GBK" w:cs="仿宋_GB2312"/>
          <w:color w:val="auto"/>
          <w:sz w:val="28"/>
          <w:szCs w:val="28"/>
          <w:lang w:val="en-US" w:eastAsia="zh-CN"/>
        </w:rPr>
        <w:t>.............................................................................15</w:t>
      </w:r>
    </w:p>
    <w:p w14:paraId="590141FD">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bookmarkStart w:id="61" w:name="_GoBack"/>
      <w:bookmarkEnd w:id="61"/>
      <w:r>
        <w:rPr>
          <w:rFonts w:hint="eastAsia" w:eastAsia="方正仿宋_GBK" w:cs="仿宋_GB2312"/>
          <w:color w:val="auto"/>
          <w:sz w:val="28"/>
          <w:szCs w:val="28"/>
        </w:rPr>
        <w:t>三、支出决算表</w:t>
      </w:r>
      <w:r>
        <w:rPr>
          <w:rFonts w:hint="eastAsia" w:eastAsia="方正仿宋_GBK" w:cs="仿宋_GB2312"/>
          <w:color w:val="auto"/>
          <w:sz w:val="28"/>
          <w:szCs w:val="28"/>
          <w:lang w:val="en-US" w:eastAsia="zh-CN"/>
        </w:rPr>
        <w:t>............................................................................15</w:t>
      </w:r>
    </w:p>
    <w:p w14:paraId="57E0567E">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四、财政拨款收入支出决算总表</w:t>
      </w:r>
      <w:r>
        <w:rPr>
          <w:rFonts w:hint="eastAsia" w:eastAsia="方正仿宋_GBK" w:cs="仿宋_GB2312"/>
          <w:color w:val="auto"/>
          <w:sz w:val="28"/>
          <w:szCs w:val="28"/>
          <w:lang w:val="en-US" w:eastAsia="zh-CN"/>
        </w:rPr>
        <w:t>................................................15</w:t>
      </w:r>
    </w:p>
    <w:p w14:paraId="1E1282C5">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五、财政拨款支出决算明细表</w:t>
      </w:r>
      <w:r>
        <w:rPr>
          <w:rFonts w:hint="eastAsia" w:eastAsia="方正仿宋_GBK" w:cs="仿宋_GB2312"/>
          <w:color w:val="auto"/>
          <w:sz w:val="28"/>
          <w:szCs w:val="28"/>
          <w:lang w:val="en-US" w:eastAsia="zh-CN"/>
        </w:rPr>
        <w:t>....................................................15</w:t>
      </w:r>
    </w:p>
    <w:p w14:paraId="7DC76206">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六、一般公共预算财政拨款支出决算表</w:t>
      </w:r>
      <w:r>
        <w:rPr>
          <w:rFonts w:hint="eastAsia" w:eastAsia="方正仿宋_GBK" w:cs="仿宋_GB2312"/>
          <w:color w:val="auto"/>
          <w:sz w:val="28"/>
          <w:szCs w:val="28"/>
          <w:lang w:val="en-US" w:eastAsia="zh-CN"/>
        </w:rPr>
        <w:t>....................................15</w:t>
      </w:r>
    </w:p>
    <w:p w14:paraId="289AEA1A">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七、一般公共预算财政拨款支出决算明细表</w:t>
      </w:r>
      <w:r>
        <w:rPr>
          <w:rFonts w:hint="eastAsia" w:eastAsia="方正仿宋_GBK" w:cs="仿宋_GB2312"/>
          <w:color w:val="auto"/>
          <w:sz w:val="28"/>
          <w:szCs w:val="28"/>
          <w:lang w:val="en-US" w:eastAsia="zh-CN"/>
        </w:rPr>
        <w:t>............................15</w:t>
      </w:r>
    </w:p>
    <w:p w14:paraId="6D05160E">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八、一般公共预算财政拨款基本支出决算明细表</w:t>
      </w:r>
      <w:r>
        <w:rPr>
          <w:rFonts w:hint="eastAsia" w:eastAsia="方正仿宋_GBK" w:cs="仿宋_GB2312"/>
          <w:color w:val="auto"/>
          <w:sz w:val="28"/>
          <w:szCs w:val="28"/>
          <w:lang w:val="en-US" w:eastAsia="zh-CN"/>
        </w:rPr>
        <w:t>....................15</w:t>
      </w:r>
    </w:p>
    <w:p w14:paraId="3E9D4A75">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九、一般公共预算财政拨款项目支出决算表</w:t>
      </w:r>
      <w:r>
        <w:rPr>
          <w:rFonts w:hint="eastAsia" w:eastAsia="方正仿宋_GBK" w:cs="仿宋_GB2312"/>
          <w:color w:val="auto"/>
          <w:sz w:val="28"/>
          <w:szCs w:val="28"/>
          <w:lang w:val="en-US" w:eastAsia="zh-CN"/>
        </w:rPr>
        <w:t>............................15</w:t>
      </w:r>
    </w:p>
    <w:p w14:paraId="181C01B4">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十、政府性基金预算财政拨款收入支出决算表</w:t>
      </w:r>
      <w:r>
        <w:rPr>
          <w:rFonts w:hint="eastAsia" w:eastAsia="方正仿宋_GBK" w:cs="仿宋_GB2312"/>
          <w:color w:val="auto"/>
          <w:sz w:val="28"/>
          <w:szCs w:val="28"/>
          <w:lang w:val="en-US" w:eastAsia="zh-CN"/>
        </w:rPr>
        <w:t>........................15</w:t>
      </w:r>
    </w:p>
    <w:p w14:paraId="53EF14B6">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十一、国有资本经营预算财政拨款收入支出决算表</w:t>
      </w:r>
      <w:r>
        <w:rPr>
          <w:rFonts w:hint="eastAsia" w:eastAsia="方正仿宋_GBK" w:cs="仿宋_GB2312"/>
          <w:color w:val="auto"/>
          <w:sz w:val="28"/>
          <w:szCs w:val="28"/>
          <w:lang w:val="en-US" w:eastAsia="zh-CN"/>
        </w:rPr>
        <w:t>................15</w:t>
      </w:r>
    </w:p>
    <w:p w14:paraId="15D0A9C6">
      <w:pPr>
        <w:pStyle w:val="14"/>
        <w:adjustRightInd w:val="0"/>
        <w:snapToGrid w:val="0"/>
        <w:spacing w:line="560" w:lineRule="exact"/>
        <w:ind w:left="0" w:leftChars="0" w:firstLine="560" w:firstLineChars="200"/>
        <w:jc w:val="left"/>
        <w:rPr>
          <w:rFonts w:hint="default" w:eastAsia="方正仿宋_GBK" w:cs="仿宋_GB2312"/>
          <w:color w:val="auto"/>
          <w:sz w:val="28"/>
          <w:szCs w:val="28"/>
          <w:lang w:val="en-US" w:eastAsia="zh-CN"/>
        </w:rPr>
      </w:pPr>
      <w:r>
        <w:rPr>
          <w:rFonts w:hint="eastAsia" w:eastAsia="方正仿宋_GBK" w:cs="仿宋_GB2312"/>
          <w:color w:val="auto"/>
          <w:sz w:val="28"/>
          <w:szCs w:val="28"/>
        </w:rPr>
        <w:t>十二、国有资本经营预算财政拨款支出决算表</w:t>
      </w:r>
      <w:r>
        <w:rPr>
          <w:rFonts w:hint="eastAsia" w:eastAsia="方正仿宋_GBK" w:cs="仿宋_GB2312"/>
          <w:color w:val="auto"/>
          <w:sz w:val="28"/>
          <w:szCs w:val="28"/>
          <w:lang w:val="en-US" w:eastAsia="zh-CN"/>
        </w:rPr>
        <w:t>........................15</w:t>
      </w:r>
    </w:p>
    <w:p w14:paraId="0562FC31">
      <w:pPr>
        <w:pStyle w:val="14"/>
        <w:adjustRightInd w:val="0"/>
        <w:snapToGrid w:val="0"/>
        <w:spacing w:line="560" w:lineRule="exact"/>
        <w:ind w:left="0" w:leftChars="0" w:firstLine="560" w:firstLineChars="200"/>
        <w:jc w:val="left"/>
        <w:rPr>
          <w:rFonts w:hint="default" w:eastAsia="方正小标宋_GBK" w:cs="方正小标宋简体"/>
          <w:b w:val="0"/>
          <w:color w:val="auto"/>
          <w:lang w:val="en-US" w:eastAsia="zh-CN"/>
        </w:rPr>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pPr>
      <w:r>
        <w:rPr>
          <w:rFonts w:hint="eastAsia" w:eastAsia="方正仿宋_GBK" w:cs="仿宋_GB2312"/>
          <w:color w:val="auto"/>
          <w:sz w:val="28"/>
          <w:szCs w:val="28"/>
        </w:rPr>
        <w:t>十三、财政拨款“三公”经费支出决算表</w:t>
      </w:r>
      <w:r>
        <w:rPr>
          <w:rFonts w:hint="eastAsia" w:eastAsia="方正仿宋_GBK" w:cs="仿宋_GB2312"/>
          <w:color w:val="auto"/>
          <w:sz w:val="28"/>
          <w:szCs w:val="28"/>
          <w:lang w:val="en-US" w:eastAsia="zh-CN"/>
        </w:rPr>
        <w:t>................................1</w:t>
      </w:r>
      <w:bookmarkStart w:id="6" w:name="_Toc15377196"/>
      <w:bookmarkStart w:id="7" w:name="_Toc15396599"/>
      <w:r>
        <w:rPr>
          <w:rFonts w:hint="eastAsia" w:eastAsia="方正仿宋_GBK" w:cs="仿宋_GB2312"/>
          <w:color w:val="auto"/>
          <w:sz w:val="28"/>
          <w:szCs w:val="28"/>
          <w:lang w:val="en-US" w:eastAsia="zh-CN"/>
        </w:rPr>
        <w:t>5</w:t>
      </w:r>
    </w:p>
    <w:p w14:paraId="077C23C0">
      <w:pPr>
        <w:pStyle w:val="5"/>
        <w:jc w:val="center"/>
        <w:rPr>
          <w:rFonts w:eastAsia="方正黑体_GBK"/>
          <w:b/>
          <w:bCs w:val="0"/>
          <w:sz w:val="32"/>
          <w:szCs w:val="32"/>
        </w:rPr>
      </w:pPr>
      <w:r>
        <w:rPr>
          <w:rFonts w:hint="eastAsia" w:eastAsia="方正小标宋_GBK" w:cs="方正小标宋简体"/>
          <w:b/>
          <w:bCs w:val="0"/>
        </w:rPr>
        <w:t xml:space="preserve">第一部分  </w:t>
      </w:r>
      <w:r>
        <w:rPr>
          <w:rStyle w:val="28"/>
          <w:rFonts w:hint="eastAsia" w:eastAsia="方正小标宋_GBK" w:cs="方正小标宋简体"/>
          <w:b/>
          <w:bCs w:val="0"/>
        </w:rPr>
        <w:t>单位概况</w:t>
      </w:r>
      <w:bookmarkEnd w:id="6"/>
      <w:bookmarkEnd w:id="7"/>
    </w:p>
    <w:p w14:paraId="42C61650">
      <w:pPr>
        <w:pStyle w:val="6"/>
        <w:keepNext/>
        <w:keepLines/>
        <w:pageBreakBefore w:val="0"/>
        <w:widowControl w:val="0"/>
        <w:numPr>
          <w:ilvl w:val="0"/>
          <w:numId w:val="0"/>
        </w:numPr>
        <w:kinsoku/>
        <w:wordWrap/>
        <w:overflowPunct/>
        <w:topLinePunct w:val="0"/>
        <w:autoSpaceDE/>
        <w:autoSpaceDN/>
        <w:bidi w:val="0"/>
        <w:adjustRightInd/>
        <w:snapToGrid/>
        <w:spacing w:after="0" w:line="416" w:lineRule="auto"/>
        <w:ind w:firstLine="640" w:firstLineChars="200"/>
        <w:textAlignment w:val="auto"/>
        <w:rPr>
          <w:rFonts w:hint="default" w:ascii="Times New Roman" w:hAnsi="Times New Roman" w:cs="Times New Roman"/>
        </w:rPr>
      </w:pPr>
      <w:r>
        <w:rPr>
          <w:rFonts w:hint="eastAsia" w:ascii="Times New Roman" w:hAnsi="Times New Roman" w:eastAsia="方正黑体_GBK" w:cs="Times New Roman"/>
          <w:b w:val="0"/>
          <w:lang w:val="en-US" w:eastAsia="zh-CN"/>
        </w:rPr>
        <w:t>一、</w:t>
      </w:r>
      <w:r>
        <w:rPr>
          <w:rFonts w:hint="default" w:ascii="Times New Roman" w:hAnsi="Times New Roman" w:eastAsia="方正黑体_GBK" w:cs="Times New Roman"/>
          <w:b w:val="0"/>
        </w:rPr>
        <w:t>主要职责</w:t>
      </w:r>
    </w:p>
    <w:p w14:paraId="1B41705A">
      <w:pPr>
        <w:pStyle w:val="6"/>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b w:val="0"/>
          <w:bCs w:val="0"/>
          <w:color w:val="auto"/>
          <w:sz w:val="32"/>
          <w:szCs w:val="32"/>
          <w:highlight w:val="none"/>
          <w:lang w:val="en-US" w:eastAsia="zh-CN"/>
        </w:rPr>
        <w:t>盐边县社会保险事务中心</w:t>
      </w:r>
      <w:r>
        <w:rPr>
          <w:rFonts w:hint="default" w:ascii="Times New Roman" w:hAnsi="Times New Roman" w:eastAsia="方正仿宋_GBK" w:cs="Times New Roman"/>
          <w:b w:val="0"/>
          <w:bCs w:val="0"/>
          <w:color w:val="auto"/>
          <w:sz w:val="32"/>
          <w:szCs w:val="32"/>
          <w:highlight w:val="none"/>
          <w:lang w:eastAsia="zh-CN"/>
        </w:rPr>
        <w:t>负责全县</w:t>
      </w:r>
      <w:r>
        <w:rPr>
          <w:rFonts w:hint="default" w:ascii="Times New Roman" w:hAnsi="Times New Roman" w:eastAsia="方正仿宋_GBK" w:cs="Times New Roman"/>
          <w:b w:val="0"/>
          <w:bCs w:val="0"/>
          <w:color w:val="auto"/>
          <w:sz w:val="32"/>
          <w:szCs w:val="32"/>
          <w:highlight w:val="none"/>
          <w:lang w:val="en-US" w:eastAsia="zh-CN"/>
        </w:rPr>
        <w:t>城镇</w:t>
      </w:r>
      <w:r>
        <w:rPr>
          <w:rFonts w:hint="default" w:ascii="Times New Roman" w:hAnsi="Times New Roman" w:eastAsia="方正仿宋_GBK" w:cs="Times New Roman"/>
          <w:b w:val="0"/>
          <w:bCs w:val="0"/>
          <w:color w:val="auto"/>
          <w:sz w:val="32"/>
          <w:szCs w:val="32"/>
          <w:highlight w:val="none"/>
          <w:lang w:eastAsia="zh-CN"/>
        </w:rPr>
        <w:t>职工</w:t>
      </w:r>
      <w:r>
        <w:rPr>
          <w:rFonts w:hint="default" w:ascii="Times New Roman" w:hAnsi="Times New Roman" w:eastAsia="方正仿宋_GBK" w:cs="Times New Roman"/>
          <w:b w:val="0"/>
          <w:bCs w:val="0"/>
          <w:color w:val="auto"/>
          <w:sz w:val="32"/>
          <w:szCs w:val="32"/>
          <w:highlight w:val="none"/>
          <w:lang w:val="en-US" w:eastAsia="zh-CN"/>
        </w:rPr>
        <w:t>社会保险</w:t>
      </w:r>
      <w:r>
        <w:rPr>
          <w:rFonts w:hint="default" w:ascii="Times New Roman" w:hAnsi="Times New Roman" w:eastAsia="方正仿宋_GBK" w:cs="Times New Roman"/>
          <w:b w:val="0"/>
          <w:bCs w:val="0"/>
          <w:color w:val="auto"/>
          <w:sz w:val="32"/>
          <w:szCs w:val="32"/>
          <w:highlight w:val="none"/>
          <w:lang w:eastAsia="zh-CN"/>
        </w:rPr>
        <w:t>、城乡居民</w:t>
      </w:r>
      <w:r>
        <w:rPr>
          <w:rFonts w:hint="default" w:ascii="Times New Roman" w:hAnsi="Times New Roman" w:eastAsia="方正仿宋_GBK" w:cs="Times New Roman"/>
          <w:b w:val="0"/>
          <w:bCs w:val="0"/>
          <w:color w:val="auto"/>
          <w:sz w:val="32"/>
          <w:szCs w:val="32"/>
          <w:highlight w:val="none"/>
          <w:lang w:val="en-US" w:eastAsia="zh-CN"/>
        </w:rPr>
        <w:t>养老保险</w:t>
      </w:r>
      <w:r>
        <w:rPr>
          <w:rFonts w:hint="default" w:ascii="Times New Roman" w:hAnsi="Times New Roman" w:eastAsia="方正仿宋_GBK" w:cs="Times New Roman"/>
          <w:b w:val="0"/>
          <w:bCs w:val="0"/>
          <w:color w:val="auto"/>
          <w:sz w:val="32"/>
          <w:szCs w:val="32"/>
          <w:highlight w:val="none"/>
          <w:lang w:eastAsia="zh-CN"/>
        </w:rPr>
        <w:t>、机关事业单位养老保险</w:t>
      </w:r>
      <w:r>
        <w:rPr>
          <w:rFonts w:hint="default" w:ascii="Times New Roman" w:hAnsi="Times New Roman" w:eastAsia="方正仿宋_GBK" w:cs="Times New Roman"/>
          <w:b w:val="0"/>
          <w:bCs w:val="0"/>
          <w:color w:val="auto"/>
          <w:sz w:val="32"/>
          <w:szCs w:val="32"/>
          <w:highlight w:val="none"/>
          <w:lang w:val="en-US" w:eastAsia="zh-CN"/>
        </w:rPr>
        <w:t>等社会保险业务经办工作；负责职业年金</w:t>
      </w:r>
      <w:r>
        <w:rPr>
          <w:rFonts w:hint="default" w:ascii="Times New Roman" w:hAnsi="Times New Roman" w:eastAsia="方正仿宋_GBK" w:cs="Times New Roman"/>
          <w:b w:val="0"/>
          <w:bCs w:val="0"/>
          <w:color w:val="auto"/>
          <w:sz w:val="32"/>
          <w:szCs w:val="32"/>
          <w:highlight w:val="none"/>
          <w:lang w:eastAsia="zh-CN"/>
        </w:rPr>
        <w:t>征收计划核定工作；负责全县社会保险稽核工作（</w:t>
      </w:r>
      <w:r>
        <w:rPr>
          <w:rFonts w:hint="default" w:ascii="Times New Roman" w:hAnsi="Times New Roman" w:eastAsia="方正仿宋_GBK" w:cs="Times New Roman"/>
          <w:b w:val="0"/>
          <w:bCs w:val="0"/>
          <w:color w:val="auto"/>
          <w:sz w:val="32"/>
          <w:szCs w:val="32"/>
          <w:highlight w:val="none"/>
          <w:lang w:val="en-US" w:eastAsia="zh-CN"/>
        </w:rPr>
        <w:t>失业保险、</w:t>
      </w:r>
      <w:r>
        <w:rPr>
          <w:rFonts w:hint="default" w:ascii="Times New Roman" w:hAnsi="Times New Roman" w:eastAsia="方正仿宋_GBK" w:cs="Times New Roman"/>
          <w:b w:val="0"/>
          <w:bCs w:val="0"/>
          <w:color w:val="auto"/>
          <w:sz w:val="32"/>
          <w:szCs w:val="32"/>
          <w:highlight w:val="none"/>
          <w:lang w:eastAsia="zh-CN"/>
        </w:rPr>
        <w:t>医疗保险、生育保险除外）；负责全县退休人员</w:t>
      </w:r>
      <w:r>
        <w:rPr>
          <w:rFonts w:hint="default" w:ascii="Times New Roman" w:hAnsi="Times New Roman" w:eastAsia="方正仿宋_GBK" w:cs="Times New Roman"/>
          <w:b w:val="0"/>
          <w:bCs w:val="0"/>
          <w:color w:val="auto"/>
          <w:sz w:val="32"/>
          <w:szCs w:val="32"/>
          <w:highlight w:val="none"/>
          <w:lang w:val="en-US" w:eastAsia="zh-CN"/>
        </w:rPr>
        <w:t>养老保险</w:t>
      </w:r>
      <w:r>
        <w:rPr>
          <w:rFonts w:hint="default" w:ascii="Times New Roman" w:hAnsi="Times New Roman" w:eastAsia="方正仿宋_GBK" w:cs="Times New Roman"/>
          <w:b w:val="0"/>
          <w:bCs w:val="0"/>
          <w:color w:val="auto"/>
          <w:sz w:val="32"/>
          <w:szCs w:val="32"/>
          <w:highlight w:val="none"/>
          <w:lang w:eastAsia="zh-CN"/>
        </w:rPr>
        <w:t>待遇</w:t>
      </w:r>
      <w:r>
        <w:rPr>
          <w:rFonts w:hint="default" w:ascii="Times New Roman" w:hAnsi="Times New Roman" w:eastAsia="方正仿宋_GBK" w:cs="Times New Roman"/>
          <w:b w:val="0"/>
          <w:bCs w:val="0"/>
          <w:color w:val="auto"/>
          <w:sz w:val="32"/>
          <w:szCs w:val="32"/>
          <w:highlight w:val="none"/>
          <w:lang w:val="en-US" w:eastAsia="zh-CN"/>
        </w:rPr>
        <w:t>发放、</w:t>
      </w:r>
      <w:r>
        <w:rPr>
          <w:rFonts w:hint="default" w:ascii="Times New Roman" w:hAnsi="Times New Roman" w:eastAsia="方正仿宋_GBK" w:cs="Times New Roman"/>
          <w:b w:val="0"/>
          <w:bCs w:val="0"/>
          <w:color w:val="auto"/>
          <w:sz w:val="32"/>
          <w:szCs w:val="32"/>
          <w:highlight w:val="none"/>
          <w:lang w:eastAsia="zh-CN"/>
        </w:rPr>
        <w:t>养老金领取资格认证及社会化管理工作；负责工伤保险待遇</w:t>
      </w:r>
      <w:r>
        <w:rPr>
          <w:rFonts w:hint="default" w:ascii="Times New Roman" w:hAnsi="Times New Roman" w:eastAsia="方正仿宋_GBK" w:cs="Times New Roman"/>
          <w:b w:val="0"/>
          <w:bCs w:val="0"/>
          <w:color w:val="auto"/>
          <w:sz w:val="32"/>
          <w:szCs w:val="32"/>
          <w:highlight w:val="none"/>
          <w:lang w:val="en-US" w:eastAsia="zh-CN"/>
        </w:rPr>
        <w:t>核定、</w:t>
      </w:r>
      <w:r>
        <w:rPr>
          <w:rFonts w:hint="default" w:ascii="Times New Roman" w:hAnsi="Times New Roman" w:eastAsia="方正仿宋_GBK" w:cs="Times New Roman"/>
          <w:b w:val="0"/>
          <w:bCs w:val="0"/>
          <w:color w:val="auto"/>
          <w:sz w:val="32"/>
          <w:szCs w:val="32"/>
          <w:highlight w:val="none"/>
          <w:lang w:eastAsia="zh-CN"/>
        </w:rPr>
        <w:t>发放</w:t>
      </w:r>
      <w:r>
        <w:rPr>
          <w:rFonts w:hint="default" w:ascii="Times New Roman" w:hAnsi="Times New Roman" w:eastAsia="方正仿宋_GBK" w:cs="Times New Roman"/>
          <w:b w:val="0"/>
          <w:bCs w:val="0"/>
          <w:color w:val="auto"/>
          <w:sz w:val="32"/>
          <w:szCs w:val="32"/>
          <w:highlight w:val="none"/>
          <w:lang w:val="en-US" w:eastAsia="zh-CN"/>
        </w:rPr>
        <w:t>及领取资格认证等</w:t>
      </w:r>
      <w:r>
        <w:rPr>
          <w:rFonts w:hint="default" w:ascii="Times New Roman" w:hAnsi="Times New Roman" w:eastAsia="方正仿宋_GBK" w:cs="Times New Roman"/>
          <w:b w:val="0"/>
          <w:bCs w:val="0"/>
          <w:color w:val="auto"/>
          <w:sz w:val="32"/>
          <w:szCs w:val="32"/>
          <w:highlight w:val="none"/>
          <w:lang w:eastAsia="zh-CN"/>
        </w:rPr>
        <w:t>工作；负责社会保险档案管理工作。</w:t>
      </w:r>
    </w:p>
    <w:p w14:paraId="43B59338">
      <w:pPr>
        <w:pStyle w:val="6"/>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default" w:ascii="Times New Roman" w:hAnsi="Times New Roman" w:cs="Times New Roman"/>
        </w:rPr>
      </w:pPr>
      <w:bookmarkStart w:id="8" w:name="_Toc15377200"/>
      <w:bookmarkStart w:id="9" w:name="_Toc15396601"/>
      <w:r>
        <w:rPr>
          <w:rFonts w:hint="default" w:ascii="Times New Roman" w:hAnsi="Times New Roman" w:eastAsia="方正黑体_GBK" w:cs="Times New Roman"/>
          <w:b w:val="0"/>
          <w:lang w:val="en-US" w:eastAsia="zh-CN"/>
        </w:rPr>
        <w:t>二、</w:t>
      </w:r>
      <w:r>
        <w:rPr>
          <w:rFonts w:hint="default" w:ascii="Times New Roman" w:hAnsi="Times New Roman" w:eastAsia="方正黑体_GBK" w:cs="Times New Roman"/>
          <w:b w:val="0"/>
        </w:rPr>
        <w:t>机</w:t>
      </w:r>
      <w:r>
        <w:rPr>
          <w:rStyle w:val="29"/>
          <w:rFonts w:hint="default" w:ascii="Times New Roman" w:hAnsi="Times New Roman" w:eastAsia="方正黑体_GBK" w:cs="Times New Roman"/>
          <w:b w:val="0"/>
          <w:bCs w:val="0"/>
        </w:rPr>
        <w:t>构设置</w:t>
      </w:r>
      <w:bookmarkEnd w:id="8"/>
      <w:bookmarkEnd w:id="9"/>
    </w:p>
    <w:p w14:paraId="055704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val="0"/>
          <w:bCs w:val="0"/>
          <w:color w:val="auto"/>
          <w:sz w:val="32"/>
          <w:szCs w:val="32"/>
          <w:highlight w:val="none"/>
          <w:lang w:val="en-US" w:eastAsia="zh-CN"/>
        </w:rPr>
        <w:t>盐边县社会保险事务中心是盐边县人力资源和社会保障局下属独立核算的参照公务员法管理的副科级事业单位，核定编制12人。2024年年末，实有在编在岗职工11人，退休人员7人。</w:t>
      </w:r>
    </w:p>
    <w:p w14:paraId="3AD7B4AA">
      <w:pPr>
        <w:rPr>
          <w:rFonts w:hint="default" w:ascii="Times New Roman" w:hAnsi="Times New Roman" w:cs="Times New Roman"/>
        </w:rPr>
      </w:pPr>
    </w:p>
    <w:p w14:paraId="414A6534">
      <w:pPr>
        <w:rPr>
          <w:rFonts w:hint="default" w:ascii="Times New Roman" w:hAnsi="Times New Roman" w:eastAsia="方正黑体_GBK" w:cs="Times New Roman"/>
        </w:rPr>
      </w:pPr>
    </w:p>
    <w:p w14:paraId="60356F1B">
      <w:pPr>
        <w:ind w:firstLine="800" w:firstLineChars="250"/>
        <w:rPr>
          <w:rFonts w:hint="default" w:ascii="Times New Roman" w:hAnsi="Times New Roman" w:eastAsia="方正仿宋_GBK" w:cs="Times New Roman"/>
          <w:sz w:val="32"/>
          <w:szCs w:val="32"/>
        </w:rPr>
      </w:pPr>
    </w:p>
    <w:p w14:paraId="5143F76D">
      <w:pPr>
        <w:pStyle w:val="2"/>
        <w:rPr>
          <w:rFonts w:hint="default" w:ascii="Times New Roman" w:hAnsi="Times New Roman" w:cs="Times New Roman"/>
        </w:rPr>
      </w:pPr>
    </w:p>
    <w:p w14:paraId="5F916099">
      <w:pPr>
        <w:pStyle w:val="3"/>
        <w:ind w:left="420"/>
        <w:rPr>
          <w:rFonts w:hint="default" w:ascii="Times New Roman" w:hAnsi="Times New Roman" w:cs="Times New Roman"/>
        </w:rPr>
      </w:pPr>
    </w:p>
    <w:p w14:paraId="541E7634">
      <w:pPr>
        <w:pStyle w:val="3"/>
        <w:ind w:left="420"/>
        <w:rPr>
          <w:rFonts w:hint="default" w:ascii="Times New Roman" w:hAnsi="Times New Roman" w:cs="Times New Roman"/>
        </w:rPr>
      </w:pPr>
    </w:p>
    <w:p w14:paraId="6BAE5769">
      <w:pPr>
        <w:pStyle w:val="3"/>
        <w:ind w:left="420"/>
        <w:rPr>
          <w:rFonts w:hint="default" w:ascii="Times New Roman" w:hAnsi="Times New Roman" w:cs="Times New Roman"/>
        </w:rPr>
      </w:pPr>
    </w:p>
    <w:p w14:paraId="0795A50C">
      <w:pPr>
        <w:pStyle w:val="3"/>
        <w:ind w:left="420"/>
        <w:rPr>
          <w:rFonts w:hint="default" w:ascii="Times New Roman" w:hAnsi="Times New Roman" w:cs="Times New Roman"/>
        </w:rPr>
      </w:pPr>
    </w:p>
    <w:p w14:paraId="4AD76D60">
      <w:pPr>
        <w:pStyle w:val="3"/>
        <w:ind w:left="420"/>
        <w:rPr>
          <w:rFonts w:hint="default" w:ascii="Times New Roman" w:hAnsi="Times New Roman" w:cs="Times New Roman"/>
        </w:rPr>
      </w:pPr>
    </w:p>
    <w:p w14:paraId="110BE835">
      <w:pPr>
        <w:pStyle w:val="3"/>
        <w:ind w:left="0" w:leftChars="0" w:firstLine="0" w:firstLineChars="0"/>
        <w:rPr>
          <w:rFonts w:hint="default" w:ascii="Times New Roman" w:hAnsi="Times New Roman" w:cs="Times New Roman"/>
        </w:rPr>
      </w:pPr>
    </w:p>
    <w:p w14:paraId="51834990">
      <w:pPr>
        <w:pStyle w:val="5"/>
        <w:jc w:val="center"/>
        <w:rPr>
          <w:rFonts w:hint="default" w:ascii="Times New Roman" w:hAnsi="Times New Roman" w:eastAsia="方正小标宋_GBK" w:cs="Times New Roman"/>
          <w:b/>
          <w:bCs w:val="0"/>
        </w:rPr>
      </w:pPr>
      <w:bookmarkStart w:id="10" w:name="_Toc15396602"/>
      <w:bookmarkStart w:id="11" w:name="_Toc15377204"/>
      <w:r>
        <w:rPr>
          <w:rFonts w:hint="default" w:ascii="Times New Roman" w:hAnsi="Times New Roman" w:eastAsia="方正小标宋_GBK" w:cs="Times New Roman"/>
          <w:b/>
          <w:bCs w:val="0"/>
        </w:rPr>
        <w:t>第二部分  2024年度部门决算情况说明</w:t>
      </w:r>
      <w:bookmarkEnd w:id="10"/>
      <w:bookmarkEnd w:id="11"/>
    </w:p>
    <w:p w14:paraId="06DE8350">
      <w:pPr>
        <w:rPr>
          <w:rFonts w:hint="default" w:ascii="Times New Roman" w:hAnsi="Times New Roman" w:cs="Times New Roman"/>
        </w:rPr>
      </w:pPr>
    </w:p>
    <w:p w14:paraId="45A11536">
      <w:pPr>
        <w:pStyle w:val="27"/>
        <w:spacing w:line="600" w:lineRule="exact"/>
        <w:ind w:firstLine="640"/>
        <w:outlineLvl w:val="1"/>
        <w:rPr>
          <w:rStyle w:val="29"/>
          <w:rFonts w:hint="default" w:ascii="Times New Roman" w:hAnsi="Times New Roman" w:eastAsia="方正黑体_GBK" w:cs="Times New Roman"/>
          <w:b w:val="0"/>
        </w:rPr>
      </w:pPr>
      <w:bookmarkStart w:id="12" w:name="_Toc15396603"/>
      <w:bookmarkStart w:id="13" w:name="_Toc15377205"/>
      <w:r>
        <w:rPr>
          <w:rFonts w:hint="default" w:ascii="Times New Roman" w:hAnsi="Times New Roman" w:eastAsia="方正黑体_GBK" w:cs="Times New Roman"/>
          <w:sz w:val="32"/>
          <w:szCs w:val="32"/>
        </w:rPr>
        <w:t>一、收</w:t>
      </w:r>
      <w:r>
        <w:rPr>
          <w:rStyle w:val="29"/>
          <w:rFonts w:hint="default" w:ascii="Times New Roman" w:hAnsi="Times New Roman" w:eastAsia="方正黑体_GBK" w:cs="Times New Roman"/>
          <w:b w:val="0"/>
        </w:rPr>
        <w:t>入支出决算总体情况说明</w:t>
      </w:r>
      <w:bookmarkEnd w:id="12"/>
      <w:bookmarkEnd w:id="13"/>
    </w:p>
    <w:p w14:paraId="5BF35855">
      <w:pPr>
        <w:pStyle w:val="27"/>
        <w:spacing w:line="600" w:lineRule="exact"/>
        <w:ind w:firstLine="640"/>
        <w:jc w:val="both"/>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2024年度收入、支出总计均为</w:t>
      </w:r>
      <w:r>
        <w:rPr>
          <w:rFonts w:hint="default" w:ascii="Times New Roman" w:hAnsi="Times New Roman" w:eastAsia="方正仿宋_GBK" w:cs="Times New Roman"/>
          <w:sz w:val="32"/>
          <w:szCs w:val="32"/>
          <w:lang w:val="en-US" w:eastAsia="zh-CN"/>
        </w:rPr>
        <w:t>243.16</w:t>
      </w:r>
      <w:r>
        <w:rPr>
          <w:rFonts w:hint="default" w:ascii="Times New Roman" w:hAnsi="Times New Roman" w:eastAsia="方正仿宋_GBK" w:cs="Times New Roman"/>
          <w:sz w:val="32"/>
          <w:szCs w:val="32"/>
        </w:rPr>
        <w:t>万元。与2023年度相比，收入、支出总计各</w:t>
      </w:r>
      <w:r>
        <w:rPr>
          <w:rFonts w:hint="default" w:ascii="Times New Roman" w:hAnsi="Times New Roman" w:eastAsia="方正仿宋_GBK" w:cs="Times New Roman"/>
          <w:sz w:val="32"/>
          <w:szCs w:val="32"/>
          <w:lang w:val="en-US" w:eastAsia="zh-CN"/>
        </w:rPr>
        <w:t>减少15.91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同比降低6.14</w:t>
      </w:r>
      <w:r>
        <w:rPr>
          <w:rFonts w:hint="default" w:ascii="Times New Roman" w:hAnsi="Times New Roman" w:eastAsia="方正仿宋_GBK" w:cs="Times New Roman"/>
          <w:sz w:val="32"/>
          <w:szCs w:val="32"/>
        </w:rPr>
        <w:t>%。主要变动原因</w:t>
      </w:r>
      <w:r>
        <w:rPr>
          <w:rFonts w:hint="default" w:ascii="Times New Roman" w:hAnsi="Times New Roman" w:eastAsia="方正仿宋_GBK" w:cs="Times New Roman"/>
          <w:sz w:val="32"/>
          <w:szCs w:val="32"/>
          <w:lang w:val="en-US" w:eastAsia="zh-CN"/>
        </w:rPr>
        <w:t>是2024年新增退休人员、调出人员职业年金记实支出较2023年相比大幅下降。</w:t>
      </w:r>
    </w:p>
    <w:p w14:paraId="47D995AE">
      <w:pPr>
        <w:pStyle w:val="27"/>
        <w:spacing w:line="600" w:lineRule="exact"/>
        <w:ind w:firstLine="640"/>
        <w:jc w:val="both"/>
        <w:outlineLvl w:val="1"/>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pict>
          <v:shape id="_x0000_s1026" o:spid="_x0000_s1026" o:spt="75" type="#_x0000_t75" style="position:absolute;left:0pt;margin-left:78.05pt;margin-top:11.85pt;height:146.6pt;width:273.55pt;z-index:251660288;mso-width-relative:page;mso-height-relative:page;" o:ole="t" filled="f" o:preferrelative="t" stroked="f" coordsize="21600,21600">
            <v:path/>
            <v:fill on="f" focussize="0,0"/>
            <v:stroke on="f"/>
            <v:imagedata r:id="rId11" o:title=""/>
            <o:lock v:ext="edit" aspectratio="t"/>
          </v:shape>
          <o:OLEObject Type="Embed" ProgID="MSGraph.Chart.8" ShapeID="_x0000_s1026" DrawAspect="Content" ObjectID="_1468075725" r:id="rId10">
            <o:LockedField>false</o:LockedField>
          </o:OLEObject>
        </w:pict>
      </w:r>
    </w:p>
    <w:p w14:paraId="70CCF693">
      <w:pPr>
        <w:pStyle w:val="27"/>
        <w:spacing w:line="600" w:lineRule="exact"/>
        <w:ind w:firstLine="640"/>
        <w:jc w:val="both"/>
        <w:outlineLvl w:val="1"/>
        <w:rPr>
          <w:rFonts w:hint="default" w:ascii="Times New Roman" w:hAnsi="Times New Roman" w:eastAsia="方正仿宋_GBK" w:cs="Times New Roman"/>
          <w:sz w:val="32"/>
          <w:szCs w:val="32"/>
          <w:lang w:val="en-US" w:eastAsia="zh-CN"/>
        </w:rPr>
      </w:pPr>
    </w:p>
    <w:p w14:paraId="083AD6F7">
      <w:pPr>
        <w:pStyle w:val="27"/>
        <w:keepNext w:val="0"/>
        <w:keepLines w:val="0"/>
        <w:pageBreakBefore w:val="0"/>
        <w:widowControl w:val="0"/>
        <w:kinsoku/>
        <w:wordWrap/>
        <w:overflowPunct/>
        <w:topLinePunct w:val="0"/>
        <w:autoSpaceDE/>
        <w:autoSpaceDN/>
        <w:bidi w:val="0"/>
        <w:adjustRightInd/>
        <w:snapToGrid/>
        <w:spacing w:line="840" w:lineRule="auto"/>
        <w:ind w:firstLine="64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53D072DC">
      <w:pPr>
        <w:pStyle w:val="27"/>
        <w:spacing w:line="600" w:lineRule="exact"/>
        <w:ind w:left="0" w:leftChars="0" w:firstLine="0" w:firstLineChars="0"/>
        <w:jc w:val="both"/>
        <w:outlineLvl w:val="1"/>
        <w:rPr>
          <w:rFonts w:hint="default" w:ascii="Times New Roman" w:hAnsi="Times New Roman" w:eastAsia="方正仿宋_GBK" w:cs="Times New Roman"/>
          <w:sz w:val="32"/>
          <w:szCs w:val="32"/>
          <w:lang w:val="en-US" w:eastAsia="zh-CN"/>
        </w:rPr>
      </w:pPr>
    </w:p>
    <w:p w14:paraId="5C7B28F2">
      <w:pPr>
        <w:ind w:firstLine="1280" w:firstLineChars="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（图1：收入、支出决算总计变动情况图）</w:t>
      </w:r>
    </w:p>
    <w:p w14:paraId="55546468">
      <w:pPr>
        <w:pStyle w:val="27"/>
        <w:spacing w:line="600" w:lineRule="exact"/>
        <w:ind w:firstLine="640"/>
        <w:outlineLvl w:val="1"/>
        <w:rPr>
          <w:rFonts w:hint="default" w:ascii="Times New Roman" w:hAnsi="Times New Roman" w:eastAsia="方正黑体_GBK" w:cs="Times New Roman"/>
          <w:sz w:val="32"/>
          <w:szCs w:val="32"/>
        </w:rPr>
      </w:pPr>
      <w:bookmarkStart w:id="14" w:name="_Toc15377206"/>
      <w:bookmarkStart w:id="15" w:name="_Toc15396604"/>
      <w:r>
        <w:rPr>
          <w:rFonts w:hint="default" w:ascii="Times New Roman" w:hAnsi="Times New Roman" w:eastAsia="方正黑体_GBK" w:cs="Times New Roman"/>
          <w:sz w:val="32"/>
          <w:szCs w:val="32"/>
        </w:rPr>
        <w:t>二、收入决算情况说明</w:t>
      </w:r>
      <w:bookmarkEnd w:id="14"/>
      <w:bookmarkEnd w:id="15"/>
    </w:p>
    <w:p w14:paraId="7364B0DB">
      <w:pPr>
        <w:pStyle w:val="27"/>
        <w:spacing w:line="600" w:lineRule="exact"/>
        <w:ind w:firstLine="640"/>
        <w:jc w:val="left"/>
        <w:outlineLvl w:val="1"/>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2024年度本年收入合计</w:t>
      </w:r>
      <w:r>
        <w:rPr>
          <w:rFonts w:hint="default" w:ascii="Times New Roman" w:hAnsi="Times New Roman" w:eastAsia="方正仿宋_GBK" w:cs="Times New Roman"/>
          <w:sz w:val="32"/>
          <w:szCs w:val="32"/>
          <w:lang w:val="en-US" w:eastAsia="zh-CN"/>
        </w:rPr>
        <w:t>243.16</w:t>
      </w:r>
      <w:r>
        <w:rPr>
          <w:rFonts w:hint="default" w:ascii="Times New Roman" w:hAnsi="Times New Roman" w:eastAsia="方正仿宋_GBK" w:cs="Times New Roman"/>
          <w:sz w:val="32"/>
          <w:szCs w:val="32"/>
        </w:rPr>
        <w:t>万元，其中：一般公共预算财政拨款收入</w:t>
      </w:r>
      <w:r>
        <w:rPr>
          <w:rFonts w:hint="default" w:ascii="Times New Roman" w:hAnsi="Times New Roman" w:eastAsia="方正仿宋_GBK" w:cs="Times New Roman"/>
          <w:sz w:val="32"/>
          <w:szCs w:val="32"/>
          <w:lang w:val="en-US" w:eastAsia="zh-CN"/>
        </w:rPr>
        <w:t>243.16</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5C6E454F">
      <w:pPr>
        <w:pStyle w:val="27"/>
        <w:spacing w:line="600" w:lineRule="exact"/>
        <w:ind w:firstLine="640"/>
        <w:jc w:val="left"/>
        <w:outlineLvl w:val="1"/>
        <w:rPr>
          <w:rFonts w:hint="default" w:ascii="Times New Roman" w:hAnsi="Times New Roman" w:eastAsia="方正仿宋_GBK" w:cs="Times New Roman"/>
          <w:sz w:val="32"/>
          <w:szCs w:val="32"/>
          <w:lang w:val="en-US" w:eastAsia="zh-CN"/>
        </w:rPr>
      </w:pPr>
    </w:p>
    <w:p w14:paraId="35B4723D">
      <w:pPr>
        <w:pStyle w:val="27"/>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drawing>
          <wp:inline distT="0" distB="0" distL="114300" distR="114300">
            <wp:extent cx="2651760" cy="2067560"/>
            <wp:effectExtent l="4445" t="4445" r="10795"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623518">
      <w:pPr>
        <w:ind w:firstLine="2240" w:firstLineChars="7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（图2：收入决算结构图）</w:t>
      </w:r>
    </w:p>
    <w:p w14:paraId="6A49E3B8">
      <w:pPr>
        <w:pStyle w:val="2"/>
        <w:rPr>
          <w:rFonts w:hint="default" w:ascii="Times New Roman" w:hAnsi="Times New Roman" w:cs="Times New Roman"/>
          <w:lang w:eastAsia="zh-CN"/>
        </w:rPr>
      </w:pPr>
    </w:p>
    <w:p w14:paraId="27478619">
      <w:pPr>
        <w:pStyle w:val="27"/>
        <w:spacing w:line="600" w:lineRule="exact"/>
        <w:ind w:firstLine="640"/>
        <w:outlineLvl w:val="1"/>
        <w:rPr>
          <w:rStyle w:val="29"/>
          <w:rFonts w:hint="default" w:ascii="Times New Roman" w:hAnsi="Times New Roman" w:eastAsia="方正黑体_GBK" w:cs="Times New Roman"/>
          <w:b w:val="0"/>
        </w:rPr>
      </w:pPr>
      <w:bookmarkStart w:id="16" w:name="_Toc15396605"/>
      <w:bookmarkStart w:id="17" w:name="_Toc15377207"/>
      <w:r>
        <w:rPr>
          <w:rFonts w:hint="default" w:ascii="Times New Roman" w:hAnsi="Times New Roman" w:eastAsia="方正黑体_GBK" w:cs="Times New Roman"/>
          <w:sz w:val="32"/>
          <w:szCs w:val="32"/>
        </w:rPr>
        <w:t>三、支</w:t>
      </w:r>
      <w:r>
        <w:rPr>
          <w:rStyle w:val="29"/>
          <w:rFonts w:hint="default" w:ascii="Times New Roman" w:hAnsi="Times New Roman" w:eastAsia="方正黑体_GBK" w:cs="Times New Roman"/>
          <w:b w:val="0"/>
        </w:rPr>
        <w:t>出决算情况说明</w:t>
      </w:r>
      <w:bookmarkEnd w:id="16"/>
      <w:bookmarkEnd w:id="17"/>
    </w:p>
    <w:p w14:paraId="65B2EC69">
      <w:pPr>
        <w:pStyle w:val="27"/>
        <w:spacing w:line="600" w:lineRule="exact"/>
        <w:ind w:firstLine="640"/>
        <w:jc w:val="left"/>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2024年度本年支出合计</w:t>
      </w:r>
      <w:r>
        <w:rPr>
          <w:rFonts w:hint="default" w:ascii="Times New Roman" w:hAnsi="Times New Roman" w:eastAsia="方正仿宋_GBK" w:cs="Times New Roman"/>
          <w:sz w:val="32"/>
          <w:szCs w:val="32"/>
          <w:lang w:val="en-US" w:eastAsia="zh-CN"/>
        </w:rPr>
        <w:t>243.16</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239.65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98.56</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3.50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1.44%。</w:t>
      </w:r>
    </w:p>
    <w:p w14:paraId="49DDF0E5">
      <w:pPr>
        <w:pStyle w:val="27"/>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drawing>
          <wp:inline distT="0" distB="0" distL="114300" distR="114300">
            <wp:extent cx="3251835" cy="2172970"/>
            <wp:effectExtent l="4445" t="4445" r="2032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81C81D">
      <w:pPr>
        <w:ind w:firstLine="2400" w:firstLineChars="750"/>
        <w:rPr>
          <w:rFonts w:hint="default" w:ascii="Times New Roman" w:hAnsi="Times New Roman" w:cs="Times New Roman"/>
        </w:rPr>
      </w:pPr>
      <w:r>
        <w:rPr>
          <w:rFonts w:hint="default" w:ascii="Times New Roman" w:hAnsi="Times New Roman" w:eastAsia="方正仿宋_GBK" w:cs="Times New Roman"/>
          <w:sz w:val="32"/>
          <w:szCs w:val="32"/>
        </w:rPr>
        <w:t>（图3：支出决算结构图）</w:t>
      </w:r>
    </w:p>
    <w:p w14:paraId="7262FDA8">
      <w:pPr>
        <w:spacing w:line="600" w:lineRule="exact"/>
        <w:ind w:firstLine="640" w:firstLineChars="200"/>
        <w:outlineLvl w:val="1"/>
        <w:rPr>
          <w:rStyle w:val="29"/>
          <w:rFonts w:hint="default" w:ascii="Times New Roman" w:hAnsi="Times New Roman" w:eastAsia="方正黑体_GBK" w:cs="Times New Roman"/>
          <w:b w:val="0"/>
        </w:rPr>
      </w:pPr>
      <w:bookmarkStart w:id="18" w:name="_Toc15377208"/>
      <w:bookmarkStart w:id="19" w:name="_Toc15396606"/>
      <w:r>
        <w:rPr>
          <w:rFonts w:hint="default" w:ascii="Times New Roman" w:hAnsi="Times New Roman" w:eastAsia="方正黑体_GBK" w:cs="Times New Roman"/>
          <w:sz w:val="32"/>
          <w:szCs w:val="32"/>
        </w:rPr>
        <w:t>四、财</w:t>
      </w:r>
      <w:r>
        <w:rPr>
          <w:rStyle w:val="29"/>
          <w:rFonts w:hint="default" w:ascii="Times New Roman" w:hAnsi="Times New Roman" w:eastAsia="方正黑体_GBK" w:cs="Times New Roman"/>
          <w:b w:val="0"/>
        </w:rPr>
        <w:t>政拨款收入支出决算总体情况说明</w:t>
      </w:r>
      <w:bookmarkEnd w:id="18"/>
      <w:bookmarkEnd w:id="19"/>
    </w:p>
    <w:p w14:paraId="67EB2478">
      <w:pPr>
        <w:pStyle w:val="27"/>
        <w:spacing w:line="600" w:lineRule="exact"/>
        <w:ind w:firstLine="640"/>
        <w:jc w:val="both"/>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2024年度财政拨款收入、支出总计均为</w:t>
      </w:r>
      <w:r>
        <w:rPr>
          <w:rFonts w:hint="default" w:ascii="Times New Roman" w:hAnsi="Times New Roman" w:eastAsia="方正仿宋_GBK" w:cs="Times New Roman"/>
          <w:sz w:val="32"/>
          <w:szCs w:val="32"/>
          <w:lang w:val="en-US" w:eastAsia="zh-CN"/>
        </w:rPr>
        <w:t>243.16</w:t>
      </w:r>
      <w:r>
        <w:rPr>
          <w:rFonts w:hint="default" w:ascii="Times New Roman" w:hAnsi="Times New Roman" w:eastAsia="方正仿宋_GBK" w:cs="Times New Roman"/>
          <w:sz w:val="32"/>
          <w:szCs w:val="32"/>
        </w:rPr>
        <w:t>万元。与2023年度相比，财政拨款收入总计、支出总计各减少</w:t>
      </w:r>
      <w:r>
        <w:rPr>
          <w:rFonts w:hint="default" w:ascii="Times New Roman" w:hAnsi="Times New Roman" w:eastAsia="方正仿宋_GBK" w:cs="Times New Roman"/>
          <w:sz w:val="32"/>
          <w:szCs w:val="32"/>
          <w:lang w:val="en-US" w:eastAsia="zh-CN"/>
        </w:rPr>
        <w:t>15.91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同比降低6.14</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2024年新增退休人员、调出人员职业年金记实支出较2023年相比大幅下降。</w:t>
      </w:r>
    </w:p>
    <w:p w14:paraId="1A399C25">
      <w:pPr>
        <w:pStyle w:val="27"/>
        <w:spacing w:line="600" w:lineRule="exact"/>
        <w:ind w:firstLine="640"/>
        <w:jc w:val="both"/>
        <w:outlineLvl w:val="1"/>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pict>
          <v:shape id="_x0000_s1030" o:spid="_x0000_s1030" o:spt="75" type="#_x0000_t75" style="position:absolute;left:0pt;margin-left:84.8pt;margin-top:7.4pt;height:146.6pt;width:269.05pt;z-index:251661312;mso-width-relative:page;mso-height-relative:page;" o:ole="t" filled="f" o:preferrelative="t" stroked="f" coordsize="21600,21600">
            <v:path/>
            <v:fill on="f" focussize="0,0"/>
            <v:stroke on="f"/>
            <v:imagedata r:id="rId11" o:title=""/>
            <o:lock v:ext="edit" aspectratio="t"/>
          </v:shape>
          <o:OLEObject Type="Embed" ProgID="MSGraph.Chart.8" ShapeID="_x0000_s1030" DrawAspect="Content" ObjectID="_1468075726" r:id="rId14">
            <o:LockedField>false</o:LockedField>
          </o:OLEObject>
        </w:pict>
      </w:r>
    </w:p>
    <w:p w14:paraId="0CFB50F4">
      <w:pPr>
        <w:pStyle w:val="27"/>
        <w:spacing w:line="600" w:lineRule="exact"/>
        <w:ind w:firstLine="640"/>
        <w:jc w:val="both"/>
        <w:outlineLvl w:val="1"/>
        <w:rPr>
          <w:rFonts w:hint="default" w:ascii="Times New Roman" w:hAnsi="Times New Roman" w:eastAsia="方正仿宋_GBK" w:cs="Times New Roman"/>
          <w:sz w:val="32"/>
          <w:szCs w:val="32"/>
          <w:lang w:val="en-US" w:eastAsia="zh-CN"/>
        </w:rPr>
      </w:pPr>
    </w:p>
    <w:p w14:paraId="417CB47F">
      <w:pPr>
        <w:pStyle w:val="27"/>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outlineLvl w:val="1"/>
        <w:rPr>
          <w:rFonts w:hint="default" w:ascii="Times New Roman" w:hAnsi="Times New Roman" w:eastAsia="方正仿宋_GBK" w:cs="Times New Roman"/>
          <w:sz w:val="32"/>
          <w:szCs w:val="32"/>
          <w:lang w:val="en-US" w:eastAsia="zh-CN"/>
        </w:rPr>
      </w:pPr>
    </w:p>
    <w:p w14:paraId="0F4EABB5">
      <w:pPr>
        <w:pStyle w:val="27"/>
        <w:spacing w:line="600" w:lineRule="exact"/>
        <w:ind w:firstLine="640"/>
        <w:jc w:val="both"/>
        <w:outlineLvl w:val="1"/>
        <w:rPr>
          <w:rFonts w:hint="default" w:ascii="Times New Roman" w:hAnsi="Times New Roman" w:eastAsia="方正仿宋_GBK" w:cs="Times New Roman"/>
          <w:sz w:val="32"/>
          <w:szCs w:val="32"/>
          <w:lang w:val="en-US" w:eastAsia="zh-CN"/>
        </w:rPr>
      </w:pPr>
    </w:p>
    <w:p w14:paraId="0346283E">
      <w:pPr>
        <w:pStyle w:val="27"/>
        <w:spacing w:line="600" w:lineRule="exact"/>
        <w:ind w:left="0" w:leftChars="0" w:firstLine="0" w:firstLineChars="0"/>
        <w:jc w:val="both"/>
        <w:outlineLvl w:val="1"/>
        <w:rPr>
          <w:rFonts w:hint="default" w:ascii="Times New Roman" w:hAnsi="Times New Roman" w:eastAsia="方正仿宋_GBK" w:cs="Times New Roman"/>
          <w:sz w:val="32"/>
          <w:szCs w:val="32"/>
          <w:lang w:val="en-US" w:eastAsia="zh-CN"/>
        </w:rPr>
      </w:pPr>
    </w:p>
    <w:p w14:paraId="38777ABE">
      <w:pPr>
        <w:spacing w:line="600" w:lineRule="exact"/>
        <w:ind w:firstLine="1280" w:firstLineChars="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（图4：财政拨款收、支决算总计变动情况）</w:t>
      </w:r>
    </w:p>
    <w:p w14:paraId="381AE773">
      <w:pPr>
        <w:spacing w:line="600" w:lineRule="exact"/>
        <w:ind w:firstLine="640" w:firstLineChars="200"/>
        <w:outlineLvl w:val="1"/>
        <w:rPr>
          <w:rStyle w:val="29"/>
          <w:rFonts w:hint="default" w:ascii="Times New Roman" w:hAnsi="Times New Roman" w:eastAsia="方正黑体_GBK" w:cs="Times New Roman"/>
          <w:b w:val="0"/>
        </w:rPr>
      </w:pPr>
      <w:bookmarkStart w:id="20" w:name="_Toc15377209"/>
      <w:bookmarkStart w:id="21" w:name="_Toc15396607"/>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29"/>
          <w:rFonts w:hint="default" w:ascii="Times New Roman" w:hAnsi="Times New Roman" w:eastAsia="方正黑体_GBK" w:cs="Times New Roman"/>
          <w:b w:val="0"/>
        </w:rPr>
        <w:t>般公共预算财政拨款支出决算情况说明</w:t>
      </w:r>
      <w:bookmarkEnd w:id="20"/>
      <w:bookmarkEnd w:id="21"/>
    </w:p>
    <w:p w14:paraId="68081B84">
      <w:pPr>
        <w:spacing w:line="600" w:lineRule="exact"/>
        <w:ind w:firstLine="643" w:firstLineChars="200"/>
        <w:outlineLvl w:val="2"/>
        <w:rPr>
          <w:rFonts w:hint="default" w:ascii="Times New Roman" w:hAnsi="Times New Roman" w:eastAsia="方正楷体_GBK" w:cs="Times New Roman"/>
          <w:b/>
          <w:sz w:val="32"/>
          <w:szCs w:val="32"/>
        </w:rPr>
      </w:pPr>
      <w:bookmarkStart w:id="22" w:name="_Toc15377210"/>
      <w:r>
        <w:rPr>
          <w:rFonts w:hint="default" w:ascii="Times New Roman" w:hAnsi="Times New Roman" w:eastAsia="方正楷体_GBK" w:cs="Times New Roman"/>
          <w:b/>
          <w:sz w:val="32"/>
          <w:szCs w:val="32"/>
        </w:rPr>
        <w:t>（一）一般公共预算财政拨款支出决算总体情况</w:t>
      </w:r>
      <w:bookmarkEnd w:id="22"/>
    </w:p>
    <w:p w14:paraId="3D3ADFF4">
      <w:pPr>
        <w:spacing w:line="600" w:lineRule="exact"/>
        <w:ind w:firstLine="64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2024年度一般公共预算财政拨款支出</w:t>
      </w:r>
      <w:r>
        <w:rPr>
          <w:rFonts w:hint="default" w:ascii="Times New Roman" w:hAnsi="Times New Roman" w:eastAsia="方正仿宋_GBK" w:cs="Times New Roman"/>
          <w:sz w:val="32"/>
          <w:szCs w:val="32"/>
          <w:lang w:val="en-US" w:eastAsia="zh-CN"/>
        </w:rPr>
        <w:t>243.16</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%。与2023年度相比，一般公共预算财政拨款支出减少</w:t>
      </w:r>
      <w:r>
        <w:rPr>
          <w:rFonts w:hint="default" w:ascii="Times New Roman" w:hAnsi="Times New Roman" w:eastAsia="方正仿宋_GBK" w:cs="Times New Roman"/>
          <w:sz w:val="32"/>
          <w:szCs w:val="32"/>
          <w:lang w:val="en-US" w:eastAsia="zh-CN"/>
        </w:rPr>
        <w:t>15.91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下降</w:t>
      </w:r>
      <w:r>
        <w:rPr>
          <w:rFonts w:hint="default" w:ascii="Times New Roman" w:hAnsi="Times New Roman" w:eastAsia="方正仿宋_GBK" w:cs="Times New Roman"/>
          <w:sz w:val="32"/>
          <w:szCs w:val="32"/>
          <w:lang w:val="en-US" w:eastAsia="zh-CN"/>
        </w:rPr>
        <w:t>6.14</w:t>
      </w:r>
      <w:r>
        <w:rPr>
          <w:rFonts w:hint="default" w:ascii="Times New Roman" w:hAnsi="Times New Roman" w:eastAsia="方正仿宋_GBK" w:cs="Times New Roman"/>
          <w:sz w:val="32"/>
          <w:szCs w:val="32"/>
        </w:rPr>
        <w:t>%。主要变动原因</w:t>
      </w:r>
      <w:r>
        <w:rPr>
          <w:rFonts w:hint="default" w:ascii="Times New Roman" w:hAnsi="Times New Roman" w:eastAsia="方正仿宋_GBK" w:cs="Times New Roman"/>
          <w:sz w:val="32"/>
          <w:szCs w:val="32"/>
          <w:lang w:val="en-US" w:eastAsia="zh-CN"/>
        </w:rPr>
        <w:t>是2024年新增退休人员、调出人员职业年金记实支出较2023年相比大幅下降。</w:t>
      </w:r>
    </w:p>
    <w:p w14:paraId="79472E7D">
      <w:pPr>
        <w:pStyle w:val="2"/>
        <w:rPr>
          <w:rFonts w:hint="default" w:ascii="Times New Roman" w:hAnsi="Times New Roman" w:eastAsia="方正仿宋_GBK" w:cs="Times New Roman"/>
          <w:sz w:val="32"/>
          <w:szCs w:val="32"/>
          <w:lang w:val="en-US" w:eastAsia="zh-CN"/>
        </w:rPr>
      </w:pPr>
    </w:p>
    <w:p w14:paraId="76DB7AD8">
      <w:pPr>
        <w:pStyle w:val="3"/>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pict>
          <v:shape id="_x0000_s1032" o:spid="_x0000_s1032" o:spt="75" type="#_x0000_t75" style="position:absolute;left:0pt;margin-left:72.8pt;margin-top:1.35pt;height:149pt;width:272.05pt;z-index:251662336;mso-width-relative:page;mso-height-relative:page;" o:ole="t" filled="f" o:preferrelative="t" stroked="f" coordsize="21600,21600">
            <v:path/>
            <v:fill on="f" focussize="0,0"/>
            <v:stroke on="f"/>
            <v:imagedata r:id="rId16" o:title=""/>
            <o:lock v:ext="edit" aspectratio="t"/>
          </v:shape>
          <o:OLEObject Type="Embed" ProgID="MSGraph.Chart.8" ShapeID="_x0000_s1032" DrawAspect="Content" ObjectID="_1468075727" r:id="rId15">
            <o:LockedField>false</o:LockedField>
          </o:OLEObject>
        </w:pict>
      </w:r>
    </w:p>
    <w:p w14:paraId="7BA6C9F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32"/>
          <w:szCs w:val="32"/>
          <w:lang w:val="en-US" w:eastAsia="zh-CN"/>
        </w:rPr>
      </w:pPr>
    </w:p>
    <w:p w14:paraId="4B340357">
      <w:pPr>
        <w:pStyle w:val="3"/>
        <w:rPr>
          <w:rFonts w:hint="default" w:ascii="Times New Roman" w:hAnsi="Times New Roman" w:eastAsia="方正仿宋_GBK" w:cs="Times New Roman"/>
          <w:sz w:val="32"/>
          <w:szCs w:val="32"/>
          <w:lang w:val="en-US" w:eastAsia="zh-CN"/>
        </w:rPr>
      </w:pPr>
    </w:p>
    <w:p w14:paraId="3E427F4D">
      <w:pPr>
        <w:pStyle w:val="3"/>
        <w:rPr>
          <w:rFonts w:hint="default" w:ascii="Times New Roman" w:hAnsi="Times New Roman" w:eastAsia="方正仿宋_GBK" w:cs="Times New Roman"/>
          <w:sz w:val="32"/>
          <w:szCs w:val="32"/>
          <w:lang w:val="en-US" w:eastAsia="zh-CN"/>
        </w:rPr>
      </w:pPr>
    </w:p>
    <w:p w14:paraId="1EF31216">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（图5：一般公共预算财政拨款支出决算变动情况）</w:t>
      </w:r>
    </w:p>
    <w:p w14:paraId="1418E58F">
      <w:pPr>
        <w:spacing w:line="600" w:lineRule="exact"/>
        <w:ind w:firstLine="643" w:firstLineChars="200"/>
        <w:outlineLvl w:val="2"/>
        <w:rPr>
          <w:rFonts w:hint="default" w:ascii="Times New Roman" w:hAnsi="Times New Roman" w:eastAsia="方正楷体_GBK" w:cs="Times New Roman"/>
          <w:b/>
          <w:sz w:val="32"/>
          <w:szCs w:val="32"/>
        </w:rPr>
      </w:pPr>
      <w:bookmarkStart w:id="23" w:name="_Toc15377211"/>
      <w:r>
        <w:rPr>
          <w:rFonts w:hint="default" w:ascii="Times New Roman" w:hAnsi="Times New Roman" w:eastAsia="方正楷体_GBK" w:cs="Times New Roman"/>
          <w:b/>
          <w:sz w:val="32"/>
          <w:szCs w:val="32"/>
        </w:rPr>
        <w:t>（二）一般公共预算财政拨款支出决算结构情况</w:t>
      </w:r>
      <w:bookmarkEnd w:id="23"/>
    </w:p>
    <w:p w14:paraId="1AF120BB">
      <w:pPr>
        <w:spacing w:line="6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2024年度一般公共预算财政拨款支出</w:t>
      </w:r>
      <w:r>
        <w:rPr>
          <w:rFonts w:hint="default" w:ascii="Times New Roman" w:hAnsi="Times New Roman" w:eastAsia="方正仿宋_GBK" w:cs="Times New Roman"/>
          <w:sz w:val="32"/>
          <w:szCs w:val="32"/>
          <w:lang w:val="en-US" w:eastAsia="zh-CN"/>
        </w:rPr>
        <w:t>243.16</w:t>
      </w:r>
      <w:r>
        <w:rPr>
          <w:rFonts w:hint="default" w:ascii="Times New Roman" w:hAnsi="Times New Roman" w:eastAsia="方正仿宋_GBK" w:cs="Times New Roman"/>
          <w:sz w:val="32"/>
          <w:szCs w:val="32"/>
        </w:rPr>
        <w:t>万元，主要用于以下方面：社会保障和就业支出</w:t>
      </w:r>
      <w:r>
        <w:rPr>
          <w:rFonts w:hint="default" w:ascii="Times New Roman" w:hAnsi="Times New Roman" w:eastAsia="方正仿宋_GBK" w:cs="Times New Roman"/>
          <w:sz w:val="32"/>
          <w:szCs w:val="32"/>
          <w:lang w:val="en-US" w:eastAsia="zh-CN"/>
        </w:rPr>
        <w:t>211.16</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86.84</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16.63</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6.84</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15.37</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6.32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015603F9">
      <w:pPr>
        <w:pStyle w:val="3"/>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drawing>
          <wp:inline distT="0" distB="0" distL="114300" distR="114300">
            <wp:extent cx="3727450" cy="2619375"/>
            <wp:effectExtent l="4445" t="4445" r="20955"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62C359">
      <w:pPr>
        <w:spacing w:line="60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（图6：一般公共预算财政拨款支出决算结构</w:t>
      </w:r>
      <w:r>
        <w:rPr>
          <w:rFonts w:hint="default" w:ascii="Times New Roman" w:hAnsi="Times New Roman" w:eastAsia="方正仿宋_GBK" w:cs="Times New Roman"/>
          <w:sz w:val="32"/>
          <w:szCs w:val="32"/>
          <w:lang w:val="en-US" w:eastAsia="zh-CN"/>
        </w:rPr>
        <w:t>)</w:t>
      </w:r>
    </w:p>
    <w:p w14:paraId="51B47621">
      <w:pPr>
        <w:spacing w:line="600" w:lineRule="exact"/>
        <w:ind w:firstLine="643" w:firstLineChars="200"/>
        <w:outlineLvl w:val="2"/>
        <w:rPr>
          <w:rFonts w:hint="default" w:ascii="Times New Roman" w:hAnsi="Times New Roman" w:eastAsia="方正楷体_GBK" w:cs="Times New Roman"/>
          <w:b/>
          <w:sz w:val="32"/>
          <w:szCs w:val="32"/>
        </w:rPr>
      </w:pPr>
      <w:bookmarkStart w:id="24" w:name="_Toc15377212"/>
      <w:r>
        <w:rPr>
          <w:rFonts w:hint="default" w:ascii="Times New Roman" w:hAnsi="Times New Roman" w:eastAsia="方正楷体_GBK" w:cs="Times New Roman"/>
          <w:b/>
          <w:sz w:val="32"/>
          <w:szCs w:val="32"/>
        </w:rPr>
        <w:t>（三）一般公共预算财政拨款支出决算具体情况</w:t>
      </w:r>
      <w:bookmarkEnd w:id="24"/>
    </w:p>
    <w:p w14:paraId="4789A58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方正仿宋_GBK" w:cs="Times New Roman"/>
          <w:sz w:val="32"/>
          <w:szCs w:val="32"/>
        </w:rPr>
      </w:pPr>
      <w:bookmarkStart w:id="25" w:name="_Toc15377213"/>
      <w:bookmarkStart w:id="26" w:name="_Toc15377444"/>
      <w:bookmarkStart w:id="27" w:name="_Toc15378460"/>
      <w:r>
        <w:rPr>
          <w:rFonts w:hint="default" w:ascii="Times New Roman" w:hAnsi="Times New Roman" w:eastAsia="方正仿宋_GBK" w:cs="Times New Roman"/>
          <w:sz w:val="32"/>
          <w:szCs w:val="32"/>
        </w:rPr>
        <w:t>2024年度一般公共预算财政拨款支出决算数为</w:t>
      </w:r>
      <w:r>
        <w:rPr>
          <w:rFonts w:hint="default" w:ascii="Times New Roman" w:hAnsi="Times New Roman" w:eastAsia="方正仿宋_GBK" w:cs="Times New Roman"/>
          <w:sz w:val="32"/>
          <w:szCs w:val="32"/>
          <w:lang w:val="en-US" w:eastAsia="zh-CN"/>
        </w:rPr>
        <w:t>243.16</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%。其中：</w:t>
      </w:r>
      <w:bookmarkEnd w:id="25"/>
      <w:bookmarkEnd w:id="26"/>
      <w:bookmarkEnd w:id="27"/>
    </w:p>
    <w:p w14:paraId="61B97A52">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社会保障和就业（类）</w:t>
      </w:r>
      <w:r>
        <w:rPr>
          <w:rFonts w:hint="default" w:ascii="Times New Roman" w:hAnsi="Times New Roman" w:eastAsia="方正仿宋_GBK" w:cs="Times New Roman"/>
          <w:sz w:val="32"/>
          <w:szCs w:val="32"/>
          <w:lang w:val="en-US" w:eastAsia="zh-CN"/>
        </w:rPr>
        <w:t>人力资源和社会保障管理事务</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行政运行</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161.95</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51855F1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.社会保障和就业（类）</w:t>
      </w:r>
      <w:r>
        <w:rPr>
          <w:rFonts w:hint="default" w:ascii="Times New Roman" w:hAnsi="Times New Roman" w:eastAsia="方正仿宋_GBK" w:cs="Times New Roman"/>
          <w:sz w:val="32"/>
          <w:szCs w:val="32"/>
          <w:lang w:val="en-US" w:eastAsia="zh-CN"/>
        </w:rPr>
        <w:t>人力资源和社会保障管理事务</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社会保险经办机构</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0.72</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56EFDFD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社会保障和就业（类）</w:t>
      </w:r>
      <w:r>
        <w:rPr>
          <w:rFonts w:hint="default" w:ascii="Times New Roman" w:hAnsi="Times New Roman" w:eastAsia="方正仿宋_GBK" w:cs="Times New Roman"/>
          <w:sz w:val="32"/>
          <w:szCs w:val="32"/>
          <w:lang w:val="en-US" w:eastAsia="zh-CN"/>
        </w:rPr>
        <w:t>行政事业单位养老支出</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行政单位离退休</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17.86</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47ED8DD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.社会保障和就业（类）</w:t>
      </w:r>
      <w:r>
        <w:rPr>
          <w:rFonts w:hint="default" w:ascii="Times New Roman" w:hAnsi="Times New Roman" w:eastAsia="方正仿宋_GBK" w:cs="Times New Roman"/>
          <w:sz w:val="32"/>
          <w:szCs w:val="32"/>
          <w:lang w:val="en-US" w:eastAsia="zh-CN"/>
        </w:rPr>
        <w:t>行政事业单位养老支出</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机关事业单位基本养老保险缴费支出</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19.09</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0B18A2D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社会保障和就业（类）</w:t>
      </w:r>
      <w:r>
        <w:rPr>
          <w:rFonts w:hint="default" w:ascii="Times New Roman" w:hAnsi="Times New Roman" w:eastAsia="方正仿宋_GBK" w:cs="Times New Roman"/>
          <w:sz w:val="32"/>
          <w:szCs w:val="32"/>
          <w:lang w:val="en-US" w:eastAsia="zh-CN"/>
        </w:rPr>
        <w:t>行政事业单位养老支出</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机关事业单位职业年金缴费支出</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8.76</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589868F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社会保障和就业（类）</w:t>
      </w:r>
      <w:r>
        <w:rPr>
          <w:rFonts w:hint="default" w:ascii="Times New Roman" w:hAnsi="Times New Roman" w:eastAsia="方正仿宋_GBK" w:cs="Times New Roman"/>
          <w:sz w:val="32"/>
          <w:szCs w:val="32"/>
          <w:lang w:val="en-US" w:eastAsia="zh-CN"/>
        </w:rPr>
        <w:t>行政事业单位养老支出</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其他行政事业单位养老支出</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2.78</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4339D31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卫生健康（类）</w:t>
      </w:r>
      <w:r>
        <w:rPr>
          <w:rFonts w:hint="default" w:ascii="Times New Roman" w:hAnsi="Times New Roman" w:eastAsia="方正仿宋_GBK" w:cs="Times New Roman"/>
          <w:sz w:val="32"/>
          <w:szCs w:val="32"/>
          <w:lang w:val="en-US" w:eastAsia="zh-CN"/>
        </w:rPr>
        <w:t>行政事业单位医疗</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行政单位医疗</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10.20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68520FF0">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卫生健康（类）</w:t>
      </w:r>
      <w:r>
        <w:rPr>
          <w:rFonts w:hint="default" w:ascii="Times New Roman" w:hAnsi="Times New Roman" w:eastAsia="方正仿宋_GBK" w:cs="Times New Roman"/>
          <w:sz w:val="32"/>
          <w:szCs w:val="32"/>
          <w:lang w:val="en-US" w:eastAsia="zh-CN"/>
        </w:rPr>
        <w:t>行政事业单位医疗</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公务员医疗补助</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1.26</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21C498E3">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卫生健康（类）</w:t>
      </w:r>
      <w:r>
        <w:rPr>
          <w:rFonts w:hint="default" w:ascii="Times New Roman" w:hAnsi="Times New Roman" w:eastAsia="方正仿宋_GBK" w:cs="Times New Roman"/>
          <w:sz w:val="32"/>
          <w:szCs w:val="32"/>
          <w:lang w:val="en-US" w:eastAsia="zh-CN"/>
        </w:rPr>
        <w:t>行政事业单位医疗</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其他行政事业单位医疗支出</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5.16</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384055B3">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10.住房保障</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住房改革支出</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住房公积金</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15.37</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持平。</w:t>
      </w:r>
    </w:p>
    <w:p w14:paraId="189C0F76">
      <w:pPr>
        <w:keepNext w:val="0"/>
        <w:keepLines w:val="0"/>
        <w:pageBreakBefore w:val="0"/>
        <w:widowControl w:val="0"/>
        <w:tabs>
          <w:tab w:val="right" w:pos="8306"/>
        </w:tabs>
        <w:kinsoku/>
        <w:wordWrap/>
        <w:overflowPunct/>
        <w:topLinePunct w:val="0"/>
        <w:autoSpaceDE/>
        <w:autoSpaceDN/>
        <w:bidi w:val="0"/>
        <w:adjustRightInd/>
        <w:spacing w:line="600" w:lineRule="exact"/>
        <w:ind w:firstLine="640"/>
        <w:textAlignment w:val="auto"/>
        <w:outlineLvl w:val="1"/>
        <w:rPr>
          <w:rStyle w:val="29"/>
          <w:rFonts w:hint="default" w:ascii="Times New Roman" w:hAnsi="Times New Roman" w:cs="Times New Roman"/>
        </w:rPr>
      </w:pPr>
      <w:bookmarkStart w:id="28" w:name="_Toc15396608"/>
      <w:bookmarkStart w:id="29" w:name="_Toc15377214"/>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29"/>
          <w:rFonts w:hint="default" w:ascii="Times New Roman" w:hAnsi="Times New Roman" w:eastAsia="方正黑体_GBK" w:cs="Times New Roman"/>
          <w:b w:val="0"/>
        </w:rPr>
        <w:t>般公共预算财政拨款基本支出决算情况说明</w:t>
      </w:r>
      <w:bookmarkEnd w:id="28"/>
      <w:bookmarkEnd w:id="29"/>
      <w:r>
        <w:rPr>
          <w:rStyle w:val="29"/>
          <w:rFonts w:hint="default" w:ascii="Times New Roman" w:hAnsi="Times New Roman" w:eastAsia="方正黑体_GBK" w:cs="Times New Roman"/>
          <w:b w:val="0"/>
        </w:rPr>
        <w:tab/>
      </w:r>
    </w:p>
    <w:p w14:paraId="306B23B4">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w:t>
      </w:r>
      <w:r>
        <w:rPr>
          <w:rFonts w:hint="default" w:ascii="Times New Roman" w:hAnsi="Times New Roman" w:eastAsia="方正仿宋_GBK" w:cs="Times New Roman"/>
          <w:sz w:val="32"/>
          <w:szCs w:val="32"/>
          <w:lang w:val="en-US" w:eastAsia="zh-CN"/>
        </w:rPr>
        <w:t>239.65</w:t>
      </w:r>
      <w:r>
        <w:rPr>
          <w:rFonts w:hint="default" w:ascii="Times New Roman" w:hAnsi="Times New Roman" w:eastAsia="方正仿宋_GBK" w:cs="Times New Roman"/>
          <w:sz w:val="32"/>
          <w:szCs w:val="32"/>
        </w:rPr>
        <w:t>万元，其中：</w:t>
      </w:r>
    </w:p>
    <w:p w14:paraId="594E466D">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人员经费</w:t>
      </w:r>
      <w:r>
        <w:rPr>
          <w:rFonts w:hint="default" w:ascii="Times New Roman" w:hAnsi="Times New Roman" w:eastAsia="方正仿宋_GBK" w:cs="Times New Roman"/>
          <w:sz w:val="32"/>
          <w:szCs w:val="32"/>
          <w:lang w:val="en-US" w:eastAsia="zh-CN"/>
        </w:rPr>
        <w:t>218.88</w:t>
      </w:r>
      <w:r>
        <w:rPr>
          <w:rFonts w:hint="default" w:ascii="Times New Roman" w:hAnsi="Times New Roman" w:eastAsia="方正仿宋_GBK" w:cs="Times New Roman"/>
          <w:sz w:val="32"/>
          <w:szCs w:val="32"/>
        </w:rPr>
        <w:t>万元，主要包括：基本工资、津贴补贴、奖金、机关事业单位基本养老保险缴费、职业年金缴费、</w:t>
      </w:r>
      <w:r>
        <w:rPr>
          <w:rFonts w:hint="default" w:ascii="Times New Roman" w:hAnsi="Times New Roman" w:eastAsia="方正仿宋_GBK" w:cs="Times New Roman"/>
          <w:sz w:val="32"/>
          <w:szCs w:val="32"/>
          <w:lang w:val="en-US" w:eastAsia="zh-CN"/>
        </w:rPr>
        <w:t>职工基本医疗保险缴费、公务员医疗补助缴费、</w:t>
      </w:r>
      <w:r>
        <w:rPr>
          <w:rFonts w:hint="default" w:ascii="Times New Roman" w:hAnsi="Times New Roman" w:eastAsia="方正仿宋_GBK" w:cs="Times New Roman"/>
          <w:sz w:val="32"/>
          <w:szCs w:val="32"/>
        </w:rPr>
        <w:t>其他社会保障缴费、住房公积金、</w:t>
      </w:r>
      <w:r>
        <w:rPr>
          <w:rFonts w:hint="default" w:ascii="Times New Roman" w:hAnsi="Times New Roman" w:eastAsia="方正仿宋_GBK" w:cs="Times New Roman"/>
          <w:sz w:val="32"/>
          <w:szCs w:val="32"/>
          <w:lang w:val="en-US" w:eastAsia="zh-CN"/>
        </w:rPr>
        <w:t>医疗费补助等。</w:t>
      </w:r>
    </w:p>
    <w:p w14:paraId="3DD3AAB6">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公用经费</w:t>
      </w:r>
      <w:r>
        <w:rPr>
          <w:rFonts w:hint="default" w:ascii="Times New Roman" w:hAnsi="Times New Roman" w:eastAsia="方正仿宋_GBK" w:cs="Times New Roman"/>
          <w:sz w:val="32"/>
          <w:szCs w:val="32"/>
          <w:lang w:val="en-US" w:eastAsia="zh-CN"/>
        </w:rPr>
        <w:t>20.77</w:t>
      </w:r>
      <w:r>
        <w:rPr>
          <w:rFonts w:hint="default" w:ascii="Times New Roman" w:hAnsi="Times New Roman" w:eastAsia="方正仿宋_GBK" w:cs="Times New Roman"/>
          <w:sz w:val="32"/>
          <w:szCs w:val="32"/>
        </w:rPr>
        <w:t>万元，主要包括：办公费、印刷费、水费、邮电费、差旅费、维修（护）费、劳务费、工会经费、福利费、其他交通费</w:t>
      </w:r>
      <w:r>
        <w:rPr>
          <w:rFonts w:hint="default" w:ascii="Times New Roman" w:hAnsi="Times New Roman" w:eastAsia="方正仿宋_GBK" w:cs="Times New Roman"/>
          <w:sz w:val="32"/>
          <w:szCs w:val="32"/>
          <w:lang w:eastAsia="zh-CN"/>
        </w:rPr>
        <w:t>。</w:t>
      </w:r>
    </w:p>
    <w:p w14:paraId="1A401CCE">
      <w:pPr>
        <w:spacing w:line="600" w:lineRule="exact"/>
        <w:ind w:firstLine="640"/>
        <w:outlineLvl w:val="1"/>
        <w:rPr>
          <w:rStyle w:val="29"/>
          <w:rFonts w:hint="default" w:ascii="Times New Roman" w:hAnsi="Times New Roman" w:eastAsia="方正黑体_GBK" w:cs="Times New Roman"/>
          <w:b w:val="0"/>
        </w:rPr>
      </w:pPr>
      <w:bookmarkStart w:id="30" w:name="_Toc15396609"/>
      <w:bookmarkStart w:id="31" w:name="_Toc15377215"/>
      <w:r>
        <w:rPr>
          <w:rFonts w:hint="default" w:ascii="Times New Roman" w:hAnsi="Times New Roman" w:eastAsia="方正黑体_GBK" w:cs="Times New Roman"/>
          <w:sz w:val="32"/>
          <w:szCs w:val="32"/>
        </w:rPr>
        <w:t>七、</w:t>
      </w:r>
      <w:r>
        <w:rPr>
          <w:rStyle w:val="29"/>
          <w:rFonts w:hint="default" w:ascii="Times New Roman" w:hAnsi="Times New Roman" w:eastAsia="方正黑体_GBK" w:cs="Times New Roman"/>
          <w:b w:val="0"/>
        </w:rPr>
        <w:t>财政拨款</w:t>
      </w:r>
      <w:r>
        <w:rPr>
          <w:rStyle w:val="29"/>
          <w:rFonts w:hint="default" w:ascii="Times New Roman" w:hAnsi="Times New Roman" w:eastAsia="方正黑体_GBK" w:cs="Times New Roman"/>
        </w:rPr>
        <w:t>“</w:t>
      </w:r>
      <w:r>
        <w:rPr>
          <w:rStyle w:val="29"/>
          <w:rFonts w:hint="default" w:ascii="Times New Roman" w:hAnsi="Times New Roman" w:eastAsia="方正黑体_GBK" w:cs="Times New Roman"/>
          <w:b w:val="0"/>
        </w:rPr>
        <w:t>三公”经费支出决算情况说明</w:t>
      </w:r>
      <w:bookmarkEnd w:id="30"/>
      <w:bookmarkEnd w:id="31"/>
    </w:p>
    <w:p w14:paraId="29F1735E">
      <w:pPr>
        <w:spacing w:line="600" w:lineRule="exact"/>
        <w:ind w:firstLine="643" w:firstLineChars="200"/>
        <w:outlineLvl w:val="2"/>
        <w:rPr>
          <w:rFonts w:hint="default" w:ascii="Times New Roman" w:hAnsi="Times New Roman" w:eastAsia="方正楷体_GBK" w:cs="Times New Roman"/>
          <w:b/>
          <w:sz w:val="32"/>
          <w:szCs w:val="32"/>
        </w:rPr>
      </w:pPr>
      <w:bookmarkStart w:id="32" w:name="_Toc15377216"/>
      <w:r>
        <w:rPr>
          <w:rFonts w:hint="default" w:ascii="Times New Roman" w:hAnsi="Times New Roman" w:eastAsia="方正楷体_GBK" w:cs="Times New Roman"/>
          <w:b/>
          <w:sz w:val="32"/>
          <w:szCs w:val="32"/>
        </w:rPr>
        <w:t>（一）“三公”经费财政拨款支出决算总体情况说明</w:t>
      </w:r>
      <w:bookmarkEnd w:id="32"/>
    </w:p>
    <w:p w14:paraId="02BBAB91">
      <w:pPr>
        <w:spacing w:line="600" w:lineRule="exact"/>
        <w:ind w:firstLine="64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2024年度“三公”经费财政拨款支出决算为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本年度</w:t>
      </w:r>
      <w:r>
        <w:rPr>
          <w:rFonts w:hint="default" w:ascii="Times New Roman" w:hAnsi="Times New Roman" w:eastAsia="方正仿宋_GBK" w:cs="Times New Roman"/>
          <w:sz w:val="32"/>
          <w:szCs w:val="32"/>
        </w:rPr>
        <w:t>“三公”经费财政拨款支出决算</w:t>
      </w:r>
      <w:r>
        <w:rPr>
          <w:rFonts w:hint="default" w:ascii="Times New Roman" w:hAnsi="Times New Roman" w:eastAsia="方正仿宋_GBK" w:cs="Times New Roman"/>
          <w:sz w:val="32"/>
          <w:szCs w:val="32"/>
          <w:lang w:val="en-US" w:eastAsia="zh-CN"/>
        </w:rPr>
        <w:t>与2023年持平，</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本年度公务活动未安排接待，未产生公务接待费；本单位无公务用车，未产生公务用车运行维护费；本年度未安排因公出国境活动，未产生因公出国境费用。</w:t>
      </w:r>
    </w:p>
    <w:p w14:paraId="07BC1E90">
      <w:pPr>
        <w:spacing w:line="600" w:lineRule="exact"/>
        <w:ind w:firstLine="643" w:firstLineChars="200"/>
        <w:outlineLvl w:val="2"/>
        <w:rPr>
          <w:rFonts w:hint="default" w:ascii="Times New Roman" w:hAnsi="Times New Roman" w:eastAsia="方正楷体_GBK" w:cs="Times New Roman"/>
          <w:b/>
          <w:sz w:val="32"/>
          <w:szCs w:val="32"/>
        </w:rPr>
      </w:pPr>
      <w:bookmarkStart w:id="33" w:name="_Toc15377217"/>
      <w:r>
        <w:rPr>
          <w:rFonts w:hint="default" w:ascii="Times New Roman" w:hAnsi="Times New Roman" w:eastAsia="方正楷体_GBK" w:cs="Times New Roman"/>
          <w:b/>
          <w:sz w:val="32"/>
          <w:szCs w:val="32"/>
        </w:rPr>
        <w:t>（二）“三公”经费财政拨款支出决算具体情况说明</w:t>
      </w:r>
      <w:bookmarkEnd w:id="33"/>
    </w:p>
    <w:p w14:paraId="69F1389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p>
    <w:p w14:paraId="585B4CCB">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1.因公出国（境）经费支出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全年安排因公出国（境）团组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次，出国（境）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人。因公出国（境）支出决算</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2023年</w:t>
      </w:r>
      <w:r>
        <w:rPr>
          <w:rFonts w:hint="default" w:ascii="Times New Roman" w:hAnsi="Times New Roman" w:eastAsia="方正仿宋_GBK" w:cs="Times New Roman"/>
          <w:sz w:val="32"/>
          <w:szCs w:val="32"/>
          <w:lang w:val="en-US" w:eastAsia="zh-CN"/>
        </w:rPr>
        <w:t>持平。</w:t>
      </w:r>
    </w:p>
    <w:p w14:paraId="424C508D">
      <w:pPr>
        <w:spacing w:line="600" w:lineRule="exact"/>
        <w:ind w:firstLine="64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2.公务用车购置及运行维护费支出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2023年度</w:t>
      </w:r>
      <w:r>
        <w:rPr>
          <w:rFonts w:hint="default" w:ascii="Times New Roman" w:hAnsi="Times New Roman" w:eastAsia="方正仿宋_GBK" w:cs="Times New Roman"/>
          <w:sz w:val="32"/>
          <w:szCs w:val="32"/>
          <w:lang w:val="en-US" w:eastAsia="zh-CN"/>
        </w:rPr>
        <w:t>持平。</w:t>
      </w:r>
    </w:p>
    <w:p w14:paraId="3082E68F">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万元。全年按规定更新购置公务用车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万元。截至2024年12月31日，单位共有公务用车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14:paraId="5C4C5074">
      <w:pPr>
        <w:spacing w:line="6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公务用车运行维护费支出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7C0C12C4">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3.公务接待费支出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2023年度</w:t>
      </w:r>
      <w:r>
        <w:rPr>
          <w:rFonts w:hint="default" w:ascii="Times New Roman" w:hAnsi="Times New Roman" w:eastAsia="方正仿宋_GBK" w:cs="Times New Roman"/>
          <w:sz w:val="32"/>
          <w:szCs w:val="32"/>
          <w:lang w:val="en-US" w:eastAsia="zh-CN"/>
        </w:rPr>
        <w:t>持平</w:t>
      </w:r>
      <w:r>
        <w:rPr>
          <w:rFonts w:hint="default" w:ascii="Times New Roman" w:hAnsi="Times New Roman" w:eastAsia="方正仿宋_GBK" w:cs="Times New Roman"/>
          <w:sz w:val="32"/>
          <w:szCs w:val="32"/>
        </w:rPr>
        <w:t>。其中：</w:t>
      </w:r>
    </w:p>
    <w:p w14:paraId="1E9EA0C5">
      <w:pPr>
        <w:spacing w:line="6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国内公务接待支出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14:paraId="601F860A">
      <w:pPr>
        <w:spacing w:line="6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外事接待支出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bookmarkStart w:id="34" w:name="_Toc15396610"/>
      <w:bookmarkStart w:id="35" w:name="_Toc15377218"/>
      <w:r>
        <w:rPr>
          <w:rFonts w:hint="default" w:ascii="Times New Roman" w:hAnsi="Times New Roman" w:eastAsia="方正仿宋_GBK" w:cs="Times New Roman"/>
          <w:sz w:val="32"/>
          <w:szCs w:val="32"/>
          <w:lang w:eastAsia="zh-CN"/>
        </w:rPr>
        <w:t>。</w:t>
      </w:r>
    </w:p>
    <w:p w14:paraId="5FAAE825">
      <w:pPr>
        <w:spacing w:line="600" w:lineRule="exact"/>
        <w:ind w:firstLine="640"/>
        <w:outlineLvl w:val="1"/>
        <w:rPr>
          <w:rStyle w:val="29"/>
          <w:rFonts w:hint="default" w:ascii="Times New Roman" w:hAnsi="Times New Roman" w:eastAsia="方正黑体_GBK" w:cs="Times New Roman"/>
        </w:rPr>
      </w:pPr>
      <w:r>
        <w:rPr>
          <w:rFonts w:hint="default" w:ascii="Times New Roman" w:hAnsi="Times New Roman" w:eastAsia="方正黑体_GBK" w:cs="Times New Roman"/>
          <w:sz w:val="32"/>
          <w:szCs w:val="32"/>
        </w:rPr>
        <w:t>八、</w:t>
      </w:r>
      <w:r>
        <w:rPr>
          <w:rStyle w:val="29"/>
          <w:rFonts w:hint="default" w:ascii="Times New Roman" w:hAnsi="Times New Roman" w:eastAsia="方正黑体_GBK" w:cs="Times New Roman"/>
          <w:b w:val="0"/>
        </w:rPr>
        <w:t>政府性基金预算支出决算情况说明</w:t>
      </w:r>
      <w:bookmarkEnd w:id="34"/>
      <w:bookmarkEnd w:id="35"/>
    </w:p>
    <w:p w14:paraId="0DA66E2B">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本年度</w:t>
      </w:r>
      <w:r>
        <w:rPr>
          <w:rFonts w:hint="default" w:ascii="Times New Roman" w:hAnsi="Times New Roman" w:eastAsia="方正仿宋_GBK" w:cs="Times New Roman"/>
          <w:sz w:val="32"/>
          <w:szCs w:val="32"/>
        </w:rPr>
        <w:t>政府性基金预算财政拨款支出</w:t>
      </w:r>
      <w:r>
        <w:rPr>
          <w:rFonts w:hint="default" w:ascii="Times New Roman" w:hAnsi="Times New Roman" w:eastAsia="方正仿宋_GBK" w:cs="Times New Roman"/>
          <w:sz w:val="32"/>
          <w:szCs w:val="32"/>
          <w:lang w:val="en-US" w:eastAsia="zh-CN"/>
        </w:rPr>
        <w:t>与2023年度持平</w:t>
      </w:r>
      <w:r>
        <w:rPr>
          <w:rFonts w:hint="default" w:ascii="Times New Roman" w:hAnsi="Times New Roman" w:eastAsia="方正仿宋_GBK" w:cs="Times New Roman"/>
          <w:sz w:val="32"/>
          <w:szCs w:val="32"/>
        </w:rPr>
        <w:t>。</w:t>
      </w:r>
    </w:p>
    <w:p w14:paraId="0EEEEA00">
      <w:pPr>
        <w:spacing w:line="600" w:lineRule="exact"/>
        <w:ind w:left="630"/>
        <w:outlineLvl w:val="1"/>
        <w:rPr>
          <w:rStyle w:val="29"/>
          <w:rFonts w:hint="default" w:ascii="Times New Roman" w:hAnsi="Times New Roman" w:eastAsia="方正黑体_GBK" w:cs="Times New Roman"/>
          <w:b w:val="0"/>
        </w:rPr>
      </w:pPr>
      <w:bookmarkStart w:id="36" w:name="_Toc15396611"/>
      <w:bookmarkStart w:id="37" w:name="_Toc15377219"/>
      <w:r>
        <w:rPr>
          <w:rStyle w:val="29"/>
          <w:rFonts w:hint="default" w:ascii="Times New Roman" w:hAnsi="Times New Roman" w:eastAsia="方正黑体_GBK" w:cs="Times New Roman"/>
          <w:b w:val="0"/>
        </w:rPr>
        <w:t>九、国有资本经营预算支出决算情况说明</w:t>
      </w:r>
      <w:bookmarkEnd w:id="36"/>
      <w:bookmarkEnd w:id="37"/>
    </w:p>
    <w:p w14:paraId="7B4CBF54">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本年度国有资本经营预算</w:t>
      </w:r>
      <w:r>
        <w:rPr>
          <w:rFonts w:hint="default" w:ascii="Times New Roman" w:hAnsi="Times New Roman" w:eastAsia="方正仿宋_GBK" w:cs="Times New Roman"/>
          <w:sz w:val="32"/>
          <w:szCs w:val="32"/>
        </w:rPr>
        <w:t>财政拨款支出</w:t>
      </w:r>
      <w:r>
        <w:rPr>
          <w:rFonts w:hint="default" w:ascii="Times New Roman" w:hAnsi="Times New Roman" w:eastAsia="方正仿宋_GBK" w:cs="Times New Roman"/>
          <w:sz w:val="32"/>
          <w:szCs w:val="32"/>
          <w:lang w:val="en-US" w:eastAsia="zh-CN"/>
        </w:rPr>
        <w:t>与2023年度持平</w:t>
      </w:r>
      <w:r>
        <w:rPr>
          <w:rFonts w:hint="default" w:ascii="Times New Roman" w:hAnsi="Times New Roman" w:eastAsia="方正仿宋_GBK" w:cs="Times New Roman"/>
          <w:sz w:val="32"/>
          <w:szCs w:val="32"/>
        </w:rPr>
        <w:t>。</w:t>
      </w:r>
    </w:p>
    <w:p w14:paraId="6CE8F9AD">
      <w:pPr>
        <w:spacing w:line="600" w:lineRule="exact"/>
        <w:ind w:left="630"/>
        <w:outlineLvl w:val="1"/>
        <w:rPr>
          <w:rStyle w:val="29"/>
          <w:rFonts w:hint="default" w:ascii="Times New Roman" w:hAnsi="Times New Roman" w:eastAsia="方正黑体_GBK" w:cs="Times New Roman"/>
          <w:b w:val="0"/>
        </w:rPr>
      </w:pPr>
      <w:bookmarkStart w:id="38" w:name="_Toc15377221"/>
      <w:bookmarkStart w:id="39" w:name="_Toc15396612"/>
      <w:r>
        <w:rPr>
          <w:rStyle w:val="29"/>
          <w:rFonts w:hint="default" w:ascii="Times New Roman" w:hAnsi="Times New Roman" w:eastAsia="方正黑体_GBK" w:cs="Times New Roman"/>
          <w:b w:val="0"/>
        </w:rPr>
        <w:t>十、其他重要事项的情况说明</w:t>
      </w:r>
      <w:bookmarkEnd w:id="38"/>
      <w:bookmarkEnd w:id="39"/>
    </w:p>
    <w:p w14:paraId="1B6C33F0">
      <w:pPr>
        <w:spacing w:line="600" w:lineRule="exact"/>
        <w:ind w:firstLine="643" w:firstLineChars="200"/>
        <w:outlineLvl w:val="2"/>
        <w:rPr>
          <w:rFonts w:hint="default" w:ascii="Times New Roman" w:hAnsi="Times New Roman" w:eastAsia="方正楷体_GBK" w:cs="Times New Roman"/>
          <w:b/>
          <w:sz w:val="32"/>
          <w:szCs w:val="32"/>
        </w:rPr>
      </w:pPr>
      <w:bookmarkStart w:id="40" w:name="_Toc15377222"/>
      <w:r>
        <w:rPr>
          <w:rFonts w:hint="default" w:ascii="Times New Roman" w:hAnsi="Times New Roman" w:eastAsia="方正楷体_GBK" w:cs="Times New Roman"/>
          <w:b/>
          <w:sz w:val="32"/>
          <w:szCs w:val="32"/>
        </w:rPr>
        <w:t>（一）机关运行经费支出情况</w:t>
      </w:r>
      <w:bookmarkEnd w:id="40"/>
    </w:p>
    <w:p w14:paraId="3FB6B2F3">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val="en-US" w:eastAsia="zh-CN"/>
        </w:rPr>
        <w:t>盐边县社会保险事务中心</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20.77</w:t>
      </w:r>
      <w:r>
        <w:rPr>
          <w:rFonts w:hint="default" w:ascii="Times New Roman" w:hAnsi="Times New Roman" w:eastAsia="方正仿宋_GBK" w:cs="Times New Roman"/>
          <w:sz w:val="32"/>
          <w:szCs w:val="32"/>
        </w:rPr>
        <w:t>万元，比2023年度增加</w:t>
      </w:r>
      <w:r>
        <w:rPr>
          <w:rFonts w:hint="default" w:ascii="Times New Roman" w:hAnsi="Times New Roman" w:eastAsia="方正仿宋_GBK" w:cs="Times New Roman"/>
          <w:sz w:val="32"/>
          <w:szCs w:val="32"/>
          <w:lang w:val="en-US" w:eastAsia="zh-CN"/>
        </w:rPr>
        <w:t>1.64</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8.6</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全国社会保险系统集中开展“2024年社会保险进万家”宣传活动，印刷了系列宣传册，导致公用经费中的印刷费支出增多；全年社会保险办件量增加，打印机等设备维修维护频率增高，导致办公费支出增加。</w:t>
      </w:r>
    </w:p>
    <w:p w14:paraId="510DD749">
      <w:pPr>
        <w:spacing w:line="600" w:lineRule="exact"/>
        <w:ind w:firstLine="643" w:firstLineChars="200"/>
        <w:outlineLvl w:val="2"/>
        <w:rPr>
          <w:rFonts w:hint="default" w:ascii="Times New Roman" w:hAnsi="Times New Roman" w:eastAsia="方正楷体_GBK" w:cs="Times New Roman"/>
          <w:b/>
          <w:sz w:val="32"/>
          <w:szCs w:val="32"/>
        </w:rPr>
      </w:pPr>
      <w:bookmarkStart w:id="41" w:name="_Toc15377223"/>
      <w:r>
        <w:rPr>
          <w:rFonts w:hint="default" w:ascii="Times New Roman" w:hAnsi="Times New Roman" w:eastAsia="方正楷体_GBK" w:cs="Times New Roman"/>
          <w:b/>
          <w:sz w:val="32"/>
          <w:szCs w:val="32"/>
        </w:rPr>
        <w:t>（二）政府采购支出情况</w:t>
      </w:r>
      <w:bookmarkEnd w:id="41"/>
    </w:p>
    <w:p w14:paraId="2E655488">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val="en-US" w:eastAsia="zh-CN"/>
        </w:rPr>
        <w:t>盐边县社会保险事务中心</w:t>
      </w:r>
      <w:r>
        <w:rPr>
          <w:rFonts w:hint="default" w:ascii="Times New Roman" w:hAnsi="Times New Roman" w:eastAsia="方正仿宋_GBK" w:cs="Times New Roman"/>
          <w:sz w:val="32"/>
          <w:szCs w:val="32"/>
        </w:rPr>
        <w:t>政府采购支出总额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万元，其中：政府采购货物支出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万元、政府采购工程支出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47A04BC4">
      <w:pPr>
        <w:spacing w:line="600" w:lineRule="exact"/>
        <w:ind w:firstLine="643" w:firstLineChars="200"/>
        <w:outlineLvl w:val="2"/>
        <w:rPr>
          <w:rFonts w:hint="default" w:ascii="Times New Roman" w:hAnsi="Times New Roman" w:eastAsia="方正楷体_GBK" w:cs="Times New Roman"/>
          <w:b/>
          <w:sz w:val="32"/>
          <w:szCs w:val="32"/>
        </w:rPr>
      </w:pPr>
      <w:bookmarkStart w:id="42" w:name="_Toc15377224"/>
      <w:r>
        <w:rPr>
          <w:rFonts w:hint="default" w:ascii="Times New Roman" w:hAnsi="Times New Roman" w:eastAsia="方正楷体_GBK" w:cs="Times New Roman"/>
          <w:b/>
          <w:sz w:val="32"/>
          <w:szCs w:val="32"/>
        </w:rPr>
        <w:t>（三）国有资产占有使用情况</w:t>
      </w:r>
      <w:bookmarkEnd w:id="42"/>
    </w:p>
    <w:p w14:paraId="27EF0950">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w:t>
      </w:r>
      <w:r>
        <w:rPr>
          <w:rFonts w:hint="default" w:ascii="Times New Roman" w:hAnsi="Times New Roman" w:eastAsia="方正仿宋_GBK" w:cs="Times New Roman"/>
          <w:sz w:val="32"/>
          <w:szCs w:val="32"/>
          <w:lang w:val="en-US" w:eastAsia="zh-CN"/>
        </w:rPr>
        <w:t>盐边县社会保险事务中心</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辆，其中：主要负责人用车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辆、其他用车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单价100万元（含）以上设备（不含车辆）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台（套）。</w:t>
      </w:r>
    </w:p>
    <w:p w14:paraId="6791B321">
      <w:pPr>
        <w:spacing w:line="600" w:lineRule="exact"/>
        <w:ind w:firstLine="643" w:firstLineChars="200"/>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14:paraId="493EABB1">
      <w:pPr>
        <w:keepNext w:val="0"/>
        <w:keepLines w:val="0"/>
        <w:pageBreakBefore w:val="0"/>
        <w:kinsoku/>
        <w:wordWrap/>
        <w:overflowPunct/>
        <w:topLinePunct w:val="0"/>
        <w:autoSpaceDE/>
        <w:autoSpaceDN/>
        <w:bidi w:val="0"/>
        <w:spacing w:line="60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val="en-US" w:eastAsia="zh-CN"/>
        </w:rPr>
        <w:t>盐边县社会保险事务中心</w:t>
      </w:r>
      <w:r>
        <w:rPr>
          <w:rFonts w:hint="default" w:ascii="Times New Roman" w:hAnsi="Times New Roman" w:eastAsia="方正仿宋_GBK" w:cs="Times New Roman"/>
          <w:sz w:val="32"/>
          <w:szCs w:val="32"/>
        </w:rPr>
        <w:t>在2024年度预算编制阶段，组织对</w:t>
      </w:r>
      <w:r>
        <w:rPr>
          <w:rFonts w:hint="default" w:ascii="Times New Roman" w:hAnsi="Times New Roman" w:eastAsia="方正仿宋_GBK" w:cs="Times New Roman"/>
          <w:sz w:val="32"/>
          <w:szCs w:val="32"/>
          <w:lang w:val="en-US" w:eastAsia="zh-CN"/>
        </w:rPr>
        <w:t>2025年建国初期参工退休人员生活困难补助</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个项目编制了绩效目标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预算执行过程中，选取</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个项目开展</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绩效监控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其中：2024年城乡居民养老保险县级配套资金因划转方式发生变化，不纳入决算报表反映，不开展绩效监控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229217F7">
      <w:pPr>
        <w:pStyle w:val="2"/>
        <w:rPr>
          <w:rFonts w:hint="default" w:ascii="Times New Roman" w:hAnsi="Times New Roman" w:eastAsia="方正仿宋_GBK" w:cs="Times New Roman"/>
          <w:color w:val="auto"/>
          <w:kern w:val="0"/>
          <w:sz w:val="32"/>
          <w:szCs w:val="32"/>
          <w:shd w:val="clear" w:color="auto" w:fill="FFFFFF"/>
          <w:lang w:val="zh-CN"/>
        </w:rPr>
      </w:pPr>
    </w:p>
    <w:p w14:paraId="6540D7A7">
      <w:pPr>
        <w:pStyle w:val="3"/>
        <w:rPr>
          <w:rFonts w:hint="default" w:ascii="Times New Roman" w:hAnsi="Times New Roman" w:eastAsia="方正仿宋_GBK" w:cs="Times New Roman"/>
          <w:color w:val="auto"/>
          <w:kern w:val="0"/>
          <w:sz w:val="32"/>
          <w:szCs w:val="32"/>
          <w:shd w:val="clear" w:color="auto" w:fill="FFFFFF"/>
          <w:lang w:val="zh-CN"/>
        </w:rPr>
      </w:pPr>
    </w:p>
    <w:p w14:paraId="6235E4AF">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3E6C946E">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5738BF69">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1CF9C539">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693AF563">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30910FE0">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042815B4">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6684FB65">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1745C30C">
      <w:pPr>
        <w:pStyle w:val="3"/>
        <w:ind w:left="0" w:leftChars="0" w:firstLine="0" w:firstLineChars="0"/>
        <w:rPr>
          <w:rFonts w:hint="default" w:ascii="Times New Roman" w:hAnsi="Times New Roman" w:eastAsia="方正仿宋_GBK" w:cs="Times New Roman"/>
          <w:color w:val="auto"/>
          <w:kern w:val="0"/>
          <w:sz w:val="32"/>
          <w:szCs w:val="32"/>
          <w:shd w:val="clear" w:color="auto" w:fill="FFFFFF"/>
          <w:lang w:val="zh-CN"/>
        </w:rPr>
      </w:pPr>
    </w:p>
    <w:p w14:paraId="75081881">
      <w:pPr>
        <w:spacing w:line="600" w:lineRule="exact"/>
        <w:jc w:val="center"/>
        <w:outlineLvl w:val="0"/>
        <w:rPr>
          <w:rFonts w:hint="eastAsia" w:ascii="方正小标宋_GBK" w:hAnsi="方正小标宋_GBK" w:eastAsia="方正小标宋_GBK" w:cs="方正小标宋_GBK"/>
          <w:b/>
          <w:bCs/>
          <w:sz w:val="44"/>
          <w:szCs w:val="44"/>
        </w:rPr>
      </w:pPr>
      <w:bookmarkStart w:id="43" w:name="_Toc15377225"/>
      <w:bookmarkStart w:id="44" w:name="_Toc15396613"/>
      <w:r>
        <w:rPr>
          <w:rFonts w:hint="eastAsia" w:ascii="方正小标宋_GBK" w:hAnsi="方正小标宋_GBK" w:eastAsia="方正小标宋_GBK" w:cs="方正小标宋_GBK"/>
          <w:b/>
          <w:bCs/>
          <w:sz w:val="44"/>
          <w:szCs w:val="44"/>
        </w:rPr>
        <w:t>第三部分  名词解释</w:t>
      </w:r>
      <w:bookmarkEnd w:id="43"/>
      <w:bookmarkEnd w:id="44"/>
    </w:p>
    <w:p w14:paraId="0AAFDC2A">
      <w:pPr>
        <w:spacing w:line="600" w:lineRule="exact"/>
        <w:jc w:val="left"/>
        <w:rPr>
          <w:rFonts w:hint="default" w:ascii="Times New Roman" w:hAnsi="Times New Roman" w:cs="Times New Roman"/>
          <w:b/>
          <w:sz w:val="44"/>
          <w:szCs w:val="44"/>
        </w:rPr>
      </w:pPr>
    </w:p>
    <w:p w14:paraId="56C12484">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14:paraId="73860A42">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14:paraId="12DB6BE8">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14:paraId="18FD9DFA">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4.其他收入：指单位取得的除上述收入以外的各项收入。</w:t>
      </w:r>
    </w:p>
    <w:p w14:paraId="1A693E59">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5.使用非财政拨款结余（含专用结余）：指事业单位使用以前年度积累的非财政拨款结余弥补当年收支差额的金额。 </w:t>
      </w:r>
    </w:p>
    <w:p w14:paraId="34A28A59">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6.年初结转和结余：指以前年度尚未完成、结转到本年按有关规定继续使用的资金。 </w:t>
      </w:r>
    </w:p>
    <w:p w14:paraId="4015AB36">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7.结余分配：指事业单位按照会计制度规定缴纳的所得税、提取的专用结余以及转入非财政拨款结余的金额等。</w:t>
      </w:r>
    </w:p>
    <w:p w14:paraId="4D0D23C4">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8.年末结转和结余：指单位按有关规定结转到下年或以后年度继续使用的资金。</w:t>
      </w:r>
    </w:p>
    <w:p w14:paraId="69055432">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default" w:ascii="Times New Roman" w:hAnsi="Times New Roman" w:eastAsia="方正仿宋_GBK" w:cs="Times New Roman"/>
          <w:color w:val="000000"/>
          <w:sz w:val="32"/>
          <w:szCs w:val="32"/>
        </w:rPr>
        <w:t>社会保障和就业</w:t>
      </w:r>
      <w:r>
        <w:rPr>
          <w:rFonts w:hint="default" w:ascii="Times New Roman" w:hAnsi="Times New Roman" w:eastAsia="方正仿宋_GBK" w:cs="Times New Roman"/>
          <w:color w:val="000000"/>
          <w:sz w:val="32"/>
          <w:szCs w:val="32"/>
          <w:lang w:eastAsia="zh-CN"/>
        </w:rPr>
        <w:t>支出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208类</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人力资源和社会保障管理事务（</w:t>
      </w:r>
      <w:r>
        <w:rPr>
          <w:rFonts w:hint="default" w:ascii="Times New Roman" w:hAnsi="Times New Roman" w:eastAsia="方正仿宋_GBK" w:cs="Times New Roman"/>
          <w:color w:val="000000"/>
          <w:sz w:val="32"/>
          <w:szCs w:val="32"/>
          <w:lang w:val="en-US" w:eastAsia="zh-CN"/>
        </w:rPr>
        <w:t>01款）</w:t>
      </w:r>
      <w:r>
        <w:rPr>
          <w:rFonts w:hint="default" w:ascii="Times New Roman" w:hAnsi="Times New Roman" w:eastAsia="方正仿宋_GBK" w:cs="Times New Roman"/>
          <w:color w:val="000000"/>
          <w:sz w:val="32"/>
          <w:szCs w:val="32"/>
          <w:lang w:eastAsia="zh-CN"/>
        </w:rPr>
        <w:t>行政运行（</w:t>
      </w:r>
      <w:r>
        <w:rPr>
          <w:rFonts w:hint="default" w:ascii="Times New Roman" w:hAnsi="Times New Roman" w:eastAsia="方正仿宋_GBK" w:cs="Times New Roman"/>
          <w:color w:val="000000"/>
          <w:sz w:val="32"/>
          <w:szCs w:val="32"/>
          <w:lang w:val="en-US" w:eastAsia="zh-CN"/>
        </w:rPr>
        <w:t>01项）：</w:t>
      </w:r>
      <w:r>
        <w:rPr>
          <w:rFonts w:hint="default" w:ascii="Times New Roman" w:hAnsi="Times New Roman" w:eastAsia="方正仿宋_GBK" w:cs="Times New Roman"/>
          <w:color w:val="000000"/>
          <w:sz w:val="32"/>
          <w:szCs w:val="32"/>
          <w:lang w:eastAsia="zh-CN"/>
        </w:rPr>
        <w:t>指维持基本运转的支出（公务员及参公人员工资、公用经费及对个人和家庭的补助支出）。</w:t>
      </w:r>
    </w:p>
    <w:p w14:paraId="16AFE607">
      <w:pPr>
        <w:spacing w:line="600" w:lineRule="exact"/>
        <w:ind w:firstLine="64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rPr>
        <w:t>10.</w:t>
      </w:r>
      <w:r>
        <w:rPr>
          <w:rFonts w:hint="default" w:ascii="Times New Roman" w:hAnsi="Times New Roman" w:eastAsia="方正仿宋_GBK" w:cs="Times New Roman"/>
          <w:color w:val="000000"/>
          <w:sz w:val="32"/>
          <w:szCs w:val="32"/>
        </w:rPr>
        <w:t>社会保障和就业</w:t>
      </w:r>
      <w:r>
        <w:rPr>
          <w:rFonts w:hint="default" w:ascii="Times New Roman" w:hAnsi="Times New Roman" w:eastAsia="方正仿宋_GBK" w:cs="Times New Roman"/>
          <w:color w:val="000000"/>
          <w:sz w:val="32"/>
          <w:szCs w:val="32"/>
          <w:lang w:eastAsia="zh-CN"/>
        </w:rPr>
        <w:t>支出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208类）</w:t>
      </w:r>
      <w:r>
        <w:rPr>
          <w:rFonts w:hint="default" w:ascii="Times New Roman" w:hAnsi="Times New Roman" w:eastAsia="方正仿宋_GBK" w:cs="Times New Roman"/>
          <w:color w:val="000000"/>
          <w:sz w:val="32"/>
          <w:szCs w:val="32"/>
          <w:lang w:eastAsia="zh-CN"/>
        </w:rPr>
        <w:t>人力资源和社会保障管理事务（</w:t>
      </w:r>
      <w:r>
        <w:rPr>
          <w:rFonts w:hint="default" w:ascii="Times New Roman" w:hAnsi="Times New Roman" w:eastAsia="方正仿宋_GBK" w:cs="Times New Roman"/>
          <w:color w:val="000000"/>
          <w:sz w:val="32"/>
          <w:szCs w:val="32"/>
          <w:lang w:val="en-US" w:eastAsia="zh-CN"/>
        </w:rPr>
        <w:t>01款）社会保险经办机构（09项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反映社会保险经办机构开展业务工作的支出。</w:t>
      </w:r>
    </w:p>
    <w:p w14:paraId="0FDDCB9E">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default" w:ascii="Times New Roman" w:hAnsi="Times New Roman" w:eastAsia="方正仿宋_GBK" w:cs="Times New Roman"/>
          <w:color w:val="000000"/>
          <w:sz w:val="32"/>
          <w:szCs w:val="32"/>
        </w:rPr>
        <w:t>社会保障和就业</w:t>
      </w:r>
      <w:r>
        <w:rPr>
          <w:rFonts w:hint="default" w:ascii="Times New Roman" w:hAnsi="Times New Roman" w:eastAsia="方正仿宋_GBK" w:cs="Times New Roman"/>
          <w:color w:val="000000"/>
          <w:sz w:val="32"/>
          <w:szCs w:val="32"/>
          <w:lang w:eastAsia="zh-CN"/>
        </w:rPr>
        <w:t>支出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208类）行政事业单位养老支出（05款）行政单位离退休（01项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：指退休人员的支出。</w:t>
      </w:r>
    </w:p>
    <w:p w14:paraId="378203B8">
      <w:pPr>
        <w:spacing w:line="600" w:lineRule="exact"/>
        <w:ind w:firstLine="64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rPr>
        <w:t>12.</w:t>
      </w:r>
      <w:r>
        <w:rPr>
          <w:rFonts w:hint="default" w:ascii="Times New Roman" w:hAnsi="Times New Roman" w:eastAsia="方正仿宋_GBK" w:cs="Times New Roman"/>
          <w:color w:val="000000"/>
          <w:sz w:val="32"/>
          <w:szCs w:val="32"/>
        </w:rPr>
        <w:t>社会保障和就业</w:t>
      </w:r>
      <w:r>
        <w:rPr>
          <w:rFonts w:hint="default" w:ascii="Times New Roman" w:hAnsi="Times New Roman" w:eastAsia="方正仿宋_GBK" w:cs="Times New Roman"/>
          <w:color w:val="000000"/>
          <w:sz w:val="32"/>
          <w:szCs w:val="32"/>
          <w:lang w:eastAsia="zh-CN"/>
        </w:rPr>
        <w:t>支出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208类）行政事业单位养老支出（05款）机关事业单位基本养老保险缴费支出（05项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：指为在职职工缴纳的机关事业单位基本养老保险费支出。</w:t>
      </w:r>
    </w:p>
    <w:p w14:paraId="69A892E8">
      <w:pPr>
        <w:spacing w:line="600" w:lineRule="exact"/>
        <w:ind w:firstLine="64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rPr>
        <w:t>13.</w:t>
      </w:r>
      <w:r>
        <w:rPr>
          <w:rFonts w:hint="default" w:ascii="Times New Roman" w:hAnsi="Times New Roman" w:eastAsia="方正仿宋_GBK" w:cs="Times New Roman"/>
          <w:color w:val="000000"/>
          <w:sz w:val="32"/>
          <w:szCs w:val="32"/>
        </w:rPr>
        <w:t>社会保障和就业</w:t>
      </w:r>
      <w:r>
        <w:rPr>
          <w:rFonts w:hint="default" w:ascii="Times New Roman" w:hAnsi="Times New Roman" w:eastAsia="方正仿宋_GBK" w:cs="Times New Roman"/>
          <w:color w:val="000000"/>
          <w:sz w:val="32"/>
          <w:szCs w:val="32"/>
          <w:lang w:eastAsia="zh-CN"/>
        </w:rPr>
        <w:t>支出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208类）行政事业单位养老支出（05款）机关事业单位职业年金缴费支出（06项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反映机关事业单位实施养老保险制度由单位实际缴纳的职业年金支出（含职业年金补记支出）</w:t>
      </w:r>
      <w:r>
        <w:rPr>
          <w:rFonts w:hint="default" w:ascii="Times New Roman" w:hAnsi="Times New Roman" w:eastAsia="方正仿宋_GBK" w:cs="Times New Roman"/>
          <w:color w:val="000000"/>
          <w:sz w:val="32"/>
          <w:szCs w:val="32"/>
          <w:lang w:eastAsia="zh-CN"/>
        </w:rPr>
        <w:t>。</w:t>
      </w:r>
    </w:p>
    <w:p w14:paraId="36C4327D">
      <w:pPr>
        <w:spacing w:line="600" w:lineRule="exact"/>
        <w:ind w:firstLine="64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rPr>
        <w:t>14.</w:t>
      </w:r>
      <w:r>
        <w:rPr>
          <w:rFonts w:hint="default" w:ascii="Times New Roman" w:hAnsi="Times New Roman" w:eastAsia="方正仿宋_GBK" w:cs="Times New Roman"/>
          <w:color w:val="000000"/>
          <w:sz w:val="32"/>
          <w:szCs w:val="32"/>
        </w:rPr>
        <w:t>社会保障和就业</w:t>
      </w:r>
      <w:r>
        <w:rPr>
          <w:rFonts w:hint="default" w:ascii="Times New Roman" w:hAnsi="Times New Roman" w:eastAsia="方正仿宋_GBK" w:cs="Times New Roman"/>
          <w:color w:val="000000"/>
          <w:sz w:val="32"/>
          <w:szCs w:val="32"/>
          <w:lang w:eastAsia="zh-CN"/>
        </w:rPr>
        <w:t>支出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208类）行政事业单位养老支出（05款）其他行政事业单位养老支出（99项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：指其他用于行政事业单位离退休方面的支出。</w:t>
      </w:r>
    </w:p>
    <w:p w14:paraId="29F1A106">
      <w:pPr>
        <w:spacing w:line="600" w:lineRule="exact"/>
        <w:ind w:firstLine="64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15.卫生健康（</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行政事业单位医疗（11款）行政单位医疗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val="en-US" w:eastAsia="zh-CN"/>
        </w:rPr>
        <w:t>指财政部门安排的行政单位（包括参照公务员法管理的事业单位）基本医疗保险缴费经费，未参加医疗保险的行政单位的公费医疗经费，按国家规定享受离休人员、红军老战士待遇人员的医疗经费。</w:t>
      </w:r>
    </w:p>
    <w:p w14:paraId="3C5C5556">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16.卫生健康（</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行政事业单位医疗（11款）公务员医疗补助</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03</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val="en-US" w:eastAsia="zh-CN"/>
        </w:rPr>
        <w:t>指财政部门安排的公务员医疗补助经费。</w:t>
      </w:r>
    </w:p>
    <w:p w14:paraId="24E91034">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17.卫生健康（</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行政事业单位医疗（11款）其他行政事业单位医疗支出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val="en-US" w:eastAsia="zh-CN"/>
        </w:rPr>
        <w:t>反映其他用于行政事业单位医疗方面的支出。</w:t>
      </w:r>
    </w:p>
    <w:p w14:paraId="6558E746">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r>
        <w:rPr>
          <w:rFonts w:hint="default" w:ascii="Times New Roman" w:hAnsi="Times New Roman" w:eastAsia="方正仿宋_GBK" w:cs="Times New Roman"/>
          <w:color w:val="000000"/>
          <w:sz w:val="32"/>
          <w:szCs w:val="32"/>
        </w:rPr>
        <w:t>住房保障</w:t>
      </w:r>
      <w:r>
        <w:rPr>
          <w:rFonts w:hint="default" w:ascii="Times New Roman" w:hAnsi="Times New Roman" w:eastAsia="方正仿宋_GBK" w:cs="Times New Roman"/>
          <w:color w:val="000000"/>
          <w:sz w:val="32"/>
          <w:szCs w:val="32"/>
          <w:lang w:eastAsia="zh-CN"/>
        </w:rPr>
        <w:t>支出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221类）住房改革支出（02款）住房公积金（01项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指为职工缴纳的住房公积金支出</w:t>
      </w:r>
      <w:r>
        <w:rPr>
          <w:rFonts w:hint="default" w:ascii="Times New Roman" w:hAnsi="Times New Roman" w:eastAsia="方正仿宋_GBK" w:cs="Times New Roman"/>
          <w:color w:val="000000"/>
          <w:sz w:val="32"/>
          <w:szCs w:val="32"/>
        </w:rPr>
        <w:t>。</w:t>
      </w:r>
    </w:p>
    <w:p w14:paraId="2861AB7B">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19.基本支出：指为保障机构正常运转、完成日常工作任务而发生的人员支出和公用支出。</w:t>
      </w:r>
    </w:p>
    <w:p w14:paraId="3D3E27EE">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20.项目支出：指在基本支出之外为完成特定行政任务和事业发展目标所发生的支出。</w:t>
      </w:r>
    </w:p>
    <w:p w14:paraId="51F21EC6">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21.经营支出：指事业单位在专业业务活动及其辅助活动之外开展非独立核算经营活动发生的支出。</w:t>
      </w:r>
    </w:p>
    <w:p w14:paraId="48317507">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0D01D4D">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755EAC">
      <w:pPr>
        <w:spacing w:line="600" w:lineRule="exact"/>
        <w:ind w:firstLine="64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24.</w:t>
      </w:r>
      <w:r>
        <w:rPr>
          <w:rFonts w:hint="default" w:ascii="Times New Roman" w:hAnsi="Times New Roman" w:eastAsia="方正仿宋_GBK" w:cs="Times New Roman"/>
          <w:sz w:val="32"/>
          <w:szCs w:val="32"/>
          <w:lang w:val="en-US" w:eastAsia="zh-CN"/>
        </w:rPr>
        <w:t>金保网：由电信运营商提供并维护的社会保险信息系统专用网络。</w:t>
      </w:r>
    </w:p>
    <w:p w14:paraId="37439708">
      <w:pPr>
        <w:spacing w:line="600" w:lineRule="exact"/>
        <w:ind w:firstLine="64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lang w:val="en-US" w:eastAsia="zh-CN"/>
        </w:rPr>
        <w:t>其他交通费：反映单位除公务用车运行维护费以外的其他交通费用。如公务交通补贴，租车费用、出租车费用，飞机、船舶等的燃料费、维修费、保险费等。</w:t>
      </w:r>
    </w:p>
    <w:p w14:paraId="68972C12">
      <w:pPr>
        <w:spacing w:line="600" w:lineRule="exact"/>
        <w:jc w:val="both"/>
        <w:rPr>
          <w:rFonts w:hint="eastAsia" w:ascii="方正小标宋_GBK" w:hAnsi="方正小标宋_GBK" w:eastAsia="方正小标宋_GBK" w:cs="方正小标宋_GBK"/>
          <w:b/>
          <w:bCs/>
          <w:kern w:val="0"/>
          <w:sz w:val="44"/>
          <w:szCs w:val="44"/>
        </w:rPr>
      </w:pPr>
      <w:bookmarkStart w:id="45" w:name="_Toc15377226"/>
      <w:r>
        <w:rPr>
          <w:rFonts w:hint="eastAsia" w:eastAsia="方正仿宋_GBK" w:cs="仿宋_GB2312"/>
          <w:sz w:val="32"/>
          <w:szCs w:val="32"/>
        </w:rPr>
        <w:br w:type="page"/>
      </w:r>
      <w:bookmarkStart w:id="46" w:name="_Toc15396614"/>
      <w:r>
        <w:rPr>
          <w:rFonts w:hint="eastAsia" w:eastAsia="方正仿宋_GBK" w:cs="仿宋_GB2312"/>
          <w:sz w:val="32"/>
          <w:szCs w:val="32"/>
          <w:lang w:val="en-US" w:eastAsia="zh-CN"/>
        </w:rPr>
        <w:t xml:space="preserve">                </w:t>
      </w:r>
      <w:r>
        <w:rPr>
          <w:rFonts w:hint="eastAsia" w:ascii="方正小标宋_GBK" w:hAnsi="方正小标宋_GBK" w:eastAsia="方正小标宋_GBK" w:cs="方正小标宋_GBK"/>
          <w:b/>
          <w:bCs/>
          <w:sz w:val="44"/>
          <w:szCs w:val="44"/>
        </w:rPr>
        <w:t>第四部分  附件</w:t>
      </w:r>
      <w:bookmarkEnd w:id="46"/>
    </w:p>
    <w:p w14:paraId="4F46DDB3">
      <w:pPr>
        <w:widowControl/>
        <w:jc w:val="center"/>
        <w:rPr>
          <w:rFonts w:hint="eastAsia" w:eastAsia="方正黑体_GBK"/>
          <w:sz w:val="44"/>
          <w:szCs w:val="44"/>
        </w:rPr>
      </w:pPr>
      <w:bookmarkStart w:id="47" w:name="_Toc15396618"/>
    </w:p>
    <w:p w14:paraId="311179B1">
      <w:pPr>
        <w:widowControl/>
        <w:spacing w:line="578" w:lineRule="exact"/>
        <w:contextualSpacing/>
        <w:jc w:val="center"/>
      </w:pPr>
      <w:r>
        <w:rPr>
          <w:rFonts w:hint="eastAsia" w:ascii="黑体" w:hAnsi="黑体" w:eastAsia="方正黑体_GBK" w:cs="黑体"/>
          <w:sz w:val="32"/>
          <w:szCs w:val="32"/>
          <w:lang w:val="en-US" w:eastAsia="zh-CN"/>
        </w:rPr>
        <w:t>附件：部门预算项目支出绩效自评表</w:t>
      </w:r>
      <w:r>
        <w:rPr>
          <w:rFonts w:hint="eastAsia" w:eastAsia="方正黑体_GBK" w:cs="黑体"/>
          <w:sz w:val="32"/>
          <w:szCs w:val="32"/>
        </w:rPr>
        <w:t>（2024年度）</w:t>
      </w:r>
    </w:p>
    <w:p w14:paraId="79450252">
      <w:pPr>
        <w:widowControl/>
        <w:jc w:val="both"/>
        <w:rPr>
          <w:rFonts w:hint="default" w:ascii="仿宋_GB2312" w:hAnsi="仿宋_GB2312" w:eastAsia="方正仿宋_GBK" w:cs="仿宋_GB2312"/>
          <w:sz w:val="32"/>
          <w:szCs w:val="32"/>
          <w:lang w:val="en-US" w:eastAsia="zh-CN"/>
        </w:rPr>
      </w:pPr>
    </w:p>
    <w:p w14:paraId="0F0CA654">
      <w:pPr>
        <w:widowControl/>
        <w:jc w:val="center"/>
        <w:rPr>
          <w:rFonts w:hint="eastAsia" w:eastAsia="方正黑体_GBK"/>
          <w:sz w:val="44"/>
          <w:szCs w:val="44"/>
        </w:rPr>
      </w:pPr>
    </w:p>
    <w:p w14:paraId="67988A68">
      <w:pPr>
        <w:widowControl/>
        <w:jc w:val="center"/>
        <w:rPr>
          <w:rFonts w:hint="eastAsia" w:eastAsia="方正黑体_GBK"/>
          <w:sz w:val="44"/>
          <w:szCs w:val="44"/>
        </w:rPr>
      </w:pPr>
    </w:p>
    <w:p w14:paraId="195CB35F">
      <w:pPr>
        <w:widowControl/>
        <w:jc w:val="center"/>
        <w:rPr>
          <w:rFonts w:hint="eastAsia" w:eastAsia="方正黑体_GBK"/>
          <w:sz w:val="44"/>
          <w:szCs w:val="44"/>
        </w:rPr>
      </w:pPr>
    </w:p>
    <w:p w14:paraId="018D5C89">
      <w:pPr>
        <w:widowControl/>
        <w:jc w:val="center"/>
        <w:rPr>
          <w:rFonts w:hint="eastAsia" w:eastAsia="方正黑体_GBK"/>
          <w:sz w:val="44"/>
          <w:szCs w:val="44"/>
        </w:rPr>
      </w:pPr>
    </w:p>
    <w:p w14:paraId="33198EB3">
      <w:pPr>
        <w:widowControl/>
        <w:jc w:val="center"/>
        <w:rPr>
          <w:rFonts w:hint="eastAsia" w:eastAsia="方正黑体_GBK"/>
          <w:sz w:val="44"/>
          <w:szCs w:val="44"/>
        </w:rPr>
      </w:pPr>
    </w:p>
    <w:p w14:paraId="1CA43A72">
      <w:pPr>
        <w:widowControl/>
        <w:jc w:val="center"/>
        <w:rPr>
          <w:rFonts w:hint="eastAsia" w:eastAsia="方正黑体_GBK"/>
          <w:sz w:val="44"/>
          <w:szCs w:val="44"/>
        </w:rPr>
      </w:pPr>
    </w:p>
    <w:p w14:paraId="6C57C984">
      <w:pPr>
        <w:widowControl/>
        <w:jc w:val="center"/>
        <w:rPr>
          <w:rFonts w:hint="eastAsia" w:eastAsia="方正黑体_GBK"/>
          <w:sz w:val="44"/>
          <w:szCs w:val="44"/>
        </w:rPr>
      </w:pPr>
    </w:p>
    <w:p w14:paraId="4DA98B1B">
      <w:pPr>
        <w:widowControl/>
        <w:jc w:val="center"/>
        <w:rPr>
          <w:rFonts w:hint="eastAsia" w:eastAsia="方正黑体_GBK"/>
          <w:sz w:val="44"/>
          <w:szCs w:val="44"/>
        </w:rPr>
      </w:pPr>
    </w:p>
    <w:p w14:paraId="10BE93FC">
      <w:pPr>
        <w:widowControl/>
        <w:jc w:val="center"/>
        <w:rPr>
          <w:rFonts w:hint="eastAsia" w:eastAsia="方正黑体_GBK"/>
          <w:sz w:val="44"/>
          <w:szCs w:val="44"/>
        </w:rPr>
      </w:pPr>
    </w:p>
    <w:p w14:paraId="4BE3CAAF">
      <w:pPr>
        <w:widowControl/>
        <w:jc w:val="center"/>
        <w:rPr>
          <w:rFonts w:hint="eastAsia" w:eastAsia="方正黑体_GBK"/>
          <w:sz w:val="44"/>
          <w:szCs w:val="44"/>
        </w:rPr>
      </w:pPr>
    </w:p>
    <w:p w14:paraId="3B8107B7">
      <w:pPr>
        <w:widowControl/>
        <w:jc w:val="center"/>
        <w:rPr>
          <w:rFonts w:hint="eastAsia" w:eastAsia="方正黑体_GBK"/>
          <w:sz w:val="44"/>
          <w:szCs w:val="44"/>
        </w:rPr>
      </w:pPr>
    </w:p>
    <w:p w14:paraId="2BDA5522">
      <w:pPr>
        <w:widowControl/>
        <w:jc w:val="center"/>
        <w:rPr>
          <w:rFonts w:hint="eastAsia" w:eastAsia="方正黑体_GBK"/>
          <w:sz w:val="44"/>
          <w:szCs w:val="44"/>
        </w:rPr>
      </w:pPr>
    </w:p>
    <w:p w14:paraId="401C61C5">
      <w:pPr>
        <w:widowControl/>
        <w:jc w:val="center"/>
        <w:rPr>
          <w:rFonts w:hint="eastAsia" w:eastAsia="方正黑体_GBK"/>
          <w:sz w:val="44"/>
          <w:szCs w:val="44"/>
        </w:rPr>
      </w:pPr>
    </w:p>
    <w:p w14:paraId="39DD6274">
      <w:pPr>
        <w:widowControl/>
        <w:jc w:val="center"/>
        <w:rPr>
          <w:rFonts w:hint="eastAsia" w:eastAsia="方正黑体_GBK"/>
          <w:sz w:val="44"/>
          <w:szCs w:val="44"/>
        </w:rPr>
      </w:pPr>
    </w:p>
    <w:p w14:paraId="4F49A614">
      <w:pPr>
        <w:widowControl/>
        <w:jc w:val="center"/>
        <w:rPr>
          <w:rFonts w:hint="eastAsia" w:eastAsia="方正黑体_GBK"/>
          <w:sz w:val="44"/>
          <w:szCs w:val="44"/>
        </w:rPr>
      </w:pPr>
    </w:p>
    <w:p w14:paraId="0AF1A49A">
      <w:pPr>
        <w:widowControl/>
        <w:jc w:val="center"/>
        <w:rPr>
          <w:rFonts w:hint="eastAsia" w:eastAsia="方正黑体_GBK"/>
          <w:sz w:val="44"/>
          <w:szCs w:val="44"/>
        </w:rPr>
      </w:pPr>
    </w:p>
    <w:p w14:paraId="39F98D10">
      <w:pPr>
        <w:widowControl/>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w:t>
      </w:r>
      <w:r>
        <w:rPr>
          <w:rStyle w:val="28"/>
          <w:rFonts w:hint="eastAsia" w:ascii="方正小标宋_GBK" w:hAnsi="方正小标宋_GBK" w:eastAsia="方正小标宋_GBK" w:cs="方正小标宋_GBK"/>
          <w:b/>
          <w:bCs/>
          <w:sz w:val="44"/>
          <w:szCs w:val="44"/>
        </w:rPr>
        <w:t>五部分 附表</w:t>
      </w:r>
      <w:bookmarkEnd w:id="45"/>
      <w:bookmarkEnd w:id="47"/>
      <w:bookmarkStart w:id="48" w:name="_Toc15396619"/>
    </w:p>
    <w:p w14:paraId="450391FA">
      <w:pPr>
        <w:pStyle w:val="14"/>
        <w:adjustRightInd w:val="0"/>
        <w:snapToGrid w:val="0"/>
        <w:spacing w:line="560" w:lineRule="exact"/>
        <w:jc w:val="left"/>
        <w:rPr>
          <w:rFonts w:eastAsia="方正仿宋_GBK" w:cs="仿宋_GB2312"/>
          <w:sz w:val="32"/>
          <w:szCs w:val="32"/>
        </w:rPr>
      </w:pPr>
    </w:p>
    <w:p w14:paraId="62E07627">
      <w:pPr>
        <w:pStyle w:val="14"/>
        <w:adjustRightInd w:val="0"/>
        <w:snapToGrid w:val="0"/>
        <w:spacing w:line="560" w:lineRule="exact"/>
        <w:jc w:val="left"/>
        <w:rPr>
          <w:rFonts w:eastAsia="方正仿宋_GBK" w:cs="仿宋_GB2312"/>
          <w:sz w:val="32"/>
          <w:szCs w:val="32"/>
        </w:rPr>
      </w:pPr>
      <w:r>
        <w:rPr>
          <w:rFonts w:hint="eastAsia" w:eastAsia="方正仿宋_GBK" w:cs="仿宋_GB2312"/>
          <w:sz w:val="32"/>
          <w:szCs w:val="32"/>
        </w:rPr>
        <w:t>一、收入支出决算总表</w:t>
      </w:r>
      <w:bookmarkEnd w:id="48"/>
    </w:p>
    <w:p w14:paraId="79BAD666">
      <w:pPr>
        <w:pStyle w:val="14"/>
        <w:adjustRightInd w:val="0"/>
        <w:snapToGrid w:val="0"/>
        <w:spacing w:line="560" w:lineRule="exact"/>
        <w:jc w:val="left"/>
        <w:rPr>
          <w:rFonts w:eastAsia="方正仿宋_GBK" w:cs="仿宋_GB2312"/>
          <w:sz w:val="32"/>
          <w:szCs w:val="32"/>
        </w:rPr>
      </w:pPr>
      <w:bookmarkStart w:id="49" w:name="_Toc15396620"/>
      <w:r>
        <w:rPr>
          <w:rFonts w:hint="eastAsia" w:eastAsia="方正仿宋_GBK" w:cs="仿宋_GB2312"/>
          <w:sz w:val="32"/>
          <w:szCs w:val="32"/>
        </w:rPr>
        <w:t>二、收入决算表</w:t>
      </w:r>
      <w:bookmarkEnd w:id="49"/>
    </w:p>
    <w:p w14:paraId="53F44364">
      <w:pPr>
        <w:pStyle w:val="14"/>
        <w:adjustRightInd w:val="0"/>
        <w:snapToGrid w:val="0"/>
        <w:spacing w:line="560" w:lineRule="exact"/>
        <w:jc w:val="left"/>
        <w:rPr>
          <w:rFonts w:eastAsia="方正仿宋_GBK" w:cs="仿宋_GB2312"/>
          <w:sz w:val="32"/>
          <w:szCs w:val="32"/>
        </w:rPr>
      </w:pPr>
      <w:bookmarkStart w:id="50" w:name="_Toc15396621"/>
      <w:r>
        <w:rPr>
          <w:rFonts w:hint="eastAsia" w:eastAsia="方正仿宋_GBK" w:cs="仿宋_GB2312"/>
          <w:sz w:val="32"/>
          <w:szCs w:val="32"/>
        </w:rPr>
        <w:t>三、支出决算表</w:t>
      </w:r>
      <w:bookmarkEnd w:id="50"/>
    </w:p>
    <w:p w14:paraId="6C38F39C">
      <w:pPr>
        <w:pStyle w:val="14"/>
        <w:adjustRightInd w:val="0"/>
        <w:snapToGrid w:val="0"/>
        <w:spacing w:line="560" w:lineRule="exact"/>
        <w:jc w:val="left"/>
        <w:rPr>
          <w:rFonts w:eastAsia="方正仿宋_GBK" w:cs="仿宋_GB2312"/>
          <w:sz w:val="32"/>
          <w:szCs w:val="32"/>
        </w:rPr>
      </w:pPr>
      <w:bookmarkStart w:id="51" w:name="_Toc15396622"/>
      <w:r>
        <w:rPr>
          <w:rFonts w:hint="eastAsia" w:eastAsia="方正仿宋_GBK" w:cs="仿宋_GB2312"/>
          <w:sz w:val="32"/>
          <w:szCs w:val="32"/>
        </w:rPr>
        <w:t>四、财政拨款收入支出决算总表</w:t>
      </w:r>
      <w:bookmarkEnd w:id="51"/>
    </w:p>
    <w:p w14:paraId="34196253">
      <w:pPr>
        <w:pStyle w:val="14"/>
        <w:adjustRightInd w:val="0"/>
        <w:snapToGrid w:val="0"/>
        <w:spacing w:line="560" w:lineRule="exact"/>
        <w:jc w:val="left"/>
        <w:rPr>
          <w:rFonts w:eastAsia="方正仿宋_GBK" w:cs="仿宋_GB2312"/>
          <w:sz w:val="32"/>
          <w:szCs w:val="32"/>
        </w:rPr>
      </w:pPr>
      <w:bookmarkStart w:id="52" w:name="_Toc15396623"/>
      <w:r>
        <w:rPr>
          <w:rFonts w:hint="eastAsia" w:eastAsia="方正仿宋_GBK" w:cs="仿宋_GB2312"/>
          <w:sz w:val="32"/>
          <w:szCs w:val="32"/>
        </w:rPr>
        <w:t>五、财政拨款支出决算明细表</w:t>
      </w:r>
      <w:bookmarkEnd w:id="52"/>
      <w:bookmarkStart w:id="53" w:name="_Toc15396624"/>
    </w:p>
    <w:p w14:paraId="79401E1D">
      <w:pPr>
        <w:pStyle w:val="14"/>
        <w:adjustRightInd w:val="0"/>
        <w:snapToGrid w:val="0"/>
        <w:spacing w:line="560" w:lineRule="exact"/>
        <w:jc w:val="left"/>
        <w:rPr>
          <w:rFonts w:eastAsia="方正仿宋_GBK" w:cs="仿宋_GB2312"/>
          <w:sz w:val="32"/>
          <w:szCs w:val="32"/>
        </w:rPr>
      </w:pPr>
      <w:r>
        <w:rPr>
          <w:rFonts w:hint="eastAsia" w:eastAsia="方正仿宋_GBK" w:cs="仿宋_GB2312"/>
          <w:sz w:val="32"/>
          <w:szCs w:val="32"/>
        </w:rPr>
        <w:t>六、一般公共预算财政拨款支出决算表</w:t>
      </w:r>
      <w:bookmarkEnd w:id="53"/>
    </w:p>
    <w:p w14:paraId="18E3EA4B">
      <w:pPr>
        <w:pStyle w:val="14"/>
        <w:adjustRightInd w:val="0"/>
        <w:snapToGrid w:val="0"/>
        <w:spacing w:line="560" w:lineRule="exact"/>
        <w:jc w:val="left"/>
        <w:rPr>
          <w:rFonts w:eastAsia="方正仿宋_GBK" w:cs="仿宋_GB2312"/>
          <w:sz w:val="32"/>
          <w:szCs w:val="32"/>
        </w:rPr>
      </w:pPr>
      <w:bookmarkStart w:id="54" w:name="_Toc15396625"/>
      <w:r>
        <w:rPr>
          <w:rFonts w:hint="eastAsia" w:eastAsia="方正仿宋_GBK" w:cs="仿宋_GB2312"/>
          <w:sz w:val="32"/>
          <w:szCs w:val="32"/>
        </w:rPr>
        <w:t>七、一般公共预算财政拨款支出决算明细表</w:t>
      </w:r>
      <w:bookmarkEnd w:id="54"/>
    </w:p>
    <w:p w14:paraId="38B70198">
      <w:pPr>
        <w:pStyle w:val="14"/>
        <w:adjustRightInd w:val="0"/>
        <w:snapToGrid w:val="0"/>
        <w:spacing w:line="560" w:lineRule="exact"/>
        <w:jc w:val="left"/>
        <w:rPr>
          <w:rFonts w:eastAsia="方正仿宋_GBK" w:cs="仿宋_GB2312"/>
          <w:sz w:val="32"/>
          <w:szCs w:val="32"/>
        </w:rPr>
      </w:pPr>
      <w:bookmarkStart w:id="55" w:name="_Toc15396626"/>
      <w:r>
        <w:rPr>
          <w:rFonts w:hint="eastAsia" w:eastAsia="方正仿宋_GBK" w:cs="仿宋_GB2312"/>
          <w:sz w:val="32"/>
          <w:szCs w:val="32"/>
        </w:rPr>
        <w:t>八、一般公共预算财政拨款基本支出决算表</w:t>
      </w:r>
      <w:bookmarkEnd w:id="55"/>
    </w:p>
    <w:p w14:paraId="1334E105">
      <w:pPr>
        <w:pStyle w:val="14"/>
        <w:adjustRightInd w:val="0"/>
        <w:snapToGrid w:val="0"/>
        <w:spacing w:line="560" w:lineRule="exact"/>
        <w:jc w:val="left"/>
        <w:rPr>
          <w:rFonts w:eastAsia="方正仿宋_GBK" w:cs="仿宋_GB2312"/>
          <w:sz w:val="32"/>
          <w:szCs w:val="32"/>
        </w:rPr>
      </w:pPr>
      <w:bookmarkStart w:id="56" w:name="_Toc15396627"/>
      <w:r>
        <w:rPr>
          <w:rFonts w:hint="eastAsia" w:eastAsia="方正仿宋_GBK" w:cs="仿宋_GB2312"/>
          <w:sz w:val="32"/>
          <w:szCs w:val="32"/>
        </w:rPr>
        <w:t>九、一般公共预算财政拨款项目支出决算表</w:t>
      </w:r>
      <w:bookmarkEnd w:id="56"/>
    </w:p>
    <w:p w14:paraId="55EF06F3">
      <w:pPr>
        <w:pStyle w:val="14"/>
        <w:adjustRightInd w:val="0"/>
        <w:snapToGrid w:val="0"/>
        <w:spacing w:line="560" w:lineRule="exact"/>
        <w:jc w:val="left"/>
        <w:rPr>
          <w:rFonts w:eastAsia="方正仿宋_GBK" w:cs="仿宋_GB2312"/>
          <w:sz w:val="32"/>
          <w:szCs w:val="32"/>
        </w:rPr>
      </w:pPr>
      <w:bookmarkStart w:id="57" w:name="_Toc15396628"/>
      <w:r>
        <w:rPr>
          <w:rFonts w:hint="eastAsia" w:eastAsia="方正仿宋_GBK" w:cs="仿宋_GB2312"/>
          <w:sz w:val="32"/>
          <w:szCs w:val="32"/>
        </w:rPr>
        <w:t>十、</w:t>
      </w:r>
      <w:bookmarkEnd w:id="57"/>
      <w:r>
        <w:rPr>
          <w:rFonts w:hint="eastAsia" w:eastAsia="方正仿宋_GBK" w:cs="仿宋_GB2312"/>
          <w:sz w:val="32"/>
          <w:szCs w:val="32"/>
        </w:rPr>
        <w:t>政府性基金预算财政拨款收入支出决算表</w:t>
      </w:r>
    </w:p>
    <w:p w14:paraId="0BBDDA65">
      <w:pPr>
        <w:pStyle w:val="14"/>
        <w:adjustRightInd w:val="0"/>
        <w:snapToGrid w:val="0"/>
        <w:spacing w:line="560" w:lineRule="exact"/>
        <w:jc w:val="left"/>
        <w:rPr>
          <w:rFonts w:eastAsia="方正仿宋_GBK" w:cs="仿宋_GB2312"/>
          <w:sz w:val="32"/>
          <w:szCs w:val="32"/>
        </w:rPr>
      </w:pPr>
      <w:bookmarkStart w:id="58" w:name="_Toc15396629"/>
      <w:r>
        <w:rPr>
          <w:rFonts w:hint="eastAsia" w:eastAsia="方正仿宋_GBK" w:cs="仿宋_GB2312"/>
          <w:sz w:val="32"/>
          <w:szCs w:val="32"/>
        </w:rPr>
        <w:t>十一、</w:t>
      </w:r>
      <w:bookmarkEnd w:id="58"/>
      <w:r>
        <w:rPr>
          <w:rFonts w:hint="eastAsia" w:eastAsia="方正仿宋_GBK" w:cs="仿宋_GB2312"/>
          <w:sz w:val="32"/>
          <w:szCs w:val="32"/>
        </w:rPr>
        <w:t>国有资本经营预算财政拨款收入支出决算表</w:t>
      </w:r>
    </w:p>
    <w:p w14:paraId="3132B2B5">
      <w:pPr>
        <w:pStyle w:val="14"/>
        <w:adjustRightInd w:val="0"/>
        <w:snapToGrid w:val="0"/>
        <w:spacing w:line="560" w:lineRule="exact"/>
        <w:jc w:val="left"/>
        <w:rPr>
          <w:rFonts w:eastAsia="方正仿宋_GBK" w:cs="仿宋_GB2312"/>
          <w:sz w:val="32"/>
          <w:szCs w:val="32"/>
        </w:rPr>
      </w:pPr>
      <w:bookmarkStart w:id="59" w:name="_Toc15396630"/>
      <w:r>
        <w:rPr>
          <w:rFonts w:hint="eastAsia" w:eastAsia="方正仿宋_GBK" w:cs="仿宋_GB2312"/>
          <w:sz w:val="32"/>
          <w:szCs w:val="32"/>
        </w:rPr>
        <w:t>十二、</w:t>
      </w:r>
      <w:bookmarkEnd w:id="59"/>
      <w:r>
        <w:rPr>
          <w:rFonts w:hint="eastAsia" w:eastAsia="方正仿宋_GBK" w:cs="仿宋_GB2312"/>
          <w:sz w:val="32"/>
          <w:szCs w:val="32"/>
        </w:rPr>
        <w:t>国有资本经营预算财政拨款支出决算表</w:t>
      </w:r>
    </w:p>
    <w:p w14:paraId="0430F99C">
      <w:pPr>
        <w:pStyle w:val="14"/>
        <w:adjustRightInd w:val="0"/>
        <w:snapToGrid w:val="0"/>
        <w:spacing w:line="560" w:lineRule="exact"/>
        <w:jc w:val="left"/>
        <w:rPr>
          <w:rFonts w:eastAsia="方正仿宋_GBK" w:cs="仿宋_GB2312"/>
          <w:sz w:val="32"/>
          <w:szCs w:val="32"/>
        </w:rPr>
      </w:pPr>
      <w:bookmarkStart w:id="60" w:name="_Toc15396631"/>
      <w:r>
        <w:rPr>
          <w:rFonts w:hint="eastAsia" w:eastAsia="方正仿宋_GBK" w:cs="仿宋_GB2312"/>
          <w:sz w:val="32"/>
          <w:szCs w:val="32"/>
        </w:rPr>
        <w:t>十三、</w:t>
      </w:r>
      <w:bookmarkEnd w:id="60"/>
      <w:r>
        <w:rPr>
          <w:rFonts w:hint="eastAsia" w:eastAsia="方正仿宋_GBK" w:cs="仿宋_GB2312"/>
          <w:sz w:val="32"/>
          <w:szCs w:val="32"/>
        </w:rPr>
        <w:t>财政拨款“三公”经费支出决算表</w:t>
      </w:r>
    </w:p>
    <w:p w14:paraId="2F9AE0BF"/>
    <w:sectPr>
      <w:footerReference r:id="rId8" w:type="default"/>
      <w:pgSz w:w="11906" w:h="16838"/>
      <w:pgMar w:top="2098" w:right="1474" w:bottom="1984"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B22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AE93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AE938">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4E8EE19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5E3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F522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0F5221">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E9B8">
    <w:pPr>
      <w:pStyle w:val="11"/>
      <w:jc w:val="center"/>
    </w:pPr>
  </w:p>
  <w:p w14:paraId="73A3E0D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F8357">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963FE">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C963FE">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AD33">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D72FF">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9D72FF">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100603E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97F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ZmI4OTc0ODdlYzEyZjMwN2YxYzMzMzY5ZDlhY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0F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235CA"/>
    <w:rsid w:val="00235629"/>
    <w:rsid w:val="00260C38"/>
    <w:rsid w:val="0026130D"/>
    <w:rsid w:val="002616C0"/>
    <w:rsid w:val="00265372"/>
    <w:rsid w:val="002662AA"/>
    <w:rsid w:val="00280496"/>
    <w:rsid w:val="00294DC9"/>
    <w:rsid w:val="00295495"/>
    <w:rsid w:val="002A31DE"/>
    <w:rsid w:val="002A77D0"/>
    <w:rsid w:val="002B2613"/>
    <w:rsid w:val="002D6D05"/>
    <w:rsid w:val="002F1818"/>
    <w:rsid w:val="002F567B"/>
    <w:rsid w:val="00305CE7"/>
    <w:rsid w:val="0031380D"/>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479E5"/>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0638A"/>
    <w:rsid w:val="00512FDA"/>
    <w:rsid w:val="00520DA0"/>
    <w:rsid w:val="005664BB"/>
    <w:rsid w:val="00566FFA"/>
    <w:rsid w:val="0057481D"/>
    <w:rsid w:val="005817F3"/>
    <w:rsid w:val="0058486E"/>
    <w:rsid w:val="0058523E"/>
    <w:rsid w:val="00585B33"/>
    <w:rsid w:val="0059014D"/>
    <w:rsid w:val="005A0FB6"/>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92FA7"/>
    <w:rsid w:val="006A0156"/>
    <w:rsid w:val="006A3141"/>
    <w:rsid w:val="006A5E34"/>
    <w:rsid w:val="006B2422"/>
    <w:rsid w:val="006B2B9A"/>
    <w:rsid w:val="006B4F71"/>
    <w:rsid w:val="006C1937"/>
    <w:rsid w:val="006F020C"/>
    <w:rsid w:val="00704336"/>
    <w:rsid w:val="007127B7"/>
    <w:rsid w:val="007145B2"/>
    <w:rsid w:val="0071798E"/>
    <w:rsid w:val="007416B6"/>
    <w:rsid w:val="00746F48"/>
    <w:rsid w:val="0075404D"/>
    <w:rsid w:val="0076182A"/>
    <w:rsid w:val="00767B7E"/>
    <w:rsid w:val="007756C4"/>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269A2"/>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4B9"/>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1EDB"/>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1E2A"/>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4547"/>
    <w:rsid w:val="00FD3CC1"/>
    <w:rsid w:val="00FE1942"/>
    <w:rsid w:val="00FE7B94"/>
    <w:rsid w:val="00FF1E02"/>
    <w:rsid w:val="00FF30B4"/>
    <w:rsid w:val="0109515E"/>
    <w:rsid w:val="010F3B4F"/>
    <w:rsid w:val="0116312F"/>
    <w:rsid w:val="011C626C"/>
    <w:rsid w:val="012A5EC2"/>
    <w:rsid w:val="012D66CB"/>
    <w:rsid w:val="014337F8"/>
    <w:rsid w:val="014F219D"/>
    <w:rsid w:val="01514860"/>
    <w:rsid w:val="015975B8"/>
    <w:rsid w:val="015E0632"/>
    <w:rsid w:val="0187402D"/>
    <w:rsid w:val="018C16E0"/>
    <w:rsid w:val="01934780"/>
    <w:rsid w:val="01995B0E"/>
    <w:rsid w:val="01C34939"/>
    <w:rsid w:val="01C35310"/>
    <w:rsid w:val="01CC1A40"/>
    <w:rsid w:val="01E21263"/>
    <w:rsid w:val="02025461"/>
    <w:rsid w:val="02445E81"/>
    <w:rsid w:val="02714395"/>
    <w:rsid w:val="02750329"/>
    <w:rsid w:val="0281282A"/>
    <w:rsid w:val="0293255D"/>
    <w:rsid w:val="02A80DC2"/>
    <w:rsid w:val="02BC7D06"/>
    <w:rsid w:val="02E828A9"/>
    <w:rsid w:val="02F456F2"/>
    <w:rsid w:val="02FEBE30"/>
    <w:rsid w:val="02FF7BF3"/>
    <w:rsid w:val="03011BBD"/>
    <w:rsid w:val="03092820"/>
    <w:rsid w:val="030F6088"/>
    <w:rsid w:val="03237D85"/>
    <w:rsid w:val="0328714A"/>
    <w:rsid w:val="032F672A"/>
    <w:rsid w:val="035C6DF3"/>
    <w:rsid w:val="035E4363"/>
    <w:rsid w:val="037B0283"/>
    <w:rsid w:val="037C7496"/>
    <w:rsid w:val="03AA6D74"/>
    <w:rsid w:val="03B66504"/>
    <w:rsid w:val="03BB7FBE"/>
    <w:rsid w:val="03F11C32"/>
    <w:rsid w:val="03F90AE6"/>
    <w:rsid w:val="042B5143"/>
    <w:rsid w:val="04367644"/>
    <w:rsid w:val="04497378"/>
    <w:rsid w:val="044B1342"/>
    <w:rsid w:val="04610B65"/>
    <w:rsid w:val="04675A50"/>
    <w:rsid w:val="046917C8"/>
    <w:rsid w:val="047D5273"/>
    <w:rsid w:val="04856456"/>
    <w:rsid w:val="04891E6A"/>
    <w:rsid w:val="048B3E34"/>
    <w:rsid w:val="04916F1E"/>
    <w:rsid w:val="04B769D7"/>
    <w:rsid w:val="04D550AF"/>
    <w:rsid w:val="04E84DE3"/>
    <w:rsid w:val="04F847F5"/>
    <w:rsid w:val="04FA68C4"/>
    <w:rsid w:val="05151950"/>
    <w:rsid w:val="052D6C99"/>
    <w:rsid w:val="054A784B"/>
    <w:rsid w:val="055B3806"/>
    <w:rsid w:val="05656433"/>
    <w:rsid w:val="056A3A4A"/>
    <w:rsid w:val="05776166"/>
    <w:rsid w:val="057E12A3"/>
    <w:rsid w:val="05A827C4"/>
    <w:rsid w:val="05A84572"/>
    <w:rsid w:val="05D709B3"/>
    <w:rsid w:val="05DD68AF"/>
    <w:rsid w:val="05F6352F"/>
    <w:rsid w:val="06021ED4"/>
    <w:rsid w:val="06113EC5"/>
    <w:rsid w:val="061E35DE"/>
    <w:rsid w:val="06344057"/>
    <w:rsid w:val="06451DC1"/>
    <w:rsid w:val="06454E50"/>
    <w:rsid w:val="065A2CEC"/>
    <w:rsid w:val="065C2FC1"/>
    <w:rsid w:val="066E0107"/>
    <w:rsid w:val="067D37A4"/>
    <w:rsid w:val="068C6E59"/>
    <w:rsid w:val="069074E0"/>
    <w:rsid w:val="06A50AB1"/>
    <w:rsid w:val="06D55A2A"/>
    <w:rsid w:val="06EB2968"/>
    <w:rsid w:val="070752C8"/>
    <w:rsid w:val="073A744C"/>
    <w:rsid w:val="074107DA"/>
    <w:rsid w:val="07632E46"/>
    <w:rsid w:val="079052BE"/>
    <w:rsid w:val="07996F6E"/>
    <w:rsid w:val="07BE6EE2"/>
    <w:rsid w:val="07BF4EA6"/>
    <w:rsid w:val="07DFD8BA"/>
    <w:rsid w:val="07EA2C20"/>
    <w:rsid w:val="080F7735"/>
    <w:rsid w:val="08332D40"/>
    <w:rsid w:val="0837398B"/>
    <w:rsid w:val="084762C4"/>
    <w:rsid w:val="085A5FF7"/>
    <w:rsid w:val="086724C2"/>
    <w:rsid w:val="08A2174C"/>
    <w:rsid w:val="08AB6853"/>
    <w:rsid w:val="08BF5E5A"/>
    <w:rsid w:val="08D13DE0"/>
    <w:rsid w:val="08DD09D6"/>
    <w:rsid w:val="08E43B13"/>
    <w:rsid w:val="08E91129"/>
    <w:rsid w:val="08FD6983"/>
    <w:rsid w:val="08FF26FB"/>
    <w:rsid w:val="093323A4"/>
    <w:rsid w:val="09383E5F"/>
    <w:rsid w:val="093A136B"/>
    <w:rsid w:val="094736CB"/>
    <w:rsid w:val="09615163"/>
    <w:rsid w:val="096B0AE0"/>
    <w:rsid w:val="098175B4"/>
    <w:rsid w:val="098470A4"/>
    <w:rsid w:val="09867E8F"/>
    <w:rsid w:val="09AA6B0A"/>
    <w:rsid w:val="09B71227"/>
    <w:rsid w:val="09C53944"/>
    <w:rsid w:val="09D65B51"/>
    <w:rsid w:val="09E77C46"/>
    <w:rsid w:val="09EB2C7F"/>
    <w:rsid w:val="09FB55B8"/>
    <w:rsid w:val="0A1026E6"/>
    <w:rsid w:val="0A2032A3"/>
    <w:rsid w:val="0A261F09"/>
    <w:rsid w:val="0A2B0340"/>
    <w:rsid w:val="0A3665F0"/>
    <w:rsid w:val="0A3C34DB"/>
    <w:rsid w:val="0A690774"/>
    <w:rsid w:val="0A6E5D8A"/>
    <w:rsid w:val="0A8A693C"/>
    <w:rsid w:val="0AA90B70"/>
    <w:rsid w:val="0AB87005"/>
    <w:rsid w:val="0AC77248"/>
    <w:rsid w:val="0AD32091"/>
    <w:rsid w:val="0AE75B3C"/>
    <w:rsid w:val="0AE918B4"/>
    <w:rsid w:val="0AEC6CAF"/>
    <w:rsid w:val="0AF3003D"/>
    <w:rsid w:val="0B0F299D"/>
    <w:rsid w:val="0B4E7969"/>
    <w:rsid w:val="0B6B4077"/>
    <w:rsid w:val="0B7A075E"/>
    <w:rsid w:val="0B7A250D"/>
    <w:rsid w:val="0B7F3FC7"/>
    <w:rsid w:val="0B811AED"/>
    <w:rsid w:val="0B8213C1"/>
    <w:rsid w:val="0B901D30"/>
    <w:rsid w:val="0BAE0408"/>
    <w:rsid w:val="0BCD6AE0"/>
    <w:rsid w:val="0BEF6A57"/>
    <w:rsid w:val="0BFE4EEC"/>
    <w:rsid w:val="0C3E79DE"/>
    <w:rsid w:val="0C5B40EC"/>
    <w:rsid w:val="0C5E1E2E"/>
    <w:rsid w:val="0C721436"/>
    <w:rsid w:val="0C7337C2"/>
    <w:rsid w:val="0C782EF0"/>
    <w:rsid w:val="0C913FB2"/>
    <w:rsid w:val="0C9145E2"/>
    <w:rsid w:val="0C937D2A"/>
    <w:rsid w:val="0CA8290A"/>
    <w:rsid w:val="0CC021A1"/>
    <w:rsid w:val="0CC71781"/>
    <w:rsid w:val="0CE51C08"/>
    <w:rsid w:val="0D0C188A"/>
    <w:rsid w:val="0D162709"/>
    <w:rsid w:val="0D186481"/>
    <w:rsid w:val="0D270472"/>
    <w:rsid w:val="0D2E259A"/>
    <w:rsid w:val="0D35B1ED"/>
    <w:rsid w:val="0D4B4161"/>
    <w:rsid w:val="0D4C1C87"/>
    <w:rsid w:val="0D553231"/>
    <w:rsid w:val="0D554FDF"/>
    <w:rsid w:val="0D613984"/>
    <w:rsid w:val="0D8C6527"/>
    <w:rsid w:val="0D933D59"/>
    <w:rsid w:val="0D984ECC"/>
    <w:rsid w:val="0D9C30EB"/>
    <w:rsid w:val="0DBF06AB"/>
    <w:rsid w:val="0DC83A03"/>
    <w:rsid w:val="0DD57ECE"/>
    <w:rsid w:val="0E0013EF"/>
    <w:rsid w:val="0E172295"/>
    <w:rsid w:val="0E1A3B33"/>
    <w:rsid w:val="0E1E7AC7"/>
    <w:rsid w:val="0E1F739B"/>
    <w:rsid w:val="0E254B6B"/>
    <w:rsid w:val="0E5D6FB7"/>
    <w:rsid w:val="0E5E6115"/>
    <w:rsid w:val="0E666D78"/>
    <w:rsid w:val="0E820056"/>
    <w:rsid w:val="0E903DF5"/>
    <w:rsid w:val="0EAC0C2F"/>
    <w:rsid w:val="0EB16245"/>
    <w:rsid w:val="0EBB5316"/>
    <w:rsid w:val="0EC00B7E"/>
    <w:rsid w:val="0ECF2B6F"/>
    <w:rsid w:val="0EDD34DE"/>
    <w:rsid w:val="0EFB5712"/>
    <w:rsid w:val="0F2A5FF8"/>
    <w:rsid w:val="0F3155D8"/>
    <w:rsid w:val="0F3277A7"/>
    <w:rsid w:val="0F423341"/>
    <w:rsid w:val="0F545135"/>
    <w:rsid w:val="0F5C08A7"/>
    <w:rsid w:val="0F8E6586"/>
    <w:rsid w:val="0F98263C"/>
    <w:rsid w:val="0FA43FFC"/>
    <w:rsid w:val="0FB35FED"/>
    <w:rsid w:val="0FBF4992"/>
    <w:rsid w:val="0FC4644C"/>
    <w:rsid w:val="0FC621C4"/>
    <w:rsid w:val="0FE91A0F"/>
    <w:rsid w:val="0FEB1C2B"/>
    <w:rsid w:val="0FF00FEF"/>
    <w:rsid w:val="101860EC"/>
    <w:rsid w:val="101E3DAE"/>
    <w:rsid w:val="101F47CC"/>
    <w:rsid w:val="103A226A"/>
    <w:rsid w:val="10417A9D"/>
    <w:rsid w:val="104D5861"/>
    <w:rsid w:val="105C0433"/>
    <w:rsid w:val="10667503"/>
    <w:rsid w:val="107240FA"/>
    <w:rsid w:val="108005C5"/>
    <w:rsid w:val="10A342B4"/>
    <w:rsid w:val="10B22749"/>
    <w:rsid w:val="10C055FF"/>
    <w:rsid w:val="10C34956"/>
    <w:rsid w:val="10E14DD8"/>
    <w:rsid w:val="10EA1EE2"/>
    <w:rsid w:val="11032FA4"/>
    <w:rsid w:val="111060F1"/>
    <w:rsid w:val="1122167C"/>
    <w:rsid w:val="1134315E"/>
    <w:rsid w:val="11382C4E"/>
    <w:rsid w:val="114710E3"/>
    <w:rsid w:val="11551A52"/>
    <w:rsid w:val="115832F0"/>
    <w:rsid w:val="115B2DE0"/>
    <w:rsid w:val="11694EBD"/>
    <w:rsid w:val="11772AA4"/>
    <w:rsid w:val="118107EC"/>
    <w:rsid w:val="119F0F1F"/>
    <w:rsid w:val="11E55436"/>
    <w:rsid w:val="120B0362"/>
    <w:rsid w:val="122356AC"/>
    <w:rsid w:val="12380A2C"/>
    <w:rsid w:val="12483364"/>
    <w:rsid w:val="1254758B"/>
    <w:rsid w:val="1255782F"/>
    <w:rsid w:val="12723F3D"/>
    <w:rsid w:val="127E0B34"/>
    <w:rsid w:val="12843C71"/>
    <w:rsid w:val="128D6FC9"/>
    <w:rsid w:val="129E2F84"/>
    <w:rsid w:val="12A06CFD"/>
    <w:rsid w:val="12B24C82"/>
    <w:rsid w:val="12B46304"/>
    <w:rsid w:val="12CF75E2"/>
    <w:rsid w:val="12E24EE2"/>
    <w:rsid w:val="12F708E7"/>
    <w:rsid w:val="12F86EC6"/>
    <w:rsid w:val="13076D7C"/>
    <w:rsid w:val="13086650"/>
    <w:rsid w:val="131B2827"/>
    <w:rsid w:val="13280AA0"/>
    <w:rsid w:val="132C233E"/>
    <w:rsid w:val="13471A60"/>
    <w:rsid w:val="1360648C"/>
    <w:rsid w:val="136441CE"/>
    <w:rsid w:val="13655850"/>
    <w:rsid w:val="136F4921"/>
    <w:rsid w:val="13741F37"/>
    <w:rsid w:val="137A57A0"/>
    <w:rsid w:val="138F28CD"/>
    <w:rsid w:val="139525D9"/>
    <w:rsid w:val="13B3480E"/>
    <w:rsid w:val="13B567D8"/>
    <w:rsid w:val="13B81E24"/>
    <w:rsid w:val="13BF31B2"/>
    <w:rsid w:val="13C24A51"/>
    <w:rsid w:val="13CB5FFB"/>
    <w:rsid w:val="13CE33F5"/>
    <w:rsid w:val="13D50BC4"/>
    <w:rsid w:val="13D80718"/>
    <w:rsid w:val="13DF3855"/>
    <w:rsid w:val="14184FB8"/>
    <w:rsid w:val="143771ED"/>
    <w:rsid w:val="14900FF3"/>
    <w:rsid w:val="14A32AD4"/>
    <w:rsid w:val="14A979BF"/>
    <w:rsid w:val="14B17F78"/>
    <w:rsid w:val="14BF71E2"/>
    <w:rsid w:val="14CF1B1B"/>
    <w:rsid w:val="14D233B9"/>
    <w:rsid w:val="14E46C49"/>
    <w:rsid w:val="14EA24B1"/>
    <w:rsid w:val="15023C9F"/>
    <w:rsid w:val="15190FE8"/>
    <w:rsid w:val="156C55BC"/>
    <w:rsid w:val="157D1577"/>
    <w:rsid w:val="15A20FDE"/>
    <w:rsid w:val="15AE1730"/>
    <w:rsid w:val="15C87D08"/>
    <w:rsid w:val="15F07F9B"/>
    <w:rsid w:val="160550C9"/>
    <w:rsid w:val="161A5018"/>
    <w:rsid w:val="162E2871"/>
    <w:rsid w:val="163C6D3C"/>
    <w:rsid w:val="164125A5"/>
    <w:rsid w:val="16442095"/>
    <w:rsid w:val="165E0673"/>
    <w:rsid w:val="165E3157"/>
    <w:rsid w:val="16922E00"/>
    <w:rsid w:val="16B831D5"/>
    <w:rsid w:val="16B84434"/>
    <w:rsid w:val="16BB723D"/>
    <w:rsid w:val="16C84A74"/>
    <w:rsid w:val="16DC407B"/>
    <w:rsid w:val="16F413C5"/>
    <w:rsid w:val="16F47617"/>
    <w:rsid w:val="171657DF"/>
    <w:rsid w:val="1719065D"/>
    <w:rsid w:val="171F21BA"/>
    <w:rsid w:val="172872C1"/>
    <w:rsid w:val="17397720"/>
    <w:rsid w:val="17515193"/>
    <w:rsid w:val="175400B6"/>
    <w:rsid w:val="17563E2E"/>
    <w:rsid w:val="175B1444"/>
    <w:rsid w:val="175B58E8"/>
    <w:rsid w:val="176D73C9"/>
    <w:rsid w:val="178766DD"/>
    <w:rsid w:val="17A34B99"/>
    <w:rsid w:val="17C239F3"/>
    <w:rsid w:val="17C27715"/>
    <w:rsid w:val="17E50567"/>
    <w:rsid w:val="181635BD"/>
    <w:rsid w:val="181F06C4"/>
    <w:rsid w:val="18243F2C"/>
    <w:rsid w:val="18491BE4"/>
    <w:rsid w:val="184C3483"/>
    <w:rsid w:val="18534811"/>
    <w:rsid w:val="186504BB"/>
    <w:rsid w:val="1888270D"/>
    <w:rsid w:val="188B3FAB"/>
    <w:rsid w:val="189310B2"/>
    <w:rsid w:val="18AE1A47"/>
    <w:rsid w:val="18BF1CD8"/>
    <w:rsid w:val="18CD45C3"/>
    <w:rsid w:val="18D23988"/>
    <w:rsid w:val="18DF7E53"/>
    <w:rsid w:val="19173A91"/>
    <w:rsid w:val="191A0E8B"/>
    <w:rsid w:val="19267830"/>
    <w:rsid w:val="19314B52"/>
    <w:rsid w:val="193E101D"/>
    <w:rsid w:val="193E726F"/>
    <w:rsid w:val="19510D51"/>
    <w:rsid w:val="196A1E12"/>
    <w:rsid w:val="196A3BC0"/>
    <w:rsid w:val="19805192"/>
    <w:rsid w:val="19831126"/>
    <w:rsid w:val="19882298"/>
    <w:rsid w:val="198D5B01"/>
    <w:rsid w:val="19960E59"/>
    <w:rsid w:val="19A445FC"/>
    <w:rsid w:val="19D41982"/>
    <w:rsid w:val="19D96F98"/>
    <w:rsid w:val="19EA6AAF"/>
    <w:rsid w:val="19F65454"/>
    <w:rsid w:val="1A02204B"/>
    <w:rsid w:val="1A0758B3"/>
    <w:rsid w:val="1A0A0EFF"/>
    <w:rsid w:val="1A0D279E"/>
    <w:rsid w:val="1A450189"/>
    <w:rsid w:val="1A6B4094"/>
    <w:rsid w:val="1A73256C"/>
    <w:rsid w:val="1A7840BB"/>
    <w:rsid w:val="1A911621"/>
    <w:rsid w:val="1AA9696A"/>
    <w:rsid w:val="1AAD703A"/>
    <w:rsid w:val="1AEF6A73"/>
    <w:rsid w:val="1AFC2F3E"/>
    <w:rsid w:val="1B03607B"/>
    <w:rsid w:val="1B097409"/>
    <w:rsid w:val="1B102545"/>
    <w:rsid w:val="1B1A4EED"/>
    <w:rsid w:val="1B375D24"/>
    <w:rsid w:val="1B3E5C44"/>
    <w:rsid w:val="1B636B19"/>
    <w:rsid w:val="1B650AE3"/>
    <w:rsid w:val="1B7F5BFB"/>
    <w:rsid w:val="1B860A5A"/>
    <w:rsid w:val="1B886580"/>
    <w:rsid w:val="1B8A22F8"/>
    <w:rsid w:val="1B9118D8"/>
    <w:rsid w:val="1BBE1FA1"/>
    <w:rsid w:val="1BBE6445"/>
    <w:rsid w:val="1BCA303C"/>
    <w:rsid w:val="1BDC5B7C"/>
    <w:rsid w:val="1BE8440E"/>
    <w:rsid w:val="1BE85270"/>
    <w:rsid w:val="1BEA548C"/>
    <w:rsid w:val="1C00080C"/>
    <w:rsid w:val="1C1222ED"/>
    <w:rsid w:val="1C2F4C4D"/>
    <w:rsid w:val="1C485D0F"/>
    <w:rsid w:val="1C654B13"/>
    <w:rsid w:val="1C80194D"/>
    <w:rsid w:val="1C872CDB"/>
    <w:rsid w:val="1C915908"/>
    <w:rsid w:val="1CBB2985"/>
    <w:rsid w:val="1CC6347C"/>
    <w:rsid w:val="1CCE4466"/>
    <w:rsid w:val="1CD557F5"/>
    <w:rsid w:val="1CD87093"/>
    <w:rsid w:val="1D01483C"/>
    <w:rsid w:val="1D0154DE"/>
    <w:rsid w:val="1D04432C"/>
    <w:rsid w:val="1D063C00"/>
    <w:rsid w:val="1D126A49"/>
    <w:rsid w:val="1D155CEE"/>
    <w:rsid w:val="1D1638FE"/>
    <w:rsid w:val="1D2642A2"/>
    <w:rsid w:val="1D28626C"/>
    <w:rsid w:val="1D444728"/>
    <w:rsid w:val="1D4B5AB7"/>
    <w:rsid w:val="1D4D7A81"/>
    <w:rsid w:val="1D4F1A4B"/>
    <w:rsid w:val="1D526E45"/>
    <w:rsid w:val="1D554B87"/>
    <w:rsid w:val="1D644DCB"/>
    <w:rsid w:val="1D7B2840"/>
    <w:rsid w:val="1D7F1C04"/>
    <w:rsid w:val="1D951428"/>
    <w:rsid w:val="1D9A259A"/>
    <w:rsid w:val="1DCA0DA4"/>
    <w:rsid w:val="1DE32193"/>
    <w:rsid w:val="1DE5415D"/>
    <w:rsid w:val="1DFD14A7"/>
    <w:rsid w:val="1E002D45"/>
    <w:rsid w:val="1E032835"/>
    <w:rsid w:val="1E0565AE"/>
    <w:rsid w:val="1E0A7720"/>
    <w:rsid w:val="1E1660C5"/>
    <w:rsid w:val="1E1862E1"/>
    <w:rsid w:val="1E312DEB"/>
    <w:rsid w:val="1E3173A3"/>
    <w:rsid w:val="1E326C77"/>
    <w:rsid w:val="1E3824DF"/>
    <w:rsid w:val="1E401394"/>
    <w:rsid w:val="1E4569AA"/>
    <w:rsid w:val="1E4A3FC0"/>
    <w:rsid w:val="1E4E3AB1"/>
    <w:rsid w:val="1E5E2FCF"/>
    <w:rsid w:val="1E740ACF"/>
    <w:rsid w:val="1E760CF8"/>
    <w:rsid w:val="1E933BB9"/>
    <w:rsid w:val="1EA27958"/>
    <w:rsid w:val="1EAE09F3"/>
    <w:rsid w:val="1EBC3110"/>
    <w:rsid w:val="1EBF050A"/>
    <w:rsid w:val="1EC45B21"/>
    <w:rsid w:val="1EDB10BC"/>
    <w:rsid w:val="1F0625DD"/>
    <w:rsid w:val="1F0D396C"/>
    <w:rsid w:val="1F19312F"/>
    <w:rsid w:val="1F572E39"/>
    <w:rsid w:val="1F5F3A9B"/>
    <w:rsid w:val="1F721A21"/>
    <w:rsid w:val="1F7532BF"/>
    <w:rsid w:val="1F833C2E"/>
    <w:rsid w:val="1FB42039"/>
    <w:rsid w:val="1FC61D6D"/>
    <w:rsid w:val="1FF35744"/>
    <w:rsid w:val="1FF6BC77"/>
    <w:rsid w:val="20124FB2"/>
    <w:rsid w:val="202C6073"/>
    <w:rsid w:val="20407429"/>
    <w:rsid w:val="20515ADA"/>
    <w:rsid w:val="20592BE1"/>
    <w:rsid w:val="206155F1"/>
    <w:rsid w:val="207417C9"/>
    <w:rsid w:val="2091237A"/>
    <w:rsid w:val="2099122F"/>
    <w:rsid w:val="20A57BD4"/>
    <w:rsid w:val="20B10327"/>
    <w:rsid w:val="20B87907"/>
    <w:rsid w:val="20D64231"/>
    <w:rsid w:val="213A47C0"/>
    <w:rsid w:val="21535882"/>
    <w:rsid w:val="2186353C"/>
    <w:rsid w:val="21902632"/>
    <w:rsid w:val="21A34113"/>
    <w:rsid w:val="21A954A2"/>
    <w:rsid w:val="21B06830"/>
    <w:rsid w:val="21B300CF"/>
    <w:rsid w:val="21CC3CDF"/>
    <w:rsid w:val="22066450"/>
    <w:rsid w:val="220B1CB9"/>
    <w:rsid w:val="22205764"/>
    <w:rsid w:val="2221772E"/>
    <w:rsid w:val="22235254"/>
    <w:rsid w:val="22543660"/>
    <w:rsid w:val="22673393"/>
    <w:rsid w:val="227A6670"/>
    <w:rsid w:val="228201CD"/>
    <w:rsid w:val="229323DA"/>
    <w:rsid w:val="22AA7723"/>
    <w:rsid w:val="22C34341"/>
    <w:rsid w:val="22D30A28"/>
    <w:rsid w:val="22E449E3"/>
    <w:rsid w:val="22E569AE"/>
    <w:rsid w:val="22F233EB"/>
    <w:rsid w:val="22F83FEB"/>
    <w:rsid w:val="23013327"/>
    <w:rsid w:val="230B6414"/>
    <w:rsid w:val="231B23CF"/>
    <w:rsid w:val="231D1CA3"/>
    <w:rsid w:val="233F60BE"/>
    <w:rsid w:val="235D4796"/>
    <w:rsid w:val="237C2E6E"/>
    <w:rsid w:val="237F64BA"/>
    <w:rsid w:val="23827D58"/>
    <w:rsid w:val="23860B96"/>
    <w:rsid w:val="239F090A"/>
    <w:rsid w:val="23A25E18"/>
    <w:rsid w:val="23B24AE2"/>
    <w:rsid w:val="23B5012E"/>
    <w:rsid w:val="23BA3996"/>
    <w:rsid w:val="23C95987"/>
    <w:rsid w:val="23ED1676"/>
    <w:rsid w:val="23EE0080"/>
    <w:rsid w:val="23F01166"/>
    <w:rsid w:val="23F46EA8"/>
    <w:rsid w:val="23FE3883"/>
    <w:rsid w:val="240371BF"/>
    <w:rsid w:val="24172B97"/>
    <w:rsid w:val="24217571"/>
    <w:rsid w:val="242D4168"/>
    <w:rsid w:val="243454F7"/>
    <w:rsid w:val="2443398C"/>
    <w:rsid w:val="244B0A92"/>
    <w:rsid w:val="244F3473"/>
    <w:rsid w:val="24637B8A"/>
    <w:rsid w:val="246F4781"/>
    <w:rsid w:val="247B1377"/>
    <w:rsid w:val="249B7324"/>
    <w:rsid w:val="24C97D99"/>
    <w:rsid w:val="24D171E9"/>
    <w:rsid w:val="24E52E62"/>
    <w:rsid w:val="24E76A0D"/>
    <w:rsid w:val="24FD3B3B"/>
    <w:rsid w:val="2503311B"/>
    <w:rsid w:val="250D7AF6"/>
    <w:rsid w:val="251470D6"/>
    <w:rsid w:val="251E1D03"/>
    <w:rsid w:val="25253091"/>
    <w:rsid w:val="252E0198"/>
    <w:rsid w:val="25551BC9"/>
    <w:rsid w:val="255B6AB3"/>
    <w:rsid w:val="258A1146"/>
    <w:rsid w:val="258C1362"/>
    <w:rsid w:val="25965D3D"/>
    <w:rsid w:val="25A718F0"/>
    <w:rsid w:val="25BB59F6"/>
    <w:rsid w:val="25C64874"/>
    <w:rsid w:val="25D86356"/>
    <w:rsid w:val="25E46AA9"/>
    <w:rsid w:val="25F27417"/>
    <w:rsid w:val="26013AFE"/>
    <w:rsid w:val="26016CD0"/>
    <w:rsid w:val="2601765A"/>
    <w:rsid w:val="26084E8D"/>
    <w:rsid w:val="260F557C"/>
    <w:rsid w:val="261F3F85"/>
    <w:rsid w:val="26265313"/>
    <w:rsid w:val="26301CEE"/>
    <w:rsid w:val="26431A21"/>
    <w:rsid w:val="264A7253"/>
    <w:rsid w:val="264F6618"/>
    <w:rsid w:val="26597496"/>
    <w:rsid w:val="268F4C66"/>
    <w:rsid w:val="26914E82"/>
    <w:rsid w:val="26970054"/>
    <w:rsid w:val="26A12BEB"/>
    <w:rsid w:val="26AA5F44"/>
    <w:rsid w:val="26AA7CF2"/>
    <w:rsid w:val="26C708A4"/>
    <w:rsid w:val="26CA2142"/>
    <w:rsid w:val="26CF7759"/>
    <w:rsid w:val="26D703BB"/>
    <w:rsid w:val="26E56F7C"/>
    <w:rsid w:val="26EC1FBB"/>
    <w:rsid w:val="26ED5E31"/>
    <w:rsid w:val="26F23447"/>
    <w:rsid w:val="27277595"/>
    <w:rsid w:val="272E0923"/>
    <w:rsid w:val="273A72C8"/>
    <w:rsid w:val="2741157D"/>
    <w:rsid w:val="27707205"/>
    <w:rsid w:val="27750300"/>
    <w:rsid w:val="27826579"/>
    <w:rsid w:val="278F0C96"/>
    <w:rsid w:val="2790513A"/>
    <w:rsid w:val="27C052F3"/>
    <w:rsid w:val="27C6290A"/>
    <w:rsid w:val="27CC3C98"/>
    <w:rsid w:val="27D50D9F"/>
    <w:rsid w:val="28074CD0"/>
    <w:rsid w:val="281408E2"/>
    <w:rsid w:val="281C69CE"/>
    <w:rsid w:val="283A4EB7"/>
    <w:rsid w:val="285C14C0"/>
    <w:rsid w:val="286F11F3"/>
    <w:rsid w:val="28724840"/>
    <w:rsid w:val="287E4F92"/>
    <w:rsid w:val="288226FB"/>
    <w:rsid w:val="288F53F1"/>
    <w:rsid w:val="28AD3ACA"/>
    <w:rsid w:val="28C80903"/>
    <w:rsid w:val="28CD7CC8"/>
    <w:rsid w:val="28E76FDC"/>
    <w:rsid w:val="2916341D"/>
    <w:rsid w:val="29231FDE"/>
    <w:rsid w:val="293164A9"/>
    <w:rsid w:val="293935AF"/>
    <w:rsid w:val="2939535D"/>
    <w:rsid w:val="29466190"/>
    <w:rsid w:val="294A57BC"/>
    <w:rsid w:val="29555448"/>
    <w:rsid w:val="295B52D4"/>
    <w:rsid w:val="298A7967"/>
    <w:rsid w:val="298E38FB"/>
    <w:rsid w:val="299F78B6"/>
    <w:rsid w:val="29A9603F"/>
    <w:rsid w:val="29B42C36"/>
    <w:rsid w:val="29C16373"/>
    <w:rsid w:val="29CC4423"/>
    <w:rsid w:val="29DF4157"/>
    <w:rsid w:val="29DF48AB"/>
    <w:rsid w:val="29EF3C6E"/>
    <w:rsid w:val="29F6324E"/>
    <w:rsid w:val="29FC261C"/>
    <w:rsid w:val="29FD04D3"/>
    <w:rsid w:val="2A1060BE"/>
    <w:rsid w:val="2A1738F0"/>
    <w:rsid w:val="2A247DBB"/>
    <w:rsid w:val="2A524929"/>
    <w:rsid w:val="2A5E42DC"/>
    <w:rsid w:val="2A73664D"/>
    <w:rsid w:val="2A783C63"/>
    <w:rsid w:val="2A9A1E2C"/>
    <w:rsid w:val="2AAF3B29"/>
    <w:rsid w:val="2AD76BDC"/>
    <w:rsid w:val="2ADB0A4B"/>
    <w:rsid w:val="2ADB491E"/>
    <w:rsid w:val="2AFB6D6E"/>
    <w:rsid w:val="2AFC6642"/>
    <w:rsid w:val="2B34402E"/>
    <w:rsid w:val="2B373B1E"/>
    <w:rsid w:val="2B3758CC"/>
    <w:rsid w:val="2B4D50F0"/>
    <w:rsid w:val="2B8F395A"/>
    <w:rsid w:val="2BBD2276"/>
    <w:rsid w:val="2BF043F9"/>
    <w:rsid w:val="2BFF7BC6"/>
    <w:rsid w:val="2C3167C0"/>
    <w:rsid w:val="2C3A1B18"/>
    <w:rsid w:val="2C471B3F"/>
    <w:rsid w:val="2C5524AE"/>
    <w:rsid w:val="2C7843EE"/>
    <w:rsid w:val="2C8A61B5"/>
    <w:rsid w:val="2C932FD6"/>
    <w:rsid w:val="2CAF6062"/>
    <w:rsid w:val="2CCB6C14"/>
    <w:rsid w:val="2CDE06F5"/>
    <w:rsid w:val="2CE850D0"/>
    <w:rsid w:val="2D1660E1"/>
    <w:rsid w:val="2D173C07"/>
    <w:rsid w:val="2D1A7254"/>
    <w:rsid w:val="2D256324"/>
    <w:rsid w:val="2D346567"/>
    <w:rsid w:val="2D3622E0"/>
    <w:rsid w:val="2D3C71CA"/>
    <w:rsid w:val="2D4F514F"/>
    <w:rsid w:val="2D6230D5"/>
    <w:rsid w:val="2D746964"/>
    <w:rsid w:val="2D880661"/>
    <w:rsid w:val="2DA21723"/>
    <w:rsid w:val="2DB66F7C"/>
    <w:rsid w:val="2DB96A6D"/>
    <w:rsid w:val="2DD90EBD"/>
    <w:rsid w:val="2DF04E50"/>
    <w:rsid w:val="2DF45CF7"/>
    <w:rsid w:val="2E150147"/>
    <w:rsid w:val="2E162111"/>
    <w:rsid w:val="2E206AEC"/>
    <w:rsid w:val="2E310CF9"/>
    <w:rsid w:val="2E3A195C"/>
    <w:rsid w:val="2E56075F"/>
    <w:rsid w:val="2E586DFA"/>
    <w:rsid w:val="2E725599"/>
    <w:rsid w:val="2E982B26"/>
    <w:rsid w:val="2E9F5C62"/>
    <w:rsid w:val="2EAB0AAB"/>
    <w:rsid w:val="2EB77450"/>
    <w:rsid w:val="2EBA0CEE"/>
    <w:rsid w:val="2EBF6305"/>
    <w:rsid w:val="2EED10C4"/>
    <w:rsid w:val="2F040D46"/>
    <w:rsid w:val="2F05640D"/>
    <w:rsid w:val="2F126434"/>
    <w:rsid w:val="2F155F25"/>
    <w:rsid w:val="2F1E74CF"/>
    <w:rsid w:val="2F2D326E"/>
    <w:rsid w:val="2F2F5238"/>
    <w:rsid w:val="2F3B1E2F"/>
    <w:rsid w:val="2F452CAE"/>
    <w:rsid w:val="2F590507"/>
    <w:rsid w:val="2F6B035B"/>
    <w:rsid w:val="2F9652B7"/>
    <w:rsid w:val="2F996B56"/>
    <w:rsid w:val="2F9C03F4"/>
    <w:rsid w:val="2FA30CFE"/>
    <w:rsid w:val="2FAB145D"/>
    <w:rsid w:val="2FAE5751"/>
    <w:rsid w:val="2FB1A395"/>
    <w:rsid w:val="2FBE480E"/>
    <w:rsid w:val="2FD9A7D8"/>
    <w:rsid w:val="2FDB53C0"/>
    <w:rsid w:val="2FDBF714"/>
    <w:rsid w:val="2FDF1EC1"/>
    <w:rsid w:val="2FE73D65"/>
    <w:rsid w:val="2FEE6EA1"/>
    <w:rsid w:val="2FF43D8C"/>
    <w:rsid w:val="2FF848F8"/>
    <w:rsid w:val="2FFA3A98"/>
    <w:rsid w:val="300246FB"/>
    <w:rsid w:val="30112B90"/>
    <w:rsid w:val="3017590C"/>
    <w:rsid w:val="301D32E3"/>
    <w:rsid w:val="301F52AD"/>
    <w:rsid w:val="30360848"/>
    <w:rsid w:val="3038636F"/>
    <w:rsid w:val="305F6960"/>
    <w:rsid w:val="3078676B"/>
    <w:rsid w:val="308415B4"/>
    <w:rsid w:val="30890978"/>
    <w:rsid w:val="3095556F"/>
    <w:rsid w:val="30AB6865"/>
    <w:rsid w:val="30AB6B41"/>
    <w:rsid w:val="30B005FB"/>
    <w:rsid w:val="30BA4FD6"/>
    <w:rsid w:val="30C16364"/>
    <w:rsid w:val="30E43E01"/>
    <w:rsid w:val="30E6401D"/>
    <w:rsid w:val="30EE1B0E"/>
    <w:rsid w:val="310821E5"/>
    <w:rsid w:val="310E5321"/>
    <w:rsid w:val="31232B7B"/>
    <w:rsid w:val="31295CB7"/>
    <w:rsid w:val="3150593A"/>
    <w:rsid w:val="3163370A"/>
    <w:rsid w:val="317C228B"/>
    <w:rsid w:val="318D4498"/>
    <w:rsid w:val="319C292D"/>
    <w:rsid w:val="319F7F4E"/>
    <w:rsid w:val="31A11CF2"/>
    <w:rsid w:val="31A33CBC"/>
    <w:rsid w:val="31AD27E4"/>
    <w:rsid w:val="31D16A7B"/>
    <w:rsid w:val="31F14A27"/>
    <w:rsid w:val="32052280"/>
    <w:rsid w:val="320E382B"/>
    <w:rsid w:val="3216448E"/>
    <w:rsid w:val="321C75CA"/>
    <w:rsid w:val="322546D1"/>
    <w:rsid w:val="323B5CA2"/>
    <w:rsid w:val="3260395B"/>
    <w:rsid w:val="32737B32"/>
    <w:rsid w:val="328B60E7"/>
    <w:rsid w:val="32B1065A"/>
    <w:rsid w:val="32B819E9"/>
    <w:rsid w:val="32B94445"/>
    <w:rsid w:val="32BD1EF1"/>
    <w:rsid w:val="32DF6F75"/>
    <w:rsid w:val="33034158"/>
    <w:rsid w:val="3304709D"/>
    <w:rsid w:val="330B38C7"/>
    <w:rsid w:val="33266952"/>
    <w:rsid w:val="33370B5F"/>
    <w:rsid w:val="33386686"/>
    <w:rsid w:val="333D5A4A"/>
    <w:rsid w:val="335334BF"/>
    <w:rsid w:val="335A484E"/>
    <w:rsid w:val="335F33B8"/>
    <w:rsid w:val="33631954"/>
    <w:rsid w:val="339A4C4A"/>
    <w:rsid w:val="33A773CB"/>
    <w:rsid w:val="33D44600"/>
    <w:rsid w:val="33DC5263"/>
    <w:rsid w:val="33DD2EE6"/>
    <w:rsid w:val="33EF143A"/>
    <w:rsid w:val="340C5B48"/>
    <w:rsid w:val="340F06E9"/>
    <w:rsid w:val="340F73E6"/>
    <w:rsid w:val="34311A53"/>
    <w:rsid w:val="343E1A7A"/>
    <w:rsid w:val="34403A44"/>
    <w:rsid w:val="346C4839"/>
    <w:rsid w:val="347442DC"/>
    <w:rsid w:val="34943D90"/>
    <w:rsid w:val="349D6851"/>
    <w:rsid w:val="34F12F90"/>
    <w:rsid w:val="350E3B42"/>
    <w:rsid w:val="351153E0"/>
    <w:rsid w:val="351D5B33"/>
    <w:rsid w:val="3522139B"/>
    <w:rsid w:val="35415CC5"/>
    <w:rsid w:val="354B08F2"/>
    <w:rsid w:val="3550415A"/>
    <w:rsid w:val="355552CD"/>
    <w:rsid w:val="357165DC"/>
    <w:rsid w:val="35775243"/>
    <w:rsid w:val="359E6C74"/>
    <w:rsid w:val="35A85D44"/>
    <w:rsid w:val="35B2271F"/>
    <w:rsid w:val="35B50461"/>
    <w:rsid w:val="35B77D36"/>
    <w:rsid w:val="35D408E8"/>
    <w:rsid w:val="35DC154A"/>
    <w:rsid w:val="35E11256"/>
    <w:rsid w:val="35FF348B"/>
    <w:rsid w:val="36127662"/>
    <w:rsid w:val="361B02C4"/>
    <w:rsid w:val="361B6516"/>
    <w:rsid w:val="362178A5"/>
    <w:rsid w:val="36394BEF"/>
    <w:rsid w:val="366F23BE"/>
    <w:rsid w:val="36730D18"/>
    <w:rsid w:val="36743E79"/>
    <w:rsid w:val="368C11C2"/>
    <w:rsid w:val="36941E25"/>
    <w:rsid w:val="36A93B22"/>
    <w:rsid w:val="36AA5135"/>
    <w:rsid w:val="36AE1139"/>
    <w:rsid w:val="36B64491"/>
    <w:rsid w:val="36BE0DA7"/>
    <w:rsid w:val="36C3270A"/>
    <w:rsid w:val="36DB23A0"/>
    <w:rsid w:val="36E25286"/>
    <w:rsid w:val="36F445E5"/>
    <w:rsid w:val="37215DAE"/>
    <w:rsid w:val="37337890"/>
    <w:rsid w:val="37353608"/>
    <w:rsid w:val="37592E4C"/>
    <w:rsid w:val="375A6BCB"/>
    <w:rsid w:val="376B6AA6"/>
    <w:rsid w:val="376D0FF4"/>
    <w:rsid w:val="376D39B2"/>
    <w:rsid w:val="37712166"/>
    <w:rsid w:val="37AB38CA"/>
    <w:rsid w:val="37CB1876"/>
    <w:rsid w:val="37CB5D1A"/>
    <w:rsid w:val="37D42E21"/>
    <w:rsid w:val="37E16F03"/>
    <w:rsid w:val="37ED7A3F"/>
    <w:rsid w:val="37F53A3B"/>
    <w:rsid w:val="37FA2FBA"/>
    <w:rsid w:val="38064FA4"/>
    <w:rsid w:val="380F20AB"/>
    <w:rsid w:val="3814146F"/>
    <w:rsid w:val="38156F95"/>
    <w:rsid w:val="382F0057"/>
    <w:rsid w:val="382F62A9"/>
    <w:rsid w:val="383C1C4A"/>
    <w:rsid w:val="38507FCD"/>
    <w:rsid w:val="38523D46"/>
    <w:rsid w:val="3870241E"/>
    <w:rsid w:val="388C7258"/>
    <w:rsid w:val="38926838"/>
    <w:rsid w:val="38966328"/>
    <w:rsid w:val="389B6C89"/>
    <w:rsid w:val="38A26A7B"/>
    <w:rsid w:val="38C2711D"/>
    <w:rsid w:val="38C509BB"/>
    <w:rsid w:val="38D26C34"/>
    <w:rsid w:val="38D469F0"/>
    <w:rsid w:val="38D8249D"/>
    <w:rsid w:val="38E86458"/>
    <w:rsid w:val="390E4110"/>
    <w:rsid w:val="391D07F7"/>
    <w:rsid w:val="39237490"/>
    <w:rsid w:val="392751D2"/>
    <w:rsid w:val="3930052B"/>
    <w:rsid w:val="394915ED"/>
    <w:rsid w:val="39627CCD"/>
    <w:rsid w:val="3971644D"/>
    <w:rsid w:val="39755F3E"/>
    <w:rsid w:val="397BAF1F"/>
    <w:rsid w:val="397F0B6A"/>
    <w:rsid w:val="398C3287"/>
    <w:rsid w:val="39916AF0"/>
    <w:rsid w:val="399565E0"/>
    <w:rsid w:val="399D28F7"/>
    <w:rsid w:val="399D36E6"/>
    <w:rsid w:val="39AE31FE"/>
    <w:rsid w:val="39CB0253"/>
    <w:rsid w:val="39EC3D26"/>
    <w:rsid w:val="3A085004"/>
    <w:rsid w:val="3A0E1EEE"/>
    <w:rsid w:val="3A26548A"/>
    <w:rsid w:val="3A2D4A6A"/>
    <w:rsid w:val="3A2E433E"/>
    <w:rsid w:val="3A3F654C"/>
    <w:rsid w:val="3A4E4336"/>
    <w:rsid w:val="3A577D39"/>
    <w:rsid w:val="3A5E2E76"/>
    <w:rsid w:val="3A6A20DD"/>
    <w:rsid w:val="3A6F0BDF"/>
    <w:rsid w:val="3A7E0E22"/>
    <w:rsid w:val="3A804B9A"/>
    <w:rsid w:val="3AAD7959"/>
    <w:rsid w:val="3AB79AF3"/>
    <w:rsid w:val="3AC54CA3"/>
    <w:rsid w:val="3AD43138"/>
    <w:rsid w:val="3AE55345"/>
    <w:rsid w:val="3AE834C0"/>
    <w:rsid w:val="3AF37A62"/>
    <w:rsid w:val="3AF97469"/>
    <w:rsid w:val="3B1D063B"/>
    <w:rsid w:val="3B286FE0"/>
    <w:rsid w:val="3B581673"/>
    <w:rsid w:val="3B716BD9"/>
    <w:rsid w:val="3B762441"/>
    <w:rsid w:val="3B7EF35A"/>
    <w:rsid w:val="3B8701AA"/>
    <w:rsid w:val="3B9FDB6C"/>
    <w:rsid w:val="3BBA232E"/>
    <w:rsid w:val="3BBC3FE2"/>
    <w:rsid w:val="3BC60CD2"/>
    <w:rsid w:val="3BC82C9D"/>
    <w:rsid w:val="3BD258C9"/>
    <w:rsid w:val="3BD74C8E"/>
    <w:rsid w:val="3BF5BC2F"/>
    <w:rsid w:val="3BFC46F4"/>
    <w:rsid w:val="3BFE2DD5"/>
    <w:rsid w:val="3C0812EB"/>
    <w:rsid w:val="3C131A3E"/>
    <w:rsid w:val="3C261771"/>
    <w:rsid w:val="3C2B4FD9"/>
    <w:rsid w:val="3C4936B2"/>
    <w:rsid w:val="3C667DC0"/>
    <w:rsid w:val="3C6A3D54"/>
    <w:rsid w:val="3C8A1D00"/>
    <w:rsid w:val="3C8A7F52"/>
    <w:rsid w:val="3C8B3CCA"/>
    <w:rsid w:val="3CAB1C76"/>
    <w:rsid w:val="3CC86CCC"/>
    <w:rsid w:val="3CD15B81"/>
    <w:rsid w:val="3CDB255C"/>
    <w:rsid w:val="3CDE204C"/>
    <w:rsid w:val="3CE27D8E"/>
    <w:rsid w:val="3CEBA265"/>
    <w:rsid w:val="3D2263DC"/>
    <w:rsid w:val="3D281519"/>
    <w:rsid w:val="3D2E4D81"/>
    <w:rsid w:val="3D6764E5"/>
    <w:rsid w:val="3D69400B"/>
    <w:rsid w:val="3D711112"/>
    <w:rsid w:val="3D784514"/>
    <w:rsid w:val="3D98207C"/>
    <w:rsid w:val="3DA46DF1"/>
    <w:rsid w:val="3DAB63D2"/>
    <w:rsid w:val="3DEE7CF3"/>
    <w:rsid w:val="3DF15DAF"/>
    <w:rsid w:val="3DF37D79"/>
    <w:rsid w:val="3E012496"/>
    <w:rsid w:val="3E133F77"/>
    <w:rsid w:val="3E2972F7"/>
    <w:rsid w:val="3E2B12C1"/>
    <w:rsid w:val="3E587BDC"/>
    <w:rsid w:val="3E642A25"/>
    <w:rsid w:val="3E646581"/>
    <w:rsid w:val="3E740A63"/>
    <w:rsid w:val="3E740EBA"/>
    <w:rsid w:val="3E78745D"/>
    <w:rsid w:val="3E8D5AD7"/>
    <w:rsid w:val="3E9A56DD"/>
    <w:rsid w:val="3EBE2135"/>
    <w:rsid w:val="3ED731F7"/>
    <w:rsid w:val="3EE17838"/>
    <w:rsid w:val="3EEC6CA2"/>
    <w:rsid w:val="3F035D9A"/>
    <w:rsid w:val="3F06588A"/>
    <w:rsid w:val="3F1B1335"/>
    <w:rsid w:val="3F1C50AD"/>
    <w:rsid w:val="3F50645E"/>
    <w:rsid w:val="3F536256"/>
    <w:rsid w:val="3F55381A"/>
    <w:rsid w:val="3F7F7599"/>
    <w:rsid w:val="3F8A2017"/>
    <w:rsid w:val="3FA05CDE"/>
    <w:rsid w:val="3FA13DC5"/>
    <w:rsid w:val="3FB33543"/>
    <w:rsid w:val="3FB83028"/>
    <w:rsid w:val="3FCE2E2C"/>
    <w:rsid w:val="3FDF05B5"/>
    <w:rsid w:val="3FF4CAE0"/>
    <w:rsid w:val="3FF7B227"/>
    <w:rsid w:val="4001677D"/>
    <w:rsid w:val="4013200C"/>
    <w:rsid w:val="401364B0"/>
    <w:rsid w:val="402E6E46"/>
    <w:rsid w:val="405014B2"/>
    <w:rsid w:val="405E3BCF"/>
    <w:rsid w:val="406E1939"/>
    <w:rsid w:val="407E7DCE"/>
    <w:rsid w:val="40907B01"/>
    <w:rsid w:val="409F1AF2"/>
    <w:rsid w:val="40BE466E"/>
    <w:rsid w:val="40D20119"/>
    <w:rsid w:val="40D75730"/>
    <w:rsid w:val="40DE6ABE"/>
    <w:rsid w:val="40E35E83"/>
    <w:rsid w:val="40EF4827"/>
    <w:rsid w:val="41006E3B"/>
    <w:rsid w:val="41120516"/>
    <w:rsid w:val="412C5A7C"/>
    <w:rsid w:val="413D5EB5"/>
    <w:rsid w:val="415B15A7"/>
    <w:rsid w:val="417B60BB"/>
    <w:rsid w:val="417E5BAB"/>
    <w:rsid w:val="419D24D5"/>
    <w:rsid w:val="41AA074E"/>
    <w:rsid w:val="41AC2719"/>
    <w:rsid w:val="41B63597"/>
    <w:rsid w:val="41E2438C"/>
    <w:rsid w:val="420460B1"/>
    <w:rsid w:val="420625A2"/>
    <w:rsid w:val="421E659F"/>
    <w:rsid w:val="422A188F"/>
    <w:rsid w:val="425132C0"/>
    <w:rsid w:val="42554B5E"/>
    <w:rsid w:val="427A2817"/>
    <w:rsid w:val="4291741A"/>
    <w:rsid w:val="42A87384"/>
    <w:rsid w:val="42AB4CB8"/>
    <w:rsid w:val="42BA2C13"/>
    <w:rsid w:val="42EB101F"/>
    <w:rsid w:val="42F00D2B"/>
    <w:rsid w:val="42F779C3"/>
    <w:rsid w:val="43065E58"/>
    <w:rsid w:val="431247FD"/>
    <w:rsid w:val="431A7B56"/>
    <w:rsid w:val="431C38CE"/>
    <w:rsid w:val="431C742A"/>
    <w:rsid w:val="43505326"/>
    <w:rsid w:val="4359067E"/>
    <w:rsid w:val="436003D9"/>
    <w:rsid w:val="43601A0D"/>
    <w:rsid w:val="43713C1A"/>
    <w:rsid w:val="43811983"/>
    <w:rsid w:val="43911BC6"/>
    <w:rsid w:val="439B47F3"/>
    <w:rsid w:val="43AD4526"/>
    <w:rsid w:val="43AF64F0"/>
    <w:rsid w:val="43BE0CB1"/>
    <w:rsid w:val="43D85A47"/>
    <w:rsid w:val="43EC14F2"/>
    <w:rsid w:val="441822E7"/>
    <w:rsid w:val="44472BCC"/>
    <w:rsid w:val="44625310"/>
    <w:rsid w:val="446E0159"/>
    <w:rsid w:val="448B2AB9"/>
    <w:rsid w:val="44A771C7"/>
    <w:rsid w:val="44C304A5"/>
    <w:rsid w:val="44D97CC8"/>
    <w:rsid w:val="44E268DA"/>
    <w:rsid w:val="44E421C9"/>
    <w:rsid w:val="45050ABD"/>
    <w:rsid w:val="450D13D7"/>
    <w:rsid w:val="451F3201"/>
    <w:rsid w:val="452D7DB5"/>
    <w:rsid w:val="45321187"/>
    <w:rsid w:val="45372C41"/>
    <w:rsid w:val="45506656"/>
    <w:rsid w:val="456450B8"/>
    <w:rsid w:val="4565330A"/>
    <w:rsid w:val="45BD3146"/>
    <w:rsid w:val="45C36283"/>
    <w:rsid w:val="45CE5353"/>
    <w:rsid w:val="45CF4C28"/>
    <w:rsid w:val="45DD5596"/>
    <w:rsid w:val="45E00BE3"/>
    <w:rsid w:val="45E5444B"/>
    <w:rsid w:val="460348D1"/>
    <w:rsid w:val="463F7FFF"/>
    <w:rsid w:val="46470C62"/>
    <w:rsid w:val="46492C2C"/>
    <w:rsid w:val="46560EA5"/>
    <w:rsid w:val="465D0485"/>
    <w:rsid w:val="465F41FD"/>
    <w:rsid w:val="46753A21"/>
    <w:rsid w:val="46821C9A"/>
    <w:rsid w:val="4691012F"/>
    <w:rsid w:val="469A5235"/>
    <w:rsid w:val="46A240EA"/>
    <w:rsid w:val="46AC6D17"/>
    <w:rsid w:val="46BD2CD2"/>
    <w:rsid w:val="46C16C66"/>
    <w:rsid w:val="46C6602A"/>
    <w:rsid w:val="46D324F5"/>
    <w:rsid w:val="46E6611B"/>
    <w:rsid w:val="46EB5A91"/>
    <w:rsid w:val="47040901"/>
    <w:rsid w:val="47042837"/>
    <w:rsid w:val="472D60AA"/>
    <w:rsid w:val="474451A1"/>
    <w:rsid w:val="47490A0A"/>
    <w:rsid w:val="47543636"/>
    <w:rsid w:val="47555600"/>
    <w:rsid w:val="475E2707"/>
    <w:rsid w:val="475F3D89"/>
    <w:rsid w:val="47665118"/>
    <w:rsid w:val="47685334"/>
    <w:rsid w:val="477349E0"/>
    <w:rsid w:val="477F442B"/>
    <w:rsid w:val="479A3013"/>
    <w:rsid w:val="479E45CE"/>
    <w:rsid w:val="47AA76FA"/>
    <w:rsid w:val="47B95B8F"/>
    <w:rsid w:val="47CB141F"/>
    <w:rsid w:val="47CF53B3"/>
    <w:rsid w:val="47F24BFD"/>
    <w:rsid w:val="47F56E2D"/>
    <w:rsid w:val="480F3A01"/>
    <w:rsid w:val="48376AB4"/>
    <w:rsid w:val="484C07B1"/>
    <w:rsid w:val="48684EBF"/>
    <w:rsid w:val="486A6C7A"/>
    <w:rsid w:val="487D096B"/>
    <w:rsid w:val="48877A3B"/>
    <w:rsid w:val="488937B4"/>
    <w:rsid w:val="488A12DA"/>
    <w:rsid w:val="488C5052"/>
    <w:rsid w:val="489A776F"/>
    <w:rsid w:val="48AB1F1A"/>
    <w:rsid w:val="48B545A9"/>
    <w:rsid w:val="48BA396D"/>
    <w:rsid w:val="48C9444C"/>
    <w:rsid w:val="48D65B21"/>
    <w:rsid w:val="48DC31EB"/>
    <w:rsid w:val="48ED7D85"/>
    <w:rsid w:val="48EF2457"/>
    <w:rsid w:val="48FA020D"/>
    <w:rsid w:val="491312CF"/>
    <w:rsid w:val="492C413F"/>
    <w:rsid w:val="492E6109"/>
    <w:rsid w:val="49663AF5"/>
    <w:rsid w:val="49690EEF"/>
    <w:rsid w:val="496E6505"/>
    <w:rsid w:val="498126DD"/>
    <w:rsid w:val="498A77E3"/>
    <w:rsid w:val="49A14B2D"/>
    <w:rsid w:val="49A40179"/>
    <w:rsid w:val="49A95790"/>
    <w:rsid w:val="49AB59AC"/>
    <w:rsid w:val="49E113CD"/>
    <w:rsid w:val="49E669E4"/>
    <w:rsid w:val="4A003601"/>
    <w:rsid w:val="4A070E34"/>
    <w:rsid w:val="4A121587"/>
    <w:rsid w:val="4A174DEF"/>
    <w:rsid w:val="4A2D63C1"/>
    <w:rsid w:val="4A3B0ADD"/>
    <w:rsid w:val="4A45370A"/>
    <w:rsid w:val="4A4A2ACF"/>
    <w:rsid w:val="4A4D25BF"/>
    <w:rsid w:val="4A5D4EF8"/>
    <w:rsid w:val="4A627F82"/>
    <w:rsid w:val="4A833BAA"/>
    <w:rsid w:val="4A9621B8"/>
    <w:rsid w:val="4A9D4A92"/>
    <w:rsid w:val="4AA448D5"/>
    <w:rsid w:val="4AAA7A11"/>
    <w:rsid w:val="4AB32D6A"/>
    <w:rsid w:val="4ABB577A"/>
    <w:rsid w:val="4AC05487"/>
    <w:rsid w:val="4AF62C56"/>
    <w:rsid w:val="4B0E749A"/>
    <w:rsid w:val="4B1E2A7B"/>
    <w:rsid w:val="4B2477C4"/>
    <w:rsid w:val="4B3C5A45"/>
    <w:rsid w:val="4B3F0159"/>
    <w:rsid w:val="4B413ED2"/>
    <w:rsid w:val="4B46773A"/>
    <w:rsid w:val="4B4F25DA"/>
    <w:rsid w:val="4B645E12"/>
    <w:rsid w:val="4BB23021"/>
    <w:rsid w:val="4BB24DCF"/>
    <w:rsid w:val="4BB548C0"/>
    <w:rsid w:val="4BC468B1"/>
    <w:rsid w:val="4BC863A1"/>
    <w:rsid w:val="4BD016F9"/>
    <w:rsid w:val="4BD50ABE"/>
    <w:rsid w:val="4BD713CC"/>
    <w:rsid w:val="4BD9235C"/>
    <w:rsid w:val="4BE068DB"/>
    <w:rsid w:val="4BEA116A"/>
    <w:rsid w:val="4C012894"/>
    <w:rsid w:val="4C043151"/>
    <w:rsid w:val="4C121D12"/>
    <w:rsid w:val="4C2A2BB8"/>
    <w:rsid w:val="4C2C71A1"/>
    <w:rsid w:val="4C2D4456"/>
    <w:rsid w:val="4C3564AA"/>
    <w:rsid w:val="4C5639AD"/>
    <w:rsid w:val="4C716A38"/>
    <w:rsid w:val="4C883D82"/>
    <w:rsid w:val="4CB93F3C"/>
    <w:rsid w:val="4CBD7ED0"/>
    <w:rsid w:val="4CD86AB8"/>
    <w:rsid w:val="4CDB0356"/>
    <w:rsid w:val="4CDF7E46"/>
    <w:rsid w:val="4CE0771A"/>
    <w:rsid w:val="4CE30FB8"/>
    <w:rsid w:val="4CE94821"/>
    <w:rsid w:val="4CF3569F"/>
    <w:rsid w:val="4D07114B"/>
    <w:rsid w:val="4D137AF0"/>
    <w:rsid w:val="4D265A75"/>
    <w:rsid w:val="4D577224"/>
    <w:rsid w:val="4D6420F9"/>
    <w:rsid w:val="4D956757"/>
    <w:rsid w:val="4DBF1CEB"/>
    <w:rsid w:val="4DD80AEC"/>
    <w:rsid w:val="4DD94895"/>
    <w:rsid w:val="4DE1199C"/>
    <w:rsid w:val="4DF0007C"/>
    <w:rsid w:val="4E1458CD"/>
    <w:rsid w:val="4E1F6361"/>
    <w:rsid w:val="4E2F2707"/>
    <w:rsid w:val="4E3E294A"/>
    <w:rsid w:val="4E3F60E7"/>
    <w:rsid w:val="4E4361B3"/>
    <w:rsid w:val="4E437F61"/>
    <w:rsid w:val="4E6A7BE3"/>
    <w:rsid w:val="4E7520E4"/>
    <w:rsid w:val="4E832A53"/>
    <w:rsid w:val="4E9702AC"/>
    <w:rsid w:val="4E984750"/>
    <w:rsid w:val="4EAB630A"/>
    <w:rsid w:val="4EC310A1"/>
    <w:rsid w:val="4ECE2238"/>
    <w:rsid w:val="4EFF657E"/>
    <w:rsid w:val="4F1813ED"/>
    <w:rsid w:val="4F1B22DD"/>
    <w:rsid w:val="4F277677"/>
    <w:rsid w:val="4F2E0C11"/>
    <w:rsid w:val="4F457D08"/>
    <w:rsid w:val="4F4F2935"/>
    <w:rsid w:val="4F5166AD"/>
    <w:rsid w:val="4F6B3C13"/>
    <w:rsid w:val="4F7B372A"/>
    <w:rsid w:val="4F7D59F7"/>
    <w:rsid w:val="4F833267"/>
    <w:rsid w:val="4F8627FB"/>
    <w:rsid w:val="4FAE3B00"/>
    <w:rsid w:val="4FBD1F95"/>
    <w:rsid w:val="4FC2384D"/>
    <w:rsid w:val="4FDC68BF"/>
    <w:rsid w:val="4FE47521"/>
    <w:rsid w:val="4FE9BD67"/>
    <w:rsid w:val="4FEB4D54"/>
    <w:rsid w:val="4FEB6B02"/>
    <w:rsid w:val="4FFB052F"/>
    <w:rsid w:val="500E459E"/>
    <w:rsid w:val="50493828"/>
    <w:rsid w:val="5051105B"/>
    <w:rsid w:val="5052092F"/>
    <w:rsid w:val="506B19F1"/>
    <w:rsid w:val="506D39BB"/>
    <w:rsid w:val="5080549C"/>
    <w:rsid w:val="509B0528"/>
    <w:rsid w:val="509C7DFC"/>
    <w:rsid w:val="509E1DC6"/>
    <w:rsid w:val="50A56CB1"/>
    <w:rsid w:val="50A70C7B"/>
    <w:rsid w:val="50D41344"/>
    <w:rsid w:val="51037E7B"/>
    <w:rsid w:val="51097D26"/>
    <w:rsid w:val="510C31D4"/>
    <w:rsid w:val="51281690"/>
    <w:rsid w:val="513B13C3"/>
    <w:rsid w:val="51430B2C"/>
    <w:rsid w:val="51542485"/>
    <w:rsid w:val="51644DBE"/>
    <w:rsid w:val="51870AAC"/>
    <w:rsid w:val="519E2614"/>
    <w:rsid w:val="51A21442"/>
    <w:rsid w:val="51C4585C"/>
    <w:rsid w:val="51DC2BA6"/>
    <w:rsid w:val="51DC4954"/>
    <w:rsid w:val="52021F07"/>
    <w:rsid w:val="52100AA2"/>
    <w:rsid w:val="52102850"/>
    <w:rsid w:val="521F6F37"/>
    <w:rsid w:val="52287B99"/>
    <w:rsid w:val="523F1387"/>
    <w:rsid w:val="52483D98"/>
    <w:rsid w:val="524F15CA"/>
    <w:rsid w:val="52697A92"/>
    <w:rsid w:val="52734B8D"/>
    <w:rsid w:val="527C1C93"/>
    <w:rsid w:val="52AD4542"/>
    <w:rsid w:val="52B4142D"/>
    <w:rsid w:val="52B96A43"/>
    <w:rsid w:val="52C35B14"/>
    <w:rsid w:val="52F12681"/>
    <w:rsid w:val="5302663C"/>
    <w:rsid w:val="53220A8C"/>
    <w:rsid w:val="534704F3"/>
    <w:rsid w:val="535D7D17"/>
    <w:rsid w:val="536D3860"/>
    <w:rsid w:val="53755060"/>
    <w:rsid w:val="53762B86"/>
    <w:rsid w:val="537E6D0A"/>
    <w:rsid w:val="538F59F6"/>
    <w:rsid w:val="53B86CFB"/>
    <w:rsid w:val="53BC2C8F"/>
    <w:rsid w:val="53C658BC"/>
    <w:rsid w:val="53CA4102"/>
    <w:rsid w:val="53D62E19"/>
    <w:rsid w:val="53D63625"/>
    <w:rsid w:val="53DA3115"/>
    <w:rsid w:val="53E93358"/>
    <w:rsid w:val="53EB5322"/>
    <w:rsid w:val="53EC109A"/>
    <w:rsid w:val="53F74C96"/>
    <w:rsid w:val="544C7EE0"/>
    <w:rsid w:val="546E385E"/>
    <w:rsid w:val="54A37489"/>
    <w:rsid w:val="54B27BEE"/>
    <w:rsid w:val="54D23DEC"/>
    <w:rsid w:val="54E87AB4"/>
    <w:rsid w:val="54EC75A4"/>
    <w:rsid w:val="54ED0C26"/>
    <w:rsid w:val="54F226E1"/>
    <w:rsid w:val="54F2623D"/>
    <w:rsid w:val="54F8584D"/>
    <w:rsid w:val="551408A9"/>
    <w:rsid w:val="55170BA8"/>
    <w:rsid w:val="552A1E7A"/>
    <w:rsid w:val="553218C9"/>
    <w:rsid w:val="55472A2C"/>
    <w:rsid w:val="554A7E27"/>
    <w:rsid w:val="55651104"/>
    <w:rsid w:val="55741347"/>
    <w:rsid w:val="557F21C6"/>
    <w:rsid w:val="559E0172"/>
    <w:rsid w:val="55A25EB5"/>
    <w:rsid w:val="55A75279"/>
    <w:rsid w:val="55B160F8"/>
    <w:rsid w:val="55BA31FE"/>
    <w:rsid w:val="55C027DF"/>
    <w:rsid w:val="55CE0A58"/>
    <w:rsid w:val="55DA564E"/>
    <w:rsid w:val="55DB13C7"/>
    <w:rsid w:val="561C5C67"/>
    <w:rsid w:val="561D378D"/>
    <w:rsid w:val="562763BA"/>
    <w:rsid w:val="56332FB1"/>
    <w:rsid w:val="56372AA1"/>
    <w:rsid w:val="56574EF1"/>
    <w:rsid w:val="56644F18"/>
    <w:rsid w:val="567E1AA5"/>
    <w:rsid w:val="56AF0889"/>
    <w:rsid w:val="56BA722E"/>
    <w:rsid w:val="56C02A96"/>
    <w:rsid w:val="56E33BA3"/>
    <w:rsid w:val="56E47B74"/>
    <w:rsid w:val="56E524FD"/>
    <w:rsid w:val="56ED13B1"/>
    <w:rsid w:val="56ED7603"/>
    <w:rsid w:val="56F24C1A"/>
    <w:rsid w:val="56F75D8C"/>
    <w:rsid w:val="56F95FA8"/>
    <w:rsid w:val="56FA762A"/>
    <w:rsid w:val="57175D52"/>
    <w:rsid w:val="57250B4B"/>
    <w:rsid w:val="572B3C88"/>
    <w:rsid w:val="57482A8C"/>
    <w:rsid w:val="5753390A"/>
    <w:rsid w:val="57603931"/>
    <w:rsid w:val="576158FB"/>
    <w:rsid w:val="579E445A"/>
    <w:rsid w:val="57A8352A"/>
    <w:rsid w:val="57B91294"/>
    <w:rsid w:val="57BD3DD4"/>
    <w:rsid w:val="57E502DB"/>
    <w:rsid w:val="57F16C7F"/>
    <w:rsid w:val="580764A3"/>
    <w:rsid w:val="5846521D"/>
    <w:rsid w:val="58523BC2"/>
    <w:rsid w:val="58555460"/>
    <w:rsid w:val="586236D9"/>
    <w:rsid w:val="586B4C84"/>
    <w:rsid w:val="588E44CE"/>
    <w:rsid w:val="58A40196"/>
    <w:rsid w:val="58AD0DF8"/>
    <w:rsid w:val="58C12AF6"/>
    <w:rsid w:val="58C22DD7"/>
    <w:rsid w:val="58C47EF0"/>
    <w:rsid w:val="58CA7BFC"/>
    <w:rsid w:val="58E32A6C"/>
    <w:rsid w:val="58FF352B"/>
    <w:rsid w:val="592B4413"/>
    <w:rsid w:val="59312C59"/>
    <w:rsid w:val="59415508"/>
    <w:rsid w:val="596F2552"/>
    <w:rsid w:val="59701E26"/>
    <w:rsid w:val="598F49A2"/>
    <w:rsid w:val="59995821"/>
    <w:rsid w:val="599B6EA3"/>
    <w:rsid w:val="59BD32BD"/>
    <w:rsid w:val="59D6612D"/>
    <w:rsid w:val="59DF76D7"/>
    <w:rsid w:val="5A0A227A"/>
    <w:rsid w:val="5A555BBE"/>
    <w:rsid w:val="5A6279C1"/>
    <w:rsid w:val="5A7D2A4C"/>
    <w:rsid w:val="5A9C7376"/>
    <w:rsid w:val="5AA4622B"/>
    <w:rsid w:val="5AB741B0"/>
    <w:rsid w:val="5AC8016B"/>
    <w:rsid w:val="5AD05272"/>
    <w:rsid w:val="5AD7215D"/>
    <w:rsid w:val="5AD85ED5"/>
    <w:rsid w:val="5AEE394A"/>
    <w:rsid w:val="5AF92295"/>
    <w:rsid w:val="5AFC1BC3"/>
    <w:rsid w:val="5AFE7D23"/>
    <w:rsid w:val="5B250254"/>
    <w:rsid w:val="5B345801"/>
    <w:rsid w:val="5B503CBD"/>
    <w:rsid w:val="5B6559BA"/>
    <w:rsid w:val="5B7B51DE"/>
    <w:rsid w:val="5B8147BE"/>
    <w:rsid w:val="5B835E40"/>
    <w:rsid w:val="5B9B13DC"/>
    <w:rsid w:val="5BA83AF9"/>
    <w:rsid w:val="5BA87F9D"/>
    <w:rsid w:val="5BDD79E6"/>
    <w:rsid w:val="5BF3746A"/>
    <w:rsid w:val="5BF561CA"/>
    <w:rsid w:val="5BFF5DFC"/>
    <w:rsid w:val="5C2238AB"/>
    <w:rsid w:val="5C25339C"/>
    <w:rsid w:val="5C2E2250"/>
    <w:rsid w:val="5C311D40"/>
    <w:rsid w:val="5C4E28F2"/>
    <w:rsid w:val="5CB63FF4"/>
    <w:rsid w:val="5CD32DF8"/>
    <w:rsid w:val="5CD71FC4"/>
    <w:rsid w:val="5CE45005"/>
    <w:rsid w:val="5CF039A9"/>
    <w:rsid w:val="5D080CF3"/>
    <w:rsid w:val="5D153410"/>
    <w:rsid w:val="5D1F11B5"/>
    <w:rsid w:val="5D323FC2"/>
    <w:rsid w:val="5D373386"/>
    <w:rsid w:val="5D3A2E77"/>
    <w:rsid w:val="5D3F66DF"/>
    <w:rsid w:val="5D4D4958"/>
    <w:rsid w:val="5D600B2F"/>
    <w:rsid w:val="5D695134"/>
    <w:rsid w:val="5D6D6DA8"/>
    <w:rsid w:val="5D706898"/>
    <w:rsid w:val="5DA16A52"/>
    <w:rsid w:val="5DA327CA"/>
    <w:rsid w:val="5DAE1B18"/>
    <w:rsid w:val="5DAF116F"/>
    <w:rsid w:val="5DBC7D30"/>
    <w:rsid w:val="5DBF512A"/>
    <w:rsid w:val="5DC0337C"/>
    <w:rsid w:val="5DCA7D57"/>
    <w:rsid w:val="5DD010E5"/>
    <w:rsid w:val="5DDB01B6"/>
    <w:rsid w:val="5DE7D9E5"/>
    <w:rsid w:val="5DEA4164"/>
    <w:rsid w:val="5DEB5F1F"/>
    <w:rsid w:val="5DF179D9"/>
    <w:rsid w:val="5E331DA0"/>
    <w:rsid w:val="5E4044BD"/>
    <w:rsid w:val="5E421FE3"/>
    <w:rsid w:val="5E897C12"/>
    <w:rsid w:val="5E912F6A"/>
    <w:rsid w:val="5E914D18"/>
    <w:rsid w:val="5EA52572"/>
    <w:rsid w:val="5EAE7678"/>
    <w:rsid w:val="5EC24ED2"/>
    <w:rsid w:val="5ECEC941"/>
    <w:rsid w:val="5F131BD1"/>
    <w:rsid w:val="5F294F51"/>
    <w:rsid w:val="5F381638"/>
    <w:rsid w:val="5F3833E6"/>
    <w:rsid w:val="5F3F29C6"/>
    <w:rsid w:val="5F4C0C3F"/>
    <w:rsid w:val="5F4D6E91"/>
    <w:rsid w:val="5F585836"/>
    <w:rsid w:val="5F5F4E16"/>
    <w:rsid w:val="5F681F1D"/>
    <w:rsid w:val="5F8B1768"/>
    <w:rsid w:val="5F97635E"/>
    <w:rsid w:val="5F9C5723"/>
    <w:rsid w:val="5F9E149B"/>
    <w:rsid w:val="5FB339BB"/>
    <w:rsid w:val="5FB567E4"/>
    <w:rsid w:val="5FBE38EB"/>
    <w:rsid w:val="5FBF9FF3"/>
    <w:rsid w:val="5FCD4E2C"/>
    <w:rsid w:val="5FE13A7D"/>
    <w:rsid w:val="5FEF394A"/>
    <w:rsid w:val="5FF67715"/>
    <w:rsid w:val="5FF732A1"/>
    <w:rsid w:val="5FFE63DD"/>
    <w:rsid w:val="60003F04"/>
    <w:rsid w:val="600F2399"/>
    <w:rsid w:val="60285208"/>
    <w:rsid w:val="604B1057"/>
    <w:rsid w:val="604C7149"/>
    <w:rsid w:val="605204D7"/>
    <w:rsid w:val="606E3563"/>
    <w:rsid w:val="60A2320D"/>
    <w:rsid w:val="60F670B5"/>
    <w:rsid w:val="60FB291D"/>
    <w:rsid w:val="60FB46CB"/>
    <w:rsid w:val="610B0DB2"/>
    <w:rsid w:val="61122DD7"/>
    <w:rsid w:val="61140A35"/>
    <w:rsid w:val="616567D7"/>
    <w:rsid w:val="61842912"/>
    <w:rsid w:val="61970898"/>
    <w:rsid w:val="61A86601"/>
    <w:rsid w:val="61D14C04"/>
    <w:rsid w:val="61DB5877"/>
    <w:rsid w:val="61EA4E6B"/>
    <w:rsid w:val="61F23D20"/>
    <w:rsid w:val="61F25ACE"/>
    <w:rsid w:val="61F53810"/>
    <w:rsid w:val="61F5736C"/>
    <w:rsid w:val="6204091A"/>
    <w:rsid w:val="620F042E"/>
    <w:rsid w:val="62165C60"/>
    <w:rsid w:val="622B0FE0"/>
    <w:rsid w:val="622F0AD0"/>
    <w:rsid w:val="623F6839"/>
    <w:rsid w:val="62436329"/>
    <w:rsid w:val="62791D4B"/>
    <w:rsid w:val="6299419B"/>
    <w:rsid w:val="629E7A04"/>
    <w:rsid w:val="62B114E5"/>
    <w:rsid w:val="62B17737"/>
    <w:rsid w:val="62B334AF"/>
    <w:rsid w:val="62BF3928"/>
    <w:rsid w:val="62C90F25"/>
    <w:rsid w:val="62D653F0"/>
    <w:rsid w:val="6300246C"/>
    <w:rsid w:val="63147CC6"/>
    <w:rsid w:val="633640E0"/>
    <w:rsid w:val="633B34A5"/>
    <w:rsid w:val="63416D0D"/>
    <w:rsid w:val="63493E13"/>
    <w:rsid w:val="63495BC1"/>
    <w:rsid w:val="63620A31"/>
    <w:rsid w:val="637D1D0F"/>
    <w:rsid w:val="63844E4C"/>
    <w:rsid w:val="638906B4"/>
    <w:rsid w:val="638B442C"/>
    <w:rsid w:val="6390559E"/>
    <w:rsid w:val="639650DC"/>
    <w:rsid w:val="63A4104A"/>
    <w:rsid w:val="63B3701E"/>
    <w:rsid w:val="63BC45E5"/>
    <w:rsid w:val="63D74F7B"/>
    <w:rsid w:val="63E56E61"/>
    <w:rsid w:val="63F83144"/>
    <w:rsid w:val="63FC2C34"/>
    <w:rsid w:val="64025D70"/>
    <w:rsid w:val="641B57B0"/>
    <w:rsid w:val="64470525"/>
    <w:rsid w:val="646507D9"/>
    <w:rsid w:val="646709F5"/>
    <w:rsid w:val="64740A1C"/>
    <w:rsid w:val="647F5392"/>
    <w:rsid w:val="64801AB7"/>
    <w:rsid w:val="64850E7B"/>
    <w:rsid w:val="649C7F73"/>
    <w:rsid w:val="64BE63DC"/>
    <w:rsid w:val="64C73242"/>
    <w:rsid w:val="64DB6CED"/>
    <w:rsid w:val="64EF4547"/>
    <w:rsid w:val="65075D34"/>
    <w:rsid w:val="6511270F"/>
    <w:rsid w:val="651346D9"/>
    <w:rsid w:val="65181CEF"/>
    <w:rsid w:val="651B358E"/>
    <w:rsid w:val="65332685"/>
    <w:rsid w:val="656B62C3"/>
    <w:rsid w:val="65717652"/>
    <w:rsid w:val="657C03AC"/>
    <w:rsid w:val="65876E75"/>
    <w:rsid w:val="659F41BF"/>
    <w:rsid w:val="65B0017A"/>
    <w:rsid w:val="65B85280"/>
    <w:rsid w:val="65C6174B"/>
    <w:rsid w:val="65E66580"/>
    <w:rsid w:val="65E73470"/>
    <w:rsid w:val="65FF07B9"/>
    <w:rsid w:val="66067D9A"/>
    <w:rsid w:val="66432D9C"/>
    <w:rsid w:val="6646288C"/>
    <w:rsid w:val="664B1D71"/>
    <w:rsid w:val="664B4E8E"/>
    <w:rsid w:val="66521231"/>
    <w:rsid w:val="665C3E5E"/>
    <w:rsid w:val="665F74AA"/>
    <w:rsid w:val="66707909"/>
    <w:rsid w:val="667271DD"/>
    <w:rsid w:val="667C62AE"/>
    <w:rsid w:val="668A4527"/>
    <w:rsid w:val="66952ECC"/>
    <w:rsid w:val="66996E60"/>
    <w:rsid w:val="66AF21DF"/>
    <w:rsid w:val="66B75538"/>
    <w:rsid w:val="66B9305E"/>
    <w:rsid w:val="66CA526B"/>
    <w:rsid w:val="66D460EA"/>
    <w:rsid w:val="66E14363"/>
    <w:rsid w:val="67000C8D"/>
    <w:rsid w:val="670F0ED0"/>
    <w:rsid w:val="67277B67"/>
    <w:rsid w:val="6732696D"/>
    <w:rsid w:val="673B3A73"/>
    <w:rsid w:val="674548F2"/>
    <w:rsid w:val="674C3ED2"/>
    <w:rsid w:val="675E7762"/>
    <w:rsid w:val="67696832"/>
    <w:rsid w:val="67705E13"/>
    <w:rsid w:val="6779459B"/>
    <w:rsid w:val="67890C82"/>
    <w:rsid w:val="67892A30"/>
    <w:rsid w:val="6796339F"/>
    <w:rsid w:val="679B09B6"/>
    <w:rsid w:val="67A23AF2"/>
    <w:rsid w:val="67AA3209"/>
    <w:rsid w:val="67B7460A"/>
    <w:rsid w:val="67DD4B2A"/>
    <w:rsid w:val="67F24A7A"/>
    <w:rsid w:val="67FD6F7B"/>
    <w:rsid w:val="68182006"/>
    <w:rsid w:val="68246BE9"/>
    <w:rsid w:val="682B1D3A"/>
    <w:rsid w:val="68330BEE"/>
    <w:rsid w:val="684D7F02"/>
    <w:rsid w:val="68662D72"/>
    <w:rsid w:val="68664B20"/>
    <w:rsid w:val="686D4100"/>
    <w:rsid w:val="68752FB5"/>
    <w:rsid w:val="6885769C"/>
    <w:rsid w:val="688B4586"/>
    <w:rsid w:val="68AA5354"/>
    <w:rsid w:val="68B27D65"/>
    <w:rsid w:val="68D221B5"/>
    <w:rsid w:val="68DB3760"/>
    <w:rsid w:val="68F44821"/>
    <w:rsid w:val="68F55EA4"/>
    <w:rsid w:val="69004F74"/>
    <w:rsid w:val="69146C72"/>
    <w:rsid w:val="691B1DAE"/>
    <w:rsid w:val="6949691B"/>
    <w:rsid w:val="695D50EC"/>
    <w:rsid w:val="69601EB7"/>
    <w:rsid w:val="69790883"/>
    <w:rsid w:val="698C4A5A"/>
    <w:rsid w:val="698D0931"/>
    <w:rsid w:val="69932D21"/>
    <w:rsid w:val="69951B60"/>
    <w:rsid w:val="69BB533F"/>
    <w:rsid w:val="69F12B0F"/>
    <w:rsid w:val="69F745C9"/>
    <w:rsid w:val="6A0740E0"/>
    <w:rsid w:val="6A260A0B"/>
    <w:rsid w:val="6A274783"/>
    <w:rsid w:val="6A325601"/>
    <w:rsid w:val="6A3F1ACC"/>
    <w:rsid w:val="6A484E25"/>
    <w:rsid w:val="6A6E5F0E"/>
    <w:rsid w:val="6A786D8C"/>
    <w:rsid w:val="6A7FE5F3"/>
    <w:rsid w:val="6A90057A"/>
    <w:rsid w:val="6A9F256B"/>
    <w:rsid w:val="6AA95198"/>
    <w:rsid w:val="6AAE27AE"/>
    <w:rsid w:val="6AB26742"/>
    <w:rsid w:val="6B036F9E"/>
    <w:rsid w:val="6B053271"/>
    <w:rsid w:val="6B0D1BCA"/>
    <w:rsid w:val="6B0D5727"/>
    <w:rsid w:val="6B1116BB"/>
    <w:rsid w:val="6B1C3BBC"/>
    <w:rsid w:val="6B1F0C95"/>
    <w:rsid w:val="6B3E3B32"/>
    <w:rsid w:val="6B411343"/>
    <w:rsid w:val="6B43383E"/>
    <w:rsid w:val="6B890047"/>
    <w:rsid w:val="6B99343E"/>
    <w:rsid w:val="6B9A16B0"/>
    <w:rsid w:val="6BC32289"/>
    <w:rsid w:val="6BDD78B3"/>
    <w:rsid w:val="6BE4292B"/>
    <w:rsid w:val="6BE7241B"/>
    <w:rsid w:val="6BF3491C"/>
    <w:rsid w:val="6C040682"/>
    <w:rsid w:val="6C046B2A"/>
    <w:rsid w:val="6C156F89"/>
    <w:rsid w:val="6C2E004A"/>
    <w:rsid w:val="6C305B70"/>
    <w:rsid w:val="6C313697"/>
    <w:rsid w:val="6C3A69EF"/>
    <w:rsid w:val="6C3B62C3"/>
    <w:rsid w:val="6C44786E"/>
    <w:rsid w:val="6C4A05C8"/>
    <w:rsid w:val="6C5648C6"/>
    <w:rsid w:val="6C5D26DE"/>
    <w:rsid w:val="6C8742B8"/>
    <w:rsid w:val="6C97799E"/>
    <w:rsid w:val="6CAB51F7"/>
    <w:rsid w:val="6CE801F9"/>
    <w:rsid w:val="6CFC3CA5"/>
    <w:rsid w:val="6D06067F"/>
    <w:rsid w:val="6D2452DC"/>
    <w:rsid w:val="6D91263F"/>
    <w:rsid w:val="6D9640F9"/>
    <w:rsid w:val="6DBB590E"/>
    <w:rsid w:val="6DBF5E93"/>
    <w:rsid w:val="6DC04CD2"/>
    <w:rsid w:val="6DC5678C"/>
    <w:rsid w:val="6DFE57FA"/>
    <w:rsid w:val="6DFF077E"/>
    <w:rsid w:val="6E13574A"/>
    <w:rsid w:val="6E1A0886"/>
    <w:rsid w:val="6E3A0F28"/>
    <w:rsid w:val="6E510020"/>
    <w:rsid w:val="6E587601"/>
    <w:rsid w:val="6E714EF0"/>
    <w:rsid w:val="6E7E3605"/>
    <w:rsid w:val="6E7FDCC7"/>
    <w:rsid w:val="6E8201DA"/>
    <w:rsid w:val="6E906D9A"/>
    <w:rsid w:val="6EA6211A"/>
    <w:rsid w:val="6ED6A62E"/>
    <w:rsid w:val="6EDF73DA"/>
    <w:rsid w:val="6EE00B15"/>
    <w:rsid w:val="6EF70BC7"/>
    <w:rsid w:val="6F007D68"/>
    <w:rsid w:val="6F06705D"/>
    <w:rsid w:val="6F1B2B08"/>
    <w:rsid w:val="6F1F1ECC"/>
    <w:rsid w:val="6F2D45E9"/>
    <w:rsid w:val="6F3040D9"/>
    <w:rsid w:val="6F63625D"/>
    <w:rsid w:val="6F6FB3EB"/>
    <w:rsid w:val="6F8731EA"/>
    <w:rsid w:val="6F963F3C"/>
    <w:rsid w:val="6FAB550E"/>
    <w:rsid w:val="6FB70357"/>
    <w:rsid w:val="6FC0720B"/>
    <w:rsid w:val="6FCE6052"/>
    <w:rsid w:val="6FD11419"/>
    <w:rsid w:val="6FD57C00"/>
    <w:rsid w:val="6FDD7DBD"/>
    <w:rsid w:val="6FEF5D43"/>
    <w:rsid w:val="6FEFFFD8"/>
    <w:rsid w:val="6FF5CC65"/>
    <w:rsid w:val="6FF670D1"/>
    <w:rsid w:val="6FFB47EC"/>
    <w:rsid w:val="6FFF034A"/>
    <w:rsid w:val="7020414E"/>
    <w:rsid w:val="702F7EED"/>
    <w:rsid w:val="70333E81"/>
    <w:rsid w:val="703433CD"/>
    <w:rsid w:val="70425E72"/>
    <w:rsid w:val="70484440"/>
    <w:rsid w:val="70497201"/>
    <w:rsid w:val="708B3C5F"/>
    <w:rsid w:val="70CD6084"/>
    <w:rsid w:val="70D311C0"/>
    <w:rsid w:val="70DF36C1"/>
    <w:rsid w:val="70FE448F"/>
    <w:rsid w:val="71092E34"/>
    <w:rsid w:val="712A28F1"/>
    <w:rsid w:val="712B4B58"/>
    <w:rsid w:val="7136657A"/>
    <w:rsid w:val="71445C1A"/>
    <w:rsid w:val="715440AF"/>
    <w:rsid w:val="715C0E4B"/>
    <w:rsid w:val="71834994"/>
    <w:rsid w:val="718B55F7"/>
    <w:rsid w:val="718D136F"/>
    <w:rsid w:val="71902C0D"/>
    <w:rsid w:val="71992E7C"/>
    <w:rsid w:val="719B7F30"/>
    <w:rsid w:val="71BE3C1E"/>
    <w:rsid w:val="71DC5E53"/>
    <w:rsid w:val="7205184D"/>
    <w:rsid w:val="721455EC"/>
    <w:rsid w:val="72233669"/>
    <w:rsid w:val="72330169"/>
    <w:rsid w:val="725E6E9D"/>
    <w:rsid w:val="725F0F5E"/>
    <w:rsid w:val="72676064"/>
    <w:rsid w:val="72712A3F"/>
    <w:rsid w:val="72734D90"/>
    <w:rsid w:val="729B5D0E"/>
    <w:rsid w:val="729C3F60"/>
    <w:rsid w:val="72AE3C93"/>
    <w:rsid w:val="72BA43E6"/>
    <w:rsid w:val="72C15774"/>
    <w:rsid w:val="72CC4119"/>
    <w:rsid w:val="72E43211"/>
    <w:rsid w:val="72E74AAF"/>
    <w:rsid w:val="72EE5E3E"/>
    <w:rsid w:val="72F83160"/>
    <w:rsid w:val="73160E6D"/>
    <w:rsid w:val="731F693F"/>
    <w:rsid w:val="732950C8"/>
    <w:rsid w:val="7332FE48"/>
    <w:rsid w:val="73532145"/>
    <w:rsid w:val="736D76AA"/>
    <w:rsid w:val="73974727"/>
    <w:rsid w:val="73AB61DA"/>
    <w:rsid w:val="73AD73D5"/>
    <w:rsid w:val="73B6EB34"/>
    <w:rsid w:val="73BF77DA"/>
    <w:rsid w:val="73C3376E"/>
    <w:rsid w:val="73CA68AB"/>
    <w:rsid w:val="73DB3FB6"/>
    <w:rsid w:val="73DC7DD0"/>
    <w:rsid w:val="73DD4830"/>
    <w:rsid w:val="73FA497D"/>
    <w:rsid w:val="7400051E"/>
    <w:rsid w:val="74033B6B"/>
    <w:rsid w:val="741B7106"/>
    <w:rsid w:val="74242CF8"/>
    <w:rsid w:val="74343D24"/>
    <w:rsid w:val="74416441"/>
    <w:rsid w:val="7443665D"/>
    <w:rsid w:val="744731E5"/>
    <w:rsid w:val="744877CF"/>
    <w:rsid w:val="74534AF2"/>
    <w:rsid w:val="74546174"/>
    <w:rsid w:val="745D14CD"/>
    <w:rsid w:val="746565D3"/>
    <w:rsid w:val="746E5488"/>
    <w:rsid w:val="74714F78"/>
    <w:rsid w:val="74934EEE"/>
    <w:rsid w:val="74BA06CD"/>
    <w:rsid w:val="74BBD01D"/>
    <w:rsid w:val="74C27582"/>
    <w:rsid w:val="74C72DEA"/>
    <w:rsid w:val="74ED5379"/>
    <w:rsid w:val="750556C0"/>
    <w:rsid w:val="750E27C7"/>
    <w:rsid w:val="75241FEA"/>
    <w:rsid w:val="753A180E"/>
    <w:rsid w:val="75640639"/>
    <w:rsid w:val="757765BE"/>
    <w:rsid w:val="759C4277"/>
    <w:rsid w:val="75AB44BA"/>
    <w:rsid w:val="75BE41ED"/>
    <w:rsid w:val="75CD61DE"/>
    <w:rsid w:val="75CF01A8"/>
    <w:rsid w:val="75D03F20"/>
    <w:rsid w:val="75DEEEC2"/>
    <w:rsid w:val="75E32345"/>
    <w:rsid w:val="75E43528"/>
    <w:rsid w:val="75F23E97"/>
    <w:rsid w:val="75FC6AC3"/>
    <w:rsid w:val="7621652A"/>
    <w:rsid w:val="76426BCC"/>
    <w:rsid w:val="76500BBD"/>
    <w:rsid w:val="765661D4"/>
    <w:rsid w:val="765B1A3C"/>
    <w:rsid w:val="766232E9"/>
    <w:rsid w:val="76960CC6"/>
    <w:rsid w:val="76A35191"/>
    <w:rsid w:val="76BF3293"/>
    <w:rsid w:val="76D637B8"/>
    <w:rsid w:val="76DB0DCF"/>
    <w:rsid w:val="76E3355F"/>
    <w:rsid w:val="76E539FB"/>
    <w:rsid w:val="76FF5125"/>
    <w:rsid w:val="771D13E7"/>
    <w:rsid w:val="77242776"/>
    <w:rsid w:val="7758241F"/>
    <w:rsid w:val="775D3592"/>
    <w:rsid w:val="776E579F"/>
    <w:rsid w:val="776F6FFA"/>
    <w:rsid w:val="7772528F"/>
    <w:rsid w:val="778769C8"/>
    <w:rsid w:val="778E4093"/>
    <w:rsid w:val="779A47E6"/>
    <w:rsid w:val="77A13DC6"/>
    <w:rsid w:val="77A75DCA"/>
    <w:rsid w:val="77AD276B"/>
    <w:rsid w:val="77D777E8"/>
    <w:rsid w:val="77DC22F5"/>
    <w:rsid w:val="78340796"/>
    <w:rsid w:val="783E271A"/>
    <w:rsid w:val="78484242"/>
    <w:rsid w:val="7859644F"/>
    <w:rsid w:val="78616DE9"/>
    <w:rsid w:val="786A065C"/>
    <w:rsid w:val="78992CEF"/>
    <w:rsid w:val="78A51694"/>
    <w:rsid w:val="78D12489"/>
    <w:rsid w:val="78D41F79"/>
    <w:rsid w:val="78D83818"/>
    <w:rsid w:val="78E875D7"/>
    <w:rsid w:val="79086DAD"/>
    <w:rsid w:val="7948616E"/>
    <w:rsid w:val="794F33AE"/>
    <w:rsid w:val="79570BE0"/>
    <w:rsid w:val="79701CA2"/>
    <w:rsid w:val="79731F5E"/>
    <w:rsid w:val="79743BE1"/>
    <w:rsid w:val="79AC0800"/>
    <w:rsid w:val="79C1605A"/>
    <w:rsid w:val="79D7FD79"/>
    <w:rsid w:val="79DB12C6"/>
    <w:rsid w:val="79EE0E19"/>
    <w:rsid w:val="79EE5BA4"/>
    <w:rsid w:val="79F47307"/>
    <w:rsid w:val="79F77CCE"/>
    <w:rsid w:val="79FC3536"/>
    <w:rsid w:val="7A0B5527"/>
    <w:rsid w:val="7A1B7E60"/>
    <w:rsid w:val="7A2B5BC9"/>
    <w:rsid w:val="7A4078C7"/>
    <w:rsid w:val="7A5F5873"/>
    <w:rsid w:val="7A635363"/>
    <w:rsid w:val="7A6D1D3E"/>
    <w:rsid w:val="7A7237F8"/>
    <w:rsid w:val="7A7B08FF"/>
    <w:rsid w:val="7A805F15"/>
    <w:rsid w:val="7A8157E9"/>
    <w:rsid w:val="7A894339"/>
    <w:rsid w:val="7A923E9A"/>
    <w:rsid w:val="7ABE6A3D"/>
    <w:rsid w:val="7AD284E8"/>
    <w:rsid w:val="7AF10BC1"/>
    <w:rsid w:val="7AF50549"/>
    <w:rsid w:val="7AFD58F2"/>
    <w:rsid w:val="7AFF7572"/>
    <w:rsid w:val="7B09415C"/>
    <w:rsid w:val="7B0C59FB"/>
    <w:rsid w:val="7B114DBF"/>
    <w:rsid w:val="7B18614D"/>
    <w:rsid w:val="7B1B79EC"/>
    <w:rsid w:val="7B4C5DF7"/>
    <w:rsid w:val="7B4E7DC1"/>
    <w:rsid w:val="7B694BFB"/>
    <w:rsid w:val="7B6C7DFB"/>
    <w:rsid w:val="7B6E2211"/>
    <w:rsid w:val="7B825CBD"/>
    <w:rsid w:val="7B9003DA"/>
    <w:rsid w:val="7B9A1258"/>
    <w:rsid w:val="7BB3231A"/>
    <w:rsid w:val="7BB816DF"/>
    <w:rsid w:val="7BBFBED0"/>
    <w:rsid w:val="7BC3E394"/>
    <w:rsid w:val="7BCC0CE6"/>
    <w:rsid w:val="7BCC31D3"/>
    <w:rsid w:val="7BD007D6"/>
    <w:rsid w:val="7BD227A0"/>
    <w:rsid w:val="7BF24BF0"/>
    <w:rsid w:val="7C06244A"/>
    <w:rsid w:val="7C1C7EBF"/>
    <w:rsid w:val="7C1F3737"/>
    <w:rsid w:val="7C280612"/>
    <w:rsid w:val="7C370855"/>
    <w:rsid w:val="7C5C650E"/>
    <w:rsid w:val="7C611D76"/>
    <w:rsid w:val="7C6929D9"/>
    <w:rsid w:val="7C6A0C2B"/>
    <w:rsid w:val="7C6B49A3"/>
    <w:rsid w:val="7C703D67"/>
    <w:rsid w:val="7CA35EEB"/>
    <w:rsid w:val="7CA67789"/>
    <w:rsid w:val="7CB023B6"/>
    <w:rsid w:val="7CB41EA6"/>
    <w:rsid w:val="7CBC51FE"/>
    <w:rsid w:val="7CBE2D25"/>
    <w:rsid w:val="7CBFC87B"/>
    <w:rsid w:val="7CC75B6C"/>
    <w:rsid w:val="7CF91FAF"/>
    <w:rsid w:val="7CFE0F48"/>
    <w:rsid w:val="7D083FA0"/>
    <w:rsid w:val="7D272ABC"/>
    <w:rsid w:val="7D2F777E"/>
    <w:rsid w:val="7D513B99"/>
    <w:rsid w:val="7D584F27"/>
    <w:rsid w:val="7D605B8A"/>
    <w:rsid w:val="7D6C452F"/>
    <w:rsid w:val="7D6E02A7"/>
    <w:rsid w:val="7D711B45"/>
    <w:rsid w:val="7D787377"/>
    <w:rsid w:val="7D7B29C4"/>
    <w:rsid w:val="7D7EC23E"/>
    <w:rsid w:val="7D853842"/>
    <w:rsid w:val="7D8775BA"/>
    <w:rsid w:val="7D8A0E59"/>
    <w:rsid w:val="7DA63EE4"/>
    <w:rsid w:val="7DCF4ABD"/>
    <w:rsid w:val="7DEB7B49"/>
    <w:rsid w:val="7DF84014"/>
    <w:rsid w:val="7DFF35F5"/>
    <w:rsid w:val="7E040C0B"/>
    <w:rsid w:val="7E0B01EB"/>
    <w:rsid w:val="7E0B3D48"/>
    <w:rsid w:val="7E3C2153"/>
    <w:rsid w:val="7E851D4C"/>
    <w:rsid w:val="7E8ADEBF"/>
    <w:rsid w:val="7E8B6C36"/>
    <w:rsid w:val="7E8E6727"/>
    <w:rsid w:val="7E9C7095"/>
    <w:rsid w:val="7EA146AC"/>
    <w:rsid w:val="7EB919F5"/>
    <w:rsid w:val="7ED14F91"/>
    <w:rsid w:val="7ED24865"/>
    <w:rsid w:val="7ED700CE"/>
    <w:rsid w:val="7EDD27F3"/>
    <w:rsid w:val="7EE051D4"/>
    <w:rsid w:val="7EE50A3C"/>
    <w:rsid w:val="7EEB39E8"/>
    <w:rsid w:val="7EEF11D3"/>
    <w:rsid w:val="7EFE4840"/>
    <w:rsid w:val="7F030EC3"/>
    <w:rsid w:val="7F0971A6"/>
    <w:rsid w:val="7F0F5AB9"/>
    <w:rsid w:val="7F1A2D9B"/>
    <w:rsid w:val="7F1B7FBA"/>
    <w:rsid w:val="7F1D62E7"/>
    <w:rsid w:val="7F2C0419"/>
    <w:rsid w:val="7F2D5F40"/>
    <w:rsid w:val="7F3217A8"/>
    <w:rsid w:val="7F3634D4"/>
    <w:rsid w:val="7F3F679B"/>
    <w:rsid w:val="7F4FC4EF"/>
    <w:rsid w:val="7F5E4D54"/>
    <w:rsid w:val="7F63544E"/>
    <w:rsid w:val="7F6E0135"/>
    <w:rsid w:val="7F791185"/>
    <w:rsid w:val="7F79F205"/>
    <w:rsid w:val="7FA06711"/>
    <w:rsid w:val="7FA30C79"/>
    <w:rsid w:val="7FA79C44"/>
    <w:rsid w:val="7FAF8ABF"/>
    <w:rsid w:val="7FB7269E"/>
    <w:rsid w:val="7FC96657"/>
    <w:rsid w:val="7FD10FC1"/>
    <w:rsid w:val="7FDA9588"/>
    <w:rsid w:val="7FDF220F"/>
    <w:rsid w:val="7FEC7BA9"/>
    <w:rsid w:val="7FEDC5F7"/>
    <w:rsid w:val="7FEDD9DE"/>
    <w:rsid w:val="7FF5890D"/>
    <w:rsid w:val="7FF93490"/>
    <w:rsid w:val="7FFA0518"/>
    <w:rsid w:val="7FFB603E"/>
    <w:rsid w:val="7FFF78D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link w:val="35"/>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目录 2 Char"/>
    <w:link w:val="14"/>
    <w:qFormat/>
    <w:uiPriority w:val="3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3.xml"/><Relationship Id="rId16" Type="http://schemas.openxmlformats.org/officeDocument/2006/relationships/image" Target="media/image2.emf"/><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Sheet1!#REF!</c:f>
              <c:strCache>
                <c:ptCount val="1"/>
                <c:pt idx="0">
                  <c:v/>
                </c:pt>
              </c:strCache>
            </c:strRef>
          </c:tx>
          <c:spPr/>
          <c:explosion val="0"/>
          <c:dPt>
            <c:idx val="0"/>
            <c:bubble3D val="0"/>
            <c:spPr>
              <a:solidFill>
                <a:schemeClr val="accent1"/>
              </a:solidFill>
              <a:ln w="19050">
                <a:solidFill>
                  <a:schemeClr val="lt1"/>
                </a:solidFill>
              </a:ln>
              <a:effectLst/>
            </c:spPr>
          </c:dPt>
          <c:dLbls>
            <c:delete val="1"/>
          </c:dLbls>
          <c:cat>
            <c:strRef>
              <c:f>Sheet1!$A$2:$A$5</c:f>
              <c:strCache>
                <c:ptCount val="4"/>
                <c:pt idx="0">
                  <c:v>一般公共预算财政拨款收入</c:v>
                </c:pt>
                <c:pt idx="1">
                  <c:v>政府性基金预算财政拨款收入</c:v>
                </c:pt>
                <c:pt idx="2">
                  <c:v>国有资本经营性收入</c:v>
                </c:pt>
                <c:pt idx="3">
                  <c:v>事业收入</c:v>
                </c:pt>
              </c:strCache>
            </c:strRef>
          </c:cat>
          <c:val>
            <c:numRef>
              <c:f>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665cf2-b643-4a61-b3b0-132b9c065d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239.65</c:v>
                </c:pt>
                <c:pt idx="1">
                  <c:v>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2eb23b-db9f-4c5c-a65f-dd9b2ceac0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211.16</c:v>
                </c:pt>
                <c:pt idx="1">
                  <c:v>16.63</c:v>
                </c:pt>
                <c:pt idx="2">
                  <c:v>15.37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f85f52-770a-4177-bb14-80add24199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5256</Words>
  <Characters>7216</Characters>
  <Lines>44</Lines>
  <Paragraphs>12</Paragraphs>
  <TotalTime>42</TotalTime>
  <ScaleCrop>false</ScaleCrop>
  <LinksUpToDate>false</LinksUpToDate>
  <CharactersWithSpaces>7267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石佳音</cp:lastModifiedBy>
  <cp:lastPrinted>2025-10-14T05:52:00Z</cp:lastPrinted>
  <dcterms:modified xsi:type="dcterms:W3CDTF">2025-10-28T00:44:25Z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eyJoZGlkIjoiYzk5NjM2Y2Q5ZjlhOTE4MzQxYWE5NWVkNzg5Y2I1M2QiLCJ1c2VySWQiOiIzNjQzMzY2NDAifQ==</vt:lpwstr>
  </property>
</Properties>
</file>