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14D85">
      <w:pPr>
        <w:pStyle w:val="2"/>
        <w:rPr>
          <w:rFonts w:hint="default" w:ascii="Times New Roman" w:hAnsi="Times New Roman" w:cs="Times New Roman"/>
          <w:lang w:val="en-US" w:eastAsia="zh-CN"/>
        </w:rPr>
      </w:pPr>
      <w:bookmarkStart w:id="0" w:name="_Toc15396475"/>
      <w:bookmarkStart w:id="1" w:name="_Toc15378441"/>
      <w:bookmarkStart w:id="2" w:name="_Toc15377193"/>
      <w:bookmarkStart w:id="3" w:name="_Toc15306267"/>
      <w:bookmarkStart w:id="4" w:name="_Toc15377425"/>
      <w:bookmarkStart w:id="5" w:name="_Toc15396597"/>
    </w:p>
    <w:p w14:paraId="44BBB7B6">
      <w:pPr>
        <w:pStyle w:val="8"/>
        <w:rPr>
          <w:rFonts w:hint="default" w:ascii="Times New Roman" w:hAnsi="Times New Roman" w:eastAsia="方正小标宋简体" w:cs="Times New Roman"/>
          <w:color w:val="auto"/>
          <w:kern w:val="2"/>
          <w:sz w:val="72"/>
          <w:szCs w:val="72"/>
          <w:highlight w:val="none"/>
          <w:lang w:val="en-US" w:eastAsia="zh-CN" w:bidi="ar-SA"/>
        </w:rPr>
      </w:pPr>
    </w:p>
    <w:p w14:paraId="47AB5DF1">
      <w:pPr>
        <w:pStyle w:val="8"/>
        <w:rPr>
          <w:rFonts w:hint="default" w:ascii="Times New Roman" w:hAnsi="Times New Roman" w:eastAsia="方正小标宋简体" w:cs="Times New Roman"/>
          <w:color w:val="auto"/>
          <w:kern w:val="2"/>
          <w:sz w:val="72"/>
          <w:szCs w:val="72"/>
          <w:highlight w:val="none"/>
          <w:lang w:val="en-US" w:eastAsia="zh-CN" w:bidi="ar-SA"/>
        </w:rPr>
      </w:pPr>
    </w:p>
    <w:p w14:paraId="35562A61">
      <w:pPr>
        <w:pStyle w:val="8"/>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2024年度</w:t>
      </w:r>
    </w:p>
    <w:p w14:paraId="24A2182F">
      <w:pPr>
        <w:pStyle w:val="8"/>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盐边县就业创业促进中心</w:t>
      </w:r>
    </w:p>
    <w:p w14:paraId="73DA07C5">
      <w:pPr>
        <w:pStyle w:val="8"/>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决算公开编制说明</w:t>
      </w:r>
    </w:p>
    <w:p w14:paraId="5A3BA00C">
      <w:pPr>
        <w:spacing w:line="600" w:lineRule="exact"/>
        <w:jc w:val="center"/>
        <w:outlineLvl w:val="0"/>
        <w:rPr>
          <w:rFonts w:hint="default" w:ascii="Times New Roman" w:hAnsi="Times New Roman" w:eastAsia="方正小标宋简体" w:cs="Times New Roman"/>
          <w:color w:val="auto"/>
          <w:sz w:val="72"/>
          <w:szCs w:val="72"/>
          <w:highlight w:val="none"/>
        </w:rPr>
      </w:pPr>
    </w:p>
    <w:p w14:paraId="6DA69B39">
      <w:pPr>
        <w:pStyle w:val="19"/>
        <w:rPr>
          <w:rFonts w:hint="default" w:ascii="Times New Roman" w:hAnsi="Times New Roman" w:eastAsia="方正黑体_GBK" w:cs="Times New Roman"/>
        </w:rPr>
        <w:sectPr>
          <w:headerReference r:id="rId3" w:type="default"/>
          <w:footerReference r:id="rId4" w:type="default"/>
          <w:pgSz w:w="11906" w:h="16838"/>
          <w:pgMar w:top="2098" w:right="1474" w:bottom="1984" w:left="1588" w:header="851" w:footer="992" w:gutter="0"/>
          <w:pgNumType w:fmt="numberInDash" w:start="1"/>
          <w:cols w:space="720" w:num="1"/>
          <w:titlePg/>
          <w:docGrid w:type="lines" w:linePitch="312" w:charSpace="0"/>
        </w:sectPr>
      </w:pPr>
    </w:p>
    <w:p w14:paraId="2050791E">
      <w:pPr>
        <w:rPr>
          <w:rFonts w:hint="default" w:ascii="Times New Roman" w:hAnsi="Times New Roman" w:cs="Times New Roman"/>
        </w:rPr>
      </w:pPr>
    </w:p>
    <w:p w14:paraId="5BA0BEEF">
      <w:pPr>
        <w:pStyle w:val="8"/>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FF6AB82">
      <w:pPr>
        <w:widowControl/>
        <w:jc w:val="center"/>
        <w:rPr>
          <w:rFonts w:hint="default" w:ascii="Times New Roman" w:hAnsi="Times New Roman" w:eastAsia="方正黑体_GBK" w:cs="Times New Roman"/>
          <w:color w:val="auto"/>
          <w:sz w:val="48"/>
          <w:szCs w:val="48"/>
          <w:highlight w:val="none"/>
        </w:rPr>
      </w:pPr>
      <w:r>
        <w:rPr>
          <w:rFonts w:hint="default" w:ascii="Times New Roman" w:hAnsi="Times New Roman" w:eastAsia="方正黑体_GBK" w:cs="Times New Roman"/>
          <w:color w:val="auto"/>
          <w:sz w:val="48"/>
          <w:szCs w:val="48"/>
          <w:highlight w:val="none"/>
        </w:rPr>
        <w:t>目录</w:t>
      </w:r>
    </w:p>
    <w:p w14:paraId="2BC88BB1">
      <w:pPr>
        <w:widowControl/>
        <w:jc w:val="center"/>
        <w:rPr>
          <w:rFonts w:hint="default" w:ascii="Times New Roman" w:hAnsi="Times New Roman" w:eastAsia="方正黑体_GBK" w:cs="Times New Roman"/>
          <w:color w:val="auto"/>
          <w:sz w:val="28"/>
          <w:szCs w:val="28"/>
          <w:highlight w:val="none"/>
        </w:rPr>
      </w:pPr>
    </w:p>
    <w:p w14:paraId="4C20AFB2">
      <w:pPr>
        <w:pStyle w:val="13"/>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日</w:t>
      </w:r>
    </w:p>
    <w:p w14:paraId="0B79A5D4">
      <w:pPr>
        <w:rPr>
          <w:rFonts w:hint="default" w:ascii="Times New Roman" w:hAnsi="Times New Roman" w:cs="Times New Roman"/>
          <w:color w:val="auto"/>
          <w:highlight w:val="none"/>
        </w:rPr>
      </w:pPr>
    </w:p>
    <w:p w14:paraId="75BC39DC">
      <w:pPr>
        <w:pStyle w:val="13"/>
        <w:tabs>
          <w:tab w:val="right" w:leader="dot" w:pos="8844"/>
          <w:tab w:val="clear" w:pos="8296"/>
        </w:tabs>
        <w:rPr>
          <w:rFonts w:hint="eastAsia" w:ascii="Times New Roman" w:hAnsi="Times New Roman" w:eastAsia="方正黑体_GBK" w:cs="黑体"/>
          <w:color w:val="auto"/>
          <w:lang w:val="en-US" w:eastAsia="zh-CN"/>
        </w:rPr>
      </w:pPr>
      <w:bookmarkStart w:id="6" w:name="_Toc15396599"/>
      <w:bookmarkStart w:id="7" w:name="_Toc15377196"/>
      <w:r>
        <w:rPr>
          <w:rFonts w:hint="default" w:ascii="Times New Roman" w:hAnsi="Times New Roman" w:eastAsia="方正黑体_GBK" w:cs="Times New Roman"/>
          <w:sz w:val="28"/>
          <w:szCs w:val="28"/>
        </w:rPr>
        <w:fldChar w:fldCharType="begin"/>
      </w:r>
      <w:r>
        <w:rPr>
          <w:rFonts w:hint="default" w:ascii="Times New Roman" w:hAnsi="Times New Roman" w:eastAsia="方正黑体_GBK" w:cs="Times New Roman"/>
          <w:sz w:val="28"/>
          <w:szCs w:val="28"/>
        </w:rPr>
        <w:instrText xml:space="preserve">TOC \o "1-2" \u </w:instrText>
      </w:r>
      <w:r>
        <w:rPr>
          <w:rFonts w:hint="default" w:ascii="Times New Roman" w:hAnsi="Times New Roman" w:eastAsia="方正黑体_GBK" w:cs="Times New Roman"/>
          <w:sz w:val="28"/>
          <w:szCs w:val="28"/>
        </w:rPr>
        <w:fldChar w:fldCharType="separate"/>
      </w:r>
      <w:r>
        <w:rPr>
          <w:rFonts w:hint="default" w:ascii="Times New Roman" w:hAnsi="Times New Roman" w:eastAsia="方正黑体_GBK" w:cs="黑体"/>
          <w:color w:val="auto"/>
        </w:rPr>
        <w:t>第一部分</w:t>
      </w:r>
      <w:r>
        <w:rPr>
          <w:rFonts w:hint="default" w:ascii="Times New Roman" w:hAnsi="Times New Roman" w:eastAsia="方正黑体_GBK" w:cs="黑体"/>
          <w:color w:val="auto"/>
          <w:lang w:val="en-US" w:eastAsia="zh-CN"/>
        </w:rPr>
        <w:t xml:space="preserve"> </w:t>
      </w:r>
      <w:r>
        <w:rPr>
          <w:rFonts w:hint="default" w:ascii="Times New Roman" w:hAnsi="Times New Roman" w:eastAsia="方正黑体_GBK" w:cs="黑体"/>
          <w:color w:val="auto"/>
        </w:rPr>
        <w:t xml:space="preserve"> 部门概况</w:t>
      </w:r>
      <w:r>
        <w:rPr>
          <w:rFonts w:hint="eastAsia" w:ascii="Times New Roman" w:hAnsi="Times New Roman" w:eastAsia="方正仿宋_GBK" w:cs="仿宋_GB2312"/>
          <w:color w:val="auto"/>
          <w:kern w:val="2"/>
          <w:sz w:val="28"/>
          <w:szCs w:val="28"/>
          <w:lang w:val="en-US" w:eastAsia="zh-CN" w:bidi="ar-SA"/>
        </w:rPr>
        <w:tab/>
      </w:r>
      <w:r>
        <w:rPr>
          <w:rFonts w:hint="eastAsia" w:ascii="Times New Roman" w:hAnsi="Times New Roman" w:eastAsia="方正黑体_GBK" w:cs="黑体"/>
          <w:color w:val="auto"/>
          <w:lang w:val="en-US" w:eastAsia="zh-CN"/>
        </w:rPr>
        <w:fldChar w:fldCharType="begin"/>
      </w:r>
      <w:r>
        <w:rPr>
          <w:rFonts w:hint="eastAsia" w:ascii="Times New Roman" w:hAnsi="Times New Roman" w:eastAsia="方正黑体_GBK" w:cs="黑体"/>
          <w:color w:val="auto"/>
          <w:lang w:val="en-US" w:eastAsia="zh-CN"/>
        </w:rPr>
        <w:instrText xml:space="preserve"> PAGEREF _Toc21358 \h </w:instrText>
      </w:r>
      <w:r>
        <w:rPr>
          <w:rFonts w:hint="eastAsia" w:ascii="Times New Roman" w:hAnsi="Times New Roman" w:eastAsia="方正黑体_GBK" w:cs="黑体"/>
          <w:color w:val="auto"/>
          <w:lang w:val="en-US" w:eastAsia="zh-CN"/>
        </w:rPr>
        <w:fldChar w:fldCharType="separate"/>
      </w:r>
      <w:r>
        <w:rPr>
          <w:rFonts w:hint="eastAsia" w:ascii="Times New Roman" w:hAnsi="Times New Roman" w:eastAsia="方正黑体_GBK" w:cs="黑体"/>
          <w:color w:val="auto"/>
          <w:lang w:val="en-US" w:eastAsia="zh-CN"/>
        </w:rPr>
        <w:t>1</w:t>
      </w:r>
      <w:r>
        <w:rPr>
          <w:rFonts w:hint="eastAsia" w:ascii="Times New Roman" w:hAnsi="Times New Roman" w:eastAsia="方正黑体_GBK" w:cs="黑体"/>
          <w:color w:val="auto"/>
          <w:lang w:val="en-US" w:eastAsia="zh-CN"/>
        </w:rPr>
        <w:fldChar w:fldCharType="end"/>
      </w:r>
    </w:p>
    <w:p w14:paraId="0DBC3A16">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rPr>
        <w:t>一、</w:t>
      </w:r>
      <w:r>
        <w:rPr>
          <w:rFonts w:hint="default" w:eastAsia="方正仿宋_GBK" w:cs="仿宋_GB2312"/>
          <w:color w:val="auto"/>
          <w:sz w:val="28"/>
          <w:szCs w:val="28"/>
          <w:lang w:eastAsia="zh-CN"/>
        </w:rPr>
        <w:t>主要职责</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_Toc8385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w:t>
      </w:r>
      <w:r>
        <w:rPr>
          <w:rFonts w:hint="eastAsia" w:ascii="Times New Roman" w:hAnsi="Times New Roman" w:eastAsia="方正黑体_GBK" w:cs="黑体"/>
          <w:color w:val="auto"/>
          <w:kern w:val="2"/>
          <w:sz w:val="28"/>
          <w:szCs w:val="28"/>
          <w:lang w:val="en-US" w:eastAsia="zh-CN" w:bidi="ar-SA"/>
        </w:rPr>
        <w:fldChar w:fldCharType="end"/>
      </w:r>
    </w:p>
    <w:p w14:paraId="5C290A05">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rPr>
        <w:t>二、机构设置</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_Toc4291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w:t>
      </w:r>
      <w:r>
        <w:rPr>
          <w:rFonts w:hint="eastAsia" w:ascii="Times New Roman" w:hAnsi="Times New Roman" w:eastAsia="方正黑体_GBK" w:cs="黑体"/>
          <w:color w:val="auto"/>
          <w:kern w:val="2"/>
          <w:sz w:val="28"/>
          <w:szCs w:val="28"/>
          <w:lang w:val="en-US" w:eastAsia="zh-CN" w:bidi="ar-SA"/>
        </w:rPr>
        <w:fldChar w:fldCharType="end"/>
      </w:r>
    </w:p>
    <w:p w14:paraId="4EE49ED1">
      <w:pPr>
        <w:pStyle w:val="13"/>
        <w:tabs>
          <w:tab w:val="right" w:leader="dot" w:pos="8844"/>
          <w:tab w:val="clear" w:pos="8296"/>
        </w:tabs>
        <w:rPr>
          <w:rFonts w:hint="eastAsia" w:ascii="Times New Roman" w:hAnsi="Times New Roman" w:eastAsia="方正黑体_GBK" w:cs="黑体"/>
          <w:color w:val="auto"/>
          <w:lang w:val="en-US" w:eastAsia="zh-CN"/>
        </w:rPr>
      </w:pPr>
      <w:r>
        <w:rPr>
          <w:rFonts w:hint="default" w:ascii="Times New Roman" w:hAnsi="Times New Roman" w:eastAsia="方正黑体_GBK" w:cs="黑体"/>
          <w:color w:val="auto"/>
        </w:rPr>
        <w:t>第二部分</w:t>
      </w:r>
      <w:r>
        <w:rPr>
          <w:rFonts w:hint="default" w:ascii="Times New Roman" w:hAnsi="Times New Roman" w:eastAsia="方正黑体_GBK" w:cs="黑体"/>
          <w:color w:val="auto"/>
          <w:lang w:val="en-US" w:eastAsia="zh-CN"/>
        </w:rPr>
        <w:t xml:space="preserve"> </w:t>
      </w:r>
      <w:r>
        <w:rPr>
          <w:rFonts w:hint="default" w:ascii="Times New Roman" w:hAnsi="Times New Roman" w:eastAsia="方正黑体_GBK" w:cs="黑体"/>
          <w:color w:val="auto"/>
        </w:rPr>
        <w:t xml:space="preserve"> </w:t>
      </w:r>
      <w:r>
        <w:rPr>
          <w:rFonts w:hint="default" w:ascii="Times New Roman" w:hAnsi="Times New Roman" w:eastAsia="方正黑体_GBK" w:cs="黑体"/>
          <w:color w:val="auto"/>
          <w:lang w:val="en-US" w:eastAsia="zh-CN"/>
        </w:rPr>
        <w:t>2024年度</w:t>
      </w:r>
      <w:r>
        <w:rPr>
          <w:rFonts w:hint="default" w:ascii="Times New Roman" w:hAnsi="Times New Roman" w:eastAsia="方正黑体_GBK" w:cs="黑体"/>
          <w:color w:val="auto"/>
        </w:rPr>
        <w:t>部门决算情况说明</w:t>
      </w:r>
      <w:r>
        <w:rPr>
          <w:rFonts w:hint="eastAsia" w:ascii="Times New Roman" w:hAnsi="Times New Roman" w:eastAsia="方正仿宋_GBK" w:cs="仿宋_GB2312"/>
          <w:color w:val="auto"/>
          <w:kern w:val="2"/>
          <w:sz w:val="28"/>
          <w:szCs w:val="28"/>
          <w:lang w:val="en-US" w:eastAsia="zh-CN" w:bidi="ar-SA"/>
        </w:rPr>
        <w:tab/>
      </w:r>
      <w:r>
        <w:rPr>
          <w:rFonts w:hint="eastAsia" w:ascii="Times New Roman" w:hAnsi="Times New Roman" w:eastAsia="方正黑体_GBK" w:cs="黑体"/>
          <w:color w:val="auto"/>
          <w:lang w:val="en-US" w:eastAsia="zh-CN"/>
        </w:rPr>
        <w:fldChar w:fldCharType="begin"/>
      </w:r>
      <w:r>
        <w:rPr>
          <w:rFonts w:hint="eastAsia" w:ascii="Times New Roman" w:hAnsi="Times New Roman" w:eastAsia="方正黑体_GBK" w:cs="黑体"/>
          <w:color w:val="auto"/>
          <w:lang w:val="en-US" w:eastAsia="zh-CN"/>
        </w:rPr>
        <w:instrText xml:space="preserve"> PAGEREF _Toc3711 \h </w:instrText>
      </w:r>
      <w:r>
        <w:rPr>
          <w:rFonts w:hint="eastAsia" w:ascii="Times New Roman" w:hAnsi="Times New Roman" w:eastAsia="方正黑体_GBK" w:cs="黑体"/>
          <w:color w:val="auto"/>
          <w:lang w:val="en-US" w:eastAsia="zh-CN"/>
        </w:rPr>
        <w:fldChar w:fldCharType="separate"/>
      </w:r>
      <w:r>
        <w:rPr>
          <w:rFonts w:hint="eastAsia" w:ascii="Times New Roman" w:hAnsi="Times New Roman" w:eastAsia="方正黑体_GBK" w:cs="黑体"/>
          <w:color w:val="auto"/>
          <w:lang w:val="en-US" w:eastAsia="zh-CN"/>
        </w:rPr>
        <w:t>1</w:t>
      </w:r>
      <w:r>
        <w:rPr>
          <w:rFonts w:hint="eastAsia" w:ascii="Times New Roman" w:hAnsi="Times New Roman" w:eastAsia="方正黑体_GBK" w:cs="黑体"/>
          <w:color w:val="auto"/>
          <w:lang w:val="en-US" w:eastAsia="zh-CN"/>
        </w:rPr>
        <w:fldChar w:fldCharType="end"/>
      </w:r>
    </w:p>
    <w:p w14:paraId="37936DCD">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一、收入支出决算总体情况说明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_Toc27377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w:t>
      </w:r>
      <w:r>
        <w:rPr>
          <w:rFonts w:hint="eastAsia" w:ascii="Times New Roman" w:hAnsi="Times New Roman" w:eastAsia="方正黑体_GBK" w:cs="黑体"/>
          <w:color w:val="auto"/>
          <w:kern w:val="2"/>
          <w:sz w:val="28"/>
          <w:szCs w:val="28"/>
          <w:lang w:val="en-US" w:eastAsia="zh-CN" w:bidi="ar-SA"/>
        </w:rPr>
        <w:fldChar w:fldCharType="end"/>
      </w:r>
    </w:p>
    <w:p w14:paraId="49736D59">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二、收入决算情况说明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_Toc22486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w:t>
      </w:r>
      <w:r>
        <w:rPr>
          <w:rFonts w:hint="eastAsia" w:ascii="Times New Roman" w:hAnsi="Times New Roman" w:eastAsia="方正黑体_GBK" w:cs="黑体"/>
          <w:color w:val="auto"/>
          <w:kern w:val="2"/>
          <w:sz w:val="28"/>
          <w:szCs w:val="28"/>
          <w:lang w:val="en-US" w:eastAsia="zh-CN" w:bidi="ar-SA"/>
        </w:rPr>
        <w:fldChar w:fldCharType="end"/>
      </w:r>
    </w:p>
    <w:p w14:paraId="156F8268">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三、支出决算情况说明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_Toc4898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2</w:t>
      </w:r>
      <w:r>
        <w:rPr>
          <w:rFonts w:hint="eastAsia" w:ascii="Times New Roman" w:hAnsi="Times New Roman" w:eastAsia="方正黑体_GBK" w:cs="黑体"/>
          <w:color w:val="auto"/>
          <w:kern w:val="2"/>
          <w:sz w:val="28"/>
          <w:szCs w:val="28"/>
          <w:lang w:val="en-US" w:eastAsia="zh-CN" w:bidi="ar-SA"/>
        </w:rPr>
        <w:fldChar w:fldCharType="end"/>
      </w:r>
    </w:p>
    <w:p w14:paraId="3D8A5FAB">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四、财政拨款收入支出决算总体情况说明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_Toc24081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2</w:t>
      </w:r>
      <w:r>
        <w:rPr>
          <w:rFonts w:hint="eastAsia" w:ascii="Times New Roman" w:hAnsi="Times New Roman" w:eastAsia="方正黑体_GBK" w:cs="黑体"/>
          <w:color w:val="auto"/>
          <w:kern w:val="2"/>
          <w:sz w:val="28"/>
          <w:szCs w:val="28"/>
          <w:lang w:val="en-US" w:eastAsia="zh-CN" w:bidi="ar-SA"/>
        </w:rPr>
        <w:fldChar w:fldCharType="end"/>
      </w:r>
    </w:p>
    <w:p w14:paraId="0BC0CCC7">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五、一般公共预算财政拨款支出决算情况说明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_Toc15011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3</w:t>
      </w:r>
      <w:r>
        <w:rPr>
          <w:rFonts w:hint="eastAsia" w:ascii="Times New Roman" w:hAnsi="Times New Roman" w:eastAsia="方正黑体_GBK" w:cs="黑体"/>
          <w:color w:val="auto"/>
          <w:kern w:val="2"/>
          <w:sz w:val="28"/>
          <w:szCs w:val="28"/>
          <w:lang w:val="en-US" w:eastAsia="zh-CN" w:bidi="ar-SA"/>
        </w:rPr>
        <w:fldChar w:fldCharType="end"/>
      </w:r>
    </w:p>
    <w:p w14:paraId="2D44F1E8">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六、一般公共预算财政拨款基本支出决算情况说明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_Toc9790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6</w:t>
      </w:r>
      <w:r>
        <w:rPr>
          <w:rFonts w:hint="eastAsia" w:ascii="Times New Roman" w:hAnsi="Times New Roman" w:eastAsia="方正黑体_GBK" w:cs="黑体"/>
          <w:color w:val="auto"/>
          <w:kern w:val="2"/>
          <w:sz w:val="28"/>
          <w:szCs w:val="28"/>
          <w:lang w:val="en-US" w:eastAsia="zh-CN" w:bidi="ar-SA"/>
        </w:rPr>
        <w:fldChar w:fldCharType="end"/>
      </w:r>
    </w:p>
    <w:p w14:paraId="40064840">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七、财政拨款“三公”经费支出决算情况说明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_Toc29480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6</w:t>
      </w:r>
      <w:r>
        <w:rPr>
          <w:rFonts w:hint="eastAsia" w:ascii="Times New Roman" w:hAnsi="Times New Roman" w:eastAsia="方正黑体_GBK" w:cs="黑体"/>
          <w:color w:val="auto"/>
          <w:kern w:val="2"/>
          <w:sz w:val="28"/>
          <w:szCs w:val="28"/>
          <w:lang w:val="en-US" w:eastAsia="zh-CN" w:bidi="ar-SA"/>
        </w:rPr>
        <w:fldChar w:fldCharType="end"/>
      </w:r>
    </w:p>
    <w:p w14:paraId="0ABB48A0">
      <w:pPr>
        <w:pStyle w:val="14"/>
        <w:tabs>
          <w:tab w:val="right" w:leader="dot" w:pos="8844"/>
          <w:tab w:val="clear" w:pos="8296"/>
        </w:tabs>
      </w:pPr>
      <w:r>
        <w:rPr>
          <w:rFonts w:hint="default" w:eastAsia="方正仿宋_GBK" w:cs="仿宋_GB2312"/>
          <w:color w:val="auto"/>
          <w:sz w:val="28"/>
          <w:szCs w:val="28"/>
          <w:lang w:eastAsia="zh-CN"/>
        </w:rPr>
        <w:t>八、政府性基金预算支出决算情况说明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_Toc25124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8</w:t>
      </w:r>
      <w:r>
        <w:rPr>
          <w:rFonts w:hint="eastAsia" w:ascii="Times New Roman" w:hAnsi="Times New Roman" w:eastAsia="方正黑体_GBK" w:cs="黑体"/>
          <w:color w:val="auto"/>
          <w:kern w:val="2"/>
          <w:sz w:val="28"/>
          <w:szCs w:val="28"/>
          <w:lang w:val="en-US" w:eastAsia="zh-CN" w:bidi="ar-SA"/>
        </w:rPr>
        <w:fldChar w:fldCharType="end"/>
      </w:r>
    </w:p>
    <w:p w14:paraId="210B9900">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九、国有资本经营预算支出决算情况说明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_Toc17713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8</w:t>
      </w:r>
      <w:r>
        <w:rPr>
          <w:rFonts w:hint="eastAsia" w:ascii="Times New Roman" w:hAnsi="Times New Roman" w:eastAsia="方正黑体_GBK" w:cs="黑体"/>
          <w:color w:val="auto"/>
          <w:kern w:val="2"/>
          <w:sz w:val="28"/>
          <w:szCs w:val="28"/>
          <w:lang w:val="en-US" w:eastAsia="zh-CN" w:bidi="ar-SA"/>
        </w:rPr>
        <w:fldChar w:fldCharType="end"/>
      </w:r>
    </w:p>
    <w:p w14:paraId="4898EA35">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eastAsia="zh-CN"/>
        </w:rPr>
        <w:t>十、其他重要事项的情况说明</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_Toc14458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8</w:t>
      </w:r>
      <w:r>
        <w:rPr>
          <w:rFonts w:hint="eastAsia" w:ascii="Times New Roman" w:hAnsi="Times New Roman" w:eastAsia="方正黑体_GBK" w:cs="黑体"/>
          <w:color w:val="auto"/>
          <w:kern w:val="2"/>
          <w:sz w:val="28"/>
          <w:szCs w:val="28"/>
          <w:lang w:val="en-US" w:eastAsia="zh-CN" w:bidi="ar-SA"/>
        </w:rPr>
        <w:fldChar w:fldCharType="end"/>
      </w:r>
    </w:p>
    <w:p w14:paraId="5FEBDCD8">
      <w:pPr>
        <w:pStyle w:val="13"/>
        <w:tabs>
          <w:tab w:val="right" w:leader="dot" w:pos="8844"/>
          <w:tab w:val="clear" w:pos="8296"/>
        </w:tabs>
        <w:rPr>
          <w:rFonts w:hint="eastAsia" w:ascii="Times New Roman" w:hAnsi="Times New Roman" w:eastAsia="方正黑体_GBK" w:cs="黑体"/>
          <w:color w:val="auto"/>
          <w:lang w:val="en-US" w:eastAsia="zh-CN"/>
        </w:rPr>
      </w:pPr>
      <w:r>
        <w:rPr>
          <w:rFonts w:hint="default" w:ascii="Times New Roman" w:hAnsi="Times New Roman" w:eastAsia="方正黑体_GBK" w:cs="黑体"/>
          <w:color w:val="auto"/>
        </w:rPr>
        <w:t>第</w:t>
      </w:r>
      <w:r>
        <w:rPr>
          <w:rFonts w:hint="default" w:ascii="Times New Roman" w:hAnsi="Times New Roman" w:eastAsia="方正黑体_GBK" w:cs="黑体"/>
          <w:color w:val="auto"/>
          <w:lang w:eastAsia="zh-CN"/>
        </w:rPr>
        <w:t>三</w:t>
      </w:r>
      <w:r>
        <w:rPr>
          <w:rFonts w:hint="default" w:ascii="Times New Roman" w:hAnsi="Times New Roman" w:eastAsia="方正黑体_GBK" w:cs="黑体"/>
          <w:color w:val="auto"/>
        </w:rPr>
        <w:t>部分</w:t>
      </w:r>
      <w:r>
        <w:rPr>
          <w:rFonts w:hint="default" w:ascii="Times New Roman" w:hAnsi="Times New Roman" w:eastAsia="方正黑体_GBK" w:cs="黑体"/>
          <w:color w:val="auto"/>
          <w:lang w:val="en-US" w:eastAsia="zh-CN"/>
        </w:rPr>
        <w:t xml:space="preserve">  </w:t>
      </w:r>
      <w:r>
        <w:rPr>
          <w:rFonts w:hint="default" w:ascii="Times New Roman" w:hAnsi="Times New Roman" w:eastAsia="方正黑体_GBK" w:cs="黑体"/>
          <w:color w:val="auto"/>
        </w:rPr>
        <w:t>名词解释</w:t>
      </w:r>
      <w:r>
        <w:tab/>
      </w:r>
      <w:r>
        <w:rPr>
          <w:rFonts w:hint="eastAsia" w:ascii="Times New Roman" w:hAnsi="Times New Roman" w:eastAsia="方正黑体_GBK" w:cs="黑体"/>
          <w:color w:val="auto"/>
          <w:lang w:val="en-US" w:eastAsia="zh-CN"/>
        </w:rPr>
        <w:fldChar w:fldCharType="begin"/>
      </w:r>
      <w:r>
        <w:rPr>
          <w:rFonts w:hint="eastAsia" w:ascii="Times New Roman" w:hAnsi="Times New Roman" w:eastAsia="方正黑体_GBK" w:cs="黑体"/>
          <w:color w:val="auto"/>
          <w:lang w:val="en-US" w:eastAsia="zh-CN"/>
        </w:rPr>
        <w:instrText xml:space="preserve"> PAGEREF _Toc17410 \h </w:instrText>
      </w:r>
      <w:r>
        <w:rPr>
          <w:rFonts w:hint="eastAsia" w:ascii="Times New Roman" w:hAnsi="Times New Roman" w:eastAsia="方正黑体_GBK" w:cs="黑体"/>
          <w:color w:val="auto"/>
          <w:lang w:val="en-US" w:eastAsia="zh-CN"/>
        </w:rPr>
        <w:fldChar w:fldCharType="separate"/>
      </w:r>
      <w:r>
        <w:rPr>
          <w:rFonts w:hint="eastAsia" w:ascii="Times New Roman" w:hAnsi="Times New Roman" w:eastAsia="方正黑体_GBK" w:cs="黑体"/>
          <w:color w:val="auto"/>
          <w:lang w:val="en-US" w:eastAsia="zh-CN"/>
        </w:rPr>
        <w:t>10</w:t>
      </w:r>
      <w:r>
        <w:rPr>
          <w:rFonts w:hint="eastAsia" w:ascii="Times New Roman" w:hAnsi="Times New Roman" w:eastAsia="方正黑体_GBK" w:cs="黑体"/>
          <w:color w:val="auto"/>
          <w:lang w:val="en-US" w:eastAsia="zh-CN"/>
        </w:rPr>
        <w:fldChar w:fldCharType="end"/>
      </w:r>
    </w:p>
    <w:p w14:paraId="7FAD3E4D">
      <w:pPr>
        <w:pStyle w:val="13"/>
        <w:tabs>
          <w:tab w:val="right" w:leader="dot" w:pos="8844"/>
          <w:tab w:val="clear" w:pos="8296"/>
        </w:tabs>
        <w:rPr>
          <w:rFonts w:hint="eastAsia" w:ascii="Times New Roman" w:hAnsi="Times New Roman" w:eastAsia="方正黑体_GBK" w:cs="黑体"/>
          <w:color w:val="auto"/>
          <w:lang w:val="en-US" w:eastAsia="zh-CN"/>
        </w:rPr>
      </w:pPr>
      <w:r>
        <w:rPr>
          <w:rFonts w:hint="default" w:ascii="Times New Roman" w:hAnsi="Times New Roman" w:eastAsia="方正黑体_GBK" w:cs="黑体"/>
          <w:color w:val="auto"/>
        </w:rPr>
        <w:t>第四部分</w:t>
      </w:r>
      <w:r>
        <w:rPr>
          <w:rFonts w:hint="default" w:ascii="Times New Roman" w:hAnsi="Times New Roman" w:eastAsia="方正黑体_GBK" w:cs="黑体"/>
          <w:color w:val="auto"/>
          <w:lang w:val="en-US" w:eastAsia="zh-CN"/>
        </w:rPr>
        <w:t xml:space="preserve"> </w:t>
      </w:r>
      <w:r>
        <w:rPr>
          <w:rFonts w:hint="default" w:ascii="Times New Roman" w:hAnsi="Times New Roman" w:eastAsia="方正黑体_GBK" w:cs="黑体"/>
          <w:color w:val="auto"/>
        </w:rPr>
        <w:t xml:space="preserve"> 附件</w:t>
      </w:r>
      <w:r>
        <w:tab/>
      </w:r>
      <w:r>
        <w:rPr>
          <w:rFonts w:hint="eastAsia" w:ascii="Times New Roman" w:hAnsi="Times New Roman" w:eastAsia="方正黑体_GBK" w:cs="黑体"/>
          <w:color w:val="auto"/>
          <w:lang w:val="en-US" w:eastAsia="zh-CN"/>
        </w:rPr>
        <w:fldChar w:fldCharType="begin"/>
      </w:r>
      <w:r>
        <w:rPr>
          <w:rFonts w:hint="eastAsia" w:ascii="Times New Roman" w:hAnsi="Times New Roman" w:eastAsia="方正黑体_GBK" w:cs="黑体"/>
          <w:color w:val="auto"/>
          <w:lang w:val="en-US" w:eastAsia="zh-CN"/>
        </w:rPr>
        <w:instrText xml:space="preserve"> PAGEREF _Toc305 \h </w:instrText>
      </w:r>
      <w:r>
        <w:rPr>
          <w:rFonts w:hint="eastAsia" w:ascii="Times New Roman" w:hAnsi="Times New Roman" w:eastAsia="方正黑体_GBK" w:cs="黑体"/>
          <w:color w:val="auto"/>
          <w:lang w:val="en-US" w:eastAsia="zh-CN"/>
        </w:rPr>
        <w:fldChar w:fldCharType="separate"/>
      </w:r>
      <w:r>
        <w:rPr>
          <w:rFonts w:hint="eastAsia" w:ascii="Times New Roman" w:hAnsi="Times New Roman" w:eastAsia="方正黑体_GBK" w:cs="黑体"/>
          <w:color w:val="auto"/>
          <w:lang w:val="en-US" w:eastAsia="zh-CN"/>
        </w:rPr>
        <w:t>14</w:t>
      </w:r>
      <w:r>
        <w:rPr>
          <w:rFonts w:hint="eastAsia" w:ascii="Times New Roman" w:hAnsi="Times New Roman" w:eastAsia="方正黑体_GBK" w:cs="黑体"/>
          <w:color w:val="auto"/>
          <w:lang w:val="en-US" w:eastAsia="zh-CN"/>
        </w:rPr>
        <w:fldChar w:fldCharType="end"/>
      </w:r>
    </w:p>
    <w:p w14:paraId="74B427EF">
      <w:pPr>
        <w:pStyle w:val="13"/>
        <w:tabs>
          <w:tab w:val="right" w:leader="dot" w:pos="8844"/>
          <w:tab w:val="clear" w:pos="8296"/>
        </w:tabs>
        <w:rPr>
          <w:rFonts w:hint="eastAsia" w:ascii="Times New Roman" w:hAnsi="Times New Roman" w:eastAsia="方正黑体_GBK" w:cs="黑体"/>
          <w:color w:val="auto"/>
          <w:lang w:val="en-US" w:eastAsia="zh-CN"/>
        </w:rPr>
      </w:pPr>
      <w:r>
        <w:rPr>
          <w:rFonts w:hint="default" w:ascii="Times New Roman" w:hAnsi="Times New Roman" w:eastAsia="方正黑体_GBK" w:cs="黑体"/>
          <w:color w:val="auto"/>
        </w:rPr>
        <w:t>第五部分 附表</w:t>
      </w:r>
      <w:r>
        <w:tab/>
      </w:r>
      <w:r>
        <w:rPr>
          <w:rFonts w:hint="eastAsia" w:ascii="Times New Roman" w:hAnsi="Times New Roman" w:eastAsia="方正黑体_GBK" w:cs="黑体"/>
          <w:color w:val="auto"/>
          <w:lang w:val="en-US" w:eastAsia="zh-CN"/>
        </w:rPr>
        <w:fldChar w:fldCharType="begin"/>
      </w:r>
      <w:r>
        <w:rPr>
          <w:rFonts w:hint="eastAsia" w:ascii="Times New Roman" w:hAnsi="Times New Roman" w:eastAsia="方正黑体_GBK" w:cs="黑体"/>
          <w:color w:val="auto"/>
          <w:lang w:val="en-US" w:eastAsia="zh-CN"/>
        </w:rPr>
        <w:instrText xml:space="preserve"> PAGEREF _Toc14977 \h </w:instrText>
      </w:r>
      <w:r>
        <w:rPr>
          <w:rFonts w:hint="eastAsia" w:ascii="Times New Roman" w:hAnsi="Times New Roman" w:eastAsia="方正黑体_GBK" w:cs="黑体"/>
          <w:color w:val="auto"/>
          <w:lang w:val="en-US" w:eastAsia="zh-CN"/>
        </w:rPr>
        <w:fldChar w:fldCharType="separate"/>
      </w:r>
      <w:r>
        <w:rPr>
          <w:rFonts w:hint="eastAsia" w:ascii="Times New Roman" w:hAnsi="Times New Roman" w:eastAsia="方正黑体_GBK" w:cs="黑体"/>
          <w:color w:val="auto"/>
          <w:lang w:val="en-US" w:eastAsia="zh-CN"/>
        </w:rPr>
        <w:t>15</w:t>
      </w:r>
      <w:r>
        <w:rPr>
          <w:rFonts w:hint="eastAsia" w:ascii="Times New Roman" w:hAnsi="Times New Roman" w:eastAsia="方正黑体_GBK" w:cs="黑体"/>
          <w:color w:val="auto"/>
          <w:lang w:val="en-US" w:eastAsia="zh-CN"/>
        </w:rPr>
        <w:fldChar w:fldCharType="end"/>
      </w:r>
    </w:p>
    <w:p w14:paraId="65416767">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eastAsia" w:eastAsia="方正仿宋_GBK" w:cs="仿宋_GB2312"/>
          <w:color w:val="auto"/>
          <w:sz w:val="28"/>
          <w:szCs w:val="28"/>
          <w:lang w:eastAsia="zh-CN"/>
        </w:rPr>
        <w:t>一、收入支出决算总表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_Toc19305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530AEFDA">
      <w:pPr>
        <w:pStyle w:val="14"/>
        <w:tabs>
          <w:tab w:val="right" w:leader="dot" w:pos="8844"/>
          <w:tab w:val="clear" w:pos="8296"/>
        </w:tabs>
      </w:pPr>
      <w:r>
        <w:rPr>
          <w:rFonts w:hint="eastAsia" w:eastAsia="方正仿宋_GBK" w:cs="仿宋_GB2312"/>
          <w:color w:val="auto"/>
          <w:sz w:val="28"/>
          <w:szCs w:val="28"/>
          <w:lang w:eastAsia="zh-CN"/>
        </w:rPr>
        <w:t>二、收入决算表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_Toc29655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168689F4">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eastAsia" w:eastAsia="方正仿宋_GBK" w:cs="仿宋_GB2312"/>
          <w:color w:val="auto"/>
          <w:sz w:val="28"/>
          <w:szCs w:val="28"/>
          <w:lang w:eastAsia="zh-CN"/>
        </w:rPr>
        <w:t>三、支出决算表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_Toc29709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110FE9B4">
      <w:pPr>
        <w:pStyle w:val="14"/>
        <w:tabs>
          <w:tab w:val="right" w:leader="dot" w:pos="8844"/>
          <w:tab w:val="clear" w:pos="8296"/>
        </w:tabs>
      </w:pPr>
      <w:r>
        <w:rPr>
          <w:rFonts w:hint="eastAsia" w:eastAsia="方正仿宋_GBK" w:cs="仿宋_GB2312"/>
          <w:color w:val="auto"/>
          <w:sz w:val="28"/>
          <w:szCs w:val="28"/>
          <w:lang w:eastAsia="zh-CN"/>
        </w:rPr>
        <w:t>四、财政拨款收入支出决算总表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_Toc9760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54E954AE">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eastAsia" w:eastAsia="方正仿宋_GBK" w:cs="仿宋_GB2312"/>
          <w:color w:val="auto"/>
          <w:sz w:val="28"/>
          <w:szCs w:val="28"/>
          <w:lang w:eastAsia="zh-CN"/>
        </w:rPr>
        <w:t>五、财政拨款支出决算明细表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_Toc23092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4ADF76DF">
      <w:pPr>
        <w:pStyle w:val="14"/>
        <w:tabs>
          <w:tab w:val="right" w:leader="dot" w:pos="8844"/>
          <w:tab w:val="clear" w:pos="8296"/>
        </w:tabs>
      </w:pPr>
      <w:r>
        <w:rPr>
          <w:rFonts w:hint="eastAsia" w:eastAsia="方正仿宋_GBK" w:cs="仿宋_GB2312"/>
          <w:color w:val="auto"/>
          <w:sz w:val="28"/>
          <w:szCs w:val="28"/>
          <w:lang w:eastAsia="zh-CN"/>
        </w:rPr>
        <w:t>六、一般公共预算财政拨款支出决算表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_Toc30653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6795114A">
      <w:pPr>
        <w:pStyle w:val="14"/>
        <w:tabs>
          <w:tab w:val="right" w:leader="dot" w:pos="8844"/>
          <w:tab w:val="clear" w:pos="8296"/>
        </w:tabs>
      </w:pPr>
      <w:r>
        <w:rPr>
          <w:rFonts w:hint="eastAsia" w:eastAsia="方正仿宋_GBK" w:cs="仿宋_GB2312"/>
          <w:color w:val="auto"/>
          <w:sz w:val="28"/>
          <w:szCs w:val="28"/>
          <w:lang w:eastAsia="zh-CN"/>
        </w:rPr>
        <w:t>七、一般公共预算财政拨款支出决算明细表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_Toc26563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3ECC9CFF">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eastAsia" w:eastAsia="方正仿宋_GBK" w:cs="仿宋_GB2312"/>
          <w:color w:val="auto"/>
          <w:sz w:val="28"/>
          <w:szCs w:val="28"/>
          <w:lang w:eastAsia="zh-CN"/>
        </w:rPr>
        <w:t>八、一般公共预算财政拨款基本支出决算表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_Toc7164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00C08553">
      <w:pPr>
        <w:pStyle w:val="14"/>
        <w:tabs>
          <w:tab w:val="right" w:leader="dot" w:pos="8844"/>
          <w:tab w:val="clear" w:pos="8296"/>
        </w:tabs>
      </w:pPr>
      <w:r>
        <w:rPr>
          <w:rFonts w:hint="eastAsia" w:eastAsia="方正仿宋_GBK" w:cs="仿宋_GB2312"/>
          <w:color w:val="auto"/>
          <w:sz w:val="28"/>
          <w:szCs w:val="28"/>
          <w:lang w:eastAsia="zh-CN"/>
        </w:rPr>
        <w:t>九、一般公共预算财政拨款项目支出决算表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_Toc6114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40FF5246">
      <w:pPr>
        <w:pStyle w:val="14"/>
        <w:tabs>
          <w:tab w:val="right" w:leader="dot" w:pos="8844"/>
          <w:tab w:val="clear" w:pos="8296"/>
        </w:tabs>
      </w:pPr>
      <w:r>
        <w:rPr>
          <w:rFonts w:hint="eastAsia" w:eastAsia="方正仿宋_GBK" w:cs="仿宋_GB2312"/>
          <w:color w:val="auto"/>
          <w:sz w:val="28"/>
          <w:szCs w:val="28"/>
          <w:lang w:eastAsia="zh-CN"/>
        </w:rPr>
        <w:t>十、政府性基金预算财政拨款收入支出决算表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_Toc10799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327D63A4">
      <w:pPr>
        <w:pStyle w:val="14"/>
        <w:tabs>
          <w:tab w:val="right" w:leader="dot" w:pos="8844"/>
          <w:tab w:val="clear" w:pos="8296"/>
        </w:tabs>
      </w:pPr>
      <w:r>
        <w:rPr>
          <w:rFonts w:hint="eastAsia" w:eastAsia="方正仿宋_GBK" w:cs="仿宋_GB2312"/>
          <w:color w:val="auto"/>
          <w:sz w:val="28"/>
          <w:szCs w:val="28"/>
          <w:lang w:eastAsia="zh-CN"/>
        </w:rPr>
        <w:t>十一、国有资本经营预算财政拨款收入支出决算表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_Toc12857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0B24A5D2">
      <w:pPr>
        <w:pStyle w:val="14"/>
        <w:tabs>
          <w:tab w:val="right" w:leader="dot" w:pos="8844"/>
          <w:tab w:val="clear" w:pos="8296"/>
        </w:tabs>
      </w:pPr>
      <w:r>
        <w:rPr>
          <w:rFonts w:hint="eastAsia" w:eastAsia="方正仿宋_GBK" w:cs="仿宋_GB2312"/>
          <w:color w:val="auto"/>
          <w:sz w:val="28"/>
          <w:szCs w:val="28"/>
          <w:lang w:eastAsia="zh-CN"/>
        </w:rPr>
        <w:t>十二、国有资本经营预算财政拨款支出决算表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_Toc10870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640F37E5">
      <w:pPr>
        <w:pStyle w:val="14"/>
        <w:tabs>
          <w:tab w:val="right" w:leader="dot" w:pos="8844"/>
          <w:tab w:val="clear" w:pos="8296"/>
        </w:tabs>
        <w:rPr>
          <w:rFonts w:hint="eastAsia" w:ascii="Times New Roman" w:hAnsi="Times New Roman" w:eastAsia="方正黑体_GBK" w:cs="黑体"/>
          <w:color w:val="auto"/>
          <w:kern w:val="2"/>
          <w:sz w:val="28"/>
          <w:szCs w:val="28"/>
          <w:lang w:val="en-US" w:eastAsia="zh-CN" w:bidi="ar-SA"/>
        </w:rPr>
      </w:pPr>
      <w:r>
        <w:rPr>
          <w:rFonts w:hint="eastAsia" w:eastAsia="方正仿宋_GBK" w:cs="仿宋_GB2312"/>
          <w:color w:val="auto"/>
          <w:sz w:val="28"/>
          <w:szCs w:val="28"/>
          <w:lang w:eastAsia="zh-CN"/>
        </w:rPr>
        <w:t>十三、财政拨款“三公”经费支出决算表</w:t>
      </w:r>
      <w:r>
        <w:rPr>
          <w:rFonts w:hint="eastAsia" w:eastAsia="方正仿宋_GBK" w:cs="仿宋_GB2312"/>
          <w:color w:val="auto"/>
          <w:sz w:val="28"/>
          <w:szCs w:val="28"/>
          <w:lang w:val="en-US" w:eastAsia="zh-CN"/>
        </w:rPr>
        <w:tab/>
      </w:r>
      <w:r>
        <w:rPr>
          <w:rFonts w:hint="eastAsia" w:ascii="Times New Roman" w:hAnsi="Times New Roman" w:eastAsia="方正黑体_GBK" w:cs="黑体"/>
          <w:color w:val="auto"/>
          <w:kern w:val="2"/>
          <w:sz w:val="28"/>
          <w:szCs w:val="28"/>
          <w:lang w:val="en-US" w:eastAsia="zh-CN" w:bidi="ar-SA"/>
        </w:rPr>
        <w:fldChar w:fldCharType="begin"/>
      </w:r>
      <w:r>
        <w:rPr>
          <w:rFonts w:hint="eastAsia" w:ascii="Times New Roman" w:hAnsi="Times New Roman" w:eastAsia="方正黑体_GBK" w:cs="黑体"/>
          <w:color w:val="auto"/>
          <w:kern w:val="2"/>
          <w:sz w:val="28"/>
          <w:szCs w:val="28"/>
          <w:lang w:val="en-US" w:eastAsia="zh-CN" w:bidi="ar-SA"/>
        </w:rPr>
        <w:instrText xml:space="preserve"> PAGEREF _Toc26910 \h </w:instrText>
      </w:r>
      <w:r>
        <w:rPr>
          <w:rFonts w:hint="eastAsia" w:ascii="Times New Roman" w:hAnsi="Times New Roman" w:eastAsia="方正黑体_GBK" w:cs="黑体"/>
          <w:color w:val="auto"/>
          <w:kern w:val="2"/>
          <w:sz w:val="28"/>
          <w:szCs w:val="28"/>
          <w:lang w:val="en-US" w:eastAsia="zh-CN" w:bidi="ar-SA"/>
        </w:rPr>
        <w:fldChar w:fldCharType="separate"/>
      </w:r>
      <w:r>
        <w:rPr>
          <w:rFonts w:hint="eastAsia" w:ascii="Times New Roman" w:hAnsi="Times New Roman" w:eastAsia="方正黑体_GBK" w:cs="黑体"/>
          <w:color w:val="auto"/>
          <w:kern w:val="2"/>
          <w:sz w:val="28"/>
          <w:szCs w:val="28"/>
          <w:lang w:val="en-US" w:eastAsia="zh-CN" w:bidi="ar-SA"/>
        </w:rPr>
        <w:t>15</w:t>
      </w:r>
      <w:r>
        <w:rPr>
          <w:rFonts w:hint="eastAsia" w:ascii="Times New Roman" w:hAnsi="Times New Roman" w:eastAsia="方正黑体_GBK" w:cs="黑体"/>
          <w:color w:val="auto"/>
          <w:kern w:val="2"/>
          <w:sz w:val="28"/>
          <w:szCs w:val="28"/>
          <w:lang w:val="en-US" w:eastAsia="zh-CN" w:bidi="ar-SA"/>
        </w:rPr>
        <w:fldChar w:fldCharType="end"/>
      </w:r>
    </w:p>
    <w:p w14:paraId="7474F8CE">
      <w:pPr>
        <w:pStyle w:val="2"/>
        <w:rPr>
          <w:rFonts w:hint="default" w:ascii="Times New Roman" w:hAnsi="Times New Roman" w:cs="Times New Roman"/>
        </w:rPr>
      </w:pPr>
      <w:r>
        <w:rPr>
          <w:rFonts w:hint="default" w:ascii="Times New Roman" w:hAnsi="Times New Roman" w:eastAsia="方正黑体_GBK" w:cs="Times New Roman"/>
          <w:kern w:val="2"/>
          <w:szCs w:val="28"/>
          <w:lang w:val="en-US" w:eastAsia="zh-CN" w:bidi="ar-SA"/>
        </w:rPr>
        <w:fldChar w:fldCharType="end"/>
      </w:r>
    </w:p>
    <w:bookmarkEnd w:id="6"/>
    <w:bookmarkEnd w:id="7"/>
    <w:p w14:paraId="6853B3DE">
      <w:pPr>
        <w:pStyle w:val="5"/>
        <w:jc w:val="center"/>
        <w:rPr>
          <w:rFonts w:hint="default" w:ascii="Times New Roman" w:hAnsi="Times New Roman" w:eastAsia="方正小标宋简体" w:cs="Times New Roman"/>
          <w:b w:val="0"/>
          <w:color w:val="auto"/>
          <w:highlight w:val="none"/>
        </w:rPr>
        <w:sectPr>
          <w:footerReference r:id="rId6" w:type="first"/>
          <w:footerReference r:id="rId5" w:type="default"/>
          <w:pgSz w:w="11906" w:h="16838"/>
          <w:pgMar w:top="2098" w:right="1474" w:bottom="1984" w:left="1588" w:header="851" w:footer="992" w:gutter="0"/>
          <w:pgNumType w:fmt="decimal" w:start="1"/>
          <w:cols w:space="720" w:num="1"/>
          <w:titlePg/>
          <w:docGrid w:type="lines" w:linePitch="312" w:charSpace="0"/>
        </w:sectPr>
      </w:pPr>
      <w:bookmarkStart w:id="134" w:name="_GoBack"/>
      <w:bookmarkEnd w:id="134"/>
    </w:p>
    <w:p w14:paraId="0AD2A36A">
      <w:pPr>
        <w:pStyle w:val="5"/>
        <w:keepNext/>
        <w:keepLines/>
        <w:widowControl w:val="0"/>
        <w:wordWrap/>
        <w:adjustRightInd/>
        <w:snapToGrid/>
        <w:spacing w:before="340" w:after="330" w:line="579" w:lineRule="auto"/>
        <w:ind w:left="0" w:leftChars="0" w:right="0" w:firstLine="0" w:firstLineChars="0"/>
        <w:jc w:val="center"/>
        <w:textAlignment w:val="auto"/>
        <w:outlineLvl w:val="0"/>
        <w:rPr>
          <w:rStyle w:val="32"/>
          <w:rFonts w:hint="default" w:ascii="Times New Roman" w:hAnsi="Times New Roman" w:eastAsia="方正小标宋_GBK" w:cs="Times New Roman"/>
          <w:b/>
          <w:bCs w:val="0"/>
          <w:color w:val="auto"/>
          <w:highlight w:val="none"/>
        </w:rPr>
      </w:pPr>
      <w:bookmarkStart w:id="8" w:name="_Toc21358"/>
      <w:bookmarkStart w:id="9" w:name="_Toc23733"/>
      <w:r>
        <w:rPr>
          <w:rFonts w:hint="default" w:ascii="Times New Roman" w:hAnsi="Times New Roman" w:eastAsia="方正小标宋_GBK" w:cs="Times New Roman"/>
          <w:b/>
          <w:bCs w:val="0"/>
          <w:color w:val="auto"/>
          <w:highlight w:val="none"/>
        </w:rPr>
        <w:t>第一部分</w:t>
      </w:r>
      <w:r>
        <w:rPr>
          <w:rFonts w:hint="default" w:ascii="Times New Roman" w:hAnsi="Times New Roman" w:eastAsia="方正小标宋_GBK" w:cs="Times New Roman"/>
          <w:b/>
          <w:bCs w:val="0"/>
          <w:color w:val="auto"/>
          <w:highlight w:val="none"/>
          <w:lang w:val="en-US" w:eastAsia="zh-CN"/>
        </w:rPr>
        <w:t xml:space="preserve"> </w:t>
      </w:r>
      <w:r>
        <w:rPr>
          <w:rFonts w:hint="default" w:ascii="Times New Roman" w:hAnsi="Times New Roman" w:eastAsia="方正小标宋_GBK" w:cs="Times New Roman"/>
          <w:b/>
          <w:bCs w:val="0"/>
          <w:color w:val="auto"/>
          <w:highlight w:val="none"/>
        </w:rPr>
        <w:t xml:space="preserve"> </w:t>
      </w:r>
      <w:r>
        <w:rPr>
          <w:rStyle w:val="32"/>
          <w:rFonts w:hint="default" w:ascii="Times New Roman" w:hAnsi="Times New Roman" w:eastAsia="方正小标宋_GBK" w:cs="Times New Roman"/>
          <w:b/>
          <w:bCs w:val="0"/>
          <w:color w:val="auto"/>
          <w:highlight w:val="none"/>
        </w:rPr>
        <w:t>部门概况</w:t>
      </w:r>
      <w:bookmarkEnd w:id="8"/>
      <w:bookmarkEnd w:id="9"/>
    </w:p>
    <w:p w14:paraId="2754585C">
      <w:pPr>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方正黑体_GBK" w:cs="Times New Roman"/>
          <w:color w:val="auto"/>
          <w:sz w:val="32"/>
          <w:szCs w:val="32"/>
          <w:highlight w:val="none"/>
        </w:rPr>
      </w:pPr>
    </w:p>
    <w:p w14:paraId="47D78C23">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10" w:name="_Toc15377197"/>
      <w:bookmarkStart w:id="11" w:name="_Toc15396600"/>
      <w:bookmarkStart w:id="12" w:name="_Toc5774"/>
      <w:bookmarkStart w:id="13" w:name="_Toc8385"/>
      <w:r>
        <w:rPr>
          <w:rFonts w:hint="default" w:ascii="Times New Roman" w:hAnsi="Times New Roman" w:eastAsia="方正黑体_GBK" w:cs="Times New Roman"/>
          <w:b w:val="0"/>
        </w:rPr>
        <w:t>一、</w:t>
      </w:r>
      <w:bookmarkEnd w:id="10"/>
      <w:bookmarkEnd w:id="11"/>
      <w:r>
        <w:rPr>
          <w:rFonts w:hint="default" w:ascii="Times New Roman" w:hAnsi="Times New Roman" w:eastAsia="方正黑体_GBK" w:cs="Times New Roman"/>
          <w:b w:val="0"/>
          <w:lang w:eastAsia="zh-CN"/>
        </w:rPr>
        <w:t>主要职责</w:t>
      </w:r>
      <w:bookmarkEnd w:id="12"/>
      <w:bookmarkEnd w:id="13"/>
    </w:p>
    <w:p w14:paraId="560C9BB4">
      <w:pPr>
        <w:pStyle w:val="25"/>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bookmarkStart w:id="14" w:name="_Toc6506"/>
      <w:bookmarkStart w:id="15" w:name="_Toc2656"/>
      <w:r>
        <w:rPr>
          <w:rFonts w:hint="default" w:ascii="Times New Roman" w:hAnsi="Times New Roman" w:eastAsia="方正仿宋_GBK" w:cs="Times New Roman"/>
          <w:sz w:val="32"/>
          <w:szCs w:val="32"/>
          <w:lang w:val="en-US" w:eastAsia="zh-CN"/>
        </w:rPr>
        <w:t>贯彻执行国家、省、市有关劳动就业、失业保险的法律法规和方针政策;组织开展职业指导、职业介绍、职业培训、创业培训、就业援助等就业服务;全面开发就业岗位,做好人力资源市场职业供求信息收集发布;组织农村劳动力转移就业和劳务输出;建设街道（乡镇）和社区劳动就业平台;依法开展失业保险扩面征缴、失业保险金发放和基金管理等各项失业保险经办工作,负责市级失业保险市级统筹工作;对失业保险费申报和缴纳情况进行稽核检查,按照规定程序查处失业保险基金征缴、管理和使用中的违法乱纪案件。</w:t>
      </w:r>
      <w:bookmarkEnd w:id="14"/>
      <w:bookmarkEnd w:id="15"/>
    </w:p>
    <w:p w14:paraId="41747543">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Style w:val="33"/>
          <w:rFonts w:hint="default" w:ascii="Times New Roman" w:hAnsi="Times New Roman" w:cs="Times New Roman"/>
          <w:b w:val="0"/>
          <w:bCs w:val="0"/>
          <w:color w:val="auto"/>
          <w:highlight w:val="none"/>
        </w:rPr>
      </w:pPr>
      <w:bookmarkStart w:id="16" w:name="_Toc8388"/>
      <w:bookmarkStart w:id="17" w:name="_Toc4291"/>
      <w:bookmarkStart w:id="18" w:name="_Toc15377200"/>
      <w:bookmarkStart w:id="19" w:name="_Toc15396601"/>
      <w:r>
        <w:rPr>
          <w:rFonts w:hint="default" w:ascii="Times New Roman" w:hAnsi="Times New Roman" w:eastAsia="方正黑体_GBK" w:cs="Times New Roman"/>
          <w:b w:val="0"/>
          <w:color w:val="auto"/>
          <w:highlight w:val="none"/>
        </w:rPr>
        <w:t>二、机</w:t>
      </w:r>
      <w:r>
        <w:rPr>
          <w:rStyle w:val="33"/>
          <w:rFonts w:hint="default" w:ascii="Times New Roman" w:hAnsi="Times New Roman" w:eastAsia="方正黑体_GBK" w:cs="Times New Roman"/>
          <w:b w:val="0"/>
          <w:bCs w:val="0"/>
          <w:color w:val="auto"/>
          <w:highlight w:val="none"/>
        </w:rPr>
        <w:t>构设置</w:t>
      </w:r>
      <w:bookmarkEnd w:id="16"/>
      <w:bookmarkEnd w:id="17"/>
      <w:bookmarkEnd w:id="18"/>
      <w:bookmarkEnd w:id="19"/>
    </w:p>
    <w:p w14:paraId="68348979">
      <w:pPr>
        <w:pStyle w:val="25"/>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盐边县就业创业促进中心隶属于盐边县人力资源和社会保障局的参公管理单位，无下属二级预算单位。</w:t>
      </w:r>
    </w:p>
    <w:p w14:paraId="1B026821">
      <w:pPr>
        <w:widowControl/>
        <w:jc w:val="left"/>
        <w:rPr>
          <w:rFonts w:hint="default" w:ascii="Times New Roman" w:hAnsi="Times New Roman" w:eastAsia="方正仿宋_GBK" w:cs="Times New Roman"/>
          <w:color w:val="auto"/>
          <w:kern w:val="0"/>
          <w:sz w:val="32"/>
          <w:szCs w:val="32"/>
          <w:highlight w:val="none"/>
        </w:rPr>
        <w:sectPr>
          <w:footerReference r:id="rId8" w:type="first"/>
          <w:footerReference r:id="rId7" w:type="default"/>
          <w:pgSz w:w="11906" w:h="16838"/>
          <w:pgMar w:top="2098" w:right="1474" w:bottom="1984" w:left="1588" w:header="851" w:footer="992" w:gutter="0"/>
          <w:pgNumType w:fmt="decimal" w:start="1"/>
          <w:cols w:space="720" w:num="1"/>
          <w:titlePg/>
          <w:docGrid w:type="lines" w:linePitch="312" w:charSpace="0"/>
        </w:sectPr>
      </w:pPr>
    </w:p>
    <w:p w14:paraId="6C80A924">
      <w:pPr>
        <w:pStyle w:val="2"/>
        <w:rPr>
          <w:rFonts w:hint="default" w:ascii="Times New Roman" w:hAnsi="Times New Roman" w:cs="Times New Roman"/>
        </w:rPr>
      </w:pPr>
    </w:p>
    <w:p w14:paraId="51B2E8B0">
      <w:pPr>
        <w:pStyle w:val="5"/>
        <w:keepNext/>
        <w:keepLines/>
        <w:widowControl w:val="0"/>
        <w:wordWrap/>
        <w:adjustRightInd/>
        <w:snapToGrid/>
        <w:spacing w:before="340" w:after="330" w:line="579" w:lineRule="auto"/>
        <w:ind w:left="0" w:leftChars="0" w:right="0" w:firstLine="0" w:firstLineChars="0"/>
        <w:jc w:val="center"/>
        <w:textAlignment w:val="auto"/>
        <w:outlineLvl w:val="0"/>
        <w:rPr>
          <w:rFonts w:hint="default" w:ascii="Times New Roman" w:hAnsi="Times New Roman" w:eastAsia="方正小标宋_GBK" w:cs="Times New Roman"/>
          <w:b/>
          <w:bCs w:val="0"/>
          <w:color w:val="auto"/>
          <w:highlight w:val="none"/>
        </w:rPr>
      </w:pPr>
      <w:bookmarkStart w:id="20" w:name="_Toc3711"/>
      <w:bookmarkStart w:id="21" w:name="_Toc15377204"/>
      <w:bookmarkStart w:id="22" w:name="_Toc17981"/>
      <w:bookmarkStart w:id="23" w:name="_Toc15396602"/>
      <w:r>
        <w:rPr>
          <w:rFonts w:hint="default" w:ascii="Times New Roman" w:hAnsi="Times New Roman" w:eastAsia="方正小标宋_GBK" w:cs="Times New Roman"/>
          <w:b/>
          <w:bCs w:val="0"/>
          <w:color w:val="auto"/>
          <w:highlight w:val="none"/>
        </w:rPr>
        <w:t>第二部分</w:t>
      </w:r>
      <w:r>
        <w:rPr>
          <w:rFonts w:hint="default" w:ascii="Times New Roman" w:hAnsi="Times New Roman" w:eastAsia="方正小标宋_GBK" w:cs="Times New Roman"/>
          <w:b/>
          <w:bCs w:val="0"/>
          <w:color w:val="auto"/>
          <w:highlight w:val="none"/>
          <w:lang w:val="en-US" w:eastAsia="zh-CN"/>
        </w:rPr>
        <w:t xml:space="preserve"> </w:t>
      </w:r>
      <w:r>
        <w:rPr>
          <w:rFonts w:hint="default" w:ascii="Times New Roman" w:hAnsi="Times New Roman" w:eastAsia="方正小标宋_GBK" w:cs="Times New Roman"/>
          <w:b/>
          <w:bCs w:val="0"/>
          <w:color w:val="auto"/>
          <w:highlight w:val="none"/>
        </w:rPr>
        <w:t xml:space="preserve"> </w:t>
      </w:r>
      <w:r>
        <w:rPr>
          <w:rFonts w:hint="default" w:ascii="Times New Roman" w:hAnsi="Times New Roman" w:eastAsia="方正小标宋_GBK" w:cs="Times New Roman"/>
          <w:b/>
          <w:bCs w:val="0"/>
          <w:color w:val="auto"/>
          <w:highlight w:val="none"/>
          <w:lang w:val="en-US" w:eastAsia="zh-CN"/>
        </w:rPr>
        <w:t>2024年度</w:t>
      </w:r>
      <w:r>
        <w:rPr>
          <w:rFonts w:hint="default" w:ascii="Times New Roman" w:hAnsi="Times New Roman" w:eastAsia="方正小标宋_GBK" w:cs="Times New Roman"/>
          <w:b/>
          <w:bCs w:val="0"/>
          <w:color w:val="auto"/>
          <w:highlight w:val="none"/>
        </w:rPr>
        <w:t>部门决算情况说明</w:t>
      </w:r>
      <w:bookmarkEnd w:id="20"/>
      <w:bookmarkEnd w:id="21"/>
      <w:bookmarkEnd w:id="22"/>
      <w:bookmarkEnd w:id="23"/>
    </w:p>
    <w:p w14:paraId="74EDF242">
      <w:pPr>
        <w:rPr>
          <w:rFonts w:hint="default" w:ascii="Times New Roman" w:hAnsi="Times New Roman" w:cs="Times New Roman"/>
          <w:color w:val="auto"/>
          <w:highlight w:val="none"/>
        </w:rPr>
      </w:pPr>
    </w:p>
    <w:p w14:paraId="430A16FA">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24" w:name="_Toc27377"/>
      <w:bookmarkStart w:id="25" w:name="_Toc15396603"/>
      <w:bookmarkStart w:id="26" w:name="_Toc15377205"/>
      <w:bookmarkStart w:id="27" w:name="_Toc8538"/>
      <w:r>
        <w:rPr>
          <w:rFonts w:hint="default" w:ascii="Times New Roman" w:hAnsi="Times New Roman" w:eastAsia="方正黑体_GBK" w:cs="Times New Roman"/>
          <w:b w:val="0"/>
          <w:lang w:eastAsia="zh-CN"/>
        </w:rPr>
        <w:t>一、收入支出决算总体情况说明</w:t>
      </w:r>
      <w:bookmarkEnd w:id="24"/>
      <w:bookmarkEnd w:id="25"/>
      <w:bookmarkEnd w:id="26"/>
      <w:bookmarkEnd w:id="27"/>
    </w:p>
    <w:p w14:paraId="450CE153">
      <w:pPr>
        <w:pStyle w:val="25"/>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bookmarkStart w:id="28" w:name="_Toc23834"/>
      <w:bookmarkStart w:id="29" w:name="_Toc3576"/>
      <w:r>
        <w:rPr>
          <w:rFonts w:hint="default" w:ascii="Times New Roman" w:hAnsi="Times New Roman" w:eastAsia="方正仿宋_GBK" w:cs="Times New Roman"/>
          <w:sz w:val="32"/>
          <w:szCs w:val="32"/>
          <w:lang w:eastAsia="zh-CN"/>
        </w:rPr>
        <w:t>2024年度收入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rPr>
        <w:t>950.05万元。与</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度（</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度收、支总计均</w:t>
      </w:r>
      <w:r>
        <w:rPr>
          <w:rFonts w:hint="default" w:ascii="Times New Roman" w:hAnsi="Times New Roman" w:eastAsia="方正仿宋_GBK" w:cs="Times New Roman"/>
          <w:sz w:val="32"/>
          <w:szCs w:val="32"/>
          <w:lang w:val="en-US" w:eastAsia="zh-CN"/>
        </w:rPr>
        <w:t>为819.32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相比，</w:t>
      </w:r>
      <w:r>
        <w:rPr>
          <w:rFonts w:hint="default"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总计各增加</w:t>
      </w:r>
      <w:r>
        <w:rPr>
          <w:rFonts w:hint="default" w:ascii="Times New Roman" w:hAnsi="Times New Roman" w:eastAsia="方正仿宋_GBK" w:cs="Times New Roman"/>
          <w:sz w:val="32"/>
          <w:szCs w:val="32"/>
          <w:lang w:val="en-US" w:eastAsia="zh-CN"/>
        </w:rPr>
        <w:t>130.73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15.96</w:t>
      </w:r>
      <w:r>
        <w:rPr>
          <w:rFonts w:hint="default" w:ascii="Times New Roman" w:hAnsi="Times New Roman" w:eastAsia="方正仿宋_GBK" w:cs="Times New Roman"/>
          <w:sz w:val="32"/>
          <w:szCs w:val="32"/>
        </w:rPr>
        <w:t>%。主要变动原因是202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eastAsia="zh-CN"/>
        </w:rPr>
        <w:t>职工人数增加，基本支出相应增加，且</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eastAsia="zh-CN"/>
        </w:rPr>
        <w:t>增加。</w:t>
      </w:r>
      <w:bookmarkEnd w:id="28"/>
      <w:bookmarkEnd w:id="29"/>
    </w:p>
    <w:p w14:paraId="3E56AC43">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0D8F166B">
      <w:pPr>
        <w:widowControl w:val="0"/>
        <w:wordWrap/>
        <w:adjustRightInd/>
        <w:snapToGrid/>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宋体" w:cs="Times New Roman"/>
          <w:b/>
          <w:kern w:val="2"/>
          <w:sz w:val="21"/>
          <w:szCs w:val="24"/>
          <w:lang w:val="en-US" w:eastAsia="zh-CN" w:bidi="ar-SA"/>
        </w:rPr>
        <w:pict>
          <v:shape id="_x0000_s1028" o:spid="_x0000_s1028" o:spt="75" type="#_x0000_t75" style="position:absolute;left:0pt;margin-left:32.7pt;margin-top:2.25pt;height:164.25pt;width:245.3pt;mso-wrap-distance-bottom:0pt;mso-wrap-distance-left:9pt;mso-wrap-distance-right:9pt;mso-wrap-distance-top:0pt;z-index:251659264;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28" DrawAspect="Content" ObjectID="_1468075725" r:id="rId10">
            <o:LockedField>false</o:LockedField>
          </o:OLEObject>
        </w:pict>
      </w:r>
    </w:p>
    <w:p w14:paraId="0A91E175">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30" w:name="_Toc15396604"/>
      <w:bookmarkStart w:id="31" w:name="_Toc15377206"/>
    </w:p>
    <w:p w14:paraId="1810BBAD">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7152B670">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63FCC8AF">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31E3954B">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24BF81BA">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32" w:name="_Toc22486"/>
      <w:bookmarkStart w:id="33" w:name="_Toc29571"/>
      <w:r>
        <w:rPr>
          <w:rFonts w:hint="default" w:ascii="Times New Roman" w:hAnsi="Times New Roman" w:eastAsia="方正黑体_GBK" w:cs="Times New Roman"/>
          <w:b w:val="0"/>
          <w:lang w:eastAsia="zh-CN"/>
        </w:rPr>
        <w:t>二、收入决算情况说明</w:t>
      </w:r>
      <w:bookmarkEnd w:id="30"/>
      <w:bookmarkEnd w:id="31"/>
      <w:bookmarkEnd w:id="32"/>
      <w:bookmarkEnd w:id="33"/>
    </w:p>
    <w:p w14:paraId="4C0EC28D">
      <w:pPr>
        <w:pStyle w:val="25"/>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bookmarkStart w:id="34" w:name="_Toc125"/>
      <w:bookmarkStart w:id="35" w:name="_Toc5653"/>
      <w:r>
        <w:rPr>
          <w:rFonts w:hint="default" w:ascii="Times New Roman" w:hAnsi="Times New Roman" w:eastAsia="方正仿宋_GBK" w:cs="Times New Roman"/>
          <w:sz w:val="32"/>
          <w:szCs w:val="32"/>
          <w:lang w:eastAsia="zh-CN"/>
        </w:rPr>
        <w:t>2024年度本年收入合计950.05万元，其中：一般公共预算财政拨款收入950.05万元，占100%。</w:t>
      </w:r>
      <w:bookmarkEnd w:id="34"/>
      <w:bookmarkEnd w:id="35"/>
    </w:p>
    <w:p w14:paraId="4327BDA7">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7D18F84D">
      <w:pPr>
        <w:ind w:firstLine="800" w:firstLineChars="250"/>
        <w:rPr>
          <w:rFonts w:hint="default" w:ascii="Times New Roman" w:hAnsi="Times New Roman" w:eastAsia="方正仿宋_GBK" w:cs="Times New Roman"/>
          <w:color w:val="auto"/>
          <w:sz w:val="32"/>
          <w:szCs w:val="32"/>
          <w:highlight w:val="none"/>
          <w:lang w:eastAsia="zh-CN"/>
        </w:rPr>
      </w:pPr>
    </w:p>
    <w:p w14:paraId="48621D65">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36" w:name="_Toc15396605"/>
      <w:bookmarkStart w:id="37" w:name="_Toc15377207"/>
    </w:p>
    <w:p w14:paraId="361F2722">
      <w:pPr>
        <w:pStyle w:val="21"/>
        <w:widowControl w:val="0"/>
        <w:numPr>
          <w:ilvl w:val="0"/>
          <w:numId w:val="0"/>
        </w:numPr>
        <w:wordWrap/>
        <w:adjustRightInd/>
        <w:snapToGrid/>
        <w:spacing w:line="600" w:lineRule="exact"/>
        <w:ind w:firstLine="420" w:firstLineChars="200"/>
        <w:textAlignment w:val="auto"/>
        <w:outlineLvl w:val="1"/>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宋体" w:cs="Times New Roman"/>
          <w:kern w:val="2"/>
          <w:sz w:val="21"/>
          <w:szCs w:val="24"/>
          <w:lang w:val="en-US" w:eastAsia="zh-CN" w:bidi="ar-SA"/>
        </w:rPr>
        <w:pict>
          <v:shape id="_x0000_s1029" o:spid="_x0000_s1029" o:spt="75" type="#_x0000_t75" style="position:absolute;left:0pt;margin-left:142.4pt;margin-top:110.6pt;height:128.25pt;width:192pt;mso-position-horizontal-relative:page;mso-position-vertical-relative:page;mso-wrap-distance-bottom:0pt;mso-wrap-distance-left:9pt;mso-wrap-distance-right:9pt;mso-wrap-distance-top:0pt;z-index:251660288;mso-width-relative:page;mso-height-relative:page;"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square"/>
          </v:shape>
          <o:OLEObject Type="Embed" ProgID="MSGraph.Chart.8" ShapeID="_x0000_s1029" DrawAspect="Content" ObjectID="_1468075726" r:id="rId12">
            <o:LockedField>false</o:LockedField>
          </o:OLEObject>
        </w:pict>
      </w:r>
    </w:p>
    <w:p w14:paraId="1610F264">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4853B183">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4BC114D1">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0B783958">
      <w:pPr>
        <w:pStyle w:val="21"/>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2DFF66D4">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38" w:name="_Toc4898"/>
      <w:bookmarkStart w:id="39" w:name="_Toc8548"/>
      <w:r>
        <w:rPr>
          <w:rFonts w:hint="default" w:ascii="Times New Roman" w:hAnsi="Times New Roman" w:eastAsia="方正黑体_GBK" w:cs="Times New Roman"/>
          <w:b w:val="0"/>
          <w:lang w:eastAsia="zh-CN"/>
        </w:rPr>
        <w:t>三、支出决算情况说明</w:t>
      </w:r>
      <w:bookmarkEnd w:id="36"/>
      <w:bookmarkEnd w:id="37"/>
      <w:bookmarkEnd w:id="38"/>
      <w:bookmarkEnd w:id="39"/>
    </w:p>
    <w:p w14:paraId="07FD9D29">
      <w:pPr>
        <w:pStyle w:val="25"/>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bookmarkStart w:id="40" w:name="_Toc32221"/>
      <w:bookmarkStart w:id="41" w:name="_Toc4265"/>
      <w:r>
        <w:rPr>
          <w:rFonts w:hint="default" w:ascii="Times New Roman" w:hAnsi="Times New Roman" w:eastAsia="方正仿宋_GBK" w:cs="Times New Roman"/>
          <w:sz w:val="32"/>
          <w:szCs w:val="32"/>
          <w:lang w:eastAsia="zh-CN"/>
        </w:rPr>
        <w:t>2024年度本年支出合计</w:t>
      </w:r>
      <w:r>
        <w:rPr>
          <w:rFonts w:hint="default" w:ascii="Times New Roman" w:hAnsi="Times New Roman" w:eastAsia="方正仿宋_GBK" w:cs="Times New Roman"/>
          <w:sz w:val="32"/>
          <w:szCs w:val="32"/>
        </w:rPr>
        <w:t>950.05</w:t>
      </w:r>
      <w:r>
        <w:rPr>
          <w:rFonts w:hint="default" w:ascii="Times New Roman" w:hAnsi="Times New Roman" w:eastAsia="方正仿宋_GBK" w:cs="Times New Roman"/>
          <w:sz w:val="32"/>
          <w:szCs w:val="32"/>
          <w:lang w:eastAsia="zh-CN"/>
        </w:rPr>
        <w:t>万元，其中：基本支出</w:t>
      </w:r>
      <w:r>
        <w:rPr>
          <w:rFonts w:hint="default" w:ascii="Times New Roman" w:hAnsi="Times New Roman" w:eastAsia="方正仿宋_GBK" w:cs="Times New Roman"/>
          <w:sz w:val="32"/>
          <w:szCs w:val="32"/>
        </w:rPr>
        <w:t>132.55</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13.95</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rPr>
        <w:t>817.49</w:t>
      </w:r>
      <w:r>
        <w:rPr>
          <w:rFonts w:hint="default" w:ascii="Times New Roman" w:hAnsi="Times New Roman" w:eastAsia="方正仿宋_GBK" w:cs="Times New Roman"/>
          <w:sz w:val="32"/>
          <w:szCs w:val="32"/>
          <w:lang w:eastAsia="zh-CN"/>
        </w:rPr>
        <w:t>万元，占</w:t>
      </w:r>
      <w:r>
        <w:rPr>
          <w:rFonts w:hint="default" w:ascii="Times New Roman" w:hAnsi="Times New Roman" w:eastAsia="方正仿宋_GBK" w:cs="Times New Roman"/>
          <w:sz w:val="32"/>
          <w:szCs w:val="32"/>
        </w:rPr>
        <w:t>86.04</w:t>
      </w:r>
      <w:r>
        <w:rPr>
          <w:rFonts w:hint="default" w:ascii="Times New Roman" w:hAnsi="Times New Roman" w:eastAsia="方正仿宋_GBK" w:cs="Times New Roman"/>
          <w:sz w:val="32"/>
          <w:szCs w:val="32"/>
          <w:lang w:eastAsia="zh-CN"/>
        </w:rPr>
        <w:t>%。</w:t>
      </w:r>
      <w:bookmarkEnd w:id="40"/>
      <w:bookmarkEnd w:id="41"/>
    </w:p>
    <w:p w14:paraId="21AF48FE">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3D8C7755">
      <w:pPr>
        <w:ind w:firstLine="525"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宋体" w:cs="Times New Roman"/>
          <w:kern w:val="2"/>
          <w:sz w:val="21"/>
          <w:szCs w:val="24"/>
          <w:lang w:val="en-US" w:eastAsia="zh-CN" w:bidi="ar-SA"/>
        </w:rPr>
        <w:pict>
          <v:shape id="_x0000_s1030" o:spid="_x0000_s1030" o:spt="75" type="#_x0000_t75" style="position:absolute;left:0pt;margin-left:63pt;margin-top:4.8pt;height:157.55pt;width:236.25pt;mso-wrap-distance-bottom:0pt;mso-wrap-distance-left:9pt;mso-wrap-distance-right:9pt;mso-wrap-distance-top:0pt;z-index:251661312;mso-width-relative:page;mso-height-relative:page;"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square"/>
          </v:shape>
          <o:OLEObject Type="Embed" ProgID="MSGraph.Chart.8" ShapeID="_x0000_s1030" DrawAspect="Content" ObjectID="_1468075727" r:id="rId14">
            <o:LockedField>false</o:LockedField>
          </o:OLEObject>
        </w:pict>
      </w:r>
    </w:p>
    <w:p w14:paraId="4E9EFC8F">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42" w:name="_Toc15396606"/>
      <w:bookmarkStart w:id="43" w:name="_Toc15377208"/>
    </w:p>
    <w:p w14:paraId="658AAAD2">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7D0B72F6">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31780EE1">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452003A8">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0EC0F6BC">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44" w:name="_Toc24081"/>
      <w:bookmarkStart w:id="45" w:name="_Toc9943"/>
      <w:r>
        <w:rPr>
          <w:rFonts w:hint="default" w:ascii="Times New Roman" w:hAnsi="Times New Roman" w:eastAsia="方正黑体_GBK" w:cs="Times New Roman"/>
          <w:b w:val="0"/>
          <w:lang w:eastAsia="zh-CN"/>
        </w:rPr>
        <w:t>四、财政拨款收入支出决算总体情况说明</w:t>
      </w:r>
      <w:bookmarkEnd w:id="42"/>
      <w:bookmarkEnd w:id="43"/>
      <w:bookmarkEnd w:id="44"/>
      <w:bookmarkEnd w:id="45"/>
    </w:p>
    <w:p w14:paraId="4D414AC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950.05</w:t>
      </w:r>
      <w:r>
        <w:rPr>
          <w:rFonts w:hint="default" w:ascii="Times New Roman" w:hAnsi="Times New Roman" w:eastAsia="方正仿宋_GBK" w:cs="Times New Roman"/>
          <w:color w:val="auto"/>
          <w:kern w:val="2"/>
          <w:sz w:val="32"/>
          <w:szCs w:val="32"/>
          <w:highlight w:val="none"/>
          <w:lang w:val="en-US" w:eastAsia="zh-CN" w:bidi="ar-SA"/>
        </w:rPr>
        <w:t>万元。与2023年度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度收、支总计均</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kern w:val="2"/>
          <w:sz w:val="32"/>
          <w:szCs w:val="32"/>
          <w:lang w:val="en-US" w:eastAsia="zh-CN"/>
        </w:rPr>
        <w:t>819.32</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相比，财政拨款收入总计、支出总计各增加130.73万元，增长15.96%。主要变动原因是</w:t>
      </w:r>
      <w:r>
        <w:rPr>
          <w:rFonts w:hint="default" w:ascii="Times New Roman" w:hAnsi="Times New Roman" w:eastAsia="方正仿宋_GBK" w:cs="Times New Roman"/>
          <w:kern w:val="2"/>
          <w:sz w:val="32"/>
          <w:szCs w:val="32"/>
        </w:rPr>
        <w:t>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w:t>
      </w:r>
      <w:r>
        <w:rPr>
          <w:rFonts w:hint="default" w:ascii="Times New Roman" w:hAnsi="Times New Roman" w:eastAsia="方正仿宋_GBK" w:cs="Times New Roman"/>
          <w:kern w:val="2"/>
          <w:sz w:val="32"/>
          <w:szCs w:val="32"/>
          <w:lang w:eastAsia="zh-CN"/>
        </w:rPr>
        <w:t>职工人数增加，基本支出相应增加，且</w:t>
      </w:r>
      <w:r>
        <w:rPr>
          <w:rFonts w:hint="default" w:ascii="Times New Roman" w:hAnsi="Times New Roman" w:eastAsia="方正仿宋_GBK" w:cs="Times New Roman"/>
          <w:kern w:val="2"/>
          <w:sz w:val="32"/>
          <w:szCs w:val="32"/>
        </w:rPr>
        <w:t>项目支出</w:t>
      </w:r>
      <w:r>
        <w:rPr>
          <w:rFonts w:hint="default" w:ascii="Times New Roman" w:hAnsi="Times New Roman" w:eastAsia="方正仿宋_GBK" w:cs="Times New Roman"/>
          <w:kern w:val="2"/>
          <w:sz w:val="32"/>
          <w:szCs w:val="32"/>
          <w:lang w:eastAsia="zh-CN"/>
        </w:rPr>
        <w:t>增加。</w:t>
      </w:r>
    </w:p>
    <w:p w14:paraId="0E5CDC26">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01A67484">
      <w:pPr>
        <w:pStyle w:val="2"/>
        <w:rPr>
          <w:rFonts w:hint="default" w:ascii="Times New Roman" w:hAnsi="Times New Roman" w:cs="Times New Roman"/>
          <w:lang w:val="en-US" w:eastAsia="zh-CN"/>
        </w:rPr>
      </w:pPr>
      <w:r>
        <w:rPr>
          <w:rFonts w:hint="default" w:ascii="Times New Roman" w:hAnsi="Times New Roman" w:eastAsia="宋体" w:cs="Times New Roman"/>
          <w:b/>
          <w:kern w:val="2"/>
          <w:sz w:val="21"/>
          <w:szCs w:val="24"/>
          <w:lang w:val="en-US" w:eastAsia="zh-CN" w:bidi="ar-SA"/>
        </w:rPr>
        <w:pict>
          <v:shape id="_x0000_s1031" o:spid="_x0000_s1031" o:spt="75" type="#_x0000_t75" style="position:absolute;left:0pt;margin-left:60.45pt;margin-top:8.25pt;height:164.25pt;width:245.3pt;mso-wrap-distance-bottom:0pt;mso-wrap-distance-left:9pt;mso-wrap-distance-right:9pt;mso-wrap-distance-top:0pt;z-index:251662336;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31" DrawAspect="Content" ObjectID="_1468075728" r:id="rId16">
            <o:LockedField>false</o:LockedField>
          </o:OLEObject>
        </w:pict>
      </w:r>
    </w:p>
    <w:p w14:paraId="590665E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04DD8768">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46" w:name="_Toc15377209"/>
      <w:bookmarkStart w:id="47" w:name="_Toc15396607"/>
    </w:p>
    <w:p w14:paraId="22ED06E0">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7CCF9C33">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31E07A76">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1EA1362F">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45C775C7">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48" w:name="_Toc15011"/>
      <w:bookmarkStart w:id="49" w:name="_Toc15592"/>
      <w:r>
        <w:rPr>
          <w:rFonts w:hint="default" w:ascii="Times New Roman" w:hAnsi="Times New Roman" w:eastAsia="方正黑体_GBK" w:cs="Times New Roman"/>
          <w:b w:val="0"/>
          <w:lang w:eastAsia="zh-CN"/>
        </w:rPr>
        <w:t>五、一般公共预算财政拨款支出决算情况说明</w:t>
      </w:r>
      <w:bookmarkEnd w:id="46"/>
      <w:bookmarkEnd w:id="47"/>
      <w:bookmarkEnd w:id="48"/>
      <w:bookmarkEnd w:id="49"/>
    </w:p>
    <w:p w14:paraId="713A042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0" w:name="_Toc15377210"/>
      <w:bookmarkStart w:id="51" w:name="_Toc8999"/>
      <w:bookmarkStart w:id="52" w:name="_Toc26220"/>
      <w:r>
        <w:rPr>
          <w:rFonts w:hint="default" w:ascii="Times New Roman" w:hAnsi="Times New Roman" w:eastAsia="方正楷体_GBK" w:cs="Times New Roman"/>
          <w:b/>
          <w:color w:val="auto"/>
          <w:sz w:val="32"/>
          <w:szCs w:val="32"/>
          <w:highlight w:val="none"/>
        </w:rPr>
        <w:t>（一）一般公共预算财政拨款支出决算总体情况</w:t>
      </w:r>
      <w:bookmarkEnd w:id="50"/>
      <w:bookmarkEnd w:id="51"/>
      <w:bookmarkEnd w:id="52"/>
    </w:p>
    <w:p w14:paraId="4E4632F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950.05</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%。与2023年度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rPr>
        <w:t>度收、支总计均</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kern w:val="2"/>
          <w:sz w:val="32"/>
          <w:szCs w:val="32"/>
          <w:lang w:val="en-US" w:eastAsia="zh-CN"/>
        </w:rPr>
        <w:t>819.32</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相比，一般公共预算财政拨款支出增加130.73万元，增长15.96%。主要变动原因是</w:t>
      </w:r>
      <w:r>
        <w:rPr>
          <w:rFonts w:hint="default" w:ascii="Times New Roman" w:hAnsi="Times New Roman" w:eastAsia="方正仿宋_GBK" w:cs="Times New Roman"/>
          <w:kern w:val="2"/>
          <w:sz w:val="32"/>
          <w:szCs w:val="32"/>
        </w:rPr>
        <w:t>202</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rPr>
        <w:t>年度</w:t>
      </w:r>
      <w:r>
        <w:rPr>
          <w:rFonts w:hint="default" w:ascii="Times New Roman" w:hAnsi="Times New Roman" w:eastAsia="方正仿宋_GBK" w:cs="Times New Roman"/>
          <w:kern w:val="2"/>
          <w:sz w:val="32"/>
          <w:szCs w:val="32"/>
          <w:lang w:eastAsia="zh-CN"/>
        </w:rPr>
        <w:t>职工人数增加，基本支出相应增加，且</w:t>
      </w:r>
      <w:r>
        <w:rPr>
          <w:rFonts w:hint="default" w:ascii="Times New Roman" w:hAnsi="Times New Roman" w:eastAsia="方正仿宋_GBK" w:cs="Times New Roman"/>
          <w:kern w:val="2"/>
          <w:sz w:val="32"/>
          <w:szCs w:val="32"/>
        </w:rPr>
        <w:t>项目支出</w:t>
      </w:r>
      <w:r>
        <w:rPr>
          <w:rFonts w:hint="default" w:ascii="Times New Roman" w:hAnsi="Times New Roman" w:eastAsia="方正仿宋_GBK" w:cs="Times New Roman"/>
          <w:kern w:val="2"/>
          <w:sz w:val="32"/>
          <w:szCs w:val="32"/>
          <w:lang w:eastAsia="zh-CN"/>
        </w:rPr>
        <w:t>增加。</w:t>
      </w:r>
    </w:p>
    <w:p w14:paraId="33C086A7">
      <w:pPr>
        <w:spacing w:line="600" w:lineRule="exact"/>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5621E23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b/>
          <w:kern w:val="2"/>
          <w:sz w:val="21"/>
          <w:szCs w:val="24"/>
          <w:lang w:val="en-US" w:eastAsia="zh-CN" w:bidi="ar-SA"/>
        </w:rPr>
        <w:pict>
          <v:shape id="_x0000_s1032" o:spid="_x0000_s1032" o:spt="75" type="#_x0000_t75" style="position:absolute;left:0pt;margin-left:60.45pt;margin-top:8.25pt;height:164.25pt;width:245.3pt;mso-wrap-distance-bottom:0pt;mso-wrap-distance-left:9pt;mso-wrap-distance-right:9pt;mso-wrap-distance-top:0pt;z-index:251663360;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32" DrawAspect="Content" ObjectID="_1468075729" r:id="rId17">
            <o:LockedField>false</o:LockedField>
          </o:OLEObject>
        </w:pict>
      </w:r>
    </w:p>
    <w:p w14:paraId="5F46BB2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3" w:name="_Toc15377211"/>
    </w:p>
    <w:p w14:paraId="503218E4">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55D695BA">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65AA6B58">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6E859A0F">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4" w:name="_Toc2119"/>
      <w:bookmarkStart w:id="55" w:name="_Toc9418"/>
      <w:r>
        <w:rPr>
          <w:rFonts w:hint="default" w:ascii="Times New Roman" w:hAnsi="Times New Roman" w:eastAsia="方正楷体_GBK" w:cs="Times New Roman"/>
          <w:b/>
          <w:color w:val="auto"/>
          <w:sz w:val="32"/>
          <w:szCs w:val="32"/>
          <w:highlight w:val="none"/>
        </w:rPr>
        <w:t>（二）一般公共预算财政拨款支出决算结构情况</w:t>
      </w:r>
      <w:bookmarkEnd w:id="53"/>
      <w:bookmarkEnd w:id="54"/>
      <w:bookmarkEnd w:id="55"/>
    </w:p>
    <w:p w14:paraId="02DFCCF0">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950.05</w:t>
      </w:r>
      <w:r>
        <w:rPr>
          <w:rFonts w:hint="default" w:ascii="Times New Roman" w:hAnsi="Times New Roman" w:eastAsia="方正仿宋_GBK" w:cs="Times New Roman"/>
          <w:color w:val="auto"/>
          <w:kern w:val="2"/>
          <w:sz w:val="32"/>
          <w:szCs w:val="32"/>
          <w:highlight w:val="none"/>
          <w:lang w:val="en-US" w:eastAsia="zh-CN" w:bidi="ar-SA"/>
        </w:rPr>
        <w:t>万元，主要用于以下方面：社会保障和就业支出930.94万元，占97.99%；卫生健康支出9.75万元，占1.03%；住房保障支出9.36万元，占0.98%。</w:t>
      </w:r>
    </w:p>
    <w:p w14:paraId="16551EB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14:paraId="7C15BFA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kern w:val="2"/>
          <w:sz w:val="21"/>
          <w:szCs w:val="24"/>
          <w:lang w:val="en-US" w:eastAsia="zh-CN" w:bidi="ar-SA"/>
        </w:rPr>
        <w:pict>
          <v:shape id="_x0000_s1033" o:spid="_x0000_s1033" o:spt="75" type="#_x0000_t75" style="position:absolute;left:0pt;margin-left:89.25pt;margin-top:4.7pt;height:129.95pt;width:194.2pt;mso-wrap-distance-bottom:0pt;mso-wrap-distance-left:9pt;mso-wrap-distance-right:9pt;mso-wrap-distance-top:0pt;z-index:251664384;mso-width-relative:page;mso-height-relative:page;" o:ole="t" fillcolor="#FFFFFF" filled="f" o:preferrelative="t" stroked="f" coordsize="21600,21600">
            <v:path/>
            <v:fill on="f" color2="#FFFFFF" focussize="0,0"/>
            <v:stroke on="f"/>
            <v:imagedata r:id="rId19" gain="65536f" blacklevel="0f" gamma="0" o:title=""/>
            <o:lock v:ext="edit" position="f" selection="f" grouping="f" rotation="f" cropping="f" text="f" aspectratio="t"/>
            <w10:wrap type="square"/>
          </v:shape>
          <o:OLEObject Type="Embed" ProgID="MSGraph.Chart.8" ShapeID="_x0000_s1033" DrawAspect="Content" ObjectID="_1468075730" r:id="rId18">
            <o:LockedField>false</o:LockedField>
          </o:OLEObject>
        </w:pict>
      </w:r>
    </w:p>
    <w:p w14:paraId="26653F89">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6" w:name="_Toc15377212"/>
    </w:p>
    <w:p w14:paraId="3312B5D3">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34723BE">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1FE1E66">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2CC7B4B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7" w:name="_Toc14766"/>
      <w:bookmarkStart w:id="58" w:name="_Toc9503"/>
      <w:r>
        <w:rPr>
          <w:rFonts w:hint="default" w:ascii="Times New Roman" w:hAnsi="Times New Roman" w:eastAsia="方正楷体_GBK" w:cs="Times New Roman"/>
          <w:b/>
          <w:color w:val="auto"/>
          <w:sz w:val="32"/>
          <w:szCs w:val="32"/>
          <w:highlight w:val="none"/>
        </w:rPr>
        <w:t>（三）一般公共预算财政拨款支出决算具体情况</w:t>
      </w:r>
      <w:bookmarkEnd w:id="56"/>
      <w:bookmarkEnd w:id="57"/>
      <w:bookmarkEnd w:id="58"/>
    </w:p>
    <w:p w14:paraId="01D2ABF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59" w:name="_Toc15378460"/>
      <w:bookmarkStart w:id="60" w:name="_Toc15377213"/>
      <w:bookmarkStart w:id="61" w:name="_Toc1537744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950.05</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59"/>
      <w:bookmarkEnd w:id="60"/>
      <w:bookmarkEnd w:id="61"/>
    </w:p>
    <w:p w14:paraId="39C4C90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1.社会保障和就业支出（类）人力资源和社会保障管理事务（款）行政运行（项）：支出决算为93万元，完成预算100%。</w:t>
      </w:r>
    </w:p>
    <w:p w14:paraId="14375A6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2.社会保障和就业支出（类）行政事业单位养老支出（款）行政单位离退休（项）: 支出决算为8.82万元，完成预算100%。</w:t>
      </w:r>
    </w:p>
    <w:p w14:paraId="2D01D34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3.社会保障和就业支出（类）行政事业单位养老支出（款）机关事业单位基本养老保险缴费支出（项）：支出决算为11.62万元，完成预算100%。</w:t>
      </w:r>
    </w:p>
    <w:p w14:paraId="6325DFF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4.社会保障和就业支出（类）就业补助（款）职业培训补贴（项）：支出决算为365.43万元，完成预算100%。</w:t>
      </w:r>
    </w:p>
    <w:p w14:paraId="002569B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5.社会保障和就业支出（类）就业补助（款）社会保险补贴（项）：支出决算为20.67万元，完成预算100%。</w:t>
      </w:r>
    </w:p>
    <w:p w14:paraId="4CF5EEB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6.社会保障和就业支出（类）就业补助（款）公益性岗位补贴（项）：支出决算为214.29万元，完成预算100%。</w:t>
      </w:r>
    </w:p>
    <w:p w14:paraId="5604C21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7.社会保障和就业支出（类）就业补助（款）就业见习补贴（项）：支出决算为104.22万元，完成预算100%。</w:t>
      </w:r>
    </w:p>
    <w:p w14:paraId="27CC3DB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8.社会保障和就业支出（类）就业补助（款）促进创业补贴（项）：支出决算为23万元，完成预算100%。</w:t>
      </w:r>
    </w:p>
    <w:p w14:paraId="5B48256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9.社会保障和就业支出（类）就业补助（款）其他就业补助支出（项）：支出决算为89.89万元，完成预算100%。</w:t>
      </w:r>
    </w:p>
    <w:p w14:paraId="3434795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10.卫生健康支出（类）行政事业单位医疗（款）行政单位医疗（项）：支出决算为6.06万元，完成预算100%。</w:t>
      </w:r>
    </w:p>
    <w:p w14:paraId="6203EC4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11.卫生健康支出（类）行政事业单位医疗（款）公务员医疗补助（项）：支出决算为0.78万元，完成预算100%。</w:t>
      </w:r>
    </w:p>
    <w:p w14:paraId="6F10C84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12.卫生健康支出（类）行政事业单位医疗（款）其他行政事业单位医疗支出（项）：支出决算为2.91万元，完成预算100%。</w:t>
      </w:r>
    </w:p>
    <w:p w14:paraId="142AB4E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13.住房保障支出（类）住房改革支出（款）住房公积金（项）：支出决算为9.36万元，完成预算100%。</w:t>
      </w:r>
    </w:p>
    <w:p w14:paraId="2FBB8F6D">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62" w:name="_Toc15396608"/>
      <w:bookmarkStart w:id="63" w:name="_Toc15377214"/>
      <w:bookmarkStart w:id="64" w:name="_Toc9790"/>
      <w:bookmarkStart w:id="65" w:name="_Toc18635"/>
      <w:r>
        <w:rPr>
          <w:rFonts w:hint="default" w:ascii="Times New Roman" w:hAnsi="Times New Roman" w:eastAsia="方正黑体_GBK" w:cs="Times New Roman"/>
          <w:b w:val="0"/>
          <w:lang w:eastAsia="zh-CN"/>
        </w:rPr>
        <w:t>六、一般公共预算财政拨款基本支出决算情况说明</w:t>
      </w:r>
      <w:bookmarkEnd w:id="62"/>
      <w:bookmarkEnd w:id="63"/>
      <w:bookmarkEnd w:id="64"/>
      <w:bookmarkEnd w:id="65"/>
    </w:p>
    <w:p w14:paraId="30F7273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132.55</w:t>
      </w:r>
      <w:r>
        <w:rPr>
          <w:rFonts w:hint="default" w:ascii="Times New Roman" w:hAnsi="Times New Roman" w:eastAsia="方正仿宋_GBK" w:cs="Times New Roman"/>
          <w:color w:val="auto"/>
          <w:kern w:val="2"/>
          <w:sz w:val="32"/>
          <w:szCs w:val="32"/>
          <w:highlight w:val="none"/>
          <w:lang w:val="en-US" w:eastAsia="zh-CN" w:bidi="ar-SA"/>
        </w:rPr>
        <w:t>万元，其中：</w:t>
      </w:r>
    </w:p>
    <w:p w14:paraId="5D76578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color w:val="auto"/>
          <w:sz w:val="32"/>
          <w:szCs w:val="32"/>
        </w:rPr>
        <w:t>121.98</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万元，主要包括：基本工资、津贴补贴、奖金、机关事业单位基本养老保险缴费、职工基本医疗保险缴费、公务员医疗补助缴费、其他社会保障缴费、住房公积金、其他工资福利支出、生活补助、医疗费补助等。</w:t>
      </w:r>
      <w:r>
        <w:rPr>
          <w:rFonts w:hint="default" w:ascii="Times New Roman" w:hAnsi="Times New Roman" w:eastAsia="方正仿宋_GBK" w:cs="Times New Roman"/>
          <w:color w:val="auto"/>
          <w:kern w:val="2"/>
          <w:sz w:val="32"/>
          <w:szCs w:val="32"/>
          <w:highlight w:val="none"/>
          <w:lang w:val="en-US" w:eastAsia="zh-CN" w:bidi="ar-SA"/>
        </w:rPr>
        <w:br w:type="textWrapping"/>
      </w:r>
      <w:r>
        <w:rPr>
          <w:rFonts w:hint="default" w:ascii="Times New Roman" w:hAnsi="Times New Roman" w:eastAsia="方正仿宋_GBK" w:cs="Times New Roman"/>
          <w:color w:val="auto"/>
          <w:kern w:val="2"/>
          <w:sz w:val="32"/>
          <w:szCs w:val="32"/>
          <w:highlight w:val="none"/>
          <w:lang w:val="en-US" w:eastAsia="zh-CN" w:bidi="ar-SA"/>
        </w:rPr>
        <w:t>　　公用经费</w:t>
      </w:r>
      <w:r>
        <w:rPr>
          <w:rFonts w:hint="default" w:ascii="Times New Roman" w:hAnsi="Times New Roman" w:eastAsia="方正仿宋_GBK" w:cs="Times New Roman"/>
          <w:sz w:val="32"/>
          <w:szCs w:val="32"/>
        </w:rPr>
        <w:t>10.58</w:t>
      </w:r>
      <w:r>
        <w:rPr>
          <w:rFonts w:hint="default" w:ascii="Times New Roman" w:hAnsi="Times New Roman" w:eastAsia="方正仿宋_GBK" w:cs="Times New Roman"/>
          <w:color w:val="auto"/>
          <w:kern w:val="2"/>
          <w:sz w:val="32"/>
          <w:szCs w:val="32"/>
          <w:highlight w:val="none"/>
          <w:lang w:val="en-US" w:eastAsia="zh-CN" w:bidi="ar-SA"/>
        </w:rPr>
        <w:t>万元，主要包括：办公费、印刷费、水费、差旅费、维修（护）费、公务接待费、工会经费、福利费、其他交通费用等。</w:t>
      </w:r>
    </w:p>
    <w:p w14:paraId="79CBAD47">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66" w:name="_Toc29480"/>
      <w:bookmarkStart w:id="67" w:name="_Toc15377215"/>
      <w:bookmarkStart w:id="68" w:name="_Toc8328"/>
      <w:bookmarkStart w:id="69" w:name="_Toc15396609"/>
      <w:r>
        <w:rPr>
          <w:rFonts w:hint="default" w:ascii="Times New Roman" w:hAnsi="Times New Roman" w:eastAsia="方正黑体_GBK" w:cs="Times New Roman"/>
          <w:b w:val="0"/>
          <w:lang w:eastAsia="zh-CN"/>
        </w:rPr>
        <w:t>七、财政拨款“三公”经费支出决算情况说明</w:t>
      </w:r>
      <w:bookmarkEnd w:id="66"/>
      <w:bookmarkEnd w:id="67"/>
      <w:bookmarkEnd w:id="68"/>
      <w:bookmarkEnd w:id="69"/>
    </w:p>
    <w:p w14:paraId="0E0F7725">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70" w:name="_Toc32450"/>
      <w:bookmarkStart w:id="71" w:name="_Toc23969"/>
      <w:bookmarkStart w:id="72"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70"/>
      <w:bookmarkEnd w:id="71"/>
      <w:bookmarkEnd w:id="72"/>
    </w:p>
    <w:p w14:paraId="20B0215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%，较上年度（上年度为0.05万元）减少0.02万元，下降40%。决算数与预算数持平。</w:t>
      </w:r>
    </w:p>
    <w:p w14:paraId="1643BE0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73" w:name="_Toc5558"/>
      <w:bookmarkStart w:id="74" w:name="_Toc8926"/>
      <w:bookmarkStart w:id="75"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73"/>
      <w:bookmarkEnd w:id="74"/>
      <w:bookmarkEnd w:id="75"/>
    </w:p>
    <w:p w14:paraId="0B272C0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万元，占0%；公务接待费支出决算</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color w:val="auto"/>
          <w:kern w:val="2"/>
          <w:sz w:val="32"/>
          <w:szCs w:val="32"/>
          <w:highlight w:val="none"/>
          <w:lang w:val="en-US" w:eastAsia="zh-CN" w:bidi="ar-SA"/>
        </w:rPr>
        <w:t>万元，占100%。具体情况如下：</w:t>
      </w:r>
    </w:p>
    <w:p w14:paraId="1040CB7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（图7：“三公”经费财政拨款支出结构）（饼状图）</w:t>
      </w:r>
    </w:p>
    <w:p w14:paraId="2FE942C8">
      <w:pPr>
        <w:pStyle w:val="2"/>
        <w:rPr>
          <w:rFonts w:hint="default" w:ascii="Times New Roman" w:hAnsi="Times New Roman" w:cs="Times New Roman"/>
          <w:lang w:val="en-US" w:eastAsia="zh-CN"/>
        </w:rPr>
      </w:pPr>
    </w:p>
    <w:p w14:paraId="0ECFC15E">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宋体" w:cs="Times New Roman"/>
          <w:b/>
          <w:kern w:val="2"/>
          <w:sz w:val="21"/>
          <w:szCs w:val="24"/>
          <w:lang w:val="en-US" w:eastAsia="zh-CN" w:bidi="ar-SA"/>
        </w:rPr>
        <w:pict>
          <v:shape id="_x0000_s1034" o:spid="_x0000_s1034" o:spt="75" type="#_x0000_t75" style="position:absolute;left:0pt;margin-left:119.4pt;margin-top:109.2pt;height:144pt;width:213.75pt;mso-position-horizontal-relative:page;mso-position-vertical-relative:page;mso-wrap-distance-bottom:0pt;mso-wrap-distance-left:9pt;mso-wrap-distance-right:9pt;mso-wrap-distance-top:0pt;z-index:251665408;mso-width-relative:page;mso-height-relative:page;" o:ole="t" fillcolor="#FFFFFF" filled="f" o:preferrelative="t" stroked="f" coordsize="21600,21600">
            <v:path/>
            <v:fill on="f" color2="#FFFFFF" focussize="0,0"/>
            <v:stroke on="f"/>
            <v:imagedata r:id="rId21" gain="65536f" blacklevel="0f" gamma="0" o:title=""/>
            <o:lock v:ext="edit" position="f" selection="f" grouping="f" rotation="f" cropping="f" text="f" aspectratio="t"/>
            <w10:wrap type="square"/>
          </v:shape>
          <o:OLEObject Type="Embed" ProgID="MSGraph.Chart.8" ShapeID="_x0000_s1034" DrawAspect="Content" ObjectID="_1468075731" r:id="rId20">
            <o:LockedField>false</o:LockedField>
          </o:OLEObject>
        </w:pict>
      </w:r>
    </w:p>
    <w:p w14:paraId="05DC69FC">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62BF1519">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078E09CB">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0C493450">
      <w:pPr>
        <w:pStyle w:val="2"/>
        <w:rPr>
          <w:rFonts w:hint="default" w:ascii="Times New Roman" w:hAnsi="Times New Roman" w:eastAsia="方正仿宋_GBK" w:cs="Times New Roman"/>
          <w:b/>
          <w:bCs/>
          <w:color w:val="auto"/>
          <w:kern w:val="2"/>
          <w:sz w:val="32"/>
          <w:szCs w:val="32"/>
          <w:highlight w:val="none"/>
          <w:lang w:val="en-US" w:eastAsia="zh-CN" w:bidi="ar-SA"/>
        </w:rPr>
      </w:pPr>
    </w:p>
    <w:p w14:paraId="0912D066">
      <w:pPr>
        <w:pStyle w:val="3"/>
        <w:rPr>
          <w:rFonts w:hint="default" w:ascii="Times New Roman" w:hAnsi="Times New Roman" w:cs="Times New Roman"/>
          <w:lang w:val="en-US" w:eastAsia="zh-CN"/>
        </w:rPr>
      </w:pPr>
    </w:p>
    <w:p w14:paraId="491AF05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年持平，无增减变动</w:t>
      </w:r>
      <w:r>
        <w:rPr>
          <w:rFonts w:hint="default" w:ascii="Times New Roman" w:hAnsi="Times New Roman" w:eastAsia="方正仿宋_GBK" w:cs="Times New Roman"/>
          <w:color w:val="auto"/>
          <w:kern w:val="2"/>
          <w:sz w:val="32"/>
          <w:szCs w:val="32"/>
          <w:highlight w:val="none"/>
          <w:lang w:val="en-US" w:eastAsia="zh-CN" w:bidi="ar-SA"/>
        </w:rPr>
        <w:t>。主要原因是</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无因公出国（境）任务安排，无出国（境）团组人次，无出国（境）拨款</w:t>
      </w:r>
      <w:r>
        <w:rPr>
          <w:rFonts w:hint="default" w:ascii="Times New Roman" w:hAnsi="Times New Roman" w:eastAsia="方正仿宋_GBK" w:cs="Times New Roman"/>
          <w:sz w:val="32"/>
          <w:szCs w:val="32"/>
          <w:lang w:eastAsia="zh-CN"/>
        </w:rPr>
        <w:t>预算与</w:t>
      </w:r>
      <w:r>
        <w:rPr>
          <w:rFonts w:hint="default" w:ascii="Times New Roman" w:hAnsi="Times New Roman" w:eastAsia="方正仿宋_GBK" w:cs="Times New Roman"/>
          <w:sz w:val="32"/>
          <w:szCs w:val="32"/>
        </w:rPr>
        <w:t>支出。</w:t>
      </w:r>
    </w:p>
    <w:p w14:paraId="0F3BE4F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2.公务用车购置及运行维护费支出0万元，完成预算100%。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年持平</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sz w:val="32"/>
          <w:szCs w:val="32"/>
        </w:rPr>
        <w:t>我中心未保留公务用车，未产生公务用车运行维护费用</w:t>
      </w:r>
      <w:r>
        <w:rPr>
          <w:rFonts w:hint="default" w:ascii="Times New Roman" w:hAnsi="Times New Roman" w:eastAsia="方正仿宋_GBK" w:cs="Times New Roman"/>
          <w:sz w:val="32"/>
          <w:szCs w:val="32"/>
          <w:lang w:eastAsia="zh-CN"/>
        </w:rPr>
        <w:t>预算与</w:t>
      </w:r>
      <w:r>
        <w:rPr>
          <w:rFonts w:hint="default" w:ascii="Times New Roman" w:hAnsi="Times New Roman" w:eastAsia="方正仿宋_GBK" w:cs="Times New Roman"/>
          <w:sz w:val="32"/>
          <w:szCs w:val="32"/>
        </w:rPr>
        <w:t>支出。</w:t>
      </w:r>
    </w:p>
    <w:p w14:paraId="5A3F48D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3.公务接待费支出0.03万元，完成预算100%。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公务接待费支出决算比2023年度（2023年度为0.05万元）减少0.02万元，下降40%。主要原因是</w:t>
      </w:r>
      <w:r>
        <w:rPr>
          <w:rFonts w:hint="default" w:ascii="Times New Roman" w:hAnsi="Times New Roman" w:eastAsia="方正仿宋_GBK" w:cs="Times New Roman"/>
          <w:sz w:val="32"/>
          <w:szCs w:val="32"/>
          <w:lang w:eastAsia="zh-CN"/>
        </w:rPr>
        <w:t>节约使用公用经费</w:t>
      </w:r>
      <w:r>
        <w:rPr>
          <w:rFonts w:hint="default" w:ascii="Times New Roman" w:hAnsi="Times New Roman" w:eastAsia="方正仿宋_GBK" w:cs="Times New Roman"/>
          <w:color w:val="auto"/>
          <w:kern w:val="2"/>
          <w:sz w:val="32"/>
          <w:szCs w:val="32"/>
          <w:highlight w:val="none"/>
          <w:lang w:val="en-US" w:eastAsia="zh-CN" w:bidi="ar-SA"/>
        </w:rPr>
        <w:t>。其中：</w:t>
      </w:r>
    </w:p>
    <w:p w14:paraId="6D2CA0C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color w:val="auto"/>
          <w:kern w:val="2"/>
          <w:sz w:val="32"/>
          <w:szCs w:val="32"/>
          <w:highlight w:val="none"/>
          <w:lang w:val="en-US" w:eastAsia="zh-CN" w:bidi="ar-SA"/>
        </w:rPr>
        <w:t>万元，主要用于浙江大学博士团来攀调研司乘人员用餐费等。国内公务接待</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人次（不包括陪同人员），共计支出0.03万元，具体内容包括：浙江大学博士团来攀调研司乘人员用餐费0.03万元。</w:t>
      </w:r>
    </w:p>
    <w:p w14:paraId="0283525C">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76" w:name="_Toc22054"/>
      <w:bookmarkStart w:id="77" w:name="_Toc15396610"/>
      <w:bookmarkStart w:id="78" w:name="_Toc15377218"/>
      <w:bookmarkStart w:id="79" w:name="_Toc25124"/>
      <w:r>
        <w:rPr>
          <w:rFonts w:hint="default" w:ascii="Times New Roman" w:hAnsi="Times New Roman" w:eastAsia="方正黑体_GBK" w:cs="Times New Roman"/>
          <w:b w:val="0"/>
          <w:lang w:eastAsia="zh-CN"/>
        </w:rPr>
        <w:t>八、政府性基金预算支出决算情况说明</w:t>
      </w:r>
      <w:bookmarkEnd w:id="76"/>
      <w:bookmarkEnd w:id="77"/>
      <w:bookmarkEnd w:id="78"/>
      <w:bookmarkEnd w:id="79"/>
    </w:p>
    <w:p w14:paraId="70FC3E3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万元，支出数与上年持平。</w:t>
      </w:r>
    </w:p>
    <w:p w14:paraId="00ADBDE3">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80" w:name="_Toc30300"/>
      <w:bookmarkStart w:id="81" w:name="_Toc15396611"/>
      <w:bookmarkStart w:id="82" w:name="_Toc15377219"/>
      <w:bookmarkStart w:id="83" w:name="_Toc17713"/>
      <w:r>
        <w:rPr>
          <w:rFonts w:hint="default" w:ascii="Times New Roman" w:hAnsi="Times New Roman" w:eastAsia="方正黑体_GBK" w:cs="Times New Roman"/>
          <w:b w:val="0"/>
          <w:lang w:eastAsia="zh-CN"/>
        </w:rPr>
        <w:t>九、国有资本经营预算支出决算情况说明</w:t>
      </w:r>
      <w:bookmarkEnd w:id="80"/>
      <w:bookmarkEnd w:id="81"/>
      <w:bookmarkEnd w:id="82"/>
      <w:bookmarkEnd w:id="83"/>
    </w:p>
    <w:p w14:paraId="27C77BD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万元，支出数与上年持平。</w:t>
      </w:r>
    </w:p>
    <w:p w14:paraId="13B4D7DB">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方正黑体_GBK" w:cs="Times New Roman"/>
          <w:b w:val="0"/>
          <w:lang w:eastAsia="zh-CN"/>
        </w:rPr>
      </w:pPr>
      <w:bookmarkStart w:id="84" w:name="_Toc23766"/>
      <w:bookmarkStart w:id="85" w:name="_Toc15377221"/>
      <w:bookmarkStart w:id="86" w:name="_Toc14458"/>
      <w:bookmarkStart w:id="87" w:name="_Toc15396612"/>
      <w:r>
        <w:rPr>
          <w:rFonts w:hint="default" w:ascii="Times New Roman" w:hAnsi="Times New Roman" w:eastAsia="方正黑体_GBK" w:cs="Times New Roman"/>
          <w:b w:val="0"/>
          <w:lang w:eastAsia="zh-CN"/>
        </w:rPr>
        <w:t>十、其他重要事项的情况说明</w:t>
      </w:r>
      <w:bookmarkEnd w:id="84"/>
      <w:bookmarkEnd w:id="85"/>
      <w:bookmarkEnd w:id="86"/>
      <w:bookmarkEnd w:id="87"/>
    </w:p>
    <w:p w14:paraId="558029D3">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88" w:name="_Toc15377222"/>
      <w:bookmarkStart w:id="89" w:name="_Toc20746"/>
      <w:bookmarkStart w:id="90" w:name="_Toc31097"/>
      <w:r>
        <w:rPr>
          <w:rFonts w:hint="default" w:ascii="Times New Roman" w:hAnsi="Times New Roman" w:eastAsia="方正楷体_GBK" w:cs="Times New Roman"/>
          <w:b/>
          <w:color w:val="auto"/>
          <w:sz w:val="32"/>
          <w:szCs w:val="32"/>
          <w:highlight w:val="none"/>
        </w:rPr>
        <w:t>（一）机关运行经费支出情况</w:t>
      </w:r>
      <w:bookmarkEnd w:id="88"/>
      <w:bookmarkEnd w:id="89"/>
      <w:bookmarkEnd w:id="90"/>
    </w:p>
    <w:p w14:paraId="1F5387A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盐边县就业创业促进中心</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10.58</w:t>
      </w:r>
      <w:r>
        <w:rPr>
          <w:rFonts w:hint="default" w:ascii="Times New Roman" w:hAnsi="Times New Roman" w:eastAsia="方正仿宋_GBK" w:cs="Times New Roman"/>
          <w:color w:val="auto"/>
          <w:kern w:val="2"/>
          <w:sz w:val="32"/>
          <w:szCs w:val="32"/>
          <w:highlight w:val="none"/>
          <w:lang w:val="en-US" w:eastAsia="zh-CN" w:bidi="ar-SA"/>
        </w:rPr>
        <w:t>万元，比2023年度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2023年度为6.65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增加3.93万元，增长59.10%。主要原因是本年人员较上年增加，故公用经费支出增加。</w:t>
      </w:r>
    </w:p>
    <w:p w14:paraId="539A93AB">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91" w:name="_Toc30652"/>
      <w:bookmarkStart w:id="92" w:name="_Toc18108"/>
      <w:bookmarkStart w:id="93" w:name="_Toc15377223"/>
      <w:r>
        <w:rPr>
          <w:rFonts w:hint="default" w:ascii="Times New Roman" w:hAnsi="Times New Roman" w:eastAsia="方正楷体_GBK" w:cs="Times New Roman"/>
          <w:b/>
          <w:color w:val="auto"/>
          <w:sz w:val="32"/>
          <w:szCs w:val="32"/>
          <w:highlight w:val="none"/>
        </w:rPr>
        <w:t>（二）政府采购支出情况</w:t>
      </w:r>
      <w:bookmarkEnd w:id="91"/>
      <w:bookmarkEnd w:id="92"/>
      <w:bookmarkEnd w:id="93"/>
    </w:p>
    <w:p w14:paraId="5F53534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盐边县就业创业促进中心</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412</w:t>
      </w:r>
      <w:r>
        <w:rPr>
          <w:rFonts w:hint="default" w:ascii="Times New Roman" w:hAnsi="Times New Roman" w:eastAsia="方正仿宋_GBK" w:cs="Times New Roman"/>
          <w:color w:val="auto"/>
          <w:kern w:val="2"/>
          <w:sz w:val="32"/>
          <w:szCs w:val="32"/>
          <w:highlight w:val="none"/>
          <w:lang w:val="en-US" w:eastAsia="zh-CN" w:bidi="ar-SA"/>
        </w:rPr>
        <w:t>万元，其中：政府采购服务支出</w:t>
      </w:r>
      <w:r>
        <w:rPr>
          <w:rFonts w:hint="default" w:ascii="Times New Roman" w:hAnsi="Times New Roman" w:eastAsia="方正仿宋_GBK" w:cs="Times New Roman"/>
          <w:sz w:val="32"/>
          <w:szCs w:val="32"/>
        </w:rPr>
        <w:t>412</w:t>
      </w:r>
      <w:r>
        <w:rPr>
          <w:rFonts w:hint="default" w:ascii="Times New Roman" w:hAnsi="Times New Roman" w:eastAsia="方正仿宋_GBK" w:cs="Times New Roman"/>
          <w:color w:val="auto"/>
          <w:kern w:val="2"/>
          <w:sz w:val="32"/>
          <w:szCs w:val="32"/>
          <w:highlight w:val="none"/>
          <w:lang w:val="en-US" w:eastAsia="zh-CN" w:bidi="ar-SA"/>
        </w:rPr>
        <w:t>万元。主要用于采购技能培训服务。授予中小企业合同金额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w:t>
      </w:r>
    </w:p>
    <w:p w14:paraId="0CA9B940">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94" w:name="_Toc20362"/>
      <w:bookmarkStart w:id="95" w:name="_Toc15377224"/>
      <w:bookmarkStart w:id="96" w:name="_Toc21291"/>
      <w:r>
        <w:rPr>
          <w:rFonts w:hint="default" w:ascii="Times New Roman" w:hAnsi="Times New Roman" w:eastAsia="方正楷体_GBK" w:cs="Times New Roman"/>
          <w:b/>
          <w:color w:val="auto"/>
          <w:sz w:val="32"/>
          <w:szCs w:val="32"/>
          <w:highlight w:val="none"/>
        </w:rPr>
        <w:t>（三）国有资产占有使用情况</w:t>
      </w:r>
      <w:bookmarkEnd w:id="94"/>
      <w:bookmarkEnd w:id="95"/>
      <w:bookmarkEnd w:id="96"/>
    </w:p>
    <w:p w14:paraId="7C05B29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盐边县就业创业促进中心未保留公务用车</w:t>
      </w:r>
      <w:r>
        <w:rPr>
          <w:rFonts w:hint="default" w:ascii="Times New Roman" w:hAnsi="Times New Roman" w:eastAsia="方正仿宋_GBK" w:cs="Times New Roman"/>
          <w:color w:val="auto"/>
          <w:kern w:val="2"/>
          <w:sz w:val="32"/>
          <w:szCs w:val="32"/>
          <w:highlight w:val="none"/>
          <w:lang w:val="en-US" w:eastAsia="zh-CN" w:bidi="ar-SA"/>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14:paraId="561A8A4F">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97" w:name="_Toc30718"/>
      <w:bookmarkStart w:id="98" w:name="_Toc27081"/>
      <w:r>
        <w:rPr>
          <w:rFonts w:hint="default" w:ascii="Times New Roman" w:hAnsi="Times New Roman" w:eastAsia="方正楷体_GBK" w:cs="Times New Roman"/>
          <w:b/>
          <w:color w:val="auto"/>
          <w:sz w:val="32"/>
          <w:szCs w:val="32"/>
          <w:highlight w:val="none"/>
        </w:rPr>
        <w:t>（四）预算绩效管理情况</w:t>
      </w:r>
      <w:bookmarkEnd w:id="97"/>
      <w:bookmarkEnd w:id="98"/>
    </w:p>
    <w:p w14:paraId="1123852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根据预算绩效管理要求，我中心在2024年度预算编制阶段，组织对</w:t>
      </w:r>
      <w:r>
        <w:rPr>
          <w:rFonts w:hint="default" w:ascii="Times New Roman" w:hAnsi="Times New Roman" w:eastAsia="方正仿宋_GBK" w:cs="Times New Roman"/>
          <w:sz w:val="32"/>
          <w:szCs w:val="32"/>
          <w:lang w:val="en-US" w:eastAsia="zh-CN"/>
        </w:rPr>
        <w:t>就业创业补助资金</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color w:val="auto"/>
          <w:kern w:val="2"/>
          <w:sz w:val="32"/>
          <w:szCs w:val="32"/>
          <w:highlight w:val="none"/>
          <w:lang w:val="en-US" w:eastAsia="zh-CN" w:bidi="ar-SA"/>
        </w:rPr>
        <w:t>1个项目开展了预算事前绩效评估，对该项目编制了绩效目标，预算执行过程中，对该项目开展绩效监控（因资金到达时间不同、文号不同，在部门预算项目支出绩效自评表（2024年度）里面显示3个项目，但实际上就业创业补助资金县级配套、川财社【2024】1号关于预拨2024年中央省级财政就业创业补助资金、川财社【2024】67号关于下达2024年度中央和省级财政就业创业补助资金为同一项目，故项目数统计为1个）。</w:t>
      </w:r>
    </w:p>
    <w:p w14:paraId="60071EB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09F486B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645B0ECC">
      <w:pPr>
        <w:pStyle w:val="5"/>
        <w:keepNext/>
        <w:keepLines/>
        <w:widowControl w:val="0"/>
        <w:wordWrap/>
        <w:adjustRightInd/>
        <w:snapToGrid/>
        <w:spacing w:before="340" w:after="330" w:line="579" w:lineRule="auto"/>
        <w:ind w:left="0" w:leftChars="0" w:right="0" w:firstLine="0" w:firstLineChars="0"/>
        <w:jc w:val="center"/>
        <w:textAlignment w:val="auto"/>
        <w:outlineLvl w:val="0"/>
        <w:rPr>
          <w:rFonts w:hint="default" w:ascii="Times New Roman" w:hAnsi="Times New Roman" w:eastAsia="方正小标宋_GBK" w:cs="Times New Roman"/>
          <w:b/>
          <w:bCs w:val="0"/>
          <w:color w:val="auto"/>
          <w:highlight w:val="none"/>
        </w:rPr>
      </w:pPr>
      <w:bookmarkStart w:id="99" w:name="_Toc15396613"/>
      <w:bookmarkStart w:id="100" w:name="_Toc15377225"/>
      <w:bookmarkStart w:id="101" w:name="_Toc13072"/>
      <w:r>
        <w:rPr>
          <w:rFonts w:hint="default" w:ascii="Times New Roman" w:hAnsi="Times New Roman" w:eastAsia="方正黑体_GBK" w:cs="Times New Roman"/>
          <w:color w:val="auto"/>
          <w:sz w:val="44"/>
          <w:szCs w:val="44"/>
          <w:highlight w:val="none"/>
        </w:rPr>
        <w:br w:type="page"/>
      </w:r>
      <w:bookmarkStart w:id="102" w:name="_Toc17410"/>
      <w:r>
        <w:rPr>
          <w:rFonts w:hint="default" w:ascii="Times New Roman" w:hAnsi="Times New Roman" w:eastAsia="方正小标宋_GBK" w:cs="Times New Roman"/>
          <w:b/>
          <w:bCs w:val="0"/>
          <w:color w:val="auto"/>
          <w:highlight w:val="none"/>
        </w:rPr>
        <w:t>第</w:t>
      </w:r>
      <w:r>
        <w:rPr>
          <w:rFonts w:hint="default" w:ascii="Times New Roman" w:hAnsi="Times New Roman" w:eastAsia="方正小标宋_GBK" w:cs="Times New Roman"/>
          <w:b/>
          <w:bCs w:val="0"/>
          <w:color w:val="auto"/>
          <w:highlight w:val="none"/>
          <w:lang w:eastAsia="zh-CN"/>
        </w:rPr>
        <w:t>三</w:t>
      </w:r>
      <w:r>
        <w:rPr>
          <w:rFonts w:hint="default" w:ascii="Times New Roman" w:hAnsi="Times New Roman" w:eastAsia="方正小标宋_GBK" w:cs="Times New Roman"/>
          <w:b/>
          <w:bCs w:val="0"/>
          <w:color w:val="auto"/>
          <w:highlight w:val="none"/>
        </w:rPr>
        <w:t>部分</w:t>
      </w:r>
      <w:r>
        <w:rPr>
          <w:rFonts w:hint="default" w:ascii="Times New Roman" w:hAnsi="Times New Roman" w:eastAsia="方正小标宋_GBK" w:cs="Times New Roman"/>
          <w:b/>
          <w:bCs w:val="0"/>
          <w:color w:val="auto"/>
          <w:highlight w:val="none"/>
          <w:lang w:val="en-US" w:eastAsia="zh-CN"/>
        </w:rPr>
        <w:t xml:space="preserve">  </w:t>
      </w:r>
      <w:r>
        <w:rPr>
          <w:rFonts w:hint="default" w:ascii="Times New Roman" w:hAnsi="Times New Roman" w:eastAsia="方正小标宋_GBK" w:cs="Times New Roman"/>
          <w:b/>
          <w:bCs w:val="0"/>
          <w:color w:val="auto"/>
          <w:highlight w:val="none"/>
        </w:rPr>
        <w:t>名词解释</w:t>
      </w:r>
      <w:bookmarkEnd w:id="99"/>
      <w:bookmarkEnd w:id="100"/>
      <w:bookmarkEnd w:id="101"/>
      <w:bookmarkEnd w:id="102"/>
    </w:p>
    <w:p w14:paraId="4EC0CF72">
      <w:pPr>
        <w:spacing w:line="600" w:lineRule="exact"/>
        <w:jc w:val="left"/>
        <w:rPr>
          <w:rFonts w:hint="default" w:ascii="Times New Roman" w:hAnsi="Times New Roman" w:cs="Times New Roman"/>
          <w:b/>
          <w:color w:val="auto"/>
          <w:sz w:val="44"/>
          <w:szCs w:val="44"/>
          <w:highlight w:val="none"/>
        </w:rPr>
      </w:pPr>
    </w:p>
    <w:p w14:paraId="5C2BBAB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28112BB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w:t>
      </w:r>
      <w:r>
        <w:rPr>
          <w:rFonts w:hint="default" w:ascii="Times New Roman" w:hAnsi="Times New Roman" w:eastAsia="方正仿宋_GBK" w:cs="Times New Roman"/>
          <w:color w:val="auto"/>
          <w:sz w:val="32"/>
          <w:szCs w:val="32"/>
        </w:rPr>
        <w:t>指事业单位开展专业业务活动及辅助活动取得的收入。如二级预算单位事业收入情况等</w:t>
      </w:r>
      <w:r>
        <w:rPr>
          <w:rFonts w:hint="default" w:ascii="Times New Roman" w:hAnsi="Times New Roman" w:eastAsia="方正仿宋_GBK" w:cs="Times New Roman"/>
          <w:color w:val="auto"/>
          <w:kern w:val="2"/>
          <w:sz w:val="32"/>
          <w:szCs w:val="32"/>
          <w:highlight w:val="none"/>
          <w:lang w:val="en-US" w:eastAsia="zh-CN" w:bidi="ar-SA"/>
        </w:rPr>
        <w:t>。</w:t>
      </w:r>
    </w:p>
    <w:p w14:paraId="69FA185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w:t>
      </w:r>
      <w:r>
        <w:rPr>
          <w:rFonts w:hint="default" w:ascii="Times New Roman" w:hAnsi="Times New Roman" w:eastAsia="方正仿宋_GBK" w:cs="Times New Roman"/>
          <w:color w:val="auto"/>
          <w:sz w:val="32"/>
          <w:szCs w:val="32"/>
        </w:rPr>
        <w:t>指事业单位在专业业务活动及其辅助活动之外开展非独立核算经营活动取得的收入。如二级预算单位经营收入情况等</w:t>
      </w:r>
      <w:r>
        <w:rPr>
          <w:rFonts w:hint="default" w:ascii="Times New Roman" w:hAnsi="Times New Roman" w:eastAsia="方正仿宋_GBK" w:cs="Times New Roman"/>
          <w:color w:val="auto"/>
          <w:kern w:val="2"/>
          <w:sz w:val="32"/>
          <w:szCs w:val="32"/>
          <w:highlight w:val="none"/>
          <w:lang w:val="en-US" w:eastAsia="zh-CN" w:bidi="ar-SA"/>
        </w:rPr>
        <w:t>。</w:t>
      </w:r>
    </w:p>
    <w:p w14:paraId="7739DF5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22EE420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DB8E95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2F5C950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502D66D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771B042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9.社会保障和就业支出（类）人力资源和社会保障管理事务（款）行政运行（项）：指</w:t>
      </w:r>
      <w:r>
        <w:rPr>
          <w:rFonts w:hint="default" w:ascii="Times New Roman" w:hAnsi="Times New Roman" w:eastAsia="方正仿宋_GBK" w:cs="Times New Roman"/>
          <w:kern w:val="0"/>
          <w:sz w:val="32"/>
          <w:szCs w:val="32"/>
        </w:rPr>
        <w:t>行政单位（包括实行公务员管理的事业单位）的基本支出</w:t>
      </w:r>
      <w:r>
        <w:rPr>
          <w:rFonts w:hint="default" w:ascii="Times New Roman" w:hAnsi="Times New Roman" w:eastAsia="方正仿宋_GBK" w:cs="Times New Roman"/>
          <w:kern w:val="0"/>
          <w:sz w:val="32"/>
          <w:szCs w:val="32"/>
          <w:lang w:eastAsia="zh-CN"/>
        </w:rPr>
        <w:t>。</w:t>
      </w:r>
    </w:p>
    <w:p w14:paraId="2D7A9A1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10.社会保障和就业支出（类）行政事业单位养老支出（款）行政单位离退休（项）：</w:t>
      </w:r>
      <w:r>
        <w:rPr>
          <w:rFonts w:hint="default" w:ascii="Times New Roman" w:hAnsi="Times New Roman" w:eastAsia="方正仿宋_GBK" w:cs="Times New Roman"/>
          <w:kern w:val="0"/>
          <w:sz w:val="32"/>
          <w:szCs w:val="32"/>
        </w:rPr>
        <w:t>指行政单位（包括实行公务员管理的事业单位）开支的离退休经费</w:t>
      </w:r>
      <w:r>
        <w:rPr>
          <w:rFonts w:hint="default" w:ascii="Times New Roman" w:hAnsi="Times New Roman" w:eastAsia="方正仿宋_GBK" w:cs="Times New Roman"/>
          <w:kern w:val="0"/>
          <w:sz w:val="32"/>
          <w:szCs w:val="32"/>
          <w:lang w:eastAsia="zh-CN"/>
        </w:rPr>
        <w:t>。</w:t>
      </w:r>
    </w:p>
    <w:p w14:paraId="4603A4A6">
      <w:pPr>
        <w:spacing w:line="600"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auto"/>
          <w:kern w:val="2"/>
          <w:sz w:val="32"/>
          <w:szCs w:val="32"/>
          <w:highlight w:val="none"/>
          <w:lang w:val="en-US" w:eastAsia="zh-CN" w:bidi="ar-SA"/>
        </w:rPr>
        <w:t>11.社会保障和就业支出（类）行政事业单位养老支出（款）机关事业单位基本养老保险缴费支出（项）：指</w:t>
      </w:r>
      <w:r>
        <w:rPr>
          <w:rFonts w:hint="default" w:ascii="Times New Roman" w:hAnsi="Times New Roman" w:eastAsia="方正仿宋_GBK" w:cs="Times New Roman"/>
          <w:kern w:val="0"/>
          <w:sz w:val="32"/>
          <w:szCs w:val="32"/>
        </w:rPr>
        <w:t>机关事业单位实施养老保险制度由单位缴纳的基本养老保险费支出。</w:t>
      </w:r>
    </w:p>
    <w:p w14:paraId="3486F58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12.社会保障和就业支出（类）就业补助（款）职业培训补贴（项）：</w:t>
      </w:r>
      <w:r>
        <w:rPr>
          <w:rFonts w:hint="default" w:ascii="Times New Roman" w:hAnsi="Times New Roman" w:eastAsia="方正仿宋_GBK" w:cs="Times New Roman"/>
          <w:kern w:val="0"/>
          <w:sz w:val="32"/>
          <w:szCs w:val="32"/>
        </w:rPr>
        <w:t>指</w:t>
      </w:r>
      <w:r>
        <w:rPr>
          <w:rFonts w:hint="default" w:ascii="Times New Roman" w:hAnsi="Times New Roman" w:eastAsia="方正仿宋_GBK" w:cs="Times New Roman"/>
          <w:kern w:val="0"/>
          <w:sz w:val="32"/>
          <w:szCs w:val="32"/>
          <w:lang w:eastAsia="zh-CN"/>
        </w:rPr>
        <w:t>财政用于落实相关职业培训政策方面的补贴支出</w:t>
      </w:r>
      <w:r>
        <w:rPr>
          <w:rStyle w:val="17"/>
          <w:rFonts w:hint="default" w:ascii="Times New Roman" w:hAnsi="Times New Roman" w:eastAsia="方正仿宋_GBK" w:cs="Times New Roman"/>
          <w:b w:val="0"/>
          <w:bCs/>
          <w:sz w:val="32"/>
          <w:szCs w:val="32"/>
        </w:rPr>
        <w:t>。</w:t>
      </w:r>
    </w:p>
    <w:p w14:paraId="6D26FC3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13..社会保障和就业支出（类）就业补助（款）社会保险补贴（项）：指</w:t>
      </w:r>
      <w:r>
        <w:rPr>
          <w:rFonts w:hint="default" w:ascii="Times New Roman" w:hAnsi="Times New Roman" w:eastAsia="方正仿宋_GBK" w:cs="Times New Roman"/>
          <w:kern w:val="0"/>
          <w:sz w:val="32"/>
          <w:szCs w:val="32"/>
          <w:lang w:eastAsia="zh-CN"/>
        </w:rPr>
        <w:t>财政对符合条件人员就业后缴纳的社会保险费给予的补贴支出。</w:t>
      </w:r>
    </w:p>
    <w:p w14:paraId="501764A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14.社会保障和就业支出（类）就业补助（款）公益性岗位补贴（项）：</w:t>
      </w:r>
      <w:r>
        <w:rPr>
          <w:rFonts w:hint="default" w:ascii="Times New Roman" w:hAnsi="Times New Roman" w:eastAsia="方正仿宋_GBK" w:cs="Times New Roman"/>
          <w:kern w:val="0"/>
          <w:sz w:val="32"/>
          <w:szCs w:val="32"/>
          <w:lang w:eastAsia="zh-CN"/>
        </w:rPr>
        <w:t>指财政对符合条件的就业困难人员在公益性岗位就业给予的岗位补贴支出</w:t>
      </w:r>
      <w:r>
        <w:rPr>
          <w:rStyle w:val="17"/>
          <w:rFonts w:hint="default" w:ascii="Times New Roman" w:hAnsi="Times New Roman" w:eastAsia="方正仿宋_GBK" w:cs="Times New Roman"/>
          <w:b w:val="0"/>
          <w:bCs/>
          <w:sz w:val="32"/>
          <w:szCs w:val="32"/>
        </w:rPr>
        <w:t>。</w:t>
      </w:r>
    </w:p>
    <w:p w14:paraId="0A540D6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15.社会保障和就业支出（类）就业补助（款）就业见习补贴（项）：指</w:t>
      </w:r>
      <w:r>
        <w:rPr>
          <w:rStyle w:val="17"/>
          <w:rFonts w:hint="default" w:ascii="Times New Roman" w:hAnsi="Times New Roman" w:eastAsia="方正仿宋_GBK" w:cs="Times New Roman"/>
          <w:b w:val="0"/>
          <w:bCs/>
          <w:sz w:val="32"/>
          <w:szCs w:val="32"/>
          <w:lang w:eastAsia="zh-CN"/>
        </w:rPr>
        <w:t>财政对高校毕业生就业见习基本生活费给予的补贴支出</w:t>
      </w:r>
      <w:r>
        <w:rPr>
          <w:rStyle w:val="17"/>
          <w:rFonts w:hint="default" w:ascii="Times New Roman" w:hAnsi="Times New Roman" w:eastAsia="方正仿宋_GBK" w:cs="Times New Roman"/>
          <w:b w:val="0"/>
          <w:bCs/>
          <w:sz w:val="32"/>
          <w:szCs w:val="32"/>
        </w:rPr>
        <w:t>。</w:t>
      </w:r>
    </w:p>
    <w:p w14:paraId="220AAB3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16.社会保障和就业支出（类）就业补助（款）促进创业补贴（项）：</w:t>
      </w:r>
      <w:r>
        <w:rPr>
          <w:rStyle w:val="17"/>
          <w:rFonts w:hint="default" w:ascii="Times New Roman" w:hAnsi="Times New Roman" w:eastAsia="方正仿宋_GBK" w:cs="Times New Roman"/>
          <w:b w:val="0"/>
          <w:bCs/>
          <w:sz w:val="32"/>
          <w:szCs w:val="32"/>
          <w:lang w:eastAsia="zh-CN"/>
        </w:rPr>
        <w:t>指财政为支持符合条件的高校毕业生求职创业给予的求职创业补贴，以及为支持符合规定条件的群体灵活就业、自主创业给予的一次性创业补贴等相关支出。</w:t>
      </w:r>
    </w:p>
    <w:p w14:paraId="76E318C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17.社会保障和就业支出（类）就业补助（款）其他就业补助支出（项）：</w:t>
      </w:r>
      <w:r>
        <w:rPr>
          <w:rFonts w:hint="default" w:ascii="Times New Roman" w:hAnsi="Times New Roman" w:eastAsia="方正仿宋_GBK" w:cs="Times New Roman"/>
          <w:kern w:val="0"/>
          <w:sz w:val="32"/>
          <w:szCs w:val="32"/>
        </w:rPr>
        <w:t>指社会保障和就业（类）就业补助（款）已有项目以外按规定确定的其他用于促进就业的补助支出。</w:t>
      </w:r>
    </w:p>
    <w:p w14:paraId="7023004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18.卫生健康支出（类）行政事业单位医疗（款）行政单位医疗（项）：</w:t>
      </w:r>
      <w:r>
        <w:rPr>
          <w:rFonts w:hint="default" w:ascii="Times New Roman" w:hAnsi="Times New Roman" w:eastAsia="方正仿宋_GBK" w:cs="Times New Roman"/>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2FD1061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19.卫生健康支出（类）行政事业单位医疗（款）公务员医疗补助（项）：</w:t>
      </w:r>
      <w:r>
        <w:rPr>
          <w:rFonts w:hint="default" w:ascii="Times New Roman" w:hAnsi="Times New Roman" w:eastAsia="方正仿宋_GBK" w:cs="Times New Roman"/>
          <w:kern w:val="0"/>
          <w:sz w:val="32"/>
          <w:szCs w:val="32"/>
        </w:rPr>
        <w:t>指财政部门安排的公务员医疗补助经费。</w:t>
      </w:r>
    </w:p>
    <w:p w14:paraId="369FD48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20.卫生健康支出（类）行政事业单位医疗（款）其他行政事业单位医疗支出（项）：指</w:t>
      </w:r>
      <w:r>
        <w:rPr>
          <w:rFonts w:hint="default" w:ascii="Times New Roman" w:hAnsi="Times New Roman" w:eastAsia="方正仿宋_GBK" w:cs="Times New Roman"/>
          <w:kern w:val="0"/>
          <w:sz w:val="32"/>
          <w:szCs w:val="32"/>
        </w:rPr>
        <w:t>卫生健康支出（类）行政事业单位医疗（款）已有项目以外</w:t>
      </w:r>
      <w:r>
        <w:rPr>
          <w:rFonts w:hint="default" w:ascii="Times New Roman" w:hAnsi="Times New Roman" w:eastAsia="方正仿宋_GBK" w:cs="Times New Roman"/>
          <w:kern w:val="0"/>
          <w:sz w:val="32"/>
          <w:szCs w:val="32"/>
          <w:lang w:eastAsia="zh-CN"/>
        </w:rPr>
        <w:t>的其他用于行政事业单位医疗方面的支出</w:t>
      </w:r>
      <w:r>
        <w:rPr>
          <w:rFonts w:hint="default" w:ascii="Times New Roman" w:hAnsi="Times New Roman" w:eastAsia="方正仿宋_GBK" w:cs="Times New Roman"/>
          <w:kern w:val="0"/>
          <w:sz w:val="32"/>
          <w:szCs w:val="32"/>
        </w:rPr>
        <w:t>。</w:t>
      </w:r>
    </w:p>
    <w:p w14:paraId="6164925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21.住房保障支出（类）住房改革支出（款）住房公积金（项）：</w:t>
      </w:r>
      <w:r>
        <w:rPr>
          <w:rFonts w:hint="default" w:ascii="Times New Roman" w:hAnsi="Times New Roman" w:eastAsia="方正仿宋_GBK" w:cs="Times New Roman"/>
          <w:kern w:val="0"/>
          <w:sz w:val="32"/>
          <w:szCs w:val="32"/>
        </w:rPr>
        <w:t>指行政事业单位按人力资源和社会保障部、财政部规定的基本工资和津贴补贴以及规定比例为职工缴纳的</w:t>
      </w:r>
      <w:r>
        <w:rPr>
          <w:rFonts w:hint="default" w:ascii="Times New Roman" w:hAnsi="Times New Roman" w:eastAsia="方正仿宋_GBK" w:cs="Times New Roman"/>
          <w:sz w:val="32"/>
          <w:szCs w:val="32"/>
        </w:rPr>
        <w:t>住房公积金。</w:t>
      </w:r>
    </w:p>
    <w:p w14:paraId="48A9310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22.基本支出：指为保障机构正常运转、完成日常工作任务而发生的人员支出和公用支出。</w:t>
      </w:r>
    </w:p>
    <w:p w14:paraId="289B415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23.项目支出：指在基本支出之外为完成特定行政任务和事业发展目标所发生的支出。 </w:t>
      </w:r>
    </w:p>
    <w:p w14:paraId="4E6FA3D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24.经营支出：指事业单位在专业业务活动及其辅助活动之外开展非独立核算经营活动发生的支出。</w:t>
      </w:r>
    </w:p>
    <w:p w14:paraId="5327ABF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25.“三公”经费：指部门用财政拨款安排的因公出国（境）费用、公务用车运行维护费和公务接待费。其中，因公出国（境）费用反映单位公务出国（境）的国际旅费、国外城市间交通费、住宿费、伙食费、培训费、公杂费等支出；公务用车运行维护费反映单位按规定保留的公务用车燃料费、维修费、过路过桥费、保险费、安全奖励费用等支出；公务接待费反映单位按规定开支的各类公务接待（含外宾接待）费用。</w:t>
      </w:r>
    </w:p>
    <w:p w14:paraId="4AE9F28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F30F44C">
      <w:pPr>
        <w:pStyle w:val="5"/>
        <w:keepNext/>
        <w:keepLines/>
        <w:widowControl w:val="0"/>
        <w:wordWrap/>
        <w:adjustRightInd/>
        <w:snapToGrid/>
        <w:spacing w:before="340" w:after="330" w:line="579" w:lineRule="auto"/>
        <w:ind w:left="0" w:leftChars="0" w:right="0" w:firstLine="0" w:firstLineChars="0"/>
        <w:jc w:val="center"/>
        <w:textAlignment w:val="auto"/>
        <w:outlineLvl w:val="0"/>
        <w:rPr>
          <w:rFonts w:hint="default" w:ascii="Times New Roman" w:hAnsi="Times New Roman" w:eastAsia="方正小标宋_GBK" w:cs="Times New Roman"/>
          <w:b/>
          <w:bCs w:val="0"/>
          <w:color w:val="auto"/>
          <w:highlight w:val="none"/>
          <w:lang w:eastAsia="zh-CN"/>
        </w:rPr>
      </w:pPr>
      <w:bookmarkStart w:id="103"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104" w:name="_Toc305"/>
      <w:bookmarkStart w:id="105" w:name="_Toc15396614"/>
      <w:r>
        <w:rPr>
          <w:rFonts w:hint="default" w:ascii="Times New Roman" w:hAnsi="Times New Roman" w:eastAsia="方正小标宋_GBK" w:cs="Times New Roman"/>
          <w:b/>
          <w:bCs w:val="0"/>
          <w:color w:val="auto"/>
          <w:highlight w:val="none"/>
        </w:rPr>
        <w:t>第四部分</w:t>
      </w:r>
      <w:r>
        <w:rPr>
          <w:rFonts w:hint="default" w:ascii="Times New Roman" w:hAnsi="Times New Roman" w:eastAsia="方正小标宋_GBK" w:cs="Times New Roman"/>
          <w:b/>
          <w:bCs w:val="0"/>
          <w:color w:val="auto"/>
          <w:highlight w:val="none"/>
          <w:lang w:val="en-US" w:eastAsia="zh-CN"/>
        </w:rPr>
        <w:t xml:space="preserve"> </w:t>
      </w:r>
      <w:r>
        <w:rPr>
          <w:rFonts w:hint="default" w:ascii="Times New Roman" w:hAnsi="Times New Roman" w:eastAsia="方正小标宋_GBK" w:cs="Times New Roman"/>
          <w:b/>
          <w:bCs w:val="0"/>
          <w:color w:val="auto"/>
          <w:highlight w:val="none"/>
        </w:rPr>
        <w:t xml:space="preserve"> 附件</w:t>
      </w:r>
      <w:bookmarkEnd w:id="104"/>
      <w:bookmarkEnd w:id="105"/>
    </w:p>
    <w:p w14:paraId="62412508">
      <w:pPr>
        <w:wordWrap/>
        <w:spacing w:line="572" w:lineRule="exact"/>
        <w:jc w:val="left"/>
        <w:textAlignment w:val="auto"/>
        <w:outlineLvl w:val="0"/>
        <w:rPr>
          <w:rFonts w:hint="default" w:ascii="Times New Roman" w:hAnsi="Times New Roman" w:eastAsia="方正黑体_GBK" w:cs="Times New Roman"/>
          <w:color w:val="FF0000"/>
          <w:sz w:val="32"/>
          <w:szCs w:val="32"/>
          <w:highlight w:val="none"/>
        </w:rPr>
      </w:pPr>
    </w:p>
    <w:p w14:paraId="7FD5B880">
      <w:pPr>
        <w:pStyle w:val="3"/>
        <w:numPr>
          <w:ilvl w:val="0"/>
          <w:numId w:val="0"/>
        </w:numPr>
        <w:wordWrap/>
        <w:spacing w:line="560" w:lineRule="exact"/>
        <w:ind w:firstLine="640" w:firstLineChars="200"/>
        <w:textAlignment w:val="auto"/>
        <w:rPr>
          <w:rFonts w:hint="default" w:ascii="Times New Roman" w:hAnsi="Times New Roman" w:eastAsia="方正仿宋_GBK" w:cs="Times New Roman"/>
          <w:kern w:val="2"/>
          <w:sz w:val="32"/>
          <w:szCs w:val="32"/>
          <w:u w:val="none"/>
          <w:lang w:val="zh-CN" w:eastAsia="zh-CN"/>
        </w:rPr>
      </w:pPr>
      <w:r>
        <w:rPr>
          <w:rFonts w:hint="default" w:ascii="Times New Roman" w:hAnsi="Times New Roman" w:eastAsia="方正仿宋_GBK" w:cs="Times New Roman"/>
          <w:kern w:val="2"/>
          <w:sz w:val="32"/>
          <w:szCs w:val="32"/>
          <w:u w:val="none"/>
          <w:lang w:val="zh-CN" w:eastAsia="zh-CN"/>
        </w:rPr>
        <w:t>附表：</w:t>
      </w:r>
      <w:r>
        <w:rPr>
          <w:rFonts w:hint="default" w:ascii="Times New Roman" w:hAnsi="Times New Roman" w:eastAsia="方正仿宋_GBK" w:cs="Times New Roman"/>
          <w:kern w:val="2"/>
          <w:sz w:val="32"/>
          <w:szCs w:val="32"/>
          <w:u w:val="none"/>
          <w:lang w:val="en-US" w:eastAsia="zh-CN"/>
        </w:rPr>
        <w:t>部门预算项目支出绩效自评表（2024年度）</w:t>
      </w:r>
    </w:p>
    <w:p w14:paraId="42C7E051">
      <w:pPr>
        <w:pStyle w:val="3"/>
        <w:numPr>
          <w:ilvl w:val="0"/>
          <w:numId w:val="0"/>
        </w:numPr>
        <w:wordWrap/>
        <w:spacing w:line="560" w:lineRule="exact"/>
        <w:textAlignment w:val="auto"/>
        <w:rPr>
          <w:rFonts w:hint="default" w:ascii="Times New Roman" w:hAnsi="Times New Roman" w:cs="Times New Roman"/>
          <w:sz w:val="32"/>
          <w:szCs w:val="32"/>
          <w:highlight w:val="yellow"/>
          <w:lang w:val="zh-CN" w:eastAsia="zh-CN"/>
        </w:rPr>
      </w:pPr>
    </w:p>
    <w:p w14:paraId="76B16CFC">
      <w:pPr>
        <w:pStyle w:val="8"/>
        <w:rPr>
          <w:rFonts w:hint="default" w:ascii="Times New Roman" w:hAnsi="Times New Roman" w:eastAsia="方正仿宋_GBK" w:cs="Times New Roman"/>
          <w:color w:val="FF0000"/>
          <w:kern w:val="0"/>
          <w:sz w:val="32"/>
          <w:szCs w:val="32"/>
          <w:highlight w:val="yellow"/>
          <w:shd w:val="clear" w:color="auto" w:fill="FFFFFF"/>
          <w:lang w:val="zh-CN"/>
        </w:rPr>
      </w:pPr>
    </w:p>
    <w:p w14:paraId="1D96AF54">
      <w:pPr>
        <w:pStyle w:val="5"/>
        <w:keepNext/>
        <w:keepLines/>
        <w:widowControl w:val="0"/>
        <w:wordWrap/>
        <w:adjustRightInd/>
        <w:snapToGrid/>
        <w:spacing w:before="340" w:after="330" w:line="579" w:lineRule="auto"/>
        <w:ind w:left="0" w:leftChars="0" w:right="0" w:firstLine="0" w:firstLineChars="0"/>
        <w:jc w:val="center"/>
        <w:textAlignment w:val="auto"/>
        <w:outlineLvl w:val="0"/>
        <w:rPr>
          <w:rFonts w:hint="default" w:ascii="Times New Roman" w:hAnsi="Times New Roman" w:eastAsia="方正仿宋_GBK" w:cs="Times New Roman"/>
          <w:b w:val="0"/>
          <w:color w:val="auto"/>
          <w:highlight w:val="none"/>
        </w:rPr>
      </w:pPr>
      <w:r>
        <w:rPr>
          <w:rFonts w:hint="default" w:ascii="Times New Roman" w:hAnsi="Times New Roman" w:eastAsia="方正黑体_GBK" w:cs="Times New Roman"/>
          <w:color w:val="auto"/>
          <w:kern w:val="0"/>
          <w:sz w:val="32"/>
          <w:szCs w:val="32"/>
          <w:highlight w:val="none"/>
          <w:shd w:val="clear" w:color="auto" w:fill="FFFFFF"/>
          <w:lang w:val="zh-CN"/>
        </w:rPr>
        <w:br w:type="page"/>
      </w:r>
      <w:bookmarkStart w:id="106" w:name="_Toc15396618"/>
      <w:bookmarkStart w:id="107" w:name="_Toc14977"/>
      <w:r>
        <w:rPr>
          <w:rFonts w:hint="default" w:ascii="Times New Roman" w:hAnsi="Times New Roman" w:eastAsia="方正小标宋_GBK" w:cs="Times New Roman"/>
          <w:b/>
          <w:bCs w:val="0"/>
          <w:color w:val="auto"/>
          <w:highlight w:val="none"/>
        </w:rPr>
        <w:t>第五部分 附表</w:t>
      </w:r>
      <w:bookmarkEnd w:id="103"/>
      <w:bookmarkEnd w:id="106"/>
      <w:bookmarkEnd w:id="107"/>
      <w:bookmarkStart w:id="108" w:name="_Toc15396619"/>
    </w:p>
    <w:p w14:paraId="6BB12397">
      <w:pPr>
        <w:pStyle w:val="14"/>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p>
    <w:p w14:paraId="5F8BC69C">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09" w:name="_Toc19305"/>
      <w:r>
        <w:rPr>
          <w:rFonts w:hint="eastAsia" w:ascii="方正仿宋_GBK" w:hAnsi="方正仿宋_GBK" w:eastAsia="方正仿宋_GBK" w:cs="方正仿宋_GBK"/>
          <w:b w:val="0"/>
          <w:lang w:eastAsia="zh-CN"/>
        </w:rPr>
        <w:t>一、收入支出决算总表</w:t>
      </w:r>
      <w:bookmarkEnd w:id="108"/>
      <w:bookmarkEnd w:id="109"/>
    </w:p>
    <w:p w14:paraId="1D943E44">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10" w:name="_Toc29655"/>
      <w:bookmarkStart w:id="111" w:name="_Toc15396620"/>
      <w:r>
        <w:rPr>
          <w:rFonts w:hint="eastAsia" w:ascii="方正仿宋_GBK" w:hAnsi="方正仿宋_GBK" w:eastAsia="方正仿宋_GBK" w:cs="方正仿宋_GBK"/>
          <w:b w:val="0"/>
          <w:lang w:eastAsia="zh-CN"/>
        </w:rPr>
        <w:t>二、收入决算表</w:t>
      </w:r>
      <w:bookmarkEnd w:id="110"/>
      <w:bookmarkEnd w:id="111"/>
    </w:p>
    <w:p w14:paraId="0C9DE6E2">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12" w:name="_Toc29709"/>
      <w:bookmarkStart w:id="113" w:name="_Toc15396621"/>
      <w:r>
        <w:rPr>
          <w:rFonts w:hint="eastAsia" w:ascii="方正仿宋_GBK" w:hAnsi="方正仿宋_GBK" w:eastAsia="方正仿宋_GBK" w:cs="方正仿宋_GBK"/>
          <w:b w:val="0"/>
          <w:lang w:eastAsia="zh-CN"/>
        </w:rPr>
        <w:t>三、支出决算表</w:t>
      </w:r>
      <w:bookmarkEnd w:id="112"/>
      <w:bookmarkEnd w:id="113"/>
    </w:p>
    <w:p w14:paraId="7C2EBB66">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14" w:name="_Toc9760"/>
      <w:bookmarkStart w:id="115" w:name="_Toc15396622"/>
      <w:r>
        <w:rPr>
          <w:rFonts w:hint="eastAsia" w:ascii="方正仿宋_GBK" w:hAnsi="方正仿宋_GBK" w:eastAsia="方正仿宋_GBK" w:cs="方正仿宋_GBK"/>
          <w:b w:val="0"/>
          <w:lang w:eastAsia="zh-CN"/>
        </w:rPr>
        <w:t>四、财政拨款收入支出决算总表</w:t>
      </w:r>
      <w:bookmarkEnd w:id="114"/>
      <w:bookmarkEnd w:id="115"/>
    </w:p>
    <w:p w14:paraId="75A84C76">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16" w:name="_Toc23092"/>
      <w:bookmarkStart w:id="117" w:name="_Toc15396623"/>
      <w:r>
        <w:rPr>
          <w:rFonts w:hint="eastAsia" w:ascii="方正仿宋_GBK" w:hAnsi="方正仿宋_GBK" w:eastAsia="方正仿宋_GBK" w:cs="方正仿宋_GBK"/>
          <w:b w:val="0"/>
          <w:lang w:eastAsia="zh-CN"/>
        </w:rPr>
        <w:t>五、财政拨款支出决算明细表</w:t>
      </w:r>
      <w:bookmarkEnd w:id="116"/>
      <w:bookmarkEnd w:id="117"/>
      <w:bookmarkStart w:id="118" w:name="_Toc15396624"/>
    </w:p>
    <w:p w14:paraId="38B27BF9">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19" w:name="_Toc30653"/>
      <w:r>
        <w:rPr>
          <w:rFonts w:hint="eastAsia" w:ascii="方正仿宋_GBK" w:hAnsi="方正仿宋_GBK" w:eastAsia="方正仿宋_GBK" w:cs="方正仿宋_GBK"/>
          <w:b w:val="0"/>
          <w:lang w:eastAsia="zh-CN"/>
        </w:rPr>
        <w:t>六、一般公共预算财政拨款支出决算表</w:t>
      </w:r>
      <w:bookmarkEnd w:id="118"/>
      <w:bookmarkEnd w:id="119"/>
    </w:p>
    <w:p w14:paraId="4CAFE32C">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20" w:name="_Toc26563"/>
      <w:bookmarkStart w:id="121" w:name="_Toc15396625"/>
      <w:r>
        <w:rPr>
          <w:rFonts w:hint="eastAsia" w:ascii="方正仿宋_GBK" w:hAnsi="方正仿宋_GBK" w:eastAsia="方正仿宋_GBK" w:cs="方正仿宋_GBK"/>
          <w:b w:val="0"/>
          <w:lang w:eastAsia="zh-CN"/>
        </w:rPr>
        <w:t>七、一般公共预算财政拨款支出决算明细表</w:t>
      </w:r>
      <w:bookmarkEnd w:id="120"/>
      <w:bookmarkEnd w:id="121"/>
    </w:p>
    <w:p w14:paraId="0DB7CE43">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22" w:name="_Toc15396626"/>
      <w:bookmarkStart w:id="123" w:name="_Toc7164"/>
      <w:r>
        <w:rPr>
          <w:rFonts w:hint="eastAsia" w:ascii="方正仿宋_GBK" w:hAnsi="方正仿宋_GBK" w:eastAsia="方正仿宋_GBK" w:cs="方正仿宋_GBK"/>
          <w:b w:val="0"/>
          <w:lang w:eastAsia="zh-CN"/>
        </w:rPr>
        <w:t>八、一般公共预算财政拨款基本支出决算表</w:t>
      </w:r>
      <w:bookmarkEnd w:id="122"/>
      <w:bookmarkEnd w:id="123"/>
    </w:p>
    <w:p w14:paraId="7E2A61DB">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24" w:name="_Toc6114"/>
      <w:bookmarkStart w:id="125" w:name="_Toc15396627"/>
      <w:r>
        <w:rPr>
          <w:rFonts w:hint="eastAsia" w:ascii="方正仿宋_GBK" w:hAnsi="方正仿宋_GBK" w:eastAsia="方正仿宋_GBK" w:cs="方正仿宋_GBK"/>
          <w:b w:val="0"/>
          <w:lang w:eastAsia="zh-CN"/>
        </w:rPr>
        <w:t>九、一般公共预算财政拨款项目支出决算表</w:t>
      </w:r>
      <w:bookmarkEnd w:id="124"/>
      <w:bookmarkEnd w:id="125"/>
    </w:p>
    <w:p w14:paraId="52D18677">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26" w:name="_Toc15396628"/>
      <w:bookmarkStart w:id="127" w:name="_Toc10799"/>
      <w:r>
        <w:rPr>
          <w:rFonts w:hint="eastAsia" w:ascii="方正仿宋_GBK" w:hAnsi="方正仿宋_GBK" w:eastAsia="方正仿宋_GBK" w:cs="方正仿宋_GBK"/>
          <w:b w:val="0"/>
          <w:lang w:eastAsia="zh-CN"/>
        </w:rPr>
        <w:t>十、</w:t>
      </w:r>
      <w:bookmarkEnd w:id="126"/>
      <w:r>
        <w:rPr>
          <w:rFonts w:hint="eastAsia" w:ascii="方正仿宋_GBK" w:hAnsi="方正仿宋_GBK" w:eastAsia="方正仿宋_GBK" w:cs="方正仿宋_GBK"/>
          <w:b w:val="0"/>
          <w:lang w:eastAsia="zh-CN"/>
        </w:rPr>
        <w:t>政府性基金预算财政拨款收入支出决算表</w:t>
      </w:r>
      <w:bookmarkEnd w:id="127"/>
    </w:p>
    <w:p w14:paraId="6179C962">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28" w:name="_Toc15396629"/>
      <w:bookmarkStart w:id="129" w:name="_Toc12857"/>
      <w:r>
        <w:rPr>
          <w:rFonts w:hint="eastAsia" w:ascii="方正仿宋_GBK" w:hAnsi="方正仿宋_GBK" w:eastAsia="方正仿宋_GBK" w:cs="方正仿宋_GBK"/>
          <w:b w:val="0"/>
          <w:lang w:eastAsia="zh-CN"/>
        </w:rPr>
        <w:t>十一、</w:t>
      </w:r>
      <w:bookmarkEnd w:id="128"/>
      <w:r>
        <w:rPr>
          <w:rFonts w:hint="eastAsia" w:ascii="方正仿宋_GBK" w:hAnsi="方正仿宋_GBK" w:eastAsia="方正仿宋_GBK" w:cs="方正仿宋_GBK"/>
          <w:b w:val="0"/>
          <w:lang w:eastAsia="zh-CN"/>
        </w:rPr>
        <w:t>国有资本经营预算财政拨款收入支出决算表</w:t>
      </w:r>
      <w:bookmarkEnd w:id="129"/>
    </w:p>
    <w:p w14:paraId="35EE1D04">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30" w:name="_Toc15396630"/>
      <w:bookmarkStart w:id="131" w:name="_Toc10870"/>
      <w:r>
        <w:rPr>
          <w:rFonts w:hint="eastAsia" w:ascii="方正仿宋_GBK" w:hAnsi="方正仿宋_GBK" w:eastAsia="方正仿宋_GBK" w:cs="方正仿宋_GBK"/>
          <w:b w:val="0"/>
          <w:lang w:eastAsia="zh-CN"/>
        </w:rPr>
        <w:t>十二、</w:t>
      </w:r>
      <w:bookmarkEnd w:id="130"/>
      <w:r>
        <w:rPr>
          <w:rFonts w:hint="eastAsia" w:ascii="方正仿宋_GBK" w:hAnsi="方正仿宋_GBK" w:eastAsia="方正仿宋_GBK" w:cs="方正仿宋_GBK"/>
          <w:b w:val="0"/>
          <w:lang w:eastAsia="zh-CN"/>
        </w:rPr>
        <w:t>国有资本经营预算财政拨款支出决算表</w:t>
      </w:r>
      <w:bookmarkEnd w:id="131"/>
    </w:p>
    <w:p w14:paraId="5C76F3DB">
      <w:pPr>
        <w:pStyle w:val="6"/>
        <w:pageBreakBefore w:val="0"/>
        <w:kinsoku/>
        <w:wordWrap/>
        <w:overflowPunct/>
        <w:topLinePunct w:val="0"/>
        <w:autoSpaceDE/>
        <w:autoSpaceDN/>
        <w:bidi w:val="0"/>
        <w:adjustRightInd/>
        <w:snapToGrid/>
        <w:spacing w:before="0" w:after="0" w:line="576" w:lineRule="exact"/>
        <w:ind w:firstLine="640" w:firstLineChars="200"/>
        <w:textAlignment w:val="auto"/>
        <w:rPr>
          <w:rFonts w:hint="eastAsia" w:ascii="方正仿宋_GBK" w:hAnsi="方正仿宋_GBK" w:eastAsia="方正仿宋_GBK" w:cs="方正仿宋_GBK"/>
          <w:b w:val="0"/>
          <w:lang w:eastAsia="zh-CN"/>
        </w:rPr>
      </w:pPr>
      <w:bookmarkStart w:id="132" w:name="_Toc15396631"/>
      <w:bookmarkStart w:id="133" w:name="_Toc26910"/>
      <w:r>
        <w:rPr>
          <w:rFonts w:hint="eastAsia" w:ascii="方正仿宋_GBK" w:hAnsi="方正仿宋_GBK" w:eastAsia="方正仿宋_GBK" w:cs="方正仿宋_GBK"/>
          <w:b w:val="0"/>
          <w:lang w:eastAsia="zh-CN"/>
        </w:rPr>
        <w:t>十三、</w:t>
      </w:r>
      <w:bookmarkEnd w:id="132"/>
      <w:r>
        <w:rPr>
          <w:rFonts w:hint="eastAsia" w:ascii="方正仿宋_GBK" w:hAnsi="方正仿宋_GBK" w:eastAsia="方正仿宋_GBK" w:cs="方正仿宋_GBK"/>
          <w:b w:val="0"/>
          <w:lang w:eastAsia="zh-CN"/>
        </w:rPr>
        <w:t>财政拨款“三公”经费支出决算表</w:t>
      </w:r>
      <w:bookmarkEnd w:id="133"/>
    </w:p>
    <w:p w14:paraId="00971169">
      <w:pPr>
        <w:rPr>
          <w:rFonts w:hint="default" w:ascii="Times New Roman" w:hAnsi="Times New Roman" w:cs="Times New Roman"/>
          <w:lang w:eastAsia="zh-CN"/>
        </w:rPr>
      </w:pPr>
    </w:p>
    <w:sectPr>
      <w:pgSz w:w="11906" w:h="16838"/>
      <w:pgMar w:top="2098" w:right="1474" w:bottom="1984" w:left="158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2934">
    <w:pPr>
      <w:pStyle w:val="11"/>
      <w:jc w:val="center"/>
    </w:pPr>
  </w:p>
  <w:p w14:paraId="0E27F01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F6F9">
    <w:pPr>
      <w:pStyle w:val="11"/>
      <w:jc w:val="center"/>
    </w:pPr>
  </w:p>
  <w:p w14:paraId="32B55B5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E7B7">
    <w:pPr>
      <w:pStyle w:val="11"/>
    </w:pPr>
  </w:p>
  <w:p w14:paraId="62616FF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2E00">
    <w:pPr>
      <w:pStyle w:val="11"/>
      <w:jc w:val="center"/>
    </w:pPr>
    <w:r>
      <w:rPr>
        <w:rFonts w:ascii="Calibri" w:hAnsi="Calibri" w:eastAsia="宋体" w:cs="Times New Roman"/>
        <w:kern w:val="0"/>
        <w:sz w:val="18"/>
        <w:szCs w:val="18"/>
        <w:lang w:val="en-US" w:eastAsia="zh-CN" w:bidi="ar-SA"/>
      </w:rPr>
      <w:pict>
        <v:shape id="文本框8"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650B29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w:r>
  </w:p>
  <w:p w14:paraId="2991CBF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192D">
    <w:pPr>
      <w:pStyle w:val="11"/>
    </w:pPr>
    <w:r>
      <w:rPr>
        <w:rFonts w:ascii="Calibri" w:hAnsi="Calibri" w:eastAsia="宋体" w:cs="Times New Roman"/>
        <w:kern w:val="0"/>
        <w:sz w:val="18"/>
        <w:szCs w:val="18"/>
        <w:lang w:val="en-US" w:eastAsia="zh-CN" w:bidi="ar-SA"/>
      </w:rPr>
      <w:pict>
        <v:shape id="文本框9"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C7039B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1D0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B643DEB"/>
    <w:rsid w:val="1DB418AE"/>
    <w:rsid w:val="2903193C"/>
    <w:rsid w:val="36851BE2"/>
    <w:rsid w:val="4010076E"/>
    <w:rsid w:val="46040D75"/>
    <w:rsid w:val="49F41101"/>
    <w:rsid w:val="4CC81844"/>
    <w:rsid w:val="69FD14B4"/>
    <w:rsid w:val="719E54B2"/>
    <w:rsid w:val="75D83A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31"/>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List Paragraph"/>
    <w:basedOn w:val="1"/>
    <w:qFormat/>
    <w:uiPriority w:val="34"/>
    <w:pPr>
      <w:ind w:firstLine="420" w:firstLineChars="200"/>
    </w:pPr>
  </w:style>
  <w:style w:type="paragraph" w:customStyle="1" w:styleId="22">
    <w:name w:val="TOC 标题1"/>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3">
    <w:name w:val="TOC Heading"/>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5">
    <w:name w:val="p0"/>
    <w:basedOn w:val="1"/>
    <w:uiPriority w:val="99"/>
    <w:pPr>
      <w:widowControl/>
    </w:pPr>
    <w:rPr>
      <w:kern w:val="0"/>
      <w:szCs w:val="21"/>
    </w:rPr>
  </w:style>
  <w:style w:type="character" w:customStyle="1" w:styleId="26">
    <w:name w:val="Header Char"/>
    <w:basedOn w:val="16"/>
    <w:semiHidden/>
    <w:qFormat/>
    <w:uiPriority w:val="99"/>
    <w:rPr>
      <w:rFonts w:ascii="Times New Roman" w:hAnsi="Times New Roman"/>
      <w:sz w:val="18"/>
      <w:szCs w:val="18"/>
    </w:rPr>
  </w:style>
  <w:style w:type="character" w:customStyle="1" w:styleId="27">
    <w:name w:val="页眉 Char"/>
    <w:link w:val="12"/>
    <w:semiHidden/>
    <w:qFormat/>
    <w:locked/>
    <w:uiPriority w:val="99"/>
    <w:rPr>
      <w:sz w:val="18"/>
    </w:rPr>
  </w:style>
  <w:style w:type="character" w:customStyle="1" w:styleId="28">
    <w:name w:val="Footer Char"/>
    <w:basedOn w:val="16"/>
    <w:semiHidden/>
    <w:qFormat/>
    <w:uiPriority w:val="99"/>
    <w:rPr>
      <w:rFonts w:ascii="Times New Roman" w:hAnsi="Times New Roman"/>
      <w:sz w:val="18"/>
      <w:szCs w:val="18"/>
    </w:rPr>
  </w:style>
  <w:style w:type="character" w:customStyle="1" w:styleId="29">
    <w:name w:val="页脚 Char"/>
    <w:link w:val="11"/>
    <w:qFormat/>
    <w:locked/>
    <w:uiPriority w:val="99"/>
    <w:rPr>
      <w:sz w:val="18"/>
    </w:rPr>
  </w:style>
  <w:style w:type="character" w:customStyle="1" w:styleId="30">
    <w:name w:val="Body Text Char"/>
    <w:basedOn w:val="16"/>
    <w:semiHidden/>
    <w:qFormat/>
    <w:uiPriority w:val="99"/>
    <w:rPr>
      <w:rFonts w:ascii="Times New Roman" w:hAnsi="Times New Roman"/>
      <w:szCs w:val="24"/>
    </w:rPr>
  </w:style>
  <w:style w:type="character" w:customStyle="1" w:styleId="31">
    <w:name w:val="正文文本 Char"/>
    <w:link w:val="8"/>
    <w:qFormat/>
    <w:locked/>
    <w:uiPriority w:val="99"/>
    <w:rPr>
      <w:rFonts w:ascii="仿宋_GB2312" w:hAnsi="Times New Roman" w:eastAsia="仿宋_GB2312"/>
      <w:sz w:val="24"/>
    </w:rPr>
  </w:style>
  <w:style w:type="character" w:customStyle="1" w:styleId="32">
    <w:name w:val="标题 1 Char"/>
    <w:basedOn w:val="16"/>
    <w:link w:val="5"/>
    <w:qFormat/>
    <w:uiPriority w:val="9"/>
    <w:rPr>
      <w:rFonts w:ascii="Times New Roman" w:hAnsi="Times New Roman"/>
      <w:b/>
      <w:bCs/>
      <w:kern w:val="44"/>
      <w:sz w:val="44"/>
      <w:szCs w:val="44"/>
    </w:rPr>
  </w:style>
  <w:style w:type="character" w:customStyle="1" w:styleId="33">
    <w:name w:val="标题 2 Char"/>
    <w:basedOn w:val="16"/>
    <w:link w:val="6"/>
    <w:qFormat/>
    <w:uiPriority w:val="9"/>
    <w:rPr>
      <w:rFonts w:ascii="Cambria" w:hAnsi="Cambria" w:eastAsia="宋体" w:cs="黑体"/>
      <w:b/>
      <w:bCs/>
      <w:kern w:val="2"/>
      <w:sz w:val="32"/>
      <w:szCs w:val="32"/>
    </w:rPr>
  </w:style>
  <w:style w:type="character" w:customStyle="1" w:styleId="34">
    <w:name w:val="批注框文本 Char"/>
    <w:basedOn w:val="16"/>
    <w:link w:val="10"/>
    <w:semiHidden/>
    <w:qFormat/>
    <w:uiPriority w:val="99"/>
    <w:rPr>
      <w:rFonts w:ascii="Times New Roman" w:hAnsi="Times New Roman"/>
      <w:kern w:val="2"/>
      <w:sz w:val="18"/>
      <w:szCs w:val="18"/>
    </w:rPr>
  </w:style>
  <w:style w:type="character" w:customStyle="1" w:styleId="35">
    <w:name w:val="标题 3 Char"/>
    <w:basedOn w:val="16"/>
    <w:link w:val="7"/>
    <w:qFormat/>
    <w:uiPriority w:val="9"/>
    <w:rPr>
      <w:rFonts w:ascii="Times New Roman" w:hAnsi="Times New Roman"/>
      <w:b/>
      <w:bCs/>
      <w:kern w:val="2"/>
      <w:sz w:val="32"/>
      <w:szCs w:val="32"/>
    </w:rPr>
  </w:style>
  <w:style w:type="character" w:customStyle="1" w:styleId="36">
    <w:name w:val="15"/>
    <w:basedOn w:val="16"/>
    <w:qFormat/>
    <w:uiPriority w:val="99"/>
    <w:rPr>
      <w:rFonts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5.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目录页"/>
    </customSectPr>
    <customSectPr/>
    <customSectPr/>
  </customSectProps>
  <customShpExts>
    <customShpInfo spid="_x0000_s2050" textRotate="1"/>
    <customShpInfo spid="_x0000_s2049" textRotate="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5525</Words>
  <Characters>6046</Characters>
  <Lines>61</Lines>
  <Paragraphs>17</Paragraphs>
  <TotalTime>4</TotalTime>
  <ScaleCrop>false</ScaleCrop>
  <LinksUpToDate>false</LinksUpToDate>
  <CharactersWithSpaces>6101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唐明燕</cp:lastModifiedBy>
  <cp:lastPrinted>2025-08-06T17:34:00Z</cp:lastPrinted>
  <dcterms:modified xsi:type="dcterms:W3CDTF">2025-10-28T01:55:10Z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eyJoZGlkIjoiNGM1MDMxNzk5MGJlY2NiOWU5NDQzNzM4MzA5ODIyYTIiLCJ1c2VySWQiOiIxMDUyNzY3OTc4In0=</vt:lpwstr>
  </property>
</Properties>
</file>