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9803">
      <w:pPr>
        <w:rPr>
          <w:rFonts w:hint="default" w:ascii="Times New Roman" w:hAnsi="Times New Roman" w:cs="Times New Roman"/>
        </w:rPr>
      </w:pPr>
      <w:bookmarkStart w:id="0" w:name="_Toc15396475"/>
      <w:bookmarkStart w:id="1" w:name="_Toc15377425"/>
      <w:bookmarkStart w:id="2" w:name="_Toc15378441"/>
      <w:bookmarkStart w:id="3" w:name="_Toc15396597"/>
      <w:bookmarkStart w:id="4" w:name="_Toc15377193"/>
      <w:bookmarkStart w:id="5" w:name="_Toc15306267"/>
    </w:p>
    <w:p w14:paraId="23293D6A">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6E0C5300">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0BB6B7BF">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7B4FAA1B">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C6FA02D">
      <w:pPr>
        <w:pStyle w:val="8"/>
        <w:suppressAutoHyphens/>
        <w:bidi w:val="0"/>
        <w:adjustRightInd/>
        <w:snapToGrid/>
        <w:spacing w:before="0" w:beforeLines="-2147483648" w:after="140" w:afterLines="-2147483648" w:afterAutospacing="0" w:line="276" w:lineRule="auto"/>
        <w:ind w:firstLine="0" w:firstLineChars="0"/>
        <w:jc w:val="center"/>
        <w:rPr>
          <w:rStyle w:val="50"/>
          <w:rFonts w:hint="eastAsia" w:ascii="方正小标宋_GBK" w:hAnsi="方正小标宋_GBK" w:eastAsia="方正小标宋_GBK" w:cs="方正小标宋_GBK"/>
          <w:snapToGrid/>
          <w:color w:val="auto"/>
          <w:sz w:val="44"/>
          <w:szCs w:val="44"/>
          <w:highlight w:val="none"/>
          <w:lang w:val="en-US" w:eastAsia="zh-CN" w:bidi="ar-SA"/>
        </w:rPr>
      </w:pPr>
      <w:bookmarkStart w:id="6" w:name="_Toc15396476"/>
      <w:bookmarkStart w:id="7" w:name="_Toc15377194"/>
      <w:bookmarkStart w:id="8" w:name="_Toc15396598"/>
      <w:bookmarkStart w:id="9" w:name="_Toc15378442"/>
      <w:bookmarkStart w:id="10" w:name="_Toc15377426"/>
      <w:r>
        <w:rPr>
          <w:rStyle w:val="50"/>
          <w:rFonts w:hint="eastAsia" w:ascii="方正小标宋_GBK" w:hAnsi="方正小标宋_GBK" w:eastAsia="方正小标宋_GBK" w:cs="方正小标宋_GBK"/>
          <w:snapToGrid/>
          <w:color w:val="auto"/>
          <w:sz w:val="44"/>
          <w:szCs w:val="44"/>
          <w:highlight w:val="none"/>
          <w:lang w:val="en-US" w:eastAsia="zh-CN" w:bidi="ar-SA"/>
        </w:rPr>
        <w:t>2024年度</w:t>
      </w:r>
      <w:bookmarkEnd w:id="5"/>
      <w:bookmarkStart w:id="11" w:name="_Toc15306268"/>
    </w:p>
    <w:p w14:paraId="0A857C6A">
      <w:pPr>
        <w:pStyle w:val="8"/>
        <w:suppressAutoHyphens/>
        <w:bidi w:val="0"/>
        <w:adjustRightInd/>
        <w:snapToGrid/>
        <w:spacing w:before="0" w:beforeLines="-2147483648" w:after="140" w:afterLines="-2147483648" w:afterAutospacing="0" w:line="276" w:lineRule="auto"/>
        <w:ind w:firstLine="0" w:firstLineChars="0"/>
        <w:jc w:val="center"/>
        <w:rPr>
          <w:rStyle w:val="50"/>
          <w:rFonts w:hint="eastAsia" w:ascii="方正小标宋_GBK" w:hAnsi="方正小标宋_GBK" w:eastAsia="方正小标宋_GBK" w:cs="方正小标宋_GBK"/>
          <w:snapToGrid/>
          <w:color w:val="auto"/>
          <w:sz w:val="44"/>
          <w:szCs w:val="44"/>
          <w:highlight w:val="none"/>
          <w:lang w:val="en-US" w:eastAsia="zh-CN" w:bidi="ar-SA"/>
        </w:rPr>
      </w:pPr>
      <w:r>
        <w:rPr>
          <w:rStyle w:val="50"/>
          <w:rFonts w:hint="eastAsia" w:ascii="方正小标宋_GBK" w:hAnsi="方正小标宋_GBK" w:eastAsia="方正小标宋_GBK" w:cs="方正小标宋_GBK"/>
          <w:snapToGrid/>
          <w:color w:val="auto"/>
          <w:sz w:val="44"/>
          <w:szCs w:val="44"/>
          <w:highlight w:val="none"/>
          <w:lang w:val="en-US" w:eastAsia="zh-CN" w:bidi="ar-SA"/>
        </w:rPr>
        <w:t>中共盐边县委机构</w:t>
      </w:r>
      <w:r>
        <w:rPr>
          <w:rStyle w:val="50"/>
          <w:rFonts w:hint="eastAsia" w:ascii="Times New Roman" w:hAnsi="Times New Roman" w:eastAsia="方正小标宋_GBK" w:cs="Times New Roman"/>
          <w:snapToGrid/>
          <w:color w:val="auto"/>
          <w:sz w:val="44"/>
          <w:szCs w:val="44"/>
          <w:highlight w:val="none"/>
          <w:lang w:val="en-US" w:eastAsia="zh-CN" w:bidi="ar-SA"/>
        </w:rPr>
        <w:t>编制</w:t>
      </w:r>
      <w:r>
        <w:rPr>
          <w:rStyle w:val="50"/>
          <w:rFonts w:hint="eastAsia" w:ascii="方正小标宋_GBK" w:hAnsi="方正小标宋_GBK" w:eastAsia="方正小标宋_GBK" w:cs="方正小标宋_GBK"/>
          <w:snapToGrid/>
          <w:color w:val="auto"/>
          <w:sz w:val="44"/>
          <w:szCs w:val="44"/>
          <w:highlight w:val="none"/>
          <w:lang w:val="en-US" w:eastAsia="zh-CN" w:bidi="ar-SA"/>
        </w:rPr>
        <w:t>委员会办公室</w:t>
      </w:r>
    </w:p>
    <w:p w14:paraId="40B2608E">
      <w:pPr>
        <w:pStyle w:val="8"/>
        <w:suppressAutoHyphens/>
        <w:bidi w:val="0"/>
        <w:adjustRightInd/>
        <w:snapToGrid/>
        <w:spacing w:before="0" w:beforeLines="-2147483648" w:after="140" w:afterLines="-2147483648" w:afterAutospacing="0" w:line="276" w:lineRule="auto"/>
        <w:ind w:firstLine="0" w:firstLineChars="0"/>
        <w:jc w:val="center"/>
        <w:rPr>
          <w:rStyle w:val="50"/>
          <w:rFonts w:hint="eastAsia" w:ascii="方正小标宋_GBK" w:hAnsi="方正小标宋_GBK" w:eastAsia="方正小标宋_GBK" w:cs="方正小标宋_GBK"/>
          <w:snapToGrid/>
          <w:color w:val="auto"/>
          <w:sz w:val="44"/>
          <w:szCs w:val="44"/>
          <w:highlight w:val="none"/>
          <w:lang w:val="en-US" w:eastAsia="zh-CN" w:bidi="ar-SA"/>
        </w:rPr>
      </w:pPr>
      <w:r>
        <w:rPr>
          <w:rStyle w:val="50"/>
          <w:rFonts w:hint="eastAsia" w:ascii="方正小标宋_GBK" w:hAnsi="方正小标宋_GBK" w:eastAsia="方正小标宋_GBK" w:cs="方正小标宋_GBK"/>
          <w:snapToGrid/>
          <w:color w:val="auto"/>
          <w:sz w:val="44"/>
          <w:szCs w:val="44"/>
          <w:highlight w:val="none"/>
          <w:lang w:val="en-US" w:eastAsia="zh-CN" w:bidi="ar-SA"/>
        </w:rPr>
        <w:t>部门决算</w:t>
      </w:r>
      <w:bookmarkEnd w:id="6"/>
      <w:bookmarkEnd w:id="7"/>
      <w:bookmarkEnd w:id="8"/>
      <w:bookmarkEnd w:id="9"/>
      <w:bookmarkEnd w:id="10"/>
      <w:bookmarkEnd w:id="11"/>
      <w:r>
        <w:rPr>
          <w:rStyle w:val="50"/>
          <w:rFonts w:hint="eastAsia" w:ascii="方正小标宋_GBK" w:hAnsi="方正小标宋_GBK" w:eastAsia="方正小标宋_GBK" w:cs="方正小标宋_GBK"/>
          <w:snapToGrid/>
          <w:color w:val="auto"/>
          <w:sz w:val="44"/>
          <w:szCs w:val="44"/>
          <w:highlight w:val="none"/>
          <w:lang w:val="en-US" w:eastAsia="zh-CN" w:bidi="ar-SA"/>
        </w:rPr>
        <w:t>公开编制说明</w:t>
      </w:r>
    </w:p>
    <w:p w14:paraId="1EA9EF90">
      <w:pPr>
        <w:widowControl/>
        <w:jc w:val="center"/>
        <w:rPr>
          <w:rFonts w:hint="default" w:ascii="Times New Roman" w:hAnsi="Times New Roman" w:eastAsia="黑体" w:cs="Times New Roman"/>
          <w:color w:val="auto"/>
          <w:sz w:val="48"/>
          <w:szCs w:val="48"/>
          <w:highlight w:val="none"/>
        </w:rPr>
        <w:sectPr>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6541D0CF">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0EE5D52E">
      <w:pPr>
        <w:widowControl/>
        <w:jc w:val="center"/>
        <w:rPr>
          <w:rFonts w:hint="default" w:ascii="Times New Roman" w:hAnsi="Times New Roman" w:cs="Times New Roman" w:eastAsiaTheme="majorEastAsia"/>
          <w:snapToGrid/>
          <w:color w:val="auto"/>
          <w:kern w:val="2"/>
          <w:sz w:val="24"/>
          <w:szCs w:val="24"/>
          <w:highlight w:val="none"/>
          <w:lang w:val="en-US" w:eastAsia="zh-CN" w:bidi="ar-SA"/>
        </w:rPr>
      </w:pPr>
    </w:p>
    <w:p w14:paraId="3B94C8C6">
      <w:pPr>
        <w:pStyle w:val="25"/>
        <w:tabs>
          <w:tab w:val="right" w:leader="dot" w:pos="8296"/>
        </w:tabs>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p>
    <w:p w14:paraId="250C3CA0">
      <w:pPr>
        <w:rPr>
          <w:rFonts w:hint="default" w:ascii="Times New Roman" w:hAnsi="Times New Roman" w:cs="Times New Roman" w:eastAsiaTheme="majorEastAsia"/>
          <w:color w:val="auto"/>
          <w:sz w:val="24"/>
          <w:szCs w:val="24"/>
          <w:highlight w:val="none"/>
        </w:rPr>
      </w:pPr>
    </w:p>
    <w:p w14:paraId="0883F191">
      <w:pPr>
        <w:pStyle w:val="25"/>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第一部分 部门概况</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p>
    <w:p w14:paraId="6447FF4E">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rPr>
      </w:pPr>
      <w:r>
        <w:rPr>
          <w:rFonts w:hint="default" w:ascii="Times New Roman" w:hAnsi="Times New Roman" w:cs="Times New Roman" w:eastAsiaTheme="majorEastAsia"/>
          <w:color w:val="auto"/>
          <w:sz w:val="24"/>
          <w:szCs w:val="24"/>
          <w:highlight w:val="none"/>
        </w:rPr>
        <w:t>一、</w:t>
      </w:r>
      <w:r>
        <w:rPr>
          <w:rFonts w:hint="default" w:ascii="Times New Roman" w:hAnsi="Times New Roman" w:cs="Times New Roman" w:eastAsiaTheme="majorEastAsia"/>
          <w:color w:val="auto"/>
          <w:sz w:val="24"/>
          <w:szCs w:val="24"/>
          <w:highlight w:val="none"/>
          <w:lang w:eastAsia="zh-CN"/>
        </w:rPr>
        <w:t>部门职责</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p>
    <w:p w14:paraId="7F3F9587">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二、机构设置</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2</w:t>
      </w:r>
    </w:p>
    <w:p w14:paraId="07A05342">
      <w:pPr>
        <w:pStyle w:val="25"/>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第二部分</w:t>
      </w:r>
      <w:r>
        <w:rPr>
          <w:rFonts w:hint="default" w:ascii="Times New Roman" w:hAnsi="Times New Roman" w:cs="Times New Roman" w:eastAsiaTheme="majorEastAsia"/>
          <w:color w:val="auto"/>
          <w:sz w:val="24"/>
          <w:szCs w:val="24"/>
          <w:highlight w:val="none"/>
          <w:lang w:val="en-US" w:eastAsia="zh-CN"/>
        </w:rPr>
        <w:t xml:space="preserve"> 2024年度</w:t>
      </w:r>
      <w:r>
        <w:rPr>
          <w:rFonts w:hint="default" w:ascii="Times New Roman" w:hAnsi="Times New Roman" w:cs="Times New Roman" w:eastAsiaTheme="majorEastAsia"/>
          <w:color w:val="auto"/>
          <w:sz w:val="24"/>
          <w:szCs w:val="24"/>
          <w:highlight w:val="none"/>
        </w:rPr>
        <w:t>部门决算情况说明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3</w:t>
      </w:r>
    </w:p>
    <w:p w14:paraId="4A03EC4D">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一、收入支出决算总体情况说明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3</w:t>
      </w:r>
    </w:p>
    <w:p w14:paraId="6B5ECD45">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二、收入决算情况说明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3</w:t>
      </w:r>
    </w:p>
    <w:p w14:paraId="0AAC1EC1">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三、支出决算情况说明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4</w:t>
      </w:r>
    </w:p>
    <w:p w14:paraId="7C9C0939">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四、财政拨款收入支出决算总体情况说明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5</w:t>
      </w:r>
    </w:p>
    <w:p w14:paraId="6EB22078">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五、一般公共预算财政拨款支出决算情况说明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5</w:t>
      </w:r>
    </w:p>
    <w:p w14:paraId="0AAFD653">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六、一般公共预算财政拨款基本支出决算情况说明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8</w:t>
      </w:r>
    </w:p>
    <w:p w14:paraId="7272E5AF">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七、财政拨款</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三公</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经费支出决算情况说明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8</w:t>
      </w:r>
    </w:p>
    <w:p w14:paraId="51B167B6">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八、政府性基金预算支出决算情况说明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8</w:t>
      </w:r>
    </w:p>
    <w:p w14:paraId="2A65ED5D">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九、</w:t>
      </w:r>
      <w:r>
        <w:rPr>
          <w:rFonts w:hint="default" w:ascii="Times New Roman" w:hAnsi="Times New Roman" w:cs="Times New Roman" w:eastAsiaTheme="majorEastAsia"/>
          <w:color w:val="auto"/>
          <w:sz w:val="24"/>
          <w:szCs w:val="24"/>
          <w:highlight w:val="none"/>
          <w:lang w:eastAsia="zh-CN"/>
        </w:rPr>
        <w:t>国</w:t>
      </w:r>
      <w:r>
        <w:rPr>
          <w:rFonts w:hint="default" w:ascii="Times New Roman" w:hAnsi="Times New Roman" w:cs="Times New Roman" w:eastAsiaTheme="majorEastAsia"/>
          <w:color w:val="auto"/>
          <w:sz w:val="24"/>
          <w:szCs w:val="24"/>
          <w:highlight w:val="none"/>
        </w:rPr>
        <w:t>有资本经营预算支出决算情况说明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8</w:t>
      </w:r>
    </w:p>
    <w:p w14:paraId="38B871BB">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eastAsia="zh-CN"/>
        </w:rPr>
        <w:t>十</w:t>
      </w:r>
      <w:r>
        <w:rPr>
          <w:rFonts w:hint="default" w:ascii="Times New Roman" w:hAnsi="Times New Roman" w:cs="Times New Roman" w:eastAsiaTheme="majorEastAsia"/>
          <w:color w:val="auto"/>
          <w:sz w:val="24"/>
          <w:szCs w:val="24"/>
          <w:highlight w:val="none"/>
        </w:rPr>
        <w:t>、其他重要事项的情况说明</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9</w:t>
      </w:r>
    </w:p>
    <w:p w14:paraId="422187AC">
      <w:pPr>
        <w:pStyle w:val="25"/>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第三部分 名词解释</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1</w:t>
      </w:r>
    </w:p>
    <w:p w14:paraId="2895A45B">
      <w:pPr>
        <w:pStyle w:val="25"/>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第四部分 附件</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3DF540CC">
      <w:pPr>
        <w:pStyle w:val="25"/>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第五部分 附表</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2</w:t>
      </w:r>
      <w:r>
        <w:rPr>
          <w:rFonts w:hint="eastAsia" w:ascii="Times New Roman" w:hAnsi="Times New Roman" w:cs="Times New Roman" w:eastAsiaTheme="majorEastAsia"/>
          <w:color w:val="auto"/>
          <w:sz w:val="24"/>
          <w:szCs w:val="24"/>
          <w:highlight w:val="none"/>
          <w:lang w:val="en-US" w:eastAsia="zh-CN"/>
        </w:rPr>
        <w:t>3</w:t>
      </w:r>
    </w:p>
    <w:p w14:paraId="50DEF096">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bookmarkStart w:id="12" w:name="_Toc15396599"/>
      <w:bookmarkStart w:id="13" w:name="_Toc15377196"/>
      <w:r>
        <w:rPr>
          <w:rFonts w:hint="default" w:ascii="Times New Roman" w:hAnsi="Times New Roman" w:cs="Times New Roman" w:eastAsiaTheme="majorEastAsia"/>
          <w:snapToGrid/>
          <w:color w:val="auto"/>
          <w:kern w:val="2"/>
          <w:sz w:val="24"/>
          <w:szCs w:val="24"/>
          <w:highlight w:val="none"/>
          <w:lang w:val="en-US" w:eastAsia="zh-CN" w:bidi="ar-SA"/>
        </w:rPr>
        <w:t>一、收入支出决算总表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33745810">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二、收入决算表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1F67632D">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14:paraId="757EC2DF">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三、支出决算表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6ACE3C5B">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四、财政拨款收入支出决算总表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300AD38C">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五、财政拨款支出决算明细表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463FE78C">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六、一般公共预算财政拨款支出决算表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1FD4D5D4">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七、一般公共预算财政拨款支出决算明细表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4DE02416">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八、一般公共预算财政拨款基本支出决算明细表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5A139961">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九、一般公共预算财政拨款项目支出决算表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03BE3ABE">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十、政府性基金预算财政拨款收入支出决算表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158D5ED8">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十一、国有资本经营预算财政拨款收入支出决算表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018A4E79">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十二、国有资本经营预算财政拨款支出决算表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p w14:paraId="2D558C04">
      <w:pPr>
        <w:pStyle w:val="28"/>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eastAsiaTheme="majorEastAsia"/>
          <w:snapToGrid/>
          <w:color w:val="auto"/>
          <w:kern w:val="2"/>
          <w:sz w:val="24"/>
          <w:szCs w:val="24"/>
          <w:highlight w:val="none"/>
          <w:lang w:val="en-US" w:eastAsia="zh-CN" w:bidi="ar-SA"/>
        </w:rPr>
        <w:t>十三、财政拨款</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三公</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经费支出决算表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snapToGrid/>
          <w:color w:val="auto"/>
          <w:kern w:val="2"/>
          <w:sz w:val="24"/>
          <w:szCs w:val="24"/>
          <w:highlight w:val="none"/>
          <w:lang w:val="en-US" w:eastAsia="zh-CN" w:bidi="ar-SA"/>
        </w:rPr>
        <w:t>2</w:t>
      </w:r>
      <w:r>
        <w:rPr>
          <w:rFonts w:hint="eastAsia" w:ascii="Times New Roman" w:hAnsi="Times New Roman" w:cs="Times New Roman" w:eastAsiaTheme="majorEastAsia"/>
          <w:snapToGrid/>
          <w:color w:val="auto"/>
          <w:kern w:val="2"/>
          <w:sz w:val="24"/>
          <w:szCs w:val="24"/>
          <w:highlight w:val="none"/>
          <w:lang w:val="en-US" w:eastAsia="zh-CN" w:bidi="ar-SA"/>
        </w:rPr>
        <w:t>3</w:t>
      </w:r>
    </w:p>
    <w:bookmarkEnd w:id="12"/>
    <w:bookmarkEnd w:id="13"/>
    <w:p w14:paraId="5C404BA1">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bookmarkStart w:id="14" w:name="_Toc15396614"/>
      <w:bookmarkStart w:id="15" w:name="_Toc15377226"/>
      <w:r>
        <w:rPr>
          <w:rStyle w:val="50"/>
          <w:rFonts w:hint="default" w:ascii="Times New Roman" w:hAnsi="Times New Roman" w:eastAsia="方正小标宋_GBK" w:cs="Times New Roman"/>
          <w:snapToGrid/>
          <w:color w:val="auto"/>
          <w:sz w:val="44"/>
          <w:szCs w:val="44"/>
          <w:highlight w:val="none"/>
        </w:rPr>
        <w:t>第一部分部门概况</w:t>
      </w:r>
    </w:p>
    <w:p w14:paraId="22A7922F">
      <w:pPr>
        <w:widowControl/>
        <w:jc w:val="left"/>
        <w:rPr>
          <w:rFonts w:hint="default" w:ascii="Times New Roman" w:hAnsi="Times New Roman" w:eastAsia="黑体" w:cs="Times New Roman"/>
          <w:color w:val="auto"/>
          <w:sz w:val="32"/>
          <w:szCs w:val="32"/>
          <w:highlight w:val="none"/>
        </w:rPr>
      </w:pPr>
    </w:p>
    <w:p w14:paraId="4DA58D5B">
      <w:pPr>
        <w:keepNext w:val="0"/>
        <w:keepLines w:val="0"/>
        <w:widowControl w:val="0"/>
        <w:numPr>
          <w:ilvl w:val="0"/>
          <w:numId w:val="2"/>
        </w:numPr>
        <w:suppressLineNumbers w:val="0"/>
        <w:spacing w:before="0" w:beforeAutospacing="0" w:after="0" w:afterAutospacing="0" w:line="500" w:lineRule="exact"/>
        <w:ind w:left="0" w:right="0" w:firstLine="640" w:firstLineChars="200"/>
        <w:jc w:val="both"/>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部门职责</w:t>
      </w:r>
    </w:p>
    <w:p w14:paraId="3BBE086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1.贯彻执行中央、省、市关于行政管理体制改革和机构改革、事业单位改革及机构编制管理的方针政策和法律法规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制定相关政策并监督实施。</w:t>
      </w:r>
    </w:p>
    <w:p w14:paraId="6E5FA8C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2.研究拟订全县行政管理体制改革和机构改革方案,审核县级各部门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评估改革效果。参与行政审批制度改革和行政区划调整的有关工作。</w:t>
      </w:r>
    </w:p>
    <w:p w14:paraId="42F2C59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3.负责全县行政事业编制总量控制和机关事业单位机构编制实名制管理工作。建立健全机构编制管理联动机制</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会同有关部门严格控制财政供养人员。对全县机关和事业单位使用空缺编制补充人员进行核批。</w:t>
      </w:r>
    </w:p>
    <w:p w14:paraId="565FF7A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4.负责县委、县政府各部门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县人大、县政协机关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县法院、县检察院机关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各民主党派机关、各人民团体机关以及其他行政机构的机构编制管理工作。协调县级各部门之间及县级各部门与乡（镇）之间的职责分工。</w:t>
      </w:r>
    </w:p>
    <w:p w14:paraId="07118180">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5.拟订全县事业单位改革方案及相关配套政策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审核全县事业单位机构编制方案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评估改革效果。负责全县事业单位的机构编制管理工作。负责拟参照公务员法管理事业单位机构编制事项的审核工作。</w:t>
      </w:r>
    </w:p>
    <w:p w14:paraId="55DD732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6.监督检查全县行政管理体制改革和机构改革方案及机构编制规定执行情况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建立机构编制工作考核评估制度,会同有关部门查处机构编制违法违纪行为。</w:t>
      </w:r>
    </w:p>
    <w:p w14:paraId="31BA921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7.负责全县事业单位登记管理工作。</w:t>
      </w:r>
    </w:p>
    <w:p w14:paraId="73451D97">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8.承办县委、县政府和县委编委交办的其他工作。</w:t>
      </w:r>
      <w:bookmarkStart w:id="16" w:name="_Toc15377200"/>
      <w:bookmarkStart w:id="17" w:name="_Toc15396601"/>
    </w:p>
    <w:p w14:paraId="4DE5B344">
      <w:pPr>
        <w:suppressAutoHyphens/>
        <w:bidi w:val="0"/>
        <w:snapToGrid w:val="0"/>
        <w:spacing w:line="576" w:lineRule="exact"/>
        <w:ind w:firstLine="640" w:firstLineChars="200"/>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二、机构设置</w:t>
      </w:r>
      <w:bookmarkEnd w:id="16"/>
      <w:bookmarkEnd w:id="17"/>
    </w:p>
    <w:p w14:paraId="2F528762">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中共盐边县委机构编制委员会办公室下属二级预算单位2个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其中行政单位0个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参照公务员法管理的事业单位0个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其他事业单位2个。</w:t>
      </w:r>
    </w:p>
    <w:p w14:paraId="00733EB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纳入中共盐边县委机构编制委员会办公室2024年度部门决算编制范围的二级预算单位包括：</w:t>
      </w:r>
    </w:p>
    <w:p w14:paraId="342F0A31">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盐边县事业单位登记服务中心</w:t>
      </w:r>
    </w:p>
    <w:p w14:paraId="4D80059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盐边县机构编制数据与服务中心</w:t>
      </w:r>
    </w:p>
    <w:p w14:paraId="3FC92A3A">
      <w:pPr>
        <w:pStyle w:val="8"/>
        <w:adjustRightInd w:val="0"/>
        <w:snapToGrid w:val="0"/>
        <w:spacing w:before="93" w:line="600" w:lineRule="exact"/>
        <w:ind w:firstLine="672" w:firstLineChars="210"/>
        <w:rPr>
          <w:rFonts w:hint="default" w:ascii="Times New Roman" w:hAnsi="Times New Roman" w:eastAsia="仿宋_GB2312" w:cs="Times New Roman"/>
          <w:color w:val="auto"/>
          <w:sz w:val="32"/>
          <w:szCs w:val="32"/>
          <w:highlight w:val="none"/>
        </w:rPr>
      </w:pPr>
    </w:p>
    <w:p w14:paraId="7F9142D7">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0147E48A">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bookmarkStart w:id="18" w:name="_Toc15377204"/>
      <w:bookmarkStart w:id="19" w:name="_Toc15396602"/>
      <w:r>
        <w:rPr>
          <w:rStyle w:val="50"/>
          <w:rFonts w:hint="default" w:ascii="Times New Roman" w:hAnsi="Times New Roman" w:eastAsia="方正小标宋_GBK" w:cs="Times New Roman"/>
          <w:snapToGrid/>
          <w:color w:val="auto"/>
          <w:sz w:val="44"/>
          <w:szCs w:val="44"/>
          <w:highlight w:val="none"/>
        </w:rPr>
        <w:t>第二部分</w:t>
      </w:r>
      <w:r>
        <w:rPr>
          <w:rStyle w:val="50"/>
          <w:rFonts w:hint="default" w:ascii="Times New Roman" w:hAnsi="Times New Roman" w:eastAsia="方正小标宋_GBK" w:cs="Times New Roman"/>
          <w:snapToGrid/>
          <w:color w:val="auto"/>
          <w:sz w:val="44"/>
          <w:szCs w:val="44"/>
          <w:highlight w:val="none"/>
          <w:lang w:val="en-US" w:eastAsia="zh-CN"/>
        </w:rPr>
        <w:t>2024年度</w:t>
      </w:r>
      <w:r>
        <w:rPr>
          <w:rStyle w:val="50"/>
          <w:rFonts w:hint="default" w:ascii="Times New Roman" w:hAnsi="Times New Roman" w:eastAsia="方正小标宋_GBK" w:cs="Times New Roman"/>
          <w:snapToGrid/>
          <w:color w:val="auto"/>
          <w:sz w:val="44"/>
          <w:szCs w:val="44"/>
          <w:highlight w:val="none"/>
        </w:rPr>
        <w:t>部门决算情况说明</w:t>
      </w:r>
      <w:bookmarkEnd w:id="18"/>
      <w:bookmarkEnd w:id="19"/>
    </w:p>
    <w:p w14:paraId="5ACF7A7B">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51"/>
          <w:rFonts w:hint="default" w:ascii="Times New Roman" w:hAnsi="Times New Roman" w:eastAsia="黑体" w:cs="Times New Roman"/>
          <w:b w:val="0"/>
          <w:color w:val="auto"/>
          <w:highlight w:val="none"/>
        </w:rPr>
      </w:pPr>
      <w:bookmarkStart w:id="20" w:name="_Toc15377205"/>
      <w:bookmarkStart w:id="21"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51"/>
          <w:rFonts w:hint="default" w:ascii="Times New Roman" w:hAnsi="Times New Roman" w:eastAsia="黑体" w:cs="Times New Roman"/>
          <w:b w:val="0"/>
          <w:color w:val="auto"/>
          <w:highlight w:val="none"/>
        </w:rPr>
        <w:t>入支出决算总体情况说明</w:t>
      </w:r>
      <w:bookmarkEnd w:id="20"/>
      <w:bookmarkEnd w:id="21"/>
    </w:p>
    <w:p w14:paraId="736B9D97">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color w:val="auto"/>
          <w:sz w:val="32"/>
          <w:szCs w:val="32"/>
          <w:highlight w:val="none"/>
          <w:lang w:val="en-US" w:eastAsia="zh-CN"/>
        </w:rPr>
        <w:t>274.3</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总计减少</w:t>
      </w:r>
      <w:r>
        <w:rPr>
          <w:rFonts w:hint="default" w:ascii="Times New Roman" w:hAnsi="Times New Roman" w:eastAsia="方正仿宋_GBK" w:cs="Times New Roman"/>
          <w:color w:val="auto"/>
          <w:sz w:val="32"/>
          <w:szCs w:val="32"/>
          <w:highlight w:val="none"/>
          <w:lang w:val="en-US" w:eastAsia="zh-CN"/>
        </w:rPr>
        <w:t>29.34</w:t>
      </w:r>
      <w:r>
        <w:rPr>
          <w:rFonts w:hint="default" w:ascii="Times New Roman" w:hAnsi="Times New Roman" w:eastAsia="方正仿宋_GBK" w:cs="Times New Roman"/>
          <w:color w:val="auto"/>
          <w:sz w:val="32"/>
          <w:szCs w:val="32"/>
          <w:highlight w:val="none"/>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color w:val="auto"/>
          <w:sz w:val="32"/>
          <w:szCs w:val="32"/>
          <w:highlight w:val="none"/>
          <w:lang w:val="en-US" w:eastAsia="zh-CN"/>
        </w:rPr>
        <w:t>9.6</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上年人员调动。</w:t>
      </w:r>
    </w:p>
    <w:p w14:paraId="793C0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112412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432425" cy="3013710"/>
            <wp:effectExtent l="4445" t="4445" r="11430"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2FB485">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2" w:name="_Toc15396604"/>
      <w:bookmarkStart w:id="23" w:name="_Toc15377206"/>
      <w:r>
        <w:rPr>
          <w:rFonts w:hint="default" w:ascii="Times New Roman" w:hAnsi="Times New Roman" w:eastAsia="黑体" w:cs="Times New Roman"/>
          <w:color w:val="auto"/>
          <w:sz w:val="32"/>
          <w:szCs w:val="32"/>
          <w:highlight w:val="none"/>
          <w:lang w:eastAsia="zh-CN"/>
        </w:rPr>
        <w:t>二、收入决算情况说明</w:t>
      </w:r>
      <w:bookmarkEnd w:id="22"/>
      <w:bookmarkEnd w:id="23"/>
    </w:p>
    <w:p w14:paraId="50988052">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274.3万元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其中：一般公共预算财政拨款收入274.3</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p>
    <w:p w14:paraId="32FC0E0F">
      <w:pPr>
        <w:ind w:firstLine="800" w:firstLineChars="250"/>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3E9C514A">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FF0000"/>
        </w:rPr>
        <w:object>
          <v:shape id="_x0000_i1025" o:spt="75" alt="2.png" type="#_x0000_t75" style="height:205.75pt;width:379.75pt;" o:ole="t" filled="f" o:preferrelative="t" stroked="f" coordsize="21600,21600">
            <v:path/>
            <v:fill on="f" focussize="0,0"/>
            <v:stroke on="f"/>
            <v:imagedata r:id="rId15" o:title="2.png"/>
            <o:lock v:ext="edit" aspectratio="t"/>
            <w10:wrap type="none"/>
            <w10:anchorlock/>
          </v:shape>
          <o:OLEObject Type="Embed" ProgID="Excel.Sheet.8" ShapeID="_x0000_i1025" DrawAspect="Content" ObjectID="_1468075725" r:id="rId14">
            <o:LockedField>false</o:LockedField>
          </o:OLEObject>
        </w:object>
      </w:r>
    </w:p>
    <w:p w14:paraId="2B2EECE7">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51"/>
          <w:rFonts w:hint="default" w:ascii="Times New Roman" w:hAnsi="Times New Roman" w:eastAsia="黑体" w:cs="Times New Roman"/>
          <w:b w:val="0"/>
          <w:color w:val="auto"/>
          <w:highlight w:val="none"/>
        </w:rPr>
      </w:pPr>
      <w:bookmarkStart w:id="24" w:name="_Toc15396605"/>
      <w:bookmarkStart w:id="25"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51"/>
          <w:rFonts w:hint="default" w:ascii="Times New Roman" w:hAnsi="Times New Roman" w:eastAsia="黑体" w:cs="Times New Roman"/>
          <w:b w:val="0"/>
          <w:color w:val="auto"/>
          <w:highlight w:val="none"/>
        </w:rPr>
        <w:t>出决算情况说明</w:t>
      </w:r>
      <w:bookmarkEnd w:id="24"/>
      <w:bookmarkEnd w:id="25"/>
    </w:p>
    <w:p w14:paraId="103F7602">
      <w:pPr>
        <w:pStyle w:val="4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color w:val="auto"/>
          <w:kern w:val="2"/>
          <w:sz w:val="32"/>
          <w:szCs w:val="32"/>
          <w:highlight w:val="none"/>
          <w:lang w:val="en-US" w:eastAsia="zh-CN" w:bidi="ar-SA"/>
        </w:rPr>
        <w:t>274.3</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其中：基本支出</w:t>
      </w:r>
      <w:r>
        <w:rPr>
          <w:rFonts w:hint="default" w:ascii="Times New Roman" w:hAnsi="Times New Roman" w:eastAsia="方正仿宋_GBK" w:cs="Times New Roman"/>
          <w:color w:val="auto"/>
          <w:kern w:val="2"/>
          <w:sz w:val="32"/>
          <w:szCs w:val="32"/>
          <w:highlight w:val="none"/>
          <w:lang w:val="en-US" w:eastAsia="zh-CN" w:bidi="ar-SA"/>
        </w:rPr>
        <w:t>264.3万元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占96.35%；项目支出10万元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占3.65%；上缴上</w:t>
      </w:r>
      <w:r>
        <w:rPr>
          <w:rFonts w:hint="default" w:ascii="Times New Roman" w:hAnsi="Times New Roman" w:eastAsia="方正仿宋_GBK" w:cs="Times New Roman"/>
          <w:color w:val="auto"/>
          <w:sz w:val="32"/>
          <w:szCs w:val="32"/>
          <w:highlight w:val="none"/>
          <w:lang w:eastAsia="zh-CN"/>
        </w:rPr>
        <w:t>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p>
    <w:p w14:paraId="360FE049">
      <w:pPr>
        <w:ind w:firstLine="800" w:firstLineChars="250"/>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2A06CC66">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06925" cy="2837815"/>
            <wp:effectExtent l="4445" t="4445" r="1778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CAD6AB">
      <w:pPr>
        <w:spacing w:line="600" w:lineRule="exact"/>
        <w:ind w:firstLine="640" w:firstLineChars="200"/>
        <w:outlineLvl w:val="1"/>
        <w:rPr>
          <w:rStyle w:val="51"/>
          <w:rFonts w:hint="default" w:ascii="Times New Roman" w:hAnsi="Times New Roman" w:eastAsia="黑体" w:cs="Times New Roman"/>
          <w:b w:val="0"/>
          <w:color w:val="auto"/>
          <w:highlight w:val="none"/>
        </w:rPr>
      </w:pPr>
      <w:bookmarkStart w:id="26" w:name="_Toc15377208"/>
      <w:bookmarkStart w:id="27" w:name="_Toc15396606"/>
      <w:r>
        <w:rPr>
          <w:rFonts w:hint="default" w:ascii="Times New Roman" w:hAnsi="Times New Roman" w:eastAsia="黑体" w:cs="Times New Roman"/>
          <w:color w:val="auto"/>
          <w:sz w:val="32"/>
          <w:szCs w:val="32"/>
          <w:highlight w:val="none"/>
        </w:rPr>
        <w:t>四、财</w:t>
      </w:r>
      <w:r>
        <w:rPr>
          <w:rStyle w:val="51"/>
          <w:rFonts w:hint="default" w:ascii="Times New Roman" w:hAnsi="Times New Roman" w:eastAsia="黑体" w:cs="Times New Roman"/>
          <w:b w:val="0"/>
          <w:color w:val="auto"/>
          <w:highlight w:val="none"/>
        </w:rPr>
        <w:t>政拨款收入支出决算总体情况说明</w:t>
      </w:r>
      <w:bookmarkEnd w:id="26"/>
      <w:bookmarkEnd w:id="27"/>
    </w:p>
    <w:p w14:paraId="0B05B53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2024年度财政拨款收入、支出总计均为274.3万元。与2023年度相比</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财政拨款收入总计、支出总计各减少29.34万元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下降9.6%。主要变动原因是人员调动。</w:t>
      </w:r>
    </w:p>
    <w:p w14:paraId="4A3346C8">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799EFBDF">
      <w:pPr>
        <w:pStyle w:val="2"/>
        <w:rPr>
          <w:rFonts w:hint="default" w:ascii="Times New Roman" w:hAnsi="Times New Roman" w:eastAsia="黑体" w:cs="Times New Roman"/>
          <w:color w:val="auto"/>
          <w:sz w:val="32"/>
          <w:szCs w:val="32"/>
          <w:highlight w:val="none"/>
        </w:rPr>
      </w:pPr>
      <w:bookmarkStart w:id="28" w:name="_Toc15396607"/>
      <w:bookmarkStart w:id="29" w:name="_Toc15377209"/>
      <w:r>
        <w:rPr>
          <w:rFonts w:hint="default" w:ascii="Times New Roman" w:hAnsi="Times New Roman" w:eastAsia="仿宋_GB2312" w:cs="Times New Roman"/>
          <w:color w:val="auto"/>
          <w:sz w:val="32"/>
          <w:szCs w:val="32"/>
          <w:highlight w:val="none"/>
          <w:lang w:eastAsia="zh-CN"/>
        </w:rPr>
        <w:drawing>
          <wp:inline distT="0" distB="0" distL="114300" distR="114300">
            <wp:extent cx="5432425" cy="4041775"/>
            <wp:effectExtent l="5080" t="4445" r="10795"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75D3EB">
      <w:pPr>
        <w:spacing w:line="600" w:lineRule="exact"/>
        <w:ind w:firstLine="640" w:firstLineChars="200"/>
        <w:outlineLvl w:val="1"/>
        <w:rPr>
          <w:rStyle w:val="51"/>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51"/>
          <w:rFonts w:hint="default" w:ascii="Times New Roman" w:hAnsi="Times New Roman" w:eastAsia="黑体" w:cs="Times New Roman"/>
          <w:b w:val="0"/>
          <w:color w:val="auto"/>
          <w:highlight w:val="none"/>
        </w:rPr>
        <w:t>般公共预算财政拨款支出决算情况说明</w:t>
      </w:r>
      <w:bookmarkEnd w:id="28"/>
      <w:bookmarkEnd w:id="29"/>
    </w:p>
    <w:p w14:paraId="6BF92DCD">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bookmarkStart w:id="30" w:name="_Toc15377210"/>
      <w:r>
        <w:rPr>
          <w:rFonts w:hint="default" w:ascii="Times New Roman" w:hAnsi="Times New Roman" w:eastAsia="楷体_GB2312" w:cs="Times New Roman"/>
          <w:b/>
          <w:color w:val="auto"/>
          <w:sz w:val="32"/>
          <w:szCs w:val="32"/>
          <w:highlight w:val="none"/>
          <w:lang w:val="en-US" w:eastAsia="zh-CN"/>
        </w:rPr>
        <w:t>（一）一般公共预算财政拨款支出决算总体情况</w:t>
      </w:r>
      <w:bookmarkEnd w:id="30"/>
    </w:p>
    <w:p w14:paraId="343AE2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2024年度一般公共预算财政拨款支出274.3万元,占本年支出合计的100%｡与2023年度相比,一般公共预算财政拨款支出减少</w:t>
      </w:r>
      <w:r>
        <w:rPr>
          <w:rFonts w:hint="default" w:ascii="Times New Roman" w:hAnsi="Times New Roman" w:eastAsia="方正仿宋_GBK" w:cs="Times New Roman"/>
          <w:snapToGrid/>
          <w:color w:val="auto"/>
          <w:kern w:val="2"/>
          <w:sz w:val="32"/>
          <w:szCs w:val="32"/>
          <w:highlight w:val="none"/>
          <w:lang w:val="en-US" w:eastAsia="zh-CN" w:bidi="ar-SA"/>
        </w:rPr>
        <w:t>29.34</w:t>
      </w:r>
      <w:r>
        <w:rPr>
          <w:rFonts w:hint="default" w:ascii="Times New Roman" w:hAnsi="Times New Roman" w:eastAsia="方正仿宋_GBK" w:cs="Times New Roman"/>
          <w:color w:val="auto"/>
          <w:kern w:val="2"/>
          <w:sz w:val="32"/>
          <w:szCs w:val="32"/>
          <w:highlight w:val="none"/>
          <w:lang w:val="en-US" w:eastAsia="zh-CN" w:bidi="ar-SA"/>
        </w:rPr>
        <w:t>万元,下降9.6%｡主要变动原因是人员调动｡</w:t>
      </w:r>
    </w:p>
    <w:p w14:paraId="26B54E45">
      <w:pPr>
        <w:pStyle w:val="8"/>
        <w:rPr>
          <w:rFonts w:hint="default" w:ascii="Times New Roman" w:hAnsi="Times New Roman" w:eastAsia="方正仿宋_GBK" w:cs="Times New Roman"/>
          <w:sz w:val="32"/>
          <w:szCs w:val="32"/>
          <w:lang w:val="en-US" w:eastAsia="zh-CN"/>
        </w:rPr>
      </w:pPr>
    </w:p>
    <w:p w14:paraId="0FF787F5">
      <w:pPr>
        <w:spacing w:line="600" w:lineRule="exact"/>
        <w:rPr>
          <w:rFonts w:hint="default" w:ascii="Times New Roman" w:hAnsi="Times New Roman" w:eastAsia="方正仿宋_GBK" w:cs="Times New Roman"/>
          <w:color w:val="auto"/>
          <w:w w:val="99"/>
          <w:kern w:val="2"/>
          <w:sz w:val="32"/>
          <w:szCs w:val="32"/>
          <w:highlight w:val="none"/>
          <w:lang w:val="en-US" w:eastAsia="zh-CN" w:bidi="ar-SA"/>
        </w:rPr>
      </w:pPr>
      <w:r>
        <w:rPr>
          <w:rFonts w:hint="default" w:ascii="Times New Roman" w:hAnsi="Times New Roman" w:eastAsia="方正仿宋_GBK" w:cs="Times New Roman"/>
          <w:color w:val="auto"/>
          <w:w w:val="99"/>
          <w:kern w:val="2"/>
          <w:sz w:val="32"/>
          <w:szCs w:val="32"/>
          <w:highlight w:val="none"/>
          <w:lang w:val="en-US" w:eastAsia="zh-CN" w:bidi="ar-SA"/>
        </w:rPr>
        <w:t>（图5：一般公共预算财政拨款支出决算变动情况）（柱状图）</w:t>
      </w:r>
      <w:bookmarkStart w:id="31" w:name="_Toc15377211"/>
    </w:p>
    <w:p w14:paraId="3B00042F">
      <w:pPr>
        <w:spacing w:line="600" w:lineRule="exact"/>
        <w:rPr>
          <w:rFonts w:hint="default" w:ascii="Times New Roman" w:hAnsi="Times New Roman" w:eastAsia="楷体_GB2312" w:cs="Times New Roman"/>
          <w:b/>
          <w:color w:val="auto"/>
          <w:w w:val="99"/>
          <w:sz w:val="32"/>
          <w:szCs w:val="32"/>
          <w:highlight w:val="none"/>
        </w:rPr>
      </w:pPr>
      <w:r>
        <w:rPr>
          <w:rFonts w:hint="default" w:ascii="Times New Roman" w:hAnsi="Times New Roman" w:eastAsia="仿宋_GB2312" w:cs="Times New Roman"/>
          <w:color w:val="auto"/>
          <w:w w:val="99"/>
          <w:sz w:val="32"/>
          <w:szCs w:val="32"/>
          <w:highlight w:val="none"/>
          <w:lang w:eastAsia="zh-CN"/>
        </w:rPr>
        <w:drawing>
          <wp:anchor distT="0" distB="0" distL="114300" distR="114300" simplePos="0" relativeHeight="251659264" behindDoc="1" locked="0" layoutInCell="1" allowOverlap="1">
            <wp:simplePos x="0" y="0"/>
            <wp:positionH relativeFrom="column">
              <wp:posOffset>15240</wp:posOffset>
            </wp:positionH>
            <wp:positionV relativeFrom="paragraph">
              <wp:posOffset>403225</wp:posOffset>
            </wp:positionV>
            <wp:extent cx="5432425" cy="2497455"/>
            <wp:effectExtent l="4445" t="4445" r="11430" b="12700"/>
            <wp:wrapTight wrapText="bothSides">
              <wp:wrapPolygon>
                <wp:start x="-18" y="-38"/>
                <wp:lineTo x="-18" y="21545"/>
                <wp:lineTo x="21570" y="21545"/>
                <wp:lineTo x="21570" y="-38"/>
                <wp:lineTo x="-18" y="-38"/>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E63ACE8">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31"/>
    </w:p>
    <w:p w14:paraId="2F788361">
      <w:pPr>
        <w:keepNext w:val="0"/>
        <w:keepLines w:val="0"/>
        <w:pageBreakBefore w:val="0"/>
        <w:widowControl w:val="0"/>
        <w:kinsoku/>
        <w:wordWrap/>
        <w:overflowPunct/>
        <w:topLinePunct w:val="0"/>
        <w:autoSpaceDE w:val="0"/>
        <w:autoSpaceDN/>
        <w:bidi w:val="0"/>
        <w:adjustRightInd/>
        <w:snapToGrid/>
        <w:spacing w:line="600" w:lineRule="exact"/>
        <w:ind w:firstLine="641"/>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274.3</w:t>
      </w:r>
      <w:r>
        <w:rPr>
          <w:rFonts w:hint="default" w:ascii="Times New Roman" w:hAnsi="Times New Roman" w:eastAsia="方正仿宋_GBK" w:cs="Times New Roman"/>
          <w:color w:val="auto"/>
          <w:kern w:val="2"/>
          <w:sz w:val="32"/>
          <w:szCs w:val="32"/>
          <w:highlight w:val="none"/>
          <w:lang w:val="en-US" w:eastAsia="zh-CN" w:bidi="ar-SA"/>
        </w:rPr>
        <w:t>万元,主要用于以下方面:一般公共服务支出203.19万元,占74%;社会保障和就业支出30.31万元,占11%;卫生健康支出21.29万元,占7.8%;住房保障支出19.5万元,占7.2%｡</w:t>
      </w:r>
    </w:p>
    <w:p w14:paraId="5BE27652">
      <w:pPr>
        <w:spacing w:line="600" w:lineRule="exact"/>
        <w:ind w:firstLine="640"/>
        <w:rPr>
          <w:rFonts w:hint="default" w:ascii="Times New Roman" w:hAnsi="Times New Roman" w:eastAsia="方正仿宋_GBK" w:cs="Times New Roman"/>
          <w:color w:val="auto"/>
          <w:w w:val="99"/>
          <w:kern w:val="2"/>
          <w:sz w:val="32"/>
          <w:szCs w:val="32"/>
          <w:highlight w:val="none"/>
          <w:lang w:val="en-US" w:eastAsia="zh-CN" w:bidi="ar-SA"/>
        </w:rPr>
      </w:pPr>
      <w:r>
        <w:rPr>
          <w:rFonts w:hint="default" w:ascii="Times New Roman" w:hAnsi="Times New Roman" w:eastAsia="方正仿宋_GBK" w:cs="Times New Roman"/>
          <w:color w:val="auto"/>
          <w:w w:val="99"/>
          <w:kern w:val="2"/>
          <w:sz w:val="32"/>
          <w:szCs w:val="32"/>
          <w:highlight w:val="none"/>
          <w:lang w:val="en-US" w:eastAsia="zh-CN" w:bidi="ar-SA"/>
        </w:rPr>
        <w:t>（图6：一般公共预算财政拨款支出决算结构）（饼状图）</w:t>
      </w:r>
    </w:p>
    <w:p w14:paraId="3E71BE7E">
      <w:pPr>
        <w:pStyle w:val="8"/>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1" locked="0" layoutInCell="1" allowOverlap="1">
            <wp:simplePos x="0" y="0"/>
            <wp:positionH relativeFrom="column">
              <wp:posOffset>242570</wp:posOffset>
            </wp:positionH>
            <wp:positionV relativeFrom="paragraph">
              <wp:posOffset>253365</wp:posOffset>
            </wp:positionV>
            <wp:extent cx="4776470" cy="2148205"/>
            <wp:effectExtent l="4445" t="4445" r="57785" b="57150"/>
            <wp:wrapTight wrapText="bothSides">
              <wp:wrapPolygon>
                <wp:start x="-20" y="-45"/>
                <wp:lineTo x="-20" y="21408"/>
                <wp:lineTo x="21517" y="21408"/>
                <wp:lineTo x="21517" y="-45"/>
                <wp:lineTo x="-20" y="-45"/>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2046C4E">
      <w:pPr>
        <w:rPr>
          <w:rFonts w:hint="default" w:ascii="Times New Roman" w:hAnsi="Times New Roman" w:eastAsia="仿宋_GB2312" w:cs="Times New Roman"/>
          <w:color w:val="auto"/>
          <w:kern w:val="2"/>
          <w:sz w:val="32"/>
          <w:szCs w:val="32"/>
          <w:highlight w:val="none"/>
          <w:lang w:val="en-US" w:eastAsia="zh-CN" w:bidi="ar-SA"/>
        </w:rPr>
      </w:pPr>
    </w:p>
    <w:p w14:paraId="4518DD47">
      <w:pPr>
        <w:pStyle w:val="2"/>
        <w:rPr>
          <w:rFonts w:hint="default" w:ascii="Times New Roman" w:hAnsi="Times New Roman" w:eastAsia="仿宋_GB2312" w:cs="Times New Roman"/>
          <w:color w:val="auto"/>
          <w:kern w:val="2"/>
          <w:sz w:val="32"/>
          <w:szCs w:val="32"/>
          <w:highlight w:val="none"/>
          <w:lang w:val="en-US" w:eastAsia="zh-CN" w:bidi="ar-SA"/>
        </w:rPr>
      </w:pPr>
    </w:p>
    <w:p w14:paraId="2692F134">
      <w:pPr>
        <w:rPr>
          <w:rFonts w:hint="default" w:ascii="Times New Roman" w:hAnsi="Times New Roman" w:eastAsia="仿宋_GB2312" w:cs="Times New Roman"/>
          <w:color w:val="auto"/>
          <w:kern w:val="2"/>
          <w:sz w:val="32"/>
          <w:szCs w:val="32"/>
          <w:highlight w:val="none"/>
          <w:lang w:val="en-US" w:eastAsia="zh-CN" w:bidi="ar-SA"/>
        </w:rPr>
      </w:pPr>
    </w:p>
    <w:p w14:paraId="6F9243CB">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2BABB9F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2"/>
    </w:p>
    <w:p w14:paraId="604988B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33" w:name="_Toc15377444"/>
      <w:bookmarkStart w:id="34" w:name="_Toc15377213"/>
      <w:bookmarkStart w:id="35"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274.3</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33"/>
      <w:bookmarkEnd w:id="34"/>
      <w:bookmarkEnd w:id="35"/>
    </w:p>
    <w:p w14:paraId="279689DA">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一般公共服务(类)组织事务(款)行政运行(项):支出决算为151.1万元,完成预算100%｡</w:t>
      </w:r>
    </w:p>
    <w:p w14:paraId="5486527E">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一般公共服务(类)组织事务(款)事业运行(项):支出决算为42.09万元,完成预算100%｡</w:t>
      </w:r>
    </w:p>
    <w:p w14:paraId="69E02120">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一般公共服务(类)组织事务(款)其他组织事务支出(项):支出决算为10万元,完成预算100%｡</w:t>
      </w:r>
    </w:p>
    <w:p w14:paraId="07D9B5F9">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社会保障和就业(类)行政事业单位养老支出(款)行政单位离退休(项):支出决算为5.65万元,完成预算100%｡</w:t>
      </w:r>
    </w:p>
    <w:p w14:paraId="17836FFA">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社会保障和就业(类)行政事业单位养老支出(款)机关事业单位基本养老保险缴费支出(项):支出决算为23.52万元,完成预算100%｡</w:t>
      </w:r>
    </w:p>
    <w:p w14:paraId="2D621748">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社会保障和就业(类)抚恤(款)伤残抚恤(项):支出决算为1.14万元,完成预算100%｡</w:t>
      </w:r>
    </w:p>
    <w:p w14:paraId="16D3C0AF">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卫生健康(类)行政事业单位医疗(款)行政单位医疗(项):支出决算为10.03万元,完成预算100%｡</w:t>
      </w:r>
    </w:p>
    <w:p w14:paraId="07CD05D1">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卫生健康(类)行政事业单位医疗(款)事业单位医疗(项):支出决算为2.94万元,完成预算100%｡</w:t>
      </w:r>
    </w:p>
    <w:p w14:paraId="7A96CA9A">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卫生健康(类)行政事业单位医疗(款)公务员医疗补助(项):支出决算为1.13万元,完成预算100%｡</w:t>
      </w:r>
    </w:p>
    <w:p w14:paraId="3AE0EE7D">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卫生健康(类)行政事业单位医疗(款)其他行政事业单位医疗支出(项):支出决算为7.19万元,完成预算100%｡</w:t>
      </w:r>
    </w:p>
    <w:p w14:paraId="29F25055">
      <w:pPr>
        <w:numPr>
          <w:ilvl w:val="0"/>
          <w:numId w:val="3"/>
        </w:numPr>
        <w:adjustRightInd/>
        <w:snapToGrid/>
        <w:spacing w:after="0" w:afterLines="-2147483648" w:line="600" w:lineRule="exact"/>
        <w:ind w:left="-10" w:leftChars="0" w:firstLine="640" w:firstLineChars="0"/>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住房保障(类)住房改革支出(款)住房公积金(项):支出决算为19.51万元,完成预算100%｡</w:t>
      </w:r>
    </w:p>
    <w:p w14:paraId="19F1423F">
      <w:pPr>
        <w:tabs>
          <w:tab w:val="right" w:pos="8306"/>
        </w:tabs>
        <w:spacing w:line="600" w:lineRule="exact"/>
        <w:ind w:firstLine="640"/>
        <w:outlineLvl w:val="1"/>
        <w:rPr>
          <w:rStyle w:val="51"/>
          <w:rFonts w:hint="default" w:ascii="Times New Roman" w:hAnsi="Times New Roman" w:cs="Times New Roman"/>
          <w:color w:val="auto"/>
          <w:highlight w:val="none"/>
        </w:rPr>
      </w:pPr>
      <w:bookmarkStart w:id="36" w:name="_Toc15396608"/>
      <w:bookmarkStart w:id="37"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51"/>
          <w:rFonts w:hint="default" w:ascii="Times New Roman" w:hAnsi="Times New Roman" w:eastAsia="黑体" w:cs="Times New Roman"/>
          <w:b w:val="0"/>
          <w:color w:val="auto"/>
          <w:highlight w:val="none"/>
        </w:rPr>
        <w:t>般公共预算财政拨款基本支出决算情况说明</w:t>
      </w:r>
      <w:bookmarkEnd w:id="36"/>
      <w:bookmarkEnd w:id="37"/>
      <w:r>
        <w:rPr>
          <w:rStyle w:val="51"/>
          <w:rFonts w:hint="default" w:ascii="Times New Roman" w:hAnsi="Times New Roman" w:eastAsia="黑体" w:cs="Times New Roman"/>
          <w:b w:val="0"/>
          <w:color w:val="auto"/>
          <w:highlight w:val="none"/>
        </w:rPr>
        <w:tab/>
      </w:r>
    </w:p>
    <w:p w14:paraId="5969D264">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2024年度一般公共预算财政拨款基本支出264.3万元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其中：</w:t>
      </w:r>
    </w:p>
    <w:p w14:paraId="3612897F">
      <w:pPr>
        <w:adjustRightInd/>
        <w:snapToGrid/>
        <w:spacing w:after="0" w:afterLines="-2147483648" w:line="600" w:lineRule="exact"/>
        <w:ind w:firstLine="640"/>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人员经费242.06万元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主要包括：基本工资、津贴补贴、奖金、绩效工资、机关事业单位基本养老保险缴费、职工基本医疗保险缴费、公务员医疗补助缴费、其他社会保障缴费、其他工资福利支出、住房公积金、医疗费支出、抚恤金、生活补助、医疗费补助等。</w:t>
      </w:r>
      <w:r>
        <w:rPr>
          <w:rFonts w:hint="default" w:ascii="Times New Roman" w:hAnsi="Times New Roman" w:eastAsia="仿宋_GB2312" w:cs="Times New Roman"/>
          <w:snapToGrid/>
          <w:color w:val="auto"/>
          <w:kern w:val="2"/>
          <w:sz w:val="32"/>
          <w:szCs w:val="32"/>
          <w:highlight w:val="none"/>
          <w:lang w:val="en-US" w:eastAsia="zh-CN" w:bidi="ar-SA"/>
        </w:rPr>
        <w:br w:type="textWrapping"/>
      </w:r>
      <w:r>
        <w:rPr>
          <w:rFonts w:hint="default" w:ascii="Times New Roman" w:hAnsi="Times New Roman" w:eastAsia="方正仿宋_GBK" w:cs="Times New Roman"/>
          <w:snapToGrid/>
          <w:color w:val="000000"/>
          <w:kern w:val="0"/>
          <w:sz w:val="32"/>
          <w:szCs w:val="32"/>
          <w:shd w:val="clear" w:color="auto" w:fill="FFFFFF"/>
          <w:lang w:val="en-US" w:eastAsia="zh-CN" w:bidi="ar-SA"/>
        </w:rPr>
        <w:t>　　公用经费22.24万元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主要包括：办公费、印刷费、电费、邮电费、差旅费、维修（护）费、劳务费、委托业务费、工会经费、福利费、其他交通费、其他商品和服务支出、办公设备购置等。</w:t>
      </w:r>
    </w:p>
    <w:p w14:paraId="12224932">
      <w:pPr>
        <w:spacing w:line="600" w:lineRule="exact"/>
        <w:ind w:firstLine="640"/>
        <w:outlineLvl w:val="1"/>
        <w:rPr>
          <w:rStyle w:val="51"/>
          <w:rFonts w:hint="default" w:ascii="Times New Roman" w:hAnsi="Times New Roman" w:eastAsia="黑体" w:cs="Times New Roman"/>
          <w:b w:val="0"/>
          <w:color w:val="auto"/>
          <w:highlight w:val="none"/>
        </w:rPr>
      </w:pPr>
      <w:bookmarkStart w:id="38" w:name="_Toc15396609"/>
      <w:bookmarkStart w:id="39" w:name="_Toc15377215"/>
      <w:r>
        <w:rPr>
          <w:rFonts w:hint="default" w:ascii="Times New Roman" w:hAnsi="Times New Roman" w:eastAsia="黑体" w:cs="Times New Roman"/>
          <w:color w:val="auto"/>
          <w:sz w:val="32"/>
          <w:szCs w:val="32"/>
          <w:highlight w:val="none"/>
        </w:rPr>
        <w:t>七、</w:t>
      </w:r>
      <w:r>
        <w:rPr>
          <w:rStyle w:val="51"/>
          <w:rFonts w:hint="default" w:ascii="Times New Roman" w:hAnsi="Times New Roman" w:eastAsia="黑体" w:cs="Times New Roman"/>
          <w:b w:val="0"/>
          <w:color w:val="auto"/>
          <w:highlight w:val="none"/>
        </w:rPr>
        <w:t>财政拨款</w:t>
      </w:r>
      <w:r>
        <w:rPr>
          <w:rStyle w:val="51"/>
          <w:rFonts w:hint="eastAsia" w:ascii="Times New Roman" w:hAnsi="Times New Roman" w:eastAsia="黑体" w:cs="Times New Roman"/>
          <w:color w:val="auto"/>
          <w:highlight w:val="none"/>
          <w:lang w:eastAsia="zh-CN"/>
        </w:rPr>
        <w:t>“</w:t>
      </w:r>
      <w:r>
        <w:rPr>
          <w:rStyle w:val="51"/>
          <w:rFonts w:hint="default" w:ascii="Times New Roman" w:hAnsi="Times New Roman" w:eastAsia="黑体" w:cs="Times New Roman"/>
          <w:b w:val="0"/>
          <w:color w:val="auto"/>
          <w:highlight w:val="none"/>
        </w:rPr>
        <w:t>三公</w:t>
      </w:r>
      <w:r>
        <w:rPr>
          <w:rStyle w:val="51"/>
          <w:rFonts w:hint="eastAsia" w:ascii="Times New Roman" w:hAnsi="Times New Roman" w:eastAsia="黑体" w:cs="Times New Roman"/>
          <w:b w:val="0"/>
          <w:color w:val="auto"/>
          <w:highlight w:val="none"/>
          <w:lang w:eastAsia="zh-CN"/>
        </w:rPr>
        <w:t>”</w:t>
      </w:r>
      <w:r>
        <w:rPr>
          <w:rStyle w:val="51"/>
          <w:rFonts w:hint="default" w:ascii="Times New Roman" w:hAnsi="Times New Roman" w:eastAsia="黑体" w:cs="Times New Roman"/>
          <w:b w:val="0"/>
          <w:color w:val="auto"/>
          <w:highlight w:val="none"/>
        </w:rPr>
        <w:t>经费支出决算情况说明</w:t>
      </w:r>
      <w:bookmarkEnd w:id="38"/>
      <w:bookmarkEnd w:id="39"/>
    </w:p>
    <w:p w14:paraId="1E3CF35F">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2024年度本单位未列支</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经费。</w:t>
      </w:r>
    </w:p>
    <w:p w14:paraId="08C2FC12">
      <w:pPr>
        <w:spacing w:line="600" w:lineRule="exact"/>
        <w:ind w:firstLine="640"/>
        <w:outlineLvl w:val="1"/>
        <w:rPr>
          <w:rStyle w:val="51"/>
          <w:rFonts w:hint="default" w:ascii="Times New Roman" w:hAnsi="Times New Roman" w:eastAsia="黑体" w:cs="Times New Roman"/>
          <w:color w:val="auto"/>
          <w:highlight w:val="none"/>
        </w:rPr>
      </w:pPr>
      <w:bookmarkStart w:id="40" w:name="_Toc15396610"/>
      <w:bookmarkStart w:id="41" w:name="_Toc15377218"/>
      <w:r>
        <w:rPr>
          <w:rFonts w:hint="default" w:ascii="Times New Roman" w:hAnsi="Times New Roman" w:eastAsia="黑体" w:cs="Times New Roman"/>
          <w:color w:val="auto"/>
          <w:sz w:val="32"/>
          <w:szCs w:val="32"/>
          <w:highlight w:val="none"/>
        </w:rPr>
        <w:t>八、</w:t>
      </w:r>
      <w:r>
        <w:rPr>
          <w:rStyle w:val="51"/>
          <w:rFonts w:hint="default" w:ascii="Times New Roman" w:hAnsi="Times New Roman" w:eastAsia="黑体" w:cs="Times New Roman"/>
          <w:b w:val="0"/>
          <w:color w:val="auto"/>
          <w:highlight w:val="none"/>
        </w:rPr>
        <w:t>政府性基金预算支出决算情况说明</w:t>
      </w:r>
      <w:bookmarkEnd w:id="40"/>
      <w:bookmarkEnd w:id="41"/>
    </w:p>
    <w:p w14:paraId="54E6541F">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2024年度政府性基金预算财政拨款支出0万元。</w:t>
      </w:r>
    </w:p>
    <w:p w14:paraId="7859E232">
      <w:pPr>
        <w:numPr>
          <w:ilvl w:val="0"/>
          <w:numId w:val="4"/>
        </w:numPr>
        <w:spacing w:line="600" w:lineRule="exact"/>
        <w:ind w:left="630" w:leftChars="0"/>
        <w:outlineLvl w:val="1"/>
        <w:rPr>
          <w:rStyle w:val="51"/>
          <w:rFonts w:hint="default" w:ascii="Times New Roman" w:hAnsi="Times New Roman" w:eastAsia="黑体" w:cs="Times New Roman"/>
          <w:b w:val="0"/>
          <w:color w:val="auto"/>
          <w:highlight w:val="none"/>
        </w:rPr>
      </w:pPr>
      <w:bookmarkStart w:id="42" w:name="_Toc15377219"/>
      <w:bookmarkStart w:id="43" w:name="_Toc15396611"/>
      <w:r>
        <w:rPr>
          <w:rStyle w:val="51"/>
          <w:rFonts w:hint="default" w:ascii="Times New Roman" w:hAnsi="Times New Roman" w:eastAsia="黑体" w:cs="Times New Roman"/>
          <w:b w:val="0"/>
          <w:color w:val="auto"/>
          <w:highlight w:val="none"/>
        </w:rPr>
        <w:t>国有资本经营预算支出决算情况说明</w:t>
      </w:r>
      <w:bookmarkEnd w:id="42"/>
      <w:bookmarkEnd w:id="43"/>
    </w:p>
    <w:p w14:paraId="4880403A">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2024年度国有资本经营预算财政拨款支出0万元。</w:t>
      </w:r>
    </w:p>
    <w:p w14:paraId="19112A4E">
      <w:pPr>
        <w:numPr>
          <w:ilvl w:val="0"/>
          <w:numId w:val="0"/>
        </w:numPr>
        <w:spacing w:line="600" w:lineRule="exact"/>
        <w:ind w:left="630" w:leftChars="0"/>
        <w:outlineLvl w:val="1"/>
        <w:rPr>
          <w:rStyle w:val="51"/>
          <w:rFonts w:hint="default" w:ascii="Times New Roman" w:hAnsi="Times New Roman" w:eastAsia="黑体" w:cs="Times New Roman"/>
          <w:b w:val="0"/>
          <w:color w:val="auto"/>
          <w:highlight w:val="none"/>
        </w:rPr>
      </w:pPr>
      <w:bookmarkStart w:id="44" w:name="_Toc15396612"/>
      <w:bookmarkStart w:id="45" w:name="_Toc15377221"/>
      <w:r>
        <w:rPr>
          <w:rStyle w:val="51"/>
          <w:rFonts w:hint="default" w:ascii="Times New Roman" w:hAnsi="Times New Roman" w:eastAsia="黑体" w:cs="Times New Roman"/>
          <w:b w:val="0"/>
          <w:color w:val="auto"/>
          <w:highlight w:val="none"/>
          <w:lang w:eastAsia="zh-CN"/>
        </w:rPr>
        <w:t>十、</w:t>
      </w:r>
      <w:r>
        <w:rPr>
          <w:rStyle w:val="51"/>
          <w:rFonts w:hint="default" w:ascii="Times New Roman" w:hAnsi="Times New Roman" w:eastAsia="黑体" w:cs="Times New Roman"/>
          <w:b w:val="0"/>
          <w:color w:val="auto"/>
          <w:highlight w:val="none"/>
        </w:rPr>
        <w:t>其他重要事项的情况说明</w:t>
      </w:r>
      <w:bookmarkEnd w:id="44"/>
      <w:bookmarkEnd w:id="45"/>
    </w:p>
    <w:p w14:paraId="7516FAA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6" w:name="_Toc15377222"/>
      <w:r>
        <w:rPr>
          <w:rFonts w:hint="default" w:ascii="Times New Roman" w:hAnsi="Times New Roman" w:eastAsia="楷体_GB2312" w:cs="Times New Roman"/>
          <w:b/>
          <w:color w:val="auto"/>
          <w:sz w:val="32"/>
          <w:szCs w:val="32"/>
          <w:highlight w:val="none"/>
        </w:rPr>
        <w:t>（一）机关运行经费支出情况</w:t>
      </w:r>
      <w:bookmarkEnd w:id="46"/>
    </w:p>
    <w:p w14:paraId="6EE57843">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2024年度,中共盐边县委机构编制委员会办公室机关运行经费支出22.24万元,比2023年度下降3.1万元,下降12.23%｡主要原因是人员调动｡</w:t>
      </w:r>
    </w:p>
    <w:p w14:paraId="0949220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7" w:name="_Toc15377223"/>
      <w:r>
        <w:rPr>
          <w:rFonts w:hint="default" w:ascii="Times New Roman" w:hAnsi="Times New Roman" w:eastAsia="楷体_GB2312" w:cs="Times New Roman"/>
          <w:b/>
          <w:color w:val="auto"/>
          <w:sz w:val="32"/>
          <w:szCs w:val="32"/>
          <w:highlight w:val="none"/>
        </w:rPr>
        <w:t>（二）政府采购支出情况</w:t>
      </w:r>
      <w:bookmarkEnd w:id="47"/>
    </w:p>
    <w:p w14:paraId="564C4984">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中共盐边县委机构编制委员会办公室政府采购支出总额1.85万元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其中：政府采购货物支出1.85万元、政府采购工程支出0万元、政府采购服务支出0万元。主要用于</w:t>
      </w:r>
      <w:r>
        <w:rPr>
          <w:rFonts w:hint="eastAsia" w:ascii="Times New Roman" w:hAnsi="Times New Roman" w:eastAsia="方正仿宋_GBK" w:cs="Times New Roman"/>
          <w:snapToGrid/>
          <w:color w:val="000000"/>
          <w:kern w:val="0"/>
          <w:sz w:val="32"/>
          <w:szCs w:val="32"/>
          <w:shd w:val="clear" w:color="auto" w:fill="FFFFFF"/>
          <w:lang w:val="en-US" w:eastAsia="zh-CN" w:bidi="ar-SA"/>
        </w:rPr>
        <w:t>日常工作开展</w:t>
      </w:r>
      <w:r>
        <w:rPr>
          <w:rFonts w:hint="default" w:ascii="Times New Roman" w:hAnsi="Times New Roman" w:eastAsia="方正仿宋_GBK" w:cs="Times New Roman"/>
          <w:snapToGrid/>
          <w:color w:val="000000"/>
          <w:kern w:val="0"/>
          <w:sz w:val="32"/>
          <w:szCs w:val="32"/>
          <w:shd w:val="clear" w:color="auto" w:fill="FFFFFF"/>
          <w:lang w:val="en-US" w:eastAsia="zh-CN" w:bidi="ar-SA"/>
        </w:rPr>
        <w:t>。授予中小企业合同金额1.85万元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占政府采购支出总额的100%</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其中：授予小微企业合同金额1.85万元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占政府采购支出总额的100%。</w:t>
      </w:r>
    </w:p>
    <w:p w14:paraId="69B273C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4"/>
      <w:r>
        <w:rPr>
          <w:rFonts w:hint="default" w:ascii="Times New Roman" w:hAnsi="Times New Roman" w:eastAsia="楷体_GB2312" w:cs="Times New Roman"/>
          <w:b/>
          <w:color w:val="auto"/>
          <w:sz w:val="32"/>
          <w:szCs w:val="32"/>
          <w:highlight w:val="none"/>
        </w:rPr>
        <w:t>（三）国有资产占有使用情况</w:t>
      </w:r>
      <w:bookmarkEnd w:id="48"/>
    </w:p>
    <w:p w14:paraId="005EAA18">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截至2024年12月31日</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中共盐边县委机构编制委员会办公室共有车辆0辆。</w:t>
      </w:r>
    </w:p>
    <w:p w14:paraId="555F0D1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F2843A9">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根据预算绩效管理要求</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本单位在2024年度预算编制阶段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组织对党政机构改革和事业单位机构改革经费１个项目开展了预算事前绩效评估</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对１个项目编制了绩效目标</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预算执行过程中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选取１个项目开展绩效监控</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组织对１个部门预算项目开展绩效自评。</w:t>
      </w:r>
    </w:p>
    <w:p w14:paraId="600BA875">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bookmarkStart w:id="49" w:name="_Toc15377225"/>
      <w:bookmarkStart w:id="50" w:name="_Toc15396613"/>
    </w:p>
    <w:p w14:paraId="1B30BF7A">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480389A6">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02CE8A3">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16FDA78F">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F975D5F">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11635A35">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2606385">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2785517">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1E3D1AB8">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55457307">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8C40CCC">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059FB1F9">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855A24B">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9EBD2F1">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000BA22">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5543FE7B">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4E0E1A3E">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43CA6967">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792DA6D">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212D737B">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5DE219A0">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1A1A80FA">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0270D7F">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6C464630">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p>
    <w:p w14:paraId="77C3198D">
      <w:pPr>
        <w:widowControl/>
        <w:suppressAutoHyphens/>
        <w:bidi w:val="0"/>
        <w:adjustRightInd/>
        <w:snapToGrid/>
        <w:spacing w:after="0" w:afterLines="-2147483648" w:line="0" w:lineRule="atLeast"/>
        <w:ind w:firstLine="442" w:firstLineChars="100"/>
        <w:jc w:val="center"/>
        <w:rPr>
          <w:rFonts w:hint="default" w:ascii="Times New Roman" w:hAnsi="Times New Roman" w:eastAsia="仿宋_GB2312" w:cs="Times New Roman"/>
          <w:snapToGrid/>
          <w:color w:val="auto"/>
          <w:kern w:val="2"/>
          <w:sz w:val="32"/>
          <w:szCs w:val="32"/>
          <w:highlight w:val="none"/>
          <w:lang w:val="en-US" w:eastAsia="zh-CN" w:bidi="ar-SA"/>
        </w:rPr>
      </w:pPr>
      <w:r>
        <w:rPr>
          <w:rStyle w:val="50"/>
          <w:rFonts w:hint="default" w:ascii="Times New Roman" w:hAnsi="Times New Roman" w:eastAsia="方正小标宋_GBK" w:cs="Times New Roman"/>
          <w:snapToGrid/>
          <w:color w:val="auto"/>
          <w:sz w:val="44"/>
          <w:szCs w:val="44"/>
          <w:highlight w:val="none"/>
        </w:rPr>
        <w:t>第</w:t>
      </w:r>
      <w:r>
        <w:rPr>
          <w:rStyle w:val="50"/>
          <w:rFonts w:hint="default" w:ascii="Times New Roman" w:hAnsi="Times New Roman" w:eastAsia="方正小标宋_GBK" w:cs="Times New Roman"/>
          <w:snapToGrid/>
          <w:color w:val="auto"/>
          <w:sz w:val="44"/>
          <w:szCs w:val="44"/>
          <w:highlight w:val="none"/>
          <w:lang w:eastAsia="zh-CN"/>
        </w:rPr>
        <w:t>三</w:t>
      </w:r>
      <w:r>
        <w:rPr>
          <w:rStyle w:val="50"/>
          <w:rFonts w:hint="default" w:ascii="Times New Roman" w:hAnsi="Times New Roman" w:eastAsia="方正小标宋_GBK" w:cs="Times New Roman"/>
          <w:snapToGrid/>
          <w:color w:val="auto"/>
          <w:sz w:val="44"/>
          <w:szCs w:val="44"/>
          <w:highlight w:val="none"/>
        </w:rPr>
        <w:t>部分名词解释</w:t>
      </w:r>
      <w:bookmarkEnd w:id="49"/>
      <w:bookmarkEnd w:id="50"/>
    </w:p>
    <w:p w14:paraId="576A76FA">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1.财政拨款收入：指单位从同级财政部门取得的财政预算资金。</w:t>
      </w:r>
    </w:p>
    <w:p w14:paraId="67501513">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2.一般公共服务（类）组织事务（款）行政运行（项）：反映行政单位（包括实行公务员管理的事业单位）的基本支出。</w:t>
      </w:r>
    </w:p>
    <w:p w14:paraId="4190CFEE">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3.一般公共服务（类）组织事务（款）事业运行（项）：反映事业单位的基本支出</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不包括行政单位（包括实行公务员管理的事业单位）后勤服务中心、医务室等附属事业单位。</w:t>
      </w:r>
    </w:p>
    <w:p w14:paraId="22464E0B">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4.一般公共服务（类）组织事务（款）其他组织事务支出（项）：反映除上述项目以外其他用于中国共产党组织部门的事务支出。</w:t>
      </w:r>
    </w:p>
    <w:p w14:paraId="7EC3658B">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5.社会保障和就业（类）行政事业单位养老支出（款）行政单位离退休（项）：反映行政单位（包括实行公务员管理的事业单位）开支的离退休经费。</w:t>
      </w:r>
    </w:p>
    <w:p w14:paraId="0971BDFE">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6.社会保障和就业（类）行政事业单位养老支出（款）机关事业单位基本养老保险缴费支出（项）：反映机关事业单位实施养老保险制度由单位缴纳的基本养老保险费支出。</w:t>
      </w:r>
    </w:p>
    <w:p w14:paraId="4E0616B2">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7.社会保障和就业（类）抚恤（款）伤残抚恤（项）：反映按规定用于伤残人员的抚恤金和按规定开支的各种伤残补助费。</w:t>
      </w:r>
    </w:p>
    <w:p w14:paraId="7EA98C12">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8.卫生健康（类）行政事业单位医疗（款）行政单位医疗（项）：反映财政部门安排的行政单位（包括实行公务员管理的事业单位</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下同）基本医疗保险缴费经费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未参加医疗保险的行政单位的公费医疗经费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按国家规定享受离休人员、红军老战士待遇人员的医疗经费。</w:t>
      </w:r>
    </w:p>
    <w:p w14:paraId="583B6DA8">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9.卫生健康（类）行政事业单位医疗（款）事业单位医疗（项）：反映财政部门安排的事业单位基本医疗保险缴费经费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未参加医疗保险的事业单位的公费医疗经费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按国家规定享受离休人员待遇的医疗经费。</w:t>
      </w:r>
    </w:p>
    <w:p w14:paraId="0699A571">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10．卫生健康（类）行政事业单位医疗（款）公务员医疗补助（项）：反映财政部门安排的公务员医疗补助经费。</w:t>
      </w:r>
    </w:p>
    <w:p w14:paraId="6FFB9C27">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11．卫生健康（类）行政事业单位医疗（款）其他行政事业单位医疗支出（项）：反映除上述项目以外的其他用于行政事业单位医疗方面的支出。</w:t>
      </w:r>
    </w:p>
    <w:p w14:paraId="0992CD4B">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12.住房保障（类）住房改革支出（款）住房公积金（项）：指反映行政事业单位按人力资源和社会保障部、财政部规定的基本工资和津贴补贴以及规定比例为职工缴纳的住房公积金。</w:t>
      </w:r>
    </w:p>
    <w:p w14:paraId="6EF82F4C">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13.基本支出：指为保障机构正常运转、完成日常工作任务而发生的人员支出和公用支出。</w:t>
      </w:r>
    </w:p>
    <w:p w14:paraId="4CA19ED5">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14.项目支出：指在基本支出之外为完成特定行政任务和事业发展目标所发生的支出。</w:t>
      </w:r>
    </w:p>
    <w:p w14:paraId="0207ED7A">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15.机关运行经费：为保障行政单位（含参照公务员法管理的事业单位）运行用于购买货物和服务的各项资金</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包括办公及印刷费、差旅费、福利费、日常维修费、专用材料及一般设备购置费、办公用房水电费、办公用房取暖费、办公用房物业管理费、公务用车运行维护费以及其他费用。</w:t>
      </w:r>
    </w:p>
    <w:p w14:paraId="0F3A2E9D">
      <w:pPr>
        <w:spacing w:line="600" w:lineRule="exact"/>
        <w:ind w:firstLine="640" w:firstLineChars="200"/>
        <w:outlineLvl w:val="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p>
    <w:p w14:paraId="28DD5F00">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r>
        <w:rPr>
          <w:rStyle w:val="50"/>
          <w:rFonts w:hint="default" w:ascii="Times New Roman" w:hAnsi="Times New Roman" w:eastAsia="方正小标宋_GBK" w:cs="Times New Roman"/>
          <w:snapToGrid/>
          <w:color w:val="auto"/>
          <w:sz w:val="44"/>
          <w:szCs w:val="44"/>
          <w:highlight w:val="none"/>
        </w:rPr>
        <w:t>第四部分附件</w:t>
      </w:r>
      <w:bookmarkEnd w:id="14"/>
    </w:p>
    <w:p w14:paraId="7CEE6198">
      <w:pPr>
        <w:keepNext w:val="0"/>
        <w:keepLines w:val="0"/>
        <w:pageBreakBefore w:val="0"/>
        <w:kinsoku/>
        <w:wordWrap/>
        <w:overflowPunct/>
        <w:topLinePunct w:val="0"/>
        <w:autoSpaceDE/>
        <w:autoSpaceDN/>
        <w:bidi w:val="0"/>
        <w:adjustRightInd w:val="0"/>
        <w:snapToGrid w:val="0"/>
        <w:spacing w:line="240" w:lineRule="auto"/>
        <w:jc w:val="left"/>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14:paraId="0B6E85E5">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方正小标宋简体" w:cs="Times New Roman"/>
          <w:bCs/>
          <w:sz w:val="44"/>
          <w:szCs w:val="44"/>
          <w:shd w:val="clear" w:color="auto" w:fill="FFFFFF"/>
        </w:rPr>
      </w:pPr>
    </w:p>
    <w:p w14:paraId="077433B0">
      <w:pPr>
        <w:keepNext w:val="0"/>
        <w:keepLines w:val="0"/>
        <w:pageBreakBefore w:val="0"/>
        <w:widowControl/>
        <w:kinsoku/>
        <w:wordWrap/>
        <w:overflowPunct/>
        <w:topLinePunct w:val="0"/>
        <w:autoSpaceDE/>
        <w:autoSpaceDN/>
        <w:bidi w:val="0"/>
        <w:adjustRightInd w:val="0"/>
        <w:snapToGrid w:val="0"/>
        <w:spacing w:line="360" w:lineRule="auto"/>
        <w:contextualSpacing/>
        <w:jc w:val="center"/>
        <w:textAlignment w:val="auto"/>
        <w:rPr>
          <w:rFonts w:hint="default" w:ascii="Times New Roman" w:hAnsi="Times New Roman" w:cs="Times New Roman"/>
          <w:lang w:eastAsia="zh-CN"/>
        </w:rPr>
      </w:pPr>
      <w:r>
        <w:rPr>
          <w:rFonts w:hint="default" w:ascii="Times New Roman" w:hAnsi="Times New Roman" w:eastAsia="方正小标宋简体" w:cs="Times New Roman"/>
          <w:bCs/>
          <w:sz w:val="44"/>
          <w:szCs w:val="44"/>
          <w:shd w:val="clear" w:color="auto" w:fill="FFFFFF"/>
        </w:rPr>
        <w:t>部门预算绩效评价报告</w:t>
      </w:r>
    </w:p>
    <w:p w14:paraId="7E14C877">
      <w:pPr>
        <w:keepNext w:val="0"/>
        <w:keepLines w:val="0"/>
        <w:pageBreakBefore w:val="0"/>
        <w:widowControl w:val="0"/>
        <w:kinsoku/>
        <w:wordWrap/>
        <w:overflowPunct/>
        <w:topLinePunct w:val="0"/>
        <w:autoSpaceDE/>
        <w:autoSpaceDN/>
        <w:bidi w:val="0"/>
        <w:adjustRightInd w:val="0"/>
        <w:snapToGrid w:val="0"/>
        <w:spacing w:line="240" w:lineRule="auto"/>
        <w:ind w:firstLine="640"/>
        <w:textAlignment w:val="auto"/>
        <w:outlineLvl w:val="1"/>
        <w:rPr>
          <w:rStyle w:val="51"/>
          <w:rFonts w:hint="default" w:ascii="Times New Roman" w:hAnsi="Times New Roman" w:eastAsia="黑体" w:cs="Times New Roman"/>
          <w:b w:val="0"/>
          <w:color w:val="auto"/>
          <w:highlight w:val="none"/>
        </w:rPr>
      </w:pPr>
      <w:r>
        <w:rPr>
          <w:rStyle w:val="51"/>
          <w:rFonts w:hint="default" w:ascii="Times New Roman" w:hAnsi="Times New Roman" w:eastAsia="黑体" w:cs="Times New Roman"/>
          <w:b w:val="0"/>
          <w:color w:val="auto"/>
          <w:highlight w:val="none"/>
          <w:lang w:val="en-US" w:eastAsia="zh-CN"/>
        </w:rPr>
        <w:t xml:space="preserve">一、部门（单位）基本情况 </w:t>
      </w:r>
    </w:p>
    <w:p w14:paraId="701C696C">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（一）机构组成 </w:t>
      </w:r>
    </w:p>
    <w:p w14:paraId="5DFC45E5">
      <w:pPr>
        <w:spacing w:line="600" w:lineRule="exact"/>
        <w:ind w:firstLine="640" w:firstLineChars="200"/>
        <w:outlineLvl w:val="2"/>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中共盐边县委机构编制委员会办公室作为县委机构编制委员会的办事机构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承担县委机构编制委员会的日常工作</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作为县委工作机关</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归口县委组织部管理。 </w:t>
      </w:r>
    </w:p>
    <w:p w14:paraId="423987D7">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单位机关内设 2 个股室（综合股、机构编制管理股）</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核 定行政编制 8 名</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机关工勤编制 2 名。下设事业单位 2 个</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盐边县事业单位登记服务中心（副科级事业单位）</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核定事业 编制 8 名；盐边县机构编制数据与服务中心（股所级公益一 类）</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核定事业编制 0 名。 </w:t>
      </w:r>
    </w:p>
    <w:p w14:paraId="04EE27C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 xml:space="preserve">（二）机构职能 </w:t>
      </w:r>
    </w:p>
    <w:p w14:paraId="429BFBFD">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1.贯彻执行中央、省、市关于行政管理体制改革和机构改革、事业单位改革及机构编制管理的方针政策和法律法规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制定相关政策并监督实施。 </w:t>
      </w:r>
    </w:p>
    <w:p w14:paraId="428A49E1">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2.研究拟订全县行政管理体制改革和机构改革方案</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审核县级各部门</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规定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评估改革效果。参与行政审批制度改革和行政区划调整的有关工作。 </w:t>
      </w:r>
    </w:p>
    <w:p w14:paraId="3B44EEF4">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3.负责全县行政事业编制总量控制和机关事业单位机构 </w:t>
      </w:r>
    </w:p>
    <w:p w14:paraId="5395FF36">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编制实名制管理工作。建立健全机构编制管理联动机制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会同有关部门严格控制财政供养人员。对全县机关和事业单位使用空缺编制补充人员进行核批。 </w:t>
      </w:r>
    </w:p>
    <w:p w14:paraId="5352E8AF">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4.负责县委、县政府各部门</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县人大、县政协机关</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县 </w:t>
      </w:r>
    </w:p>
    <w:p w14:paraId="293FF01D">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法院、县检察院机关</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各民主党派机关、各人民团体机关以及其他行政机构的机构编制管理工作。协调县级各部门之间及县级各部门与乡（镇）之间的职责分工。 </w:t>
      </w:r>
    </w:p>
    <w:p w14:paraId="68F3E950">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5.拟订全县事业单位改革方案及相关配套政策</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审核全县事业单位机构编制方案</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评估改革效果。负责全县事业单 位的机构编制管理工作。负责拟参照公务员法管理事业单位 机构编制事项的审核工作。 </w:t>
      </w:r>
    </w:p>
    <w:p w14:paraId="187C1EF0">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6.监督检查全县行政管理体制改革和机构改革方案及机构编制规定执行情况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建立机构编制工作考核评估制度,会同 有关部门查处机构编制违法违纪行为。 </w:t>
      </w:r>
    </w:p>
    <w:p w14:paraId="03A40892">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7.负责全县事业单位登记管理工作。 </w:t>
      </w:r>
    </w:p>
    <w:p w14:paraId="4C1680FF">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8.承办县委、县政府和县委编委交办的其他工作。 </w:t>
      </w:r>
    </w:p>
    <w:p w14:paraId="7B120A0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 xml:space="preserve">（三）人员概况 </w:t>
      </w:r>
    </w:p>
    <w:p w14:paraId="32FB8ED1">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截止 2024 年 12 月底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实有公务员 8 人（正科级 1 人、 副科级 2 人、二级主任科员 2 人、一级科员 3 人）</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机关工勤 1 人（技师）；事业人员 5 人（事业管理八级职员 3 人</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专业技术 12 级 2 人）。共计在岗人员 14 人。 </w:t>
      </w:r>
    </w:p>
    <w:p w14:paraId="779291F1">
      <w:pPr>
        <w:spacing w:line="600" w:lineRule="exact"/>
        <w:ind w:firstLine="640"/>
        <w:outlineLvl w:val="1"/>
        <w:rPr>
          <w:rStyle w:val="51"/>
          <w:rFonts w:hint="default" w:ascii="Times New Roman" w:hAnsi="Times New Roman" w:eastAsia="黑体" w:cs="Times New Roman"/>
          <w:b w:val="0"/>
          <w:color w:val="auto"/>
          <w:highlight w:val="none"/>
        </w:rPr>
      </w:pPr>
      <w:r>
        <w:rPr>
          <w:rStyle w:val="51"/>
          <w:rFonts w:hint="default" w:ascii="Times New Roman" w:hAnsi="Times New Roman" w:eastAsia="黑体" w:cs="Times New Roman"/>
          <w:b w:val="0"/>
          <w:color w:val="auto"/>
          <w:highlight w:val="none"/>
          <w:lang w:val="en-US" w:eastAsia="zh-CN"/>
        </w:rPr>
        <w:t xml:space="preserve">二、部门资金收支情况 </w:t>
      </w:r>
    </w:p>
    <w:p w14:paraId="6479761B">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（一）收入情况 </w:t>
      </w:r>
    </w:p>
    <w:p w14:paraId="43076F78">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县委编办 2024 年年初预算收入 250.92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决算报表收入 274.30 万元。 </w:t>
      </w:r>
    </w:p>
    <w:p w14:paraId="17A10BDE">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（二）支出情况 </w:t>
      </w:r>
    </w:p>
    <w:p w14:paraId="66F0A639">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县委编办 2024 年年初预算支出 250.92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决算报表支出 274.30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其中：基本支出 264.30 万元（人员经费242.06 万元、公用经费 22.24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项目支出 10 万元。 </w:t>
      </w:r>
    </w:p>
    <w:p w14:paraId="4341E9AA">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按支出功能分类主要用于以下方面： </w:t>
      </w:r>
    </w:p>
    <w:p w14:paraId="04676161">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1.一般公共服务支出 203.19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主要用于单位人员工资、日常运转以及完成特定行政工作任务的开支。 </w:t>
      </w:r>
    </w:p>
    <w:p w14:paraId="10669150">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2.社会保障和就业支出 30.31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主要用于单位离退休人员支出以及养老保险单位缴费、因公伤残人员抚恤等支 </w:t>
      </w:r>
    </w:p>
    <w:p w14:paraId="3B581E6A">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出。 </w:t>
      </w:r>
    </w:p>
    <w:p w14:paraId="2AE828F8">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3.住房保障支出 19.51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用于单位按照规定标准为 职工缴纳住房公积金等支出。 </w:t>
      </w:r>
    </w:p>
    <w:p w14:paraId="1E7D76F9">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4.卫生健康支出 21.29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用于单位职工公务员医疗 </w:t>
      </w:r>
    </w:p>
    <w:p w14:paraId="4016FFD4">
      <w:pPr>
        <w:pStyle w:val="8"/>
        <w:spacing w:before="93"/>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补助缴费等支出。</w:t>
      </w:r>
      <w:r>
        <w:rPr>
          <w:rFonts w:hint="default" w:ascii="Times New Roman" w:hAnsi="Times New Roman" w:eastAsia="仿宋_GB2312" w:cs="Times New Roman"/>
          <w:color w:val="auto"/>
          <w:kern w:val="2"/>
          <w:sz w:val="32"/>
          <w:szCs w:val="32"/>
          <w:highlight w:val="none"/>
          <w:lang w:val="en-US" w:eastAsia="zh-CN" w:bidi="ar-SA"/>
        </w:rPr>
        <w:t xml:space="preserve"> </w:t>
      </w:r>
    </w:p>
    <w:p w14:paraId="548674A2">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（三）结余分配和结转结余情况 </w:t>
      </w:r>
    </w:p>
    <w:p w14:paraId="1BE0CD28">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县委编办 2024 年决算报表无结转结余。</w:t>
      </w:r>
    </w:p>
    <w:p w14:paraId="6F7D01E6">
      <w:pPr>
        <w:pStyle w:val="8"/>
        <w:spacing w:before="93"/>
        <w:ind w:firstLine="640" w:firstLineChars="200"/>
        <w:rPr>
          <w:rStyle w:val="51"/>
          <w:rFonts w:hint="default" w:ascii="Times New Roman" w:hAnsi="Times New Roman" w:eastAsia="黑体" w:cs="Times New Roman"/>
          <w:b w:val="0"/>
          <w:color w:val="auto"/>
          <w:highlight w:val="none"/>
          <w:lang w:val="en-US" w:eastAsia="zh-CN"/>
        </w:rPr>
      </w:pPr>
      <w:r>
        <w:rPr>
          <w:rStyle w:val="51"/>
          <w:rFonts w:hint="default" w:ascii="Times New Roman" w:hAnsi="Times New Roman" w:eastAsia="黑体" w:cs="Times New Roman"/>
          <w:b w:val="0"/>
          <w:color w:val="auto"/>
          <w:highlight w:val="none"/>
          <w:lang w:val="en-US" w:eastAsia="zh-CN"/>
        </w:rPr>
        <w:t xml:space="preserve">三、部门预算绩效分析 </w:t>
      </w:r>
    </w:p>
    <w:p w14:paraId="09227E7B">
      <w:pPr>
        <w:numPr>
          <w:ilvl w:val="0"/>
          <w:numId w:val="0"/>
        </w:numPr>
        <w:spacing w:line="600" w:lineRule="exact"/>
        <w:ind w:leftChars="200"/>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sz w:val="32"/>
          <w:szCs w:val="32"/>
          <w:highlight w:val="none"/>
          <w:lang w:val="en-US" w:eastAsia="zh-CN"/>
        </w:rPr>
        <w:t xml:space="preserve">（一）部门预算总体绩效分析 </w:t>
      </w:r>
      <w:r>
        <w:rPr>
          <w:rFonts w:hint="default" w:ascii="Times New Roman" w:hAnsi="Times New Roman" w:eastAsia="仿宋_GB2312" w:cs="Times New Roman"/>
          <w:color w:val="auto"/>
          <w:kern w:val="2"/>
          <w:sz w:val="32"/>
          <w:szCs w:val="32"/>
          <w:highlight w:val="none"/>
          <w:lang w:val="en-US" w:eastAsia="zh-CN" w:bidi="ar-SA"/>
        </w:rPr>
        <w:t xml:space="preserve"> </w:t>
      </w:r>
    </w:p>
    <w:p w14:paraId="4B4162A7">
      <w:pPr>
        <w:keepNext w:val="0"/>
        <w:keepLines w:val="0"/>
        <w:pageBreakBefore w:val="0"/>
        <w:widowControl/>
        <w:suppressLineNumbers w:val="0"/>
        <w:kinsoku/>
        <w:wordWrap/>
        <w:overflowPunct/>
        <w:topLinePunct w:val="0"/>
        <w:autoSpaceDE/>
        <w:autoSpaceDN/>
        <w:bidi w:val="0"/>
        <w:adjustRightInd w:val="0"/>
        <w:snapToGrid w:val="0"/>
        <w:ind w:firstLine="620" w:firstLineChars="200"/>
        <w:jc w:val="left"/>
        <w:textAlignment w:val="auto"/>
        <w:rPr>
          <w:rFonts w:hint="default" w:ascii="Times New Roman" w:hAnsi="Times New Roman" w:cs="Times New Roman"/>
          <w:b w:val="0"/>
          <w:bCs w:val="0"/>
        </w:rPr>
      </w:pPr>
      <w:r>
        <w:rPr>
          <w:rFonts w:hint="default" w:ascii="Times New Roman" w:hAnsi="Times New Roman" w:eastAsia="Therese" w:cs="Times New Roman"/>
          <w:b w:val="0"/>
          <w:bCs w:val="0"/>
          <w:snapToGrid/>
          <w:color w:val="000000"/>
          <w:kern w:val="0"/>
          <w:sz w:val="31"/>
          <w:szCs w:val="31"/>
          <w:lang w:val="en-US" w:eastAsia="zh-CN" w:bidi="ar"/>
        </w:rPr>
        <w:t>1</w:t>
      </w:r>
      <w:r>
        <w:rPr>
          <w:rFonts w:hint="default" w:ascii="Times New Roman" w:hAnsi="Times New Roman" w:eastAsia="方正仿宋_GBK" w:cs="Times New Roman"/>
          <w:b w:val="0"/>
          <w:bCs w:val="0"/>
          <w:snapToGrid/>
          <w:color w:val="000000"/>
          <w:kern w:val="0"/>
          <w:sz w:val="31"/>
          <w:szCs w:val="31"/>
          <w:lang w:val="en-US" w:eastAsia="zh-CN" w:bidi="ar"/>
        </w:rPr>
        <w:t xml:space="preserve">、履职效能 </w:t>
      </w:r>
    </w:p>
    <w:p w14:paraId="355808B3">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全面完成党政机构改革工作任务。立足职能职责</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以重点领域为突破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积极助力共同富裕试验区典型经验探索实践。 紧盯事业发展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以保障大局为重心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全力统筹编制资源蓄势 赋能</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推动高质量发展。组建县委社会工作部、共同富裕试 验区建设办公室</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规范调整设置人大常委会工作委员会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持 续深化城市管理、市场监管、文化市场、交通运输、农业、 林业、劳动保障、自然资源、经信科技、卫生等领域行政执 法体制改革</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调整完善 12 个乡镇机构设置和管理体制。全面推进紧密型医共体建设</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加强县域内医疗资源整合和优化配置</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新增</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养老服务、培训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职责</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推进我县医疗卫生与养老服务结合发展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积极应对人口老龄化。积极推动建立乡镇 履职事项清单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清单编制工作按照时间节点有序推进。健全 完善乡镇编制动态调整机制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建立乡镇编制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周转池</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探索 出与经济社会发展需要相适应的编制资源动态供给新模式</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提高编制资源使用效益。承办县委编委会议 5 次</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审议事项 37 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制定 3 家部门</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规定、重新修订 4 家部门</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规定。完成机关事业单位机构编制数据大核查 278 家。 规范事业单位登记管理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共办理事业单位法人设立登记 2 家、证书补领 3 家、变更登记 87 家 100 余项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开展事业单位新任法定代表人面谈 60 余人次。机关单位初领 1 家、变更登记24 家。在法定时限内完成 214 家单位 2023 年度事业单位法人年度报告</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年报合格率及公示率达 100%。 </w:t>
      </w:r>
    </w:p>
    <w:p w14:paraId="442D760F">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（1）人员类经费支出。根据组织人事部门核批人员及工资标准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严格按照县财政预算编制口径进行预算编制。实 际支付执行过程中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根据相关部门核批的人员增减情况及标 准调整情况及时进行增减调整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按月支付</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确保了职工工资 按时足额发放、五险一金按时足额缴纳</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支出保障有力、支 付进度及标准合理合规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无违规违纪情况。全年共计支出 242.06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占本年度支出的 88%。 </w:t>
      </w:r>
    </w:p>
    <w:p w14:paraId="35551268">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（2）运转类经费支出。按照定额编制要求</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根据县人</w:t>
      </w:r>
      <w:r>
        <w:rPr>
          <w:rFonts w:hint="default" w:ascii="Times New Roman" w:hAnsi="Times New Roman" w:eastAsia="仿宋_GB2312" w:cs="Times New Roman"/>
          <w:color w:val="auto"/>
          <w:kern w:val="2"/>
          <w:sz w:val="32"/>
          <w:szCs w:val="32"/>
          <w:highlight w:val="none"/>
          <w:lang w:val="en-US" w:eastAsia="zh-CN" w:bidi="ar-SA"/>
        </w:rPr>
        <w:t>社</w:t>
      </w:r>
      <w:r>
        <w:rPr>
          <w:rFonts w:hint="default" w:ascii="Times New Roman" w:hAnsi="Times New Roman" w:eastAsia="方正仿宋_GBK" w:cs="Times New Roman"/>
          <w:snapToGrid/>
          <w:color w:val="000000"/>
          <w:kern w:val="0"/>
          <w:sz w:val="32"/>
          <w:szCs w:val="32"/>
          <w:shd w:val="clear" w:color="auto" w:fill="FFFFFF"/>
          <w:lang w:val="en-US" w:eastAsia="zh-CN" w:bidi="ar-SA"/>
        </w:rPr>
        <w:t>局核批实有人员数</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严格按照县财政预算编制口径进行预 算编制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主要用于办公费、水电费、差旅费、维修（护）费 等日常公用支出</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为单位正常运转提供财力及后勤保障。实 际支付执行过程中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结合单位工作进度及费用发生实际情况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及时核实报领导核批后执行支付。资金支付及时合规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无违 规违纪情况。全年共计支出 22.24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占本年度支出的 8%。</w:t>
      </w:r>
    </w:p>
    <w:p w14:paraId="66E53647">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（3）特定目标类支出。特定目标类支出是对单位项目 资金的预算编制。由单位重点工作业务股室梳理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制定项目 具体目标及实施计划</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报主任办公会研究确定后在规定时限 内完成预算编制。实际支付执行过程中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结合单位工作进度 及费用发生实际情况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及时支付</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资金支付合规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无违规情 况。全年共计支出 10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占本年度支出的 4%。按照全年工作安排进度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县委编办 2024 年绩效目标稳步 推进</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截止 2024 年底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绩效目标均已全面完成</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资金支付率100%</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资金结余率为 0</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无违规违纪现象。 </w:t>
      </w:r>
    </w:p>
    <w:p w14:paraId="0DA5EE13">
      <w:pPr>
        <w:keepNext w:val="0"/>
        <w:keepLines w:val="0"/>
        <w:widowControl/>
        <w:suppressLineNumbers w:val="0"/>
        <w:ind w:firstLine="640" w:firstLineChars="200"/>
        <w:jc w:val="left"/>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2、预算管理 </w:t>
      </w:r>
    </w:p>
    <w:p w14:paraId="47AE9332">
      <w:pPr>
        <w:pStyle w:val="8"/>
        <w:keepNext w:val="0"/>
        <w:keepLines w:val="0"/>
        <w:pageBreakBefore w:val="0"/>
        <w:widowControl w:val="0"/>
        <w:kinsoku/>
        <w:wordWrap w:val="0"/>
        <w:overflowPunct/>
        <w:topLinePunct/>
        <w:autoSpaceDE/>
        <w:autoSpaceDN/>
        <w:bidi w:val="0"/>
        <w:adjustRightInd w:val="0"/>
        <w:snapToGrid w:val="0"/>
        <w:spacing w:before="93"/>
        <w:ind w:firstLine="640" w:firstLineChars="200"/>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深入学习贯彻上级及同级财政部门关于预算管理的各 项规定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严格执行预算编制口径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严守预算编制节点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严把 预算编制质量</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部门预算编制科学准确。严格按照政府信息 公开有关规定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在上级部门规定的时间、指定的网站公开预 算、执行、决算、监督、绩效等相关预决算信息</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无公开时 间逾期或公开内容不符合要求的现象存在。严格执行</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压减比例</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预算编制数比上年压减比例符合上级相关要求 。严把支出执行进度 </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1-6 月支出进度51.54%</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1-1</w:t>
      </w:r>
      <w:r>
        <w:rPr>
          <w:rFonts w:hint="eastAsia" w:ascii="Times New Roman" w:hAnsi="Times New Roman" w:eastAsia="方正仿宋_GBK" w:cs="Times New Roman"/>
          <w:snapToGrid/>
          <w:color w:val="000000"/>
          <w:kern w:val="0"/>
          <w:sz w:val="32"/>
          <w:szCs w:val="32"/>
          <w:shd w:val="clear" w:color="auto" w:fill="FFFFFF"/>
          <w:lang w:val="en-US" w:eastAsia="zh-CN" w:bidi="ar-SA"/>
        </w:rPr>
        <w:t>2</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月支出进度 </w:t>
      </w:r>
      <w:r>
        <w:rPr>
          <w:rFonts w:hint="eastAsia" w:ascii="Times New Roman" w:hAnsi="Times New Roman" w:eastAsia="方正仿宋_GBK" w:cs="Times New Roman"/>
          <w:snapToGrid/>
          <w:color w:val="000000"/>
          <w:kern w:val="0"/>
          <w:sz w:val="32"/>
          <w:szCs w:val="32"/>
          <w:shd w:val="clear" w:color="auto" w:fill="FFFFFF"/>
          <w:lang w:val="en-US" w:eastAsia="zh-CN" w:bidi="ar-SA"/>
        </w:rPr>
        <w:t>100</w:t>
      </w:r>
      <w:r>
        <w:rPr>
          <w:rFonts w:hint="default" w:ascii="Times New Roman" w:hAnsi="Times New Roman" w:eastAsia="方正仿宋_GBK" w:cs="Times New Roman"/>
          <w:snapToGrid/>
          <w:color w:val="000000"/>
          <w:kern w:val="0"/>
          <w:sz w:val="32"/>
          <w:szCs w:val="32"/>
          <w:shd w:val="clear" w:color="auto" w:fill="FFFFFF"/>
          <w:lang w:val="en-US" w:eastAsia="zh-CN" w:bidi="ar-SA"/>
        </w:rPr>
        <w:t>%</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支出进度符合相关要求。严格控制一般性支出</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、会议费、办节办展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三公经费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、课题经费、软件购置更新等费用均为 0。严格遵循先有预算</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后有支出的原则</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年终支出执行进度100%</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年终预算无结余。 </w:t>
      </w:r>
    </w:p>
    <w:p w14:paraId="173497D6">
      <w:pPr>
        <w:keepNext w:val="0"/>
        <w:keepLines w:val="0"/>
        <w:widowControl/>
        <w:suppressLineNumbers w:val="0"/>
        <w:ind w:firstLine="640" w:firstLineChars="200"/>
        <w:jc w:val="left"/>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3、财务管理 </w:t>
      </w:r>
    </w:p>
    <w:p w14:paraId="7F1F85A1">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制定了严格的财务管理制度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财务岗位设置符合相关财务管理制度规定。严守财务不相容职务分离的原则</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会计人员、出纳人员岗位分离</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资产登记人员（财务人员）、资产保管人员（办公室人员）岗位分离。资金使用规范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严格执行 </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一支笔</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签字制度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大额资金支付审批制度。严格把控资金申请、使用、拨付的审批程序</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会计核算真实、准确。项目资金专款专用</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无截留、挤占、挪用项目资金的情况。 </w:t>
      </w:r>
    </w:p>
    <w:p w14:paraId="173F7823">
      <w:pPr>
        <w:keepNext w:val="0"/>
        <w:keepLines w:val="0"/>
        <w:widowControl/>
        <w:suppressLineNumbers w:val="0"/>
        <w:ind w:firstLine="640" w:firstLineChars="200"/>
        <w:jc w:val="left"/>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4、资产管理 </w:t>
      </w:r>
    </w:p>
    <w:p w14:paraId="2806E4A1">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严格执行《行政事业性国有资产管理条例》相关规定</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专人负责对资产配置、资产更新采购、资产保管、资产报废与核销等方面进行管理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做到了账账相符、账实相符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资产采购报批手续完整合规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固定资产登记入账及时。2024 年我单位没有闲置资产。 </w:t>
      </w:r>
    </w:p>
    <w:p w14:paraId="6384D271">
      <w:pPr>
        <w:keepNext w:val="0"/>
        <w:keepLines w:val="0"/>
        <w:widowControl/>
        <w:suppressLineNumbers w:val="0"/>
        <w:ind w:firstLine="640" w:firstLineChars="200"/>
        <w:jc w:val="left"/>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5、采购管理 </w:t>
      </w:r>
    </w:p>
    <w:p w14:paraId="2995C2EF">
      <w:pPr>
        <w:pStyle w:val="8"/>
        <w:spacing w:before="93"/>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 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共计采购办公设备一批（法人证书赋码专用打印机 1 台、碎纸机 2 台</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彩色打印机 2 台</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黑白打印机 1 台）</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总金额 18500 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采购方式为框架协议采购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均严格按照政 府采购流程进行</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采购执行率为 100%。严格执行政府采购 促进中小企业发展相关管理办法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2024 年本单位无符合专门面向中小企业采购的政府采购项目。 </w:t>
      </w:r>
    </w:p>
    <w:p w14:paraId="411A3451">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（二）部门预算项目绩效分析 </w:t>
      </w:r>
    </w:p>
    <w:p w14:paraId="17DB43AC">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常年项目绩效分析。该类项目总数 1 个</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涉及预算总金额 10 万元</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1—12 月预算执行总体进度为 100%</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其中：预算结余率大于 10%的项目共计 0 个。 </w:t>
      </w:r>
    </w:p>
    <w:p w14:paraId="43CAF394">
      <w:pPr>
        <w:pStyle w:val="8"/>
        <w:spacing w:before="93"/>
        <w:ind w:firstLine="621" w:firstLineChars="200"/>
        <w:rPr>
          <w:rFonts w:hint="default" w:ascii="Times New Roman" w:hAnsi="Times New Roman" w:cs="Times New Roman"/>
        </w:rPr>
      </w:pPr>
      <w:r>
        <w:rPr>
          <w:rFonts w:hint="default" w:ascii="Times New Roman" w:hAnsi="Times New Roman" w:eastAsia="Therese" w:cs="Times New Roman"/>
          <w:b/>
          <w:bCs/>
          <w:snapToGrid/>
          <w:color w:val="000000"/>
          <w:kern w:val="0"/>
          <w:sz w:val="31"/>
          <w:szCs w:val="31"/>
          <w:lang w:val="en-US" w:eastAsia="zh-CN" w:bidi="ar"/>
        </w:rPr>
        <w:t>1</w:t>
      </w:r>
      <w:r>
        <w:rPr>
          <w:rFonts w:hint="default" w:ascii="Times New Roman" w:hAnsi="Times New Roman" w:eastAsia="方正仿宋_GBK" w:cs="Times New Roman"/>
          <w:b/>
          <w:bCs/>
          <w:snapToGrid/>
          <w:color w:val="000000"/>
          <w:kern w:val="0"/>
          <w:sz w:val="31"/>
          <w:szCs w:val="31"/>
          <w:lang w:val="en-US" w:eastAsia="zh-CN" w:bidi="ar"/>
        </w:rPr>
        <w:t xml:space="preserve">、项目决策 </w:t>
      </w:r>
    </w:p>
    <w:p w14:paraId="55127B78">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从严从紧控制项目申报和预算安排</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非必要项目可压尽 压、应压尽压</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项目决策、目标设置符合我单位工作实际。 通过事前绩效评估为项目设立和预算安排提供重要参考依 据</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提高项目预算编制科学性、合理性。优化财政支出结构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从源头上防控财政资源配置的低效无效</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提高财政资源配置 效率和财政资金使用效益。 </w:t>
      </w:r>
    </w:p>
    <w:p w14:paraId="44F6EFAB">
      <w:pPr>
        <w:keepNext w:val="0"/>
        <w:keepLines w:val="0"/>
        <w:widowControl/>
        <w:numPr>
          <w:ilvl w:val="0"/>
          <w:numId w:val="5"/>
        </w:numPr>
        <w:suppressLineNumbers w:val="0"/>
        <w:ind w:firstLine="622" w:firstLineChars="200"/>
        <w:jc w:val="left"/>
        <w:rPr>
          <w:rFonts w:hint="default" w:ascii="Times New Roman" w:hAnsi="Times New Roman" w:eastAsia="方正仿宋_GBK" w:cs="Times New Roman"/>
          <w:b/>
          <w:bCs/>
          <w:snapToGrid/>
          <w:color w:val="000000"/>
          <w:kern w:val="0"/>
          <w:sz w:val="31"/>
          <w:szCs w:val="31"/>
          <w:lang w:val="en-US" w:eastAsia="zh-CN" w:bidi="ar"/>
        </w:rPr>
      </w:pPr>
      <w:r>
        <w:rPr>
          <w:rFonts w:hint="default" w:ascii="Times New Roman" w:hAnsi="Times New Roman" w:eastAsia="方正仿宋_GBK" w:cs="Times New Roman"/>
          <w:b/>
          <w:bCs/>
          <w:snapToGrid/>
          <w:color w:val="000000"/>
          <w:kern w:val="0"/>
          <w:sz w:val="31"/>
          <w:szCs w:val="31"/>
          <w:lang w:val="en-US" w:eastAsia="zh-CN" w:bidi="ar"/>
        </w:rPr>
        <w:t xml:space="preserve">项目执行 </w:t>
      </w:r>
    </w:p>
    <w:p w14:paraId="38AC21C4">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我单位项目按需预算</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项目按进度完成</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资金下达及时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支付及时</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完成较好。 </w:t>
      </w:r>
    </w:p>
    <w:p w14:paraId="33E75910">
      <w:pPr>
        <w:keepNext w:val="0"/>
        <w:keepLines w:val="0"/>
        <w:widowControl/>
        <w:suppressLineNumbers w:val="0"/>
        <w:ind w:firstLine="621" w:firstLineChars="200"/>
        <w:jc w:val="left"/>
        <w:rPr>
          <w:rFonts w:hint="default" w:ascii="Times New Roman" w:hAnsi="Times New Roman" w:cs="Times New Roman"/>
        </w:rPr>
      </w:pPr>
      <w:r>
        <w:rPr>
          <w:rFonts w:hint="default" w:ascii="Times New Roman" w:hAnsi="Times New Roman" w:eastAsia="Therese" w:cs="Times New Roman"/>
          <w:b/>
          <w:bCs/>
          <w:snapToGrid/>
          <w:color w:val="000000"/>
          <w:kern w:val="0"/>
          <w:sz w:val="31"/>
          <w:szCs w:val="31"/>
          <w:lang w:val="en-US" w:eastAsia="zh-CN" w:bidi="ar"/>
        </w:rPr>
        <w:t>3</w:t>
      </w:r>
      <w:r>
        <w:rPr>
          <w:rFonts w:hint="default" w:ascii="Times New Roman" w:hAnsi="Times New Roman" w:eastAsia="方正仿宋_GBK" w:cs="Times New Roman"/>
          <w:b/>
          <w:bCs/>
          <w:snapToGrid/>
          <w:color w:val="000000"/>
          <w:kern w:val="0"/>
          <w:sz w:val="31"/>
          <w:szCs w:val="31"/>
          <w:lang w:val="en-US" w:eastAsia="zh-CN" w:bidi="ar"/>
        </w:rPr>
        <w:t xml:space="preserve">、目标实现 </w:t>
      </w:r>
    </w:p>
    <w:p w14:paraId="56ED1DF2">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2024年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我单位项目已按进度完成</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且完成较好。没有安排政府性基金预算、国有资本经营预算</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没有债券资金和政府购买服务。 </w:t>
      </w:r>
    </w:p>
    <w:p w14:paraId="34A8C78C">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（三）绩效结果应用情况 </w:t>
      </w:r>
    </w:p>
    <w:p w14:paraId="0F824DFB">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通过绩效自评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单位全体职工都树立起了财政绩效评估 </w:t>
      </w:r>
    </w:p>
    <w:p w14:paraId="39513C5C">
      <w:pPr>
        <w:pStyle w:val="8"/>
        <w:spacing w:before="93"/>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意识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明白了预算编制和执行不仅仅是财务人员、财务部门 的事情</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单位所有人都是预算编制及执行的主体的理念深入 人心。在预算编制及执行中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广大职工均集思广益</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根据业 务开展需要</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严格对照各领域情况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逐项做出预算编制意见 建议</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确保预算全面、合理、精准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不留缺口和空项。在资 金使用和管理方面</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进一步强化资金统筹</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优化资金结构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 明确开支范围</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细化资金用途</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确保部门职责任务顺利完成。 按照县财政统一部署和具体要求</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在规定时间内</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在盐边县公众信息网公开 2024 年部门预算、决算情况和绩效自评报告</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并向社会主动公开了单位基本情况、财政资金安排情况及部门运行经费情况</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无不良影响和问题。 </w:t>
      </w:r>
    </w:p>
    <w:p w14:paraId="426C50B1">
      <w:pPr>
        <w:spacing w:line="600" w:lineRule="exact"/>
        <w:ind w:firstLine="640"/>
        <w:outlineLvl w:val="1"/>
        <w:rPr>
          <w:rStyle w:val="51"/>
          <w:rFonts w:hint="default" w:ascii="Times New Roman" w:hAnsi="Times New Roman" w:eastAsia="黑体" w:cs="Times New Roman"/>
          <w:b w:val="0"/>
          <w:color w:val="auto"/>
          <w:highlight w:val="none"/>
          <w:lang w:val="en-US" w:eastAsia="zh-CN"/>
        </w:rPr>
      </w:pPr>
    </w:p>
    <w:p w14:paraId="1B5240B9">
      <w:pPr>
        <w:spacing w:line="600" w:lineRule="exact"/>
        <w:ind w:firstLine="640"/>
        <w:outlineLvl w:val="1"/>
        <w:rPr>
          <w:rStyle w:val="51"/>
          <w:rFonts w:hint="default" w:ascii="Times New Roman" w:hAnsi="Times New Roman" w:eastAsia="黑体" w:cs="Times New Roman"/>
          <w:b w:val="0"/>
          <w:color w:val="auto"/>
          <w:highlight w:val="none"/>
        </w:rPr>
      </w:pPr>
      <w:r>
        <w:rPr>
          <w:rStyle w:val="51"/>
          <w:rFonts w:hint="default" w:ascii="Times New Roman" w:hAnsi="Times New Roman" w:eastAsia="黑体" w:cs="Times New Roman"/>
          <w:b w:val="0"/>
          <w:color w:val="auto"/>
          <w:highlight w:val="none"/>
          <w:lang w:val="en-US" w:eastAsia="zh-CN"/>
        </w:rPr>
        <w:t xml:space="preserve">四、评价结论及建议 </w:t>
      </w:r>
    </w:p>
    <w:p w14:paraId="11B9FD6D">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（一）评价结论 </w:t>
      </w:r>
    </w:p>
    <w:p w14:paraId="1339961D">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县委编办 2024 年财政资金预算编制及时认真</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预算支出执行合理合规</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资金管理使用规范严格</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保证了部门的正常运行和专项工作的正常开展</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达到预期绩效目标</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总体较为满意。自评分得分 99 分。 </w:t>
      </w:r>
    </w:p>
    <w:p w14:paraId="69348752">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（二）存在问题 </w:t>
      </w:r>
    </w:p>
    <w:p w14:paraId="529CB5AA">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1.绩效评价工作有待进一步加强。由于县委编办人员较少</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近期改革任务重</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导致业务股 室人员因忙业务而轻财政绩效评价工作参与</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财政绩效评价指标体系细化不精准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业务股室参与度不高。 </w:t>
      </w:r>
    </w:p>
    <w:p w14:paraId="115419FF">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2.财务人员业务水平有待进一步提升。财务软件更新快</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财政业务涉及知识范围广、要求高、时间急、任务重</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单位财务人员年龄偏大</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眼睛视力不好</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加上患有慢性基础疾病</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接受新知识</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掌握新本领的能力不足。 </w:t>
      </w:r>
    </w:p>
    <w:p w14:paraId="6181FBDC">
      <w:pPr>
        <w:spacing w:line="60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（三）改进建议 </w:t>
      </w:r>
    </w:p>
    <w:p w14:paraId="5BB05CE7">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1.加强全员财政法律法规的学习培训</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切实提高全体职 工对绩效评价工作的重视性和参与度。 </w:t>
      </w:r>
    </w:p>
    <w:p w14:paraId="1702EDD6">
      <w:pPr>
        <w:pStyle w:val="8"/>
        <w:spacing w:before="93"/>
        <w:ind w:firstLine="640" w:firstLineChars="200"/>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2.合理调整单位工作岗位布局</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加强财务工作新老衔接 </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传帮带</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过渡</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 xml:space="preserve">为提高单位财务工作质量切实提供人力保障。 </w:t>
      </w:r>
    </w:p>
    <w:p w14:paraId="6CCEA93D">
      <w:pPr>
        <w:spacing w:line="600" w:lineRule="exact"/>
        <w:ind w:firstLine="880" w:firstLineChars="200"/>
        <w:outlineLvl w:val="0"/>
        <w:rPr>
          <w:rFonts w:hint="default" w:ascii="Times New Roman" w:hAnsi="Times New Roman" w:eastAsia="方正仿宋_GBK" w:cs="Times New Roman"/>
          <w:color w:val="FF0000"/>
          <w:sz w:val="44"/>
          <w:szCs w:val="44"/>
          <w:highlight w:val="none"/>
          <w:lang w:val="en-US" w:eastAsia="en-US"/>
        </w:rPr>
      </w:pPr>
    </w:p>
    <w:p w14:paraId="0170E6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7C20976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1102755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65" w:name="_GoBack"/>
      <w:bookmarkEnd w:id="65"/>
      <w:bookmarkStart w:id="51" w:name="_Toc15396618"/>
    </w:p>
    <w:p w14:paraId="10263C02">
      <w:pPr>
        <w:widowControl/>
        <w:suppressAutoHyphens/>
        <w:bidi w:val="0"/>
        <w:adjustRightInd/>
        <w:snapToGrid/>
        <w:spacing w:after="0" w:afterLines="-2147483648" w:line="0" w:lineRule="atLeast"/>
        <w:jc w:val="center"/>
        <w:rPr>
          <w:rStyle w:val="50"/>
          <w:rFonts w:hint="default" w:ascii="Times New Roman" w:hAnsi="Times New Roman" w:eastAsia="方正小标宋_GBK" w:cs="Times New Roman"/>
          <w:snapToGrid/>
          <w:color w:val="auto"/>
          <w:sz w:val="44"/>
          <w:szCs w:val="44"/>
          <w:highlight w:val="none"/>
        </w:rPr>
      </w:pPr>
      <w:r>
        <w:rPr>
          <w:rStyle w:val="50"/>
          <w:rFonts w:hint="default" w:ascii="Times New Roman" w:hAnsi="Times New Roman" w:eastAsia="方正小标宋_GBK" w:cs="Times New Roman"/>
          <w:snapToGrid/>
          <w:color w:val="auto"/>
          <w:sz w:val="44"/>
          <w:szCs w:val="44"/>
          <w:highlight w:val="none"/>
        </w:rPr>
        <w:t>第五部分 附表</w:t>
      </w:r>
      <w:bookmarkEnd w:id="15"/>
      <w:bookmarkEnd w:id="51"/>
      <w:bookmarkStart w:id="52" w:name="_Toc15396619"/>
    </w:p>
    <w:p w14:paraId="2AEA4219">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6EEEDD81">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一、收入支出决算总表</w:t>
      </w:r>
      <w:bookmarkEnd w:id="52"/>
    </w:p>
    <w:p w14:paraId="0F54A27B">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3" w:name="_Toc15396620"/>
      <w:r>
        <w:rPr>
          <w:rFonts w:hint="default" w:ascii="Times New Roman" w:hAnsi="Times New Roman" w:eastAsia="方正仿宋_GBK" w:cs="Times New Roman"/>
          <w:snapToGrid/>
          <w:color w:val="000000"/>
          <w:kern w:val="0"/>
          <w:sz w:val="32"/>
          <w:szCs w:val="32"/>
          <w:shd w:val="clear" w:color="auto" w:fill="FFFFFF"/>
          <w:lang w:val="en-US" w:eastAsia="zh-CN" w:bidi="ar-SA"/>
        </w:rPr>
        <w:t>二、收入决算表</w:t>
      </w:r>
      <w:bookmarkEnd w:id="53"/>
    </w:p>
    <w:p w14:paraId="4216685C">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4" w:name="_Toc15396621"/>
      <w:r>
        <w:rPr>
          <w:rFonts w:hint="default" w:ascii="Times New Roman" w:hAnsi="Times New Roman" w:eastAsia="方正仿宋_GBK" w:cs="Times New Roman"/>
          <w:snapToGrid/>
          <w:color w:val="000000"/>
          <w:kern w:val="0"/>
          <w:sz w:val="32"/>
          <w:szCs w:val="32"/>
          <w:shd w:val="clear" w:color="auto" w:fill="FFFFFF"/>
          <w:lang w:val="en-US" w:eastAsia="zh-CN" w:bidi="ar-SA"/>
        </w:rPr>
        <w:t>三、支出决算表</w:t>
      </w:r>
      <w:bookmarkEnd w:id="54"/>
    </w:p>
    <w:p w14:paraId="61528CCD">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5" w:name="_Toc15396622"/>
      <w:r>
        <w:rPr>
          <w:rFonts w:hint="default" w:ascii="Times New Roman" w:hAnsi="Times New Roman" w:eastAsia="方正仿宋_GBK" w:cs="Times New Roman"/>
          <w:snapToGrid/>
          <w:color w:val="000000"/>
          <w:kern w:val="0"/>
          <w:sz w:val="32"/>
          <w:szCs w:val="32"/>
          <w:shd w:val="clear" w:color="auto" w:fill="FFFFFF"/>
          <w:lang w:val="en-US" w:eastAsia="zh-CN" w:bidi="ar-SA"/>
        </w:rPr>
        <w:t>四、财政拨款收入支出决算总表</w:t>
      </w:r>
      <w:bookmarkEnd w:id="55"/>
    </w:p>
    <w:p w14:paraId="150BCB77">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6" w:name="_Toc15396623"/>
      <w:r>
        <w:rPr>
          <w:rFonts w:hint="default" w:ascii="Times New Roman" w:hAnsi="Times New Roman" w:eastAsia="方正仿宋_GBK" w:cs="Times New Roman"/>
          <w:snapToGrid/>
          <w:color w:val="000000"/>
          <w:kern w:val="0"/>
          <w:sz w:val="32"/>
          <w:szCs w:val="32"/>
          <w:shd w:val="clear" w:color="auto" w:fill="FFFFFF"/>
          <w:lang w:val="en-US" w:eastAsia="zh-CN" w:bidi="ar-SA"/>
        </w:rPr>
        <w:t>五、财政拨款支出决算明细表</w:t>
      </w:r>
      <w:bookmarkEnd w:id="56"/>
      <w:bookmarkStart w:id="57" w:name="_Toc15396624"/>
    </w:p>
    <w:p w14:paraId="7541B1DA">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r>
        <w:rPr>
          <w:rFonts w:hint="default" w:ascii="Times New Roman" w:hAnsi="Times New Roman" w:eastAsia="方正仿宋_GBK" w:cs="Times New Roman"/>
          <w:snapToGrid/>
          <w:color w:val="000000"/>
          <w:kern w:val="0"/>
          <w:sz w:val="32"/>
          <w:szCs w:val="32"/>
          <w:shd w:val="clear" w:color="auto" w:fill="FFFFFF"/>
          <w:lang w:val="en-US" w:eastAsia="zh-CN" w:bidi="ar-SA"/>
        </w:rPr>
        <w:t>六、一般公共预算财政拨款支出决算表</w:t>
      </w:r>
      <w:bookmarkEnd w:id="57"/>
    </w:p>
    <w:p w14:paraId="55946AF4">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8" w:name="_Toc15396625"/>
      <w:r>
        <w:rPr>
          <w:rFonts w:hint="default" w:ascii="Times New Roman" w:hAnsi="Times New Roman" w:eastAsia="方正仿宋_GBK" w:cs="Times New Roman"/>
          <w:snapToGrid/>
          <w:color w:val="000000"/>
          <w:kern w:val="0"/>
          <w:sz w:val="32"/>
          <w:szCs w:val="32"/>
          <w:shd w:val="clear" w:color="auto" w:fill="FFFFFF"/>
          <w:lang w:val="en-US" w:eastAsia="zh-CN" w:bidi="ar-SA"/>
        </w:rPr>
        <w:t>七、一般公共预算财政拨款支出决算明细表</w:t>
      </w:r>
      <w:bookmarkEnd w:id="58"/>
    </w:p>
    <w:p w14:paraId="19967B09">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59" w:name="_Toc15396626"/>
      <w:r>
        <w:rPr>
          <w:rFonts w:hint="default" w:ascii="Times New Roman" w:hAnsi="Times New Roman" w:eastAsia="方正仿宋_GBK" w:cs="Times New Roman"/>
          <w:snapToGrid/>
          <w:color w:val="000000"/>
          <w:kern w:val="0"/>
          <w:sz w:val="32"/>
          <w:szCs w:val="32"/>
          <w:shd w:val="clear" w:color="auto" w:fill="FFFFFF"/>
          <w:lang w:val="en-US" w:eastAsia="zh-CN" w:bidi="ar-SA"/>
        </w:rPr>
        <w:t>八、一般公共预算财政拨款基本支出决算表</w:t>
      </w:r>
      <w:bookmarkEnd w:id="59"/>
    </w:p>
    <w:p w14:paraId="35F6B620">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60" w:name="_Toc15396627"/>
      <w:r>
        <w:rPr>
          <w:rFonts w:hint="default" w:ascii="Times New Roman" w:hAnsi="Times New Roman" w:eastAsia="方正仿宋_GBK" w:cs="Times New Roman"/>
          <w:snapToGrid/>
          <w:color w:val="000000"/>
          <w:kern w:val="0"/>
          <w:sz w:val="32"/>
          <w:szCs w:val="32"/>
          <w:shd w:val="clear" w:color="auto" w:fill="FFFFFF"/>
          <w:lang w:val="en-US" w:eastAsia="zh-CN" w:bidi="ar-SA"/>
        </w:rPr>
        <w:t>九、一般公共预算财政拨款项目支出决算表</w:t>
      </w:r>
      <w:bookmarkEnd w:id="60"/>
    </w:p>
    <w:p w14:paraId="6D219853">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61" w:name="_Toc15396628"/>
      <w:r>
        <w:rPr>
          <w:rFonts w:hint="default" w:ascii="Times New Roman" w:hAnsi="Times New Roman" w:eastAsia="方正仿宋_GBK" w:cs="Times New Roman"/>
          <w:snapToGrid/>
          <w:color w:val="000000"/>
          <w:kern w:val="0"/>
          <w:sz w:val="32"/>
          <w:szCs w:val="32"/>
          <w:shd w:val="clear" w:color="auto" w:fill="FFFFFF"/>
          <w:lang w:val="en-US" w:eastAsia="zh-CN" w:bidi="ar-SA"/>
        </w:rPr>
        <w:t>十、</w:t>
      </w:r>
      <w:bookmarkEnd w:id="61"/>
      <w:r>
        <w:rPr>
          <w:rFonts w:hint="default" w:ascii="Times New Roman" w:hAnsi="Times New Roman" w:eastAsia="方正仿宋_GBK" w:cs="Times New Roman"/>
          <w:snapToGrid/>
          <w:color w:val="000000"/>
          <w:kern w:val="0"/>
          <w:sz w:val="32"/>
          <w:szCs w:val="32"/>
          <w:shd w:val="clear" w:color="auto" w:fill="FFFFFF"/>
          <w:lang w:val="en-US" w:eastAsia="zh-CN" w:bidi="ar-SA"/>
        </w:rPr>
        <w:t>政府性基金预算财政拨款收入支出决算表</w:t>
      </w:r>
    </w:p>
    <w:p w14:paraId="197891AC">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62" w:name="_Toc15396629"/>
      <w:r>
        <w:rPr>
          <w:rFonts w:hint="default" w:ascii="Times New Roman" w:hAnsi="Times New Roman" w:eastAsia="方正仿宋_GBK" w:cs="Times New Roman"/>
          <w:snapToGrid/>
          <w:color w:val="000000"/>
          <w:kern w:val="0"/>
          <w:sz w:val="32"/>
          <w:szCs w:val="32"/>
          <w:shd w:val="clear" w:color="auto" w:fill="FFFFFF"/>
          <w:lang w:val="en-US" w:eastAsia="zh-CN" w:bidi="ar-SA"/>
        </w:rPr>
        <w:t>十一、</w:t>
      </w:r>
      <w:bookmarkEnd w:id="62"/>
      <w:r>
        <w:rPr>
          <w:rFonts w:hint="default" w:ascii="Times New Roman" w:hAnsi="Times New Roman" w:eastAsia="方正仿宋_GBK" w:cs="Times New Roman"/>
          <w:snapToGrid/>
          <w:color w:val="000000"/>
          <w:kern w:val="0"/>
          <w:sz w:val="32"/>
          <w:szCs w:val="32"/>
          <w:shd w:val="clear" w:color="auto" w:fill="FFFFFF"/>
          <w:lang w:val="en-US" w:eastAsia="zh-CN" w:bidi="ar-SA"/>
        </w:rPr>
        <w:t>国有资本经营预算财政拨款收入支出决算表</w:t>
      </w:r>
    </w:p>
    <w:p w14:paraId="316E397E">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63" w:name="_Toc15396630"/>
      <w:r>
        <w:rPr>
          <w:rFonts w:hint="default" w:ascii="Times New Roman" w:hAnsi="Times New Roman" w:eastAsia="方正仿宋_GBK" w:cs="Times New Roman"/>
          <w:snapToGrid/>
          <w:color w:val="000000"/>
          <w:kern w:val="0"/>
          <w:sz w:val="32"/>
          <w:szCs w:val="32"/>
          <w:shd w:val="clear" w:color="auto" w:fill="FFFFFF"/>
          <w:lang w:val="en-US" w:eastAsia="zh-CN" w:bidi="ar-SA"/>
        </w:rPr>
        <w:t>十二、</w:t>
      </w:r>
      <w:bookmarkEnd w:id="63"/>
      <w:r>
        <w:rPr>
          <w:rFonts w:hint="default" w:ascii="Times New Roman" w:hAnsi="Times New Roman" w:eastAsia="方正仿宋_GBK" w:cs="Times New Roman"/>
          <w:snapToGrid/>
          <w:color w:val="000000"/>
          <w:kern w:val="0"/>
          <w:sz w:val="32"/>
          <w:szCs w:val="32"/>
          <w:shd w:val="clear" w:color="auto" w:fill="FFFFFF"/>
          <w:lang w:val="en-US" w:eastAsia="zh-CN" w:bidi="ar-SA"/>
        </w:rPr>
        <w:t>国有资本经营预算财政拨款支出决算表</w:t>
      </w:r>
    </w:p>
    <w:p w14:paraId="48B54544">
      <w:pPr>
        <w:pStyle w:val="28"/>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bidi="ar-SA"/>
        </w:rPr>
      </w:pPr>
      <w:bookmarkStart w:id="64" w:name="_Toc15396631"/>
      <w:r>
        <w:rPr>
          <w:rFonts w:hint="default" w:ascii="Times New Roman" w:hAnsi="Times New Roman" w:eastAsia="方正仿宋_GBK" w:cs="Times New Roman"/>
          <w:snapToGrid/>
          <w:color w:val="000000"/>
          <w:kern w:val="0"/>
          <w:sz w:val="32"/>
          <w:szCs w:val="32"/>
          <w:shd w:val="clear" w:color="auto" w:fill="FFFFFF"/>
          <w:lang w:val="en-US" w:eastAsia="zh-CN" w:bidi="ar-SA"/>
        </w:rPr>
        <w:t>十三、</w:t>
      </w:r>
      <w:bookmarkEnd w:id="64"/>
      <w:r>
        <w:rPr>
          <w:rFonts w:hint="default" w:ascii="Times New Roman" w:hAnsi="Times New Roman" w:eastAsia="方正仿宋_GBK" w:cs="Times New Roman"/>
          <w:snapToGrid/>
          <w:color w:val="000000"/>
          <w:kern w:val="0"/>
          <w:sz w:val="32"/>
          <w:szCs w:val="32"/>
          <w:shd w:val="clear" w:color="auto" w:fill="FFFFFF"/>
          <w:lang w:val="en-US" w:eastAsia="zh-CN" w:bidi="ar-SA"/>
        </w:rPr>
        <w:t>财政拨款</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三公</w:t>
      </w:r>
      <w:r>
        <w:rPr>
          <w:rFonts w:hint="eastAsia" w:ascii="Times New Roman" w:hAnsi="Times New Roman" w:eastAsia="方正仿宋_GBK" w:cs="Times New Roman"/>
          <w:snapToGrid/>
          <w:color w:val="000000"/>
          <w:kern w:val="0"/>
          <w:sz w:val="32"/>
          <w:szCs w:val="32"/>
          <w:shd w:val="clear" w:color="auto" w:fill="FFFFFF"/>
          <w:lang w:val="en-US" w:eastAsia="zh-CN" w:bidi="ar-SA"/>
        </w:rPr>
        <w:t>”</w:t>
      </w:r>
      <w:r>
        <w:rPr>
          <w:rFonts w:hint="default" w:ascii="Times New Roman" w:hAnsi="Times New Roman" w:eastAsia="方正仿宋_GBK" w:cs="Times New Roman"/>
          <w:snapToGrid/>
          <w:color w:val="000000"/>
          <w:kern w:val="0"/>
          <w:sz w:val="32"/>
          <w:szCs w:val="32"/>
          <w:shd w:val="clear" w:color="auto" w:fill="FFFFFF"/>
          <w:lang w:val="en-US" w:eastAsia="zh-CN" w:bidi="ar-SA"/>
        </w:rPr>
        <w:t>经费支出决算表</w:t>
      </w:r>
    </w:p>
    <w:p w14:paraId="05473F79">
      <w:pPr>
        <w:rPr>
          <w:rFonts w:hint="default" w:ascii="Times New Roman" w:hAnsi="Times New Roman" w:eastAsia="方正仿宋_GBK" w:cs="Times New Roman"/>
          <w:snapToGrid/>
          <w:color w:val="000000"/>
          <w:kern w:val="0"/>
          <w:sz w:val="32"/>
          <w:szCs w:val="32"/>
          <w:shd w:val="clear" w:color="auto" w:fill="FFFFFF"/>
          <w:lang w:val="en-US" w:eastAsia="zh-CN" w:bidi="ar-SA"/>
        </w:rPr>
      </w:pP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147E7-E1CB-4075-BB83-FBAFA65794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55CC92F6-36F3-47FD-BDC0-09A8A05709E5}"/>
  </w:font>
  <w:font w:name="仿宋">
    <w:panose1 w:val="02010609060101010101"/>
    <w:charset w:val="86"/>
    <w:family w:val="modern"/>
    <w:pitch w:val="default"/>
    <w:sig w:usb0="800002BF" w:usb1="38CF7CFA" w:usb2="00000016" w:usb3="00000000" w:csb0="00040001" w:csb1="00000000"/>
    <w:embedRegular r:id="rId3" w:fontKey="{C3DC1C71-44BA-47D2-A43D-FAA2E2C47D94}"/>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ADA66EEC-086D-48DD-9FC6-D6002D13B443}"/>
  </w:font>
  <w:font w:name="方正小标宋_GBK">
    <w:panose1 w:val="03000509000000000000"/>
    <w:charset w:val="86"/>
    <w:family w:val="script"/>
    <w:pitch w:val="default"/>
    <w:sig w:usb0="00000001" w:usb1="080E0000" w:usb2="00000000" w:usb3="00000000" w:csb0="00040000" w:csb1="00000000"/>
    <w:embedRegular r:id="rId5" w:fontKey="{6499B83C-E73B-4B9E-AE5E-02C4B6967586}"/>
  </w:font>
  <w:font w:name="仿宋_GB2312">
    <w:panose1 w:val="02010609030101010101"/>
    <w:charset w:val="86"/>
    <w:family w:val="modern"/>
    <w:pitch w:val="default"/>
    <w:sig w:usb0="00000001" w:usb1="080E0000" w:usb2="00000000" w:usb3="00000000" w:csb0="00040000" w:csb1="00000000"/>
    <w:embedRegular r:id="rId6" w:fontKey="{840E57FB-C36D-4F8D-8455-9280E493F6B5}"/>
  </w:font>
  <w:font w:name="方正仿宋_GBK">
    <w:panose1 w:val="03000509000000000000"/>
    <w:charset w:val="86"/>
    <w:family w:val="auto"/>
    <w:pitch w:val="default"/>
    <w:sig w:usb0="00000001" w:usb1="080E0000" w:usb2="00000000" w:usb3="00000000" w:csb0="00040000" w:csb1="00000000"/>
    <w:embedRegular r:id="rId7" w:fontKey="{7ED2BA66-6770-4CD0-BEC4-AC91094F65FD}"/>
  </w:font>
  <w:font w:name="楷体_GB2312">
    <w:altName w:val="楷体"/>
    <w:panose1 w:val="02010609030101010101"/>
    <w:charset w:val="86"/>
    <w:family w:val="auto"/>
    <w:pitch w:val="default"/>
    <w:sig w:usb0="00000000" w:usb1="00000000" w:usb2="00000000" w:usb3="00000000" w:csb0="00040000" w:csb1="00000000"/>
    <w:embedRegular r:id="rId8" w:fontKey="{29C4CC39-B4A4-4B29-8684-35CD729FEAE0}"/>
  </w:font>
  <w:font w:name="楷体">
    <w:panose1 w:val="02010609060101010101"/>
    <w:charset w:val="86"/>
    <w:family w:val="auto"/>
    <w:pitch w:val="default"/>
    <w:sig w:usb0="800002BF" w:usb1="38CF7CFA" w:usb2="00000016" w:usb3="00000000" w:csb0="00040001" w:csb1="00000000"/>
  </w:font>
  <w:font w:name="Therese">
    <w:panose1 w:val="00000500000000000000"/>
    <w:charset w:val="00"/>
    <w:family w:val="auto"/>
    <w:pitch w:val="default"/>
    <w:sig w:usb0="20000007" w:usb1="00000000" w:usb2="00000000" w:usb3="00000000" w:csb0="00000193" w:csb1="00000000"/>
    <w:embedRegular r:id="rId9" w:fontKey="{1712693F-1159-4809-B861-A7999DB0BB7C}"/>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B58E">
    <w:pPr>
      <w:pStyle w:val="22"/>
      <w:jc w:val="center"/>
    </w:pPr>
  </w:p>
  <w:p w14:paraId="22448C8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7F20">
    <w:pPr>
      <w:pStyle w:val="22"/>
      <w:jc w:val="center"/>
    </w:pPr>
  </w:p>
  <w:p w14:paraId="3375CA5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EC6D">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8B28">
    <w:pPr>
      <w:pStyle w:val="22"/>
      <w:jc w:val="center"/>
    </w:pPr>
  </w:p>
  <w:p w14:paraId="703268E3">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C48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7EFD">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7AF6">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617AF6">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50A58D8">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71CF">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DCDC1"/>
    <w:multiLevelType w:val="singleLevel"/>
    <w:tmpl w:val="CF9DCDC1"/>
    <w:lvl w:ilvl="0" w:tentative="0">
      <w:start w:val="1"/>
      <w:numFmt w:val="chineseCounting"/>
      <w:suff w:val="nothing"/>
      <w:lvlText w:val="%1、"/>
      <w:lvlJc w:val="left"/>
      <w:rPr>
        <w:rFonts w:hint="eastAsia"/>
      </w:rPr>
    </w:lvl>
  </w:abstractNum>
  <w:abstractNum w:abstractNumId="1">
    <w:nsid w:val="D02692CD"/>
    <w:multiLevelType w:val="singleLevel"/>
    <w:tmpl w:val="D02692CD"/>
    <w:lvl w:ilvl="0" w:tentative="0">
      <w:start w:val="2"/>
      <w:numFmt w:val="decimal"/>
      <w:suff w:val="nothing"/>
      <w:lvlText w:val="%1、"/>
      <w:lvlJc w:val="left"/>
    </w:lvl>
  </w:abstractNum>
  <w:abstractNum w:abstractNumId="2">
    <w:nsid w:val="E0093F06"/>
    <w:multiLevelType w:val="singleLevel"/>
    <w:tmpl w:val="E0093F06"/>
    <w:lvl w:ilvl="0" w:tentative="0">
      <w:start w:val="1"/>
      <w:numFmt w:val="decimal"/>
      <w:lvlText w:val="%1."/>
      <w:lvlJc w:val="left"/>
      <w:pPr>
        <w:tabs>
          <w:tab w:val="left" w:pos="312"/>
        </w:tabs>
        <w:ind w:left="-10"/>
      </w:pPr>
    </w:lvl>
  </w:abstractNum>
  <w:abstractNum w:abstractNumId="3">
    <w:nsid w:val="322750CA"/>
    <w:multiLevelType w:val="singleLevel"/>
    <w:tmpl w:val="322750CA"/>
    <w:lvl w:ilvl="0" w:tentative="0">
      <w:start w:val="9"/>
      <w:numFmt w:val="chineseCounting"/>
      <w:suff w:val="nothing"/>
      <w:lvlText w:val="%1、"/>
      <w:lvlJc w:val="left"/>
      <w:rPr>
        <w:rFonts w:hint="eastAsia"/>
      </w:rPr>
    </w:lvl>
  </w:abstractNum>
  <w:abstractNum w:abstractNumId="4">
    <w:nsid w:val="3E270DCF"/>
    <w:multiLevelType w:val="multilevel"/>
    <w:tmpl w:val="3E270DCF"/>
    <w:lvl w:ilvl="0" w:tentative="0">
      <w:start w:val="1"/>
      <w:numFmt w:val="decimal"/>
      <w:pStyle w:val="3"/>
      <w:suff w:val="space"/>
      <w:lvlText w:val="%1."/>
      <w:lvlJc w:val="left"/>
      <w:pPr>
        <w:ind w:left="0" w:leftChars="0" w:firstLine="0" w:firstLineChars="0"/>
      </w:pPr>
      <w:rPr>
        <w:rFonts w:hint="default" w:ascii="微软雅黑" w:hAnsi="微软雅黑" w:eastAsia="微软雅黑"/>
      </w:rPr>
    </w:lvl>
    <w:lvl w:ilvl="1" w:tentative="0">
      <w:start w:val="1"/>
      <w:numFmt w:val="decimal"/>
      <w:pStyle w:val="4"/>
      <w:suff w:val="space"/>
      <w:lvlText w:val="%1.%2."/>
      <w:lvlJc w:val="left"/>
      <w:pPr>
        <w:ind w:left="0" w:leftChars="0" w:firstLine="0" w:firstLineChars="0"/>
      </w:pPr>
      <w:rPr>
        <w:rFonts w:hint="default" w:ascii="微软雅黑" w:hAnsi="微软雅黑" w:eastAsia="微软雅黑"/>
      </w:rPr>
    </w:lvl>
    <w:lvl w:ilvl="2" w:tentative="0">
      <w:start w:val="1"/>
      <w:numFmt w:val="decimal"/>
      <w:pStyle w:val="5"/>
      <w:suff w:val="space"/>
      <w:lvlText w:val="%1.%2.%3."/>
      <w:lvlJc w:val="left"/>
      <w:pPr>
        <w:ind w:left="0" w:leftChars="0" w:firstLine="0" w:firstLineChars="0"/>
      </w:pPr>
      <w:rPr>
        <w:rFonts w:hint="default" w:ascii="微软雅黑" w:hAnsi="微软雅黑" w:eastAsia="微软雅黑"/>
      </w:rPr>
    </w:lvl>
    <w:lvl w:ilvl="3" w:tentative="0">
      <w:start w:val="1"/>
      <w:numFmt w:val="decimal"/>
      <w:pStyle w:val="6"/>
      <w:suff w:val="space"/>
      <w:lvlText w:val="%1.%2.%3.%4."/>
      <w:lvlJc w:val="left"/>
      <w:pPr>
        <w:ind w:left="0" w:leftChars="0" w:firstLine="0" w:firstLineChars="0"/>
      </w:pPr>
      <w:rPr>
        <w:rFonts w:hint="default" w:ascii="微软雅黑" w:hAnsi="微软雅黑" w:eastAsia="微软雅黑"/>
      </w:rPr>
    </w:lvl>
    <w:lvl w:ilvl="4" w:tentative="0">
      <w:start w:val="1"/>
      <w:numFmt w:val="decimal"/>
      <w:pStyle w:val="7"/>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9"/>
      <w:suff w:val="space"/>
      <w:lvlText w:val="%1.%2.%3.%4.%5.%6."/>
      <w:lvlJc w:val="left"/>
      <w:pPr>
        <w:ind w:left="0" w:leftChars="0" w:firstLine="0" w:firstLineChars="0"/>
      </w:pPr>
      <w:rPr>
        <w:rFonts w:hint="default"/>
      </w:rPr>
    </w:lvl>
    <w:lvl w:ilvl="6" w:tentative="0">
      <w:start w:val="1"/>
      <w:numFmt w:val="decimal"/>
      <w:pStyle w:val="10"/>
      <w:lvlText w:val="%1.%2.%3.%4.%5.%6.%7."/>
      <w:lvlJc w:val="left"/>
      <w:pPr>
        <w:tabs>
          <w:tab w:val="left" w:pos="0"/>
        </w:tabs>
        <w:ind w:left="0" w:leftChars="0" w:firstLine="0" w:firstLineChars="0"/>
      </w:pPr>
      <w:rPr>
        <w:rFonts w:hint="default"/>
      </w:rPr>
    </w:lvl>
    <w:lvl w:ilvl="7" w:tentative="0">
      <w:start w:val="1"/>
      <w:numFmt w:val="decimal"/>
      <w:pStyle w:val="11"/>
      <w:suff w:val="space"/>
      <w:lvlText w:val="%1.%2.%3.%4.%5.%6.%7.%8."/>
      <w:lvlJc w:val="left"/>
      <w:pPr>
        <w:ind w:left="0" w:leftChars="0" w:firstLine="0" w:firstLineChars="0"/>
      </w:pPr>
      <w:rPr>
        <w:rFonts w:hint="default"/>
      </w:rPr>
    </w:lvl>
    <w:lvl w:ilvl="8" w:tentative="0">
      <w:start w:val="1"/>
      <w:numFmt w:val="decimal"/>
      <w:pStyle w:val="12"/>
      <w:lvlText w:val="%1.%2.%3.%4.%5.%6.%7.%8.%9."/>
      <w:lvlJc w:val="left"/>
      <w:pPr>
        <w:tabs>
          <w:tab w:val="left" w:pos="0"/>
        </w:tabs>
        <w:ind w:left="0" w:leftChars="0" w:firstLine="0" w:firstLineChars="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613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4C0"/>
    <w:rsid w:val="015975B8"/>
    <w:rsid w:val="026C06D6"/>
    <w:rsid w:val="02FEBE30"/>
    <w:rsid w:val="03006516"/>
    <w:rsid w:val="04916F1E"/>
    <w:rsid w:val="04AC394C"/>
    <w:rsid w:val="05595CE0"/>
    <w:rsid w:val="061E35DE"/>
    <w:rsid w:val="062749A5"/>
    <w:rsid w:val="0630247F"/>
    <w:rsid w:val="066E0107"/>
    <w:rsid w:val="0708176C"/>
    <w:rsid w:val="072639A0"/>
    <w:rsid w:val="07996F6E"/>
    <w:rsid w:val="07DFD8BA"/>
    <w:rsid w:val="082E7F45"/>
    <w:rsid w:val="089353B6"/>
    <w:rsid w:val="0903341B"/>
    <w:rsid w:val="09867E8F"/>
    <w:rsid w:val="09DB4F16"/>
    <w:rsid w:val="0A2032A3"/>
    <w:rsid w:val="0A805ABD"/>
    <w:rsid w:val="0CA8290A"/>
    <w:rsid w:val="0D35B1ED"/>
    <w:rsid w:val="0E254B6B"/>
    <w:rsid w:val="0EF6634E"/>
    <w:rsid w:val="0F98263C"/>
    <w:rsid w:val="10045CAD"/>
    <w:rsid w:val="101860EC"/>
    <w:rsid w:val="101F47CC"/>
    <w:rsid w:val="10C055FF"/>
    <w:rsid w:val="10E16B8A"/>
    <w:rsid w:val="11694EBD"/>
    <w:rsid w:val="11772AA4"/>
    <w:rsid w:val="118107EC"/>
    <w:rsid w:val="11812847"/>
    <w:rsid w:val="11895257"/>
    <w:rsid w:val="11F12DFD"/>
    <w:rsid w:val="12130FC5"/>
    <w:rsid w:val="12E24EE2"/>
    <w:rsid w:val="13474D18"/>
    <w:rsid w:val="13914897"/>
    <w:rsid w:val="13D50BC4"/>
    <w:rsid w:val="143D057B"/>
    <w:rsid w:val="14560A13"/>
    <w:rsid w:val="14AA5F0C"/>
    <w:rsid w:val="14B17F78"/>
    <w:rsid w:val="165E0673"/>
    <w:rsid w:val="16B831D5"/>
    <w:rsid w:val="16BB723D"/>
    <w:rsid w:val="171001C9"/>
    <w:rsid w:val="17771FF6"/>
    <w:rsid w:val="17E50567"/>
    <w:rsid w:val="18351C0E"/>
    <w:rsid w:val="186504BB"/>
    <w:rsid w:val="19A445FC"/>
    <w:rsid w:val="19CE05F3"/>
    <w:rsid w:val="1AD03EF7"/>
    <w:rsid w:val="1AE36497"/>
    <w:rsid w:val="1B213295"/>
    <w:rsid w:val="1BE8440E"/>
    <w:rsid w:val="1D085BCA"/>
    <w:rsid w:val="1D155CEE"/>
    <w:rsid w:val="1D1638FE"/>
    <w:rsid w:val="1D2B7B0B"/>
    <w:rsid w:val="1E1265D5"/>
    <w:rsid w:val="1E312DEB"/>
    <w:rsid w:val="1E4C1AE7"/>
    <w:rsid w:val="1E740ACF"/>
    <w:rsid w:val="1E805C34"/>
    <w:rsid w:val="1ED77163"/>
    <w:rsid w:val="1EF76329"/>
    <w:rsid w:val="1F095C2A"/>
    <w:rsid w:val="1FF35744"/>
    <w:rsid w:val="1FF53979"/>
    <w:rsid w:val="1FF6BC77"/>
    <w:rsid w:val="202076CF"/>
    <w:rsid w:val="208E012D"/>
    <w:rsid w:val="2186353C"/>
    <w:rsid w:val="21F52495"/>
    <w:rsid w:val="22673393"/>
    <w:rsid w:val="23860B96"/>
    <w:rsid w:val="23A91789"/>
    <w:rsid w:val="23AA2EDB"/>
    <w:rsid w:val="23EC55B2"/>
    <w:rsid w:val="23F238BF"/>
    <w:rsid w:val="23FD5F3B"/>
    <w:rsid w:val="240371BF"/>
    <w:rsid w:val="244F3473"/>
    <w:rsid w:val="24C97D99"/>
    <w:rsid w:val="252B7ACB"/>
    <w:rsid w:val="25A718F0"/>
    <w:rsid w:val="25BB59F6"/>
    <w:rsid w:val="260F557C"/>
    <w:rsid w:val="26970054"/>
    <w:rsid w:val="281408E2"/>
    <w:rsid w:val="281A3E82"/>
    <w:rsid w:val="29FD04D3"/>
    <w:rsid w:val="2AF335D1"/>
    <w:rsid w:val="2BFF7BC6"/>
    <w:rsid w:val="2C8A61B5"/>
    <w:rsid w:val="2DF04E50"/>
    <w:rsid w:val="2E586DFA"/>
    <w:rsid w:val="2EBA0CEE"/>
    <w:rsid w:val="2F040D46"/>
    <w:rsid w:val="2F6B035B"/>
    <w:rsid w:val="2FAE5751"/>
    <w:rsid w:val="2FB1A395"/>
    <w:rsid w:val="2FD9A7D8"/>
    <w:rsid w:val="2FDBF714"/>
    <w:rsid w:val="30890DB9"/>
    <w:rsid w:val="309D14D3"/>
    <w:rsid w:val="30AB6865"/>
    <w:rsid w:val="319F7F4E"/>
    <w:rsid w:val="31CF2D03"/>
    <w:rsid w:val="32BD1EF1"/>
    <w:rsid w:val="3304709D"/>
    <w:rsid w:val="33835B53"/>
    <w:rsid w:val="338B248E"/>
    <w:rsid w:val="33A773CB"/>
    <w:rsid w:val="33AE4708"/>
    <w:rsid w:val="349D6851"/>
    <w:rsid w:val="351D43AC"/>
    <w:rsid w:val="35586B6B"/>
    <w:rsid w:val="357D65D2"/>
    <w:rsid w:val="35D42696"/>
    <w:rsid w:val="36683C1F"/>
    <w:rsid w:val="36AA5135"/>
    <w:rsid w:val="36BE0DA7"/>
    <w:rsid w:val="376B6AA6"/>
    <w:rsid w:val="376D39B2"/>
    <w:rsid w:val="37E16F03"/>
    <w:rsid w:val="37F53A3B"/>
    <w:rsid w:val="389B6C89"/>
    <w:rsid w:val="38B8629F"/>
    <w:rsid w:val="38D469F0"/>
    <w:rsid w:val="3951224F"/>
    <w:rsid w:val="39627CCD"/>
    <w:rsid w:val="397BAF1F"/>
    <w:rsid w:val="3A0D2506"/>
    <w:rsid w:val="3AB79AF3"/>
    <w:rsid w:val="3AE834C0"/>
    <w:rsid w:val="3B0D16AA"/>
    <w:rsid w:val="3B7EF35A"/>
    <w:rsid w:val="3B9FDB6C"/>
    <w:rsid w:val="3BF5BC2F"/>
    <w:rsid w:val="3CA50C5B"/>
    <w:rsid w:val="3CD70CBD"/>
    <w:rsid w:val="3CEBA265"/>
    <w:rsid w:val="3D98207C"/>
    <w:rsid w:val="3DEE7CF3"/>
    <w:rsid w:val="3E040E8B"/>
    <w:rsid w:val="3E67468B"/>
    <w:rsid w:val="3E740A63"/>
    <w:rsid w:val="3E78745D"/>
    <w:rsid w:val="3EE17838"/>
    <w:rsid w:val="3F073ADC"/>
    <w:rsid w:val="3F55381A"/>
    <w:rsid w:val="3F5D1D6B"/>
    <w:rsid w:val="3F7F7599"/>
    <w:rsid w:val="3FF4CAE0"/>
    <w:rsid w:val="3FF7B227"/>
    <w:rsid w:val="404B17A6"/>
    <w:rsid w:val="40A47108"/>
    <w:rsid w:val="41E73751"/>
    <w:rsid w:val="44E268DA"/>
    <w:rsid w:val="450D13D7"/>
    <w:rsid w:val="45506656"/>
    <w:rsid w:val="47BE4F54"/>
    <w:rsid w:val="47E56984"/>
    <w:rsid w:val="47ED3A8B"/>
    <w:rsid w:val="480C5CBF"/>
    <w:rsid w:val="486A6C7A"/>
    <w:rsid w:val="48733F90"/>
    <w:rsid w:val="491237A9"/>
    <w:rsid w:val="49EC224C"/>
    <w:rsid w:val="4A627F82"/>
    <w:rsid w:val="4B0051C2"/>
    <w:rsid w:val="4B0E749A"/>
    <w:rsid w:val="4B2477C4"/>
    <w:rsid w:val="4B4323A3"/>
    <w:rsid w:val="4B4F25DA"/>
    <w:rsid w:val="4BB548C0"/>
    <w:rsid w:val="4BE068DB"/>
    <w:rsid w:val="4CC528E0"/>
    <w:rsid w:val="4D577224"/>
    <w:rsid w:val="4D851993"/>
    <w:rsid w:val="4DA346AC"/>
    <w:rsid w:val="4DBF1CEB"/>
    <w:rsid w:val="4DF0007C"/>
    <w:rsid w:val="4EAB630A"/>
    <w:rsid w:val="4ECE2238"/>
    <w:rsid w:val="4F833267"/>
    <w:rsid w:val="4FB54E8E"/>
    <w:rsid w:val="4FE9BD67"/>
    <w:rsid w:val="4FEB7FA3"/>
    <w:rsid w:val="4FFB052F"/>
    <w:rsid w:val="50530E98"/>
    <w:rsid w:val="50B34B13"/>
    <w:rsid w:val="52251F9A"/>
    <w:rsid w:val="52983131"/>
    <w:rsid w:val="530E3233"/>
    <w:rsid w:val="537E6D0A"/>
    <w:rsid w:val="53F74C96"/>
    <w:rsid w:val="54901A26"/>
    <w:rsid w:val="54AF73EA"/>
    <w:rsid w:val="55170BA8"/>
    <w:rsid w:val="553218C9"/>
    <w:rsid w:val="559B0AE2"/>
    <w:rsid w:val="55DF2C65"/>
    <w:rsid w:val="567E1AA5"/>
    <w:rsid w:val="56E47B74"/>
    <w:rsid w:val="57175D52"/>
    <w:rsid w:val="57A23F4A"/>
    <w:rsid w:val="57BD3DD4"/>
    <w:rsid w:val="58124259"/>
    <w:rsid w:val="583E74B2"/>
    <w:rsid w:val="58D02D39"/>
    <w:rsid w:val="59E051FD"/>
    <w:rsid w:val="5A7B6CD4"/>
    <w:rsid w:val="5A9F79D3"/>
    <w:rsid w:val="5AF92295"/>
    <w:rsid w:val="5B01542B"/>
    <w:rsid w:val="5B14740B"/>
    <w:rsid w:val="5B250254"/>
    <w:rsid w:val="5B721E85"/>
    <w:rsid w:val="5BDD79E6"/>
    <w:rsid w:val="5BF561CA"/>
    <w:rsid w:val="5BFF5DFC"/>
    <w:rsid w:val="5CD71FC4"/>
    <w:rsid w:val="5CE2303B"/>
    <w:rsid w:val="5D1C479E"/>
    <w:rsid w:val="5D1F11B5"/>
    <w:rsid w:val="5D695134"/>
    <w:rsid w:val="5DAE1B18"/>
    <w:rsid w:val="5DE7D9E5"/>
    <w:rsid w:val="5DF5102F"/>
    <w:rsid w:val="5E281679"/>
    <w:rsid w:val="5ECEC941"/>
    <w:rsid w:val="5EFD23AE"/>
    <w:rsid w:val="5F28567D"/>
    <w:rsid w:val="5F3C2ED6"/>
    <w:rsid w:val="5F864151"/>
    <w:rsid w:val="5FBF9FF3"/>
    <w:rsid w:val="5FCD4E2C"/>
    <w:rsid w:val="5FEF394A"/>
    <w:rsid w:val="5FF67715"/>
    <w:rsid w:val="605B738C"/>
    <w:rsid w:val="607466A0"/>
    <w:rsid w:val="6087600F"/>
    <w:rsid w:val="612B1454"/>
    <w:rsid w:val="621A522B"/>
    <w:rsid w:val="62BF3928"/>
    <w:rsid w:val="634804D0"/>
    <w:rsid w:val="639D7CBB"/>
    <w:rsid w:val="63B3701E"/>
    <w:rsid w:val="647F5392"/>
    <w:rsid w:val="65366619"/>
    <w:rsid w:val="658C75BD"/>
    <w:rsid w:val="65E66580"/>
    <w:rsid w:val="66195D1F"/>
    <w:rsid w:val="664B1D71"/>
    <w:rsid w:val="664B4E8E"/>
    <w:rsid w:val="67277B67"/>
    <w:rsid w:val="67AA3209"/>
    <w:rsid w:val="67F00D02"/>
    <w:rsid w:val="680010CD"/>
    <w:rsid w:val="685217D8"/>
    <w:rsid w:val="68DC1286"/>
    <w:rsid w:val="698D0931"/>
    <w:rsid w:val="69E9424C"/>
    <w:rsid w:val="6A7FE5F3"/>
    <w:rsid w:val="6AB8073F"/>
    <w:rsid w:val="6B053271"/>
    <w:rsid w:val="6BDD78B3"/>
    <w:rsid w:val="6C476AAD"/>
    <w:rsid w:val="6C4A05C8"/>
    <w:rsid w:val="6C545C48"/>
    <w:rsid w:val="6C8742B8"/>
    <w:rsid w:val="6D041684"/>
    <w:rsid w:val="6D7C5010"/>
    <w:rsid w:val="6DBF5E93"/>
    <w:rsid w:val="6DFF077E"/>
    <w:rsid w:val="6E5024FA"/>
    <w:rsid w:val="6E714EF0"/>
    <w:rsid w:val="6E7E3605"/>
    <w:rsid w:val="6E7FDCC7"/>
    <w:rsid w:val="6E954FE2"/>
    <w:rsid w:val="6ED6A62E"/>
    <w:rsid w:val="6EE00B15"/>
    <w:rsid w:val="6F6FB3EB"/>
    <w:rsid w:val="6F8731EA"/>
    <w:rsid w:val="6FCE6052"/>
    <w:rsid w:val="6FD57C00"/>
    <w:rsid w:val="6FEFFFD8"/>
    <w:rsid w:val="6FF5CC65"/>
    <w:rsid w:val="6FFB47EC"/>
    <w:rsid w:val="6FFF034A"/>
    <w:rsid w:val="70324099"/>
    <w:rsid w:val="70484440"/>
    <w:rsid w:val="712A28F1"/>
    <w:rsid w:val="715C0E4B"/>
    <w:rsid w:val="71992E7C"/>
    <w:rsid w:val="721970A7"/>
    <w:rsid w:val="72233669"/>
    <w:rsid w:val="72734D90"/>
    <w:rsid w:val="727367B7"/>
    <w:rsid w:val="73160E6D"/>
    <w:rsid w:val="7332FE48"/>
    <w:rsid w:val="739764D5"/>
    <w:rsid w:val="73AB61DA"/>
    <w:rsid w:val="73AD73D5"/>
    <w:rsid w:val="73B6EB34"/>
    <w:rsid w:val="73FA497D"/>
    <w:rsid w:val="744731E5"/>
    <w:rsid w:val="74BBD01D"/>
    <w:rsid w:val="74ED5379"/>
    <w:rsid w:val="75DEEEC2"/>
    <w:rsid w:val="75E32345"/>
    <w:rsid w:val="75F56438"/>
    <w:rsid w:val="76E3355F"/>
    <w:rsid w:val="76FF5125"/>
    <w:rsid w:val="776F6FFA"/>
    <w:rsid w:val="778769C8"/>
    <w:rsid w:val="77A75DCA"/>
    <w:rsid w:val="77B92EBE"/>
    <w:rsid w:val="77DA4BE2"/>
    <w:rsid w:val="77DC22F5"/>
    <w:rsid w:val="783E271A"/>
    <w:rsid w:val="78526E6F"/>
    <w:rsid w:val="78616DE9"/>
    <w:rsid w:val="7883527A"/>
    <w:rsid w:val="78A8789C"/>
    <w:rsid w:val="78E875D7"/>
    <w:rsid w:val="79086DAD"/>
    <w:rsid w:val="79224A93"/>
    <w:rsid w:val="79D7FD79"/>
    <w:rsid w:val="79EE5BA4"/>
    <w:rsid w:val="7A894339"/>
    <w:rsid w:val="7AD284E8"/>
    <w:rsid w:val="7AFF7572"/>
    <w:rsid w:val="7B0E3521"/>
    <w:rsid w:val="7B6C7DFB"/>
    <w:rsid w:val="7BBFBED0"/>
    <w:rsid w:val="7BC3E394"/>
    <w:rsid w:val="7C120DEF"/>
    <w:rsid w:val="7C1F3737"/>
    <w:rsid w:val="7C2211AE"/>
    <w:rsid w:val="7C3C5E6C"/>
    <w:rsid w:val="7C8D4919"/>
    <w:rsid w:val="7CBFC87B"/>
    <w:rsid w:val="7CC12815"/>
    <w:rsid w:val="7CFE0F48"/>
    <w:rsid w:val="7D272ABC"/>
    <w:rsid w:val="7D7111E2"/>
    <w:rsid w:val="7D7EC23E"/>
    <w:rsid w:val="7DF05160"/>
    <w:rsid w:val="7E8ADEBF"/>
    <w:rsid w:val="7EC565EC"/>
    <w:rsid w:val="7EEF11D3"/>
    <w:rsid w:val="7EFE4840"/>
    <w:rsid w:val="7F0971A6"/>
    <w:rsid w:val="7F1B454B"/>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eastAsia="微软雅黑" w:asciiTheme="minorAscii" w:hAnsiTheme="minorAscii" w:cstheme="minorBidi"/>
      <w:snapToGrid/>
      <w:kern w:val="2"/>
      <w:sz w:val="21"/>
      <w:szCs w:val="24"/>
      <w:lang w:val="en-US" w:eastAsia="zh-CN" w:bidi="ar-SA"/>
    </w:rPr>
  </w:style>
  <w:style w:type="paragraph" w:styleId="3">
    <w:name w:val="heading 1"/>
    <w:basedOn w:val="1"/>
    <w:next w:val="1"/>
    <w:link w:val="50"/>
    <w:qFormat/>
    <w:uiPriority w:val="9"/>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微软雅黑" w:cstheme="minorBidi"/>
      <w:b/>
      <w:bCs/>
      <w:kern w:val="44"/>
      <w:sz w:val="36"/>
      <w:szCs w:val="36"/>
    </w:rPr>
  </w:style>
  <w:style w:type="paragraph" w:styleId="4">
    <w:name w:val="heading 2"/>
    <w:basedOn w:val="1"/>
    <w:next w:val="1"/>
    <w:link w:val="51"/>
    <w:unhideWhenUsed/>
    <w:qFormat/>
    <w:uiPriority w:val="9"/>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微软雅黑" w:cstheme="minorBidi"/>
      <w:b/>
      <w:bCs/>
      <w:kern w:val="2"/>
      <w:sz w:val="32"/>
      <w:szCs w:val="32"/>
    </w:rPr>
  </w:style>
  <w:style w:type="paragraph" w:styleId="5">
    <w:name w:val="heading 3"/>
    <w:next w:val="1"/>
    <w:link w:val="54"/>
    <w:unhideWhenUsed/>
    <w:qFormat/>
    <w:uiPriority w:val="9"/>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微软雅黑" w:cstheme="minorBidi"/>
      <w:b/>
      <w:kern w:val="2"/>
      <w:sz w:val="30"/>
      <w:szCs w:val="30"/>
    </w:rPr>
  </w:style>
  <w:style w:type="paragraph" w:styleId="6">
    <w:name w:val="heading 4"/>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7">
    <w:name w:val="heading 5"/>
    <w:basedOn w:val="1"/>
    <w:next w:val="8"/>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paragraph" w:styleId="9">
    <w:name w:val="heading 6"/>
    <w:basedOn w:val="1"/>
    <w:next w:val="8"/>
    <w:unhideWhenUsed/>
    <w:qFormat/>
    <w:uiPriority w:val="0"/>
    <w:pPr>
      <w:numPr>
        <w:ilvl w:val="5"/>
        <w:numId w:val="1"/>
      </w:numPr>
      <w:tabs>
        <w:tab w:val="left" w:pos="0"/>
      </w:tabs>
      <w:spacing w:before="50" w:beforeLines="50" w:after="20" w:afterLines="20" w:line="288" w:lineRule="auto"/>
      <w:ind w:left="0" w:firstLine="0"/>
      <w:outlineLvl w:val="5"/>
    </w:pPr>
    <w:rPr>
      <w:rFonts w:ascii="微软雅黑" w:hAnsi="微软雅黑"/>
      <w:b/>
      <w:bCs/>
      <w:sz w:val="24"/>
    </w:rPr>
  </w:style>
  <w:style w:type="paragraph" w:styleId="10">
    <w:name w:val="heading 7"/>
    <w:basedOn w:val="1"/>
    <w:next w:val="8"/>
    <w:unhideWhenUsed/>
    <w:qFormat/>
    <w:uiPriority w:val="0"/>
    <w:pPr>
      <w:numPr>
        <w:ilvl w:val="6"/>
        <w:numId w:val="1"/>
      </w:numPr>
      <w:spacing w:before="50" w:beforeLines="50" w:after="20" w:afterLines="20" w:line="288" w:lineRule="auto"/>
      <w:ind w:left="0" w:firstLine="0"/>
      <w:jc w:val="left"/>
      <w:outlineLvl w:val="6"/>
    </w:pPr>
    <w:rPr>
      <w:rFonts w:ascii="微软雅黑" w:hAnsi="微软雅黑"/>
      <w:b/>
      <w:bCs/>
      <w:sz w:val="24"/>
    </w:rPr>
  </w:style>
  <w:style w:type="paragraph" w:styleId="11">
    <w:name w:val="heading 8"/>
    <w:basedOn w:val="1"/>
    <w:next w:val="8"/>
    <w:unhideWhenUsed/>
    <w:qFormat/>
    <w:uiPriority w:val="0"/>
    <w:pPr>
      <w:numPr>
        <w:ilvl w:val="7"/>
        <w:numId w:val="1"/>
      </w:numPr>
      <w:tabs>
        <w:tab w:val="left" w:pos="0"/>
      </w:tabs>
      <w:spacing w:before="50" w:beforeLines="50" w:after="20" w:afterLines="20" w:line="288" w:lineRule="auto"/>
      <w:ind w:left="0" w:firstLine="0"/>
      <w:outlineLvl w:val="7"/>
    </w:pPr>
    <w:rPr>
      <w:rFonts w:ascii="微软雅黑" w:hAnsi="微软雅黑" w:cstheme="majorBidi"/>
      <w:b/>
      <w:bCs/>
      <w:sz w:val="24"/>
    </w:rPr>
  </w:style>
  <w:style w:type="paragraph" w:styleId="12">
    <w:name w:val="heading 9"/>
    <w:basedOn w:val="1"/>
    <w:next w:val="8"/>
    <w:unhideWhenUsed/>
    <w:qFormat/>
    <w:uiPriority w:val="0"/>
    <w:pPr>
      <w:numPr>
        <w:ilvl w:val="8"/>
        <w:numId w:val="1"/>
      </w:numPr>
      <w:spacing w:before="50" w:beforeLines="50" w:after="20" w:afterLines="20" w:line="288" w:lineRule="auto"/>
      <w:ind w:left="0" w:firstLine="0"/>
      <w:outlineLvl w:val="8"/>
    </w:pPr>
    <w:rPr>
      <w:rFonts w:ascii="微软雅黑" w:hAnsi="微软雅黑" w:cstheme="majorBidi"/>
      <w:b/>
      <w:bCs/>
      <w:sz w:val="24"/>
      <w:szCs w:val="24"/>
    </w:rPr>
  </w:style>
  <w:style w:type="character" w:default="1" w:styleId="33">
    <w:name w:val="Default Paragraph Font"/>
    <w:semiHidden/>
    <w:qFormat/>
    <w:uiPriority w:val="0"/>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8">
    <w:name w:val="Body Text"/>
    <w:basedOn w:val="1"/>
    <w:next w:val="1"/>
    <w:link w:val="47"/>
    <w:qFormat/>
    <w:uiPriority w:val="0"/>
    <w:pPr>
      <w:spacing w:after="20" w:afterLines="20" w:afterAutospacing="0" w:line="288" w:lineRule="auto"/>
      <w:ind w:firstLine="0" w:firstLineChars="0"/>
    </w:pPr>
    <w:rPr>
      <w:rFonts w:ascii="微软雅黑" w:hAnsi="微软雅黑"/>
      <w:szCs w:val="21"/>
    </w:rPr>
  </w:style>
  <w:style w:type="paragraph" w:styleId="13">
    <w:name w:val="caption"/>
    <w:basedOn w:val="1"/>
    <w:next w:val="1"/>
    <w:unhideWhenUsed/>
    <w:qFormat/>
    <w:uiPriority w:val="0"/>
    <w:pPr>
      <w:ind w:firstLine="0" w:firstLineChars="0"/>
    </w:pPr>
    <w:rPr>
      <w:rFonts w:ascii="微软雅黑" w:hAnsi="微软雅黑" w:cs="Times New Roman"/>
      <w:sz w:val="20"/>
      <w:szCs w:val="20"/>
    </w:rPr>
  </w:style>
  <w:style w:type="paragraph" w:styleId="14">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5">
    <w:name w:val="Salutation"/>
    <w:basedOn w:val="1"/>
    <w:next w:val="1"/>
    <w:qFormat/>
    <w:uiPriority w:val="0"/>
    <w:pPr>
      <w:ind w:firstLine="0" w:firstLineChars="0"/>
    </w:pPr>
    <w:rPr>
      <w:rFonts w:ascii="微软雅黑" w:hAnsi="微软雅黑"/>
      <w:szCs w:val="21"/>
    </w:rPr>
  </w:style>
  <w:style w:type="paragraph" w:styleId="16">
    <w:name w:val="Body Text Indent"/>
    <w:basedOn w:val="1"/>
    <w:next w:val="17"/>
    <w:qFormat/>
    <w:uiPriority w:val="0"/>
    <w:pPr>
      <w:spacing w:after="120" w:afterLines="0" w:afterAutospacing="0"/>
      <w:ind w:left="420" w:leftChars="200"/>
    </w:pPr>
  </w:style>
  <w:style w:type="paragraph" w:styleId="17">
    <w:name w:val="Body Text First Indent 2"/>
    <w:basedOn w:val="16"/>
    <w:qFormat/>
    <w:uiPriority w:val="0"/>
    <w:pPr>
      <w:ind w:firstLine="420" w:firstLineChars="200"/>
    </w:pPr>
  </w:style>
  <w:style w:type="paragraph" w:styleId="18">
    <w:name w:val="toc 3"/>
    <w:basedOn w:val="1"/>
    <w:next w:val="1"/>
    <w:qFormat/>
    <w:uiPriority w:val="0"/>
    <w:pPr>
      <w:ind w:left="840" w:leftChars="400"/>
    </w:pPr>
  </w:style>
  <w:style w:type="paragraph" w:styleId="19">
    <w:name w:val="Date"/>
    <w:basedOn w:val="1"/>
    <w:next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0">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1">
    <w:name w:val="Balloon Text"/>
    <w:basedOn w:val="1"/>
    <w:link w:val="53"/>
    <w:qFormat/>
    <w:uiPriority w:val="0"/>
    <w:rPr>
      <w:rFonts w:ascii="微软雅黑" w:hAnsi="微软雅黑"/>
      <w:sz w:val="18"/>
      <w:szCs w:val="18"/>
    </w:rPr>
  </w:style>
  <w:style w:type="paragraph" w:styleId="22">
    <w:name w:val="footer"/>
    <w:basedOn w:val="1"/>
    <w:link w:val="45"/>
    <w:qFormat/>
    <w:uiPriority w:val="0"/>
    <w:pPr>
      <w:tabs>
        <w:tab w:val="center" w:pos="4153"/>
        <w:tab w:val="right" w:pos="8306"/>
      </w:tabs>
      <w:ind w:firstLine="0" w:firstLineChars="0"/>
      <w:jc w:val="left"/>
    </w:pPr>
    <w:rPr>
      <w:rFonts w:ascii="微软雅黑" w:hAnsi="微软雅黑"/>
      <w:sz w:val="18"/>
      <w:szCs w:val="18"/>
    </w:rPr>
  </w:style>
  <w:style w:type="paragraph" w:styleId="23">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rFonts w:ascii="微软雅黑" w:hAnsi="微软雅黑"/>
      <w:sz w:val="18"/>
      <w:szCs w:val="18"/>
    </w:rPr>
  </w:style>
  <w:style w:type="paragraph" w:styleId="24">
    <w:name w:val="Signature"/>
    <w:basedOn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5">
    <w:name w:val="toc 1"/>
    <w:basedOn w:val="1"/>
    <w:next w:val="1"/>
    <w:qFormat/>
    <w:uiPriority w:val="0"/>
  </w:style>
  <w:style w:type="paragraph" w:styleId="26">
    <w:name w:val="Subtitle"/>
    <w:basedOn w:val="1"/>
    <w:next w:val="8"/>
    <w:qFormat/>
    <w:uiPriority w:val="0"/>
    <w:pPr>
      <w:spacing w:beforeLines="0" w:beforeAutospacing="0" w:after="100" w:afterLines="100" w:afterAutospacing="0" w:line="240" w:lineRule="auto"/>
      <w:jc w:val="center"/>
      <w:outlineLvl w:val="9"/>
    </w:pPr>
    <w:rPr>
      <w:rFonts w:ascii="微软雅黑" w:hAnsi="微软雅黑"/>
      <w:b/>
      <w:bCs/>
      <w:kern w:val="28"/>
      <w:sz w:val="36"/>
      <w:szCs w:val="36"/>
    </w:rPr>
  </w:style>
  <w:style w:type="paragraph" w:styleId="27">
    <w:name w:val="footnote text"/>
    <w:basedOn w:val="1"/>
    <w:next w:val="17"/>
    <w:qFormat/>
    <w:uiPriority w:val="0"/>
    <w:pPr>
      <w:jc w:val="left"/>
    </w:pPr>
    <w:rPr>
      <w:rFonts w:ascii="微软雅黑" w:hAnsi="微软雅黑" w:eastAsia="微软雅黑"/>
      <w:sz w:val="24"/>
    </w:rPr>
  </w:style>
  <w:style w:type="paragraph" w:styleId="28">
    <w:name w:val="toc 2"/>
    <w:basedOn w:val="1"/>
    <w:next w:val="1"/>
    <w:qFormat/>
    <w:uiPriority w:val="0"/>
    <w:pPr>
      <w:ind w:left="420" w:leftChars="200"/>
    </w:pPr>
  </w:style>
  <w:style w:type="paragraph" w:styleId="29">
    <w:name w:val="Normal (Web)"/>
    <w:basedOn w:val="1"/>
    <w:qFormat/>
    <w:uiPriority w:val="0"/>
    <w:rPr>
      <w:rFonts w:ascii="微软雅黑" w:hAnsi="微软雅黑"/>
      <w:sz w:val="24"/>
    </w:rPr>
  </w:style>
  <w:style w:type="paragraph" w:styleId="30">
    <w:name w:val="Title"/>
    <w:basedOn w:val="1"/>
    <w:qFormat/>
    <w:uiPriority w:val="10"/>
    <w:pPr>
      <w:spacing w:after="100" w:afterLines="100" w:line="288" w:lineRule="auto"/>
      <w:jc w:val="center"/>
      <w:outlineLvl w:val="9"/>
    </w:pPr>
    <w:rPr>
      <w:rFonts w:ascii="微软雅黑" w:hAnsi="微软雅黑"/>
      <w:b/>
      <w:bCs/>
      <w:sz w:val="48"/>
      <w:szCs w:val="48"/>
    </w:rPr>
  </w:style>
  <w:style w:type="paragraph" w:styleId="31">
    <w:name w:val="annotation subject"/>
    <w:basedOn w:val="14"/>
    <w:next w:val="14"/>
    <w:qFormat/>
    <w:uiPriority w:val="0"/>
    <w:rPr>
      <w:b/>
      <w:bCs/>
    </w:rPr>
  </w:style>
  <w:style w:type="character" w:styleId="34">
    <w:name w:val="Strong"/>
    <w:basedOn w:val="33"/>
    <w:qFormat/>
    <w:uiPriority w:val="22"/>
    <w:rPr>
      <w:rFonts w:ascii="微软雅黑" w:hAnsi="微软雅黑" w:eastAsia="微软雅黑"/>
      <w:b/>
      <w:color w:val="auto"/>
      <w:u w:val="single"/>
    </w:rPr>
  </w:style>
  <w:style w:type="character" w:styleId="35">
    <w:name w:val="endnote reference"/>
    <w:basedOn w:val="33"/>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8">
    <w:name w:val="Emphasis"/>
    <w:basedOn w:val="33"/>
    <w:qFormat/>
    <w:uiPriority w:val="20"/>
    <w:rPr>
      <w:rFonts w:ascii="Arial" w:hAnsi="Arial" w:eastAsia="微软雅黑"/>
      <w:b/>
      <w:bCs/>
      <w:i/>
      <w:color w:val="auto"/>
      <w:sz w:val="24"/>
      <w:szCs w:val="22"/>
    </w:rPr>
  </w:style>
  <w:style w:type="character" w:styleId="39">
    <w:name w:val="Hyperlink"/>
    <w:basedOn w:val="33"/>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40">
    <w:name w:val="annotation reference"/>
    <w:basedOn w:val="33"/>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customStyle="1" w:styleId="42">
    <w:name w:val="Header Char"/>
    <w:basedOn w:val="33"/>
    <w:semiHidden/>
    <w:qFormat/>
    <w:uiPriority w:val="99"/>
    <w:rPr>
      <w:rFonts w:ascii="Times New Roman" w:hAnsi="Times New Roman"/>
      <w:sz w:val="18"/>
      <w:szCs w:val="18"/>
    </w:rPr>
  </w:style>
  <w:style w:type="character" w:customStyle="1" w:styleId="43">
    <w:name w:val="页眉 Char"/>
    <w:link w:val="23"/>
    <w:semiHidden/>
    <w:qFormat/>
    <w:locked/>
    <w:uiPriority w:val="99"/>
    <w:rPr>
      <w:rFonts w:ascii="微软雅黑" w:hAnsi="微软雅黑"/>
      <w:sz w:val="18"/>
      <w:szCs w:val="18"/>
    </w:rPr>
  </w:style>
  <w:style w:type="character" w:customStyle="1" w:styleId="44">
    <w:name w:val="Footer Char"/>
    <w:basedOn w:val="33"/>
    <w:semiHidden/>
    <w:qFormat/>
    <w:uiPriority w:val="99"/>
    <w:rPr>
      <w:rFonts w:ascii="Times New Roman" w:hAnsi="Times New Roman"/>
      <w:sz w:val="18"/>
      <w:szCs w:val="18"/>
    </w:rPr>
  </w:style>
  <w:style w:type="character" w:customStyle="1" w:styleId="45">
    <w:name w:val="页脚 Char"/>
    <w:link w:val="22"/>
    <w:qFormat/>
    <w:locked/>
    <w:uiPriority w:val="99"/>
    <w:rPr>
      <w:rFonts w:ascii="微软雅黑" w:hAnsi="微软雅黑"/>
      <w:sz w:val="18"/>
      <w:szCs w:val="18"/>
    </w:rPr>
  </w:style>
  <w:style w:type="character" w:customStyle="1" w:styleId="46">
    <w:name w:val="Body Text Char"/>
    <w:basedOn w:val="33"/>
    <w:semiHidden/>
    <w:qFormat/>
    <w:uiPriority w:val="99"/>
    <w:rPr>
      <w:rFonts w:ascii="Times New Roman" w:hAnsi="Times New Roman"/>
      <w:szCs w:val="24"/>
    </w:rPr>
  </w:style>
  <w:style w:type="character" w:customStyle="1" w:styleId="47">
    <w:name w:val="正文文本 Char"/>
    <w:link w:val="8"/>
    <w:qFormat/>
    <w:locked/>
    <w:uiPriority w:val="99"/>
    <w:rPr>
      <w:rFonts w:ascii="微软雅黑" w:hAnsi="微软雅黑"/>
      <w:szCs w:val="21"/>
    </w:rPr>
  </w:style>
  <w:style w:type="paragraph" w:customStyle="1" w:styleId="4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49">
    <w:name w:val="List Paragraph"/>
    <w:basedOn w:val="1"/>
    <w:qFormat/>
    <w:uiPriority w:val="34"/>
    <w:pPr>
      <w:ind w:firstLine="420" w:firstLineChars="200"/>
    </w:pPr>
  </w:style>
  <w:style w:type="character" w:customStyle="1" w:styleId="50">
    <w:name w:val="标题 1 Char"/>
    <w:basedOn w:val="33"/>
    <w:link w:val="3"/>
    <w:qFormat/>
    <w:uiPriority w:val="9"/>
    <w:rPr>
      <w:rFonts w:ascii="微软雅黑" w:hAnsi="微软雅黑" w:eastAsia="微软雅黑" w:cstheme="minorBidi"/>
      <w:b/>
      <w:bCs/>
      <w:kern w:val="44"/>
      <w:sz w:val="36"/>
      <w:szCs w:val="36"/>
    </w:rPr>
  </w:style>
  <w:style w:type="character" w:customStyle="1" w:styleId="51">
    <w:name w:val="标题 2 Char"/>
    <w:basedOn w:val="33"/>
    <w:link w:val="4"/>
    <w:qFormat/>
    <w:uiPriority w:val="9"/>
    <w:rPr>
      <w:rFonts w:ascii="微软雅黑" w:hAnsi="微软雅黑" w:eastAsia="微软雅黑" w:cstheme="minorBidi"/>
      <w:b/>
      <w:bCs/>
      <w:kern w:val="2"/>
      <w:sz w:val="32"/>
      <w:szCs w:val="32"/>
    </w:rPr>
  </w:style>
  <w:style w:type="paragraph" w:customStyle="1" w:styleId="5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批注框文本 Char"/>
    <w:link w:val="21"/>
    <w:semiHidden/>
    <w:qFormat/>
    <w:uiPriority w:val="99"/>
    <w:rPr>
      <w:rFonts w:ascii="微软雅黑" w:hAnsi="微软雅黑"/>
      <w:sz w:val="18"/>
      <w:szCs w:val="18"/>
    </w:rPr>
  </w:style>
  <w:style w:type="character" w:customStyle="1" w:styleId="54">
    <w:name w:val="标题 3 Char"/>
    <w:link w:val="5"/>
    <w:qFormat/>
    <w:uiPriority w:val="9"/>
    <w:rPr>
      <w:rFonts w:ascii="微软雅黑" w:hAnsi="微软雅黑" w:eastAsia="微软雅黑" w:cstheme="minorBidi"/>
      <w:b/>
      <w:kern w:val="2"/>
      <w:sz w:val="30"/>
      <w:szCs w:val="30"/>
    </w:rPr>
  </w:style>
  <w:style w:type="paragraph" w:customStyle="1" w:styleId="5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四号正文"/>
    <w:basedOn w:val="1"/>
    <w:qFormat/>
    <w:uiPriority w:val="0"/>
    <w:pPr>
      <w:spacing w:line="360" w:lineRule="auto"/>
    </w:pPr>
    <w:rPr>
      <w:rFonts w:ascii="黑体" w:hAnsi="黑体"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image" Target="media/image1.png"/><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301753360607832"/>
          <c:y val="0.0175438596491228"/>
        </c:manualLayout>
      </c:layout>
      <c:overlay val="0"/>
      <c:spPr>
        <a:noFill/>
        <a:ln>
          <a:noFill/>
        </a:ln>
        <a:effectLst/>
      </c:spPr>
    </c:title>
    <c:autoTitleDeleted val="0"/>
    <c:plotArea>
      <c:layout>
        <c:manualLayout>
          <c:layoutTarget val="inner"/>
          <c:xMode val="edge"/>
          <c:yMode val="edge"/>
          <c:x val="0.0629573348918761"/>
          <c:y val="0.113953107066732"/>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309760374050263"/>
                  <c:y val="-0.006558452205279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8977206312098"/>
                  <c:y val="-0.0588621085423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4b866e84-0d34-43f2-8d06-cf4b1fa4e2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0.9635</c:v>
                </c:pt>
                <c:pt idx="1">
                  <c:v>0.0365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fcd78a-5a7a-4616-855d-0ac8026fb2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manualLayout>
          <c:xMode val="edge"/>
          <c:yMode val="edge"/>
          <c:x val="0.301753360607832"/>
          <c:y val="0.0175438596491228"/>
        </c:manualLayout>
      </c:layout>
      <c:overlay val="0"/>
      <c:spPr>
        <a:noFill/>
        <a:ln>
          <a:noFill/>
        </a:ln>
        <a:effectLst/>
      </c:spPr>
    </c:title>
    <c:autoTitleDeleted val="0"/>
    <c:plotArea>
      <c:layout>
        <c:manualLayout>
          <c:layoutTarget val="inner"/>
          <c:xMode val="edge"/>
          <c:yMode val="edge"/>
          <c:x val="0.0629573348918761"/>
          <c:y val="0.113953107066732"/>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465225014611338"/>
                  <c:y val="0.1432701422694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4172998246639"/>
                  <c:y val="0.08572349339349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42cd0325-3e89-4d7f-9077-84218c42dd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manualLayout>
          <c:xMode val="edge"/>
          <c:yMode val="edge"/>
          <c:x val="0.182174167153712"/>
          <c:y val="0.0221347761928185"/>
        </c:manualLayout>
      </c:layout>
      <c:overlay val="0"/>
      <c:spPr>
        <a:noFill/>
        <a:ln>
          <a:noFill/>
        </a:ln>
        <a:effectLst/>
      </c:spPr>
    </c:title>
    <c:autoTitleDeleted val="0"/>
    <c:plotArea>
      <c:layout>
        <c:manualLayout>
          <c:layoutTarget val="inner"/>
          <c:xMode val="edge"/>
          <c:yMode val="edge"/>
          <c:x val="0.0629573348918761"/>
          <c:y val="0.116084604033448"/>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309760374050263"/>
                  <c:y val="-0.006558452205279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8977206312098"/>
                  <c:y val="-0.0588621085423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3e312907-b070-4111-97d4-3864d7a585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992751872433"/>
          <c:y val="0.00596896140071628"/>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866151244261899"/>
                  <c:y val="0.0112622184445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一般公共服务支出74%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12160458446768"/>
                  <c:y val="-0.0086735966840380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社会保障和就业支出11%</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7045050675011"/>
                  <c:y val="-0.0345202802008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卫生健康支出7.80%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1275144462394"/>
                  <c:y val="0.014230956007183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住房保障支出7.20%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c:formatCode>
                <c:ptCount val="4"/>
                <c:pt idx="0">
                  <c:v>0.74</c:v>
                </c:pt>
                <c:pt idx="1">
                  <c:v>0.11</c:v>
                </c:pt>
                <c:pt idx="2" c:formatCode="0.00%">
                  <c:v>0.078</c:v>
                </c:pt>
                <c:pt idx="3" c:formatCode="0.00%">
                  <c:v>0.072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6b2d08-dea5-4737-8bb4-eecf850828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4326</Words>
  <Characters>4686</Characters>
  <Lines>61</Lines>
  <Paragraphs>17</Paragraphs>
  <TotalTime>21</TotalTime>
  <ScaleCrop>false</ScaleCrop>
  <LinksUpToDate>false</LinksUpToDate>
  <CharactersWithSpaces>4728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孟剑</cp:lastModifiedBy>
  <cp:lastPrinted>2025-10-20T00:49:00Z</cp:lastPrinted>
  <dcterms:modified xsi:type="dcterms:W3CDTF">2025-10-28T01:18:21Z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eyJoZGlkIjoiZTJhNzEwNzk2NmNiMGY1Mzc2MjlhNzVjYThiNDEyZmUiLCJ1c2VySWQiOiIzNzIxNTQ4MDAifQ==</vt:lpwstr>
  </property>
</Properties>
</file>