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AD5D7">
      <w:pPr>
        <w:pStyle w:val="6"/>
        <w:spacing w:before="93"/>
        <w:rPr>
          <w:rFonts w:hint="default" w:ascii="Times New Roman" w:hAnsi="Times New Roman" w:eastAsia="方正小标宋简体" w:cs="Times New Roman"/>
          <w:kern w:val="2"/>
          <w:sz w:val="72"/>
          <w:szCs w:val="72"/>
        </w:rPr>
      </w:pPr>
      <w:bookmarkStart w:id="0" w:name="_Toc15377425"/>
      <w:bookmarkStart w:id="1" w:name="_Toc15377193"/>
      <w:bookmarkStart w:id="2" w:name="_Toc15378441"/>
      <w:bookmarkStart w:id="3" w:name="_Toc15396597"/>
      <w:bookmarkStart w:id="4" w:name="_Toc15306267"/>
      <w:bookmarkStart w:id="5" w:name="_Toc15396475"/>
    </w:p>
    <w:p w14:paraId="6BDC5718">
      <w:pPr>
        <w:pStyle w:val="6"/>
        <w:spacing w:before="93"/>
        <w:rPr>
          <w:rFonts w:hint="default" w:ascii="Times New Roman" w:hAnsi="Times New Roman" w:eastAsia="方正小标宋简体" w:cs="Times New Roman"/>
          <w:kern w:val="2"/>
          <w:sz w:val="72"/>
          <w:szCs w:val="72"/>
        </w:rPr>
      </w:pPr>
    </w:p>
    <w:p w14:paraId="34DC173F">
      <w:pPr>
        <w:pStyle w:val="6"/>
        <w:spacing w:before="93"/>
        <w:rPr>
          <w:rFonts w:hint="default" w:ascii="Times New Roman" w:hAnsi="Times New Roman" w:eastAsia="方正小标宋简体" w:cs="Times New Roman"/>
          <w:kern w:val="2"/>
          <w:sz w:val="72"/>
          <w:szCs w:val="72"/>
        </w:rPr>
      </w:pPr>
    </w:p>
    <w:p w14:paraId="7D3C6136">
      <w:pPr>
        <w:pStyle w:val="6"/>
        <w:suppressAutoHyphens/>
        <w:bidi w:val="0"/>
        <w:adjustRightInd/>
        <w:snapToGrid/>
        <w:spacing w:before="0" w:beforeLines="-2147483648" w:after="140" w:afterLines="-2147483648" w:afterAutospacing="0" w:line="276" w:lineRule="auto"/>
        <w:ind w:firstLine="0" w:firstLineChars="0"/>
        <w:jc w:val="center"/>
        <w:rPr>
          <w:rStyle w:val="28"/>
          <w:rFonts w:hint="default" w:ascii="Times New Roman" w:hAnsi="Times New Roman" w:eastAsia="方正小标宋_GBK" w:cs="Times New Roman"/>
          <w:color w:val="auto"/>
          <w:highlight w:val="none"/>
          <w:lang w:val="en-US" w:eastAsia="zh-CN" w:bidi="ar-SA"/>
        </w:rPr>
      </w:pPr>
      <w:r>
        <w:rPr>
          <w:rStyle w:val="28"/>
          <w:rFonts w:hint="default" w:ascii="Times New Roman" w:hAnsi="Times New Roman" w:eastAsia="方正小标宋_GBK" w:cs="Times New Roman"/>
          <w:color w:val="auto"/>
          <w:highlight w:val="none"/>
          <w:lang w:val="en-US" w:eastAsia="zh-CN" w:bidi="ar-SA"/>
        </w:rPr>
        <w:t>2024年度</w:t>
      </w:r>
    </w:p>
    <w:p w14:paraId="5C0D6466">
      <w:pPr>
        <w:pStyle w:val="6"/>
        <w:suppressAutoHyphens/>
        <w:bidi w:val="0"/>
        <w:adjustRightInd/>
        <w:snapToGrid/>
        <w:spacing w:before="0" w:beforeLines="-2147483648" w:after="140" w:afterLines="-2147483648" w:afterAutospacing="0" w:line="276" w:lineRule="auto"/>
        <w:ind w:firstLine="0" w:firstLineChars="0"/>
        <w:jc w:val="center"/>
        <w:rPr>
          <w:rStyle w:val="28"/>
          <w:rFonts w:hint="default" w:ascii="Times New Roman" w:hAnsi="Times New Roman" w:eastAsia="方正小标宋_GBK" w:cs="Times New Roman"/>
          <w:color w:val="auto"/>
          <w:highlight w:val="none"/>
          <w:lang w:val="en-US" w:eastAsia="zh-CN" w:bidi="ar-SA"/>
        </w:rPr>
      </w:pPr>
      <w:r>
        <w:rPr>
          <w:rStyle w:val="28"/>
          <w:rFonts w:hint="default" w:ascii="Times New Roman" w:hAnsi="Times New Roman" w:eastAsia="方正小标宋_GBK" w:cs="Times New Roman"/>
          <w:color w:val="auto"/>
          <w:highlight w:val="none"/>
          <w:lang w:val="en-US" w:eastAsia="zh-CN" w:bidi="ar-SA"/>
        </w:rPr>
        <w:t>中共盐边县委机构编制委员会办公室</w:t>
      </w:r>
    </w:p>
    <w:p w14:paraId="40B2608E">
      <w:pPr>
        <w:pStyle w:val="6"/>
        <w:suppressAutoHyphens/>
        <w:bidi w:val="0"/>
        <w:adjustRightInd/>
        <w:snapToGrid/>
        <w:spacing w:before="0" w:beforeLines="-2147483648" w:after="140" w:afterLines="-2147483648" w:afterAutospacing="0" w:line="276" w:lineRule="auto"/>
        <w:ind w:firstLine="0" w:firstLineChars="0"/>
        <w:jc w:val="center"/>
        <w:rPr>
          <w:rStyle w:val="28"/>
          <w:rFonts w:hint="default" w:ascii="Times New Roman" w:hAnsi="Times New Roman" w:eastAsia="方正小标宋_GBK" w:cs="Times New Roman"/>
          <w:color w:val="auto"/>
          <w:highlight w:val="none"/>
          <w:lang w:val="en-US" w:eastAsia="zh-CN" w:bidi="ar-SA"/>
        </w:rPr>
      </w:pPr>
      <w:r>
        <w:rPr>
          <w:rStyle w:val="28"/>
          <w:rFonts w:hint="default" w:ascii="Times New Roman" w:hAnsi="Times New Roman" w:eastAsia="方正小标宋_GBK" w:cs="Times New Roman"/>
          <w:color w:val="auto"/>
          <w:highlight w:val="none"/>
          <w:lang w:val="en-US" w:eastAsia="zh-CN" w:bidi="ar-SA"/>
        </w:rPr>
        <w:t>单位决算公开编制说明</w:t>
      </w:r>
    </w:p>
    <w:p w14:paraId="6AB21783">
      <w:pPr>
        <w:spacing w:line="600" w:lineRule="exact"/>
        <w:jc w:val="center"/>
        <w:outlineLvl w:val="0"/>
        <w:rPr>
          <w:rFonts w:hint="default" w:ascii="Times New Roman" w:hAnsi="Times New Roman" w:eastAsia="方正小标宋简体" w:cs="Times New Roman"/>
          <w:sz w:val="72"/>
          <w:szCs w:val="72"/>
        </w:rPr>
      </w:pPr>
    </w:p>
    <w:p w14:paraId="07799785">
      <w:pPr>
        <w:pStyle w:val="2"/>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541D0CF">
      <w:pPr>
        <w:widowControl/>
        <w:jc w:val="center"/>
        <w:rPr>
          <w:rFonts w:hint="default" w:ascii="Times New Roman" w:hAnsi="Times New Roman" w:eastAsia="黑体" w:cs="Times New Roman"/>
          <w:color w:val="auto"/>
          <w:sz w:val="48"/>
          <w:szCs w:val="48"/>
          <w:highlight w:val="none"/>
        </w:rPr>
      </w:pPr>
      <w:bookmarkStart w:id="6" w:name="_Toc15377226"/>
      <w:r>
        <w:rPr>
          <w:rFonts w:hint="default" w:ascii="Times New Roman" w:hAnsi="Times New Roman" w:eastAsia="黑体" w:cs="Times New Roman"/>
          <w:color w:val="auto"/>
          <w:sz w:val="48"/>
          <w:szCs w:val="48"/>
          <w:highlight w:val="none"/>
        </w:rPr>
        <w:t>目录</w:t>
      </w:r>
    </w:p>
    <w:p w14:paraId="0EE5D52E">
      <w:pPr>
        <w:widowControl/>
        <w:jc w:val="center"/>
        <w:rPr>
          <w:rFonts w:hint="default" w:ascii="Times New Roman" w:hAnsi="Times New Roman" w:cs="Times New Roman" w:eastAsiaTheme="majorEastAsia"/>
          <w:snapToGrid/>
          <w:color w:val="auto"/>
          <w:kern w:val="2"/>
          <w:sz w:val="24"/>
          <w:szCs w:val="24"/>
          <w:highlight w:val="none"/>
          <w:lang w:val="en-US" w:eastAsia="zh-CN" w:bidi="ar-SA"/>
        </w:rPr>
      </w:pPr>
    </w:p>
    <w:p w14:paraId="3B94C8C6">
      <w:pPr>
        <w:pStyle w:val="1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w:t>
      </w:r>
    </w:p>
    <w:p w14:paraId="250C3CA0">
      <w:pPr>
        <w:rPr>
          <w:rFonts w:hint="default" w:ascii="Times New Roman" w:hAnsi="Times New Roman" w:cs="Times New Roman" w:eastAsiaTheme="majorEastAsia"/>
          <w:color w:val="auto"/>
          <w:sz w:val="24"/>
          <w:szCs w:val="24"/>
          <w:highlight w:val="none"/>
        </w:rPr>
      </w:pPr>
    </w:p>
    <w:p w14:paraId="0883F191">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第一部分 部门概况</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w:t>
      </w:r>
    </w:p>
    <w:p w14:paraId="6447FF4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rPr>
      </w:pPr>
      <w:r>
        <w:rPr>
          <w:rFonts w:hint="default" w:ascii="Times New Roman" w:hAnsi="Times New Roman" w:cs="Times New Roman" w:eastAsiaTheme="majorEastAsia"/>
          <w:color w:val="auto"/>
          <w:sz w:val="24"/>
          <w:szCs w:val="24"/>
          <w:highlight w:val="none"/>
        </w:rPr>
        <w:t>一</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eastAsia="zh-CN"/>
        </w:rPr>
        <w:t>部门职责</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w:t>
      </w:r>
    </w:p>
    <w:p w14:paraId="7F3F958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二</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机构设置</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2</w:t>
      </w:r>
    </w:p>
    <w:p w14:paraId="07A05342">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第二部分</w:t>
      </w:r>
      <w:r>
        <w:rPr>
          <w:rFonts w:hint="default" w:ascii="Times New Roman" w:hAnsi="Times New Roman" w:cs="Times New Roman" w:eastAsiaTheme="majorEastAsia"/>
          <w:color w:val="auto"/>
          <w:sz w:val="24"/>
          <w:szCs w:val="24"/>
          <w:highlight w:val="none"/>
          <w:lang w:val="en-US" w:eastAsia="zh-CN"/>
        </w:rPr>
        <w:t xml:space="preserve"> 2024年度</w:t>
      </w:r>
      <w:r>
        <w:rPr>
          <w:rFonts w:hint="default" w:ascii="Times New Roman" w:hAnsi="Times New Roman" w:cs="Times New Roman" w:eastAsiaTheme="majorEastAsia"/>
          <w:color w:val="auto"/>
          <w:sz w:val="24"/>
          <w:szCs w:val="24"/>
          <w:highlight w:val="none"/>
        </w:rPr>
        <w:t>部门决算情况说明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4</w:t>
      </w:r>
    </w:p>
    <w:p w14:paraId="4A03EC4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一</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收入支出决算总体情况说明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4</w:t>
      </w:r>
    </w:p>
    <w:p w14:paraId="6B5ECD4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二</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收入决算情况说明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4</w:t>
      </w:r>
    </w:p>
    <w:p w14:paraId="0AAC1EC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三</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支出决算情况说明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5</w:t>
      </w:r>
    </w:p>
    <w:p w14:paraId="7C9C093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四</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财政拨款收入支出决算总体情况说明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6</w:t>
      </w:r>
    </w:p>
    <w:p w14:paraId="6EB2207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五</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一般公共预算财政拨款支出决算情况说明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6</w:t>
      </w:r>
    </w:p>
    <w:p w14:paraId="0AAFD65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六</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一般公共预算财政拨款基本支出决算情况说明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9</w:t>
      </w:r>
    </w:p>
    <w:p w14:paraId="7272E5A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七</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财政拨款</w:t>
      </w:r>
      <w:r>
        <w:rPr>
          <w:rFonts w:hint="default"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三公”经费支出决算情况说明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9</w:t>
      </w:r>
    </w:p>
    <w:p w14:paraId="51B167B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八</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政府性基金预算支出决算情况说明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9</w:t>
      </w:r>
    </w:p>
    <w:p w14:paraId="2A65ED5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九</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lang w:eastAsia="zh-CN"/>
        </w:rPr>
        <w:t>国</w:t>
      </w:r>
      <w:r>
        <w:rPr>
          <w:rFonts w:hint="default" w:ascii="Times New Roman" w:hAnsi="Times New Roman" w:cs="Times New Roman" w:eastAsiaTheme="majorEastAsia"/>
          <w:color w:val="auto"/>
          <w:sz w:val="24"/>
          <w:szCs w:val="24"/>
          <w:highlight w:val="none"/>
        </w:rPr>
        <w:t>有资本经营预算支出决算情况说明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9</w:t>
      </w:r>
    </w:p>
    <w:p w14:paraId="38B871B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lang w:eastAsia="zh-CN"/>
        </w:rPr>
        <w:t>十</w:t>
      </w:r>
      <w:r>
        <w:rPr>
          <w:rFonts w:hint="eastAsia" w:ascii="Times New Roman" w:hAnsi="Times New Roman"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其他重要事项的情况说明</w:t>
      </w:r>
      <w:r>
        <w:rPr>
          <w:rFonts w:hint="default" w:ascii="Times New Roman" w:hAnsi="Times New Roman" w:cs="Times New Roman" w:eastAsiaTheme="majorEastAsia"/>
          <w:color w:val="auto"/>
          <w:sz w:val="24"/>
          <w:szCs w:val="24"/>
          <w:highlight w:val="none"/>
          <w:lang w:val="en-US" w:eastAsia="zh-CN"/>
        </w:rPr>
        <w:tab/>
      </w:r>
      <w:r>
        <w:rPr>
          <w:rFonts w:hint="eastAsia" w:ascii="Times New Roman" w:hAnsi="Times New Roman" w:cs="Times New Roman" w:eastAsiaTheme="majorEastAsia"/>
          <w:color w:val="auto"/>
          <w:sz w:val="24"/>
          <w:szCs w:val="24"/>
          <w:highlight w:val="none"/>
          <w:lang w:val="en-US" w:eastAsia="zh-CN"/>
        </w:rPr>
        <w:t>9</w:t>
      </w:r>
    </w:p>
    <w:p w14:paraId="422187AC">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第三部分 名词解释</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10</w:t>
      </w:r>
    </w:p>
    <w:p w14:paraId="2895A45B">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第四部分 附件</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13</w:t>
      </w:r>
    </w:p>
    <w:p w14:paraId="3DF540CC">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color w:val="auto"/>
          <w:sz w:val="24"/>
          <w:szCs w:val="24"/>
          <w:highlight w:val="none"/>
        </w:rPr>
        <w:t>第五部分 附表</w:t>
      </w:r>
      <w:r>
        <w:rPr>
          <w:rFonts w:hint="default" w:ascii="Times New Roman" w:hAnsi="Times New Roman" w:cs="Times New Roman" w:eastAsiaTheme="majorEastAsia"/>
          <w:color w:val="auto"/>
          <w:sz w:val="24"/>
          <w:szCs w:val="24"/>
          <w:highlight w:val="none"/>
          <w:lang w:val="en-US" w:eastAsia="zh-CN"/>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50DEF09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bookmarkStart w:id="7" w:name="_Toc15377196"/>
      <w:bookmarkStart w:id="8" w:name="_Toc15396599"/>
      <w:r>
        <w:rPr>
          <w:rFonts w:hint="default" w:ascii="Times New Roman" w:hAnsi="Times New Roman" w:cs="Times New Roman" w:eastAsiaTheme="majorEastAsia"/>
          <w:snapToGrid/>
          <w:color w:val="auto"/>
          <w:kern w:val="2"/>
          <w:sz w:val="24"/>
          <w:szCs w:val="24"/>
          <w:highlight w:val="none"/>
          <w:lang w:val="en-US" w:eastAsia="zh-CN" w:bidi="ar-SA"/>
        </w:rPr>
        <w:t>一</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收入支出决算总表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33745810">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二</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收入决算表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757EC2D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三</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524B1D8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cs="Times New Roman" w:eastAsiaTheme="majorEastAsia"/>
          <w:snapToGrid/>
          <w:color w:val="auto"/>
          <w:kern w:val="2"/>
          <w:sz w:val="24"/>
          <w:szCs w:val="24"/>
          <w:highlight w:val="none"/>
          <w:lang w:val="en-US" w:eastAsia="zh-CN" w:bidi="ar-SA"/>
        </w:rPr>
        <w:t>四</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财政拨款收入支出决算总表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300AD38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五</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财政拨款支出决算明细表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5207D49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六</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一般公共预算财政拨款支出决算表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1FD4D5D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七</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一般公共预算财政拨款支出决算明细表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7F13C6F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color w:val="auto"/>
          <w:sz w:val="24"/>
          <w:szCs w:val="24"/>
          <w:highlight w:val="none"/>
          <w:lang w:val="en-US" w:eastAsia="zh-CN"/>
        </w:rPr>
      </w:pPr>
      <w:r>
        <w:rPr>
          <w:rFonts w:hint="default" w:ascii="Times New Roman" w:hAnsi="Times New Roman" w:cs="Times New Roman" w:eastAsiaTheme="majorEastAsia"/>
          <w:snapToGrid/>
          <w:color w:val="auto"/>
          <w:kern w:val="2"/>
          <w:sz w:val="24"/>
          <w:szCs w:val="24"/>
          <w:highlight w:val="none"/>
          <w:lang w:val="en-US" w:eastAsia="zh-CN" w:bidi="ar-SA"/>
        </w:rPr>
        <w:t>八</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一般公共预算财政拨款基本支出决算明细表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5A13996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九</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一般公共预算财政拨款项目支出决算表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03BE3AB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十</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政府性基金预算财政拨款收入支出决算表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158D5ED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十一</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国有资本经营预算财政拨款收入支出决算表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018A4E7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十二</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国有资本经营预算财政拨款支出决算表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5E93340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480" w:firstLineChars="200"/>
        <w:jc w:val="left"/>
        <w:textAlignment w:val="auto"/>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t>十三</w:t>
      </w:r>
      <w:r>
        <w:rPr>
          <w:rFonts w:hint="eastAsia" w:ascii="Times New Roman" w:hAnsi="Times New Roman" w:cs="Times New Roman" w:eastAsiaTheme="majorEastAsia"/>
          <w:snapToGrid/>
          <w:color w:val="auto"/>
          <w:kern w:val="2"/>
          <w:sz w:val="24"/>
          <w:szCs w:val="24"/>
          <w:highlight w:val="none"/>
          <w:lang w:val="en-US" w:eastAsia="zh-CN" w:bidi="ar-SA"/>
        </w:rPr>
        <w:t>、</w:t>
      </w:r>
      <w:r>
        <w:rPr>
          <w:rFonts w:hint="default" w:ascii="Times New Roman" w:hAnsi="Times New Roman" w:cs="Times New Roman" w:eastAsiaTheme="majorEastAsia"/>
          <w:snapToGrid/>
          <w:color w:val="auto"/>
          <w:kern w:val="2"/>
          <w:sz w:val="24"/>
          <w:szCs w:val="24"/>
          <w:highlight w:val="none"/>
          <w:lang w:val="en-US" w:eastAsia="zh-CN" w:bidi="ar-SA"/>
        </w:rPr>
        <w:t>财政拨款“三公”经费支出决算表</w:t>
      </w:r>
      <w:r>
        <w:rPr>
          <w:rFonts w:hint="default" w:ascii="Times New Roman" w:hAnsi="Times New Roman" w:cs="Times New Roman" w:eastAsiaTheme="majorEastAsia"/>
          <w:snapToGrid/>
          <w:color w:val="auto"/>
          <w:kern w:val="2"/>
          <w:sz w:val="24"/>
          <w:szCs w:val="24"/>
          <w:highlight w:val="none"/>
          <w:lang w:val="en-US" w:eastAsia="zh-CN" w:bidi="ar-SA"/>
        </w:rPr>
        <w:tab/>
      </w:r>
      <w:r>
        <w:rPr>
          <w:rFonts w:hint="default" w:ascii="Times New Roman" w:hAnsi="Times New Roman" w:cs="Times New Roman" w:eastAsiaTheme="majorEastAsia"/>
          <w:color w:val="auto"/>
          <w:sz w:val="24"/>
          <w:szCs w:val="24"/>
          <w:highlight w:val="none"/>
          <w:lang w:val="en-US" w:eastAsia="zh-CN"/>
        </w:rPr>
        <w:t>1</w:t>
      </w:r>
      <w:r>
        <w:rPr>
          <w:rFonts w:hint="eastAsia" w:ascii="Times New Roman" w:hAnsi="Times New Roman" w:cs="Times New Roman" w:eastAsiaTheme="majorEastAsia"/>
          <w:color w:val="auto"/>
          <w:sz w:val="24"/>
          <w:szCs w:val="24"/>
          <w:highlight w:val="none"/>
          <w:lang w:val="en-US" w:eastAsia="zh-CN"/>
        </w:rPr>
        <w:t>4</w:t>
      </w:r>
    </w:p>
    <w:p w14:paraId="3AEE2FEE">
      <w:pPr>
        <w:widowControl/>
        <w:spacing w:line="560" w:lineRule="exact"/>
        <w:jc w:val="left"/>
        <w:rPr>
          <w:rFonts w:hint="default" w:ascii="Times New Roman" w:hAnsi="Times New Roman" w:cs="Times New Roman" w:eastAsiaTheme="majorEastAsia"/>
          <w:snapToGrid/>
          <w:color w:val="auto"/>
          <w:kern w:val="2"/>
          <w:sz w:val="24"/>
          <w:szCs w:val="24"/>
          <w:highlight w:val="none"/>
          <w:lang w:val="en-US" w:eastAsia="zh-CN" w:bidi="ar-SA"/>
        </w:rPr>
      </w:pPr>
      <w:r>
        <w:rPr>
          <w:rFonts w:hint="default" w:ascii="Times New Roman" w:hAnsi="Times New Roman" w:cs="Times New Roman" w:eastAsiaTheme="majorEastAsia"/>
          <w:snapToGrid/>
          <w:color w:val="auto"/>
          <w:kern w:val="2"/>
          <w:sz w:val="24"/>
          <w:szCs w:val="24"/>
          <w:highlight w:val="none"/>
          <w:lang w:val="en-US" w:eastAsia="zh-CN" w:bidi="ar-SA"/>
        </w:rPr>
        <w:br w:type="page"/>
      </w:r>
    </w:p>
    <w:p w14:paraId="2D558C04">
      <w:pPr>
        <w:rPr>
          <w:rFonts w:hint="default" w:ascii="Times New Roman" w:hAnsi="Times New Roman" w:cs="Times New Roman" w:eastAsiaTheme="majorEastAsia"/>
          <w:snapToGrid/>
          <w:color w:val="auto"/>
          <w:kern w:val="2"/>
          <w:sz w:val="24"/>
          <w:szCs w:val="24"/>
          <w:highlight w:val="none"/>
          <w:lang w:val="en-US" w:eastAsia="zh-CN" w:bidi="ar-SA"/>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p>
    <w:p w14:paraId="5C404BA1">
      <w:pPr>
        <w:widowControl/>
        <w:suppressAutoHyphens/>
        <w:bidi w:val="0"/>
        <w:spacing w:line="0" w:lineRule="atLeast"/>
        <w:jc w:val="center"/>
        <w:rPr>
          <w:rStyle w:val="28"/>
          <w:rFonts w:hint="default" w:ascii="Times New Roman" w:hAnsi="Times New Roman" w:eastAsia="方正小标宋_GBK" w:cs="Times New Roman"/>
          <w:color w:val="auto"/>
          <w:highlight w:val="none"/>
        </w:rPr>
      </w:pPr>
      <w:r>
        <w:rPr>
          <w:rStyle w:val="28"/>
          <w:rFonts w:hint="default" w:ascii="Times New Roman" w:hAnsi="Times New Roman" w:eastAsia="方正小标宋_GBK" w:cs="Times New Roman"/>
          <w:color w:val="auto"/>
          <w:highlight w:val="none"/>
        </w:rPr>
        <w:t>第一部分部门概况</w:t>
      </w:r>
      <w:bookmarkEnd w:id="7"/>
      <w:bookmarkEnd w:id="8"/>
    </w:p>
    <w:p w14:paraId="22A7922F">
      <w:pPr>
        <w:widowControl/>
        <w:jc w:val="left"/>
        <w:rPr>
          <w:rFonts w:hint="default" w:ascii="Times New Roman" w:hAnsi="Times New Roman" w:eastAsia="黑体" w:cs="Times New Roman"/>
          <w:color w:val="auto"/>
          <w:sz w:val="32"/>
          <w:szCs w:val="32"/>
          <w:highlight w:val="none"/>
        </w:rPr>
      </w:pPr>
    </w:p>
    <w:p w14:paraId="4DA58D5B">
      <w:pPr>
        <w:keepNext w:val="0"/>
        <w:keepLines w:val="0"/>
        <w:widowControl w:val="0"/>
        <w:numPr>
          <w:ilvl w:val="0"/>
          <w:numId w:val="1"/>
        </w:numPr>
        <w:suppressLineNumbers w:val="0"/>
        <w:spacing w:before="0" w:beforeAutospacing="0" w:after="0" w:afterAutospacing="0" w:line="500" w:lineRule="exact"/>
        <w:ind w:left="0" w:right="0" w:firstLine="640" w:firstLineChars="200"/>
        <w:jc w:val="both"/>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部门职责</w:t>
      </w:r>
    </w:p>
    <w:p w14:paraId="3BBE086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1.贯彻执行中央</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市关于行政管理体制改革和机构改革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事业单位改革及机构编制管理的方针政策和法律法规，制定相关政策并监督实施。</w:t>
      </w:r>
    </w:p>
    <w:p w14:paraId="6E5FA8CD">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2.研究拟订全县行政管理体制改革和机构改革方案,审核县级各部门“三定”规定，评估改革效果。参与行政审批制度改革和行政区划调整的有关工作。</w:t>
      </w:r>
    </w:p>
    <w:p w14:paraId="42F2C59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3.负责全县行政事业编制总量控制和机关事业单位机构编制实名制管理工作。建立健全机构编制管理联动机制，会同有关部门严格控制财政供养人员。对全县机关和事业单位使用空缺编制补充人员进行核批。</w:t>
      </w:r>
    </w:p>
    <w:p w14:paraId="565FF7A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4.负责县委</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县政府各部门，县人大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县政协机关，县法院</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县检察院机关，各民主党派机关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各人民团体机关以及其他行政机构的机构编制管理工作。协调县级各部门之间及县级各部门与乡（镇）之间的职责分工。</w:t>
      </w:r>
    </w:p>
    <w:p w14:paraId="07118180">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5.拟订全县事业单位改革方案及相关配套政策，审核全县事业单位机构编制方案，评估改革效果。负责全县事业单位的机构编制管理工作。负责拟参照公务员法管理事业单位机构编制事项的审核工作。</w:t>
      </w:r>
    </w:p>
    <w:p w14:paraId="55DD7328">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6.监督检查全县行政管理体制改革和机构改革方案及机构编制规定执行情况，建立机构编制工作考核评估制度,会同有关部门查处机构编制违法违纪行为。</w:t>
      </w:r>
    </w:p>
    <w:p w14:paraId="31BA921D">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7.负责全县事业单位登记管理工作。</w:t>
      </w:r>
    </w:p>
    <w:p w14:paraId="73451D97">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8.承办县委</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县政府和县委编委交办的其他工作。</w:t>
      </w:r>
      <w:bookmarkStart w:id="9" w:name="_Toc15377200"/>
      <w:bookmarkStart w:id="10" w:name="_Toc15396601"/>
    </w:p>
    <w:p w14:paraId="4DE5B344">
      <w:pPr>
        <w:suppressAutoHyphens/>
        <w:bidi w:val="0"/>
        <w:snapToGrid w:val="0"/>
        <w:spacing w:line="576" w:lineRule="exact"/>
        <w:ind w:firstLine="640" w:firstLineChars="200"/>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二</w:t>
      </w:r>
      <w:r>
        <w:rPr>
          <w:rFonts w:hint="eastAsia" w:ascii="Times New Roman" w:hAnsi="Times New Roman" w:eastAsia="黑体" w:cs="Times New Roman"/>
          <w:b w:val="0"/>
          <w:bCs/>
          <w:color w:val="auto"/>
          <w:kern w:val="2"/>
          <w:sz w:val="32"/>
          <w:szCs w:val="32"/>
          <w:highlight w:val="none"/>
          <w:lang w:val="en-US" w:eastAsia="zh-CN" w:bidi="ar-SA"/>
        </w:rPr>
        <w:t>、</w:t>
      </w:r>
      <w:r>
        <w:rPr>
          <w:rFonts w:hint="default" w:ascii="Times New Roman" w:hAnsi="Times New Roman" w:eastAsia="黑体" w:cs="Times New Roman"/>
          <w:b w:val="0"/>
          <w:bCs/>
          <w:color w:val="auto"/>
          <w:kern w:val="2"/>
          <w:sz w:val="32"/>
          <w:szCs w:val="32"/>
          <w:highlight w:val="none"/>
          <w:lang w:val="en-US" w:eastAsia="zh-CN" w:bidi="ar-SA"/>
        </w:rPr>
        <w:t>机构设置</w:t>
      </w:r>
      <w:bookmarkEnd w:id="9"/>
      <w:bookmarkEnd w:id="10"/>
    </w:p>
    <w:p w14:paraId="7C3270AF">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中共盐边县委机构编制委员会办公室内设2个</w:t>
      </w:r>
      <w:r>
        <w:rPr>
          <w:rFonts w:hint="eastAsia" w:ascii="Times New Roman" w:hAnsi="Times New Roman" w:eastAsia="方正仿宋_GBK" w:cs="Times New Roman"/>
          <w:color w:val="auto"/>
          <w:sz w:val="32"/>
          <w:szCs w:val="32"/>
          <w:lang w:val="en-US" w:eastAsia="zh-CN"/>
        </w:rPr>
        <w:t>内设</w:t>
      </w:r>
      <w:r>
        <w:rPr>
          <w:rFonts w:hint="default" w:ascii="Times New Roman" w:hAnsi="Times New Roman" w:eastAsia="方正仿宋_GBK" w:cs="Times New Roman"/>
          <w:color w:val="auto"/>
          <w:sz w:val="32"/>
          <w:szCs w:val="32"/>
          <w:lang w:val="en-US" w:eastAsia="zh-CN"/>
        </w:rPr>
        <w:t>机构。</w:t>
      </w:r>
    </w:p>
    <w:p w14:paraId="79174B96">
      <w:pPr>
        <w:suppressAutoHyphens/>
        <w:bidi w:val="0"/>
        <w:snapToGrid w:val="0"/>
        <w:spacing w:line="576" w:lineRule="exact"/>
        <w:ind w:firstLine="643" w:firstLineChars="200"/>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1.综合股</w:t>
      </w:r>
    </w:p>
    <w:p w14:paraId="072665A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负责文电</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会务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机要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信息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保密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档案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接待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信访</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财务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公文审核</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信息宣传</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资产管理和后勤保障等机关日常运转和综合协调工作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承办综合性文稿起草和公文审核工作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制定机关内部管理规章制度并监督实施</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负责机关目标管理和内部督查，督促重点工作和领导批示的落实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负责机关和直属单位的机构编制</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干部人事和离退休人员管理等工作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承担机关和直属单位党建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纪检和精神文明建设等方面的具体工作。</w:t>
      </w:r>
    </w:p>
    <w:p w14:paraId="0AB67350">
      <w:pPr>
        <w:suppressAutoHyphens/>
        <w:bidi w:val="0"/>
        <w:snapToGrid w:val="0"/>
        <w:spacing w:line="576" w:lineRule="exact"/>
        <w:ind w:firstLine="643" w:firstLineChars="200"/>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2.机构编制管理股</w:t>
      </w:r>
      <w:r>
        <w:rPr>
          <w:rFonts w:hint="eastAsia"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监督检查股</w:t>
      </w:r>
      <w:r>
        <w:rPr>
          <w:rFonts w:hint="eastAsia" w:ascii="Times New Roman" w:hAnsi="Times New Roman" w:eastAsia="方正仿宋_GBK" w:cs="Times New Roman"/>
          <w:b/>
          <w:bCs/>
          <w:color w:val="auto"/>
          <w:sz w:val="32"/>
          <w:szCs w:val="32"/>
          <w:lang w:val="en-US" w:eastAsia="zh-CN"/>
        </w:rPr>
        <w:t>）</w:t>
      </w:r>
    </w:p>
    <w:p w14:paraId="4D800593">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研究拟订全县党的机关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人大机关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政协机关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政府机关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民主党派机关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人民团体机关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以下简称党政群机关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和政法机关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部门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机构改革方案及相关配套政策，审核县级党政群机关和政法机关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部门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 xml:space="preserve"> "三定"规定并督促落实，评估改革效果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负责县级党政群机关和政法机关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部门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的机构编制管理工作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承担有关管理体制改革工作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承办县级党政群机关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政法机关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部门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使用空缺编制补充人员核批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研究拟订全县事业单位改革方案及相关配套政策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研究拟订全县事业单位机构编制管理标准和实施意见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拟订全县事业单位机构编制总量控制方案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负责全县事业单位机构编制事项的审核</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审批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负责拟参照公务员法管理事业单位机构编制事项的初审工作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承担行业体制改革涉及的事业机构编制工作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承办全县事业单位使用空缺编制补充人员核批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负责全县事业单位机构编制管理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监督检查全县机关</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事业单位贯彻执行机构编制工作方针政策和法律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法规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规章的情况</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负责行政管理体制改革和机构改革方案执行情况</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县级各部门和各乡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镇</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 xml:space="preserve"> "三定"规定或机构编制方案执行情况的检查和评估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负责开展机构编制违规违纪行为预防教育</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 xml:space="preserve">负责 </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lang w:val="en-US" w:eastAsia="zh-CN"/>
        </w:rPr>
        <w:t>310”</w:t>
      </w:r>
      <w:r>
        <w:rPr>
          <w:rFonts w:hint="default" w:ascii="Times New Roman" w:hAnsi="Times New Roman" w:eastAsia="方正仿宋_GBK" w:cs="Times New Roman"/>
          <w:color w:val="auto"/>
          <w:sz w:val="32"/>
          <w:szCs w:val="32"/>
          <w:lang w:val="en-US" w:eastAsia="zh-CN"/>
        </w:rPr>
        <w:t>举报电话的受理工作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会同有关部门对违反机构编制纪律的问题提出处理意见</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开展机构编制调研工作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承担机构编制统计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宣传和机构编制实名制管理等工作</w:t>
      </w:r>
      <w:r>
        <w:rPr>
          <w:rFonts w:hint="eastAsia" w:ascii="Times New Roman" w:hAnsi="Times New Roman" w:eastAsia="方正仿宋_GBK" w:cs="Times New Roman"/>
          <w:color w:val="auto"/>
          <w:sz w:val="32"/>
          <w:szCs w:val="32"/>
          <w:lang w:val="en-US" w:eastAsia="zh-CN"/>
        </w:rPr>
        <w:t>。</w:t>
      </w:r>
    </w:p>
    <w:p w14:paraId="3FC92A3A">
      <w:pPr>
        <w:pStyle w:val="6"/>
        <w:adjustRightInd w:val="0"/>
        <w:snapToGrid w:val="0"/>
        <w:spacing w:before="93" w:line="600" w:lineRule="exact"/>
        <w:ind w:firstLine="672" w:firstLineChars="210"/>
        <w:rPr>
          <w:rFonts w:hint="default" w:ascii="Times New Roman" w:hAnsi="Times New Roman" w:eastAsia="仿宋_GB2312" w:cs="Times New Roman"/>
          <w:color w:val="auto"/>
          <w:sz w:val="32"/>
          <w:szCs w:val="32"/>
          <w:highlight w:val="none"/>
        </w:rPr>
      </w:pPr>
    </w:p>
    <w:p w14:paraId="7F9142D7">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58EBC15F">
      <w:pPr>
        <w:widowControl/>
        <w:suppressAutoHyphens/>
        <w:bidi w:val="0"/>
        <w:spacing w:line="0" w:lineRule="atLeast"/>
        <w:jc w:val="center"/>
        <w:rPr>
          <w:rStyle w:val="28"/>
          <w:rFonts w:hint="default" w:ascii="Times New Roman" w:hAnsi="Times New Roman" w:eastAsia="方正小标宋_GBK" w:cs="Times New Roman"/>
          <w:color w:val="auto"/>
          <w:highlight w:val="none"/>
        </w:rPr>
      </w:pPr>
      <w:bookmarkStart w:id="11" w:name="_Toc15377204"/>
      <w:bookmarkStart w:id="12" w:name="_Toc15396602"/>
      <w:r>
        <w:rPr>
          <w:rStyle w:val="28"/>
          <w:rFonts w:hint="default" w:ascii="Times New Roman" w:hAnsi="Times New Roman" w:eastAsia="方正小标宋_GBK" w:cs="Times New Roman"/>
          <w:color w:val="auto"/>
          <w:highlight w:val="none"/>
        </w:rPr>
        <w:t>第二部分</w:t>
      </w:r>
      <w:r>
        <w:rPr>
          <w:rStyle w:val="28"/>
          <w:rFonts w:hint="default" w:ascii="Times New Roman" w:hAnsi="Times New Roman" w:eastAsia="方正小标宋_GBK" w:cs="Times New Roman"/>
          <w:color w:val="auto"/>
          <w:highlight w:val="none"/>
          <w:lang w:val="en-US" w:eastAsia="zh-CN"/>
        </w:rPr>
        <w:t>2024年度</w:t>
      </w:r>
      <w:r>
        <w:rPr>
          <w:rStyle w:val="28"/>
          <w:rFonts w:hint="default" w:ascii="Times New Roman" w:hAnsi="Times New Roman" w:eastAsia="方正小标宋_GBK" w:cs="Times New Roman"/>
          <w:color w:val="auto"/>
          <w:highlight w:val="none"/>
        </w:rPr>
        <w:t>部门决算情况说明</w:t>
      </w:r>
      <w:bookmarkEnd w:id="11"/>
      <w:bookmarkEnd w:id="12"/>
    </w:p>
    <w:p w14:paraId="0147E48A">
      <w:pPr>
        <w:pStyle w:val="14"/>
        <w:rPr>
          <w:rFonts w:hint="default" w:ascii="Times New Roman" w:hAnsi="Times New Roman" w:cs="Times New Roman"/>
        </w:rPr>
      </w:pPr>
    </w:p>
    <w:p w14:paraId="5ACF7A7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3" w:name="_Toc15396603"/>
      <w:bookmarkStart w:id="14" w:name="_Toc15377205"/>
      <w:r>
        <w:rPr>
          <w:rFonts w:hint="default" w:ascii="Times New Roman" w:hAnsi="Times New Roman" w:eastAsia="黑体" w:cs="Times New Roman"/>
          <w:color w:val="auto"/>
          <w:sz w:val="32"/>
          <w:szCs w:val="32"/>
          <w:highlight w:val="none"/>
          <w:lang w:eastAsia="zh-CN"/>
        </w:rPr>
        <w:t>一</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3"/>
      <w:bookmarkEnd w:id="14"/>
    </w:p>
    <w:p w14:paraId="736B9D9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2024年度收入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支出总计均为274.3万元。与2023年度相比，收入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支出总计减少29.34万元，下降9.6%。主要变动原因是上年人员调动。</w:t>
      </w:r>
    </w:p>
    <w:p w14:paraId="793C0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（图1：收入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支出决算总计变动情况图）（柱状图）</w:t>
      </w:r>
    </w:p>
    <w:p w14:paraId="112412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5432425" cy="3409950"/>
            <wp:effectExtent l="4445" t="4445" r="1143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2FB48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15" w:name="_Toc15377206"/>
      <w:bookmarkStart w:id="16" w:name="_Toc15396604"/>
      <w:r>
        <w:rPr>
          <w:rFonts w:hint="default" w:ascii="Times New Roman" w:hAnsi="Times New Roman" w:eastAsia="黑体" w:cs="Times New Roman"/>
          <w:color w:val="auto"/>
          <w:sz w:val="32"/>
          <w:szCs w:val="32"/>
          <w:highlight w:val="none"/>
          <w:lang w:eastAsia="zh-CN"/>
        </w:rPr>
        <w:t>二</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CN"/>
        </w:rPr>
        <w:t>收入决算情况说明</w:t>
      </w:r>
      <w:bookmarkEnd w:id="15"/>
      <w:bookmarkEnd w:id="16"/>
    </w:p>
    <w:p w14:paraId="5098805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本年收入合计274.3万元，其中：一般公共预算财政拨款收入274.3万元，占100%；政府性基金预算财政拨款收入0万元，占0%；国有资本经营预算财政拨款收入0万元，占0%；上级补助收入0万元，占0%；事业收入0万元，占0%；经营收入0万元，占0%；附属单位上缴收入0万元，占0%；其他收入0万元，占0%。</w:t>
      </w:r>
    </w:p>
    <w:p w14:paraId="32FC0E0F">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（图2：收入决算结构图）（饼状图）</w:t>
      </w:r>
    </w:p>
    <w:p w14:paraId="3E9C514A">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FF0000"/>
        </w:rPr>
        <w:object>
          <v:shape id="_x0000_i1025" o:spt="75" alt="2.png" type="#_x0000_t75" style="height:191.2pt;width:379.75pt;" o:ole="t" filled="f" o:preferrelative="t" stroked="f" coordsize="21600,21600">
            <v:path/>
            <v:fill on="f" focussize="0,0"/>
            <v:stroke on="f"/>
            <v:imagedata r:id="rId14" o:title="2.png"/>
            <o:lock v:ext="edit" aspectratio="t"/>
            <w10:wrap type="none"/>
            <w10:anchorlock/>
          </v:shape>
          <o:OLEObject Type="Embed" ProgID="Excel.Sheet.8" ShapeID="_x0000_i1025" DrawAspect="Content" ObjectID="_1468075725" r:id="rId13">
            <o:LockedField>false</o:LockedField>
          </o:OLEObject>
        </w:object>
      </w:r>
    </w:p>
    <w:p w14:paraId="2B2EECE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7" w:name="_Toc15396605"/>
      <w:bookmarkStart w:id="18" w:name="_Toc15377207"/>
      <w:r>
        <w:rPr>
          <w:rFonts w:hint="default" w:ascii="Times New Roman" w:hAnsi="Times New Roman" w:eastAsia="黑体" w:cs="Times New Roman"/>
          <w:color w:val="auto"/>
          <w:sz w:val="32"/>
          <w:szCs w:val="32"/>
          <w:highlight w:val="none"/>
          <w:lang w:eastAsia="zh-CN"/>
        </w:rPr>
        <w:t>三</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17"/>
      <w:bookmarkEnd w:id="18"/>
    </w:p>
    <w:p w14:paraId="103F760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2024年度本年支出合计274.3万元，其中：基本支出264.3万元，占96.35%；项目支出10万元，占3.65%；上缴上级支出0万元，占0%；经营支出0万元，占0%；对附属单位补助支出0万元，占0%。</w:t>
      </w:r>
    </w:p>
    <w:p w14:paraId="360FE049">
      <w:pPr>
        <w:ind w:firstLine="800" w:firstLineChars="25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（图3：支出决算结构图）（饼状图）</w:t>
      </w:r>
    </w:p>
    <w:p w14:paraId="2A06CC66">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606925" cy="3013710"/>
            <wp:effectExtent l="4445" t="4445" r="1778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926884">
      <w:pPr>
        <w:spacing w:line="600" w:lineRule="exact"/>
        <w:ind w:firstLine="640" w:firstLineChars="200"/>
        <w:outlineLvl w:val="1"/>
        <w:rPr>
          <w:rFonts w:hint="default" w:ascii="Times New Roman" w:hAnsi="Times New Roman" w:eastAsia="黑体" w:cs="Times New Roman"/>
          <w:color w:val="auto"/>
          <w:sz w:val="32"/>
          <w:szCs w:val="32"/>
          <w:highlight w:val="none"/>
        </w:rPr>
      </w:pPr>
      <w:bookmarkStart w:id="19" w:name="_Toc15396606"/>
      <w:bookmarkStart w:id="20" w:name="_Toc15377208"/>
    </w:p>
    <w:p w14:paraId="63B91770">
      <w:pPr>
        <w:pStyle w:val="6"/>
        <w:rPr>
          <w:rFonts w:hint="default" w:ascii="Times New Roman" w:hAnsi="Times New Roman" w:cs="Times New Roman"/>
        </w:rPr>
      </w:pPr>
    </w:p>
    <w:p w14:paraId="31CAD6AB">
      <w:pPr>
        <w:spacing w:line="600" w:lineRule="exact"/>
        <w:ind w:firstLine="640" w:firstLineChars="200"/>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四</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财</w:t>
      </w:r>
      <w:r>
        <w:rPr>
          <w:rStyle w:val="29"/>
          <w:rFonts w:hint="default" w:ascii="Times New Roman" w:hAnsi="Times New Roman" w:eastAsia="黑体" w:cs="Times New Roman"/>
          <w:b w:val="0"/>
          <w:color w:val="auto"/>
          <w:highlight w:val="none"/>
        </w:rPr>
        <w:t>政拨款收入支出决算总体情况说明</w:t>
      </w:r>
      <w:bookmarkEnd w:id="19"/>
      <w:bookmarkEnd w:id="20"/>
    </w:p>
    <w:p w14:paraId="0B05B533">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2024年度财政拨款收入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支出总计均为274.3万元。与2023年度相比，财政拨款收入总计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支出总计各减少29.34万元，下降9.6%。主要变动原因是人员调动。</w:t>
      </w:r>
    </w:p>
    <w:p w14:paraId="4A3346C8">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（图4：财政拨款收</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支决算总计变动情况）（柱状图）</w:t>
      </w:r>
    </w:p>
    <w:p w14:paraId="799EFBDF">
      <w:pPr>
        <w:pStyle w:val="2"/>
        <w:rPr>
          <w:rFonts w:hint="default" w:ascii="Times New Roman" w:hAnsi="Times New Roman" w:eastAsia="黑体" w:cs="Times New Roman"/>
          <w:color w:val="auto"/>
          <w:sz w:val="32"/>
          <w:szCs w:val="32"/>
          <w:highlight w:val="none"/>
        </w:rPr>
      </w:pPr>
      <w:bookmarkStart w:id="21" w:name="_Toc15377209"/>
      <w:bookmarkStart w:id="22" w:name="_Toc15396607"/>
      <w:r>
        <w:rPr>
          <w:rFonts w:hint="default" w:ascii="Times New Roman" w:hAnsi="Times New Roman" w:eastAsia="仿宋_GB2312" w:cs="Times New Roman"/>
          <w:color w:val="auto"/>
          <w:sz w:val="32"/>
          <w:szCs w:val="32"/>
          <w:highlight w:val="none"/>
          <w:lang w:eastAsia="zh-CN"/>
        </w:rPr>
        <w:drawing>
          <wp:inline distT="0" distB="0" distL="114300" distR="114300">
            <wp:extent cx="5432425" cy="4041775"/>
            <wp:effectExtent l="5080" t="4445" r="10795" b="1143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75D3EB">
      <w:pPr>
        <w:spacing w:line="600" w:lineRule="exact"/>
        <w:ind w:firstLine="640" w:firstLineChars="200"/>
        <w:outlineLvl w:val="1"/>
        <w:rPr>
          <w:rStyle w:val="29"/>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eastAsia"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21"/>
      <w:bookmarkEnd w:id="22"/>
    </w:p>
    <w:p w14:paraId="6BF92DCD">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bookmarkStart w:id="23" w:name="_Toc15377210"/>
      <w:r>
        <w:rPr>
          <w:rFonts w:hint="default" w:ascii="Times New Roman" w:hAnsi="Times New Roman" w:eastAsia="方正仿宋_GBK" w:cs="Times New Roman"/>
          <w:color w:val="auto"/>
          <w:sz w:val="32"/>
          <w:szCs w:val="32"/>
          <w:lang w:val="en-US" w:eastAsia="zh-CN"/>
        </w:rPr>
        <w:t>（一）一般公共预算财政拨款支出决算总体情况</w:t>
      </w:r>
      <w:bookmarkEnd w:id="23"/>
    </w:p>
    <w:p w14:paraId="26B54E4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2024年度一般公共预算财政拨款支出274.3万元,占本年支出合计的100%｡与2023年度相比,一般公共预算财政拨款支出减少29.34万元,下降9.6%｡主要变动原因是人员调动｡</w:t>
      </w:r>
    </w:p>
    <w:p w14:paraId="435AF99A">
      <w:pPr>
        <w:spacing w:line="60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（图5：一般公共预算财政拨款支出决算变动情况）（柱状图）</w:t>
      </w:r>
    </w:p>
    <w:p w14:paraId="3B00042F">
      <w:pPr>
        <w:spacing w:line="600" w:lineRule="exact"/>
        <w:outlineLvl w:val="2"/>
        <w:rPr>
          <w:rFonts w:hint="default" w:ascii="Times New Roman" w:hAnsi="Times New Roman" w:eastAsia="楷体_GB2312" w:cs="Times New Roman"/>
          <w:b/>
          <w:color w:val="auto"/>
          <w:sz w:val="32"/>
          <w:szCs w:val="32"/>
          <w:highlight w:val="none"/>
        </w:rPr>
      </w:pPr>
      <w:bookmarkStart w:id="24" w:name="_Toc15377211"/>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15240</wp:posOffset>
            </wp:positionH>
            <wp:positionV relativeFrom="paragraph">
              <wp:posOffset>403225</wp:posOffset>
            </wp:positionV>
            <wp:extent cx="5432425" cy="2497455"/>
            <wp:effectExtent l="4445" t="4445" r="11430" b="12700"/>
            <wp:wrapTight wrapText="bothSides">
              <wp:wrapPolygon>
                <wp:start x="-18" y="-38"/>
                <wp:lineTo x="-18" y="21545"/>
                <wp:lineTo x="21570" y="21545"/>
                <wp:lineTo x="21570" y="-38"/>
                <wp:lineTo x="-18" y="-38"/>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4E63ACE8">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24"/>
    </w:p>
    <w:p w14:paraId="2F788361">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2024年度一般公共预算财政拨款支出274.3万元,主要用于以下方面:一般公共服务支出203.19万元,占74%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社会保障和就业支出30.31万元,占11%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卫生健康支出21.29万元,占7.8%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住房保障支出19.5万元,占7.2%｡</w:t>
      </w:r>
    </w:p>
    <w:p w14:paraId="5BE27652">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（图6：一般公共预算财政拨款支出决算结构）（饼状图）</w:t>
      </w:r>
    </w:p>
    <w:p w14:paraId="3E71BE7E">
      <w:pPr>
        <w:pStyle w:val="6"/>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0288" behindDoc="1" locked="0" layoutInCell="1" allowOverlap="1">
            <wp:simplePos x="0" y="0"/>
            <wp:positionH relativeFrom="column">
              <wp:posOffset>242570</wp:posOffset>
            </wp:positionH>
            <wp:positionV relativeFrom="paragraph">
              <wp:posOffset>253365</wp:posOffset>
            </wp:positionV>
            <wp:extent cx="5139055" cy="2727325"/>
            <wp:effectExtent l="4445" t="4445" r="57150" b="11430"/>
            <wp:wrapTight wrapText="bothSides">
              <wp:wrapPolygon>
                <wp:start x="-19" y="-35"/>
                <wp:lineTo x="-19" y="21540"/>
                <wp:lineTo x="21520" y="21540"/>
                <wp:lineTo x="21520" y="-35"/>
                <wp:lineTo x="-19" y="-35"/>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22046C4E">
      <w:pPr>
        <w:rPr>
          <w:rFonts w:hint="default" w:ascii="Times New Roman" w:hAnsi="Times New Roman" w:eastAsia="仿宋_GB2312" w:cs="Times New Roman"/>
          <w:color w:val="auto"/>
          <w:kern w:val="2"/>
          <w:sz w:val="32"/>
          <w:szCs w:val="32"/>
          <w:highlight w:val="none"/>
          <w:lang w:val="en-US" w:eastAsia="zh-CN" w:bidi="ar-SA"/>
        </w:rPr>
      </w:pPr>
    </w:p>
    <w:p w14:paraId="4518DD47">
      <w:pPr>
        <w:pStyle w:val="2"/>
        <w:rPr>
          <w:rFonts w:hint="default" w:ascii="Times New Roman" w:hAnsi="Times New Roman" w:eastAsia="仿宋_GB2312" w:cs="Times New Roman"/>
          <w:color w:val="auto"/>
          <w:kern w:val="2"/>
          <w:sz w:val="32"/>
          <w:szCs w:val="32"/>
          <w:highlight w:val="none"/>
          <w:lang w:val="en-US" w:eastAsia="zh-CN" w:bidi="ar-SA"/>
        </w:rPr>
      </w:pPr>
    </w:p>
    <w:p w14:paraId="2692F134">
      <w:pPr>
        <w:rPr>
          <w:rFonts w:hint="default" w:ascii="Times New Roman" w:hAnsi="Times New Roman" w:eastAsia="仿宋_GB2312" w:cs="Times New Roman"/>
          <w:color w:val="auto"/>
          <w:kern w:val="2"/>
          <w:sz w:val="32"/>
          <w:szCs w:val="32"/>
          <w:highlight w:val="none"/>
          <w:lang w:val="en-US" w:eastAsia="zh-CN" w:bidi="ar-SA"/>
        </w:rPr>
      </w:pPr>
    </w:p>
    <w:p w14:paraId="6F9243CB">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2BABB9F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5"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25"/>
    </w:p>
    <w:p w14:paraId="604988BD">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bookmarkStart w:id="26" w:name="_Toc15377213"/>
      <w:bookmarkStart w:id="27" w:name="_Toc15378460"/>
      <w:bookmarkStart w:id="28" w:name="_Toc15377444"/>
      <w:r>
        <w:rPr>
          <w:rFonts w:hint="default" w:ascii="Times New Roman" w:hAnsi="Times New Roman" w:eastAsia="方正仿宋_GBK" w:cs="Times New Roman"/>
          <w:color w:val="auto"/>
          <w:sz w:val="32"/>
          <w:szCs w:val="32"/>
          <w:lang w:val="en-US" w:eastAsia="zh-CN"/>
        </w:rPr>
        <w:t>2024年度一般公共预算财政拨款支出决算数为274.3,完成预算100%｡其中:</w:t>
      </w:r>
      <w:bookmarkEnd w:id="26"/>
      <w:bookmarkEnd w:id="27"/>
      <w:bookmarkEnd w:id="28"/>
    </w:p>
    <w:p w14:paraId="279689DA">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一般公共服务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组织事务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行政运行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:支出决算为151.1万元,完成预算100%｡</w:t>
      </w:r>
    </w:p>
    <w:p w14:paraId="5486527E">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一般公共服务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组织事务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事业运行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:支出决算为42.09万元,完成预算100%｡</w:t>
      </w:r>
    </w:p>
    <w:p w14:paraId="69E02120">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一般公共服务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组织事务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其他组织事务支出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:支出决算为10万元,完成预算100%｡</w:t>
      </w:r>
    </w:p>
    <w:p w14:paraId="07D9B5F9">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社会保障和就业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行政单位离退休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:支出决算为5.65万元,完成预算100%｡</w:t>
      </w:r>
    </w:p>
    <w:p w14:paraId="17836FFA">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社会保障和就业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机关事业单位基本养老保险缴费支出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:支出决算为23.52万元,完成预算100%｡</w:t>
      </w:r>
    </w:p>
    <w:p w14:paraId="2D621748">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社会保障和就业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抚恤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伤残抚恤</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:支出决算为1.14万元,完成预算100%｡</w:t>
      </w:r>
    </w:p>
    <w:p w14:paraId="16D3C0AF">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卫生健康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行政单位医疗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:支出决算为10.03万元,完成预算100%｡</w:t>
      </w:r>
    </w:p>
    <w:p w14:paraId="07CD05D1">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卫生健康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事业单位医疗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:支出决算为2.94万元,完成预算100%｡</w:t>
      </w:r>
    </w:p>
    <w:p w14:paraId="7A96CA9A">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卫生健康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公务员医疗补助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:支出决算为1.13万元,完成预算100%｡</w:t>
      </w:r>
    </w:p>
    <w:p w14:paraId="3AE0EE7D">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卫生健康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其他行政事业单位医疗支出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:支出决算为7.19万元,完成预算100%｡</w:t>
      </w:r>
    </w:p>
    <w:p w14:paraId="29F2505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住房保障</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住房改革支出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住房公积金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:支出决算为19.51万元,完成预算100%｡</w:t>
      </w:r>
    </w:p>
    <w:p w14:paraId="19F1423F">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29" w:name="_Toc15396608"/>
      <w:bookmarkStart w:id="30" w:name="_Toc15377214"/>
      <w:r>
        <w:rPr>
          <w:rFonts w:hint="default" w:ascii="Times New Roman" w:hAnsi="Times New Roman" w:eastAsia="黑体" w:cs="Times New Roman"/>
          <w:color w:val="auto"/>
          <w:sz w:val="32"/>
          <w:szCs w:val="32"/>
          <w:highlight w:val="none"/>
        </w:rPr>
        <w:t>六</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29"/>
      <w:bookmarkEnd w:id="30"/>
      <w:r>
        <w:rPr>
          <w:rStyle w:val="29"/>
          <w:rFonts w:hint="default" w:ascii="Times New Roman" w:hAnsi="Times New Roman" w:eastAsia="黑体" w:cs="Times New Roman"/>
          <w:b w:val="0"/>
          <w:color w:val="auto"/>
          <w:highlight w:val="none"/>
        </w:rPr>
        <w:tab/>
      </w:r>
    </w:p>
    <w:p w14:paraId="5969D264">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2024年度一般公共预算财政拨款基本支出264.3万元，其中：</w:t>
      </w:r>
    </w:p>
    <w:p w14:paraId="3612897F">
      <w:pPr>
        <w:suppressAutoHyphens/>
        <w:bidi w:val="0"/>
        <w:snapToGrid w:val="0"/>
        <w:spacing w:line="576" w:lineRule="exact"/>
        <w:ind w:firstLine="640" w:firstLineChars="200"/>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lang w:val="en-US" w:eastAsia="zh-CN"/>
        </w:rPr>
        <w:t>人员经费242.06万元，主要包括：基本工资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津贴补贴</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奖金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绩效工资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机关事业单位基本养老保险缴费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职工基本医疗保险缴费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公务员医疗补助缴费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其他社会保障缴费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其他工资福利支出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住房公积金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医疗费支出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抚恤金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生活补助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医疗费补助等。</w:t>
      </w:r>
      <w:r>
        <w:rPr>
          <w:rFonts w:hint="default" w:ascii="Times New Roman" w:hAnsi="Times New Roman" w:eastAsia="方正仿宋_GBK" w:cs="Times New Roman"/>
          <w:color w:val="auto"/>
          <w:sz w:val="32"/>
          <w:szCs w:val="32"/>
          <w:lang w:val="en-US" w:eastAsia="zh-CN"/>
        </w:rPr>
        <w:br w:type="textWrapping"/>
      </w:r>
      <w:r>
        <w:rPr>
          <w:rFonts w:hint="default" w:ascii="Times New Roman" w:hAnsi="Times New Roman" w:eastAsia="方正仿宋_GBK" w:cs="Times New Roman"/>
          <w:color w:val="auto"/>
          <w:sz w:val="32"/>
          <w:szCs w:val="32"/>
          <w:lang w:val="en-US" w:eastAsia="zh-CN"/>
        </w:rPr>
        <w:t>　　公用经费22.24万元，主要包括：办公费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印刷费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电费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邮电费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差旅费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维修（护）费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劳务费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委托业务费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工会经费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福利费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其他交通费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其他商品和服务支出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办公设备购置等。</w:t>
      </w:r>
    </w:p>
    <w:p w14:paraId="12224932">
      <w:pPr>
        <w:spacing w:line="600" w:lineRule="exact"/>
        <w:ind w:firstLine="640"/>
        <w:outlineLvl w:val="1"/>
        <w:rPr>
          <w:rStyle w:val="29"/>
          <w:rFonts w:hint="default" w:ascii="Times New Roman" w:hAnsi="Times New Roman" w:eastAsia="黑体" w:cs="Times New Roman"/>
          <w:b w:val="0"/>
          <w:color w:val="auto"/>
          <w:highlight w:val="none"/>
        </w:rPr>
      </w:pPr>
      <w:bookmarkStart w:id="31" w:name="_Toc15377215"/>
      <w:bookmarkStart w:id="32" w:name="_Toc15396609"/>
      <w:r>
        <w:rPr>
          <w:rFonts w:hint="default" w:ascii="Times New Roman" w:hAnsi="Times New Roman" w:eastAsia="黑体" w:cs="Times New Roman"/>
          <w:color w:val="auto"/>
          <w:sz w:val="32"/>
          <w:szCs w:val="32"/>
          <w:highlight w:val="none"/>
        </w:rPr>
        <w:t>七</w:t>
      </w:r>
      <w:r>
        <w:rPr>
          <w:rFonts w:hint="eastAsia" w:ascii="Times New Roman" w:hAnsi="Times New Roman" w:eastAsia="黑体" w:cs="Times New Roman"/>
          <w:color w:val="auto"/>
          <w:sz w:val="32"/>
          <w:szCs w:val="32"/>
          <w:highlight w:val="none"/>
          <w:lang w:eastAsia="zh-CN"/>
        </w:rPr>
        <w:t>、</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31"/>
      <w:bookmarkEnd w:id="32"/>
    </w:p>
    <w:p w14:paraId="1E3CF35F">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2024年度本单位未列支“三公”经费。</w:t>
      </w:r>
    </w:p>
    <w:p w14:paraId="08C2FC12">
      <w:pPr>
        <w:spacing w:line="600" w:lineRule="exact"/>
        <w:ind w:firstLine="640"/>
        <w:outlineLvl w:val="1"/>
        <w:rPr>
          <w:rStyle w:val="29"/>
          <w:rFonts w:hint="default" w:ascii="Times New Roman" w:hAnsi="Times New Roman" w:eastAsia="黑体" w:cs="Times New Roman"/>
          <w:color w:val="auto"/>
          <w:highlight w:val="none"/>
        </w:rPr>
      </w:pPr>
      <w:bookmarkStart w:id="33" w:name="_Toc15396610"/>
      <w:bookmarkStart w:id="34" w:name="_Toc15377218"/>
      <w:r>
        <w:rPr>
          <w:rFonts w:hint="default" w:ascii="Times New Roman" w:hAnsi="Times New Roman" w:eastAsia="黑体" w:cs="Times New Roman"/>
          <w:color w:val="auto"/>
          <w:sz w:val="32"/>
          <w:szCs w:val="32"/>
          <w:highlight w:val="none"/>
        </w:rPr>
        <w:t>八</w:t>
      </w:r>
      <w:r>
        <w:rPr>
          <w:rFonts w:hint="eastAsia" w:ascii="Times New Roman" w:hAnsi="Times New Roman" w:eastAsia="黑体" w:cs="Times New Roman"/>
          <w:color w:val="auto"/>
          <w:sz w:val="32"/>
          <w:szCs w:val="32"/>
          <w:highlight w:val="none"/>
          <w:lang w:eastAsia="zh-CN"/>
        </w:rPr>
        <w:t>、</w:t>
      </w:r>
      <w:r>
        <w:rPr>
          <w:rStyle w:val="29"/>
          <w:rFonts w:hint="default" w:ascii="Times New Roman" w:hAnsi="Times New Roman" w:eastAsia="黑体" w:cs="Times New Roman"/>
          <w:b w:val="0"/>
          <w:color w:val="auto"/>
          <w:highlight w:val="none"/>
        </w:rPr>
        <w:t>政府性基金预算支出决算情况说明</w:t>
      </w:r>
      <w:bookmarkEnd w:id="33"/>
      <w:bookmarkEnd w:id="34"/>
    </w:p>
    <w:p w14:paraId="54E6541F">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2024年度政府性基金预算财政拨款支出0万元。</w:t>
      </w:r>
    </w:p>
    <w:p w14:paraId="3846CE03">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5" w:name="_Toc15377219"/>
      <w:bookmarkStart w:id="36" w:name="_Toc15396611"/>
      <w:r>
        <w:rPr>
          <w:rStyle w:val="29"/>
          <w:rFonts w:hint="default" w:ascii="Times New Roman" w:hAnsi="Times New Roman" w:eastAsia="黑体" w:cs="Times New Roman"/>
          <w:b w:val="0"/>
          <w:color w:val="auto"/>
          <w:highlight w:val="none"/>
          <w:lang w:eastAsia="zh-CN"/>
        </w:rPr>
        <w:t>九</w:t>
      </w:r>
      <w:r>
        <w:rPr>
          <w:rStyle w:val="29"/>
          <w:rFonts w:hint="eastAsia" w:ascii="Times New Roman" w:hAnsi="Times New Roman" w:eastAsia="黑体" w:cs="Times New Roman"/>
          <w:b w:val="0"/>
          <w:color w:val="auto"/>
          <w:highlight w:val="none"/>
          <w:lang w:eastAsia="zh-CN"/>
        </w:rPr>
        <w:t>、</w:t>
      </w:r>
      <w:r>
        <w:rPr>
          <w:rStyle w:val="29"/>
          <w:rFonts w:hint="default" w:ascii="Times New Roman" w:hAnsi="Times New Roman" w:eastAsia="黑体" w:cs="Times New Roman"/>
          <w:b w:val="0"/>
          <w:color w:val="auto"/>
          <w:highlight w:val="none"/>
        </w:rPr>
        <w:t>国有资本经营预算支出决算情况说明</w:t>
      </w:r>
      <w:bookmarkEnd w:id="35"/>
      <w:bookmarkEnd w:id="36"/>
    </w:p>
    <w:p w14:paraId="4880403A">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2024年度国有资本经营预算财政拨款支出0万元。</w:t>
      </w:r>
    </w:p>
    <w:p w14:paraId="19112A4E">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7" w:name="_Toc15396612"/>
      <w:bookmarkStart w:id="38" w:name="_Toc15377221"/>
      <w:r>
        <w:rPr>
          <w:rStyle w:val="29"/>
          <w:rFonts w:hint="default" w:ascii="Times New Roman" w:hAnsi="Times New Roman" w:eastAsia="黑体" w:cs="Times New Roman"/>
          <w:b w:val="0"/>
          <w:color w:val="auto"/>
          <w:highlight w:val="none"/>
          <w:lang w:eastAsia="zh-CN"/>
        </w:rPr>
        <w:t>十</w:t>
      </w:r>
      <w:r>
        <w:rPr>
          <w:rStyle w:val="29"/>
          <w:rFonts w:hint="eastAsia" w:ascii="Times New Roman" w:hAnsi="Times New Roman" w:eastAsia="黑体" w:cs="Times New Roman"/>
          <w:b w:val="0"/>
          <w:color w:val="auto"/>
          <w:highlight w:val="none"/>
          <w:lang w:eastAsia="zh-CN"/>
        </w:rPr>
        <w:t>、</w:t>
      </w:r>
      <w:r>
        <w:rPr>
          <w:rStyle w:val="29"/>
          <w:rFonts w:hint="default" w:ascii="Times New Roman" w:hAnsi="Times New Roman" w:eastAsia="黑体" w:cs="Times New Roman"/>
          <w:b w:val="0"/>
          <w:color w:val="auto"/>
          <w:highlight w:val="none"/>
        </w:rPr>
        <w:t>其他重要事项的情况说明</w:t>
      </w:r>
      <w:bookmarkEnd w:id="37"/>
      <w:bookmarkEnd w:id="38"/>
    </w:p>
    <w:p w14:paraId="7516FAA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9" w:name="_Toc15377222"/>
      <w:r>
        <w:rPr>
          <w:rFonts w:hint="default" w:ascii="Times New Roman" w:hAnsi="Times New Roman" w:eastAsia="楷体_GB2312" w:cs="Times New Roman"/>
          <w:b/>
          <w:color w:val="auto"/>
          <w:sz w:val="32"/>
          <w:szCs w:val="32"/>
          <w:highlight w:val="none"/>
        </w:rPr>
        <w:t>（一）机关运行经费支出情况</w:t>
      </w:r>
      <w:bookmarkEnd w:id="39"/>
    </w:p>
    <w:p w14:paraId="6EE57843">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2024年度,中共盐边县委机构编制委员会办公室机关运行经费支出22.24万元,比2023年度下降3.1万元,下降12.23%｡主要原因是人员调动｡</w:t>
      </w:r>
    </w:p>
    <w:p w14:paraId="0949220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23"/>
      <w:r>
        <w:rPr>
          <w:rFonts w:hint="default" w:ascii="Times New Roman" w:hAnsi="Times New Roman" w:eastAsia="楷体_GB2312" w:cs="Times New Roman"/>
          <w:b/>
          <w:color w:val="auto"/>
          <w:sz w:val="32"/>
          <w:szCs w:val="32"/>
          <w:highlight w:val="none"/>
        </w:rPr>
        <w:t>（二）政府采购支出情况</w:t>
      </w:r>
      <w:bookmarkEnd w:id="40"/>
    </w:p>
    <w:p w14:paraId="564C4984">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2024年度，中共盐边县委机构编制委员会办公室政府采购支出总额1.85万元，其中：政府采购货物支出1.85万元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政府采购工程支出0万元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政府采购服务支出0万元。主要用于日常工作开展。授予中小企业合同金额1.85万元，占政府采购支出总额的100%，其中：授予小微企业合同金额1.85万元，占政府采购支出总额的100%。</w:t>
      </w:r>
    </w:p>
    <w:p w14:paraId="69B273C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24"/>
      <w:r>
        <w:rPr>
          <w:rFonts w:hint="default" w:ascii="Times New Roman" w:hAnsi="Times New Roman" w:eastAsia="楷体_GB2312" w:cs="Times New Roman"/>
          <w:b/>
          <w:color w:val="auto"/>
          <w:sz w:val="32"/>
          <w:szCs w:val="32"/>
          <w:highlight w:val="none"/>
        </w:rPr>
        <w:t>（三）国有资产占有使用情况</w:t>
      </w:r>
      <w:bookmarkEnd w:id="41"/>
    </w:p>
    <w:p w14:paraId="005EAA18">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截至2024年12月31日，中共盐边县委机构编制委员会办公室共有车辆0辆。</w:t>
      </w:r>
    </w:p>
    <w:p w14:paraId="555F0D1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1D2CE456">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预算绩效管理要求，本单位在2024年度预算编制阶段，组织对党政机构改革和事业单位机构改革经费１个项目开展了预算事前绩效评估，对１个项目编制了绩效目标，预算执行过程中，选取１个项目开展绩效监控，组织对１个部门预算项目开展绩效自评，绩效自评表详见第四部分附件。</w:t>
      </w:r>
    </w:p>
    <w:p w14:paraId="0AC8AEF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79355F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92B46E8">
      <w:pPr>
        <w:pStyle w:val="2"/>
        <w:rPr>
          <w:rFonts w:hint="default" w:ascii="Times New Roman" w:hAnsi="Times New Roman" w:cs="Times New Roman"/>
          <w:lang w:val="en-US" w:eastAsia="zh-CN"/>
        </w:rPr>
      </w:pPr>
    </w:p>
    <w:p w14:paraId="154F49ED">
      <w:pPr>
        <w:pStyle w:val="8"/>
        <w:ind w:left="0" w:leftChars="0" w:firstLine="0" w:firstLineChars="0"/>
        <w:rPr>
          <w:rFonts w:hint="default" w:ascii="Times New Roman" w:hAnsi="Times New Roman" w:eastAsia="仿宋_GB2312" w:cs="Times New Roman"/>
          <w:color w:val="auto"/>
          <w:kern w:val="2"/>
          <w:sz w:val="32"/>
          <w:szCs w:val="32"/>
          <w:highlight w:val="none"/>
          <w:lang w:val="en-US" w:eastAsia="zh-CN" w:bidi="ar-SA"/>
        </w:rPr>
      </w:pPr>
    </w:p>
    <w:p w14:paraId="77C3198D">
      <w:pPr>
        <w:widowControl/>
        <w:suppressAutoHyphens/>
        <w:bidi w:val="0"/>
        <w:spacing w:line="0" w:lineRule="atLeast"/>
        <w:jc w:val="center"/>
        <w:rPr>
          <w:rFonts w:hint="default" w:ascii="Times New Roman" w:hAnsi="Times New Roman" w:eastAsia="宋体" w:cs="Times New Roman"/>
          <w:b/>
          <w:color w:val="auto"/>
          <w:sz w:val="44"/>
          <w:szCs w:val="44"/>
          <w:highlight w:val="none"/>
          <w:lang w:eastAsia="zh-CN"/>
        </w:rPr>
      </w:pPr>
      <w:bookmarkStart w:id="42" w:name="_Toc15377225"/>
      <w:bookmarkStart w:id="43" w:name="_Toc15396613"/>
      <w:r>
        <w:rPr>
          <w:rStyle w:val="28"/>
          <w:rFonts w:hint="default" w:ascii="Times New Roman" w:hAnsi="Times New Roman" w:eastAsia="方正小标宋_GBK" w:cs="Times New Roman"/>
          <w:color w:val="auto"/>
          <w:highlight w:val="none"/>
        </w:rPr>
        <w:t>第</w:t>
      </w:r>
      <w:r>
        <w:rPr>
          <w:rStyle w:val="28"/>
          <w:rFonts w:hint="default" w:ascii="Times New Roman" w:hAnsi="Times New Roman" w:eastAsia="方正小标宋_GBK" w:cs="Times New Roman"/>
          <w:color w:val="auto"/>
          <w:highlight w:val="none"/>
          <w:lang w:eastAsia="zh-CN"/>
        </w:rPr>
        <w:t>三</w:t>
      </w:r>
      <w:r>
        <w:rPr>
          <w:rStyle w:val="28"/>
          <w:rFonts w:hint="default" w:ascii="Times New Roman" w:hAnsi="Times New Roman" w:eastAsia="方正小标宋_GBK" w:cs="Times New Roman"/>
          <w:color w:val="auto"/>
          <w:highlight w:val="none"/>
        </w:rPr>
        <w:t>部分名词解释</w:t>
      </w:r>
      <w:bookmarkEnd w:id="42"/>
      <w:bookmarkEnd w:id="43"/>
    </w:p>
    <w:p w14:paraId="576A76FA">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1.财政拨款收入：指单位从同级财政部门取得的财政预算资金。</w:t>
      </w:r>
    </w:p>
    <w:p w14:paraId="67501513">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2.一般公共服务（类）组织事务（款）行政运行（项）：反映行政单位（包括实行公务员管理的事业单位）的基本支出。</w:t>
      </w:r>
    </w:p>
    <w:p w14:paraId="4190CFEE">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3.一般公共服务（类）组织事务（款）事业运行（项）：反映事业单位的基本支出，不包括行政单位（包括实行公务员管理的事业单位）后勤服务中心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医务室等附属事业单位。</w:t>
      </w:r>
    </w:p>
    <w:p w14:paraId="22464E0B">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4.一般公共服务（类）组织事务（款）其他组织事务支出（项）：反映除上述项目以外其他用于中国共产党组织部门的事务支出。</w:t>
      </w:r>
    </w:p>
    <w:p w14:paraId="7EC3658B">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5.社会保障和就业（类）行政事业单位养老支出（款）行政单位离退休（项）：反映行政单位（包括实行公务员管理的事业单位）开支的离退休经费。</w:t>
      </w:r>
    </w:p>
    <w:p w14:paraId="0971BDFE">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6.社会保障和就业（类）行政事业单位养老支出（款）机关事业单位基本养老保险缴费支出（项）：反映机关事业单位实施养老保险制度由单位缴纳的基本养老保险费支出。</w:t>
      </w:r>
    </w:p>
    <w:p w14:paraId="4E0616B2">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7.社会保障和就业（类）抚恤（款）伤残抚恤（项）：反映按规定用于伤残人员的抚恤金和按规定开支的各种伤残补助费。</w:t>
      </w:r>
    </w:p>
    <w:p w14:paraId="7EA98C12">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卫生健康（类）行政事业单位医疗（款）行政单位医疗（项）：反映财政部门安排的行政单位（包括实行公务员管理的事业单位，下同）基本医疗保险缴费经费，未参加医疗保险的行政单位的公费医疗经费，按国家规定享受离休人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红军老战士待遇人员的医疗经费。</w:t>
      </w:r>
    </w:p>
    <w:p w14:paraId="583B6DA8">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9.卫生健康（类）行政事业单位医疗（款）事业单位医疗（项）：反映财政部门安排的事业单位基本医疗保险缴费经费，未参加医疗保险的事业单位的公费医疗经费，按国家规定享受离休人员待遇的医疗经费。</w:t>
      </w:r>
    </w:p>
    <w:p w14:paraId="0699A571">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10．卫生健康（类）行政事业单位医疗（款）公务员医疗补助（项）：反映财政部门安排的公务员医疗补助经费。</w:t>
      </w:r>
    </w:p>
    <w:p w14:paraId="6FFB9C27">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11．卫生健康（类）行政事业单位医疗（款）其他行政事业单位医疗支出（项）：反映除上述项目以外的其他用于行政事业单位医疗方面的支出。</w:t>
      </w:r>
    </w:p>
    <w:p w14:paraId="0992CD4B">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12.住房保障（类）住房改革支出（款）住房公积金（项）：指反映行政事业单位按人力资源和社会保障部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财政部规定的基本工资和津贴补贴以及规定比例为职工缴纳的住房公积金。</w:t>
      </w:r>
    </w:p>
    <w:p w14:paraId="6EF82F4C">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13.基本支出：指为保障机构正常运转</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完成日常工作任务而发生的人员支出和公用支出。</w:t>
      </w:r>
    </w:p>
    <w:p w14:paraId="4CA19ED5">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14.项目支出：指在基本支出之外为完成特定行政任务和事业发展目标所发生的支出。</w:t>
      </w:r>
    </w:p>
    <w:p w14:paraId="0207ED7A">
      <w:pPr>
        <w:suppressAutoHyphens/>
        <w:bidi w:val="0"/>
        <w:snapToGrid w:val="0"/>
        <w:spacing w:line="576" w:lineRule="exact"/>
        <w:ind w:firstLine="640" w:firstLineChars="20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15.机关运行经费：为保障行政单位（含参照公务员法管理的事业单位）运行用于购买货物和服务的各项资金，包括办公及印刷费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差旅费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福利费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日常维修费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专用材料及一般设备购置费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办公用房水电费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办公用房取暖费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办公用房物业管理费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公务用车运行维护费以及其他费用。</w:t>
      </w:r>
    </w:p>
    <w:p w14:paraId="28DD5F00">
      <w:pPr>
        <w:widowControl/>
        <w:jc w:val="both"/>
        <w:rPr>
          <w:rFonts w:hint="default" w:ascii="Times New Roman" w:hAnsi="Times New Roman" w:cs="Times New Roman"/>
          <w:lang w:eastAsia="zh-CN"/>
        </w:rPr>
      </w:pPr>
      <w:r>
        <w:rPr>
          <w:rFonts w:hint="default" w:ascii="Times New Roman" w:hAnsi="Times New Roman" w:eastAsia="仿宋_GB2312" w:cs="Times New Roman"/>
          <w:color w:val="auto"/>
          <w:kern w:val="2"/>
          <w:sz w:val="32"/>
          <w:szCs w:val="32"/>
          <w:highlight w:val="none"/>
          <w:lang w:val="en-US" w:eastAsia="zh-CN" w:bidi="ar-SA"/>
        </w:rPr>
        <w:br w:type="page"/>
      </w:r>
    </w:p>
    <w:p w14:paraId="6644C4E9">
      <w:pPr>
        <w:widowControl/>
        <w:suppressAutoHyphens/>
        <w:bidi w:val="0"/>
        <w:spacing w:line="0" w:lineRule="atLeast"/>
        <w:jc w:val="center"/>
        <w:rPr>
          <w:rStyle w:val="28"/>
          <w:rFonts w:hint="default" w:ascii="Times New Roman" w:hAnsi="Times New Roman" w:eastAsia="方正小标宋_GBK" w:cs="Times New Roman"/>
          <w:color w:val="auto"/>
          <w:highlight w:val="none"/>
        </w:rPr>
      </w:pPr>
      <w:bookmarkStart w:id="44" w:name="_Toc15396614"/>
      <w:r>
        <w:rPr>
          <w:rStyle w:val="28"/>
          <w:rFonts w:hint="default" w:ascii="Times New Roman" w:hAnsi="Times New Roman" w:eastAsia="方正小标宋_GBK" w:cs="Times New Roman"/>
          <w:color w:val="auto"/>
          <w:highlight w:val="none"/>
        </w:rPr>
        <w:t>第四部分  附件</w:t>
      </w:r>
      <w:bookmarkEnd w:id="44"/>
    </w:p>
    <w:p w14:paraId="442526E9">
      <w:pPr>
        <w:spacing w:line="572" w:lineRule="exact"/>
        <w:jc w:val="left"/>
        <w:outlineLvl w:val="0"/>
        <w:rPr>
          <w:rFonts w:hint="default" w:ascii="Times New Roman" w:hAnsi="Times New Roman" w:eastAsia="黑体" w:cs="Times New Roman"/>
          <w:sz w:val="32"/>
          <w:szCs w:val="32"/>
        </w:rPr>
      </w:pPr>
    </w:p>
    <w:p w14:paraId="308D6CF3">
      <w:pPr>
        <w:widowControl/>
        <w:spacing w:line="578" w:lineRule="exact"/>
        <w:contextualSpacing/>
        <w:jc w:val="center"/>
        <w:rPr>
          <w:rFonts w:hint="default" w:ascii="Times New Roman" w:hAnsi="Times New Roman" w:eastAsia="仿宋_GB2312" w:cs="Times New Roman"/>
          <w:kern w:val="0"/>
          <w:sz w:val="32"/>
        </w:rPr>
      </w:pPr>
      <w:r>
        <w:rPr>
          <w:rFonts w:hint="default" w:ascii="Times New Roman" w:hAnsi="Times New Roman" w:eastAsia="黑体" w:cs="Times New Roman"/>
          <w:sz w:val="32"/>
          <w:szCs w:val="32"/>
        </w:rPr>
        <w:t>部门预算项目支出绩效评价表（2024年度）</w:t>
      </w:r>
    </w:p>
    <w:p w14:paraId="4F248999">
      <w:pPr>
        <w:suppressAutoHyphens/>
        <w:bidi w:val="0"/>
        <w:snapToGrid w:val="0"/>
        <w:spacing w:line="576" w:lineRule="exact"/>
        <w:ind w:firstLine="640" w:firstLineChars="200"/>
        <w:rPr>
          <w:rFonts w:hint="default" w:ascii="Times New Roman" w:hAnsi="Times New Roman" w:eastAsia="方正仿宋_GBK" w:cs="Times New Roman"/>
          <w:color w:val="auto"/>
          <w:sz w:val="32"/>
          <w:szCs w:val="32"/>
          <w:lang w:val="en-US" w:eastAsia="en-US"/>
        </w:rPr>
      </w:pPr>
      <w:bookmarkStart w:id="45" w:name="_Toc15396618"/>
      <w:r>
        <w:rPr>
          <w:rFonts w:hint="default" w:ascii="Times New Roman" w:hAnsi="Times New Roman" w:eastAsia="方正仿宋_GBK" w:cs="Times New Roman"/>
          <w:color w:val="auto"/>
          <w:sz w:val="32"/>
          <w:szCs w:val="32"/>
          <w:lang w:val="en-US" w:eastAsia="zh-CN"/>
        </w:rPr>
        <w:t>部门预算项目支出绩效自评表（2024年度）见附件</w:t>
      </w:r>
      <w:bookmarkStart w:id="59" w:name="_GoBack"/>
      <w:bookmarkEnd w:id="59"/>
      <w:r>
        <w:rPr>
          <w:rFonts w:hint="default" w:ascii="Times New Roman" w:hAnsi="Times New Roman" w:eastAsia="方正仿宋_GBK" w:cs="Times New Roman"/>
          <w:color w:val="auto"/>
          <w:sz w:val="32"/>
          <w:szCs w:val="32"/>
          <w:lang w:val="en-US" w:eastAsia="zh-CN"/>
        </w:rPr>
        <w:t>。</w:t>
      </w:r>
    </w:p>
    <w:p w14:paraId="56E6E998">
      <w:pPr>
        <w:spacing w:line="578"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br w:type="page"/>
      </w:r>
    </w:p>
    <w:p w14:paraId="527B32DD">
      <w:pPr>
        <w:widowControl/>
        <w:suppressAutoHyphens/>
        <w:bidi w:val="0"/>
        <w:spacing w:line="0" w:lineRule="atLeast"/>
        <w:jc w:val="center"/>
        <w:rPr>
          <w:rStyle w:val="28"/>
          <w:rFonts w:hint="default" w:ascii="Times New Roman" w:hAnsi="Times New Roman" w:eastAsia="方正小标宋_GBK" w:cs="Times New Roman"/>
          <w:color w:val="auto"/>
          <w:highlight w:val="none"/>
        </w:rPr>
      </w:pPr>
      <w:r>
        <w:rPr>
          <w:rStyle w:val="28"/>
          <w:rFonts w:hint="default" w:ascii="Times New Roman" w:hAnsi="Times New Roman" w:eastAsia="方正小标宋_GBK" w:cs="Times New Roman"/>
          <w:color w:val="auto"/>
          <w:highlight w:val="none"/>
        </w:rPr>
        <w:t>第五部分 附表</w:t>
      </w:r>
      <w:bookmarkEnd w:id="6"/>
      <w:bookmarkEnd w:id="45"/>
      <w:bookmarkStart w:id="46" w:name="_Toc15396619"/>
    </w:p>
    <w:p w14:paraId="7E8B638F">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p>
    <w:p w14:paraId="6C4F577D">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收入支出决算总表</w:t>
      </w:r>
      <w:bookmarkEnd w:id="46"/>
    </w:p>
    <w:p w14:paraId="50274EE0">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47" w:name="_Toc15396620"/>
      <w:r>
        <w:rPr>
          <w:rFonts w:hint="default" w:ascii="Times New Roman" w:hAnsi="Times New Roman" w:eastAsia="方正仿宋_GBK" w:cs="Times New Roman"/>
          <w:color w:val="auto"/>
          <w:kern w:val="2"/>
          <w:sz w:val="32"/>
          <w:szCs w:val="32"/>
          <w:lang w:val="en-US" w:eastAsia="zh-CN" w:bidi="ar-SA"/>
        </w:rPr>
        <w:t>二</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收入决算表</w:t>
      </w:r>
      <w:bookmarkEnd w:id="47"/>
    </w:p>
    <w:p w14:paraId="22BF5475">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48" w:name="_Toc15396621"/>
      <w:r>
        <w:rPr>
          <w:rFonts w:hint="default" w:ascii="Times New Roman" w:hAnsi="Times New Roman" w:eastAsia="方正仿宋_GBK" w:cs="Times New Roman"/>
          <w:color w:val="auto"/>
          <w:kern w:val="2"/>
          <w:sz w:val="32"/>
          <w:szCs w:val="32"/>
          <w:lang w:val="en-US" w:eastAsia="zh-CN" w:bidi="ar-SA"/>
        </w:rPr>
        <w:t>三</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支出决算表</w:t>
      </w:r>
      <w:bookmarkEnd w:id="48"/>
    </w:p>
    <w:p w14:paraId="3923FE71">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49" w:name="_Toc15396622"/>
      <w:r>
        <w:rPr>
          <w:rFonts w:hint="default" w:ascii="Times New Roman" w:hAnsi="Times New Roman" w:eastAsia="方正仿宋_GBK" w:cs="Times New Roman"/>
          <w:color w:val="auto"/>
          <w:kern w:val="2"/>
          <w:sz w:val="32"/>
          <w:szCs w:val="32"/>
          <w:lang w:val="en-US" w:eastAsia="zh-CN" w:bidi="ar-SA"/>
        </w:rPr>
        <w:t>四</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财政拨款收入支出决算总表</w:t>
      </w:r>
      <w:bookmarkEnd w:id="49"/>
    </w:p>
    <w:p w14:paraId="5A3A8565">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0" w:name="_Toc15396623"/>
      <w:r>
        <w:rPr>
          <w:rFonts w:hint="default" w:ascii="Times New Roman" w:hAnsi="Times New Roman" w:eastAsia="方正仿宋_GBK" w:cs="Times New Roman"/>
          <w:color w:val="auto"/>
          <w:kern w:val="2"/>
          <w:sz w:val="32"/>
          <w:szCs w:val="32"/>
          <w:lang w:val="en-US" w:eastAsia="zh-CN" w:bidi="ar-SA"/>
        </w:rPr>
        <w:t>五</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财政拨款支出决算明细表</w:t>
      </w:r>
      <w:bookmarkEnd w:id="50"/>
      <w:bookmarkStart w:id="51" w:name="_Toc15396624"/>
    </w:p>
    <w:p w14:paraId="18464DB8">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六</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一般公共预算财政拨款支出决算表</w:t>
      </w:r>
      <w:bookmarkEnd w:id="51"/>
    </w:p>
    <w:p w14:paraId="51667E8B">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2" w:name="_Toc15396625"/>
      <w:r>
        <w:rPr>
          <w:rFonts w:hint="default" w:ascii="Times New Roman" w:hAnsi="Times New Roman" w:eastAsia="方正仿宋_GBK" w:cs="Times New Roman"/>
          <w:color w:val="auto"/>
          <w:kern w:val="2"/>
          <w:sz w:val="32"/>
          <w:szCs w:val="32"/>
          <w:lang w:val="en-US" w:eastAsia="zh-CN" w:bidi="ar-SA"/>
        </w:rPr>
        <w:t>七</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一般公共预算财政拨款支出决算明细表</w:t>
      </w:r>
      <w:bookmarkEnd w:id="52"/>
    </w:p>
    <w:p w14:paraId="61757911">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3" w:name="_Toc15396626"/>
      <w:r>
        <w:rPr>
          <w:rFonts w:hint="default" w:ascii="Times New Roman" w:hAnsi="Times New Roman" w:eastAsia="方正仿宋_GBK" w:cs="Times New Roman"/>
          <w:color w:val="auto"/>
          <w:kern w:val="2"/>
          <w:sz w:val="32"/>
          <w:szCs w:val="32"/>
          <w:lang w:val="en-US" w:eastAsia="zh-CN" w:bidi="ar-SA"/>
        </w:rPr>
        <w:t>八</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一般公共预算财政拨款基本支出决算表</w:t>
      </w:r>
      <w:bookmarkEnd w:id="53"/>
    </w:p>
    <w:p w14:paraId="6CBFFB82">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4" w:name="_Toc15396627"/>
      <w:r>
        <w:rPr>
          <w:rFonts w:hint="default" w:ascii="Times New Roman" w:hAnsi="Times New Roman" w:eastAsia="方正仿宋_GBK" w:cs="Times New Roman"/>
          <w:color w:val="auto"/>
          <w:kern w:val="2"/>
          <w:sz w:val="32"/>
          <w:szCs w:val="32"/>
          <w:lang w:val="en-US" w:eastAsia="zh-CN" w:bidi="ar-SA"/>
        </w:rPr>
        <w:t>九</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一般公共预算财政拨款项目支出决算表</w:t>
      </w:r>
      <w:bookmarkEnd w:id="54"/>
    </w:p>
    <w:p w14:paraId="06EE1491">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5" w:name="_Toc15396628"/>
      <w:r>
        <w:rPr>
          <w:rFonts w:hint="default" w:ascii="Times New Roman" w:hAnsi="Times New Roman" w:eastAsia="方正仿宋_GBK" w:cs="Times New Roman"/>
          <w:color w:val="auto"/>
          <w:kern w:val="2"/>
          <w:sz w:val="32"/>
          <w:szCs w:val="32"/>
          <w:lang w:val="en-US" w:eastAsia="zh-CN" w:bidi="ar-SA"/>
        </w:rPr>
        <w:t>十</w:t>
      </w:r>
      <w:bookmarkEnd w:id="55"/>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政府性基金预算财政拨款收入支出决算表</w:t>
      </w:r>
    </w:p>
    <w:p w14:paraId="2B4FAD47">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6" w:name="_Toc15396629"/>
      <w:r>
        <w:rPr>
          <w:rFonts w:hint="default" w:ascii="Times New Roman" w:hAnsi="Times New Roman" w:eastAsia="方正仿宋_GBK" w:cs="Times New Roman"/>
          <w:color w:val="auto"/>
          <w:kern w:val="2"/>
          <w:sz w:val="32"/>
          <w:szCs w:val="32"/>
          <w:lang w:val="en-US" w:eastAsia="zh-CN" w:bidi="ar-SA"/>
        </w:rPr>
        <w:t>十一</w:t>
      </w:r>
      <w:bookmarkEnd w:id="56"/>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国有资本经营预算财政拨款收入支出决算表</w:t>
      </w:r>
    </w:p>
    <w:p w14:paraId="7D4E4922">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7" w:name="_Toc15396630"/>
      <w:r>
        <w:rPr>
          <w:rFonts w:hint="default" w:ascii="Times New Roman" w:hAnsi="Times New Roman" w:eastAsia="方正仿宋_GBK" w:cs="Times New Roman"/>
          <w:color w:val="auto"/>
          <w:kern w:val="2"/>
          <w:sz w:val="32"/>
          <w:szCs w:val="32"/>
          <w:lang w:val="en-US" w:eastAsia="zh-CN" w:bidi="ar-SA"/>
        </w:rPr>
        <w:t>十二</w:t>
      </w:r>
      <w:bookmarkEnd w:id="57"/>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国有资本经营预算财政拨款支出决算表</w:t>
      </w:r>
    </w:p>
    <w:p w14:paraId="1FA34AEE">
      <w:pPr>
        <w:pStyle w:val="15"/>
        <w:adjustRightInd w:val="0"/>
        <w:snapToGrid w:val="0"/>
        <w:spacing w:line="560" w:lineRule="exact"/>
        <w:jc w:val="left"/>
        <w:rPr>
          <w:rFonts w:hint="default" w:ascii="Times New Roman" w:hAnsi="Times New Roman" w:eastAsia="方正仿宋_GBK" w:cs="Times New Roman"/>
          <w:color w:val="auto"/>
          <w:kern w:val="2"/>
          <w:sz w:val="32"/>
          <w:szCs w:val="32"/>
          <w:lang w:val="en-US" w:eastAsia="zh-CN" w:bidi="ar-SA"/>
        </w:rPr>
      </w:pPr>
      <w:bookmarkStart w:id="58" w:name="_Toc15396631"/>
      <w:r>
        <w:rPr>
          <w:rFonts w:hint="default" w:ascii="Times New Roman" w:hAnsi="Times New Roman" w:eastAsia="方正仿宋_GBK" w:cs="Times New Roman"/>
          <w:color w:val="auto"/>
          <w:kern w:val="2"/>
          <w:sz w:val="32"/>
          <w:szCs w:val="32"/>
          <w:lang w:val="en-US" w:eastAsia="zh-CN" w:bidi="ar-SA"/>
        </w:rPr>
        <w:t>十三</w:t>
      </w:r>
      <w:bookmarkEnd w:id="58"/>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财政拨款“三公”经费支出决算表</w:t>
      </w:r>
    </w:p>
    <w:p w14:paraId="0CD306E7">
      <w:pPr>
        <w:rPr>
          <w:rFonts w:hint="default" w:ascii="Times New Roman" w:hAnsi="Times New Roman" w:cs="Times New Roman"/>
        </w:rPr>
      </w:pPr>
    </w:p>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90CB">
    <w:pPr>
      <w:pStyle w:val="11"/>
      <w:jc w:val="center"/>
    </w:pPr>
  </w:p>
  <w:p w14:paraId="19866A9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7F20">
    <w:pPr>
      <w:pStyle w:val="11"/>
      <w:jc w:val="center"/>
    </w:pPr>
  </w:p>
  <w:p w14:paraId="3375CA5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EC6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76D6">
    <w:pPr>
      <w:pStyle w:val="11"/>
      <w:jc w:val="center"/>
    </w:pPr>
  </w:p>
  <w:p w14:paraId="32760E23">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4545">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25CA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E425CA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0B49">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611F0">
                          <w:pPr>
                            <w:pStyle w:val="11"/>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4611F0">
                    <w:pPr>
                      <w:pStyle w:val="11"/>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1C4D0B0C">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1D0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4FD0C">
                          <w:pPr>
                            <w:pStyle w:val="11"/>
                            <w:rPr>
                              <w:rFonts w:hint="default" w:ascii="Times New Roman" w:hAnsi="Times New Roman" w:eastAsia="方正仿宋_GBK" w:cs="Times New Roman"/>
                            </w:rPr>
                          </w:pP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  \* MERGEFORMAT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- 1 -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34FD0C">
                    <w:pPr>
                      <w:pStyle w:val="11"/>
                      <w:rPr>
                        <w:rFonts w:hint="default" w:ascii="Times New Roman" w:hAnsi="Times New Roman" w:eastAsia="方正仿宋_GBK" w:cs="Times New Roman"/>
                      </w:rPr>
                    </w:pP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  \* MERGEFORMAT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- 1 -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529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DCDC1"/>
    <w:multiLevelType w:val="singleLevel"/>
    <w:tmpl w:val="CF9DCD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2B7"/>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347"/>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02C9E"/>
    <w:rsid w:val="02FEBE30"/>
    <w:rsid w:val="04916F1E"/>
    <w:rsid w:val="061E35DE"/>
    <w:rsid w:val="066E0107"/>
    <w:rsid w:val="0797489E"/>
    <w:rsid w:val="07996F6E"/>
    <w:rsid w:val="07DFD8BA"/>
    <w:rsid w:val="09867E8F"/>
    <w:rsid w:val="0A2032A3"/>
    <w:rsid w:val="0AB539B9"/>
    <w:rsid w:val="0BFB189F"/>
    <w:rsid w:val="0CA8290A"/>
    <w:rsid w:val="0D35B1ED"/>
    <w:rsid w:val="0E254B6B"/>
    <w:rsid w:val="0F98263C"/>
    <w:rsid w:val="101860EC"/>
    <w:rsid w:val="101F47CC"/>
    <w:rsid w:val="104D6442"/>
    <w:rsid w:val="10C055FF"/>
    <w:rsid w:val="11694EBD"/>
    <w:rsid w:val="11772AA4"/>
    <w:rsid w:val="118107EC"/>
    <w:rsid w:val="12E24EE2"/>
    <w:rsid w:val="13223BB5"/>
    <w:rsid w:val="13D50BC4"/>
    <w:rsid w:val="14B17F78"/>
    <w:rsid w:val="15102ED4"/>
    <w:rsid w:val="165E0673"/>
    <w:rsid w:val="16B831D5"/>
    <w:rsid w:val="16BB723D"/>
    <w:rsid w:val="177249E0"/>
    <w:rsid w:val="17E50567"/>
    <w:rsid w:val="17E92EF4"/>
    <w:rsid w:val="186504BB"/>
    <w:rsid w:val="19A445FC"/>
    <w:rsid w:val="19AA220F"/>
    <w:rsid w:val="1AAB6CED"/>
    <w:rsid w:val="1B0911B7"/>
    <w:rsid w:val="1BE8440E"/>
    <w:rsid w:val="1BF81957"/>
    <w:rsid w:val="1CC6347C"/>
    <w:rsid w:val="1D155CEE"/>
    <w:rsid w:val="1D1638FE"/>
    <w:rsid w:val="1E2E11A7"/>
    <w:rsid w:val="1E312DEB"/>
    <w:rsid w:val="1E740ACF"/>
    <w:rsid w:val="1F6A2B6C"/>
    <w:rsid w:val="1FF35744"/>
    <w:rsid w:val="1FF6BC77"/>
    <w:rsid w:val="20AE02D7"/>
    <w:rsid w:val="2186353C"/>
    <w:rsid w:val="23860B96"/>
    <w:rsid w:val="240371BF"/>
    <w:rsid w:val="244F3473"/>
    <w:rsid w:val="24C97D99"/>
    <w:rsid w:val="25A718F0"/>
    <w:rsid w:val="25BB59F6"/>
    <w:rsid w:val="260F557C"/>
    <w:rsid w:val="26970054"/>
    <w:rsid w:val="26F176CF"/>
    <w:rsid w:val="281408E2"/>
    <w:rsid w:val="29FD04D3"/>
    <w:rsid w:val="2A0616E3"/>
    <w:rsid w:val="2BFF7BC6"/>
    <w:rsid w:val="2C8A61B5"/>
    <w:rsid w:val="2CF717B7"/>
    <w:rsid w:val="2D810644"/>
    <w:rsid w:val="2DCC49F2"/>
    <w:rsid w:val="2DF04E50"/>
    <w:rsid w:val="2E586DFA"/>
    <w:rsid w:val="2F040D46"/>
    <w:rsid w:val="2F3650C8"/>
    <w:rsid w:val="2F6B035B"/>
    <w:rsid w:val="2FAE5751"/>
    <w:rsid w:val="2FB1A395"/>
    <w:rsid w:val="2FD9A7D8"/>
    <w:rsid w:val="2FDBF714"/>
    <w:rsid w:val="2FF8004A"/>
    <w:rsid w:val="30AB6865"/>
    <w:rsid w:val="319F7F4E"/>
    <w:rsid w:val="32AB107A"/>
    <w:rsid w:val="32BD1EF1"/>
    <w:rsid w:val="3304709D"/>
    <w:rsid w:val="335F00B6"/>
    <w:rsid w:val="33A773CB"/>
    <w:rsid w:val="34076784"/>
    <w:rsid w:val="348313DC"/>
    <w:rsid w:val="349D6851"/>
    <w:rsid w:val="36AA5135"/>
    <w:rsid w:val="36BE0DA7"/>
    <w:rsid w:val="376B6AA6"/>
    <w:rsid w:val="376D0FF4"/>
    <w:rsid w:val="376D39B2"/>
    <w:rsid w:val="37E16F03"/>
    <w:rsid w:val="37F53A3B"/>
    <w:rsid w:val="389B6C89"/>
    <w:rsid w:val="38D469F0"/>
    <w:rsid w:val="39400042"/>
    <w:rsid w:val="39627CCD"/>
    <w:rsid w:val="397BAF1F"/>
    <w:rsid w:val="3A830B2E"/>
    <w:rsid w:val="3AB79AF3"/>
    <w:rsid w:val="3AE834C0"/>
    <w:rsid w:val="3B6256B5"/>
    <w:rsid w:val="3B7EF35A"/>
    <w:rsid w:val="3B9FDB6C"/>
    <w:rsid w:val="3BF5BC2F"/>
    <w:rsid w:val="3CB70E00"/>
    <w:rsid w:val="3CEBA265"/>
    <w:rsid w:val="3D98207C"/>
    <w:rsid w:val="3DEE7CF3"/>
    <w:rsid w:val="3E740A63"/>
    <w:rsid w:val="3E78745D"/>
    <w:rsid w:val="3ECB4852"/>
    <w:rsid w:val="3EE17838"/>
    <w:rsid w:val="3F55381A"/>
    <w:rsid w:val="3F7F7599"/>
    <w:rsid w:val="3FF4CAE0"/>
    <w:rsid w:val="3FF7B227"/>
    <w:rsid w:val="412232B2"/>
    <w:rsid w:val="44E268DA"/>
    <w:rsid w:val="450D13D7"/>
    <w:rsid w:val="45506656"/>
    <w:rsid w:val="463C233D"/>
    <w:rsid w:val="46B972B8"/>
    <w:rsid w:val="46E14C12"/>
    <w:rsid w:val="4702556E"/>
    <w:rsid w:val="486A6C7A"/>
    <w:rsid w:val="4A627F82"/>
    <w:rsid w:val="4A7D3639"/>
    <w:rsid w:val="4B0E749A"/>
    <w:rsid w:val="4B2477C4"/>
    <w:rsid w:val="4B475260"/>
    <w:rsid w:val="4B4F25DA"/>
    <w:rsid w:val="4BE068DB"/>
    <w:rsid w:val="4D577224"/>
    <w:rsid w:val="4DBF1CEB"/>
    <w:rsid w:val="4DD04D46"/>
    <w:rsid w:val="4DF0007C"/>
    <w:rsid w:val="4EAB630A"/>
    <w:rsid w:val="4ECE2238"/>
    <w:rsid w:val="4F6E725F"/>
    <w:rsid w:val="4F833267"/>
    <w:rsid w:val="4FE9BD67"/>
    <w:rsid w:val="4FFB052F"/>
    <w:rsid w:val="50067498"/>
    <w:rsid w:val="52770A55"/>
    <w:rsid w:val="537E6D0A"/>
    <w:rsid w:val="53F74C96"/>
    <w:rsid w:val="55170BA8"/>
    <w:rsid w:val="553218C9"/>
    <w:rsid w:val="567E1AA5"/>
    <w:rsid w:val="56E47B74"/>
    <w:rsid w:val="57175D52"/>
    <w:rsid w:val="57A2219C"/>
    <w:rsid w:val="57BD3DD4"/>
    <w:rsid w:val="58315BF8"/>
    <w:rsid w:val="59E00D5A"/>
    <w:rsid w:val="5AD7215D"/>
    <w:rsid w:val="5AF92295"/>
    <w:rsid w:val="5B250254"/>
    <w:rsid w:val="5BDD79E6"/>
    <w:rsid w:val="5BF561CA"/>
    <w:rsid w:val="5BFF5DFC"/>
    <w:rsid w:val="5CD71FC4"/>
    <w:rsid w:val="5D1F11B5"/>
    <w:rsid w:val="5D695134"/>
    <w:rsid w:val="5DAE1B18"/>
    <w:rsid w:val="5DE7D9E5"/>
    <w:rsid w:val="5E15537E"/>
    <w:rsid w:val="5ECEC941"/>
    <w:rsid w:val="5F0B6879"/>
    <w:rsid w:val="5FBF9FF3"/>
    <w:rsid w:val="5FCD4E2C"/>
    <w:rsid w:val="5FEF394A"/>
    <w:rsid w:val="5FF67715"/>
    <w:rsid w:val="613D1187"/>
    <w:rsid w:val="62BF3928"/>
    <w:rsid w:val="63B3701E"/>
    <w:rsid w:val="647F5392"/>
    <w:rsid w:val="651A7F26"/>
    <w:rsid w:val="65E66580"/>
    <w:rsid w:val="664B1D71"/>
    <w:rsid w:val="664B4E8E"/>
    <w:rsid w:val="668B029F"/>
    <w:rsid w:val="66AF471E"/>
    <w:rsid w:val="66C8504F"/>
    <w:rsid w:val="67277B67"/>
    <w:rsid w:val="67AA3209"/>
    <w:rsid w:val="698D0931"/>
    <w:rsid w:val="69C05D8A"/>
    <w:rsid w:val="6A7FE5F3"/>
    <w:rsid w:val="6B053271"/>
    <w:rsid w:val="6BD82524"/>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647373"/>
    <w:rsid w:val="707149AA"/>
    <w:rsid w:val="710A284E"/>
    <w:rsid w:val="712A28F1"/>
    <w:rsid w:val="715C0E4B"/>
    <w:rsid w:val="71992E7C"/>
    <w:rsid w:val="720C498A"/>
    <w:rsid w:val="72233669"/>
    <w:rsid w:val="72734D90"/>
    <w:rsid w:val="72CC236B"/>
    <w:rsid w:val="73160E6D"/>
    <w:rsid w:val="7332FE48"/>
    <w:rsid w:val="73AB61DA"/>
    <w:rsid w:val="73AD73D5"/>
    <w:rsid w:val="73B6EB34"/>
    <w:rsid w:val="73FA497D"/>
    <w:rsid w:val="744731E5"/>
    <w:rsid w:val="74BBD01D"/>
    <w:rsid w:val="74ED5379"/>
    <w:rsid w:val="75CB4B5C"/>
    <w:rsid w:val="75DEEEC2"/>
    <w:rsid w:val="75E32345"/>
    <w:rsid w:val="76E3355F"/>
    <w:rsid w:val="76FF5125"/>
    <w:rsid w:val="776F6FFA"/>
    <w:rsid w:val="778769C8"/>
    <w:rsid w:val="77A75DCA"/>
    <w:rsid w:val="77DC22F5"/>
    <w:rsid w:val="783E271A"/>
    <w:rsid w:val="78616DE9"/>
    <w:rsid w:val="78E875D7"/>
    <w:rsid w:val="79086DAD"/>
    <w:rsid w:val="7919798C"/>
    <w:rsid w:val="79654980"/>
    <w:rsid w:val="79731F5E"/>
    <w:rsid w:val="79D7FD79"/>
    <w:rsid w:val="79EE5BA4"/>
    <w:rsid w:val="7A57076C"/>
    <w:rsid w:val="7A894339"/>
    <w:rsid w:val="7AD284E8"/>
    <w:rsid w:val="7AFF7572"/>
    <w:rsid w:val="7B4E6013"/>
    <w:rsid w:val="7B6C7DFB"/>
    <w:rsid w:val="7BBFBED0"/>
    <w:rsid w:val="7BC3E394"/>
    <w:rsid w:val="7C1F3737"/>
    <w:rsid w:val="7CBFC87B"/>
    <w:rsid w:val="7CFE0F48"/>
    <w:rsid w:val="7D272ABC"/>
    <w:rsid w:val="7D7EC23E"/>
    <w:rsid w:val="7D8C697F"/>
    <w:rsid w:val="7DA71A0B"/>
    <w:rsid w:val="7DF14A2E"/>
    <w:rsid w:val="7DF82266"/>
    <w:rsid w:val="7E0D2F38"/>
    <w:rsid w:val="7E8ADEBF"/>
    <w:rsid w:val="7EEF11D3"/>
    <w:rsid w:val="7EFE4840"/>
    <w:rsid w:val="7F0971A6"/>
    <w:rsid w:val="7F1D62E7"/>
    <w:rsid w:val="7F3F679B"/>
    <w:rsid w:val="7F4FC4EF"/>
    <w:rsid w:val="7F5E4D54"/>
    <w:rsid w:val="7F6E0135"/>
    <w:rsid w:val="7F79F205"/>
    <w:rsid w:val="7FA30C79"/>
    <w:rsid w:val="7FA501CC"/>
    <w:rsid w:val="7FA79C44"/>
    <w:rsid w:val="7FAF8ABF"/>
    <w:rsid w:val="7FB65F35"/>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next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1.png"/><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301753360607832"/>
          <c:y val="0.0175438596491228"/>
        </c:manualLayout>
      </c:layout>
      <c:overlay val="0"/>
      <c:spPr>
        <a:noFill/>
        <a:ln>
          <a:noFill/>
        </a:ln>
        <a:effectLst/>
      </c:spPr>
    </c:title>
    <c:autoTitleDeleted val="0"/>
    <c:plotArea>
      <c:layout>
        <c:manualLayout>
          <c:layoutTarget val="inner"/>
          <c:xMode val="edge"/>
          <c:yMode val="edge"/>
          <c:x val="0.0629573348918761"/>
          <c:y val="0.113953107066732"/>
          <c:w val="0.911326709526593"/>
          <c:h val="0.764715527135596"/>
        </c:manualLayout>
      </c:layout>
      <c:barChart>
        <c:barDir val="col"/>
        <c:grouping val="clustered"/>
        <c:varyColors val="0"/>
        <c:ser>
          <c:idx val="0"/>
          <c:order val="0"/>
          <c:tx>
            <c:strRef>
              <c:f>Sheet1!$A$2</c:f>
              <c:strCache>
                <c:ptCount val="1"/>
                <c:pt idx="0">
                  <c:v>全年收入总计</c:v>
                </c:pt>
              </c:strCache>
            </c:strRef>
          </c:tx>
          <c:spPr>
            <a:solidFill>
              <a:schemeClr val="accent1"/>
            </a:solidFill>
            <a:ln>
              <a:noFill/>
            </a:ln>
            <a:effectLst/>
          </c:spPr>
          <c:invertIfNegative val="0"/>
          <c:dLbls>
            <c:delete val="1"/>
          </c:dLbls>
          <c:cat>
            <c:strRef>
              <c:f>Sheet1!$B$1:$E$1</c:f>
              <c:strCache>
                <c:ptCount val="4"/>
                <c:pt idx="0">
                  <c:v>2023年</c:v>
                </c:pt>
                <c:pt idx="1">
                  <c:v>2024年</c:v>
                </c:pt>
                <c:pt idx="2">
                  <c:v>同比增减额</c:v>
                </c:pt>
                <c:pt idx="3">
                  <c:v>同比增减率</c:v>
                </c:pt>
              </c:strCache>
            </c:strRef>
          </c:cat>
          <c:val>
            <c:numRef>
              <c:f>Sheet1!$B$2:$E$2</c:f>
              <c:numCache>
                <c:formatCode>General</c:formatCode>
                <c:ptCount val="4"/>
                <c:pt idx="0">
                  <c:v>303.64</c:v>
                </c:pt>
                <c:pt idx="1">
                  <c:v>274.3</c:v>
                </c:pt>
                <c:pt idx="2">
                  <c:v>-29.34</c:v>
                </c:pt>
                <c:pt idx="3" c:formatCode="0%">
                  <c:v>-0.1</c:v>
                </c:pt>
              </c:numCache>
            </c:numRef>
          </c:val>
        </c:ser>
        <c:ser>
          <c:idx val="1"/>
          <c:order val="1"/>
          <c:tx>
            <c:strRef>
              <c:f>Sheet1!$A$3</c:f>
              <c:strCache>
                <c:ptCount val="1"/>
                <c:pt idx="0">
                  <c:v>全年支出总计</c:v>
                </c:pt>
              </c:strCache>
            </c:strRef>
          </c:tx>
          <c:spPr>
            <a:solidFill>
              <a:schemeClr val="accent2"/>
            </a:solidFill>
            <a:ln>
              <a:noFill/>
            </a:ln>
            <a:effectLst/>
          </c:spPr>
          <c:invertIfNegative val="0"/>
          <c:dLbls>
            <c:dLbl>
              <c:idx val="2"/>
              <c:layout>
                <c:manualLayout>
                  <c:x val="-0.0309760374050263"/>
                  <c:y val="-0.006558452205279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8977206312098"/>
                  <c:y val="-0.05886210854238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9.6</a:t>
                    </a:r>
                    <a:r>
                      <a:t>%</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2023年</c:v>
                </c:pt>
                <c:pt idx="1">
                  <c:v>2024年</c:v>
                </c:pt>
                <c:pt idx="2">
                  <c:v>同比增减额</c:v>
                </c:pt>
                <c:pt idx="3">
                  <c:v>同比增减率</c:v>
                </c:pt>
              </c:strCache>
            </c:strRef>
          </c:cat>
          <c:val>
            <c:numRef>
              <c:f>Sheet1!$B$3:$E$3</c:f>
              <c:numCache>
                <c:formatCode>General</c:formatCode>
                <c:ptCount val="4"/>
                <c:pt idx="0">
                  <c:v>303.64</c:v>
                </c:pt>
                <c:pt idx="1">
                  <c:v>274.3</c:v>
                </c:pt>
                <c:pt idx="2">
                  <c:v>-29.34</c:v>
                </c:pt>
                <c:pt idx="3" c:formatCode="0%">
                  <c:v>-0.1</c:v>
                </c:pt>
              </c:numCache>
            </c:numRef>
          </c:val>
        </c:ser>
        <c:dLbls>
          <c:showLegendKey val="0"/>
          <c:showVal val="0"/>
          <c:showCatName val="0"/>
          <c:showSerName val="0"/>
          <c:showPercent val="0"/>
          <c:showBubbleSize val="0"/>
        </c:dLbls>
        <c:gapWidth val="246"/>
        <c:overlap val="-28"/>
        <c:axId val="354770645"/>
        <c:axId val="875083628"/>
      </c:barChart>
      <c:catAx>
        <c:axId val="354770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083628"/>
        <c:crosses val="autoZero"/>
        <c:auto val="1"/>
        <c:lblAlgn val="ctr"/>
        <c:lblOffset val="100"/>
        <c:noMultiLvlLbl val="0"/>
      </c:catAx>
      <c:valAx>
        <c:axId val="8750836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7706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4b866e84-0d34-43f2-8d06-cf4b1fa4e2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0.9635</c:v>
                </c:pt>
                <c:pt idx="1">
                  <c:v>0.0365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fcd78a-5a7a-4616-855d-0ac8026fb2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财政拨款收、支决算总计变动情况图</a:t>
            </a:r>
          </a:p>
        </c:rich>
      </c:tx>
      <c:layout>
        <c:manualLayout>
          <c:xMode val="edge"/>
          <c:yMode val="edge"/>
          <c:x val="0.301753360607832"/>
          <c:y val="0.0175438596491228"/>
        </c:manualLayout>
      </c:layout>
      <c:overlay val="0"/>
      <c:spPr>
        <a:noFill/>
        <a:ln>
          <a:noFill/>
        </a:ln>
        <a:effectLst/>
      </c:spPr>
    </c:title>
    <c:autoTitleDeleted val="0"/>
    <c:plotArea>
      <c:layout>
        <c:manualLayout>
          <c:layoutTarget val="inner"/>
          <c:xMode val="edge"/>
          <c:yMode val="edge"/>
          <c:x val="0.0629573348918761"/>
          <c:y val="0.113953107066732"/>
          <c:w val="0.911326709526593"/>
          <c:h val="0.764715527135596"/>
        </c:manualLayout>
      </c:layout>
      <c:barChart>
        <c:barDir val="col"/>
        <c:grouping val="clustered"/>
        <c:varyColors val="0"/>
        <c:ser>
          <c:idx val="0"/>
          <c:order val="0"/>
          <c:tx>
            <c:strRef>
              <c:f>Sheet1!$A$2</c:f>
              <c:strCache>
                <c:ptCount val="1"/>
                <c:pt idx="0">
                  <c:v>全年收入总计</c:v>
                </c:pt>
              </c:strCache>
            </c:strRef>
          </c:tx>
          <c:spPr>
            <a:solidFill>
              <a:schemeClr val="accent1"/>
            </a:solidFill>
            <a:ln>
              <a:noFill/>
            </a:ln>
            <a:effectLst/>
          </c:spPr>
          <c:invertIfNegative val="0"/>
          <c:dLbls>
            <c:delete val="1"/>
          </c:dLbls>
          <c:cat>
            <c:strRef>
              <c:f>Sheet1!$B$1:$E$1</c:f>
              <c:strCache>
                <c:ptCount val="4"/>
                <c:pt idx="0">
                  <c:v>2023年</c:v>
                </c:pt>
                <c:pt idx="1">
                  <c:v>2024年</c:v>
                </c:pt>
                <c:pt idx="2">
                  <c:v>同比增减额</c:v>
                </c:pt>
                <c:pt idx="3">
                  <c:v>同比增减率</c:v>
                </c:pt>
              </c:strCache>
            </c:strRef>
          </c:cat>
          <c:val>
            <c:numRef>
              <c:f>Sheet1!$B$2:$E$2</c:f>
              <c:numCache>
                <c:formatCode>General</c:formatCode>
                <c:ptCount val="4"/>
                <c:pt idx="0">
                  <c:v>303.64</c:v>
                </c:pt>
                <c:pt idx="1">
                  <c:v>274.3</c:v>
                </c:pt>
                <c:pt idx="2">
                  <c:v>-29.34</c:v>
                </c:pt>
                <c:pt idx="3" c:formatCode="0%">
                  <c:v>-0.1</c:v>
                </c:pt>
              </c:numCache>
            </c:numRef>
          </c:val>
        </c:ser>
        <c:ser>
          <c:idx val="1"/>
          <c:order val="1"/>
          <c:tx>
            <c:strRef>
              <c:f>Sheet1!$A$3</c:f>
              <c:strCache>
                <c:ptCount val="1"/>
                <c:pt idx="0">
                  <c:v>全年支出总计</c:v>
                </c:pt>
              </c:strCache>
            </c:strRef>
          </c:tx>
          <c:spPr>
            <a:solidFill>
              <a:schemeClr val="accent2"/>
            </a:solidFill>
            <a:ln>
              <a:noFill/>
            </a:ln>
            <a:effectLst/>
          </c:spPr>
          <c:invertIfNegative val="0"/>
          <c:dLbls>
            <c:dLbl>
              <c:idx val="2"/>
              <c:layout>
                <c:manualLayout>
                  <c:x val="-0.0465225014611338"/>
                  <c:y val="0.1432701422694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64172998246639"/>
                  <c:y val="0.085723493393490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9.6</a:t>
                    </a:r>
                    <a:r>
                      <a:t>%</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2023年</c:v>
                </c:pt>
                <c:pt idx="1">
                  <c:v>2024年</c:v>
                </c:pt>
                <c:pt idx="2">
                  <c:v>同比增减额</c:v>
                </c:pt>
                <c:pt idx="3">
                  <c:v>同比增减率</c:v>
                </c:pt>
              </c:strCache>
            </c:strRef>
          </c:cat>
          <c:val>
            <c:numRef>
              <c:f>Sheet1!$B$3:$E$3</c:f>
              <c:numCache>
                <c:formatCode>General</c:formatCode>
                <c:ptCount val="4"/>
                <c:pt idx="0">
                  <c:v>303.64</c:v>
                </c:pt>
                <c:pt idx="1">
                  <c:v>274.3</c:v>
                </c:pt>
                <c:pt idx="2">
                  <c:v>-29.34</c:v>
                </c:pt>
                <c:pt idx="3" c:formatCode="0%">
                  <c:v>-0.1</c:v>
                </c:pt>
              </c:numCache>
            </c:numRef>
          </c:val>
        </c:ser>
        <c:dLbls>
          <c:showLegendKey val="0"/>
          <c:showVal val="0"/>
          <c:showCatName val="0"/>
          <c:showSerName val="0"/>
          <c:showPercent val="0"/>
          <c:showBubbleSize val="0"/>
        </c:dLbls>
        <c:gapWidth val="246"/>
        <c:overlap val="-28"/>
        <c:axId val="354770645"/>
        <c:axId val="875083628"/>
      </c:barChart>
      <c:catAx>
        <c:axId val="354770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083628"/>
        <c:crosses val="autoZero"/>
        <c:auto val="1"/>
        <c:lblAlgn val="ctr"/>
        <c:lblOffset val="100"/>
        <c:noMultiLvlLbl val="0"/>
      </c:catAx>
      <c:valAx>
        <c:axId val="8750836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7706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42cd0325-3e89-4d7f-9077-84218c42dd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一般公共预算财政拨款支出决算变动情况图</a:t>
            </a:r>
          </a:p>
        </c:rich>
      </c:tx>
      <c:layout>
        <c:manualLayout>
          <c:xMode val="edge"/>
          <c:yMode val="edge"/>
          <c:x val="0.182174167153712"/>
          <c:y val="0.0221347761928185"/>
        </c:manualLayout>
      </c:layout>
      <c:overlay val="0"/>
      <c:spPr>
        <a:noFill/>
        <a:ln>
          <a:noFill/>
        </a:ln>
        <a:effectLst/>
      </c:spPr>
    </c:title>
    <c:autoTitleDeleted val="0"/>
    <c:plotArea>
      <c:layout>
        <c:manualLayout>
          <c:layoutTarget val="inner"/>
          <c:xMode val="edge"/>
          <c:yMode val="edge"/>
          <c:x val="0.0629573348918761"/>
          <c:y val="0.116084604033448"/>
          <c:w val="0.911326709526593"/>
          <c:h val="0.764715527135596"/>
        </c:manualLayout>
      </c:layout>
      <c:barChart>
        <c:barDir val="col"/>
        <c:grouping val="clustered"/>
        <c:varyColors val="0"/>
        <c:ser>
          <c:idx val="0"/>
          <c:order val="0"/>
          <c:tx>
            <c:strRef>
              <c:f>Sheet1!$A$2</c:f>
              <c:strCache>
                <c:ptCount val="1"/>
                <c:pt idx="0">
                  <c:v>全年收入总计</c:v>
                </c:pt>
              </c:strCache>
            </c:strRef>
          </c:tx>
          <c:spPr>
            <a:solidFill>
              <a:schemeClr val="accent1"/>
            </a:solidFill>
            <a:ln>
              <a:noFill/>
            </a:ln>
            <a:effectLst/>
          </c:spPr>
          <c:invertIfNegative val="0"/>
          <c:dLbls>
            <c:delete val="1"/>
          </c:dLbls>
          <c:cat>
            <c:strRef>
              <c:f>Sheet1!$B$1:$E$1</c:f>
              <c:strCache>
                <c:ptCount val="4"/>
                <c:pt idx="0">
                  <c:v>2023年</c:v>
                </c:pt>
                <c:pt idx="1">
                  <c:v>2024年</c:v>
                </c:pt>
                <c:pt idx="2">
                  <c:v>同比增减额</c:v>
                </c:pt>
                <c:pt idx="3">
                  <c:v>同比增减率</c:v>
                </c:pt>
              </c:strCache>
            </c:strRef>
          </c:cat>
          <c:val>
            <c:numRef>
              <c:f>Sheet1!$B$2:$E$2</c:f>
              <c:numCache>
                <c:formatCode>General</c:formatCode>
                <c:ptCount val="4"/>
                <c:pt idx="0">
                  <c:v>303.64</c:v>
                </c:pt>
                <c:pt idx="1">
                  <c:v>274.3</c:v>
                </c:pt>
                <c:pt idx="2">
                  <c:v>-29.34</c:v>
                </c:pt>
                <c:pt idx="3" c:formatCode="0%">
                  <c:v>-0.1</c:v>
                </c:pt>
              </c:numCache>
            </c:numRef>
          </c:val>
        </c:ser>
        <c:ser>
          <c:idx val="1"/>
          <c:order val="1"/>
          <c:tx>
            <c:strRef>
              <c:f>Sheet1!$A$3</c:f>
              <c:strCache>
                <c:ptCount val="1"/>
                <c:pt idx="0">
                  <c:v>全年支出总计</c:v>
                </c:pt>
              </c:strCache>
            </c:strRef>
          </c:tx>
          <c:spPr>
            <a:solidFill>
              <a:schemeClr val="accent2"/>
            </a:solidFill>
            <a:ln>
              <a:noFill/>
            </a:ln>
            <a:effectLst/>
          </c:spPr>
          <c:invertIfNegative val="0"/>
          <c:dLbls>
            <c:dLbl>
              <c:idx val="2"/>
              <c:layout>
                <c:manualLayout>
                  <c:x val="-0.0309760374050263"/>
                  <c:y val="-0.006558452205279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8977206312098"/>
                  <c:y val="-0.05886210854238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a:t>
                    </a:r>
                    <a:r>
                      <a:rPr lang="en-US" altLang="zh-CN"/>
                      <a:t>9.6</a:t>
                    </a:r>
                    <a:r>
                      <a:t>%</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2023年</c:v>
                </c:pt>
                <c:pt idx="1">
                  <c:v>2024年</c:v>
                </c:pt>
                <c:pt idx="2">
                  <c:v>同比增减额</c:v>
                </c:pt>
                <c:pt idx="3">
                  <c:v>同比增减率</c:v>
                </c:pt>
              </c:strCache>
            </c:strRef>
          </c:cat>
          <c:val>
            <c:numRef>
              <c:f>Sheet1!$B$3:$E$3</c:f>
              <c:numCache>
                <c:formatCode>General</c:formatCode>
                <c:ptCount val="4"/>
                <c:pt idx="0">
                  <c:v>303.64</c:v>
                </c:pt>
                <c:pt idx="1">
                  <c:v>274.3</c:v>
                </c:pt>
                <c:pt idx="2">
                  <c:v>-29.34</c:v>
                </c:pt>
                <c:pt idx="3" c:formatCode="0%">
                  <c:v>-0.1</c:v>
                </c:pt>
              </c:numCache>
            </c:numRef>
          </c:val>
        </c:ser>
        <c:dLbls>
          <c:showLegendKey val="0"/>
          <c:showVal val="0"/>
          <c:showCatName val="0"/>
          <c:showSerName val="0"/>
          <c:showPercent val="0"/>
          <c:showBubbleSize val="0"/>
        </c:dLbls>
        <c:gapWidth val="246"/>
        <c:overlap val="-28"/>
        <c:axId val="354770645"/>
        <c:axId val="875083628"/>
      </c:barChart>
      <c:catAx>
        <c:axId val="354770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083628"/>
        <c:crosses val="autoZero"/>
        <c:auto val="1"/>
        <c:lblAlgn val="ctr"/>
        <c:lblOffset val="100"/>
        <c:noMultiLvlLbl val="0"/>
      </c:catAx>
      <c:valAx>
        <c:axId val="87508362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7706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extLst>
      <c:ext uri="{0b15fc19-7d7d-44ad-8c2d-2c3a37ce22c3}">
        <chartProps xmlns="https://web.wps.cn/et/2018/main" chartId="{3e312907-b070-4111-97d4-3864d7a585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992751872433"/>
          <c:y val="0.00596896140071628"/>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866151244261899"/>
                  <c:y val="0.0112622184445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一般公共服务支出74%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12160458446768"/>
                  <c:y val="-0.0086735966840380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社会保障和就业支出11%</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7045050675011"/>
                  <c:y val="-0.0345202802008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卫生健康支出7.80%</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1275144462394"/>
                  <c:y val="0.014230956007183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住房保障支出7.20%</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c:formatCode>
                <c:ptCount val="4"/>
                <c:pt idx="0">
                  <c:v>0.74</c:v>
                </c:pt>
                <c:pt idx="1">
                  <c:v>0.11</c:v>
                </c:pt>
                <c:pt idx="2" c:formatCode="0.00%">
                  <c:v>0.078</c:v>
                </c:pt>
                <c:pt idx="3" c:formatCode="0.00%">
                  <c:v>0.072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6b2d08-dea5-4737-8bb4-eecf850828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5158</Words>
  <Characters>5510</Characters>
  <Lines>44</Lines>
  <Paragraphs>12</Paragraphs>
  <TotalTime>16</TotalTime>
  <ScaleCrop>false</ScaleCrop>
  <LinksUpToDate>false</LinksUpToDate>
  <CharactersWithSpaces>5554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孟剑</cp:lastModifiedBy>
  <cp:lastPrinted>2025-10-20T01:04:00Z</cp:lastPrinted>
  <dcterms:modified xsi:type="dcterms:W3CDTF">2025-10-28T01:33:43Z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eyJoZGlkIjoiZTJhNzEwNzk2NmNiMGY1Mzc2MjlhNzVjYThiNDEyZmUiLCJ1c2VySWQiOiIzNzIxNTQ4MDAifQ==</vt:lpwstr>
  </property>
</Properties>
</file>