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9B889">
      <w:pPr>
        <w:pStyle w:val="8"/>
        <w:spacing w:before="93"/>
        <w:rPr>
          <w:rFonts w:ascii="Times New Roman" w:eastAsia="方正小标宋简体"/>
          <w:kern w:val="2"/>
          <w:sz w:val="72"/>
          <w:szCs w:val="72"/>
        </w:rPr>
      </w:pPr>
      <w:bookmarkStart w:id="0" w:name="_Toc15396597"/>
      <w:bookmarkStart w:id="1" w:name="_Toc15377425"/>
      <w:bookmarkStart w:id="2" w:name="_Toc15378441"/>
      <w:bookmarkStart w:id="3" w:name="_Toc15377193"/>
      <w:bookmarkStart w:id="4" w:name="_Toc15396475"/>
      <w:bookmarkStart w:id="5" w:name="_Toc15306267"/>
    </w:p>
    <w:p w14:paraId="22C78304">
      <w:pPr>
        <w:pStyle w:val="8"/>
        <w:spacing w:before="93"/>
        <w:rPr>
          <w:rFonts w:ascii="Times New Roman" w:eastAsia="方正小标宋简体"/>
          <w:kern w:val="2"/>
          <w:sz w:val="72"/>
          <w:szCs w:val="72"/>
        </w:rPr>
      </w:pPr>
    </w:p>
    <w:p w14:paraId="2CCA4D0D">
      <w:pPr>
        <w:pStyle w:val="8"/>
        <w:spacing w:before="93"/>
        <w:rPr>
          <w:rFonts w:ascii="Times New Roman" w:eastAsia="方正小标宋简体"/>
          <w:kern w:val="2"/>
          <w:sz w:val="72"/>
          <w:szCs w:val="72"/>
        </w:rPr>
      </w:pPr>
    </w:p>
    <w:p w14:paraId="6A919EE3">
      <w:pPr>
        <w:pStyle w:val="8"/>
        <w:spacing w:before="93"/>
        <w:jc w:val="center"/>
        <w:rPr>
          <w:rFonts w:hint="eastAsia" w:ascii="方正小标宋_GBK" w:hAnsi="方正小标宋_GBK" w:eastAsia="方正小标宋_GBK" w:cs="方正小标宋_GBK"/>
          <w:kern w:val="2"/>
          <w:sz w:val="72"/>
          <w:szCs w:val="72"/>
        </w:rPr>
      </w:pPr>
      <w:r>
        <w:rPr>
          <w:rFonts w:hint="eastAsia" w:ascii="方正小标宋_GBK" w:hAnsi="方正小标宋_GBK" w:eastAsia="方正小标宋_GBK" w:cs="方正小标宋_GBK"/>
          <w:kern w:val="2"/>
          <w:sz w:val="72"/>
          <w:szCs w:val="72"/>
        </w:rPr>
        <w:t>2024年度</w:t>
      </w:r>
    </w:p>
    <w:p w14:paraId="2D347532">
      <w:pPr>
        <w:pStyle w:val="8"/>
        <w:spacing w:before="93"/>
        <w:jc w:val="center"/>
        <w:rPr>
          <w:rFonts w:hint="eastAsia" w:ascii="方正小标宋_GBK" w:hAnsi="方正小标宋_GBK" w:eastAsia="方正小标宋_GBK" w:cs="方正小标宋_GBK"/>
          <w:kern w:val="2"/>
          <w:sz w:val="72"/>
          <w:szCs w:val="72"/>
          <w:lang w:val="en-US" w:eastAsia="zh-CN"/>
        </w:rPr>
      </w:pPr>
      <w:bookmarkStart w:id="6" w:name="_Toc15377426"/>
      <w:bookmarkStart w:id="7" w:name="_Toc15396476"/>
      <w:bookmarkStart w:id="8" w:name="_Toc15377194"/>
      <w:bookmarkStart w:id="9" w:name="_Toc15378442"/>
      <w:bookmarkStart w:id="10" w:name="_Toc15306268"/>
      <w:bookmarkStart w:id="11" w:name="_Toc15396598"/>
      <w:r>
        <w:rPr>
          <w:rFonts w:hint="eastAsia" w:ascii="方正小标宋_GBK" w:hAnsi="方正小标宋_GBK" w:eastAsia="方正小标宋_GBK" w:cs="方正小标宋_GBK"/>
          <w:kern w:val="2"/>
          <w:sz w:val="72"/>
          <w:szCs w:val="72"/>
          <w:lang w:val="en-US" w:eastAsia="zh-CN"/>
        </w:rPr>
        <w:t>盐边县渔门中心卫生院（盐边县渔门镇妇幼保健计划生育服务站）</w:t>
      </w:r>
    </w:p>
    <w:p w14:paraId="5EDE1503">
      <w:pPr>
        <w:pStyle w:val="8"/>
        <w:spacing w:before="93"/>
        <w:jc w:val="center"/>
        <w:rPr>
          <w:rFonts w:hint="eastAsia" w:ascii="Times New Roman" w:eastAsia="方正小标宋简体"/>
          <w:kern w:val="2"/>
          <w:sz w:val="56"/>
          <w:szCs w:val="56"/>
          <w:lang w:val="en-US" w:eastAsia="zh-CN"/>
        </w:rPr>
      </w:pPr>
      <w:r>
        <w:rPr>
          <w:rFonts w:hint="eastAsia" w:ascii="方正小标宋_GBK" w:hAnsi="方正小标宋_GBK" w:eastAsia="方正小标宋_GBK" w:cs="方正小标宋_GBK"/>
          <w:kern w:val="2"/>
          <w:sz w:val="72"/>
          <w:szCs w:val="72"/>
          <w:lang w:val="en-US" w:eastAsia="zh-CN"/>
        </w:rPr>
        <w:t>单位决算</w:t>
      </w:r>
      <w:bookmarkEnd w:id="6"/>
      <w:bookmarkEnd w:id="7"/>
      <w:bookmarkEnd w:id="8"/>
      <w:bookmarkEnd w:id="9"/>
      <w:bookmarkEnd w:id="10"/>
      <w:bookmarkEnd w:id="11"/>
      <w:r>
        <w:rPr>
          <w:rFonts w:hint="eastAsia" w:ascii="方正小标宋_GBK" w:hAnsi="方正小标宋_GBK" w:eastAsia="方正小标宋_GBK" w:cs="方正小标宋_GBK"/>
          <w:kern w:val="2"/>
          <w:sz w:val="72"/>
          <w:szCs w:val="72"/>
          <w:lang w:val="en-US" w:eastAsia="zh-CN"/>
        </w:rPr>
        <w:t>公开编制说明</w:t>
      </w:r>
    </w:p>
    <w:p w14:paraId="51D037B7">
      <w:pPr>
        <w:pStyle w:val="8"/>
        <w:spacing w:before="93"/>
        <w:jc w:val="center"/>
        <w:rPr>
          <w:rFonts w:hint="eastAsia" w:ascii="Times New Roman" w:eastAsia="方正小标宋简体"/>
          <w:kern w:val="2"/>
          <w:sz w:val="72"/>
          <w:szCs w:val="72"/>
        </w:rPr>
      </w:pPr>
    </w:p>
    <w:p w14:paraId="2E779E8E"/>
    <w:bookmarkEnd w:id="0"/>
    <w:bookmarkEnd w:id="1"/>
    <w:bookmarkEnd w:id="2"/>
    <w:bookmarkEnd w:id="3"/>
    <w:bookmarkEnd w:id="4"/>
    <w:bookmarkEnd w:id="5"/>
    <w:p w14:paraId="190E0C5F">
      <w:pPr>
        <w:widowControl/>
        <w:jc w:val="center"/>
        <w:rPr>
          <w:rFonts w:hint="eastAsia" w:eastAsia="黑体"/>
          <w:sz w:val="48"/>
          <w:szCs w:val="48"/>
        </w:rPr>
      </w:pPr>
    </w:p>
    <w:p w14:paraId="1DFCEFDF">
      <w:pPr>
        <w:widowControl/>
        <w:jc w:val="center"/>
        <w:rPr>
          <w:rFonts w:hint="eastAsia" w:eastAsia="黑体"/>
          <w:sz w:val="48"/>
          <w:szCs w:val="48"/>
        </w:rPr>
      </w:pPr>
    </w:p>
    <w:p w14:paraId="7A0A1DA9">
      <w:pPr>
        <w:widowControl/>
        <w:jc w:val="center"/>
        <w:rPr>
          <w:rFonts w:hint="eastAsia" w:eastAsia="黑体"/>
          <w:sz w:val="48"/>
          <w:szCs w:val="48"/>
        </w:rPr>
      </w:pPr>
    </w:p>
    <w:p w14:paraId="6C9FE5DA">
      <w:pPr>
        <w:widowControl/>
        <w:jc w:val="center"/>
        <w:rPr>
          <w:rFonts w:hint="eastAsia" w:eastAsia="黑体"/>
          <w:sz w:val="48"/>
          <w:szCs w:val="48"/>
        </w:rPr>
      </w:pPr>
    </w:p>
    <w:p w14:paraId="4E12A1E2">
      <w:pPr>
        <w:bidi w:val="0"/>
        <w:jc w:val="left"/>
        <w:rPr>
          <w:rFonts w:hint="eastAsia"/>
          <w:lang w:val="en-US" w:eastAsia="zh-C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bookmarkStart w:id="96" w:name="_GoBack"/>
      <w:bookmarkEnd w:id="96"/>
    </w:p>
    <w:p w14:paraId="740963C9">
      <w:pPr>
        <w:widowControl/>
        <w:jc w:val="center"/>
        <w:rPr>
          <w:rFonts w:eastAsia="黑体"/>
          <w:sz w:val="48"/>
          <w:szCs w:val="48"/>
        </w:rPr>
      </w:pPr>
      <w:r>
        <w:rPr>
          <w:rFonts w:hint="eastAsia" w:eastAsia="黑体"/>
          <w:sz w:val="48"/>
          <w:szCs w:val="48"/>
        </w:rPr>
        <w:t>目录</w:t>
      </w:r>
    </w:p>
    <w:p w14:paraId="27D95AC8">
      <w:pPr>
        <w:widowControl/>
        <w:jc w:val="center"/>
        <w:rPr>
          <w:rFonts w:eastAsia="黑体" w:cstheme="minorBidi"/>
          <w:sz w:val="28"/>
          <w:szCs w:val="28"/>
        </w:rPr>
      </w:pPr>
    </w:p>
    <w:p w14:paraId="1D25C26C">
      <w:pPr>
        <w:pStyle w:val="13"/>
        <w:rPr>
          <w:rFonts w:ascii="Times New Roman" w:hAnsi="Times New Roman" w:eastAsia="仿宋_GB2312" w:cs="仿宋_GB2312"/>
        </w:rPr>
      </w:pPr>
      <w:r>
        <w:rPr>
          <w:rFonts w:hint="eastAsia" w:ascii="Times New Roman" w:hAnsi="Times New Roman" w:eastAsia="仿宋_GB2312" w:cs="仿宋_GB2312"/>
        </w:rPr>
        <w:t>公开时间：2025年10月</w:t>
      </w:r>
      <w:r>
        <w:rPr>
          <w:rFonts w:hint="eastAsia" w:ascii="Times New Roman" w:hAnsi="Times New Roman" w:eastAsia="仿宋_GB2312" w:cs="仿宋_GB2312"/>
          <w:lang w:val="en-US" w:eastAsia="zh-CN"/>
        </w:rPr>
        <w:t>28</w:t>
      </w:r>
      <w:r>
        <w:rPr>
          <w:rFonts w:hint="eastAsia" w:ascii="Times New Roman" w:hAnsi="Times New Roman" w:eastAsia="仿宋_GB2312" w:cs="仿宋_GB2312"/>
        </w:rPr>
        <w:t>日</w:t>
      </w:r>
    </w:p>
    <w:sdt>
      <w:sdtPr>
        <w:rPr>
          <w:rFonts w:ascii="宋体" w:hAnsi="宋体" w:eastAsia="宋体" w:cs="Times New Roman"/>
          <w:kern w:val="2"/>
          <w:sz w:val="21"/>
          <w:szCs w:val="24"/>
          <w:lang w:val="en-US" w:eastAsia="zh-CN" w:bidi="ar-SA"/>
        </w:rPr>
        <w:id w:val="147458125"/>
        <w15:color w:val="DBDBDB"/>
        <w:docPartObj>
          <w:docPartGallery w:val="Table of Contents"/>
          <w:docPartUnique/>
        </w:docPartObj>
      </w:sdtPr>
      <w:sdtEndPr>
        <w:rPr>
          <w:rFonts w:ascii="Times New Roman" w:hAnsi="Times New Roman" w:eastAsia="宋体" w:cs="Times New Roman"/>
          <w:kern w:val="2"/>
          <w:sz w:val="21"/>
          <w:szCs w:val="28"/>
          <w:lang w:val="en-US" w:eastAsia="zh-CN" w:bidi="ar-SA"/>
        </w:rPr>
      </w:sdtEndPr>
      <w:sdtContent>
        <w:p w14:paraId="5B1CEE5A">
          <w:pPr>
            <w:spacing w:before="0" w:beforeLines="0" w:after="0" w:afterLines="0" w:line="240" w:lineRule="auto"/>
            <w:ind w:left="0" w:leftChars="0" w:right="0" w:rightChars="0" w:firstLine="0" w:firstLineChars="0"/>
            <w:jc w:val="center"/>
          </w:pPr>
        </w:p>
        <w:p w14:paraId="69702C50">
          <w:pPr>
            <w:pStyle w:val="13"/>
            <w:tabs>
              <w:tab w:val="right" w:leader="dot" w:pos="8306"/>
              <w:tab w:val="clear" w:pos="8296"/>
            </w:tabs>
            <w:rPr>
              <w:rFonts w:hint="eastAsia" w:ascii="CESI仿宋-GB2312" w:hAnsi="CESI仿宋-GB2312" w:eastAsia="CESI仿宋-GB2312" w:cs="CESI仿宋-GB2312"/>
              <w:sz w:val="32"/>
              <w:szCs w:val="32"/>
            </w:rPr>
          </w:pPr>
          <w:r>
            <w:rPr>
              <w:sz w:val="28"/>
              <w:szCs w:val="28"/>
            </w:rPr>
            <w:fldChar w:fldCharType="begin"/>
          </w:r>
          <w:r>
            <w:rPr>
              <w:sz w:val="28"/>
              <w:szCs w:val="28"/>
            </w:rPr>
            <w:instrText xml:space="preserve">TOC \o "1-2" \h \u </w:instrText>
          </w:r>
          <w:r>
            <w:rPr>
              <w:sz w:val="28"/>
              <w:szCs w:val="28"/>
            </w:rPr>
            <w:fldChar w:fldCharType="separate"/>
          </w:r>
          <w:r>
            <w:rPr>
              <w:rFonts w:hint="eastAsia" w:ascii="国标黑体" w:hAnsi="国标黑体" w:eastAsia="国标黑体" w:cs="国标黑体"/>
              <w:sz w:val="32"/>
              <w:szCs w:val="32"/>
            </w:rPr>
            <w:fldChar w:fldCharType="begin"/>
          </w:r>
          <w:r>
            <w:rPr>
              <w:rFonts w:hint="eastAsia" w:ascii="国标黑体" w:hAnsi="国标黑体" w:eastAsia="国标黑体" w:cs="国标黑体"/>
              <w:sz w:val="32"/>
              <w:szCs w:val="32"/>
            </w:rPr>
            <w:instrText xml:space="preserve"> HYPERLINK \l _Toc11237 </w:instrText>
          </w:r>
          <w:r>
            <w:rPr>
              <w:rFonts w:hint="eastAsia" w:ascii="国标黑体" w:hAnsi="国标黑体" w:eastAsia="国标黑体" w:cs="国标黑体"/>
              <w:sz w:val="32"/>
              <w:szCs w:val="32"/>
            </w:rPr>
            <w:fldChar w:fldCharType="separate"/>
          </w:r>
          <w:r>
            <w:rPr>
              <w:rFonts w:hint="eastAsia" w:ascii="国标黑体" w:hAnsi="国标黑体" w:eastAsia="国标黑体" w:cs="国标黑体"/>
              <w:sz w:val="32"/>
              <w:szCs w:val="32"/>
            </w:rPr>
            <w:t>第一部分 单位概况</w:t>
          </w:r>
          <w:r>
            <w:rPr>
              <w:rFonts w:hint="eastAsia" w:ascii="国标黑体" w:hAnsi="国标黑体" w:eastAsia="国标黑体" w:cs="国标黑体"/>
              <w:sz w:val="32"/>
              <w:szCs w:val="32"/>
            </w:rPr>
            <w:tab/>
          </w:r>
          <w:r>
            <w:rPr>
              <w:rFonts w:hint="eastAsia" w:ascii="国标黑体" w:hAnsi="国标黑体" w:eastAsia="国标黑体" w:cs="国标黑体"/>
              <w:sz w:val="32"/>
              <w:szCs w:val="32"/>
            </w:rPr>
            <w:fldChar w:fldCharType="begin"/>
          </w:r>
          <w:r>
            <w:rPr>
              <w:rFonts w:hint="eastAsia" w:ascii="国标黑体" w:hAnsi="国标黑体" w:eastAsia="国标黑体" w:cs="国标黑体"/>
              <w:sz w:val="32"/>
              <w:szCs w:val="32"/>
            </w:rPr>
            <w:instrText xml:space="preserve"> PAGEREF _Toc11237 \h </w:instrText>
          </w:r>
          <w:r>
            <w:rPr>
              <w:rFonts w:hint="eastAsia" w:ascii="国标黑体" w:hAnsi="国标黑体" w:eastAsia="国标黑体" w:cs="国标黑体"/>
              <w:sz w:val="32"/>
              <w:szCs w:val="32"/>
            </w:rPr>
            <w:fldChar w:fldCharType="separate"/>
          </w:r>
          <w:r>
            <w:rPr>
              <w:rFonts w:hint="eastAsia" w:ascii="国标黑体" w:hAnsi="国标黑体" w:eastAsia="国标黑体" w:cs="国标黑体"/>
              <w:sz w:val="32"/>
              <w:szCs w:val="32"/>
            </w:rPr>
            <w:t>1</w:t>
          </w:r>
          <w:r>
            <w:rPr>
              <w:rFonts w:hint="eastAsia" w:ascii="国标黑体" w:hAnsi="国标黑体" w:eastAsia="国标黑体" w:cs="国标黑体"/>
              <w:sz w:val="32"/>
              <w:szCs w:val="32"/>
            </w:rPr>
            <w:fldChar w:fldCharType="end"/>
          </w:r>
          <w:r>
            <w:rPr>
              <w:rFonts w:hint="eastAsia" w:ascii="国标黑体" w:hAnsi="国标黑体" w:eastAsia="国标黑体" w:cs="国标黑体"/>
              <w:sz w:val="32"/>
              <w:szCs w:val="32"/>
            </w:rPr>
            <w:fldChar w:fldCharType="end"/>
          </w:r>
        </w:p>
        <w:p w14:paraId="4FCBEF40">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_Toc12955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一、 主要职责</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_Toc12955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6DB84C6D">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_Toc14424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bCs w:val="0"/>
              <w:sz w:val="32"/>
              <w:szCs w:val="32"/>
            </w:rPr>
            <w:t xml:space="preserve">二、 </w:t>
          </w:r>
          <w:r>
            <w:rPr>
              <w:rFonts w:hint="eastAsia" w:ascii="CESI仿宋-GB2312" w:hAnsi="CESI仿宋-GB2312" w:eastAsia="CESI仿宋-GB2312" w:cs="CESI仿宋-GB2312"/>
              <w:sz w:val="32"/>
              <w:szCs w:val="32"/>
            </w:rPr>
            <w:t>机</w:t>
          </w:r>
          <w:r>
            <w:rPr>
              <w:rFonts w:hint="eastAsia" w:ascii="CESI仿宋-GB2312" w:hAnsi="CESI仿宋-GB2312" w:eastAsia="CESI仿宋-GB2312" w:cs="CESI仿宋-GB2312"/>
              <w:bCs w:val="0"/>
              <w:sz w:val="32"/>
              <w:szCs w:val="32"/>
            </w:rPr>
            <w:t>构设置</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_Toc14424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1F2981DF">
          <w:pPr>
            <w:pStyle w:val="13"/>
            <w:tabs>
              <w:tab w:val="right" w:leader="dot" w:pos="8306"/>
              <w:tab w:val="clear" w:pos="8296"/>
            </w:tabs>
            <w:rPr>
              <w:rFonts w:hint="eastAsia" w:ascii="国标黑体" w:hAnsi="国标黑体" w:eastAsia="国标黑体" w:cs="国标黑体"/>
              <w:sz w:val="32"/>
              <w:szCs w:val="32"/>
            </w:rPr>
          </w:pPr>
          <w:r>
            <w:rPr>
              <w:rFonts w:hint="eastAsia" w:ascii="国标黑体" w:hAnsi="国标黑体" w:eastAsia="国标黑体" w:cs="国标黑体"/>
              <w:sz w:val="32"/>
              <w:szCs w:val="32"/>
            </w:rPr>
            <w:fldChar w:fldCharType="begin"/>
          </w:r>
          <w:r>
            <w:rPr>
              <w:rFonts w:hint="eastAsia" w:ascii="国标黑体" w:hAnsi="国标黑体" w:eastAsia="国标黑体" w:cs="国标黑体"/>
              <w:sz w:val="32"/>
              <w:szCs w:val="32"/>
            </w:rPr>
            <w:instrText xml:space="preserve"> HYPERLINK \l _Toc29615 </w:instrText>
          </w:r>
          <w:r>
            <w:rPr>
              <w:rFonts w:hint="eastAsia" w:ascii="国标黑体" w:hAnsi="国标黑体" w:eastAsia="国标黑体" w:cs="国标黑体"/>
              <w:sz w:val="32"/>
              <w:szCs w:val="32"/>
            </w:rPr>
            <w:fldChar w:fldCharType="separate"/>
          </w:r>
          <w:r>
            <w:rPr>
              <w:rFonts w:hint="eastAsia" w:ascii="国标黑体" w:hAnsi="国标黑体" w:eastAsia="国标黑体" w:cs="国标黑体"/>
              <w:sz w:val="32"/>
              <w:szCs w:val="32"/>
            </w:rPr>
            <w:t>第二部分 2024年度部门决算情况说明</w:t>
          </w:r>
          <w:r>
            <w:rPr>
              <w:rFonts w:hint="eastAsia" w:ascii="国标黑体" w:hAnsi="国标黑体" w:eastAsia="国标黑体" w:cs="国标黑体"/>
              <w:sz w:val="32"/>
              <w:szCs w:val="32"/>
            </w:rPr>
            <w:tab/>
          </w:r>
          <w:r>
            <w:rPr>
              <w:rFonts w:hint="eastAsia" w:ascii="国标黑体" w:hAnsi="国标黑体" w:eastAsia="国标黑体" w:cs="国标黑体"/>
              <w:sz w:val="32"/>
              <w:szCs w:val="32"/>
            </w:rPr>
            <w:fldChar w:fldCharType="begin"/>
          </w:r>
          <w:r>
            <w:rPr>
              <w:rFonts w:hint="eastAsia" w:ascii="国标黑体" w:hAnsi="国标黑体" w:eastAsia="国标黑体" w:cs="国标黑体"/>
              <w:sz w:val="32"/>
              <w:szCs w:val="32"/>
            </w:rPr>
            <w:instrText xml:space="preserve"> PAGEREF _Toc29615 \h </w:instrText>
          </w:r>
          <w:r>
            <w:rPr>
              <w:rFonts w:hint="eastAsia" w:ascii="国标黑体" w:hAnsi="国标黑体" w:eastAsia="国标黑体" w:cs="国标黑体"/>
              <w:sz w:val="32"/>
              <w:szCs w:val="32"/>
            </w:rPr>
            <w:fldChar w:fldCharType="separate"/>
          </w:r>
          <w:r>
            <w:rPr>
              <w:rFonts w:hint="eastAsia" w:ascii="国标黑体" w:hAnsi="国标黑体" w:eastAsia="国标黑体" w:cs="国标黑体"/>
              <w:sz w:val="32"/>
              <w:szCs w:val="32"/>
            </w:rPr>
            <w:t>2</w:t>
          </w:r>
          <w:r>
            <w:rPr>
              <w:rFonts w:hint="eastAsia" w:ascii="国标黑体" w:hAnsi="国标黑体" w:eastAsia="国标黑体" w:cs="国标黑体"/>
              <w:sz w:val="32"/>
              <w:szCs w:val="32"/>
            </w:rPr>
            <w:fldChar w:fldCharType="end"/>
          </w:r>
          <w:r>
            <w:rPr>
              <w:rFonts w:hint="eastAsia" w:ascii="国标黑体" w:hAnsi="国标黑体" w:eastAsia="国标黑体" w:cs="国标黑体"/>
              <w:sz w:val="32"/>
              <w:szCs w:val="32"/>
            </w:rPr>
            <w:fldChar w:fldCharType="end"/>
          </w:r>
        </w:p>
        <w:p w14:paraId="405820E2">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_Toc19828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一、 收入支出决算总体情况说明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_Toc19828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2</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735132B2">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_Toc2175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二、收入决算情况说明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_Toc2175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2</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1591078B">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_Toc31549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三、支出决算情况说明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_Toc31549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3</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5CBCFAE2">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_Toc145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四、财政拨款收入支出决算总体情况说明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_Toc145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4</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711C3A21">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_Toc15449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五、一般公共预算财政拨款支出决算情况说明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_Toc15449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4</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47193C5A">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_Toc14436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六、一般公共预算财政拨款基本支出决算情况说明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_Toc14436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7</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220B13FF">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_Toc15888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七、财政拨款“三公”经费支出决算情况说明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_Toc15888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7</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54FA0F32">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_Toc26581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八、政府性基金预算支出决算情况说明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_Toc26581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9</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3442BFE6">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_Toc404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九、国有资本经营预算支出决算情况说明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_Toc404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9</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30BFDBE5">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_Toc22748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十、其他重要事项的情况说明</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_Toc22748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9</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7E2B880B">
          <w:pPr>
            <w:pStyle w:val="13"/>
            <w:tabs>
              <w:tab w:val="right" w:leader="dot" w:pos="8306"/>
              <w:tab w:val="clear" w:pos="8296"/>
            </w:tabs>
            <w:rPr>
              <w:rFonts w:hint="eastAsia" w:ascii="国标黑体" w:hAnsi="国标黑体" w:eastAsia="国标黑体" w:cs="国标黑体"/>
              <w:sz w:val="32"/>
              <w:szCs w:val="32"/>
            </w:rPr>
          </w:pPr>
          <w:r>
            <w:rPr>
              <w:rFonts w:hint="eastAsia" w:ascii="国标黑体" w:hAnsi="国标黑体" w:eastAsia="国标黑体" w:cs="国标黑体"/>
              <w:sz w:val="32"/>
              <w:szCs w:val="32"/>
            </w:rPr>
            <w:fldChar w:fldCharType="begin"/>
          </w:r>
          <w:r>
            <w:rPr>
              <w:rFonts w:hint="eastAsia" w:ascii="国标黑体" w:hAnsi="国标黑体" w:eastAsia="国标黑体" w:cs="国标黑体"/>
              <w:sz w:val="32"/>
              <w:szCs w:val="32"/>
            </w:rPr>
            <w:instrText xml:space="preserve"> HYPERLINK \l _Toc26730 </w:instrText>
          </w:r>
          <w:r>
            <w:rPr>
              <w:rFonts w:hint="eastAsia" w:ascii="国标黑体" w:hAnsi="国标黑体" w:eastAsia="国标黑体" w:cs="国标黑体"/>
              <w:sz w:val="32"/>
              <w:szCs w:val="32"/>
            </w:rPr>
            <w:fldChar w:fldCharType="separate"/>
          </w:r>
          <w:r>
            <w:rPr>
              <w:rFonts w:hint="eastAsia" w:ascii="国标黑体" w:hAnsi="国标黑体" w:eastAsia="国标黑体" w:cs="国标黑体"/>
              <w:sz w:val="32"/>
              <w:szCs w:val="32"/>
            </w:rPr>
            <w:t>第三部分  名词解释</w:t>
          </w:r>
          <w:r>
            <w:rPr>
              <w:rFonts w:hint="eastAsia" w:ascii="国标黑体" w:hAnsi="国标黑体" w:eastAsia="国标黑体" w:cs="国标黑体"/>
              <w:sz w:val="32"/>
              <w:szCs w:val="32"/>
            </w:rPr>
            <w:tab/>
          </w:r>
          <w:r>
            <w:rPr>
              <w:rFonts w:hint="eastAsia" w:ascii="国标黑体" w:hAnsi="国标黑体" w:eastAsia="国标黑体" w:cs="国标黑体"/>
              <w:sz w:val="32"/>
              <w:szCs w:val="32"/>
            </w:rPr>
            <w:fldChar w:fldCharType="begin"/>
          </w:r>
          <w:r>
            <w:rPr>
              <w:rFonts w:hint="eastAsia" w:ascii="国标黑体" w:hAnsi="国标黑体" w:eastAsia="国标黑体" w:cs="国标黑体"/>
              <w:sz w:val="32"/>
              <w:szCs w:val="32"/>
            </w:rPr>
            <w:instrText xml:space="preserve"> PAGEREF _Toc26730 \h </w:instrText>
          </w:r>
          <w:r>
            <w:rPr>
              <w:rFonts w:hint="eastAsia" w:ascii="国标黑体" w:hAnsi="国标黑体" w:eastAsia="国标黑体" w:cs="国标黑体"/>
              <w:sz w:val="32"/>
              <w:szCs w:val="32"/>
            </w:rPr>
            <w:fldChar w:fldCharType="separate"/>
          </w:r>
          <w:r>
            <w:rPr>
              <w:rFonts w:hint="eastAsia" w:ascii="国标黑体" w:hAnsi="国标黑体" w:eastAsia="国标黑体" w:cs="国标黑体"/>
              <w:sz w:val="32"/>
              <w:szCs w:val="32"/>
            </w:rPr>
            <w:t>11</w:t>
          </w:r>
          <w:r>
            <w:rPr>
              <w:rFonts w:hint="eastAsia" w:ascii="国标黑体" w:hAnsi="国标黑体" w:eastAsia="国标黑体" w:cs="国标黑体"/>
              <w:sz w:val="32"/>
              <w:szCs w:val="32"/>
            </w:rPr>
            <w:fldChar w:fldCharType="end"/>
          </w:r>
          <w:r>
            <w:rPr>
              <w:rFonts w:hint="eastAsia" w:ascii="国标黑体" w:hAnsi="国标黑体" w:eastAsia="国标黑体" w:cs="国标黑体"/>
              <w:sz w:val="32"/>
              <w:szCs w:val="32"/>
            </w:rPr>
            <w:fldChar w:fldCharType="end"/>
          </w:r>
        </w:p>
        <w:p w14:paraId="23B1C3C0">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r>
            <w:rPr>
              <w:rFonts w:hint="eastAsia" w:ascii="国标黑体" w:hAnsi="国标黑体" w:eastAsia="国标黑体" w:cs="国标黑体"/>
              <w:sz w:val="32"/>
              <w:szCs w:val="32"/>
            </w:rPr>
            <w:tab/>
          </w:r>
          <w:r>
            <w:rPr>
              <w:rFonts w:hint="eastAsia" w:ascii="国标黑体" w:hAnsi="国标黑体" w:eastAsia="国标黑体" w:cs="国标黑体"/>
              <w:sz w:val="32"/>
              <w:szCs w:val="32"/>
            </w:rPr>
            <w:fldChar w:fldCharType="begin"/>
          </w:r>
          <w:r>
            <w:rPr>
              <w:rFonts w:hint="eastAsia" w:ascii="国标黑体" w:hAnsi="国标黑体" w:eastAsia="国标黑体" w:cs="国标黑体"/>
              <w:sz w:val="32"/>
              <w:szCs w:val="32"/>
            </w:rPr>
            <w:instrText xml:space="preserve"> PAGEREF _Toc26730 \h </w:instrText>
          </w:r>
          <w:r>
            <w:rPr>
              <w:rFonts w:hint="eastAsia" w:ascii="国标黑体" w:hAnsi="国标黑体" w:eastAsia="国标黑体" w:cs="国标黑体"/>
              <w:sz w:val="32"/>
              <w:szCs w:val="32"/>
            </w:rPr>
            <w:fldChar w:fldCharType="separate"/>
          </w:r>
          <w:r>
            <w:rPr>
              <w:rFonts w:hint="eastAsia" w:ascii="国标黑体" w:hAnsi="国标黑体" w:eastAsia="国标黑体" w:cs="国标黑体"/>
              <w:sz w:val="32"/>
              <w:szCs w:val="32"/>
            </w:rPr>
            <w:t>1</w:t>
          </w:r>
          <w:r>
            <w:rPr>
              <w:rFonts w:hint="eastAsia" w:ascii="国标黑体" w:hAnsi="国标黑体" w:eastAsia="国标黑体" w:cs="国标黑体"/>
              <w:sz w:val="32"/>
              <w:szCs w:val="32"/>
              <w:lang w:val="en-US" w:eastAsia="zh-CN"/>
            </w:rPr>
            <w:t>4</w:t>
          </w:r>
          <w:r>
            <w:rPr>
              <w:rFonts w:hint="eastAsia" w:ascii="国标黑体" w:hAnsi="国标黑体" w:eastAsia="国标黑体" w:cs="国标黑体"/>
              <w:sz w:val="32"/>
              <w:szCs w:val="32"/>
            </w:rPr>
            <w:fldChar w:fldCharType="end"/>
          </w:r>
        </w:p>
        <w:p w14:paraId="2FC6D501">
          <w:pPr>
            <w:pStyle w:val="13"/>
            <w:tabs>
              <w:tab w:val="right" w:leader="dot" w:pos="8306"/>
              <w:tab w:val="clear" w:pos="8296"/>
            </w:tabs>
            <w:jc w:val="both"/>
            <w:rPr>
              <w:rFonts w:hint="eastAsia" w:ascii="CESI仿宋-GB2312" w:hAnsi="CESI仿宋-GB2312" w:eastAsia="CESI仿宋-GB2312" w:cs="CESI仿宋-GB2312"/>
              <w:sz w:val="32"/>
              <w:szCs w:val="32"/>
            </w:rPr>
          </w:pPr>
          <w:r>
            <w:rPr>
              <w:rFonts w:hint="eastAsia" w:ascii="国标黑体" w:hAnsi="国标黑体" w:eastAsia="国标黑体" w:cs="国标黑体"/>
              <w:sz w:val="32"/>
              <w:szCs w:val="32"/>
            </w:rPr>
            <w:fldChar w:fldCharType="begin"/>
          </w:r>
          <w:r>
            <w:rPr>
              <w:rFonts w:hint="eastAsia" w:ascii="国标黑体" w:hAnsi="国标黑体" w:eastAsia="国标黑体" w:cs="国标黑体"/>
              <w:sz w:val="32"/>
              <w:szCs w:val="32"/>
            </w:rPr>
            <w:instrText xml:space="preserve"> HYPERLINK \l _Toc12482 </w:instrText>
          </w:r>
          <w:r>
            <w:rPr>
              <w:rFonts w:hint="eastAsia" w:ascii="国标黑体" w:hAnsi="国标黑体" w:eastAsia="国标黑体" w:cs="国标黑体"/>
              <w:sz w:val="32"/>
              <w:szCs w:val="32"/>
            </w:rPr>
            <w:fldChar w:fldCharType="separate"/>
          </w:r>
          <w:r>
            <w:rPr>
              <w:rFonts w:hint="eastAsia" w:ascii="国标黑体" w:hAnsi="国标黑体" w:eastAsia="国标黑体" w:cs="国标黑体"/>
              <w:sz w:val="32"/>
              <w:szCs w:val="32"/>
            </w:rPr>
            <w:t>第</w:t>
          </w:r>
          <w:r>
            <w:rPr>
              <w:rFonts w:hint="eastAsia" w:ascii="国标黑体" w:hAnsi="国标黑体" w:eastAsia="国标黑体" w:cs="国标黑体"/>
              <w:bCs/>
              <w:sz w:val="32"/>
              <w:szCs w:val="32"/>
            </w:rPr>
            <w:t>五部分 附表</w:t>
          </w:r>
          <w:r>
            <w:rPr>
              <w:rFonts w:hint="eastAsia" w:ascii="国标黑体" w:hAnsi="国标黑体" w:eastAsia="国标黑体" w:cs="国标黑体"/>
              <w:sz w:val="32"/>
              <w:szCs w:val="32"/>
            </w:rPr>
            <w:tab/>
          </w:r>
          <w:r>
            <w:rPr>
              <w:rFonts w:hint="eastAsia" w:ascii="国标黑体" w:hAnsi="国标黑体" w:eastAsia="国标黑体" w:cs="国标黑体"/>
              <w:sz w:val="32"/>
              <w:szCs w:val="32"/>
            </w:rPr>
            <w:fldChar w:fldCharType="begin"/>
          </w:r>
          <w:r>
            <w:rPr>
              <w:rFonts w:hint="eastAsia" w:ascii="国标黑体" w:hAnsi="国标黑体" w:eastAsia="国标黑体" w:cs="国标黑体"/>
              <w:sz w:val="32"/>
              <w:szCs w:val="32"/>
            </w:rPr>
            <w:instrText xml:space="preserve"> PAGEREF _Toc12482 \h </w:instrText>
          </w:r>
          <w:r>
            <w:rPr>
              <w:rFonts w:hint="eastAsia" w:ascii="国标黑体" w:hAnsi="国标黑体" w:eastAsia="国标黑体" w:cs="国标黑体"/>
              <w:sz w:val="32"/>
              <w:szCs w:val="32"/>
            </w:rPr>
            <w:fldChar w:fldCharType="separate"/>
          </w:r>
          <w:r>
            <w:rPr>
              <w:rFonts w:hint="eastAsia" w:ascii="国标黑体" w:hAnsi="国标黑体" w:eastAsia="国标黑体" w:cs="国标黑体"/>
              <w:sz w:val="32"/>
              <w:szCs w:val="32"/>
            </w:rPr>
            <w:t>15</w:t>
          </w:r>
          <w:r>
            <w:rPr>
              <w:rFonts w:hint="eastAsia" w:ascii="国标黑体" w:hAnsi="国标黑体" w:eastAsia="国标黑体" w:cs="国标黑体"/>
              <w:sz w:val="32"/>
              <w:szCs w:val="32"/>
            </w:rPr>
            <w:fldChar w:fldCharType="end"/>
          </w:r>
          <w:r>
            <w:rPr>
              <w:rFonts w:hint="eastAsia" w:ascii="国标黑体" w:hAnsi="国标黑体" w:eastAsia="国标黑体" w:cs="国标黑体"/>
              <w:sz w:val="32"/>
              <w:szCs w:val="32"/>
            </w:rPr>
            <w:fldChar w:fldCharType="end"/>
          </w:r>
        </w:p>
        <w:p w14:paraId="081426D4">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_Toc3360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一、收入支出决算总表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_Toc3360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1BD40647">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_Toc18568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二、收入决算表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_Toc18568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2C3363FB">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_Toc4793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三、支出决算表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_Toc4793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2CE045C5">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_Toc13598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四、财政拨款收入支出决算总表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_Toc13598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54665043">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_Toc10358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五、财政拨款支出决算明细表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_Toc10358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756F70B1">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_Toc26251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六、一般公共预算财政拨款支出决算表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_Toc26251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756BB2C5">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_Toc11491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七、一般公共预算财政拨款支出决算明细表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_Toc11491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564519CC">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_Toc15685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八、一般公共预算财政拨款基本支出决算表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_Toc15685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69D520F6">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_Toc29266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九、一般公共预算财政拨款项目支出决算表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_Toc29266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6C8B4F63">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_Toc12095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十、政府性基金预算财政拨款收入支出决算表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_Toc12095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22266128">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_Toc30764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十一、国有资本经营预算财政拨款收入支出决算表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_Toc30764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5A307A27">
          <w:pPr>
            <w:pStyle w:val="14"/>
            <w:tabs>
              <w:tab w:val="right" w:leader="dot" w:pos="8306"/>
              <w:tab w:val="clear" w:pos="8296"/>
            </w:tabs>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_Toc8828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十二、国有资本经营预算财政拨款支出决算表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_Toc8828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393569C2">
          <w:pPr>
            <w:pStyle w:val="14"/>
            <w:tabs>
              <w:tab w:val="right" w:leader="dot" w:pos="8306"/>
              <w:tab w:val="clear" w:pos="8296"/>
            </w:tabs>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\l _Toc18361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十三、财政拨款“三公”经费支出决算表</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PAGEREF _Toc18361 \h </w:instrText>
          </w:r>
          <w:r>
            <w:rPr>
              <w:rFonts w:hint="eastAsia" w:ascii="CESI仿宋-GB2312" w:hAnsi="CESI仿宋-GB2312" w:eastAsia="CESI仿宋-GB2312" w:cs="CESI仿宋-GB2312"/>
              <w:sz w:val="32"/>
              <w:szCs w:val="32"/>
            </w:rPr>
            <w:fldChar w:fldCharType="separate"/>
          </w:r>
          <w:r>
            <w:rPr>
              <w:rFonts w:hint="eastAsia" w:ascii="CESI仿宋-GB2312" w:hAnsi="CESI仿宋-GB2312" w:eastAsia="CESI仿宋-GB2312" w:cs="CESI仿宋-GB2312"/>
              <w:sz w:val="32"/>
              <w:szCs w:val="32"/>
            </w:rPr>
            <w:t>15</w:t>
          </w:r>
          <w:r>
            <w:rPr>
              <w:rFonts w:hint="eastAsia" w:ascii="CESI仿宋-GB2312" w:hAnsi="CESI仿宋-GB2312" w:eastAsia="CESI仿宋-GB2312" w:cs="CESI仿宋-GB2312"/>
              <w:sz w:val="32"/>
              <w:szCs w:val="32"/>
            </w:rPr>
            <w:fldChar w:fldCharType="end"/>
          </w:r>
          <w:r>
            <w:rPr>
              <w:rFonts w:hint="eastAsia" w:ascii="CESI仿宋-GB2312" w:hAnsi="CESI仿宋-GB2312" w:eastAsia="CESI仿宋-GB2312" w:cs="CESI仿宋-GB2312"/>
              <w:sz w:val="32"/>
              <w:szCs w:val="32"/>
            </w:rPr>
            <w:fldChar w:fldCharType="end"/>
          </w:r>
        </w:p>
        <w:p w14:paraId="40B9BEF8">
          <w:pPr>
            <w:rPr>
              <w:rFonts w:ascii="Times New Roman" w:hAnsi="Times New Roman" w:eastAsia="宋体" w:cs="Times New Roman"/>
              <w:kern w:val="2"/>
              <w:sz w:val="21"/>
              <w:szCs w:val="28"/>
              <w:lang w:val="en-US" w:eastAsia="zh-CN" w:bidi="ar-SA"/>
            </w:rPr>
          </w:pPr>
          <w:r>
            <w:rPr>
              <w:szCs w:val="28"/>
            </w:rPr>
            <w:fldChar w:fldCharType="end"/>
          </w:r>
        </w:p>
      </w:sdtContent>
    </w:sdt>
    <w:p w14:paraId="3BF5D679">
      <w:pPr>
        <w:pStyle w:val="5"/>
        <w:numPr>
          <w:ilvl w:val="0"/>
          <w:numId w:val="1"/>
        </w:numPr>
        <w:jc w:val="center"/>
        <w:rPr>
          <w:rFonts w:hint="eastAsia" w:ascii="黑体" w:hAnsi="黑体" w:eastAsia="黑体"/>
          <w:b w:val="0"/>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bookmarkStart w:id="12" w:name="_Toc15396599"/>
      <w:bookmarkStart w:id="13" w:name="_Toc15377196"/>
    </w:p>
    <w:p w14:paraId="1110BC5C">
      <w:pPr>
        <w:pStyle w:val="5"/>
        <w:numPr>
          <w:ilvl w:val="0"/>
          <w:numId w:val="1"/>
        </w:numPr>
        <w:jc w:val="center"/>
        <w:rPr>
          <w:rFonts w:hint="eastAsia" w:ascii="黑体" w:hAnsi="黑体" w:eastAsia="黑体"/>
          <w:b w:val="0"/>
        </w:rPr>
      </w:pPr>
      <w:r>
        <w:rPr>
          <w:rFonts w:hint="eastAsia" w:ascii="黑体" w:hAnsi="黑体" w:eastAsia="黑体"/>
          <w:b w:val="0"/>
        </w:rPr>
        <w:t xml:space="preserve"> </w:t>
      </w:r>
      <w:bookmarkStart w:id="14" w:name="_Toc11237"/>
      <w:r>
        <w:rPr>
          <w:rFonts w:hint="eastAsia" w:ascii="黑体" w:hAnsi="黑体" w:eastAsia="黑体"/>
          <w:b w:val="0"/>
        </w:rPr>
        <w:t>单位概况</w:t>
      </w:r>
      <w:bookmarkEnd w:id="12"/>
      <w:bookmarkEnd w:id="13"/>
      <w:bookmarkEnd w:id="14"/>
    </w:p>
    <w:p w14:paraId="20127D76">
      <w:pPr>
        <w:numPr>
          <w:ilvl w:val="0"/>
          <w:numId w:val="0"/>
        </w:numPr>
      </w:pPr>
    </w:p>
    <w:p w14:paraId="60083C32">
      <w:pPr>
        <w:pStyle w:val="6"/>
        <w:numPr>
          <w:ilvl w:val="0"/>
          <w:numId w:val="2"/>
        </w:numPr>
        <w:rPr>
          <w:rFonts w:hint="eastAsia" w:ascii="Times New Roman" w:hAnsi="Times New Roman" w:eastAsia="黑体"/>
          <w:b w:val="0"/>
        </w:rPr>
      </w:pPr>
      <w:bookmarkStart w:id="15" w:name="_Toc12955"/>
      <w:r>
        <w:rPr>
          <w:rFonts w:hint="eastAsia" w:ascii="Times New Roman" w:hAnsi="Times New Roman" w:eastAsia="黑体"/>
          <w:b w:val="0"/>
        </w:rPr>
        <w:t>主要职责</w:t>
      </w:r>
      <w:bookmarkEnd w:id="15"/>
    </w:p>
    <w:p w14:paraId="1C19CF56">
      <w:pPr>
        <w:spacing w:line="600" w:lineRule="exact"/>
        <w:ind w:firstLine="640" w:firstLineChars="200"/>
        <w:rPr>
          <w:rFonts w:hint="eastAsia" w:eastAsia="仿宋_GB2312" w:cs="仿宋_GB2312"/>
          <w:sz w:val="32"/>
          <w:szCs w:val="32"/>
          <w:lang w:val="en-US" w:eastAsia="zh-CN"/>
        </w:rPr>
      </w:pPr>
      <w:r>
        <w:rPr>
          <w:rFonts w:hint="eastAsia" w:eastAsia="仿宋_GB2312" w:cs="仿宋_GB2312"/>
          <w:sz w:val="32"/>
          <w:szCs w:val="32"/>
          <w:lang w:val="en-US" w:eastAsia="zh-CN"/>
        </w:rPr>
        <w:t>盐边县渔门中心卫生院属于财政拨款单位，承担本辖区内围产保健、妇女保健、儿童保健等妇幼保健任务和妇女儿童常见病防治任务；承担计划生育宣传教育、技术服务、优生指导、药具发放、信息咨询、随访服务、生殖保健等公共服务职能；落实妇幼重大公共卫生服务项目和基本公共卫生服务项目，配合做好孕前优生健康检查项目等任务；负责对村医生及计生服务人员提供业务培训指导。</w:t>
      </w:r>
    </w:p>
    <w:p w14:paraId="5FCC91F2">
      <w:pPr>
        <w:pStyle w:val="6"/>
        <w:numPr>
          <w:ilvl w:val="0"/>
          <w:numId w:val="2"/>
        </w:numPr>
        <w:ind w:left="0" w:leftChars="0" w:firstLine="0" w:firstLineChars="0"/>
        <w:rPr>
          <w:rStyle w:val="29"/>
          <w:rFonts w:hint="eastAsia" w:ascii="Times New Roman" w:hAnsi="Times New Roman" w:eastAsia="黑体"/>
          <w:b w:val="0"/>
          <w:bCs w:val="0"/>
        </w:rPr>
      </w:pPr>
      <w:bookmarkStart w:id="16" w:name="_Toc15396601"/>
      <w:bookmarkStart w:id="17" w:name="_Toc15377200"/>
      <w:bookmarkStart w:id="18" w:name="_Toc14424"/>
      <w:r>
        <w:rPr>
          <w:rFonts w:hint="eastAsia" w:ascii="Times New Roman" w:hAnsi="Times New Roman" w:eastAsia="黑体"/>
          <w:b w:val="0"/>
        </w:rPr>
        <w:t>机</w:t>
      </w:r>
      <w:r>
        <w:rPr>
          <w:rStyle w:val="29"/>
          <w:rFonts w:hint="eastAsia" w:ascii="Times New Roman" w:hAnsi="Times New Roman" w:eastAsia="黑体"/>
          <w:b w:val="0"/>
          <w:bCs w:val="0"/>
        </w:rPr>
        <w:t>构设置</w:t>
      </w:r>
      <w:bookmarkEnd w:id="16"/>
      <w:bookmarkEnd w:id="17"/>
      <w:bookmarkEnd w:id="18"/>
    </w:p>
    <w:p w14:paraId="790F41C6">
      <w:p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盐边县渔门中心卫生院属于二级预算单位，设置下属科室4个，其主要由基本医疗科、公共卫生科、财务室、院办公室等构成。</w:t>
      </w:r>
    </w:p>
    <w:p w14:paraId="0F42B661">
      <w:pPr>
        <w:rPr>
          <w:rFonts w:eastAsia="黑体"/>
        </w:rPr>
      </w:pPr>
    </w:p>
    <w:p w14:paraId="2A240B7A">
      <w:pPr>
        <w:ind w:firstLine="800" w:firstLineChars="250"/>
        <w:rPr>
          <w:rFonts w:eastAsia="仿宋_GB2312" w:cs="仿宋_GB2312"/>
          <w:sz w:val="32"/>
          <w:szCs w:val="32"/>
        </w:rPr>
      </w:pPr>
    </w:p>
    <w:p w14:paraId="12F5DAAA">
      <w:pPr>
        <w:pStyle w:val="2"/>
      </w:pPr>
    </w:p>
    <w:p w14:paraId="4A35C939">
      <w:pPr>
        <w:pStyle w:val="3"/>
        <w:ind w:left="420"/>
      </w:pPr>
    </w:p>
    <w:p w14:paraId="6470AE1B">
      <w:pPr>
        <w:pStyle w:val="3"/>
        <w:ind w:left="420"/>
      </w:pPr>
    </w:p>
    <w:p w14:paraId="4A51BBFB">
      <w:pPr>
        <w:pStyle w:val="3"/>
        <w:ind w:left="420"/>
      </w:pPr>
    </w:p>
    <w:p w14:paraId="051A289C">
      <w:pPr>
        <w:pStyle w:val="3"/>
        <w:ind w:left="420"/>
      </w:pPr>
    </w:p>
    <w:p w14:paraId="56C9E291">
      <w:pPr>
        <w:pStyle w:val="3"/>
        <w:ind w:left="420"/>
      </w:pPr>
    </w:p>
    <w:p w14:paraId="455BE4F7">
      <w:pPr>
        <w:pStyle w:val="5"/>
        <w:numPr>
          <w:ilvl w:val="0"/>
          <w:numId w:val="1"/>
        </w:numPr>
        <w:jc w:val="center"/>
        <w:rPr>
          <w:rFonts w:hint="eastAsia" w:ascii="黑体" w:hAnsi="黑体" w:eastAsia="黑体"/>
          <w:b w:val="0"/>
        </w:rPr>
      </w:pPr>
      <w:bookmarkStart w:id="19" w:name="_Toc15377204"/>
      <w:bookmarkStart w:id="20" w:name="_Toc15396602"/>
      <w:r>
        <w:rPr>
          <w:rFonts w:hint="eastAsia" w:eastAsia="方正小标宋简体" w:cs="方正小标宋简体"/>
          <w:b w:val="0"/>
        </w:rPr>
        <w:t xml:space="preserve"> </w:t>
      </w:r>
      <w:bookmarkStart w:id="21" w:name="_Toc29615"/>
      <w:r>
        <w:rPr>
          <w:rFonts w:hint="eastAsia" w:ascii="黑体" w:hAnsi="黑体" w:eastAsia="黑体"/>
          <w:b w:val="0"/>
        </w:rPr>
        <w:t>2024年度部门决算情况说明</w:t>
      </w:r>
      <w:bookmarkEnd w:id="19"/>
      <w:bookmarkEnd w:id="20"/>
      <w:bookmarkEnd w:id="21"/>
    </w:p>
    <w:p w14:paraId="70C84B0A">
      <w:pPr>
        <w:numPr>
          <w:ilvl w:val="0"/>
          <w:numId w:val="0"/>
        </w:numPr>
      </w:pPr>
    </w:p>
    <w:p w14:paraId="0A0FF38A">
      <w:pPr>
        <w:pStyle w:val="27"/>
        <w:numPr>
          <w:ilvl w:val="0"/>
          <w:numId w:val="3"/>
        </w:numPr>
        <w:spacing w:line="600" w:lineRule="exact"/>
        <w:ind w:firstLine="640"/>
        <w:outlineLvl w:val="1"/>
        <w:rPr>
          <w:rStyle w:val="29"/>
          <w:rFonts w:hint="eastAsia" w:ascii="Times New Roman" w:hAnsi="Times New Roman" w:eastAsia="黑体"/>
          <w:b w:val="0"/>
        </w:rPr>
      </w:pPr>
      <w:bookmarkStart w:id="22" w:name="_Toc19828"/>
      <w:bookmarkStart w:id="23" w:name="_Toc15377205"/>
      <w:bookmarkStart w:id="24" w:name="_Toc15396603"/>
      <w:r>
        <w:rPr>
          <w:rFonts w:hint="eastAsia" w:eastAsia="黑体"/>
          <w:sz w:val="32"/>
          <w:szCs w:val="32"/>
        </w:rPr>
        <w:t>收</w:t>
      </w:r>
      <w:r>
        <w:rPr>
          <w:rStyle w:val="29"/>
          <w:rFonts w:hint="eastAsia" w:ascii="Times New Roman" w:hAnsi="Times New Roman" w:eastAsia="黑体"/>
          <w:b w:val="0"/>
        </w:rPr>
        <w:t>入支出决算总体情况说明</w:t>
      </w:r>
      <w:bookmarkEnd w:id="22"/>
      <w:bookmarkEnd w:id="23"/>
      <w:bookmarkEnd w:id="24"/>
    </w:p>
    <w:p w14:paraId="6273E2F8">
      <w:pPr>
        <w:spacing w:line="600" w:lineRule="exact"/>
        <w:ind w:firstLine="640" w:firstLineChars="200"/>
        <w:rPr>
          <w:rFonts w:hint="eastAsia" w:eastAsia="仿宋_GB2312" w:cs="仿宋_GB2312"/>
          <w:sz w:val="32"/>
          <w:szCs w:val="32"/>
          <w:lang w:val="en-US" w:eastAsia="zh-CN"/>
        </w:rPr>
      </w:pPr>
      <w:r>
        <w:rPr>
          <w:rFonts w:hint="eastAsia" w:eastAsia="仿宋_GB2312" w:cs="仿宋_GB2312"/>
          <w:sz w:val="32"/>
          <w:szCs w:val="32"/>
        </w:rPr>
        <w:t>2024年度收入、支出总计均为690.95万元。与2023年度1082.04万元相比，收入、支出总计各减少</w:t>
      </w:r>
      <w:r>
        <w:rPr>
          <w:rFonts w:hint="eastAsia" w:eastAsia="仿宋_GB2312" w:cs="仿宋_GB2312"/>
          <w:sz w:val="32"/>
          <w:szCs w:val="32"/>
          <w:lang w:val="en-US" w:eastAsia="zh-CN"/>
        </w:rPr>
        <w:t>391.09</w:t>
      </w:r>
      <w:r>
        <w:rPr>
          <w:rFonts w:hint="eastAsia" w:eastAsia="仿宋_GB2312" w:cs="仿宋_GB2312"/>
          <w:sz w:val="32"/>
          <w:szCs w:val="32"/>
        </w:rPr>
        <w:t>万元，下降</w:t>
      </w:r>
      <w:r>
        <w:rPr>
          <w:rFonts w:hint="eastAsia" w:eastAsia="仿宋_GB2312" w:cs="仿宋_GB2312"/>
          <w:sz w:val="32"/>
          <w:szCs w:val="32"/>
          <w:lang w:val="en-US" w:eastAsia="zh-CN"/>
        </w:rPr>
        <w:t>36.14</w:t>
      </w:r>
      <w:r>
        <w:rPr>
          <w:rFonts w:hint="eastAsia" w:eastAsia="仿宋_GB2312" w:cs="仿宋_GB2312"/>
          <w:sz w:val="32"/>
          <w:szCs w:val="32"/>
        </w:rPr>
        <w:t>%。主要变动原因是</w:t>
      </w:r>
      <w:r>
        <w:rPr>
          <w:rFonts w:hint="eastAsia" w:eastAsia="仿宋_GB2312" w:cs="仿宋_GB2312"/>
          <w:sz w:val="32"/>
          <w:szCs w:val="32"/>
          <w:lang w:val="en-US" w:eastAsia="zh-CN"/>
        </w:rPr>
        <w:t>因为我院2023年度次中心建设等项目收、支增加。</w:t>
      </w:r>
    </w:p>
    <w:p w14:paraId="4AE9B0E6">
      <w:pPr>
        <w:pStyle w:val="8"/>
        <w:rPr>
          <w:rFonts w:eastAsia="仿宋_GB2312" w:cs="仿宋_GB2312"/>
          <w:sz w:val="32"/>
          <w:szCs w:val="32"/>
        </w:rPr>
      </w:pPr>
      <w:r>
        <w:rPr>
          <w:rFonts w:hint="default" w:ascii="仿宋_GB2312" w:hAnsi="Times New Roman" w:eastAsia="仿宋_GB2312" w:cs="Times New Roman"/>
          <w:kern w:val="0"/>
          <w:sz w:val="30"/>
          <w:szCs w:val="24"/>
          <w:lang w:val="en-US" w:eastAsia="zh-CN" w:bidi="ar-SA"/>
        </w:rPr>
        <w:object>
          <v:shape id="_x0000_i1025" o:spt="75" type="#_x0000_t75" style="height:246.8pt;width:461.05pt;" o:ole="t" filled="f" o:preferrelative="t" stroked="f" coordsize="21600,21600">
            <v:path/>
            <v:fill on="f" focussize="0,0"/>
            <v:stroke on="f"/>
            <v:imagedata r:id="rId11" o:title=""/>
            <o:lock v:ext="edit" aspectratio="t"/>
            <w10:wrap type="none"/>
            <w10:anchorlock/>
          </v:shape>
          <o:OLEObject Type="Embed" ProgID="Excel.Chart.8" ShapeID="_x0000_i1025" DrawAspect="Content" ObjectID="_1468075725" r:id="rId10">
            <o:LockedField>false</o:LockedField>
          </o:OLEObject>
        </w:object>
      </w:r>
      <w:r>
        <w:rPr>
          <w:rFonts w:hint="eastAsia" w:hAnsi="Times New Roman" w:cs="Times New Roman"/>
          <w:kern w:val="0"/>
          <w:sz w:val="30"/>
          <w:szCs w:val="24"/>
          <w:lang w:val="en-US" w:eastAsia="zh-CN" w:bidi="ar-SA"/>
        </w:rPr>
        <w:t xml:space="preserve">         </w:t>
      </w:r>
      <w:r>
        <w:rPr>
          <w:rFonts w:hint="eastAsia" w:eastAsia="仿宋_GB2312" w:cs="仿宋_GB2312"/>
          <w:sz w:val="32"/>
          <w:szCs w:val="32"/>
        </w:rPr>
        <w:t>（图1：收入、支出决算总计变动情况图）</w:t>
      </w:r>
    </w:p>
    <w:p w14:paraId="1A680963">
      <w:pPr>
        <w:ind w:firstLine="640" w:firstLineChars="200"/>
        <w:rPr>
          <w:rFonts w:eastAsia="仿宋_GB2312" w:cs="仿宋_GB2312"/>
          <w:sz w:val="32"/>
          <w:szCs w:val="32"/>
        </w:rPr>
      </w:pPr>
    </w:p>
    <w:p w14:paraId="76D427B9">
      <w:pPr>
        <w:pStyle w:val="27"/>
        <w:spacing w:line="600" w:lineRule="exact"/>
        <w:ind w:firstLine="640"/>
        <w:outlineLvl w:val="1"/>
        <w:rPr>
          <w:rFonts w:eastAsia="黑体"/>
          <w:sz w:val="32"/>
          <w:szCs w:val="32"/>
        </w:rPr>
      </w:pPr>
      <w:bookmarkStart w:id="25" w:name="_Toc15396604"/>
      <w:bookmarkStart w:id="26" w:name="_Toc2175"/>
      <w:bookmarkStart w:id="27" w:name="_Toc15377206"/>
      <w:r>
        <w:rPr>
          <w:rFonts w:hint="eastAsia" w:eastAsia="黑体"/>
          <w:sz w:val="32"/>
          <w:szCs w:val="32"/>
        </w:rPr>
        <w:t>二、收入决算情况说明</w:t>
      </w:r>
      <w:bookmarkEnd w:id="25"/>
      <w:bookmarkEnd w:id="26"/>
      <w:bookmarkEnd w:id="27"/>
    </w:p>
    <w:p w14:paraId="0B2C162B">
      <w:pPr>
        <w:ind w:firstLine="640" w:firstLineChars="200"/>
        <w:rPr>
          <w:rFonts w:hint="eastAsia" w:eastAsia="仿宋_GB2312" w:cs="仿宋_GB2312"/>
          <w:sz w:val="32"/>
          <w:szCs w:val="32"/>
        </w:rPr>
      </w:pPr>
      <w:r>
        <w:rPr>
          <w:rFonts w:hint="eastAsia" w:eastAsia="仿宋_GB2312" w:cs="仿宋_GB2312"/>
          <w:sz w:val="32"/>
          <w:szCs w:val="32"/>
        </w:rPr>
        <w:t>2024年度本年收入合计</w:t>
      </w:r>
      <w:r>
        <w:rPr>
          <w:rFonts w:hint="eastAsia" w:eastAsia="仿宋_GB2312" w:cs="仿宋_GB2312"/>
          <w:sz w:val="32"/>
          <w:szCs w:val="32"/>
          <w:lang w:val="en-US" w:eastAsia="zh-CN"/>
        </w:rPr>
        <w:t>675.95</w:t>
      </w:r>
      <w:r>
        <w:rPr>
          <w:rFonts w:hint="eastAsia" w:eastAsia="仿宋_GB2312" w:cs="仿宋_GB2312"/>
          <w:sz w:val="32"/>
          <w:szCs w:val="32"/>
        </w:rPr>
        <w:t>万元，其中：一般公共预算财政拨款收入599.66万元，占</w:t>
      </w:r>
      <w:r>
        <w:rPr>
          <w:rFonts w:hint="eastAsia" w:eastAsia="仿宋_GB2312" w:cs="仿宋_GB2312"/>
          <w:sz w:val="32"/>
          <w:szCs w:val="32"/>
          <w:lang w:val="en-US" w:eastAsia="zh-CN"/>
        </w:rPr>
        <w:t>88.71</w:t>
      </w:r>
      <w:r>
        <w:rPr>
          <w:rFonts w:hint="eastAsia" w:eastAsia="仿宋_GB2312" w:cs="仿宋_GB2312"/>
          <w:sz w:val="32"/>
          <w:szCs w:val="32"/>
        </w:rPr>
        <w:t>%；政府性基金预算政拨款收入</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%；国有资本经营预算财政拨款收入</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%；上级补助收入</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%；事业收入73.08万元，占</w:t>
      </w:r>
      <w:r>
        <w:rPr>
          <w:rFonts w:hint="eastAsia" w:eastAsia="仿宋_GB2312" w:cs="仿宋_GB2312"/>
          <w:sz w:val="32"/>
          <w:szCs w:val="32"/>
          <w:lang w:val="en-US" w:eastAsia="zh-CN"/>
        </w:rPr>
        <w:t>10.81</w:t>
      </w:r>
      <w:r>
        <w:rPr>
          <w:rFonts w:hint="eastAsia" w:eastAsia="仿宋_GB2312" w:cs="仿宋_GB2312"/>
          <w:sz w:val="32"/>
          <w:szCs w:val="32"/>
        </w:rPr>
        <w:t>%；经营收入</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%；附属单位上缴收入</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%；其他收入3.20万元，占</w:t>
      </w:r>
      <w:r>
        <w:rPr>
          <w:rFonts w:hint="eastAsia" w:eastAsia="仿宋_GB2312" w:cs="仿宋_GB2312"/>
          <w:sz w:val="32"/>
          <w:szCs w:val="32"/>
          <w:lang w:val="en-US" w:eastAsia="zh-CN"/>
        </w:rPr>
        <w:t>0.47</w:t>
      </w:r>
      <w:r>
        <w:rPr>
          <w:rFonts w:hint="eastAsia" w:eastAsia="仿宋_GB2312" w:cs="仿宋_GB2312"/>
          <w:sz w:val="32"/>
          <w:szCs w:val="32"/>
        </w:rPr>
        <w:t>%。</w:t>
      </w:r>
    </w:p>
    <w:p w14:paraId="4E8C1E40">
      <w:pPr>
        <w:jc w:val="center"/>
        <w:rPr>
          <w:rFonts w:eastAsia="仿宋_GB2312" w:cs="仿宋_GB2312"/>
          <w:sz w:val="32"/>
          <w:szCs w:val="32"/>
        </w:rPr>
      </w:pPr>
      <w:r>
        <w:rPr>
          <w:rFonts w:hint="eastAsia" w:ascii="仿宋" w:hAnsi="仿宋" w:eastAsia="仿宋" w:cs="Times New Roman"/>
          <w:kern w:val="0"/>
          <w:sz w:val="32"/>
          <w:szCs w:val="32"/>
          <w:lang w:val="en-US" w:eastAsia="zh-CN" w:bidi="ar-SA"/>
        </w:rPr>
        <w:object>
          <v:shape id="_x0000_i1026" o:spt="75" type="#_x0000_t75" style="height:203.75pt;width:441.7pt;" o:ole="t" filled="f" o:preferrelative="t" stroked="f" coordsize="21600,21600">
            <v:path/>
            <v:fill on="f" focussize="0,0"/>
            <v:stroke on="f"/>
            <v:imagedata r:id="rId13" o:title=""/>
            <o:lock v:ext="edit" aspectratio="t"/>
            <w10:wrap type="none"/>
            <w10:anchorlock/>
          </v:shape>
          <o:OLEObject Type="Embed" ProgID="Excel.Chart.8" ShapeID="_x0000_i1026" DrawAspect="Content" ObjectID="_1468075726" r:id="rId12">
            <o:LockedField>false</o:LockedField>
          </o:OLEObject>
        </w:object>
      </w:r>
      <w:r>
        <w:rPr>
          <w:rFonts w:hint="eastAsia" w:ascii="仿宋" w:hAnsi="仿宋" w:eastAsia="仿宋" w:cs="Times New Roman"/>
          <w:kern w:val="0"/>
          <w:sz w:val="32"/>
          <w:szCs w:val="32"/>
          <w:lang w:val="en-US" w:eastAsia="zh-CN" w:bidi="ar-SA"/>
        </w:rPr>
        <w:t xml:space="preserve">         </w:t>
      </w:r>
      <w:r>
        <w:rPr>
          <w:rFonts w:hint="eastAsia" w:eastAsia="仿宋_GB2312" w:cs="仿宋_GB2312"/>
          <w:sz w:val="32"/>
          <w:szCs w:val="32"/>
        </w:rPr>
        <w:t>（图2：收入决算结构图）</w:t>
      </w:r>
    </w:p>
    <w:p w14:paraId="5B9A6F61">
      <w:pPr>
        <w:ind w:firstLine="800" w:firstLineChars="250"/>
        <w:rPr>
          <w:rFonts w:eastAsia="仿宋_GB2312" w:cs="仿宋_GB2312"/>
          <w:sz w:val="32"/>
          <w:szCs w:val="32"/>
        </w:rPr>
      </w:pPr>
    </w:p>
    <w:p w14:paraId="6CC00870">
      <w:pPr>
        <w:pStyle w:val="27"/>
        <w:spacing w:line="600" w:lineRule="exact"/>
        <w:ind w:firstLine="640"/>
        <w:outlineLvl w:val="1"/>
        <w:rPr>
          <w:rStyle w:val="29"/>
          <w:rFonts w:ascii="Times New Roman" w:hAnsi="Times New Roman" w:eastAsia="黑体"/>
          <w:b w:val="0"/>
        </w:rPr>
      </w:pPr>
      <w:bookmarkStart w:id="28" w:name="_Toc15377207"/>
      <w:bookmarkStart w:id="29" w:name="_Toc31549"/>
      <w:bookmarkStart w:id="30" w:name="_Toc15396605"/>
      <w:r>
        <w:rPr>
          <w:rFonts w:hint="eastAsia" w:eastAsia="黑体"/>
          <w:sz w:val="32"/>
          <w:szCs w:val="32"/>
        </w:rPr>
        <w:t>三、支</w:t>
      </w:r>
      <w:r>
        <w:rPr>
          <w:rStyle w:val="29"/>
          <w:rFonts w:hint="eastAsia" w:ascii="Times New Roman" w:hAnsi="Times New Roman" w:eastAsia="黑体"/>
          <w:b w:val="0"/>
        </w:rPr>
        <w:t>出决算情况说明</w:t>
      </w:r>
      <w:bookmarkEnd w:id="28"/>
      <w:bookmarkEnd w:id="29"/>
      <w:bookmarkEnd w:id="30"/>
    </w:p>
    <w:p w14:paraId="7255E2B3">
      <w:pPr>
        <w:spacing w:line="600" w:lineRule="exact"/>
        <w:ind w:firstLine="640" w:firstLineChars="200"/>
        <w:rPr>
          <w:rFonts w:hint="eastAsia" w:eastAsia="仿宋_GB2312" w:cs="仿宋_GB2312"/>
          <w:sz w:val="32"/>
          <w:szCs w:val="32"/>
          <w:lang w:val="en-US" w:eastAsia="zh-CN"/>
        </w:rPr>
      </w:pPr>
      <w:r>
        <w:rPr>
          <w:rFonts w:hint="eastAsia" w:eastAsia="仿宋_GB2312" w:cs="仿宋_GB2312"/>
          <w:sz w:val="32"/>
          <w:szCs w:val="32"/>
          <w:lang w:val="en-US" w:eastAsia="zh-CN"/>
        </w:rPr>
        <w:t>2024年度本年支出合计684.79万元，其中：基本支出408.08万元，占59.59%；项目支出276.71万元，占40.41%；上缴上级支出0万元，占0%；经营支出0万元，占0%；对附属单位补助支出0万元，占0%。</w:t>
      </w:r>
    </w:p>
    <w:p w14:paraId="6288729C">
      <w:pPr>
        <w:spacing w:line="240" w:lineRule="auto"/>
        <w:ind w:firstLine="0"/>
        <w:rPr>
          <w:rFonts w:ascii="仿宋" w:hAnsi="仿宋" w:eastAsia="仿宋"/>
          <w:sz w:val="32"/>
          <w:szCs w:val="32"/>
          <w:shd w:val="pct10" w:color="auto" w:fill="FFFFFF"/>
        </w:rPr>
      </w:pPr>
      <w:r>
        <w:rPr>
          <w:rFonts w:hint="eastAsia" w:ascii="仿宋" w:hAnsi="仿宋" w:eastAsia="仿宋" w:cs="Times New Roman"/>
          <w:kern w:val="0"/>
          <w:sz w:val="32"/>
          <w:szCs w:val="32"/>
          <w:shd w:val="pct10" w:color="auto" w:fill="FFFFFF"/>
          <w:lang w:val="en-US" w:eastAsia="zh-CN" w:bidi="ar-SA"/>
        </w:rPr>
        <w:object>
          <v:shape id="_x0000_i1027" o:spt="75" type="#_x0000_t75" style="height:166.45pt;width:383.35pt;" o:ole="t" filled="f" o:preferrelative="t" stroked="f" coordsize="21600,21600">
            <v:path/>
            <v:fill on="f" focussize="0,0"/>
            <v:stroke on="f"/>
            <v:imagedata r:id="rId15" o:title=""/>
            <o:lock v:ext="edit" aspectratio="t"/>
            <w10:wrap type="none"/>
            <w10:anchorlock/>
          </v:shape>
          <o:OLEObject Type="Embed" ProgID="Excel.Chart.8" ShapeID="_x0000_i1027" DrawAspect="Content" ObjectID="_1468075727" r:id="rId14">
            <o:LockedField>false</o:LockedField>
          </o:OLEObject>
        </w:object>
      </w:r>
    </w:p>
    <w:p w14:paraId="4B372AAA">
      <w:pPr>
        <w:spacing w:line="600" w:lineRule="exact"/>
        <w:ind w:firstLine="1280" w:firstLineChars="400"/>
        <w:jc w:val="both"/>
        <w:rPr>
          <w:rFonts w:eastAsia="仿宋_GB2312" w:cs="仿宋_GB2312"/>
          <w:sz w:val="32"/>
          <w:szCs w:val="32"/>
        </w:rPr>
      </w:pPr>
      <w:r>
        <w:rPr>
          <w:rFonts w:hint="eastAsia" w:ascii="仿宋" w:hAnsi="仿宋" w:eastAsia="仿宋"/>
          <w:sz w:val="32"/>
          <w:szCs w:val="32"/>
        </w:rPr>
        <w:t>（图3：支出决算结构图）</w:t>
      </w:r>
    </w:p>
    <w:p w14:paraId="2C1D56EC">
      <w:pPr>
        <w:spacing w:line="600" w:lineRule="exact"/>
        <w:ind w:firstLine="640" w:firstLineChars="200"/>
        <w:outlineLvl w:val="1"/>
        <w:rPr>
          <w:rStyle w:val="29"/>
          <w:rFonts w:ascii="Times New Roman" w:hAnsi="Times New Roman" w:eastAsia="黑体"/>
          <w:b w:val="0"/>
        </w:rPr>
      </w:pPr>
      <w:bookmarkStart w:id="31" w:name="_Toc15396606"/>
      <w:bookmarkStart w:id="32" w:name="_Toc145"/>
      <w:bookmarkStart w:id="33" w:name="_Toc15377208"/>
      <w:r>
        <w:rPr>
          <w:rFonts w:hint="eastAsia" w:eastAsia="黑体"/>
          <w:sz w:val="32"/>
          <w:szCs w:val="32"/>
        </w:rPr>
        <w:t>四、财</w:t>
      </w:r>
      <w:r>
        <w:rPr>
          <w:rStyle w:val="29"/>
          <w:rFonts w:hint="eastAsia" w:ascii="Times New Roman" w:hAnsi="Times New Roman" w:eastAsia="黑体"/>
          <w:b w:val="0"/>
        </w:rPr>
        <w:t>政拨款收入支出决算总体情况说明</w:t>
      </w:r>
      <w:bookmarkEnd w:id="31"/>
      <w:bookmarkEnd w:id="32"/>
      <w:bookmarkEnd w:id="33"/>
    </w:p>
    <w:p w14:paraId="15A07905">
      <w:pPr>
        <w:spacing w:line="600" w:lineRule="exact"/>
        <w:ind w:firstLine="640" w:firstLineChars="200"/>
        <w:rPr>
          <w:rFonts w:hint="eastAsia" w:eastAsia="仿宋_GB2312" w:cs="仿宋_GB2312"/>
          <w:sz w:val="32"/>
          <w:szCs w:val="32"/>
        </w:rPr>
      </w:pPr>
      <w:r>
        <w:rPr>
          <w:rFonts w:hint="eastAsia" w:eastAsia="仿宋_GB2312" w:cs="仿宋_GB2312"/>
          <w:sz w:val="32"/>
          <w:szCs w:val="32"/>
        </w:rPr>
        <w:t>2024年度财政拨款收入、支出总计均为</w:t>
      </w:r>
      <w:r>
        <w:rPr>
          <w:rFonts w:hint="eastAsia" w:eastAsia="仿宋_GB2312" w:cs="仿宋_GB2312"/>
          <w:sz w:val="32"/>
          <w:szCs w:val="32"/>
          <w:lang w:val="en-US" w:eastAsia="zh-CN"/>
        </w:rPr>
        <w:t>599.66</w:t>
      </w:r>
      <w:r>
        <w:rPr>
          <w:rFonts w:hint="eastAsia" w:eastAsia="仿宋_GB2312" w:cs="仿宋_GB2312"/>
          <w:sz w:val="32"/>
          <w:szCs w:val="32"/>
        </w:rPr>
        <w:t>万元。与2023年度988.27</w:t>
      </w:r>
      <w:r>
        <w:rPr>
          <w:rFonts w:hint="eastAsia" w:eastAsia="仿宋_GB2312" w:cs="仿宋_GB2312"/>
          <w:sz w:val="32"/>
          <w:szCs w:val="32"/>
          <w:lang w:val="en-US" w:eastAsia="zh-CN"/>
        </w:rPr>
        <w:t>万元</w:t>
      </w:r>
      <w:r>
        <w:rPr>
          <w:rFonts w:hint="eastAsia" w:eastAsia="仿宋_GB2312" w:cs="仿宋_GB2312"/>
          <w:sz w:val="32"/>
          <w:szCs w:val="32"/>
        </w:rPr>
        <w:t>相比，财政拨款收入总计、支出总计各减少</w:t>
      </w:r>
      <w:r>
        <w:rPr>
          <w:rFonts w:hint="eastAsia" w:eastAsia="仿宋_GB2312" w:cs="仿宋_GB2312"/>
          <w:sz w:val="32"/>
          <w:szCs w:val="32"/>
          <w:lang w:val="en-US" w:eastAsia="zh-CN"/>
        </w:rPr>
        <w:t>388.61</w:t>
      </w:r>
      <w:r>
        <w:rPr>
          <w:rFonts w:hint="eastAsia" w:eastAsia="仿宋_GB2312" w:cs="仿宋_GB2312"/>
          <w:sz w:val="32"/>
          <w:szCs w:val="32"/>
        </w:rPr>
        <w:t>万元，下降</w:t>
      </w:r>
      <w:r>
        <w:rPr>
          <w:rFonts w:hint="eastAsia" w:eastAsia="仿宋_GB2312" w:cs="仿宋_GB2312"/>
          <w:sz w:val="32"/>
          <w:szCs w:val="32"/>
          <w:lang w:val="en-US" w:eastAsia="zh-CN"/>
        </w:rPr>
        <w:t>39.32</w:t>
      </w:r>
      <w:r>
        <w:rPr>
          <w:rFonts w:hint="eastAsia" w:eastAsia="仿宋_GB2312" w:cs="仿宋_GB2312"/>
          <w:sz w:val="32"/>
          <w:szCs w:val="32"/>
        </w:rPr>
        <w:t>%。主要变动原因是</w:t>
      </w:r>
      <w:r>
        <w:rPr>
          <w:rFonts w:hint="eastAsia" w:eastAsia="仿宋_GB2312" w:cs="仿宋_GB2312"/>
          <w:sz w:val="32"/>
          <w:szCs w:val="32"/>
          <w:lang w:val="en-US" w:eastAsia="zh-CN"/>
        </w:rPr>
        <w:t>因为2023年我院次中心建设等项目收、支增加。</w:t>
      </w:r>
    </w:p>
    <w:p w14:paraId="4FB947C8">
      <w:pPr>
        <w:pStyle w:val="8"/>
        <w:rPr>
          <w:rFonts w:eastAsia="仿宋_GB2312" w:cs="仿宋_GB2312"/>
          <w:sz w:val="32"/>
          <w:szCs w:val="32"/>
        </w:rPr>
      </w:pPr>
      <w:r>
        <w:rPr>
          <w:rFonts w:hint="eastAsia" w:ascii="仿宋" w:hAnsi="仿宋" w:eastAsia="仿宋"/>
          <w:kern w:val="0"/>
          <w:sz w:val="32"/>
          <w:szCs w:val="32"/>
        </w:rPr>
        <w:object>
          <v:shape id="_x0000_i1028" o:spt="75" type="#_x0000_t75" style="height:147.35pt;width:422.1pt;" o:ole="t" filled="f" o:preferrelative="t" stroked="f" coordsize="21600,21600">
            <v:path/>
            <v:fill on="f" focussize="0,0"/>
            <v:stroke on="f"/>
            <v:imagedata r:id="rId17" o:title=""/>
            <o:lock v:ext="edit" aspectratio="t"/>
            <w10:wrap type="none"/>
            <w10:anchorlock/>
          </v:shape>
          <o:OLEObject Type="Embed" ProgID="Excel.Chart.8" ShapeID="_x0000_i1028" DrawAspect="Content" ObjectID="_1468075728" r:id="rId16">
            <o:LockedField>false</o:LockedField>
          </o:OLEObject>
        </w:object>
      </w:r>
      <w:r>
        <w:rPr>
          <w:rFonts w:hint="eastAsia" w:ascii="仿宋" w:hAnsi="仿宋" w:eastAsia="仿宋"/>
          <w:kern w:val="0"/>
          <w:sz w:val="32"/>
          <w:szCs w:val="32"/>
          <w:lang w:val="en-US" w:eastAsia="zh-CN"/>
        </w:rPr>
        <w:t xml:space="preserve">   </w:t>
      </w:r>
      <w:r>
        <w:rPr>
          <w:rFonts w:hint="eastAsia" w:eastAsia="仿宋_GB2312" w:cs="仿宋_GB2312"/>
          <w:sz w:val="32"/>
          <w:szCs w:val="32"/>
        </w:rPr>
        <w:t>（图4：财政拨款收、支决算总计变动情况）</w:t>
      </w:r>
    </w:p>
    <w:p w14:paraId="595A49F8">
      <w:pPr>
        <w:spacing w:line="600" w:lineRule="exact"/>
        <w:ind w:firstLine="640"/>
        <w:rPr>
          <w:rFonts w:eastAsia="仿宋_GB2312" w:cs="仿宋_GB2312"/>
          <w:sz w:val="32"/>
          <w:szCs w:val="32"/>
        </w:rPr>
      </w:pPr>
    </w:p>
    <w:p w14:paraId="1EC193DB">
      <w:pPr>
        <w:spacing w:line="600" w:lineRule="exact"/>
        <w:ind w:firstLine="640" w:firstLineChars="200"/>
        <w:outlineLvl w:val="1"/>
        <w:rPr>
          <w:rStyle w:val="29"/>
          <w:rFonts w:ascii="Times New Roman" w:hAnsi="Times New Roman" w:eastAsia="黑体"/>
          <w:b w:val="0"/>
        </w:rPr>
      </w:pPr>
      <w:bookmarkStart w:id="34" w:name="_Toc15377209"/>
      <w:bookmarkStart w:id="35" w:name="_Toc15449"/>
      <w:bookmarkStart w:id="36" w:name="_Toc15396607"/>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34"/>
      <w:bookmarkEnd w:id="35"/>
      <w:bookmarkEnd w:id="36"/>
    </w:p>
    <w:p w14:paraId="71B19A07">
      <w:pPr>
        <w:spacing w:line="600" w:lineRule="exact"/>
        <w:ind w:firstLine="643" w:firstLineChars="200"/>
        <w:outlineLvl w:val="2"/>
        <w:rPr>
          <w:rFonts w:eastAsia="楷体_GB2312" w:cs="楷体_GB2312"/>
          <w:b/>
          <w:sz w:val="32"/>
          <w:szCs w:val="32"/>
        </w:rPr>
      </w:pPr>
      <w:bookmarkStart w:id="37" w:name="_Toc15377210"/>
      <w:r>
        <w:rPr>
          <w:rFonts w:hint="eastAsia" w:eastAsia="楷体_GB2312" w:cs="楷体_GB2312"/>
          <w:b/>
          <w:sz w:val="32"/>
          <w:szCs w:val="32"/>
        </w:rPr>
        <w:t>（一）一般公共预算财政拨款支出决算总体情况</w:t>
      </w:r>
      <w:bookmarkEnd w:id="37"/>
    </w:p>
    <w:p w14:paraId="0F8E3947">
      <w:pPr>
        <w:spacing w:line="600" w:lineRule="exact"/>
        <w:ind w:firstLine="640" w:firstLineChars="200"/>
        <w:rPr>
          <w:rFonts w:hint="eastAsia" w:eastAsia="仿宋_GB2312" w:cs="仿宋_GB2312"/>
          <w:sz w:val="32"/>
          <w:szCs w:val="32"/>
          <w:lang w:val="en-US" w:eastAsia="zh-CN"/>
        </w:rPr>
      </w:pPr>
      <w:r>
        <w:rPr>
          <w:rFonts w:hint="eastAsia" w:eastAsia="仿宋_GB2312" w:cs="仿宋_GB2312"/>
          <w:sz w:val="32"/>
          <w:szCs w:val="32"/>
        </w:rPr>
        <w:t>2024年度一般公共预算财政拨款支出</w:t>
      </w:r>
      <w:r>
        <w:rPr>
          <w:rFonts w:hint="eastAsia" w:eastAsia="仿宋_GB2312" w:cs="仿宋_GB2312"/>
          <w:sz w:val="32"/>
          <w:szCs w:val="32"/>
          <w:lang w:val="en-US" w:eastAsia="zh-CN"/>
        </w:rPr>
        <w:t>599.66</w:t>
      </w:r>
      <w:r>
        <w:rPr>
          <w:rFonts w:hint="eastAsia" w:eastAsia="仿宋_GB2312" w:cs="仿宋_GB2312"/>
          <w:sz w:val="32"/>
          <w:szCs w:val="32"/>
        </w:rPr>
        <w:t>万元，占本年支出合计的</w:t>
      </w:r>
      <w:r>
        <w:rPr>
          <w:rFonts w:hint="eastAsia" w:eastAsia="仿宋_GB2312" w:cs="仿宋_GB2312"/>
          <w:sz w:val="32"/>
          <w:szCs w:val="32"/>
          <w:lang w:val="en-US" w:eastAsia="zh-CN"/>
        </w:rPr>
        <w:t>87.57</w:t>
      </w:r>
      <w:r>
        <w:rPr>
          <w:rFonts w:hint="eastAsia" w:eastAsia="仿宋_GB2312" w:cs="仿宋_GB2312"/>
          <w:sz w:val="32"/>
          <w:szCs w:val="32"/>
        </w:rPr>
        <w:t>%。与2023年度984.21万元相比，一般公共预算财政拨款支出减少</w:t>
      </w:r>
      <w:r>
        <w:rPr>
          <w:rFonts w:hint="eastAsia" w:eastAsia="仿宋_GB2312" w:cs="仿宋_GB2312"/>
          <w:sz w:val="32"/>
          <w:szCs w:val="32"/>
          <w:lang w:val="en-US" w:eastAsia="zh-CN"/>
        </w:rPr>
        <w:t>384.55</w:t>
      </w:r>
      <w:r>
        <w:rPr>
          <w:rFonts w:hint="eastAsia" w:eastAsia="仿宋_GB2312" w:cs="仿宋_GB2312"/>
          <w:sz w:val="32"/>
          <w:szCs w:val="32"/>
        </w:rPr>
        <w:t>万元，下降</w:t>
      </w:r>
      <w:r>
        <w:rPr>
          <w:rFonts w:hint="eastAsia" w:eastAsia="仿宋_GB2312" w:cs="仿宋_GB2312"/>
          <w:sz w:val="32"/>
          <w:szCs w:val="32"/>
          <w:lang w:val="en-US" w:eastAsia="zh-CN"/>
        </w:rPr>
        <w:t>39.07</w:t>
      </w:r>
      <w:r>
        <w:rPr>
          <w:rFonts w:hint="eastAsia" w:eastAsia="仿宋_GB2312" w:cs="仿宋_GB2312"/>
          <w:sz w:val="32"/>
          <w:szCs w:val="32"/>
        </w:rPr>
        <w:t>%。要变动原因是</w:t>
      </w:r>
      <w:r>
        <w:rPr>
          <w:rFonts w:hint="eastAsia" w:eastAsia="仿宋_GB2312" w:cs="仿宋_GB2312"/>
          <w:sz w:val="32"/>
          <w:szCs w:val="32"/>
          <w:lang w:val="en-US" w:eastAsia="zh-CN"/>
        </w:rPr>
        <w:t>因为2023年度我院次中心建设等项目收、支增加。</w:t>
      </w:r>
    </w:p>
    <w:p w14:paraId="47495ADF">
      <w:pPr>
        <w:pStyle w:val="8"/>
        <w:rPr>
          <w:rFonts w:eastAsia="仿宋_GB2312" w:cs="仿宋_GB2312"/>
          <w:sz w:val="32"/>
          <w:szCs w:val="32"/>
        </w:rPr>
      </w:pPr>
      <w:r>
        <w:rPr>
          <w:rFonts w:hint="eastAsia" w:ascii="FangSong_GB2312" w:eastAsia="FangSong_GB2312"/>
          <w:kern w:val="0"/>
          <w:sz w:val="30"/>
        </w:rPr>
        <w:object>
          <v:shape id="_x0000_i1029" o:spt="75" type="#_x0000_t75" style="height:149.05pt;width:427.45pt;" o:ole="t" filled="f" o:preferrelative="t" stroked="f" coordsize="21600,21600">
            <v:path/>
            <v:fill on="f" focussize="0,0"/>
            <v:stroke on="f"/>
            <v:imagedata r:id="rId19" o:title=""/>
            <o:lock v:ext="edit" aspectratio="t"/>
            <w10:wrap type="none"/>
            <w10:anchorlock/>
          </v:shape>
          <o:OLEObject Type="Embed" ProgID="Excel.Chart.8" ShapeID="_x0000_i1029" DrawAspect="Content" ObjectID="_1468075729" r:id="rId18">
            <o:LockedField>false</o:LockedField>
          </o:OLEObject>
        </w:object>
      </w:r>
      <w:r>
        <w:rPr>
          <w:rFonts w:hint="eastAsia" w:ascii="FangSong_GB2312" w:eastAsia="FangSong_GB2312"/>
          <w:kern w:val="0"/>
          <w:sz w:val="30"/>
          <w:lang w:val="en-US" w:eastAsia="zh-CN"/>
        </w:rPr>
        <w:t xml:space="preserve">    </w:t>
      </w:r>
      <w:r>
        <w:rPr>
          <w:rFonts w:hint="eastAsia" w:eastAsia="仿宋_GB2312" w:cs="仿宋_GB2312"/>
          <w:sz w:val="32"/>
          <w:szCs w:val="32"/>
        </w:rPr>
        <w:t>（图5：一般公共预算财政拨款支出决算变动情况）</w:t>
      </w:r>
    </w:p>
    <w:p w14:paraId="77952479">
      <w:pPr>
        <w:spacing w:line="600" w:lineRule="exact"/>
        <w:ind w:firstLine="640"/>
        <w:rPr>
          <w:rFonts w:eastAsia="仿宋_GB2312" w:cs="仿宋_GB2312"/>
          <w:sz w:val="32"/>
          <w:szCs w:val="32"/>
        </w:rPr>
      </w:pPr>
    </w:p>
    <w:p w14:paraId="00217F25">
      <w:pPr>
        <w:spacing w:line="600" w:lineRule="exact"/>
        <w:ind w:firstLine="643" w:firstLineChars="200"/>
        <w:outlineLvl w:val="2"/>
        <w:rPr>
          <w:rFonts w:eastAsia="楷体_GB2312" w:cs="楷体_GB2312"/>
          <w:b/>
          <w:sz w:val="32"/>
          <w:szCs w:val="32"/>
        </w:rPr>
      </w:pPr>
      <w:bookmarkStart w:id="38" w:name="_Toc15377211"/>
      <w:r>
        <w:rPr>
          <w:rFonts w:hint="eastAsia" w:eastAsia="楷体_GB2312" w:cs="楷体_GB2312"/>
          <w:b/>
          <w:sz w:val="32"/>
          <w:szCs w:val="32"/>
        </w:rPr>
        <w:t>（二）一般公共预算财政拨款支出决算结构情况</w:t>
      </w:r>
      <w:bookmarkEnd w:id="38"/>
    </w:p>
    <w:p w14:paraId="1A07FD3F">
      <w:pPr>
        <w:spacing w:line="600" w:lineRule="exact"/>
        <w:ind w:firstLine="640" w:firstLineChars="200"/>
        <w:rPr>
          <w:rFonts w:hint="eastAsia" w:eastAsia="仿宋_GB2312" w:cs="仿宋_GB2312"/>
          <w:sz w:val="32"/>
          <w:szCs w:val="32"/>
          <w:lang w:eastAsia="zh-CN"/>
        </w:rPr>
      </w:pPr>
      <w:r>
        <w:rPr>
          <w:rFonts w:hint="eastAsia" w:eastAsia="仿宋_GB2312" w:cs="仿宋_GB2312"/>
          <w:sz w:val="32"/>
          <w:szCs w:val="32"/>
        </w:rPr>
        <w:t>2024年度一般公共预算财政拨款支出</w:t>
      </w:r>
      <w:r>
        <w:rPr>
          <w:rFonts w:hint="eastAsia" w:eastAsia="仿宋_GB2312" w:cs="仿宋_GB2312"/>
          <w:sz w:val="32"/>
          <w:szCs w:val="32"/>
          <w:lang w:val="en-US" w:eastAsia="zh-CN"/>
        </w:rPr>
        <w:t>599.66</w:t>
      </w:r>
      <w:r>
        <w:rPr>
          <w:rFonts w:hint="eastAsia" w:eastAsia="仿宋_GB2312" w:cs="仿宋_GB2312"/>
          <w:sz w:val="32"/>
          <w:szCs w:val="32"/>
        </w:rPr>
        <w:t>万元，主要用于以下方面：一般公共服务支出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%；教育支出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%；科学技术支出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%；文化旅游体育与传媒支出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%；社会保障和就业支出</w:t>
      </w:r>
      <w:r>
        <w:rPr>
          <w:rFonts w:hint="eastAsia" w:eastAsia="仿宋_GB2312" w:cs="仿宋_GB2312"/>
          <w:sz w:val="32"/>
          <w:szCs w:val="32"/>
          <w:lang w:val="en-US" w:eastAsia="zh-CN"/>
        </w:rPr>
        <w:t>52.04</w:t>
      </w:r>
      <w:r>
        <w:rPr>
          <w:rFonts w:hint="eastAsia" w:eastAsia="仿宋_GB2312" w:cs="仿宋_GB2312"/>
          <w:sz w:val="32"/>
          <w:szCs w:val="32"/>
        </w:rPr>
        <w:t>万元，占</w:t>
      </w:r>
      <w:r>
        <w:rPr>
          <w:rFonts w:hint="eastAsia" w:eastAsia="仿宋_GB2312" w:cs="仿宋_GB2312"/>
          <w:sz w:val="32"/>
          <w:szCs w:val="32"/>
          <w:lang w:val="en-US" w:eastAsia="zh-CN"/>
        </w:rPr>
        <w:t>8.68</w:t>
      </w:r>
      <w:r>
        <w:rPr>
          <w:rFonts w:hint="eastAsia" w:eastAsia="仿宋_GB2312" w:cs="仿宋_GB2312"/>
          <w:sz w:val="32"/>
          <w:szCs w:val="32"/>
        </w:rPr>
        <w:t>%；卫生健康支出</w:t>
      </w:r>
      <w:r>
        <w:rPr>
          <w:rFonts w:hint="eastAsia" w:eastAsia="仿宋_GB2312" w:cs="仿宋_GB2312"/>
          <w:sz w:val="32"/>
          <w:szCs w:val="32"/>
          <w:lang w:val="en-US" w:eastAsia="zh-CN"/>
        </w:rPr>
        <w:t>520.66</w:t>
      </w:r>
      <w:r>
        <w:rPr>
          <w:rFonts w:hint="eastAsia" w:eastAsia="仿宋_GB2312" w:cs="仿宋_GB2312"/>
          <w:sz w:val="32"/>
          <w:szCs w:val="32"/>
        </w:rPr>
        <w:t>万元，占</w:t>
      </w:r>
      <w:r>
        <w:rPr>
          <w:rFonts w:hint="eastAsia" w:eastAsia="仿宋_GB2312" w:cs="仿宋_GB2312"/>
          <w:sz w:val="32"/>
          <w:szCs w:val="32"/>
          <w:lang w:val="en-US" w:eastAsia="zh-CN"/>
        </w:rPr>
        <w:t>86.83</w:t>
      </w:r>
      <w:r>
        <w:rPr>
          <w:rFonts w:hint="eastAsia" w:eastAsia="仿宋_GB2312" w:cs="仿宋_GB2312"/>
          <w:sz w:val="32"/>
          <w:szCs w:val="32"/>
        </w:rPr>
        <w:t>%；住房保障支出</w:t>
      </w:r>
      <w:r>
        <w:rPr>
          <w:rFonts w:hint="eastAsia" w:eastAsia="仿宋_GB2312" w:cs="仿宋_GB2312"/>
          <w:sz w:val="32"/>
          <w:szCs w:val="32"/>
          <w:lang w:val="en-US" w:eastAsia="zh-CN"/>
        </w:rPr>
        <w:t>26.96</w:t>
      </w:r>
      <w:r>
        <w:rPr>
          <w:rFonts w:hint="eastAsia" w:eastAsia="仿宋_GB2312" w:cs="仿宋_GB2312"/>
          <w:sz w:val="32"/>
          <w:szCs w:val="32"/>
        </w:rPr>
        <w:t>万元，占</w:t>
      </w:r>
      <w:r>
        <w:rPr>
          <w:rFonts w:hint="eastAsia" w:eastAsia="仿宋_GB2312" w:cs="仿宋_GB2312"/>
          <w:sz w:val="32"/>
          <w:szCs w:val="32"/>
          <w:lang w:val="en-US" w:eastAsia="zh-CN"/>
        </w:rPr>
        <w:t>4.49</w:t>
      </w:r>
      <w:r>
        <w:rPr>
          <w:rFonts w:hint="eastAsia" w:eastAsia="仿宋_GB2312" w:cs="仿宋_GB2312"/>
          <w:sz w:val="32"/>
          <w:szCs w:val="32"/>
        </w:rPr>
        <w:t>%</w:t>
      </w:r>
      <w:r>
        <w:rPr>
          <w:rFonts w:hint="eastAsia" w:eastAsia="仿宋_GB2312" w:cs="仿宋_GB2312"/>
          <w:sz w:val="32"/>
          <w:szCs w:val="32"/>
          <w:lang w:eastAsia="zh-CN"/>
        </w:rPr>
        <w:t>。</w:t>
      </w:r>
    </w:p>
    <w:p w14:paraId="7D168F80">
      <w:pPr>
        <w:pStyle w:val="8"/>
        <w:rPr>
          <w:rFonts w:ascii="仿宋" w:hAnsi="仿宋" w:eastAsia="仿宋"/>
          <w:sz w:val="32"/>
          <w:szCs w:val="32"/>
        </w:rPr>
      </w:pPr>
      <w:r>
        <w:rPr>
          <w:rFonts w:hint="eastAsia" w:ascii="仿宋" w:hAnsi="仿宋" w:eastAsia="仿宋"/>
          <w:kern w:val="0"/>
          <w:sz w:val="32"/>
          <w:szCs w:val="32"/>
        </w:rPr>
        <w:object>
          <v:shape id="_x0000_i1030" o:spt="75" type="#_x0000_t75" style="height:195.35pt;width:380.1pt;" o:ole="t" filled="f" o:preferrelative="t" stroked="f" coordsize="21600,21600">
            <v:path/>
            <v:fill on="f" focussize="0,0"/>
            <v:stroke on="f"/>
            <v:imagedata r:id="rId21" o:title=""/>
            <o:lock v:ext="edit" aspectratio="t"/>
            <w10:wrap type="none"/>
            <w10:anchorlock/>
          </v:shape>
          <o:OLEObject Type="Embed" ProgID="Excel.Chart.8" ShapeID="_x0000_i1030" DrawAspect="Content" ObjectID="_1468075730" r:id="rId20">
            <o:LockedField>false</o:LockedField>
          </o:OLEObject>
        </w:object>
      </w:r>
    </w:p>
    <w:p w14:paraId="745B9818">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w:t>
      </w:r>
      <w:r>
        <w:rPr>
          <w:rFonts w:hint="eastAsia" w:eastAsia="仿宋_GB2312" w:cs="仿宋_GB2312"/>
          <w:sz w:val="32"/>
          <w:szCs w:val="32"/>
        </w:rPr>
        <w:t>预算</w:t>
      </w:r>
      <w:r>
        <w:rPr>
          <w:rFonts w:hint="eastAsia" w:ascii="仿宋" w:hAnsi="仿宋" w:eastAsia="仿宋"/>
          <w:sz w:val="32"/>
          <w:szCs w:val="32"/>
        </w:rPr>
        <w:t>财政拨款支出决算结构）</w:t>
      </w:r>
    </w:p>
    <w:p w14:paraId="72ECC0AB">
      <w:pPr>
        <w:pStyle w:val="8"/>
        <w:rPr>
          <w:rFonts w:hint="eastAsia"/>
          <w:lang w:eastAsia="zh-CN"/>
        </w:rPr>
      </w:pPr>
    </w:p>
    <w:p w14:paraId="4EA86617">
      <w:pPr>
        <w:spacing w:line="600" w:lineRule="exact"/>
        <w:ind w:firstLine="643" w:firstLineChars="200"/>
        <w:outlineLvl w:val="2"/>
        <w:rPr>
          <w:rFonts w:eastAsia="楷体_GB2312" w:cs="楷体_GB2312"/>
          <w:b/>
          <w:sz w:val="32"/>
          <w:szCs w:val="32"/>
        </w:rPr>
      </w:pPr>
      <w:bookmarkStart w:id="39" w:name="_Toc15377212"/>
      <w:r>
        <w:rPr>
          <w:rFonts w:hint="eastAsia" w:eastAsia="楷体_GB2312" w:cs="楷体_GB2312"/>
          <w:b/>
          <w:sz w:val="32"/>
          <w:szCs w:val="32"/>
        </w:rPr>
        <w:t>（三）一般公共预算财政拨款支出决算具体情况</w:t>
      </w:r>
      <w:bookmarkEnd w:id="39"/>
    </w:p>
    <w:p w14:paraId="388BE400">
      <w:pPr>
        <w:spacing w:line="600" w:lineRule="exact"/>
        <w:ind w:firstLine="640" w:firstLineChars="200"/>
        <w:rPr>
          <w:rFonts w:hint="eastAsia" w:eastAsia="仿宋_GB2312" w:cs="仿宋_GB2312"/>
          <w:sz w:val="32"/>
          <w:szCs w:val="32"/>
        </w:rPr>
      </w:pPr>
      <w:bookmarkStart w:id="40" w:name="_Toc15377444"/>
      <w:bookmarkStart w:id="41" w:name="_Toc15377213"/>
      <w:bookmarkStart w:id="42" w:name="_Toc15378460"/>
      <w:r>
        <w:rPr>
          <w:rFonts w:hint="eastAsia" w:eastAsia="仿宋_GB2312" w:cs="仿宋_GB2312"/>
          <w:sz w:val="32"/>
          <w:szCs w:val="32"/>
        </w:rPr>
        <w:t>2024年度一般公共预算财政拨款支出决算数为</w:t>
      </w:r>
      <w:r>
        <w:rPr>
          <w:rFonts w:hint="eastAsia" w:eastAsia="仿宋_GB2312" w:cs="仿宋_GB2312"/>
          <w:sz w:val="32"/>
          <w:szCs w:val="32"/>
          <w:lang w:val="en-US" w:eastAsia="zh-CN"/>
        </w:rPr>
        <w:t>599.66</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40"/>
      <w:bookmarkEnd w:id="41"/>
      <w:bookmarkEnd w:id="42"/>
    </w:p>
    <w:p w14:paraId="59C00E0F">
      <w:p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社会保障和就业（类）行政事业单位养老支出（款）机关事业单位基本养老保险缴费支出（项）: 支出决算为</w:t>
      </w:r>
      <w:r>
        <w:rPr>
          <w:rFonts w:hint="eastAsia" w:eastAsia="仿宋_GB2312" w:cs="仿宋_GB2312"/>
          <w:sz w:val="32"/>
          <w:szCs w:val="32"/>
          <w:lang w:val="en-US" w:eastAsia="zh-CN"/>
        </w:rPr>
        <w:t>32.92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p>
    <w:p w14:paraId="24095E27">
      <w:pPr>
        <w:spacing w:line="600" w:lineRule="exact"/>
        <w:ind w:firstLine="640" w:firstLineChars="200"/>
        <w:rPr>
          <w:rFonts w:hint="eastAsia" w:eastAsia="仿宋_GB2312" w:cs="仿宋_GB2312"/>
          <w:sz w:val="32"/>
          <w:szCs w:val="32"/>
        </w:rPr>
      </w:pPr>
      <w:r>
        <w:rPr>
          <w:rFonts w:hint="eastAsia" w:eastAsia="仿宋_GB2312" w:cs="仿宋_GB2312"/>
          <w:sz w:val="32"/>
          <w:szCs w:val="32"/>
        </w:rPr>
        <w:t>2.社会保障和就业支出（类）行政事业单位养老支出（（款）事业单位离退休（项）:支出决算为</w:t>
      </w:r>
      <w:r>
        <w:rPr>
          <w:rFonts w:hint="eastAsia" w:eastAsia="仿宋_GB2312" w:cs="仿宋_GB2312"/>
          <w:sz w:val="32"/>
          <w:szCs w:val="32"/>
          <w:lang w:val="en-US" w:eastAsia="zh-CN"/>
        </w:rPr>
        <w:t>19.12</w:t>
      </w:r>
      <w:r>
        <w:rPr>
          <w:rFonts w:hint="eastAsia" w:eastAsia="仿宋_GB2312" w:cs="仿宋_GB2312"/>
          <w:sz w:val="32"/>
          <w:szCs w:val="32"/>
        </w:rPr>
        <w:t>万元，完成预算100%，决算数等于预算数。</w:t>
      </w:r>
    </w:p>
    <w:p w14:paraId="30A27A6C">
      <w:p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3.</w:t>
      </w:r>
      <w:r>
        <w:rPr>
          <w:rFonts w:hint="eastAsia" w:eastAsia="仿宋_GB2312" w:cs="仿宋_GB2312"/>
          <w:sz w:val="32"/>
          <w:szCs w:val="32"/>
        </w:rPr>
        <w:t>卫生健康支出（类）基层医疗卫生机构（款）乡镇卫生院（项）:支出决算为</w:t>
      </w:r>
      <w:r>
        <w:rPr>
          <w:rFonts w:hint="eastAsia" w:eastAsia="仿宋_GB2312" w:cs="仿宋_GB2312"/>
          <w:sz w:val="32"/>
          <w:szCs w:val="32"/>
          <w:lang w:val="en-US" w:eastAsia="zh-CN"/>
        </w:rPr>
        <w:t>231.21</w:t>
      </w:r>
      <w:r>
        <w:rPr>
          <w:rFonts w:hint="eastAsia" w:eastAsia="仿宋_GB2312" w:cs="仿宋_GB2312"/>
          <w:sz w:val="32"/>
          <w:szCs w:val="32"/>
        </w:rPr>
        <w:t>万元，完成预算100%，决算数等于预算数。</w:t>
      </w:r>
    </w:p>
    <w:p w14:paraId="4FB5D53F">
      <w:p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4</w:t>
      </w:r>
      <w:r>
        <w:rPr>
          <w:rFonts w:hint="eastAsia" w:eastAsia="仿宋_GB2312" w:cs="仿宋_GB2312"/>
          <w:sz w:val="32"/>
          <w:szCs w:val="32"/>
        </w:rPr>
        <w:t>.卫生健康（类）基层医疗卫生机构（款）其他基层医疗卫生机构支出（项）:支出决算为</w:t>
      </w:r>
      <w:r>
        <w:rPr>
          <w:rFonts w:hint="eastAsia" w:eastAsia="仿宋_GB2312" w:cs="仿宋_GB2312"/>
          <w:sz w:val="32"/>
          <w:szCs w:val="32"/>
          <w:lang w:val="en-US" w:eastAsia="zh-CN"/>
        </w:rPr>
        <w:t>51.32</w:t>
      </w:r>
      <w:r>
        <w:rPr>
          <w:rFonts w:hint="eastAsia" w:eastAsia="仿宋_GB2312" w:cs="仿宋_GB2312"/>
          <w:sz w:val="32"/>
          <w:szCs w:val="32"/>
        </w:rPr>
        <w:t>万元，完成预算100%，决算数等于预算数。</w:t>
      </w:r>
    </w:p>
    <w:p w14:paraId="32CCCC06">
      <w:p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5</w:t>
      </w:r>
      <w:r>
        <w:rPr>
          <w:rFonts w:hint="eastAsia" w:eastAsia="仿宋_GB2312" w:cs="仿宋_GB2312"/>
          <w:sz w:val="32"/>
          <w:szCs w:val="32"/>
        </w:rPr>
        <w:t>.卫生健康支出（类）公共卫生（款）基本公共卫生服务（项）:支出决算为</w:t>
      </w:r>
      <w:r>
        <w:rPr>
          <w:rFonts w:hint="eastAsia" w:eastAsia="仿宋_GB2312" w:cs="仿宋_GB2312"/>
          <w:sz w:val="32"/>
          <w:szCs w:val="32"/>
          <w:lang w:val="en-US" w:eastAsia="zh-CN"/>
        </w:rPr>
        <w:t>202.89</w:t>
      </w:r>
      <w:r>
        <w:rPr>
          <w:rFonts w:hint="eastAsia" w:eastAsia="仿宋_GB2312" w:cs="仿宋_GB2312"/>
          <w:sz w:val="32"/>
          <w:szCs w:val="32"/>
        </w:rPr>
        <w:t>万元，完成预算100%，决算数等于预算数。</w:t>
      </w:r>
    </w:p>
    <w:p w14:paraId="3C295A75">
      <w:p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6</w:t>
      </w:r>
      <w:r>
        <w:rPr>
          <w:rFonts w:hint="eastAsia" w:eastAsia="仿宋_GB2312" w:cs="仿宋_GB2312"/>
          <w:sz w:val="32"/>
          <w:szCs w:val="32"/>
        </w:rPr>
        <w:t>.卫生健康支出（类）公共卫生（款）重大公共卫生服务（项）:支出决算为</w:t>
      </w:r>
      <w:r>
        <w:rPr>
          <w:rFonts w:hint="eastAsia" w:eastAsia="仿宋_GB2312" w:cs="仿宋_GB2312"/>
          <w:sz w:val="32"/>
          <w:szCs w:val="32"/>
          <w:lang w:val="en-US" w:eastAsia="zh-CN"/>
        </w:rPr>
        <w:t>5.29</w:t>
      </w:r>
      <w:r>
        <w:rPr>
          <w:rFonts w:hint="eastAsia" w:eastAsia="仿宋_GB2312" w:cs="仿宋_GB2312"/>
          <w:sz w:val="32"/>
          <w:szCs w:val="32"/>
        </w:rPr>
        <w:t>万元，完成预算100%，决算数等于预算数。</w:t>
      </w:r>
    </w:p>
    <w:p w14:paraId="128E5B1E">
      <w:p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7</w:t>
      </w:r>
      <w:r>
        <w:rPr>
          <w:rFonts w:hint="eastAsia" w:eastAsia="仿宋_GB2312" w:cs="仿宋_GB2312"/>
          <w:sz w:val="32"/>
          <w:szCs w:val="32"/>
        </w:rPr>
        <w:t>.</w:t>
      </w:r>
      <w:r>
        <w:rPr>
          <w:rFonts w:hint="default" w:eastAsia="仿宋_GB2312" w:cs="仿宋_GB2312"/>
          <w:sz w:val="32"/>
          <w:szCs w:val="32"/>
        </w:rPr>
        <w:t>卫生健康支出（类）公共卫生（款）其他公共卫生支出（项）:支出决算为</w:t>
      </w:r>
      <w:r>
        <w:rPr>
          <w:rFonts w:hint="eastAsia" w:eastAsia="仿宋_GB2312" w:cs="仿宋_GB2312"/>
          <w:sz w:val="32"/>
          <w:szCs w:val="32"/>
          <w:lang w:val="en-US" w:eastAsia="zh-CN"/>
        </w:rPr>
        <w:t>0.75</w:t>
      </w:r>
      <w:r>
        <w:rPr>
          <w:rFonts w:hint="default" w:eastAsia="仿宋_GB2312" w:cs="仿宋_GB2312"/>
          <w:sz w:val="32"/>
          <w:szCs w:val="32"/>
        </w:rPr>
        <w:t>万元，完成预算</w:t>
      </w:r>
      <w:r>
        <w:rPr>
          <w:rFonts w:hint="default" w:eastAsia="仿宋_GB2312" w:cs="仿宋_GB2312"/>
          <w:sz w:val="32"/>
          <w:szCs w:val="32"/>
          <w:lang w:val="en-US" w:eastAsia="zh-CN"/>
        </w:rPr>
        <w:t>100</w:t>
      </w:r>
      <w:r>
        <w:rPr>
          <w:rFonts w:hint="default" w:eastAsia="仿宋_GB2312" w:cs="仿宋_GB2312"/>
          <w:sz w:val="32"/>
          <w:szCs w:val="32"/>
        </w:rPr>
        <w:t>%，决算数等于预算数</w:t>
      </w:r>
      <w:r>
        <w:rPr>
          <w:rFonts w:hint="eastAsia" w:eastAsia="仿宋_GB2312" w:cs="仿宋_GB2312"/>
          <w:sz w:val="32"/>
          <w:szCs w:val="32"/>
        </w:rPr>
        <w:t>。</w:t>
      </w:r>
    </w:p>
    <w:p w14:paraId="30A128BA">
      <w:p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8</w:t>
      </w:r>
      <w:r>
        <w:rPr>
          <w:rFonts w:hint="eastAsia" w:eastAsia="仿宋_GB2312" w:cs="仿宋_GB2312"/>
          <w:sz w:val="32"/>
          <w:szCs w:val="32"/>
        </w:rPr>
        <w:t>.卫生健康支出（类）行政事业单位医疗（款）事业单位医疗（项）:支出决算为</w:t>
      </w:r>
      <w:r>
        <w:rPr>
          <w:rFonts w:hint="eastAsia" w:eastAsia="仿宋_GB2312" w:cs="仿宋_GB2312"/>
          <w:sz w:val="32"/>
          <w:szCs w:val="32"/>
          <w:lang w:val="en-US" w:eastAsia="zh-CN"/>
        </w:rPr>
        <w:t>18.5</w:t>
      </w:r>
      <w:r>
        <w:rPr>
          <w:rFonts w:hint="eastAsia" w:eastAsia="仿宋_GB2312" w:cs="仿宋_GB2312"/>
          <w:sz w:val="32"/>
          <w:szCs w:val="32"/>
        </w:rPr>
        <w:t>万元，完成预算100%，决算数等于预算数。</w:t>
      </w:r>
    </w:p>
    <w:p w14:paraId="05801646">
      <w:p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9</w:t>
      </w:r>
      <w:r>
        <w:rPr>
          <w:rFonts w:hint="eastAsia" w:eastAsia="仿宋_GB2312" w:cs="仿宋_GB2312"/>
          <w:sz w:val="32"/>
          <w:szCs w:val="32"/>
        </w:rPr>
        <w:t>.卫生健康支出（类）行政事业单位医疗（款）其他行政事业单位医疗支出（项）:支出决算为</w:t>
      </w:r>
      <w:r>
        <w:rPr>
          <w:rFonts w:hint="eastAsia" w:eastAsia="仿宋_GB2312" w:cs="仿宋_GB2312"/>
          <w:sz w:val="32"/>
          <w:szCs w:val="32"/>
          <w:lang w:val="en-US" w:eastAsia="zh-CN"/>
        </w:rPr>
        <w:t>10.7</w:t>
      </w:r>
      <w:r>
        <w:rPr>
          <w:rFonts w:hint="eastAsia" w:eastAsia="仿宋_GB2312" w:cs="仿宋_GB2312"/>
          <w:sz w:val="32"/>
          <w:szCs w:val="32"/>
        </w:rPr>
        <w:t>万元，完成预算100%，决算数等于预算数。</w:t>
      </w:r>
    </w:p>
    <w:p w14:paraId="7E1E2C0C">
      <w:pPr>
        <w:spacing w:line="600" w:lineRule="exact"/>
        <w:ind w:firstLine="640" w:firstLineChars="200"/>
        <w:rPr>
          <w:rFonts w:hint="eastAsia" w:eastAsia="仿宋_GB2312" w:cs="仿宋_GB2312"/>
          <w:sz w:val="32"/>
          <w:szCs w:val="32"/>
        </w:rPr>
      </w:pPr>
      <w:r>
        <w:rPr>
          <w:rFonts w:hint="eastAsia" w:eastAsia="仿宋_GB2312" w:cs="仿宋_GB2312"/>
          <w:sz w:val="32"/>
          <w:szCs w:val="32"/>
          <w:lang w:val="en-US" w:eastAsia="zh-CN"/>
        </w:rPr>
        <w:t>10</w:t>
      </w:r>
      <w:r>
        <w:rPr>
          <w:rFonts w:hint="eastAsia" w:eastAsia="仿宋_GB2312" w:cs="仿宋_GB2312"/>
          <w:sz w:val="32"/>
          <w:szCs w:val="32"/>
        </w:rPr>
        <w:t>.住房保障支出（类）住房改革支出（款）住房公积金（项）:支出决算为</w:t>
      </w:r>
      <w:r>
        <w:rPr>
          <w:rFonts w:hint="eastAsia" w:eastAsia="仿宋_GB2312" w:cs="仿宋_GB2312"/>
          <w:sz w:val="32"/>
          <w:szCs w:val="32"/>
          <w:lang w:val="en-US" w:eastAsia="zh-CN"/>
        </w:rPr>
        <w:t>26.96</w:t>
      </w:r>
      <w:r>
        <w:rPr>
          <w:rFonts w:hint="eastAsia" w:eastAsia="仿宋_GB2312" w:cs="仿宋_GB2312"/>
          <w:sz w:val="32"/>
          <w:szCs w:val="32"/>
        </w:rPr>
        <w:t>万元，完成预算100%，决算数等于预算数。</w:t>
      </w:r>
    </w:p>
    <w:p w14:paraId="2DE8A2EE">
      <w:pPr>
        <w:spacing w:line="600" w:lineRule="exact"/>
        <w:ind w:firstLine="640"/>
        <w:rPr>
          <w:rFonts w:eastAsia="仿宋_GB2312" w:cs="仿宋_GB2312"/>
          <w:sz w:val="32"/>
          <w:szCs w:val="32"/>
        </w:rPr>
      </w:pPr>
    </w:p>
    <w:p w14:paraId="402CCC28">
      <w:pPr>
        <w:tabs>
          <w:tab w:val="right" w:pos="8306"/>
        </w:tabs>
        <w:spacing w:line="600" w:lineRule="exact"/>
        <w:ind w:firstLine="640"/>
        <w:outlineLvl w:val="1"/>
        <w:rPr>
          <w:rStyle w:val="29"/>
          <w:rFonts w:ascii="Times New Roman" w:hAnsi="Times New Roman"/>
        </w:rPr>
      </w:pPr>
      <w:bookmarkStart w:id="43" w:name="_Toc15377214"/>
      <w:bookmarkStart w:id="44" w:name="_Toc15396608"/>
      <w:bookmarkStart w:id="45" w:name="_Toc14436"/>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43"/>
      <w:bookmarkEnd w:id="44"/>
      <w:bookmarkEnd w:id="45"/>
      <w:r>
        <w:rPr>
          <w:rStyle w:val="29"/>
          <w:rFonts w:ascii="Times New Roman" w:hAnsi="Times New Roman" w:eastAsia="黑体"/>
          <w:b w:val="0"/>
        </w:rPr>
        <w:tab/>
      </w:r>
    </w:p>
    <w:p w14:paraId="50B24E55">
      <w:pPr>
        <w:spacing w:line="600" w:lineRule="exact"/>
        <w:ind w:firstLine="640" w:firstLineChars="200"/>
        <w:rPr>
          <w:rFonts w:hint="eastAsia" w:eastAsia="仿宋_GB2312" w:cs="仿宋_GB2312"/>
          <w:sz w:val="32"/>
          <w:szCs w:val="32"/>
        </w:rPr>
      </w:pPr>
      <w:r>
        <w:rPr>
          <w:rFonts w:hint="eastAsia" w:eastAsia="仿宋_GB2312" w:cs="仿宋_GB2312"/>
          <w:sz w:val="32"/>
          <w:szCs w:val="32"/>
        </w:rPr>
        <w:t>2024年度一般公共预算财政拨款基本支出</w:t>
      </w:r>
      <w:r>
        <w:rPr>
          <w:rFonts w:hint="eastAsia" w:eastAsia="仿宋_GB2312" w:cs="仿宋_GB2312"/>
          <w:sz w:val="32"/>
          <w:szCs w:val="32"/>
          <w:lang w:val="en-US" w:eastAsia="zh-CN"/>
        </w:rPr>
        <w:t>339.42</w:t>
      </w:r>
      <w:r>
        <w:rPr>
          <w:rFonts w:hint="eastAsia" w:eastAsia="仿宋_GB2312" w:cs="仿宋_GB2312"/>
          <w:sz w:val="32"/>
          <w:szCs w:val="32"/>
        </w:rPr>
        <w:t>万元，其中：</w:t>
      </w:r>
    </w:p>
    <w:p w14:paraId="5FF4F2D8">
      <w:pPr>
        <w:spacing w:line="600" w:lineRule="exact"/>
        <w:ind w:firstLine="640" w:firstLineChars="200"/>
        <w:rPr>
          <w:rFonts w:hint="eastAsia" w:eastAsia="仿宋_GB2312" w:cs="仿宋_GB2312"/>
          <w:sz w:val="32"/>
          <w:szCs w:val="32"/>
        </w:rPr>
      </w:pPr>
      <w:r>
        <w:rPr>
          <w:rFonts w:hint="eastAsia" w:eastAsia="仿宋_GB2312" w:cs="仿宋_GB2312"/>
          <w:sz w:val="32"/>
          <w:szCs w:val="32"/>
        </w:rPr>
        <w:t>人员经费</w:t>
      </w:r>
      <w:r>
        <w:rPr>
          <w:rFonts w:hint="eastAsia" w:eastAsia="仿宋_GB2312" w:cs="仿宋_GB2312"/>
          <w:sz w:val="32"/>
          <w:szCs w:val="32"/>
          <w:lang w:val="en-US" w:eastAsia="zh-CN"/>
        </w:rPr>
        <w:t>338.26</w:t>
      </w:r>
      <w:r>
        <w:rPr>
          <w:rFonts w:hint="eastAsia" w:eastAsia="仿宋_GB2312" w:cs="仿宋_GB2312"/>
          <w:sz w:val="32"/>
          <w:szCs w:val="32"/>
        </w:rPr>
        <w:t>万元，主要包括：基本工资、津贴补贴、奖金、绩效工资、机关事业单位基本养老保险缴费、</w:t>
      </w:r>
      <w:r>
        <w:rPr>
          <w:rFonts w:hint="eastAsia" w:eastAsia="仿宋_GB2312" w:cs="仿宋_GB2312"/>
          <w:sz w:val="32"/>
          <w:szCs w:val="32"/>
          <w:lang w:val="en-US" w:eastAsia="zh-CN"/>
        </w:rPr>
        <w:t>基本医疗、</w:t>
      </w:r>
      <w:r>
        <w:rPr>
          <w:rFonts w:hint="eastAsia" w:eastAsia="仿宋_GB2312" w:cs="仿宋_GB2312"/>
          <w:sz w:val="32"/>
          <w:szCs w:val="32"/>
        </w:rPr>
        <w:t>职业年金缴费、其他社会保障缴费、</w:t>
      </w:r>
      <w:r>
        <w:rPr>
          <w:rFonts w:hint="eastAsia" w:eastAsia="仿宋_GB2312" w:cs="仿宋_GB2312"/>
          <w:sz w:val="32"/>
          <w:szCs w:val="32"/>
          <w:lang w:val="en-US" w:eastAsia="zh-CN"/>
        </w:rPr>
        <w:t>医疗费、</w:t>
      </w:r>
      <w:r>
        <w:rPr>
          <w:rFonts w:hint="eastAsia" w:eastAsia="仿宋_GB2312" w:cs="仿宋_GB2312"/>
          <w:sz w:val="32"/>
          <w:szCs w:val="32"/>
        </w:rPr>
        <w:t>其他工资福利支出、抚恤金、生活补助、</w:t>
      </w:r>
      <w:r>
        <w:rPr>
          <w:rFonts w:hint="eastAsia" w:eastAsia="仿宋_GB2312" w:cs="仿宋_GB2312"/>
          <w:sz w:val="32"/>
          <w:szCs w:val="32"/>
          <w:lang w:val="en-US" w:eastAsia="zh-CN"/>
        </w:rPr>
        <w:t>公务员</w:t>
      </w:r>
      <w:r>
        <w:rPr>
          <w:rFonts w:hint="eastAsia" w:eastAsia="仿宋_GB2312" w:cs="仿宋_GB2312"/>
          <w:sz w:val="32"/>
          <w:szCs w:val="32"/>
        </w:rPr>
        <w:t>医疗费补助、奖励金、住房公积金、对个人和家庭的补助支出</w:t>
      </w:r>
      <w:r>
        <w:rPr>
          <w:rFonts w:hint="eastAsia" w:eastAsia="仿宋_GB2312" w:cs="仿宋_GB2312"/>
          <w:sz w:val="32"/>
          <w:szCs w:val="32"/>
          <w:lang w:eastAsia="zh-CN"/>
        </w:rPr>
        <w:t>、</w:t>
      </w:r>
      <w:r>
        <w:rPr>
          <w:rFonts w:hint="eastAsia" w:eastAsia="仿宋_GB2312" w:cs="仿宋_GB2312"/>
          <w:sz w:val="32"/>
          <w:szCs w:val="32"/>
          <w:lang w:val="en-US" w:eastAsia="zh-CN"/>
        </w:rPr>
        <w:t>生活补助</w:t>
      </w:r>
      <w:r>
        <w:rPr>
          <w:rFonts w:hint="eastAsia" w:eastAsia="仿宋_GB2312" w:cs="仿宋_GB2312"/>
          <w:sz w:val="32"/>
          <w:szCs w:val="32"/>
        </w:rPr>
        <w:t>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eastAsia="仿宋_GB2312" w:cs="仿宋_GB2312"/>
          <w:sz w:val="32"/>
          <w:szCs w:val="32"/>
          <w:lang w:val="en-US" w:eastAsia="zh-CN"/>
        </w:rPr>
        <w:t>1.16</w:t>
      </w:r>
      <w:r>
        <w:rPr>
          <w:rFonts w:hint="eastAsia" w:eastAsia="仿宋_GB2312" w:cs="仿宋_GB2312"/>
          <w:sz w:val="32"/>
          <w:szCs w:val="32"/>
        </w:rPr>
        <w:t>万元，主要包括：委托业务费用、 维修（护）费</w:t>
      </w:r>
      <w:r>
        <w:rPr>
          <w:rFonts w:hint="eastAsia" w:eastAsia="仿宋_GB2312" w:cs="仿宋_GB2312"/>
          <w:sz w:val="32"/>
          <w:szCs w:val="32"/>
          <w:lang w:eastAsia="zh-CN"/>
        </w:rPr>
        <w:t>、</w:t>
      </w:r>
      <w:r>
        <w:rPr>
          <w:rFonts w:hint="eastAsia" w:eastAsia="仿宋_GB2312" w:cs="仿宋_GB2312"/>
          <w:sz w:val="32"/>
          <w:szCs w:val="32"/>
        </w:rPr>
        <w:t>其他商品和服务支出。</w:t>
      </w:r>
    </w:p>
    <w:p w14:paraId="2EEAB02B">
      <w:pPr>
        <w:spacing w:line="600" w:lineRule="exact"/>
        <w:ind w:firstLine="640"/>
        <w:outlineLvl w:val="1"/>
        <w:rPr>
          <w:rFonts w:hint="eastAsia" w:eastAsia="黑体"/>
          <w:sz w:val="32"/>
          <w:szCs w:val="32"/>
        </w:rPr>
      </w:pPr>
      <w:bookmarkStart w:id="46" w:name="_Toc15377215"/>
      <w:bookmarkStart w:id="47" w:name="_Toc15396609"/>
    </w:p>
    <w:p w14:paraId="316577CF">
      <w:pPr>
        <w:spacing w:line="600" w:lineRule="exact"/>
        <w:ind w:firstLine="640"/>
        <w:outlineLvl w:val="1"/>
        <w:rPr>
          <w:rStyle w:val="29"/>
          <w:rFonts w:ascii="Times New Roman" w:hAnsi="Times New Roman" w:eastAsia="黑体"/>
          <w:b w:val="0"/>
        </w:rPr>
      </w:pPr>
      <w:bookmarkStart w:id="48" w:name="_Toc15888"/>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46"/>
      <w:bookmarkEnd w:id="47"/>
      <w:bookmarkEnd w:id="48"/>
    </w:p>
    <w:p w14:paraId="61AB99A8">
      <w:pPr>
        <w:spacing w:line="600" w:lineRule="exact"/>
        <w:ind w:firstLine="643" w:firstLineChars="200"/>
        <w:outlineLvl w:val="2"/>
        <w:rPr>
          <w:rFonts w:hint="eastAsia" w:eastAsia="楷体_GB2312" w:cs="楷体_GB2312"/>
          <w:b/>
          <w:sz w:val="32"/>
          <w:szCs w:val="32"/>
        </w:rPr>
      </w:pPr>
      <w:bookmarkStart w:id="49" w:name="_Toc15377216"/>
      <w:r>
        <w:rPr>
          <w:rFonts w:hint="eastAsia" w:eastAsia="楷体_GB2312" w:cs="楷体_GB2312"/>
          <w:b/>
          <w:sz w:val="32"/>
          <w:szCs w:val="32"/>
        </w:rPr>
        <w:t>（一）“三公”经费财政拨款支出决算总体情况说明</w:t>
      </w:r>
      <w:bookmarkEnd w:id="49"/>
    </w:p>
    <w:p w14:paraId="3D179E45">
      <w:pPr>
        <w:spacing w:line="600" w:lineRule="exact"/>
        <w:ind w:firstLine="640"/>
        <w:rPr>
          <w:rFonts w:hint="eastAsia" w:eastAsia="仿宋_GB2312" w:cs="仿宋_GB2312"/>
          <w:sz w:val="32"/>
          <w:szCs w:val="32"/>
        </w:rPr>
      </w:pPr>
      <w:r>
        <w:rPr>
          <w:rFonts w:hint="eastAsia" w:eastAsia="仿宋_GB2312" w:cs="仿宋_GB2312"/>
          <w:sz w:val="32"/>
          <w:szCs w:val="32"/>
        </w:rPr>
        <w:t>2024年度“三公”经费财政拨款支出决算为</w:t>
      </w:r>
      <w:r>
        <w:rPr>
          <w:rFonts w:hint="eastAsia" w:eastAsia="仿宋_GB2312" w:cs="仿宋_GB2312"/>
          <w:sz w:val="32"/>
          <w:szCs w:val="32"/>
          <w:lang w:val="en-US" w:eastAsia="zh-CN"/>
        </w:rPr>
        <w:t>0</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%，较上年度增加/减少</w:t>
      </w:r>
      <w:r>
        <w:rPr>
          <w:rFonts w:hint="eastAsia" w:eastAsia="仿宋_GB2312" w:cs="仿宋_GB2312"/>
          <w:sz w:val="32"/>
          <w:szCs w:val="32"/>
          <w:lang w:val="en-US" w:eastAsia="zh-CN"/>
        </w:rPr>
        <w:t>0</w:t>
      </w:r>
      <w:r>
        <w:rPr>
          <w:rFonts w:hint="eastAsia" w:eastAsia="仿宋_GB2312" w:cs="仿宋_GB2312"/>
          <w:sz w:val="32"/>
          <w:szCs w:val="32"/>
        </w:rPr>
        <w:t>万元，增长/下降</w:t>
      </w:r>
      <w:r>
        <w:rPr>
          <w:rFonts w:hint="eastAsia" w:eastAsia="仿宋_GB2312" w:cs="仿宋_GB2312"/>
          <w:sz w:val="32"/>
          <w:szCs w:val="32"/>
          <w:lang w:val="en-US" w:eastAsia="zh-CN"/>
        </w:rPr>
        <w:t>0</w:t>
      </w:r>
      <w:r>
        <w:rPr>
          <w:rFonts w:hint="eastAsia" w:eastAsia="仿宋_GB2312" w:cs="仿宋_GB2312"/>
          <w:sz w:val="32"/>
          <w:szCs w:val="32"/>
        </w:rPr>
        <w:t>%。</w:t>
      </w:r>
      <w:r>
        <w:rPr>
          <w:rFonts w:hint="eastAsia" w:eastAsia="仿宋_GB2312" w:cs="仿宋_GB2312"/>
          <w:sz w:val="32"/>
          <w:szCs w:val="32"/>
          <w:lang w:val="en-US" w:eastAsia="zh-CN"/>
        </w:rPr>
        <w:t>主要是因为2024年无公务用车运行维护费</w:t>
      </w:r>
      <w:r>
        <w:rPr>
          <w:rFonts w:hint="eastAsia" w:eastAsia="仿宋_GB2312" w:cs="仿宋_GB2312"/>
          <w:sz w:val="32"/>
          <w:szCs w:val="32"/>
        </w:rPr>
        <w:t>。决算数与预算数持平。</w:t>
      </w:r>
    </w:p>
    <w:p w14:paraId="287663EF">
      <w:pPr>
        <w:spacing w:line="600" w:lineRule="exact"/>
        <w:ind w:firstLine="643" w:firstLineChars="200"/>
        <w:outlineLvl w:val="2"/>
        <w:rPr>
          <w:rFonts w:hint="eastAsia" w:eastAsia="楷体_GB2312" w:cs="楷体_GB2312"/>
          <w:b/>
          <w:sz w:val="32"/>
          <w:szCs w:val="32"/>
        </w:rPr>
      </w:pPr>
      <w:bookmarkStart w:id="50" w:name="_Toc15377217"/>
      <w:r>
        <w:rPr>
          <w:rFonts w:hint="eastAsia" w:eastAsia="楷体_GB2312" w:cs="楷体_GB2312"/>
          <w:b/>
          <w:sz w:val="32"/>
          <w:szCs w:val="32"/>
        </w:rPr>
        <w:t>（二）“三公”经费财政拨款支出决算具体情况说明</w:t>
      </w:r>
      <w:bookmarkEnd w:id="50"/>
    </w:p>
    <w:p w14:paraId="6DF0C343">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2024年度“三公”经费财政拨款支出决算中，因公出国（境）费支出决算0万元，占0%；公务用车购置及运行维护费支出决算0万元，占0%；公务接待费支出决算0万元，占0%。具体情况如下：</w:t>
      </w:r>
    </w:p>
    <w:p w14:paraId="4D2EB272">
      <w:pPr>
        <w:spacing w:line="600" w:lineRule="exact"/>
        <w:ind w:firstLine="640"/>
        <w:rPr>
          <w:rFonts w:hint="eastAsia" w:ascii="仿宋" w:hAnsi="仿宋" w:eastAsia="仿宋"/>
          <w:sz w:val="32"/>
          <w:szCs w:val="32"/>
        </w:rPr>
      </w:pPr>
      <w:r>
        <w:drawing>
          <wp:anchor distT="0" distB="0" distL="114300" distR="114300" simplePos="0" relativeHeight="251660288" behindDoc="1" locked="0" layoutInCell="1" allowOverlap="1">
            <wp:simplePos x="0" y="0"/>
            <wp:positionH relativeFrom="column">
              <wp:posOffset>323850</wp:posOffset>
            </wp:positionH>
            <wp:positionV relativeFrom="paragraph">
              <wp:posOffset>7620</wp:posOffset>
            </wp:positionV>
            <wp:extent cx="4624070" cy="2558415"/>
            <wp:effectExtent l="4445" t="4445" r="19685" b="8890"/>
            <wp:wrapNone/>
            <wp:docPr id="102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26058E9D">
      <w:pPr>
        <w:spacing w:line="600" w:lineRule="exact"/>
        <w:ind w:firstLine="640"/>
        <w:rPr>
          <w:rFonts w:hint="eastAsia" w:ascii="仿宋" w:hAnsi="仿宋" w:eastAsia="仿宋"/>
          <w:sz w:val="32"/>
          <w:szCs w:val="32"/>
        </w:rPr>
      </w:pPr>
    </w:p>
    <w:p w14:paraId="759EDDCD">
      <w:pPr>
        <w:spacing w:line="600" w:lineRule="exact"/>
        <w:ind w:firstLine="640"/>
        <w:rPr>
          <w:rFonts w:hint="eastAsia" w:ascii="仿宋" w:hAnsi="仿宋" w:eastAsia="仿宋"/>
          <w:sz w:val="32"/>
          <w:szCs w:val="32"/>
        </w:rPr>
      </w:pPr>
    </w:p>
    <w:p w14:paraId="40CF6CB1">
      <w:pPr>
        <w:spacing w:line="600" w:lineRule="exact"/>
        <w:ind w:firstLine="640"/>
        <w:rPr>
          <w:rFonts w:hint="eastAsia" w:ascii="仿宋" w:hAnsi="仿宋" w:eastAsia="仿宋"/>
          <w:sz w:val="32"/>
          <w:szCs w:val="32"/>
        </w:rPr>
      </w:pPr>
    </w:p>
    <w:p w14:paraId="543EED68">
      <w:pPr>
        <w:spacing w:line="600" w:lineRule="exact"/>
        <w:ind w:firstLine="640"/>
        <w:rPr>
          <w:rFonts w:hint="eastAsia" w:ascii="仿宋" w:hAnsi="仿宋" w:eastAsia="仿宋"/>
          <w:sz w:val="32"/>
          <w:szCs w:val="32"/>
        </w:rPr>
      </w:pPr>
    </w:p>
    <w:p w14:paraId="6C76F20B">
      <w:pPr>
        <w:spacing w:line="600" w:lineRule="exact"/>
        <w:ind w:firstLine="640"/>
        <w:rPr>
          <w:rFonts w:hint="eastAsia" w:ascii="仿宋" w:hAnsi="仿宋" w:eastAsia="仿宋"/>
          <w:sz w:val="32"/>
          <w:szCs w:val="32"/>
        </w:rPr>
      </w:pPr>
    </w:p>
    <w:p w14:paraId="526FBB47">
      <w:pPr>
        <w:spacing w:line="600" w:lineRule="exact"/>
        <w:ind w:firstLine="640"/>
        <w:rPr>
          <w:rFonts w:hint="eastAsia" w:ascii="仿宋" w:hAnsi="仿宋" w:eastAsia="仿宋"/>
          <w:sz w:val="32"/>
          <w:szCs w:val="32"/>
        </w:rPr>
      </w:pPr>
    </w:p>
    <w:p w14:paraId="7933EB2E">
      <w:pPr>
        <w:spacing w:line="600" w:lineRule="exact"/>
        <w:ind w:firstLine="64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图7：“三公”</w:t>
      </w:r>
      <w:r>
        <w:rPr>
          <w:rFonts w:hint="eastAsia" w:eastAsia="仿宋_GB2312" w:cs="仿宋_GB2312"/>
          <w:sz w:val="32"/>
          <w:szCs w:val="32"/>
          <w:lang w:val="en-US" w:eastAsia="zh-CN"/>
        </w:rPr>
        <w:t>经费</w:t>
      </w:r>
      <w:r>
        <w:rPr>
          <w:rFonts w:hint="eastAsia" w:ascii="仿宋" w:hAnsi="仿宋" w:eastAsia="仿宋"/>
          <w:sz w:val="32"/>
          <w:szCs w:val="32"/>
        </w:rPr>
        <w:t>财政拨款支出结构）</w:t>
      </w:r>
    </w:p>
    <w:p w14:paraId="788D473B">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1.公务用车购置及运行维护费支出0万元，完成预算100%。公务用车购置及运行维护费支出决算比2023年度增加/减少0万元，增长/下降0%。主要原因是2024年无公务用车运行维护费支出。</w:t>
      </w:r>
    </w:p>
    <w:p w14:paraId="5400372E">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其中：公务用车购置支出0万元。全年按规定更新购置公务用车0辆，其中：轿车0辆、金额0万元，越野车0辆、金额0万元，载客汽车0辆、金额0万元，。截至2024年12月31日，单位共有公务用车2辆，其中：特种专业技术用车（救护车）2辆。</w:t>
      </w:r>
    </w:p>
    <w:p w14:paraId="079AF228">
      <w:pPr>
        <w:spacing w:line="600" w:lineRule="exact"/>
        <w:ind w:firstLine="640"/>
        <w:rPr>
          <w:rFonts w:hint="eastAsia" w:eastAsia="仿宋_GB2312" w:cs="仿宋_GB2312"/>
          <w:sz w:val="32"/>
          <w:szCs w:val="32"/>
        </w:rPr>
      </w:pPr>
      <w:r>
        <w:rPr>
          <w:rFonts w:hint="eastAsia" w:eastAsia="仿宋_GB2312" w:cs="仿宋_GB2312"/>
          <w:sz w:val="32"/>
          <w:szCs w:val="32"/>
          <w:lang w:val="en-US" w:eastAsia="zh-CN"/>
        </w:rPr>
        <w:t>公务用车运行维护费支出0万元。</w:t>
      </w:r>
    </w:p>
    <w:p w14:paraId="29A2D0A9">
      <w:pPr>
        <w:spacing w:line="600" w:lineRule="exact"/>
        <w:ind w:firstLine="640"/>
        <w:rPr>
          <w:rFonts w:hint="eastAsia" w:eastAsia="仿宋_GB2312" w:cs="仿宋_GB2312"/>
          <w:sz w:val="32"/>
          <w:szCs w:val="32"/>
        </w:rPr>
      </w:pPr>
      <w:bookmarkStart w:id="51" w:name="_Toc15396610"/>
      <w:bookmarkStart w:id="52" w:name="_Toc15377218"/>
    </w:p>
    <w:p w14:paraId="132F8817">
      <w:pPr>
        <w:spacing w:line="600" w:lineRule="exact"/>
        <w:ind w:firstLine="640"/>
        <w:outlineLvl w:val="1"/>
        <w:rPr>
          <w:rStyle w:val="29"/>
          <w:rFonts w:ascii="Times New Roman" w:hAnsi="Times New Roman" w:eastAsia="黑体"/>
        </w:rPr>
      </w:pPr>
      <w:bookmarkStart w:id="53" w:name="_Toc26581"/>
      <w:r>
        <w:rPr>
          <w:rFonts w:hint="eastAsia" w:eastAsia="黑体"/>
          <w:sz w:val="32"/>
          <w:szCs w:val="32"/>
        </w:rPr>
        <w:t>八、</w:t>
      </w:r>
      <w:r>
        <w:rPr>
          <w:rStyle w:val="29"/>
          <w:rFonts w:hint="eastAsia" w:ascii="Times New Roman" w:hAnsi="Times New Roman" w:eastAsia="黑体"/>
          <w:b w:val="0"/>
        </w:rPr>
        <w:t>政府性基金预算支出决算情况说明</w:t>
      </w:r>
      <w:bookmarkEnd w:id="51"/>
      <w:bookmarkEnd w:id="52"/>
      <w:bookmarkEnd w:id="53"/>
    </w:p>
    <w:p w14:paraId="4F5844FD">
      <w:pPr>
        <w:spacing w:line="600" w:lineRule="exact"/>
        <w:ind w:firstLine="640"/>
        <w:rPr>
          <w:rFonts w:hint="eastAsia" w:eastAsia="仿宋_GB2312" w:cs="仿宋_GB2312"/>
          <w:sz w:val="32"/>
          <w:szCs w:val="32"/>
          <w:lang w:eastAsia="zh-CN"/>
        </w:rPr>
      </w:pPr>
      <w:r>
        <w:rPr>
          <w:rFonts w:hint="eastAsia" w:ascii="仿宋_GB2312" w:hAnsi="仿宋_GB2312" w:eastAsia="仿宋_GB2312" w:cs="仿宋_GB2312"/>
          <w:sz w:val="32"/>
          <w:szCs w:val="32"/>
        </w:rPr>
        <w:t>2024</w:t>
      </w:r>
      <w:r>
        <w:rPr>
          <w:rFonts w:hint="eastAsia" w:eastAsia="仿宋_GB2312" w:cs="仿宋_GB2312"/>
          <w:sz w:val="32"/>
          <w:szCs w:val="32"/>
          <w:lang w:val="en-US" w:eastAsia="zh-CN"/>
        </w:rPr>
        <w:t>年度</w:t>
      </w:r>
      <w:r>
        <w:rPr>
          <w:rFonts w:hint="eastAsia" w:ascii="仿宋_GB2312" w:hAnsi="仿宋_GB2312" w:eastAsia="仿宋_GB2312" w:cs="仿宋_GB2312"/>
          <w:sz w:val="32"/>
          <w:szCs w:val="32"/>
        </w:rPr>
        <w:t>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2E42B322">
      <w:pPr>
        <w:spacing w:line="600" w:lineRule="exact"/>
        <w:ind w:left="630"/>
        <w:outlineLvl w:val="1"/>
        <w:rPr>
          <w:rStyle w:val="29"/>
          <w:rFonts w:ascii="Times New Roman" w:hAnsi="Times New Roman" w:eastAsia="黑体"/>
          <w:b w:val="0"/>
        </w:rPr>
      </w:pPr>
      <w:bookmarkStart w:id="54" w:name="_Toc15396611"/>
      <w:bookmarkStart w:id="55" w:name="_Toc15377219"/>
      <w:bookmarkStart w:id="56" w:name="_Toc404"/>
      <w:r>
        <w:rPr>
          <w:rStyle w:val="29"/>
          <w:rFonts w:hint="eastAsia" w:ascii="Times New Roman" w:hAnsi="Times New Roman" w:eastAsia="黑体"/>
          <w:b w:val="0"/>
        </w:rPr>
        <w:t>九、国有资本经营预算支出决算情况说明</w:t>
      </w:r>
      <w:bookmarkEnd w:id="54"/>
      <w:bookmarkEnd w:id="55"/>
      <w:bookmarkEnd w:id="56"/>
    </w:p>
    <w:p w14:paraId="10FD1F22">
      <w:pPr>
        <w:spacing w:line="600" w:lineRule="exact"/>
        <w:ind w:firstLine="640"/>
        <w:rPr>
          <w:rFonts w:hint="eastAsia" w:eastAsia="仿宋_GB2312" w:cs="仿宋_GB2312"/>
          <w:sz w:val="32"/>
          <w:szCs w:val="32"/>
        </w:rPr>
      </w:pPr>
      <w:r>
        <w:rPr>
          <w:rFonts w:hint="eastAsia" w:eastAsia="仿宋_GB2312" w:cs="仿宋_GB2312"/>
          <w:sz w:val="32"/>
          <w:szCs w:val="32"/>
        </w:rPr>
        <w:t>2024年度国有资本经营预算财政拨款支出</w:t>
      </w:r>
      <w:r>
        <w:rPr>
          <w:rFonts w:hint="eastAsia" w:eastAsia="仿宋_GB2312" w:cs="仿宋_GB2312"/>
          <w:sz w:val="32"/>
          <w:szCs w:val="32"/>
          <w:lang w:val="en-US" w:eastAsia="zh-CN"/>
        </w:rPr>
        <w:t>0</w:t>
      </w:r>
      <w:r>
        <w:rPr>
          <w:rFonts w:hint="eastAsia" w:eastAsia="仿宋_GB2312" w:cs="仿宋_GB2312"/>
          <w:sz w:val="32"/>
          <w:szCs w:val="32"/>
        </w:rPr>
        <w:t>万元，占本年支出合计的</w:t>
      </w:r>
      <w:r>
        <w:rPr>
          <w:rFonts w:hint="eastAsia" w:eastAsia="仿宋_GB2312" w:cs="仿宋_GB2312"/>
          <w:sz w:val="32"/>
          <w:szCs w:val="32"/>
          <w:lang w:val="en-US" w:eastAsia="zh-CN"/>
        </w:rPr>
        <w:t>0</w:t>
      </w:r>
      <w:r>
        <w:rPr>
          <w:rFonts w:hint="eastAsia" w:eastAsia="仿宋_GB2312" w:cs="仿宋_GB2312"/>
          <w:sz w:val="32"/>
          <w:szCs w:val="32"/>
        </w:rPr>
        <w:t>%。与2023年度</w:t>
      </w:r>
      <w:r>
        <w:rPr>
          <w:rFonts w:hint="eastAsia" w:eastAsia="仿宋_GB2312" w:cs="仿宋_GB2312"/>
          <w:sz w:val="32"/>
          <w:szCs w:val="32"/>
          <w:lang w:val="en-US" w:eastAsia="zh-CN"/>
        </w:rPr>
        <w:t>持平。</w:t>
      </w:r>
    </w:p>
    <w:p w14:paraId="5254FBC7">
      <w:pPr>
        <w:spacing w:line="600" w:lineRule="exact"/>
        <w:ind w:left="630"/>
        <w:outlineLvl w:val="1"/>
        <w:rPr>
          <w:rStyle w:val="29"/>
          <w:rFonts w:ascii="Times New Roman" w:hAnsi="Times New Roman" w:eastAsia="黑体"/>
          <w:b w:val="0"/>
        </w:rPr>
      </w:pPr>
      <w:bookmarkStart w:id="57" w:name="_Toc15377221"/>
      <w:bookmarkStart w:id="58" w:name="_Toc22748"/>
      <w:bookmarkStart w:id="59" w:name="_Toc15396612"/>
      <w:r>
        <w:rPr>
          <w:rStyle w:val="29"/>
          <w:rFonts w:hint="eastAsia" w:ascii="Times New Roman" w:hAnsi="Times New Roman" w:eastAsia="黑体"/>
          <w:b w:val="0"/>
        </w:rPr>
        <w:t>十、其他重要事项的情况说明</w:t>
      </w:r>
      <w:bookmarkEnd w:id="57"/>
      <w:bookmarkEnd w:id="58"/>
      <w:bookmarkEnd w:id="59"/>
    </w:p>
    <w:p w14:paraId="4C40E6D5">
      <w:pPr>
        <w:spacing w:line="600" w:lineRule="exact"/>
        <w:ind w:firstLine="643" w:firstLineChars="200"/>
        <w:outlineLvl w:val="2"/>
        <w:rPr>
          <w:rFonts w:eastAsia="楷体_GB2312" w:cs="楷体_GB2312"/>
          <w:b/>
          <w:sz w:val="32"/>
          <w:szCs w:val="32"/>
        </w:rPr>
      </w:pPr>
      <w:bookmarkStart w:id="60" w:name="_Toc15377222"/>
      <w:r>
        <w:rPr>
          <w:rFonts w:hint="eastAsia" w:eastAsia="楷体_GB2312" w:cs="楷体_GB2312"/>
          <w:b/>
          <w:sz w:val="32"/>
          <w:szCs w:val="32"/>
        </w:rPr>
        <w:t>（一）机关运行经费支出情况</w:t>
      </w:r>
      <w:bookmarkEnd w:id="60"/>
    </w:p>
    <w:p w14:paraId="74AE9718">
      <w:pPr>
        <w:spacing w:line="600" w:lineRule="exact"/>
        <w:ind w:firstLine="640"/>
        <w:rPr>
          <w:rFonts w:eastAsia="仿宋_GB2312" w:cs="仿宋_GB2312"/>
          <w:sz w:val="32"/>
          <w:szCs w:val="32"/>
        </w:rPr>
      </w:pPr>
      <w:r>
        <w:rPr>
          <w:rFonts w:hint="eastAsia" w:eastAsia="仿宋_GB2312" w:cs="仿宋_GB2312"/>
          <w:sz w:val="32"/>
          <w:szCs w:val="32"/>
        </w:rPr>
        <w:t>2024年度，盐边县渔门中心卫生院（盐边县渔门镇妇幼保健计划生育服务站</w:t>
      </w:r>
      <w:r>
        <w:rPr>
          <w:rFonts w:hint="eastAsia" w:eastAsia="仿宋_GB2312" w:cs="仿宋_GB2312"/>
          <w:sz w:val="32"/>
          <w:szCs w:val="32"/>
          <w:lang w:eastAsia="zh-CN"/>
        </w:rPr>
        <w:t>）</w:t>
      </w:r>
      <w:r>
        <w:rPr>
          <w:rFonts w:hint="eastAsia" w:eastAsia="仿宋_GB2312" w:cs="仿宋_GB2312"/>
          <w:sz w:val="32"/>
          <w:szCs w:val="32"/>
          <w:lang w:val="en-US" w:eastAsia="zh-CN"/>
        </w:rPr>
        <w:t>机关</w:t>
      </w:r>
      <w:r>
        <w:rPr>
          <w:rFonts w:hint="eastAsia" w:eastAsia="仿宋_GB2312" w:cs="仿宋_GB2312"/>
          <w:sz w:val="32"/>
          <w:szCs w:val="32"/>
        </w:rPr>
        <w:t>运行经费支出</w:t>
      </w:r>
      <w:r>
        <w:rPr>
          <w:rFonts w:hint="eastAsia" w:eastAsia="仿宋_GB2312" w:cs="仿宋_GB2312"/>
          <w:sz w:val="32"/>
          <w:szCs w:val="32"/>
          <w:lang w:val="en-US" w:eastAsia="zh-CN"/>
        </w:rPr>
        <w:t>0</w:t>
      </w:r>
      <w:r>
        <w:rPr>
          <w:rFonts w:hint="eastAsia" w:eastAsia="仿宋_GB2312" w:cs="仿宋_GB2312"/>
          <w:sz w:val="32"/>
          <w:szCs w:val="32"/>
        </w:rPr>
        <w:t>万元，比2023年度</w:t>
      </w:r>
      <w:r>
        <w:rPr>
          <w:rFonts w:hint="eastAsia" w:eastAsia="仿宋_GB2312" w:cs="仿宋_GB2312"/>
          <w:sz w:val="32"/>
          <w:szCs w:val="32"/>
          <w:lang w:val="en-US" w:eastAsia="zh-CN"/>
        </w:rPr>
        <w:t>持平。</w:t>
      </w:r>
    </w:p>
    <w:p w14:paraId="1E31E999">
      <w:pPr>
        <w:spacing w:line="600" w:lineRule="exact"/>
        <w:ind w:firstLine="643" w:firstLineChars="200"/>
        <w:outlineLvl w:val="2"/>
        <w:rPr>
          <w:rFonts w:eastAsia="楷体_GB2312" w:cs="楷体_GB2312"/>
          <w:b/>
          <w:sz w:val="32"/>
          <w:szCs w:val="32"/>
        </w:rPr>
      </w:pPr>
      <w:bookmarkStart w:id="61" w:name="_Toc15377223"/>
      <w:r>
        <w:rPr>
          <w:rFonts w:hint="eastAsia" w:eastAsia="楷体_GB2312" w:cs="楷体_GB2312"/>
          <w:b/>
          <w:sz w:val="32"/>
          <w:szCs w:val="32"/>
        </w:rPr>
        <w:t>（二）政府采购支出情况</w:t>
      </w:r>
      <w:bookmarkEnd w:id="61"/>
    </w:p>
    <w:p w14:paraId="70CB9D24">
      <w:pPr>
        <w:spacing w:line="600" w:lineRule="exact"/>
        <w:ind w:firstLine="640"/>
        <w:rPr>
          <w:rFonts w:hint="eastAsia" w:eastAsia="仿宋_GB2312" w:cs="仿宋_GB2312"/>
          <w:sz w:val="32"/>
          <w:szCs w:val="32"/>
        </w:rPr>
      </w:pPr>
      <w:r>
        <w:rPr>
          <w:rFonts w:hint="eastAsia" w:eastAsia="仿宋_GB2312" w:cs="仿宋_GB2312"/>
          <w:sz w:val="32"/>
          <w:szCs w:val="32"/>
        </w:rPr>
        <w:t>2024年度，盐边县渔门中心卫生院（盐边县渔门镇妇幼</w:t>
      </w:r>
      <w:r>
        <w:rPr>
          <w:rFonts w:hint="eastAsia" w:eastAsia="仿宋_GB2312" w:cs="仿宋_GB2312"/>
          <w:sz w:val="32"/>
          <w:szCs w:val="32"/>
          <w:lang w:val="en-US" w:eastAsia="zh-CN"/>
        </w:rPr>
        <w:t>保健计划生育服务站）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6B8C27F4">
      <w:pPr>
        <w:spacing w:line="600" w:lineRule="exact"/>
        <w:ind w:firstLine="643" w:firstLineChars="200"/>
        <w:outlineLvl w:val="2"/>
        <w:rPr>
          <w:rFonts w:eastAsia="楷体_GB2312" w:cs="楷体_GB2312"/>
          <w:b/>
          <w:sz w:val="32"/>
          <w:szCs w:val="32"/>
        </w:rPr>
      </w:pPr>
      <w:bookmarkStart w:id="62" w:name="_Toc15377224"/>
      <w:r>
        <w:rPr>
          <w:rFonts w:hint="eastAsia" w:eastAsia="楷体_GB2312" w:cs="楷体_GB2312"/>
          <w:b/>
          <w:sz w:val="32"/>
          <w:szCs w:val="32"/>
        </w:rPr>
        <w:t>（三）国有资产占有使用情况</w:t>
      </w:r>
      <w:bookmarkEnd w:id="62"/>
    </w:p>
    <w:p w14:paraId="7558282E">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截至2023年12月31日，盐边县渔门中心卫生院（盐边县渔门镇妇幼保健计划生育服务站）共有车辆2辆，其中：主要领导干部用车0辆、机要通信用车0辆、应急保障用车0辆、其他用车2辆，其他用车主要是用于急诊、救护等。单价100万元以上设备（不含车辆）0台（套）。</w:t>
      </w:r>
    </w:p>
    <w:p w14:paraId="4F3A61EE">
      <w:pPr>
        <w:spacing w:line="600" w:lineRule="exact"/>
        <w:ind w:firstLine="643" w:firstLineChars="200"/>
        <w:outlineLvl w:val="2"/>
        <w:rPr>
          <w:rFonts w:eastAsia="楷体_GB2312" w:cs="楷体_GB2312"/>
          <w:b/>
          <w:color w:val="000000" w:themeColor="text1"/>
          <w:sz w:val="32"/>
          <w:szCs w:val="32"/>
          <w14:textFill>
            <w14:solidFill>
              <w14:schemeClr w14:val="tx1"/>
            </w14:solidFill>
          </w14:textFill>
        </w:rPr>
      </w:pPr>
      <w:r>
        <w:rPr>
          <w:rFonts w:hint="eastAsia" w:eastAsia="楷体_GB2312" w:cs="楷体_GB2312"/>
          <w:b/>
          <w:color w:val="000000" w:themeColor="text1"/>
          <w:sz w:val="32"/>
          <w:szCs w:val="32"/>
          <w14:textFill>
            <w14:solidFill>
              <w14:schemeClr w14:val="tx1"/>
            </w14:solidFill>
          </w14:textFill>
        </w:rPr>
        <w:t>（四）预算绩效管理情况</w:t>
      </w:r>
    </w:p>
    <w:p w14:paraId="1B7C18B5">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根据预算绩效管理要求，本单位在2024年度预算编制阶段，组织对基本公共卫生服务、基本药物补助、重大传染病等4个项目开展了预算事前绩效评估，对4个项目编制了绩效目标，预算执行过程中，对4个项目开展绩效监控，组织对6个项目开展绩效自评，绩效自评表详见第四部分附件。</w:t>
      </w:r>
    </w:p>
    <w:p w14:paraId="532333B9">
      <w:pPr>
        <w:spacing w:line="600" w:lineRule="exact"/>
        <w:ind w:firstLine="640"/>
        <w:rPr>
          <w:rFonts w:hint="eastAsia" w:eastAsia="仿宋_GB2312" w:cs="仿宋_GB2312"/>
          <w:sz w:val="32"/>
          <w:szCs w:val="32"/>
          <w:lang w:val="en-US" w:eastAsia="zh-CN"/>
        </w:rPr>
      </w:pPr>
    </w:p>
    <w:p w14:paraId="1803766A">
      <w:pPr>
        <w:spacing w:line="600" w:lineRule="exact"/>
        <w:ind w:firstLine="640"/>
        <w:rPr>
          <w:rFonts w:hint="eastAsia" w:eastAsia="仿宋_GB2312" w:cs="仿宋_GB2312"/>
          <w:sz w:val="32"/>
          <w:szCs w:val="32"/>
          <w:lang w:val="en-US" w:eastAsia="zh-CN"/>
        </w:rPr>
      </w:pPr>
    </w:p>
    <w:p w14:paraId="2468599D">
      <w:pPr>
        <w:spacing w:line="600" w:lineRule="exact"/>
        <w:ind w:firstLine="640"/>
        <w:rPr>
          <w:rFonts w:hint="eastAsia" w:eastAsia="仿宋_GB2312" w:cs="仿宋_GB2312"/>
          <w:sz w:val="32"/>
          <w:szCs w:val="32"/>
          <w:lang w:val="en-US" w:eastAsia="zh-CN"/>
        </w:rPr>
      </w:pPr>
    </w:p>
    <w:p w14:paraId="2F622DF1">
      <w:pPr>
        <w:spacing w:line="600" w:lineRule="exact"/>
        <w:ind w:firstLine="640"/>
        <w:rPr>
          <w:rFonts w:hint="eastAsia" w:eastAsia="仿宋_GB2312" w:cs="仿宋_GB2312"/>
          <w:sz w:val="32"/>
          <w:szCs w:val="32"/>
          <w:lang w:val="en-US" w:eastAsia="zh-CN"/>
        </w:rPr>
      </w:pPr>
    </w:p>
    <w:p w14:paraId="5B22630A">
      <w:pPr>
        <w:spacing w:line="600" w:lineRule="exact"/>
        <w:ind w:firstLine="640"/>
        <w:rPr>
          <w:rFonts w:hint="eastAsia" w:eastAsia="仿宋_GB2312" w:cs="仿宋_GB2312"/>
          <w:sz w:val="32"/>
          <w:szCs w:val="32"/>
          <w:lang w:val="en-US" w:eastAsia="zh-CN"/>
        </w:rPr>
      </w:pPr>
    </w:p>
    <w:p w14:paraId="1FEBFF98">
      <w:pPr>
        <w:spacing w:line="600" w:lineRule="exact"/>
        <w:ind w:firstLine="640"/>
        <w:rPr>
          <w:rFonts w:hint="eastAsia" w:eastAsia="仿宋_GB2312" w:cs="仿宋_GB2312"/>
          <w:sz w:val="32"/>
          <w:szCs w:val="32"/>
          <w:lang w:val="en-US" w:eastAsia="zh-CN"/>
        </w:rPr>
      </w:pPr>
    </w:p>
    <w:p w14:paraId="7A6E3611">
      <w:pPr>
        <w:spacing w:line="600" w:lineRule="exact"/>
        <w:jc w:val="both"/>
        <w:outlineLvl w:val="0"/>
        <w:rPr>
          <w:rFonts w:hint="eastAsia" w:eastAsia="黑体"/>
          <w:sz w:val="44"/>
          <w:szCs w:val="44"/>
        </w:rPr>
      </w:pPr>
      <w:bookmarkStart w:id="63" w:name="_Toc15377225"/>
      <w:bookmarkStart w:id="64" w:name="_Toc15396613"/>
    </w:p>
    <w:p w14:paraId="08A21340">
      <w:pPr>
        <w:spacing w:line="600" w:lineRule="exact"/>
        <w:jc w:val="center"/>
        <w:outlineLvl w:val="0"/>
        <w:rPr>
          <w:rFonts w:hint="eastAsia" w:eastAsia="黑体"/>
          <w:sz w:val="44"/>
          <w:szCs w:val="44"/>
        </w:rPr>
      </w:pPr>
    </w:p>
    <w:p w14:paraId="7B170C54">
      <w:pPr>
        <w:spacing w:line="600" w:lineRule="exact"/>
        <w:jc w:val="center"/>
        <w:outlineLvl w:val="0"/>
        <w:rPr>
          <w:rFonts w:hint="eastAsia" w:eastAsia="黑体"/>
          <w:sz w:val="44"/>
          <w:szCs w:val="44"/>
        </w:rPr>
      </w:pPr>
    </w:p>
    <w:p w14:paraId="770F1C4A">
      <w:pPr>
        <w:spacing w:line="600" w:lineRule="exact"/>
        <w:jc w:val="center"/>
        <w:outlineLvl w:val="0"/>
        <w:rPr>
          <w:rFonts w:hint="eastAsia" w:eastAsia="黑体"/>
          <w:sz w:val="44"/>
          <w:szCs w:val="44"/>
        </w:rPr>
      </w:pPr>
    </w:p>
    <w:p w14:paraId="32ABB49B">
      <w:pPr>
        <w:spacing w:line="600" w:lineRule="exact"/>
        <w:jc w:val="center"/>
        <w:outlineLvl w:val="0"/>
        <w:rPr>
          <w:rFonts w:hint="eastAsia" w:eastAsia="黑体"/>
          <w:sz w:val="44"/>
          <w:szCs w:val="44"/>
        </w:rPr>
      </w:pPr>
    </w:p>
    <w:p w14:paraId="54ADF7CD">
      <w:pPr>
        <w:spacing w:line="600" w:lineRule="exact"/>
        <w:jc w:val="center"/>
        <w:outlineLvl w:val="0"/>
        <w:rPr>
          <w:rFonts w:eastAsia="黑体"/>
          <w:sz w:val="44"/>
          <w:szCs w:val="44"/>
        </w:rPr>
      </w:pPr>
      <w:bookmarkStart w:id="65" w:name="_Toc26730"/>
      <w:r>
        <w:rPr>
          <w:rFonts w:hint="eastAsia" w:eastAsia="黑体"/>
          <w:sz w:val="44"/>
          <w:szCs w:val="44"/>
        </w:rPr>
        <w:t>第三部分  名词解释</w:t>
      </w:r>
      <w:bookmarkEnd w:id="63"/>
      <w:bookmarkEnd w:id="64"/>
      <w:bookmarkEnd w:id="65"/>
    </w:p>
    <w:p w14:paraId="25334D07">
      <w:pPr>
        <w:spacing w:line="600" w:lineRule="exact"/>
        <w:jc w:val="left"/>
        <w:rPr>
          <w:b/>
          <w:sz w:val="44"/>
          <w:szCs w:val="44"/>
        </w:rPr>
      </w:pPr>
    </w:p>
    <w:p w14:paraId="3B041D25">
      <w:pPr>
        <w:pStyle w:val="26"/>
        <w:spacing w:line="560" w:lineRule="exact"/>
        <w:ind w:firstLine="640" w:firstLineChars="200"/>
        <w:rPr>
          <w:rFonts w:hint="eastAsia" w:ascii="Times New Roman" w:hAnsi="Times New Roman" w:eastAsia="仿宋_GB2312" w:cs="仿宋_GB2312"/>
          <w:color w:val="auto"/>
          <w:kern w:val="2"/>
          <w:sz w:val="32"/>
          <w:szCs w:val="32"/>
          <w:lang w:val="en-US" w:eastAsia="zh-CN" w:bidi="ar-SA"/>
        </w:rPr>
      </w:pPr>
      <w:bookmarkStart w:id="66" w:name="_Toc15377226"/>
      <w:r>
        <w:rPr>
          <w:rFonts w:hint="eastAsia" w:ascii="Times New Roman" w:hAnsi="Times New Roman" w:eastAsia="仿宋_GB2312" w:cs="仿宋_GB2312"/>
          <w:color w:val="auto"/>
          <w:kern w:val="2"/>
          <w:sz w:val="32"/>
          <w:szCs w:val="32"/>
          <w:lang w:val="en-US" w:eastAsia="zh-CN" w:bidi="ar-SA"/>
        </w:rPr>
        <w:t>1.财政拨款收入：指单位从同级财政部门取得的财政预算资金。</w:t>
      </w:r>
    </w:p>
    <w:p w14:paraId="0EC5B09E">
      <w:pPr>
        <w:pStyle w:val="26"/>
        <w:spacing w:line="560" w:lineRule="exact"/>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2.事业收入：指事业单位开展专业业务活动及辅助活动取得的收入。</w:t>
      </w:r>
    </w:p>
    <w:p w14:paraId="23D702CB">
      <w:pPr>
        <w:pStyle w:val="26"/>
        <w:spacing w:line="560" w:lineRule="exact"/>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 xml:space="preserve">3.其他收入：指单位取得的除上述收入以外的各项收入。主要是其他单位汇来的非专项资金。 </w:t>
      </w:r>
    </w:p>
    <w:p w14:paraId="3C52137C">
      <w:pPr>
        <w:pStyle w:val="26"/>
        <w:spacing w:line="560" w:lineRule="exact"/>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 xml:space="preserve">4.使用非财政拨款结余（含专用结余）：指事业单位使用以前年度积累的非财政拨款结余弥补当年收支差额的金额。 </w:t>
      </w:r>
    </w:p>
    <w:p w14:paraId="1A769904">
      <w:pPr>
        <w:pStyle w:val="26"/>
        <w:spacing w:line="560" w:lineRule="exact"/>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 xml:space="preserve">5.年初结转和结余：指以前年度尚未完成、结转到本年按有关规定继续使用的资金。 </w:t>
      </w:r>
    </w:p>
    <w:p w14:paraId="0F095ACE">
      <w:pPr>
        <w:pStyle w:val="26"/>
        <w:spacing w:line="560" w:lineRule="exact"/>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6.结余分配：指事业单位按照会计制度规定缴纳的所得税、提取的专用结余以及转入非财政拨款结余的金额等。</w:t>
      </w:r>
    </w:p>
    <w:p w14:paraId="4A59D496">
      <w:pPr>
        <w:pStyle w:val="26"/>
        <w:spacing w:line="560" w:lineRule="exact"/>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7.年末结转和结余：指单位按有关规定结转到下年或以后年度继续使用的资金。</w:t>
      </w:r>
    </w:p>
    <w:p w14:paraId="6B1DCBD0">
      <w:pPr>
        <w:pStyle w:val="26"/>
        <w:spacing w:line="560" w:lineRule="exact"/>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8.社会保障和就业支出（类）行政事业单位养老支出（款）机关事业单位基本养老保险缴费支出（项）：指用于行政事业单位养老方面的支出。</w:t>
      </w:r>
    </w:p>
    <w:p w14:paraId="112FF279">
      <w:pPr>
        <w:pStyle w:val="26"/>
        <w:spacing w:line="560" w:lineRule="exact"/>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9.社会保障和就业支出（类）行政事业单位养老支出（（款）事业单位离退休（项）：指事业单位开支的离退休经费。</w:t>
      </w:r>
    </w:p>
    <w:p w14:paraId="4F49CE65">
      <w:pPr>
        <w:spacing w:line="560" w:lineRule="exact"/>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10.卫生健康支出（类）基层医疗卫生机构（款）乡镇卫生院（项）：指用于基层医疗卫生机构（保障乡镇卫生院运转）的支出。</w:t>
      </w:r>
    </w:p>
    <w:p w14:paraId="5A928931">
      <w:pPr>
        <w:spacing w:line="560" w:lineRule="exact"/>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11.卫生健康支出（类）基层医疗卫生机构（款）其他基层医疗卫生机构支出（项）：指用于除保障单位运转的其他支出。</w:t>
      </w:r>
    </w:p>
    <w:p w14:paraId="346479D6">
      <w:pPr>
        <w:spacing w:line="560" w:lineRule="exact"/>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12.卫生健康支出（类）公共卫生（款）基本公共卫生服务（项）：指基本公共卫生服务支出。</w:t>
      </w:r>
    </w:p>
    <w:p w14:paraId="359972C1">
      <w:pPr>
        <w:spacing w:line="560" w:lineRule="exact"/>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13.卫生健康支出（类）公共卫生（款）重大公共卫生服务（项）：指重大疾病、重大传染病预防控制等重大公共卫生服务项目支出。</w:t>
      </w:r>
    </w:p>
    <w:p w14:paraId="5A022523">
      <w:pPr>
        <w:spacing w:line="560" w:lineRule="exact"/>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14.卫生健康支出（类）行政事业单位医疗（款）事业单位医疗（项）：指财政部门安排的事业单位基本医疗保险缴费经费，未参加医疗保险的事业单位的公费医疗经费，按国家规定享受离休人员待遇的医疗经费。</w:t>
      </w:r>
    </w:p>
    <w:p w14:paraId="6DA6B10C">
      <w:pPr>
        <w:spacing w:line="560" w:lineRule="exact"/>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15.卫生健康支出（类）行政事业单位医疗（款）其他行政事业单位医疗支出（项）：指财政部门安排的公务员医疗补助经费。</w:t>
      </w:r>
    </w:p>
    <w:p w14:paraId="13F9580B">
      <w:pPr>
        <w:spacing w:line="560" w:lineRule="exact"/>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16.卫生健康支出（类）中医药（款）中医（民族医）药专支出（项）:指财政部门安排的中医药服务能力提升经费。</w:t>
      </w:r>
    </w:p>
    <w:p w14:paraId="6D4E4775">
      <w:pPr>
        <w:pStyle w:val="8"/>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17卫生健康支出（类）其他卫生健康支出（款）其他卫生健康支出（项）:指其他用于卫生健康方面支出的经费。</w:t>
      </w:r>
    </w:p>
    <w:p w14:paraId="382E8F9A">
      <w:pPr>
        <w:pStyle w:val="8"/>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18.其他支出（类）彩票公益金安排的支出（款）社会福利的彩票公益金（项）:指不能反映功能科目的其他政府基金支出。</w:t>
      </w:r>
    </w:p>
    <w:p w14:paraId="28160E89">
      <w:pPr>
        <w:spacing w:line="560" w:lineRule="exact"/>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19.住房保障支出（类）住房改革支出（款）住房公积金（项）：指行政事业单位按人力资源和社会保障部、财政部规定的基本工资和津贴补贴以及规定比例为职工缴纳的住房公积金。</w:t>
      </w:r>
    </w:p>
    <w:p w14:paraId="043C35E1">
      <w:pPr>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20.基本支出：指为保障机构正常运转、完成日常工作任务而发生的人员支出和公用支出。</w:t>
      </w:r>
    </w:p>
    <w:p w14:paraId="26592F9B">
      <w:pPr>
        <w:ind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21.项目支出：指在基本支出之外为完成特定行政任务和事业发展目标所发生的支出。</w:t>
      </w:r>
    </w:p>
    <w:p w14:paraId="6B4A3C76">
      <w:pPr>
        <w:bidi w:val="0"/>
        <w:ind w:firstLine="640" w:firstLineChars="200"/>
        <w:rPr>
          <w:rStyle w:val="28"/>
          <w:rFonts w:eastAsia="黑体"/>
          <w:b w:val="0"/>
        </w:rPr>
      </w:pPr>
      <w:r>
        <w:rPr>
          <w:rFonts w:hint="eastAsia" w:ascii="Times New Roman" w:hAnsi="Times New Roman" w:eastAsia="仿宋_GB2312" w:cs="仿宋_GB2312"/>
          <w:color w:val="auto"/>
          <w:kern w:val="2"/>
          <w:sz w:val="32"/>
          <w:szCs w:val="32"/>
          <w:lang w:val="en-US" w:eastAsia="zh-CN" w:bidi="ar-SA"/>
        </w:rPr>
        <w:t>22.“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Times New Roman" w:hAnsi="Times New Roman" w:eastAsia="仿宋_GB2312" w:cs="仿宋_GB2312"/>
          <w:color w:val="auto"/>
          <w:kern w:val="2"/>
          <w:sz w:val="32"/>
          <w:szCs w:val="32"/>
          <w:lang w:val="en-US" w:eastAsia="zh-CN" w:bidi="ar-SA"/>
        </w:rPr>
        <w:br w:type="page"/>
      </w:r>
      <w:bookmarkStart w:id="67" w:name="_Toc15396614"/>
      <w:r>
        <w:rPr>
          <w:rFonts w:hint="eastAsia" w:ascii="仿宋" w:hAnsi="仿宋" w:eastAsia="仿宋" w:cs="仿宋"/>
          <w:color w:val="auto"/>
          <w:sz w:val="32"/>
          <w:szCs w:val="32"/>
          <w:lang w:val="en-US" w:eastAsia="zh-CN"/>
        </w:rPr>
        <w:t xml:space="preserve">                 </w:t>
      </w:r>
      <w:r>
        <w:rPr>
          <w:rFonts w:hint="eastAsia" w:eastAsia="黑体"/>
          <w:sz w:val="44"/>
          <w:szCs w:val="44"/>
        </w:rPr>
        <w:t>第四部分  附件</w:t>
      </w:r>
      <w:bookmarkEnd w:id="67"/>
    </w:p>
    <w:p w14:paraId="2DCE77B4">
      <w:pPr>
        <w:spacing w:line="572" w:lineRule="exact"/>
        <w:jc w:val="left"/>
        <w:outlineLvl w:val="0"/>
        <w:rPr>
          <w:rFonts w:eastAsia="黑体" w:cs="黑体"/>
          <w:sz w:val="32"/>
          <w:szCs w:val="32"/>
        </w:rPr>
      </w:pPr>
    </w:p>
    <w:p w14:paraId="74BDA8BD">
      <w:pPr>
        <w:widowControl/>
        <w:spacing w:line="578" w:lineRule="exact"/>
        <w:contextualSpacing/>
        <w:jc w:val="center"/>
      </w:pPr>
      <w:r>
        <w:rPr>
          <w:rFonts w:hint="eastAsia" w:eastAsia="黑体" w:cs="黑体"/>
          <w:sz w:val="32"/>
          <w:szCs w:val="32"/>
          <w:lang w:val="en-US" w:eastAsia="zh-CN"/>
        </w:rPr>
        <w:t>附件：</w:t>
      </w:r>
      <w:r>
        <w:rPr>
          <w:rFonts w:hint="eastAsia" w:eastAsia="黑体" w:cs="黑体"/>
          <w:sz w:val="32"/>
          <w:szCs w:val="32"/>
        </w:rPr>
        <w:t>部门预算项目支出绩效评价表（2024年度）</w:t>
      </w:r>
    </w:p>
    <w:p w14:paraId="2C85F5F8">
      <w:pPr>
        <w:pStyle w:val="3"/>
        <w:spacing w:line="560" w:lineRule="exact"/>
        <w:ind w:left="0" w:leftChars="0" w:firstLine="640"/>
        <w:rPr>
          <w:rFonts w:ascii="Times New Roman" w:eastAsia="仿宋_GB2312" w:cs="仿宋_GB2312"/>
          <w:kern w:val="0"/>
          <w:sz w:val="32"/>
        </w:rPr>
      </w:pPr>
    </w:p>
    <w:p w14:paraId="68E4D223">
      <w:pPr>
        <w:spacing w:line="578" w:lineRule="exact"/>
        <w:ind w:firstLine="640"/>
        <w:rPr>
          <w:rFonts w:eastAsia="仿宋_GB2312" w:cs="仿宋_GB2312"/>
          <w:kern w:val="0"/>
          <w:sz w:val="32"/>
          <w:szCs w:val="32"/>
        </w:rPr>
      </w:pPr>
      <w:bookmarkStart w:id="68" w:name="_Toc15396618"/>
      <w:r>
        <w:rPr>
          <w:rFonts w:hint="eastAsia" w:eastAsia="仿宋_GB2312" w:cs="仿宋_GB2312"/>
          <w:kern w:val="0"/>
          <w:sz w:val="32"/>
          <w:szCs w:val="32"/>
        </w:rPr>
        <w:br w:type="page"/>
      </w:r>
    </w:p>
    <w:p w14:paraId="33873130">
      <w:pPr>
        <w:pStyle w:val="5"/>
        <w:bidi w:val="0"/>
        <w:jc w:val="center"/>
        <w:rPr>
          <w:rFonts w:eastAsia="仿宋"/>
        </w:rPr>
      </w:pPr>
      <w:bookmarkStart w:id="69" w:name="_Toc12482"/>
      <w:r>
        <w:rPr>
          <w:rFonts w:hint="eastAsia" w:eastAsia="黑体"/>
          <w:sz w:val="44"/>
          <w:szCs w:val="44"/>
        </w:rPr>
        <w:t>第</w:t>
      </w:r>
      <w:r>
        <w:rPr>
          <w:rStyle w:val="28"/>
          <w:rFonts w:hint="eastAsia" w:eastAsia="黑体"/>
          <w:b w:val="0"/>
          <w:bCs/>
        </w:rPr>
        <w:t>五部分 附表</w:t>
      </w:r>
      <w:bookmarkEnd w:id="66"/>
      <w:bookmarkEnd w:id="68"/>
      <w:bookmarkEnd w:id="69"/>
      <w:bookmarkStart w:id="70" w:name="_Toc15396619"/>
    </w:p>
    <w:p w14:paraId="23849ED9">
      <w:pPr>
        <w:pStyle w:val="14"/>
        <w:adjustRightInd w:val="0"/>
        <w:snapToGrid w:val="0"/>
        <w:spacing w:line="560" w:lineRule="exact"/>
        <w:jc w:val="left"/>
        <w:rPr>
          <w:rFonts w:eastAsia="仿宋_GB2312" w:cs="仿宋_GB2312"/>
          <w:sz w:val="32"/>
          <w:szCs w:val="32"/>
        </w:rPr>
      </w:pPr>
    </w:p>
    <w:p w14:paraId="46F5ECCE">
      <w:pPr>
        <w:pStyle w:val="6"/>
        <w:bidi w:val="0"/>
        <w:ind w:firstLine="640" w:firstLineChars="200"/>
        <w:rPr>
          <w:rFonts w:hint="eastAsia" w:ascii="CESI仿宋-GB2312" w:hAnsi="CESI仿宋-GB2312" w:eastAsia="CESI仿宋-GB2312" w:cs="CESI仿宋-GB2312"/>
          <w:b w:val="0"/>
          <w:bCs w:val="0"/>
        </w:rPr>
      </w:pPr>
      <w:bookmarkStart w:id="71" w:name="_Toc3360"/>
      <w:r>
        <w:rPr>
          <w:rFonts w:hint="eastAsia" w:ascii="CESI仿宋-GB2312" w:hAnsi="CESI仿宋-GB2312" w:eastAsia="CESI仿宋-GB2312" w:cs="CESI仿宋-GB2312"/>
          <w:b w:val="0"/>
          <w:bCs w:val="0"/>
        </w:rPr>
        <w:t>一、收入支出决算总表</w:t>
      </w:r>
      <w:bookmarkEnd w:id="70"/>
      <w:bookmarkEnd w:id="71"/>
    </w:p>
    <w:p w14:paraId="27BF3F26">
      <w:pPr>
        <w:pStyle w:val="6"/>
        <w:bidi w:val="0"/>
        <w:ind w:firstLine="640" w:firstLineChars="200"/>
        <w:rPr>
          <w:rFonts w:hint="eastAsia" w:ascii="CESI仿宋-GB2312" w:hAnsi="CESI仿宋-GB2312" w:eastAsia="CESI仿宋-GB2312" w:cs="CESI仿宋-GB2312"/>
          <w:b w:val="0"/>
          <w:bCs w:val="0"/>
        </w:rPr>
      </w:pPr>
      <w:bookmarkStart w:id="72" w:name="_Toc15396620"/>
      <w:bookmarkStart w:id="73" w:name="_Toc18568"/>
      <w:r>
        <w:rPr>
          <w:rFonts w:hint="eastAsia" w:ascii="CESI仿宋-GB2312" w:hAnsi="CESI仿宋-GB2312" w:eastAsia="CESI仿宋-GB2312" w:cs="CESI仿宋-GB2312"/>
          <w:b w:val="0"/>
          <w:bCs w:val="0"/>
        </w:rPr>
        <w:t>二、收入决算表</w:t>
      </w:r>
      <w:bookmarkEnd w:id="72"/>
      <w:bookmarkEnd w:id="73"/>
    </w:p>
    <w:p w14:paraId="208DAAF5">
      <w:pPr>
        <w:pStyle w:val="6"/>
        <w:bidi w:val="0"/>
        <w:ind w:firstLine="640" w:firstLineChars="200"/>
        <w:rPr>
          <w:rFonts w:hint="eastAsia" w:ascii="CESI仿宋-GB2312" w:hAnsi="CESI仿宋-GB2312" w:eastAsia="CESI仿宋-GB2312" w:cs="CESI仿宋-GB2312"/>
          <w:b w:val="0"/>
          <w:bCs w:val="0"/>
        </w:rPr>
      </w:pPr>
      <w:bookmarkStart w:id="74" w:name="_Toc4793"/>
      <w:bookmarkStart w:id="75" w:name="_Toc15396621"/>
      <w:r>
        <w:rPr>
          <w:rFonts w:hint="eastAsia" w:ascii="CESI仿宋-GB2312" w:hAnsi="CESI仿宋-GB2312" w:eastAsia="CESI仿宋-GB2312" w:cs="CESI仿宋-GB2312"/>
          <w:b w:val="0"/>
          <w:bCs w:val="0"/>
        </w:rPr>
        <w:t>三、支出决算表</w:t>
      </w:r>
      <w:bookmarkEnd w:id="74"/>
      <w:bookmarkEnd w:id="75"/>
    </w:p>
    <w:p w14:paraId="02D40263">
      <w:pPr>
        <w:pStyle w:val="6"/>
        <w:bidi w:val="0"/>
        <w:ind w:firstLine="640" w:firstLineChars="200"/>
        <w:rPr>
          <w:rFonts w:hint="eastAsia" w:ascii="CESI仿宋-GB2312" w:hAnsi="CESI仿宋-GB2312" w:eastAsia="CESI仿宋-GB2312" w:cs="CESI仿宋-GB2312"/>
          <w:b w:val="0"/>
          <w:bCs w:val="0"/>
        </w:rPr>
      </w:pPr>
      <w:bookmarkStart w:id="76" w:name="_Toc13598"/>
      <w:bookmarkStart w:id="77" w:name="_Toc15396622"/>
      <w:r>
        <w:rPr>
          <w:rFonts w:hint="eastAsia" w:ascii="CESI仿宋-GB2312" w:hAnsi="CESI仿宋-GB2312" w:eastAsia="CESI仿宋-GB2312" w:cs="CESI仿宋-GB2312"/>
          <w:b w:val="0"/>
          <w:bCs w:val="0"/>
        </w:rPr>
        <w:t>四、财政拨款收入支出决算总表</w:t>
      </w:r>
      <w:bookmarkEnd w:id="76"/>
      <w:bookmarkEnd w:id="77"/>
    </w:p>
    <w:p w14:paraId="1997E21E">
      <w:pPr>
        <w:pStyle w:val="6"/>
        <w:bidi w:val="0"/>
        <w:ind w:firstLine="640" w:firstLineChars="200"/>
        <w:rPr>
          <w:rFonts w:hint="eastAsia" w:ascii="CESI仿宋-GB2312" w:hAnsi="CESI仿宋-GB2312" w:eastAsia="CESI仿宋-GB2312" w:cs="CESI仿宋-GB2312"/>
          <w:b w:val="0"/>
          <w:bCs w:val="0"/>
        </w:rPr>
      </w:pPr>
      <w:bookmarkStart w:id="78" w:name="_Toc10358"/>
      <w:bookmarkStart w:id="79" w:name="_Toc15396623"/>
      <w:r>
        <w:rPr>
          <w:rFonts w:hint="eastAsia" w:ascii="CESI仿宋-GB2312" w:hAnsi="CESI仿宋-GB2312" w:eastAsia="CESI仿宋-GB2312" w:cs="CESI仿宋-GB2312"/>
          <w:b w:val="0"/>
          <w:bCs w:val="0"/>
        </w:rPr>
        <w:t>五、财政拨款支出决算明细表</w:t>
      </w:r>
      <w:bookmarkEnd w:id="78"/>
      <w:bookmarkEnd w:id="79"/>
      <w:bookmarkStart w:id="80" w:name="_Toc15396624"/>
    </w:p>
    <w:p w14:paraId="0E3770C8">
      <w:pPr>
        <w:pStyle w:val="6"/>
        <w:bidi w:val="0"/>
        <w:ind w:firstLine="640" w:firstLineChars="200"/>
        <w:rPr>
          <w:rFonts w:hint="eastAsia" w:ascii="CESI仿宋-GB2312" w:hAnsi="CESI仿宋-GB2312" w:eastAsia="CESI仿宋-GB2312" w:cs="CESI仿宋-GB2312"/>
          <w:b w:val="0"/>
          <w:bCs w:val="0"/>
        </w:rPr>
      </w:pPr>
      <w:bookmarkStart w:id="81" w:name="_Toc26251"/>
      <w:r>
        <w:rPr>
          <w:rFonts w:hint="eastAsia" w:ascii="CESI仿宋-GB2312" w:hAnsi="CESI仿宋-GB2312" w:eastAsia="CESI仿宋-GB2312" w:cs="CESI仿宋-GB2312"/>
          <w:b w:val="0"/>
          <w:bCs w:val="0"/>
        </w:rPr>
        <w:t>六、一般公共预算财政拨款支出决算表</w:t>
      </w:r>
      <w:bookmarkEnd w:id="80"/>
      <w:bookmarkEnd w:id="81"/>
    </w:p>
    <w:p w14:paraId="201DBD7F">
      <w:pPr>
        <w:pStyle w:val="6"/>
        <w:bidi w:val="0"/>
        <w:ind w:firstLine="640" w:firstLineChars="200"/>
        <w:rPr>
          <w:rFonts w:hint="eastAsia" w:ascii="CESI仿宋-GB2312" w:hAnsi="CESI仿宋-GB2312" w:eastAsia="CESI仿宋-GB2312" w:cs="CESI仿宋-GB2312"/>
          <w:b w:val="0"/>
          <w:bCs w:val="0"/>
        </w:rPr>
      </w:pPr>
      <w:bookmarkStart w:id="82" w:name="_Toc11491"/>
      <w:bookmarkStart w:id="83" w:name="_Toc15396625"/>
      <w:r>
        <w:rPr>
          <w:rFonts w:hint="eastAsia" w:ascii="CESI仿宋-GB2312" w:hAnsi="CESI仿宋-GB2312" w:eastAsia="CESI仿宋-GB2312" w:cs="CESI仿宋-GB2312"/>
          <w:b w:val="0"/>
          <w:bCs w:val="0"/>
        </w:rPr>
        <w:t>七、一般公共预算财政拨款支出决算明细表</w:t>
      </w:r>
      <w:bookmarkEnd w:id="82"/>
      <w:bookmarkEnd w:id="83"/>
    </w:p>
    <w:p w14:paraId="73F67AB7">
      <w:pPr>
        <w:pStyle w:val="6"/>
        <w:bidi w:val="0"/>
        <w:ind w:firstLine="640" w:firstLineChars="200"/>
        <w:rPr>
          <w:rFonts w:hint="eastAsia" w:ascii="CESI仿宋-GB2312" w:hAnsi="CESI仿宋-GB2312" w:eastAsia="CESI仿宋-GB2312" w:cs="CESI仿宋-GB2312"/>
          <w:b w:val="0"/>
          <w:bCs w:val="0"/>
        </w:rPr>
      </w:pPr>
      <w:bookmarkStart w:id="84" w:name="_Toc15396626"/>
      <w:bookmarkStart w:id="85" w:name="_Toc15685"/>
      <w:r>
        <w:rPr>
          <w:rFonts w:hint="eastAsia" w:ascii="CESI仿宋-GB2312" w:hAnsi="CESI仿宋-GB2312" w:eastAsia="CESI仿宋-GB2312" w:cs="CESI仿宋-GB2312"/>
          <w:b w:val="0"/>
          <w:bCs w:val="0"/>
        </w:rPr>
        <w:t>八、一般公共预算财政拨款基本支出决算表</w:t>
      </w:r>
      <w:bookmarkEnd w:id="84"/>
      <w:bookmarkEnd w:id="85"/>
    </w:p>
    <w:p w14:paraId="1B040B48">
      <w:pPr>
        <w:pStyle w:val="6"/>
        <w:bidi w:val="0"/>
        <w:ind w:firstLine="640" w:firstLineChars="200"/>
        <w:rPr>
          <w:rFonts w:hint="eastAsia" w:ascii="CESI仿宋-GB2312" w:hAnsi="CESI仿宋-GB2312" w:eastAsia="CESI仿宋-GB2312" w:cs="CESI仿宋-GB2312"/>
          <w:b w:val="0"/>
          <w:bCs w:val="0"/>
        </w:rPr>
      </w:pPr>
      <w:bookmarkStart w:id="86" w:name="_Toc29266"/>
      <w:bookmarkStart w:id="87" w:name="_Toc15396627"/>
      <w:r>
        <w:rPr>
          <w:rFonts w:hint="eastAsia" w:ascii="CESI仿宋-GB2312" w:hAnsi="CESI仿宋-GB2312" w:eastAsia="CESI仿宋-GB2312" w:cs="CESI仿宋-GB2312"/>
          <w:b w:val="0"/>
          <w:bCs w:val="0"/>
        </w:rPr>
        <w:t>九、一般公共预算财政拨款项目支出决算表</w:t>
      </w:r>
      <w:bookmarkEnd w:id="86"/>
      <w:bookmarkEnd w:id="87"/>
    </w:p>
    <w:p w14:paraId="634ACB66">
      <w:pPr>
        <w:pStyle w:val="6"/>
        <w:bidi w:val="0"/>
        <w:ind w:firstLine="640" w:firstLineChars="200"/>
        <w:rPr>
          <w:rFonts w:hint="eastAsia" w:ascii="CESI仿宋-GB2312" w:hAnsi="CESI仿宋-GB2312" w:eastAsia="CESI仿宋-GB2312" w:cs="CESI仿宋-GB2312"/>
          <w:b w:val="0"/>
          <w:bCs w:val="0"/>
        </w:rPr>
      </w:pPr>
      <w:bookmarkStart w:id="88" w:name="_Toc15396628"/>
      <w:bookmarkStart w:id="89" w:name="_Toc12095"/>
      <w:r>
        <w:rPr>
          <w:rFonts w:hint="eastAsia" w:ascii="CESI仿宋-GB2312" w:hAnsi="CESI仿宋-GB2312" w:eastAsia="CESI仿宋-GB2312" w:cs="CESI仿宋-GB2312"/>
          <w:b w:val="0"/>
          <w:bCs w:val="0"/>
        </w:rPr>
        <w:t>十、</w:t>
      </w:r>
      <w:bookmarkEnd w:id="88"/>
      <w:r>
        <w:rPr>
          <w:rFonts w:hint="eastAsia" w:ascii="CESI仿宋-GB2312" w:hAnsi="CESI仿宋-GB2312" w:eastAsia="CESI仿宋-GB2312" w:cs="CESI仿宋-GB2312"/>
          <w:b w:val="0"/>
          <w:bCs w:val="0"/>
        </w:rPr>
        <w:t>政府性基金预算财政拨款收入支出决算表</w:t>
      </w:r>
      <w:bookmarkEnd w:id="89"/>
    </w:p>
    <w:p w14:paraId="7DB8AC4F">
      <w:pPr>
        <w:pStyle w:val="6"/>
        <w:bidi w:val="0"/>
        <w:ind w:firstLine="640" w:firstLineChars="200"/>
        <w:rPr>
          <w:rFonts w:hint="eastAsia" w:ascii="CESI仿宋-GB2312" w:hAnsi="CESI仿宋-GB2312" w:eastAsia="CESI仿宋-GB2312" w:cs="CESI仿宋-GB2312"/>
          <w:b w:val="0"/>
          <w:bCs w:val="0"/>
        </w:rPr>
      </w:pPr>
      <w:bookmarkStart w:id="90" w:name="_Toc15396629"/>
      <w:bookmarkStart w:id="91" w:name="_Toc30764"/>
      <w:r>
        <w:rPr>
          <w:rFonts w:hint="eastAsia" w:ascii="CESI仿宋-GB2312" w:hAnsi="CESI仿宋-GB2312" w:eastAsia="CESI仿宋-GB2312" w:cs="CESI仿宋-GB2312"/>
          <w:b w:val="0"/>
          <w:bCs w:val="0"/>
        </w:rPr>
        <w:t>十一、</w:t>
      </w:r>
      <w:bookmarkEnd w:id="90"/>
      <w:r>
        <w:rPr>
          <w:rFonts w:hint="eastAsia" w:ascii="CESI仿宋-GB2312" w:hAnsi="CESI仿宋-GB2312" w:eastAsia="CESI仿宋-GB2312" w:cs="CESI仿宋-GB2312"/>
          <w:b w:val="0"/>
          <w:bCs w:val="0"/>
        </w:rPr>
        <w:t>国有资本经营预算财政拨款收入支出决算表</w:t>
      </w:r>
      <w:bookmarkEnd w:id="91"/>
    </w:p>
    <w:p w14:paraId="7BCC37C3">
      <w:pPr>
        <w:pStyle w:val="6"/>
        <w:bidi w:val="0"/>
        <w:ind w:firstLine="640" w:firstLineChars="200"/>
        <w:rPr>
          <w:rFonts w:hint="eastAsia" w:ascii="CESI仿宋-GB2312" w:hAnsi="CESI仿宋-GB2312" w:eastAsia="CESI仿宋-GB2312" w:cs="CESI仿宋-GB2312"/>
          <w:b w:val="0"/>
          <w:bCs w:val="0"/>
        </w:rPr>
      </w:pPr>
      <w:bookmarkStart w:id="92" w:name="_Toc15396630"/>
      <w:bookmarkStart w:id="93" w:name="_Toc8828"/>
      <w:r>
        <w:rPr>
          <w:rFonts w:hint="eastAsia" w:ascii="CESI仿宋-GB2312" w:hAnsi="CESI仿宋-GB2312" w:eastAsia="CESI仿宋-GB2312" w:cs="CESI仿宋-GB2312"/>
          <w:b w:val="0"/>
          <w:bCs w:val="0"/>
        </w:rPr>
        <w:t>十二、</w:t>
      </w:r>
      <w:bookmarkEnd w:id="92"/>
      <w:r>
        <w:rPr>
          <w:rFonts w:hint="eastAsia" w:ascii="CESI仿宋-GB2312" w:hAnsi="CESI仿宋-GB2312" w:eastAsia="CESI仿宋-GB2312" w:cs="CESI仿宋-GB2312"/>
          <w:b w:val="0"/>
          <w:bCs w:val="0"/>
        </w:rPr>
        <w:t>国有资本经营预算财政拨款支出决算表</w:t>
      </w:r>
      <w:bookmarkEnd w:id="93"/>
    </w:p>
    <w:p w14:paraId="37B40F04">
      <w:pPr>
        <w:pStyle w:val="6"/>
        <w:bidi w:val="0"/>
        <w:ind w:firstLine="640" w:firstLineChars="200"/>
        <w:rPr>
          <w:rFonts w:hint="eastAsia" w:ascii="CESI仿宋-GB2312" w:hAnsi="CESI仿宋-GB2312" w:eastAsia="CESI仿宋-GB2312" w:cs="CESI仿宋-GB2312"/>
          <w:b w:val="0"/>
          <w:bCs w:val="0"/>
        </w:rPr>
      </w:pPr>
      <w:bookmarkStart w:id="94" w:name="_Toc15396631"/>
      <w:bookmarkStart w:id="95" w:name="_Toc18361"/>
      <w:r>
        <w:rPr>
          <w:rFonts w:hint="eastAsia" w:ascii="CESI仿宋-GB2312" w:hAnsi="CESI仿宋-GB2312" w:eastAsia="CESI仿宋-GB2312" w:cs="CESI仿宋-GB2312"/>
          <w:b w:val="0"/>
          <w:bCs w:val="0"/>
        </w:rPr>
        <w:t>十三、</w:t>
      </w:r>
      <w:bookmarkEnd w:id="94"/>
      <w:r>
        <w:rPr>
          <w:rFonts w:hint="eastAsia" w:ascii="CESI仿宋-GB2312" w:hAnsi="CESI仿宋-GB2312" w:eastAsia="CESI仿宋-GB2312" w:cs="CESI仿宋-GB2312"/>
          <w:b w:val="0"/>
          <w:bCs w:val="0"/>
        </w:rPr>
        <w:t>财政拨款“三公”经费支出决算表</w:t>
      </w:r>
      <w:bookmarkEnd w:id="95"/>
    </w:p>
    <w:p w14:paraId="0C4F44C6"/>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
    <w:altName w:val="国标仿宋"/>
    <w:panose1 w:val="00000000000000000000"/>
    <w:charset w:val="00"/>
    <w:family w:val="roman"/>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方正小标宋简体">
    <w:panose1 w:val="02000000000000000000"/>
    <w:charset w:val="86"/>
    <w:family w:val="script"/>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国标黑体">
    <w:panose1 w:val="02000500000000000000"/>
    <w:charset w:val="86"/>
    <w:family w:val="auto"/>
    <w:pitch w:val="default"/>
    <w:sig w:usb0="00000001" w:usb1="08000000" w:usb2="00000000" w:usb3="00000000" w:csb0="00060007"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FangSong_GB2312">
    <w:altName w:val="方正仿宋_GBK"/>
    <w:panose1 w:val="02010609060101010101"/>
    <w:charset w:val="86"/>
    <w:family w:val="modern"/>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E66FA">
    <w:pPr>
      <w:pStyle w:val="11"/>
      <w:jc w:val="center"/>
    </w:pPr>
  </w:p>
  <w:p w14:paraId="21005BD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1B587">
    <w:pPr>
      <w:pStyle w:val="11"/>
      <w:jc w:val="center"/>
    </w:pPr>
  </w:p>
  <w:p w14:paraId="25150DAF">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373A3">
    <w:pPr>
      <w:pStyle w:val="11"/>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FD2B6">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9EF7F">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5C9EF7F">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433355B5">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A520B">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D514D">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EDD514D">
                    <w:pPr>
                      <w:pStyle w:val="11"/>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9167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04564"/>
    <w:multiLevelType w:val="singleLevel"/>
    <w:tmpl w:val="B1D04564"/>
    <w:lvl w:ilvl="0" w:tentative="0">
      <w:start w:val="1"/>
      <w:numFmt w:val="chineseCounting"/>
      <w:suff w:val="nothing"/>
      <w:lvlText w:val="%1、"/>
      <w:lvlJc w:val="left"/>
      <w:rPr>
        <w:rFonts w:hint="eastAsia"/>
      </w:rPr>
    </w:lvl>
  </w:abstractNum>
  <w:abstractNum w:abstractNumId="1">
    <w:nsid w:val="1897B23A"/>
    <w:multiLevelType w:val="singleLevel"/>
    <w:tmpl w:val="1897B23A"/>
    <w:lvl w:ilvl="0" w:tentative="0">
      <w:start w:val="1"/>
      <w:numFmt w:val="chineseCounting"/>
      <w:suff w:val="nothing"/>
      <w:lvlText w:val="%1、"/>
      <w:lvlJc w:val="left"/>
      <w:rPr>
        <w:rFonts w:hint="eastAsia"/>
      </w:rPr>
    </w:lvl>
  </w:abstractNum>
  <w:abstractNum w:abstractNumId="2">
    <w:nsid w:val="1E7497F4"/>
    <w:multiLevelType w:val="singleLevel"/>
    <w:tmpl w:val="1E7497F4"/>
    <w:lvl w:ilvl="0" w:tentative="0">
      <w:start w:val="1"/>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5D1075"/>
    <w:rsid w:val="04916F1E"/>
    <w:rsid w:val="061E35DE"/>
    <w:rsid w:val="066E0107"/>
    <w:rsid w:val="0673692E"/>
    <w:rsid w:val="07996F6E"/>
    <w:rsid w:val="07DFD8BA"/>
    <w:rsid w:val="09867E8F"/>
    <w:rsid w:val="0A2032A3"/>
    <w:rsid w:val="0B3A5C6C"/>
    <w:rsid w:val="0B945B59"/>
    <w:rsid w:val="0CA8290A"/>
    <w:rsid w:val="0D35B1ED"/>
    <w:rsid w:val="0E254B6B"/>
    <w:rsid w:val="0EFB3964"/>
    <w:rsid w:val="0F98263C"/>
    <w:rsid w:val="101860EC"/>
    <w:rsid w:val="101F47CC"/>
    <w:rsid w:val="10C055FF"/>
    <w:rsid w:val="110C50FC"/>
    <w:rsid w:val="113C0407"/>
    <w:rsid w:val="11694EBD"/>
    <w:rsid w:val="11772AA4"/>
    <w:rsid w:val="118107EC"/>
    <w:rsid w:val="12E24EE2"/>
    <w:rsid w:val="13D50BC4"/>
    <w:rsid w:val="14B17F78"/>
    <w:rsid w:val="15DA0777"/>
    <w:rsid w:val="165E0673"/>
    <w:rsid w:val="16B831D5"/>
    <w:rsid w:val="16BB723D"/>
    <w:rsid w:val="16FA09A5"/>
    <w:rsid w:val="17E50567"/>
    <w:rsid w:val="186504BB"/>
    <w:rsid w:val="19A445FC"/>
    <w:rsid w:val="1AEC6857"/>
    <w:rsid w:val="1B4B17D0"/>
    <w:rsid w:val="1BD47F09"/>
    <w:rsid w:val="1BE8440E"/>
    <w:rsid w:val="1CC6347C"/>
    <w:rsid w:val="1D155CEE"/>
    <w:rsid w:val="1D1638FE"/>
    <w:rsid w:val="1DFC1574"/>
    <w:rsid w:val="1E312DEB"/>
    <w:rsid w:val="1E740ACF"/>
    <w:rsid w:val="1F030A13"/>
    <w:rsid w:val="1F2A2E59"/>
    <w:rsid w:val="1FAE20C8"/>
    <w:rsid w:val="1FF35744"/>
    <w:rsid w:val="1FF6BC77"/>
    <w:rsid w:val="1FFA7011"/>
    <w:rsid w:val="20986595"/>
    <w:rsid w:val="2177331E"/>
    <w:rsid w:val="2186353C"/>
    <w:rsid w:val="23860B96"/>
    <w:rsid w:val="23A40E61"/>
    <w:rsid w:val="240371BF"/>
    <w:rsid w:val="244F3473"/>
    <w:rsid w:val="24C97D99"/>
    <w:rsid w:val="25A718F0"/>
    <w:rsid w:val="25BB59F6"/>
    <w:rsid w:val="260F557C"/>
    <w:rsid w:val="26970054"/>
    <w:rsid w:val="281408E2"/>
    <w:rsid w:val="2946610C"/>
    <w:rsid w:val="29736AC1"/>
    <w:rsid w:val="29FD04D3"/>
    <w:rsid w:val="2AD7132C"/>
    <w:rsid w:val="2B6F6233"/>
    <w:rsid w:val="2BFF7BC6"/>
    <w:rsid w:val="2C8A61B5"/>
    <w:rsid w:val="2DD12008"/>
    <w:rsid w:val="2DF04E50"/>
    <w:rsid w:val="2E586DFA"/>
    <w:rsid w:val="2F040D46"/>
    <w:rsid w:val="2F6B035B"/>
    <w:rsid w:val="2FAE5751"/>
    <w:rsid w:val="2FB1A395"/>
    <w:rsid w:val="2FD9A7D8"/>
    <w:rsid w:val="2FDBF714"/>
    <w:rsid w:val="30020852"/>
    <w:rsid w:val="30AB6865"/>
    <w:rsid w:val="319F7F4E"/>
    <w:rsid w:val="32BD1EF1"/>
    <w:rsid w:val="32F85ADF"/>
    <w:rsid w:val="3304709D"/>
    <w:rsid w:val="33A773CB"/>
    <w:rsid w:val="33C543BD"/>
    <w:rsid w:val="34542888"/>
    <w:rsid w:val="349D6851"/>
    <w:rsid w:val="35B46497"/>
    <w:rsid w:val="368A1E97"/>
    <w:rsid w:val="36AA5135"/>
    <w:rsid w:val="36AB47D7"/>
    <w:rsid w:val="36BE0DA7"/>
    <w:rsid w:val="37696D2B"/>
    <w:rsid w:val="376B6AA6"/>
    <w:rsid w:val="376D39B2"/>
    <w:rsid w:val="37E16F03"/>
    <w:rsid w:val="37F53A3B"/>
    <w:rsid w:val="389B6C89"/>
    <w:rsid w:val="38B7004D"/>
    <w:rsid w:val="38D469F0"/>
    <w:rsid w:val="39627CCD"/>
    <w:rsid w:val="397BAF1F"/>
    <w:rsid w:val="39CF0E3F"/>
    <w:rsid w:val="3AA0523C"/>
    <w:rsid w:val="3AB79AF3"/>
    <w:rsid w:val="3AE834C0"/>
    <w:rsid w:val="3B621599"/>
    <w:rsid w:val="3B7EF35A"/>
    <w:rsid w:val="3B9FDB6C"/>
    <w:rsid w:val="3BF5BC2F"/>
    <w:rsid w:val="3CAA4150"/>
    <w:rsid w:val="3CEBA265"/>
    <w:rsid w:val="3D98207C"/>
    <w:rsid w:val="3DEE7CF3"/>
    <w:rsid w:val="3E740A63"/>
    <w:rsid w:val="3E78745D"/>
    <w:rsid w:val="3EE17838"/>
    <w:rsid w:val="3F552313"/>
    <w:rsid w:val="3F55381A"/>
    <w:rsid w:val="3F7F7599"/>
    <w:rsid w:val="3FF4CAE0"/>
    <w:rsid w:val="3FF7B227"/>
    <w:rsid w:val="404228F2"/>
    <w:rsid w:val="40D0614F"/>
    <w:rsid w:val="412A44C4"/>
    <w:rsid w:val="417411D1"/>
    <w:rsid w:val="44E268DA"/>
    <w:rsid w:val="44E8254B"/>
    <w:rsid w:val="44FE772F"/>
    <w:rsid w:val="450D13D7"/>
    <w:rsid w:val="452D690B"/>
    <w:rsid w:val="45506656"/>
    <w:rsid w:val="45DE7627"/>
    <w:rsid w:val="47A10846"/>
    <w:rsid w:val="486A6C7A"/>
    <w:rsid w:val="4A627F82"/>
    <w:rsid w:val="4B0E749A"/>
    <w:rsid w:val="4B203DFC"/>
    <w:rsid w:val="4B2477C4"/>
    <w:rsid w:val="4B4F25DA"/>
    <w:rsid w:val="4BE068DB"/>
    <w:rsid w:val="4D577224"/>
    <w:rsid w:val="4DBF1CEB"/>
    <w:rsid w:val="4DE427B0"/>
    <w:rsid w:val="4DF0007C"/>
    <w:rsid w:val="4EAB630A"/>
    <w:rsid w:val="4ECE2238"/>
    <w:rsid w:val="4F833267"/>
    <w:rsid w:val="4FE9BD67"/>
    <w:rsid w:val="4FFB052F"/>
    <w:rsid w:val="50D77086"/>
    <w:rsid w:val="51CE2237"/>
    <w:rsid w:val="52A46538"/>
    <w:rsid w:val="537E6D0A"/>
    <w:rsid w:val="53F74C96"/>
    <w:rsid w:val="541505F1"/>
    <w:rsid w:val="55170BA8"/>
    <w:rsid w:val="55200FFC"/>
    <w:rsid w:val="553218C9"/>
    <w:rsid w:val="564C7BCE"/>
    <w:rsid w:val="567E1AA5"/>
    <w:rsid w:val="56E47B74"/>
    <w:rsid w:val="57175D52"/>
    <w:rsid w:val="57BD3DD4"/>
    <w:rsid w:val="5A581238"/>
    <w:rsid w:val="5AF92295"/>
    <w:rsid w:val="5B250254"/>
    <w:rsid w:val="5BDD79E6"/>
    <w:rsid w:val="5BF561CA"/>
    <w:rsid w:val="5BFF5DFC"/>
    <w:rsid w:val="5CD71FC4"/>
    <w:rsid w:val="5D1F11B5"/>
    <w:rsid w:val="5D557A56"/>
    <w:rsid w:val="5D5E0913"/>
    <w:rsid w:val="5D695134"/>
    <w:rsid w:val="5DAB5B22"/>
    <w:rsid w:val="5DAE1B18"/>
    <w:rsid w:val="5DB207DC"/>
    <w:rsid w:val="5DE7D9E5"/>
    <w:rsid w:val="5ECEC941"/>
    <w:rsid w:val="5F29212A"/>
    <w:rsid w:val="5F443B39"/>
    <w:rsid w:val="5FBF9FF3"/>
    <w:rsid w:val="5FCD4E2C"/>
    <w:rsid w:val="5FEF394A"/>
    <w:rsid w:val="5FF67715"/>
    <w:rsid w:val="608129B9"/>
    <w:rsid w:val="62BF3928"/>
    <w:rsid w:val="63B3701E"/>
    <w:rsid w:val="647F5392"/>
    <w:rsid w:val="64B41760"/>
    <w:rsid w:val="653D3298"/>
    <w:rsid w:val="65E66580"/>
    <w:rsid w:val="664B1D71"/>
    <w:rsid w:val="664B4E8E"/>
    <w:rsid w:val="6710456D"/>
    <w:rsid w:val="67277B67"/>
    <w:rsid w:val="67486190"/>
    <w:rsid w:val="67AA3209"/>
    <w:rsid w:val="698D0931"/>
    <w:rsid w:val="6A7FE5F3"/>
    <w:rsid w:val="6AD77933"/>
    <w:rsid w:val="6B053271"/>
    <w:rsid w:val="6B8F72B7"/>
    <w:rsid w:val="6BDD78B3"/>
    <w:rsid w:val="6C4A05C8"/>
    <w:rsid w:val="6C5648C6"/>
    <w:rsid w:val="6C8742B8"/>
    <w:rsid w:val="6D884734"/>
    <w:rsid w:val="6DBF5E93"/>
    <w:rsid w:val="6DE52B9B"/>
    <w:rsid w:val="6DFF077E"/>
    <w:rsid w:val="6E714EF0"/>
    <w:rsid w:val="6E7E3605"/>
    <w:rsid w:val="6E7FDCC7"/>
    <w:rsid w:val="6ED6A62E"/>
    <w:rsid w:val="6EE00B15"/>
    <w:rsid w:val="6F6FB3EB"/>
    <w:rsid w:val="6F7915DC"/>
    <w:rsid w:val="6F8731EA"/>
    <w:rsid w:val="6FCE6052"/>
    <w:rsid w:val="6FD57C00"/>
    <w:rsid w:val="6FEFFFD8"/>
    <w:rsid w:val="6FF505A3"/>
    <w:rsid w:val="6FF5CC65"/>
    <w:rsid w:val="6FFB47EC"/>
    <w:rsid w:val="6FFF034A"/>
    <w:rsid w:val="70484440"/>
    <w:rsid w:val="70592AB8"/>
    <w:rsid w:val="712A28F1"/>
    <w:rsid w:val="715C0E4B"/>
    <w:rsid w:val="71992E7C"/>
    <w:rsid w:val="71FD1D82"/>
    <w:rsid w:val="72233669"/>
    <w:rsid w:val="72734D90"/>
    <w:rsid w:val="73160E6D"/>
    <w:rsid w:val="7332FE48"/>
    <w:rsid w:val="73AB61DA"/>
    <w:rsid w:val="73AD73D5"/>
    <w:rsid w:val="73B6EB34"/>
    <w:rsid w:val="73FA497D"/>
    <w:rsid w:val="744731E5"/>
    <w:rsid w:val="74BBD01D"/>
    <w:rsid w:val="74ED5379"/>
    <w:rsid w:val="75DEEEC2"/>
    <w:rsid w:val="75E32345"/>
    <w:rsid w:val="760616F0"/>
    <w:rsid w:val="76E3355F"/>
    <w:rsid w:val="76FF5125"/>
    <w:rsid w:val="776F6FFA"/>
    <w:rsid w:val="778769C8"/>
    <w:rsid w:val="77A75DCA"/>
    <w:rsid w:val="77B37656"/>
    <w:rsid w:val="77CE7777"/>
    <w:rsid w:val="77DC22F5"/>
    <w:rsid w:val="783E271A"/>
    <w:rsid w:val="78616DE9"/>
    <w:rsid w:val="78E875D7"/>
    <w:rsid w:val="79086DAD"/>
    <w:rsid w:val="79731F5E"/>
    <w:rsid w:val="79D7FD79"/>
    <w:rsid w:val="79DA711C"/>
    <w:rsid w:val="79E82882"/>
    <w:rsid w:val="79EE5BA4"/>
    <w:rsid w:val="7A4C10EC"/>
    <w:rsid w:val="7A894339"/>
    <w:rsid w:val="7A9861CB"/>
    <w:rsid w:val="7AD284E8"/>
    <w:rsid w:val="7AFF7572"/>
    <w:rsid w:val="7B6C7DFB"/>
    <w:rsid w:val="7BBFBED0"/>
    <w:rsid w:val="7BC3E394"/>
    <w:rsid w:val="7C1F3737"/>
    <w:rsid w:val="7CBFC87B"/>
    <w:rsid w:val="7CFE0F48"/>
    <w:rsid w:val="7D272ABC"/>
    <w:rsid w:val="7D467311"/>
    <w:rsid w:val="7D7EC23E"/>
    <w:rsid w:val="7DA65361"/>
    <w:rsid w:val="7E34321C"/>
    <w:rsid w:val="7E8ADEBF"/>
    <w:rsid w:val="7EEF11D3"/>
    <w:rsid w:val="7EFE4840"/>
    <w:rsid w:val="7F0971A6"/>
    <w:rsid w:val="7F1D62E7"/>
    <w:rsid w:val="7F3F679B"/>
    <w:rsid w:val="7F4FC4EF"/>
    <w:rsid w:val="7F5E4D54"/>
    <w:rsid w:val="7F6E0135"/>
    <w:rsid w:val="7F777B0A"/>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7BC86BD"/>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FFFFDD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1.xml"/><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2270;&#34920;%20&#22312;%202023102615352718557021.doc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086240043944"/>
          <c:y val="0.208657235045917"/>
          <c:w val="0.433716012084592"/>
          <c:h val="0.783896748572847"/>
        </c:manualLayout>
      </c:layout>
      <c:pieChart>
        <c:varyColors val="1"/>
        <c:ser>
          <c:idx val="0"/>
          <c:order val="0"/>
          <c:tx>
            <c:strRef>
              <c:f>'[图表 在 2023102615352718557021.docx]Sheet1'!$B$3</c:f>
              <c:strCache>
                <c:ptCount val="1"/>
                <c:pt idx="0">
                  <c:v>“三公”经费</c:v>
                </c:pt>
              </c:strCache>
            </c:strRef>
          </c:tx>
          <c:spPr>
            <a:solidFill>
              <a:srgbClr val="9999FF"/>
            </a:solidFill>
            <a:ln w="12700">
              <a:solidFill>
                <a:srgbClr val="000000">
                  <a:alpha val="100000"/>
                </a:srgbClr>
              </a:solidFill>
              <a:prstDash val="solid"/>
            </a:ln>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Lbls>
            <c:dLbl>
              <c:idx val="0"/>
              <c:layout>
                <c:manualLayout>
                  <c:x val="0.0945087884922585"/>
                  <c:y val="0.463241806928884"/>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charset="-122"/>
                      <a:ea typeface="宋体" charset="-122"/>
                      <a:cs typeface="宋体" charset="-122"/>
                    </a:defRPr>
                  </a:pPr>
                </a:p>
              </c:txPr>
              <c:dLblPos val="outEnd"/>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172619471817777"/>
                  <c:y val="0.891805910559417"/>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charset="-122"/>
                      <a:ea typeface="宋体" charset="-122"/>
                      <a:cs typeface="宋体" charset="-122"/>
                    </a:defRPr>
                  </a:pPr>
                </a:p>
              </c:txPr>
              <c:dLblPos val="outEnd"/>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172572538719526"/>
                  <c:y val="0.514480773536314"/>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charset="-122"/>
                      <a:ea typeface="宋体" charset="-122"/>
                      <a:cs typeface="宋体" charset="-122"/>
                    </a:defRPr>
                  </a:pPr>
                </a:p>
              </c:txPr>
              <c:dLblPos val="outEnd"/>
              <c:showLegendKey val="0"/>
              <c:showVal val="1"/>
              <c:showCatName val="1"/>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800" b="0" i="0" u="none" strike="noStrike" kern="1200" baseline="0">
                    <a:solidFill>
                      <a:srgbClr val="000000"/>
                    </a:solidFill>
                    <a:latin typeface="宋体" charset="-122"/>
                    <a:ea typeface="宋体" charset="-122"/>
                    <a:cs typeface="宋体" charset="-122"/>
                  </a:defRPr>
                </a:pPr>
              </a:p>
            </c:txPr>
            <c:dLblPos val="outEnd"/>
            <c:showLegendKey val="0"/>
            <c:showVal val="1"/>
            <c:showCatName val="1"/>
            <c:showSerName val="0"/>
            <c:showPercent val="0"/>
            <c:showBubbleSize val="0"/>
            <c:showLeaderLines val="0"/>
            <c:extLst>
              <c:ext xmlns:c15="http://schemas.microsoft.com/office/drawing/2012/chart" uri="{CE6537A1-D6FC-4f65-9D91-7224C49458BB}">
                <c15:layout/>
                <c15:showLeaderLines val="0"/>
                <c15:leaderLines/>
              </c:ext>
            </c:extLst>
          </c:dLbls>
          <c:cat>
            <c:strRef>
              <c:f>'[图表 在 2023102615352718557021.docx]Sheet1'!$C$2:$E$2</c:f>
              <c:strCache>
                <c:ptCount val="3"/>
                <c:pt idx="0">
                  <c:v>因公出国费</c:v>
                </c:pt>
                <c:pt idx="1">
                  <c:v>公务用车运行维护费</c:v>
                </c:pt>
                <c:pt idx="2">
                  <c:v>公务接待费</c:v>
                </c:pt>
              </c:strCache>
            </c:strRef>
          </c:cat>
          <c:val>
            <c:numRef>
              <c:f>'[图表 在 2023102615352718557021.docx]Sheet1'!$C$3:$E$3</c:f>
              <c:numCache>
                <c:formatCode>General</c:formatCode>
                <c:ptCount val="3"/>
                <c:pt idx="0">
                  <c:v>0</c:v>
                </c:pt>
                <c:pt idx="1">
                  <c:v>0</c:v>
                </c:pt>
                <c:pt idx="2">
                  <c:v>0</c:v>
                </c:pt>
              </c:numCache>
            </c:numRef>
          </c:val>
        </c:ser>
        <c:dLbls>
          <c:showLegendKey val="0"/>
          <c:showVal val="1"/>
          <c:showCatName val="1"/>
          <c:showSerName val="0"/>
          <c:showPercent val="0"/>
          <c:showBubbleSize val="0"/>
          <c:showLeaderLines val="0"/>
        </c:dLbls>
        <c:firstSliceAng val="0"/>
      </c:pieChart>
      <c:spPr>
        <a:noFill/>
        <a:ln w="3175">
          <a:noFill/>
        </a:ln>
      </c:spPr>
    </c:plotArea>
    <c:legend>
      <c:legendPos val="r"/>
      <c:layout>
        <c:manualLayout>
          <c:xMode val="edge"/>
          <c:yMode val="edge"/>
          <c:x val="0.658"/>
          <c:y val="0.29375"/>
          <c:w val="0.33325"/>
          <c:h val="0.41225"/>
        </c:manualLayout>
      </c:layout>
      <c:overlay val="0"/>
      <c:spPr>
        <a:noFill/>
        <a:ln w="3175">
          <a:noFill/>
        </a:ln>
      </c:spPr>
      <c:txPr>
        <a:bodyPr rot="0" spcFirstLastPara="0" vertOverflow="ellipsis" vert="horz" wrap="square" anchor="ctr" anchorCtr="1"/>
        <a:lstStyle/>
        <a:p>
          <a:pPr>
            <a:defRPr lang="zh-CN" sz="1200" b="0" i="0" u="none" strike="noStrike" kern="1200" baseline="0">
              <a:solidFill>
                <a:srgbClr val="000000"/>
              </a:solidFill>
              <a:latin typeface="宋体" charset="-122"/>
              <a:ea typeface="宋体" charset="-122"/>
              <a:cs typeface="宋体" charset="-122"/>
            </a:defRPr>
          </a:pPr>
        </a:p>
      </c:txPr>
    </c:legend>
    <c:plotVisOnly val="1"/>
    <c:dispBlanksAs val="gap"/>
    <c:showDLblsOverMax val="0"/>
    <c:extLst>
      <c:ext uri="{0b15fc19-7d7d-44ad-8c2d-2c3a37ce22c3}">
        <chartProps xmlns="https://web.wps.cn/et/2018/main" chartId="{77109250-a973-4bae-86f8-bd7eb0f80f3a}"/>
      </c:ext>
    </c:extLst>
  </c:chart>
  <c:spPr>
    <a:solidFill>
      <a:srgbClr val="FFFFFF"/>
    </a:solidFill>
    <a:ln w="3175" cap="flat" cmpd="sng" algn="ctr">
      <a:solidFill>
        <a:srgbClr val="993300">
          <a:alpha val="100000"/>
        </a:srgbClr>
      </a:solidFill>
      <a:prstDash val="solid"/>
      <a:round/>
    </a:ln>
  </c:spPr>
  <c:txPr>
    <a:bodyPr rot="0" wrap="square" anchor="ctr" anchorCtr="1"/>
    <a:lstStyle/>
    <a:p>
      <a:pPr>
        <a:defRPr lang="zh-CN" sz="1200" b="0" i="0" u="none" strike="noStrike" baseline="0">
          <a:solidFill>
            <a:srgbClr val="000000"/>
          </a:solidFill>
          <a:latin typeface="宋体" charset="-122"/>
          <a:ea typeface="宋体" charset="-122"/>
          <a:cs typeface="宋体"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51</Words>
  <Characters>59</Characters>
  <Lines>44</Lines>
  <Paragraphs>12</Paragraphs>
  <TotalTime>1</TotalTime>
  <ScaleCrop>false</ScaleCrop>
  <LinksUpToDate>false</LinksUpToDate>
  <CharactersWithSpaces>59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user</cp:lastModifiedBy>
  <cp:lastPrinted>2025-10-10T19:06:00Z</cp:lastPrinted>
  <dcterms:modified xsi:type="dcterms:W3CDTF">2025-10-27T10:54:32Z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04787F2533EB45DC91BCDE4AB213247F</vt:lpwstr>
  </property>
  <property fmtid="{D5CDD505-2E9C-101B-9397-08002B2CF9AE}" pid="4" name="KSOTemplateDocerSaveRecord">
    <vt:lpwstr>eyJoZGlkIjoiMzhiZmY2MzBjNmQ5ZjI4ZWRiMWQ4MDI5ZTJiM2QxMWMiLCJ1c2VySWQiOiI2NTc4NTM4NTYifQ==</vt:lpwstr>
  </property>
</Properties>
</file>