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8441"/>
      <w:bookmarkStart w:id="1" w:name="_Toc15377193"/>
      <w:bookmarkStart w:id="2" w:name="_Toc15396475"/>
      <w:bookmarkStart w:id="3" w:name="_Toc15377425"/>
      <w:bookmarkStart w:id="4" w:name="_Toc15306267"/>
      <w:bookmarkStart w:id="5" w:name="_Toc15396597"/>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lang w:eastAsia="zh-CN"/>
        </w:rPr>
        <w:t>中国人民政治协商会议四川省盐边县委员会办公室单位</w:t>
      </w:r>
      <w:r>
        <w:rPr>
          <w:rFonts w:hint="eastAsia" w:ascii="Times New Roman" w:eastAsia="方正小标宋简体"/>
          <w:kern w:val="2"/>
          <w:sz w:val="72"/>
          <w:szCs w:val="72"/>
        </w:rPr>
        <w:t>决算</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概况</w:t>
      </w:r>
      <w:r>
        <w:rPr>
          <w:rFonts w:hint="eastAsia" w:ascii="Times New Roman" w:hAnsi="Times New Roman" w:eastAsia="仿宋_GB2312" w:cs="仿宋_GB2312"/>
          <w:kern w:val="2"/>
          <w:sz w:val="32"/>
          <w:szCs w:val="32"/>
          <w:lang w:val="en-US" w:eastAsia="zh-CN" w:bidi="ar-SA"/>
        </w:rPr>
        <w:t>………………………………………… 1</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eastAsia="zh-CN"/>
        </w:rPr>
        <w:t>单位</w:t>
      </w:r>
      <w:r>
        <w:rPr>
          <w:rFonts w:hint="eastAsia" w:eastAsia="仿宋_GB2312" w:cs="仿宋_GB2312"/>
          <w:sz w:val="32"/>
          <w:szCs w:val="32"/>
        </w:rPr>
        <w:t>职责……………………………………………</w:t>
      </w:r>
      <w:r>
        <w:rPr>
          <w:rFonts w:hint="eastAsia" w:eastAsia="仿宋_GB2312" w:cs="仿宋_GB2312"/>
          <w:sz w:val="32"/>
          <w:szCs w:val="32"/>
          <w:lang w:val="en-US" w:eastAsia="zh-CN"/>
        </w:rPr>
        <w:t>1</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eastAsia="仿宋_GB2312" w:cs="仿宋_GB2312"/>
          <w:sz w:val="32"/>
          <w:szCs w:val="32"/>
          <w:lang w:val="en-US" w:eastAsia="zh-CN"/>
        </w:rPr>
        <w:t>2</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决算情况说明</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4</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5</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5</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8</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9</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11</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11</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11</w:t>
      </w:r>
    </w:p>
    <w:p>
      <w:pPr>
        <w:pStyle w:val="13"/>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Times New Roman" w:hAnsi="Times New Roman" w:eastAsia="仿宋_GB2312" w:cs="仿宋_GB2312"/>
          <w:kern w:val="2"/>
          <w:sz w:val="32"/>
          <w:szCs w:val="32"/>
          <w:lang w:val="en-US" w:eastAsia="zh-CN" w:bidi="ar-SA"/>
        </w:rPr>
        <w:t>…………………………………………14</w:t>
      </w:r>
    </w:p>
    <w:p>
      <w:pPr>
        <w:pStyle w:val="13"/>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Times New Roman" w:hAnsi="Times New Roman" w:eastAsia="仿宋_GB2312" w:cs="仿宋_GB2312"/>
          <w:kern w:val="2"/>
          <w:sz w:val="32"/>
          <w:szCs w:val="32"/>
          <w:lang w:val="en-US" w:eastAsia="zh-CN" w:bidi="ar-SA"/>
        </w:rPr>
        <w:t>………………………………………………18</w:t>
      </w:r>
    </w:p>
    <w:p>
      <w:pPr>
        <w:pStyle w:val="13"/>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hint="eastAsia" w:eastAsia="仿宋_GB2312" w:cs="仿宋_GB2312"/>
          <w:sz w:val="32"/>
          <w:szCs w:val="32"/>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sz w:val="32"/>
          <w:szCs w:val="32"/>
        </w:rPr>
        <w:t>三、支出决算表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ascii="Times New Roman" w:hAnsi="Times New Roman" w:eastAsia="仿宋_GB2312" w:cs="仿宋_GB2312"/>
          <w:kern w:val="2"/>
          <w:sz w:val="32"/>
          <w:szCs w:val="32"/>
          <w:lang w:val="en-US" w:eastAsia="zh-CN" w:bidi="ar-SA"/>
        </w:rPr>
        <w:t>………19</w:t>
      </w:r>
    </w:p>
    <w:p>
      <w:pPr>
        <w:pStyle w:val="15"/>
        <w:adjustRightInd w:val="0"/>
        <w:snapToGrid w:val="0"/>
        <w:spacing w:line="560" w:lineRule="exact"/>
        <w:ind w:left="0" w:leftChars="0" w:firstLine="640" w:firstLineChars="200"/>
        <w:jc w:val="left"/>
        <w:rPr>
          <w:rFonts w:hint="eastAsia" w:eastAsia="方正小标宋简体" w:cs="方正小标宋简体"/>
          <w:b w:val="0"/>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eastAsia="仿宋_GB2312" w:cs="仿宋_GB2312"/>
          <w:sz w:val="32"/>
          <w:szCs w:val="32"/>
        </w:rPr>
        <w:t>十三、财政拨款“三公”经费支出决算表</w:t>
      </w:r>
      <w:bookmarkStart w:id="6" w:name="_Toc15396599"/>
      <w:bookmarkStart w:id="7" w:name="_Toc15377196"/>
      <w:r>
        <w:rPr>
          <w:rFonts w:hint="eastAsia" w:ascii="Times New Roman" w:hAnsi="Times New Roman" w:eastAsia="仿宋_GB2312" w:cs="仿宋_GB2312"/>
          <w:kern w:val="2"/>
          <w:sz w:val="32"/>
          <w:szCs w:val="32"/>
          <w:lang w:val="en-US" w:eastAsia="zh-CN" w:bidi="ar-SA"/>
        </w:rPr>
        <w:t>……………19</w:t>
      </w:r>
    </w:p>
    <w:p>
      <w:pPr>
        <w:pStyle w:val="3"/>
        <w:jc w:val="center"/>
        <w:rPr>
          <w:rFonts w:eastAsia="黑体"/>
          <w:sz w:val="32"/>
          <w:szCs w:val="32"/>
        </w:rPr>
      </w:pPr>
      <w:r>
        <w:rPr>
          <w:rFonts w:hint="eastAsia" w:eastAsia="方正小标宋简体" w:cs="方正小标宋简体"/>
          <w:b w:val="0"/>
        </w:rPr>
        <w:t xml:space="preserve">第一部分  </w:t>
      </w:r>
      <w:r>
        <w:rPr>
          <w:rStyle w:val="28"/>
          <w:rFonts w:hint="eastAsia" w:eastAsia="方正小标宋简体" w:cs="方正小标宋简体"/>
          <w:b w:val="0"/>
          <w:bCs w:val="0"/>
          <w:lang w:eastAsia="zh-CN"/>
        </w:rPr>
        <w:t>单位</w:t>
      </w:r>
      <w:r>
        <w:rPr>
          <w:rStyle w:val="28"/>
          <w:rFonts w:hint="eastAsia" w:eastAsia="方正小标宋简体" w:cs="方正小标宋简体"/>
          <w:b w:val="0"/>
          <w:bCs w:val="0"/>
        </w:rPr>
        <w:t>概况</w:t>
      </w:r>
      <w:bookmarkEnd w:id="6"/>
      <w:bookmarkEnd w:id="7"/>
    </w:p>
    <w:p>
      <w:pPr>
        <w:pStyle w:val="4"/>
        <w:numPr>
          <w:ilvl w:val="0"/>
          <w:numId w:val="1"/>
        </w:numPr>
        <w:rPr>
          <w:rFonts w:hint="eastAsia" w:ascii="Times New Roman" w:hAnsi="Times New Roman" w:eastAsia="黑体"/>
          <w:b w:val="0"/>
        </w:rPr>
      </w:pPr>
      <w:r>
        <w:rPr>
          <w:rFonts w:hint="eastAsia" w:ascii="Times New Roman" w:hAnsi="Times New Roman" w:eastAsia="黑体"/>
          <w:b w:val="0"/>
          <w:lang w:eastAsia="zh-CN"/>
        </w:rPr>
        <w:t>单位</w:t>
      </w:r>
      <w:r>
        <w:rPr>
          <w:rFonts w:hint="eastAsia" w:ascii="Times New Roman" w:hAnsi="Times New Roman" w:eastAsia="黑体"/>
          <w:b w:val="0"/>
        </w:rPr>
        <w:t>职责</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中国人民政治协商会议四川省盐边县委员会办公室是政协盐边县委员会的工作机构，承担为县政协履行政治协商、民主监督、参政议政职能服务的各项工作。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1.承担单位日常事务，负责会议组织、文秘、机要、档案、安全保卫、保密、史志和行政后勤管理。</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2.负责单位绩效考核管理工作；协助办理单位干部职工技术职称登记考试、考核工作。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3.负责单位人事教育管理工作；负责单位离退休人员的管理和日常服务工作。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4.负责单位制度建设、基层建设工作；负责组织综合目标各项考核工作。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5.负责编制单位的年度预决算、财务、国有资产管理、财政资金绩效考评、内部审计、行政事业性收费、罚没收入、罚没物资以及人员工资、增量、公积金、奖金、工伤保险、个人所得税等相关工作。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6.承担本单位的政府采购相关工作；协助政协常委会、主席会，对接专门委员会，完成办会、接待、理论研究、宣传工作、社情民意信息收集等工作。　　</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7.承担县政协领导交办的其他事项。</w:t>
      </w:r>
    </w:p>
    <w:p>
      <w:pPr>
        <w:pStyle w:val="4"/>
        <w:rPr>
          <w:rStyle w:val="29"/>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pPr>
        <w:ind w:firstLine="800" w:firstLineChars="250"/>
        <w:rPr>
          <w:rFonts w:eastAsia="仿宋_GB2312" w:cs="仿宋_GB2312"/>
          <w:sz w:val="32"/>
          <w:szCs w:val="32"/>
        </w:rPr>
      </w:pPr>
      <w:r>
        <w:rPr>
          <w:rFonts w:hint="eastAsia" w:ascii="仿宋_GB2312" w:hAnsi="仿宋_GB2312" w:eastAsia="仿宋_GB2312" w:cs="仿宋_GB2312"/>
          <w:sz w:val="32"/>
          <w:szCs w:val="32"/>
          <w:lang w:eastAsia="zh-CN"/>
        </w:rPr>
        <w:t>政协盐边县委员会办公室</w:t>
      </w:r>
      <w:r>
        <w:rPr>
          <w:rFonts w:hint="eastAsia" w:eastAsia="仿宋_GB2312" w:cs="仿宋_GB2312"/>
          <w:sz w:val="32"/>
          <w:szCs w:val="32"/>
        </w:rPr>
        <w:t>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pStyle w:val="6"/>
        <w:adjustRightInd w:val="0"/>
        <w:snapToGrid w:val="0"/>
        <w:spacing w:before="93" w:line="600" w:lineRule="exact"/>
        <w:ind w:firstLine="672" w:firstLineChars="210"/>
        <w:rPr>
          <w:rFonts w:hint="eastAsia" w:ascii="Times New Roman" w:eastAsia="方正仿宋_GBK" w:cs="仿宋_GB2312"/>
          <w:sz w:val="32"/>
          <w:szCs w:val="32"/>
          <w:lang w:eastAsia="zh-CN"/>
        </w:rPr>
      </w:pPr>
      <w:r>
        <w:rPr>
          <w:rFonts w:hint="eastAsia" w:ascii="Times New Roman" w:cs="仿宋_GB2312"/>
          <w:sz w:val="32"/>
          <w:szCs w:val="32"/>
        </w:rPr>
        <w:t>纳入</w:t>
      </w:r>
      <w:r>
        <w:rPr>
          <w:rFonts w:hint="eastAsia" w:ascii="仿宋_GB2312" w:hAnsi="仿宋_GB2312" w:eastAsia="仿宋_GB2312" w:cs="仿宋_GB2312"/>
          <w:sz w:val="32"/>
          <w:szCs w:val="32"/>
          <w:lang w:eastAsia="zh-CN"/>
        </w:rPr>
        <w:t>政协盐边县委员会办公室</w:t>
      </w:r>
      <w:r>
        <w:rPr>
          <w:rFonts w:hint="eastAsia" w:ascii="Times New Roman" w:cs="仿宋_GB2312"/>
          <w:sz w:val="32"/>
          <w:szCs w:val="32"/>
        </w:rPr>
        <w:t>2024年度</w:t>
      </w:r>
      <w:r>
        <w:rPr>
          <w:rFonts w:hint="eastAsia" w:ascii="Times New Roman" w:cs="仿宋_GB2312"/>
          <w:sz w:val="32"/>
          <w:szCs w:val="32"/>
          <w:lang w:eastAsia="zh-CN"/>
        </w:rPr>
        <w:t>单位</w:t>
      </w:r>
      <w:r>
        <w:rPr>
          <w:rFonts w:hint="eastAsia" w:ascii="Times New Roman" w:cs="仿宋_GB2312"/>
          <w:sz w:val="32"/>
          <w:szCs w:val="32"/>
        </w:rPr>
        <w:t>决算编制范围的二级</w:t>
      </w:r>
      <w:r>
        <w:rPr>
          <w:rFonts w:hint="eastAsia" w:ascii="Times New Roman" w:cs="仿宋_GB2312"/>
          <w:sz w:val="32"/>
          <w:szCs w:val="32"/>
          <w:lang w:eastAsia="zh-CN"/>
        </w:rPr>
        <w:t>未独立核算</w:t>
      </w:r>
      <w:r>
        <w:rPr>
          <w:rFonts w:hint="eastAsia" w:ascii="Times New Roman" w:cs="仿宋_GB2312"/>
          <w:sz w:val="32"/>
          <w:szCs w:val="32"/>
        </w:rPr>
        <w:t>预算单位包括</w:t>
      </w:r>
      <w:r>
        <w:rPr>
          <w:rFonts w:hint="eastAsia" w:ascii="Times New Roman" w:hAnsi="Times New Roman" w:eastAsia="方正仿宋_GBK"/>
          <w:bCs/>
          <w:sz w:val="33"/>
          <w:szCs w:val="33"/>
        </w:rPr>
        <w:t>盐边县政协委员联络服务中心</w:t>
      </w:r>
      <w:r>
        <w:rPr>
          <w:rFonts w:hint="eastAsia" w:ascii="Times New Roman" w:eastAsia="方正仿宋_GBK"/>
          <w:bCs/>
          <w:sz w:val="33"/>
          <w:szCs w:val="33"/>
          <w:lang w:eastAsia="zh-CN"/>
        </w:rPr>
        <w:t>。</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0"/>
      <w:bookmarkEnd w:id="11"/>
    </w:p>
    <w:p/>
    <w:p>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pStyle w:val="27"/>
        <w:spacing w:line="600" w:lineRule="exact"/>
        <w:ind w:firstLine="640"/>
        <w:outlineLvl w:val="1"/>
        <w:rPr>
          <w:rFonts w:eastAsia="仿宋_GB2312" w:cs="仿宋_GB2312"/>
          <w:sz w:val="32"/>
          <w:szCs w:val="32"/>
        </w:rPr>
      </w:pPr>
      <w:r>
        <w:drawing>
          <wp:anchor distT="0" distB="0" distL="114300" distR="114300" simplePos="0" relativeHeight="251658240" behindDoc="0" locked="0" layoutInCell="1" allowOverlap="1">
            <wp:simplePos x="0" y="0"/>
            <wp:positionH relativeFrom="column">
              <wp:posOffset>428625</wp:posOffset>
            </wp:positionH>
            <wp:positionV relativeFrom="paragraph">
              <wp:posOffset>1647825</wp:posOffset>
            </wp:positionV>
            <wp:extent cx="4600575" cy="279082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600575" cy="2790825"/>
                    </a:xfrm>
                    <a:prstGeom prst="rect">
                      <a:avLst/>
                    </a:prstGeom>
                    <a:noFill/>
                    <a:ln>
                      <a:noFill/>
                    </a:ln>
                  </pic:spPr>
                </pic:pic>
              </a:graphicData>
            </a:graphic>
          </wp:anchor>
        </w:drawing>
      </w: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769.17</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284.68</w:t>
      </w:r>
      <w:r>
        <w:rPr>
          <w:rFonts w:hint="eastAsia" w:eastAsia="仿宋_GB2312" w:cs="仿宋_GB2312"/>
          <w:sz w:val="32"/>
          <w:szCs w:val="32"/>
        </w:rPr>
        <w:t>万元，下降</w:t>
      </w:r>
      <w:r>
        <w:rPr>
          <w:rFonts w:hint="eastAsia" w:eastAsia="仿宋_GB2312" w:cs="仿宋_GB2312"/>
          <w:sz w:val="32"/>
          <w:szCs w:val="32"/>
          <w:lang w:val="en-US" w:eastAsia="zh-CN"/>
        </w:rPr>
        <w:t>27.01</w:t>
      </w:r>
      <w:r>
        <w:rPr>
          <w:rFonts w:hint="eastAsia" w:eastAsia="仿宋_GB2312" w:cs="仿宋_GB2312"/>
          <w:sz w:val="32"/>
          <w:szCs w:val="32"/>
        </w:rPr>
        <w:t>%。主要变动原因</w:t>
      </w:r>
      <w:r>
        <w:rPr>
          <w:rFonts w:hint="eastAsia" w:eastAsia="仿宋_GB2312" w:cs="仿宋_GB2312"/>
          <w:sz w:val="32"/>
          <w:szCs w:val="32"/>
          <w:lang w:eastAsia="zh-CN"/>
        </w:rPr>
        <w:t>是</w:t>
      </w:r>
      <w:r>
        <w:rPr>
          <w:rFonts w:hint="eastAsia" w:eastAsia="仿宋_GB2312" w:cs="仿宋_GB2312"/>
          <w:sz w:val="32"/>
          <w:szCs w:val="32"/>
          <w:lang w:val="en-US" w:eastAsia="zh-CN"/>
        </w:rPr>
        <w:t>2024年度项目支出中已没有</w:t>
      </w:r>
      <w:r>
        <w:rPr>
          <w:rFonts w:ascii="Times New Roman" w:hAnsi="Times New Roman" w:eastAsia="方正仿宋_GBK"/>
          <w:bCs/>
          <w:sz w:val="33"/>
          <w:szCs w:val="33"/>
        </w:rPr>
        <w:t>化解以前年度暂付款</w:t>
      </w:r>
      <w:r>
        <w:rPr>
          <w:rFonts w:hint="eastAsia" w:eastAsia="方正仿宋_GBK"/>
          <w:bCs/>
          <w:sz w:val="33"/>
          <w:szCs w:val="33"/>
          <w:lang w:eastAsia="zh-CN"/>
        </w:rPr>
        <w:t>。</w:t>
      </w:r>
    </w:p>
    <w:p>
      <w:pPr>
        <w:pStyle w:val="27"/>
        <w:spacing w:line="600" w:lineRule="exact"/>
        <w:ind w:firstLine="640"/>
        <w:outlineLvl w:val="1"/>
        <w:rPr>
          <w:rFonts w:hint="eastAsia" w:eastAsia="黑体"/>
          <w:sz w:val="32"/>
          <w:szCs w:val="32"/>
        </w:rPr>
      </w:pPr>
      <w:bookmarkStart w:id="14" w:name="_Toc15396604"/>
      <w:bookmarkStart w:id="15" w:name="_Toc15377206"/>
    </w:p>
    <w:p>
      <w:pPr>
        <w:pStyle w:val="27"/>
        <w:spacing w:line="600" w:lineRule="exact"/>
        <w:ind w:firstLine="640"/>
        <w:outlineLvl w:val="1"/>
        <w:rPr>
          <w:rFonts w:eastAsia="黑体"/>
          <w:sz w:val="32"/>
          <w:szCs w:val="32"/>
        </w:rPr>
      </w:pPr>
      <w:r>
        <w:rPr>
          <w:rFonts w:hint="eastAsia" w:eastAsia="黑体"/>
          <w:sz w:val="32"/>
          <w:szCs w:val="32"/>
        </w:rPr>
        <w:t>二、收入决算情况说明</w:t>
      </w:r>
      <w:bookmarkEnd w:id="14"/>
      <w:bookmarkEnd w:id="15"/>
    </w:p>
    <w:p>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7"/>
        <w:spacing w:line="600" w:lineRule="exact"/>
        <w:ind w:firstLine="640"/>
        <w:jc w:val="left"/>
        <w:outlineLvl w:val="1"/>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171450</wp:posOffset>
            </wp:positionV>
            <wp:extent cx="4572000" cy="279082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572000" cy="2790825"/>
                    </a:xfrm>
                    <a:prstGeom prst="rect">
                      <a:avLst/>
                    </a:prstGeom>
                    <a:noFill/>
                    <a:ln>
                      <a:noFill/>
                    </a:ln>
                  </pic:spPr>
                </pic:pic>
              </a:graphicData>
            </a:graphic>
          </wp:anchor>
        </w:drawing>
      </w:r>
    </w:p>
    <w:p>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hint="eastAsia" w:eastAsia="仿宋_GB2312" w:cs="仿宋_GB2312"/>
          <w:b/>
          <w:bCs/>
          <w:sz w:val="32"/>
          <w:szCs w:val="32"/>
        </w:rPr>
      </w:pPr>
      <w:r>
        <w:drawing>
          <wp:anchor distT="0" distB="0" distL="114300" distR="114300" simplePos="0" relativeHeight="251660288" behindDoc="0" locked="0" layoutInCell="1" allowOverlap="1">
            <wp:simplePos x="0" y="0"/>
            <wp:positionH relativeFrom="column">
              <wp:posOffset>409575</wp:posOffset>
            </wp:positionH>
            <wp:positionV relativeFrom="paragraph">
              <wp:posOffset>1704340</wp:posOffset>
            </wp:positionV>
            <wp:extent cx="4619625" cy="2781300"/>
            <wp:effectExtent l="0" t="0" r="952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619625" cy="2781300"/>
                    </a:xfrm>
                    <a:prstGeom prst="rect">
                      <a:avLst/>
                    </a:prstGeom>
                    <a:noFill/>
                    <a:ln>
                      <a:noFill/>
                    </a:ln>
                  </pic:spPr>
                </pic:pic>
              </a:graphicData>
            </a:graphic>
          </wp:anchor>
        </w:drawing>
      </w: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606.52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78.85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162.65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21.15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pStyle w:val="27"/>
        <w:spacing w:line="600" w:lineRule="exact"/>
        <w:ind w:firstLine="640"/>
        <w:outlineLvl w:val="1"/>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333375</wp:posOffset>
            </wp:positionH>
            <wp:positionV relativeFrom="paragraph">
              <wp:posOffset>1771650</wp:posOffset>
            </wp:positionV>
            <wp:extent cx="4610100" cy="2781300"/>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4610100" cy="2781300"/>
                    </a:xfrm>
                    <a:prstGeom prst="rect">
                      <a:avLst/>
                    </a:prstGeom>
                    <a:noFill/>
                    <a:ln>
                      <a:noFill/>
                    </a:ln>
                  </pic:spPr>
                </pic:pic>
              </a:graphicData>
            </a:graphic>
          </wp:anchor>
        </w:drawing>
      </w: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769.17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284.68</w:t>
      </w:r>
      <w:r>
        <w:rPr>
          <w:rFonts w:hint="eastAsia" w:eastAsia="仿宋_GB2312" w:cs="仿宋_GB2312"/>
          <w:sz w:val="32"/>
          <w:szCs w:val="32"/>
        </w:rPr>
        <w:t>万元，下降</w:t>
      </w:r>
      <w:r>
        <w:rPr>
          <w:rFonts w:hint="eastAsia" w:eastAsia="仿宋_GB2312" w:cs="仿宋_GB2312"/>
          <w:sz w:val="32"/>
          <w:szCs w:val="32"/>
          <w:lang w:val="en-US" w:eastAsia="zh-CN"/>
        </w:rPr>
        <w:t>27.01</w:t>
      </w:r>
      <w:r>
        <w:rPr>
          <w:rFonts w:hint="eastAsia" w:eastAsia="仿宋_GB2312" w:cs="仿宋_GB2312"/>
          <w:sz w:val="32"/>
          <w:szCs w:val="32"/>
        </w:rPr>
        <w:t>%。主要变动原因是</w:t>
      </w:r>
      <w:r>
        <w:rPr>
          <w:rFonts w:hint="eastAsia" w:eastAsia="仿宋_GB2312" w:cs="仿宋_GB2312"/>
          <w:sz w:val="32"/>
          <w:szCs w:val="32"/>
          <w:lang w:val="en-US" w:eastAsia="zh-CN"/>
        </w:rPr>
        <w:t>2024年度项目支出中已没有</w:t>
      </w:r>
      <w:r>
        <w:rPr>
          <w:rFonts w:ascii="Times New Roman" w:hAnsi="Times New Roman" w:eastAsia="方正仿宋_GBK"/>
          <w:bCs/>
          <w:sz w:val="33"/>
          <w:szCs w:val="33"/>
        </w:rPr>
        <w:t>化解以前年度暂付款</w:t>
      </w:r>
      <w:r>
        <w:rPr>
          <w:rFonts w:hint="eastAsia" w:eastAsia="方正仿宋_GBK"/>
          <w:bCs/>
          <w:sz w:val="33"/>
          <w:szCs w:val="33"/>
          <w:lang w:eastAsia="zh-CN"/>
        </w:rPr>
        <w:t>。</w:t>
      </w:r>
    </w:p>
    <w:p>
      <w:pPr>
        <w:spacing w:line="600" w:lineRule="exact"/>
        <w:outlineLvl w:val="1"/>
        <w:rPr>
          <w:rFonts w:hint="eastAsia" w:eastAsia="黑体"/>
          <w:sz w:val="32"/>
          <w:szCs w:val="32"/>
        </w:rPr>
      </w:pPr>
      <w:bookmarkStart w:id="20" w:name="_Toc15377209"/>
      <w:bookmarkStart w:id="21" w:name="_Toc15396607"/>
    </w:p>
    <w:p>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pStyle w:val="27"/>
        <w:spacing w:line="600" w:lineRule="exact"/>
        <w:ind w:firstLine="640"/>
        <w:outlineLvl w:val="1"/>
        <w:rPr>
          <w:rFonts w:hint="eastAsia" w:eastAsia="方正仿宋_GBK"/>
          <w:bCs/>
          <w:sz w:val="33"/>
          <w:szCs w:val="33"/>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284.68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27.01</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2024年度项目支出中已没有</w:t>
      </w:r>
      <w:r>
        <w:rPr>
          <w:rFonts w:ascii="Times New Roman" w:hAnsi="Times New Roman" w:eastAsia="方正仿宋_GBK"/>
          <w:bCs/>
          <w:sz w:val="33"/>
          <w:szCs w:val="33"/>
        </w:rPr>
        <w:t>化解以前年度暂付款</w:t>
      </w:r>
      <w:r>
        <w:rPr>
          <w:rFonts w:hint="eastAsia" w:eastAsia="方正仿宋_GBK"/>
          <w:bCs/>
          <w:sz w:val="33"/>
          <w:szCs w:val="33"/>
          <w:lang w:eastAsia="zh-CN"/>
        </w:rPr>
        <w:t>。</w:t>
      </w: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r>
        <w:drawing>
          <wp:anchor distT="0" distB="0" distL="114300" distR="114300" simplePos="0" relativeHeight="251677696" behindDoc="0" locked="0" layoutInCell="1" allowOverlap="1">
            <wp:simplePos x="0" y="0"/>
            <wp:positionH relativeFrom="column">
              <wp:posOffset>254000</wp:posOffset>
            </wp:positionH>
            <wp:positionV relativeFrom="paragraph">
              <wp:posOffset>85725</wp:posOffset>
            </wp:positionV>
            <wp:extent cx="4600575" cy="2800350"/>
            <wp:effectExtent l="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600575" cy="2800350"/>
                    </a:xfrm>
                    <a:prstGeom prst="rect">
                      <a:avLst/>
                    </a:prstGeom>
                    <a:noFill/>
                    <a:ln>
                      <a:noFill/>
                    </a:ln>
                  </pic:spPr>
                </pic:pic>
              </a:graphicData>
            </a:graphic>
          </wp:anchor>
        </w:drawing>
      </w: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3" w:firstLineChars="200"/>
        <w:outlineLvl w:val="2"/>
        <w:rPr>
          <w:rFonts w:hint="eastAsia" w:eastAsia="楷体_GB2312" w:cs="楷体_GB2312"/>
          <w:b/>
          <w:sz w:val="32"/>
          <w:szCs w:val="32"/>
        </w:rPr>
      </w:pPr>
      <w:bookmarkStart w:id="23" w:name="_Toc15377211"/>
    </w:p>
    <w:p>
      <w:pPr>
        <w:spacing w:line="600" w:lineRule="exact"/>
        <w:ind w:firstLine="643" w:firstLineChars="200"/>
        <w:outlineLvl w:val="2"/>
        <w:rPr>
          <w:rFonts w:hint="eastAsia" w:eastAsia="楷体_GB2312" w:cs="楷体_GB2312"/>
          <w:b/>
          <w:sz w:val="32"/>
          <w:szCs w:val="32"/>
        </w:rPr>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517.85</w:t>
      </w:r>
      <w:r>
        <w:rPr>
          <w:rFonts w:hint="eastAsia" w:eastAsia="仿宋_GB2312" w:cs="仿宋_GB2312"/>
          <w:sz w:val="32"/>
          <w:szCs w:val="32"/>
        </w:rPr>
        <w:t>万元，占</w:t>
      </w:r>
      <w:r>
        <w:rPr>
          <w:rFonts w:hint="eastAsia" w:eastAsia="仿宋_GB2312" w:cs="仿宋_GB2312"/>
          <w:sz w:val="32"/>
          <w:szCs w:val="32"/>
          <w:lang w:val="en-US" w:eastAsia="zh-CN"/>
        </w:rPr>
        <w:t>67.33</w:t>
      </w:r>
      <w:r>
        <w:rPr>
          <w:rFonts w:hint="eastAsia" w:eastAsia="仿宋_GB2312" w:cs="仿宋_GB2312"/>
          <w:sz w:val="32"/>
          <w:szCs w:val="32"/>
        </w:rPr>
        <w:t>%；社会保障和就业支出</w:t>
      </w:r>
      <w:r>
        <w:rPr>
          <w:rFonts w:hint="eastAsia" w:eastAsia="仿宋_GB2312" w:cs="仿宋_GB2312"/>
          <w:sz w:val="32"/>
          <w:szCs w:val="32"/>
          <w:lang w:val="en-US" w:eastAsia="zh-CN"/>
        </w:rPr>
        <w:t>177.92</w:t>
      </w:r>
      <w:r>
        <w:rPr>
          <w:rFonts w:hint="eastAsia" w:eastAsia="仿宋_GB2312" w:cs="仿宋_GB2312"/>
          <w:sz w:val="32"/>
          <w:szCs w:val="32"/>
        </w:rPr>
        <w:t>万元，占</w:t>
      </w:r>
      <w:r>
        <w:rPr>
          <w:rFonts w:hint="eastAsia" w:eastAsia="仿宋_GB2312" w:cs="仿宋_GB2312"/>
          <w:sz w:val="32"/>
          <w:szCs w:val="32"/>
          <w:lang w:val="en-US" w:eastAsia="zh-CN"/>
        </w:rPr>
        <w:t>23.13</w:t>
      </w:r>
      <w:r>
        <w:rPr>
          <w:rFonts w:hint="eastAsia" w:eastAsia="仿宋_GB2312" w:cs="仿宋_GB2312"/>
          <w:sz w:val="32"/>
          <w:szCs w:val="32"/>
        </w:rPr>
        <w:t>%；卫生健康支出</w:t>
      </w:r>
      <w:r>
        <w:rPr>
          <w:rFonts w:hint="eastAsia" w:eastAsia="仿宋_GB2312" w:cs="仿宋_GB2312"/>
          <w:sz w:val="32"/>
          <w:szCs w:val="32"/>
          <w:lang w:val="en-US" w:eastAsia="zh-CN"/>
        </w:rPr>
        <w:t>38.47</w:t>
      </w:r>
      <w:r>
        <w:rPr>
          <w:rFonts w:hint="eastAsia" w:eastAsia="仿宋_GB2312" w:cs="仿宋_GB2312"/>
          <w:sz w:val="32"/>
          <w:szCs w:val="32"/>
        </w:rPr>
        <w:t>万元，占</w:t>
      </w:r>
      <w:r>
        <w:rPr>
          <w:rFonts w:hint="eastAsia" w:eastAsia="仿宋_GB2312" w:cs="仿宋_GB2312"/>
          <w:sz w:val="32"/>
          <w:szCs w:val="32"/>
          <w:lang w:val="en-US" w:eastAsia="zh-CN"/>
        </w:rPr>
        <w:t>5</w:t>
      </w:r>
      <w:r>
        <w:rPr>
          <w:rFonts w:hint="eastAsia" w:eastAsia="仿宋_GB2312" w:cs="仿宋_GB2312"/>
          <w:sz w:val="32"/>
          <w:szCs w:val="32"/>
        </w:rPr>
        <w:t>%；住房保障支出</w:t>
      </w:r>
      <w:r>
        <w:rPr>
          <w:rFonts w:hint="eastAsia" w:eastAsia="仿宋_GB2312" w:cs="仿宋_GB2312"/>
          <w:sz w:val="32"/>
          <w:szCs w:val="32"/>
          <w:lang w:val="en-US" w:eastAsia="zh-CN"/>
        </w:rPr>
        <w:t>34.93</w:t>
      </w:r>
      <w:r>
        <w:rPr>
          <w:rFonts w:hint="eastAsia" w:eastAsia="仿宋_GB2312" w:cs="仿宋_GB2312"/>
          <w:sz w:val="32"/>
          <w:szCs w:val="32"/>
        </w:rPr>
        <w:t>万元，占</w:t>
      </w:r>
      <w:r>
        <w:rPr>
          <w:rFonts w:hint="eastAsia" w:eastAsia="仿宋_GB2312" w:cs="仿宋_GB2312"/>
          <w:sz w:val="32"/>
          <w:szCs w:val="32"/>
          <w:lang w:val="en-US" w:eastAsia="zh-CN"/>
        </w:rPr>
        <w:t>4.54</w:t>
      </w:r>
      <w:r>
        <w:rPr>
          <w:rFonts w:hint="eastAsia" w:eastAsia="仿宋_GB2312" w:cs="仿宋_GB2312"/>
          <w:sz w:val="32"/>
          <w:szCs w:val="32"/>
        </w:rPr>
        <w:t>%</w:t>
      </w:r>
      <w:r>
        <w:rPr>
          <w:rFonts w:hint="eastAsia" w:eastAsia="仿宋_GB2312" w:cs="仿宋_GB2312"/>
          <w:sz w:val="32"/>
          <w:szCs w:val="32"/>
          <w:lang w:eastAsia="zh-CN"/>
        </w:rPr>
        <w:t>。</w:t>
      </w:r>
    </w:p>
    <w:p>
      <w:pPr>
        <w:pStyle w:val="2"/>
      </w:pPr>
      <w:r>
        <w:drawing>
          <wp:inline distT="0" distB="0" distL="114300" distR="114300">
            <wp:extent cx="5095875" cy="2809875"/>
            <wp:effectExtent l="0" t="0" r="9525"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6"/>
                    <a:stretch>
                      <a:fillRect/>
                    </a:stretch>
                  </pic:blipFill>
                  <pic:spPr>
                    <a:xfrm>
                      <a:off x="0" y="0"/>
                      <a:ext cx="5095875" cy="2809875"/>
                    </a:xfrm>
                    <a:prstGeom prst="rect">
                      <a:avLst/>
                    </a:prstGeom>
                    <a:noFill/>
                    <a:ln>
                      <a:noFill/>
                    </a:ln>
                  </pic:spPr>
                </pic:pic>
              </a:graphicData>
            </a:graphic>
          </wp:inline>
        </w:drawing>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213"/>
      <w:bookmarkStart w:id="26" w:name="_Toc15378460"/>
      <w:bookmarkStart w:id="2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769.17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332.45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政协会议</w:t>
      </w:r>
      <w:r>
        <w:rPr>
          <w:rFonts w:hint="eastAsia" w:eastAsia="仿宋_GB2312" w:cs="仿宋_GB2312"/>
          <w:sz w:val="32"/>
          <w:szCs w:val="32"/>
        </w:rPr>
        <w:t>（项）: 支出决算为</w:t>
      </w:r>
      <w:r>
        <w:rPr>
          <w:rFonts w:hint="eastAsia" w:eastAsia="仿宋_GB2312" w:cs="仿宋_GB2312"/>
          <w:sz w:val="32"/>
          <w:szCs w:val="32"/>
          <w:lang w:val="en-US" w:eastAsia="zh-CN"/>
        </w:rPr>
        <w:t>31.35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3.一般公共服务（类）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委员视察</w:t>
      </w:r>
      <w:r>
        <w:rPr>
          <w:rFonts w:hint="eastAsia" w:eastAsia="仿宋_GB2312" w:cs="仿宋_GB2312"/>
          <w:sz w:val="32"/>
          <w:szCs w:val="32"/>
        </w:rPr>
        <w:t>（项）：支出决算为</w:t>
      </w:r>
      <w:r>
        <w:rPr>
          <w:rFonts w:hint="eastAsia" w:eastAsia="仿宋_GB2312" w:cs="仿宋_GB2312"/>
          <w:sz w:val="32"/>
          <w:szCs w:val="32"/>
          <w:lang w:val="en-US" w:eastAsia="zh-CN"/>
        </w:rPr>
        <w:t>7.22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4.一般公共服务（类）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）参政议政</w:t>
      </w:r>
      <w:r>
        <w:rPr>
          <w:rFonts w:hint="eastAsia" w:eastAsia="仿宋_GB2312" w:cs="仿宋_GB2312"/>
          <w:sz w:val="32"/>
          <w:szCs w:val="32"/>
        </w:rPr>
        <w:t>（项）：支出决算为</w:t>
      </w:r>
      <w:r>
        <w:rPr>
          <w:rFonts w:hint="eastAsia" w:eastAsia="仿宋_GB2312" w:cs="仿宋_GB2312"/>
          <w:sz w:val="32"/>
          <w:szCs w:val="32"/>
          <w:lang w:val="en-US" w:eastAsia="zh-CN"/>
        </w:rPr>
        <w:t>16.61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5</w:t>
      </w:r>
      <w:r>
        <w:rPr>
          <w:rFonts w:hint="eastAsia" w:eastAsia="仿宋_GB2312" w:cs="仿宋_GB2312"/>
          <w:sz w:val="32"/>
          <w:szCs w:val="32"/>
        </w:rPr>
        <w:t>.一般公共服务（类）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）事业运行</w:t>
      </w:r>
      <w:r>
        <w:rPr>
          <w:rFonts w:hint="eastAsia" w:eastAsia="仿宋_GB2312" w:cs="仿宋_GB2312"/>
          <w:sz w:val="32"/>
          <w:szCs w:val="32"/>
        </w:rPr>
        <w:t>（项）：支出决算为</w:t>
      </w:r>
      <w:r>
        <w:rPr>
          <w:rFonts w:hint="eastAsia" w:eastAsia="仿宋_GB2312" w:cs="仿宋_GB2312"/>
          <w:sz w:val="32"/>
          <w:szCs w:val="32"/>
          <w:lang w:val="en-US" w:eastAsia="zh-CN"/>
        </w:rPr>
        <w:t>22.75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default"/>
          <w:lang w:val="en-US" w:eastAsia="zh-CN"/>
        </w:rPr>
      </w:pPr>
      <w:r>
        <w:rPr>
          <w:rFonts w:hint="eastAsia" w:eastAsia="仿宋_GB2312" w:cs="仿宋_GB2312"/>
          <w:sz w:val="32"/>
          <w:szCs w:val="32"/>
          <w:lang w:val="en-US" w:eastAsia="zh-CN"/>
        </w:rPr>
        <w:t>6</w:t>
      </w:r>
      <w:r>
        <w:rPr>
          <w:rFonts w:hint="eastAsia" w:eastAsia="仿宋_GB2312" w:cs="仿宋_GB2312"/>
          <w:sz w:val="32"/>
          <w:szCs w:val="32"/>
        </w:rPr>
        <w:t>.一般公共服务（类）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）其他政协事务支出</w:t>
      </w:r>
      <w:r>
        <w:rPr>
          <w:rFonts w:hint="eastAsia" w:eastAsia="仿宋_GB2312" w:cs="仿宋_GB2312"/>
          <w:sz w:val="32"/>
          <w:szCs w:val="32"/>
        </w:rPr>
        <w:t>（项）：支出决算为</w:t>
      </w:r>
      <w:r>
        <w:rPr>
          <w:rFonts w:hint="eastAsia" w:eastAsia="仿宋_GB2312" w:cs="仿宋_GB2312"/>
          <w:sz w:val="32"/>
          <w:szCs w:val="32"/>
          <w:lang w:val="en-US" w:eastAsia="zh-CN"/>
        </w:rPr>
        <w:t>107.47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7</w:t>
      </w: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行政单位离退休</w:t>
      </w:r>
      <w:r>
        <w:rPr>
          <w:rFonts w:hint="eastAsia" w:eastAsia="仿宋_GB2312" w:cs="仿宋_GB2312"/>
          <w:sz w:val="32"/>
          <w:szCs w:val="32"/>
        </w:rPr>
        <w:t>（项）：支出决算为</w:t>
      </w:r>
      <w:r>
        <w:rPr>
          <w:rFonts w:hint="eastAsia" w:eastAsia="仿宋_GB2312" w:cs="仿宋_GB2312"/>
          <w:sz w:val="32"/>
          <w:szCs w:val="32"/>
          <w:lang w:val="en-US" w:eastAsia="zh-CN"/>
        </w:rPr>
        <w:t>69.81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8</w:t>
      </w: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41.54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9</w:t>
      </w: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（项）：支出决算为</w:t>
      </w:r>
      <w:r>
        <w:rPr>
          <w:rFonts w:hint="eastAsia" w:eastAsia="仿宋_GB2312" w:cs="仿宋_GB2312"/>
          <w:sz w:val="32"/>
          <w:szCs w:val="32"/>
          <w:lang w:val="en-US" w:eastAsia="zh-CN"/>
        </w:rPr>
        <w:t>39.53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10</w:t>
      </w:r>
      <w:r>
        <w:rPr>
          <w:rFonts w:hint="eastAsia" w:eastAsia="仿宋_GB2312" w:cs="仿宋_GB2312"/>
          <w:sz w:val="32"/>
          <w:szCs w:val="32"/>
        </w:rPr>
        <w:t>.社会保障和就业（类）</w:t>
      </w:r>
      <w:r>
        <w:rPr>
          <w:rFonts w:hint="eastAsia" w:eastAsia="仿宋_GB2312" w:cs="仿宋_GB2312"/>
          <w:sz w:val="32"/>
          <w:szCs w:val="32"/>
          <w:lang w:eastAsia="zh-CN"/>
        </w:rPr>
        <w:t>抚恤</w:t>
      </w:r>
      <w:r>
        <w:rPr>
          <w:rFonts w:hint="eastAsia" w:eastAsia="仿宋_GB2312" w:cs="仿宋_GB2312"/>
          <w:sz w:val="32"/>
          <w:szCs w:val="32"/>
        </w:rPr>
        <w:t>（款）</w:t>
      </w:r>
      <w:r>
        <w:rPr>
          <w:rFonts w:hint="eastAsia" w:eastAsia="仿宋_GB2312" w:cs="仿宋_GB2312"/>
          <w:sz w:val="32"/>
          <w:szCs w:val="32"/>
          <w:lang w:eastAsia="zh-CN"/>
        </w:rPr>
        <w:t>死亡抚恤</w:t>
      </w:r>
      <w:r>
        <w:rPr>
          <w:rFonts w:hint="eastAsia" w:eastAsia="仿宋_GB2312" w:cs="仿宋_GB2312"/>
          <w:sz w:val="32"/>
          <w:szCs w:val="32"/>
        </w:rPr>
        <w:t>（项）：支出决算为</w:t>
      </w:r>
      <w:r>
        <w:rPr>
          <w:rFonts w:hint="eastAsia" w:eastAsia="仿宋_GB2312" w:cs="仿宋_GB2312"/>
          <w:sz w:val="32"/>
          <w:szCs w:val="32"/>
          <w:lang w:val="en-US" w:eastAsia="zh-CN"/>
        </w:rPr>
        <w:t>25.52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default"/>
          <w:lang w:val="en-US" w:eastAsia="zh-CN"/>
        </w:rPr>
      </w:pPr>
      <w:r>
        <w:rPr>
          <w:rFonts w:hint="eastAsia" w:eastAsia="仿宋_GB2312" w:cs="仿宋_GB2312"/>
          <w:sz w:val="32"/>
          <w:szCs w:val="32"/>
          <w:lang w:val="en-US" w:eastAsia="zh-CN"/>
        </w:rPr>
        <w:t>11</w:t>
      </w:r>
      <w:r>
        <w:rPr>
          <w:rFonts w:hint="eastAsia" w:eastAsia="仿宋_GB2312" w:cs="仿宋_GB2312"/>
          <w:sz w:val="32"/>
          <w:szCs w:val="32"/>
        </w:rPr>
        <w:t>.社会保障和就业（类）</w:t>
      </w:r>
      <w:r>
        <w:rPr>
          <w:rFonts w:hint="eastAsia" w:eastAsia="仿宋_GB2312" w:cs="仿宋_GB2312"/>
          <w:sz w:val="32"/>
          <w:szCs w:val="32"/>
          <w:lang w:eastAsia="zh-CN"/>
        </w:rPr>
        <w:t>抚恤</w:t>
      </w:r>
      <w:r>
        <w:rPr>
          <w:rFonts w:hint="eastAsia" w:eastAsia="仿宋_GB2312" w:cs="仿宋_GB2312"/>
          <w:sz w:val="32"/>
          <w:szCs w:val="32"/>
        </w:rPr>
        <w:t>（款）</w:t>
      </w:r>
      <w:r>
        <w:rPr>
          <w:rFonts w:hint="eastAsia" w:eastAsia="仿宋_GB2312" w:cs="仿宋_GB2312"/>
          <w:sz w:val="32"/>
          <w:szCs w:val="32"/>
          <w:lang w:eastAsia="zh-CN"/>
        </w:rPr>
        <w:t>伤残抚恤</w:t>
      </w:r>
      <w:r>
        <w:rPr>
          <w:rFonts w:hint="eastAsia" w:eastAsia="仿宋_GB2312" w:cs="仿宋_GB2312"/>
          <w:sz w:val="32"/>
          <w:szCs w:val="32"/>
        </w:rPr>
        <w:t>（项）：支出决算为</w:t>
      </w:r>
      <w:r>
        <w:rPr>
          <w:rFonts w:hint="eastAsia" w:eastAsia="仿宋_GB2312" w:cs="仿宋_GB2312"/>
          <w:sz w:val="32"/>
          <w:szCs w:val="32"/>
          <w:lang w:val="en-US" w:eastAsia="zh-CN"/>
        </w:rPr>
        <w:t>1.52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12</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22.04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13</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事业单位医疗</w:t>
      </w:r>
      <w:r>
        <w:rPr>
          <w:rFonts w:hint="eastAsia" w:eastAsia="仿宋_GB2312" w:cs="仿宋_GB2312"/>
          <w:sz w:val="32"/>
          <w:szCs w:val="32"/>
        </w:rPr>
        <w:t>（项）：支出决算为</w:t>
      </w:r>
      <w:r>
        <w:rPr>
          <w:rFonts w:hint="eastAsia" w:eastAsia="仿宋_GB2312" w:cs="仿宋_GB2312"/>
          <w:sz w:val="32"/>
          <w:szCs w:val="32"/>
          <w:lang w:val="en-US" w:eastAsia="zh-CN"/>
        </w:rPr>
        <w:t>1.62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14</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公务员医疗补助</w:t>
      </w:r>
      <w:r>
        <w:rPr>
          <w:rFonts w:hint="eastAsia" w:eastAsia="仿宋_GB2312" w:cs="仿宋_GB2312"/>
          <w:sz w:val="32"/>
          <w:szCs w:val="32"/>
        </w:rPr>
        <w:t>（项）：支出决算为</w:t>
      </w:r>
      <w:r>
        <w:rPr>
          <w:rFonts w:hint="eastAsia" w:eastAsia="仿宋_GB2312" w:cs="仿宋_GB2312"/>
          <w:sz w:val="32"/>
          <w:szCs w:val="32"/>
          <w:lang w:val="en-US" w:eastAsia="zh-CN"/>
        </w:rPr>
        <w:t>1.94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15</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其他行政事业单位医疗支出</w:t>
      </w:r>
      <w:r>
        <w:rPr>
          <w:rFonts w:hint="eastAsia" w:eastAsia="仿宋_GB2312" w:cs="仿宋_GB2312"/>
          <w:sz w:val="32"/>
          <w:szCs w:val="32"/>
        </w:rPr>
        <w:t>（项）：支出决算为</w:t>
      </w:r>
      <w:r>
        <w:rPr>
          <w:rFonts w:hint="eastAsia" w:eastAsia="仿宋_GB2312" w:cs="仿宋_GB2312"/>
          <w:sz w:val="32"/>
          <w:szCs w:val="32"/>
          <w:lang w:val="en-US" w:eastAsia="zh-CN"/>
        </w:rPr>
        <w:t>12.87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16</w:t>
      </w:r>
      <w:r>
        <w:rPr>
          <w:rFonts w:hint="eastAsia" w:eastAsia="仿宋_GB2312" w:cs="仿宋_GB2312"/>
          <w:sz w:val="32"/>
          <w:szCs w:val="32"/>
        </w:rPr>
        <w:t>.</w:t>
      </w:r>
      <w:r>
        <w:rPr>
          <w:rFonts w:hint="eastAsia" w:eastAsia="仿宋_GB2312" w:cs="仿宋_GB2312"/>
          <w:sz w:val="32"/>
          <w:szCs w:val="32"/>
          <w:lang w:eastAsia="zh-CN"/>
        </w:rPr>
        <w:t>住房保障</w:t>
      </w:r>
      <w:r>
        <w:rPr>
          <w:rFonts w:hint="eastAsia" w:eastAsia="仿宋_GB2312" w:cs="仿宋_GB2312"/>
          <w:sz w:val="32"/>
          <w:szCs w:val="32"/>
        </w:rPr>
        <w:t>（类）</w:t>
      </w:r>
      <w:r>
        <w:rPr>
          <w:rFonts w:hint="eastAsia" w:eastAsia="仿宋_GB2312" w:cs="仿宋_GB2312"/>
          <w:sz w:val="32"/>
          <w:szCs w:val="32"/>
          <w:lang w:eastAsia="zh-CN"/>
        </w:rPr>
        <w:t>住房改革支出</w:t>
      </w:r>
      <w:r>
        <w:rPr>
          <w:rFonts w:hint="eastAsia" w:eastAsia="仿宋_GB2312" w:cs="仿宋_GB2312"/>
          <w:sz w:val="32"/>
          <w:szCs w:val="32"/>
        </w:rPr>
        <w:t>（款）</w:t>
      </w:r>
      <w:r>
        <w:rPr>
          <w:rFonts w:hint="eastAsia" w:eastAsia="仿宋_GB2312" w:cs="仿宋_GB2312"/>
          <w:sz w:val="32"/>
          <w:szCs w:val="32"/>
          <w:lang w:eastAsia="zh-CN"/>
        </w:rPr>
        <w:t>住房公积金</w:t>
      </w:r>
      <w:r>
        <w:rPr>
          <w:rFonts w:hint="eastAsia" w:eastAsia="仿宋_GB2312" w:cs="仿宋_GB2312"/>
          <w:sz w:val="32"/>
          <w:szCs w:val="32"/>
        </w:rPr>
        <w:t>（项）：支出决算为</w:t>
      </w:r>
      <w:r>
        <w:rPr>
          <w:rFonts w:hint="eastAsia" w:eastAsia="仿宋_GB2312" w:cs="仿宋_GB2312"/>
          <w:sz w:val="32"/>
          <w:szCs w:val="32"/>
          <w:lang w:val="en-US" w:eastAsia="zh-CN"/>
        </w:rPr>
        <w:t>34.93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606.52</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562.77</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w:t>
      </w:r>
      <w:r>
        <w:rPr>
          <w:rFonts w:hint="eastAsia" w:eastAsia="仿宋_GB2312" w:cs="仿宋_GB2312"/>
          <w:sz w:val="32"/>
          <w:szCs w:val="32"/>
          <w:lang w:eastAsia="zh-CN"/>
        </w:rPr>
        <w:t>职工基本医疗保险缴费、公务员医疗补助缴费、</w:t>
      </w:r>
      <w:r>
        <w:rPr>
          <w:rFonts w:hint="eastAsia" w:eastAsia="仿宋_GB2312" w:cs="仿宋_GB2312"/>
          <w:sz w:val="32"/>
          <w:szCs w:val="32"/>
        </w:rPr>
        <w:t>其他社会保障缴费、住房公积金、</w:t>
      </w:r>
      <w:r>
        <w:rPr>
          <w:rFonts w:hint="eastAsia" w:eastAsia="仿宋_GB2312" w:cs="仿宋_GB2312"/>
          <w:sz w:val="32"/>
          <w:szCs w:val="32"/>
          <w:lang w:eastAsia="zh-CN"/>
        </w:rPr>
        <w:t>医疗</w:t>
      </w:r>
      <w:r>
        <w:rPr>
          <w:rFonts w:hint="eastAsia" w:eastAsia="仿宋_GB2312" w:cs="仿宋_GB2312"/>
          <w:sz w:val="32"/>
          <w:szCs w:val="32"/>
        </w:rPr>
        <w:t>费、</w:t>
      </w:r>
      <w:r>
        <w:rPr>
          <w:rFonts w:hint="eastAsia" w:eastAsia="仿宋_GB2312" w:cs="仿宋_GB2312"/>
          <w:sz w:val="32"/>
          <w:szCs w:val="32"/>
          <w:lang w:eastAsia="zh-CN"/>
        </w:rPr>
        <w:t>其他工资福利支出</w:t>
      </w:r>
      <w:r>
        <w:rPr>
          <w:rFonts w:hint="eastAsia" w:eastAsia="仿宋_GB2312" w:cs="仿宋_GB2312"/>
          <w:sz w:val="32"/>
          <w:szCs w:val="32"/>
        </w:rPr>
        <w:t>、抚恤金、生活补助、医疗费补助、奖励金</w:t>
      </w:r>
      <w:r>
        <w:rPr>
          <w:rFonts w:hint="eastAsia" w:eastAsia="仿宋_GB2312" w:cs="仿宋_GB2312"/>
          <w:sz w:val="32"/>
          <w:szCs w:val="32"/>
          <w:lang w:eastAsia="zh-CN"/>
        </w:rPr>
        <w:t>等</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43.75</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元，主要包括：办公费、邮电费、差旅费、维修（护）费、会议费、培训费、公务接待费、劳务费、工会经费、福利费、其他交通费、其他商品和服务支出等。</w:t>
      </w:r>
    </w:p>
    <w:p>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0.14</w:t>
      </w:r>
      <w:r>
        <w:rPr>
          <w:rFonts w:hint="eastAsia" w:eastAsia="仿宋_GB2312" w:cs="仿宋_GB2312"/>
          <w:sz w:val="32"/>
          <w:szCs w:val="32"/>
        </w:rPr>
        <w:t>万元，下降</w:t>
      </w:r>
      <w:r>
        <w:rPr>
          <w:rFonts w:hint="eastAsia" w:eastAsia="仿宋_GB2312" w:cs="仿宋_GB2312"/>
          <w:sz w:val="32"/>
          <w:szCs w:val="32"/>
          <w:lang w:val="en-US" w:eastAsia="zh-CN"/>
        </w:rPr>
        <w:t>66.79</w:t>
      </w:r>
      <w:r>
        <w:rPr>
          <w:rFonts w:hint="eastAsia" w:eastAsia="仿宋_GB2312" w:cs="仿宋_GB2312"/>
          <w:sz w:val="32"/>
          <w:szCs w:val="32"/>
        </w:rPr>
        <w:t>%。决算数与预算数持平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rPr>
          <w:rFonts w:hint="eastAsia" w:eastAsia="仿宋_GB2312" w:cs="仿宋_GB2312"/>
          <w:b/>
          <w:bCs/>
          <w:sz w:val="32"/>
          <w:szCs w:val="32"/>
        </w:rPr>
      </w:pPr>
    </w:p>
    <w:p>
      <w:pPr>
        <w:pStyle w:val="2"/>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ascii="Times New Roman" w:hAnsi="Times New Roman" w:eastAsia="仿宋_GB2312" w:cs="仿宋_GB2312"/>
          <w:b w:val="0"/>
          <w:kern w:val="2"/>
          <w:sz w:val="32"/>
          <w:szCs w:val="32"/>
          <w:lang w:val="en-US" w:eastAsia="zh-CN" w:bidi="ar-SA"/>
        </w:rPr>
      </w:pPr>
      <w:r>
        <w:drawing>
          <wp:anchor distT="0" distB="0" distL="114300" distR="114300" simplePos="0" relativeHeight="251678720" behindDoc="0" locked="0" layoutInCell="1" allowOverlap="1">
            <wp:simplePos x="0" y="0"/>
            <wp:positionH relativeFrom="column">
              <wp:posOffset>495300</wp:posOffset>
            </wp:positionH>
            <wp:positionV relativeFrom="paragraph">
              <wp:posOffset>219075</wp:posOffset>
            </wp:positionV>
            <wp:extent cx="4600575" cy="2781300"/>
            <wp:effectExtent l="0" t="0" r="9525" b="0"/>
            <wp:wrapTopAndBottom/>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4600575" cy="2781300"/>
                    </a:xfrm>
                    <a:prstGeom prst="rect">
                      <a:avLst/>
                    </a:prstGeom>
                    <a:noFill/>
                    <a:ln>
                      <a:noFill/>
                    </a:ln>
                  </pic:spPr>
                </pic:pic>
              </a:graphicData>
            </a:graphic>
          </wp:anchor>
        </w:drawing>
      </w:r>
      <w:r>
        <w:rPr>
          <w:rFonts w:hint="eastAsia"/>
          <w:lang w:val="en-US" w:eastAsia="zh-CN"/>
        </w:rPr>
        <w:t xml:space="preserve">    </w:t>
      </w: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ascii="Times New Roman" w:hAnsi="Times New Roman" w:eastAsia="仿宋_GB2312" w:cs="仿宋_GB2312"/>
          <w:b w:val="0"/>
          <w:kern w:val="2"/>
          <w:sz w:val="32"/>
          <w:szCs w:val="32"/>
          <w:lang w:val="en-US" w:eastAsia="zh-CN" w:bidi="ar-SA"/>
        </w:rPr>
        <w:t>全年安排因公出国（境）团组0次，出国（境）0人。因公出国（境）支出决算与2023年持平。主要原因是我单位无因公出国（境）。</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r>
        <w:rPr>
          <w:rFonts w:hint="eastAsia" w:eastAsia="仿宋_GB2312" w:cs="仿宋_GB2312"/>
          <w:sz w:val="32"/>
          <w:szCs w:val="32"/>
        </w:rPr>
        <w:t>。主要原因是</w:t>
      </w:r>
      <w:r>
        <w:rPr>
          <w:rFonts w:hint="eastAsia" w:eastAsia="仿宋_GB2312" w:cs="仿宋_GB2312"/>
          <w:sz w:val="32"/>
          <w:szCs w:val="32"/>
          <w:lang w:eastAsia="zh-CN"/>
        </w:rPr>
        <w:t>我单位无公务用车。</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0.07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0.14</w:t>
      </w:r>
      <w:r>
        <w:rPr>
          <w:rFonts w:hint="eastAsia" w:eastAsia="仿宋_GB2312" w:cs="仿宋_GB2312"/>
          <w:sz w:val="32"/>
          <w:szCs w:val="32"/>
        </w:rPr>
        <w:t>万元，下降</w:t>
      </w:r>
      <w:r>
        <w:rPr>
          <w:rFonts w:hint="eastAsia" w:eastAsia="仿宋_GB2312" w:cs="仿宋_GB2312"/>
          <w:sz w:val="32"/>
          <w:szCs w:val="32"/>
          <w:lang w:val="en-US" w:eastAsia="zh-CN"/>
        </w:rPr>
        <w:t>66.79</w:t>
      </w:r>
      <w:r>
        <w:rPr>
          <w:rFonts w:hint="eastAsia" w:eastAsia="仿宋_GB2312" w:cs="仿宋_GB2312"/>
          <w:sz w:val="32"/>
          <w:szCs w:val="32"/>
        </w:rPr>
        <w:t>%。主要原因是</w:t>
      </w:r>
      <w:r>
        <w:rPr>
          <w:rFonts w:hint="eastAsia" w:eastAsia="仿宋_GB2312" w:cs="仿宋_GB2312"/>
          <w:sz w:val="32"/>
          <w:szCs w:val="32"/>
          <w:lang w:eastAsia="zh-CN"/>
        </w:rPr>
        <w:t>厉行节约，接待减少</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w:t>
      </w:r>
      <w:r>
        <w:rPr>
          <w:rFonts w:hint="eastAsia" w:eastAsia="仿宋_GB2312" w:cs="仿宋_GB2312"/>
          <w:sz w:val="32"/>
          <w:szCs w:val="32"/>
        </w:rPr>
        <w:t>元，主要用于开展业务活动开支的用餐费等。国内公务接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6</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0.07</w:t>
      </w:r>
      <w:r>
        <w:rPr>
          <w:rFonts w:hint="eastAsia" w:eastAsia="仿宋_GB2312" w:cs="仿宋_GB2312"/>
          <w:sz w:val="32"/>
          <w:szCs w:val="32"/>
        </w:rPr>
        <w:t>万元，具体内容包括：</w:t>
      </w:r>
      <w:r>
        <w:rPr>
          <w:rFonts w:hint="eastAsia" w:eastAsia="仿宋_GB2312" w:cs="仿宋_GB2312"/>
          <w:sz w:val="32"/>
          <w:szCs w:val="32"/>
          <w:lang w:eastAsia="zh-CN"/>
        </w:rPr>
        <w:t>接待攀枝花市政协调研省政协老干部疗养前期工作</w:t>
      </w:r>
      <w:r>
        <w:rPr>
          <w:rFonts w:hint="eastAsia" w:eastAsia="仿宋_GB2312" w:cs="仿宋_GB2312"/>
          <w:sz w:val="32"/>
          <w:szCs w:val="32"/>
        </w:rPr>
        <w:t>。</w:t>
      </w:r>
    </w:p>
    <w:p>
      <w:pPr>
        <w:spacing w:line="600" w:lineRule="exact"/>
        <w:ind w:firstLine="640"/>
        <w:rPr>
          <w:rFonts w:hint="eastAsia"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pPr>
        <w:spacing w:line="600" w:lineRule="exact"/>
        <w:ind w:firstLine="640"/>
        <w:outlineLvl w:val="1"/>
        <w:rPr>
          <w:rStyle w:val="29"/>
          <w:rFonts w:ascii="Times New Roman" w:hAnsi="Times New Roman" w:eastAsia="黑体"/>
        </w:rPr>
      </w:pPr>
      <w:bookmarkStart w:id="34" w:name="_Toc15396610"/>
      <w:bookmarkStart w:id="35" w:name="_Toc15377218"/>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。与2023年度相比，政府性基金预算财政拨款支出持平</w:t>
      </w:r>
      <w:r>
        <w:rPr>
          <w:rFonts w:hint="eastAsia" w:eastAsia="仿宋_GB2312" w:cs="仿宋_GB2312"/>
          <w:sz w:val="32"/>
          <w:szCs w:val="32"/>
          <w:lang w:eastAsia="zh-CN"/>
        </w:rPr>
        <w:t>。</w:t>
      </w:r>
    </w:p>
    <w:p>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eastAsia="zh-CN"/>
        </w:rPr>
        <w:t>持平。</w:t>
      </w:r>
    </w:p>
    <w:p>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委员会办公室机关运行经费支出</w:t>
      </w:r>
      <w:r>
        <w:rPr>
          <w:rFonts w:hint="eastAsia" w:ascii="仿宋_GB2312" w:hAnsi="仿宋_GB2312" w:eastAsia="仿宋_GB2312" w:cs="仿宋_GB2312"/>
          <w:sz w:val="32"/>
          <w:szCs w:val="32"/>
          <w:lang w:val="en-US" w:eastAsia="zh-CN"/>
        </w:rPr>
        <w:t>43.75</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2.83</w:t>
      </w:r>
      <w:r>
        <w:rPr>
          <w:rFonts w:hint="eastAsia" w:eastAsia="仿宋_GB2312" w:cs="仿宋_GB2312"/>
          <w:sz w:val="32"/>
          <w:szCs w:val="32"/>
        </w:rPr>
        <w:t>万元，增长</w:t>
      </w:r>
      <w:r>
        <w:rPr>
          <w:rFonts w:hint="eastAsia" w:eastAsia="仿宋_GB2312" w:cs="仿宋_GB2312"/>
          <w:sz w:val="32"/>
          <w:szCs w:val="32"/>
          <w:lang w:val="en-US" w:eastAsia="zh-CN"/>
        </w:rPr>
        <w:t>6.92</w:t>
      </w:r>
      <w:r>
        <w:rPr>
          <w:rFonts w:hint="eastAsia" w:eastAsia="仿宋_GB2312" w:cs="仿宋_GB2312"/>
          <w:sz w:val="32"/>
          <w:szCs w:val="32"/>
        </w:rPr>
        <w:t>%。主要原因是</w:t>
      </w:r>
      <w:r>
        <w:rPr>
          <w:rFonts w:hint="eastAsia" w:eastAsia="仿宋_GB2312" w:cs="仿宋_GB2312"/>
          <w:sz w:val="32"/>
          <w:szCs w:val="32"/>
          <w:lang w:val="en-US" w:eastAsia="zh-CN"/>
        </w:rPr>
        <w:t>2024年10月调整编制，人员</w:t>
      </w:r>
      <w:r>
        <w:rPr>
          <w:rFonts w:hint="eastAsia" w:eastAsia="仿宋_GB2312" w:cs="仿宋_GB2312"/>
          <w:sz w:val="32"/>
          <w:szCs w:val="32"/>
          <w:lang w:eastAsia="zh-CN"/>
        </w:rPr>
        <w:t>增加</w:t>
      </w:r>
      <w:r>
        <w:rPr>
          <w:rFonts w:hint="eastAsia" w:eastAsia="仿宋_GB2312" w:cs="仿宋_GB2312"/>
          <w:sz w:val="32"/>
          <w:szCs w:val="32"/>
          <w:lang w:val="en-US" w:eastAsia="zh-CN"/>
        </w:rPr>
        <w:t>，机关运行费用增加。</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委员会办公室政府采购支出总额</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日常办公的国产化电脑</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w:t>
      </w:r>
      <w:r>
        <w:rPr>
          <w:rFonts w:hint="eastAsia" w:eastAsia="仿宋_GB2312" w:cs="仿宋_GB2312"/>
          <w:sz w:val="32"/>
          <w:szCs w:val="32"/>
        </w:rPr>
        <w:t>在2024年度预算编制阶段，组织对</w:t>
      </w:r>
      <w:r>
        <w:rPr>
          <w:rFonts w:hint="eastAsia" w:eastAsia="仿宋_GB2312" w:cs="仿宋_GB2312"/>
          <w:sz w:val="32"/>
          <w:szCs w:val="32"/>
          <w:lang w:eastAsia="zh-CN"/>
        </w:rPr>
        <w:t>政协会议费</w:t>
      </w:r>
      <w:r>
        <w:rPr>
          <w:rFonts w:hint="eastAsia" w:eastAsia="仿宋_GB2312" w:cs="仿宋_GB2312"/>
          <w:sz w:val="32"/>
          <w:szCs w:val="32"/>
        </w:rPr>
        <w:t>等</w:t>
      </w:r>
      <w:r>
        <w:rPr>
          <w:rFonts w:hint="eastAsia" w:eastAsia="仿宋_GB2312" w:cs="仿宋_GB2312"/>
          <w:sz w:val="32"/>
          <w:szCs w:val="32"/>
          <w:lang w:val="en-US" w:eastAsia="zh-CN"/>
        </w:rPr>
        <w:t>7</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7</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7</w:t>
      </w:r>
      <w:r>
        <w:rPr>
          <w:rFonts w:hint="eastAsia" w:eastAsia="仿宋_GB2312" w:cs="仿宋_GB2312"/>
          <w:sz w:val="32"/>
          <w:szCs w:val="32"/>
        </w:rPr>
        <w:t>个项目开展绩效监控。</w:t>
      </w:r>
    </w:p>
    <w:p>
      <w:pPr>
        <w:spacing w:line="600" w:lineRule="exact"/>
        <w:ind w:firstLine="640"/>
        <w:rPr>
          <w:rFonts w:eastAsia="仿宋_GB2312" w:cs="仿宋_GB2312"/>
          <w:sz w:val="32"/>
          <w:szCs w:val="32"/>
        </w:rPr>
      </w:pPr>
      <w:r>
        <w:rPr>
          <w:rFonts w:hint="eastAsia" w:eastAsia="仿宋_GB2312" w:cs="仿宋_GB2312"/>
          <w:color w:val="auto"/>
          <w:sz w:val="32"/>
          <w:szCs w:val="32"/>
        </w:rPr>
        <w:t>组织对2024年度一般公共预算、政府性基金预算、国有资本经营预算、社会保险基金预算以及资本资产、债券资金等全面开展绩效自评，形成</w:t>
      </w:r>
      <w:r>
        <w:rPr>
          <w:rFonts w:hint="eastAsia" w:eastAsia="仿宋_GB2312" w:cs="仿宋_GB2312"/>
          <w:color w:val="auto"/>
          <w:sz w:val="32"/>
          <w:szCs w:val="32"/>
          <w:lang w:eastAsia="zh-CN"/>
        </w:rPr>
        <w:t>政协盐边县</w:t>
      </w:r>
      <w:r>
        <w:rPr>
          <w:rFonts w:hint="eastAsia" w:eastAsia="仿宋_GB2312" w:cs="仿宋_GB2312"/>
          <w:color w:val="auto"/>
          <w:sz w:val="32"/>
          <w:szCs w:val="32"/>
        </w:rPr>
        <w:t>委员会办公室</w:t>
      </w:r>
      <w:r>
        <w:rPr>
          <w:rFonts w:hint="eastAsia" w:eastAsia="仿宋_GB2312" w:cs="仿宋_GB2312"/>
          <w:color w:val="auto"/>
          <w:sz w:val="32"/>
          <w:szCs w:val="32"/>
          <w:lang w:eastAsia="zh-CN"/>
        </w:rPr>
        <w:t>单位</w:t>
      </w:r>
      <w:r>
        <w:rPr>
          <w:rFonts w:hint="eastAsia" w:eastAsia="仿宋_GB2312" w:cs="仿宋_GB2312"/>
          <w:color w:val="auto"/>
          <w:sz w:val="32"/>
          <w:szCs w:val="32"/>
        </w:rPr>
        <w:t>整体（含</w:t>
      </w:r>
      <w:r>
        <w:rPr>
          <w:rFonts w:hint="eastAsia" w:eastAsia="仿宋_GB2312" w:cs="仿宋_GB2312"/>
          <w:color w:val="auto"/>
          <w:sz w:val="32"/>
          <w:szCs w:val="32"/>
          <w:lang w:eastAsia="zh-CN"/>
        </w:rPr>
        <w:t>单位</w:t>
      </w:r>
      <w:r>
        <w:rPr>
          <w:rFonts w:hint="eastAsia" w:eastAsia="仿宋_GB2312" w:cs="仿宋_GB2312"/>
          <w:color w:val="auto"/>
          <w:sz w:val="32"/>
          <w:szCs w:val="32"/>
        </w:rPr>
        <w:t>预算项目）绩效自评报告，其中，</w:t>
      </w:r>
      <w:r>
        <w:rPr>
          <w:rFonts w:hint="eastAsia" w:eastAsia="仿宋_GB2312" w:cs="仿宋_GB2312"/>
          <w:color w:val="auto"/>
          <w:sz w:val="32"/>
          <w:szCs w:val="32"/>
          <w:lang w:eastAsia="zh-CN"/>
        </w:rPr>
        <w:t>政协盐边县</w:t>
      </w:r>
      <w:r>
        <w:rPr>
          <w:rFonts w:hint="eastAsia" w:eastAsia="仿宋_GB2312" w:cs="仿宋_GB2312"/>
          <w:color w:val="auto"/>
          <w:sz w:val="32"/>
          <w:szCs w:val="32"/>
        </w:rPr>
        <w:t>委员会办公室</w:t>
      </w:r>
      <w:r>
        <w:rPr>
          <w:rFonts w:hint="eastAsia" w:eastAsia="仿宋_GB2312" w:cs="仿宋_GB2312"/>
          <w:color w:val="auto"/>
          <w:sz w:val="32"/>
          <w:szCs w:val="32"/>
          <w:lang w:eastAsia="zh-CN"/>
        </w:rPr>
        <w:t>单位</w:t>
      </w:r>
      <w:r>
        <w:rPr>
          <w:rFonts w:hint="eastAsia" w:eastAsia="仿宋_GB2312" w:cs="仿宋_GB2312"/>
          <w:color w:val="auto"/>
          <w:sz w:val="32"/>
          <w:szCs w:val="32"/>
        </w:rPr>
        <w:t>整体（含</w:t>
      </w:r>
      <w:r>
        <w:rPr>
          <w:rFonts w:hint="eastAsia" w:eastAsia="仿宋_GB2312" w:cs="仿宋_GB2312"/>
          <w:color w:val="auto"/>
          <w:sz w:val="32"/>
          <w:szCs w:val="32"/>
          <w:lang w:eastAsia="zh-CN"/>
        </w:rPr>
        <w:t>单位</w:t>
      </w:r>
      <w:r>
        <w:rPr>
          <w:rFonts w:hint="eastAsia" w:eastAsia="仿宋_GB2312" w:cs="仿宋_GB2312"/>
          <w:color w:val="auto"/>
          <w:sz w:val="32"/>
          <w:szCs w:val="32"/>
        </w:rPr>
        <w:t>预算项目）绩效自评得分为</w:t>
      </w:r>
      <w:r>
        <w:rPr>
          <w:rFonts w:hint="eastAsia" w:eastAsia="仿宋_GB2312" w:cs="仿宋_GB2312"/>
          <w:color w:val="auto"/>
          <w:sz w:val="32"/>
          <w:szCs w:val="32"/>
          <w:lang w:val="en-US" w:eastAsia="zh-CN"/>
        </w:rPr>
        <w:t>93.36</w:t>
      </w:r>
      <w:r>
        <w:rPr>
          <w:rFonts w:hint="eastAsia" w:eastAsia="仿宋_GB2312" w:cs="仿宋_GB2312"/>
          <w:color w:val="auto"/>
          <w:sz w:val="32"/>
          <w:szCs w:val="32"/>
        </w:rPr>
        <w:t>分，绩效自评综述</w:t>
      </w:r>
      <w:r>
        <w:rPr>
          <w:rFonts w:hint="eastAsia" w:eastAsia="仿宋_GB2312" w:cs="仿宋_GB2312"/>
          <w:color w:val="auto"/>
          <w:sz w:val="32"/>
          <w:szCs w:val="32"/>
          <w:lang w:val="zh-CN"/>
        </w:rPr>
        <w:t>我单位在执行财政预算的过程中，强化了预算绩效意识，严格按照预算项目支出绩效目标开展相关工作，并及时调整项目预算执行进度，圆满完成各项工作任务</w:t>
      </w:r>
      <w:r>
        <w:rPr>
          <w:rFonts w:hint="eastAsia" w:eastAsia="仿宋_GB2312" w:cs="仿宋_GB2312"/>
          <w:color w:val="auto"/>
          <w:sz w:val="32"/>
          <w:szCs w:val="32"/>
        </w:rPr>
        <w:t>。</w:t>
      </w:r>
    </w:p>
    <w:p>
      <w:pPr>
        <w:pStyle w:val="14"/>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hint="eastAsia" w:eastAsia="仿宋_GB2312" w:cs="仿宋_GB2312"/>
          <w:sz w:val="32"/>
          <w:szCs w:val="32"/>
        </w:rPr>
      </w:pPr>
      <w:r>
        <w:rPr>
          <w:rFonts w:hint="eastAsia" w:eastAsia="仿宋_GB2312" w:cs="仿宋_GB2312"/>
          <w:sz w:val="32"/>
          <w:szCs w:val="32"/>
        </w:rPr>
        <w:t>2.一般公共服务（类）政协事务（款）行政运行（项）：</w:t>
      </w:r>
      <w:r>
        <w:rPr>
          <w:rFonts w:hint="eastAsia" w:eastAsia="仿宋_GB2312" w:cs="仿宋_GB2312"/>
          <w:sz w:val="32"/>
          <w:szCs w:val="32"/>
          <w:lang w:eastAsia="zh-CN"/>
        </w:rPr>
        <w:t>指</w:t>
      </w:r>
      <w:r>
        <w:rPr>
          <w:rFonts w:hint="eastAsia" w:eastAsia="仿宋_GB2312" w:cs="仿宋_GB2312"/>
          <w:sz w:val="32"/>
          <w:szCs w:val="32"/>
        </w:rPr>
        <w:t>反映行政单位（包括实行公务员管理的事业单位）的基本支出。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3.一般公共服务（类）政协事务（款）政协会议（项）:指反映各级政协召开政治协商会议等专门会议的支出。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4.一般公共服务（类）政协事务（款）</w:t>
      </w:r>
      <w:r>
        <w:rPr>
          <w:rFonts w:hint="eastAsia" w:eastAsia="仿宋_GB2312" w:cs="仿宋_GB2312"/>
          <w:sz w:val="32"/>
          <w:szCs w:val="32"/>
          <w:lang w:eastAsia="zh-CN"/>
        </w:rPr>
        <w:t>委员视察</w:t>
      </w:r>
      <w:r>
        <w:rPr>
          <w:rFonts w:hint="eastAsia" w:eastAsia="仿宋_GB2312" w:cs="仿宋_GB2312"/>
          <w:sz w:val="32"/>
          <w:szCs w:val="32"/>
        </w:rPr>
        <w:t>（项）:</w:t>
      </w:r>
      <w:r>
        <w:rPr>
          <w:rFonts w:hint="eastAsia" w:eastAsia="仿宋_GB2312" w:cs="仿宋_GB2312"/>
          <w:sz w:val="32"/>
          <w:szCs w:val="32"/>
          <w:lang w:val="en-US" w:eastAsia="zh-CN"/>
        </w:rPr>
        <w:t>指反映政协委员开展各类视察的支出。</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.一般公共服务（类）政协事务（款）参政议政（项）:</w:t>
      </w:r>
      <w:r>
        <w:rPr>
          <w:rFonts w:hint="eastAsia" w:eastAsia="仿宋_GB2312" w:cs="仿宋_GB2312"/>
          <w:sz w:val="32"/>
          <w:szCs w:val="32"/>
          <w:lang w:eastAsia="zh-CN"/>
        </w:rPr>
        <w:t>指</w:t>
      </w:r>
      <w:r>
        <w:rPr>
          <w:rFonts w:hint="eastAsia" w:eastAsia="仿宋_GB2312" w:cs="仿宋_GB2312"/>
          <w:sz w:val="32"/>
          <w:szCs w:val="32"/>
        </w:rPr>
        <w:t>反映政协为参政议政进行调研、检查等方面的支出。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6.一般公共服务（类）政协事务（款）事业运行（项）:指反映事业单位的基本支出，不包括行政单位（包括实行公务员管理的事业单位）后勤服务中心、医务室等附属事业单位。</w:t>
      </w:r>
    </w:p>
    <w:p>
      <w:pPr>
        <w:spacing w:line="600" w:lineRule="exact"/>
        <w:ind w:firstLine="640"/>
        <w:rPr>
          <w:rFonts w:hint="eastAsia" w:ascii="Times New Roman" w:hAnsi="Times New Roman" w:eastAsia="仿宋_GB2312" w:cs="仿宋_GB2312"/>
          <w:b w:val="0"/>
          <w:kern w:val="2"/>
          <w:sz w:val="32"/>
          <w:szCs w:val="32"/>
          <w:lang w:val="en-US" w:eastAsia="zh-CN" w:bidi="ar-SA"/>
        </w:rPr>
      </w:pPr>
      <w:r>
        <w:rPr>
          <w:rFonts w:hint="eastAsia" w:eastAsia="仿宋_GB2312" w:cs="仿宋_GB2312"/>
          <w:sz w:val="32"/>
          <w:szCs w:val="32"/>
          <w:lang w:val="en-US" w:eastAsia="zh-CN"/>
        </w:rPr>
        <w:t>7.一般公共服务（类）政协事务（款）</w:t>
      </w:r>
      <w:r>
        <w:rPr>
          <w:rFonts w:hint="eastAsia" w:ascii="Times New Roman" w:hAnsi="Times New Roman" w:eastAsia="仿宋_GB2312" w:cs="仿宋_GB2312"/>
          <w:b w:val="0"/>
          <w:kern w:val="2"/>
          <w:sz w:val="32"/>
          <w:szCs w:val="32"/>
          <w:lang w:val="en-US" w:eastAsia="zh-CN" w:bidi="ar-SA"/>
        </w:rPr>
        <w:t>其他政协事务支出</w:t>
      </w:r>
      <w:r>
        <w:rPr>
          <w:rFonts w:hint="eastAsia" w:eastAsia="仿宋_GB2312" w:cs="仿宋_GB2312"/>
          <w:sz w:val="32"/>
          <w:szCs w:val="32"/>
          <w:lang w:val="en-US" w:eastAsia="zh-CN"/>
        </w:rPr>
        <w:t>（项）:指</w:t>
      </w:r>
      <w:r>
        <w:rPr>
          <w:rFonts w:hint="eastAsia" w:ascii="Times New Roman" w:hAnsi="Times New Roman" w:eastAsia="仿宋_GB2312" w:cs="仿宋_GB2312"/>
          <w:b w:val="0"/>
          <w:kern w:val="2"/>
          <w:sz w:val="32"/>
          <w:szCs w:val="32"/>
          <w:lang w:val="en-US" w:eastAsia="zh-CN" w:bidi="ar-SA"/>
        </w:rPr>
        <w:t>反映除上述项目以外的其他政协事务支出。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8.社会保障和就业（类）行政事业单位养老支出（款）行政单位离退休（项）:指反映行政单位（包括实行公务员管理的事业单位）开支的离退休经费。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9.社会保障和就业（类）行政事业单位养老支出（款）机关事业单位基本养老保险缴费支出（项）:指反映机关事业单位实施养老保险制度由单位缴纳的基本养老保险费支出。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10.社会保障和就业（类）行政事业单位养老支出（款）机关事业单位职业年金缴费支出（项）:指反映机关事业单位实施养老保险制度由单位实际缴纳的职业年金支出。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11.社会保障和就业（类）</w:t>
      </w:r>
      <w:r>
        <w:rPr>
          <w:rFonts w:hint="eastAsia" w:eastAsia="仿宋_GB2312" w:cs="仿宋_GB2312"/>
          <w:sz w:val="32"/>
          <w:szCs w:val="32"/>
          <w:lang w:eastAsia="zh-CN"/>
        </w:rPr>
        <w:t>抚恤</w:t>
      </w:r>
      <w:r>
        <w:rPr>
          <w:rFonts w:hint="eastAsia" w:eastAsia="仿宋_GB2312" w:cs="仿宋_GB2312"/>
          <w:sz w:val="32"/>
          <w:szCs w:val="32"/>
          <w:lang w:val="en-US" w:eastAsia="zh-CN"/>
        </w:rPr>
        <w:t>（款）</w:t>
      </w:r>
      <w:r>
        <w:rPr>
          <w:rFonts w:hint="eastAsia" w:eastAsia="仿宋_GB2312" w:cs="仿宋_GB2312"/>
          <w:sz w:val="32"/>
          <w:szCs w:val="32"/>
          <w:lang w:eastAsia="zh-CN"/>
        </w:rPr>
        <w:t>死亡抚恤</w:t>
      </w:r>
      <w:r>
        <w:rPr>
          <w:rFonts w:hint="eastAsia" w:eastAsia="仿宋_GB2312" w:cs="仿宋_GB2312"/>
          <w:sz w:val="32"/>
          <w:szCs w:val="32"/>
          <w:lang w:val="en-US" w:eastAsia="zh-CN"/>
        </w:rPr>
        <w:t>（项）:指反映按规定用于烈士和牺牲、病故人员家属的一次性和定期抚恤金、丧葬补助费以及烈士褒扬金。</w:t>
      </w:r>
    </w:p>
    <w:p>
      <w:pPr>
        <w:spacing w:line="600" w:lineRule="exact"/>
        <w:ind w:firstLine="640"/>
        <w:rPr>
          <w:rFonts w:hint="eastAsia"/>
          <w:lang w:val="en-US" w:eastAsia="zh-CN"/>
        </w:rPr>
      </w:pPr>
      <w:r>
        <w:rPr>
          <w:rFonts w:hint="eastAsia" w:eastAsia="仿宋_GB2312" w:cs="仿宋_GB2312"/>
          <w:sz w:val="32"/>
          <w:szCs w:val="32"/>
          <w:lang w:val="en-US" w:eastAsia="zh-CN"/>
        </w:rPr>
        <w:t>12.社会保障和就业（类）</w:t>
      </w:r>
      <w:r>
        <w:rPr>
          <w:rFonts w:hint="eastAsia" w:eastAsia="仿宋_GB2312" w:cs="仿宋_GB2312"/>
          <w:sz w:val="32"/>
          <w:szCs w:val="32"/>
          <w:lang w:eastAsia="zh-CN"/>
        </w:rPr>
        <w:t>抚恤</w:t>
      </w:r>
      <w:r>
        <w:rPr>
          <w:rFonts w:hint="eastAsia" w:eastAsia="仿宋_GB2312" w:cs="仿宋_GB2312"/>
          <w:sz w:val="32"/>
          <w:szCs w:val="32"/>
          <w:lang w:val="en-US" w:eastAsia="zh-CN"/>
        </w:rPr>
        <w:t>（款）</w:t>
      </w:r>
      <w:r>
        <w:rPr>
          <w:rFonts w:hint="eastAsia" w:eastAsia="仿宋_GB2312" w:cs="仿宋_GB2312"/>
          <w:sz w:val="32"/>
          <w:szCs w:val="32"/>
          <w:lang w:eastAsia="zh-CN"/>
        </w:rPr>
        <w:t>伤残抚恤</w:t>
      </w:r>
      <w:r>
        <w:rPr>
          <w:rFonts w:hint="eastAsia" w:eastAsia="仿宋_GB2312" w:cs="仿宋_GB2312"/>
          <w:sz w:val="32"/>
          <w:szCs w:val="32"/>
          <w:lang w:val="en-US" w:eastAsia="zh-CN"/>
        </w:rPr>
        <w:t>（项）:指反映按规定用于伤残人员的抚恤金和按规定开支的各种伤残补助费。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13.卫生健康（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14.卫生健康（类）行政事业单位医疗（款）事业单位医疗（项）:反映财政部门安排的事业单位基本医疗保险缴费经费，未参加医疗保险的事业单位的公费医疗经费，按国家规定享受离休人员的医疗经费。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15.卫生健康（类）行政事业单位医疗（款）公务员医疗补助（项）:反映财政部门安排的公务员医疗补助经费。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16.卫生健康（类）行政事业单位医疗（款）其他行政事业单位医疗支出（项）:反映除上述项目外的其他用于行政事业单位医疗方面的支出。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17.住房保障（类）住房改革支出（款）住房公积金（项）：反映行政事业单位按人力资源和社会保障部、财政部规定的基本工资和津贴补贴以及规定比例为职工缴纳的住房公积金。</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w:t>
      </w:r>
      <w:r>
        <w:rPr>
          <w:rFonts w:hint="eastAsia" w:eastAsia="仿宋_GB2312" w:cs="仿宋_GB2312"/>
          <w:sz w:val="32"/>
          <w:szCs w:val="32"/>
          <w:lang w:eastAsia="zh-CN"/>
        </w:rPr>
        <w:t>按规定保留的公务用车</w:t>
      </w:r>
      <w:r>
        <w:rPr>
          <w:rFonts w:hint="eastAsia" w:eastAsia="仿宋_GB2312" w:cs="仿宋_GB2312"/>
          <w:sz w:val="32"/>
          <w:szCs w:val="32"/>
        </w:rPr>
        <w:t>燃料费、维修费、过桥过路费、保险费</w:t>
      </w:r>
      <w:r>
        <w:rPr>
          <w:rFonts w:hint="eastAsia" w:eastAsia="仿宋_GB2312" w:cs="仿宋_GB2312"/>
          <w:sz w:val="32"/>
          <w:szCs w:val="32"/>
          <w:lang w:eastAsia="zh-CN"/>
        </w:rPr>
        <w:t>、安全奖励费用</w:t>
      </w:r>
      <w:r>
        <w:rPr>
          <w:rFonts w:hint="eastAsia" w:eastAsia="仿宋_GB2312" w:cs="仿宋_GB2312"/>
          <w:sz w:val="32"/>
          <w:szCs w:val="32"/>
        </w:rPr>
        <w:t>等支出；公务接待费反映单位按规定开支的各类公务接待（含外宾接待）</w:t>
      </w:r>
      <w:r>
        <w:rPr>
          <w:rFonts w:hint="eastAsia" w:eastAsia="仿宋_GB2312" w:cs="仿宋_GB2312"/>
          <w:sz w:val="32"/>
          <w:szCs w:val="32"/>
          <w:lang w:eastAsia="zh-CN"/>
        </w:rPr>
        <w:t>费用</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left"/>
        <w:outlineLvl w:val="0"/>
        <w:rPr>
          <w:rFonts w:eastAsia="黑体" w:cs="黑体"/>
          <w:sz w:val="32"/>
          <w:szCs w:val="32"/>
        </w:rPr>
      </w:pPr>
    </w:p>
    <w:p>
      <w:pPr>
        <w:spacing w:line="600" w:lineRule="exact"/>
        <w:ind w:firstLine="640"/>
        <w:rPr>
          <w:rFonts w:hint="eastAsia" w:eastAsia="仿宋_GB2312" w:cs="仿宋_GB2312"/>
          <w:sz w:val="32"/>
          <w:szCs w:val="32"/>
        </w:rPr>
      </w:pPr>
      <w:r>
        <w:rPr>
          <w:rFonts w:hint="eastAsia" w:eastAsia="仿宋_GB2312" w:cs="仿宋_GB2312"/>
          <w:sz w:val="32"/>
          <w:szCs w:val="32"/>
          <w:lang w:eastAsia="zh-CN"/>
        </w:rPr>
        <w:t>附表：</w:t>
      </w:r>
      <w:r>
        <w:rPr>
          <w:rFonts w:hint="eastAsia" w:eastAsia="仿宋_GB2312" w:cs="仿宋_GB2312"/>
          <w:sz w:val="32"/>
          <w:szCs w:val="32"/>
        </w:rPr>
        <w:t>部门预算项目支出绩效评价表（2024年度）</w:t>
      </w:r>
    </w:p>
    <w:p>
      <w:pPr>
        <w:pStyle w:val="8"/>
        <w:spacing w:line="560" w:lineRule="exact"/>
        <w:ind w:left="0" w:leftChars="0" w:firstLine="640"/>
        <w:rPr>
          <w:rFonts w:ascii="Times New Roman" w:eastAsia="仿宋_GB2312" w:cs="仿宋_GB2312"/>
          <w:kern w:val="0"/>
          <w:sz w:val="32"/>
        </w:rPr>
      </w:pPr>
    </w:p>
    <w:p>
      <w:pPr>
        <w:pStyle w:val="8"/>
        <w:spacing w:line="560" w:lineRule="exact"/>
        <w:ind w:left="0" w:leftChars="0" w:firstLine="640"/>
        <w:rPr>
          <w:rFonts w:ascii="Times New Roman" w:eastAsia="仿宋_GB2312"/>
          <w:sz w:val="32"/>
          <w:lang w:val="zh-CN" w:bidi="ar"/>
        </w:rPr>
      </w:pPr>
      <w:bookmarkStart w:id="61" w:name="_GoBack"/>
      <w:bookmarkEnd w:id="61"/>
    </w:p>
    <w:p>
      <w:pPr>
        <w:pStyle w:val="8"/>
        <w:spacing w:line="560" w:lineRule="exact"/>
        <w:ind w:left="0" w:leftChars="0" w:firstLine="0" w:firstLineChars="0"/>
        <w:rPr>
          <w:rFonts w:ascii="Times New Roman"/>
          <w:color w:val="0000FF"/>
          <w:sz w:val="32"/>
          <w:highlight w:val="yellow"/>
          <w:lang w:val="zh-CN"/>
        </w:rPr>
      </w:pPr>
    </w:p>
    <w:p>
      <w:pPr>
        <w:pStyle w:val="6"/>
        <w:spacing w:before="93"/>
        <w:rPr>
          <w:rFonts w:ascii="Times New Roman" w:cs="宋体"/>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eastAsia="仿宋"/>
        </w:rPr>
      </w:pPr>
      <w:bookmarkStart w:id="47" w:name="_Toc15396618"/>
      <w:r>
        <w:rPr>
          <w:rFonts w:hint="eastAsia" w:eastAsia="黑体"/>
          <w:sz w:val="44"/>
          <w:szCs w:val="44"/>
        </w:rPr>
        <w:t>第</w:t>
      </w:r>
      <w:r>
        <w:rPr>
          <w:rStyle w:val="28"/>
          <w:rFonts w:hint="eastAsia" w:eastAsia="黑体"/>
          <w:b w:val="0"/>
        </w:rPr>
        <w:t>五部分 附表</w:t>
      </w:r>
      <w:bookmarkEnd w:id="45"/>
      <w:bookmarkEnd w:id="47"/>
      <w:bookmarkStart w:id="48"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5"/>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5"/>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5"/>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5"/>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5"/>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5"/>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5"/>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5"/>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66867"/>
    <w:multiLevelType w:val="singleLevel"/>
    <w:tmpl w:val="BBB668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651BC3"/>
    <w:rsid w:val="0AC87083"/>
    <w:rsid w:val="0CA8290A"/>
    <w:rsid w:val="0D35B1ED"/>
    <w:rsid w:val="0E254B6B"/>
    <w:rsid w:val="0F98263C"/>
    <w:rsid w:val="101860EC"/>
    <w:rsid w:val="101F47CC"/>
    <w:rsid w:val="10C055FF"/>
    <w:rsid w:val="11694EBD"/>
    <w:rsid w:val="11772AA4"/>
    <w:rsid w:val="118107EC"/>
    <w:rsid w:val="12E24EE2"/>
    <w:rsid w:val="13554274"/>
    <w:rsid w:val="13D50BC4"/>
    <w:rsid w:val="14B17F78"/>
    <w:rsid w:val="165E0673"/>
    <w:rsid w:val="16B831D5"/>
    <w:rsid w:val="16BB723D"/>
    <w:rsid w:val="17E50567"/>
    <w:rsid w:val="186504BB"/>
    <w:rsid w:val="19A445FC"/>
    <w:rsid w:val="1B923262"/>
    <w:rsid w:val="1BAD4F97"/>
    <w:rsid w:val="1BE8440E"/>
    <w:rsid w:val="1CC6347C"/>
    <w:rsid w:val="1D155CEE"/>
    <w:rsid w:val="1D1638FE"/>
    <w:rsid w:val="1D746D3F"/>
    <w:rsid w:val="1DA14E35"/>
    <w:rsid w:val="1E312DEB"/>
    <w:rsid w:val="1E740ACF"/>
    <w:rsid w:val="1FD50A5E"/>
    <w:rsid w:val="1FF35744"/>
    <w:rsid w:val="1FF6BC77"/>
    <w:rsid w:val="2186353C"/>
    <w:rsid w:val="23860B96"/>
    <w:rsid w:val="240371BF"/>
    <w:rsid w:val="24293F44"/>
    <w:rsid w:val="244F3473"/>
    <w:rsid w:val="24C97D99"/>
    <w:rsid w:val="25A718F0"/>
    <w:rsid w:val="25BB59F6"/>
    <w:rsid w:val="260F557C"/>
    <w:rsid w:val="26970054"/>
    <w:rsid w:val="281408E2"/>
    <w:rsid w:val="283E5026"/>
    <w:rsid w:val="29FD04D3"/>
    <w:rsid w:val="2AA30A69"/>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240AD6"/>
    <w:rsid w:val="3CEBA265"/>
    <w:rsid w:val="3D98207C"/>
    <w:rsid w:val="3DEE7CF3"/>
    <w:rsid w:val="3E740A63"/>
    <w:rsid w:val="3E78745D"/>
    <w:rsid w:val="3EE17838"/>
    <w:rsid w:val="3F55381A"/>
    <w:rsid w:val="3F7F7599"/>
    <w:rsid w:val="3F85202D"/>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4241CD"/>
    <w:rsid w:val="57BD3DD4"/>
    <w:rsid w:val="5AF92295"/>
    <w:rsid w:val="5B250254"/>
    <w:rsid w:val="5B737B88"/>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2</TotalTime>
  <ScaleCrop>false</ScaleCrop>
  <LinksUpToDate>false</LinksUpToDate>
  <CharactersWithSpaces>8880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2025-08-06T17:34:00Z</cp:lastPrinted>
  <dcterms:modified xsi:type="dcterms:W3CDTF">2025-10-28T01:40:52Z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