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B7D1D">
      <w:pPr>
        <w:spacing w:line="600" w:lineRule="exact"/>
        <w:jc w:val="left"/>
        <w:outlineLvl w:val="0"/>
        <w:rPr>
          <w:rFonts w:ascii="方正小标宋简体" w:hAnsi="宋体" w:eastAsia="方正小标宋简体"/>
          <w:szCs w:val="21"/>
        </w:rPr>
      </w:pPr>
      <w:bookmarkStart w:id="0" w:name="_Toc15306267"/>
    </w:p>
    <w:p w14:paraId="4F2717BA">
      <w:pPr>
        <w:pStyle w:val="9"/>
        <w:spacing w:before="93"/>
      </w:pPr>
    </w:p>
    <w:p w14:paraId="12B14B6E">
      <w:pPr>
        <w:spacing w:line="600" w:lineRule="exact"/>
        <w:jc w:val="center"/>
        <w:outlineLvl w:val="0"/>
        <w:rPr>
          <w:rFonts w:ascii="方正小标宋简体" w:hAnsi="宋体" w:eastAsia="方正小标宋简体"/>
          <w:sz w:val="72"/>
          <w:szCs w:val="72"/>
        </w:rPr>
      </w:pPr>
    </w:p>
    <w:p w14:paraId="2A1405CF">
      <w:pPr>
        <w:spacing w:line="600" w:lineRule="exact"/>
        <w:jc w:val="center"/>
        <w:outlineLvl w:val="0"/>
        <w:rPr>
          <w:rFonts w:ascii="方正小标宋简体" w:hAnsi="宋体" w:eastAsia="方正小标宋简体"/>
          <w:sz w:val="72"/>
          <w:szCs w:val="72"/>
        </w:rPr>
      </w:pPr>
    </w:p>
    <w:p w14:paraId="70CE0CA9">
      <w:pPr>
        <w:pStyle w:val="9"/>
        <w:spacing w:before="93"/>
        <w:jc w:val="center"/>
        <w:rPr>
          <w:rFonts w:ascii="Times New Roman" w:eastAsia="方正小标宋简体"/>
          <w:kern w:val="2"/>
          <w:sz w:val="72"/>
          <w:szCs w:val="72"/>
        </w:rPr>
      </w:pPr>
      <w:bookmarkStart w:id="1" w:name="_Toc15377193"/>
      <w:bookmarkStart w:id="2" w:name="_Toc15396597"/>
      <w:bookmarkStart w:id="3" w:name="_Toc15396475"/>
      <w:bookmarkStart w:id="4" w:name="_Toc15378441"/>
      <w:bookmarkStart w:id="5" w:name="_Toc15377425"/>
      <w:r>
        <w:rPr>
          <w:rFonts w:hint="eastAsia" w:ascii="方正小标宋简体" w:hAnsi="方正小标宋简体" w:eastAsia="方正小标宋简体" w:cs="方正小标宋简体"/>
          <w:sz w:val="72"/>
          <w:szCs w:val="72"/>
        </w:rPr>
        <w:tab/>
      </w:r>
      <w:bookmarkEnd w:id="0"/>
      <w:bookmarkEnd w:id="1"/>
      <w:bookmarkEnd w:id="2"/>
      <w:bookmarkEnd w:id="3"/>
      <w:bookmarkEnd w:id="4"/>
      <w:bookmarkEnd w:id="5"/>
      <w:r>
        <w:rPr>
          <w:rFonts w:hint="eastAsia" w:ascii="Times New Roman" w:eastAsia="方正小标宋简体"/>
          <w:kern w:val="2"/>
          <w:sz w:val="72"/>
          <w:szCs w:val="72"/>
        </w:rPr>
        <w:t>2024年度</w:t>
      </w:r>
    </w:p>
    <w:p w14:paraId="23F75291">
      <w:pPr>
        <w:pStyle w:val="9"/>
        <w:spacing w:before="93"/>
        <w:jc w:val="center"/>
        <w:rPr>
          <w:rFonts w:hint="eastAsia" w:ascii="Times New Roman" w:eastAsia="方正小标宋简体"/>
          <w:kern w:val="2"/>
          <w:sz w:val="72"/>
          <w:szCs w:val="72"/>
          <w:lang w:eastAsia="zh-CN"/>
        </w:rPr>
      </w:pPr>
      <w:r>
        <w:rPr>
          <w:rFonts w:hint="eastAsia" w:ascii="Times New Roman" w:eastAsia="方正小标宋简体"/>
          <w:kern w:val="2"/>
          <w:sz w:val="72"/>
          <w:szCs w:val="72"/>
        </w:rPr>
        <w:t>盐边县温泉彝族乡卫生院单位决算</w:t>
      </w:r>
      <w:r>
        <w:rPr>
          <w:rFonts w:hint="eastAsia" w:ascii="Times New Roman" w:eastAsia="方正小标宋简体"/>
          <w:kern w:val="2"/>
          <w:sz w:val="72"/>
          <w:szCs w:val="72"/>
          <w:lang w:eastAsia="zh-CN"/>
        </w:rPr>
        <w:t>公开编制说明</w:t>
      </w:r>
      <w:bookmarkStart w:id="59" w:name="_GoBack"/>
      <w:bookmarkEnd w:id="59"/>
    </w:p>
    <w:p w14:paraId="6B0B0D1F">
      <w:pPr>
        <w:adjustRightInd w:val="0"/>
        <w:snapToGrid w:val="0"/>
        <w:spacing w:line="360" w:lineRule="auto"/>
        <w:jc w:val="center"/>
        <w:outlineLvl w:val="0"/>
        <w:rPr>
          <w:rFonts w:ascii="方正小标宋简体" w:hAnsi="方正小标宋简体" w:eastAsia="方正小标宋简体" w:cs="方正小标宋简体"/>
          <w:sz w:val="72"/>
          <w:szCs w:val="72"/>
        </w:rPr>
      </w:pPr>
    </w:p>
    <w:p w14:paraId="5BCCECFE">
      <w:pPr>
        <w:adjustRightInd w:val="0"/>
        <w:snapToGrid w:val="0"/>
        <w:spacing w:line="360" w:lineRule="auto"/>
        <w:jc w:val="center"/>
        <w:outlineLvl w:val="0"/>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 录</w:t>
      </w:r>
    </w:p>
    <w:p w14:paraId="743AE221">
      <w:pPr>
        <w:pStyle w:val="14"/>
      </w:pPr>
      <w:r>
        <w:rPr>
          <w:rFonts w:hint="eastAsia"/>
        </w:rPr>
        <w:t>公开时间：2024年10月28日</w:t>
      </w:r>
    </w:p>
    <w:p w14:paraId="2C384371"/>
    <w:p w14:paraId="09F25FE9">
      <w:pPr>
        <w:pStyle w:val="14"/>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单位概况...................................................1</w:t>
      </w:r>
    </w:p>
    <w:p w14:paraId="1E14A327">
      <w:pPr>
        <w:pStyle w:val="15"/>
        <w:adjustRightInd w:val="0"/>
        <w:snapToGrid w:val="0"/>
        <w:spacing w:line="440" w:lineRule="exact"/>
        <w:jc w:val="left"/>
        <w:rPr>
          <w:sz w:val="24"/>
        </w:rPr>
      </w:pPr>
      <w:r>
        <w:rPr>
          <w:rFonts w:hint="eastAsia"/>
          <w:sz w:val="24"/>
        </w:rPr>
        <w:t>一、主要职责..........................................................................................................1</w:t>
      </w:r>
    </w:p>
    <w:p w14:paraId="0110AF9F">
      <w:pPr>
        <w:pStyle w:val="15"/>
        <w:adjustRightInd w:val="0"/>
        <w:snapToGrid w:val="0"/>
        <w:spacing w:line="440" w:lineRule="exact"/>
        <w:jc w:val="left"/>
      </w:pPr>
      <w:r>
        <w:rPr>
          <w:rFonts w:hint="eastAsia"/>
          <w:sz w:val="24"/>
        </w:rPr>
        <w:t>二、机构设置..........................................................................................................1</w:t>
      </w:r>
    </w:p>
    <w:p w14:paraId="1E021A69">
      <w:pPr>
        <w:pStyle w:val="14"/>
        <w:adjustRightInd w:val="0"/>
        <w:snapToGrid w:val="0"/>
        <w:spacing w:before="0" w:line="440" w:lineRule="exact"/>
        <w:jc w:val="left"/>
        <w:rPr>
          <w:sz w:val="24"/>
          <w:szCs w:val="24"/>
        </w:rPr>
      </w:pPr>
      <w:r>
        <w:rPr>
          <w:rFonts w:hint="eastAsia"/>
          <w:sz w:val="24"/>
        </w:rPr>
        <w:t>第二部分 2024年度单位决算情况说明................. .................2</w:t>
      </w:r>
    </w:p>
    <w:p w14:paraId="605E03D7">
      <w:pPr>
        <w:pStyle w:val="15"/>
        <w:adjustRightInd w:val="0"/>
        <w:snapToGrid w:val="0"/>
        <w:spacing w:line="440" w:lineRule="exact"/>
        <w:jc w:val="left"/>
        <w:rPr>
          <w:rFonts w:ascii="仿宋" w:hAnsi="仿宋"/>
          <w:sz w:val="24"/>
        </w:rPr>
      </w:pPr>
      <w:r>
        <w:rPr>
          <w:rFonts w:hint="eastAsia"/>
          <w:sz w:val="24"/>
        </w:rPr>
        <w:t>一、收入支出决算总体情况说明..........................................................................2</w:t>
      </w:r>
    </w:p>
    <w:p w14:paraId="4C91CD09">
      <w:pPr>
        <w:pStyle w:val="15"/>
        <w:adjustRightInd w:val="0"/>
        <w:snapToGrid w:val="0"/>
        <w:spacing w:line="440" w:lineRule="exact"/>
        <w:jc w:val="left"/>
        <w:rPr>
          <w:rFonts w:hint="eastAsia" w:ascii="仿宋" w:hAnsi="仿宋" w:eastAsia="宋体"/>
          <w:sz w:val="24"/>
          <w:lang w:val="en-US" w:eastAsia="zh-CN"/>
        </w:rPr>
      </w:pPr>
      <w:r>
        <w:rPr>
          <w:rFonts w:hint="eastAsia"/>
          <w:sz w:val="24"/>
        </w:rPr>
        <w:t>二、收入决算情况说明..........................................................................................</w:t>
      </w:r>
      <w:r>
        <w:rPr>
          <w:rFonts w:hint="eastAsia"/>
          <w:sz w:val="24"/>
          <w:lang w:val="en-US" w:eastAsia="zh-CN"/>
        </w:rPr>
        <w:t>2</w:t>
      </w:r>
    </w:p>
    <w:p w14:paraId="62CD80CE">
      <w:pPr>
        <w:pStyle w:val="15"/>
        <w:adjustRightInd w:val="0"/>
        <w:snapToGrid w:val="0"/>
        <w:spacing w:line="440" w:lineRule="exact"/>
        <w:jc w:val="left"/>
        <w:rPr>
          <w:rFonts w:ascii="仿宋" w:hAnsi="仿宋"/>
          <w:sz w:val="24"/>
        </w:rPr>
      </w:pPr>
      <w:r>
        <w:rPr>
          <w:rFonts w:hint="eastAsia"/>
          <w:sz w:val="24"/>
        </w:rPr>
        <w:t>三、支出决算情况说明..........................................................................................3</w:t>
      </w:r>
    </w:p>
    <w:p w14:paraId="2F77DF0D">
      <w:pPr>
        <w:pStyle w:val="15"/>
        <w:adjustRightInd w:val="0"/>
        <w:snapToGrid w:val="0"/>
        <w:spacing w:line="440" w:lineRule="exact"/>
        <w:jc w:val="left"/>
        <w:rPr>
          <w:rFonts w:ascii="仿宋" w:hAnsi="仿宋"/>
          <w:sz w:val="24"/>
        </w:rPr>
      </w:pPr>
      <w:r>
        <w:rPr>
          <w:rFonts w:hint="eastAsia"/>
          <w:sz w:val="24"/>
        </w:rPr>
        <w:t>四、财政拨款收入支出决算总体情况说明..........................................................4</w:t>
      </w:r>
    </w:p>
    <w:p w14:paraId="1C4D1AC3">
      <w:pPr>
        <w:pStyle w:val="15"/>
        <w:adjustRightInd w:val="0"/>
        <w:snapToGrid w:val="0"/>
        <w:spacing w:line="440" w:lineRule="exact"/>
        <w:jc w:val="left"/>
        <w:rPr>
          <w:rFonts w:ascii="仿宋" w:hAnsi="仿宋" w:eastAsia="仿宋"/>
          <w:sz w:val="24"/>
        </w:rPr>
      </w:pPr>
      <w:r>
        <w:rPr>
          <w:rFonts w:hint="eastAsia"/>
          <w:sz w:val="24"/>
        </w:rPr>
        <w:t>五、一般公共预算财政拨款支出决算情况说明..................................................5</w:t>
      </w:r>
    </w:p>
    <w:p w14:paraId="3FBD7920">
      <w:pPr>
        <w:pStyle w:val="15"/>
        <w:adjustRightInd w:val="0"/>
        <w:snapToGrid w:val="0"/>
        <w:spacing w:line="440" w:lineRule="exact"/>
        <w:jc w:val="left"/>
        <w:rPr>
          <w:rFonts w:ascii="仿宋" w:hAnsi="仿宋" w:eastAsia="仿宋"/>
          <w:sz w:val="24"/>
        </w:rPr>
      </w:pPr>
      <w:r>
        <w:rPr>
          <w:rFonts w:hint="eastAsia"/>
          <w:sz w:val="24"/>
        </w:rPr>
        <w:t>六、一般公共预算财政拨款基本支出决算情况说明..........................................8</w:t>
      </w:r>
    </w:p>
    <w:p w14:paraId="0A22A585">
      <w:pPr>
        <w:pStyle w:val="15"/>
        <w:adjustRightInd w:val="0"/>
        <w:snapToGrid w:val="0"/>
        <w:spacing w:line="440" w:lineRule="exact"/>
        <w:jc w:val="left"/>
        <w:rPr>
          <w:rFonts w:ascii="仿宋" w:hAnsi="仿宋" w:eastAsia="仿宋"/>
          <w:sz w:val="24"/>
        </w:rPr>
      </w:pPr>
      <w:r>
        <w:rPr>
          <w:rFonts w:hint="eastAsia"/>
          <w:sz w:val="24"/>
        </w:rPr>
        <w:t>七、财政拨款“三公”经费支出决算情况说明......................................................9</w:t>
      </w:r>
    </w:p>
    <w:p w14:paraId="1A4CC258">
      <w:pPr>
        <w:pStyle w:val="15"/>
        <w:adjustRightInd w:val="0"/>
        <w:snapToGrid w:val="0"/>
        <w:spacing w:line="440" w:lineRule="exact"/>
        <w:jc w:val="left"/>
        <w:rPr>
          <w:rFonts w:ascii="仿宋" w:hAnsi="仿宋" w:eastAsia="仿宋"/>
          <w:sz w:val="24"/>
        </w:rPr>
      </w:pPr>
      <w:r>
        <w:rPr>
          <w:rFonts w:hint="eastAsia"/>
          <w:sz w:val="24"/>
        </w:rPr>
        <w:t>八、政府性基金预算支出决算情况说明............................................................10</w:t>
      </w:r>
    </w:p>
    <w:p w14:paraId="22680CBB">
      <w:pPr>
        <w:pStyle w:val="15"/>
        <w:adjustRightInd w:val="0"/>
        <w:snapToGrid w:val="0"/>
        <w:spacing w:line="440" w:lineRule="exact"/>
        <w:jc w:val="left"/>
        <w:rPr>
          <w:sz w:val="24"/>
        </w:rPr>
      </w:pPr>
      <w:r>
        <w:rPr>
          <w:rFonts w:hint="eastAsia"/>
          <w:sz w:val="24"/>
        </w:rPr>
        <w:t>九、国有资本经营预算支出决算情况说明........................................................10</w:t>
      </w:r>
    </w:p>
    <w:p w14:paraId="7C368496">
      <w:pPr>
        <w:pStyle w:val="15"/>
        <w:adjustRightInd w:val="0"/>
        <w:snapToGrid w:val="0"/>
        <w:spacing w:line="440" w:lineRule="exact"/>
        <w:jc w:val="left"/>
        <w:rPr>
          <w:sz w:val="24"/>
        </w:rPr>
      </w:pPr>
      <w:r>
        <w:rPr>
          <w:rFonts w:hint="eastAsia"/>
          <w:sz w:val="24"/>
        </w:rPr>
        <w:t>十、其他重要事项的情况说明............................................................................10</w:t>
      </w:r>
    </w:p>
    <w:p w14:paraId="0D7BE34E">
      <w:pPr>
        <w:pStyle w:val="15"/>
        <w:adjustRightInd w:val="0"/>
        <w:snapToGrid w:val="0"/>
        <w:spacing w:line="440" w:lineRule="exact"/>
        <w:jc w:val="left"/>
        <w:rPr>
          <w:sz w:val="24"/>
        </w:rPr>
      </w:pPr>
      <w:r>
        <w:rPr>
          <w:rFonts w:hint="eastAsia"/>
          <w:sz w:val="24"/>
        </w:rPr>
        <w:t>第三部分</w:t>
      </w:r>
      <w:r>
        <w:rPr>
          <w:sz w:val="24"/>
        </w:rPr>
        <w:t xml:space="preserve"> </w:t>
      </w:r>
      <w:r>
        <w:rPr>
          <w:rFonts w:hint="eastAsia"/>
          <w:sz w:val="24"/>
        </w:rPr>
        <w:t>名词解释............................................................................................ 11</w:t>
      </w:r>
    </w:p>
    <w:p w14:paraId="080F1799">
      <w:pPr>
        <w:pStyle w:val="14"/>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附件......................................................14</w:t>
      </w:r>
    </w:p>
    <w:p w14:paraId="71015865">
      <w:pPr>
        <w:pStyle w:val="14"/>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附表......................................................15</w:t>
      </w:r>
    </w:p>
    <w:p w14:paraId="78AE65BE">
      <w:pPr>
        <w:pStyle w:val="15"/>
        <w:adjustRightInd w:val="0"/>
        <w:snapToGrid w:val="0"/>
        <w:spacing w:line="440" w:lineRule="exact"/>
        <w:jc w:val="left"/>
        <w:rPr>
          <w:sz w:val="24"/>
        </w:rPr>
      </w:pPr>
      <w:r>
        <w:rPr>
          <w:rFonts w:hint="eastAsia"/>
          <w:sz w:val="24"/>
        </w:rPr>
        <w:t>一、收入支出决算总表........................................................................................15</w:t>
      </w:r>
    </w:p>
    <w:p w14:paraId="3E0C03CA">
      <w:pPr>
        <w:pStyle w:val="15"/>
        <w:adjustRightInd w:val="0"/>
        <w:snapToGrid w:val="0"/>
        <w:spacing w:line="440" w:lineRule="exact"/>
        <w:jc w:val="left"/>
        <w:rPr>
          <w:sz w:val="24"/>
        </w:rPr>
      </w:pPr>
      <w:r>
        <w:rPr>
          <w:rFonts w:hint="eastAsia"/>
          <w:sz w:val="24"/>
        </w:rPr>
        <w:t>二、收入决算表....................................................................................................15</w:t>
      </w:r>
    </w:p>
    <w:p w14:paraId="3ABC46FA">
      <w:pPr>
        <w:pStyle w:val="15"/>
        <w:adjustRightInd w:val="0"/>
        <w:snapToGrid w:val="0"/>
        <w:spacing w:line="440" w:lineRule="exact"/>
        <w:jc w:val="left"/>
        <w:rPr>
          <w:sz w:val="24"/>
        </w:rPr>
      </w:pPr>
      <w:r>
        <w:rPr>
          <w:rFonts w:hint="eastAsia"/>
          <w:sz w:val="24"/>
        </w:rPr>
        <w:t>三、支出决算表....................................................................................................15</w:t>
      </w:r>
    </w:p>
    <w:p w14:paraId="08977BAF">
      <w:pPr>
        <w:pStyle w:val="15"/>
        <w:adjustRightInd w:val="0"/>
        <w:snapToGrid w:val="0"/>
        <w:spacing w:line="440" w:lineRule="exact"/>
        <w:jc w:val="left"/>
        <w:rPr>
          <w:sz w:val="24"/>
        </w:rPr>
      </w:pPr>
      <w:r>
        <w:rPr>
          <w:rFonts w:hint="eastAsia"/>
          <w:sz w:val="24"/>
        </w:rPr>
        <w:t>四、财政拨款收入支出决算总表........................................................................15</w:t>
      </w:r>
    </w:p>
    <w:p w14:paraId="5748F852">
      <w:pPr>
        <w:pStyle w:val="15"/>
        <w:adjustRightInd w:val="0"/>
        <w:snapToGrid w:val="0"/>
        <w:spacing w:line="440" w:lineRule="exact"/>
        <w:jc w:val="left"/>
        <w:rPr>
          <w:sz w:val="24"/>
        </w:rPr>
      </w:pPr>
      <w:r>
        <w:rPr>
          <w:rFonts w:hint="eastAsia"/>
          <w:sz w:val="24"/>
        </w:rPr>
        <w:t>五、财政拨款支出决算明细表............................................................................15</w:t>
      </w:r>
    </w:p>
    <w:p w14:paraId="7A2529A7">
      <w:pPr>
        <w:pStyle w:val="15"/>
        <w:adjustRightInd w:val="0"/>
        <w:snapToGrid w:val="0"/>
        <w:spacing w:line="440" w:lineRule="exact"/>
        <w:jc w:val="left"/>
        <w:rPr>
          <w:sz w:val="24"/>
        </w:rPr>
      </w:pPr>
      <w:r>
        <w:rPr>
          <w:rFonts w:hint="eastAsia"/>
          <w:sz w:val="24"/>
        </w:rPr>
        <w:t>六、一般公共预算财政拨款支出决算表............................................................15</w:t>
      </w:r>
    </w:p>
    <w:p w14:paraId="3FB8014A">
      <w:pPr>
        <w:pStyle w:val="15"/>
        <w:adjustRightInd w:val="0"/>
        <w:snapToGrid w:val="0"/>
        <w:spacing w:line="440" w:lineRule="exact"/>
        <w:jc w:val="left"/>
        <w:rPr>
          <w:sz w:val="24"/>
        </w:rPr>
      </w:pPr>
      <w:r>
        <w:rPr>
          <w:rFonts w:hint="eastAsia"/>
          <w:sz w:val="24"/>
        </w:rPr>
        <w:t>七、一般公共预算财政拨款支出决算明细表....................................................15</w:t>
      </w:r>
    </w:p>
    <w:p w14:paraId="6E756E6F">
      <w:pPr>
        <w:pStyle w:val="15"/>
        <w:adjustRightInd w:val="0"/>
        <w:snapToGrid w:val="0"/>
        <w:spacing w:line="440" w:lineRule="exact"/>
        <w:jc w:val="left"/>
        <w:rPr>
          <w:sz w:val="24"/>
        </w:rPr>
      </w:pPr>
      <w:r>
        <w:rPr>
          <w:rFonts w:hint="eastAsia"/>
          <w:sz w:val="24"/>
        </w:rPr>
        <w:t>八、一般公共预算财政拨款基本支出决算明细表............................................15</w:t>
      </w:r>
    </w:p>
    <w:p w14:paraId="0C38CDC0">
      <w:pPr>
        <w:pStyle w:val="15"/>
        <w:adjustRightInd w:val="0"/>
        <w:snapToGrid w:val="0"/>
        <w:spacing w:line="440" w:lineRule="exact"/>
        <w:jc w:val="left"/>
        <w:rPr>
          <w:sz w:val="24"/>
        </w:rPr>
        <w:sectPr>
          <w:footerReference r:id="rId3" w:type="default"/>
          <w:pgSz w:w="11906" w:h="16838"/>
          <w:pgMar w:top="1440" w:right="1800" w:bottom="1440" w:left="1800" w:header="720" w:footer="720" w:gutter="0"/>
          <w:pgNumType w:start="1"/>
          <w:cols w:space="720" w:num="1"/>
          <w:docGrid w:type="lines" w:linePitch="312" w:charSpace="0"/>
        </w:sectPr>
      </w:pPr>
      <w:r>
        <w:rPr>
          <w:rFonts w:hint="eastAsia"/>
          <w:sz w:val="24"/>
        </w:rPr>
        <w:t>九、一般公共预算财政拨款项目支出决算表....................................................15</w:t>
      </w:r>
    </w:p>
    <w:p w14:paraId="7957218D">
      <w:pPr>
        <w:pStyle w:val="15"/>
        <w:adjustRightInd w:val="0"/>
        <w:snapToGrid w:val="0"/>
        <w:spacing w:line="440" w:lineRule="exact"/>
        <w:jc w:val="left"/>
        <w:rPr>
          <w:rFonts w:hint="eastAsia" w:eastAsia="宋体"/>
          <w:sz w:val="24"/>
          <w:lang w:val="en-US" w:eastAsia="zh-CN"/>
        </w:rPr>
      </w:pPr>
      <w:r>
        <w:rPr>
          <w:rFonts w:hint="eastAsia"/>
          <w:sz w:val="24"/>
        </w:rPr>
        <w:t>十、政府性基金预算财政拨款收入支出决算表................................................1</w:t>
      </w:r>
      <w:r>
        <w:rPr>
          <w:rFonts w:hint="eastAsia"/>
          <w:sz w:val="24"/>
          <w:lang w:val="en-US" w:eastAsia="zh-CN"/>
        </w:rPr>
        <w:t>5</w:t>
      </w:r>
    </w:p>
    <w:p w14:paraId="0BAB2DE8">
      <w:pPr>
        <w:pStyle w:val="15"/>
        <w:adjustRightInd w:val="0"/>
        <w:snapToGrid w:val="0"/>
        <w:spacing w:line="440" w:lineRule="exact"/>
        <w:jc w:val="left"/>
        <w:rPr>
          <w:rFonts w:hint="eastAsia" w:eastAsia="宋体"/>
          <w:sz w:val="24"/>
          <w:lang w:val="en-US" w:eastAsia="zh-CN"/>
        </w:rPr>
      </w:pPr>
      <w:r>
        <w:rPr>
          <w:rFonts w:hint="eastAsia"/>
          <w:sz w:val="24"/>
        </w:rPr>
        <w:t>十一、国有资本经营预算财政拨款收入支出决算表........................................1</w:t>
      </w:r>
      <w:r>
        <w:rPr>
          <w:rFonts w:hint="eastAsia"/>
          <w:sz w:val="24"/>
          <w:lang w:val="en-US" w:eastAsia="zh-CN"/>
        </w:rPr>
        <w:t>5</w:t>
      </w:r>
    </w:p>
    <w:p w14:paraId="62676CE1">
      <w:pPr>
        <w:pStyle w:val="15"/>
        <w:adjustRightInd w:val="0"/>
        <w:snapToGrid w:val="0"/>
        <w:spacing w:line="440" w:lineRule="exact"/>
        <w:jc w:val="left"/>
        <w:rPr>
          <w:rFonts w:hint="eastAsia" w:ascii="仿宋" w:hAnsi="仿宋" w:eastAsia="宋体"/>
          <w:bCs/>
          <w:kern w:val="44"/>
          <w:sz w:val="24"/>
          <w:lang w:val="en-US" w:eastAsia="zh-CN"/>
        </w:rPr>
        <w:sectPr>
          <w:footerReference r:id="rId4" w:type="default"/>
          <w:pgSz w:w="11906" w:h="16838"/>
          <w:pgMar w:top="1440" w:right="1800" w:bottom="1440" w:left="1800" w:header="720" w:footer="720" w:gutter="0"/>
          <w:pgNumType w:start="0"/>
          <w:cols w:space="720" w:num="1"/>
          <w:docGrid w:type="lines" w:linePitch="312" w:charSpace="0"/>
        </w:sectPr>
      </w:pPr>
      <w:r>
        <w:rPr>
          <w:rFonts w:hint="eastAsia"/>
          <w:sz w:val="24"/>
        </w:rPr>
        <w:t>十二、国有资本经营预算财政拨款支出决算表................................................1</w:t>
      </w:r>
      <w:r>
        <w:rPr>
          <w:rFonts w:hint="eastAsia"/>
          <w:sz w:val="24"/>
          <w:lang w:val="en-US" w:eastAsia="zh-CN"/>
        </w:rPr>
        <w:t>5</w:t>
      </w:r>
      <w:r>
        <w:rPr>
          <w:rFonts w:hint="eastAsia"/>
          <w:sz w:val="24"/>
        </w:rPr>
        <w:t>十三、财政拨款“三公”经费支出决算表............................................................1</w:t>
      </w:r>
      <w:r>
        <w:rPr>
          <w:rFonts w:hint="eastAsia"/>
          <w:sz w:val="24"/>
          <w:lang w:val="en-US" w:eastAsia="zh-CN"/>
        </w:rPr>
        <w:t>5</w:t>
      </w:r>
    </w:p>
    <w:p w14:paraId="13655E27">
      <w:pPr>
        <w:pStyle w:val="5"/>
        <w:tabs>
          <w:tab w:val="left" w:pos="2113"/>
          <w:tab w:val="center" w:pos="4213"/>
        </w:tabs>
        <w:ind w:firstLine="1760" w:firstLineChars="400"/>
        <w:jc w:val="left"/>
        <w:rPr>
          <w:rStyle w:val="29"/>
          <w:rFonts w:ascii="黑体" w:hAnsi="黑体" w:eastAsia="黑体"/>
          <w:b/>
          <w:bCs w:val="0"/>
        </w:rPr>
      </w:pPr>
      <w:bookmarkStart w:id="6" w:name="_Toc15377196"/>
      <w:bookmarkStart w:id="7" w:name="_Toc15396599"/>
      <w:r>
        <w:rPr>
          <w:rFonts w:hint="eastAsia" w:ascii="黑体" w:hAnsi="黑体" w:eastAsia="黑体"/>
          <w:b w:val="0"/>
        </w:rPr>
        <w:t>第一部分 单位</w:t>
      </w:r>
      <w:r>
        <w:rPr>
          <w:rStyle w:val="29"/>
          <w:rFonts w:hint="eastAsia" w:ascii="黑体" w:hAnsi="黑体" w:eastAsia="黑体"/>
          <w:b w:val="0"/>
          <w:bCs w:val="0"/>
        </w:rPr>
        <w:t>概况</w:t>
      </w:r>
      <w:bookmarkEnd w:id="6"/>
      <w:bookmarkEnd w:id="7"/>
    </w:p>
    <w:p w14:paraId="1B4693F3">
      <w:pPr>
        <w:snapToGrid w:val="0"/>
        <w:spacing w:line="360" w:lineRule="auto"/>
        <w:ind w:firstLine="640" w:firstLineChars="200"/>
        <w:rPr>
          <w:rFonts w:ascii="黑体" w:hAnsi="黑体" w:eastAsia="黑体" w:cs="黑体"/>
          <w:sz w:val="32"/>
          <w:szCs w:val="32"/>
        </w:rPr>
      </w:pPr>
      <w:r>
        <w:rPr>
          <w:rStyle w:val="35"/>
          <w:rFonts w:hint="eastAsia" w:ascii="黑体" w:hAnsi="黑体" w:eastAsia="黑体"/>
          <w:b w:val="0"/>
          <w:bCs w:val="0"/>
        </w:rPr>
        <w:t>一、</w:t>
      </w:r>
      <w:r>
        <w:rPr>
          <w:rFonts w:hint="eastAsia" w:ascii="黑体" w:hAnsi="黑体" w:eastAsia="黑体" w:cs="黑体"/>
          <w:sz w:val="32"/>
          <w:szCs w:val="32"/>
        </w:rPr>
        <w:t>主要职责。</w:t>
      </w:r>
    </w:p>
    <w:p w14:paraId="4694AD6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负责盐边县温泉彝族乡7千余人口的基本医疗、基本公共卫生、预防、保健等基本医疗服务。</w:t>
      </w:r>
    </w:p>
    <w:p w14:paraId="7864EC39">
      <w:pPr>
        <w:snapToGrid w:val="0"/>
        <w:spacing w:line="360" w:lineRule="auto"/>
        <w:ind w:firstLine="640" w:firstLineChars="200"/>
        <w:rPr>
          <w:rStyle w:val="35"/>
          <w:rFonts w:ascii="黑体" w:hAnsi="黑体" w:eastAsia="黑体"/>
          <w:b w:val="0"/>
          <w:bCs w:val="0"/>
        </w:rPr>
      </w:pPr>
      <w:r>
        <w:rPr>
          <w:rStyle w:val="35"/>
          <w:rFonts w:hint="eastAsia" w:ascii="黑体" w:hAnsi="黑体" w:eastAsia="黑体"/>
          <w:b w:val="0"/>
          <w:bCs w:val="0"/>
        </w:rPr>
        <w:t>二、机构设置</w:t>
      </w:r>
    </w:p>
    <w:p w14:paraId="6DB4D295">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设有内科、外科、妇儿科、治疗室、观察室、公共卫生科、预防接种室、保健室、办公室、财务室等专业科室及综合管理业务科室，设置病床7张，本年机构无变化情况。</w:t>
      </w:r>
    </w:p>
    <w:p w14:paraId="0D2739D9">
      <w:pPr>
        <w:widowControl/>
        <w:jc w:val="left"/>
        <w:rPr>
          <w:rFonts w:ascii="仿宋" w:hAnsi="仿宋" w:eastAsia="仿宋"/>
          <w:sz w:val="32"/>
          <w:szCs w:val="32"/>
        </w:rPr>
      </w:pPr>
      <w:r>
        <w:rPr>
          <w:rFonts w:ascii="仿宋" w:hAnsi="仿宋" w:eastAsia="仿宋"/>
          <w:sz w:val="32"/>
          <w:szCs w:val="32"/>
        </w:rPr>
        <w:br w:type="page"/>
      </w:r>
    </w:p>
    <w:p w14:paraId="6D78B535">
      <w:pPr>
        <w:jc w:val="left"/>
      </w:pPr>
    </w:p>
    <w:p w14:paraId="40731B3D">
      <w:pPr>
        <w:pStyle w:val="5"/>
        <w:ind w:right="440"/>
        <w:jc w:val="center"/>
        <w:rPr>
          <w:rStyle w:val="29"/>
          <w:rFonts w:ascii="黑体" w:hAnsi="黑体" w:eastAsia="黑体"/>
          <w:b w:val="0"/>
          <w:bCs/>
        </w:rPr>
      </w:pPr>
      <w:bookmarkStart w:id="8" w:name="_Toc15377204"/>
      <w:bookmarkStart w:id="9" w:name="_Toc15396602"/>
      <w:r>
        <w:rPr>
          <w:rFonts w:hint="eastAsia" w:ascii="黑体" w:hAnsi="黑体" w:eastAsia="黑体"/>
          <w:b w:val="0"/>
        </w:rPr>
        <w:t>第二部分 2024年度</w:t>
      </w:r>
      <w:r>
        <w:rPr>
          <w:rStyle w:val="29"/>
          <w:rFonts w:hint="eastAsia" w:ascii="黑体" w:hAnsi="黑体" w:eastAsia="黑体"/>
          <w:b w:val="0"/>
          <w:bCs/>
        </w:rPr>
        <w:t>单位决算情况说明</w:t>
      </w:r>
      <w:bookmarkEnd w:id="8"/>
      <w:bookmarkEnd w:id="9"/>
    </w:p>
    <w:p w14:paraId="5D468BFA"/>
    <w:p w14:paraId="18F65A85">
      <w:pPr>
        <w:pStyle w:val="28"/>
        <w:numPr>
          <w:ilvl w:val="0"/>
          <w:numId w:val="1"/>
        </w:numPr>
        <w:spacing w:line="600" w:lineRule="exact"/>
        <w:ind w:firstLineChars="0"/>
        <w:outlineLvl w:val="1"/>
        <w:rPr>
          <w:rStyle w:val="30"/>
          <w:rFonts w:ascii="黑体" w:hAnsi="黑体" w:eastAsia="黑体"/>
          <w:b w:val="0"/>
        </w:rPr>
      </w:pPr>
      <w:bookmarkStart w:id="10" w:name="_Toc15396603"/>
      <w:bookmarkStart w:id="11"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0"/>
      <w:bookmarkEnd w:id="11"/>
    </w:p>
    <w:p w14:paraId="637D8B88">
      <w:pPr>
        <w:spacing w:line="600" w:lineRule="exact"/>
        <w:ind w:firstLine="640" w:firstLineChars="200"/>
        <w:rPr>
          <w:rFonts w:hint="eastAsia" w:ascii="仿宋_GB2312" w:hAnsi="仿宋_GB2312" w:eastAsia="仿宋_GB2312"/>
          <w:sz w:val="32"/>
          <w:szCs w:val="32"/>
        </w:rPr>
      </w:pPr>
      <w:r>
        <w:rPr>
          <w:rFonts w:hint="eastAsia" w:ascii="仿宋" w:hAnsi="仿宋" w:eastAsia="仿宋"/>
          <w:sz w:val="32"/>
          <w:szCs w:val="32"/>
        </w:rPr>
        <w:t>2024年度收、支总计均为</w:t>
      </w:r>
      <w:r>
        <w:rPr>
          <w:rFonts w:hint="eastAsia" w:ascii="仿宋" w:hAnsi="仿宋" w:eastAsia="仿宋"/>
          <w:bCs/>
          <w:sz w:val="32"/>
          <w:szCs w:val="32"/>
        </w:rPr>
        <w:t>196.17</w:t>
      </w:r>
      <w:r>
        <w:rPr>
          <w:rFonts w:hint="eastAsia" w:ascii="仿宋" w:hAnsi="仿宋" w:eastAsia="仿宋"/>
          <w:sz w:val="32"/>
          <w:szCs w:val="32"/>
        </w:rPr>
        <w:t>万元。与2023年度收支总计均为193.21万元相比，收、支总计各增加2.96万元，增长1.53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sz w:val="32"/>
          <w:szCs w:val="32"/>
        </w:rPr>
        <w:t>财政拨款收入增加，医院各类开支增加，收入支出随之增加。</w:t>
      </w:r>
    </w:p>
    <w:p w14:paraId="31FF9809">
      <w:pPr>
        <w:pStyle w:val="2"/>
      </w:pPr>
    </w:p>
    <w:p w14:paraId="5E647441">
      <w:pP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33FFFD">
      <w:pPr>
        <w:pStyle w:val="2"/>
        <w:ind w:firstLine="640" w:firstLineChars="200"/>
        <w:rPr>
          <w:rFonts w:hint="eastAsia" w:eastAsia="仿宋_GB2312" w:cs="仿宋_GB2312"/>
          <w:sz w:val="32"/>
          <w:szCs w:val="32"/>
        </w:rPr>
      </w:pPr>
      <w:r>
        <w:rPr>
          <w:rFonts w:hint="eastAsia" w:eastAsia="仿宋_GB2312" w:cs="仿宋_GB2312"/>
          <w:sz w:val="32"/>
          <w:szCs w:val="32"/>
        </w:rPr>
        <w:t>（图1：收入、支出决算总计变动情况图）</w:t>
      </w:r>
    </w:p>
    <w:p w14:paraId="70CBEB99">
      <w:pPr>
        <w:pStyle w:val="3"/>
      </w:pPr>
    </w:p>
    <w:p w14:paraId="26E40420">
      <w:pPr>
        <w:pStyle w:val="28"/>
        <w:numPr>
          <w:ilvl w:val="0"/>
          <w:numId w:val="1"/>
        </w:numPr>
        <w:spacing w:line="600" w:lineRule="exact"/>
        <w:ind w:firstLineChars="0"/>
        <w:outlineLvl w:val="1"/>
        <w:rPr>
          <w:rStyle w:val="30"/>
          <w:rFonts w:ascii="黑体" w:hAnsi="黑体" w:eastAsia="黑体"/>
          <w:b w:val="0"/>
        </w:rPr>
      </w:pPr>
      <w:bookmarkStart w:id="12" w:name="_Toc15396604"/>
      <w:bookmarkStart w:id="13" w:name="_Toc15377206"/>
      <w:r>
        <w:rPr>
          <w:rFonts w:hint="eastAsia" w:ascii="黑体" w:hAnsi="黑体" w:eastAsia="黑体"/>
          <w:sz w:val="32"/>
          <w:szCs w:val="32"/>
        </w:rPr>
        <w:t>收</w:t>
      </w:r>
      <w:r>
        <w:rPr>
          <w:rStyle w:val="30"/>
          <w:rFonts w:hint="eastAsia" w:ascii="黑体" w:hAnsi="黑体" w:eastAsia="黑体"/>
          <w:b w:val="0"/>
        </w:rPr>
        <w:t>入决算情况说明</w:t>
      </w:r>
      <w:bookmarkEnd w:id="12"/>
      <w:bookmarkEnd w:id="13"/>
    </w:p>
    <w:p w14:paraId="76EBDDAA">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2024年度本年收入合计</w:t>
      </w:r>
      <w:r>
        <w:rPr>
          <w:rFonts w:ascii="仿宋" w:hAnsi="仿宋" w:eastAsia="仿宋"/>
          <w:b/>
          <w:sz w:val="32"/>
          <w:szCs w:val="32"/>
        </w:rPr>
        <w:t>19</w:t>
      </w:r>
      <w:r>
        <w:rPr>
          <w:rFonts w:hint="eastAsia" w:ascii="仿宋" w:hAnsi="仿宋" w:eastAsia="仿宋"/>
          <w:b/>
          <w:sz w:val="32"/>
          <w:szCs w:val="32"/>
        </w:rPr>
        <w:t>6.17</w:t>
      </w:r>
      <w:r>
        <w:rPr>
          <w:rFonts w:hint="eastAsia" w:ascii="仿宋" w:hAnsi="仿宋" w:eastAsia="仿宋"/>
          <w:sz w:val="32"/>
          <w:szCs w:val="32"/>
        </w:rPr>
        <w:t>万元，其中：一般公共预算财政拨款收入</w:t>
      </w:r>
      <w:r>
        <w:rPr>
          <w:rFonts w:ascii="仿宋" w:hAnsi="仿宋" w:eastAsia="仿宋"/>
          <w:b/>
          <w:sz w:val="32"/>
          <w:szCs w:val="32"/>
        </w:rPr>
        <w:t>17</w:t>
      </w:r>
      <w:r>
        <w:rPr>
          <w:rFonts w:hint="eastAsia" w:ascii="仿宋" w:hAnsi="仿宋" w:eastAsia="仿宋"/>
          <w:b/>
          <w:sz w:val="32"/>
          <w:szCs w:val="32"/>
        </w:rPr>
        <w:t>9</w:t>
      </w:r>
      <w:r>
        <w:rPr>
          <w:rFonts w:ascii="仿宋" w:hAnsi="仿宋" w:eastAsia="仿宋"/>
          <w:b/>
          <w:sz w:val="32"/>
          <w:szCs w:val="32"/>
        </w:rPr>
        <w:t>.</w:t>
      </w:r>
      <w:r>
        <w:rPr>
          <w:rFonts w:hint="eastAsia" w:ascii="仿宋" w:hAnsi="仿宋" w:eastAsia="仿宋"/>
          <w:b/>
          <w:sz w:val="32"/>
          <w:szCs w:val="32"/>
        </w:rPr>
        <w:t>27</w:t>
      </w:r>
      <w:r>
        <w:rPr>
          <w:rFonts w:hint="eastAsia" w:ascii="仿宋" w:hAnsi="仿宋" w:eastAsia="仿宋"/>
          <w:sz w:val="32"/>
          <w:szCs w:val="32"/>
        </w:rPr>
        <w:t>万元，占</w:t>
      </w:r>
      <w:r>
        <w:rPr>
          <w:rFonts w:ascii="仿宋" w:hAnsi="仿宋" w:eastAsia="仿宋"/>
          <w:b/>
          <w:sz w:val="32"/>
          <w:szCs w:val="32"/>
        </w:rPr>
        <w:t>9</w:t>
      </w:r>
      <w:r>
        <w:rPr>
          <w:rFonts w:hint="eastAsia" w:ascii="仿宋" w:hAnsi="仿宋" w:eastAsia="仿宋"/>
          <w:b/>
          <w:sz w:val="32"/>
          <w:szCs w:val="32"/>
        </w:rPr>
        <w:t>1.39</w:t>
      </w:r>
      <w:r>
        <w:rPr>
          <w:rFonts w:ascii="仿宋" w:hAnsi="仿宋" w:eastAsia="仿宋"/>
          <w:b/>
          <w:sz w:val="32"/>
          <w:szCs w:val="32"/>
        </w:rPr>
        <w:t>%</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；事业收入16.20万元，占8.26</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0.7</w:t>
      </w:r>
      <w:r>
        <w:rPr>
          <w:rFonts w:hint="eastAsia"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0.3</w:t>
      </w:r>
      <w:r>
        <w:rPr>
          <w:rFonts w:hint="eastAsia" w:ascii="仿宋" w:hAnsi="仿宋" w:eastAsia="仿宋"/>
          <w:b/>
          <w:sz w:val="32"/>
          <w:szCs w:val="32"/>
        </w:rPr>
        <w:t>5</w:t>
      </w:r>
      <w:r>
        <w:rPr>
          <w:rFonts w:ascii="仿宋" w:hAnsi="仿宋" w:eastAsia="仿宋"/>
          <w:sz w:val="32"/>
          <w:szCs w:val="32"/>
        </w:rPr>
        <w:t>%</w:t>
      </w:r>
    </w:p>
    <w:p w14:paraId="0B9F508E">
      <w:pPr>
        <w:pStyle w:val="2"/>
      </w:pPr>
    </w:p>
    <w:p w14:paraId="0730E764">
      <w:pP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735023">
      <w:pPr>
        <w:pStyle w:val="2"/>
        <w:ind w:firstLine="1600" w:firstLineChars="500"/>
        <w:rPr>
          <w:rFonts w:hint="eastAsia" w:eastAsia="仿宋_GB2312" w:cs="仿宋_GB2312"/>
          <w:sz w:val="32"/>
          <w:szCs w:val="32"/>
        </w:rPr>
      </w:pPr>
      <w:r>
        <w:rPr>
          <w:rFonts w:hint="eastAsia" w:eastAsia="仿宋_GB2312" w:cs="仿宋_GB2312"/>
          <w:sz w:val="32"/>
          <w:szCs w:val="32"/>
        </w:rPr>
        <w:t>（图2：收入决算结构图）</w:t>
      </w:r>
    </w:p>
    <w:p w14:paraId="4164F747">
      <w:pPr>
        <w:pStyle w:val="3"/>
      </w:pPr>
    </w:p>
    <w:p w14:paraId="77B3E404">
      <w:pPr>
        <w:pStyle w:val="28"/>
        <w:numPr>
          <w:ilvl w:val="0"/>
          <w:numId w:val="1"/>
        </w:numPr>
        <w:spacing w:line="600" w:lineRule="exact"/>
        <w:ind w:firstLineChars="0"/>
        <w:outlineLvl w:val="1"/>
        <w:rPr>
          <w:rStyle w:val="30"/>
          <w:rFonts w:ascii="黑体" w:hAnsi="黑体" w:eastAsia="黑体"/>
          <w:b w:val="0"/>
        </w:rPr>
      </w:pPr>
      <w:bookmarkStart w:id="14" w:name="_Toc15396605"/>
      <w:bookmarkStart w:id="15" w:name="_Toc15377207"/>
      <w:r>
        <w:rPr>
          <w:rFonts w:hint="eastAsia" w:ascii="黑体" w:hAnsi="黑体" w:eastAsia="黑体"/>
          <w:sz w:val="32"/>
          <w:szCs w:val="32"/>
        </w:rPr>
        <w:t>支</w:t>
      </w:r>
      <w:r>
        <w:rPr>
          <w:rStyle w:val="30"/>
          <w:rFonts w:hint="eastAsia" w:ascii="黑体" w:hAnsi="黑体" w:eastAsia="黑体"/>
          <w:b w:val="0"/>
        </w:rPr>
        <w:t>出决算情况说明</w:t>
      </w:r>
      <w:bookmarkEnd w:id="14"/>
      <w:bookmarkEnd w:id="15"/>
    </w:p>
    <w:p w14:paraId="655F9F4C">
      <w:pPr>
        <w:ind w:firstLine="800" w:firstLineChars="250"/>
        <w:rPr>
          <w:rFonts w:hint="eastAsia" w:ascii="仿宋" w:hAnsi="仿宋" w:eastAsia="仿宋"/>
          <w:sz w:val="32"/>
          <w:szCs w:val="32"/>
        </w:rPr>
      </w:pPr>
      <w:r>
        <w:rPr>
          <w:rFonts w:hint="eastAsia" w:ascii="仿宋" w:hAnsi="仿宋" w:eastAsia="仿宋"/>
          <w:sz w:val="32"/>
          <w:szCs w:val="32"/>
        </w:rPr>
        <w:t>2024年度本年支出合计</w:t>
      </w:r>
      <w:r>
        <w:rPr>
          <w:rFonts w:ascii="仿宋" w:hAnsi="仿宋" w:eastAsia="仿宋"/>
          <w:b/>
          <w:sz w:val="32"/>
          <w:szCs w:val="32"/>
        </w:rPr>
        <w:t>1</w:t>
      </w:r>
      <w:r>
        <w:rPr>
          <w:rFonts w:hint="eastAsia" w:ascii="仿宋" w:hAnsi="仿宋" w:eastAsia="仿宋"/>
          <w:b/>
          <w:sz w:val="32"/>
          <w:szCs w:val="32"/>
        </w:rPr>
        <w:t>95.74</w:t>
      </w:r>
      <w:r>
        <w:rPr>
          <w:rFonts w:hint="eastAsia" w:ascii="仿宋" w:hAnsi="仿宋" w:eastAsia="仿宋"/>
          <w:sz w:val="32"/>
          <w:szCs w:val="32"/>
        </w:rPr>
        <w:t>万元，其中：基本支出</w:t>
      </w:r>
      <w:r>
        <w:rPr>
          <w:rFonts w:ascii="仿宋" w:hAnsi="仿宋" w:eastAsia="仿宋"/>
          <w:b/>
          <w:sz w:val="32"/>
          <w:szCs w:val="32"/>
        </w:rPr>
        <w:t>11</w:t>
      </w:r>
      <w:r>
        <w:rPr>
          <w:rFonts w:hint="eastAsia" w:ascii="仿宋" w:hAnsi="仿宋" w:eastAsia="仿宋"/>
          <w:b/>
          <w:sz w:val="32"/>
          <w:szCs w:val="32"/>
        </w:rPr>
        <w:t>4</w:t>
      </w:r>
      <w:r>
        <w:rPr>
          <w:rFonts w:ascii="仿宋" w:hAnsi="仿宋" w:eastAsia="仿宋"/>
          <w:b/>
          <w:sz w:val="32"/>
          <w:szCs w:val="32"/>
        </w:rPr>
        <w:t>.</w:t>
      </w:r>
      <w:r>
        <w:rPr>
          <w:rFonts w:hint="eastAsia" w:ascii="仿宋" w:hAnsi="仿宋" w:eastAsia="仿宋"/>
          <w:b/>
          <w:sz w:val="32"/>
          <w:szCs w:val="32"/>
        </w:rPr>
        <w:t>46</w:t>
      </w:r>
      <w:r>
        <w:rPr>
          <w:rFonts w:hint="eastAsia" w:ascii="仿宋" w:hAnsi="仿宋" w:eastAsia="仿宋"/>
          <w:sz w:val="32"/>
          <w:szCs w:val="32"/>
        </w:rPr>
        <w:t>万元，占</w:t>
      </w:r>
      <w:r>
        <w:rPr>
          <w:rFonts w:hint="eastAsia" w:ascii="仿宋" w:hAnsi="仿宋" w:eastAsia="仿宋"/>
          <w:b/>
          <w:sz w:val="32"/>
          <w:szCs w:val="32"/>
        </w:rPr>
        <w:t>58.48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rPr>
        <w:t>81.28</w:t>
      </w:r>
      <w:r>
        <w:rPr>
          <w:rFonts w:hint="eastAsia" w:ascii="仿宋" w:hAnsi="仿宋" w:eastAsia="仿宋"/>
          <w:sz w:val="32"/>
          <w:szCs w:val="32"/>
        </w:rPr>
        <w:t>万元，占</w:t>
      </w:r>
      <w:r>
        <w:rPr>
          <w:rFonts w:hint="eastAsia" w:ascii="仿宋" w:hAnsi="仿宋" w:eastAsia="仿宋"/>
          <w:b/>
          <w:sz w:val="32"/>
          <w:szCs w:val="32"/>
        </w:rPr>
        <w:t>41.52</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5BA4E485">
      <w:pPr>
        <w:pStyle w:val="2"/>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5369560" cy="1809115"/>
            <wp:effectExtent l="4445" t="5080" r="1714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E48A17">
      <w:pPr>
        <w:ind w:firstLine="1120" w:firstLineChars="350"/>
        <w:rPr>
          <w:rFonts w:hint="eastAsia" w:eastAsia="仿宋_GB2312" w:cs="仿宋_GB2312"/>
          <w:sz w:val="32"/>
          <w:szCs w:val="32"/>
        </w:rPr>
      </w:pPr>
      <w:r>
        <w:rPr>
          <w:rFonts w:hint="eastAsia" w:eastAsia="仿宋_GB2312" w:cs="仿宋_GB2312"/>
          <w:sz w:val="32"/>
          <w:szCs w:val="32"/>
        </w:rPr>
        <w:t>（图3：支出决算结构图）</w:t>
      </w:r>
    </w:p>
    <w:p w14:paraId="730ADB13">
      <w:pPr>
        <w:pStyle w:val="3"/>
      </w:pPr>
    </w:p>
    <w:p w14:paraId="06387648">
      <w:pPr>
        <w:spacing w:line="600" w:lineRule="exact"/>
        <w:ind w:firstLine="640" w:firstLineChars="200"/>
        <w:outlineLvl w:val="1"/>
        <w:rPr>
          <w:rStyle w:val="30"/>
          <w:rFonts w:ascii="黑体" w:hAnsi="黑体" w:eastAsia="黑体"/>
          <w:b w:val="0"/>
        </w:rPr>
      </w:pPr>
      <w:bookmarkStart w:id="16" w:name="_Toc15396606"/>
      <w:bookmarkStart w:id="17"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16"/>
      <w:bookmarkEnd w:id="17"/>
    </w:p>
    <w:p w14:paraId="439A754E">
      <w:pPr>
        <w:spacing w:line="600" w:lineRule="exact"/>
        <w:ind w:firstLine="640"/>
        <w:rPr>
          <w:rFonts w:hint="eastAsia" w:ascii="仿宋_GB2312" w:hAnsi="仿宋_GB2312" w:eastAsia="仿宋_GB2312"/>
          <w:sz w:val="32"/>
          <w:szCs w:val="32"/>
        </w:rPr>
      </w:pPr>
      <w:r>
        <w:rPr>
          <w:rFonts w:hint="eastAsia" w:ascii="仿宋" w:hAnsi="仿宋" w:eastAsia="仿宋"/>
          <w:sz w:val="32"/>
          <w:szCs w:val="32"/>
        </w:rPr>
        <w:t>2024年度财政拨款收、支总计均为</w:t>
      </w:r>
      <w:r>
        <w:rPr>
          <w:rFonts w:ascii="仿宋" w:hAnsi="仿宋" w:eastAsia="仿宋"/>
          <w:b/>
          <w:sz w:val="32"/>
          <w:szCs w:val="32"/>
        </w:rPr>
        <w:t>17</w:t>
      </w:r>
      <w:r>
        <w:rPr>
          <w:rFonts w:hint="eastAsia" w:ascii="仿宋" w:hAnsi="仿宋" w:eastAsia="仿宋"/>
          <w:b/>
          <w:sz w:val="32"/>
          <w:szCs w:val="32"/>
        </w:rPr>
        <w:t>9</w:t>
      </w:r>
      <w:r>
        <w:rPr>
          <w:rFonts w:ascii="仿宋" w:hAnsi="仿宋" w:eastAsia="仿宋"/>
          <w:b/>
          <w:sz w:val="32"/>
          <w:szCs w:val="32"/>
        </w:rPr>
        <w:t>.</w:t>
      </w:r>
      <w:r>
        <w:rPr>
          <w:rFonts w:hint="eastAsia" w:ascii="仿宋" w:hAnsi="仿宋" w:eastAsia="仿宋"/>
          <w:b/>
          <w:sz w:val="32"/>
          <w:szCs w:val="32"/>
        </w:rPr>
        <w:t>27</w:t>
      </w:r>
      <w:r>
        <w:rPr>
          <w:rFonts w:hint="eastAsia" w:ascii="仿宋" w:hAnsi="仿宋" w:eastAsia="仿宋"/>
          <w:sz w:val="32"/>
          <w:szCs w:val="32"/>
        </w:rPr>
        <w:t>万元。与2023年度相比，财政拨款收、支总计各增加1.37万元，增长0.77</w:t>
      </w:r>
      <w:r>
        <w:rPr>
          <w:rFonts w:ascii="仿宋" w:hAnsi="仿宋" w:eastAsia="仿宋"/>
          <w:sz w:val="32"/>
          <w:szCs w:val="32"/>
        </w:rPr>
        <w:t>%</w:t>
      </w:r>
      <w:r>
        <w:rPr>
          <w:rFonts w:hint="eastAsia" w:ascii="仿宋" w:hAnsi="仿宋" w:eastAsia="仿宋"/>
          <w:sz w:val="32"/>
          <w:szCs w:val="32"/>
        </w:rPr>
        <w:t>。主要变动原因是；本单位增加财政供养人员一个，</w:t>
      </w:r>
      <w:r>
        <w:rPr>
          <w:rFonts w:hint="eastAsia" w:ascii="仿宋_GB2312" w:hAnsi="仿宋_GB2312" w:eastAsia="仿宋_GB2312"/>
          <w:sz w:val="32"/>
          <w:szCs w:val="32"/>
        </w:rPr>
        <w:t>财政拨款收入随之增加。</w:t>
      </w:r>
    </w:p>
    <w:p w14:paraId="45CAFCD6">
      <w:pPr>
        <w:pStyle w:val="3"/>
        <w:ind w:left="0" w:leftChars="0" w:firstLine="0" w:firstLineChars="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3025D5">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w:t>
      </w:r>
    </w:p>
    <w:p w14:paraId="3472DFFC">
      <w:pPr>
        <w:pStyle w:val="2"/>
        <w:rPr>
          <w:rFonts w:hint="eastAsia"/>
          <w:lang w:eastAsia="zh-CN"/>
        </w:rPr>
      </w:pPr>
    </w:p>
    <w:p w14:paraId="4F32EF63">
      <w:pPr>
        <w:spacing w:line="600" w:lineRule="exact"/>
        <w:ind w:firstLine="640" w:firstLineChars="200"/>
        <w:outlineLvl w:val="1"/>
        <w:rPr>
          <w:rStyle w:val="30"/>
          <w:rFonts w:ascii="黑体" w:hAnsi="黑体" w:eastAsia="黑体"/>
          <w:b w:val="0"/>
        </w:rPr>
      </w:pPr>
      <w:bookmarkStart w:id="18" w:name="_Toc15396607"/>
      <w:bookmarkStart w:id="19"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18"/>
      <w:bookmarkEnd w:id="19"/>
    </w:p>
    <w:p w14:paraId="3DEF03D3">
      <w:pPr>
        <w:spacing w:line="600" w:lineRule="exact"/>
        <w:ind w:firstLine="643" w:firstLineChars="200"/>
        <w:outlineLvl w:val="2"/>
        <w:rPr>
          <w:rFonts w:ascii="仿宋" w:hAnsi="仿宋" w:eastAsia="仿宋"/>
          <w:b/>
          <w:sz w:val="32"/>
          <w:szCs w:val="32"/>
        </w:rPr>
      </w:pPr>
      <w:bookmarkStart w:id="20" w:name="_Toc15377210"/>
      <w:r>
        <w:rPr>
          <w:rFonts w:hint="eastAsia" w:ascii="仿宋" w:hAnsi="仿宋" w:eastAsia="仿宋"/>
          <w:b/>
          <w:sz w:val="32"/>
          <w:szCs w:val="32"/>
        </w:rPr>
        <w:t>（一）一般公共预算财政拨款支出决算总体情况</w:t>
      </w:r>
      <w:bookmarkEnd w:id="20"/>
    </w:p>
    <w:p w14:paraId="65D3DB86">
      <w:pPr>
        <w:spacing w:line="600" w:lineRule="exact"/>
        <w:ind w:firstLine="640"/>
        <w:rPr>
          <w:rFonts w:hint="eastAsia" w:ascii="仿宋_GB2312" w:hAnsi="仿宋_GB2312" w:eastAsia="仿宋_GB2312"/>
          <w:sz w:val="32"/>
          <w:szCs w:val="32"/>
        </w:rPr>
      </w:pPr>
      <w:r>
        <w:rPr>
          <w:rFonts w:hint="eastAsia" w:ascii="仿宋" w:hAnsi="仿宋" w:eastAsia="仿宋"/>
          <w:sz w:val="32"/>
          <w:szCs w:val="32"/>
        </w:rPr>
        <w:t>2024年度一般公共预算财政拨款支出</w:t>
      </w:r>
      <w:r>
        <w:rPr>
          <w:rFonts w:ascii="仿宋" w:hAnsi="仿宋" w:eastAsia="仿宋"/>
          <w:b/>
          <w:sz w:val="32"/>
          <w:szCs w:val="32"/>
        </w:rPr>
        <w:t>17</w:t>
      </w:r>
      <w:r>
        <w:rPr>
          <w:rFonts w:hint="eastAsia" w:ascii="仿宋" w:hAnsi="仿宋" w:eastAsia="仿宋"/>
          <w:b/>
          <w:sz w:val="32"/>
          <w:szCs w:val="32"/>
        </w:rPr>
        <w:t>9</w:t>
      </w:r>
      <w:r>
        <w:rPr>
          <w:rFonts w:ascii="仿宋" w:hAnsi="仿宋" w:eastAsia="仿宋"/>
          <w:b/>
          <w:sz w:val="32"/>
          <w:szCs w:val="32"/>
        </w:rPr>
        <w:t>.</w:t>
      </w:r>
      <w:r>
        <w:rPr>
          <w:rFonts w:hint="eastAsia" w:ascii="仿宋" w:hAnsi="仿宋" w:eastAsia="仿宋"/>
          <w:b/>
          <w:sz w:val="32"/>
          <w:szCs w:val="32"/>
        </w:rPr>
        <w:t>27</w:t>
      </w:r>
      <w:r>
        <w:rPr>
          <w:rFonts w:hint="eastAsia" w:ascii="仿宋" w:hAnsi="仿宋" w:eastAsia="仿宋"/>
          <w:sz w:val="32"/>
          <w:szCs w:val="32"/>
        </w:rPr>
        <w:t>万元，占本年支出合计的</w:t>
      </w:r>
      <w:r>
        <w:rPr>
          <w:rFonts w:hint="eastAsia" w:ascii="仿宋" w:hAnsi="仿宋" w:eastAsia="仿宋"/>
          <w:b/>
          <w:sz w:val="32"/>
          <w:szCs w:val="32"/>
        </w:rPr>
        <w:t>91.59</w:t>
      </w:r>
      <w:r>
        <w:rPr>
          <w:rFonts w:ascii="仿宋" w:hAnsi="仿宋" w:eastAsia="仿宋"/>
          <w:sz w:val="32"/>
          <w:szCs w:val="32"/>
        </w:rPr>
        <w:t>%</w:t>
      </w:r>
      <w:r>
        <w:rPr>
          <w:rFonts w:hint="eastAsia" w:ascii="仿宋" w:hAnsi="仿宋" w:eastAsia="仿宋"/>
          <w:sz w:val="32"/>
          <w:szCs w:val="32"/>
        </w:rPr>
        <w:t>。与2023年度相比，一般公共预算财政拨款支出增加1.37万元，增长0.77</w:t>
      </w:r>
      <w:r>
        <w:rPr>
          <w:rFonts w:ascii="仿宋" w:hAnsi="仿宋" w:eastAsia="仿宋"/>
          <w:sz w:val="32"/>
          <w:szCs w:val="32"/>
        </w:rPr>
        <w:t>%</w:t>
      </w:r>
      <w:r>
        <w:rPr>
          <w:rFonts w:hint="eastAsia" w:ascii="仿宋" w:hAnsi="仿宋" w:eastAsia="仿宋"/>
          <w:sz w:val="32"/>
          <w:szCs w:val="32"/>
        </w:rPr>
        <w:t>。主要变动原因是本单位增加财政供养人员一个，</w:t>
      </w:r>
      <w:r>
        <w:rPr>
          <w:rFonts w:hint="eastAsia" w:ascii="仿宋_GB2312" w:hAnsi="仿宋_GB2312" w:eastAsia="仿宋_GB2312"/>
          <w:sz w:val="32"/>
          <w:szCs w:val="32"/>
        </w:rPr>
        <w:t>财政拨款收入随之增加。</w:t>
      </w:r>
    </w:p>
    <w:p w14:paraId="0A83786D">
      <w:pPr>
        <w:pStyle w:val="3"/>
        <w:ind w:left="0" w:leftChars="0" w:firstLine="0" w:firstLineChars="0"/>
        <w:rPr>
          <w:rFonts w:ascii="仿宋" w:hAnsi="仿宋" w:eastAsia="仿宋"/>
          <w:sz w:val="32"/>
          <w:szCs w:val="32"/>
        </w:rPr>
      </w:pPr>
      <w:r>
        <w:rPr>
          <w:rFonts w:hint="eastAsia" w:eastAsia="仿宋_GB2312"/>
          <w:lang w:eastAsia="zh-CN"/>
        </w:rPr>
        <w:drawing>
          <wp:inline distT="0" distB="0" distL="114300" distR="114300">
            <wp:extent cx="5256530" cy="2865120"/>
            <wp:effectExtent l="4445" t="4445" r="15875" b="698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C62D4C">
      <w:pPr>
        <w:spacing w:line="600" w:lineRule="exact"/>
        <w:ind w:firstLine="320" w:firstLineChars="100"/>
        <w:rPr>
          <w:rFonts w:ascii="仿宋" w:hAnsi="仿宋" w:eastAsia="仿宋"/>
          <w:sz w:val="32"/>
          <w:szCs w:val="32"/>
        </w:rPr>
      </w:pPr>
      <w:r>
        <w:rPr>
          <w:rFonts w:hint="eastAsia" w:eastAsia="仿宋_GB2312" w:cs="仿宋_GB2312"/>
          <w:sz w:val="32"/>
          <w:szCs w:val="32"/>
        </w:rPr>
        <w:t>（图5：一般公共预算财政拨款支出决算变动情况）</w:t>
      </w:r>
    </w:p>
    <w:p w14:paraId="566EA7E0">
      <w:pPr>
        <w:spacing w:line="600" w:lineRule="exact"/>
        <w:ind w:firstLine="643" w:firstLineChars="200"/>
        <w:outlineLvl w:val="2"/>
        <w:rPr>
          <w:rFonts w:ascii="仿宋" w:hAnsi="仿宋" w:eastAsia="仿宋"/>
          <w:b/>
          <w:sz w:val="32"/>
          <w:szCs w:val="32"/>
        </w:rPr>
      </w:pPr>
      <w:bookmarkStart w:id="21" w:name="_Toc15377211"/>
      <w:r>
        <w:rPr>
          <w:rFonts w:hint="eastAsia" w:ascii="仿宋" w:hAnsi="仿宋" w:eastAsia="仿宋"/>
          <w:b/>
          <w:sz w:val="32"/>
          <w:szCs w:val="32"/>
        </w:rPr>
        <w:t>（二）一般公共预算财政拨款支出决算结构情况</w:t>
      </w:r>
      <w:bookmarkEnd w:id="21"/>
    </w:p>
    <w:p w14:paraId="69B60C92">
      <w:pPr>
        <w:spacing w:line="600" w:lineRule="exact"/>
        <w:ind w:firstLine="640"/>
        <w:rPr>
          <w:rFonts w:hint="eastAsia" w:ascii="仿宋" w:hAnsi="仿宋" w:eastAsia="仿宋"/>
          <w:sz w:val="32"/>
          <w:szCs w:val="32"/>
        </w:rPr>
      </w:pPr>
      <w:r>
        <w:rPr>
          <w:rFonts w:hint="eastAsia" w:ascii="仿宋" w:hAnsi="仿宋" w:eastAsia="仿宋"/>
          <w:sz w:val="32"/>
          <w:szCs w:val="32"/>
        </w:rPr>
        <w:t>2024年度一般公共预算财政拨款支出</w:t>
      </w:r>
      <w:r>
        <w:rPr>
          <w:rFonts w:ascii="仿宋" w:hAnsi="仿宋" w:eastAsia="仿宋"/>
          <w:b/>
          <w:sz w:val="32"/>
          <w:szCs w:val="32"/>
        </w:rPr>
        <w:t>17</w:t>
      </w:r>
      <w:r>
        <w:rPr>
          <w:rFonts w:hint="eastAsia" w:ascii="仿宋" w:hAnsi="仿宋" w:eastAsia="仿宋"/>
          <w:b/>
          <w:sz w:val="32"/>
          <w:szCs w:val="32"/>
        </w:rPr>
        <w:t>9</w:t>
      </w:r>
      <w:r>
        <w:rPr>
          <w:rFonts w:ascii="仿宋" w:hAnsi="仿宋" w:eastAsia="仿宋"/>
          <w:b/>
          <w:sz w:val="32"/>
          <w:szCs w:val="32"/>
        </w:rPr>
        <w:t>.</w:t>
      </w:r>
      <w:r>
        <w:rPr>
          <w:rFonts w:hint="eastAsia" w:ascii="仿宋" w:hAnsi="仿宋" w:eastAsia="仿宋"/>
          <w:b/>
          <w:sz w:val="32"/>
          <w:szCs w:val="32"/>
        </w:rPr>
        <w:t>27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sz w:val="32"/>
          <w:szCs w:val="32"/>
        </w:rPr>
        <w:t>支出15.26万元，占8.51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156.05万元，占87.05</w:t>
      </w:r>
      <w:r>
        <w:rPr>
          <w:rFonts w:ascii="仿宋" w:hAnsi="仿宋" w:eastAsia="仿宋"/>
          <w:sz w:val="32"/>
          <w:szCs w:val="32"/>
        </w:rPr>
        <w:t>%</w:t>
      </w:r>
      <w:r>
        <w:rPr>
          <w:rFonts w:hint="eastAsia" w:ascii="仿宋" w:hAnsi="仿宋" w:eastAsia="仿宋"/>
          <w:sz w:val="32"/>
          <w:szCs w:val="32"/>
        </w:rPr>
        <w:t>；住房保障支出7.97万元，占4.45</w:t>
      </w:r>
      <w:r>
        <w:rPr>
          <w:rFonts w:ascii="仿宋" w:hAnsi="仿宋" w:eastAsia="仿宋"/>
          <w:sz w:val="32"/>
          <w:szCs w:val="32"/>
        </w:rPr>
        <w:t>%</w:t>
      </w:r>
      <w:r>
        <w:rPr>
          <w:rFonts w:hint="eastAsia" w:ascii="仿宋" w:hAnsi="仿宋" w:eastAsia="仿宋"/>
          <w:sz w:val="32"/>
          <w:szCs w:val="32"/>
        </w:rPr>
        <w:t>。</w:t>
      </w:r>
    </w:p>
    <w:p w14:paraId="277EC53D">
      <w:pPr>
        <w:pStyle w:val="2"/>
        <w:rPr>
          <w:rFonts w:hint="eastAsia" w:ascii="仿宋" w:hAnsi="仿宋" w:eastAsia="仿宋"/>
          <w:sz w:val="32"/>
          <w:szCs w:val="32"/>
        </w:rPr>
      </w:pPr>
    </w:p>
    <w:p w14:paraId="0183B2C1">
      <w:pPr>
        <w:pStyle w:val="3"/>
        <w:ind w:left="0" w:leftChars="0" w:firstLine="0" w:firstLineChars="0"/>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112010"/>
            <wp:effectExtent l="4445" t="4445" r="15875" b="1714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1603D">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1E3ED40D">
      <w:pPr>
        <w:pStyle w:val="2"/>
      </w:pPr>
    </w:p>
    <w:p w14:paraId="5260FEAC">
      <w:pPr>
        <w:spacing w:line="600" w:lineRule="exact"/>
        <w:ind w:firstLine="643" w:firstLineChars="200"/>
        <w:outlineLvl w:val="2"/>
        <w:rPr>
          <w:rFonts w:ascii="仿宋" w:hAnsi="仿宋" w:eastAsia="仿宋"/>
          <w:b/>
          <w:sz w:val="32"/>
          <w:szCs w:val="32"/>
        </w:rPr>
      </w:pPr>
      <w:bookmarkStart w:id="22" w:name="_Toc15377212"/>
      <w:r>
        <w:rPr>
          <w:rFonts w:hint="eastAsia" w:ascii="仿宋" w:hAnsi="仿宋" w:eastAsia="仿宋"/>
          <w:b/>
          <w:sz w:val="32"/>
          <w:szCs w:val="32"/>
        </w:rPr>
        <w:t>（三）一般公共预算财政拨款支出决算具体情况</w:t>
      </w:r>
      <w:bookmarkEnd w:id="22"/>
    </w:p>
    <w:p w14:paraId="71B66A6A">
      <w:pPr>
        <w:spacing w:line="600" w:lineRule="exact"/>
        <w:ind w:firstLine="640" w:firstLineChars="200"/>
        <w:outlineLvl w:val="2"/>
        <w:rPr>
          <w:rStyle w:val="18"/>
          <w:rFonts w:ascii="仿宋" w:hAnsi="仿宋" w:eastAsia="仿宋"/>
          <w:b w:val="0"/>
          <w:bCs/>
          <w:sz w:val="32"/>
          <w:szCs w:val="32"/>
        </w:rPr>
      </w:pPr>
      <w:bookmarkStart w:id="23" w:name="_Toc15377213"/>
      <w:bookmarkStart w:id="24" w:name="_Toc15378460"/>
      <w:bookmarkStart w:id="25" w:name="_Toc15377444"/>
      <w:r>
        <w:rPr>
          <w:rFonts w:hint="eastAsia" w:ascii="仿宋" w:hAnsi="仿宋" w:eastAsia="仿宋"/>
          <w:b w:val="0"/>
          <w:bCs/>
          <w:sz w:val="32"/>
          <w:szCs w:val="32"/>
        </w:rPr>
        <w:t>2024年度一般公共预算支出决算数为</w:t>
      </w:r>
      <w:bookmarkEnd w:id="23"/>
      <w:bookmarkEnd w:id="24"/>
      <w:bookmarkEnd w:id="25"/>
      <w:r>
        <w:rPr>
          <w:rFonts w:hint="eastAsia" w:ascii="仿宋" w:hAnsi="仿宋" w:eastAsia="仿宋"/>
          <w:b w:val="0"/>
          <w:bCs/>
          <w:sz w:val="32"/>
          <w:szCs w:val="32"/>
        </w:rPr>
        <w:t>179.27万元，</w:t>
      </w:r>
      <w:r>
        <w:rPr>
          <w:rStyle w:val="18"/>
          <w:rFonts w:hint="eastAsia" w:ascii="仿宋" w:hAnsi="仿宋" w:eastAsia="仿宋"/>
          <w:b w:val="0"/>
          <w:bCs/>
          <w:sz w:val="32"/>
          <w:szCs w:val="32"/>
        </w:rPr>
        <w:t>完成预算数的100%，其中：</w:t>
      </w:r>
    </w:p>
    <w:p w14:paraId="4ECFA6E0">
      <w:pPr>
        <w:spacing w:line="600" w:lineRule="exact"/>
        <w:ind w:firstLine="640" w:firstLineChars="200"/>
        <w:rPr>
          <w:b w:val="0"/>
          <w:bCs/>
        </w:rPr>
      </w:pPr>
      <w:r>
        <w:rPr>
          <w:rStyle w:val="18"/>
          <w:rFonts w:hint="eastAsia" w:ascii="仿宋" w:hAnsi="仿宋" w:eastAsia="仿宋"/>
          <w:b w:val="0"/>
          <w:bCs/>
          <w:color w:val="000000"/>
          <w:sz w:val="32"/>
          <w:szCs w:val="32"/>
        </w:rPr>
        <w:t>1</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社会保障和就业（类）行政事业单位养老支出（款）机关事业单位基本养老保险缴费支出（项）</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支出决算为9.49万元，完成预算100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13F54698">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color w:val="000000"/>
          <w:sz w:val="32"/>
          <w:szCs w:val="32"/>
        </w:rPr>
        <w:t>2</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社会保障和就业（类）</w:t>
      </w:r>
      <w:r>
        <w:rPr>
          <w:rStyle w:val="18"/>
          <w:rFonts w:eastAsia="仿宋_GB2312"/>
          <w:b w:val="0"/>
          <w:bCs/>
          <w:sz w:val="32"/>
          <w:szCs w:val="32"/>
        </w:rPr>
        <w:t>抚恤（款）伤残抚恤（项）</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Fonts w:hint="eastAsia" w:ascii="仿宋" w:hAnsi="仿宋" w:eastAsia="仿宋"/>
          <w:b w:val="0"/>
          <w:bCs/>
          <w:sz w:val="32"/>
          <w:szCs w:val="32"/>
        </w:rPr>
        <w:t>0</w:t>
      </w:r>
      <w:r>
        <w:rPr>
          <w:rStyle w:val="18"/>
          <w:rFonts w:hint="eastAsia" w:ascii="仿宋" w:hAnsi="仿宋" w:eastAsia="仿宋"/>
          <w:b w:val="0"/>
          <w:bCs/>
          <w:color w:val="000000"/>
          <w:sz w:val="32"/>
          <w:szCs w:val="32"/>
        </w:rPr>
        <w:t>万元，完成预算0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0F7D93B5">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val="0"/>
          <w:bCs/>
          <w:color w:val="000000"/>
          <w:sz w:val="32"/>
          <w:szCs w:val="32"/>
        </w:rPr>
        <w:t>3.</w:t>
      </w:r>
      <w:r>
        <w:rPr>
          <w:rFonts w:hint="eastAsia" w:ascii="仿宋" w:hAnsi="仿宋" w:eastAsia="仿宋"/>
          <w:b w:val="0"/>
          <w:bCs/>
          <w:color w:val="000000" w:themeColor="text1"/>
          <w:sz w:val="32"/>
          <w:szCs w:val="32"/>
          <w14:textFill>
            <w14:solidFill>
              <w14:schemeClr w14:val="tx1"/>
            </w14:solidFill>
          </w14:textFill>
        </w:rPr>
        <w:t>卫生健康</w:t>
      </w:r>
      <w:r>
        <w:rPr>
          <w:rStyle w:val="18"/>
          <w:rFonts w:hint="eastAsia" w:ascii="仿宋" w:hAnsi="仿宋" w:eastAsia="仿宋"/>
          <w:b w:val="0"/>
          <w:bCs/>
          <w:color w:val="000000"/>
          <w:sz w:val="32"/>
          <w:szCs w:val="32"/>
        </w:rPr>
        <w:t>（类）基层医疗卫生机构（款）乡镇卫生院（项）</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支出决算为66.68万元，完成预算100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35F37168">
      <w:pPr>
        <w:spacing w:line="600" w:lineRule="exact"/>
        <w:ind w:firstLine="640" w:firstLineChars="200"/>
        <w:rPr>
          <w:b w:val="0"/>
          <w:bCs/>
        </w:rPr>
      </w:pPr>
      <w:r>
        <w:rPr>
          <w:rStyle w:val="18"/>
          <w:rFonts w:hint="eastAsia" w:ascii="仿宋" w:hAnsi="仿宋" w:eastAsia="仿宋"/>
          <w:b w:val="0"/>
          <w:bCs/>
          <w:color w:val="000000"/>
          <w:sz w:val="32"/>
          <w:szCs w:val="32"/>
        </w:rPr>
        <w:t>4.</w:t>
      </w:r>
      <w:r>
        <w:rPr>
          <w:rFonts w:hint="eastAsia" w:ascii="仿宋" w:hAnsi="仿宋" w:eastAsia="仿宋"/>
          <w:b w:val="0"/>
          <w:bCs/>
          <w:color w:val="000000" w:themeColor="text1"/>
          <w:sz w:val="32"/>
          <w:szCs w:val="32"/>
          <w14:textFill>
            <w14:solidFill>
              <w14:schemeClr w14:val="tx1"/>
            </w14:solidFill>
          </w14:textFill>
        </w:rPr>
        <w:t>卫生健康</w:t>
      </w:r>
      <w:r>
        <w:rPr>
          <w:rStyle w:val="18"/>
          <w:rFonts w:hint="eastAsia" w:ascii="仿宋" w:hAnsi="仿宋" w:eastAsia="仿宋"/>
          <w:b w:val="0"/>
          <w:bCs/>
          <w:color w:val="000000"/>
          <w:sz w:val="32"/>
          <w:szCs w:val="32"/>
        </w:rPr>
        <w:t>（类）基层医疗卫生机构（款）</w:t>
      </w:r>
      <w:r>
        <w:rPr>
          <w:rStyle w:val="18"/>
          <w:rFonts w:eastAsia="仿宋_GB2312"/>
          <w:b w:val="0"/>
          <w:bCs/>
          <w:sz w:val="32"/>
          <w:szCs w:val="32"/>
        </w:rPr>
        <w:t>其他基层医疗卫生机构支出（项）</w:t>
      </w:r>
      <w:r>
        <w:rPr>
          <w:rStyle w:val="18"/>
          <w:rFonts w:hint="eastAsia" w:eastAsia="仿宋_GB2312"/>
          <w:b w:val="0"/>
          <w:bCs/>
          <w:sz w:val="32"/>
          <w:szCs w:val="32"/>
        </w:rPr>
        <w:t xml:space="preserve">: </w:t>
      </w:r>
      <w:r>
        <w:rPr>
          <w:rStyle w:val="18"/>
          <w:rFonts w:hint="eastAsia" w:ascii="仿宋" w:hAnsi="仿宋" w:eastAsia="仿宋"/>
          <w:b w:val="0"/>
          <w:bCs/>
          <w:color w:val="000000"/>
          <w:sz w:val="32"/>
          <w:szCs w:val="32"/>
        </w:rPr>
        <w:t>支出决算为15.4万元，完成预算100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4E940BCA">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themeColor="text1"/>
          <w:sz w:val="32"/>
          <w:szCs w:val="32"/>
          <w14:textFill>
            <w14:solidFill>
              <w14:schemeClr w14:val="tx1"/>
            </w14:solidFill>
          </w14:textFill>
        </w:rPr>
        <w:t>5.卫生健康</w:t>
      </w:r>
      <w:r>
        <w:rPr>
          <w:rStyle w:val="18"/>
          <w:rFonts w:hint="eastAsia" w:ascii="仿宋" w:hAnsi="仿宋" w:eastAsia="仿宋"/>
          <w:b w:val="0"/>
          <w:bCs/>
          <w:color w:val="000000"/>
          <w:sz w:val="32"/>
          <w:szCs w:val="32"/>
        </w:rPr>
        <w:t>（类）</w:t>
      </w:r>
      <w:r>
        <w:rPr>
          <w:rStyle w:val="18"/>
          <w:rFonts w:eastAsia="仿宋_GB2312"/>
          <w:b w:val="0"/>
          <w:bCs/>
          <w:sz w:val="32"/>
          <w:szCs w:val="32"/>
        </w:rPr>
        <w:t>公共卫生（款）基本公共卫生服务（项）</w:t>
      </w:r>
      <w:r>
        <w:rPr>
          <w:rStyle w:val="18"/>
          <w:rFonts w:hint="eastAsia" w:eastAsia="仿宋_GB2312"/>
          <w:b w:val="0"/>
          <w:bCs/>
          <w:sz w:val="32"/>
          <w:szCs w:val="32"/>
        </w:rPr>
        <w:t xml:space="preserve">: </w:t>
      </w:r>
      <w:r>
        <w:rPr>
          <w:rStyle w:val="18"/>
          <w:rFonts w:hint="eastAsia" w:ascii="仿宋" w:hAnsi="仿宋" w:eastAsia="仿宋"/>
          <w:b w:val="0"/>
          <w:bCs/>
          <w:color w:val="000000"/>
          <w:sz w:val="32"/>
          <w:szCs w:val="32"/>
        </w:rPr>
        <w:t>支出决算为62.21万元，完成预算100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3C8AEB9A">
      <w:pPr>
        <w:spacing w:line="600" w:lineRule="exact"/>
        <w:ind w:firstLine="640" w:firstLineChars="200"/>
        <w:rPr>
          <w:rStyle w:val="18"/>
          <w:rFonts w:ascii="仿宋" w:hAnsi="仿宋" w:eastAsia="仿宋"/>
          <w:b w:val="0"/>
          <w:bCs/>
          <w:color w:val="000000"/>
          <w:sz w:val="32"/>
          <w:szCs w:val="32"/>
        </w:rPr>
      </w:pPr>
      <w:r>
        <w:rPr>
          <w:rFonts w:hint="eastAsia" w:ascii="仿宋" w:hAnsi="仿宋" w:eastAsia="仿宋"/>
          <w:b w:val="0"/>
          <w:bCs/>
          <w:color w:val="000000" w:themeColor="text1"/>
          <w:sz w:val="32"/>
          <w:szCs w:val="32"/>
          <w14:textFill>
            <w14:solidFill>
              <w14:schemeClr w14:val="tx1"/>
            </w14:solidFill>
          </w14:textFill>
        </w:rPr>
        <w:t>6.卫生健康</w:t>
      </w:r>
      <w:r>
        <w:rPr>
          <w:rStyle w:val="18"/>
          <w:rFonts w:hint="eastAsia" w:ascii="仿宋" w:hAnsi="仿宋" w:eastAsia="仿宋"/>
          <w:b w:val="0"/>
          <w:bCs/>
          <w:color w:val="000000"/>
          <w:sz w:val="32"/>
          <w:szCs w:val="32"/>
        </w:rPr>
        <w:t>（类）</w:t>
      </w:r>
      <w:r>
        <w:rPr>
          <w:rStyle w:val="18"/>
          <w:rFonts w:eastAsia="仿宋_GB2312"/>
          <w:b w:val="0"/>
          <w:bCs/>
          <w:sz w:val="32"/>
          <w:szCs w:val="32"/>
        </w:rPr>
        <w:t>公共卫生（款）重大公共卫生服务（项）</w:t>
      </w:r>
      <w:r>
        <w:rPr>
          <w:rStyle w:val="18"/>
          <w:rFonts w:hint="eastAsia" w:eastAsia="仿宋_GB2312"/>
          <w:b w:val="0"/>
          <w:bCs/>
          <w:sz w:val="32"/>
          <w:szCs w:val="32"/>
        </w:rPr>
        <w:t>:</w:t>
      </w:r>
      <w:r>
        <w:rPr>
          <w:rStyle w:val="18"/>
          <w:rFonts w:hint="eastAsia" w:ascii="仿宋" w:hAnsi="仿宋" w:eastAsia="仿宋"/>
          <w:b w:val="0"/>
          <w:bCs/>
          <w:color w:val="000000"/>
          <w:sz w:val="32"/>
          <w:szCs w:val="32"/>
        </w:rPr>
        <w:t>支出决算为3.48万元，完成预算100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3D878B81">
      <w:pPr>
        <w:spacing w:line="600" w:lineRule="exact"/>
        <w:ind w:firstLine="640" w:firstLineChars="200"/>
        <w:rPr>
          <w:rFonts w:eastAsia="仿宋_GB2312"/>
          <w:b w:val="0"/>
          <w:bCs/>
        </w:rPr>
      </w:pPr>
      <w:r>
        <w:rPr>
          <w:rStyle w:val="18"/>
          <w:rFonts w:hint="eastAsia" w:ascii="仿宋" w:hAnsi="仿宋" w:eastAsia="仿宋"/>
          <w:b w:val="0"/>
          <w:bCs/>
          <w:color w:val="000000"/>
          <w:sz w:val="32"/>
          <w:szCs w:val="32"/>
        </w:rPr>
        <w:t>7.</w:t>
      </w:r>
      <w:r>
        <w:rPr>
          <w:rFonts w:hint="eastAsia" w:ascii="仿宋" w:hAnsi="仿宋" w:eastAsia="仿宋"/>
          <w:b w:val="0"/>
          <w:bCs/>
          <w:color w:val="000000" w:themeColor="text1"/>
          <w:sz w:val="32"/>
          <w:szCs w:val="32"/>
          <w14:textFill>
            <w14:solidFill>
              <w14:schemeClr w14:val="tx1"/>
            </w14:solidFill>
          </w14:textFill>
        </w:rPr>
        <w:t>卫生健康</w:t>
      </w:r>
      <w:r>
        <w:rPr>
          <w:rStyle w:val="18"/>
          <w:rFonts w:hint="eastAsia" w:ascii="仿宋" w:hAnsi="仿宋" w:eastAsia="仿宋"/>
          <w:b w:val="0"/>
          <w:bCs/>
          <w:color w:val="000000"/>
          <w:sz w:val="32"/>
          <w:szCs w:val="32"/>
        </w:rPr>
        <w:t>（类）</w:t>
      </w:r>
      <w:r>
        <w:rPr>
          <w:rStyle w:val="18"/>
          <w:rFonts w:eastAsia="仿宋_GB2312"/>
          <w:b w:val="0"/>
          <w:bCs/>
          <w:sz w:val="32"/>
          <w:szCs w:val="32"/>
        </w:rPr>
        <w:t>公共卫生（款）行政事业单位医疗（款）事业单位医疗（项）</w:t>
      </w:r>
      <w:r>
        <w:rPr>
          <w:rStyle w:val="18"/>
          <w:rFonts w:hint="eastAsia" w:eastAsia="仿宋_GB2312"/>
          <w:b w:val="0"/>
          <w:bCs/>
          <w:sz w:val="32"/>
          <w:szCs w:val="32"/>
        </w:rPr>
        <w:t>:</w:t>
      </w:r>
      <w:r>
        <w:rPr>
          <w:rStyle w:val="18"/>
          <w:rFonts w:hint="eastAsia" w:ascii="仿宋" w:hAnsi="仿宋" w:eastAsia="仿宋"/>
          <w:b w:val="0"/>
          <w:bCs/>
          <w:color w:val="000000"/>
          <w:sz w:val="32"/>
          <w:szCs w:val="32"/>
        </w:rPr>
        <w:t>支出决算为5.63万元，完成预算100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14:paraId="15EDCDB2">
      <w:pPr>
        <w:spacing w:line="600" w:lineRule="exact"/>
        <w:ind w:firstLine="640" w:firstLineChars="200"/>
        <w:rPr>
          <w:b w:val="0"/>
          <w:bCs w:val="0"/>
        </w:rPr>
      </w:pPr>
      <w:r>
        <w:rPr>
          <w:rStyle w:val="18"/>
          <w:rFonts w:hint="eastAsia" w:ascii="仿宋" w:hAnsi="仿宋" w:eastAsia="仿宋"/>
          <w:b w:val="0"/>
          <w:bCs w:val="0"/>
          <w:color w:val="000000"/>
          <w:sz w:val="32"/>
          <w:szCs w:val="32"/>
        </w:rPr>
        <w:t>8.</w:t>
      </w:r>
      <w:r>
        <w:rPr>
          <w:rFonts w:hint="eastAsia" w:ascii="仿宋" w:hAnsi="仿宋" w:eastAsia="仿宋"/>
          <w:b w:val="0"/>
          <w:bCs w:val="0"/>
          <w:color w:val="000000" w:themeColor="text1"/>
          <w:sz w:val="32"/>
          <w:szCs w:val="32"/>
          <w14:textFill>
            <w14:solidFill>
              <w14:schemeClr w14:val="tx1"/>
            </w14:solidFill>
          </w14:textFill>
        </w:rPr>
        <w:t>卫生健康</w:t>
      </w:r>
      <w:r>
        <w:rPr>
          <w:rStyle w:val="18"/>
          <w:rFonts w:hint="eastAsia" w:ascii="仿宋" w:hAnsi="仿宋" w:eastAsia="仿宋"/>
          <w:b w:val="0"/>
          <w:bCs w:val="0"/>
          <w:color w:val="000000"/>
          <w:sz w:val="32"/>
          <w:szCs w:val="32"/>
        </w:rPr>
        <w:t>（类）</w:t>
      </w:r>
      <w:r>
        <w:rPr>
          <w:rStyle w:val="18"/>
          <w:rFonts w:eastAsia="仿宋_GB2312"/>
          <w:b w:val="0"/>
          <w:bCs w:val="0"/>
          <w:sz w:val="32"/>
          <w:szCs w:val="32"/>
        </w:rPr>
        <w:t>公共卫生（款）行政事业单位医疗（款）</w:t>
      </w:r>
      <w:r>
        <w:rPr>
          <w:rStyle w:val="18"/>
          <w:rFonts w:hint="eastAsia" w:eastAsia="仿宋_GB2312"/>
          <w:b w:val="0"/>
          <w:bCs w:val="0"/>
          <w:sz w:val="32"/>
          <w:szCs w:val="32"/>
        </w:rPr>
        <w:t>其他行政事业单位医疗支出</w:t>
      </w:r>
      <w:r>
        <w:rPr>
          <w:rStyle w:val="18"/>
          <w:rFonts w:eastAsia="仿宋_GB2312"/>
          <w:b w:val="0"/>
          <w:bCs w:val="0"/>
          <w:sz w:val="32"/>
          <w:szCs w:val="32"/>
        </w:rPr>
        <w:t>（项）</w:t>
      </w:r>
      <w:r>
        <w:rPr>
          <w:rStyle w:val="18"/>
          <w:rFonts w:hint="eastAsia" w:eastAsia="仿宋_GB2312"/>
          <w:b w:val="0"/>
          <w:bCs w:val="0"/>
          <w:sz w:val="32"/>
          <w:szCs w:val="32"/>
        </w:rPr>
        <w:t>:</w:t>
      </w:r>
      <w:r>
        <w:rPr>
          <w:rStyle w:val="18"/>
          <w:rFonts w:hint="eastAsia" w:ascii="仿宋" w:hAnsi="仿宋" w:eastAsia="仿宋"/>
          <w:b w:val="0"/>
          <w:bCs w:val="0"/>
          <w:color w:val="000000"/>
          <w:sz w:val="32"/>
          <w:szCs w:val="32"/>
        </w:rPr>
        <w:t>支出决算为2.66万元，完成预算100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。决算数等于预算数。</w:t>
      </w:r>
    </w:p>
    <w:p w14:paraId="081D32E7">
      <w:pPr>
        <w:spacing w:line="600" w:lineRule="exact"/>
        <w:ind w:firstLine="640" w:firstLineChars="200"/>
        <w:rPr>
          <w:rFonts w:ascii="仿宋" w:hAnsi="仿宋" w:eastAsia="仿宋"/>
          <w:b w:val="0"/>
          <w:bCs w:val="0"/>
          <w:color w:val="000000"/>
          <w:sz w:val="32"/>
          <w:szCs w:val="32"/>
        </w:rPr>
      </w:pPr>
      <w:r>
        <w:rPr>
          <w:rStyle w:val="18"/>
          <w:rFonts w:hint="eastAsia" w:ascii="仿宋" w:hAnsi="仿宋" w:eastAsia="仿宋"/>
          <w:b w:val="0"/>
          <w:bCs w:val="0"/>
          <w:color w:val="000000"/>
          <w:sz w:val="32"/>
          <w:szCs w:val="32"/>
        </w:rPr>
        <w:t>9.住房保障支出（类）住房改革支出（款）住房公积金（项）：支出决算为7.97万元，完成预算100</w:t>
      </w:r>
      <w:r>
        <w:rPr>
          <w:rStyle w:val="18"/>
          <w:rFonts w:ascii="仿宋" w:hAnsi="仿宋" w:eastAsia="仿宋"/>
          <w:b w:val="0"/>
          <w:bCs w:val="0"/>
          <w:color w:val="000000"/>
          <w:sz w:val="32"/>
          <w:szCs w:val="32"/>
        </w:rPr>
        <w:t>%</w:t>
      </w:r>
      <w:r>
        <w:rPr>
          <w:rStyle w:val="18"/>
          <w:rFonts w:hint="eastAsia" w:ascii="仿宋" w:hAnsi="仿宋" w:eastAsia="仿宋"/>
          <w:b w:val="0"/>
          <w:bCs w:val="0"/>
          <w:color w:val="000000"/>
          <w:sz w:val="32"/>
          <w:szCs w:val="32"/>
        </w:rPr>
        <w:t>。决算数等于预算数。</w:t>
      </w:r>
    </w:p>
    <w:p w14:paraId="78A1EBCF">
      <w:pPr>
        <w:tabs>
          <w:tab w:val="right" w:pos="8306"/>
        </w:tabs>
        <w:spacing w:line="600" w:lineRule="exact"/>
        <w:ind w:firstLine="640"/>
        <w:outlineLvl w:val="1"/>
        <w:rPr>
          <w:rStyle w:val="30"/>
        </w:rPr>
      </w:pPr>
      <w:bookmarkStart w:id="26" w:name="_Toc15396608"/>
      <w:bookmarkStart w:id="2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26"/>
      <w:bookmarkEnd w:id="27"/>
      <w:r>
        <w:rPr>
          <w:rStyle w:val="30"/>
          <w:rFonts w:ascii="黑体" w:hAnsi="黑体" w:eastAsia="黑体"/>
          <w:b w:val="0"/>
        </w:rPr>
        <w:tab/>
      </w:r>
    </w:p>
    <w:p w14:paraId="6A1167C9">
      <w:pPr>
        <w:spacing w:line="600" w:lineRule="exact"/>
        <w:ind w:firstLine="645"/>
        <w:rPr>
          <w:rFonts w:ascii="仿宋" w:hAnsi="仿宋" w:eastAsia="仿宋"/>
          <w:sz w:val="32"/>
          <w:szCs w:val="32"/>
        </w:rPr>
      </w:pPr>
      <w:r>
        <w:rPr>
          <w:rFonts w:hint="eastAsia" w:ascii="仿宋" w:hAnsi="仿宋" w:eastAsia="仿宋"/>
          <w:sz w:val="32"/>
          <w:szCs w:val="32"/>
        </w:rPr>
        <w:t>2024年度一般公共预算财政拨款基本支出</w:t>
      </w:r>
      <w:r>
        <w:rPr>
          <w:rFonts w:hint="eastAsia" w:ascii="仿宋" w:hAnsi="仿宋" w:eastAsia="仿宋"/>
          <w:b/>
          <w:sz w:val="32"/>
          <w:szCs w:val="32"/>
        </w:rPr>
        <w:t>98.19</w:t>
      </w:r>
      <w:r>
        <w:rPr>
          <w:rFonts w:hint="eastAsia" w:ascii="仿宋" w:hAnsi="仿宋" w:eastAsia="仿宋"/>
          <w:sz w:val="32"/>
          <w:szCs w:val="32"/>
        </w:rPr>
        <w:t>万元，其中：</w:t>
      </w:r>
    </w:p>
    <w:p w14:paraId="2F63220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rPr>
        <w:t>98.00</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rPr>
        <w:t>0.19</w:t>
      </w:r>
      <w:r>
        <w:rPr>
          <w:rFonts w:hint="eastAsia" w:ascii="仿宋" w:hAnsi="仿宋" w:eastAsia="仿宋"/>
          <w:sz w:val="32"/>
          <w:szCs w:val="32"/>
        </w:rPr>
        <w:t>万元，主要包括：办公费、维修（护）费、等。</w:t>
      </w:r>
    </w:p>
    <w:p w14:paraId="76A66E5D">
      <w:pPr>
        <w:spacing w:line="600" w:lineRule="exact"/>
        <w:ind w:firstLine="640"/>
        <w:outlineLvl w:val="1"/>
        <w:rPr>
          <w:rStyle w:val="30"/>
          <w:rFonts w:ascii="黑体" w:hAnsi="黑体" w:eastAsia="黑体"/>
          <w:b w:val="0"/>
        </w:rPr>
      </w:pPr>
      <w:bookmarkStart w:id="28" w:name="_Toc15396609"/>
      <w:bookmarkStart w:id="29"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28"/>
      <w:bookmarkEnd w:id="29"/>
    </w:p>
    <w:p w14:paraId="10768484">
      <w:pPr>
        <w:spacing w:line="600" w:lineRule="exact"/>
        <w:ind w:firstLine="640"/>
        <w:outlineLvl w:val="2"/>
        <w:rPr>
          <w:rFonts w:ascii="仿宋" w:hAnsi="仿宋" w:eastAsia="仿宋"/>
          <w:b/>
          <w:sz w:val="32"/>
          <w:szCs w:val="32"/>
        </w:rPr>
      </w:pPr>
      <w:bookmarkStart w:id="30" w:name="_Toc15377216"/>
      <w:r>
        <w:rPr>
          <w:rFonts w:hint="eastAsia" w:ascii="仿宋" w:hAnsi="仿宋" w:eastAsia="仿宋"/>
          <w:b/>
          <w:sz w:val="32"/>
          <w:szCs w:val="32"/>
        </w:rPr>
        <w:t>（一）“三公”经费财政拨款支出决算总体情况说明</w:t>
      </w:r>
      <w:bookmarkEnd w:id="30"/>
    </w:p>
    <w:p w14:paraId="7CFF7B5E">
      <w:pPr>
        <w:spacing w:line="600" w:lineRule="exact"/>
        <w:ind w:firstLine="640"/>
        <w:rPr>
          <w:rFonts w:ascii="仿宋" w:hAnsi="仿宋" w:eastAsia="仿宋"/>
          <w:b/>
          <w:sz w:val="32"/>
          <w:szCs w:val="32"/>
        </w:rPr>
      </w:pPr>
      <w:r>
        <w:rPr>
          <w:rFonts w:hint="eastAsia" w:ascii="仿宋" w:hAnsi="仿宋" w:eastAsia="仿宋"/>
          <w:sz w:val="32"/>
          <w:szCs w:val="32"/>
        </w:rPr>
        <w:t>2024年度“三公”经费财政拨款支出决算为</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b/>
          <w:sz w:val="32"/>
          <w:szCs w:val="32"/>
        </w:rPr>
        <w:t>。</w:t>
      </w:r>
    </w:p>
    <w:p w14:paraId="6C274BBF">
      <w:pPr>
        <w:spacing w:line="600" w:lineRule="exact"/>
        <w:ind w:firstLine="640"/>
        <w:outlineLvl w:val="2"/>
        <w:rPr>
          <w:rFonts w:ascii="仿宋" w:hAnsi="仿宋" w:eastAsia="仿宋"/>
          <w:b/>
          <w:sz w:val="32"/>
          <w:szCs w:val="32"/>
        </w:rPr>
      </w:pPr>
      <w:bookmarkStart w:id="31" w:name="_Toc15377217"/>
      <w:r>
        <w:rPr>
          <w:rFonts w:hint="eastAsia" w:ascii="仿宋" w:hAnsi="仿宋" w:eastAsia="仿宋"/>
          <w:b/>
          <w:sz w:val="32"/>
          <w:szCs w:val="32"/>
        </w:rPr>
        <w:t>（二）“三公”经费财政拨款支出决算具体情况说明</w:t>
      </w:r>
      <w:bookmarkEnd w:id="31"/>
    </w:p>
    <w:p w14:paraId="01E776B9">
      <w:pPr>
        <w:spacing w:line="600" w:lineRule="exact"/>
        <w:ind w:firstLine="640"/>
        <w:rPr>
          <w:rFonts w:hint="eastAsia" w:eastAsia="宋体"/>
          <w:lang w:eastAsia="zh-CN"/>
        </w:rPr>
      </w:pPr>
      <w:r>
        <w:rPr>
          <w:rFonts w:hint="eastAsia" w:ascii="仿宋" w:hAnsi="仿宋" w:eastAsia="仿宋"/>
          <w:sz w:val="32"/>
          <w:szCs w:val="32"/>
        </w:rPr>
        <w:t>2024年度三公”经费财政拨款支出决算中，因公出国（境）费支出决算0万元，占0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473165B0">
      <w:pPr>
        <w:pStyle w:val="9"/>
        <w:spacing w:before="93"/>
        <w:rPr>
          <w:rFonts w:ascii="仿宋" w:hAnsi="仿宋" w:eastAsia="仿宋"/>
          <w:sz w:val="32"/>
          <w:szCs w:val="32"/>
        </w:rPr>
      </w:pPr>
      <w:r>
        <w:rPr>
          <w:rFonts w:hint="eastAsia" w:ascii="仿宋" w:hAnsi="仿宋" w:eastAsia="仿宋"/>
          <w:sz w:val="32"/>
          <w:szCs w:val="32"/>
        </w:rPr>
        <w:object>
          <v:shape id="_x0000_i1025" o:spt="75" type="#_x0000_t75" style="height:190.65pt;width:345.6pt;" o:ole="t" filled="f" o:preferrelative="t" stroked="f" coordsize="21600,21600">
            <v:path/>
            <v:fill on="f" focussize="0,0"/>
            <v:stroke on="f" joinstyle="miter"/>
            <v:imagedata r:id="rId16" o:title=""/>
            <o:lock v:ext="edit" aspectratio="t"/>
            <w10:wrap type="none"/>
            <w10:anchorlock/>
          </v:shape>
          <o:OLEObject Type="Embed" ProgID="Excel.Sheet.8" ShapeID="_x0000_i1025" DrawAspect="Content" ObjectID="_1468075725" r:id="rId15">
            <o:LockedField>false</o:LockedField>
          </o:OLEObject>
        </w:object>
      </w:r>
    </w:p>
    <w:p w14:paraId="40525BCD">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bookmarkStart w:id="32" w:name="_Toc15396610"/>
      <w:bookmarkStart w:id="33" w:name="_Toc15377218"/>
    </w:p>
    <w:p w14:paraId="2ABE207B">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14:paraId="6B329335">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23年减少0万元，减少0</w:t>
      </w:r>
      <w:r>
        <w:rPr>
          <w:rFonts w:ascii="仿宋_GB2312" w:eastAsia="仿宋_GB2312"/>
          <w:sz w:val="32"/>
          <w:szCs w:val="32"/>
        </w:rPr>
        <w:t>%</w:t>
      </w:r>
      <w:r>
        <w:rPr>
          <w:rFonts w:hint="eastAsia" w:ascii="仿宋_GB2312" w:eastAsia="仿宋_GB2312"/>
          <w:sz w:val="32"/>
          <w:szCs w:val="32"/>
        </w:rPr>
        <w:t>。主要原因是无公务用车购置及运行维护费</w:t>
      </w:r>
      <w:r>
        <w:rPr>
          <w:rFonts w:hint="eastAsia" w:ascii="仿宋_GB2312" w:eastAsia="仿宋_GB2312"/>
          <w:color w:val="000000"/>
          <w:sz w:val="32"/>
          <w:szCs w:val="32"/>
        </w:rPr>
        <w:t>支出</w:t>
      </w:r>
      <w:r>
        <w:rPr>
          <w:rFonts w:hint="eastAsia" w:ascii="仿宋_GB2312" w:eastAsia="仿宋_GB2312"/>
          <w:sz w:val="32"/>
          <w:szCs w:val="32"/>
        </w:rPr>
        <w:t>。</w:t>
      </w:r>
    </w:p>
    <w:p w14:paraId="3807096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24年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3A5C4BFC">
      <w:pPr>
        <w:spacing w:line="600" w:lineRule="exact"/>
        <w:ind w:firstLine="640"/>
        <w:rPr>
          <w:rFonts w:ascii="仿宋_GB2312" w:eastAsia="仿宋_GB2312"/>
          <w:color w:val="000000"/>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color w:val="000000"/>
          <w:sz w:val="32"/>
          <w:szCs w:val="32"/>
        </w:rPr>
        <w:t>主要用于紧急救护、下村体检、运送医疗废物等所需的公务用车燃料费、维修费、过路过桥费、保险费等支出。</w:t>
      </w:r>
    </w:p>
    <w:p w14:paraId="3595A3D2">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color w:val="000000"/>
          <w:sz w:val="32"/>
          <w:szCs w:val="32"/>
        </w:rPr>
        <w:t>主要用于紧急救护、下村体检、运送医疗废物等所需的公务用车燃料费、维修费、过路过桥费、保险费等支出。</w:t>
      </w:r>
    </w:p>
    <w:p w14:paraId="1700EFE0">
      <w:pPr>
        <w:pStyle w:val="9"/>
        <w:spacing w:before="93"/>
      </w:pPr>
    </w:p>
    <w:p w14:paraId="609682F7">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2"/>
      <w:bookmarkEnd w:id="33"/>
    </w:p>
    <w:p w14:paraId="28551740">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37BD406A">
      <w:pPr>
        <w:pStyle w:val="9"/>
        <w:spacing w:before="93"/>
      </w:pPr>
    </w:p>
    <w:p w14:paraId="125654AD">
      <w:pPr>
        <w:numPr>
          <w:ilvl w:val="0"/>
          <w:numId w:val="3"/>
        </w:numPr>
        <w:spacing w:line="600" w:lineRule="exact"/>
        <w:ind w:firstLine="640"/>
        <w:outlineLvl w:val="1"/>
        <w:rPr>
          <w:rStyle w:val="30"/>
          <w:rFonts w:ascii="黑体" w:hAnsi="黑体" w:eastAsia="黑体"/>
          <w:b w:val="0"/>
        </w:rPr>
      </w:pPr>
      <w:bookmarkStart w:id="34" w:name="_Toc15396611"/>
      <w:bookmarkStart w:id="35" w:name="_Toc15377219"/>
      <w:r>
        <w:rPr>
          <w:rStyle w:val="30"/>
          <w:rFonts w:hint="eastAsia" w:ascii="黑体" w:hAnsi="黑体" w:eastAsia="黑体"/>
          <w:b w:val="0"/>
        </w:rPr>
        <w:t>国有资本经营预算支出决算情况说明</w:t>
      </w:r>
      <w:bookmarkEnd w:id="34"/>
      <w:bookmarkEnd w:id="35"/>
    </w:p>
    <w:p w14:paraId="65AEE4B1">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0175BDE9">
      <w:pPr>
        <w:pStyle w:val="9"/>
        <w:spacing w:before="93"/>
      </w:pPr>
    </w:p>
    <w:p w14:paraId="410C1E38">
      <w:pPr>
        <w:numPr>
          <w:ilvl w:val="0"/>
          <w:numId w:val="3"/>
        </w:numPr>
        <w:spacing w:line="600" w:lineRule="exact"/>
        <w:ind w:firstLine="640"/>
        <w:outlineLvl w:val="1"/>
        <w:rPr>
          <w:rStyle w:val="30"/>
          <w:rFonts w:ascii="黑体" w:hAnsi="黑体" w:eastAsia="黑体"/>
          <w:b w:val="0"/>
        </w:rPr>
      </w:pPr>
      <w:bookmarkStart w:id="36" w:name="_Toc15377221"/>
      <w:bookmarkStart w:id="37" w:name="_Toc15396612"/>
      <w:r>
        <w:rPr>
          <w:rStyle w:val="30"/>
          <w:rFonts w:hint="eastAsia" w:ascii="黑体" w:hAnsi="黑体" w:eastAsia="黑体"/>
          <w:b w:val="0"/>
        </w:rPr>
        <w:t>其他重要事项的情况说明</w:t>
      </w:r>
      <w:bookmarkEnd w:id="36"/>
      <w:bookmarkEnd w:id="37"/>
    </w:p>
    <w:p w14:paraId="468A1CA8">
      <w:pPr>
        <w:spacing w:line="600" w:lineRule="exact"/>
        <w:ind w:firstLine="643" w:firstLineChars="200"/>
        <w:outlineLvl w:val="2"/>
        <w:rPr>
          <w:rFonts w:ascii="仿宋" w:hAnsi="仿宋" w:eastAsia="仿宋"/>
          <w:sz w:val="32"/>
          <w:szCs w:val="32"/>
        </w:rPr>
      </w:pPr>
      <w:bookmarkStart w:id="38" w:name="_Toc15377222"/>
      <w:r>
        <w:rPr>
          <w:rFonts w:hint="eastAsia" w:ascii="仿宋" w:hAnsi="仿宋" w:eastAsia="仿宋"/>
          <w:b/>
          <w:sz w:val="32"/>
          <w:szCs w:val="32"/>
        </w:rPr>
        <w:t>（一）机关运行经费支出情况</w:t>
      </w:r>
      <w:bookmarkEnd w:id="38"/>
    </w:p>
    <w:p w14:paraId="45888765">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w:t>
      </w:r>
      <w:r>
        <w:rPr>
          <w:rFonts w:hint="eastAsia" w:ascii="仿宋_GB2312" w:eastAsia="仿宋_GB2312"/>
          <w:color w:val="000000"/>
          <w:sz w:val="32"/>
          <w:szCs w:val="32"/>
        </w:rPr>
        <w:t>盐边县温泉彝族乡卫生院运行经费支出0万元</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rPr>
        <w:t>23年决算数持平。</w:t>
      </w:r>
    </w:p>
    <w:p w14:paraId="5DAE8C73">
      <w:pPr>
        <w:autoSpaceDE w:val="0"/>
        <w:autoSpaceDN w:val="0"/>
        <w:adjustRightInd w:val="0"/>
        <w:spacing w:line="600" w:lineRule="exact"/>
        <w:ind w:firstLine="643" w:firstLineChars="200"/>
        <w:jc w:val="left"/>
        <w:outlineLvl w:val="2"/>
        <w:rPr>
          <w:rFonts w:ascii="仿宋" w:hAnsi="仿宋" w:eastAsia="仿宋"/>
          <w:b/>
          <w:sz w:val="32"/>
          <w:szCs w:val="32"/>
        </w:rPr>
      </w:pPr>
      <w:bookmarkStart w:id="39" w:name="_Toc15377223"/>
      <w:r>
        <w:rPr>
          <w:rFonts w:hint="eastAsia" w:ascii="仿宋" w:hAnsi="仿宋" w:eastAsia="仿宋"/>
          <w:b/>
          <w:sz w:val="32"/>
          <w:szCs w:val="32"/>
        </w:rPr>
        <w:t>（二）政府采购支出情况</w:t>
      </w:r>
      <w:bookmarkEnd w:id="39"/>
    </w:p>
    <w:p w14:paraId="49FBAF3B">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w:t>
      </w:r>
      <w:r>
        <w:rPr>
          <w:rFonts w:ascii="仿宋_GB2312" w:eastAsia="仿宋_GB2312"/>
          <w:b/>
          <w:sz w:val="32"/>
          <w:szCs w:val="32"/>
        </w:rPr>
        <w:t>盐边县温泉彝族乡卫生院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2056D4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0" w:name="_Toc15377224"/>
      <w:r>
        <w:rPr>
          <w:rFonts w:hint="eastAsia" w:ascii="仿宋" w:hAnsi="仿宋" w:eastAsia="仿宋"/>
          <w:b/>
          <w:sz w:val="32"/>
          <w:szCs w:val="32"/>
        </w:rPr>
        <w:t>（三）国有资产占有使用情况</w:t>
      </w:r>
      <w:bookmarkEnd w:id="40"/>
    </w:p>
    <w:p w14:paraId="56AA32C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盐边县温泉彝族乡卫生院共有车辆0辆，其中：主要领导干部用车0辆、机要通信用车0辆、应急保障用车0辆、其他用车0辆，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3EC2565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E712D5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2024年度预算编制阶段，组织对3（项目名称）等3个项目开展了预算事前绩效评估，对3个项目编制了绩效目标，预算执行过程中，选取3个项目开展绩效监控，组织对3个项目开展绩效自评，绩效自评表详见第四部分附件。</w:t>
      </w:r>
    </w:p>
    <w:p w14:paraId="2DC66B2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734A901">
      <w:pPr>
        <w:numPr>
          <w:ilvl w:val="0"/>
          <w:numId w:val="4"/>
        </w:numPr>
        <w:spacing w:line="600" w:lineRule="exact"/>
        <w:ind w:firstLine="660" w:firstLineChars="150"/>
        <w:jc w:val="center"/>
        <w:outlineLvl w:val="0"/>
        <w:rPr>
          <w:rStyle w:val="29"/>
          <w:rFonts w:ascii="黑体" w:hAnsi="黑体" w:eastAsia="黑体"/>
          <w:b w:val="0"/>
        </w:rPr>
      </w:pPr>
      <w:bookmarkStart w:id="41" w:name="_Toc15377225"/>
      <w:bookmarkStart w:id="42" w:name="_Toc15396613"/>
      <w:r>
        <w:rPr>
          <w:rFonts w:hint="eastAsia" w:ascii="黑体" w:hAnsi="黑体" w:eastAsia="黑体"/>
          <w:sz w:val="44"/>
          <w:szCs w:val="44"/>
        </w:rPr>
        <w:t>名</w:t>
      </w:r>
      <w:r>
        <w:rPr>
          <w:rStyle w:val="29"/>
          <w:rFonts w:hint="eastAsia" w:ascii="黑体" w:hAnsi="黑体" w:eastAsia="黑体"/>
          <w:b w:val="0"/>
        </w:rPr>
        <w:t>词解释</w:t>
      </w:r>
      <w:bookmarkEnd w:id="41"/>
      <w:bookmarkEnd w:id="42"/>
    </w:p>
    <w:p w14:paraId="72E04775">
      <w:pPr>
        <w:spacing w:line="600" w:lineRule="exact"/>
        <w:jc w:val="left"/>
        <w:rPr>
          <w:rFonts w:ascii="宋体"/>
          <w:b/>
          <w:sz w:val="44"/>
          <w:szCs w:val="44"/>
        </w:rPr>
      </w:pPr>
    </w:p>
    <w:p w14:paraId="025E911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46D9457">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609B4B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14:paraId="6EDC056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14:paraId="6480531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083CE1EE">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80E8F1A">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14:paraId="16DA9C0F">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社会保障和就业支出（类）行政事业单位养老支出（款）机关事业单位基本养老保险缴费支出（项）：指机关事业单位实施养老保险制度由单位缴纳的基本养老保险费支出。</w:t>
      </w:r>
    </w:p>
    <w:p w14:paraId="2409720F">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卫生健康支出（类）基层医疗卫生机构（款）乡镇卫生院（项）：指用于乡镇卫生院的支出。</w:t>
      </w:r>
    </w:p>
    <w:p w14:paraId="44FF1EEB">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卫生健康支出（类）基层医疗卫生机构（款）其他基层医疗卫生机构支出（项）：指除上述项目以外的其他用于基层医疗卫生机构的支出。</w:t>
      </w:r>
    </w:p>
    <w:p w14:paraId="490846D8">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卫生健康支出（类）公共卫生（款）基本公共卫生服务（项）：指基本公共卫生服务支出。</w:t>
      </w:r>
    </w:p>
    <w:p w14:paraId="686244E5">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卫生健康支出（类）公共卫生（款）重大公共卫生服务（项）：指重大疾病、重大传染病预防控制等重大公共卫生服务项目支出。</w:t>
      </w:r>
    </w:p>
    <w:p w14:paraId="4A4AB731">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卫生健康支出（类）公共卫生（款）其他公共卫生支出（项）：指除上述项目以外的其他用于公共卫生方面的支出。</w:t>
      </w:r>
    </w:p>
    <w:p w14:paraId="059936DB">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14:paraId="46CD1CEF">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卫生健康支出（类）行政事业单位医疗（款）公务员医疗补助（项）：指财政部门安排的公务员医疗补助经费。</w:t>
      </w:r>
    </w:p>
    <w:p w14:paraId="643961E2">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卫生健康支出（类）其他卫生健康支出（款）其他卫生健康支出（项）：指除上述项目以外其他用于卫生健康方面的支出。</w:t>
      </w:r>
    </w:p>
    <w:p w14:paraId="1481BDD8">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14:paraId="4DB3C50A">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396F10A">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73AE0F4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183F61">
      <w:pPr>
        <w:spacing w:line="600" w:lineRule="exact"/>
        <w:jc w:val="center"/>
        <w:outlineLvl w:val="0"/>
        <w:rPr>
          <w:rFonts w:ascii="黑体" w:hAnsi="黑体" w:eastAsia="黑体"/>
          <w:sz w:val="44"/>
          <w:szCs w:val="44"/>
        </w:rPr>
      </w:pPr>
      <w:bookmarkStart w:id="43" w:name="_Toc15396614"/>
      <w:bookmarkStart w:id="44" w:name="_Toc15377226"/>
    </w:p>
    <w:p w14:paraId="533577C4">
      <w:pPr>
        <w:spacing w:line="600" w:lineRule="exact"/>
        <w:jc w:val="center"/>
        <w:outlineLvl w:val="0"/>
        <w:rPr>
          <w:rFonts w:ascii="黑体" w:hAnsi="黑体" w:eastAsia="黑体"/>
          <w:sz w:val="44"/>
          <w:szCs w:val="44"/>
        </w:rPr>
      </w:pPr>
    </w:p>
    <w:p w14:paraId="74265A92">
      <w:pPr>
        <w:spacing w:line="600" w:lineRule="exact"/>
        <w:jc w:val="center"/>
        <w:outlineLvl w:val="0"/>
        <w:rPr>
          <w:rFonts w:ascii="黑体" w:hAnsi="黑体" w:eastAsia="黑体"/>
          <w:sz w:val="44"/>
          <w:szCs w:val="44"/>
        </w:rPr>
      </w:pPr>
    </w:p>
    <w:p w14:paraId="61074794">
      <w:pPr>
        <w:spacing w:line="600" w:lineRule="exact"/>
        <w:jc w:val="center"/>
        <w:outlineLvl w:val="0"/>
        <w:rPr>
          <w:rFonts w:ascii="黑体" w:hAnsi="黑体" w:eastAsia="黑体"/>
          <w:sz w:val="44"/>
          <w:szCs w:val="44"/>
        </w:rPr>
      </w:pPr>
    </w:p>
    <w:p w14:paraId="4DAEB73F">
      <w:pPr>
        <w:spacing w:line="600" w:lineRule="exact"/>
        <w:jc w:val="center"/>
        <w:outlineLvl w:val="0"/>
        <w:rPr>
          <w:rFonts w:ascii="黑体" w:hAnsi="黑体" w:eastAsia="黑体"/>
          <w:sz w:val="44"/>
          <w:szCs w:val="44"/>
        </w:rPr>
      </w:pPr>
    </w:p>
    <w:p w14:paraId="3BD33964">
      <w:pPr>
        <w:tabs>
          <w:tab w:val="left" w:pos="2182"/>
        </w:tabs>
        <w:spacing w:line="600" w:lineRule="exact"/>
        <w:jc w:val="left"/>
        <w:outlineLvl w:val="0"/>
        <w:rPr>
          <w:rFonts w:ascii="黑体" w:hAnsi="黑体" w:eastAsia="黑体"/>
          <w:sz w:val="44"/>
          <w:szCs w:val="44"/>
        </w:rPr>
      </w:pPr>
      <w:r>
        <w:rPr>
          <w:rFonts w:hint="eastAsia" w:ascii="黑体" w:hAnsi="黑体" w:eastAsia="黑体"/>
          <w:sz w:val="44"/>
          <w:szCs w:val="44"/>
        </w:rPr>
        <w:tab/>
      </w:r>
    </w:p>
    <w:p w14:paraId="0DCE5C8A">
      <w:pPr>
        <w:pStyle w:val="9"/>
        <w:spacing w:before="93"/>
        <w:rPr>
          <w:rFonts w:ascii="黑体" w:hAnsi="黑体" w:eastAsia="黑体"/>
          <w:sz w:val="44"/>
          <w:szCs w:val="44"/>
        </w:rPr>
      </w:pPr>
    </w:p>
    <w:p w14:paraId="67F6503E">
      <w:pPr>
        <w:pStyle w:val="9"/>
        <w:spacing w:before="93"/>
        <w:rPr>
          <w:rFonts w:ascii="黑体" w:hAnsi="黑体" w:eastAsia="黑体"/>
          <w:sz w:val="44"/>
          <w:szCs w:val="44"/>
        </w:rPr>
      </w:pPr>
    </w:p>
    <w:p w14:paraId="69AA8B4F">
      <w:pPr>
        <w:pStyle w:val="9"/>
        <w:spacing w:before="93"/>
        <w:rPr>
          <w:rFonts w:ascii="黑体" w:hAnsi="黑体" w:eastAsia="黑体"/>
          <w:sz w:val="44"/>
          <w:szCs w:val="44"/>
        </w:rPr>
      </w:pPr>
    </w:p>
    <w:p w14:paraId="2B816B64">
      <w:pPr>
        <w:pStyle w:val="9"/>
        <w:spacing w:before="93"/>
        <w:rPr>
          <w:rFonts w:ascii="黑体" w:hAnsi="黑体" w:eastAsia="黑体"/>
          <w:sz w:val="44"/>
          <w:szCs w:val="44"/>
        </w:rPr>
      </w:pPr>
    </w:p>
    <w:p w14:paraId="1D5CF91B">
      <w:pPr>
        <w:pStyle w:val="9"/>
        <w:spacing w:before="93"/>
        <w:rPr>
          <w:rFonts w:ascii="黑体" w:hAnsi="黑体" w:eastAsia="黑体"/>
          <w:sz w:val="44"/>
          <w:szCs w:val="44"/>
        </w:rPr>
      </w:pPr>
    </w:p>
    <w:p w14:paraId="674A8D23">
      <w:pPr>
        <w:spacing w:line="600" w:lineRule="exact"/>
        <w:jc w:val="center"/>
        <w:outlineLvl w:val="0"/>
        <w:rPr>
          <w:rStyle w:val="29"/>
          <w:rFonts w:ascii="黑体" w:hAnsi="黑体" w:eastAsia="黑体"/>
          <w:b w:val="0"/>
        </w:rPr>
      </w:pPr>
      <w:r>
        <w:rPr>
          <w:rFonts w:hint="eastAsia" w:ascii="黑体" w:hAnsi="黑体" w:eastAsia="黑体"/>
          <w:sz w:val="44"/>
          <w:szCs w:val="44"/>
        </w:rPr>
        <w:t>第</w:t>
      </w:r>
      <w:r>
        <w:rPr>
          <w:rStyle w:val="29"/>
          <w:rFonts w:hint="eastAsia" w:ascii="黑体" w:hAnsi="黑体" w:eastAsia="黑体"/>
          <w:b w:val="0"/>
        </w:rPr>
        <w:t>四部分 附件</w:t>
      </w:r>
      <w:bookmarkEnd w:id="43"/>
    </w:p>
    <w:p w14:paraId="23774E72">
      <w:pPr>
        <w:spacing w:line="572" w:lineRule="exact"/>
        <w:jc w:val="left"/>
        <w:outlineLvl w:val="0"/>
        <w:rPr>
          <w:rFonts w:ascii="仿宋_GB2312" w:hAnsi="仿宋_GB2312" w:eastAsia="仿宋_GB2312" w:cs="仿宋_GB2312"/>
          <w:sz w:val="32"/>
          <w:szCs w:val="32"/>
        </w:rPr>
      </w:pPr>
    </w:p>
    <w:p w14:paraId="6B842AD9">
      <w:pPr>
        <w:spacing w:line="600" w:lineRule="exact"/>
        <w:jc w:val="center"/>
        <w:outlineLvl w:val="0"/>
        <w:rPr>
          <w:rFonts w:ascii="黑体" w:hAnsi="黑体" w:eastAsia="黑体"/>
          <w:color w:val="FF0000"/>
          <w:sz w:val="44"/>
          <w:szCs w:val="44"/>
        </w:rPr>
      </w:pPr>
      <w:bookmarkStart w:id="45" w:name="_Toc15396618"/>
      <w:r>
        <w:rPr>
          <w:rFonts w:hint="eastAsia"/>
          <w:sz w:val="32"/>
          <w:szCs w:val="32"/>
        </w:rPr>
        <w:t>部门预算项目支出绩效自评表（2024年度）</w:t>
      </w:r>
    </w:p>
    <w:p w14:paraId="25B62361">
      <w:pPr>
        <w:pStyle w:val="3"/>
        <w:spacing w:line="560" w:lineRule="exact"/>
        <w:ind w:left="0" w:leftChars="0" w:firstLine="640"/>
        <w:rPr>
          <w:sz w:val="32"/>
        </w:rPr>
      </w:pPr>
    </w:p>
    <w:p w14:paraId="2C56AFF1">
      <w:pPr>
        <w:pStyle w:val="9"/>
        <w:spacing w:before="93"/>
        <w:rPr>
          <w:rFonts w:hAnsi="Calibri" w:cs="仿宋"/>
          <w:sz w:val="32"/>
          <w:szCs w:val="32"/>
        </w:rPr>
      </w:pPr>
    </w:p>
    <w:p w14:paraId="086896FC">
      <w:pPr>
        <w:pStyle w:val="9"/>
        <w:spacing w:before="93"/>
        <w:rPr>
          <w:rFonts w:hAnsi="Calibri" w:cs="仿宋"/>
          <w:sz w:val="32"/>
          <w:szCs w:val="32"/>
        </w:rPr>
      </w:pPr>
    </w:p>
    <w:p w14:paraId="019CF377">
      <w:pPr>
        <w:pStyle w:val="9"/>
        <w:spacing w:before="93"/>
        <w:rPr>
          <w:rFonts w:hAnsi="Calibri" w:cs="仿宋"/>
          <w:sz w:val="32"/>
          <w:szCs w:val="32"/>
        </w:rPr>
      </w:pPr>
    </w:p>
    <w:p w14:paraId="7A515569">
      <w:pPr>
        <w:pStyle w:val="9"/>
        <w:spacing w:before="93"/>
        <w:rPr>
          <w:rFonts w:hAnsi="Calibri" w:cs="仿宋"/>
          <w:sz w:val="32"/>
          <w:szCs w:val="32"/>
        </w:rPr>
      </w:pPr>
    </w:p>
    <w:p w14:paraId="5BC63A87">
      <w:pPr>
        <w:pStyle w:val="9"/>
        <w:spacing w:before="93"/>
        <w:rPr>
          <w:rFonts w:hAnsi="Calibri" w:cs="仿宋"/>
          <w:sz w:val="32"/>
          <w:szCs w:val="32"/>
        </w:rPr>
      </w:pPr>
    </w:p>
    <w:p w14:paraId="66EF844B">
      <w:pPr>
        <w:pStyle w:val="9"/>
        <w:spacing w:before="93"/>
        <w:rPr>
          <w:rFonts w:hAnsi="Calibri" w:cs="仿宋"/>
          <w:sz w:val="32"/>
          <w:szCs w:val="32"/>
        </w:rPr>
      </w:pPr>
    </w:p>
    <w:p w14:paraId="356B4FF7">
      <w:pPr>
        <w:pStyle w:val="9"/>
        <w:spacing w:before="93"/>
        <w:rPr>
          <w:rFonts w:hAnsi="Calibri" w:cs="仿宋"/>
          <w:sz w:val="32"/>
          <w:szCs w:val="32"/>
        </w:rPr>
      </w:pPr>
    </w:p>
    <w:p w14:paraId="549836E5">
      <w:pPr>
        <w:pStyle w:val="9"/>
        <w:spacing w:before="93"/>
        <w:rPr>
          <w:rFonts w:hAnsi="Calibri" w:cs="仿宋"/>
          <w:sz w:val="32"/>
          <w:szCs w:val="32"/>
        </w:rPr>
      </w:pPr>
    </w:p>
    <w:p w14:paraId="2F557AF9">
      <w:pPr>
        <w:pStyle w:val="9"/>
        <w:spacing w:before="93"/>
        <w:rPr>
          <w:rFonts w:hAnsi="Calibri" w:cs="仿宋"/>
          <w:sz w:val="32"/>
          <w:szCs w:val="32"/>
        </w:rPr>
      </w:pPr>
    </w:p>
    <w:p w14:paraId="21D9981E">
      <w:pPr>
        <w:pStyle w:val="9"/>
        <w:spacing w:before="93"/>
        <w:rPr>
          <w:rFonts w:hAnsi="Calibri" w:cs="仿宋"/>
          <w:sz w:val="32"/>
          <w:szCs w:val="32"/>
        </w:rPr>
      </w:pPr>
    </w:p>
    <w:p w14:paraId="09397FCD">
      <w:pPr>
        <w:pStyle w:val="9"/>
        <w:spacing w:before="93"/>
        <w:rPr>
          <w:rFonts w:hAnsi="Calibri" w:cs="仿宋"/>
          <w:sz w:val="32"/>
          <w:szCs w:val="32"/>
        </w:rPr>
      </w:pPr>
    </w:p>
    <w:p w14:paraId="152E7F4F">
      <w:pPr>
        <w:pStyle w:val="9"/>
        <w:spacing w:before="93"/>
        <w:rPr>
          <w:rFonts w:hAnsi="Calibri" w:cs="仿宋"/>
          <w:sz w:val="32"/>
          <w:szCs w:val="32"/>
        </w:rPr>
      </w:pPr>
    </w:p>
    <w:p w14:paraId="66A1256C">
      <w:pPr>
        <w:pStyle w:val="9"/>
        <w:spacing w:before="93"/>
        <w:rPr>
          <w:rFonts w:hAnsi="Calibri" w:cs="仿宋"/>
          <w:sz w:val="32"/>
          <w:szCs w:val="32"/>
        </w:rPr>
      </w:pPr>
    </w:p>
    <w:p w14:paraId="70D94C26">
      <w:pPr>
        <w:pStyle w:val="9"/>
        <w:spacing w:before="93"/>
        <w:rPr>
          <w:rFonts w:hAnsi="Calibri" w:cs="仿宋"/>
          <w:sz w:val="32"/>
          <w:szCs w:val="32"/>
        </w:rPr>
      </w:pPr>
    </w:p>
    <w:p w14:paraId="2F345F77">
      <w:pPr>
        <w:pStyle w:val="9"/>
        <w:spacing w:before="93"/>
        <w:rPr>
          <w:rFonts w:hAnsi="Calibri" w:cs="仿宋"/>
          <w:sz w:val="32"/>
          <w:szCs w:val="32"/>
        </w:rPr>
      </w:pPr>
    </w:p>
    <w:p w14:paraId="106D1942">
      <w:pPr>
        <w:pStyle w:val="9"/>
        <w:spacing w:before="93"/>
        <w:rPr>
          <w:rFonts w:hAnsi="Calibri" w:cs="仿宋"/>
          <w:sz w:val="32"/>
          <w:szCs w:val="32"/>
        </w:rPr>
      </w:pPr>
    </w:p>
    <w:p w14:paraId="2F475212">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44"/>
      <w:bookmarkEnd w:id="45"/>
      <w:bookmarkStart w:id="46" w:name="_Toc15396619"/>
    </w:p>
    <w:p w14:paraId="5F4DE99C">
      <w:pPr>
        <w:pStyle w:val="6"/>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46"/>
    </w:p>
    <w:p w14:paraId="38193AFE">
      <w:pPr>
        <w:pStyle w:val="6"/>
        <w:rPr>
          <w:rFonts w:ascii="仿宋" w:hAnsi="仿宋" w:eastAsia="仿宋"/>
        </w:rPr>
      </w:pPr>
      <w:bookmarkStart w:id="47" w:name="_Toc15396620"/>
      <w:r>
        <w:rPr>
          <w:rFonts w:hint="eastAsia" w:ascii="仿宋" w:hAnsi="仿宋" w:eastAsia="仿宋"/>
          <w:b w:val="0"/>
        </w:rPr>
        <w:t>二、收</w:t>
      </w:r>
      <w:r>
        <w:rPr>
          <w:rStyle w:val="30"/>
          <w:rFonts w:hint="eastAsia" w:ascii="仿宋" w:hAnsi="仿宋" w:eastAsia="仿宋"/>
          <w:b w:val="0"/>
          <w:bCs w:val="0"/>
        </w:rPr>
        <w:t>入决算表</w:t>
      </w:r>
      <w:bookmarkEnd w:id="47"/>
    </w:p>
    <w:p w14:paraId="709395D8">
      <w:pPr>
        <w:pStyle w:val="6"/>
        <w:rPr>
          <w:rFonts w:ascii="仿宋" w:hAnsi="仿宋" w:eastAsia="仿宋"/>
        </w:rPr>
      </w:pPr>
      <w:bookmarkStart w:id="4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48"/>
    </w:p>
    <w:p w14:paraId="39706FE7">
      <w:pPr>
        <w:pStyle w:val="6"/>
        <w:rPr>
          <w:rFonts w:ascii="仿宋" w:hAnsi="仿宋" w:eastAsia="仿宋"/>
          <w:b w:val="0"/>
        </w:rPr>
      </w:pPr>
      <w:bookmarkStart w:id="49"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49"/>
    </w:p>
    <w:p w14:paraId="3C9F1837">
      <w:pPr>
        <w:pStyle w:val="6"/>
        <w:rPr>
          <w:rStyle w:val="30"/>
          <w:rFonts w:ascii="仿宋" w:hAnsi="仿宋" w:eastAsia="仿宋"/>
          <w:b w:val="0"/>
          <w:bCs w:val="0"/>
        </w:rPr>
      </w:pPr>
      <w:bookmarkStart w:id="50"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0"/>
      <w:bookmarkStart w:id="51" w:name="_Toc15396624"/>
    </w:p>
    <w:p w14:paraId="3924E84C">
      <w:pPr>
        <w:pStyle w:val="6"/>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1"/>
    </w:p>
    <w:p w14:paraId="28F8C59C">
      <w:pPr>
        <w:pStyle w:val="6"/>
        <w:rPr>
          <w:rFonts w:ascii="仿宋" w:hAnsi="仿宋" w:eastAsia="仿宋"/>
        </w:rPr>
      </w:pPr>
      <w:bookmarkStart w:id="52"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52"/>
    </w:p>
    <w:p w14:paraId="15E66FF4">
      <w:pPr>
        <w:pStyle w:val="6"/>
        <w:rPr>
          <w:rFonts w:ascii="仿宋" w:hAnsi="仿宋" w:eastAsia="仿宋"/>
        </w:rPr>
      </w:pPr>
      <w:bookmarkStart w:id="53"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53"/>
    </w:p>
    <w:p w14:paraId="3B7D148E">
      <w:pPr>
        <w:pStyle w:val="6"/>
        <w:rPr>
          <w:rFonts w:ascii="仿宋" w:hAnsi="仿宋" w:eastAsia="仿宋"/>
        </w:rPr>
      </w:pPr>
      <w:bookmarkStart w:id="54"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54"/>
    </w:p>
    <w:p w14:paraId="075F03F7">
      <w:pPr>
        <w:pStyle w:val="6"/>
        <w:rPr>
          <w:rFonts w:ascii="仿宋" w:hAnsi="仿宋" w:eastAsia="仿宋"/>
        </w:rPr>
      </w:pPr>
      <w:bookmarkStart w:id="55" w:name="_Toc15396628"/>
      <w:r>
        <w:rPr>
          <w:rStyle w:val="30"/>
          <w:rFonts w:hint="eastAsia" w:ascii="仿宋" w:hAnsi="仿宋" w:eastAsia="仿宋"/>
          <w:b w:val="0"/>
          <w:bCs w:val="0"/>
        </w:rPr>
        <w:t>十、</w:t>
      </w:r>
      <w:bookmarkEnd w:id="55"/>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2181527D">
      <w:pPr>
        <w:pStyle w:val="6"/>
        <w:rPr>
          <w:rFonts w:ascii="仿宋" w:hAnsi="仿宋" w:eastAsia="仿宋"/>
        </w:rPr>
      </w:pPr>
      <w:bookmarkStart w:id="56" w:name="_Toc15396629"/>
      <w:r>
        <w:rPr>
          <w:rStyle w:val="30"/>
          <w:rFonts w:hint="eastAsia" w:ascii="仿宋" w:hAnsi="仿宋" w:eastAsia="仿宋"/>
          <w:b w:val="0"/>
          <w:bCs w:val="0"/>
        </w:rPr>
        <w:t>十一、</w:t>
      </w:r>
      <w:bookmarkEnd w:id="56"/>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72E48BD8">
      <w:pPr>
        <w:pStyle w:val="6"/>
        <w:rPr>
          <w:rFonts w:ascii="仿宋" w:hAnsi="仿宋" w:eastAsia="仿宋"/>
        </w:rPr>
      </w:pPr>
      <w:bookmarkStart w:id="57" w:name="_Toc15396630"/>
      <w:r>
        <w:rPr>
          <w:rStyle w:val="30"/>
          <w:rFonts w:hint="eastAsia" w:ascii="仿宋" w:hAnsi="仿宋" w:eastAsia="仿宋"/>
          <w:b w:val="0"/>
          <w:bCs w:val="0"/>
        </w:rPr>
        <w:t>十二、</w:t>
      </w:r>
      <w:bookmarkEnd w:id="57"/>
      <w:r>
        <w:rPr>
          <w:rStyle w:val="30"/>
          <w:rFonts w:hint="eastAsia" w:ascii="仿宋" w:hAnsi="仿宋" w:eastAsia="仿宋"/>
          <w:b w:val="0"/>
          <w:bCs w:val="0"/>
        </w:rPr>
        <w:t>国有资本经营预算财政拨款支出决算表</w:t>
      </w:r>
    </w:p>
    <w:p w14:paraId="342F7B94">
      <w:pPr>
        <w:pStyle w:val="6"/>
        <w:rPr>
          <w:rFonts w:eastAsia="仿宋"/>
        </w:rPr>
      </w:pPr>
      <w:bookmarkStart w:id="58" w:name="_Toc15396631"/>
      <w:r>
        <w:rPr>
          <w:rStyle w:val="30"/>
          <w:rFonts w:hint="eastAsia" w:ascii="仿宋" w:hAnsi="仿宋" w:eastAsia="仿宋"/>
          <w:b w:val="0"/>
          <w:bCs w:val="0"/>
        </w:rPr>
        <w:t>十三、</w:t>
      </w:r>
      <w:bookmarkEnd w:id="58"/>
      <w:r>
        <w:rPr>
          <w:rStyle w:val="30"/>
          <w:rFonts w:hint="eastAsia" w:ascii="仿宋" w:hAnsi="仿宋" w:eastAsia="仿宋"/>
          <w:b w:val="0"/>
          <w:bCs w:val="0"/>
        </w:rPr>
        <w:t>财政拨款“三公”经费支出决算表</w:t>
      </w:r>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A90A">
    <w:pPr>
      <w:pStyle w:val="1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E7E7">
    <w:pPr>
      <w:pStyle w:val="12"/>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C8A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BD57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F5BD57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CD2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6725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576725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A17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8349B72"/>
    <w:multiLevelType w:val="singleLevel"/>
    <w:tmpl w:val="08349B72"/>
    <w:lvl w:ilvl="0" w:tentative="0">
      <w:start w:val="3"/>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MjY3ZDQ1MmEwMTE2YTM0YzQ4NjM1MDBmODBkMTgifQ=="/>
  </w:docVars>
  <w:rsids>
    <w:rsidRoot w:val="00F1361C"/>
    <w:rsid w:val="00014396"/>
    <w:rsid w:val="000222C6"/>
    <w:rsid w:val="0002549F"/>
    <w:rsid w:val="000468DB"/>
    <w:rsid w:val="0006487A"/>
    <w:rsid w:val="00065F8F"/>
    <w:rsid w:val="00070A43"/>
    <w:rsid w:val="000768F2"/>
    <w:rsid w:val="00081620"/>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F65"/>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45491"/>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8348A"/>
    <w:rsid w:val="00393CFD"/>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687E"/>
    <w:rsid w:val="00437085"/>
    <w:rsid w:val="00443880"/>
    <w:rsid w:val="004464F4"/>
    <w:rsid w:val="0046049C"/>
    <w:rsid w:val="00471401"/>
    <w:rsid w:val="00473F31"/>
    <w:rsid w:val="0048263A"/>
    <w:rsid w:val="00487E5D"/>
    <w:rsid w:val="004A3DA5"/>
    <w:rsid w:val="004A711F"/>
    <w:rsid w:val="004B199D"/>
    <w:rsid w:val="004B4690"/>
    <w:rsid w:val="004E0A2D"/>
    <w:rsid w:val="004E206B"/>
    <w:rsid w:val="004E6DF7"/>
    <w:rsid w:val="004F0FBD"/>
    <w:rsid w:val="00505A47"/>
    <w:rsid w:val="00512FDA"/>
    <w:rsid w:val="00517849"/>
    <w:rsid w:val="00520DA0"/>
    <w:rsid w:val="005403E2"/>
    <w:rsid w:val="005533CF"/>
    <w:rsid w:val="005664BB"/>
    <w:rsid w:val="00566FFA"/>
    <w:rsid w:val="0057481D"/>
    <w:rsid w:val="0058486E"/>
    <w:rsid w:val="00585B33"/>
    <w:rsid w:val="0059014D"/>
    <w:rsid w:val="005B5C64"/>
    <w:rsid w:val="005B6A68"/>
    <w:rsid w:val="005B6E8A"/>
    <w:rsid w:val="005C5337"/>
    <w:rsid w:val="005C6BD0"/>
    <w:rsid w:val="005D1C8B"/>
    <w:rsid w:val="005D468D"/>
    <w:rsid w:val="005D5CED"/>
    <w:rsid w:val="005F10BC"/>
    <w:rsid w:val="005F1A4C"/>
    <w:rsid w:val="00605688"/>
    <w:rsid w:val="006070AF"/>
    <w:rsid w:val="00607E6C"/>
    <w:rsid w:val="006101B1"/>
    <w:rsid w:val="00614E44"/>
    <w:rsid w:val="00620BE5"/>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C290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0B26"/>
    <w:rsid w:val="007932A9"/>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22BB"/>
    <w:rsid w:val="0083706E"/>
    <w:rsid w:val="008408F6"/>
    <w:rsid w:val="008423A5"/>
    <w:rsid w:val="00850625"/>
    <w:rsid w:val="00853718"/>
    <w:rsid w:val="00855221"/>
    <w:rsid w:val="00860645"/>
    <w:rsid w:val="00871F71"/>
    <w:rsid w:val="00872FD8"/>
    <w:rsid w:val="0087637A"/>
    <w:rsid w:val="00885AF4"/>
    <w:rsid w:val="008939CD"/>
    <w:rsid w:val="008B768C"/>
    <w:rsid w:val="008C03CD"/>
    <w:rsid w:val="008C4DB1"/>
    <w:rsid w:val="008C4EAF"/>
    <w:rsid w:val="008C5176"/>
    <w:rsid w:val="008C7FD0"/>
    <w:rsid w:val="008C7FD8"/>
    <w:rsid w:val="008D6D71"/>
    <w:rsid w:val="008E1DE7"/>
    <w:rsid w:val="008E707C"/>
    <w:rsid w:val="008F4332"/>
    <w:rsid w:val="00900B08"/>
    <w:rsid w:val="00902155"/>
    <w:rsid w:val="00902FA3"/>
    <w:rsid w:val="00904728"/>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6D07"/>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57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94B"/>
    <w:rsid w:val="00B6613F"/>
    <w:rsid w:val="00B77EA6"/>
    <w:rsid w:val="00B81598"/>
    <w:rsid w:val="00B841F1"/>
    <w:rsid w:val="00B944D6"/>
    <w:rsid w:val="00BB4DF0"/>
    <w:rsid w:val="00BC289F"/>
    <w:rsid w:val="00BC2D50"/>
    <w:rsid w:val="00BC5361"/>
    <w:rsid w:val="00BC5460"/>
    <w:rsid w:val="00BC6B50"/>
    <w:rsid w:val="00BD0E25"/>
    <w:rsid w:val="00BF5BD6"/>
    <w:rsid w:val="00C03E31"/>
    <w:rsid w:val="00C2166A"/>
    <w:rsid w:val="00C22E10"/>
    <w:rsid w:val="00C33E72"/>
    <w:rsid w:val="00C354B2"/>
    <w:rsid w:val="00C35554"/>
    <w:rsid w:val="00C42709"/>
    <w:rsid w:val="00C533CC"/>
    <w:rsid w:val="00C5751C"/>
    <w:rsid w:val="00C61BFC"/>
    <w:rsid w:val="00C62B85"/>
    <w:rsid w:val="00C65438"/>
    <w:rsid w:val="00C87FD8"/>
    <w:rsid w:val="00C91381"/>
    <w:rsid w:val="00C91CBB"/>
    <w:rsid w:val="00CA4D04"/>
    <w:rsid w:val="00CB4E70"/>
    <w:rsid w:val="00CC09B6"/>
    <w:rsid w:val="00CC666F"/>
    <w:rsid w:val="00CD1E3F"/>
    <w:rsid w:val="00CD6149"/>
    <w:rsid w:val="00CE44F6"/>
    <w:rsid w:val="00CE49DA"/>
    <w:rsid w:val="00CE7B61"/>
    <w:rsid w:val="00D00095"/>
    <w:rsid w:val="00D114F0"/>
    <w:rsid w:val="00D1223F"/>
    <w:rsid w:val="00D1290F"/>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45F5"/>
    <w:rsid w:val="00E07ACF"/>
    <w:rsid w:val="00E331A1"/>
    <w:rsid w:val="00E33202"/>
    <w:rsid w:val="00E336A9"/>
    <w:rsid w:val="00E472B1"/>
    <w:rsid w:val="00E50624"/>
    <w:rsid w:val="00E568DF"/>
    <w:rsid w:val="00E63469"/>
    <w:rsid w:val="00E64269"/>
    <w:rsid w:val="00E82267"/>
    <w:rsid w:val="00E853CE"/>
    <w:rsid w:val="00E867B6"/>
    <w:rsid w:val="00EA010F"/>
    <w:rsid w:val="00ED1B63"/>
    <w:rsid w:val="00ED3C1F"/>
    <w:rsid w:val="00ED4085"/>
    <w:rsid w:val="00ED420E"/>
    <w:rsid w:val="00ED6FBE"/>
    <w:rsid w:val="00EE2F57"/>
    <w:rsid w:val="00EF16FF"/>
    <w:rsid w:val="00EF4C34"/>
    <w:rsid w:val="00EF77C6"/>
    <w:rsid w:val="00F05438"/>
    <w:rsid w:val="00F1361C"/>
    <w:rsid w:val="00F156F0"/>
    <w:rsid w:val="00F160C7"/>
    <w:rsid w:val="00F16383"/>
    <w:rsid w:val="00F2408F"/>
    <w:rsid w:val="00F240E9"/>
    <w:rsid w:val="00F36D8F"/>
    <w:rsid w:val="00F417B1"/>
    <w:rsid w:val="00F45853"/>
    <w:rsid w:val="00F602DF"/>
    <w:rsid w:val="00F754A1"/>
    <w:rsid w:val="00F81FD9"/>
    <w:rsid w:val="00F841AA"/>
    <w:rsid w:val="00F84A94"/>
    <w:rsid w:val="00F87E96"/>
    <w:rsid w:val="00FA23E8"/>
    <w:rsid w:val="00FD3CC1"/>
    <w:rsid w:val="00FD3DAE"/>
    <w:rsid w:val="00FF0F07"/>
    <w:rsid w:val="00FF1E02"/>
    <w:rsid w:val="00FF30B4"/>
    <w:rsid w:val="024E2A72"/>
    <w:rsid w:val="02DC2156"/>
    <w:rsid w:val="02F254D6"/>
    <w:rsid w:val="03DC2831"/>
    <w:rsid w:val="04642403"/>
    <w:rsid w:val="049973F4"/>
    <w:rsid w:val="04BA2023"/>
    <w:rsid w:val="04FA4B16"/>
    <w:rsid w:val="06E0134E"/>
    <w:rsid w:val="07354ECC"/>
    <w:rsid w:val="081B5E94"/>
    <w:rsid w:val="091B2D51"/>
    <w:rsid w:val="0983332C"/>
    <w:rsid w:val="0A2032A3"/>
    <w:rsid w:val="0AAF1EFF"/>
    <w:rsid w:val="0B8A37D8"/>
    <w:rsid w:val="0BD0037E"/>
    <w:rsid w:val="0BFC66C8"/>
    <w:rsid w:val="0E5E1C72"/>
    <w:rsid w:val="0EBD5B29"/>
    <w:rsid w:val="0F5FFB2F"/>
    <w:rsid w:val="0FFFCF60"/>
    <w:rsid w:val="10AF2C58"/>
    <w:rsid w:val="10C055FF"/>
    <w:rsid w:val="118107EC"/>
    <w:rsid w:val="11DD6519"/>
    <w:rsid w:val="133E6F55"/>
    <w:rsid w:val="15BA09D0"/>
    <w:rsid w:val="165D3DF7"/>
    <w:rsid w:val="166937C5"/>
    <w:rsid w:val="16BB723D"/>
    <w:rsid w:val="17047E69"/>
    <w:rsid w:val="170F4451"/>
    <w:rsid w:val="18015F3F"/>
    <w:rsid w:val="19E517A5"/>
    <w:rsid w:val="1A206975"/>
    <w:rsid w:val="1A9C249F"/>
    <w:rsid w:val="1BC04E91"/>
    <w:rsid w:val="1BE8440E"/>
    <w:rsid w:val="1C4F6411"/>
    <w:rsid w:val="1C8B27CB"/>
    <w:rsid w:val="1CC97E1A"/>
    <w:rsid w:val="1D155CEE"/>
    <w:rsid w:val="1DA22B94"/>
    <w:rsid w:val="1F252F4B"/>
    <w:rsid w:val="1FDBBF84"/>
    <w:rsid w:val="20F57F95"/>
    <w:rsid w:val="218E2416"/>
    <w:rsid w:val="21B77BBF"/>
    <w:rsid w:val="21ED4759"/>
    <w:rsid w:val="232F0824"/>
    <w:rsid w:val="240371BF"/>
    <w:rsid w:val="247753E3"/>
    <w:rsid w:val="25711CC6"/>
    <w:rsid w:val="25B82157"/>
    <w:rsid w:val="25C741E6"/>
    <w:rsid w:val="26104367"/>
    <w:rsid w:val="2632576A"/>
    <w:rsid w:val="276F80C0"/>
    <w:rsid w:val="27842671"/>
    <w:rsid w:val="291678C1"/>
    <w:rsid w:val="29FD04D3"/>
    <w:rsid w:val="2A1D3313"/>
    <w:rsid w:val="2ABE7A3E"/>
    <w:rsid w:val="2AFF09B6"/>
    <w:rsid w:val="2C7C3EDF"/>
    <w:rsid w:val="2CA234A8"/>
    <w:rsid w:val="2DDD09AD"/>
    <w:rsid w:val="2E190FA2"/>
    <w:rsid w:val="2ECD5D6D"/>
    <w:rsid w:val="2EE713B8"/>
    <w:rsid w:val="2EFA178C"/>
    <w:rsid w:val="2EFDF86C"/>
    <w:rsid w:val="2F9D17E1"/>
    <w:rsid w:val="30B46D73"/>
    <w:rsid w:val="31821294"/>
    <w:rsid w:val="319F7F4E"/>
    <w:rsid w:val="32B829E5"/>
    <w:rsid w:val="356A28F1"/>
    <w:rsid w:val="357C035A"/>
    <w:rsid w:val="36105698"/>
    <w:rsid w:val="368E000D"/>
    <w:rsid w:val="3752423F"/>
    <w:rsid w:val="383D272C"/>
    <w:rsid w:val="385E74CA"/>
    <w:rsid w:val="38763ED8"/>
    <w:rsid w:val="39AE70AB"/>
    <w:rsid w:val="39FA100E"/>
    <w:rsid w:val="3A4DCE41"/>
    <w:rsid w:val="3BCB56FA"/>
    <w:rsid w:val="3C0C0783"/>
    <w:rsid w:val="3CCF1E09"/>
    <w:rsid w:val="3DE3482E"/>
    <w:rsid w:val="3E0B13FA"/>
    <w:rsid w:val="3E6E1492"/>
    <w:rsid w:val="3E854E75"/>
    <w:rsid w:val="3EE7C2F4"/>
    <w:rsid w:val="3F1B30E3"/>
    <w:rsid w:val="3F371B56"/>
    <w:rsid w:val="3F792ED8"/>
    <w:rsid w:val="3F9F3A96"/>
    <w:rsid w:val="3FAC6431"/>
    <w:rsid w:val="3FECA4B2"/>
    <w:rsid w:val="3FF58C48"/>
    <w:rsid w:val="40127DC8"/>
    <w:rsid w:val="408D65BE"/>
    <w:rsid w:val="41292623"/>
    <w:rsid w:val="413C5593"/>
    <w:rsid w:val="42FF6694"/>
    <w:rsid w:val="45E701C3"/>
    <w:rsid w:val="47767A51"/>
    <w:rsid w:val="47B5352A"/>
    <w:rsid w:val="47E0311C"/>
    <w:rsid w:val="48BF60AB"/>
    <w:rsid w:val="493C27E9"/>
    <w:rsid w:val="4942761F"/>
    <w:rsid w:val="496D09DF"/>
    <w:rsid w:val="496F39ED"/>
    <w:rsid w:val="49BB2B14"/>
    <w:rsid w:val="49FF41D3"/>
    <w:rsid w:val="4A377BA8"/>
    <w:rsid w:val="4BE068DB"/>
    <w:rsid w:val="4BF6002B"/>
    <w:rsid w:val="4BFFC6BE"/>
    <w:rsid w:val="4CD945DE"/>
    <w:rsid w:val="4ECE2238"/>
    <w:rsid w:val="4F2002A2"/>
    <w:rsid w:val="4F311899"/>
    <w:rsid w:val="50595F65"/>
    <w:rsid w:val="50B25872"/>
    <w:rsid w:val="50C874A7"/>
    <w:rsid w:val="50EA0B67"/>
    <w:rsid w:val="51DB4B86"/>
    <w:rsid w:val="51F64DB0"/>
    <w:rsid w:val="537137C2"/>
    <w:rsid w:val="545A73C5"/>
    <w:rsid w:val="55333C3E"/>
    <w:rsid w:val="56095F34"/>
    <w:rsid w:val="56222B52"/>
    <w:rsid w:val="56D976B4"/>
    <w:rsid w:val="56EC722D"/>
    <w:rsid w:val="57517B92"/>
    <w:rsid w:val="5790570A"/>
    <w:rsid w:val="581715A8"/>
    <w:rsid w:val="5980650D"/>
    <w:rsid w:val="5988765D"/>
    <w:rsid w:val="5A783688"/>
    <w:rsid w:val="5B7E4CCE"/>
    <w:rsid w:val="5C900C58"/>
    <w:rsid w:val="5DBF7ED5"/>
    <w:rsid w:val="5F67802D"/>
    <w:rsid w:val="5F7DC4F2"/>
    <w:rsid w:val="5FA8231B"/>
    <w:rsid w:val="5FB36814"/>
    <w:rsid w:val="5FBB8E56"/>
    <w:rsid w:val="5FBF1411"/>
    <w:rsid w:val="5FFB5535"/>
    <w:rsid w:val="609A52AA"/>
    <w:rsid w:val="647833D8"/>
    <w:rsid w:val="64CA39A1"/>
    <w:rsid w:val="66351BCB"/>
    <w:rsid w:val="668A3149"/>
    <w:rsid w:val="684B418A"/>
    <w:rsid w:val="686B65DA"/>
    <w:rsid w:val="68A47FBA"/>
    <w:rsid w:val="68A65864"/>
    <w:rsid w:val="693370F8"/>
    <w:rsid w:val="69630ADE"/>
    <w:rsid w:val="69BD5F13"/>
    <w:rsid w:val="69FB0B4B"/>
    <w:rsid w:val="6BFFE1FB"/>
    <w:rsid w:val="6C4A05C8"/>
    <w:rsid w:val="6D2A0799"/>
    <w:rsid w:val="6D3B1A89"/>
    <w:rsid w:val="6DB7D8A3"/>
    <w:rsid w:val="6E112D3E"/>
    <w:rsid w:val="6EC78701"/>
    <w:rsid w:val="6F7A5481"/>
    <w:rsid w:val="6FA82893"/>
    <w:rsid w:val="6FC565D0"/>
    <w:rsid w:val="6FC90D80"/>
    <w:rsid w:val="6FFE07A9"/>
    <w:rsid w:val="70231548"/>
    <w:rsid w:val="70F607DE"/>
    <w:rsid w:val="7196275E"/>
    <w:rsid w:val="71BF4EC2"/>
    <w:rsid w:val="72734D90"/>
    <w:rsid w:val="73840DB4"/>
    <w:rsid w:val="73E75B71"/>
    <w:rsid w:val="74022FF8"/>
    <w:rsid w:val="7412278C"/>
    <w:rsid w:val="75976C60"/>
    <w:rsid w:val="75A70FF9"/>
    <w:rsid w:val="75DDCDA9"/>
    <w:rsid w:val="75FF44B1"/>
    <w:rsid w:val="77670518"/>
    <w:rsid w:val="777FA627"/>
    <w:rsid w:val="77DF1B5F"/>
    <w:rsid w:val="77EF2D9D"/>
    <w:rsid w:val="787F8CA8"/>
    <w:rsid w:val="790B6163"/>
    <w:rsid w:val="79E7B28D"/>
    <w:rsid w:val="7A4822D7"/>
    <w:rsid w:val="7AB7745D"/>
    <w:rsid w:val="7ACFF0C2"/>
    <w:rsid w:val="7AFB9108"/>
    <w:rsid w:val="7BD5340C"/>
    <w:rsid w:val="7BFB19D2"/>
    <w:rsid w:val="7BFD1750"/>
    <w:rsid w:val="7BFDAA1B"/>
    <w:rsid w:val="7CDF9A82"/>
    <w:rsid w:val="7CFFA1BD"/>
    <w:rsid w:val="7D2E3F7A"/>
    <w:rsid w:val="7DB163E5"/>
    <w:rsid w:val="7DED9490"/>
    <w:rsid w:val="7DFF4872"/>
    <w:rsid w:val="7E083136"/>
    <w:rsid w:val="7E304914"/>
    <w:rsid w:val="7E7487E6"/>
    <w:rsid w:val="7E7C2A54"/>
    <w:rsid w:val="7EEEFD72"/>
    <w:rsid w:val="7F1D517C"/>
    <w:rsid w:val="7F3E014D"/>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768C27"/>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字符"/>
    <w:basedOn w:val="17"/>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7"/>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Workbook1.xls"/><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   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193.21</c:v>
                </c:pt>
                <c:pt idx="1">
                  <c:v>193.21</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196.17</c:v>
                </c:pt>
                <c:pt idx="1">
                  <c:v>196.17</c:v>
                </c:pt>
              </c:numCache>
            </c:numRef>
          </c:val>
        </c:ser>
        <c:dLbls>
          <c:showLegendKey val="0"/>
          <c:showVal val="1"/>
          <c:showCatName val="0"/>
          <c:showSerName val="0"/>
          <c:showPercent val="0"/>
          <c:showBubbleSize val="0"/>
        </c:dLbls>
        <c:gapWidth val="246"/>
        <c:overlap val="-28"/>
        <c:axId val="883957725"/>
        <c:axId val="821782767"/>
      </c:barChart>
      <c:catAx>
        <c:axId val="8839577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1782767"/>
        <c:crosses val="autoZero"/>
        <c:auto val="1"/>
        <c:lblAlgn val="ctr"/>
        <c:lblOffset val="100"/>
        <c:noMultiLvlLbl val="0"/>
      </c:catAx>
      <c:valAx>
        <c:axId val="8217827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39577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550eff-066e-42da-99ba-93766032001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收入决算情况</a:t>
            </a:r>
          </a:p>
        </c:rich>
      </c:tx>
      <c:layout/>
      <c:overlay val="0"/>
      <c:spPr>
        <a:noFill/>
        <a:ln>
          <a:noFill/>
        </a:ln>
        <a:effectLst/>
      </c:spPr>
    </c:title>
    <c:autoTitleDeleted val="0"/>
    <c:plotArea>
      <c:layout/>
      <c:pieChart>
        <c:varyColors val="1"/>
        <c:ser>
          <c:idx val="0"/>
          <c:order val="0"/>
          <c:tx>
            <c:strRef>
              <c:f>Sheet1!$B$1</c:f>
              <c:strCache>
                <c:ptCount val="1"/>
                <c:pt idx="0">
                  <c:v>收入决算情况说明</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本年收入合计</c:v>
                </c:pt>
                <c:pt idx="1">
                  <c:v>一般公共预算财政拨款收入</c:v>
                </c:pt>
                <c:pt idx="2">
                  <c:v>事业收入</c:v>
                </c:pt>
                <c:pt idx="3">
                  <c:v>其他收入</c:v>
                </c:pt>
              </c:strCache>
            </c:strRef>
          </c:cat>
          <c:val>
            <c:numRef>
              <c:f>Sheet1!$B$2:$B$5</c:f>
              <c:numCache>
                <c:formatCode>General</c:formatCode>
                <c:ptCount val="4"/>
                <c:pt idx="0">
                  <c:v>196.17</c:v>
                </c:pt>
                <c:pt idx="1">
                  <c:v>179.27</c:v>
                </c:pt>
                <c:pt idx="2">
                  <c:v>16.2</c:v>
                </c:pt>
                <c:pt idx="3">
                  <c:v>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7204af-3fa5-4348-99c8-90a43f603d0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114.46</c:v>
                </c:pt>
                <c:pt idx="1">
                  <c:v>81.28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ae335d-97f9-4862-bf45-1871410c25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Sheet1!$B$2:$B$3</c:f>
              <c:numCache>
                <c:formatCode>General</c:formatCode>
                <c:ptCount val="2"/>
                <c:pt idx="0">
                  <c:v>179.27</c:v>
                </c:pt>
                <c:pt idx="1">
                  <c:v>179.27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Sheet1!$C$2:$C$3</c:f>
              <c:numCache>
                <c:formatCode>General</c:formatCode>
                <c:ptCount val="2"/>
                <c:pt idx="0">
                  <c:v>177.9</c:v>
                </c:pt>
                <c:pt idx="1">
                  <c:v>177.9</c:v>
                </c:pt>
              </c:numCache>
            </c:numRef>
          </c:val>
        </c:ser>
        <c:dLbls>
          <c:showLegendKey val="0"/>
          <c:showVal val="1"/>
          <c:showCatName val="0"/>
          <c:showSerName val="0"/>
          <c:showPercent val="0"/>
          <c:showBubbleSize val="0"/>
        </c:dLbls>
        <c:gapWidth val="246"/>
        <c:overlap val="-28"/>
        <c:axId val="688262293"/>
        <c:axId val="515904643"/>
      </c:barChart>
      <c:catAx>
        <c:axId val="688262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904643"/>
        <c:crosses val="autoZero"/>
        <c:auto val="1"/>
        <c:lblAlgn val="ctr"/>
        <c:lblOffset val="100"/>
        <c:noMultiLvlLbl val="0"/>
      </c:catAx>
      <c:valAx>
        <c:axId val="5159046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8262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e0451a-8686-4138-8f6c-5ff71d0852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179.27</c:v>
                </c:pt>
                <c:pt idx="1">
                  <c:v>177.9</c:v>
                </c:pt>
              </c:numCache>
            </c:numRef>
          </c:val>
        </c:ser>
        <c:dLbls>
          <c:showLegendKey val="0"/>
          <c:showVal val="1"/>
          <c:showCatName val="0"/>
          <c:showSerName val="0"/>
          <c:showPercent val="0"/>
          <c:showBubbleSize val="0"/>
        </c:dLbls>
        <c:gapWidth val="246"/>
        <c:overlap val="-28"/>
        <c:axId val="115537919"/>
        <c:axId val="939913651"/>
      </c:barChart>
      <c:catAx>
        <c:axId val="1155379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913651"/>
        <c:crosses val="autoZero"/>
        <c:auto val="1"/>
        <c:lblAlgn val="ctr"/>
        <c:lblOffset val="100"/>
        <c:noMultiLvlLbl val="0"/>
      </c:catAx>
      <c:valAx>
        <c:axId val="9399136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5379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bca1f7-4b4f-4c34-8ed8-7a85985ef4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15.26</c:v>
                </c:pt>
                <c:pt idx="1">
                  <c:v>156.05</c:v>
                </c:pt>
                <c:pt idx="2">
                  <c:v>7.97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16f6de9-cc94-49ed-a9c5-69c0b663984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4782</Words>
  <Characters>7135</Characters>
  <Lines>21</Lines>
  <Paragraphs>14</Paragraphs>
  <TotalTime>31</TotalTime>
  <ScaleCrop>false</ScaleCrop>
  <LinksUpToDate>false</LinksUpToDate>
  <CharactersWithSpaces>7156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user</cp:lastModifiedBy>
  <cp:lastPrinted>2023-08-03T18:35:00Z</cp:lastPrinted>
  <dcterms:modified xsi:type="dcterms:W3CDTF">2025-10-27T10:52:50Z</dcterms:modified>
  <dc:title>四川省***</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60F6F24F26544D239DE0D3DB1E7F69B0_13</vt:lpwstr>
  </property>
  <property fmtid="{D5CDD505-2E9C-101B-9397-08002B2CF9AE}" pid="4" name="KSOTemplateDocerSaveRecord">
    <vt:lpwstr>eyJoZGlkIjoiMzM1ZTYzYTJlMDhhNjgyMjhmMmU3NjE3YjQ4OTg5ZjYiLCJ1c2VySWQiOiI1MzY0NTkzODYifQ==</vt:lpwstr>
  </property>
</Properties>
</file>