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260BF">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7193"/>
      <w:bookmarkStart w:id="2" w:name="_Toc15377425"/>
      <w:bookmarkStart w:id="3" w:name="_Toc15306267"/>
      <w:bookmarkStart w:id="4" w:name="_Toc15396597"/>
      <w:bookmarkStart w:id="5" w:name="_Toc15378441"/>
    </w:p>
    <w:p w14:paraId="42CBE1A7">
      <w:pPr>
        <w:pStyle w:val="6"/>
        <w:rPr>
          <w:rFonts w:hint="eastAsia" w:ascii="Times New Roman" w:hAnsi="Times New Roman" w:eastAsia="方正小标宋简体" w:cs="Times New Roman"/>
          <w:color w:val="auto"/>
          <w:kern w:val="2"/>
          <w:sz w:val="72"/>
          <w:szCs w:val="72"/>
          <w:highlight w:val="none"/>
          <w:lang w:val="en-US" w:eastAsia="zh-CN" w:bidi="ar-SA"/>
        </w:rPr>
      </w:pPr>
    </w:p>
    <w:p w14:paraId="69C1F054">
      <w:pPr>
        <w:pStyle w:val="6"/>
        <w:rPr>
          <w:rFonts w:hint="eastAsia" w:ascii="Times New Roman" w:hAnsi="Times New Roman" w:eastAsia="方正小标宋简体" w:cs="Times New Roman"/>
          <w:color w:val="auto"/>
          <w:kern w:val="2"/>
          <w:sz w:val="72"/>
          <w:szCs w:val="72"/>
          <w:highlight w:val="none"/>
          <w:lang w:val="en-US" w:eastAsia="zh-CN" w:bidi="ar-SA"/>
        </w:rPr>
      </w:pPr>
    </w:p>
    <w:p w14:paraId="6AFAE208">
      <w:pPr>
        <w:pStyle w:val="6"/>
        <w:spacing w:before="93"/>
        <w:jc w:val="center"/>
        <w:rPr>
          <w:rFonts w:ascii="Times New Roman" w:eastAsia="方正小标宋简体"/>
          <w:kern w:val="2"/>
          <w:sz w:val="72"/>
          <w:szCs w:val="72"/>
        </w:rPr>
      </w:pPr>
      <w:r>
        <w:rPr>
          <w:rFonts w:hint="default" w:ascii="Times New Roman" w:hAnsi="Times New Roman" w:eastAsia="方正小标宋简体" w:cs="Times New Roman"/>
          <w:kern w:val="2"/>
          <w:sz w:val="72"/>
          <w:szCs w:val="72"/>
        </w:rPr>
        <w:t>2024</w:t>
      </w:r>
      <w:r>
        <w:rPr>
          <w:rFonts w:hint="eastAsia" w:ascii="Times New Roman" w:eastAsia="方正小标宋简体"/>
          <w:kern w:val="2"/>
          <w:sz w:val="72"/>
          <w:szCs w:val="72"/>
        </w:rPr>
        <w:t>年度</w:t>
      </w:r>
    </w:p>
    <w:p w14:paraId="0FC35225">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卫生和计划生育监督执法大队</w:t>
      </w:r>
      <w:r>
        <w:rPr>
          <w:rFonts w:hint="eastAsia" w:ascii="Times New Roman" w:eastAsia="方正小标宋简体"/>
          <w:kern w:val="2"/>
          <w:sz w:val="72"/>
          <w:szCs w:val="72"/>
        </w:rPr>
        <w:t>单位决算公开编制说明</w:t>
      </w:r>
      <w:bookmarkStart w:id="60" w:name="_GoBack"/>
      <w:bookmarkEnd w:id="60"/>
    </w:p>
    <w:p w14:paraId="115C0355">
      <w:pPr>
        <w:pStyle w:val="6"/>
        <w:spacing w:before="93"/>
        <w:jc w:val="center"/>
        <w:rPr>
          <w:rFonts w:ascii="Times New Roman" w:eastAsia="方正小标宋简体"/>
          <w:kern w:val="2"/>
          <w:sz w:val="44"/>
          <w:szCs w:val="44"/>
        </w:rPr>
      </w:pPr>
    </w:p>
    <w:p w14:paraId="4070B6C8">
      <w:pPr>
        <w:pStyle w:val="2"/>
        <w:rPr>
          <w:rFonts w:ascii="Times New Roman" w:hAnsi="Times New Roman"/>
          <w:sz w:val="44"/>
          <w:szCs w:val="44"/>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2E6E4B4D">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5F641E8A">
      <w:pPr>
        <w:widowControl/>
        <w:jc w:val="center"/>
        <w:rPr>
          <w:rFonts w:ascii="Times New Roman" w:hAnsi="Times New Roman" w:eastAsia="黑体" w:cstheme="minorBidi"/>
          <w:color w:val="auto"/>
          <w:sz w:val="28"/>
          <w:szCs w:val="28"/>
          <w:highlight w:val="none"/>
        </w:rPr>
      </w:pPr>
    </w:p>
    <w:p w14:paraId="5BA8D45B">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28</w:t>
      </w:r>
      <w:r>
        <w:rPr>
          <w:rFonts w:hint="eastAsia" w:ascii="Times New Roman" w:hAnsi="Times New Roman" w:eastAsia="仿宋_GB2312" w:cs="仿宋_GB2312"/>
          <w:color w:val="auto"/>
          <w:sz w:val="32"/>
          <w:szCs w:val="32"/>
          <w:highlight w:val="none"/>
        </w:rPr>
        <w:t>日</w:t>
      </w:r>
    </w:p>
    <w:p w14:paraId="6F21C389">
      <w:pPr>
        <w:rPr>
          <w:rFonts w:ascii="Times New Roman" w:hAnsi="Times New Roman"/>
          <w:color w:val="auto"/>
          <w:highlight w:val="none"/>
        </w:rPr>
      </w:pPr>
    </w:p>
    <w:p w14:paraId="027BF300">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r>
        <w:rPr>
          <w:rFonts w:hint="eastAsia" w:ascii="宋体" w:hAnsi="宋体" w:eastAsia="宋体" w:cs="宋体"/>
          <w:kern w:val="2"/>
          <w:sz w:val="24"/>
          <w:szCs w:val="24"/>
          <w:lang w:val="en-US" w:eastAsia="zh-CN" w:bidi="ar-SA"/>
        </w:rPr>
        <w:tab/>
      </w:r>
      <w:r>
        <w:rPr>
          <w:sz w:val="24"/>
          <w:szCs w:val="24"/>
        </w:rPr>
        <w:t>1</w:t>
      </w:r>
    </w:p>
    <w:p w14:paraId="61F2A79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eastAsia="zh-CN"/>
        </w:rPr>
        <w:t>主要</w:t>
      </w:r>
      <w:r>
        <w:rPr>
          <w:rFonts w:hint="eastAsia" w:ascii="Times New Roman" w:hAnsi="Times New Roman" w:eastAsia="仿宋_GB2312" w:cs="仿宋_GB2312"/>
          <w:color w:val="auto"/>
          <w:sz w:val="32"/>
          <w:szCs w:val="32"/>
          <w:highlight w:val="none"/>
          <w:lang w:eastAsia="zh-CN"/>
        </w:rPr>
        <w:t>职责</w:t>
      </w:r>
      <w:r>
        <w:rPr>
          <w:rFonts w:hint="eastAsia" w:ascii="宋体" w:hAnsi="宋体" w:eastAsia="宋体" w:cs="宋体"/>
          <w:kern w:val="2"/>
          <w:sz w:val="24"/>
          <w:szCs w:val="24"/>
          <w:lang w:val="en-US" w:eastAsia="zh-CN" w:bidi="ar-SA"/>
        </w:rPr>
        <w:tab/>
      </w:r>
      <w:r>
        <w:rPr>
          <w:sz w:val="24"/>
          <w:szCs w:val="24"/>
        </w:rPr>
        <w:t>1</w:t>
      </w:r>
    </w:p>
    <w:p w14:paraId="4B37151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二、机构设置</w:t>
      </w:r>
      <w:r>
        <w:rPr>
          <w:rFonts w:hint="eastAsia" w:ascii="宋体" w:hAnsi="宋体" w:eastAsia="宋体" w:cs="宋体"/>
          <w:kern w:val="2"/>
          <w:sz w:val="24"/>
          <w:szCs w:val="24"/>
          <w:lang w:val="en-US" w:eastAsia="zh-CN" w:bidi="ar-SA"/>
        </w:rPr>
        <w:tab/>
      </w:r>
      <w:r>
        <w:rPr>
          <w:rFonts w:hint="eastAsia"/>
          <w:sz w:val="24"/>
          <w:szCs w:val="24"/>
          <w:lang w:val="en-US" w:eastAsia="zh-CN"/>
        </w:rPr>
        <w:t>2</w:t>
      </w:r>
    </w:p>
    <w:p w14:paraId="198910E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宋体" w:cs="黑体"/>
          <w:color w:val="auto"/>
          <w:sz w:val="32"/>
          <w:szCs w:val="32"/>
          <w:highlight w:val="none"/>
          <w:lang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宋体" w:hAnsi="宋体" w:eastAsia="宋体" w:cs="宋体"/>
          <w:kern w:val="2"/>
          <w:sz w:val="24"/>
          <w:szCs w:val="24"/>
          <w:lang w:val="en-US" w:eastAsia="zh-CN" w:bidi="ar-SA"/>
        </w:rPr>
        <w:tab/>
      </w:r>
      <w:r>
        <w:rPr>
          <w:rFonts w:hint="eastAsia" w:eastAsia="宋体"/>
          <w:sz w:val="24"/>
          <w:szCs w:val="24"/>
          <w:lang w:val="en-US" w:eastAsia="zh-CN"/>
        </w:rPr>
        <w:t>3</w:t>
      </w:r>
    </w:p>
    <w:p w14:paraId="521AC27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宋体" w:hAnsi="宋体" w:eastAsia="宋体" w:cs="宋体"/>
          <w:kern w:val="2"/>
          <w:sz w:val="24"/>
          <w:szCs w:val="24"/>
          <w:lang w:val="en-US" w:eastAsia="zh-CN" w:bidi="ar-SA"/>
        </w:rPr>
        <w:tab/>
      </w:r>
      <w:r>
        <w:rPr>
          <w:rFonts w:hint="eastAsia"/>
          <w:sz w:val="24"/>
          <w:szCs w:val="24"/>
          <w:lang w:val="en-US" w:eastAsia="zh-CN"/>
        </w:rPr>
        <w:t>3</w:t>
      </w:r>
    </w:p>
    <w:p w14:paraId="16BE2FE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二、收入决算情况说明</w:t>
      </w:r>
      <w:r>
        <w:rPr>
          <w:rFonts w:hint="eastAsia" w:ascii="宋体" w:hAnsi="宋体" w:eastAsia="宋体" w:cs="宋体"/>
          <w:kern w:val="2"/>
          <w:sz w:val="24"/>
          <w:szCs w:val="24"/>
          <w:lang w:val="en-US" w:eastAsia="zh-CN" w:bidi="ar-SA"/>
        </w:rPr>
        <w:tab/>
      </w:r>
      <w:r>
        <w:rPr>
          <w:rFonts w:hint="eastAsia"/>
          <w:sz w:val="24"/>
          <w:szCs w:val="24"/>
          <w:lang w:val="en-US" w:eastAsia="zh-CN"/>
        </w:rPr>
        <w:t>3</w:t>
      </w:r>
    </w:p>
    <w:p w14:paraId="242880B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三、支出决算情况说明</w:t>
      </w:r>
      <w:r>
        <w:rPr>
          <w:rFonts w:hint="eastAsia" w:ascii="宋体" w:hAnsi="宋体" w:eastAsia="宋体" w:cs="宋体"/>
          <w:kern w:val="2"/>
          <w:sz w:val="24"/>
          <w:szCs w:val="24"/>
          <w:lang w:val="en-US" w:eastAsia="zh-CN" w:bidi="ar-SA"/>
        </w:rPr>
        <w:tab/>
      </w:r>
      <w:r>
        <w:rPr>
          <w:rFonts w:hint="eastAsia"/>
          <w:sz w:val="24"/>
          <w:szCs w:val="24"/>
          <w:lang w:val="en-US" w:eastAsia="zh-CN"/>
        </w:rPr>
        <w:t>4</w:t>
      </w:r>
    </w:p>
    <w:p w14:paraId="5321811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宋体" w:hAnsi="宋体" w:eastAsia="宋体" w:cs="宋体"/>
          <w:kern w:val="2"/>
          <w:sz w:val="24"/>
          <w:szCs w:val="24"/>
          <w:lang w:val="en-US" w:eastAsia="zh-CN" w:bidi="ar-SA"/>
        </w:rPr>
        <w:tab/>
      </w:r>
      <w:r>
        <w:rPr>
          <w:rFonts w:hint="eastAsia"/>
          <w:sz w:val="24"/>
          <w:szCs w:val="24"/>
          <w:lang w:val="en-US" w:eastAsia="zh-CN"/>
        </w:rPr>
        <w:t>5</w:t>
      </w:r>
    </w:p>
    <w:p w14:paraId="1011BB6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宋体" w:hAnsi="宋体" w:eastAsia="宋体" w:cs="宋体"/>
          <w:kern w:val="2"/>
          <w:sz w:val="24"/>
          <w:szCs w:val="24"/>
          <w:lang w:val="en-US" w:eastAsia="zh-CN" w:bidi="ar-SA"/>
        </w:rPr>
        <w:tab/>
      </w:r>
      <w:r>
        <w:rPr>
          <w:rFonts w:hint="eastAsia"/>
          <w:sz w:val="24"/>
          <w:szCs w:val="24"/>
          <w:lang w:val="en-US" w:eastAsia="zh-CN"/>
        </w:rPr>
        <w:t>5</w:t>
      </w:r>
    </w:p>
    <w:p w14:paraId="0E56393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宋体" w:hAnsi="宋体" w:eastAsia="宋体" w:cs="宋体"/>
          <w:kern w:val="2"/>
          <w:sz w:val="24"/>
          <w:szCs w:val="24"/>
          <w:lang w:val="en-US" w:eastAsia="zh-CN" w:bidi="ar-SA"/>
        </w:rPr>
        <w:tab/>
      </w:r>
      <w:r>
        <w:rPr>
          <w:rFonts w:hint="eastAsia"/>
          <w:sz w:val="24"/>
          <w:szCs w:val="24"/>
          <w:lang w:val="en-US" w:eastAsia="zh-CN"/>
        </w:rPr>
        <w:t>8</w:t>
      </w:r>
    </w:p>
    <w:p w14:paraId="2F86B6E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宋体" w:hAnsi="宋体" w:eastAsia="宋体" w:cs="宋体"/>
          <w:kern w:val="2"/>
          <w:sz w:val="24"/>
          <w:szCs w:val="24"/>
          <w:lang w:val="en-US" w:eastAsia="zh-CN" w:bidi="ar-SA"/>
        </w:rPr>
        <w:tab/>
      </w:r>
      <w:r>
        <w:rPr>
          <w:rFonts w:hint="eastAsia"/>
          <w:sz w:val="24"/>
          <w:szCs w:val="24"/>
          <w:lang w:val="en-US" w:eastAsia="zh-CN"/>
        </w:rPr>
        <w:t>8</w:t>
      </w:r>
    </w:p>
    <w:p w14:paraId="6F57FA2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宋体" w:hAnsi="宋体" w:eastAsia="宋体" w:cs="宋体"/>
          <w:kern w:val="2"/>
          <w:sz w:val="24"/>
          <w:szCs w:val="24"/>
          <w:lang w:val="en-US" w:eastAsia="zh-CN" w:bidi="ar-SA"/>
        </w:rPr>
        <w:tab/>
      </w:r>
      <w:r>
        <w:rPr>
          <w:rFonts w:hint="eastAsia"/>
          <w:sz w:val="24"/>
          <w:szCs w:val="24"/>
          <w:lang w:val="en-US" w:eastAsia="zh-CN"/>
        </w:rPr>
        <w:t>10</w:t>
      </w:r>
    </w:p>
    <w:p w14:paraId="0D9DFB1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宋体" w:hAnsi="宋体" w:eastAsia="宋体" w:cs="宋体"/>
          <w:kern w:val="2"/>
          <w:sz w:val="24"/>
          <w:szCs w:val="24"/>
          <w:lang w:val="en-US" w:eastAsia="zh-CN" w:bidi="ar-SA"/>
        </w:rPr>
        <w:tab/>
      </w:r>
      <w:r>
        <w:rPr>
          <w:rFonts w:hint="eastAsia"/>
          <w:sz w:val="24"/>
          <w:szCs w:val="24"/>
          <w:lang w:val="en-US" w:eastAsia="zh-CN"/>
        </w:rPr>
        <w:t>10</w:t>
      </w:r>
    </w:p>
    <w:p w14:paraId="6001E08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宋体" w:hAnsi="宋体" w:eastAsia="宋体" w:cs="宋体"/>
          <w:kern w:val="2"/>
          <w:sz w:val="24"/>
          <w:szCs w:val="24"/>
          <w:lang w:val="en-US" w:eastAsia="zh-CN" w:bidi="ar-SA"/>
        </w:rPr>
        <w:tab/>
      </w:r>
      <w:r>
        <w:rPr>
          <w:rFonts w:hint="eastAsia"/>
          <w:sz w:val="24"/>
          <w:szCs w:val="24"/>
          <w:lang w:val="en-US" w:eastAsia="zh-CN"/>
        </w:rPr>
        <w:t>10</w:t>
      </w:r>
    </w:p>
    <w:p w14:paraId="74634DC9">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eastAsia="宋体"/>
          <w:sz w:val="24"/>
          <w:szCs w:val="24"/>
          <w:lang w:val="en-US" w:eastAsia="zh-CN"/>
        </w:rPr>
      </w:pPr>
      <w:r>
        <w:rPr>
          <w:rFonts w:hint="eastAsia" w:ascii="Times New Roman" w:hAnsi="Times New Roman" w:eastAsia="黑体" w:cs="黑体"/>
          <w:color w:val="auto"/>
          <w:sz w:val="32"/>
          <w:szCs w:val="32"/>
          <w:highlight w:val="none"/>
        </w:rPr>
        <w:t>第三部分 名词解释</w:t>
      </w:r>
      <w:r>
        <w:rPr>
          <w:rFonts w:hint="eastAsia" w:ascii="宋体" w:hAnsi="宋体" w:eastAsia="宋体" w:cs="宋体"/>
          <w:kern w:val="2"/>
          <w:sz w:val="24"/>
          <w:szCs w:val="24"/>
          <w:lang w:val="en-US" w:eastAsia="zh-CN" w:bidi="ar-SA"/>
        </w:rPr>
        <w:tab/>
      </w:r>
      <w:r>
        <w:rPr>
          <w:rFonts w:hint="eastAsia" w:eastAsia="宋体"/>
          <w:sz w:val="24"/>
          <w:szCs w:val="24"/>
          <w:lang w:val="en-US" w:eastAsia="zh-CN"/>
        </w:rPr>
        <w:t>12</w:t>
      </w:r>
    </w:p>
    <w:p w14:paraId="47A3C0AE">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宋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宋体" w:hAnsi="宋体" w:eastAsia="宋体" w:cs="宋体"/>
          <w:kern w:val="2"/>
          <w:sz w:val="24"/>
          <w:szCs w:val="24"/>
          <w:lang w:val="en-US" w:eastAsia="zh-CN" w:bidi="ar-SA"/>
        </w:rPr>
        <w:tab/>
      </w:r>
      <w:r>
        <w:rPr>
          <w:rFonts w:hint="eastAsia" w:eastAsia="宋体"/>
          <w:sz w:val="24"/>
          <w:szCs w:val="24"/>
          <w:lang w:val="en-US" w:eastAsia="zh-CN"/>
        </w:rPr>
        <w:t>15</w:t>
      </w:r>
    </w:p>
    <w:p w14:paraId="75C98D61">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宋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宋体" w:hAnsi="宋体" w:eastAsia="宋体" w:cs="宋体"/>
          <w:kern w:val="2"/>
          <w:sz w:val="24"/>
          <w:szCs w:val="24"/>
          <w:lang w:val="en-US" w:eastAsia="zh-CN" w:bidi="ar-SA"/>
        </w:rPr>
        <w:tab/>
      </w:r>
      <w:r>
        <w:rPr>
          <w:rFonts w:hint="eastAsia" w:eastAsia="宋体"/>
          <w:sz w:val="24"/>
          <w:szCs w:val="24"/>
          <w:lang w:val="en-US" w:eastAsia="zh-CN"/>
        </w:rPr>
        <w:t>16</w:t>
      </w:r>
    </w:p>
    <w:p w14:paraId="173ACFE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ascii="宋体" w:hAnsi="宋体" w:eastAsia="宋体" w:cs="宋体"/>
          <w:kern w:val="2"/>
          <w:sz w:val="24"/>
          <w:szCs w:val="24"/>
          <w:lang w:val="en-US" w:eastAsia="zh-CN" w:bidi="ar-SA"/>
        </w:rPr>
        <w:tab/>
      </w:r>
      <w:r>
        <w:rPr>
          <w:rFonts w:hint="eastAsia"/>
          <w:sz w:val="24"/>
          <w:szCs w:val="24"/>
          <w:lang w:val="en-US" w:eastAsia="zh-CN"/>
        </w:rPr>
        <w:t>16</w:t>
      </w:r>
    </w:p>
    <w:p w14:paraId="380E07F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ascii="宋体" w:hAnsi="宋体" w:eastAsia="宋体" w:cs="宋体"/>
          <w:kern w:val="2"/>
          <w:sz w:val="24"/>
          <w:szCs w:val="24"/>
          <w:lang w:val="en-US" w:eastAsia="zh-CN" w:bidi="ar-SA"/>
        </w:rPr>
        <w:tab/>
      </w:r>
      <w:r>
        <w:rPr>
          <w:rFonts w:hint="eastAsia"/>
          <w:sz w:val="24"/>
          <w:szCs w:val="24"/>
          <w:lang w:val="en-US" w:eastAsia="zh-CN"/>
        </w:rPr>
        <w:t>16</w:t>
      </w:r>
    </w:p>
    <w:p w14:paraId="7C72CE3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ascii="宋体" w:hAnsi="宋体" w:eastAsia="宋体" w:cs="宋体"/>
          <w:kern w:val="2"/>
          <w:sz w:val="24"/>
          <w:szCs w:val="24"/>
          <w:lang w:val="en-US" w:eastAsia="zh-CN" w:bidi="ar-SA"/>
        </w:rPr>
        <w:tab/>
      </w:r>
      <w:r>
        <w:rPr>
          <w:sz w:val="24"/>
          <w:szCs w:val="24"/>
        </w:rPr>
        <w:t>1</w:t>
      </w:r>
      <w:r>
        <w:rPr>
          <w:rFonts w:hint="eastAsia"/>
          <w:sz w:val="24"/>
          <w:szCs w:val="24"/>
          <w:lang w:val="en-US" w:eastAsia="zh-CN"/>
        </w:rPr>
        <w:t>6</w:t>
      </w:r>
    </w:p>
    <w:p w14:paraId="5D9A50F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ascii="宋体" w:hAnsi="宋体" w:eastAsia="宋体" w:cs="宋体"/>
          <w:kern w:val="2"/>
          <w:sz w:val="24"/>
          <w:szCs w:val="24"/>
          <w:lang w:val="en-US" w:eastAsia="zh-CN" w:bidi="ar-SA"/>
        </w:rPr>
        <w:tab/>
      </w:r>
      <w:r>
        <w:rPr>
          <w:sz w:val="24"/>
          <w:szCs w:val="24"/>
        </w:rPr>
        <w:t>1</w:t>
      </w:r>
      <w:r>
        <w:rPr>
          <w:rFonts w:hint="eastAsia"/>
          <w:sz w:val="24"/>
          <w:szCs w:val="24"/>
          <w:lang w:val="en-US" w:eastAsia="zh-CN"/>
        </w:rPr>
        <w:t>6</w:t>
      </w:r>
    </w:p>
    <w:p w14:paraId="7D68626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ascii="宋体" w:hAnsi="宋体" w:eastAsia="宋体" w:cs="宋体"/>
          <w:kern w:val="2"/>
          <w:sz w:val="24"/>
          <w:szCs w:val="24"/>
          <w:lang w:val="en-US" w:eastAsia="zh-CN" w:bidi="ar-SA"/>
        </w:rPr>
        <w:tab/>
      </w:r>
      <w:r>
        <w:rPr>
          <w:sz w:val="24"/>
          <w:szCs w:val="24"/>
        </w:rPr>
        <w:t>1</w:t>
      </w:r>
      <w:r>
        <w:rPr>
          <w:rFonts w:hint="eastAsia"/>
          <w:sz w:val="24"/>
          <w:szCs w:val="24"/>
          <w:lang w:val="en-US" w:eastAsia="zh-CN"/>
        </w:rPr>
        <w:t>6</w:t>
      </w:r>
    </w:p>
    <w:p w14:paraId="2FC4C30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宋体" w:hAnsi="宋体" w:eastAsia="宋体" w:cs="宋体"/>
          <w:kern w:val="2"/>
          <w:sz w:val="24"/>
          <w:szCs w:val="24"/>
          <w:lang w:val="en-US" w:eastAsia="zh-CN" w:bidi="ar-SA"/>
        </w:rPr>
        <w:tab/>
      </w:r>
      <w:r>
        <w:rPr>
          <w:sz w:val="24"/>
          <w:szCs w:val="24"/>
        </w:rPr>
        <w:t>1</w:t>
      </w:r>
      <w:r>
        <w:rPr>
          <w:rFonts w:hint="eastAsia"/>
          <w:sz w:val="24"/>
          <w:szCs w:val="24"/>
          <w:lang w:val="en-US" w:eastAsia="zh-CN"/>
        </w:rPr>
        <w:t>6</w:t>
      </w:r>
    </w:p>
    <w:p w14:paraId="6056626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宋体" w:hAnsi="宋体" w:eastAsia="宋体" w:cs="宋体"/>
          <w:kern w:val="2"/>
          <w:sz w:val="24"/>
          <w:szCs w:val="24"/>
          <w:lang w:val="en-US" w:eastAsia="zh-CN" w:bidi="ar-SA"/>
        </w:rPr>
        <w:tab/>
      </w:r>
      <w:r>
        <w:rPr>
          <w:sz w:val="24"/>
          <w:szCs w:val="24"/>
        </w:rPr>
        <w:t>1</w:t>
      </w:r>
      <w:r>
        <w:rPr>
          <w:rFonts w:hint="eastAsia"/>
          <w:sz w:val="24"/>
          <w:szCs w:val="24"/>
          <w:lang w:val="en-US" w:eastAsia="zh-CN"/>
        </w:rPr>
        <w:t>6</w:t>
      </w:r>
    </w:p>
    <w:p w14:paraId="2660559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宋体" w:hAnsi="宋体" w:eastAsia="宋体" w:cs="宋体"/>
          <w:kern w:val="2"/>
          <w:sz w:val="24"/>
          <w:szCs w:val="24"/>
          <w:lang w:val="en-US" w:eastAsia="zh-CN" w:bidi="ar-SA"/>
        </w:rPr>
        <w:tab/>
      </w:r>
      <w:r>
        <w:rPr>
          <w:sz w:val="24"/>
          <w:szCs w:val="24"/>
        </w:rPr>
        <w:t>1</w:t>
      </w:r>
      <w:r>
        <w:rPr>
          <w:rFonts w:hint="eastAsia"/>
          <w:sz w:val="24"/>
          <w:szCs w:val="24"/>
          <w:lang w:val="en-US" w:eastAsia="zh-CN"/>
        </w:rPr>
        <w:t>6</w:t>
      </w:r>
    </w:p>
    <w:p w14:paraId="6F52AB5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宋体" w:hAnsi="宋体" w:eastAsia="宋体" w:cs="宋体"/>
          <w:kern w:val="2"/>
          <w:sz w:val="24"/>
          <w:szCs w:val="24"/>
          <w:lang w:val="en-US" w:eastAsia="zh-CN" w:bidi="ar-SA"/>
        </w:rPr>
        <w:tab/>
      </w:r>
      <w:r>
        <w:rPr>
          <w:sz w:val="24"/>
          <w:szCs w:val="24"/>
        </w:rPr>
        <w:t>1</w:t>
      </w:r>
      <w:r>
        <w:rPr>
          <w:rFonts w:hint="eastAsia"/>
          <w:sz w:val="24"/>
          <w:szCs w:val="24"/>
          <w:lang w:val="en-US" w:eastAsia="zh-CN"/>
        </w:rPr>
        <w:t>6</w:t>
      </w:r>
    </w:p>
    <w:p w14:paraId="4CF48BF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宋体" w:hAnsi="宋体" w:eastAsia="宋体" w:cs="宋体"/>
          <w:kern w:val="2"/>
          <w:sz w:val="24"/>
          <w:szCs w:val="24"/>
          <w:lang w:val="en-US" w:eastAsia="zh-CN" w:bidi="ar-SA"/>
        </w:rPr>
        <w:tab/>
      </w:r>
      <w:r>
        <w:rPr>
          <w:sz w:val="24"/>
          <w:szCs w:val="24"/>
        </w:rPr>
        <w:t>1</w:t>
      </w:r>
      <w:r>
        <w:rPr>
          <w:rFonts w:hint="eastAsia"/>
          <w:sz w:val="24"/>
          <w:szCs w:val="24"/>
          <w:lang w:val="en-US" w:eastAsia="zh-CN"/>
        </w:rPr>
        <w:t>6</w:t>
      </w:r>
    </w:p>
    <w:p w14:paraId="260DC55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宋体" w:hAnsi="宋体" w:eastAsia="宋体" w:cs="宋体"/>
          <w:kern w:val="2"/>
          <w:sz w:val="24"/>
          <w:szCs w:val="24"/>
          <w:lang w:val="en-US" w:eastAsia="zh-CN" w:bidi="ar-SA"/>
        </w:rPr>
        <w:tab/>
      </w:r>
      <w:r>
        <w:rPr>
          <w:sz w:val="24"/>
          <w:szCs w:val="24"/>
        </w:rPr>
        <w:t>1</w:t>
      </w:r>
      <w:r>
        <w:rPr>
          <w:rFonts w:hint="eastAsia"/>
          <w:sz w:val="24"/>
          <w:szCs w:val="24"/>
          <w:lang w:val="en-US" w:eastAsia="zh-CN"/>
        </w:rPr>
        <w:t>6</w:t>
      </w:r>
    </w:p>
    <w:p w14:paraId="5BB0E1F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宋体" w:hAnsi="宋体" w:eastAsia="宋体" w:cs="宋体"/>
          <w:kern w:val="2"/>
          <w:sz w:val="24"/>
          <w:szCs w:val="24"/>
          <w:lang w:val="en-US" w:eastAsia="zh-CN" w:bidi="ar-SA"/>
        </w:rPr>
        <w:tab/>
      </w:r>
      <w:r>
        <w:rPr>
          <w:sz w:val="24"/>
          <w:szCs w:val="24"/>
        </w:rPr>
        <w:t>1</w:t>
      </w:r>
      <w:r>
        <w:rPr>
          <w:rFonts w:hint="eastAsia"/>
          <w:sz w:val="24"/>
          <w:szCs w:val="24"/>
          <w:lang w:val="en-US" w:eastAsia="zh-CN"/>
        </w:rPr>
        <w:t>6</w:t>
      </w:r>
    </w:p>
    <w:p w14:paraId="0DE9510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ascii="宋体" w:hAnsi="宋体" w:eastAsia="宋体" w:cs="宋体"/>
          <w:kern w:val="2"/>
          <w:sz w:val="24"/>
          <w:szCs w:val="24"/>
          <w:lang w:val="en-US" w:eastAsia="zh-CN" w:bidi="ar-SA"/>
        </w:rPr>
        <w:tab/>
      </w:r>
      <w:r>
        <w:rPr>
          <w:sz w:val="24"/>
          <w:szCs w:val="24"/>
        </w:rPr>
        <w:t>1</w:t>
      </w:r>
      <w:r>
        <w:rPr>
          <w:rFonts w:hint="eastAsia"/>
          <w:sz w:val="24"/>
          <w:szCs w:val="24"/>
          <w:lang w:val="en-US" w:eastAsia="zh-CN"/>
        </w:rPr>
        <w:t>6</w:t>
      </w:r>
    </w:p>
    <w:p w14:paraId="04A14C38">
      <w:pPr>
        <w:pStyle w:val="3"/>
        <w:jc w:val="center"/>
        <w:rPr>
          <w:rFonts w:hint="eastAsia" w:ascii="方正小标宋_GBK" w:hAnsi="方正小标宋_GBK" w:eastAsia="方正小标宋_GBK" w:cs="方正小标宋_GBK"/>
          <w:b/>
          <w:bCs/>
          <w:color w:val="000000"/>
          <w:kern w:val="0"/>
          <w:sz w:val="44"/>
          <w:szCs w:val="44"/>
          <w:lang w:val="en-US" w:eastAsia="zh-CN" w:bidi="ar"/>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bookmarkStart w:id="6" w:name="_Toc15377196"/>
      <w:bookmarkStart w:id="7" w:name="_Toc15396599"/>
    </w:p>
    <w:p w14:paraId="2BD5F140">
      <w:pPr>
        <w:pStyle w:val="3"/>
        <w:jc w:val="center"/>
        <w:rPr>
          <w:rFonts w:ascii="Times New Roman" w:hAnsi="Times New Roman" w:eastAsia="黑体"/>
          <w:color w:val="auto"/>
          <w:sz w:val="32"/>
          <w:szCs w:val="32"/>
          <w:highlight w:val="none"/>
        </w:rPr>
      </w:pPr>
      <w:r>
        <w:rPr>
          <w:rFonts w:hint="eastAsia" w:ascii="方正小标宋_GBK" w:hAnsi="方正小标宋_GBK" w:eastAsia="方正小标宋_GBK" w:cs="方正小标宋_GBK"/>
          <w:b/>
          <w:bCs/>
          <w:color w:val="000000"/>
          <w:kern w:val="0"/>
          <w:sz w:val="44"/>
          <w:szCs w:val="44"/>
          <w:lang w:val="en-US" w:eastAsia="zh-CN" w:bidi="ar"/>
        </w:rPr>
        <w:t>第一部分  单位概况</w:t>
      </w:r>
      <w:bookmarkEnd w:id="6"/>
      <w:bookmarkEnd w:id="7"/>
    </w:p>
    <w:p w14:paraId="47883F16">
      <w:pPr>
        <w:pStyle w:val="4"/>
        <w:pageBreakBefore w:val="0"/>
        <w:kinsoku/>
        <w:wordWrap/>
        <w:overflowPunct/>
        <w:topLinePunct w:val="0"/>
        <w:autoSpaceDE/>
        <w:autoSpaceDN/>
        <w:bidi w:val="0"/>
        <w:spacing w:before="0" w:after="0" w:line="570" w:lineRule="exact"/>
        <w:ind w:left="0" w:firstLine="640" w:firstLineChars="200"/>
        <w:textAlignment w:val="auto"/>
        <w:rPr>
          <w:rFonts w:hint="eastAsia" w:ascii="黑体" w:hAnsi="黑体" w:eastAsia="黑体" w:cs="Times New Roman"/>
          <w:b w:val="0"/>
          <w:bCs w:val="0"/>
          <w:kern w:val="2"/>
          <w:sz w:val="32"/>
          <w:szCs w:val="22"/>
          <w:lang w:val="en-US" w:eastAsia="zh-CN" w:bidi="ar-SA"/>
        </w:rPr>
      </w:pPr>
      <w:r>
        <w:rPr>
          <w:rFonts w:hint="eastAsia" w:ascii="黑体" w:hAnsi="黑体" w:eastAsia="黑体" w:cs="Times New Roman"/>
          <w:b w:val="0"/>
          <w:bCs w:val="0"/>
          <w:kern w:val="2"/>
          <w:sz w:val="32"/>
          <w:szCs w:val="22"/>
          <w:lang w:val="en-US" w:eastAsia="zh-CN" w:bidi="ar-SA"/>
        </w:rPr>
        <w:t>一、主要职责</w:t>
      </w:r>
    </w:p>
    <w:p w14:paraId="06A6597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本单位是盐边县卫生健康局行使行政执行和行政监督职能的具体执行机构，依照法律、法规及相关规定，组织开展权限范围内的卫生和计划生育监督执法工作。承担着全县医疗卫生、母婴保健服务机构、公共场所卫生、生活饮用水卫生、学校卫生、职业卫生、传染病防治、消毒产品，餐饮具集中消毒单位及计划生育等卫生行政监督检查、行政许可、行政强制和行政处罚等行政管理职能。</w:t>
      </w:r>
    </w:p>
    <w:p w14:paraId="5D84DED9">
      <w:pPr>
        <w:spacing w:line="570" w:lineRule="exact"/>
        <w:ind w:firstLine="643" w:firstLineChars="200"/>
        <w:jc w:val="both"/>
        <w:rPr>
          <w:rFonts w:hint="eastAsia" w:ascii="楷体_GB2312" w:hAnsi="Times New Roman" w:eastAsia="楷体_GB2312" w:cs="Times New Roman"/>
          <w:b/>
          <w:sz w:val="32"/>
          <w:szCs w:val="22"/>
          <w:lang w:val="en-US" w:eastAsia="zh-CN"/>
        </w:rPr>
      </w:pPr>
      <w:r>
        <w:rPr>
          <w:rFonts w:hint="eastAsia" w:ascii="楷体_GB2312" w:hAnsi="Times New Roman" w:eastAsia="楷体_GB2312" w:cs="Times New Roman"/>
          <w:b/>
          <w:sz w:val="32"/>
          <w:szCs w:val="22"/>
          <w:lang w:val="en-US" w:eastAsia="zh-CN"/>
        </w:rPr>
        <w:t xml:space="preserve">（一）卫生行政许可  </w:t>
      </w:r>
    </w:p>
    <w:p w14:paraId="3DC1C09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jc w:val="both"/>
        <w:textAlignment w:val="auto"/>
        <w:rPr>
          <w:rFonts w:hint="eastAsia"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承办公共场所卫生条件的卫生行政许可；承办供水单位卫生条件的卫生行政许可；承办医疗机构（包括母婴保健技术服务机构、放射诊疗机构、计划生育服务机构等）的卫生行政许可；卫生行政部门交办的其它行政许可事项。</w:t>
      </w:r>
    </w:p>
    <w:p w14:paraId="1700BC77">
      <w:pPr>
        <w:spacing w:line="570" w:lineRule="exact"/>
        <w:ind w:firstLine="643" w:firstLineChars="200"/>
        <w:jc w:val="both"/>
        <w:rPr>
          <w:rFonts w:hint="eastAsia" w:ascii="楷体_GB2312" w:hAnsi="Times New Roman" w:eastAsia="楷体_GB2312" w:cs="Times New Roman"/>
          <w:b/>
          <w:sz w:val="32"/>
          <w:szCs w:val="22"/>
          <w:lang w:val="en-US" w:eastAsia="zh-CN"/>
        </w:rPr>
      </w:pPr>
      <w:r>
        <w:rPr>
          <w:rFonts w:hint="eastAsia" w:ascii="楷体_GB2312" w:hAnsi="Times New Roman" w:eastAsia="楷体_GB2312" w:cs="Times New Roman"/>
          <w:b/>
          <w:sz w:val="32"/>
          <w:szCs w:val="22"/>
          <w:lang w:val="en-US" w:eastAsia="zh-CN"/>
        </w:rPr>
        <w:t xml:space="preserve">（二）公共卫生监督  </w:t>
      </w:r>
    </w:p>
    <w:p w14:paraId="0C45C29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对消毒产品、生活饮用水、涉及饮用水卫生安全产品及其他健康相关产品的卫生及其生产经营活动进行卫生监督检查，查处违法行为；对公共场所的卫生条件及其从业人员的健康管理进行卫生监督检查，查处违法行为；对用人单位开展职业健康监护情况进行卫生监督检查，查处违法行为。</w:t>
      </w:r>
    </w:p>
    <w:p w14:paraId="409B68DA">
      <w:pPr>
        <w:numPr>
          <w:ilvl w:val="0"/>
          <w:numId w:val="1"/>
        </w:numPr>
        <w:spacing w:line="570" w:lineRule="exact"/>
        <w:ind w:firstLine="643" w:firstLineChars="200"/>
        <w:rPr>
          <w:rFonts w:hint="eastAsia" w:ascii="楷体_GB2312" w:hAnsi="Times New Roman" w:eastAsia="楷体_GB2312" w:cs="Times New Roman"/>
          <w:b/>
          <w:sz w:val="32"/>
          <w:szCs w:val="22"/>
          <w:lang w:val="en-US" w:eastAsia="zh-CN"/>
        </w:rPr>
      </w:pPr>
      <w:r>
        <w:rPr>
          <w:rFonts w:hint="eastAsia" w:ascii="楷体_GB2312" w:hAnsi="Times New Roman" w:eastAsia="楷体_GB2312" w:cs="Times New Roman"/>
          <w:b/>
          <w:sz w:val="32"/>
          <w:szCs w:val="22"/>
          <w:lang w:val="en-US" w:eastAsia="zh-CN"/>
        </w:rPr>
        <w:t xml:space="preserve">医疗卫生监督 </w:t>
      </w:r>
    </w:p>
    <w:p w14:paraId="32CC916E">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Times New Roman" w:hAnsi="Times New Roman" w:eastAsia="仿宋_GB2312" w:cs="仿宋_GB2312"/>
          <w:color w:val="auto"/>
          <w:kern w:val="2"/>
          <w:sz w:val="32"/>
          <w:szCs w:val="32"/>
          <w:highlight w:val="none"/>
          <w:lang w:val="en-US" w:eastAsia="zh-CN" w:bidi="ar-SA"/>
        </w:rPr>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ascii="楷体_GB2312" w:eastAsia="楷体_GB2312" w:cs="Times New Roman"/>
          <w:b/>
          <w:sz w:val="32"/>
          <w:szCs w:val="22"/>
          <w:lang w:val="en-US" w:eastAsia="zh-CN"/>
        </w:rPr>
        <w:t xml:space="preserve">    </w:t>
      </w:r>
      <w:r>
        <w:rPr>
          <w:rFonts w:hint="eastAsia" w:ascii="楷体_GB2312" w:hAnsi="Times New Roman" w:eastAsia="楷体_GB2312" w:cs="Times New Roman"/>
          <w:b/>
          <w:sz w:val="32"/>
          <w:szCs w:val="22"/>
          <w:lang w:val="en-US" w:eastAsia="zh-CN"/>
        </w:rPr>
        <w:t xml:space="preserve"> </w:t>
      </w:r>
      <w:r>
        <w:rPr>
          <w:rFonts w:hint="eastAsia" w:ascii="Times New Roman" w:hAnsi="Times New Roman" w:eastAsia="仿宋_GB2312" w:cs="仿宋_GB2312"/>
          <w:color w:val="auto"/>
          <w:kern w:val="2"/>
          <w:sz w:val="32"/>
          <w:szCs w:val="32"/>
          <w:highlight w:val="none"/>
          <w:lang w:val="en-US" w:eastAsia="zh-CN" w:bidi="ar-SA"/>
        </w:rPr>
        <w:t>对医疗机构、母婴保健技术服务机构、放射诊疗机构等的执业资格、执业范围及其医务人员的执业资格、执业注</w:t>
      </w:r>
    </w:p>
    <w:p w14:paraId="5443C3D7">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仿宋_GB2312" w:cs="仿宋_GB2312"/>
          <w:color w:val="auto"/>
          <w:kern w:val="2"/>
          <w:sz w:val="32"/>
          <w:szCs w:val="32"/>
          <w:highlight w:val="none"/>
          <w:lang w:val="en-US" w:eastAsia="zh-CN" w:bidi="ar-SA"/>
        </w:rPr>
        <w:t>册进行监督检查，规范医疗服务行为，打击非法行医；对医疗机构（包括母婴保健技术服务机构、放射诊疗机构、计划生育服务机构等）的传染病疫情报告、疫情控制措施、消毒隔离制度执行情况和医疗废物处置情况进行监督检查，查处违法行为；对采供血机构的执业资格、执业范围及其从业人员的资格进行监督检查，打击非法采供血行为；对采供血机构的采供血活动、传染病疫情报告和医疗废物处置情况进行监督检查，查处违法行为；对疾病预防控制机构的传染病疫情报告、预防控制措施和菌（毒）种管理情况、消毒隔离制度执行情况和医疗废物处置情况进行监督检查，查处违法行为</w:t>
      </w:r>
      <w:r>
        <w:rPr>
          <w:rFonts w:hint="eastAsia" w:ascii="方正仿宋_GBK" w:hAnsi="方正仿宋_GBK" w:eastAsia="方正仿宋_GBK" w:cs="方正仿宋_GBK"/>
          <w:color w:val="000000"/>
          <w:kern w:val="0"/>
          <w:sz w:val="32"/>
          <w:szCs w:val="32"/>
          <w:lang w:val="en-US" w:eastAsia="zh-CN" w:bidi="ar"/>
        </w:rPr>
        <w:t>。</w:t>
      </w:r>
    </w:p>
    <w:p w14:paraId="60FF1F3F">
      <w:pPr>
        <w:spacing w:line="570" w:lineRule="exact"/>
        <w:ind w:firstLine="643" w:firstLineChars="200"/>
        <w:rPr>
          <w:rFonts w:hint="eastAsia" w:ascii="楷体_GB2312" w:hAnsi="Times New Roman" w:eastAsia="楷体_GB2312" w:cs="Times New Roman"/>
          <w:b/>
          <w:sz w:val="32"/>
          <w:szCs w:val="22"/>
          <w:lang w:val="en-US" w:eastAsia="zh-CN"/>
        </w:rPr>
      </w:pPr>
      <w:r>
        <w:rPr>
          <w:rFonts w:hint="eastAsia" w:ascii="楷体_GB2312" w:hAnsi="Times New Roman" w:eastAsia="楷体_GB2312" w:cs="Times New Roman"/>
          <w:b/>
          <w:sz w:val="32"/>
          <w:szCs w:val="22"/>
          <w:lang w:val="en-US" w:eastAsia="zh-CN"/>
        </w:rPr>
        <w:t xml:space="preserve">（四）其他  </w:t>
      </w:r>
    </w:p>
    <w:p w14:paraId="2BB51DB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负责辖区内卫生监督信息的收集、核实和上报；负责受理对违法行为的投诉、举报；开展卫生法律法规宣传教育；承担上级机关指定或交办的卫生监督事项。</w:t>
      </w:r>
    </w:p>
    <w:p w14:paraId="0C3803F6">
      <w:pPr>
        <w:pStyle w:val="4"/>
        <w:pageBreakBefore w:val="0"/>
        <w:kinsoku/>
        <w:wordWrap/>
        <w:overflowPunct/>
        <w:topLinePunct w:val="0"/>
        <w:autoSpaceDE/>
        <w:autoSpaceDN/>
        <w:bidi w:val="0"/>
        <w:spacing w:before="0" w:after="0" w:line="570" w:lineRule="exact"/>
        <w:ind w:left="0" w:firstLine="640" w:firstLineChars="200"/>
        <w:textAlignment w:val="auto"/>
        <w:rPr>
          <w:rFonts w:hint="eastAsia" w:ascii="黑体" w:hAnsi="黑体" w:eastAsia="黑体" w:cs="Times New Roman"/>
          <w:b w:val="0"/>
          <w:bCs w:val="0"/>
          <w:kern w:val="2"/>
          <w:sz w:val="32"/>
          <w:szCs w:val="22"/>
          <w:lang w:val="en-US" w:eastAsia="zh-CN" w:bidi="ar-SA"/>
        </w:rPr>
      </w:pPr>
      <w:bookmarkStart w:id="8" w:name="_Toc15396601"/>
      <w:bookmarkStart w:id="9" w:name="_Toc15377200"/>
      <w:r>
        <w:rPr>
          <w:rFonts w:hint="eastAsia" w:ascii="黑体" w:hAnsi="黑体" w:eastAsia="黑体" w:cs="Times New Roman"/>
          <w:b w:val="0"/>
          <w:bCs w:val="0"/>
          <w:kern w:val="2"/>
          <w:sz w:val="32"/>
          <w:szCs w:val="22"/>
          <w:lang w:val="en-US" w:eastAsia="zh-CN" w:bidi="ar-SA"/>
        </w:rPr>
        <w:t>二、机构设置</w:t>
      </w:r>
      <w:bookmarkEnd w:id="8"/>
      <w:bookmarkEnd w:id="9"/>
    </w:p>
    <w:p w14:paraId="6BC0D70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盐边县卫生和计划生育监督执法大队下属二级预算单位0个。</w:t>
      </w:r>
    </w:p>
    <w:p w14:paraId="63BF5E3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纳入盐边县卫生和计划生育监督执法大队2024年度部门决算编制范围的是盐边县卫生和计划生育监督执法大队。</w:t>
      </w:r>
    </w:p>
    <w:p w14:paraId="0A761AD1">
      <w:pPr>
        <w:pageBreakBefore w:val="0"/>
        <w:widowControl/>
        <w:kinsoku/>
        <w:wordWrap/>
        <w:overflowPunct/>
        <w:topLinePunct w:val="0"/>
        <w:autoSpaceDE/>
        <w:autoSpaceDN/>
        <w:bidi w:val="0"/>
        <w:spacing w:line="570" w:lineRule="exact"/>
        <w:ind w:left="0" w:firstLine="640" w:firstLineChars="200"/>
        <w:jc w:val="left"/>
        <w:textAlignment w:val="auto"/>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42503DE6">
      <w:pPr>
        <w:pStyle w:val="3"/>
        <w:jc w:val="center"/>
        <w:rPr>
          <w:rFonts w:hint="eastAsia" w:ascii="Times New Roman" w:hAnsi="Times New Roman" w:eastAsia="方正小标宋简体" w:cs="方正小标宋简体"/>
          <w:b w:val="0"/>
          <w:color w:val="auto"/>
          <w:highlight w:val="none"/>
        </w:rPr>
      </w:pPr>
      <w:bookmarkStart w:id="10" w:name="_Toc15377204"/>
      <w:bookmarkStart w:id="1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03C9AF44">
      <w:pPr>
        <w:rPr>
          <w:rFonts w:ascii="Times New Roman" w:hAnsi="Times New Roman"/>
          <w:color w:val="auto"/>
          <w:highlight w:val="none"/>
        </w:rPr>
      </w:pPr>
    </w:p>
    <w:p w14:paraId="364339BD">
      <w:pPr>
        <w:pStyle w:val="27"/>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outlineLvl w:val="1"/>
        <w:rPr>
          <w:rStyle w:val="29"/>
          <w:rFonts w:hint="eastAsia" w:ascii="Times New Roman" w:hAnsi="Times New Roman" w:eastAsia="黑体"/>
          <w:b w:val="0"/>
          <w:color w:val="auto"/>
          <w:highlight w:val="none"/>
        </w:rPr>
      </w:pPr>
      <w:bookmarkStart w:id="12" w:name="_Toc15377205"/>
      <w:bookmarkStart w:id="13"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2"/>
      <w:bookmarkEnd w:id="13"/>
    </w:p>
    <w:p w14:paraId="610181B0">
      <w:pPr>
        <w:pStyle w:val="27"/>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outlineLvl w:val="1"/>
        <w:rPr>
          <w:rFonts w:hint="eastAsia" w:ascii="仿宋_GB2312" w:hAnsi="仿宋" w:eastAsia="仿宋_GB2312" w:cs="仿宋"/>
          <w:color w:val="000000"/>
          <w:sz w:val="32"/>
          <w:szCs w:val="32"/>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default" w:ascii="Times New Roman" w:hAnsi="Times New Roman" w:eastAsia="仿宋_GB2312" w:cs="Times New Roman"/>
          <w:sz w:val="32"/>
          <w:szCs w:val="32"/>
        </w:rPr>
        <w:t>154.85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24.91</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13.86</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 w:cs="Times New Roman"/>
          <w:sz w:val="32"/>
          <w:szCs w:val="32"/>
        </w:rPr>
        <w:t>变动主要</w:t>
      </w:r>
      <w:r>
        <w:rPr>
          <w:rFonts w:hint="default" w:ascii="Times New Roman" w:hAnsi="Times New Roman" w:eastAsia="仿宋" w:cs="Times New Roman"/>
          <w:sz w:val="32"/>
          <w:szCs w:val="32"/>
        </w:rPr>
        <w:t>原因</w:t>
      </w:r>
      <w:r>
        <w:rPr>
          <w:rFonts w:hint="eastAsia" w:ascii="Times New Roman" w:hAnsi="Times New Roman" w:eastAsia="仿宋" w:cs="Times New Roman"/>
          <w:bCs/>
          <w:color w:val="000000"/>
          <w:sz w:val="32"/>
          <w:szCs w:val="32"/>
          <w:lang w:eastAsia="zh-CN"/>
        </w:rPr>
        <w:t>一是</w:t>
      </w:r>
      <w:r>
        <w:rPr>
          <w:rFonts w:hint="eastAsia" w:ascii="Times New Roman" w:hAnsi="Times New Roman" w:eastAsia="仿宋_GB2312" w:cs="Times New Roman"/>
          <w:color w:val="000000"/>
          <w:sz w:val="32"/>
          <w:szCs w:val="32"/>
          <w:lang w:val="en-US" w:eastAsia="zh-CN"/>
        </w:rPr>
        <w:t>2024年在职职工人员变动</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退休职工1名；</w:t>
      </w:r>
      <w:r>
        <w:rPr>
          <w:rFonts w:hint="eastAsia" w:eastAsia="仿宋_GB2312" w:cs="Times New Roman"/>
          <w:color w:val="000000"/>
          <w:sz w:val="32"/>
          <w:szCs w:val="32"/>
          <w:lang w:val="en-US" w:eastAsia="zh-CN"/>
        </w:rPr>
        <w:t>二</w:t>
      </w:r>
      <w:r>
        <w:rPr>
          <w:rFonts w:hint="eastAsia" w:ascii="Times New Roman" w:hAnsi="Times New Roman" w:eastAsia="仿宋_GB2312" w:cs="Times New Roman"/>
          <w:color w:val="000000"/>
          <w:sz w:val="32"/>
          <w:szCs w:val="32"/>
          <w:lang w:val="en-US" w:eastAsia="zh-CN"/>
        </w:rPr>
        <w:t>是项目经费减少</w:t>
      </w:r>
      <w:r>
        <w:rPr>
          <w:rFonts w:hint="eastAsia" w:ascii="Times New Roman" w:hAnsi="Times New Roman" w:eastAsia="仿宋" w:cs="Times New Roman"/>
          <w:bCs/>
          <w:color w:val="000000"/>
          <w:sz w:val="32"/>
          <w:szCs w:val="32"/>
          <w:lang w:eastAsia="zh-CN"/>
        </w:rPr>
        <w:t>。</w:t>
      </w:r>
    </w:p>
    <w:p w14:paraId="1EB59CD5">
      <w:pPr>
        <w:pStyle w:val="27"/>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eastAsia"/>
          <w:lang w:val="en-US" w:eastAsia="zh-CN"/>
        </w:rPr>
      </w:pPr>
      <w:r>
        <w:drawing>
          <wp:anchor distT="0" distB="0" distL="0" distR="0" simplePos="0" relativeHeight="251659264" behindDoc="0" locked="0" layoutInCell="1" allowOverlap="1">
            <wp:simplePos x="0" y="0"/>
            <wp:positionH relativeFrom="column">
              <wp:posOffset>14605</wp:posOffset>
            </wp:positionH>
            <wp:positionV relativeFrom="paragraph">
              <wp:posOffset>323215</wp:posOffset>
            </wp:positionV>
            <wp:extent cx="5242560" cy="3538220"/>
            <wp:effectExtent l="4445" t="4445" r="10795" b="1968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lang w:val="en-US" w:eastAsia="zh-CN"/>
        </w:rPr>
        <w:t xml:space="preserve">    </w:t>
      </w:r>
    </w:p>
    <w:p w14:paraId="60AECC12">
      <w:pPr>
        <w:pStyle w:val="27"/>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3717F01A">
      <w:pPr>
        <w:pStyle w:val="27"/>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14:paraId="4A689F76">
      <w:pPr>
        <w:pStyle w:val="27"/>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jc w:val="both"/>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154.85万元，其中：一般公共预算财政拨款收入154.85</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sz w:val="32"/>
          <w:szCs w:val="32"/>
          <w:highlight w:val="none"/>
          <w:lang w:eastAsia="zh-CN"/>
        </w:rPr>
        <w:t>%。</w:t>
      </w:r>
    </w:p>
    <w:p w14:paraId="7AB5FBCA">
      <w:pPr>
        <w:pStyle w:val="27"/>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outlineLvl w:val="1"/>
        <w:rPr>
          <w:rFonts w:hint="eastAsia" w:ascii="Times New Roman" w:hAnsi="Times New Roman" w:eastAsia="仿宋_GB2312" w:cs="仿宋_GB2312"/>
          <w:color w:val="auto"/>
          <w:sz w:val="32"/>
          <w:szCs w:val="32"/>
          <w:highlight w:val="none"/>
          <w:lang w:eastAsia="zh-CN"/>
        </w:rPr>
      </w:pPr>
      <w:r>
        <w:rPr>
          <w:rFonts w:hint="eastAsia"/>
        </w:rPr>
        <w:drawing>
          <wp:anchor distT="0" distB="0" distL="0" distR="0" simplePos="0" relativeHeight="251660288" behindDoc="0" locked="0" layoutInCell="1" allowOverlap="1">
            <wp:simplePos x="0" y="0"/>
            <wp:positionH relativeFrom="column">
              <wp:posOffset>33020</wp:posOffset>
            </wp:positionH>
            <wp:positionV relativeFrom="paragraph">
              <wp:posOffset>166370</wp:posOffset>
            </wp:positionV>
            <wp:extent cx="5166995" cy="3320415"/>
            <wp:effectExtent l="5080" t="4445" r="9525" b="889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lang w:val="en-US" w:eastAsia="zh-CN"/>
        </w:rPr>
        <w:t xml:space="preserve">          </w:t>
      </w:r>
      <w:r>
        <w:rPr>
          <w:rFonts w:hint="eastAsia" w:ascii="Times New Roman" w:hAnsi="Times New Roman" w:eastAsia="仿宋_GB2312" w:cs="仿宋_GB2312"/>
          <w:color w:val="auto"/>
          <w:sz w:val="32"/>
          <w:szCs w:val="32"/>
          <w:highlight w:val="none"/>
          <w:lang w:eastAsia="zh-CN"/>
        </w:rPr>
        <w:t>（图2：收入决算结构图）</w:t>
      </w:r>
    </w:p>
    <w:p w14:paraId="7CD8965B">
      <w:pPr>
        <w:pStyle w:val="27"/>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outlineLvl w:val="1"/>
        <w:rPr>
          <w:rStyle w:val="29"/>
          <w:rFonts w:hint="eastAsia" w:ascii="Times New Roman" w:hAnsi="Times New Roman" w:eastAsia="黑体"/>
          <w:b w:val="0"/>
          <w:color w:val="auto"/>
          <w:highlight w:val="none"/>
        </w:rPr>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6"/>
      <w:bookmarkEnd w:id="17"/>
    </w:p>
    <w:p w14:paraId="5E24326A">
      <w:pPr>
        <w:pStyle w:val="27"/>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154.85</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144.72</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93.46</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10.13</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6.5</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color w:val="auto"/>
          <w:sz w:val="32"/>
          <w:szCs w:val="32"/>
          <w:highlight w:val="none"/>
          <w:lang w:eastAsia="zh-CN"/>
        </w:rPr>
        <w:t>%。</w:t>
      </w:r>
    </w:p>
    <w:p w14:paraId="1FA2034B">
      <w:pPr>
        <w:pStyle w:val="27"/>
        <w:keepNext w:val="0"/>
        <w:keepLines w:val="0"/>
        <w:pageBreakBefore w:val="0"/>
        <w:widowControl w:val="0"/>
        <w:numPr>
          <w:ilvl w:val="0"/>
          <w:numId w:val="0"/>
        </w:numPr>
        <w:kinsoku/>
        <w:wordWrap/>
        <w:overflowPunct/>
        <w:topLinePunct w:val="0"/>
        <w:autoSpaceDE/>
        <w:autoSpaceDN/>
        <w:bidi w:val="0"/>
        <w:adjustRightInd/>
        <w:snapToGrid/>
        <w:spacing w:line="570" w:lineRule="exact"/>
        <w:jc w:val="left"/>
        <w:textAlignment w:val="auto"/>
        <w:outlineLvl w:val="1"/>
        <w:rPr>
          <w:rFonts w:hint="eastAsia" w:ascii="Times New Roman" w:hAnsi="Times New Roman" w:eastAsia="仿宋_GB2312" w:cs="仿宋_GB2312"/>
          <w:color w:val="auto"/>
          <w:sz w:val="32"/>
          <w:szCs w:val="32"/>
          <w:highlight w:val="none"/>
          <w:lang w:eastAsia="zh-CN"/>
        </w:rPr>
      </w:pPr>
      <w:r>
        <w:drawing>
          <wp:anchor distT="0" distB="0" distL="0" distR="0" simplePos="0" relativeHeight="251661312" behindDoc="0" locked="0" layoutInCell="1" allowOverlap="1">
            <wp:simplePos x="0" y="0"/>
            <wp:positionH relativeFrom="column">
              <wp:posOffset>-80645</wp:posOffset>
            </wp:positionH>
            <wp:positionV relativeFrom="paragraph">
              <wp:posOffset>246380</wp:posOffset>
            </wp:positionV>
            <wp:extent cx="5274310" cy="3076575"/>
            <wp:effectExtent l="5080" t="4445" r="16510" b="508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lang w:val="en-US" w:eastAsia="zh-CN"/>
        </w:rPr>
        <w:t xml:space="preserve">           </w:t>
      </w:r>
      <w:r>
        <w:rPr>
          <w:rFonts w:hint="eastAsia" w:ascii="Times New Roman" w:hAnsi="Times New Roman" w:eastAsia="仿宋_GB2312" w:cs="仿宋_GB2312"/>
          <w:color w:val="auto"/>
          <w:sz w:val="32"/>
          <w:szCs w:val="32"/>
          <w:highlight w:val="none"/>
          <w:lang w:eastAsia="zh-CN"/>
        </w:rPr>
        <w:t>（图3：支出决算结构图）</w:t>
      </w:r>
    </w:p>
    <w:p w14:paraId="36EAA8B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Style w:val="29"/>
          <w:rFonts w:ascii="Times New Roman" w:hAnsi="Times New Roman" w:eastAsia="黑体"/>
          <w:b w:val="0"/>
          <w:color w:val="auto"/>
          <w:highlight w:val="none"/>
        </w:rPr>
      </w:pPr>
      <w:bookmarkStart w:id="18" w:name="_Toc15377208"/>
      <w:bookmarkStart w:id="19"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18"/>
      <w:bookmarkEnd w:id="19"/>
    </w:p>
    <w:p w14:paraId="7DE2AE77">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jc w:val="both"/>
        <w:textAlignment w:val="auto"/>
        <w:rPr>
          <w:rFonts w:hint="eastAsia" w:ascii="仿宋_GB2312" w:hAnsi="仿宋" w:eastAsia="仿宋_GB2312" w:cs="仿宋"/>
          <w:color w:val="000000"/>
          <w:sz w:val="32"/>
          <w:szCs w:val="32"/>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154.85</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24.91</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13.86</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 w:cs="Times New Roman"/>
          <w:sz w:val="32"/>
          <w:szCs w:val="32"/>
        </w:rPr>
        <w:t>变动主要</w:t>
      </w:r>
      <w:r>
        <w:rPr>
          <w:rFonts w:hint="default" w:ascii="Times New Roman" w:hAnsi="Times New Roman" w:eastAsia="仿宋" w:cs="Times New Roman"/>
          <w:sz w:val="32"/>
          <w:szCs w:val="32"/>
        </w:rPr>
        <w:t>原因</w:t>
      </w:r>
      <w:r>
        <w:rPr>
          <w:rFonts w:hint="eastAsia" w:ascii="Times New Roman" w:hAnsi="Times New Roman" w:eastAsia="仿宋" w:cs="Times New Roman"/>
          <w:bCs/>
          <w:color w:val="000000"/>
          <w:sz w:val="32"/>
          <w:szCs w:val="32"/>
          <w:lang w:eastAsia="zh-CN"/>
        </w:rPr>
        <w:t>一是</w:t>
      </w:r>
      <w:r>
        <w:rPr>
          <w:rFonts w:hint="eastAsia" w:ascii="Times New Roman" w:hAnsi="Times New Roman" w:eastAsia="仿宋_GB2312" w:cs="Times New Roman"/>
          <w:color w:val="000000"/>
          <w:sz w:val="32"/>
          <w:szCs w:val="32"/>
          <w:lang w:val="en-US" w:eastAsia="zh-CN"/>
        </w:rPr>
        <w:t>2024年在职职工人员变动</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退休职工1名；</w:t>
      </w:r>
      <w:r>
        <w:rPr>
          <w:rFonts w:hint="eastAsia" w:eastAsia="仿宋_GB2312" w:cs="Times New Roman"/>
          <w:color w:val="000000"/>
          <w:sz w:val="32"/>
          <w:szCs w:val="32"/>
          <w:lang w:val="en-US" w:eastAsia="zh-CN"/>
        </w:rPr>
        <w:t>二</w:t>
      </w:r>
      <w:r>
        <w:rPr>
          <w:rFonts w:hint="eastAsia" w:ascii="Times New Roman" w:hAnsi="Times New Roman" w:eastAsia="仿宋_GB2312" w:cs="Times New Roman"/>
          <w:color w:val="000000"/>
          <w:sz w:val="32"/>
          <w:szCs w:val="32"/>
          <w:lang w:val="en-US" w:eastAsia="zh-CN"/>
        </w:rPr>
        <w:t>是项目经费减少</w:t>
      </w:r>
      <w:r>
        <w:rPr>
          <w:rFonts w:hint="eastAsia" w:ascii="Times New Roman" w:hAnsi="Times New Roman" w:eastAsia="仿宋" w:cs="Times New Roman"/>
          <w:bCs/>
          <w:color w:val="000000"/>
          <w:sz w:val="32"/>
          <w:szCs w:val="32"/>
          <w:lang w:eastAsia="zh-CN"/>
        </w:rPr>
        <w:t>。</w:t>
      </w:r>
    </w:p>
    <w:p w14:paraId="26660564">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imes New Roman" w:hAnsi="Times New Roman" w:eastAsia="仿宋_GB2312" w:cs="仿宋_GB2312"/>
          <w:color w:val="auto"/>
          <w:kern w:val="2"/>
          <w:sz w:val="32"/>
          <w:szCs w:val="32"/>
          <w:highlight w:val="none"/>
          <w:lang w:val="en-US" w:eastAsia="zh-CN" w:bidi="ar-SA"/>
        </w:rPr>
      </w:pPr>
      <w:r>
        <w:drawing>
          <wp:anchor distT="0" distB="0" distL="0" distR="0" simplePos="0" relativeHeight="251662336" behindDoc="0" locked="0" layoutInCell="1" allowOverlap="1">
            <wp:simplePos x="0" y="0"/>
            <wp:positionH relativeFrom="column">
              <wp:posOffset>14605</wp:posOffset>
            </wp:positionH>
            <wp:positionV relativeFrom="paragraph">
              <wp:posOffset>332740</wp:posOffset>
            </wp:positionV>
            <wp:extent cx="5233035" cy="3423920"/>
            <wp:effectExtent l="5080" t="4445" r="19685" b="1968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lang w:val="en-US" w:eastAsia="zh-CN"/>
        </w:rPr>
        <w:t xml:space="preserve">  </w:t>
      </w: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109959F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Style w:val="29"/>
          <w:rFonts w:ascii="Times New Roman" w:hAnsi="Times New Roman" w:eastAsia="黑体"/>
          <w:b w:val="0"/>
          <w:color w:val="auto"/>
          <w:highlight w:val="none"/>
        </w:rPr>
      </w:pP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0"/>
      <w:bookmarkEnd w:id="21"/>
    </w:p>
    <w:p w14:paraId="6A67DAB6">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textAlignment w:val="auto"/>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357EB6F5">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jc w:val="both"/>
        <w:textAlignment w:val="auto"/>
        <w:rPr>
          <w:rFonts w:hint="eastAsia" w:ascii="仿宋_GB2312" w:hAnsi="仿宋" w:eastAsia="仿宋_GB2312" w:cs="仿宋"/>
          <w:color w:val="000000"/>
          <w:sz w:val="32"/>
          <w:szCs w:val="32"/>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154.85</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%。与2023年度相比，一般公共预算财政拨款支出减少</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24.91</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13.86</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 w:cs="Times New Roman"/>
          <w:sz w:val="32"/>
          <w:szCs w:val="32"/>
        </w:rPr>
        <w:t>变动主要</w:t>
      </w:r>
      <w:r>
        <w:rPr>
          <w:rFonts w:hint="default" w:ascii="Times New Roman" w:hAnsi="Times New Roman" w:eastAsia="仿宋" w:cs="Times New Roman"/>
          <w:sz w:val="32"/>
          <w:szCs w:val="32"/>
        </w:rPr>
        <w:t>原因</w:t>
      </w:r>
      <w:r>
        <w:rPr>
          <w:rFonts w:hint="eastAsia" w:ascii="Times New Roman" w:hAnsi="Times New Roman" w:eastAsia="仿宋" w:cs="Times New Roman"/>
          <w:bCs/>
          <w:color w:val="000000"/>
          <w:sz w:val="32"/>
          <w:szCs w:val="32"/>
          <w:lang w:eastAsia="zh-CN"/>
        </w:rPr>
        <w:t>一是</w:t>
      </w:r>
      <w:r>
        <w:rPr>
          <w:rFonts w:hint="eastAsia" w:ascii="Times New Roman" w:hAnsi="Times New Roman" w:eastAsia="仿宋_GB2312" w:cs="Times New Roman"/>
          <w:color w:val="000000"/>
          <w:sz w:val="32"/>
          <w:szCs w:val="32"/>
          <w:lang w:val="en-US" w:eastAsia="zh-CN"/>
        </w:rPr>
        <w:t>2024年在职职工人员变动</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退休职工1名；</w:t>
      </w:r>
      <w:r>
        <w:rPr>
          <w:rFonts w:hint="eastAsia" w:eastAsia="仿宋_GB2312" w:cs="Times New Roman"/>
          <w:color w:val="000000"/>
          <w:sz w:val="32"/>
          <w:szCs w:val="32"/>
          <w:lang w:val="en-US" w:eastAsia="zh-CN"/>
        </w:rPr>
        <w:t>二</w:t>
      </w:r>
      <w:r>
        <w:rPr>
          <w:rFonts w:hint="eastAsia" w:ascii="Times New Roman" w:hAnsi="Times New Roman" w:eastAsia="仿宋_GB2312" w:cs="Times New Roman"/>
          <w:color w:val="000000"/>
          <w:sz w:val="32"/>
          <w:szCs w:val="32"/>
          <w:lang w:val="en-US" w:eastAsia="zh-CN"/>
        </w:rPr>
        <w:t>是项目经费减少</w:t>
      </w:r>
      <w:r>
        <w:rPr>
          <w:rFonts w:hint="eastAsia" w:ascii="Times New Roman" w:hAnsi="Times New Roman" w:eastAsia="仿宋" w:cs="Times New Roman"/>
          <w:bCs/>
          <w:color w:val="000000"/>
          <w:sz w:val="32"/>
          <w:szCs w:val="32"/>
          <w:lang w:eastAsia="zh-CN"/>
        </w:rPr>
        <w:t>。</w:t>
      </w:r>
    </w:p>
    <w:p w14:paraId="67143D6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仿宋_GB2312" w:cs="仿宋_GB2312"/>
          <w:color w:val="auto"/>
          <w:kern w:val="2"/>
          <w:sz w:val="32"/>
          <w:szCs w:val="32"/>
          <w:highlight w:val="none"/>
          <w:lang w:val="en-US" w:eastAsia="zh-CN" w:bidi="ar-SA"/>
        </w:rPr>
      </w:pPr>
      <w:r>
        <w:drawing>
          <wp:anchor distT="0" distB="0" distL="0" distR="0" simplePos="0" relativeHeight="251663360" behindDoc="0" locked="0" layoutInCell="1" allowOverlap="1">
            <wp:simplePos x="0" y="0"/>
            <wp:positionH relativeFrom="column">
              <wp:posOffset>24130</wp:posOffset>
            </wp:positionH>
            <wp:positionV relativeFrom="paragraph">
              <wp:posOffset>90170</wp:posOffset>
            </wp:positionV>
            <wp:extent cx="5274310" cy="3076575"/>
            <wp:effectExtent l="5080" t="4445" r="16510" b="5080"/>
            <wp:wrapTopAndBottom/>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2A0776EC">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textAlignment w:val="auto"/>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060A0320">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154.85</w:t>
      </w:r>
      <w:r>
        <w:rPr>
          <w:rFonts w:hint="default" w:ascii="Times New Roman" w:hAnsi="Times New Roman" w:eastAsia="仿宋_GB2312" w:cs="Times New Roman"/>
          <w:color w:val="auto"/>
          <w:kern w:val="2"/>
          <w:sz w:val="32"/>
          <w:szCs w:val="32"/>
          <w:highlight w:val="none"/>
          <w:lang w:val="en-US" w:eastAsia="zh-CN" w:bidi="ar-SA"/>
        </w:rPr>
        <w:t>万元，主要用于以下方面：社会保障和就业支出</w:t>
      </w:r>
      <w:r>
        <w:rPr>
          <w:rFonts w:hint="eastAsia" w:ascii="Times New Roman" w:hAnsi="Times New Roman" w:eastAsia="仿宋_GB2312" w:cs="Times New Roman"/>
          <w:color w:val="auto"/>
          <w:kern w:val="2"/>
          <w:sz w:val="32"/>
          <w:szCs w:val="32"/>
          <w:highlight w:val="none"/>
          <w:lang w:val="en-US" w:eastAsia="zh-CN" w:bidi="ar-SA"/>
        </w:rPr>
        <w:t>34.2</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ascii="Times New Roman" w:hAnsi="Times New Roman" w:eastAsia="仿宋_GB2312" w:cs="Times New Roman"/>
          <w:color w:val="auto"/>
          <w:kern w:val="2"/>
          <w:sz w:val="32"/>
          <w:szCs w:val="32"/>
          <w:highlight w:val="none"/>
          <w:lang w:val="en-US" w:eastAsia="zh-CN" w:bidi="ar-SA"/>
        </w:rPr>
        <w:t>22.09</w:t>
      </w:r>
      <w:r>
        <w:rPr>
          <w:rFonts w:hint="default" w:ascii="Times New Roman" w:hAnsi="Times New Roman" w:eastAsia="仿宋_GB2312" w:cs="Times New Roman"/>
          <w:color w:val="auto"/>
          <w:kern w:val="2"/>
          <w:sz w:val="32"/>
          <w:szCs w:val="32"/>
          <w:highlight w:val="none"/>
          <w:lang w:val="en-US" w:eastAsia="zh-CN" w:bidi="ar-SA"/>
        </w:rPr>
        <w:t>%；卫生健康支出</w:t>
      </w:r>
      <w:r>
        <w:rPr>
          <w:rFonts w:hint="eastAsia" w:ascii="Times New Roman" w:hAnsi="Times New Roman" w:eastAsia="仿宋_GB2312" w:cs="Times New Roman"/>
          <w:color w:val="auto"/>
          <w:kern w:val="2"/>
          <w:sz w:val="32"/>
          <w:szCs w:val="32"/>
          <w:highlight w:val="none"/>
          <w:lang w:val="en-US" w:eastAsia="zh-CN" w:bidi="ar-SA"/>
        </w:rPr>
        <w:t>111.33</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ascii="Times New Roman" w:hAnsi="Times New Roman" w:eastAsia="仿宋_GB2312" w:cs="Times New Roman"/>
          <w:color w:val="auto"/>
          <w:kern w:val="2"/>
          <w:sz w:val="32"/>
          <w:szCs w:val="32"/>
          <w:highlight w:val="none"/>
          <w:lang w:val="en-US" w:eastAsia="zh-CN" w:bidi="ar-SA"/>
        </w:rPr>
        <w:t>71.89</w:t>
      </w:r>
      <w:r>
        <w:rPr>
          <w:rFonts w:hint="default" w:ascii="Times New Roman" w:hAnsi="Times New Roman" w:eastAsia="仿宋_GB2312" w:cs="Times New Roman"/>
          <w:color w:val="auto"/>
          <w:kern w:val="2"/>
          <w:sz w:val="32"/>
          <w:szCs w:val="32"/>
          <w:highlight w:val="none"/>
          <w:lang w:val="en-US" w:eastAsia="zh-CN" w:bidi="ar-SA"/>
        </w:rPr>
        <w:t>%；住房保障支出</w:t>
      </w:r>
      <w:r>
        <w:rPr>
          <w:rFonts w:hint="eastAsia" w:ascii="Times New Roman" w:hAnsi="Times New Roman" w:eastAsia="仿宋_GB2312" w:cs="Times New Roman"/>
          <w:color w:val="auto"/>
          <w:kern w:val="2"/>
          <w:sz w:val="32"/>
          <w:szCs w:val="32"/>
          <w:highlight w:val="none"/>
          <w:lang w:val="en-US" w:eastAsia="zh-CN" w:bidi="ar-SA"/>
        </w:rPr>
        <w:t>9.32</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ascii="Times New Roman" w:hAnsi="Times New Roman" w:eastAsia="仿宋_GB2312" w:cs="Times New Roman"/>
          <w:color w:val="auto"/>
          <w:kern w:val="2"/>
          <w:sz w:val="32"/>
          <w:szCs w:val="32"/>
          <w:highlight w:val="none"/>
          <w:lang w:val="en-US" w:eastAsia="zh-CN" w:bidi="ar-SA"/>
        </w:rPr>
        <w:t>6.02</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w:t>
      </w:r>
    </w:p>
    <w:p w14:paraId="27997E83">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仿宋_GB2312" w:cs="仿宋_GB2312"/>
          <w:color w:val="auto"/>
          <w:kern w:val="2"/>
          <w:sz w:val="32"/>
          <w:szCs w:val="32"/>
          <w:highlight w:val="none"/>
          <w:lang w:val="en-US" w:eastAsia="zh-CN" w:bidi="ar-SA"/>
        </w:rPr>
      </w:pPr>
      <w:r>
        <w:drawing>
          <wp:anchor distT="0" distB="0" distL="0" distR="0" simplePos="0" relativeHeight="251664384" behindDoc="0" locked="0" layoutInCell="1" allowOverlap="1">
            <wp:simplePos x="0" y="0"/>
            <wp:positionH relativeFrom="column">
              <wp:posOffset>81280</wp:posOffset>
            </wp:positionH>
            <wp:positionV relativeFrom="paragraph">
              <wp:posOffset>27940</wp:posOffset>
            </wp:positionV>
            <wp:extent cx="5274310" cy="3076575"/>
            <wp:effectExtent l="5080" t="4445" r="16510" b="508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lang w:val="en-US" w:eastAsia="zh-CN"/>
        </w:rPr>
        <w:t xml:space="preserve">  </w:t>
      </w: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489EC5F1">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textAlignment w:val="auto"/>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79C82A93">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bookmarkStart w:id="25" w:name="_Toc15378460"/>
      <w:bookmarkStart w:id="26" w:name="_Toc15377444"/>
      <w:bookmarkStart w:id="27" w:name="_Toc15377213"/>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154.85</w:t>
      </w:r>
      <w:r>
        <w:rPr>
          <w:rFonts w:hint="default" w:ascii="Times New Roman" w:hAnsi="Times New Roman" w:eastAsia="仿宋_GB2312" w:cs="Times New Roman"/>
          <w:sz w:val="32"/>
          <w:szCs w:val="32"/>
          <w:lang w:val="zh-CN" w:eastAsia="zh-CN"/>
        </w:rPr>
        <w:t>万元</w:t>
      </w:r>
      <w:r>
        <w:rPr>
          <w:rFonts w:hint="default" w:ascii="Times New Roman" w:hAnsi="Times New Roman" w:eastAsia="仿宋_GB2312" w:cs="Times New Roman"/>
          <w:color w:val="auto"/>
          <w:kern w:val="2"/>
          <w:sz w:val="32"/>
          <w:szCs w:val="32"/>
          <w:highlight w:val="none"/>
          <w:lang w:val="en-US" w:eastAsia="zh-CN" w:bidi="ar-SA"/>
        </w:rPr>
        <w:t>，完成预算</w:t>
      </w:r>
      <w:r>
        <w:rPr>
          <w:rFonts w:hint="eastAsia"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%。其中：</w:t>
      </w:r>
      <w:bookmarkEnd w:id="25"/>
      <w:bookmarkEnd w:id="26"/>
      <w:bookmarkEnd w:id="27"/>
    </w:p>
    <w:p w14:paraId="6F54156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zh-CN" w:eastAsia="zh-CN"/>
        </w:rPr>
        <w:t>社会保障和就业支出（类）行政事业单位养老支出（款）行政单位离退休（项）</w:t>
      </w:r>
      <w:r>
        <w:rPr>
          <w:rFonts w:hint="default" w:ascii="Times New Roman" w:hAnsi="Times New Roman" w:eastAsia="仿宋_GB2312" w:cs="Times New Roman"/>
          <w:sz w:val="32"/>
          <w:szCs w:val="32"/>
          <w:lang w:val="zh-CN" w:eastAsia="zh-CN"/>
        </w:rPr>
        <w:t>:支出决算为</w:t>
      </w:r>
      <w:r>
        <w:rPr>
          <w:rFonts w:hint="eastAsia" w:ascii="Times New Roman" w:hAnsi="Times New Roman" w:eastAsia="仿宋_GB2312" w:cs="Times New Roman"/>
          <w:sz w:val="32"/>
          <w:szCs w:val="32"/>
          <w:lang w:val="en-US" w:eastAsia="zh-CN"/>
        </w:rPr>
        <w:t>22.11</w:t>
      </w:r>
      <w:r>
        <w:rPr>
          <w:rFonts w:hint="default" w:ascii="Times New Roman" w:hAnsi="Times New Roman" w:eastAsia="仿宋_GB2312" w:cs="Times New Roman"/>
          <w:sz w:val="32"/>
          <w:szCs w:val="32"/>
          <w:lang w:val="zh-CN" w:eastAsia="zh-CN"/>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%，决算数等于预算数。</w:t>
      </w:r>
    </w:p>
    <w:p w14:paraId="5E78107C">
      <w:pPr>
        <w:keepNext w:val="0"/>
        <w:keepLines w:val="0"/>
        <w:pageBreakBefore w:val="0"/>
        <w:widowControl w:val="0"/>
        <w:kinsoku/>
        <w:wordWrap/>
        <w:overflowPunct/>
        <w:topLinePunct w:val="0"/>
        <w:bidi w:val="0"/>
        <w:snapToGrid/>
        <w:spacing w:line="570" w:lineRule="exact"/>
        <w:ind w:firstLine="64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2.社会保障和就业支出（类）行政事业单位养老支出（款）机关事业单位基本养老保险缴费支出（项）:支出决算为</w:t>
      </w:r>
      <w:r>
        <w:rPr>
          <w:rFonts w:hint="eastAsia" w:ascii="Times New Roman" w:hAnsi="Times New Roman" w:eastAsia="仿宋_GB2312" w:cs="Times New Roman"/>
          <w:sz w:val="32"/>
          <w:szCs w:val="32"/>
          <w:lang w:val="en-US" w:eastAsia="zh-CN"/>
        </w:rPr>
        <w:t>12.09</w:t>
      </w:r>
      <w:r>
        <w:rPr>
          <w:rFonts w:hint="default" w:ascii="Times New Roman" w:hAnsi="Times New Roman" w:eastAsia="仿宋_GB2312" w:cs="Times New Roman"/>
          <w:sz w:val="32"/>
          <w:szCs w:val="32"/>
          <w:lang w:val="zh-CN" w:eastAsia="zh-CN"/>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%，决算数等于预算数。</w:t>
      </w:r>
    </w:p>
    <w:p w14:paraId="14F28C23">
      <w:pPr>
        <w:keepNext w:val="0"/>
        <w:keepLines w:val="0"/>
        <w:pageBreakBefore w:val="0"/>
        <w:widowControl w:val="0"/>
        <w:kinsoku/>
        <w:wordWrap/>
        <w:overflowPunct/>
        <w:topLinePunct w:val="0"/>
        <w:bidi w:val="0"/>
        <w:snapToGrid/>
        <w:spacing w:line="570" w:lineRule="exact"/>
        <w:ind w:firstLine="64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卫生健康支出</w:t>
      </w:r>
      <w:r>
        <w:rPr>
          <w:rFonts w:hint="default" w:ascii="Times New Roman" w:hAnsi="Times New Roman" w:eastAsia="仿宋_GB2312" w:cs="Times New Roman"/>
          <w:sz w:val="32"/>
          <w:szCs w:val="32"/>
          <w:lang w:val="zh-CN" w:eastAsia="zh-CN"/>
        </w:rPr>
        <w:t>（类）</w:t>
      </w:r>
      <w:r>
        <w:rPr>
          <w:rFonts w:hint="default" w:ascii="Times New Roman" w:hAnsi="Times New Roman" w:eastAsia="仿宋_GB2312" w:cs="Times New Roman"/>
          <w:sz w:val="32"/>
          <w:szCs w:val="32"/>
          <w:lang w:val="en-US" w:eastAsia="zh-CN"/>
        </w:rPr>
        <w:t>卫生健康</w:t>
      </w:r>
      <w:r>
        <w:rPr>
          <w:rFonts w:hint="default" w:ascii="Times New Roman" w:hAnsi="Times New Roman" w:eastAsia="仿宋_GB2312" w:cs="Times New Roman"/>
          <w:sz w:val="32"/>
          <w:szCs w:val="32"/>
          <w:lang w:val="zh-CN" w:eastAsia="zh-CN"/>
        </w:rPr>
        <w:t>管理事务（款）行政运行（项）:支出决算为</w:t>
      </w:r>
      <w:r>
        <w:rPr>
          <w:rFonts w:hint="eastAsia" w:ascii="Times New Roman" w:hAnsi="Times New Roman" w:eastAsia="仿宋_GB2312" w:cs="Times New Roman"/>
          <w:sz w:val="32"/>
          <w:szCs w:val="32"/>
          <w:lang w:val="en-US" w:eastAsia="zh-CN"/>
        </w:rPr>
        <w:t>64.03</w:t>
      </w:r>
      <w:r>
        <w:rPr>
          <w:rFonts w:hint="default" w:ascii="Times New Roman" w:hAnsi="Times New Roman" w:eastAsia="仿宋_GB2312" w:cs="Times New Roman"/>
          <w:sz w:val="32"/>
          <w:szCs w:val="32"/>
          <w:lang w:val="zh-CN" w:eastAsia="zh-CN"/>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%，决算数等于预算数。</w:t>
      </w:r>
    </w:p>
    <w:p w14:paraId="4E2500D2">
      <w:pPr>
        <w:keepNext w:val="0"/>
        <w:keepLines w:val="0"/>
        <w:pageBreakBefore w:val="0"/>
        <w:widowControl w:val="0"/>
        <w:kinsoku/>
        <w:wordWrap/>
        <w:overflowPunct/>
        <w:topLinePunct w:val="0"/>
        <w:bidi w:val="0"/>
        <w:snapToGrid/>
        <w:spacing w:line="570" w:lineRule="exact"/>
        <w:ind w:firstLine="640" w:firstLineChars="200"/>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卫生健康支出</w:t>
      </w:r>
      <w:r>
        <w:rPr>
          <w:rFonts w:hint="default" w:ascii="Times New Roman" w:hAnsi="Times New Roman" w:eastAsia="仿宋_GB2312" w:cs="Times New Roman"/>
          <w:sz w:val="32"/>
          <w:szCs w:val="32"/>
          <w:lang w:val="zh-CN" w:eastAsia="zh-CN"/>
        </w:rPr>
        <w:t>（类）</w:t>
      </w:r>
      <w:r>
        <w:rPr>
          <w:rFonts w:hint="default" w:ascii="Times New Roman" w:hAnsi="Times New Roman" w:eastAsia="仿宋_GB2312" w:cs="Times New Roman"/>
          <w:sz w:val="32"/>
          <w:szCs w:val="32"/>
          <w:lang w:val="en-US" w:eastAsia="zh-CN"/>
        </w:rPr>
        <w:t>卫生健康</w:t>
      </w:r>
      <w:r>
        <w:rPr>
          <w:rFonts w:hint="default" w:ascii="Times New Roman" w:hAnsi="Times New Roman" w:eastAsia="仿宋_GB2312" w:cs="Times New Roman"/>
          <w:sz w:val="32"/>
          <w:szCs w:val="32"/>
          <w:lang w:val="zh-CN" w:eastAsia="zh-CN"/>
        </w:rPr>
        <w:t>管理事务（款）</w:t>
      </w:r>
      <w:r>
        <w:rPr>
          <w:rFonts w:hint="eastAsia" w:ascii="Times New Roman" w:hAnsi="Times New Roman" w:eastAsia="仿宋_GB2312" w:cs="Times New Roman"/>
          <w:sz w:val="32"/>
          <w:szCs w:val="32"/>
          <w:lang w:val="zh-CN" w:eastAsia="zh-CN"/>
        </w:rPr>
        <w:t>其他卫生健康管理事务支出</w:t>
      </w:r>
      <w:r>
        <w:rPr>
          <w:rFonts w:hint="default" w:ascii="Times New Roman" w:hAnsi="Times New Roman" w:eastAsia="仿宋_GB2312" w:cs="Times New Roman"/>
          <w:sz w:val="32"/>
          <w:szCs w:val="32"/>
          <w:lang w:val="zh-CN" w:eastAsia="zh-CN"/>
        </w:rPr>
        <w:t>（项）:支出决算为</w:t>
      </w:r>
      <w:r>
        <w:rPr>
          <w:rFonts w:hint="eastAsia" w:ascii="Times New Roman" w:hAnsi="Times New Roman" w:eastAsia="仿宋_GB2312" w:cs="Times New Roman"/>
          <w:sz w:val="32"/>
          <w:szCs w:val="32"/>
          <w:lang w:val="en-US" w:eastAsia="zh-CN"/>
        </w:rPr>
        <w:t>27.08</w:t>
      </w:r>
      <w:r>
        <w:rPr>
          <w:rFonts w:hint="default" w:ascii="Times New Roman" w:hAnsi="Times New Roman" w:eastAsia="仿宋_GB2312" w:cs="Times New Roman"/>
          <w:sz w:val="32"/>
          <w:szCs w:val="32"/>
          <w:lang w:val="zh-CN" w:eastAsia="zh-CN"/>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%，决算数等于预算数。</w:t>
      </w:r>
    </w:p>
    <w:p w14:paraId="094D66AC">
      <w:pPr>
        <w:keepNext w:val="0"/>
        <w:keepLines w:val="0"/>
        <w:pageBreakBefore w:val="0"/>
        <w:widowControl w:val="0"/>
        <w:kinsoku/>
        <w:wordWrap/>
        <w:overflowPunct/>
        <w:topLinePunct w:val="0"/>
        <w:bidi w:val="0"/>
        <w:snapToGrid/>
        <w:spacing w:line="57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卫生健康支出</w:t>
      </w:r>
      <w:r>
        <w:rPr>
          <w:rFonts w:hint="default" w:ascii="Times New Roman" w:hAnsi="Times New Roman" w:eastAsia="仿宋_GB2312" w:cs="Times New Roman"/>
          <w:sz w:val="32"/>
          <w:szCs w:val="32"/>
          <w:lang w:val="zh-CN" w:eastAsia="zh-CN"/>
        </w:rPr>
        <w:t>（类）</w:t>
      </w:r>
      <w:r>
        <w:rPr>
          <w:rFonts w:hint="default" w:ascii="Times New Roman" w:hAnsi="Times New Roman" w:eastAsia="仿宋_GB2312" w:cs="Times New Roman"/>
          <w:sz w:val="32"/>
          <w:szCs w:val="32"/>
          <w:lang w:val="en-US" w:eastAsia="zh-CN"/>
        </w:rPr>
        <w:t>公共卫生</w:t>
      </w:r>
      <w:r>
        <w:rPr>
          <w:rFonts w:hint="default" w:ascii="Times New Roman" w:hAnsi="Times New Roman" w:eastAsia="仿宋_GB2312" w:cs="Times New Roman"/>
          <w:sz w:val="32"/>
          <w:szCs w:val="32"/>
          <w:lang w:val="zh-CN" w:eastAsia="zh-CN"/>
        </w:rPr>
        <w:t>（款） 基本公共卫生服务（项）:支出决算为</w:t>
      </w:r>
      <w:r>
        <w:rPr>
          <w:rFonts w:hint="eastAsia" w:ascii="Times New Roman" w:hAnsi="Times New Roman" w:eastAsia="仿宋_GB2312" w:cs="Times New Roman"/>
          <w:sz w:val="32"/>
          <w:szCs w:val="32"/>
          <w:lang w:val="en-US" w:eastAsia="zh-CN"/>
        </w:rPr>
        <w:t>10.13</w:t>
      </w:r>
      <w:r>
        <w:rPr>
          <w:rFonts w:hint="default" w:ascii="Times New Roman" w:hAnsi="Times New Roman" w:eastAsia="仿宋_GB2312" w:cs="Times New Roman"/>
          <w:sz w:val="32"/>
          <w:szCs w:val="32"/>
          <w:lang w:val="zh-CN" w:eastAsia="zh-CN"/>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%，决算数等于预算数。</w:t>
      </w:r>
    </w:p>
    <w:p w14:paraId="5CB56877">
      <w:pPr>
        <w:keepNext w:val="0"/>
        <w:keepLines w:val="0"/>
        <w:pageBreakBefore w:val="0"/>
        <w:widowControl w:val="0"/>
        <w:kinsoku/>
        <w:wordWrap/>
        <w:overflowPunct/>
        <w:topLinePunct w:val="0"/>
        <w:bidi w:val="0"/>
        <w:snapToGrid/>
        <w:spacing w:line="570" w:lineRule="exact"/>
        <w:ind w:firstLine="64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6.卫生健康支出</w:t>
      </w:r>
      <w:r>
        <w:rPr>
          <w:rFonts w:hint="default" w:ascii="Times New Roman" w:hAnsi="Times New Roman" w:eastAsia="仿宋_GB2312" w:cs="Times New Roman"/>
          <w:sz w:val="32"/>
          <w:szCs w:val="32"/>
          <w:lang w:val="zh-CN" w:eastAsia="zh-CN"/>
        </w:rPr>
        <w:t>（类）</w:t>
      </w:r>
      <w:r>
        <w:rPr>
          <w:rFonts w:hint="default" w:ascii="Times New Roman" w:hAnsi="Times New Roman" w:eastAsia="仿宋_GB2312" w:cs="Times New Roman"/>
          <w:sz w:val="32"/>
          <w:szCs w:val="32"/>
          <w:lang w:val="en-US" w:eastAsia="zh-CN"/>
        </w:rPr>
        <w:t>行政事业单位医疗</w:t>
      </w:r>
      <w:r>
        <w:rPr>
          <w:rFonts w:hint="default" w:ascii="Times New Roman" w:hAnsi="Times New Roman" w:eastAsia="仿宋_GB2312" w:cs="Times New Roman"/>
          <w:sz w:val="32"/>
          <w:szCs w:val="32"/>
          <w:lang w:val="zh-CN" w:eastAsia="zh-CN"/>
        </w:rPr>
        <w:t>（款） 行政单位医疗（项）:支出决算为</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zh-CN" w:eastAsia="zh-CN"/>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%，决算数等于预算数。</w:t>
      </w:r>
    </w:p>
    <w:p w14:paraId="7EBA59A9">
      <w:pPr>
        <w:keepNext w:val="0"/>
        <w:keepLines w:val="0"/>
        <w:pageBreakBefore w:val="0"/>
        <w:widowControl w:val="0"/>
        <w:kinsoku/>
        <w:wordWrap/>
        <w:overflowPunct/>
        <w:topLinePunct w:val="0"/>
        <w:bidi w:val="0"/>
        <w:snapToGrid/>
        <w:spacing w:line="57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.卫生健康支出（类）行政事业单位医疗（款） 事业单位医疗（项）:支出决算为</w:t>
      </w:r>
      <w:r>
        <w:rPr>
          <w:rFonts w:hint="eastAsia" w:ascii="Times New Roman" w:hAnsi="Times New Roman" w:eastAsia="仿宋_GB2312" w:cs="Times New Roman"/>
          <w:sz w:val="32"/>
          <w:szCs w:val="32"/>
          <w:lang w:val="en-US" w:eastAsia="zh-CN"/>
        </w:rPr>
        <w:t>3.61</w:t>
      </w:r>
      <w:r>
        <w:rPr>
          <w:rFonts w:hint="default" w:ascii="Times New Roman" w:hAnsi="Times New Roman" w:eastAsia="仿宋_GB2312" w:cs="Times New Roman"/>
          <w:sz w:val="32"/>
          <w:szCs w:val="32"/>
          <w:lang w:val="en-US" w:eastAsia="zh-CN"/>
        </w:rPr>
        <w:t>万元，完成预算100%，决算数等于预算数。</w:t>
      </w:r>
    </w:p>
    <w:p w14:paraId="05E7F76E">
      <w:pPr>
        <w:keepNext w:val="0"/>
        <w:keepLines w:val="0"/>
        <w:pageBreakBefore w:val="0"/>
        <w:widowControl w:val="0"/>
        <w:kinsoku/>
        <w:wordWrap/>
        <w:overflowPunct/>
        <w:topLinePunct w:val="0"/>
        <w:bidi w:val="0"/>
        <w:snapToGrid/>
        <w:spacing w:line="57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.卫生健康支出（类）行政事业单位医疗（款） 公务员医疗补助（项）:支出决算为0.</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万元，完成预算100%，决算数等于预算数。</w:t>
      </w:r>
    </w:p>
    <w:p w14:paraId="004A09DE">
      <w:pPr>
        <w:keepNext w:val="0"/>
        <w:keepLines w:val="0"/>
        <w:pageBreakBefore w:val="0"/>
        <w:widowControl w:val="0"/>
        <w:kinsoku/>
        <w:wordWrap/>
        <w:overflowPunct/>
        <w:topLinePunct w:val="0"/>
        <w:bidi w:val="0"/>
        <w:snapToGrid/>
        <w:spacing w:line="57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.卫生健康支出（类）行政事业单位医疗（款） 其他行政事业单位医疗支出（项）:支出决算为</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万元，完成预算100%，决算数等于预算数。</w:t>
      </w:r>
    </w:p>
    <w:p w14:paraId="02831C86">
      <w:pPr>
        <w:keepNext w:val="0"/>
        <w:keepLines w:val="0"/>
        <w:pageBreakBefore w:val="0"/>
        <w:widowControl w:val="0"/>
        <w:kinsoku/>
        <w:wordWrap/>
        <w:overflowPunct/>
        <w:topLinePunct w:val="0"/>
        <w:bidi w:val="0"/>
        <w:snapToGrid/>
        <w:spacing w:line="57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住房保障支出（类）住房改革支出（款）住房公积金（项）:支出决算为9.</w:t>
      </w:r>
      <w:r>
        <w:rPr>
          <w:rFonts w:hint="eastAsia"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lang w:val="en-US" w:eastAsia="zh-CN"/>
        </w:rPr>
        <w:t>万元，完成预算100%，决算数等于预算数。</w:t>
      </w:r>
    </w:p>
    <w:p w14:paraId="3AB48AD4">
      <w:pPr>
        <w:keepNext w:val="0"/>
        <w:keepLines w:val="0"/>
        <w:pageBreakBefore w:val="0"/>
        <w:widowControl w:val="0"/>
        <w:tabs>
          <w:tab w:val="right" w:pos="8306"/>
        </w:tabs>
        <w:kinsoku/>
        <w:wordWrap/>
        <w:overflowPunct/>
        <w:topLinePunct w:val="0"/>
        <w:autoSpaceDE/>
        <w:autoSpaceDN/>
        <w:bidi w:val="0"/>
        <w:adjustRightInd/>
        <w:snapToGrid/>
        <w:spacing w:line="570" w:lineRule="exact"/>
        <w:ind w:left="0" w:firstLine="640" w:firstLineChars="200"/>
        <w:textAlignment w:val="auto"/>
        <w:outlineLvl w:val="1"/>
        <w:rPr>
          <w:rStyle w:val="29"/>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28"/>
      <w:bookmarkEnd w:id="29"/>
      <w:r>
        <w:rPr>
          <w:rStyle w:val="29"/>
          <w:rFonts w:ascii="Times New Roman" w:hAnsi="Times New Roman" w:eastAsia="黑体"/>
          <w:b w:val="0"/>
          <w:color w:val="auto"/>
          <w:highlight w:val="none"/>
        </w:rPr>
        <w:tab/>
      </w:r>
    </w:p>
    <w:p w14:paraId="18014B15">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144.72</w:t>
      </w:r>
      <w:r>
        <w:rPr>
          <w:rFonts w:hint="default" w:ascii="Times New Roman" w:hAnsi="Times New Roman" w:eastAsia="仿宋_GB2312" w:cs="Times New Roman"/>
          <w:color w:val="auto"/>
          <w:kern w:val="2"/>
          <w:sz w:val="32"/>
          <w:szCs w:val="32"/>
          <w:highlight w:val="none"/>
          <w:lang w:val="en-US" w:eastAsia="zh-CN" w:bidi="ar-SA"/>
        </w:rPr>
        <w:t>万元，其中：</w:t>
      </w:r>
    </w:p>
    <w:p w14:paraId="274B009C">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rPr>
        <w:t>137.06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元，主要包括：基本工资、津贴补贴、奖金、绩效工资、机关事业单位基本养老保险缴费、职工基本医疗保险缴费</w:t>
      </w:r>
      <w:r>
        <w:rPr>
          <w:rFonts w:hint="eastAsia" w:eastAsia="仿宋_GB2312" w:cs="仿宋_GB2312"/>
          <w:color w:val="auto"/>
          <w:kern w:val="2"/>
          <w:sz w:val="32"/>
          <w:szCs w:val="32"/>
          <w:highlight w:val="none"/>
          <w:lang w:val="en-US" w:eastAsia="zh-CN" w:bidi="ar-SA"/>
        </w:rPr>
        <w:t>、公务员医疗补助缴费、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其他社会保障缴费、其他工资福利支出、生活补助、医疗费补助、奖励金、住房公积金。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default" w:ascii="Times New Roman" w:hAnsi="Times New Roman" w:eastAsia="仿宋_GB2312" w:cs="Times New Roman"/>
          <w:sz w:val="32"/>
          <w:szCs w:val="32"/>
        </w:rPr>
        <w:t>7.66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元，主要包括：办公费、水费、电费、邮电费、差旅费、维修（护）费、委托业务费、工会经费、福利费、其他交通费、其他商品和服务支出。</w:t>
      </w:r>
    </w:p>
    <w:p w14:paraId="2C00ADFA">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outlineLvl w:val="1"/>
        <w:rPr>
          <w:rStyle w:val="29"/>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0"/>
      <w:bookmarkEnd w:id="31"/>
    </w:p>
    <w:p w14:paraId="41CBB9BE">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textAlignment w:val="auto"/>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6B98B547">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color w:val="auto"/>
          <w:kern w:val="2"/>
          <w:sz w:val="32"/>
          <w:szCs w:val="32"/>
          <w:highlight w:val="none"/>
          <w:lang w:val="en-US" w:eastAsia="zh-CN" w:bidi="ar-SA"/>
        </w:rPr>
        <w:t>%，较上年度减少</w:t>
      </w:r>
      <w:r>
        <w:rPr>
          <w:rFonts w:hint="eastAsia" w:ascii="Times New Roman" w:hAnsi="Times New Roman" w:eastAsia="仿宋_GB2312" w:cs="Times New Roman"/>
          <w:color w:val="auto"/>
          <w:kern w:val="2"/>
          <w:sz w:val="32"/>
          <w:szCs w:val="32"/>
          <w:highlight w:val="none"/>
          <w:lang w:val="en-US" w:eastAsia="zh-CN" w:bidi="ar-SA"/>
        </w:rPr>
        <w:t>0.05</w:t>
      </w:r>
      <w:r>
        <w:rPr>
          <w:rFonts w:hint="default" w:ascii="Times New Roman" w:hAnsi="Times New Roman" w:eastAsia="仿宋_GB2312" w:cs="Times New Roman"/>
          <w:color w:val="auto"/>
          <w:kern w:val="2"/>
          <w:sz w:val="32"/>
          <w:szCs w:val="32"/>
          <w:highlight w:val="none"/>
          <w:lang w:val="en-US" w:eastAsia="zh-CN" w:bidi="ar-SA"/>
        </w:rPr>
        <w:t>万元，下降</w:t>
      </w:r>
      <w:r>
        <w:rPr>
          <w:rFonts w:hint="eastAsia"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%。决算数小于预算数</w:t>
      </w:r>
      <w:r>
        <w:rPr>
          <w:rFonts w:hint="eastAsia" w:ascii="Times New Roman" w:hAnsi="Times New Roman" w:eastAsia="仿宋_GB2312" w:cs="Times New Roman"/>
          <w:color w:val="auto"/>
          <w:kern w:val="2"/>
          <w:sz w:val="32"/>
          <w:szCs w:val="32"/>
          <w:highlight w:val="none"/>
          <w:lang w:val="en-US" w:eastAsia="zh-CN" w:bidi="ar-SA"/>
        </w:rPr>
        <w:t>，</w:t>
      </w:r>
      <w:r>
        <w:rPr>
          <w:rFonts w:hint="default" w:eastAsia="仿宋_GB2312" w:cs="Times New Roman"/>
          <w:b w:val="0"/>
          <w:bCs/>
          <w:sz w:val="32"/>
          <w:szCs w:val="32"/>
          <w:lang w:val="en-US" w:eastAsia="zh-CN"/>
        </w:rPr>
        <w:t>主要原因是</w:t>
      </w:r>
      <w:r>
        <w:rPr>
          <w:rFonts w:hint="eastAsia" w:eastAsia="仿宋_GB2312" w:cs="Times New Roman"/>
          <w:b w:val="0"/>
          <w:bCs/>
          <w:sz w:val="32"/>
          <w:szCs w:val="32"/>
          <w:lang w:val="en-US" w:eastAsia="zh-CN"/>
        </w:rPr>
        <w:t>年内单位厉行节约，减少开支。</w:t>
      </w:r>
    </w:p>
    <w:p w14:paraId="5AE29F1D">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textAlignment w:val="auto"/>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0C787797">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%；公务接待费支出决算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w:t>
      </w:r>
    </w:p>
    <w:p w14:paraId="65E2E58B">
      <w:pPr>
        <w:keepNext w:val="0"/>
        <w:keepLines w:val="0"/>
        <w:pageBreakBefore w:val="0"/>
        <w:widowControl w:val="0"/>
        <w:kinsoku/>
        <w:wordWrap/>
        <w:overflowPunct/>
        <w:topLinePunct w:val="0"/>
        <w:bidi w:val="0"/>
        <w:snapToGrid/>
        <w:spacing w:line="570" w:lineRule="exact"/>
        <w:ind w:firstLine="640"/>
        <w:textAlignment w:val="auto"/>
        <w:rPr>
          <w:rFonts w:hint="default" w:ascii="Times New Roman" w:hAnsi="Times New Roman" w:eastAsia="仿宋_GB2312" w:cs="Times New Roman"/>
          <w:b w:val="0"/>
          <w:bCs/>
          <w:sz w:val="32"/>
          <w:szCs w:val="32"/>
          <w:lang w:val="zh-CN" w:eastAsia="zh-CN"/>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b w:val="0"/>
          <w:bCs/>
          <w:sz w:val="32"/>
          <w:szCs w:val="32"/>
          <w:lang w:val="en-US" w:eastAsia="zh-CN"/>
        </w:rPr>
        <w:t>因公出国（境）支出决算与202</w:t>
      </w:r>
      <w:r>
        <w:rPr>
          <w:rFonts w:hint="eastAsia"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lang w:val="en-US" w:eastAsia="zh-CN"/>
        </w:rPr>
        <w:t>年持平。</w:t>
      </w:r>
      <w:r>
        <w:rPr>
          <w:rFonts w:hint="default" w:ascii="Times New Roman" w:hAnsi="Times New Roman" w:eastAsia="仿宋_GB2312" w:cs="Times New Roman"/>
          <w:b w:val="0"/>
          <w:bCs/>
          <w:sz w:val="32"/>
          <w:szCs w:val="32"/>
          <w:lang w:val="zh-CN" w:eastAsia="zh-CN"/>
        </w:rPr>
        <w:t>主要原因是</w:t>
      </w:r>
      <w:r>
        <w:rPr>
          <w:rFonts w:hint="default" w:ascii="Times New Roman" w:hAnsi="Times New Roman" w:eastAsia="仿宋_GB2312" w:cs="Times New Roman"/>
          <w:b w:val="0"/>
          <w:bCs/>
          <w:sz w:val="32"/>
          <w:szCs w:val="32"/>
          <w:lang w:val="en-US" w:eastAsia="zh-CN"/>
        </w:rPr>
        <w:t>本单位202</w:t>
      </w:r>
      <w:r>
        <w:rPr>
          <w:rFonts w:hint="eastAsia" w:ascii="Times New Roman" w:hAnsi="Times New Roman" w:eastAsia="仿宋_GB2312" w:cs="Times New Roman"/>
          <w:b w:val="0"/>
          <w:bCs/>
          <w:sz w:val="32"/>
          <w:szCs w:val="32"/>
          <w:lang w:val="en-US" w:eastAsia="zh-CN"/>
        </w:rPr>
        <w:t>4</w:t>
      </w:r>
      <w:r>
        <w:rPr>
          <w:rFonts w:hint="default" w:ascii="Times New Roman" w:hAnsi="Times New Roman" w:eastAsia="仿宋_GB2312" w:cs="Times New Roman"/>
          <w:b w:val="0"/>
          <w:bCs/>
          <w:sz w:val="32"/>
          <w:szCs w:val="32"/>
          <w:lang w:val="en-US" w:eastAsia="zh-CN"/>
        </w:rPr>
        <w:t>年无因公出国（境）任务安排，无出国（境）团组人次，无因公出国（境）费拨款支出</w:t>
      </w:r>
      <w:r>
        <w:rPr>
          <w:rFonts w:hint="default" w:ascii="Times New Roman" w:hAnsi="Times New Roman" w:eastAsia="仿宋_GB2312" w:cs="Times New Roman"/>
          <w:b w:val="0"/>
          <w:bCs/>
          <w:sz w:val="32"/>
          <w:szCs w:val="32"/>
          <w:lang w:val="zh-CN" w:eastAsia="zh-CN"/>
        </w:rPr>
        <w:t>。</w:t>
      </w:r>
    </w:p>
    <w:p w14:paraId="1351347D">
      <w:pPr>
        <w:keepNext w:val="0"/>
        <w:keepLines w:val="0"/>
        <w:pageBreakBefore w:val="0"/>
        <w:widowControl w:val="0"/>
        <w:kinsoku/>
        <w:wordWrap/>
        <w:overflowPunct/>
        <w:topLinePunct w:val="0"/>
        <w:bidi w:val="0"/>
        <w:snapToGrid/>
        <w:spacing w:line="57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b w:val="0"/>
          <w:bCs/>
          <w:sz w:val="32"/>
          <w:szCs w:val="32"/>
          <w:lang w:val="en-US" w:eastAsia="zh-CN"/>
        </w:rPr>
        <w:t>开支内容包括：无。</w:t>
      </w:r>
    </w:p>
    <w:p w14:paraId="3B754808">
      <w:pPr>
        <w:keepNext w:val="0"/>
        <w:keepLines w:val="0"/>
        <w:pageBreakBefore w:val="0"/>
        <w:widowControl w:val="0"/>
        <w:kinsoku/>
        <w:wordWrap/>
        <w:overflowPunct/>
        <w:topLinePunct w:val="0"/>
        <w:bidi w:val="0"/>
        <w:snapToGrid/>
        <w:spacing w:line="570" w:lineRule="exact"/>
        <w:ind w:firstLine="640"/>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default" w:ascii="Times New Roman" w:hAnsi="Times New Roman" w:eastAsia="仿宋_GB2312" w:cs="Times New Roman"/>
          <w:b w:val="0"/>
          <w:bCs/>
          <w:sz w:val="32"/>
          <w:szCs w:val="32"/>
          <w:lang w:val="en-US" w:eastAsia="zh-CN"/>
        </w:rPr>
        <w:t>公务用车购置及运行维护费支出决算与202</w:t>
      </w:r>
      <w:r>
        <w:rPr>
          <w:rFonts w:hint="eastAsia"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lang w:val="en-US" w:eastAsia="zh-CN"/>
        </w:rPr>
        <w:t>年度持平。本单位 202</w:t>
      </w:r>
      <w:r>
        <w:rPr>
          <w:rFonts w:hint="eastAsia" w:ascii="Times New Roman" w:hAnsi="Times New Roman" w:eastAsia="仿宋_GB2312" w:cs="Times New Roman"/>
          <w:b w:val="0"/>
          <w:bCs/>
          <w:sz w:val="32"/>
          <w:szCs w:val="32"/>
          <w:lang w:val="en-US" w:eastAsia="zh-CN"/>
        </w:rPr>
        <w:t>4</w:t>
      </w:r>
      <w:r>
        <w:rPr>
          <w:rFonts w:hint="default" w:ascii="Times New Roman" w:hAnsi="Times New Roman" w:eastAsia="仿宋_GB2312" w:cs="Times New Roman"/>
          <w:b w:val="0"/>
          <w:bCs/>
          <w:sz w:val="32"/>
          <w:szCs w:val="32"/>
          <w:lang w:val="en-US" w:eastAsia="zh-CN"/>
        </w:rPr>
        <w:t>年没有更新购置公务用车，无公务用车购置费、公务用车运行维护费支出。</w:t>
      </w:r>
    </w:p>
    <w:p w14:paraId="160B8F08">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33CDAB21">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201B30FD">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w:t>
      </w:r>
      <w:r>
        <w:rPr>
          <w:rFonts w:hint="default" w:ascii="Times New Roman" w:hAnsi="Times New Roman" w:eastAsia="仿宋_GB2312" w:cs="Times New Roman"/>
          <w:color w:val="auto"/>
          <w:kern w:val="2"/>
          <w:sz w:val="32"/>
          <w:szCs w:val="32"/>
          <w:highlight w:val="none"/>
          <w:lang w:val="en-US" w:eastAsia="zh-CN" w:bidi="ar-SA"/>
        </w:rPr>
        <w:t>支出决算比2023年度减少0.05万元，下降100%。主要原因是2024年</w:t>
      </w:r>
      <w:r>
        <w:rPr>
          <w:rFonts w:hint="default" w:ascii="Times New Roman" w:hAnsi="Times New Roman" w:eastAsia="仿宋_GB2312" w:cs="Times New Roman"/>
          <w:b w:val="0"/>
          <w:bCs/>
          <w:sz w:val="32"/>
          <w:szCs w:val="32"/>
          <w:lang w:val="en-US" w:eastAsia="zh-CN"/>
        </w:rPr>
        <w:t>本单位无</w:t>
      </w:r>
      <w:r>
        <w:rPr>
          <w:rFonts w:hint="default" w:ascii="Times New Roman" w:hAnsi="Times New Roman" w:eastAsia="仿宋_GB2312" w:cs="Times New Roman"/>
          <w:b w:val="0"/>
          <w:bCs/>
          <w:sz w:val="32"/>
          <w:szCs w:val="32"/>
          <w:lang w:val="zh-CN" w:eastAsia="zh-CN"/>
        </w:rPr>
        <w:t>因公出国（境）</w:t>
      </w:r>
      <w:r>
        <w:rPr>
          <w:rFonts w:hint="default" w:ascii="Times New Roman" w:hAnsi="Times New Roman" w:eastAsia="仿宋_GB2312" w:cs="Times New Roman"/>
          <w:b w:val="0"/>
          <w:bCs/>
          <w:sz w:val="32"/>
          <w:szCs w:val="32"/>
          <w:lang w:val="en-US" w:eastAsia="zh-CN"/>
        </w:rPr>
        <w:t>任务安排、无</w:t>
      </w:r>
      <w:r>
        <w:rPr>
          <w:rFonts w:hint="default" w:ascii="Times New Roman" w:hAnsi="Times New Roman" w:eastAsia="仿宋_GB2312" w:cs="Times New Roman"/>
          <w:b w:val="0"/>
          <w:bCs/>
          <w:sz w:val="32"/>
          <w:szCs w:val="32"/>
          <w:lang w:val="zh-CN" w:eastAsia="zh-CN"/>
        </w:rPr>
        <w:t>公务用车购置及运行维护费、</w:t>
      </w:r>
      <w:r>
        <w:rPr>
          <w:rFonts w:hint="default" w:ascii="Times New Roman" w:hAnsi="Times New Roman" w:eastAsia="仿宋_GB2312" w:cs="Times New Roman"/>
          <w:b w:val="0"/>
          <w:bCs/>
          <w:sz w:val="32"/>
          <w:szCs w:val="32"/>
          <w:lang w:val="en-US" w:eastAsia="zh-CN"/>
        </w:rPr>
        <w:t>无</w:t>
      </w:r>
      <w:r>
        <w:rPr>
          <w:rFonts w:hint="default" w:ascii="Times New Roman" w:hAnsi="Times New Roman" w:eastAsia="仿宋_GB2312" w:cs="Times New Roman"/>
          <w:b w:val="0"/>
          <w:bCs/>
          <w:sz w:val="32"/>
          <w:szCs w:val="32"/>
          <w:lang w:val="zh-CN" w:eastAsia="zh-CN"/>
        </w:rPr>
        <w:t>公务接待</w:t>
      </w:r>
      <w:r>
        <w:rPr>
          <w:rFonts w:hint="default" w:ascii="Times New Roman" w:hAnsi="Times New Roman" w:eastAsia="仿宋_GB2312" w:cs="Times New Roman"/>
          <w:b w:val="0"/>
          <w:bCs/>
          <w:sz w:val="32"/>
          <w:szCs w:val="32"/>
          <w:lang w:val="en-US" w:eastAsia="zh-CN"/>
        </w:rPr>
        <w:t>任务</w:t>
      </w:r>
      <w:r>
        <w:rPr>
          <w:rFonts w:hint="default" w:ascii="Times New Roman" w:hAnsi="Times New Roman" w:eastAsia="仿宋_GB2312" w:cs="Times New Roman"/>
          <w:color w:val="auto"/>
          <w:kern w:val="2"/>
          <w:sz w:val="32"/>
          <w:szCs w:val="32"/>
          <w:highlight w:val="none"/>
          <w:lang w:val="en-US" w:eastAsia="zh-CN" w:bidi="ar-SA"/>
        </w:rPr>
        <w:t>。其中：</w:t>
      </w:r>
    </w:p>
    <w:p w14:paraId="37E8884E">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万元。国内公务接待</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人次（不包括陪同人员），共计支出0万元。</w:t>
      </w:r>
    </w:p>
    <w:p w14:paraId="6CB391BD">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万元。外事接待</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人次（不包括陪同人员），共计支出0万元。</w:t>
      </w:r>
      <w:bookmarkStart w:id="34" w:name="_Toc15377218"/>
      <w:bookmarkStart w:id="35" w:name="_Toc15396610"/>
    </w:p>
    <w:p w14:paraId="110A6315">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4"/>
      <w:bookmarkEnd w:id="35"/>
    </w:p>
    <w:p w14:paraId="70C1EF6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outlineLvl w:val="1"/>
        <w:rPr>
          <w:rFonts w:hint="eastAsia"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w:t>
      </w:r>
      <w:bookmarkStart w:id="36" w:name="_Toc15377219"/>
      <w:bookmarkStart w:id="37" w:name="_Toc15396611"/>
      <w:r>
        <w:rPr>
          <w:rFonts w:hint="default" w:ascii="Times New Roman" w:hAnsi="Times New Roman" w:eastAsia="仿宋_GB2312" w:cs="Times New Roman"/>
          <w:b w:val="0"/>
          <w:bCs/>
          <w:sz w:val="32"/>
          <w:szCs w:val="32"/>
          <w:lang w:val="en-US" w:eastAsia="zh-CN"/>
        </w:rPr>
        <w:t>持平</w:t>
      </w:r>
      <w:r>
        <w:rPr>
          <w:rFonts w:hint="eastAsia" w:ascii="Times New Roman" w:hAnsi="Times New Roman" w:eastAsia="仿宋_GB2312" w:cs="Times New Roman"/>
          <w:b w:val="0"/>
          <w:bCs/>
          <w:sz w:val="32"/>
          <w:szCs w:val="32"/>
          <w:lang w:val="en-US" w:eastAsia="zh-CN"/>
        </w:rPr>
        <w:t>。</w:t>
      </w:r>
    </w:p>
    <w:p w14:paraId="2602ABF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outlineLvl w:val="1"/>
        <w:rPr>
          <w:rStyle w:val="29"/>
          <w:rFonts w:ascii="Times New Roman" w:hAnsi="Times New Roman" w:eastAsia="黑体"/>
          <w:b w:val="0"/>
          <w:color w:val="auto"/>
          <w:highlight w:val="none"/>
        </w:rPr>
      </w:pPr>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6"/>
      <w:bookmarkEnd w:id="37"/>
    </w:p>
    <w:p w14:paraId="22D51FB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outlineLvl w:val="1"/>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bookmarkStart w:id="38" w:name="_Toc15396612"/>
      <w:bookmarkStart w:id="39" w:name="_Toc15377221"/>
      <w:r>
        <w:rPr>
          <w:rFonts w:hint="default" w:ascii="Times New Roman" w:hAnsi="Times New Roman" w:eastAsia="仿宋_GB2312" w:cs="Times New Roman"/>
          <w:color w:val="auto"/>
          <w:kern w:val="2"/>
          <w:sz w:val="32"/>
          <w:szCs w:val="32"/>
          <w:highlight w:val="none"/>
          <w:lang w:val="en-US" w:eastAsia="zh-CN" w:bidi="ar-SA"/>
        </w:rPr>
        <w:t>与2023年度</w:t>
      </w:r>
      <w:r>
        <w:rPr>
          <w:rFonts w:hint="default" w:ascii="Times New Roman" w:hAnsi="Times New Roman" w:eastAsia="仿宋_GB2312" w:cs="Times New Roman"/>
          <w:b w:val="0"/>
          <w:bCs/>
          <w:sz w:val="32"/>
          <w:szCs w:val="32"/>
          <w:lang w:val="en-US" w:eastAsia="zh-CN"/>
        </w:rPr>
        <w:t>持平</w:t>
      </w:r>
      <w:r>
        <w:rPr>
          <w:rFonts w:hint="eastAsia" w:ascii="Times New Roman" w:hAnsi="Times New Roman" w:eastAsia="仿宋_GB2312" w:cs="Times New Roman"/>
          <w:b w:val="0"/>
          <w:bCs/>
          <w:sz w:val="32"/>
          <w:szCs w:val="32"/>
          <w:lang w:val="en-US" w:eastAsia="zh-CN"/>
        </w:rPr>
        <w:t>。</w:t>
      </w:r>
    </w:p>
    <w:p w14:paraId="0C1EF2D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outlineLvl w:val="1"/>
        <w:rPr>
          <w:rStyle w:val="29"/>
          <w:rFonts w:hint="eastAsia" w:ascii="Times New Roman" w:hAnsi="Times New Roman" w:eastAsia="黑体"/>
          <w:b w:val="0"/>
          <w:color w:val="auto"/>
          <w:highlight w:val="none"/>
        </w:rPr>
      </w:pPr>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38"/>
      <w:bookmarkEnd w:id="39"/>
    </w:p>
    <w:p w14:paraId="3E438F15">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textAlignment w:val="auto"/>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5FA638D6">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盐边县卫生和计划生育监督执法大队</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sz w:val="32"/>
          <w:szCs w:val="32"/>
        </w:rPr>
        <w:t>7.66</w:t>
      </w:r>
      <w:r>
        <w:rPr>
          <w:rFonts w:hint="default" w:ascii="Times New Roman" w:hAnsi="Times New Roman" w:eastAsia="仿宋_GB2312" w:cs="Times New Roman"/>
          <w:color w:val="auto"/>
          <w:kern w:val="2"/>
          <w:sz w:val="32"/>
          <w:szCs w:val="32"/>
          <w:highlight w:val="none"/>
          <w:lang w:val="en-US" w:eastAsia="zh-CN" w:bidi="ar-SA"/>
        </w:rPr>
        <w:t>万元，比2023年度减少</w:t>
      </w:r>
      <w:r>
        <w:rPr>
          <w:rFonts w:hint="eastAsia" w:ascii="Times New Roman" w:hAnsi="Times New Roman" w:eastAsia="仿宋_GB2312" w:cs="Times New Roman"/>
          <w:color w:val="auto"/>
          <w:kern w:val="2"/>
          <w:sz w:val="32"/>
          <w:szCs w:val="32"/>
          <w:highlight w:val="none"/>
          <w:lang w:val="en-US" w:eastAsia="zh-CN" w:bidi="ar-SA"/>
        </w:rPr>
        <w:t>2.81</w:t>
      </w:r>
      <w:r>
        <w:rPr>
          <w:rFonts w:hint="default" w:ascii="Times New Roman" w:hAnsi="Times New Roman" w:eastAsia="仿宋_GB2312" w:cs="Times New Roman"/>
          <w:color w:val="auto"/>
          <w:kern w:val="2"/>
          <w:sz w:val="32"/>
          <w:szCs w:val="32"/>
          <w:highlight w:val="none"/>
          <w:lang w:val="en-US" w:eastAsia="zh-CN" w:bidi="ar-SA"/>
        </w:rPr>
        <w:t>万元，下降</w:t>
      </w:r>
      <w:r>
        <w:rPr>
          <w:rFonts w:hint="eastAsia" w:ascii="Times New Roman" w:hAnsi="Times New Roman" w:eastAsia="仿宋_GB2312" w:cs="Times New Roman"/>
          <w:color w:val="auto"/>
          <w:kern w:val="2"/>
          <w:sz w:val="32"/>
          <w:szCs w:val="32"/>
          <w:highlight w:val="none"/>
          <w:lang w:val="en-US" w:eastAsia="zh-CN" w:bidi="ar-SA"/>
        </w:rPr>
        <w:t>26.84</w:t>
      </w:r>
      <w:r>
        <w:rPr>
          <w:rFonts w:hint="default" w:ascii="Times New Roman" w:hAnsi="Times New Roman" w:eastAsia="仿宋_GB2312" w:cs="Times New Roman"/>
          <w:color w:val="auto"/>
          <w:kern w:val="2"/>
          <w:sz w:val="32"/>
          <w:szCs w:val="32"/>
          <w:highlight w:val="none"/>
          <w:lang w:val="en-US" w:eastAsia="zh-CN" w:bidi="ar-SA"/>
        </w:rPr>
        <w:t>%。主要原因是</w:t>
      </w:r>
      <w:r>
        <w:rPr>
          <w:rFonts w:hint="eastAsia" w:ascii="Times New Roman" w:hAnsi="Times New Roman" w:eastAsia="仿宋" w:cs="Times New Roman"/>
          <w:bCs/>
          <w:color w:val="000000"/>
          <w:sz w:val="32"/>
          <w:szCs w:val="32"/>
          <w:lang w:val="en-US" w:eastAsia="zh-CN"/>
        </w:rPr>
        <w:t>主要原因是2024年人员减少，造成公用经费减少。</w:t>
      </w:r>
    </w:p>
    <w:p w14:paraId="1A9B6903">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textAlignment w:val="auto"/>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6C4F24FE">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盐边县卫生和计划生育监督执法大队</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万元。授予中小企业合同金额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w:t>
      </w:r>
    </w:p>
    <w:p w14:paraId="2E718C70">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textAlignment w:val="auto"/>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2A18C927">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盐边县卫生和计划生育监督执法大队</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辆，其中：主要负责人用车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辆。单价100万元（含）以上设备（不含车辆）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台（套）。</w:t>
      </w:r>
    </w:p>
    <w:p w14:paraId="1C07F1B4">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867E49B">
      <w:pPr>
        <w:keepNext w:val="0"/>
        <w:keepLines w:val="0"/>
        <w:pageBreakBefore w:val="0"/>
        <w:widowControl w:val="0"/>
        <w:kinsoku/>
        <w:wordWrap/>
        <w:overflowPunct/>
        <w:topLinePunct w:val="0"/>
        <w:bidi w:val="0"/>
        <w:snapToGrid/>
        <w:spacing w:line="570"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根据预算绩效管理要求，县卫计监督执法大队</w:t>
      </w:r>
      <w:r>
        <w:rPr>
          <w:rFonts w:hint="default" w:ascii="Times New Roman" w:hAnsi="Times New Roman" w:eastAsia="仿宋_GB2312" w:cs="仿宋_GB2312"/>
          <w:color w:val="auto"/>
          <w:kern w:val="2"/>
          <w:sz w:val="32"/>
          <w:szCs w:val="32"/>
          <w:highlight w:val="none"/>
          <w:lang w:val="en-US" w:eastAsia="zh-CN" w:bidi="ar-SA"/>
        </w:rPr>
        <w:t>在202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年度预算编制阶段，组织对基本公共卫生服务经费</w:t>
      </w:r>
      <w:r>
        <w:rPr>
          <w:rFonts w:hint="eastAsia" w:ascii="Times New Roman" w:hAnsi="Times New Roman"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ascii="Times New Roman" w:hAnsi="Times New Roman"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en-US" w:eastAsia="zh-CN" w:bidi="ar-SA"/>
        </w:rPr>
        <w:t>个项目编制了绩效目标，预算执行过程中，开展绩效监控，组织对项目开展绩效自评，绩效自评表详见第四部分附件。</w:t>
      </w:r>
    </w:p>
    <w:p w14:paraId="0F654211">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14:paraId="73DDAC2B">
      <w:pPr>
        <w:pStyle w:val="2"/>
        <w:rPr>
          <w:rFonts w:hint="eastAsia" w:ascii="Times New Roman" w:hAnsi="Times New Roman" w:eastAsia="仿宋_GB2312" w:cs="仿宋_GB2312"/>
          <w:color w:val="auto"/>
          <w:kern w:val="2"/>
          <w:sz w:val="32"/>
          <w:szCs w:val="32"/>
          <w:highlight w:val="none"/>
          <w:lang w:val="en-US" w:eastAsia="zh-CN" w:bidi="ar-SA"/>
        </w:rPr>
      </w:pPr>
    </w:p>
    <w:p w14:paraId="2265E4F0">
      <w:pPr>
        <w:rPr>
          <w:rFonts w:hint="eastAsia" w:ascii="Times New Roman" w:hAnsi="Times New Roman" w:eastAsia="仿宋_GB2312" w:cs="仿宋_GB2312"/>
          <w:color w:val="auto"/>
          <w:kern w:val="2"/>
          <w:sz w:val="32"/>
          <w:szCs w:val="32"/>
          <w:highlight w:val="none"/>
          <w:lang w:val="en-US" w:eastAsia="zh-CN" w:bidi="ar-SA"/>
        </w:rPr>
      </w:pPr>
    </w:p>
    <w:p w14:paraId="65DC2876">
      <w:pPr>
        <w:pStyle w:val="2"/>
        <w:rPr>
          <w:rFonts w:hint="eastAsia" w:ascii="Times New Roman" w:hAnsi="Times New Roman" w:eastAsia="仿宋_GB2312" w:cs="仿宋_GB2312"/>
          <w:color w:val="auto"/>
          <w:kern w:val="2"/>
          <w:sz w:val="32"/>
          <w:szCs w:val="32"/>
          <w:highlight w:val="none"/>
          <w:lang w:val="en-US" w:eastAsia="zh-CN" w:bidi="ar-SA"/>
        </w:rPr>
      </w:pPr>
    </w:p>
    <w:p w14:paraId="2FAAA28A">
      <w:pPr>
        <w:rPr>
          <w:rFonts w:hint="eastAsia" w:ascii="Times New Roman" w:hAnsi="Times New Roman" w:eastAsia="仿宋_GB2312" w:cs="仿宋_GB2312"/>
          <w:color w:val="auto"/>
          <w:kern w:val="2"/>
          <w:sz w:val="32"/>
          <w:szCs w:val="32"/>
          <w:highlight w:val="none"/>
          <w:lang w:val="en-US" w:eastAsia="zh-CN" w:bidi="ar-SA"/>
        </w:rPr>
      </w:pPr>
    </w:p>
    <w:p w14:paraId="4EAE5016">
      <w:pPr>
        <w:pStyle w:val="2"/>
        <w:rPr>
          <w:rFonts w:hint="eastAsia" w:ascii="Times New Roman" w:hAnsi="Times New Roman" w:eastAsia="仿宋_GB2312" w:cs="仿宋_GB2312"/>
          <w:color w:val="auto"/>
          <w:kern w:val="2"/>
          <w:sz w:val="32"/>
          <w:szCs w:val="32"/>
          <w:highlight w:val="none"/>
          <w:lang w:val="en-US" w:eastAsia="zh-CN" w:bidi="ar-SA"/>
        </w:rPr>
      </w:pPr>
    </w:p>
    <w:p w14:paraId="751872DD">
      <w:pPr>
        <w:pStyle w:val="2"/>
        <w:rPr>
          <w:rFonts w:hint="eastAsia"/>
          <w:lang w:val="en-US" w:eastAsia="zh-CN"/>
        </w:rPr>
      </w:pPr>
    </w:p>
    <w:p w14:paraId="3FEE13A1">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14:paraId="7C3C4EB2">
      <w:pPr>
        <w:pStyle w:val="2"/>
        <w:rPr>
          <w:rFonts w:hint="eastAsia"/>
          <w:lang w:val="en-US" w:eastAsia="zh-CN"/>
        </w:rPr>
      </w:pPr>
    </w:p>
    <w:p w14:paraId="3F3CA89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880" w:firstLineChars="200"/>
        <w:jc w:val="center"/>
        <w:textAlignment w:val="auto"/>
        <w:outlineLvl w:val="0"/>
        <w:rPr>
          <w:rFonts w:hint="eastAsia" w:ascii="Times New Roman" w:hAnsi="Times New Roman" w:eastAsia="黑体"/>
          <w:color w:val="auto"/>
          <w:sz w:val="44"/>
          <w:szCs w:val="44"/>
          <w:highlight w:val="none"/>
        </w:rPr>
      </w:pPr>
      <w:bookmarkStart w:id="43" w:name="_Toc15396613"/>
      <w:bookmarkStart w:id="44"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671C3687">
      <w:pPr>
        <w:keepNext w:val="0"/>
        <w:keepLines w:val="0"/>
        <w:pageBreakBefore w:val="0"/>
        <w:widowControl w:val="0"/>
        <w:kinsoku/>
        <w:wordWrap/>
        <w:overflowPunct/>
        <w:topLinePunct w:val="0"/>
        <w:autoSpaceDE/>
        <w:autoSpaceDN/>
        <w:bidi w:val="0"/>
        <w:adjustRightInd/>
        <w:snapToGrid/>
        <w:spacing w:line="570" w:lineRule="exact"/>
        <w:ind w:left="0" w:firstLine="883" w:firstLineChars="200"/>
        <w:jc w:val="left"/>
        <w:textAlignment w:val="auto"/>
        <w:rPr>
          <w:rFonts w:ascii="Times New Roman" w:hAnsi="Times New Roman"/>
          <w:b/>
          <w:color w:val="auto"/>
          <w:sz w:val="44"/>
          <w:szCs w:val="44"/>
          <w:highlight w:val="none"/>
        </w:rPr>
      </w:pPr>
    </w:p>
    <w:p w14:paraId="121562EA">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2F04591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eastAsia="仿宋_GB2312" w:cs="Times New Roman"/>
          <w:sz w:val="32"/>
          <w:szCs w:val="32"/>
        </w:rPr>
      </w:pPr>
      <w:r>
        <w:rPr>
          <w:rFonts w:hint="eastAsia" w:eastAsia="仿宋_GB2312" w:cs="Times New Roman"/>
          <w:sz w:val="32"/>
          <w:szCs w:val="32"/>
          <w:lang w:val="en-US" w:eastAsia="zh-CN"/>
        </w:rPr>
        <w:t>2</w:t>
      </w:r>
      <w:r>
        <w:rPr>
          <w:rFonts w:eastAsia="仿宋_GB2312" w:cs="Times New Roman"/>
          <w:sz w:val="32"/>
          <w:szCs w:val="32"/>
        </w:rPr>
        <w:t>.</w:t>
      </w:r>
      <w:r>
        <w:rPr>
          <w:rFonts w:hint="eastAsia" w:eastAsia="仿宋_GB2312" w:cs="Times New Roman"/>
          <w:sz w:val="32"/>
          <w:szCs w:val="32"/>
        </w:rPr>
        <w:t>社会保障和就业</w:t>
      </w:r>
      <w:r>
        <w:rPr>
          <w:rFonts w:hint="eastAsia" w:eastAsia="仿宋_GB2312" w:cs="Times New Roman"/>
          <w:sz w:val="32"/>
          <w:szCs w:val="32"/>
          <w:lang w:eastAsia="zh-CN"/>
        </w:rPr>
        <w:t>支出</w:t>
      </w:r>
      <w:r>
        <w:rPr>
          <w:rFonts w:hint="eastAsia" w:eastAsia="仿宋_GB2312" w:cs="Times New Roman"/>
          <w:sz w:val="32"/>
          <w:szCs w:val="32"/>
        </w:rPr>
        <w:t>（类）</w:t>
      </w:r>
      <w:r>
        <w:rPr>
          <w:rFonts w:hint="eastAsia" w:eastAsia="仿宋_GB2312" w:cs="Times New Roman"/>
          <w:sz w:val="32"/>
          <w:szCs w:val="32"/>
          <w:lang w:eastAsia="zh-CN"/>
        </w:rPr>
        <w:t>行政事业单位养老支出</w:t>
      </w:r>
      <w:r>
        <w:rPr>
          <w:rFonts w:hint="eastAsia" w:eastAsia="仿宋_GB2312" w:cs="Times New Roman"/>
          <w:sz w:val="32"/>
          <w:szCs w:val="32"/>
        </w:rPr>
        <w:t>（款）</w:t>
      </w:r>
      <w:r>
        <w:rPr>
          <w:rFonts w:hint="eastAsia" w:eastAsia="仿宋_GB2312" w:cs="Times New Roman"/>
          <w:sz w:val="32"/>
          <w:szCs w:val="32"/>
          <w:lang w:eastAsia="zh-CN"/>
        </w:rPr>
        <w:t>行政单位离退休</w:t>
      </w:r>
      <w:r>
        <w:rPr>
          <w:rFonts w:hint="eastAsia" w:eastAsia="仿宋_GB2312" w:cs="Times New Roman"/>
          <w:sz w:val="32"/>
          <w:szCs w:val="32"/>
        </w:rPr>
        <w:t>（项）：指</w:t>
      </w:r>
      <w:r>
        <w:rPr>
          <w:rFonts w:hint="eastAsia" w:eastAsia="仿宋_GB2312" w:cs="Times New Roman"/>
          <w:sz w:val="32"/>
          <w:szCs w:val="32"/>
          <w:lang w:val="en-US" w:eastAsia="zh-CN"/>
        </w:rPr>
        <w:t>反映行政单位（包括实行公务员管理的事业单位）开支的离退休经费</w:t>
      </w:r>
      <w:r>
        <w:rPr>
          <w:rFonts w:hint="eastAsia" w:eastAsia="仿宋_GB2312" w:cs="Times New Roman"/>
          <w:sz w:val="32"/>
          <w:szCs w:val="32"/>
        </w:rPr>
        <w:t>。</w:t>
      </w:r>
    </w:p>
    <w:p w14:paraId="54E46B7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eastAsia="仿宋_GB2312" w:cs="Times New Roman"/>
          <w:sz w:val="32"/>
          <w:szCs w:val="32"/>
        </w:rPr>
      </w:pPr>
      <w:r>
        <w:rPr>
          <w:rFonts w:hint="eastAsia" w:eastAsia="仿宋_GB2312" w:cs="Times New Roman"/>
          <w:sz w:val="32"/>
          <w:szCs w:val="32"/>
          <w:lang w:val="en-US" w:eastAsia="zh-CN"/>
        </w:rPr>
        <w:t>3.</w:t>
      </w:r>
      <w:r>
        <w:rPr>
          <w:rFonts w:hint="eastAsia" w:eastAsia="仿宋_GB2312" w:cs="Times New Roman"/>
          <w:sz w:val="32"/>
          <w:szCs w:val="32"/>
        </w:rPr>
        <w:t>社会保障和就业</w:t>
      </w:r>
      <w:r>
        <w:rPr>
          <w:rFonts w:hint="eastAsia" w:eastAsia="仿宋_GB2312" w:cs="Times New Roman"/>
          <w:sz w:val="32"/>
          <w:szCs w:val="32"/>
          <w:lang w:eastAsia="zh-CN"/>
        </w:rPr>
        <w:t>支出</w:t>
      </w:r>
      <w:r>
        <w:rPr>
          <w:rFonts w:hint="eastAsia" w:eastAsia="仿宋_GB2312" w:cs="Times New Roman"/>
          <w:sz w:val="32"/>
          <w:szCs w:val="32"/>
        </w:rPr>
        <w:t>（类）</w:t>
      </w:r>
      <w:r>
        <w:rPr>
          <w:rFonts w:hint="eastAsia" w:eastAsia="仿宋_GB2312" w:cs="Times New Roman"/>
          <w:sz w:val="32"/>
          <w:szCs w:val="32"/>
          <w:lang w:eastAsia="zh-CN"/>
        </w:rPr>
        <w:t>行政事业单位养老支出</w:t>
      </w:r>
      <w:r>
        <w:rPr>
          <w:rFonts w:hint="eastAsia" w:eastAsia="仿宋_GB2312" w:cs="Times New Roman"/>
          <w:sz w:val="32"/>
          <w:szCs w:val="32"/>
        </w:rPr>
        <w:t>（款）</w:t>
      </w:r>
      <w:r>
        <w:rPr>
          <w:rFonts w:hint="eastAsia" w:eastAsia="仿宋_GB2312" w:cs="Times New Roman"/>
          <w:sz w:val="32"/>
          <w:szCs w:val="32"/>
          <w:lang w:eastAsia="zh-CN"/>
        </w:rPr>
        <w:t>机关事业单位基本养老保险缴费支出</w:t>
      </w:r>
      <w:r>
        <w:rPr>
          <w:rFonts w:hint="eastAsia" w:eastAsia="仿宋_GB2312" w:cs="Times New Roman"/>
          <w:sz w:val="32"/>
          <w:szCs w:val="32"/>
        </w:rPr>
        <w:t>（项）：指</w:t>
      </w:r>
      <w:r>
        <w:rPr>
          <w:rFonts w:hint="eastAsia" w:eastAsia="仿宋_GB2312" w:cs="Times New Roman"/>
          <w:sz w:val="32"/>
          <w:szCs w:val="32"/>
          <w:lang w:val="en-US" w:eastAsia="zh-CN"/>
        </w:rPr>
        <w:t>反映机关事业单位实施养老保险制度由单位缴纳的基本养老保险支出</w:t>
      </w:r>
      <w:r>
        <w:rPr>
          <w:rFonts w:hint="eastAsia" w:eastAsia="仿宋_GB2312" w:cs="Times New Roman"/>
          <w:sz w:val="32"/>
          <w:szCs w:val="32"/>
        </w:rPr>
        <w:t>。</w:t>
      </w:r>
    </w:p>
    <w:p w14:paraId="0B0D509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4.卫生健康支出（类）卫生健康管理事务（款）行政运行（项）：</w:t>
      </w:r>
      <w:r>
        <w:rPr>
          <w:rFonts w:hint="eastAsia" w:eastAsia="仿宋_GB2312" w:cs="Times New Roman"/>
          <w:sz w:val="32"/>
          <w:szCs w:val="32"/>
        </w:rPr>
        <w:t>指</w:t>
      </w:r>
      <w:r>
        <w:rPr>
          <w:rFonts w:hint="eastAsia" w:eastAsia="仿宋_GB2312" w:cs="Times New Roman"/>
          <w:sz w:val="32"/>
          <w:szCs w:val="32"/>
          <w:lang w:val="en-US" w:eastAsia="zh-CN"/>
        </w:rPr>
        <w:t>反映行政单位（包括实行公务员管理的事业单位）的基本支出。</w:t>
      </w:r>
    </w:p>
    <w:p w14:paraId="1AE5DAC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5.卫生健康支出（类）卫生健康管理事务（款）其他卫生健康管理事务支出（项）：</w:t>
      </w:r>
      <w:r>
        <w:rPr>
          <w:rFonts w:hint="eastAsia" w:eastAsia="仿宋_GB2312" w:cs="Times New Roman"/>
          <w:sz w:val="32"/>
          <w:szCs w:val="32"/>
        </w:rPr>
        <w:t>指</w:t>
      </w:r>
      <w:r>
        <w:rPr>
          <w:rFonts w:hint="eastAsia" w:eastAsia="仿宋_GB2312" w:cs="Times New Roman"/>
          <w:sz w:val="32"/>
          <w:szCs w:val="32"/>
          <w:lang w:val="en-US" w:eastAsia="zh-CN"/>
        </w:rPr>
        <w:t>反映除上述项目以外其他用于卫生健康管理事务方面的支出。</w:t>
      </w:r>
    </w:p>
    <w:p w14:paraId="16DABD3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6.卫生健康支出</w:t>
      </w:r>
      <w:r>
        <w:rPr>
          <w:rFonts w:hint="eastAsia" w:eastAsia="仿宋_GB2312" w:cs="Times New Roman"/>
          <w:sz w:val="32"/>
          <w:szCs w:val="32"/>
        </w:rPr>
        <w:t>（类）</w:t>
      </w:r>
      <w:r>
        <w:rPr>
          <w:rFonts w:hint="eastAsia" w:eastAsia="仿宋_GB2312" w:cs="Times New Roman"/>
          <w:sz w:val="32"/>
          <w:szCs w:val="32"/>
          <w:lang w:val="en-US" w:eastAsia="zh-CN"/>
        </w:rPr>
        <w:t>公共卫生</w:t>
      </w:r>
      <w:r>
        <w:rPr>
          <w:rFonts w:hint="eastAsia" w:eastAsia="仿宋_GB2312" w:cs="Times New Roman"/>
          <w:sz w:val="32"/>
          <w:szCs w:val="32"/>
        </w:rPr>
        <w:t>（款） 基本公共卫生服务（项）:</w:t>
      </w:r>
      <w:r>
        <w:rPr>
          <w:rFonts w:hint="eastAsia" w:eastAsia="仿宋_GB2312" w:cs="Times New Roman"/>
          <w:sz w:val="32"/>
          <w:szCs w:val="32"/>
          <w:lang w:val="en-US" w:eastAsia="zh-CN"/>
        </w:rPr>
        <w:t>反映基本公共卫生服务支出。</w:t>
      </w:r>
    </w:p>
    <w:p w14:paraId="229DBFF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7.卫生健康支出</w:t>
      </w:r>
      <w:r>
        <w:rPr>
          <w:rFonts w:hint="eastAsia" w:eastAsia="仿宋_GB2312" w:cs="Times New Roman"/>
          <w:sz w:val="32"/>
          <w:szCs w:val="32"/>
        </w:rPr>
        <w:t>（类）</w:t>
      </w:r>
      <w:r>
        <w:rPr>
          <w:rFonts w:hint="eastAsia" w:eastAsia="仿宋_GB2312" w:cs="Times New Roman"/>
          <w:sz w:val="32"/>
          <w:szCs w:val="32"/>
          <w:lang w:val="en-US" w:eastAsia="zh-CN"/>
        </w:rPr>
        <w:t>行政事业单位医疗</w:t>
      </w:r>
      <w:r>
        <w:rPr>
          <w:rFonts w:hint="eastAsia" w:eastAsia="仿宋_GB2312" w:cs="Times New Roman"/>
          <w:sz w:val="32"/>
          <w:szCs w:val="32"/>
        </w:rPr>
        <w:t>（款） 行政单位医疗（项）:</w:t>
      </w:r>
      <w:r>
        <w:rPr>
          <w:rFonts w:hint="eastAsia" w:eastAsia="仿宋_GB2312" w:cs="Times New Roman"/>
          <w:sz w:val="32"/>
          <w:szCs w:val="32"/>
          <w:lang w:val="en-US" w:eastAsia="zh-CN"/>
        </w:rPr>
        <w:t>反映财政部门安排的行政单位（包括实行公务员管理的事业单位）基本医疗保险缴费经费</w:t>
      </w:r>
      <w:r>
        <w:rPr>
          <w:rFonts w:hint="default" w:eastAsia="仿宋_GB2312" w:cs="Times New Roman"/>
          <w:sz w:val="32"/>
          <w:szCs w:val="32"/>
          <w:lang w:val="en-US" w:eastAsia="zh-CN"/>
        </w:rPr>
        <w:t>。</w:t>
      </w:r>
      <w:r>
        <w:rPr>
          <w:rFonts w:hint="eastAsia" w:eastAsia="仿宋_GB2312" w:cs="Times New Roman"/>
          <w:sz w:val="32"/>
          <w:szCs w:val="32"/>
          <w:lang w:val="en-US" w:eastAsia="zh-CN"/>
        </w:rPr>
        <w:t>未参加医疗保险的行政单位的公费医疗经费，按国家规定享受离休人员、红军老战士待遇人员的医疗经费。</w:t>
      </w:r>
    </w:p>
    <w:p w14:paraId="48407C1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8.卫生健康支出</w:t>
      </w:r>
      <w:r>
        <w:rPr>
          <w:rFonts w:hint="eastAsia" w:eastAsia="仿宋_GB2312" w:cs="Times New Roman"/>
          <w:sz w:val="32"/>
          <w:szCs w:val="32"/>
        </w:rPr>
        <w:t>（类）</w:t>
      </w:r>
      <w:r>
        <w:rPr>
          <w:rFonts w:hint="eastAsia" w:eastAsia="仿宋_GB2312" w:cs="Times New Roman"/>
          <w:sz w:val="32"/>
          <w:szCs w:val="32"/>
          <w:lang w:val="en-US" w:eastAsia="zh-CN"/>
        </w:rPr>
        <w:t>行政事业单位医疗</w:t>
      </w:r>
      <w:r>
        <w:rPr>
          <w:rFonts w:hint="eastAsia" w:eastAsia="仿宋_GB2312" w:cs="Times New Roman"/>
          <w:sz w:val="32"/>
          <w:szCs w:val="32"/>
        </w:rPr>
        <w:t xml:space="preserve">（款） </w:t>
      </w:r>
      <w:r>
        <w:rPr>
          <w:rFonts w:hint="eastAsia" w:eastAsia="仿宋_GB2312" w:cs="Times New Roman"/>
          <w:sz w:val="32"/>
          <w:szCs w:val="32"/>
          <w:lang w:val="en-US" w:eastAsia="zh-CN"/>
        </w:rPr>
        <w:t>事业单位医疗（项）</w:t>
      </w:r>
      <w:r>
        <w:rPr>
          <w:rFonts w:hint="eastAsia" w:eastAsia="仿宋_GB2312" w:cs="Times New Roman"/>
          <w:sz w:val="32"/>
          <w:szCs w:val="32"/>
        </w:rPr>
        <w:t>:</w:t>
      </w:r>
      <w:r>
        <w:rPr>
          <w:rFonts w:hint="eastAsia" w:eastAsia="仿宋_GB2312" w:cs="Times New Roman"/>
          <w:sz w:val="32"/>
          <w:szCs w:val="32"/>
          <w:lang w:val="en-US" w:eastAsia="zh-CN"/>
        </w:rPr>
        <w:t>反映财政部门安排的事业单位基本医疗保险缴费经费</w:t>
      </w:r>
      <w:r>
        <w:rPr>
          <w:rFonts w:hint="default" w:eastAsia="仿宋_GB2312" w:cs="Times New Roman"/>
          <w:sz w:val="32"/>
          <w:szCs w:val="32"/>
          <w:lang w:val="en-US" w:eastAsia="zh-CN"/>
        </w:rPr>
        <w:t>。</w:t>
      </w:r>
      <w:r>
        <w:rPr>
          <w:rFonts w:hint="eastAsia" w:eastAsia="仿宋_GB2312" w:cs="Times New Roman"/>
          <w:sz w:val="32"/>
          <w:szCs w:val="32"/>
          <w:lang w:val="en-US" w:eastAsia="zh-CN"/>
        </w:rPr>
        <w:t>未参加医疗保险的事业单位的公费医疗经费，按国家规定享受离休人员待遇的医疗经费。</w:t>
      </w:r>
    </w:p>
    <w:p w14:paraId="60CF52E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eastAsia="仿宋_GB2312" w:cs="Times New Roman"/>
          <w:sz w:val="32"/>
          <w:szCs w:val="32"/>
        </w:rPr>
      </w:pPr>
      <w:r>
        <w:rPr>
          <w:rFonts w:hint="eastAsia" w:eastAsia="仿宋_GB2312" w:cs="Times New Roman"/>
          <w:sz w:val="32"/>
          <w:szCs w:val="32"/>
          <w:lang w:val="en-US" w:eastAsia="zh-CN"/>
        </w:rPr>
        <w:t>9.卫生健康支出</w:t>
      </w:r>
      <w:r>
        <w:rPr>
          <w:rFonts w:hint="eastAsia" w:eastAsia="仿宋_GB2312" w:cs="Times New Roman"/>
          <w:sz w:val="32"/>
          <w:szCs w:val="32"/>
        </w:rPr>
        <w:t>（类）</w:t>
      </w:r>
      <w:r>
        <w:rPr>
          <w:rFonts w:hint="eastAsia" w:eastAsia="仿宋_GB2312" w:cs="Times New Roman"/>
          <w:sz w:val="32"/>
          <w:szCs w:val="32"/>
          <w:lang w:val="en-US" w:eastAsia="zh-CN"/>
        </w:rPr>
        <w:t>行政事业单位医疗</w:t>
      </w:r>
      <w:r>
        <w:rPr>
          <w:rFonts w:hint="eastAsia" w:eastAsia="仿宋_GB2312" w:cs="Times New Roman"/>
          <w:sz w:val="32"/>
          <w:szCs w:val="32"/>
        </w:rPr>
        <w:t>（款） 公务员医疗补助（项）:</w:t>
      </w:r>
      <w:r>
        <w:rPr>
          <w:rFonts w:hint="eastAsia" w:eastAsia="仿宋_GB2312" w:cs="Times New Roman"/>
          <w:sz w:val="32"/>
          <w:szCs w:val="32"/>
          <w:lang w:val="en-US" w:eastAsia="zh-CN"/>
        </w:rPr>
        <w:t>反映财政部门安排的公务员医疗补助经费</w:t>
      </w:r>
      <w:r>
        <w:rPr>
          <w:rFonts w:hint="default" w:eastAsia="仿宋_GB2312" w:cs="Times New Roman"/>
          <w:sz w:val="32"/>
          <w:szCs w:val="32"/>
          <w:lang w:val="en-US" w:eastAsia="zh-CN"/>
        </w:rPr>
        <w:t>。</w:t>
      </w:r>
    </w:p>
    <w:p w14:paraId="394AE05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eastAsia="仿宋_GB2312" w:cs="Times New Roman"/>
          <w:sz w:val="32"/>
          <w:szCs w:val="32"/>
        </w:rPr>
      </w:pPr>
      <w:r>
        <w:rPr>
          <w:rFonts w:hint="eastAsia" w:eastAsia="仿宋_GB2312" w:cs="Times New Roman"/>
          <w:sz w:val="32"/>
          <w:szCs w:val="32"/>
          <w:lang w:val="en-US" w:eastAsia="zh-CN"/>
        </w:rPr>
        <w:t>10.卫生健康支出</w:t>
      </w:r>
      <w:r>
        <w:rPr>
          <w:rFonts w:hint="eastAsia" w:eastAsia="仿宋_GB2312" w:cs="Times New Roman"/>
          <w:sz w:val="32"/>
          <w:szCs w:val="32"/>
        </w:rPr>
        <w:t>（类）</w:t>
      </w:r>
      <w:r>
        <w:rPr>
          <w:rFonts w:hint="eastAsia" w:eastAsia="仿宋_GB2312" w:cs="Times New Roman"/>
          <w:sz w:val="32"/>
          <w:szCs w:val="32"/>
          <w:lang w:val="en-US" w:eastAsia="zh-CN"/>
        </w:rPr>
        <w:t>行政事业单位医疗</w:t>
      </w:r>
      <w:r>
        <w:rPr>
          <w:rFonts w:hint="eastAsia" w:eastAsia="仿宋_GB2312" w:cs="Times New Roman"/>
          <w:sz w:val="32"/>
          <w:szCs w:val="32"/>
        </w:rPr>
        <w:t>（款）</w:t>
      </w:r>
      <w:r>
        <w:rPr>
          <w:rFonts w:hint="eastAsia" w:eastAsia="仿宋_GB2312" w:cs="Times New Roman"/>
          <w:sz w:val="32"/>
          <w:szCs w:val="32"/>
          <w:lang w:val="en-US" w:eastAsia="zh-CN"/>
        </w:rPr>
        <w:t xml:space="preserve"> 其他行政事业单位医疗支出（项）</w:t>
      </w:r>
      <w:r>
        <w:rPr>
          <w:rFonts w:hint="eastAsia" w:eastAsia="仿宋_GB2312" w:cs="Times New Roman"/>
          <w:sz w:val="32"/>
          <w:szCs w:val="32"/>
        </w:rPr>
        <w:t>:</w:t>
      </w:r>
      <w:r>
        <w:rPr>
          <w:rFonts w:hint="eastAsia" w:eastAsia="仿宋_GB2312" w:cs="Times New Roman"/>
          <w:sz w:val="32"/>
          <w:szCs w:val="32"/>
          <w:lang w:eastAsia="zh-CN"/>
        </w:rPr>
        <w:t>反</w:t>
      </w:r>
      <w:r>
        <w:rPr>
          <w:rFonts w:hint="eastAsia" w:eastAsia="仿宋_GB2312" w:cs="Times New Roman"/>
          <w:sz w:val="32"/>
          <w:szCs w:val="32"/>
          <w:lang w:val="en-US" w:eastAsia="zh-CN"/>
        </w:rPr>
        <w:t>映除上述项目以外的其他用于行政事业单位医疗方面的支出</w:t>
      </w:r>
      <w:r>
        <w:rPr>
          <w:rFonts w:hint="default" w:eastAsia="仿宋_GB2312" w:cs="Times New Roman"/>
          <w:sz w:val="32"/>
          <w:szCs w:val="32"/>
          <w:lang w:val="en-US" w:eastAsia="zh-CN"/>
        </w:rPr>
        <w:t>。</w:t>
      </w:r>
    </w:p>
    <w:p w14:paraId="209EC2A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eastAsia="仿宋_GB2312" w:cs="Times New Roman"/>
          <w:sz w:val="32"/>
          <w:szCs w:val="32"/>
        </w:rPr>
      </w:pPr>
      <w:r>
        <w:rPr>
          <w:rFonts w:hint="eastAsia" w:eastAsia="仿宋_GB2312" w:cs="Times New Roman"/>
          <w:sz w:val="32"/>
          <w:szCs w:val="32"/>
          <w:lang w:val="en-US" w:eastAsia="zh-CN"/>
        </w:rPr>
        <w:t>11.住房保障支出（类）住房改革支出（款）住房公积金（项）：</w:t>
      </w:r>
      <w:r>
        <w:rPr>
          <w:rFonts w:hint="eastAsia" w:eastAsia="仿宋_GB2312" w:cs="Times New Roman"/>
          <w:sz w:val="32"/>
          <w:szCs w:val="32"/>
        </w:rPr>
        <w:t>指</w:t>
      </w:r>
      <w:r>
        <w:rPr>
          <w:rFonts w:hint="eastAsia" w:eastAsia="仿宋_GB2312" w:cs="Times New Roman"/>
          <w:sz w:val="32"/>
          <w:szCs w:val="32"/>
          <w:lang w:val="en-US" w:eastAsia="zh-CN"/>
        </w:rPr>
        <w:t>反映行政事业单位按人力资源和社会保障部、财政部规定的基本工资和津贴补贴以及规定比例为职工缴纳的住房公积金</w:t>
      </w:r>
      <w:r>
        <w:rPr>
          <w:rFonts w:hint="eastAsia" w:eastAsia="仿宋_GB2312" w:cs="Times New Roman"/>
          <w:sz w:val="32"/>
          <w:szCs w:val="32"/>
        </w:rPr>
        <w:t>。</w:t>
      </w:r>
    </w:p>
    <w:p w14:paraId="4CAE135C">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2433684E">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236F612F">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34077E6">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E30CCD6">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bookmarkStart w:id="45" w:name="_Toc15377226"/>
    </w:p>
    <w:p w14:paraId="32E757CA">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p>
    <w:p w14:paraId="763F5A92">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p>
    <w:p w14:paraId="59761E3C">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p>
    <w:p w14:paraId="3EA81915">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p>
    <w:p w14:paraId="5C151687">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p>
    <w:p w14:paraId="55F4BA93">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p>
    <w:p w14:paraId="115ACC9E">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p>
    <w:p w14:paraId="443DE7AA">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p>
    <w:p w14:paraId="7F57B399">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p>
    <w:p w14:paraId="4D53DFFE">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p>
    <w:p w14:paraId="5FFB5037">
      <w:pPr>
        <w:pStyle w:val="2"/>
        <w:rPr>
          <w:rFonts w:hint="eastAsia" w:ascii="Times New Roman" w:hAnsi="Times New Roman" w:eastAsia="仿宋_GB2312" w:cs="仿宋_GB2312"/>
          <w:color w:val="auto"/>
          <w:kern w:val="2"/>
          <w:sz w:val="32"/>
          <w:szCs w:val="32"/>
          <w:highlight w:val="none"/>
          <w:lang w:val="en-US" w:eastAsia="zh-CN" w:bidi="ar-SA"/>
        </w:rPr>
      </w:pPr>
    </w:p>
    <w:p w14:paraId="2BDFBA15">
      <w:pPr>
        <w:rPr>
          <w:rFonts w:hint="eastAsia" w:ascii="Times New Roman" w:hAnsi="Times New Roman" w:eastAsia="仿宋_GB2312" w:cs="仿宋_GB2312"/>
          <w:color w:val="auto"/>
          <w:kern w:val="2"/>
          <w:sz w:val="32"/>
          <w:szCs w:val="32"/>
          <w:highlight w:val="none"/>
          <w:lang w:val="en-US" w:eastAsia="zh-CN" w:bidi="ar-SA"/>
        </w:rPr>
      </w:pPr>
    </w:p>
    <w:p w14:paraId="47BC855C">
      <w:pPr>
        <w:pStyle w:val="2"/>
        <w:rPr>
          <w:rFonts w:hint="eastAsia"/>
          <w:lang w:val="en-US" w:eastAsia="zh-CN"/>
        </w:rPr>
      </w:pPr>
    </w:p>
    <w:p w14:paraId="51EBA432">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p>
    <w:p w14:paraId="03E2FCF4">
      <w:pPr>
        <w:spacing w:line="600" w:lineRule="exact"/>
        <w:jc w:val="center"/>
        <w:rPr>
          <w:rStyle w:val="28"/>
          <w:rFonts w:eastAsia="黑体"/>
          <w:b w:val="0"/>
        </w:rPr>
      </w:pPr>
      <w:r>
        <w:rPr>
          <w:rFonts w:hint="eastAsia" w:eastAsia="黑体"/>
          <w:sz w:val="44"/>
          <w:szCs w:val="44"/>
        </w:rPr>
        <w:t>第四部分  附件</w:t>
      </w:r>
    </w:p>
    <w:p w14:paraId="7125468F">
      <w:pPr>
        <w:spacing w:line="572" w:lineRule="exact"/>
        <w:jc w:val="left"/>
        <w:outlineLvl w:val="0"/>
        <w:rPr>
          <w:rFonts w:eastAsia="黑体" w:cs="黑体"/>
          <w:sz w:val="32"/>
          <w:szCs w:val="32"/>
        </w:rPr>
      </w:pPr>
    </w:p>
    <w:p w14:paraId="7AF65890">
      <w:pPr>
        <w:widowControl/>
        <w:spacing w:line="578" w:lineRule="exact"/>
        <w:contextualSpacing/>
        <w:jc w:val="center"/>
      </w:pPr>
      <w:r>
        <w:rPr>
          <w:rFonts w:hint="eastAsia" w:eastAsia="黑体" w:cs="黑体"/>
          <w:sz w:val="32"/>
          <w:szCs w:val="32"/>
        </w:rPr>
        <w:t>部门预算项目支出绩效评价表（2024年度）</w:t>
      </w:r>
    </w:p>
    <w:p w14:paraId="445D2465">
      <w:pPr>
        <w:pStyle w:val="8"/>
        <w:spacing w:line="560" w:lineRule="exact"/>
        <w:ind w:left="0" w:leftChars="0" w:firstLine="640"/>
        <w:rPr>
          <w:rFonts w:ascii="Times New Roman" w:eastAsia="仿宋_GB2312" w:cs="仿宋_GB2312"/>
          <w:kern w:val="0"/>
          <w:sz w:val="32"/>
        </w:rPr>
      </w:pPr>
    </w:p>
    <w:p w14:paraId="4AE270A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6"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501E16A8">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5"/>
      <w:bookmarkEnd w:id="46"/>
      <w:bookmarkStart w:id="47" w:name="_Toc15396619"/>
    </w:p>
    <w:p w14:paraId="573B15F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7FF830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7"/>
    </w:p>
    <w:p w14:paraId="0F0D1ED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8" w:name="_Toc15396620"/>
      <w:r>
        <w:rPr>
          <w:rFonts w:hint="eastAsia" w:ascii="Times New Roman" w:hAnsi="Times New Roman" w:eastAsia="仿宋_GB2312" w:cs="仿宋_GB2312"/>
          <w:color w:val="auto"/>
          <w:sz w:val="32"/>
          <w:szCs w:val="32"/>
          <w:highlight w:val="none"/>
        </w:rPr>
        <w:t>二、收入决算表</w:t>
      </w:r>
      <w:bookmarkEnd w:id="48"/>
    </w:p>
    <w:p w14:paraId="0969BFF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1"/>
      <w:r>
        <w:rPr>
          <w:rFonts w:hint="eastAsia" w:ascii="Times New Roman" w:hAnsi="Times New Roman" w:eastAsia="仿宋_GB2312" w:cs="仿宋_GB2312"/>
          <w:color w:val="auto"/>
          <w:sz w:val="32"/>
          <w:szCs w:val="32"/>
          <w:highlight w:val="none"/>
        </w:rPr>
        <w:t>三、支出决算表</w:t>
      </w:r>
      <w:bookmarkEnd w:id="49"/>
    </w:p>
    <w:p w14:paraId="4B3912E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2"/>
      <w:r>
        <w:rPr>
          <w:rFonts w:hint="eastAsia" w:ascii="Times New Roman" w:hAnsi="Times New Roman" w:eastAsia="仿宋_GB2312" w:cs="仿宋_GB2312"/>
          <w:color w:val="auto"/>
          <w:sz w:val="32"/>
          <w:szCs w:val="32"/>
          <w:highlight w:val="none"/>
        </w:rPr>
        <w:t>四、财政拨款收入支出决算总表</w:t>
      </w:r>
      <w:bookmarkEnd w:id="50"/>
    </w:p>
    <w:p w14:paraId="080E33E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3"/>
      <w:r>
        <w:rPr>
          <w:rFonts w:hint="eastAsia" w:ascii="Times New Roman" w:hAnsi="Times New Roman" w:eastAsia="仿宋_GB2312" w:cs="仿宋_GB2312"/>
          <w:color w:val="auto"/>
          <w:sz w:val="32"/>
          <w:szCs w:val="32"/>
          <w:highlight w:val="none"/>
        </w:rPr>
        <w:t>五、财政拨款支出决算明细表</w:t>
      </w:r>
      <w:bookmarkEnd w:id="51"/>
      <w:bookmarkStart w:id="52" w:name="_Toc15396624"/>
    </w:p>
    <w:p w14:paraId="0128422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2"/>
    </w:p>
    <w:p w14:paraId="3B211AE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5"/>
      <w:r>
        <w:rPr>
          <w:rFonts w:hint="eastAsia" w:ascii="Times New Roman" w:hAnsi="Times New Roman" w:eastAsia="仿宋_GB2312" w:cs="仿宋_GB2312"/>
          <w:color w:val="auto"/>
          <w:sz w:val="32"/>
          <w:szCs w:val="32"/>
          <w:highlight w:val="none"/>
        </w:rPr>
        <w:t>七、一般公共预算财政拨款支出决算明细表</w:t>
      </w:r>
      <w:bookmarkEnd w:id="53"/>
    </w:p>
    <w:p w14:paraId="1BC922B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6"/>
      <w:r>
        <w:rPr>
          <w:rFonts w:hint="eastAsia" w:ascii="Times New Roman" w:hAnsi="Times New Roman" w:eastAsia="仿宋_GB2312" w:cs="仿宋_GB2312"/>
          <w:color w:val="auto"/>
          <w:sz w:val="32"/>
          <w:szCs w:val="32"/>
          <w:highlight w:val="none"/>
        </w:rPr>
        <w:t>八、一般公共预算财政拨款基本支出决算表</w:t>
      </w:r>
      <w:bookmarkEnd w:id="54"/>
    </w:p>
    <w:p w14:paraId="63E13EA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7"/>
      <w:r>
        <w:rPr>
          <w:rFonts w:hint="eastAsia" w:ascii="Times New Roman" w:hAnsi="Times New Roman" w:eastAsia="仿宋_GB2312" w:cs="仿宋_GB2312"/>
          <w:color w:val="auto"/>
          <w:sz w:val="32"/>
          <w:szCs w:val="32"/>
          <w:highlight w:val="none"/>
        </w:rPr>
        <w:t>九、一般公共预算财政拨款项目支出决算表</w:t>
      </w:r>
      <w:bookmarkEnd w:id="55"/>
    </w:p>
    <w:p w14:paraId="734A32D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8"/>
      <w:r>
        <w:rPr>
          <w:rFonts w:hint="eastAsia" w:ascii="Times New Roman" w:hAnsi="Times New Roman" w:eastAsia="仿宋_GB2312" w:cs="仿宋_GB2312"/>
          <w:color w:val="auto"/>
          <w:sz w:val="32"/>
          <w:szCs w:val="32"/>
          <w:highlight w:val="none"/>
        </w:rPr>
        <w:t>十、</w:t>
      </w:r>
      <w:bookmarkEnd w:id="56"/>
      <w:r>
        <w:rPr>
          <w:rFonts w:hint="eastAsia" w:ascii="Times New Roman" w:hAnsi="Times New Roman" w:eastAsia="仿宋_GB2312" w:cs="仿宋_GB2312"/>
          <w:color w:val="auto"/>
          <w:sz w:val="32"/>
          <w:szCs w:val="32"/>
          <w:highlight w:val="none"/>
        </w:rPr>
        <w:t>政府性基金预算财政拨款收入支出决算表</w:t>
      </w:r>
    </w:p>
    <w:p w14:paraId="3794BB0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9"/>
      <w:r>
        <w:rPr>
          <w:rFonts w:hint="eastAsia" w:ascii="Times New Roman" w:hAnsi="Times New Roman" w:eastAsia="仿宋_GB2312" w:cs="仿宋_GB2312"/>
          <w:color w:val="auto"/>
          <w:sz w:val="32"/>
          <w:szCs w:val="32"/>
          <w:highlight w:val="none"/>
        </w:rPr>
        <w:t>十一、</w:t>
      </w:r>
      <w:bookmarkEnd w:id="5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CD01D5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30"/>
      <w:r>
        <w:rPr>
          <w:rFonts w:hint="eastAsia" w:ascii="Times New Roman" w:hAnsi="Times New Roman" w:eastAsia="仿宋_GB2312" w:cs="仿宋_GB2312"/>
          <w:color w:val="auto"/>
          <w:sz w:val="32"/>
          <w:szCs w:val="32"/>
          <w:highlight w:val="none"/>
        </w:rPr>
        <w:t>十二、</w:t>
      </w:r>
      <w:bookmarkEnd w:id="58"/>
      <w:r>
        <w:rPr>
          <w:rFonts w:hint="eastAsia" w:ascii="Times New Roman" w:hAnsi="Times New Roman" w:eastAsia="仿宋_GB2312" w:cs="仿宋_GB2312"/>
          <w:color w:val="auto"/>
          <w:sz w:val="32"/>
          <w:szCs w:val="32"/>
          <w:highlight w:val="none"/>
          <w:lang w:eastAsia="zh-CN"/>
        </w:rPr>
        <w:t>国有资本经营预算财政拨款支出决算表</w:t>
      </w:r>
    </w:p>
    <w:p w14:paraId="361F212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9" w:name="_Toc15396631"/>
      <w:r>
        <w:rPr>
          <w:rFonts w:hint="eastAsia" w:ascii="Times New Roman" w:hAnsi="Times New Roman" w:eastAsia="仿宋_GB2312" w:cs="仿宋_GB2312"/>
          <w:color w:val="auto"/>
          <w:sz w:val="32"/>
          <w:szCs w:val="32"/>
          <w:highlight w:val="none"/>
        </w:rPr>
        <w:t>十三、</w:t>
      </w:r>
      <w:bookmarkEnd w:id="59"/>
      <w:r>
        <w:rPr>
          <w:rFonts w:hint="eastAsia" w:ascii="Times New Roman" w:hAnsi="Times New Roman" w:eastAsia="仿宋_GB2312" w:cs="仿宋_GB2312"/>
          <w:color w:val="auto"/>
          <w:sz w:val="32"/>
          <w:szCs w:val="32"/>
          <w:highlight w:val="none"/>
          <w:lang w:eastAsia="zh-CN"/>
        </w:rPr>
        <w:t>财政拨款“三公”经费支出决算表</w:t>
      </w:r>
    </w:p>
    <w:p w14:paraId="60300141">
      <w:pPr>
        <w:rPr>
          <w:rFonts w:hint="eastAsia" w:ascii="Times New Roman" w:hAnsi="Times New Roman"/>
          <w:lang w:eastAsia="zh-CN"/>
        </w:rPr>
      </w:pPr>
    </w:p>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国标仿宋"/>
    <w:panose1 w:val="00000000000000000000"/>
    <w:charset w:val="00"/>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39912">
    <w:pPr>
      <w:pStyle w:val="11"/>
      <w:jc w:val="center"/>
    </w:pPr>
  </w:p>
  <w:p w14:paraId="40D3B3F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BBD28">
    <w:pPr>
      <w:pStyle w:val="11"/>
      <w:jc w:val="center"/>
    </w:pPr>
  </w:p>
  <w:p w14:paraId="6028A33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94CDD">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8A317">
    <w:pPr>
      <w:pStyle w:val="11"/>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1C535">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FE1C535">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79EF75BA">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044A0">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BF11D">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6EBF11D">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AA170">
    <w:pPr>
      <w:pStyle w:val="1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25E6D">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9025E6D">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23277910">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0B79E">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0C025">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230C025">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A3A19">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B0C6C"/>
    <w:multiLevelType w:val="singleLevel"/>
    <w:tmpl w:val="CDBB0C6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213AC9"/>
    <w:rsid w:val="0CA8290A"/>
    <w:rsid w:val="0D35B1ED"/>
    <w:rsid w:val="0E254B6B"/>
    <w:rsid w:val="0F98263C"/>
    <w:rsid w:val="0FB6788B"/>
    <w:rsid w:val="101860EC"/>
    <w:rsid w:val="101F47CC"/>
    <w:rsid w:val="10C055FF"/>
    <w:rsid w:val="11694EBD"/>
    <w:rsid w:val="11772AA4"/>
    <w:rsid w:val="118107EC"/>
    <w:rsid w:val="12E24EE2"/>
    <w:rsid w:val="13436839"/>
    <w:rsid w:val="134F777C"/>
    <w:rsid w:val="13D50BC4"/>
    <w:rsid w:val="14B17F78"/>
    <w:rsid w:val="165E0673"/>
    <w:rsid w:val="16B831D5"/>
    <w:rsid w:val="16BB723D"/>
    <w:rsid w:val="17E50567"/>
    <w:rsid w:val="186504BB"/>
    <w:rsid w:val="194B6448"/>
    <w:rsid w:val="19A445FC"/>
    <w:rsid w:val="1B4548E5"/>
    <w:rsid w:val="1BE8440E"/>
    <w:rsid w:val="1D155CEE"/>
    <w:rsid w:val="1D1638FE"/>
    <w:rsid w:val="1E312DEB"/>
    <w:rsid w:val="1E740ACF"/>
    <w:rsid w:val="1ED51B87"/>
    <w:rsid w:val="1FDC5D5D"/>
    <w:rsid w:val="1FF35744"/>
    <w:rsid w:val="1FF6BC77"/>
    <w:rsid w:val="210332F7"/>
    <w:rsid w:val="2186353C"/>
    <w:rsid w:val="231B3DF4"/>
    <w:rsid w:val="23860B96"/>
    <w:rsid w:val="23EF241D"/>
    <w:rsid w:val="240371BF"/>
    <w:rsid w:val="244F3473"/>
    <w:rsid w:val="24B80EEA"/>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182F48"/>
    <w:rsid w:val="30AB6865"/>
    <w:rsid w:val="31137A25"/>
    <w:rsid w:val="31261272"/>
    <w:rsid w:val="319F7F4E"/>
    <w:rsid w:val="32BD1EF1"/>
    <w:rsid w:val="3304709D"/>
    <w:rsid w:val="33A773CB"/>
    <w:rsid w:val="349D6851"/>
    <w:rsid w:val="36AA5135"/>
    <w:rsid w:val="36BE0DA7"/>
    <w:rsid w:val="376B6AA6"/>
    <w:rsid w:val="376D39B2"/>
    <w:rsid w:val="37E16F03"/>
    <w:rsid w:val="37F53A3B"/>
    <w:rsid w:val="389B6C89"/>
    <w:rsid w:val="38AE31B9"/>
    <w:rsid w:val="38D469F0"/>
    <w:rsid w:val="39627CCD"/>
    <w:rsid w:val="397BAF1F"/>
    <w:rsid w:val="3AB79AF3"/>
    <w:rsid w:val="3AE834C0"/>
    <w:rsid w:val="3B7EF35A"/>
    <w:rsid w:val="3B9FDB6C"/>
    <w:rsid w:val="3BF5BC2F"/>
    <w:rsid w:val="3CEBA265"/>
    <w:rsid w:val="3D98207C"/>
    <w:rsid w:val="3DEE7CF3"/>
    <w:rsid w:val="3E3D0815"/>
    <w:rsid w:val="3E740A63"/>
    <w:rsid w:val="3E78745D"/>
    <w:rsid w:val="3EE17838"/>
    <w:rsid w:val="3F55381A"/>
    <w:rsid w:val="3F7F7599"/>
    <w:rsid w:val="3FF4CAE0"/>
    <w:rsid w:val="3FF7B227"/>
    <w:rsid w:val="423474F1"/>
    <w:rsid w:val="44E268DA"/>
    <w:rsid w:val="450D13D7"/>
    <w:rsid w:val="45506656"/>
    <w:rsid w:val="486A6C7A"/>
    <w:rsid w:val="4A627F82"/>
    <w:rsid w:val="4B0E749A"/>
    <w:rsid w:val="4B2477C4"/>
    <w:rsid w:val="4B4F25DA"/>
    <w:rsid w:val="4BE068DB"/>
    <w:rsid w:val="4C8B5697"/>
    <w:rsid w:val="4D577224"/>
    <w:rsid w:val="4D9B75AC"/>
    <w:rsid w:val="4DBF1CEB"/>
    <w:rsid w:val="4DF0007C"/>
    <w:rsid w:val="4EAB630A"/>
    <w:rsid w:val="4ECE2238"/>
    <w:rsid w:val="4F833267"/>
    <w:rsid w:val="4FE9BD67"/>
    <w:rsid w:val="4FFB052F"/>
    <w:rsid w:val="502F4C40"/>
    <w:rsid w:val="528467CE"/>
    <w:rsid w:val="52F80BAD"/>
    <w:rsid w:val="537E6D0A"/>
    <w:rsid w:val="53F74C96"/>
    <w:rsid w:val="55170BA8"/>
    <w:rsid w:val="553218C9"/>
    <w:rsid w:val="55877FC6"/>
    <w:rsid w:val="567E1AA5"/>
    <w:rsid w:val="56E47B74"/>
    <w:rsid w:val="57175D52"/>
    <w:rsid w:val="57A4136E"/>
    <w:rsid w:val="57BD3DD4"/>
    <w:rsid w:val="58507E4A"/>
    <w:rsid w:val="58BB464A"/>
    <w:rsid w:val="58C03626"/>
    <w:rsid w:val="5AF92295"/>
    <w:rsid w:val="5B250254"/>
    <w:rsid w:val="5BDD79E6"/>
    <w:rsid w:val="5BF561CA"/>
    <w:rsid w:val="5BFF5DFC"/>
    <w:rsid w:val="5CD71FC4"/>
    <w:rsid w:val="5D1F11B5"/>
    <w:rsid w:val="5D695134"/>
    <w:rsid w:val="5DAE1B18"/>
    <w:rsid w:val="5DE7D9E5"/>
    <w:rsid w:val="5ECEC941"/>
    <w:rsid w:val="5F2C1C15"/>
    <w:rsid w:val="5FBF9FF3"/>
    <w:rsid w:val="5FCD4E2C"/>
    <w:rsid w:val="5FEF394A"/>
    <w:rsid w:val="5FF67715"/>
    <w:rsid w:val="60D22077"/>
    <w:rsid w:val="62BF3928"/>
    <w:rsid w:val="63B3701E"/>
    <w:rsid w:val="647F5392"/>
    <w:rsid w:val="65C9784D"/>
    <w:rsid w:val="65E66580"/>
    <w:rsid w:val="664B1D71"/>
    <w:rsid w:val="664B4E8E"/>
    <w:rsid w:val="67277B67"/>
    <w:rsid w:val="67AA3209"/>
    <w:rsid w:val="698D0931"/>
    <w:rsid w:val="6A7FE5F3"/>
    <w:rsid w:val="6ADC556D"/>
    <w:rsid w:val="6B053271"/>
    <w:rsid w:val="6BDD78B3"/>
    <w:rsid w:val="6C0234D9"/>
    <w:rsid w:val="6C26183A"/>
    <w:rsid w:val="6C4A05C8"/>
    <w:rsid w:val="6C8742B8"/>
    <w:rsid w:val="6DB371CF"/>
    <w:rsid w:val="6DBF5E93"/>
    <w:rsid w:val="6DFF077E"/>
    <w:rsid w:val="6E714EF0"/>
    <w:rsid w:val="6E7E3605"/>
    <w:rsid w:val="6E7FDCC7"/>
    <w:rsid w:val="6ED6A62E"/>
    <w:rsid w:val="6EE00B15"/>
    <w:rsid w:val="6F244C95"/>
    <w:rsid w:val="6F6FB3EB"/>
    <w:rsid w:val="6F8731EA"/>
    <w:rsid w:val="6FCE6052"/>
    <w:rsid w:val="6FD57C00"/>
    <w:rsid w:val="6FEFFFD8"/>
    <w:rsid w:val="6FF5CC65"/>
    <w:rsid w:val="6FF7F346"/>
    <w:rsid w:val="6FFB47EC"/>
    <w:rsid w:val="6FFF034A"/>
    <w:rsid w:val="70484440"/>
    <w:rsid w:val="711557D2"/>
    <w:rsid w:val="712A28F1"/>
    <w:rsid w:val="715C0E4B"/>
    <w:rsid w:val="71992E7C"/>
    <w:rsid w:val="72233669"/>
    <w:rsid w:val="72734D90"/>
    <w:rsid w:val="72CA1957"/>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7E5622B"/>
    <w:rsid w:val="783E271A"/>
    <w:rsid w:val="78616DE9"/>
    <w:rsid w:val="78E875D7"/>
    <w:rsid w:val="79086DAD"/>
    <w:rsid w:val="792E3438"/>
    <w:rsid w:val="79D7FD79"/>
    <w:rsid w:val="79EE5BA4"/>
    <w:rsid w:val="7A037EE9"/>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B79C7"/>
    <w:rsid w:val="7F6E0135"/>
    <w:rsid w:val="7F79F205"/>
    <w:rsid w:val="7FA30C79"/>
    <w:rsid w:val="7FA79C44"/>
    <w:rsid w:val="7FAF8ABF"/>
    <w:rsid w:val="7FB7269E"/>
    <w:rsid w:val="7FC96657"/>
    <w:rsid w:val="7FDA9588"/>
    <w:rsid w:val="7FDF220F"/>
    <w:rsid w:val="7FEDC5F7"/>
    <w:rsid w:val="7FEDD9DE"/>
    <w:rsid w:val="7FF5890D"/>
    <w:rsid w:val="7FF93490"/>
    <w:rsid w:val="7FFDB97A"/>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54016913319239"/>
          <c:y val="0.0849349039057656"/>
          <c:w val="0.754360465116279"/>
          <c:h val="0.846042570779087"/>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154.85</c:v>
                </c:pt>
                <c:pt idx="1">
                  <c:v>154.85</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179.76</c:v>
                </c:pt>
                <c:pt idx="1">
                  <c:v>179.76</c:v>
                </c:pt>
              </c:numCache>
            </c:numRef>
          </c:val>
        </c:ser>
        <c:dLbls>
          <c:showLegendKey val="0"/>
          <c:showVal val="0"/>
          <c:showCatName val="0"/>
          <c:showSerName val="0"/>
          <c:showPercent val="0"/>
          <c:showBubbleSize val="0"/>
        </c:dLbls>
        <c:gapWidth val="150"/>
        <c:axId val="286892032"/>
        <c:axId val="286893952"/>
      </c:barChart>
      <c:catAx>
        <c:axId val="2868920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6893952"/>
        <c:crosses val="autoZero"/>
        <c:auto val="1"/>
        <c:lblAlgn val="ctr"/>
        <c:lblOffset val="100"/>
        <c:noMultiLvlLbl val="0"/>
      </c:catAx>
      <c:valAx>
        <c:axId val="2868939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68920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68053cf-d3da-4c7f-9c72-1f89c51b7936}"/>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2024年收入</c:v>
                </c:pt>
              </c:strCache>
            </c:strRef>
          </c:tx>
          <c:explosion val="0"/>
          <c:dPt>
            <c:idx val="0"/>
            <c:bubble3D val="0"/>
          </c:dPt>
          <c:dPt>
            <c:idx val="1"/>
            <c:bubble3D val="0"/>
          </c:dPt>
          <c:dPt>
            <c:idx val="2"/>
            <c:bubble3D val="0"/>
          </c:dPt>
          <c:dPt>
            <c:idx val="3"/>
            <c:bubble3D val="0"/>
          </c:dPt>
          <c:dLbls>
            <c:dLbl>
              <c:idx val="1"/>
              <c:layout>
                <c:manualLayout>
                  <c:x val="0.000737311279275709"/>
                  <c:y val="-0.053324498854305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806125063474567"/>
                  <c:y val="-0.033142313759169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93270070348398"/>
                  <c:y val="-0.0083441567634044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财政拨款收入</c:v>
                </c:pt>
                <c:pt idx="1">
                  <c:v>事业收入</c:v>
                </c:pt>
                <c:pt idx="2">
                  <c:v>经营收入</c:v>
                </c:pt>
                <c:pt idx="3">
                  <c:v>其他收入</c:v>
                </c:pt>
              </c:strCache>
            </c:strRef>
          </c:cat>
          <c:val>
            <c:numRef>
              <c:f>Sheet1!$B$2:$B$5</c:f>
              <c:numCache>
                <c:formatCode>General</c:formatCode>
                <c:ptCount val="4"/>
                <c:pt idx="0">
                  <c:v>1548516.25</c:v>
                </c:pt>
                <c:pt idx="1">
                  <c:v>0</c:v>
                </c:pt>
                <c:pt idx="2">
                  <c:v>0</c:v>
                </c:pt>
                <c:pt idx="3">
                  <c:v>0</c:v>
                </c:pt>
              </c:numCache>
            </c:numRef>
          </c:val>
        </c:ser>
        <c:dLbls>
          <c:showLegendKey val="0"/>
          <c:showVal val="0"/>
          <c:showCatName val="0"/>
          <c:showSerName val="0"/>
          <c:showPercent val="0"/>
          <c:showBubbleSize val="0"/>
        </c:dLbls>
      </c:pie3DChart>
      <c:spPr>
        <a:noFill/>
        <a:ln w="25400">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6f99f59-ad7f-4f5a-8c8c-0e6588ad9b2c}"/>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2024年支出</c:v>
                </c:pt>
              </c:strCache>
            </c:strRef>
          </c:tx>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1447249.6</c:v>
                </c:pt>
                <c:pt idx="1">
                  <c:v>101266.65</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866e5e3-d66c-41e0-9e89-7c0bf48e2cfe}"/>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154.85</c:v>
                </c:pt>
                <c:pt idx="1">
                  <c:v>154.85</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179.76</c:v>
                </c:pt>
                <c:pt idx="1">
                  <c:v>179.76</c:v>
                </c:pt>
              </c:numCache>
            </c:numRef>
          </c:val>
        </c:ser>
        <c:dLbls>
          <c:showLegendKey val="0"/>
          <c:showVal val="0"/>
          <c:showCatName val="0"/>
          <c:showSerName val="0"/>
          <c:showPercent val="0"/>
          <c:showBubbleSize val="0"/>
        </c:dLbls>
        <c:gapWidth val="150"/>
        <c:axId val="286892032"/>
        <c:axId val="286893952"/>
      </c:barChart>
      <c:catAx>
        <c:axId val="2868920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6893952"/>
        <c:crosses val="autoZero"/>
        <c:auto val="1"/>
        <c:lblAlgn val="ctr"/>
        <c:lblOffset val="100"/>
        <c:noMultiLvlLbl val="0"/>
      </c:catAx>
      <c:valAx>
        <c:axId val="2868939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68920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68053cf-d3da-4c7f-9c72-1f89c51b7936}"/>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2024年</c:v>
                </c:pt>
                <c:pt idx="1">
                  <c:v>2023年</c:v>
                </c:pt>
              </c:strCache>
            </c:strRef>
          </c:cat>
          <c:val>
            <c:numRef>
              <c:f>Sheet1!$B$2:$B$3</c:f>
              <c:numCache>
                <c:formatCode>General</c:formatCode>
                <c:ptCount val="2"/>
                <c:pt idx="0">
                  <c:v>154.85</c:v>
                </c:pt>
                <c:pt idx="1">
                  <c:v>179.76</c:v>
                </c:pt>
              </c:numCache>
            </c:numRef>
          </c:val>
        </c:ser>
        <c:dLbls>
          <c:showLegendKey val="0"/>
          <c:showVal val="0"/>
          <c:showCatName val="0"/>
          <c:showSerName val="0"/>
          <c:showPercent val="0"/>
          <c:showBubbleSize val="0"/>
        </c:dLbls>
        <c:gapWidth val="150"/>
        <c:axId val="252222464"/>
        <c:axId val="252224256"/>
      </c:barChart>
      <c:catAx>
        <c:axId val="2522224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52224256"/>
        <c:crosses val="autoZero"/>
        <c:auto val="1"/>
        <c:lblAlgn val="ctr"/>
        <c:lblOffset val="100"/>
        <c:noMultiLvlLbl val="0"/>
      </c:catAx>
      <c:valAx>
        <c:axId val="2522242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522224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e49d07e-e99c-4a83-bae0-a82a2b345127}"/>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2024年支出</c:v>
                </c:pt>
              </c:strCache>
            </c:strRef>
          </c:tx>
          <c:explosion val="0"/>
          <c:dPt>
            <c:idx val="0"/>
            <c:bubble3D val="0"/>
          </c:dPt>
          <c:dPt>
            <c:idx val="1"/>
            <c:bubble3D val="0"/>
          </c:dPt>
          <c:dPt>
            <c:idx val="2"/>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342001.77</c:v>
                </c:pt>
                <c:pt idx="1">
                  <c:v>1113279.48</c:v>
                </c:pt>
                <c:pt idx="2">
                  <c:v>93235</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14ab6ad-c28c-4834-9659-4421963e2d62}"/>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675</Words>
  <Characters>686</Characters>
  <Lines>61</Lines>
  <Paragraphs>17</Paragraphs>
  <TotalTime>38</TotalTime>
  <ScaleCrop>false</ScaleCrop>
  <LinksUpToDate>false</LinksUpToDate>
  <CharactersWithSpaces>695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user</cp:lastModifiedBy>
  <cp:lastPrinted>2025-08-07T09:34:00Z</cp:lastPrinted>
  <dcterms:modified xsi:type="dcterms:W3CDTF">2025-10-27T10:52:32Z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574CBB76F6D0413E8100555B1CB6C72D_13</vt:lpwstr>
  </property>
  <property fmtid="{D5CDD505-2E9C-101B-9397-08002B2CF9AE}" pid="4" name="KSOTemplateDocerSaveRecord">
    <vt:lpwstr>eyJoZGlkIjoiMzBjY2U5ZjFiNGUzNzI1ZTBhZTVmMjhmOTQ4ZDcyODMiLCJ1c2VySWQiOiI3NTYxMDE5MzkifQ==</vt:lpwstr>
  </property>
</Properties>
</file>