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C216F">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96597"/>
      <w:bookmarkStart w:id="2" w:name="_Toc15377193"/>
      <w:bookmarkStart w:id="3" w:name="_Toc15378441"/>
      <w:bookmarkStart w:id="4" w:name="_Toc15396475"/>
      <w:bookmarkStart w:id="5" w:name="_Toc15306267"/>
    </w:p>
    <w:p w14:paraId="159A4313">
      <w:pPr>
        <w:pStyle w:val="2"/>
        <w:rPr>
          <w:rFonts w:hint="eastAsia" w:ascii="Times New Roman" w:hAnsi="Times New Roman" w:eastAsia="方正小标宋简体" w:cs="Times New Roman"/>
          <w:color w:val="auto"/>
          <w:kern w:val="2"/>
          <w:sz w:val="72"/>
          <w:szCs w:val="72"/>
          <w:highlight w:val="none"/>
          <w:lang w:val="en-US" w:eastAsia="zh-CN" w:bidi="ar-SA"/>
        </w:rPr>
      </w:pPr>
    </w:p>
    <w:p w14:paraId="1F6C5B8E">
      <w:pPr>
        <w:rPr>
          <w:rFonts w:ascii="Times New Roman" w:hAnsi="Times New Roman"/>
        </w:rPr>
      </w:pPr>
    </w:p>
    <w:p w14:paraId="77DE0FEF">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035B4B3F">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357752E3">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3F65CEB3">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7C445995">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p>
    <w:p w14:paraId="130E9110">
      <w:pPr>
        <w:adjustRightInd w:val="0"/>
        <w:snapToGrid w:val="0"/>
        <w:spacing w:line="360" w:lineRule="auto"/>
        <w:jc w:val="center"/>
        <w:outlineLvl w:val="0"/>
        <w:rPr>
          <w:rFonts w:hint="eastAsia" w:ascii="方正小标宋简体" w:hAnsi="宋体" w:eastAsia="方正小标宋简体"/>
          <w:sz w:val="72"/>
          <w:szCs w:val="72"/>
          <w:lang w:eastAsia="zh-CN"/>
        </w:rPr>
      </w:pPr>
      <w:r>
        <w:rPr>
          <w:rFonts w:hint="eastAsia" w:ascii="方正小标宋简体" w:hAnsi="宋体" w:eastAsia="方正小标宋简体"/>
          <w:sz w:val="72"/>
          <w:szCs w:val="72"/>
          <w:lang w:eastAsia="zh-CN"/>
        </w:rPr>
        <w:t>盐边县桐子林卫生院</w:t>
      </w:r>
    </w:p>
    <w:p w14:paraId="42F3F8F8">
      <w:pPr>
        <w:widowControl/>
        <w:jc w:val="center"/>
        <w:rPr>
          <w:rFonts w:hint="eastAsia" w:ascii="方正小标宋简体" w:hAnsi="宋体" w:eastAsia="方正小标宋简体"/>
          <w:sz w:val="72"/>
          <w:szCs w:val="72"/>
          <w:lang w:eastAsia="zh-CN"/>
        </w:rPr>
        <w:sectPr>
          <w:headerReference r:id="rId3" w:type="default"/>
          <w:pgSz w:w="11906" w:h="16838"/>
          <w:pgMar w:top="1440" w:right="1800" w:bottom="1440" w:left="1800" w:header="851" w:footer="992" w:gutter="0"/>
          <w:pgNumType w:fmt="decimal" w:start="1"/>
          <w:cols w:space="425" w:num="1"/>
          <w:titlePg/>
          <w:docGrid w:type="lines" w:linePitch="312" w:charSpace="0"/>
        </w:sectPr>
      </w:pPr>
      <w:r>
        <w:rPr>
          <w:rFonts w:hint="eastAsia" w:ascii="方正小标宋简体" w:hAnsi="宋体" w:eastAsia="方正小标宋简体"/>
          <w:sz w:val="72"/>
          <w:szCs w:val="72"/>
        </w:rPr>
        <w:t>单位</w:t>
      </w:r>
      <w:r>
        <w:rPr>
          <w:rFonts w:hint="eastAsia" w:ascii="方正小标宋简体" w:hAnsi="宋体" w:eastAsia="方正小标宋简体"/>
          <w:sz w:val="72"/>
          <w:szCs w:val="72"/>
          <w:lang w:eastAsia="zh-CN"/>
        </w:rPr>
        <w:t>决算</w:t>
      </w:r>
      <w:r>
        <w:rPr>
          <w:rFonts w:hint="eastAsia" w:ascii="方正小标宋简体" w:hAnsi="宋体" w:eastAsia="方正小标宋简体"/>
          <w:sz w:val="72"/>
          <w:szCs w:val="72"/>
        </w:rPr>
        <w:t>公开</w:t>
      </w:r>
      <w:r>
        <w:rPr>
          <w:rFonts w:hint="eastAsia" w:ascii="方正小标宋简体" w:hAnsi="宋体" w:eastAsia="方正小标宋简体"/>
          <w:sz w:val="72"/>
          <w:szCs w:val="72"/>
          <w:lang w:eastAsia="zh-CN"/>
        </w:rPr>
        <w:t>编制</w:t>
      </w:r>
      <w:bookmarkStart w:id="61" w:name="_GoBack"/>
      <w:bookmarkEnd w:id="61"/>
      <w:r>
        <w:rPr>
          <w:rFonts w:hint="eastAsia" w:ascii="方正小标宋简体" w:hAnsi="宋体" w:eastAsia="方正小标宋简体"/>
          <w:sz w:val="72"/>
          <w:szCs w:val="72"/>
          <w:lang w:eastAsia="zh-CN"/>
        </w:rPr>
        <w:t>说明</w:t>
      </w:r>
    </w:p>
    <w:p w14:paraId="0D593F1C">
      <w:pPr>
        <w:widowControl/>
        <w:jc w:val="center"/>
        <w:rPr>
          <w:rFonts w:ascii="黑体" w:hAnsi="黑体" w:eastAsia="黑体"/>
          <w:sz w:val="48"/>
          <w:szCs w:val="48"/>
        </w:rPr>
      </w:pPr>
      <w:bookmarkStart w:id="6" w:name="_Toc15377196"/>
      <w:bookmarkStart w:id="7" w:name="_Toc15396599"/>
      <w:r>
        <w:rPr>
          <w:rFonts w:hint="eastAsia" w:ascii="黑体" w:hAnsi="黑体" w:eastAsia="黑体"/>
          <w:sz w:val="48"/>
          <w:szCs w:val="48"/>
        </w:rPr>
        <w:t>目录</w:t>
      </w:r>
    </w:p>
    <w:p w14:paraId="75DD487C">
      <w:pPr>
        <w:widowControl/>
        <w:jc w:val="center"/>
        <w:rPr>
          <w:rFonts w:ascii="黑体" w:hAnsi="黑体" w:eastAsia="黑体" w:cs="Times New Roman"/>
          <w:sz w:val="28"/>
          <w:szCs w:val="28"/>
        </w:rPr>
      </w:pPr>
    </w:p>
    <w:p w14:paraId="4F10823C">
      <w:pPr>
        <w:pStyle w:val="12"/>
        <w:rPr>
          <w:rFonts w:hint="eastAsia" w:ascii="宋体" w:hAnsi="宋体" w:eastAsia="宋体" w:cs="宋体"/>
        </w:rPr>
      </w:pPr>
      <w:r>
        <w:rPr>
          <w:rFonts w:hint="eastAsia" w:ascii="宋体" w:hAnsi="宋体" w:eastAsia="宋体" w:cs="宋体"/>
        </w:rPr>
        <w:t>公开时间：202</w:t>
      </w:r>
      <w:r>
        <w:rPr>
          <w:rFonts w:hint="eastAsia" w:ascii="宋体" w:hAnsi="宋体" w:eastAsia="宋体" w:cs="宋体"/>
          <w:lang w:val="en-US" w:eastAsia="zh-CN"/>
        </w:rPr>
        <w:t>5</w:t>
      </w:r>
      <w:r>
        <w:rPr>
          <w:rFonts w:hint="eastAsia" w:ascii="宋体" w:hAnsi="宋体" w:eastAsia="宋体" w:cs="宋体"/>
        </w:rPr>
        <w:t>年</w:t>
      </w:r>
      <w:r>
        <w:rPr>
          <w:rFonts w:hint="eastAsia" w:ascii="宋体" w:hAnsi="宋体" w:eastAsia="宋体" w:cs="宋体"/>
          <w:lang w:val="en-US" w:eastAsia="zh-CN"/>
        </w:rPr>
        <w:t>10</w:t>
      </w:r>
      <w:r>
        <w:rPr>
          <w:rFonts w:hint="eastAsia" w:ascii="宋体" w:hAnsi="宋体" w:eastAsia="宋体" w:cs="宋体"/>
        </w:rPr>
        <w:t>月</w:t>
      </w:r>
      <w:r>
        <w:rPr>
          <w:rFonts w:hint="eastAsia" w:ascii="宋体" w:hAnsi="宋体" w:eastAsia="宋体" w:cs="宋体"/>
          <w:lang w:val="en-US" w:eastAsia="zh-CN"/>
        </w:rPr>
        <w:t>28</w:t>
      </w:r>
      <w:r>
        <w:rPr>
          <w:rFonts w:hint="eastAsia" w:ascii="宋体" w:hAnsi="宋体" w:eastAsia="宋体" w:cs="宋体"/>
        </w:rPr>
        <w:t>日</w:t>
      </w:r>
    </w:p>
    <w:p w14:paraId="7032F2C0"/>
    <w:p w14:paraId="130FAF86">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第一部分 单位概况</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rPr>
        <w:t>1</w:t>
      </w:r>
    </w:p>
    <w:p w14:paraId="00D09153">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一、主要职责</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1</w:t>
      </w:r>
    </w:p>
    <w:p w14:paraId="17F8E48E">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二、机构设置</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1</w:t>
      </w:r>
    </w:p>
    <w:p w14:paraId="52CBDD20">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rPr>
        <w:t>第二部分 202</w:t>
      </w:r>
      <w:r>
        <w:rPr>
          <w:rFonts w:hint="eastAsia" w:ascii="国标黑体" w:hAnsi="国标黑体" w:eastAsia="国标黑体" w:cs="国标黑体"/>
          <w:sz w:val="32"/>
          <w:szCs w:val="32"/>
          <w:lang w:val="en-US" w:eastAsia="zh-CN"/>
        </w:rPr>
        <w:t>4</w:t>
      </w:r>
      <w:r>
        <w:rPr>
          <w:rFonts w:hint="eastAsia" w:ascii="国标黑体" w:hAnsi="国标黑体" w:eastAsia="国标黑体" w:cs="国标黑体"/>
          <w:sz w:val="32"/>
          <w:szCs w:val="32"/>
        </w:rPr>
        <w:t>年度单位决算情况说明</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lang w:val="en-US" w:eastAsia="zh-CN"/>
        </w:rPr>
        <w:t>2</w:t>
      </w:r>
    </w:p>
    <w:p w14:paraId="63446880">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一、收入支出决算总体情况说明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2</w:t>
      </w:r>
    </w:p>
    <w:p w14:paraId="1AC909A3">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二、收入决算情况说明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2</w:t>
      </w:r>
    </w:p>
    <w:p w14:paraId="31D0BFA5">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三、支出决算情况说明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3</w:t>
      </w:r>
    </w:p>
    <w:p w14:paraId="466E5087">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四、财政拨款收入支出决算总体情况说明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4</w:t>
      </w:r>
    </w:p>
    <w:p w14:paraId="487AF5A9">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五、一般公共预算财政拨款支出决算情况说明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4</w:t>
      </w:r>
    </w:p>
    <w:p w14:paraId="3FF3E84F">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六、一般公共预算财政拨款基本支出决算情况说明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7</w:t>
      </w:r>
    </w:p>
    <w:p w14:paraId="151F60A4">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七、财政拨款“三公”经费支出决算情况说明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8</w:t>
      </w:r>
    </w:p>
    <w:p w14:paraId="5F68FB87">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八、政府性基金预算支出决算情况说明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9</w:t>
      </w:r>
    </w:p>
    <w:p w14:paraId="7E02ACC1">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九、国有资本经营预算支出决算情况说明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9</w:t>
      </w:r>
    </w:p>
    <w:p w14:paraId="78B9F62E">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十、其他重要事项的情况说明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10</w:t>
      </w:r>
    </w:p>
    <w:p w14:paraId="59B5F5F3">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rPr>
        <w:t>第三部分 名词解释</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lang w:val="en-US" w:eastAsia="zh-CN"/>
        </w:rPr>
        <w:t>11</w:t>
      </w:r>
    </w:p>
    <w:p w14:paraId="7061A275">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rPr>
        <w:t>第四部分 附件</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lang w:val="en-US" w:eastAsia="zh-CN"/>
        </w:rPr>
        <w:t>14</w:t>
      </w:r>
    </w:p>
    <w:p w14:paraId="1D4A99ED">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rPr>
        <w:t>第五部分 附表</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lang w:val="en-US" w:eastAsia="zh-CN"/>
        </w:rPr>
        <w:t>15</w:t>
      </w:r>
    </w:p>
    <w:p w14:paraId="302C177A">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一、收入支出决算总表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15</w:t>
      </w:r>
    </w:p>
    <w:p w14:paraId="6D8820D7">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二、收入决算表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15</w:t>
      </w:r>
    </w:p>
    <w:p w14:paraId="66A2A0C3">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三、支出决算表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15</w:t>
      </w:r>
    </w:p>
    <w:p w14:paraId="1AD65394">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四、财政拨款收入支出决算总表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15</w:t>
      </w:r>
    </w:p>
    <w:p w14:paraId="7B2B7B25">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五、财政拨款支出决算明细表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15</w:t>
      </w:r>
    </w:p>
    <w:p w14:paraId="79938048">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六、一般公共预算财政拨款支出决算表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15</w:t>
      </w:r>
    </w:p>
    <w:p w14:paraId="54F252F1">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七、一般公共预算财政拨款支出决算明细表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15</w:t>
      </w:r>
    </w:p>
    <w:p w14:paraId="0A566363">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八、一般公共预算财政拨款基本支出决算明细表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15</w:t>
      </w:r>
    </w:p>
    <w:p w14:paraId="4D6F11E9">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九、一般公共预算财政拨款项目支出决算表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15</w:t>
      </w:r>
    </w:p>
    <w:p w14:paraId="799173F4">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十、政府性基金预算财政拨款收入支出决算表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15</w:t>
      </w:r>
    </w:p>
    <w:p w14:paraId="75C2A895">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十一、国有资本经营预算财政拨款收入支出决算表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15</w:t>
      </w:r>
    </w:p>
    <w:p w14:paraId="1262F31B">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十二、国有资本经营预算财政拨款支出决算表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15</w:t>
      </w:r>
    </w:p>
    <w:p w14:paraId="6767B200">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b w:val="0"/>
          <w:sz w:val="32"/>
          <w:szCs w:val="32"/>
          <w:lang w:val="en-US" w:eastAsia="zh-CN"/>
        </w:rPr>
        <w:sectPr>
          <w:headerReference r:id="rId4" w:type="default"/>
          <w:footerReference r:id="rId5" w:type="default"/>
          <w:pgSz w:w="11906" w:h="16838"/>
          <w:pgMar w:top="1440" w:right="1800" w:bottom="1440" w:left="1800" w:header="851" w:footer="992" w:gutter="0"/>
          <w:pgNumType w:start="1"/>
          <w:cols w:space="720" w:num="1"/>
          <w:titlePg/>
          <w:docGrid w:type="lines" w:linePitch="312" w:charSpace="0"/>
        </w:sectPr>
      </w:pPr>
      <w:r>
        <w:rPr>
          <w:rFonts w:hint="eastAsia" w:ascii="CESI仿宋-GB2312" w:hAnsi="CESI仿宋-GB2312" w:eastAsia="CESI仿宋-GB2312" w:cs="CESI仿宋-GB2312"/>
          <w:sz w:val="32"/>
          <w:szCs w:val="32"/>
        </w:rPr>
        <w:t>十三、财政拨款“三公”经费支出决算表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15</w:t>
      </w:r>
    </w:p>
    <w:p w14:paraId="0D3FC5D0">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val="en-US" w:eastAsia="zh-CN"/>
        </w:rPr>
        <w:t>单位</w:t>
      </w:r>
      <w:r>
        <w:rPr>
          <w:rStyle w:val="28"/>
          <w:rFonts w:hint="eastAsia" w:ascii="Times New Roman" w:hAnsi="Times New Roman" w:eastAsia="方正小标宋简体" w:cs="方正小标宋简体"/>
          <w:b w:val="0"/>
          <w:bCs w:val="0"/>
          <w:color w:val="auto"/>
          <w:highlight w:val="none"/>
        </w:rPr>
        <w:t>概况</w:t>
      </w:r>
      <w:bookmarkEnd w:id="6"/>
      <w:bookmarkEnd w:id="7"/>
    </w:p>
    <w:p w14:paraId="596A39A1">
      <w:pPr>
        <w:widowControl/>
        <w:jc w:val="left"/>
        <w:rPr>
          <w:rFonts w:ascii="Times New Roman" w:hAnsi="Times New Roman" w:eastAsia="黑体"/>
          <w:color w:val="auto"/>
          <w:sz w:val="32"/>
          <w:szCs w:val="32"/>
          <w:highlight w:val="none"/>
        </w:rPr>
      </w:pPr>
    </w:p>
    <w:p w14:paraId="0F29AAF4">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p>
    <w:p w14:paraId="53004C96">
      <w:pPr>
        <w:pageBreakBefore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default" w:ascii="Times New Roman" w:hAnsi="Times New Roman" w:eastAsia="仿宋_GB2312" w:cs="Times New Roman"/>
          <w:bCs/>
          <w:color w:val="000000"/>
          <w:sz w:val="32"/>
          <w:szCs w:val="32"/>
        </w:rPr>
        <w:t>本院是一所以事业单位为性质的乡镇卫生院，主要职能是为人民群众的身体健康提供医疗与预防保健服务。以公共卫生服务为主，提供预防、保健、基本医疗等综合服务。包括常见病、多发病的诊断和治疗，恢复期病人的康复治疗与护理；预防保健 ；卫生技术人员培训；初级卫生保健实施 ；合作医疗组织与管理 ；卫生监督与卫生信息管理。</w:t>
      </w:r>
    </w:p>
    <w:p w14:paraId="30D8E244">
      <w:pPr>
        <w:pStyle w:val="4"/>
        <w:rPr>
          <w:rStyle w:val="29"/>
          <w:rFonts w:ascii="Times New Roman" w:hAnsi="Times New Roman"/>
          <w:b w:val="0"/>
          <w:bCs w:val="0"/>
          <w:color w:val="auto"/>
          <w:highlight w:val="none"/>
        </w:rPr>
      </w:pPr>
      <w:bookmarkStart w:id="8" w:name="_Toc15377200"/>
      <w:bookmarkStart w:id="9" w:name="_Toc1539660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8"/>
      <w:bookmarkEnd w:id="9"/>
    </w:p>
    <w:p w14:paraId="1608ECE5">
      <w:pPr>
        <w:numPr>
          <w:ilvl w:val="0"/>
          <w:numId w:val="0"/>
        </w:numPr>
        <w:ind w:leftChars="0" w:firstLine="736" w:firstLineChars="2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我单位是一所集医疗、预防保健、基本公共卫生服务为一体的二级预算单位。</w:t>
      </w:r>
    </w:p>
    <w:p w14:paraId="718A1909">
      <w:pPr>
        <w:pStyle w:val="2"/>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Times New Roman" w:cs="Times New Roman"/>
          <w:sz w:val="32"/>
          <w:szCs w:val="32"/>
          <w:lang w:val="en-US" w:eastAsia="zh-CN"/>
        </w:rPr>
        <w:tab/>
      </w:r>
      <w:r>
        <w:rPr>
          <w:rFonts w:hint="eastAsia" w:ascii="Times New Roman" w:cs="Times New Roman"/>
          <w:sz w:val="32"/>
          <w:szCs w:val="32"/>
          <w:lang w:val="en-US" w:eastAsia="zh-CN"/>
        </w:rPr>
        <w:tab/>
      </w:r>
      <w:r>
        <w:rPr>
          <w:rFonts w:hint="eastAsia" w:ascii="Times New Roman" w:hAnsi="Times New Roman" w:cs="Times New Roman"/>
          <w:sz w:val="32"/>
          <w:szCs w:val="32"/>
          <w:lang w:val="en-US" w:eastAsia="zh-CN"/>
        </w:rPr>
        <w:t>内部单位机构设置：院长办公室，行政办公室，财务室主任办公室，医疗室。</w:t>
      </w:r>
    </w:p>
    <w:p w14:paraId="4EE31283">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78C1644">
      <w:pPr>
        <w:pStyle w:val="3"/>
        <w:jc w:val="center"/>
        <w:rPr>
          <w:rFonts w:hint="eastAsia" w:ascii="Times New Roman" w:hAnsi="Times New Roman" w:eastAsia="方正小标宋简体" w:cs="方正小标宋简体"/>
          <w:b w:val="0"/>
          <w:color w:val="auto"/>
          <w:highlight w:val="none"/>
        </w:rPr>
      </w:pPr>
      <w:bookmarkStart w:id="10" w:name="_Toc15377204"/>
      <w:bookmarkStart w:id="1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45D0C78E">
      <w:pPr>
        <w:rPr>
          <w:rFonts w:ascii="Times New Roman" w:hAnsi="Times New Roman"/>
          <w:color w:val="auto"/>
          <w:highlight w:val="none"/>
        </w:rPr>
      </w:pPr>
    </w:p>
    <w:p w14:paraId="40D6FF6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2"/>
      <w:bookmarkEnd w:id="13"/>
    </w:p>
    <w:p w14:paraId="6B2C54B6">
      <w:pPr>
        <w:spacing w:line="600" w:lineRule="exact"/>
        <w:ind w:firstLine="640" w:firstLineChars="200"/>
        <w:rPr>
          <w:rFonts w:hint="eastAsia" w:ascii="仿宋" w:hAnsi="仿宋" w:eastAsia="仿宋"/>
          <w:sz w:val="32"/>
          <w:szCs w:val="32"/>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201.83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36.63</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15.36</w:t>
      </w:r>
      <w:r>
        <w:rPr>
          <w:rFonts w:hint="eastAsia" w:ascii="Times New Roman" w:hAnsi="Times New Roman" w:eastAsia="仿宋_GB2312" w:cs="仿宋_GB2312"/>
          <w:color w:val="auto"/>
          <w:sz w:val="32"/>
          <w:szCs w:val="32"/>
          <w:highlight w:val="none"/>
        </w:rPr>
        <w:t>%。</w:t>
      </w:r>
      <w:r>
        <w:rPr>
          <w:rFonts w:hint="eastAsia" w:ascii="仿宋" w:hAnsi="仿宋" w:eastAsia="仿宋"/>
          <w:sz w:val="32"/>
          <w:szCs w:val="32"/>
        </w:rPr>
        <w:t>主要变动原因是</w:t>
      </w:r>
      <w:r>
        <w:rPr>
          <w:rFonts w:hint="eastAsia" w:ascii="仿宋" w:hAnsi="仿宋" w:eastAsia="仿宋"/>
          <w:sz w:val="32"/>
          <w:szCs w:val="32"/>
          <w:lang w:eastAsia="zh-CN"/>
        </w:rPr>
        <w:t>日常开支小幅度变动</w:t>
      </w:r>
      <w:r>
        <w:rPr>
          <w:rFonts w:hint="eastAsia" w:ascii="仿宋" w:hAnsi="仿宋" w:eastAsia="仿宋"/>
          <w:sz w:val="32"/>
          <w:szCs w:val="32"/>
        </w:rPr>
        <w:t>。</w:t>
      </w:r>
    </w:p>
    <w:p w14:paraId="46881637">
      <w:pPr>
        <w:pStyle w:val="2"/>
        <w:rPr>
          <w:rFonts w:hint="eastAsia" w:ascii="Times New Roman" w:hAnsi="Times New Roman" w:eastAsia="仿宋_GB2312" w:cs="仿宋_GB2312"/>
          <w:color w:val="auto"/>
          <w:sz w:val="32"/>
          <w:szCs w:val="32"/>
          <w:highlight w:val="none"/>
          <w:lang w:eastAsia="zh-CN"/>
        </w:rPr>
      </w:pPr>
      <w:r>
        <w:rPr>
          <w:sz w:val="30"/>
        </w:rPr>
        <mc:AlternateContent>
          <mc:Choice Requires="wps">
            <w:drawing>
              <wp:anchor distT="0" distB="0" distL="114300" distR="114300" simplePos="0" relativeHeight="251664384" behindDoc="0" locked="0" layoutInCell="1" allowOverlap="1">
                <wp:simplePos x="0" y="0"/>
                <wp:positionH relativeFrom="column">
                  <wp:posOffset>4098290</wp:posOffset>
                </wp:positionH>
                <wp:positionV relativeFrom="paragraph">
                  <wp:posOffset>490855</wp:posOffset>
                </wp:positionV>
                <wp:extent cx="914400" cy="310515"/>
                <wp:effectExtent l="0" t="0" r="0" b="0"/>
                <wp:wrapNone/>
                <wp:docPr id="14" name="文本框 14"/>
                <wp:cNvGraphicFramePr/>
                <a:graphic xmlns:a="http://schemas.openxmlformats.org/drawingml/2006/main">
                  <a:graphicData uri="http://schemas.microsoft.com/office/word/2010/wordprocessingShape">
                    <wps:wsp>
                      <wps:cNvSpPr txBox="1"/>
                      <wps:spPr>
                        <a:xfrm>
                          <a:off x="5241290" y="3931285"/>
                          <a:ext cx="914400" cy="310515"/>
                        </a:xfrm>
                        <a:prstGeom prst="rect">
                          <a:avLst/>
                        </a:prstGeom>
                        <a:ln w="9525" cap="flat" cmpd="sng" algn="ctr">
                          <a:noFill/>
                          <a:prstDash val="dash"/>
                        </a:ln>
                      </wps:spPr>
                      <wps:style>
                        <a:lnRef idx="0">
                          <a:schemeClr val="accent1"/>
                        </a:lnRef>
                        <a:fillRef idx="0">
                          <a:srgbClr val="FFFFFF"/>
                        </a:fillRef>
                        <a:effectRef idx="0">
                          <a:srgbClr val="FFFFFF"/>
                        </a:effectRef>
                        <a:fontRef idx="minor">
                          <a:schemeClr val="tx1"/>
                        </a:fontRef>
                      </wps:style>
                      <wps:txbx>
                        <w:txbxContent>
                          <w:p w14:paraId="12D9D931">
                            <w:pPr>
                              <w:rPr>
                                <w:rFonts w:hint="default" w:eastAsia="宋体"/>
                                <w:strike/>
                                <w:dstrike w:val="0"/>
                                <w:sz w:val="21"/>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7pt;margin-top:38.65pt;height:24.45pt;width:72pt;z-index:251664384;mso-width-relative:page;mso-height-relative:page;" filled="f" stroked="f" coordsize="21600,21600" o:gfxdata="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aD2mU1gAAAAoBAAAPAAAAAAAAAAEAIAAAACIAAABkcnMvZG93bnJldi54bWxQSwECFAAU&#10;AAAACACHTuJAkqU9C2UCAACsBAAADgAAAAAAAAABACAAAAAlAQAAZHJzL2Uyb0RvYy54bWxQSwUG&#10;AAAAAAYABgBZAQAA/AUAAAAA&#10;">
                <v:fill on="f" focussize="0,0"/>
                <v:stroke on="f" dashstyle="dash"/>
                <v:imagedata o:title=""/>
                <o:lock v:ext="edit" aspectratio="f"/>
                <v:textbox>
                  <w:txbxContent>
                    <w:p w14:paraId="12D9D931">
                      <w:pPr>
                        <w:rPr>
                          <w:rFonts w:hint="default" w:eastAsia="宋体"/>
                          <w:strike/>
                          <w:dstrike w:val="0"/>
                          <w:sz w:val="21"/>
                          <w:lang w:val="en-US" w:eastAsia="zh-CN"/>
                        </w:rPr>
                      </w:pPr>
                      <w:r>
                        <w:rPr>
                          <w:rFonts w:hint="eastAsia"/>
                          <w:lang w:val="en-US" w:eastAsia="zh-CN"/>
                        </w:rPr>
                        <w:t>单位：万元</w:t>
                      </w:r>
                    </w:p>
                  </w:txbxContent>
                </v:textbox>
              </v:shape>
            </w:pict>
          </mc:Fallback>
        </mc:AlternateContent>
      </w:r>
      <w:r>
        <w:rPr>
          <w:rFonts w:hint="eastAsia" w:eastAsia="仿宋"/>
          <w:lang w:eastAsia="zh-CN"/>
        </w:rPr>
        <w:drawing>
          <wp:inline distT="0" distB="0" distL="114300" distR="114300">
            <wp:extent cx="5256530" cy="2988310"/>
            <wp:effectExtent l="5080" t="4445" r="15240" b="17145"/>
            <wp:docPr id="1" name="图表 1" descr="7b0a202020202263686172745265734964223a202232303437363630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240A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48E1CAF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14:paraId="75F6882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201.83万元，其中：一般公共预算财政拨款收入201.83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519D5B9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3947795</wp:posOffset>
                </wp:positionH>
                <wp:positionV relativeFrom="paragraph">
                  <wp:posOffset>67310</wp:posOffset>
                </wp:positionV>
                <wp:extent cx="953770" cy="295910"/>
                <wp:effectExtent l="0" t="0" r="17780" b="8890"/>
                <wp:wrapNone/>
                <wp:docPr id="18" name="文本框 18"/>
                <wp:cNvGraphicFramePr/>
                <a:graphic xmlns:a="http://schemas.openxmlformats.org/drawingml/2006/main">
                  <a:graphicData uri="http://schemas.microsoft.com/office/word/2010/wordprocessingShape">
                    <wps:wsp>
                      <wps:cNvSpPr txBox="1"/>
                      <wps:spPr>
                        <a:xfrm>
                          <a:off x="5590540" y="1092835"/>
                          <a:ext cx="953770" cy="2959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8B10CB4">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85pt;margin-top:5.3pt;height:23.3pt;width:75.1pt;z-index:251665408;mso-width-relative:page;mso-height-relative:page;" fillcolor="#FFFFFF [3201]" filled="t" stroked="f" coordsize="21600,21600" o:gfxdata="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joFjdQA&#10;AAAJAQAADwAAAAAAAAABACAAAAAiAAAAZHJzL2Rvd25yZXYueG1sUEsBAhQAFAAAAAgAh07iQI1m&#10;R/dcAgAAnAQAAA4AAAAAAAAAAQAgAAAAIwEAAGRycy9lMm9Eb2MueG1sUEsFBgAAAAAGAAYAWQEA&#10;APEFAAAAAA==&#10;">
                <v:fill on="t" focussize="0,0"/>
                <v:stroke on="f" weight="0.5pt"/>
                <v:imagedata o:title=""/>
                <o:lock v:ext="edit" aspectratio="f"/>
                <v:textbox>
                  <w:txbxContent>
                    <w:p w14:paraId="68B10CB4">
                      <w:pPr>
                        <w:rPr>
                          <w:rFonts w:hint="default" w:eastAsia="宋体"/>
                          <w:lang w:val="en-US" w:eastAsia="zh-CN"/>
                        </w:rPr>
                      </w:pPr>
                      <w:r>
                        <w:rPr>
                          <w:rFonts w:hint="eastAsia"/>
                          <w:lang w:val="en-US" w:eastAsia="zh-CN"/>
                        </w:rPr>
                        <w:t>单位：万元</w:t>
                      </w:r>
                    </w:p>
                  </w:txbxContent>
                </v:textbox>
              </v:shape>
            </w:pict>
          </mc:Fallback>
        </mc:AlternateContent>
      </w:r>
    </w:p>
    <w:p w14:paraId="1D1EDE0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030926E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2FF088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DE2EC1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B4E283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D45E32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2E630D8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411480</wp:posOffset>
            </wp:positionH>
            <wp:positionV relativeFrom="paragraph">
              <wp:posOffset>-2700655</wp:posOffset>
            </wp:positionV>
            <wp:extent cx="4844415" cy="2821940"/>
            <wp:effectExtent l="4445" t="4445" r="8890" b="1206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767A30E">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2758563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6"/>
      <w:bookmarkEnd w:id="17"/>
    </w:p>
    <w:p w14:paraId="247965E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201.83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142.89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70.79</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58.94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29.2</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2CFCDB4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369570</wp:posOffset>
            </wp:positionH>
            <wp:positionV relativeFrom="paragraph">
              <wp:posOffset>236855</wp:posOffset>
            </wp:positionV>
            <wp:extent cx="4629150" cy="2623185"/>
            <wp:effectExtent l="4445" t="5080" r="14605" b="19685"/>
            <wp:wrapSquare wrapText="bothSides"/>
            <wp:docPr id="13" name="图表 13" descr="7b0a202020202263686172745265734964223a202232303437363838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D2CFC9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6432" behindDoc="0" locked="0" layoutInCell="1" allowOverlap="1">
                <wp:simplePos x="0" y="0"/>
                <wp:positionH relativeFrom="column">
                  <wp:posOffset>3749675</wp:posOffset>
                </wp:positionH>
                <wp:positionV relativeFrom="paragraph">
                  <wp:posOffset>44450</wp:posOffset>
                </wp:positionV>
                <wp:extent cx="890270" cy="351155"/>
                <wp:effectExtent l="0" t="0" r="5080" b="10795"/>
                <wp:wrapNone/>
                <wp:docPr id="19" name="文本框 19"/>
                <wp:cNvGraphicFramePr/>
                <a:graphic xmlns:a="http://schemas.openxmlformats.org/drawingml/2006/main">
                  <a:graphicData uri="http://schemas.microsoft.com/office/word/2010/wordprocessingShape">
                    <wps:wsp>
                      <wps:cNvSpPr txBox="1"/>
                      <wps:spPr>
                        <a:xfrm>
                          <a:off x="5368290" y="6784340"/>
                          <a:ext cx="890270" cy="3511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AF9AB81">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25pt;margin-top:3.5pt;height:27.65pt;width:70.1pt;z-index:251666432;mso-width-relative:page;mso-height-relative:page;" fillcolor="#FFFFFF [3201]" filled="t" stroked="f" coordsize="21600,21600" o:gfxdata="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uWwJB1QAA&#10;AAgBAAAPAAAAAAAAAAEAIAAAACIAAABkcnMvZG93bnJldi54bWxQSwECFAAUAAAACACHTuJANCVd&#10;NFoCAACcBAAADgAAAAAAAAABACAAAAAkAQAAZHJzL2Uyb0RvYy54bWxQSwUGAAAAAAYABgBZAQAA&#10;8AUAAAAA&#10;">
                <v:fill on="t" focussize="0,0"/>
                <v:stroke on="f" weight="0.5pt"/>
                <v:imagedata o:title=""/>
                <o:lock v:ext="edit" aspectratio="f"/>
                <v:textbox>
                  <w:txbxContent>
                    <w:p w14:paraId="2AF9AB81">
                      <w:pPr>
                        <w:rPr>
                          <w:rFonts w:hint="default" w:eastAsia="宋体"/>
                          <w:lang w:val="en-US" w:eastAsia="zh-CN"/>
                        </w:rPr>
                      </w:pPr>
                      <w:r>
                        <w:rPr>
                          <w:rFonts w:hint="eastAsia"/>
                          <w:lang w:val="en-US" w:eastAsia="zh-CN"/>
                        </w:rPr>
                        <w:t>单位：万元</w:t>
                      </w:r>
                    </w:p>
                  </w:txbxContent>
                </v:textbox>
              </v:shape>
            </w:pict>
          </mc:Fallback>
        </mc:AlternateContent>
      </w:r>
    </w:p>
    <w:p w14:paraId="16D28BE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F2DE37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51349C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6FC0AE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2D04BCB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22CC9C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764C1F1">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2F237AE2">
      <w:pPr>
        <w:spacing w:line="600" w:lineRule="exact"/>
        <w:ind w:firstLine="640" w:firstLineChars="200"/>
        <w:outlineLvl w:val="1"/>
        <w:rPr>
          <w:rStyle w:val="29"/>
          <w:rFonts w:ascii="Times New Roman" w:hAnsi="Times New Roman" w:eastAsia="黑体"/>
          <w:b w:val="0"/>
          <w:color w:val="auto"/>
          <w:highlight w:val="none"/>
        </w:rPr>
      </w:pPr>
      <w:bookmarkStart w:id="18" w:name="_Toc15377208"/>
      <w:bookmarkStart w:id="19"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18"/>
      <w:bookmarkEnd w:id="19"/>
    </w:p>
    <w:p w14:paraId="301CCC77">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201.83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25.08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11.05</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卫生健康支出-乡镇卫生院支出减少。</w:t>
      </w:r>
    </w:p>
    <w:p w14:paraId="584D47D8">
      <w:pPr>
        <w:pStyle w:val="2"/>
        <w:rPr>
          <w:rFonts w:hint="eastAsia"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67456" behindDoc="0" locked="0" layoutInCell="1" allowOverlap="1">
                <wp:simplePos x="0" y="0"/>
                <wp:positionH relativeFrom="column">
                  <wp:posOffset>4201795</wp:posOffset>
                </wp:positionH>
                <wp:positionV relativeFrom="paragraph">
                  <wp:posOffset>262255</wp:posOffset>
                </wp:positionV>
                <wp:extent cx="914400" cy="295275"/>
                <wp:effectExtent l="0" t="0" r="0" b="9525"/>
                <wp:wrapNone/>
                <wp:docPr id="20" name="文本框 20"/>
                <wp:cNvGraphicFramePr/>
                <a:graphic xmlns:a="http://schemas.openxmlformats.org/drawingml/2006/main">
                  <a:graphicData uri="http://schemas.microsoft.com/office/word/2010/wordprocessingShape">
                    <wps:wsp>
                      <wps:cNvSpPr txBox="1"/>
                      <wps:spPr>
                        <a:xfrm>
                          <a:off x="5344795" y="2795905"/>
                          <a:ext cx="914400" cy="2952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AA695E5">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85pt;margin-top:20.65pt;height:23.25pt;width:72pt;z-index:251667456;mso-width-relative:page;mso-height-relative:page;" fillcolor="#FFFFFF [3201]" filled="t" stroked="f" coordsize="21600,21600" o:gfxdata="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2dQIDUAAAA&#10;CQEAAA8AAAAAAAAAAQAgAAAAIgAAAGRycy9kb3ducmV2LnhtbFBLAQIUABQAAAAIAIdO4kAPYqj+&#10;WgIAAJwEAAAOAAAAAAAAAAEAIAAAACMBAABkcnMvZTJvRG9jLnhtbFBLBQYAAAAABgAGAFkBAADv&#10;BQAAAAA=&#10;">
                <v:fill on="t" focussize="0,0"/>
                <v:stroke on="f" weight="0.5pt"/>
                <v:imagedata o:title=""/>
                <o:lock v:ext="edit" aspectratio="f"/>
                <v:textbox>
                  <w:txbxContent>
                    <w:p w14:paraId="1AA695E5">
                      <w:pPr>
                        <w:rPr>
                          <w:rFonts w:hint="default" w:eastAsia="宋体"/>
                          <w:lang w:val="en-US" w:eastAsia="zh-CN"/>
                        </w:rPr>
                      </w:pPr>
                      <w:r>
                        <w:rPr>
                          <w:rFonts w:hint="eastAsia"/>
                          <w:lang w:val="en-US" w:eastAsia="zh-CN"/>
                        </w:rPr>
                        <w:t>单位：万元</w:t>
                      </w:r>
                    </w:p>
                  </w:txbxContent>
                </v:textbox>
              </v:shape>
            </w:pict>
          </mc:Fallback>
        </mc:AlternateContent>
      </w:r>
      <w:r>
        <w:rPr>
          <w:rFonts w:hint="eastAsia" w:eastAsia="仿宋_GB2312" w:cs="仿宋_GB2312"/>
          <w:color w:val="auto"/>
          <w:kern w:val="2"/>
          <w:sz w:val="32"/>
          <w:szCs w:val="32"/>
          <w:highlight w:val="none"/>
          <w:lang w:val="en-US" w:eastAsia="zh-CN" w:bidi="ar-SA"/>
        </w:rPr>
        <w:drawing>
          <wp:inline distT="0" distB="0" distL="114300" distR="114300">
            <wp:extent cx="5256530" cy="2988310"/>
            <wp:effectExtent l="5080" t="4445" r="15240" b="1714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79E920">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6A069D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1E4380A">
      <w:pPr>
        <w:spacing w:line="600" w:lineRule="exact"/>
        <w:ind w:firstLine="640" w:firstLineChars="200"/>
        <w:outlineLvl w:val="1"/>
        <w:rPr>
          <w:rStyle w:val="29"/>
          <w:rFonts w:ascii="Times New Roman" w:hAnsi="Times New Roman" w:eastAsia="黑体"/>
          <w:b w:val="0"/>
          <w:color w:val="auto"/>
          <w:highlight w:val="none"/>
        </w:rPr>
      </w:pP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0"/>
      <w:bookmarkEnd w:id="21"/>
    </w:p>
    <w:p w14:paraId="191A430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66284DAC">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201.83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%。与2023年度相比，一般公共预算财政拨款支出减少25.08万元，下降11.05%。</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乡镇卫生院卫生健康支出减少。</w:t>
      </w:r>
    </w:p>
    <w:p w14:paraId="7FF13D8F">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490046EF">
      <w:pPr>
        <w:pStyle w:val="2"/>
        <w:rPr>
          <w:rFonts w:hint="eastAsia" w:ascii="Times New Roman" w:hAnsi="Times New Roman"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68480" behindDoc="0" locked="0" layoutInCell="1" allowOverlap="1">
                <wp:simplePos x="0" y="0"/>
                <wp:positionH relativeFrom="column">
                  <wp:posOffset>4177665</wp:posOffset>
                </wp:positionH>
                <wp:positionV relativeFrom="paragraph">
                  <wp:posOffset>254635</wp:posOffset>
                </wp:positionV>
                <wp:extent cx="914400" cy="335280"/>
                <wp:effectExtent l="0" t="0" r="0" b="7620"/>
                <wp:wrapNone/>
                <wp:docPr id="21" name="文本框 21"/>
                <wp:cNvGraphicFramePr/>
                <a:graphic xmlns:a="http://schemas.openxmlformats.org/drawingml/2006/main">
                  <a:graphicData uri="http://schemas.microsoft.com/office/word/2010/wordprocessingShape">
                    <wps:wsp>
                      <wps:cNvSpPr txBox="1"/>
                      <wps:spPr>
                        <a:xfrm>
                          <a:off x="5320665" y="1692275"/>
                          <a:ext cx="914400" cy="335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2C7F18B">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8.95pt;margin-top:20.05pt;height:26.4pt;width:72pt;z-index:251668480;mso-width-relative:page;mso-height-relative:page;" fillcolor="#FFFFFF [3201]" filled="t" stroked="f" coordsize="21600,21600" o:gfxdata="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uMkmPU&#10;AAAACQEAAA8AAAAAAAAAAQAgAAAAIgAAAGRycy9kb3ducmV2LnhtbFBLAQIUABQAAAAIAIdO4kBN&#10;n9N3XQIAAJwEAAAOAAAAAAAAAAEAIAAAACMBAABkcnMvZTJvRG9jLnhtbFBLBQYAAAAABgAGAFkB&#10;AADyBQAAAAA=&#10;">
                <v:fill on="t" focussize="0,0"/>
                <v:stroke on="f" weight="0.5pt"/>
                <v:imagedata o:title=""/>
                <o:lock v:ext="edit" aspectratio="f"/>
                <v:textbox>
                  <w:txbxContent>
                    <w:p w14:paraId="72C7F18B">
                      <w:pPr>
                        <w:rPr>
                          <w:rFonts w:hint="default" w:eastAsia="宋体"/>
                          <w:lang w:val="en-US" w:eastAsia="zh-CN"/>
                        </w:rPr>
                      </w:pPr>
                      <w:r>
                        <w:rPr>
                          <w:rFonts w:hint="eastAsia"/>
                          <w:lang w:val="en-US" w:eastAsia="zh-CN"/>
                        </w:rPr>
                        <w:t>单位：万元</w:t>
                      </w:r>
                    </w:p>
                  </w:txbxContent>
                </v:textbox>
              </v:shape>
            </w:pict>
          </mc:Fallback>
        </mc:AlternateContent>
      </w: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256530" cy="2988310"/>
            <wp:effectExtent l="5080" t="4445" r="15240" b="17145"/>
            <wp:docPr id="16" name="图表 16" descr="7b0a202020202263686172745265734964223a202232303437363630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DAFD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4163A9D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640AE93F">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201.83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38.65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19.15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153.77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76.19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9.41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4.67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sz w:val="32"/>
        </w:rPr>
        <mc:AlternateContent>
          <mc:Choice Requires="wps">
            <w:drawing>
              <wp:anchor distT="0" distB="0" distL="114300" distR="114300" simplePos="0" relativeHeight="251669504" behindDoc="0" locked="0" layoutInCell="1" allowOverlap="1">
                <wp:simplePos x="0" y="0"/>
                <wp:positionH relativeFrom="column">
                  <wp:posOffset>4670425</wp:posOffset>
                </wp:positionH>
                <wp:positionV relativeFrom="paragraph">
                  <wp:posOffset>310515</wp:posOffset>
                </wp:positionV>
                <wp:extent cx="834390" cy="358775"/>
                <wp:effectExtent l="0" t="0" r="3810" b="3175"/>
                <wp:wrapNone/>
                <wp:docPr id="22" name="文本框 22"/>
                <wp:cNvGraphicFramePr/>
                <a:graphic xmlns:a="http://schemas.openxmlformats.org/drawingml/2006/main">
                  <a:graphicData uri="http://schemas.microsoft.com/office/word/2010/wordprocessingShape">
                    <wps:wsp>
                      <wps:cNvSpPr txBox="1"/>
                      <wps:spPr>
                        <a:xfrm>
                          <a:off x="6098540" y="7883525"/>
                          <a:ext cx="834390" cy="358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55704AF">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7.75pt;margin-top:24.45pt;height:28.25pt;width:65.7pt;z-index:251669504;mso-width-relative:page;mso-height-relative:page;" fillcolor="#FFFFFF [3201]" filled="t" stroked="f" coordsize="21600,21600" o:gfxdata="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mTY&#10;8tUAAAAKAQAADwAAAAAAAAABACAAAAAiAAAAZHJzL2Rvd25yZXYueG1sUEsBAhQAFAAAAAgAh07i&#10;QLE6hx5eAgAAnAQAAA4AAAAAAAAAAQAgAAAAJAEAAGRycy9lMm9Eb2MueG1sUEsFBgAAAAAGAAYA&#10;WQEAAPQFAAAAAA==&#10;">
                <v:fill on="t" focussize="0,0"/>
                <v:stroke on="f" weight="0.5pt"/>
                <v:imagedata o:title=""/>
                <o:lock v:ext="edit" aspectratio="f"/>
                <v:textbox>
                  <w:txbxContent>
                    <w:p w14:paraId="655704AF">
                      <w:pPr>
                        <w:rPr>
                          <w:rFonts w:hint="default" w:eastAsia="宋体"/>
                          <w:lang w:val="en-US" w:eastAsia="zh-CN"/>
                        </w:rPr>
                      </w:pPr>
                      <w:r>
                        <w:rPr>
                          <w:rFonts w:hint="eastAsia"/>
                          <w:lang w:val="en-US" w:eastAsia="zh-CN"/>
                        </w:rPr>
                        <w:t>单位：万元</w:t>
                      </w:r>
                    </w:p>
                  </w:txbxContent>
                </v:textbox>
              </v:shape>
            </w:pict>
          </mc:Fallback>
        </mc:AlternateContent>
      </w:r>
    </w:p>
    <w:p w14:paraId="0D78DA10">
      <w:pPr>
        <w:pStyle w:val="2"/>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213360</wp:posOffset>
            </wp:positionH>
            <wp:positionV relativeFrom="paragraph">
              <wp:posOffset>146050</wp:posOffset>
            </wp:positionV>
            <wp:extent cx="4844415" cy="2790190"/>
            <wp:effectExtent l="4445" t="4445" r="8890" b="5715"/>
            <wp:wrapSquare wrapText="bothSides"/>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49E82B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图</w:t>
      </w:r>
      <w:r>
        <w:rPr>
          <w:rFonts w:hint="eastAsia" w:ascii="Times New Roman" w:hAnsi="Times New Roman" w:eastAsia="仿宋_GB2312" w:cs="仿宋_GB2312"/>
          <w:color w:val="auto"/>
          <w:kern w:val="2"/>
          <w:sz w:val="32"/>
          <w:szCs w:val="32"/>
          <w:highlight w:val="none"/>
          <w:lang w:val="en-US" w:eastAsia="zh-CN" w:bidi="ar-SA"/>
        </w:rPr>
        <w:t>6：一般公共预算财政拨款支出决算结构</w:t>
      </w:r>
    </w:p>
    <w:p w14:paraId="37A50D8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571B7C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213"/>
      <w:bookmarkStart w:id="26" w:name="_Toc15378460"/>
      <w:bookmarkStart w:id="27"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201.83</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2E35F670">
      <w:pPr>
        <w:numPr>
          <w:ilvl w:val="0"/>
          <w:numId w:val="0"/>
        </w:numPr>
        <w:spacing w:line="600" w:lineRule="exact"/>
        <w:ind w:firstLine="640" w:firstLineChars="200"/>
        <w:rPr>
          <w:rStyle w:val="17"/>
          <w:rFonts w:hint="eastAsia" w:ascii="仿宋" w:hAnsi="仿宋" w:eastAsia="仿宋"/>
          <w:b w:val="0"/>
          <w:bCs/>
          <w:sz w:val="32"/>
          <w:szCs w:val="32"/>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Style w:val="17"/>
          <w:rFonts w:hint="eastAsia" w:ascii="仿宋" w:hAnsi="仿宋" w:eastAsia="仿宋"/>
          <w:b w:val="0"/>
          <w:bCs/>
          <w:sz w:val="32"/>
          <w:szCs w:val="32"/>
        </w:rPr>
        <w:t>社会保障和就业支出（类）行政事业单位养老支出（款）事业单位离退休（项）</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22.26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14:paraId="66D461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Style w:val="17"/>
          <w:rFonts w:hint="eastAsia" w:ascii="仿宋" w:hAnsi="仿宋" w:eastAsia="仿宋"/>
          <w:b w:val="0"/>
          <w:bCs/>
          <w:sz w:val="32"/>
          <w:szCs w:val="32"/>
        </w:rPr>
        <w:t>社会保障和就业支出（类）行政事业单位养老支出（款）机关事业单位基本养老保险缴费支出（项）</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12.65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14:paraId="3AF9D9A2">
      <w:pPr>
        <w:pStyle w:val="2"/>
        <w:numPr>
          <w:ilvl w:val="0"/>
          <w:numId w:val="0"/>
        </w:numPr>
        <w:ind w:firstLine="640" w:firstLineChars="200"/>
        <w:rPr>
          <w:rFonts w:hint="eastAsia"/>
          <w:b w:val="0"/>
          <w:bCs/>
          <w:lang w:val="en-US" w:eastAsia="zh-CN"/>
        </w:rPr>
      </w:pPr>
      <w:r>
        <w:rPr>
          <w:rFonts w:hint="eastAsia" w:ascii="Times New Roman" w:hAnsi="Times New Roman" w:eastAsia="仿宋_GB2312" w:cs="仿宋_GB2312"/>
          <w:color w:val="auto"/>
          <w:kern w:val="2"/>
          <w:sz w:val="32"/>
          <w:szCs w:val="32"/>
          <w:highlight w:val="none"/>
          <w:lang w:val="en-US" w:eastAsia="zh-CN" w:bidi="ar-SA"/>
        </w:rPr>
        <w:t>3.</w:t>
      </w:r>
      <w:r>
        <w:rPr>
          <w:rStyle w:val="17"/>
          <w:rFonts w:hint="eastAsia" w:ascii="仿宋" w:hAnsi="仿宋" w:eastAsia="仿宋"/>
          <w:b w:val="0"/>
          <w:bCs/>
          <w:sz w:val="32"/>
          <w:szCs w:val="32"/>
        </w:rPr>
        <w:t>社会保障和就业支出（类）行政事业单位养老支出（款）机关事业单位职业年金缴费支出（项）</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3.74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14:paraId="27DC214D">
      <w:pPr>
        <w:pStyle w:val="2"/>
        <w:numPr>
          <w:ilvl w:val="0"/>
          <w:numId w:val="0"/>
        </w:numPr>
        <w:ind w:firstLine="640" w:firstLineChars="200"/>
        <w:rPr>
          <w:rFonts w:hint="eastAsia"/>
          <w:b w:val="0"/>
          <w:bCs/>
          <w:lang w:val="en-US" w:eastAsia="zh-CN"/>
        </w:rPr>
      </w:pPr>
      <w:r>
        <w:rPr>
          <w:rFonts w:hint="eastAsia" w:ascii="Times New Roman" w:hAnsi="Times New Roman" w:eastAsia="仿宋_GB2312" w:cs="仿宋_GB2312"/>
          <w:color w:val="auto"/>
          <w:kern w:val="2"/>
          <w:sz w:val="32"/>
          <w:szCs w:val="32"/>
          <w:highlight w:val="none"/>
          <w:lang w:val="en-US" w:eastAsia="zh-CN" w:bidi="ar-SA"/>
        </w:rPr>
        <w:t>4.</w:t>
      </w:r>
      <w:r>
        <w:rPr>
          <w:rStyle w:val="17"/>
          <w:rFonts w:hint="eastAsia" w:ascii="仿宋" w:hAnsi="仿宋" w:eastAsia="仿宋"/>
          <w:b w:val="0"/>
          <w:bCs/>
          <w:sz w:val="32"/>
          <w:szCs w:val="32"/>
        </w:rPr>
        <w:t>卫生健康支出（类）基层医疗卫生机构（款）乡镇卫生院（项）</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84.73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14:paraId="70C6CFDA">
      <w:pPr>
        <w:pStyle w:val="2"/>
        <w:numPr>
          <w:ilvl w:val="0"/>
          <w:numId w:val="0"/>
        </w:numPr>
        <w:ind w:firstLine="640" w:firstLineChars="200"/>
        <w:rPr>
          <w:rFonts w:hint="eastAsia"/>
          <w:b w:val="0"/>
          <w:bCs/>
          <w:lang w:val="en-US" w:eastAsia="zh-CN"/>
        </w:rPr>
      </w:pPr>
      <w:r>
        <w:rPr>
          <w:rFonts w:hint="eastAsia" w:ascii="Times New Roman" w:hAnsi="Times New Roman" w:eastAsia="仿宋_GB2312" w:cs="仿宋_GB2312"/>
          <w:color w:val="auto"/>
          <w:kern w:val="2"/>
          <w:sz w:val="32"/>
          <w:szCs w:val="32"/>
          <w:highlight w:val="none"/>
          <w:lang w:val="en-US" w:eastAsia="zh-CN" w:bidi="ar-SA"/>
        </w:rPr>
        <w:t>5.</w:t>
      </w:r>
      <w:r>
        <w:rPr>
          <w:rStyle w:val="17"/>
          <w:rFonts w:hint="eastAsia" w:ascii="仿宋" w:hAnsi="仿宋" w:eastAsia="仿宋"/>
          <w:b w:val="0"/>
          <w:bCs/>
          <w:sz w:val="32"/>
          <w:szCs w:val="32"/>
        </w:rPr>
        <w:t>卫生健康支出（类）基层医疗卫生机构（款）其他基层医疗卫生机构支出（项）</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10.37</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14:paraId="2B9E7DE6">
      <w:pPr>
        <w:pStyle w:val="2"/>
        <w:numPr>
          <w:ilvl w:val="0"/>
          <w:numId w:val="0"/>
        </w:numPr>
        <w:ind w:firstLine="640" w:firstLineChars="200"/>
        <w:rPr>
          <w:rFonts w:hint="eastAsia"/>
          <w:b w:val="0"/>
          <w:bCs/>
          <w:lang w:val="en-US" w:eastAsia="zh-CN"/>
        </w:rPr>
      </w:pPr>
      <w:r>
        <w:rPr>
          <w:rFonts w:hint="eastAsia" w:ascii="Times New Roman" w:hAnsi="Times New Roman" w:eastAsia="仿宋_GB2312" w:cs="仿宋_GB2312"/>
          <w:color w:val="auto"/>
          <w:kern w:val="2"/>
          <w:sz w:val="32"/>
          <w:szCs w:val="32"/>
          <w:highlight w:val="none"/>
          <w:lang w:val="en-US" w:eastAsia="zh-CN" w:bidi="ar-SA"/>
        </w:rPr>
        <w:t>6.</w:t>
      </w:r>
      <w:r>
        <w:rPr>
          <w:rStyle w:val="17"/>
          <w:rFonts w:hint="eastAsia" w:ascii="仿宋" w:hAnsi="仿宋" w:eastAsia="仿宋"/>
          <w:b w:val="0"/>
          <w:bCs/>
          <w:sz w:val="32"/>
          <w:szCs w:val="32"/>
        </w:rPr>
        <w:t>卫生健康支出（类）公共卫生（款）基本公共卫生服务（项）</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48.57</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14:paraId="62CAFA2E">
      <w:pPr>
        <w:pStyle w:val="2"/>
        <w:numPr>
          <w:ilvl w:val="0"/>
          <w:numId w:val="0"/>
        </w:numPr>
        <w:ind w:firstLine="640" w:firstLineChars="200"/>
        <w:rPr>
          <w:rStyle w:val="17"/>
          <w:rFonts w:hint="eastAsia" w:ascii="仿宋" w:hAnsi="仿宋" w:eastAsia="仿宋"/>
          <w:b w:val="0"/>
          <w:bCs/>
          <w:sz w:val="32"/>
          <w:szCs w:val="32"/>
        </w:rPr>
      </w:pPr>
      <w:r>
        <w:rPr>
          <w:rStyle w:val="17"/>
          <w:rFonts w:hint="eastAsia" w:ascii="仿宋" w:hAnsi="仿宋" w:eastAsia="仿宋"/>
          <w:b w:val="0"/>
          <w:bCs/>
          <w:sz w:val="32"/>
          <w:szCs w:val="32"/>
          <w:lang w:val="en-US" w:eastAsia="zh-CN"/>
        </w:rPr>
        <w:t>7.</w:t>
      </w:r>
      <w:r>
        <w:rPr>
          <w:rStyle w:val="17"/>
          <w:rFonts w:hint="eastAsia" w:ascii="仿宋" w:hAnsi="仿宋" w:eastAsia="仿宋"/>
          <w:b w:val="0"/>
          <w:bCs/>
          <w:sz w:val="32"/>
          <w:szCs w:val="32"/>
        </w:rPr>
        <w:t>卫生健康支出（类）行政事业单位医疗（款）事业单位医疗（项）</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6.28</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14:paraId="42A90B48">
      <w:pPr>
        <w:pStyle w:val="2"/>
        <w:numPr>
          <w:ilvl w:val="0"/>
          <w:numId w:val="0"/>
        </w:numPr>
        <w:ind w:firstLine="640" w:firstLineChars="200"/>
        <w:rPr>
          <w:rFonts w:hint="eastAsia"/>
          <w:b w:val="0"/>
          <w:bCs/>
          <w:lang w:val="en-US" w:eastAsia="zh-CN"/>
        </w:rPr>
      </w:pPr>
      <w:r>
        <w:rPr>
          <w:rStyle w:val="17"/>
          <w:rFonts w:hint="eastAsia" w:ascii="仿宋" w:hAnsi="仿宋" w:eastAsia="仿宋"/>
          <w:b w:val="0"/>
          <w:bCs/>
          <w:sz w:val="32"/>
          <w:szCs w:val="32"/>
          <w:lang w:val="en-US" w:eastAsia="zh-CN"/>
        </w:rPr>
        <w:t>8.</w:t>
      </w:r>
      <w:r>
        <w:rPr>
          <w:rStyle w:val="17"/>
          <w:rFonts w:hint="eastAsia" w:ascii="仿宋" w:hAnsi="仿宋" w:eastAsia="仿宋"/>
          <w:b w:val="0"/>
          <w:bCs/>
          <w:sz w:val="32"/>
          <w:szCs w:val="32"/>
        </w:rPr>
        <w:t>卫生健康支出（类）行政事业单位医疗（款）其他行政事业单位医疗支出（项）</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3.82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14:paraId="6C3501F6">
      <w:pPr>
        <w:pStyle w:val="2"/>
        <w:numPr>
          <w:ilvl w:val="0"/>
          <w:numId w:val="0"/>
        </w:numPr>
        <w:ind w:firstLine="640" w:firstLineChars="200"/>
        <w:rPr>
          <w:rStyle w:val="17"/>
          <w:rFonts w:hint="eastAsia" w:ascii="仿宋" w:hAnsi="仿宋" w:eastAsia="仿宋"/>
          <w:b w:val="0"/>
          <w:bCs/>
          <w:sz w:val="32"/>
          <w:szCs w:val="32"/>
        </w:rPr>
      </w:pPr>
      <w:r>
        <w:rPr>
          <w:rStyle w:val="17"/>
          <w:rFonts w:hint="eastAsia" w:ascii="仿宋" w:hAnsi="仿宋" w:eastAsia="仿宋"/>
          <w:b w:val="0"/>
          <w:bCs/>
          <w:sz w:val="32"/>
          <w:szCs w:val="32"/>
          <w:lang w:val="en-US" w:eastAsia="zh-CN"/>
        </w:rPr>
        <w:t>9.</w:t>
      </w:r>
      <w:r>
        <w:rPr>
          <w:rStyle w:val="17"/>
          <w:rFonts w:hint="eastAsia" w:ascii="仿宋" w:hAnsi="仿宋" w:eastAsia="仿宋"/>
          <w:b w:val="0"/>
          <w:bCs/>
          <w:sz w:val="32"/>
          <w:szCs w:val="32"/>
        </w:rPr>
        <w:t>住房保障支出（类）住房改革支出（款）住房公积金（项）</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9.41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14:paraId="3A77AAF8">
      <w:pPr>
        <w:tabs>
          <w:tab w:val="right" w:pos="8306"/>
        </w:tabs>
        <w:spacing w:line="600" w:lineRule="exact"/>
        <w:ind w:firstLine="640"/>
        <w:outlineLvl w:val="1"/>
        <w:rPr>
          <w:rStyle w:val="29"/>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28"/>
      <w:bookmarkEnd w:id="29"/>
      <w:r>
        <w:rPr>
          <w:rStyle w:val="29"/>
          <w:rFonts w:ascii="Times New Roman" w:hAnsi="Times New Roman" w:eastAsia="黑体"/>
          <w:b w:val="0"/>
          <w:color w:val="auto"/>
          <w:highlight w:val="none"/>
        </w:rPr>
        <w:tab/>
      </w:r>
    </w:p>
    <w:p w14:paraId="7EA029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142.89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3713D26">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141.67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元，主要包括：基本工资、津贴补贴、绩效工资、机关事业单位基本养老保险缴费、职业年金缴费、其他社会保障缴费、其他工资福利支出、生活补助、医疗费补助、奖励金、住房公积金</w:t>
      </w:r>
      <w:r>
        <w:rPr>
          <w:rFonts w:hint="eastAsia" w:eastAsia="仿宋_GB2312" w:cs="仿宋_GB2312"/>
          <w:color w:val="auto"/>
          <w:kern w:val="2"/>
          <w:sz w:val="32"/>
          <w:szCs w:val="32"/>
          <w:highlight w:val="none"/>
          <w:lang w:val="en-US" w:eastAsia="zh-CN" w:bidi="ar-SA"/>
        </w:rPr>
        <w:t>等。</w:t>
      </w:r>
    </w:p>
    <w:p w14:paraId="42FBD24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sz w:val="32"/>
          <w:szCs w:val="32"/>
        </w:rPr>
        <w:t>1.22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元，主要包括：维修（护）费、福利费</w:t>
      </w:r>
      <w:r>
        <w:rPr>
          <w:rFonts w:hint="eastAsia" w:eastAsia="仿宋_GB2312" w:cs="仿宋_GB2312"/>
          <w:color w:val="auto"/>
          <w:kern w:val="2"/>
          <w:sz w:val="32"/>
          <w:szCs w:val="32"/>
          <w:highlight w:val="none"/>
          <w:lang w:val="en-US" w:eastAsia="zh-CN" w:bidi="ar-SA"/>
        </w:rPr>
        <w:t>等。</w:t>
      </w:r>
    </w:p>
    <w:p w14:paraId="6D8F6139">
      <w:pPr>
        <w:spacing w:line="600" w:lineRule="exact"/>
        <w:ind w:firstLine="640"/>
        <w:outlineLvl w:val="1"/>
        <w:rPr>
          <w:rStyle w:val="29"/>
          <w:rFonts w:ascii="Times New Roman" w:hAnsi="Times New Roman" w:eastAsia="黑体"/>
          <w:b w:val="0"/>
          <w:color w:val="auto"/>
          <w:highlight w:val="none"/>
        </w:rPr>
      </w:pPr>
      <w:bookmarkStart w:id="30" w:name="_Toc15396609"/>
      <w:bookmarkStart w:id="31"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0"/>
      <w:bookmarkEnd w:id="31"/>
    </w:p>
    <w:p w14:paraId="459188D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3F44E504">
      <w:pPr>
        <w:spacing w:line="600" w:lineRule="exact"/>
        <w:ind w:firstLine="640"/>
        <w:rPr>
          <w:rFonts w:hint="eastAsia" w:ascii="仿宋" w:hAnsi="仿宋" w:eastAsia="仿宋" w:cs="仿宋"/>
          <w:b w:val="0"/>
          <w:bCs w:val="0"/>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 w:hAnsi="仿宋" w:eastAsia="仿宋" w:cs="仿宋"/>
          <w:b w:val="0"/>
          <w:bCs w:val="0"/>
          <w:sz w:val="32"/>
          <w:szCs w:val="32"/>
        </w:rPr>
        <w:t>较上年度持平</w:t>
      </w:r>
      <w:r>
        <w:rPr>
          <w:rFonts w:hint="eastAsia" w:ascii="仿宋" w:hAnsi="仿宋" w:eastAsia="仿宋" w:cs="仿宋"/>
          <w:b w:val="0"/>
          <w:bCs w:val="0"/>
          <w:sz w:val="32"/>
          <w:szCs w:val="32"/>
          <w:lang w:eastAsia="zh-CN"/>
        </w:rPr>
        <w:t>，决算数与预算数持平。</w:t>
      </w:r>
    </w:p>
    <w:p w14:paraId="5B49FE8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4568872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04C7397C">
      <w:pPr>
        <w:numPr>
          <w:ilvl w:val="0"/>
          <w:numId w:val="0"/>
        </w:numPr>
        <w:spacing w:line="600" w:lineRule="exact"/>
        <w:ind w:firstLine="42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14:paraId="0AB07C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 w:hAnsi="仿宋" w:eastAsia="仿宋" w:cs="仿宋"/>
          <w:b w:val="0"/>
          <w:bCs/>
          <w:sz w:val="32"/>
          <w:szCs w:val="32"/>
        </w:rPr>
        <w:t>公务用车购置及运行维护费支出决算比202</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年度</w:t>
      </w:r>
      <w:r>
        <w:rPr>
          <w:rFonts w:hint="eastAsia" w:ascii="仿宋" w:hAnsi="仿宋" w:eastAsia="仿宋" w:cs="仿宋"/>
          <w:b w:val="0"/>
          <w:bCs/>
          <w:sz w:val="32"/>
          <w:szCs w:val="32"/>
          <w:lang w:eastAsia="zh-CN"/>
        </w:rPr>
        <w:t>持平</w:t>
      </w:r>
      <w:r>
        <w:rPr>
          <w:rFonts w:hint="eastAsia" w:ascii="仿宋" w:hAnsi="仿宋" w:eastAsia="仿宋" w:cs="仿宋"/>
          <w:b w:val="0"/>
          <w:bCs/>
          <w:sz w:val="32"/>
          <w:szCs w:val="32"/>
        </w:rPr>
        <w:t>。</w:t>
      </w:r>
    </w:p>
    <w:p w14:paraId="732F3EBF">
      <w:pPr>
        <w:spacing w:line="600" w:lineRule="exact"/>
        <w:ind w:firstLine="640" w:firstLineChars="200"/>
        <w:rPr>
          <w:rFonts w:hint="eastAsia" w:ascii="仿宋" w:hAnsi="仿宋" w:eastAsia="仿宋" w:cs="仿宋"/>
          <w:b/>
          <w:sz w:val="32"/>
          <w:szCs w:val="32"/>
          <w:lang w:eastAsia="zh-CN"/>
        </w:rPr>
      </w:pPr>
      <w:r>
        <w:rPr>
          <w:rFonts w:hint="eastAsia" w:ascii="仿宋" w:hAnsi="仿宋" w:eastAsia="仿宋" w:cs="仿宋"/>
          <w:sz w:val="32"/>
          <w:szCs w:val="32"/>
        </w:rPr>
        <w:t>其中：</w:t>
      </w:r>
      <w:r>
        <w:rPr>
          <w:rFonts w:hint="eastAsia" w:ascii="仿宋" w:hAnsi="仿宋" w:eastAsia="仿宋" w:cs="仿宋"/>
          <w:b/>
          <w:sz w:val="32"/>
          <w:szCs w:val="32"/>
        </w:rPr>
        <w:t>公务用车购置支出</w:t>
      </w:r>
      <w:r>
        <w:rPr>
          <w:rFonts w:hint="eastAsia" w:ascii="仿宋" w:hAnsi="仿宋" w:eastAsia="仿宋" w:cs="仿宋"/>
          <w:b w:val="0"/>
          <w:bCs/>
          <w:sz w:val="32"/>
          <w:szCs w:val="32"/>
        </w:rPr>
        <w:t>0</w:t>
      </w:r>
      <w:r>
        <w:rPr>
          <w:rFonts w:hint="eastAsia" w:ascii="仿宋" w:hAnsi="仿宋" w:eastAsia="仿宋" w:cs="仿宋"/>
          <w:sz w:val="32"/>
          <w:szCs w:val="32"/>
        </w:rPr>
        <w:t>万元。202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年12月31日，单位共有公务用车</w:t>
      </w:r>
      <w:r>
        <w:rPr>
          <w:rFonts w:hint="eastAsia" w:ascii="仿宋" w:hAnsi="仿宋" w:eastAsia="仿宋" w:cs="仿宋"/>
          <w:sz w:val="32"/>
          <w:szCs w:val="32"/>
          <w:lang w:val="en-US" w:eastAsia="zh-CN"/>
        </w:rPr>
        <w:t>0</w:t>
      </w:r>
      <w:r>
        <w:rPr>
          <w:rFonts w:hint="eastAsia" w:ascii="仿宋" w:hAnsi="仿宋" w:eastAsia="仿宋" w:cs="仿宋"/>
          <w:sz w:val="32"/>
          <w:szCs w:val="32"/>
        </w:rPr>
        <w:t>辆</w:t>
      </w:r>
      <w:r>
        <w:rPr>
          <w:rFonts w:hint="eastAsia" w:ascii="仿宋" w:hAnsi="仿宋" w:eastAsia="仿宋" w:cs="仿宋"/>
          <w:sz w:val="32"/>
          <w:szCs w:val="32"/>
          <w:lang w:eastAsia="zh-CN"/>
        </w:rPr>
        <w:t>。</w:t>
      </w:r>
    </w:p>
    <w:p w14:paraId="6CD8ED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712F0219">
      <w:pPr>
        <w:numPr>
          <w:ilvl w:val="0"/>
          <w:numId w:val="2"/>
        </w:numPr>
        <w:spacing w:line="600" w:lineRule="exact"/>
        <w:ind w:firstLine="640"/>
        <w:rPr>
          <w:rStyle w:val="17"/>
          <w:rFonts w:hint="eastAsia" w:ascii="仿宋" w:hAnsi="仿宋" w:eastAsia="仿宋" w:cs="仿宋"/>
          <w:b w:val="0"/>
          <w:bCs/>
          <w:sz w:val="32"/>
          <w:szCs w:val="32"/>
        </w:rPr>
      </w:pPr>
      <w:r>
        <w:rPr>
          <w:rFonts w:hint="eastAsia" w:ascii="仿宋" w:hAnsi="仿宋" w:eastAsia="仿宋" w:cs="仿宋"/>
          <w:b/>
          <w:sz w:val="32"/>
          <w:szCs w:val="32"/>
        </w:rPr>
        <w:t>公务接待费支出</w:t>
      </w:r>
      <w:r>
        <w:rPr>
          <w:rFonts w:hint="eastAsia" w:ascii="仿宋" w:hAnsi="仿宋" w:eastAsia="仿宋" w:cs="仿宋"/>
          <w:b w:val="0"/>
          <w:bCs/>
          <w:sz w:val="32"/>
          <w:szCs w:val="32"/>
        </w:rPr>
        <w:t>0</w:t>
      </w:r>
      <w:r>
        <w:rPr>
          <w:rFonts w:hint="eastAsia" w:ascii="仿宋" w:hAnsi="仿宋" w:eastAsia="仿宋" w:cs="仿宋"/>
          <w:sz w:val="32"/>
          <w:szCs w:val="32"/>
        </w:rPr>
        <w:t>万元，</w:t>
      </w:r>
      <w:r>
        <w:rPr>
          <w:rStyle w:val="17"/>
          <w:rFonts w:hint="eastAsia" w:ascii="仿宋" w:hAnsi="仿宋" w:eastAsia="仿宋" w:cs="仿宋"/>
          <w:b w:val="0"/>
          <w:bCs/>
          <w:sz w:val="32"/>
          <w:szCs w:val="32"/>
        </w:rPr>
        <w:t>完成预算0%。</w:t>
      </w:r>
    </w:p>
    <w:p w14:paraId="1493E481">
      <w:pPr>
        <w:numPr>
          <w:ilvl w:val="0"/>
          <w:numId w:val="2"/>
        </w:num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国内公务接待支出</w:t>
      </w:r>
      <w:r>
        <w:rPr>
          <w:rFonts w:hint="eastAsia" w:ascii="仿宋" w:hAnsi="仿宋" w:eastAsia="仿宋" w:cs="仿宋"/>
          <w:b w:val="0"/>
          <w:bCs/>
          <w:sz w:val="32"/>
          <w:szCs w:val="32"/>
        </w:rPr>
        <w:t>0</w:t>
      </w:r>
      <w:r>
        <w:rPr>
          <w:rFonts w:hint="eastAsia" w:ascii="仿宋" w:hAnsi="仿宋" w:eastAsia="仿宋" w:cs="仿宋"/>
          <w:sz w:val="32"/>
          <w:szCs w:val="32"/>
        </w:rPr>
        <w:t>万元，</w:t>
      </w:r>
    </w:p>
    <w:p w14:paraId="5AE72BA2">
      <w:pPr>
        <w:numPr>
          <w:ilvl w:val="0"/>
          <w:numId w:val="2"/>
        </w:numPr>
        <w:spacing w:line="600" w:lineRule="exact"/>
        <w:ind w:left="0" w:leftChars="0" w:firstLine="640" w:firstLineChars="0"/>
        <w:rPr>
          <w:rFonts w:hint="eastAsia" w:ascii="仿宋" w:hAnsi="仿宋" w:eastAsia="仿宋" w:cs="仿宋"/>
          <w:sz w:val="32"/>
          <w:szCs w:val="32"/>
          <w:lang w:eastAsia="zh-CN"/>
        </w:rPr>
      </w:pPr>
      <w:r>
        <w:rPr>
          <w:rFonts w:hint="eastAsia" w:ascii="仿宋" w:hAnsi="仿宋" w:eastAsia="仿宋" w:cs="仿宋"/>
          <w:b/>
          <w:sz w:val="32"/>
          <w:szCs w:val="32"/>
        </w:rPr>
        <w:t>外事接待支出</w:t>
      </w:r>
      <w:r>
        <w:rPr>
          <w:rFonts w:hint="eastAsia" w:ascii="仿宋" w:hAnsi="仿宋" w:eastAsia="仿宋" w:cs="仿宋"/>
          <w:b w:val="0"/>
          <w:bCs/>
          <w:sz w:val="32"/>
          <w:szCs w:val="32"/>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p>
    <w:p w14:paraId="18F007E2">
      <w:pPr>
        <w:spacing w:line="600" w:lineRule="exact"/>
        <w:ind w:firstLine="640"/>
        <w:outlineLvl w:val="1"/>
        <w:rPr>
          <w:rStyle w:val="29"/>
          <w:rFonts w:ascii="Times New Roman" w:hAnsi="Times New Roman" w:eastAsia="黑体"/>
          <w:color w:val="auto"/>
          <w:highlight w:val="none"/>
        </w:rPr>
      </w:pPr>
      <w:bookmarkStart w:id="34" w:name="_Toc15377218"/>
      <w:bookmarkStart w:id="35" w:name="_Toc15396610"/>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4"/>
      <w:bookmarkEnd w:id="35"/>
    </w:p>
    <w:p w14:paraId="3349B831">
      <w:pPr>
        <w:spacing w:line="600" w:lineRule="exact"/>
        <w:ind w:firstLine="640"/>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71D4F084">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6" w:name="_Toc15377219"/>
      <w:bookmarkStart w:id="37"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6"/>
      <w:bookmarkEnd w:id="37"/>
    </w:p>
    <w:p w14:paraId="35FAF160">
      <w:pPr>
        <w:numPr>
          <w:ilvl w:val="0"/>
          <w:numId w:val="0"/>
        </w:numPr>
        <w:spacing w:line="600" w:lineRule="exact"/>
        <w:ind w:left="630" w:leftChars="0"/>
        <w:outlineLvl w:val="1"/>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bookmarkStart w:id="38" w:name="_Toc15396612"/>
      <w:bookmarkStart w:id="39" w:name="_Toc15377221"/>
    </w:p>
    <w:p w14:paraId="0A5BE2B8">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38"/>
      <w:bookmarkEnd w:id="39"/>
    </w:p>
    <w:p w14:paraId="74E5F48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2A325B43">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盐边县桐子林镇卫生院</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 w:hAnsi="仿宋" w:eastAsia="仿宋" w:cs="仿宋"/>
          <w:b w:val="0"/>
          <w:bCs w:val="0"/>
          <w:sz w:val="32"/>
          <w:szCs w:val="32"/>
          <w:lang w:eastAsia="zh-CN"/>
        </w:rPr>
        <w:t>与</w:t>
      </w:r>
      <w:r>
        <w:rPr>
          <w:rFonts w:hint="eastAsia" w:ascii="仿宋" w:hAnsi="仿宋" w:eastAsia="仿宋" w:cs="仿宋"/>
          <w:b w:val="0"/>
          <w:bCs w:val="0"/>
          <w:sz w:val="32"/>
          <w:szCs w:val="32"/>
          <w:lang w:val="en-US" w:eastAsia="zh-CN"/>
        </w:rPr>
        <w:t>2023年决算数持平</w:t>
      </w:r>
      <w:r>
        <w:rPr>
          <w:rFonts w:hint="eastAsia" w:ascii="仿宋" w:hAnsi="仿宋" w:eastAsia="仿宋" w:cs="仿宋"/>
          <w:b w:val="0"/>
          <w:bCs w:val="0"/>
          <w:sz w:val="32"/>
          <w:szCs w:val="32"/>
        </w:rPr>
        <w:t>。</w:t>
      </w:r>
    </w:p>
    <w:p w14:paraId="5A8D4C9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05528B4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盐边县桐子林镇卫生院</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0EF937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4EF39ED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42B20CFD">
      <w:pPr>
        <w:autoSpaceDE w:val="0"/>
        <w:autoSpaceDN w:val="0"/>
        <w:adjustRightInd w:val="0"/>
        <w:spacing w:line="600" w:lineRule="exact"/>
        <w:ind w:firstLine="640" w:firstLineChars="200"/>
        <w:jc w:val="left"/>
        <w:rPr>
          <w:rFonts w:hint="eastAsia" w:ascii="Times New Roman" w:hAnsi="Times New Roman" w:eastAsia="楷体_GB2312" w:cs="楷体_GB2312"/>
          <w:b/>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盐边县桐子林镇卫生院</w:t>
      </w:r>
      <w:r>
        <w:rPr>
          <w:rFonts w:hint="eastAsia" w:ascii="仿宋_GB2312" w:hAnsi="仿宋_GB2312" w:eastAsia="仿宋_GB2312" w:cs="仿宋_GB2312"/>
          <w:color w:val="auto"/>
          <w:kern w:val="2"/>
          <w:sz w:val="32"/>
          <w:szCs w:val="32"/>
          <w:highlight w:val="none"/>
          <w:lang w:val="en-US" w:eastAsia="zh-CN" w:bidi="ar-SA"/>
        </w:rPr>
        <w:t>共有车辆1辆，</w:t>
      </w:r>
      <w:r>
        <w:rPr>
          <w:rFonts w:hint="eastAsia" w:ascii="仿宋" w:hAnsi="仿宋" w:eastAsia="仿宋" w:cs="仿宋"/>
          <w:b w:val="0"/>
          <w:bCs/>
          <w:sz w:val="32"/>
          <w:szCs w:val="32"/>
        </w:rPr>
        <w:t>其中：其他用车</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辆，其</w:t>
      </w:r>
      <w:r>
        <w:rPr>
          <w:rFonts w:hint="eastAsia" w:ascii="仿宋" w:hAnsi="仿宋" w:eastAsia="仿宋" w:cs="仿宋"/>
          <w:sz w:val="32"/>
          <w:szCs w:val="32"/>
        </w:rPr>
        <w:t>他用车主要是用于</w:t>
      </w:r>
      <w:r>
        <w:rPr>
          <w:rFonts w:hint="eastAsia" w:ascii="仿宋" w:hAnsi="仿宋" w:eastAsia="仿宋" w:cs="仿宋"/>
          <w:sz w:val="32"/>
          <w:szCs w:val="32"/>
          <w:lang w:val="en-US" w:eastAsia="zh-CN"/>
        </w:rPr>
        <w:t>基本公共卫生项目随访工作</w:t>
      </w:r>
      <w:r>
        <w:rPr>
          <w:rFonts w:hint="eastAsia" w:ascii="仿宋" w:hAnsi="仿宋" w:eastAsia="仿宋" w:cs="仿宋"/>
          <w:sz w:val="32"/>
          <w:szCs w:val="32"/>
        </w:rPr>
        <w:t>。单价100万元以上设备（不含车辆）</w:t>
      </w:r>
      <w:r>
        <w:rPr>
          <w:rFonts w:hint="eastAsia" w:ascii="仿宋" w:hAnsi="仿宋" w:eastAsia="仿宋" w:cs="仿宋"/>
          <w:b w:val="0"/>
          <w:bCs/>
          <w:sz w:val="32"/>
          <w:szCs w:val="32"/>
        </w:rPr>
        <w:t>0台（套）。</w:t>
      </w:r>
    </w:p>
    <w:p w14:paraId="1C67BD6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53F70D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default" w:ascii="仿宋" w:hAnsi="仿宋" w:eastAsia="仿宋" w:cs="仿宋"/>
          <w:sz w:val="32"/>
          <w:szCs w:val="32"/>
          <w:lang w:val="en-US" w:eastAsia="zh-CN"/>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w:t>
      </w:r>
      <w:r>
        <w:rPr>
          <w:rFonts w:hint="default" w:ascii="仿宋" w:hAnsi="仿宋" w:eastAsia="仿宋" w:cs="仿宋"/>
          <w:sz w:val="32"/>
          <w:szCs w:val="32"/>
          <w:lang w:val="en-US" w:eastAsia="zh-CN"/>
        </w:rPr>
        <w:t>组织对基本公共卫生服务项目、基本药物补助项目等</w:t>
      </w:r>
      <w:r>
        <w:rPr>
          <w:rFonts w:hint="eastAsia" w:ascii="仿宋" w:hAnsi="仿宋" w:eastAsia="仿宋" w:cs="仿宋"/>
          <w:sz w:val="32"/>
          <w:szCs w:val="32"/>
          <w:lang w:val="en-US" w:eastAsia="zh-CN"/>
        </w:rPr>
        <w:t>19</w:t>
      </w:r>
      <w:r>
        <w:rPr>
          <w:rFonts w:hint="default" w:ascii="仿宋" w:hAnsi="仿宋" w:eastAsia="仿宋" w:cs="仿宋"/>
          <w:sz w:val="32"/>
          <w:szCs w:val="32"/>
          <w:lang w:val="en-US" w:eastAsia="zh-CN"/>
        </w:rPr>
        <w:t>个项目开展了预算事前绩效评估，对</w:t>
      </w:r>
      <w:r>
        <w:rPr>
          <w:rFonts w:hint="eastAsia" w:ascii="仿宋" w:hAnsi="仿宋" w:eastAsia="仿宋" w:cs="仿宋"/>
          <w:sz w:val="32"/>
          <w:szCs w:val="32"/>
          <w:lang w:val="en-US" w:eastAsia="zh-CN"/>
        </w:rPr>
        <w:t>19</w:t>
      </w:r>
      <w:r>
        <w:rPr>
          <w:rFonts w:hint="default" w:ascii="仿宋" w:hAnsi="仿宋" w:eastAsia="仿宋" w:cs="仿宋"/>
          <w:sz w:val="32"/>
          <w:szCs w:val="32"/>
          <w:lang w:val="en-US" w:eastAsia="zh-CN"/>
        </w:rPr>
        <w:t>个项目编制了绩效目标，预算执行过程中，选取</w:t>
      </w:r>
      <w:r>
        <w:rPr>
          <w:rFonts w:hint="eastAsia" w:ascii="仿宋" w:hAnsi="仿宋" w:eastAsia="仿宋" w:cs="仿宋"/>
          <w:sz w:val="32"/>
          <w:szCs w:val="32"/>
          <w:lang w:val="en-US" w:eastAsia="zh-CN"/>
        </w:rPr>
        <w:t>19</w:t>
      </w:r>
      <w:r>
        <w:rPr>
          <w:rFonts w:hint="default" w:ascii="仿宋" w:hAnsi="仿宋" w:eastAsia="仿宋" w:cs="仿宋"/>
          <w:sz w:val="32"/>
          <w:szCs w:val="32"/>
          <w:lang w:val="en-US" w:eastAsia="zh-CN"/>
        </w:rPr>
        <w:t>个项目开展绩效监控,组织对</w:t>
      </w:r>
      <w:r>
        <w:rPr>
          <w:rFonts w:hint="eastAsia" w:ascii="仿宋" w:hAnsi="仿宋" w:eastAsia="仿宋" w:cs="仿宋"/>
          <w:sz w:val="32"/>
          <w:szCs w:val="32"/>
          <w:lang w:val="en-US" w:eastAsia="zh-CN"/>
        </w:rPr>
        <w:t>19</w:t>
      </w:r>
      <w:r>
        <w:rPr>
          <w:rFonts w:hint="default" w:ascii="仿宋" w:hAnsi="仿宋" w:eastAsia="仿宋" w:cs="仿宋"/>
          <w:sz w:val="32"/>
          <w:szCs w:val="32"/>
          <w:lang w:val="en-US" w:eastAsia="zh-CN"/>
        </w:rPr>
        <w:t>项目开展绩效自评，绩效自评表详见第四部分附件。</w:t>
      </w:r>
      <w:r>
        <w:rPr>
          <w:rFonts w:hint="eastAsia" w:ascii="仿宋_GB2312" w:eastAsia="仿宋_GB2312"/>
          <w:sz w:val="32"/>
          <w:szCs w:val="32"/>
        </w:rPr>
        <w:br w:type="page"/>
      </w:r>
    </w:p>
    <w:p w14:paraId="023B51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AC7FF6A">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96613"/>
      <w:bookmarkStart w:id="44"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0A2B87E0">
      <w:pPr>
        <w:spacing w:line="600" w:lineRule="exact"/>
        <w:jc w:val="left"/>
        <w:rPr>
          <w:rFonts w:ascii="Times New Roman" w:hAnsi="Times New Roman"/>
          <w:b/>
          <w:color w:val="auto"/>
          <w:sz w:val="44"/>
          <w:szCs w:val="44"/>
          <w:highlight w:val="none"/>
        </w:rPr>
      </w:pPr>
    </w:p>
    <w:p w14:paraId="067077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7EFD07A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3A3A49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71393C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6F1E183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40798D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0F2336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00F4C9F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2CF4165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ascii="仿宋" w:hAnsi="仿宋" w:eastAsia="仿宋" w:cs="仿宋"/>
          <w:sz w:val="32"/>
          <w:szCs w:val="32"/>
        </w:rPr>
        <w:t>社会保障和就业支出（类）行政事业单位养老支出（款）机关事业单位基本养老保险缴费支出（项）：指</w:t>
      </w:r>
      <w:r>
        <w:rPr>
          <w:rFonts w:hint="eastAsia" w:ascii="仿宋" w:hAnsi="仿宋" w:eastAsia="仿宋" w:cs="仿宋"/>
          <w:sz w:val="32"/>
          <w:szCs w:val="32"/>
          <w:lang w:val="en-US" w:eastAsia="zh-CN"/>
        </w:rPr>
        <w:t>机关事业单位实施养老保险制度由单位缴纳的基本养老保险费支出</w:t>
      </w:r>
      <w:r>
        <w:rPr>
          <w:rFonts w:hint="eastAsia" w:ascii="仿宋" w:hAnsi="仿宋" w:eastAsia="仿宋" w:cs="仿宋"/>
          <w:sz w:val="32"/>
          <w:szCs w:val="32"/>
        </w:rPr>
        <w:t>。</w:t>
      </w:r>
    </w:p>
    <w:p w14:paraId="6B22AA8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ascii="仿宋" w:hAnsi="仿宋" w:eastAsia="仿宋" w:cs="仿宋"/>
          <w:sz w:val="32"/>
          <w:szCs w:val="32"/>
        </w:rPr>
        <w:t>卫生健康支出（类）基层医疗卫生机构（款）乡镇卫生院（项）：指</w:t>
      </w:r>
      <w:r>
        <w:rPr>
          <w:rFonts w:hint="eastAsia" w:ascii="仿宋" w:hAnsi="仿宋" w:eastAsia="仿宋" w:cs="仿宋"/>
          <w:sz w:val="32"/>
          <w:szCs w:val="32"/>
          <w:lang w:val="en-US" w:eastAsia="zh-CN"/>
        </w:rPr>
        <w:t>用于乡镇卫生院的支出</w:t>
      </w:r>
      <w:r>
        <w:rPr>
          <w:rFonts w:hint="eastAsia" w:ascii="仿宋" w:hAnsi="仿宋" w:eastAsia="仿宋" w:cs="仿宋"/>
          <w:sz w:val="32"/>
          <w:szCs w:val="32"/>
        </w:rPr>
        <w:t>。</w:t>
      </w:r>
    </w:p>
    <w:p w14:paraId="794A96A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仿宋"/>
          <w:sz w:val="32"/>
          <w:szCs w:val="32"/>
          <w:lang w:val="en-US" w:eastAsia="zh-CN"/>
        </w:rPr>
        <w:t>11</w:t>
      </w:r>
      <w:r>
        <w:rPr>
          <w:rFonts w:hint="eastAsia" w:ascii="仿宋" w:hAnsi="仿宋" w:eastAsia="仿宋" w:cs="仿宋"/>
          <w:sz w:val="32"/>
          <w:szCs w:val="32"/>
        </w:rPr>
        <w:t>.卫生健康支出（类）基层医疗卫生机构（款）其他基层医疗卫生机构支出（项）：指</w:t>
      </w:r>
      <w:r>
        <w:rPr>
          <w:rFonts w:hint="eastAsia" w:ascii="仿宋" w:hAnsi="仿宋" w:eastAsia="仿宋" w:cs="仿宋"/>
          <w:sz w:val="32"/>
          <w:szCs w:val="32"/>
          <w:lang w:val="en-US" w:eastAsia="zh-CN"/>
        </w:rPr>
        <w:t>除上述项目以外的其他用于基层医疗卫生机构的支出</w:t>
      </w:r>
      <w:r>
        <w:rPr>
          <w:rFonts w:hint="eastAsia" w:ascii="仿宋" w:hAnsi="仿宋" w:eastAsia="仿宋" w:cs="仿宋"/>
          <w:sz w:val="32"/>
          <w:szCs w:val="32"/>
        </w:rPr>
        <w:t>。</w:t>
      </w:r>
    </w:p>
    <w:p w14:paraId="2602E86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卫生健康支出（类）公共卫生（款）基本公共卫生服务（项）：指</w:t>
      </w:r>
      <w:r>
        <w:rPr>
          <w:rFonts w:hint="eastAsia" w:ascii="仿宋" w:hAnsi="仿宋" w:eastAsia="仿宋" w:cs="仿宋"/>
          <w:sz w:val="32"/>
          <w:szCs w:val="32"/>
          <w:lang w:val="en-US" w:eastAsia="zh-CN"/>
        </w:rPr>
        <w:t>基本公共卫生服务支出</w:t>
      </w:r>
      <w:r>
        <w:rPr>
          <w:rFonts w:hint="eastAsia" w:ascii="仿宋" w:hAnsi="仿宋" w:eastAsia="仿宋" w:cs="仿宋"/>
          <w:sz w:val="32"/>
          <w:szCs w:val="32"/>
        </w:rPr>
        <w:t>。</w:t>
      </w:r>
    </w:p>
    <w:p w14:paraId="3252B14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卫生健康支出（类）公共卫生（款）其他公共卫生支出（项）：指</w:t>
      </w:r>
      <w:r>
        <w:rPr>
          <w:rFonts w:hint="eastAsia" w:ascii="仿宋" w:hAnsi="仿宋" w:eastAsia="仿宋" w:cs="仿宋"/>
          <w:sz w:val="32"/>
          <w:szCs w:val="32"/>
          <w:lang w:val="en-US" w:eastAsia="zh-CN"/>
        </w:rPr>
        <w:t>除上述项目以外的其他用于公共卫生方面的支出</w:t>
      </w:r>
      <w:r>
        <w:rPr>
          <w:rFonts w:hint="eastAsia" w:ascii="仿宋" w:hAnsi="仿宋" w:eastAsia="仿宋" w:cs="仿宋"/>
          <w:sz w:val="32"/>
          <w:szCs w:val="32"/>
        </w:rPr>
        <w:t>。</w:t>
      </w:r>
    </w:p>
    <w:p w14:paraId="7138231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卫生健康支出（类）行政事业单位医疗（款）事业单位医疗（项）：指</w:t>
      </w:r>
      <w:r>
        <w:rPr>
          <w:rFonts w:hint="eastAsia" w:ascii="仿宋" w:hAnsi="仿宋" w:eastAsia="仿宋" w:cs="仿宋"/>
          <w:sz w:val="32"/>
          <w:szCs w:val="32"/>
          <w:lang w:val="en-US" w:eastAsia="zh-CN"/>
        </w:rPr>
        <w:t>财政部门安排的事业单位基本医疗保险缴费经费，未参加医疗保险的事业单位的公费医疗经费，按国家规定享受离休人员待遇的医疗经费</w:t>
      </w:r>
      <w:r>
        <w:rPr>
          <w:rFonts w:hint="eastAsia" w:ascii="仿宋" w:hAnsi="仿宋" w:eastAsia="仿宋" w:cs="仿宋"/>
          <w:sz w:val="32"/>
          <w:szCs w:val="32"/>
        </w:rPr>
        <w:t>。</w:t>
      </w:r>
    </w:p>
    <w:p w14:paraId="4AB7797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住房保障支出（类）住房改革支出（款）住房公积金（项）：指</w:t>
      </w:r>
      <w:r>
        <w:rPr>
          <w:rFonts w:hint="eastAsia" w:ascii="仿宋" w:hAnsi="仿宋" w:eastAsia="仿宋" w:cs="仿宋"/>
          <w:sz w:val="32"/>
          <w:szCs w:val="32"/>
          <w:lang w:val="en-US" w:eastAsia="zh-CN"/>
        </w:rPr>
        <w:t>行政事业单位按人力资源和社会保障部、财政部规定的基本工资和津贴补贴以及规定比例为职工缴纳的住房公积金</w:t>
      </w:r>
      <w:r>
        <w:rPr>
          <w:rFonts w:hint="eastAsia" w:ascii="仿宋" w:hAnsi="仿宋" w:eastAsia="仿宋" w:cs="仿宋"/>
          <w:sz w:val="32"/>
          <w:szCs w:val="32"/>
        </w:rPr>
        <w:t>。</w:t>
      </w:r>
    </w:p>
    <w:p w14:paraId="72B8FA5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30FB9A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69BB773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0E2885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96CBA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F7227D8">
      <w:pPr>
        <w:spacing w:line="600" w:lineRule="exact"/>
        <w:jc w:val="center"/>
        <w:rPr>
          <w:rStyle w:val="28"/>
          <w:rFonts w:hint="eastAsia" w:ascii="Times New Roman" w:hAnsi="Times New Roman" w:eastAsia="黑体"/>
          <w:b w:val="0"/>
          <w:color w:val="auto"/>
          <w:highlight w:val="none"/>
          <w:lang w:eastAsia="zh-CN"/>
        </w:rPr>
      </w:pPr>
      <w:bookmarkStart w:id="4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p w14:paraId="30F27D5D">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70ACC4C9">
      <w:pPr>
        <w:spacing w:line="600" w:lineRule="exact"/>
        <w:jc w:val="center"/>
        <w:outlineLvl w:val="0"/>
        <w:rPr>
          <w:rFonts w:hint="eastAsia" w:ascii="仿宋" w:hAnsi="仿宋" w:eastAsia="仿宋" w:cs="仿宋"/>
          <w:color w:val="FF0000"/>
          <w:sz w:val="32"/>
          <w:szCs w:val="32"/>
          <w:lang w:eastAsia="zh-CN"/>
        </w:rPr>
      </w:pPr>
      <w:r>
        <w:rPr>
          <w:rFonts w:hint="eastAsia" w:ascii="仿宋" w:hAnsi="仿宋" w:eastAsia="仿宋" w:cs="仿宋"/>
          <w:sz w:val="32"/>
          <w:szCs w:val="32"/>
        </w:rPr>
        <w:t>部门预算项目支出绩效自评表（202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r>
        <w:rPr>
          <w:rFonts w:hint="eastAsia" w:ascii="仿宋" w:hAnsi="仿宋" w:eastAsia="仿宋" w:cs="仿宋"/>
          <w:sz w:val="32"/>
          <w:szCs w:val="32"/>
          <w:lang w:eastAsia="zh-CN"/>
        </w:rPr>
        <w:t>见附件。</w:t>
      </w:r>
    </w:p>
    <w:p w14:paraId="3B9229CE">
      <w:pPr>
        <w:pStyle w:val="2"/>
        <w:spacing w:before="93"/>
        <w:rPr>
          <w:rFonts w:hint="eastAsia" w:ascii="仿宋" w:hAnsi="仿宋" w:eastAsia="仿宋" w:cs="仿宋"/>
          <w:sz w:val="32"/>
          <w:szCs w:val="32"/>
        </w:rPr>
      </w:pPr>
    </w:p>
    <w:p w14:paraId="3B805747">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99F5EE9">
      <w:pPr>
        <w:pStyle w:val="2"/>
        <w:rPr>
          <w:rFonts w:hint="eastAsia" w:ascii="Times New Roman" w:hAnsi="Times New Roman" w:cs="宋体"/>
          <w:color w:val="FF0000"/>
          <w:kern w:val="0"/>
          <w:sz w:val="32"/>
          <w:szCs w:val="32"/>
          <w:highlight w:val="yellow"/>
          <w:shd w:val="clear" w:color="auto" w:fill="FFFFFF"/>
          <w:lang w:val="zh-CN"/>
        </w:rPr>
      </w:pPr>
    </w:p>
    <w:p w14:paraId="4B775416">
      <w:pPr>
        <w:rPr>
          <w:rFonts w:hint="eastAsia" w:ascii="Times New Roman" w:hAnsi="Times New Roman" w:eastAsia="仿宋_GB2312" w:cs="仿宋_GB2312"/>
          <w:b w:val="0"/>
          <w:bCs w:val="0"/>
          <w:kern w:val="0"/>
          <w:position w:val="0"/>
          <w:sz w:val="32"/>
          <w:szCs w:val="32"/>
          <w:highlight w:val="none"/>
          <w:lang w:val="en-US" w:eastAsia="zh-CN" w:bidi="ar-SA"/>
        </w:rPr>
      </w:pPr>
      <w:bookmarkStart w:id="47"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3DACC45A">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5"/>
      <w:bookmarkEnd w:id="47"/>
      <w:bookmarkStart w:id="48" w:name="_Toc15396619"/>
    </w:p>
    <w:p w14:paraId="0C10DC7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398D88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14:paraId="2D05052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14:paraId="76E0420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14:paraId="4B13F4F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14:paraId="17B70A0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14:paraId="00F0013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14:paraId="4B9C981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14:paraId="78D84A2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14:paraId="2AC17CC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14:paraId="1436D28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14:paraId="03CF059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01C138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14:paraId="00AD94A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14:paraId="47315439">
      <w:pPr>
        <w:rPr>
          <w:rFonts w:hint="eastAsia" w:ascii="Times New Roman" w:hAnsi="Times New Roman"/>
          <w:lang w:eastAsia="zh-CN"/>
        </w:rPr>
      </w:pPr>
    </w:p>
    <w:sectPr>
      <w:footerReference r:id="rId8" w:type="first"/>
      <w:headerReference r:id="rId6" w:type="defaul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国标仿宋"/>
    <w:panose1 w:val="00000000000000000000"/>
    <w:charset w:val="00"/>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小标宋简体">
    <w:panose1 w:val="02000000000000000000"/>
    <w:charset w:val="86"/>
    <w:family w:val="script"/>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60007" w:csb1="00000000"/>
  </w:font>
  <w:font w:name="CESI仿宋-GB2312">
    <w:panose1 w:val="02000500000000000000"/>
    <w:charset w:val="86"/>
    <w:family w:val="auto"/>
    <w:pitch w:val="default"/>
    <w:sig w:usb0="800002AF" w:usb1="084F6CF8" w:usb2="00000010" w:usb3="00000000" w:csb0="0004000F" w:csb1="00000000"/>
  </w:font>
  <w:font w:name="微软雅黑">
    <w:altName w:val="方正黑体_GBK"/>
    <w:panose1 w:val="020B0503020204020204"/>
    <w:charset w:val="86"/>
    <w:family w:val="auto"/>
    <w:pitch w:val="default"/>
    <w:sig w:usb0="00000000" w:usb1="00000000" w:usb2="00000000" w:usb3="00000000" w:csb0="0000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0FA93">
    <w:pPr>
      <w:pStyle w:val="10"/>
      <w:jc w:val="center"/>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5694">
    <w:pPr>
      <w:pStyle w:val="10"/>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09B83">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809B83">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F92D0">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1795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01795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42EF5">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873E8">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F290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CDA28"/>
    <w:multiLevelType w:val="singleLevel"/>
    <w:tmpl w:val="B37CDA28"/>
    <w:lvl w:ilvl="0" w:tentative="0">
      <w:start w:val="3"/>
      <w:numFmt w:val="decimal"/>
      <w:lvlText w:val="%1."/>
      <w:lvlJc w:val="left"/>
      <w:pPr>
        <w:tabs>
          <w:tab w:val="left" w:pos="312"/>
        </w:tabs>
      </w:pPr>
      <w:rPr>
        <w:rFonts w:hint="default" w:ascii="仿宋" w:hAnsi="仿宋" w:eastAsia="仿宋" w:cs="仿宋"/>
        <w:b/>
        <w:bCs/>
        <w:sz w:val="32"/>
        <w:szCs w:val="32"/>
      </w:rPr>
    </w:lvl>
  </w:abstractNum>
  <w:abstractNum w:abstractNumId="1">
    <w:nsid w:val="C3C00B7C"/>
    <w:multiLevelType w:val="singleLevel"/>
    <w:tmpl w:val="C3C00B7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2F3A"/>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AF5BA0"/>
    <w:rsid w:val="0259436B"/>
    <w:rsid w:val="02FEBE30"/>
    <w:rsid w:val="03455F4E"/>
    <w:rsid w:val="04916F1E"/>
    <w:rsid w:val="061E35DE"/>
    <w:rsid w:val="066E0107"/>
    <w:rsid w:val="06A765D7"/>
    <w:rsid w:val="06E1488E"/>
    <w:rsid w:val="07996F6E"/>
    <w:rsid w:val="07CD7C91"/>
    <w:rsid w:val="07DFD8BA"/>
    <w:rsid w:val="093F343F"/>
    <w:rsid w:val="09867E8F"/>
    <w:rsid w:val="09B90AFC"/>
    <w:rsid w:val="0A2032A3"/>
    <w:rsid w:val="0B7C44D7"/>
    <w:rsid w:val="0C8F1FE8"/>
    <w:rsid w:val="0CA8290A"/>
    <w:rsid w:val="0CCC323C"/>
    <w:rsid w:val="0D35B1ED"/>
    <w:rsid w:val="0E254B6B"/>
    <w:rsid w:val="0E927B6D"/>
    <w:rsid w:val="0F0E7B3C"/>
    <w:rsid w:val="0F98263C"/>
    <w:rsid w:val="101860EC"/>
    <w:rsid w:val="101F47CC"/>
    <w:rsid w:val="10C055FF"/>
    <w:rsid w:val="11694EBD"/>
    <w:rsid w:val="11772AA4"/>
    <w:rsid w:val="118107EC"/>
    <w:rsid w:val="12E24EE2"/>
    <w:rsid w:val="13D50BC4"/>
    <w:rsid w:val="147E4E1C"/>
    <w:rsid w:val="14B17F78"/>
    <w:rsid w:val="14F926F4"/>
    <w:rsid w:val="165878EE"/>
    <w:rsid w:val="165E0673"/>
    <w:rsid w:val="16B831D5"/>
    <w:rsid w:val="16BB723D"/>
    <w:rsid w:val="17E50567"/>
    <w:rsid w:val="183B2BD1"/>
    <w:rsid w:val="18622CA6"/>
    <w:rsid w:val="186504BB"/>
    <w:rsid w:val="188D656C"/>
    <w:rsid w:val="18AA7FD0"/>
    <w:rsid w:val="1921046B"/>
    <w:rsid w:val="192817FA"/>
    <w:rsid w:val="19570331"/>
    <w:rsid w:val="19664ECC"/>
    <w:rsid w:val="19A445FC"/>
    <w:rsid w:val="1A5A40C9"/>
    <w:rsid w:val="1BE8440E"/>
    <w:rsid w:val="1D155CEE"/>
    <w:rsid w:val="1D1638FE"/>
    <w:rsid w:val="1E312DEB"/>
    <w:rsid w:val="1E740ACF"/>
    <w:rsid w:val="1F3F5AEF"/>
    <w:rsid w:val="1F817EB6"/>
    <w:rsid w:val="1FF35744"/>
    <w:rsid w:val="1FF6BC77"/>
    <w:rsid w:val="210B5C89"/>
    <w:rsid w:val="21820C1B"/>
    <w:rsid w:val="2186353C"/>
    <w:rsid w:val="228B7A37"/>
    <w:rsid w:val="229C1BF7"/>
    <w:rsid w:val="22FB3ADB"/>
    <w:rsid w:val="235F050E"/>
    <w:rsid w:val="23860B96"/>
    <w:rsid w:val="240371BF"/>
    <w:rsid w:val="241B0857"/>
    <w:rsid w:val="244F3473"/>
    <w:rsid w:val="24C97D99"/>
    <w:rsid w:val="253D1D93"/>
    <w:rsid w:val="255F3449"/>
    <w:rsid w:val="25A718F0"/>
    <w:rsid w:val="25BB59F6"/>
    <w:rsid w:val="260F557C"/>
    <w:rsid w:val="26370EBE"/>
    <w:rsid w:val="26970054"/>
    <w:rsid w:val="26AD77E2"/>
    <w:rsid w:val="27080142"/>
    <w:rsid w:val="27EB6814"/>
    <w:rsid w:val="281408E2"/>
    <w:rsid w:val="29F169A3"/>
    <w:rsid w:val="29FD04D3"/>
    <w:rsid w:val="2AA2159A"/>
    <w:rsid w:val="2BFF7BC6"/>
    <w:rsid w:val="2C626979"/>
    <w:rsid w:val="2C8A61B5"/>
    <w:rsid w:val="2DA6640A"/>
    <w:rsid w:val="2DF04E50"/>
    <w:rsid w:val="2E586DFA"/>
    <w:rsid w:val="2F040D46"/>
    <w:rsid w:val="2F4A02C4"/>
    <w:rsid w:val="2F6B035B"/>
    <w:rsid w:val="2F827A5E"/>
    <w:rsid w:val="2F89604F"/>
    <w:rsid w:val="2FAE5751"/>
    <w:rsid w:val="2FB1A395"/>
    <w:rsid w:val="2FD9A7D8"/>
    <w:rsid w:val="2FDBF714"/>
    <w:rsid w:val="306F78B6"/>
    <w:rsid w:val="30AB6865"/>
    <w:rsid w:val="319F7F4E"/>
    <w:rsid w:val="321B5F48"/>
    <w:rsid w:val="323E796B"/>
    <w:rsid w:val="326A6587"/>
    <w:rsid w:val="32BD1EF1"/>
    <w:rsid w:val="3304709D"/>
    <w:rsid w:val="33A663C1"/>
    <w:rsid w:val="33A773CB"/>
    <w:rsid w:val="349D6851"/>
    <w:rsid w:val="36AA5135"/>
    <w:rsid w:val="36BE0DA7"/>
    <w:rsid w:val="374D736C"/>
    <w:rsid w:val="376B6AA6"/>
    <w:rsid w:val="376D39B2"/>
    <w:rsid w:val="37E16F03"/>
    <w:rsid w:val="37EB2546"/>
    <w:rsid w:val="37F53A3B"/>
    <w:rsid w:val="382C74E3"/>
    <w:rsid w:val="389B6C89"/>
    <w:rsid w:val="38BB5D8F"/>
    <w:rsid w:val="38D469F0"/>
    <w:rsid w:val="38E726E0"/>
    <w:rsid w:val="39363667"/>
    <w:rsid w:val="39627CCD"/>
    <w:rsid w:val="397BAF1F"/>
    <w:rsid w:val="398E34A3"/>
    <w:rsid w:val="3AB79AF3"/>
    <w:rsid w:val="3AE834C0"/>
    <w:rsid w:val="3B7EF35A"/>
    <w:rsid w:val="3B9FDB6C"/>
    <w:rsid w:val="3BF5BC2F"/>
    <w:rsid w:val="3C552056"/>
    <w:rsid w:val="3CB93B7A"/>
    <w:rsid w:val="3CEBA265"/>
    <w:rsid w:val="3D98207C"/>
    <w:rsid w:val="3DEE7CF3"/>
    <w:rsid w:val="3E740A63"/>
    <w:rsid w:val="3E744AE0"/>
    <w:rsid w:val="3E78745D"/>
    <w:rsid w:val="3EE17838"/>
    <w:rsid w:val="3EE55913"/>
    <w:rsid w:val="3EFA07BA"/>
    <w:rsid w:val="3F55381A"/>
    <w:rsid w:val="3F780536"/>
    <w:rsid w:val="3F7F7599"/>
    <w:rsid w:val="3FF4CAE0"/>
    <w:rsid w:val="3FF7B227"/>
    <w:rsid w:val="416666BA"/>
    <w:rsid w:val="41EF2D3E"/>
    <w:rsid w:val="434F5D06"/>
    <w:rsid w:val="44E268DA"/>
    <w:rsid w:val="44F83D23"/>
    <w:rsid w:val="450D13D7"/>
    <w:rsid w:val="45506656"/>
    <w:rsid w:val="466B0DF4"/>
    <w:rsid w:val="466B2BA2"/>
    <w:rsid w:val="482254E2"/>
    <w:rsid w:val="486A6C7A"/>
    <w:rsid w:val="48D72771"/>
    <w:rsid w:val="4A627F82"/>
    <w:rsid w:val="4B0E749A"/>
    <w:rsid w:val="4B171A5D"/>
    <w:rsid w:val="4B2477C4"/>
    <w:rsid w:val="4B4F25DA"/>
    <w:rsid w:val="4B692682"/>
    <w:rsid w:val="4B764E99"/>
    <w:rsid w:val="4B887D52"/>
    <w:rsid w:val="4BE068DB"/>
    <w:rsid w:val="4D226BB8"/>
    <w:rsid w:val="4D577224"/>
    <w:rsid w:val="4D704F42"/>
    <w:rsid w:val="4DBF1CEB"/>
    <w:rsid w:val="4DF0007C"/>
    <w:rsid w:val="4E441252"/>
    <w:rsid w:val="4EAB630A"/>
    <w:rsid w:val="4ECE2238"/>
    <w:rsid w:val="4EED611E"/>
    <w:rsid w:val="4F3C27E5"/>
    <w:rsid w:val="4F833267"/>
    <w:rsid w:val="4FE9BD67"/>
    <w:rsid w:val="4FFB052F"/>
    <w:rsid w:val="52200A2A"/>
    <w:rsid w:val="537E6D0A"/>
    <w:rsid w:val="53831A46"/>
    <w:rsid w:val="53983F5C"/>
    <w:rsid w:val="53F74C96"/>
    <w:rsid w:val="540B7773"/>
    <w:rsid w:val="55170BA8"/>
    <w:rsid w:val="552C5BF2"/>
    <w:rsid w:val="553218C9"/>
    <w:rsid w:val="567E1AA5"/>
    <w:rsid w:val="56E47B74"/>
    <w:rsid w:val="57175D52"/>
    <w:rsid w:val="57315742"/>
    <w:rsid w:val="57BD3DD4"/>
    <w:rsid w:val="581D1822"/>
    <w:rsid w:val="582726A1"/>
    <w:rsid w:val="5ACE5056"/>
    <w:rsid w:val="5AF92295"/>
    <w:rsid w:val="5B250254"/>
    <w:rsid w:val="5BDD79E6"/>
    <w:rsid w:val="5BF561CA"/>
    <w:rsid w:val="5BFF5DFC"/>
    <w:rsid w:val="5C425CFC"/>
    <w:rsid w:val="5CD71FC4"/>
    <w:rsid w:val="5D1D22C5"/>
    <w:rsid w:val="5D1F11B5"/>
    <w:rsid w:val="5D695134"/>
    <w:rsid w:val="5DAE1B18"/>
    <w:rsid w:val="5DE7D9E5"/>
    <w:rsid w:val="5E8B6B8D"/>
    <w:rsid w:val="5ECEC941"/>
    <w:rsid w:val="5EF84D97"/>
    <w:rsid w:val="5FBF9FF3"/>
    <w:rsid w:val="5FCD4E2C"/>
    <w:rsid w:val="5FEF394A"/>
    <w:rsid w:val="5FF67715"/>
    <w:rsid w:val="60FE3721"/>
    <w:rsid w:val="62390D42"/>
    <w:rsid w:val="62BF3928"/>
    <w:rsid w:val="63A70B3A"/>
    <w:rsid w:val="63B3701E"/>
    <w:rsid w:val="64100468"/>
    <w:rsid w:val="647F5392"/>
    <w:rsid w:val="64B2161B"/>
    <w:rsid w:val="64D11BF8"/>
    <w:rsid w:val="650F4BE9"/>
    <w:rsid w:val="65E41582"/>
    <w:rsid w:val="65E66580"/>
    <w:rsid w:val="664B1D71"/>
    <w:rsid w:val="664B4E8E"/>
    <w:rsid w:val="66B07D06"/>
    <w:rsid w:val="67277B67"/>
    <w:rsid w:val="67AA3209"/>
    <w:rsid w:val="69146C72"/>
    <w:rsid w:val="698D0931"/>
    <w:rsid w:val="6A7FE5F3"/>
    <w:rsid w:val="6AEA7C8A"/>
    <w:rsid w:val="6B053271"/>
    <w:rsid w:val="6B376C47"/>
    <w:rsid w:val="6BD12BF8"/>
    <w:rsid w:val="6BDD78B3"/>
    <w:rsid w:val="6C4A05C8"/>
    <w:rsid w:val="6C8742B8"/>
    <w:rsid w:val="6DBF5E93"/>
    <w:rsid w:val="6DFF077E"/>
    <w:rsid w:val="6E623FDB"/>
    <w:rsid w:val="6E714EF0"/>
    <w:rsid w:val="6E7528C8"/>
    <w:rsid w:val="6E7E3605"/>
    <w:rsid w:val="6E7FDCC7"/>
    <w:rsid w:val="6E82642B"/>
    <w:rsid w:val="6ED6A62E"/>
    <w:rsid w:val="6EE00B15"/>
    <w:rsid w:val="6F6FB3EB"/>
    <w:rsid w:val="6F8731EA"/>
    <w:rsid w:val="6FCE6052"/>
    <w:rsid w:val="6FD57C00"/>
    <w:rsid w:val="6FEFFFD8"/>
    <w:rsid w:val="6FF5CC65"/>
    <w:rsid w:val="6FFB47EC"/>
    <w:rsid w:val="6FFF034A"/>
    <w:rsid w:val="70484440"/>
    <w:rsid w:val="712A28F1"/>
    <w:rsid w:val="714D14FF"/>
    <w:rsid w:val="715553CD"/>
    <w:rsid w:val="715C0E4B"/>
    <w:rsid w:val="71992E7C"/>
    <w:rsid w:val="719B7F30"/>
    <w:rsid w:val="72233669"/>
    <w:rsid w:val="72734D90"/>
    <w:rsid w:val="72F9189F"/>
    <w:rsid w:val="73160E6D"/>
    <w:rsid w:val="7332FE48"/>
    <w:rsid w:val="73AB61DA"/>
    <w:rsid w:val="73AD73D5"/>
    <w:rsid w:val="73B6EB34"/>
    <w:rsid w:val="73B928EF"/>
    <w:rsid w:val="73FA497D"/>
    <w:rsid w:val="744731E5"/>
    <w:rsid w:val="748A7DE8"/>
    <w:rsid w:val="74BBD01D"/>
    <w:rsid w:val="74CF0A5A"/>
    <w:rsid w:val="74ED5379"/>
    <w:rsid w:val="75DEEEC2"/>
    <w:rsid w:val="75E32345"/>
    <w:rsid w:val="76591577"/>
    <w:rsid w:val="76E3355F"/>
    <w:rsid w:val="76FF5125"/>
    <w:rsid w:val="776F6FFA"/>
    <w:rsid w:val="77784870"/>
    <w:rsid w:val="778769C8"/>
    <w:rsid w:val="77A75DCA"/>
    <w:rsid w:val="77B61176"/>
    <w:rsid w:val="77DC22F5"/>
    <w:rsid w:val="783E271A"/>
    <w:rsid w:val="78616DE9"/>
    <w:rsid w:val="787A12EA"/>
    <w:rsid w:val="78E875D7"/>
    <w:rsid w:val="79086DAD"/>
    <w:rsid w:val="79AB4E14"/>
    <w:rsid w:val="79D7FD79"/>
    <w:rsid w:val="79E47F9A"/>
    <w:rsid w:val="79EE5BA4"/>
    <w:rsid w:val="7A894339"/>
    <w:rsid w:val="7AD284E8"/>
    <w:rsid w:val="7AFF7572"/>
    <w:rsid w:val="7B6C7DFB"/>
    <w:rsid w:val="7B933A26"/>
    <w:rsid w:val="7BBFBED0"/>
    <w:rsid w:val="7BC3E394"/>
    <w:rsid w:val="7BF344C5"/>
    <w:rsid w:val="7C1F3737"/>
    <w:rsid w:val="7C405169"/>
    <w:rsid w:val="7C501917"/>
    <w:rsid w:val="7CAE2CF8"/>
    <w:rsid w:val="7CBFC87B"/>
    <w:rsid w:val="7CFE0F48"/>
    <w:rsid w:val="7D272ABC"/>
    <w:rsid w:val="7D4551F4"/>
    <w:rsid w:val="7D7EC23E"/>
    <w:rsid w:val="7DC91981"/>
    <w:rsid w:val="7E1E013A"/>
    <w:rsid w:val="7E8ADEBF"/>
    <w:rsid w:val="7EEF11D3"/>
    <w:rsid w:val="7EFE4840"/>
    <w:rsid w:val="7F0971A6"/>
    <w:rsid w:val="7F1D62E7"/>
    <w:rsid w:val="7F271055"/>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4BE276"/>
    <w:rsid w:val="BCFFB442"/>
    <w:rsid w:val="BD079C78"/>
    <w:rsid w:val="BD733540"/>
    <w:rsid w:val="BF3735D5"/>
    <w:rsid w:val="BF7F09AC"/>
    <w:rsid w:val="BFD475C3"/>
    <w:rsid w:val="BFDE5EA6"/>
    <w:rsid w:val="CF6FC6F3"/>
    <w:rsid w:val="CFD3D3D7"/>
    <w:rsid w:val="CFDF1009"/>
    <w:rsid w:val="D6CF007A"/>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3.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收、支决算总体情况图</a:t>
            </a:r>
          </a:p>
        </c:rich>
      </c:tx>
      <c:layout/>
      <c:overlay val="0"/>
      <c:spPr>
        <a:noFill/>
        <a:ln>
          <a:noFill/>
        </a:ln>
        <a:effectLst/>
      </c:spPr>
    </c:title>
    <c:autoTitleDeleted val="0"/>
    <c:plotArea>
      <c:layout>
        <c:manualLayout>
          <c:layoutTarget val="inner"/>
          <c:xMode val="edge"/>
          <c:yMode val="edge"/>
          <c:x val="0.0705001208021261"/>
          <c:y val="0.263493412664683"/>
          <c:w val="0.902923411452041"/>
          <c:h val="0.628219294517637"/>
        </c:manualLayout>
      </c:layout>
      <c:barChart>
        <c:barDir val="col"/>
        <c:grouping val="clustered"/>
        <c:varyColors val="0"/>
        <c:ser>
          <c:idx val="0"/>
          <c:order val="0"/>
          <c:tx>
            <c:strRef>
              <c:f>Sheet1!$B$1</c:f>
              <c:strCache>
                <c:ptCount val="1"/>
                <c:pt idx="0">
                  <c:v>2023年</c:v>
                </c:pt>
              </c:strCache>
            </c:strRef>
          </c:tx>
          <c:spPr>
            <a:solidFill>
              <a:schemeClr val="accent1"/>
            </a:solidFill>
            <a:ln w="9525">
              <a:noFill/>
            </a:ln>
            <a:effectLst/>
            <a:sp3d contourW="9525"/>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Sheet1!$B$2:$B$5</c:f>
              <c:numCache>
                <c:formatCode>General</c:formatCode>
                <c:ptCount val="4"/>
                <c:pt idx="0">
                  <c:v>238.46</c:v>
                </c:pt>
                <c:pt idx="1">
                  <c:v>238.46</c:v>
                </c:pt>
              </c:numCache>
            </c:numRef>
          </c:val>
        </c:ser>
        <c:ser>
          <c:idx val="1"/>
          <c:order val="1"/>
          <c:tx>
            <c:strRef>
              <c:f>Sheet1!$C$1</c:f>
              <c:strCache>
                <c:ptCount val="1"/>
                <c:pt idx="0">
                  <c:v>2024年</c:v>
                </c:pt>
              </c:strCache>
            </c:strRef>
          </c:tx>
          <c:spPr>
            <a:solidFill>
              <a:schemeClr val="accent2"/>
            </a:solidFill>
            <a:ln w="9525">
              <a:noFill/>
            </a:ln>
            <a:effectLst/>
            <a:sp3d contourW="9525"/>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Sheet1!$C$2:$C$5</c:f>
              <c:numCache>
                <c:formatCode>General</c:formatCode>
                <c:ptCount val="4"/>
                <c:pt idx="0">
                  <c:v>201.83</c:v>
                </c:pt>
                <c:pt idx="1">
                  <c:v>201.83</c:v>
                </c:pt>
              </c:numCache>
            </c:numRef>
          </c:val>
        </c:ser>
        <c:ser>
          <c:idx val="2"/>
          <c:order val="2"/>
          <c:tx>
            <c:strRef>
              <c:f>Sheet1!$D$1</c:f>
              <c:strCache>
                <c:ptCount val="1"/>
                <c:pt idx="0">
                  <c:v/>
                </c:pt>
              </c:strCache>
            </c:strRef>
          </c:tx>
          <c:spPr>
            <a:solidFill>
              <a:schemeClr val="accent3"/>
            </a:solidFill>
            <a:ln w="9525">
              <a:noFill/>
            </a:ln>
            <a:effectLst/>
            <a:sp3d contourW="9525"/>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Sheet1!$D$2:$D$5</c:f>
              <c:numCache>
                <c:formatCode>General</c:formatCode>
                <c:ptCount val="4"/>
              </c:numCache>
            </c:numRef>
          </c:val>
        </c:ser>
        <c:dLbls>
          <c:showLegendKey val="0"/>
          <c:showVal val="1"/>
          <c:showCatName val="0"/>
          <c:showSerName val="0"/>
          <c:showPercent val="0"/>
          <c:showBubbleSize val="0"/>
        </c:dLbls>
        <c:gapWidth val="255"/>
        <c:overlap val="-32"/>
        <c:axId val="529844707"/>
        <c:axId val="320391744"/>
      </c:barChart>
      <c:catAx>
        <c:axId val="529844707"/>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20391744"/>
        <c:crosses val="autoZero"/>
        <c:auto val="1"/>
        <c:lblAlgn val="ctr"/>
        <c:lblOffset val="100"/>
        <c:noMultiLvlLbl val="0"/>
      </c:catAx>
      <c:valAx>
        <c:axId val="320391744"/>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29844707"/>
        <c:crosses val="autoZero"/>
        <c:crossBetween val="between"/>
      </c:valAx>
      <c:spPr>
        <a:pattFill prst="wdDnDiag">
          <a:fgClr>
            <a:schemeClr val="bg1">
              <a:lumMod val="95000"/>
            </a:schemeClr>
          </a:fgClr>
          <a:bgClr>
            <a:schemeClr val="bg1"/>
          </a:bgClr>
        </a:pattFill>
        <a:ln>
          <a:noFill/>
        </a:ln>
        <a:effectLst>
          <a:outerShdw blurRad="63500" dist="38100" dir="18900000" algn="bl" rotWithShape="0">
            <a:schemeClr val="tx1">
              <a:lumMod val="50000"/>
              <a:lumOff val="50000"/>
              <a:alpha val="40000"/>
            </a:schemeClr>
          </a:outerShdw>
        </a:effectLst>
      </c:spPr>
    </c:plotArea>
    <c:legend>
      <c:legendPos val="t"/>
      <c:legendEntry>
        <c:idx val="2"/>
        <c:delete val="1"/>
      </c:legendEntry>
      <c:layout>
        <c:manualLayout>
          <c:xMode val="edge"/>
          <c:yMode val="edge"/>
          <c:x val="0.380889103648224"/>
          <c:y val="0.136421589460264"/>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018fca18-933f-40e0-b983-e3330a9fe1a5}"/>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政府性基金预算财政拨款收入</c:v>
                </c:pt>
                <c:pt idx="2">
                  <c:v>经营收入</c:v>
                </c:pt>
                <c:pt idx="3">
                  <c:v>其他收入</c:v>
                </c:pt>
              </c:strCache>
            </c:strRef>
          </c:cat>
          <c:val>
            <c:numRef>
              <c:f>Sheet1!$B$2:$B$5</c:f>
              <c:numCache>
                <c:formatCode>General</c:formatCode>
                <c:ptCount val="4"/>
                <c:pt idx="0">
                  <c:v>201.83</c:v>
                </c:pt>
                <c:pt idx="1">
                  <c:v>0</c:v>
                </c:pt>
                <c:pt idx="2">
                  <c:v>0</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7d9117f-cf1a-43b2-a598-ede40e51c92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2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支出情况结构图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a:ln w="22225">
              <a:solidFill>
                <a:schemeClr val="bg1"/>
              </a:solidFill>
            </a:ln>
            <a:sp3d contourW="22225"/>
          </c:spPr>
          <c:explosion val="0"/>
          <c:dPt>
            <c:idx val="0"/>
            <c:bubble3D val="0"/>
            <c:spPr>
              <a:gradFill>
                <a:gsLst>
                  <a:gs pos="80000">
                    <a:schemeClr val="accent1"/>
                  </a:gs>
                  <a:gs pos="0">
                    <a:schemeClr val="accent1">
                      <a:hueOff val="-1670000"/>
                    </a:schemeClr>
                  </a:gs>
                </a:gsLst>
                <a:lin ang="5400000" scaled="0"/>
              </a:gradFill>
              <a:ln w="22225">
                <a:solidFill>
                  <a:schemeClr val="bg1"/>
                </a:solidFill>
              </a:ln>
              <a:effectLst/>
              <a:sp3d contourW="22225"/>
            </c:spPr>
          </c:dPt>
          <c:dPt>
            <c:idx val="1"/>
            <c:bubble3D val="0"/>
            <c:spPr>
              <a:gradFill>
                <a:gsLst>
                  <a:gs pos="80000">
                    <a:schemeClr val="accent2"/>
                  </a:gs>
                  <a:gs pos="0">
                    <a:schemeClr val="accent2">
                      <a:hueOff val="-1670000"/>
                    </a:schemeClr>
                  </a:gs>
                </a:gsLst>
                <a:lin ang="5400000" scaled="0"/>
              </a:gradFill>
              <a:ln w="22225">
                <a:solidFill>
                  <a:schemeClr val="bg1"/>
                </a:solidFill>
              </a:ln>
              <a:effectLst/>
              <a:sp3d contourW="22225"/>
            </c:spPr>
          </c:dPt>
          <c:dPt>
            <c:idx val="2"/>
            <c:bubble3D val="0"/>
            <c:spPr>
              <a:gradFill>
                <a:gsLst>
                  <a:gs pos="80000">
                    <a:schemeClr val="accent3"/>
                  </a:gs>
                  <a:gs pos="0">
                    <a:schemeClr val="accent3">
                      <a:hueOff val="-1670000"/>
                    </a:schemeClr>
                  </a:gs>
                </a:gsLst>
                <a:lin ang="5400000" scaled="0"/>
              </a:gradFill>
              <a:ln w="22225">
                <a:solidFill>
                  <a:schemeClr val="bg1"/>
                </a:solidFill>
              </a:ln>
              <a:effectLst/>
              <a:sp3d contourW="22225"/>
            </c:spPr>
          </c:dPt>
          <c:dPt>
            <c:idx val="3"/>
            <c:bubble3D val="0"/>
            <c:spPr>
              <a:gradFill>
                <a:gsLst>
                  <a:gs pos="80000">
                    <a:schemeClr val="accent4"/>
                  </a:gs>
                  <a:gs pos="0">
                    <a:schemeClr val="accent4">
                      <a:hueOff val="-1670000"/>
                    </a:schemeClr>
                  </a:gs>
                </a:gsLst>
                <a:lin ang="5400000" scaled="0"/>
              </a:gradFill>
              <a:ln w="22225">
                <a:solidFill>
                  <a:schemeClr val="bg1"/>
                </a:solidFill>
              </a:ln>
              <a:effectLst/>
              <a:sp3d contourW="22225"/>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142.89</c:v>
                </c:pt>
                <c:pt idx="1">
                  <c:v>58.94</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e15f98b2-d059-4817-818a-0aabc101780c}"/>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a:t>
            </a:r>
          </a:p>
        </c:rich>
      </c:tx>
      <c:layout>
        <c:manualLayout>
          <c:xMode val="edge"/>
          <c:yMode val="edge"/>
          <c:x val="0.387291616332447"/>
          <c:y val="0.036124096897577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c:v>
                </c:pt>
                <c:pt idx="1">
                  <c:v>2024年</c:v>
                </c:pt>
              </c:strCache>
            </c:strRef>
          </c:cat>
          <c:val>
            <c:numRef>
              <c:f>Sheet1!$B$2:$B$5</c:f>
              <c:numCache>
                <c:formatCode>General</c:formatCode>
                <c:ptCount val="4"/>
                <c:pt idx="0">
                  <c:v>226.91</c:v>
                </c:pt>
                <c:pt idx="1">
                  <c:v>201.83</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dLbl>
              <c:idx val="0"/>
              <c:layout>
                <c:manualLayout>
                  <c:x val="0.0634211162116453"/>
                  <c:y val="0.0027624309392265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49915438511718"/>
                  <c:y val="0.0053123671908202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c:v>
                </c:pt>
                <c:pt idx="1">
                  <c:v>2024年</c:v>
                </c:pt>
              </c:strCache>
            </c:strRef>
          </c:cat>
          <c:val>
            <c:numRef>
              <c:f>Sheet1!$C$2:$C$5</c:f>
              <c:numCache>
                <c:formatCode>General</c:formatCode>
                <c:ptCount val="4"/>
                <c:pt idx="0">
                  <c:v>226.91</c:v>
                </c:pt>
                <c:pt idx="1">
                  <c:v>201.83</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c:v>
                </c:pt>
                <c:pt idx="1">
                  <c:v>2024年</c:v>
                </c:pt>
              </c:strCache>
            </c:strRef>
          </c:cat>
          <c:val>
            <c:numRef>
              <c:f>Sheet1!$D$2:$D$5</c:f>
              <c:numCache>
                <c:formatCode>General</c:formatCode>
                <c:ptCount val="4"/>
              </c:numCache>
            </c:numRef>
          </c:val>
        </c:ser>
        <c:dLbls>
          <c:showLegendKey val="0"/>
          <c:showVal val="1"/>
          <c:showCatName val="0"/>
          <c:showSerName val="0"/>
          <c:showPercent val="0"/>
          <c:showBubbleSize val="0"/>
        </c:dLbls>
        <c:gapWidth val="246"/>
        <c:overlap val="-28"/>
        <c:axId val="58585410"/>
        <c:axId val="679808233"/>
      </c:barChart>
      <c:catAx>
        <c:axId val="585854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9808233"/>
        <c:crosses val="autoZero"/>
        <c:auto val="1"/>
        <c:lblAlgn val="ctr"/>
        <c:lblOffset val="100"/>
        <c:noMultiLvlLbl val="0"/>
      </c:catAx>
      <c:valAx>
        <c:axId val="67980823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585410"/>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82d436f-7887-4080-9901-77de4758429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w="9525">
              <a:noFill/>
            </a:ln>
            <a:effectLst/>
            <a:sp3d contourW="9525"/>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c:v>
                </c:pt>
                <c:pt idx="1">
                  <c:v>2024年</c:v>
                </c:pt>
              </c:strCache>
            </c:strRef>
          </c:cat>
          <c:val>
            <c:numRef>
              <c:f>Sheet1!$B$2:$B$5</c:f>
              <c:numCache>
                <c:formatCode>General</c:formatCode>
                <c:ptCount val="4"/>
                <c:pt idx="0">
                  <c:v>226.91</c:v>
                </c:pt>
                <c:pt idx="1">
                  <c:v>201.88</c:v>
                </c:pt>
              </c:numCache>
            </c:numRef>
          </c:val>
        </c:ser>
        <c:ser>
          <c:idx val="1"/>
          <c:order val="1"/>
          <c:tx>
            <c:strRef>
              <c:f>Sheet1!$C$1</c:f>
              <c:strCache>
                <c:ptCount val="1"/>
                <c:pt idx="0">
                  <c:v/>
                </c:pt>
              </c:strCache>
            </c:strRef>
          </c:tx>
          <c:spPr>
            <a:solidFill>
              <a:schemeClr val="accent2"/>
            </a:solidFill>
            <a:ln w="9525">
              <a:noFill/>
            </a:ln>
            <a:effectLst/>
            <a:sp3d contourW="9525"/>
          </c:spPr>
          <c:invertIfNegative val="0"/>
          <c:dLbls>
            <c:delete val="1"/>
          </c:dLbls>
          <c:cat>
            <c:strRef>
              <c:f>Sheet1!$A$2:$A$5</c:f>
              <c:strCache>
                <c:ptCount val="4"/>
                <c:pt idx="0">
                  <c:v>2023年</c:v>
                </c:pt>
                <c:pt idx="1">
                  <c:v>2024年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w="9525">
              <a:noFill/>
            </a:ln>
            <a:effectLst/>
            <a:sp3d contourW="9525"/>
          </c:spPr>
          <c:invertIfNegative val="0"/>
          <c:dLbls>
            <c:delete val="1"/>
          </c:dLbls>
          <c:cat>
            <c:strRef>
              <c:f>Sheet1!$A$2:$A$5</c:f>
              <c:strCache>
                <c:ptCount val="4"/>
                <c:pt idx="0">
                  <c:v>2023年</c:v>
                </c:pt>
                <c:pt idx="1">
                  <c:v>2024年</c:v>
                </c:pt>
              </c:strCache>
            </c:strRef>
          </c:cat>
          <c:val>
            <c:numRef>
              <c:f>Sheet1!$D$2:$D$5</c:f>
              <c:numCache>
                <c:formatCode>General</c:formatCode>
                <c:ptCount val="4"/>
              </c:numCache>
            </c:numRef>
          </c:val>
        </c:ser>
        <c:dLbls>
          <c:showLegendKey val="0"/>
          <c:showVal val="0"/>
          <c:showCatName val="0"/>
          <c:showSerName val="0"/>
          <c:showPercent val="0"/>
          <c:showBubbleSize val="0"/>
        </c:dLbls>
        <c:gapWidth val="255"/>
        <c:overlap val="-32"/>
        <c:axId val="97058249"/>
        <c:axId val="56661070"/>
      </c:barChart>
      <c:catAx>
        <c:axId val="97058249"/>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6661070"/>
        <c:crosses val="autoZero"/>
        <c:auto val="1"/>
        <c:lblAlgn val="ctr"/>
        <c:lblOffset val="100"/>
        <c:noMultiLvlLbl val="0"/>
      </c:catAx>
      <c:valAx>
        <c:axId val="56661070"/>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7058249"/>
        <c:crosses val="autoZero"/>
        <c:crossBetween val="between"/>
      </c:valAx>
      <c:spPr>
        <a:pattFill prst="wdDnDiag">
          <a:fgClr>
            <a:schemeClr val="bg1">
              <a:lumMod val="95000"/>
            </a:schemeClr>
          </a:fgClr>
          <a:bgClr>
            <a:schemeClr val="bg1"/>
          </a:bgClr>
        </a:pattFill>
        <a:ln>
          <a:noFill/>
        </a:ln>
        <a:effectLst>
          <a:outerShdw blurRad="63500" dist="38100" dir="18900000" algn="bl" rotWithShape="0">
            <a:schemeClr val="tx1">
              <a:lumMod val="50000"/>
              <a:lumOff val="50000"/>
              <a:alpha val="40000"/>
            </a:schemeClr>
          </a:outerShdw>
        </a:effectLst>
      </c:spPr>
    </c:plotArea>
    <c:plotVisOnly val="1"/>
    <c:dispBlanksAs val="gap"/>
    <c:showDLblsOverMax val="0"/>
    <c:extLst>
      <c:ext uri="{0b15fc19-7d7d-44ad-8c2d-2c3a37ce22c3}">
        <chartProps xmlns="https://web.wps.cn/et/2018/main" chartId="{0345d16d-9f38-436a-aaf4-637702fe5ba7}"/>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manualLayout>
          <c:xMode val="edge"/>
          <c:yMode val="edge"/>
          <c:x val="0.183860835950713"/>
          <c:y val="0.0305992350191245"/>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住房保障支出</c:v>
                </c:pt>
              </c:strCache>
            </c:strRef>
          </c:cat>
          <c:val>
            <c:numRef>
              <c:f>Sheet1!$B$2:$B$5</c:f>
              <c:numCache>
                <c:formatCode>General</c:formatCode>
                <c:ptCount val="4"/>
                <c:pt idx="0">
                  <c:v>38.65</c:v>
                </c:pt>
                <c:pt idx="1">
                  <c:v>153.77</c:v>
                </c:pt>
                <c:pt idx="2">
                  <c:v>9.41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373fb37-3eec-4790-86b1-ef407eeba4d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8">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1">
    <a:dk1>
      <a:srgbClr val="000000"/>
    </a:dk1>
    <a:lt1>
      <a:srgbClr val="FFFFFF"/>
    </a:lt1>
    <a:dk2>
      <a:srgbClr val="44546A"/>
    </a:dk2>
    <a:lt2>
      <a:srgbClr val="E7E6E6"/>
    </a:lt2>
    <a:accent1>
      <a:srgbClr val="4F80FF"/>
    </a:accent1>
    <a:accent2>
      <a:srgbClr val="16CC8A"/>
    </a:accent2>
    <a:accent3>
      <a:srgbClr val="FFC619"/>
    </a:accent3>
    <a:accent4>
      <a:srgbClr val="FF7F41"/>
    </a:accent4>
    <a:accent5>
      <a:srgbClr val="F95F5F"/>
    </a:accent5>
    <a:accent6>
      <a:srgbClr val="A15CFF"/>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14">
    <a:dk1>
      <a:srgbClr val="000000"/>
    </a:dk1>
    <a:lt1>
      <a:srgbClr val="FFFFFF"/>
    </a:lt1>
    <a:dk2>
      <a:srgbClr val="44546A"/>
    </a:dk2>
    <a:lt2>
      <a:srgbClr val="E7E6E6"/>
    </a:lt2>
    <a:accent1>
      <a:srgbClr val="3DB8BF"/>
    </a:accent1>
    <a:accent2>
      <a:srgbClr val="7A7D85"/>
    </a:accent2>
    <a:accent3>
      <a:srgbClr val="4D4F57"/>
    </a:accent3>
    <a:accent4>
      <a:srgbClr val="025F85"/>
    </a:accent4>
    <a:accent5>
      <a:srgbClr val="0070C0"/>
    </a:accent5>
    <a:accent6>
      <a:srgbClr val="00B0F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自定义 14">
    <a:dk1>
      <a:srgbClr val="000000"/>
    </a:dk1>
    <a:lt1>
      <a:srgbClr val="FFFFFF"/>
    </a:lt1>
    <a:dk2>
      <a:srgbClr val="44546A"/>
    </a:dk2>
    <a:lt2>
      <a:srgbClr val="E7E6E6"/>
    </a:lt2>
    <a:accent1>
      <a:srgbClr val="3DB8BF"/>
    </a:accent1>
    <a:accent2>
      <a:srgbClr val="7A7D85"/>
    </a:accent2>
    <a:accent3>
      <a:srgbClr val="4D4F57"/>
    </a:accent3>
    <a:accent4>
      <a:srgbClr val="025F85"/>
    </a:accent4>
    <a:accent5>
      <a:srgbClr val="0070C0"/>
    </a:accent5>
    <a:accent6>
      <a:srgbClr val="00B0F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4546</Words>
  <Characters>4898</Characters>
  <Lines>61</Lines>
  <Paragraphs>17</Paragraphs>
  <TotalTime>8</TotalTime>
  <ScaleCrop>false</ScaleCrop>
  <LinksUpToDate>false</LinksUpToDate>
  <CharactersWithSpaces>4935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user</cp:lastModifiedBy>
  <cp:lastPrinted>2025-08-07T09:34:00Z</cp:lastPrinted>
  <dcterms:modified xsi:type="dcterms:W3CDTF">2025-10-27T10:51:49Z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04787F2533EB45DC91BCDE4AB213247F</vt:lpwstr>
  </property>
  <property fmtid="{D5CDD505-2E9C-101B-9397-08002B2CF9AE}" pid="4" name="KSOTemplateDocerSaveRecord">
    <vt:lpwstr>eyJoZGlkIjoiYWJlNzA5NDUxMGY1MTQ2MzNhY2FjNzMyNzBmYjM1NGMiLCJ1c2VySWQiOiI0MTkxMzU0NzMifQ==</vt:lpwstr>
  </property>
</Properties>
</file>