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ABB0E">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77425"/>
      <w:bookmarkStart w:id="2" w:name="_Toc15396597"/>
      <w:bookmarkStart w:id="3" w:name="_Toc15396475"/>
      <w:bookmarkStart w:id="4" w:name="_Toc15306267"/>
      <w:bookmarkStart w:id="5" w:name="_Toc15377193"/>
    </w:p>
    <w:p w14:paraId="70F3C7EA">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14:paraId="0F7805F5">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71D9A3D4">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14:paraId="69F0E113">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14:paraId="4611874B">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78442"/>
      <w:bookmarkStart w:id="7" w:name="_Toc15396476"/>
      <w:bookmarkStart w:id="8" w:name="_Toc15396598"/>
      <w:bookmarkStart w:id="9" w:name="_Toc15377426"/>
      <w:bookmarkStart w:id="10" w:name="_Toc15306268"/>
      <w:bookmarkStart w:id="11" w:name="_Toc15377194"/>
      <w:r>
        <w:rPr>
          <w:rFonts w:hint="eastAsia" w:ascii="方正小标宋简体" w:hAnsi="方正小标宋简体" w:eastAsia="方正小标宋简体" w:cs="方正小标宋简体"/>
          <w:sz w:val="72"/>
          <w:szCs w:val="72"/>
          <w:lang w:eastAsia="zh-CN"/>
        </w:rPr>
        <w:t>盐边县社区卫生服务中心</w:t>
      </w:r>
    </w:p>
    <w:p w14:paraId="64BDDE8F">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r>
        <w:rPr>
          <w:rFonts w:hint="eastAsia" w:ascii="方正小标宋_GBK" w:hAnsi="方正小标宋_GBK" w:eastAsia="方正小标宋_GBK" w:cs="方正小标宋_GBK"/>
          <w:kern w:val="2"/>
          <w:sz w:val="72"/>
          <w:szCs w:val="72"/>
        </w:rPr>
        <w:t>公开编制说明</w:t>
      </w:r>
    </w:p>
    <w:p w14:paraId="1D964733">
      <w:pPr>
        <w:pStyle w:val="2"/>
        <w:rPr>
          <w:rFonts w:hint="eastAsia" w:ascii="方正小标宋简体" w:hAnsi="方正小标宋简体" w:eastAsia="方正小标宋简体" w:cs="方正小标宋简体"/>
          <w:sz w:val="44"/>
          <w:szCs w:val="44"/>
        </w:rPr>
      </w:pPr>
    </w:p>
    <w:p w14:paraId="41D640B2">
      <w:pPr>
        <w:pStyle w:val="2"/>
        <w:rPr>
          <w:rFonts w:hint="eastAsia" w:ascii="方正小标宋简体" w:hAnsi="方正小标宋简体" w:eastAsia="方正小标宋简体" w:cs="方正小标宋简体"/>
          <w:sz w:val="44"/>
          <w:szCs w:val="44"/>
        </w:rPr>
      </w:pPr>
    </w:p>
    <w:p w14:paraId="38A80853">
      <w:pPr>
        <w:pStyle w:val="2"/>
        <w:rPr>
          <w:rFonts w:hint="eastAsia" w:ascii="方正小标宋简体" w:hAnsi="方正小标宋简体" w:eastAsia="方正小标宋简体" w:cs="方正小标宋简体"/>
          <w:sz w:val="44"/>
          <w:szCs w:val="44"/>
        </w:rPr>
      </w:pPr>
    </w:p>
    <w:p w14:paraId="706086A0">
      <w:pPr>
        <w:pStyle w:val="2"/>
        <w:rPr>
          <w:rFonts w:hint="eastAsia" w:ascii="方正小标宋简体" w:hAnsi="方正小标宋简体" w:eastAsia="方正小标宋简体" w:cs="方正小标宋简体"/>
          <w:sz w:val="44"/>
          <w:szCs w:val="44"/>
        </w:rPr>
      </w:pPr>
    </w:p>
    <w:p w14:paraId="2C708801">
      <w:pPr>
        <w:pStyle w:val="2"/>
        <w:rPr>
          <w:rFonts w:hint="eastAsia" w:ascii="方正小标宋简体" w:hAnsi="方正小标宋简体" w:eastAsia="方正小标宋简体" w:cs="方正小标宋简体"/>
          <w:sz w:val="44"/>
          <w:szCs w:val="44"/>
        </w:rPr>
      </w:pPr>
    </w:p>
    <w:p w14:paraId="2EAF0C9B">
      <w:pPr>
        <w:widowControl/>
        <w:jc w:val="center"/>
        <w:rPr>
          <w:rFonts w:ascii="黑体" w:hAnsi="黑体" w:eastAsia="黑体" w:cstheme="minorBidi"/>
          <w:sz w:val="28"/>
          <w:szCs w:val="28"/>
        </w:rPr>
      </w:pPr>
      <w:bookmarkStart w:id="12" w:name="_Toc15396599"/>
      <w:bookmarkStart w:id="13" w:name="_Toc15377196"/>
      <w:r>
        <w:rPr>
          <w:rFonts w:hint="eastAsia" w:ascii="黑体" w:hAnsi="黑体" w:eastAsia="黑体"/>
          <w:sz w:val="48"/>
          <w:szCs w:val="48"/>
        </w:rPr>
        <w:t>目录</w:t>
      </w:r>
    </w:p>
    <w:p w14:paraId="0AA2C567">
      <w:pPr>
        <w:pStyle w:val="12"/>
        <w:rPr>
          <w:rFonts w:hint="eastAsia" w:ascii="宋体" w:hAnsi="宋体" w:eastAsia="宋体" w:cs="宋体"/>
          <w:sz w:val="32"/>
          <w:szCs w:val="32"/>
        </w:rPr>
      </w:pPr>
      <w:r>
        <w:rPr>
          <w:rFonts w:hint="eastAsia" w:ascii="宋体" w:hAnsi="宋体" w:eastAsia="宋体" w:cs="宋体"/>
          <w:sz w:val="32"/>
          <w:szCs w:val="32"/>
        </w:rPr>
        <w:t>公开时间：202</w:t>
      </w:r>
      <w:r>
        <w:rPr>
          <w:rFonts w:hint="eastAsia" w:ascii="宋体" w:hAnsi="宋体" w:eastAsia="宋体" w:cs="宋体"/>
          <w:sz w:val="32"/>
          <w:szCs w:val="32"/>
          <w:lang w:val="en-US" w:eastAsia="zh-CN"/>
        </w:rPr>
        <w:t>5</w:t>
      </w:r>
      <w:r>
        <w:rPr>
          <w:rFonts w:hint="eastAsia" w:ascii="宋体" w:hAnsi="宋体" w:eastAsia="宋体" w:cs="宋体"/>
          <w:sz w:val="32"/>
          <w:szCs w:val="32"/>
        </w:rPr>
        <w:t>年</w:t>
      </w:r>
      <w:r>
        <w:rPr>
          <w:rFonts w:hint="eastAsia" w:ascii="宋体" w:hAnsi="宋体" w:eastAsia="宋体" w:cs="宋体"/>
          <w:sz w:val="32"/>
          <w:szCs w:val="32"/>
          <w:lang w:val="en-US" w:eastAsia="zh-CN"/>
        </w:rPr>
        <w:t>10</w:t>
      </w:r>
      <w:r>
        <w:rPr>
          <w:rFonts w:hint="eastAsia" w:ascii="宋体" w:hAnsi="宋体" w:eastAsia="宋体" w:cs="宋体"/>
          <w:sz w:val="32"/>
          <w:szCs w:val="32"/>
        </w:rPr>
        <w:t>月</w:t>
      </w:r>
      <w:r>
        <w:rPr>
          <w:rFonts w:hint="eastAsia" w:ascii="宋体" w:hAnsi="宋体" w:eastAsia="宋体" w:cs="宋体"/>
          <w:sz w:val="32"/>
          <w:szCs w:val="32"/>
          <w:lang w:val="en-US" w:eastAsia="zh-CN"/>
        </w:rPr>
        <w:t>28</w:t>
      </w:r>
      <w:r>
        <w:rPr>
          <w:rFonts w:hint="eastAsia" w:ascii="宋体" w:hAnsi="宋体" w:eastAsia="宋体" w:cs="宋体"/>
          <w:sz w:val="32"/>
          <w:szCs w:val="32"/>
        </w:rPr>
        <w:t>日</w:t>
      </w:r>
    </w:p>
    <w:p w14:paraId="2E40DEE4"/>
    <w:p w14:paraId="3AC736ED">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第一部分 单位概况</w:t>
      </w:r>
      <w:r>
        <w:rPr>
          <w:rFonts w:hint="eastAsia" w:ascii="国标黑体" w:hAnsi="国标黑体" w:eastAsia="国标黑体" w:cs="国标黑体"/>
          <w:sz w:val="32"/>
          <w:szCs w:val="32"/>
        </w:rPr>
        <w:ptab w:relativeTo="margin" w:alignment="right" w:leader="dot"/>
      </w:r>
      <w:r>
        <w:rPr>
          <w:rFonts w:hint="eastAsia" w:ascii="国标黑体" w:hAnsi="国标黑体" w:eastAsia="国标黑体" w:cs="国标黑体"/>
          <w:sz w:val="32"/>
          <w:szCs w:val="32"/>
        </w:rPr>
        <w:t>1</w:t>
      </w:r>
    </w:p>
    <w:p w14:paraId="78867CE4">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一、主要职责</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rPr>
        <w:t>1</w:t>
      </w:r>
    </w:p>
    <w:p w14:paraId="287C5078">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二、机构设置</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rPr>
        <w:t>1</w:t>
      </w:r>
    </w:p>
    <w:p w14:paraId="24ACE530">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rPr>
        <w:t>第二部分 202</w:t>
      </w:r>
      <w:r>
        <w:rPr>
          <w:rFonts w:hint="eastAsia" w:ascii="国标黑体" w:hAnsi="国标黑体" w:eastAsia="国标黑体" w:cs="国标黑体"/>
          <w:sz w:val="32"/>
          <w:szCs w:val="32"/>
          <w:lang w:val="en-US" w:eastAsia="zh-CN"/>
        </w:rPr>
        <w:t>4</w:t>
      </w:r>
      <w:r>
        <w:rPr>
          <w:rFonts w:hint="eastAsia" w:ascii="国标黑体" w:hAnsi="国标黑体" w:eastAsia="国标黑体" w:cs="国标黑体"/>
          <w:sz w:val="32"/>
          <w:szCs w:val="32"/>
        </w:rPr>
        <w:t>年度单位决算情况说明</w:t>
      </w:r>
      <w:r>
        <w:rPr>
          <w:rFonts w:hint="eastAsia" w:ascii="国标黑体" w:hAnsi="国标黑体" w:eastAsia="国标黑体" w:cs="国标黑体"/>
          <w:sz w:val="32"/>
          <w:szCs w:val="32"/>
        </w:rPr>
        <w:ptab w:relativeTo="margin" w:alignment="right" w:leader="dot"/>
      </w:r>
      <w:r>
        <w:rPr>
          <w:rFonts w:hint="eastAsia" w:ascii="国标黑体" w:hAnsi="国标黑体" w:eastAsia="国标黑体" w:cs="国标黑体"/>
          <w:sz w:val="32"/>
          <w:szCs w:val="32"/>
          <w:lang w:val="en-US" w:eastAsia="zh-CN"/>
        </w:rPr>
        <w:t>2</w:t>
      </w:r>
    </w:p>
    <w:p w14:paraId="6F0A64AD">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一、收入支出决算总体情况说明</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2</w:t>
      </w:r>
    </w:p>
    <w:p w14:paraId="3599DFB1">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二、收入决算情况说明</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2</w:t>
      </w:r>
    </w:p>
    <w:p w14:paraId="614F8750">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三、支出决算情况说明</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3</w:t>
      </w:r>
    </w:p>
    <w:p w14:paraId="55589FAB">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四、财政拨款收入支出决算总体情况说明</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4</w:t>
      </w:r>
    </w:p>
    <w:p w14:paraId="48D6828A">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五、一般公共预算财政拨款支出决算情况说明</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5</w:t>
      </w:r>
    </w:p>
    <w:p w14:paraId="1B68FE6E">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六、一般公共预算财政拨款基本支出决算情况说明</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8</w:t>
      </w:r>
    </w:p>
    <w:p w14:paraId="74990335">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七、财政拨款“三公”经费支出决算情况说明</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8</w:t>
      </w:r>
    </w:p>
    <w:p w14:paraId="51009985">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八、政府性基金预算支出决算情况说明</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10</w:t>
      </w:r>
    </w:p>
    <w:p w14:paraId="0E7ACA36">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九、国有资本经营预算支出决算情况说明</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10</w:t>
      </w:r>
    </w:p>
    <w:p w14:paraId="14DC4224">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十、其他重要事项的情况说明</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11</w:t>
      </w:r>
    </w:p>
    <w:p w14:paraId="23EB2CFA">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第三部分 名词解释</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12</w:t>
      </w:r>
    </w:p>
    <w:p w14:paraId="6478143B">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第四部分 附件</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15</w:t>
      </w:r>
    </w:p>
    <w:p w14:paraId="127C653B">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第五部分 附表</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16</w:t>
      </w:r>
    </w:p>
    <w:p w14:paraId="331B19A2">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一、收入支出决算总表</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16</w:t>
      </w:r>
    </w:p>
    <w:p w14:paraId="7A4A7B04">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二、收入决算表</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16</w:t>
      </w:r>
    </w:p>
    <w:p w14:paraId="229E8BBE">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三、支出决算表</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16</w:t>
      </w:r>
    </w:p>
    <w:p w14:paraId="31324250">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四、财政拨款收入支出决算总表</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16</w:t>
      </w:r>
    </w:p>
    <w:p w14:paraId="1B8AD87B">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五、财政拨款支出决算明细表</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16</w:t>
      </w:r>
    </w:p>
    <w:p w14:paraId="0B55722E">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六、一般公共预算财政拨款支出决算表</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16</w:t>
      </w:r>
    </w:p>
    <w:p w14:paraId="175112E9">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七、一般公共预算财政拨款支出决算明细表</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16</w:t>
      </w:r>
    </w:p>
    <w:p w14:paraId="4D90DECC">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八、一般公共预算财政拨款基本支出决算明细表</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16</w:t>
      </w:r>
    </w:p>
    <w:p w14:paraId="63AEF030">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九、一般公共预算财政拨款项目支出决算表</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16</w:t>
      </w:r>
    </w:p>
    <w:p w14:paraId="0732556D">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十、政府性基金预算财政拨款收入支出决算表</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16</w:t>
      </w:r>
    </w:p>
    <w:p w14:paraId="761E3632">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十一、国有资本经营预算财政拨款收入支出决算表</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16</w:t>
      </w:r>
    </w:p>
    <w:p w14:paraId="7EC6F3A6">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十二、国有资本经营预算财政拨款支出决算表</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16</w:t>
      </w:r>
    </w:p>
    <w:p w14:paraId="559AD8EB">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b w:val="0"/>
          <w:sz w:val="32"/>
          <w:szCs w:val="32"/>
          <w:lang w:val="en-US" w:eastAsia="zh-CN"/>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CESI仿宋-GB2312" w:hAnsi="CESI仿宋-GB2312" w:eastAsia="CESI仿宋-GB2312" w:cs="CESI仿宋-GB2312"/>
          <w:sz w:val="32"/>
          <w:szCs w:val="32"/>
        </w:rPr>
        <w:t>十三、财政拨款“三公”经费支出决算表</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lang w:val="en-US" w:eastAsia="zh-CN"/>
        </w:rPr>
        <w:t>16</w:t>
      </w:r>
    </w:p>
    <w:p w14:paraId="5E21D2D1">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p>
    <w:p w14:paraId="2D83428F">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val="en-US" w:eastAsia="zh-CN"/>
        </w:rPr>
        <w:t>单位</w:t>
      </w:r>
      <w:r>
        <w:rPr>
          <w:rStyle w:val="28"/>
          <w:rFonts w:hint="eastAsia" w:ascii="Times New Roman" w:hAnsi="Times New Roman" w:eastAsia="方正小标宋简体" w:cs="方正小标宋简体"/>
          <w:b w:val="0"/>
          <w:bCs w:val="0"/>
          <w:color w:val="auto"/>
          <w:highlight w:val="none"/>
        </w:rPr>
        <w:t>概况</w:t>
      </w:r>
      <w:bookmarkEnd w:id="12"/>
      <w:bookmarkEnd w:id="13"/>
    </w:p>
    <w:p w14:paraId="020A1342">
      <w:pPr>
        <w:widowControl/>
        <w:jc w:val="left"/>
        <w:rPr>
          <w:rFonts w:ascii="Times New Roman" w:hAnsi="Times New Roman" w:eastAsia="黑体"/>
          <w:color w:val="auto"/>
          <w:sz w:val="32"/>
          <w:szCs w:val="32"/>
          <w:highlight w:val="none"/>
        </w:rPr>
      </w:pPr>
    </w:p>
    <w:p w14:paraId="12A42CBC">
      <w:pPr>
        <w:pStyle w:val="4"/>
        <w:numPr>
          <w:ilvl w:val="0"/>
          <w:numId w:val="1"/>
        </w:numPr>
        <w:rPr>
          <w:rStyle w:val="35"/>
          <w:rFonts w:hint="eastAsia" w:ascii="黑体" w:hAnsi="黑体" w:eastAsia="黑体"/>
          <w:b w:val="0"/>
          <w:bCs w:val="0"/>
        </w:rPr>
      </w:pPr>
      <w:r>
        <w:rPr>
          <w:rStyle w:val="35"/>
          <w:rFonts w:hint="eastAsia" w:ascii="黑体" w:hAnsi="黑体" w:eastAsia="黑体"/>
          <w:b w:val="0"/>
          <w:bCs w:val="0"/>
        </w:rPr>
        <w:t>主要职责</w:t>
      </w:r>
    </w:p>
    <w:p w14:paraId="366749E1">
      <w:pPr>
        <w:ind w:left="420" w:leftChars="0" w:firstLine="420" w:firstLineChars="0"/>
        <w:rPr>
          <w:rFonts w:hint="eastAsia"/>
          <w:lang w:eastAsia="zh-CN"/>
        </w:rPr>
      </w:pPr>
      <w:r>
        <w:rPr>
          <w:rFonts w:hint="eastAsia" w:ascii="仿宋_GB2312" w:hAnsi="仿宋" w:eastAsia="仿宋_GB2312"/>
          <w:color w:val="auto"/>
          <w:sz w:val="32"/>
          <w:szCs w:val="32"/>
        </w:rPr>
        <w:t>我中心是以社区医院为主体，全科医师为骨干，合理使用社区资源和适宜技术，开展以社区为范围，家庭为单位，健康为中心，需求为导向的，以老年、妇女、儿童和慢性病人为重点的集预防保健、基本公共卫生服务、基本医疗服务、健康教育为一体的，有效、经济、方便、综合、连续的基层卫生服务中心</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 xml:space="preserve"> </w:t>
      </w:r>
    </w:p>
    <w:p w14:paraId="55F99327">
      <w:pPr>
        <w:pStyle w:val="4"/>
        <w:rPr>
          <w:rStyle w:val="29"/>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4"/>
      <w:bookmarkEnd w:id="15"/>
    </w:p>
    <w:p w14:paraId="162DA0DF">
      <w:pPr>
        <w:numPr>
          <w:ilvl w:val="0"/>
          <w:numId w:val="0"/>
        </w:numPr>
        <w:ind w:left="420" w:leftChars="0" w:firstLine="420" w:firstLineChars="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盐边县社区卫生服务中心是一所集预防保健、基本公共卫生服务为一体的二级预算单位。</w:t>
      </w:r>
    </w:p>
    <w:p w14:paraId="57B4E6ED">
      <w:pPr>
        <w:pStyle w:val="2"/>
        <w:rPr>
          <w:rFonts w:hint="default"/>
          <w:lang w:val="en-US" w:eastAsia="zh-CN"/>
        </w:rPr>
      </w:pPr>
      <w:r>
        <w:rPr>
          <w:rFonts w:hint="eastAsia" w:hAnsi="仿宋"/>
          <w:sz w:val="32"/>
          <w:szCs w:val="32"/>
          <w:lang w:val="en-US" w:eastAsia="zh-CN"/>
        </w:rPr>
        <w:t xml:space="preserve">  </w:t>
      </w:r>
      <w:r>
        <w:rPr>
          <w:rFonts w:hint="eastAsia" w:hAnsi="仿宋"/>
          <w:sz w:val="32"/>
          <w:szCs w:val="32"/>
          <w:lang w:val="en-US" w:eastAsia="zh-CN"/>
        </w:rPr>
        <w:tab/>
      </w:r>
      <w:r>
        <w:rPr>
          <w:rFonts w:hint="eastAsia" w:hAnsi="仿宋"/>
          <w:sz w:val="32"/>
          <w:szCs w:val="32"/>
          <w:lang w:val="en-US" w:eastAsia="zh-CN"/>
        </w:rPr>
        <w:tab/>
      </w:r>
      <w:r>
        <w:rPr>
          <w:rFonts w:hint="eastAsia" w:hAnsi="仿宋"/>
          <w:sz w:val="32"/>
          <w:szCs w:val="32"/>
          <w:lang w:val="en-US" w:eastAsia="zh-CN"/>
        </w:rPr>
        <w:t>内部管理机构设置：院长办公室、行政办公室、中心主任室、基层股办公室、 财务室 、公共卫生办公室。</w:t>
      </w:r>
    </w:p>
    <w:p w14:paraId="6A6D175D">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bookmarkStart w:id="67" w:name="_GoBack"/>
      <w:bookmarkEnd w:id="67"/>
    </w:p>
    <w:p w14:paraId="7F441D85">
      <w:pPr>
        <w:pStyle w:val="3"/>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77BE23D0">
      <w:pPr>
        <w:rPr>
          <w:rFonts w:ascii="Times New Roman" w:hAnsi="Times New Roman"/>
          <w:color w:val="auto"/>
          <w:highlight w:val="none"/>
        </w:rPr>
      </w:pPr>
    </w:p>
    <w:p w14:paraId="7F89EB0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14:paraId="64D0931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783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56.01</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7.70</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卫生健康支出增加。</w:t>
      </w:r>
    </w:p>
    <w:p w14:paraId="2DA5EA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5DAA9D3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4217035</wp:posOffset>
                </wp:positionH>
                <wp:positionV relativeFrom="paragraph">
                  <wp:posOffset>401320</wp:posOffset>
                </wp:positionV>
                <wp:extent cx="993775" cy="302895"/>
                <wp:effectExtent l="0" t="0" r="15875" b="1905"/>
                <wp:wrapNone/>
                <wp:docPr id="15" name="文本框 15"/>
                <wp:cNvGraphicFramePr/>
                <a:graphic xmlns:a="http://schemas.openxmlformats.org/drawingml/2006/main">
                  <a:graphicData uri="http://schemas.microsoft.com/office/word/2010/wordprocessingShape">
                    <wps:wsp>
                      <wps:cNvSpPr txBox="1"/>
                      <wps:spPr>
                        <a:xfrm>
                          <a:off x="5876290" y="4309110"/>
                          <a:ext cx="993775"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30A0C0B">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05pt;margin-top:31.6pt;height:23.85pt;width:78.25pt;z-index:251661312;mso-width-relative:page;mso-height-relative:page;" fillcolor="#FFFFFF [3201]" filled="t" stroked="f" coordsize="21600,21600" o:gfxdata="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2Pk&#10;T9UAAAAKAQAADwAAAAAAAAABACAAAAAiAAAAZHJzL2Rvd25yZXYueG1sUEsBAhQAFAAAAAgAh07i&#10;QHKyDFReAgAAnAQAAA4AAAAAAAAAAQAgAAAAJAEAAGRycy9lMm9Eb2MueG1sUEsFBgAAAAAGAAYA&#10;WQEAAPQFAAAAAA==&#10;">
                <v:fill on="t" focussize="0,0"/>
                <v:stroke on="f" weight="0.5pt"/>
                <v:imagedata o:title=""/>
                <o:lock v:ext="edit" aspectratio="f"/>
                <v:textbox>
                  <w:txbxContent>
                    <w:p w14:paraId="430A0C0B">
                      <w:pPr>
                        <w:rPr>
                          <w:rFonts w:hint="default" w:eastAsia="宋体"/>
                          <w:lang w:val="en-US" w:eastAsia="zh-CN"/>
                        </w:rPr>
                      </w:pPr>
                      <w:r>
                        <w:rPr>
                          <w:rFonts w:hint="eastAsia"/>
                          <w:lang w:val="en-US" w:eastAsia="zh-CN"/>
                        </w:rPr>
                        <w:t>单位：万元</w:t>
                      </w:r>
                    </w:p>
                  </w:txbxContent>
                </v:textbox>
              </v:shape>
            </w:pict>
          </mc:Fallback>
        </mc:AlternateContent>
      </w:r>
      <w:r>
        <w:rPr>
          <w:rFonts w:hint="eastAsia" w:eastAsia="仿宋_GB2312" w:cs="仿宋_GB2312"/>
          <w:color w:val="auto"/>
          <w:sz w:val="32"/>
          <w:szCs w:val="32"/>
          <w:highlight w:val="none"/>
          <w:lang w:val="en-US" w:eastAsia="zh-CN"/>
        </w:rPr>
        <w:drawing>
          <wp:anchor distT="0" distB="0" distL="114300" distR="114300" simplePos="0" relativeHeight="251660288" behindDoc="0" locked="0" layoutInCell="1" allowOverlap="1">
            <wp:simplePos x="0" y="0"/>
            <wp:positionH relativeFrom="column">
              <wp:posOffset>173990</wp:posOffset>
            </wp:positionH>
            <wp:positionV relativeFrom="paragraph">
              <wp:posOffset>261620</wp:posOffset>
            </wp:positionV>
            <wp:extent cx="5153025" cy="2741930"/>
            <wp:effectExtent l="4445" t="4445" r="5080" b="1587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F1B03A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27B13B3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783万元，其中：一般公共预算财政拨款收入688.82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87.97</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90.18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11.51</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0.51</w:t>
      </w:r>
      <w:r>
        <w:rPr>
          <w:rFonts w:hint="eastAsia" w:ascii="仿宋_GB2312" w:hAnsi="仿宋_GB2312" w:eastAsia="仿宋_GB2312" w:cs="仿宋_GB2312"/>
          <w:color w:val="auto"/>
          <w:sz w:val="32"/>
          <w:szCs w:val="32"/>
          <w:highlight w:val="none"/>
          <w:lang w:eastAsia="zh-CN"/>
        </w:rPr>
        <w:t>%。</w:t>
      </w:r>
    </w:p>
    <w:p w14:paraId="785691A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5274CD91">
      <w:pPr>
        <w:pStyle w:val="2"/>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4027170</wp:posOffset>
                </wp:positionH>
                <wp:positionV relativeFrom="paragraph">
                  <wp:posOffset>326390</wp:posOffset>
                </wp:positionV>
                <wp:extent cx="914400" cy="311785"/>
                <wp:effectExtent l="0" t="0" r="0" b="12065"/>
                <wp:wrapNone/>
                <wp:docPr id="16" name="文本框 16"/>
                <wp:cNvGraphicFramePr/>
                <a:graphic xmlns:a="http://schemas.openxmlformats.org/drawingml/2006/main">
                  <a:graphicData uri="http://schemas.microsoft.com/office/word/2010/wordprocessingShape">
                    <wps:wsp>
                      <wps:cNvSpPr txBox="1"/>
                      <wps:spPr>
                        <a:xfrm>
                          <a:off x="5170170" y="2184400"/>
                          <a:ext cx="914400" cy="311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1ACC20E">
                            <w:pPr>
                              <w:rPr>
                                <w:rFonts w:hint="default"/>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1pt;margin-top:25.7pt;height:24.55pt;width:72pt;z-index:251662336;mso-width-relative:page;mso-height-relative:page;" fillcolor="#FFFFFF [3201]" filled="t" stroked="f" coordsize="21600,21600" o:gfxdata="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4s4mF1QAAAAoB&#10;AAAPAAAAAAAAAAEAIAAAACIAAABkcnMvZG93bnJldi54bWxQSwECFAAUAAAACACHTuJAyyE9wlcC&#10;AACcBAAADgAAAAAAAAABACAAAAAkAQAAZHJzL2Uyb0RvYy54bWxQSwUGAAAAAAYABgBZAQAA7QUA&#10;AAAA&#10;">
                <v:fill on="t" focussize="0,0"/>
                <v:stroke on="f" weight="0.5pt"/>
                <v:imagedata o:title=""/>
                <o:lock v:ext="edit" aspectratio="f"/>
                <v:textbox>
                  <w:txbxContent>
                    <w:p w14:paraId="21ACC20E">
                      <w:pPr>
                        <w:rPr>
                          <w:rFonts w:hint="default"/>
                          <w:lang w:val="en-US" w:eastAsia="zh-CN"/>
                        </w:rPr>
                      </w:pPr>
                      <w:r>
                        <w:rPr>
                          <w:rFonts w:hint="eastAsia"/>
                          <w:lang w:val="en-US" w:eastAsia="zh-CN"/>
                        </w:rPr>
                        <w:t>单位：万元</w:t>
                      </w:r>
                    </w:p>
                  </w:txbxContent>
                </v:textbox>
              </v:shape>
            </w:pict>
          </mc:Fallback>
        </mc:AlternateContent>
      </w: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9" name="图表 9" descr="7b0a202020202263686172745265734964223a2022323034373638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B85CBD">
      <w:pPr>
        <w:ind w:firstLine="800" w:firstLineChars="250"/>
        <w:rPr>
          <w:rFonts w:hint="eastAsia" w:ascii="Times New Roman" w:hAnsi="Times New Roman" w:eastAsia="仿宋_GB2312" w:cs="仿宋_GB2312"/>
          <w:color w:val="auto"/>
          <w:sz w:val="32"/>
          <w:szCs w:val="32"/>
          <w:highlight w:val="none"/>
          <w:lang w:eastAsia="zh-CN"/>
        </w:rPr>
      </w:pPr>
    </w:p>
    <w:p w14:paraId="709590B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p>
    <w:p w14:paraId="65A437D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781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542.47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69.45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238.53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30.54</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678CF72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4A9CBB28">
      <w:pPr>
        <w:ind w:firstLine="800" w:firstLineChars="250"/>
        <w:rPr>
          <w:rFonts w:hint="eastAsia" w:ascii="Times New Roman" w:hAnsi="Times New Roman" w:eastAsia="仿宋_GB2312" w:cs="仿宋_GB2312"/>
          <w:color w:val="auto"/>
          <w:sz w:val="32"/>
          <w:szCs w:val="32"/>
          <w:highlight w:val="none"/>
          <w:lang w:eastAsia="zh-CN"/>
        </w:rPr>
      </w:pPr>
    </w:p>
    <w:p w14:paraId="6898AAE3">
      <w:pPr>
        <w:pStyle w:val="2"/>
        <w:rPr>
          <w:rFonts w:hint="eastAsia" w:ascii="Times New Roman" w:hAnsi="Times New Roman" w:eastAsia="仿宋_GB2312" w:cs="仿宋_GB2312"/>
          <w:color w:val="auto"/>
          <w:sz w:val="32"/>
          <w:szCs w:val="32"/>
          <w:highlight w:val="none"/>
          <w:lang w:eastAsia="zh-CN"/>
        </w:rPr>
      </w:pPr>
    </w:p>
    <w:p w14:paraId="729F6C00">
      <w:pPr>
        <w:pStyle w:val="2"/>
        <w:rPr>
          <w:rFonts w:hint="eastAsia" w:ascii="Times New Roman" w:hAnsi="Times New Roman" w:eastAsia="仿宋_GB2312" w:cs="仿宋_GB2312"/>
          <w:color w:val="auto"/>
          <w:sz w:val="32"/>
          <w:szCs w:val="32"/>
          <w:highlight w:val="none"/>
          <w:lang w:eastAsia="zh-CN"/>
        </w:rPr>
      </w:pPr>
    </w:p>
    <w:p w14:paraId="43239758">
      <w:pPr>
        <w:pStyle w:val="2"/>
        <w:rPr>
          <w:rFonts w:hint="eastAsia" w:ascii="Times New Roman" w:hAnsi="Times New Roman" w:eastAsia="仿宋_GB2312" w:cs="仿宋_GB2312"/>
          <w:color w:val="auto"/>
          <w:sz w:val="32"/>
          <w:szCs w:val="32"/>
          <w:highlight w:val="none"/>
          <w:lang w:eastAsia="zh-CN"/>
        </w:rPr>
      </w:pPr>
    </w:p>
    <w:p w14:paraId="1BE0910E">
      <w:pPr>
        <w:pStyle w:val="2"/>
        <w:rPr>
          <w:rFonts w:hint="eastAsia" w:ascii="Times New Roman" w:hAnsi="Times New Roman" w:eastAsia="仿宋_GB2312" w:cs="仿宋_GB2312"/>
          <w:color w:val="auto"/>
          <w:sz w:val="32"/>
          <w:szCs w:val="32"/>
          <w:highlight w:val="none"/>
          <w:lang w:eastAsia="zh-CN"/>
        </w:rPr>
      </w:pPr>
    </w:p>
    <w:p w14:paraId="2059F39E">
      <w:pPr>
        <w:pStyle w:val="2"/>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4098290</wp:posOffset>
                </wp:positionH>
                <wp:positionV relativeFrom="paragraph">
                  <wp:posOffset>296545</wp:posOffset>
                </wp:positionV>
                <wp:extent cx="835660" cy="312420"/>
                <wp:effectExtent l="0" t="0" r="2540" b="11430"/>
                <wp:wrapNone/>
                <wp:docPr id="17" name="文本框 17"/>
                <wp:cNvGraphicFramePr/>
                <a:graphic xmlns:a="http://schemas.openxmlformats.org/drawingml/2006/main">
                  <a:graphicData uri="http://schemas.microsoft.com/office/word/2010/wordprocessingShape">
                    <wps:wsp>
                      <wps:cNvSpPr txBox="1"/>
                      <wps:spPr>
                        <a:xfrm>
                          <a:off x="5352415" y="1313815"/>
                          <a:ext cx="835660" cy="312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F3A3F0B">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7pt;margin-top:23.35pt;height:24.6pt;width:65.8pt;z-index:251663360;mso-width-relative:page;mso-height-relative:page;" fillcolor="#FFFFFF [3201]" filled="t" stroked="f" coordsize="21600,21600" o:gfxdata="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A94wtUA&#10;AAAJAQAADwAAAAAAAAABACAAAAAiAAAAZHJzL2Rvd25yZXYueG1sUEsBAhQAFAAAAAgAh07iQGsk&#10;cANbAgAAnAQAAA4AAAAAAAAAAQAgAAAAJAEAAGRycy9lMm9Eb2MueG1sUEsFBgAAAAAGAAYAWQEA&#10;APEFAAAAAA==&#10;">
                <v:fill on="t" focussize="0,0"/>
                <v:stroke on="f" weight="0.5pt"/>
                <v:imagedata o:title=""/>
                <o:lock v:ext="edit" aspectratio="f"/>
                <v:textbox>
                  <w:txbxContent>
                    <w:p w14:paraId="4F3A3F0B">
                      <w:pPr>
                        <w:rPr>
                          <w:rFonts w:hint="default" w:eastAsia="宋体"/>
                          <w:lang w:val="en-US" w:eastAsia="zh-CN"/>
                        </w:rPr>
                      </w:pPr>
                      <w:r>
                        <w:rPr>
                          <w:rFonts w:hint="eastAsia"/>
                          <w:lang w:val="en-US" w:eastAsia="zh-CN"/>
                        </w:rPr>
                        <w:t>单位：万元</w:t>
                      </w:r>
                    </w:p>
                  </w:txbxContent>
                </v:textbox>
              </v:shape>
            </w:pict>
          </mc:Fallback>
        </mc:AlternateContent>
      </w: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B90E47">
      <w:pPr>
        <w:spacing w:line="600" w:lineRule="exact"/>
        <w:ind w:firstLine="640" w:firstLineChars="200"/>
        <w:outlineLvl w:val="1"/>
        <w:rPr>
          <w:rStyle w:val="29"/>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4"/>
      <w:bookmarkEnd w:id="25"/>
    </w:p>
    <w:p w14:paraId="71B09F5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688.82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万元。与2023年度相比，财政拨款收入增加</w:t>
      </w:r>
      <w:r>
        <w:rPr>
          <w:rFonts w:hint="eastAsia" w:eastAsia="仿宋_GB2312" w:cs="仿宋_GB2312"/>
          <w:color w:val="auto"/>
          <w:kern w:val="2"/>
          <w:sz w:val="32"/>
          <w:szCs w:val="32"/>
          <w:highlight w:val="none"/>
          <w:lang w:val="en-US" w:eastAsia="zh-CN" w:bidi="ar-SA"/>
        </w:rPr>
        <w:t>45.33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7.04</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卫生健康项目费用增加。</w:t>
      </w:r>
    </w:p>
    <w:p w14:paraId="122A0FBB">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5CF6C6BF">
      <w:pPr>
        <w:pStyle w:val="2"/>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64384" behindDoc="0" locked="0" layoutInCell="1" allowOverlap="1">
                <wp:simplePos x="0" y="0"/>
                <wp:positionH relativeFrom="column">
                  <wp:posOffset>4122420</wp:posOffset>
                </wp:positionH>
                <wp:positionV relativeFrom="paragraph">
                  <wp:posOffset>310515</wp:posOffset>
                </wp:positionV>
                <wp:extent cx="977900" cy="287655"/>
                <wp:effectExtent l="0" t="0" r="12700" b="17145"/>
                <wp:wrapNone/>
                <wp:docPr id="18" name="文本框 18"/>
                <wp:cNvGraphicFramePr/>
                <a:graphic xmlns:a="http://schemas.openxmlformats.org/drawingml/2006/main">
                  <a:graphicData uri="http://schemas.microsoft.com/office/word/2010/wordprocessingShape">
                    <wps:wsp>
                      <wps:cNvSpPr txBox="1"/>
                      <wps:spPr>
                        <a:xfrm>
                          <a:off x="5328920" y="6760210"/>
                          <a:ext cx="977900" cy="2876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A2DCDD">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4.6pt;margin-top:24.45pt;height:22.65pt;width:77pt;z-index:251664384;mso-width-relative:page;mso-height-relative:page;" fillcolor="#FFFFFF [3201]" filled="t" stroked="f" coordsize="21600,21600" o:gfxdata="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gtzHvVAAAA&#10;CQEAAA8AAAAAAAAAAQAgAAAAIgAAAGRycy9kb3ducmV2LnhtbFBLAQIUABQAAAAIAIdO4kC/1QeA&#10;WQIAAJwEAAAOAAAAAAAAAAEAIAAAACQBAABkcnMvZTJvRG9jLnhtbFBLBQYAAAAABgAGAFkBAADv&#10;BQAAAAA=&#10;">
                <v:fill on="t" focussize="0,0"/>
                <v:stroke on="f" weight="0.5pt"/>
                <v:imagedata o:title=""/>
                <o:lock v:ext="edit" aspectratio="f"/>
                <v:textbox>
                  <w:txbxContent>
                    <w:p w14:paraId="72A2DCDD">
                      <w:pPr>
                        <w:rPr>
                          <w:rFonts w:hint="default" w:eastAsia="宋体"/>
                          <w:lang w:val="en-US" w:eastAsia="zh-CN"/>
                        </w:rPr>
                      </w:pPr>
                      <w:r>
                        <w:rPr>
                          <w:rFonts w:hint="eastAsia"/>
                          <w:lang w:val="en-US" w:eastAsia="zh-CN"/>
                        </w:rPr>
                        <w:t>单位：万元</w:t>
                      </w:r>
                    </w:p>
                  </w:txbxContent>
                </v:textbox>
              </v:shape>
            </w:pict>
          </mc:Fallback>
        </mc:AlternateContent>
      </w: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256530" cy="2988310"/>
            <wp:effectExtent l="5080" t="4445" r="1524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A3721F">
      <w:pPr>
        <w:spacing w:line="600" w:lineRule="exact"/>
        <w:ind w:firstLine="640" w:firstLineChars="200"/>
        <w:outlineLvl w:val="1"/>
        <w:rPr>
          <w:rStyle w:val="29"/>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6"/>
      <w:bookmarkEnd w:id="27"/>
    </w:p>
    <w:p w14:paraId="57B3BDD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1A7D62A3">
      <w:pPr>
        <w:shd w:val="clear"/>
        <w:spacing w:line="600" w:lineRule="exact"/>
        <w:ind w:firstLine="640"/>
        <w:rPr>
          <w:rFonts w:hint="default" w:ascii="Times New Roman" w:hAnsi="Times New Roman" w:eastAsia="仿宋_GB2312" w:cs="仿宋_GB2312"/>
          <w:color w:val="auto"/>
          <w:kern w:val="2"/>
          <w:sz w:val="32"/>
          <w:szCs w:val="32"/>
          <w:highlight w:val="none"/>
          <w:shd w:val="clear" w:color="auto"/>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688.82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88.19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%。与2023年度相比，一般公共预算财政拨款支出增加45.33万元，增长7.04%。</w:t>
      </w:r>
      <w:r>
        <w:rPr>
          <w:rFonts w:hint="eastAsia" w:ascii="Times New Roman" w:hAnsi="Times New Roman" w:eastAsia="仿宋_GB2312" w:cs="仿宋_GB2312"/>
          <w:color w:val="auto"/>
          <w:kern w:val="2"/>
          <w:sz w:val="32"/>
          <w:szCs w:val="32"/>
          <w:highlight w:val="none"/>
          <w:shd w:val="clear" w:color="auto"/>
          <w:lang w:val="en-US" w:eastAsia="zh-CN" w:bidi="ar-SA"/>
        </w:rPr>
        <w:t>主要变动原因是</w:t>
      </w:r>
      <w:r>
        <w:rPr>
          <w:rFonts w:hint="eastAsia" w:eastAsia="仿宋_GB2312" w:cs="仿宋_GB2312"/>
          <w:color w:val="auto"/>
          <w:kern w:val="2"/>
          <w:sz w:val="32"/>
          <w:szCs w:val="32"/>
          <w:highlight w:val="none"/>
          <w:shd w:val="clear" w:color="auto"/>
          <w:lang w:val="en-US" w:eastAsia="zh-CN" w:bidi="ar-SA"/>
        </w:rPr>
        <w:t>卫生健康项目费用增加。</w:t>
      </w:r>
    </w:p>
    <w:p w14:paraId="0D07D5AA">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0744FE99">
      <w:pPr>
        <w:pStyle w:val="2"/>
        <w:rPr>
          <w:rFonts w:hint="default"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65408" behindDoc="0" locked="0" layoutInCell="1" allowOverlap="1">
                <wp:simplePos x="0" y="0"/>
                <wp:positionH relativeFrom="column">
                  <wp:posOffset>4201795</wp:posOffset>
                </wp:positionH>
                <wp:positionV relativeFrom="paragraph">
                  <wp:posOffset>288290</wp:posOffset>
                </wp:positionV>
                <wp:extent cx="914400" cy="318135"/>
                <wp:effectExtent l="0" t="0" r="0" b="5715"/>
                <wp:wrapNone/>
                <wp:docPr id="19" name="文本框 19"/>
                <wp:cNvGraphicFramePr/>
                <a:graphic xmlns:a="http://schemas.openxmlformats.org/drawingml/2006/main">
                  <a:graphicData uri="http://schemas.microsoft.com/office/word/2010/wordprocessingShape">
                    <wps:wsp>
                      <wps:cNvSpPr txBox="1"/>
                      <wps:spPr>
                        <a:xfrm>
                          <a:off x="5344795" y="3924300"/>
                          <a:ext cx="914400" cy="3181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12B4935">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85pt;margin-top:22.7pt;height:25.05pt;width:72pt;z-index:251665408;mso-width-relative:page;mso-height-relative:page;" fillcolor="#FFFFFF [3201]" filled="t" stroked="f" coordsize="21600,21600" o:gfxdata="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o2c0NUAAAAJ&#10;AQAADwAAAAAAAAABACAAAAAiAAAAZHJzL2Rvd25yZXYueG1sUEsBAhQAFAAAAAgAh07iQIpyonVY&#10;AgAAnAQAAA4AAAAAAAAAAQAgAAAAJAEAAGRycy9lMm9Eb2MueG1sUEsFBgAAAAAGAAYAWQEAAO4F&#10;AAAAAA==&#10;">
                <v:fill on="t" focussize="0,0"/>
                <v:stroke on="f" weight="0.5pt"/>
                <v:imagedata o:title=""/>
                <o:lock v:ext="edit" aspectratio="f"/>
                <v:textbox>
                  <w:txbxContent>
                    <w:p w14:paraId="312B4935">
                      <w:pPr>
                        <w:rPr>
                          <w:rFonts w:hint="default" w:eastAsia="宋体"/>
                          <w:lang w:val="en-US" w:eastAsia="zh-CN"/>
                        </w:rPr>
                      </w:pPr>
                      <w:r>
                        <w:rPr>
                          <w:rFonts w:hint="eastAsia"/>
                          <w:lang w:val="en-US" w:eastAsia="zh-CN"/>
                        </w:rPr>
                        <w:t>单位：万元</w:t>
                      </w:r>
                    </w:p>
                  </w:txbxContent>
                </v:textbox>
              </v:shape>
            </w:pict>
          </mc:Fallback>
        </mc:AlternateContent>
      </w:r>
      <w:r>
        <w:rPr>
          <w:rFonts w:hint="eastAsia" w:eastAsia="仿宋_GB2312" w:cs="仿宋_GB2312"/>
          <w:color w:val="auto"/>
          <w:kern w:val="2"/>
          <w:sz w:val="32"/>
          <w:szCs w:val="32"/>
          <w:highlight w:val="none"/>
          <w:lang w:val="en-US" w:eastAsia="zh-CN" w:bidi="ar-SA"/>
        </w:rPr>
        <w:drawing>
          <wp:inline distT="0" distB="0" distL="114300" distR="114300">
            <wp:extent cx="5256530" cy="2988310"/>
            <wp:effectExtent l="5080" t="4445" r="15240" b="55245"/>
            <wp:docPr id="12" name="图表 12" descr="7b0a202020202263686172745265734964223a202232303437363736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E7444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5B1F00C6">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688.82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139.51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20.25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521.16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75.66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28.15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4.09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57501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5AF42949">
      <w:pPr>
        <w:pStyle w:val="2"/>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66432" behindDoc="0" locked="0" layoutInCell="1" allowOverlap="1">
                <wp:simplePos x="0" y="0"/>
                <wp:positionH relativeFrom="column">
                  <wp:posOffset>4218305</wp:posOffset>
                </wp:positionH>
                <wp:positionV relativeFrom="paragraph">
                  <wp:posOffset>294640</wp:posOffset>
                </wp:positionV>
                <wp:extent cx="834390" cy="304165"/>
                <wp:effectExtent l="0" t="0" r="3810" b="635"/>
                <wp:wrapNone/>
                <wp:docPr id="20" name="文本框 20"/>
                <wp:cNvGraphicFramePr/>
                <a:graphic xmlns:a="http://schemas.openxmlformats.org/drawingml/2006/main">
                  <a:graphicData uri="http://schemas.microsoft.com/office/word/2010/wordprocessingShape">
                    <wps:wsp>
                      <wps:cNvSpPr txBox="1"/>
                      <wps:spPr>
                        <a:xfrm>
                          <a:off x="5455920" y="1732915"/>
                          <a:ext cx="834390" cy="3041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13A695">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15pt;margin-top:23.2pt;height:23.95pt;width:65.7pt;z-index:251666432;mso-width-relative:page;mso-height-relative:page;" fillcolor="#FFFFFF [3201]" filled="t" stroked="f" coordsize="21600,21600" o:gfxdata="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0s02tQA&#10;AAAJAQAADwAAAAAAAAABACAAAAAiAAAAZHJzL2Rvd25yZXYueG1sUEsBAhQAFAAAAAgAh07iQFmy&#10;YgRcAgAAnAQAAA4AAAAAAAAAAQAgAAAAIwEAAGRycy9lMm9Eb2MueG1sUEsFBgAAAAAGAAYAWQEA&#10;APEFAAAAAA==&#10;">
                <v:fill on="t" focussize="0,0"/>
                <v:stroke on="f" weight="0.5pt"/>
                <v:imagedata o:title=""/>
                <o:lock v:ext="edit" aspectratio="f"/>
                <v:textbox>
                  <w:txbxContent>
                    <w:p w14:paraId="4D13A695">
                      <w:pPr>
                        <w:rPr>
                          <w:rFonts w:hint="default" w:eastAsia="宋体"/>
                          <w:lang w:val="en-US" w:eastAsia="zh-CN"/>
                        </w:rPr>
                      </w:pPr>
                      <w:r>
                        <w:rPr>
                          <w:rFonts w:hint="eastAsia"/>
                          <w:lang w:val="en-US" w:eastAsia="zh-CN"/>
                        </w:rPr>
                        <w:t>单位：万元</w:t>
                      </w:r>
                    </w:p>
                  </w:txbxContent>
                </v:textbox>
              </v:shape>
            </w:pict>
          </mc:Fallback>
        </mc:AlternateContent>
      </w: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256530" cy="2988310"/>
            <wp:effectExtent l="5080" t="4445" r="15240" b="1714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49E02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5BDCCD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213"/>
      <w:bookmarkStart w:id="32" w:name="_Toc15377444"/>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688.82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10B854A4">
      <w:pPr>
        <w:spacing w:line="600" w:lineRule="exact"/>
        <w:ind w:firstLine="640" w:firstLineChars="200"/>
        <w:rPr>
          <w:rFonts w:hint="eastAsia" w:ascii="仿宋" w:hAnsi="仿宋" w:eastAsia="仿宋" w:cs="仿宋"/>
          <w:b w:val="0"/>
          <w:bCs/>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Style w:val="17"/>
          <w:rFonts w:hint="eastAsia" w:ascii="仿宋" w:hAnsi="仿宋" w:eastAsia="仿宋" w:cs="仿宋"/>
          <w:b w:val="0"/>
          <w:bCs/>
          <w:sz w:val="32"/>
          <w:szCs w:val="32"/>
        </w:rPr>
        <w:t>社会保障和就业支出（类）行政事业单位养老支出（款）事业单位离退休（项）: 支出决算为</w:t>
      </w:r>
      <w:r>
        <w:rPr>
          <w:rStyle w:val="17"/>
          <w:rFonts w:hint="eastAsia" w:ascii="仿宋" w:hAnsi="仿宋" w:eastAsia="仿宋" w:cs="仿宋"/>
          <w:b w:val="0"/>
          <w:bCs/>
          <w:sz w:val="32"/>
          <w:szCs w:val="32"/>
          <w:lang w:val="en-US" w:eastAsia="zh-CN"/>
        </w:rPr>
        <w:t>64.88</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r>
        <w:rPr>
          <w:rStyle w:val="17"/>
          <w:rFonts w:hint="eastAsia" w:ascii="仿宋" w:hAnsi="仿宋" w:eastAsia="仿宋" w:cs="仿宋"/>
          <w:b w:val="0"/>
          <w:bCs/>
          <w:sz w:val="32"/>
          <w:szCs w:val="32"/>
          <w:lang w:eastAsia="zh-CN"/>
        </w:rPr>
        <w:t>。</w:t>
      </w:r>
    </w:p>
    <w:p w14:paraId="7D533E7D">
      <w:pPr>
        <w:spacing w:line="600" w:lineRule="exact"/>
        <w:ind w:firstLine="640" w:firstLineChars="200"/>
        <w:outlineLvl w:val="2"/>
        <w:rPr>
          <w:rFonts w:hint="default" w:ascii="仿宋" w:hAnsi="仿宋" w:eastAsia="仿宋" w:cs="仿宋"/>
          <w:b w:val="0"/>
          <w:bCs/>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2.</w:t>
      </w:r>
      <w:r>
        <w:rPr>
          <w:rStyle w:val="17"/>
          <w:rFonts w:hint="eastAsia" w:ascii="仿宋" w:hAnsi="仿宋" w:eastAsia="仿宋" w:cs="仿宋"/>
          <w:b w:val="0"/>
          <w:bCs/>
          <w:sz w:val="32"/>
          <w:szCs w:val="32"/>
        </w:rPr>
        <w:t>社会保障和就业支出（类）行政事业单位养老支出（款）机关事业单位基本养老保险缴费支出（项）: 支出决算为</w:t>
      </w:r>
      <w:r>
        <w:rPr>
          <w:rStyle w:val="17"/>
          <w:rFonts w:hint="eastAsia" w:ascii="仿宋" w:hAnsi="仿宋" w:eastAsia="仿宋" w:cs="仿宋"/>
          <w:b w:val="0"/>
          <w:bCs/>
          <w:sz w:val="32"/>
          <w:szCs w:val="32"/>
          <w:lang w:val="en-US" w:eastAsia="zh-CN"/>
        </w:rPr>
        <w:t>38.82</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r>
        <w:rPr>
          <w:rStyle w:val="17"/>
          <w:rFonts w:hint="eastAsia" w:ascii="仿宋" w:hAnsi="仿宋" w:eastAsia="仿宋" w:cs="仿宋"/>
          <w:b w:val="0"/>
          <w:bCs/>
          <w:sz w:val="32"/>
          <w:szCs w:val="32"/>
          <w:lang w:eastAsia="zh-CN"/>
        </w:rPr>
        <w:t>。</w:t>
      </w:r>
    </w:p>
    <w:p w14:paraId="456364A1">
      <w:pPr>
        <w:spacing w:line="600" w:lineRule="exact"/>
        <w:ind w:firstLine="640" w:firstLineChars="200"/>
        <w:rPr>
          <w:rFonts w:hint="eastAsia" w:ascii="仿宋" w:hAnsi="仿宋" w:eastAsia="仿宋" w:cs="仿宋"/>
          <w:b w:val="0"/>
          <w:bCs/>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3.</w:t>
      </w:r>
      <w:r>
        <w:rPr>
          <w:rStyle w:val="17"/>
          <w:rFonts w:hint="eastAsia" w:ascii="仿宋" w:hAnsi="仿宋" w:eastAsia="仿宋" w:cs="仿宋"/>
          <w:b w:val="0"/>
          <w:bCs/>
          <w:sz w:val="32"/>
          <w:szCs w:val="32"/>
        </w:rPr>
        <w:t>社会保障和就业支出（类）</w:t>
      </w:r>
      <w:r>
        <w:rPr>
          <w:rStyle w:val="17"/>
          <w:rFonts w:hint="eastAsia" w:ascii="仿宋" w:hAnsi="仿宋" w:eastAsia="仿宋" w:cs="仿宋"/>
          <w:b w:val="0"/>
          <w:bCs/>
          <w:sz w:val="32"/>
          <w:szCs w:val="32"/>
          <w:lang w:eastAsia="zh-CN"/>
        </w:rPr>
        <w:t>行政事业单位养老支出</w:t>
      </w:r>
      <w:r>
        <w:rPr>
          <w:rStyle w:val="17"/>
          <w:rFonts w:hint="eastAsia" w:ascii="仿宋" w:hAnsi="仿宋" w:eastAsia="仿宋" w:cs="仿宋"/>
          <w:b w:val="0"/>
          <w:bCs/>
          <w:sz w:val="32"/>
          <w:szCs w:val="32"/>
        </w:rPr>
        <w:t>（款）</w:t>
      </w:r>
      <w:r>
        <w:rPr>
          <w:rStyle w:val="17"/>
          <w:rFonts w:hint="eastAsia" w:ascii="仿宋" w:hAnsi="仿宋" w:eastAsia="仿宋" w:cs="仿宋"/>
          <w:b w:val="0"/>
          <w:bCs/>
          <w:sz w:val="32"/>
          <w:szCs w:val="32"/>
          <w:lang w:eastAsia="zh-CN"/>
        </w:rPr>
        <w:t>机关事业单位职业年金缴费支出</w:t>
      </w:r>
      <w:r>
        <w:rPr>
          <w:rStyle w:val="17"/>
          <w:rFonts w:hint="eastAsia" w:ascii="仿宋" w:hAnsi="仿宋" w:eastAsia="仿宋" w:cs="仿宋"/>
          <w:b w:val="0"/>
          <w:bCs/>
          <w:sz w:val="32"/>
          <w:szCs w:val="32"/>
        </w:rPr>
        <w:t>（项）</w:t>
      </w:r>
      <w:r>
        <w:rPr>
          <w:rStyle w:val="17"/>
          <w:rFonts w:hint="eastAsia" w:ascii="仿宋" w:hAnsi="仿宋" w:eastAsia="仿宋" w:cs="仿宋"/>
          <w:b w:val="0"/>
          <w:bCs/>
          <w:sz w:val="32"/>
          <w:szCs w:val="32"/>
          <w:lang w:eastAsia="zh-CN"/>
        </w:rPr>
        <w:t>：</w:t>
      </w:r>
      <w:r>
        <w:rPr>
          <w:rStyle w:val="17"/>
          <w:rFonts w:hint="eastAsia" w:ascii="仿宋" w:hAnsi="仿宋" w:eastAsia="仿宋" w:cs="仿宋"/>
          <w:b w:val="0"/>
          <w:bCs/>
          <w:sz w:val="32"/>
          <w:szCs w:val="32"/>
        </w:rPr>
        <w:t>: 支出决算为</w:t>
      </w:r>
      <w:r>
        <w:rPr>
          <w:rStyle w:val="17"/>
          <w:rFonts w:hint="eastAsia" w:ascii="仿宋" w:hAnsi="仿宋" w:eastAsia="仿宋" w:cs="仿宋"/>
          <w:b w:val="0"/>
          <w:bCs/>
          <w:sz w:val="32"/>
          <w:szCs w:val="32"/>
          <w:lang w:val="en-US" w:eastAsia="zh-CN"/>
        </w:rPr>
        <w:t>18.72</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r>
        <w:rPr>
          <w:rStyle w:val="17"/>
          <w:rFonts w:hint="eastAsia" w:ascii="仿宋" w:hAnsi="仿宋" w:eastAsia="仿宋" w:cs="仿宋"/>
          <w:b w:val="0"/>
          <w:bCs/>
          <w:sz w:val="32"/>
          <w:szCs w:val="32"/>
          <w:lang w:eastAsia="zh-CN"/>
        </w:rPr>
        <w:t>。</w:t>
      </w:r>
    </w:p>
    <w:p w14:paraId="6D20CB25">
      <w:pPr>
        <w:spacing w:line="600" w:lineRule="exact"/>
        <w:ind w:firstLine="640" w:firstLineChars="200"/>
        <w:rPr>
          <w:rFonts w:hint="eastAsia" w:ascii="仿宋" w:hAnsi="仿宋" w:eastAsia="仿宋" w:cs="仿宋"/>
          <w:b w:val="0"/>
          <w:bCs/>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4.</w:t>
      </w:r>
      <w:r>
        <w:rPr>
          <w:rStyle w:val="17"/>
          <w:rFonts w:hint="eastAsia" w:ascii="仿宋" w:hAnsi="仿宋" w:eastAsia="仿宋" w:cs="仿宋"/>
          <w:b w:val="0"/>
          <w:bCs/>
          <w:sz w:val="32"/>
          <w:szCs w:val="32"/>
        </w:rPr>
        <w:t>社会保障和就业支出（类）抚恤（款）</w:t>
      </w:r>
      <w:r>
        <w:rPr>
          <w:rStyle w:val="17"/>
          <w:rFonts w:hint="eastAsia" w:ascii="仿宋" w:hAnsi="仿宋" w:eastAsia="仿宋" w:cs="仿宋"/>
          <w:b w:val="0"/>
          <w:bCs/>
          <w:sz w:val="32"/>
          <w:szCs w:val="32"/>
          <w:lang w:val="en-US" w:eastAsia="zh-CN"/>
        </w:rPr>
        <w:t>死亡</w:t>
      </w:r>
      <w:r>
        <w:rPr>
          <w:rStyle w:val="17"/>
          <w:rFonts w:hint="eastAsia" w:ascii="仿宋" w:hAnsi="仿宋" w:eastAsia="仿宋" w:cs="仿宋"/>
          <w:b w:val="0"/>
          <w:bCs/>
          <w:sz w:val="32"/>
          <w:szCs w:val="32"/>
        </w:rPr>
        <w:t>抚恤（项）: 支出决算为</w:t>
      </w:r>
      <w:r>
        <w:rPr>
          <w:rStyle w:val="17"/>
          <w:rFonts w:hint="eastAsia" w:ascii="仿宋" w:hAnsi="仿宋" w:eastAsia="仿宋" w:cs="仿宋"/>
          <w:b w:val="0"/>
          <w:bCs/>
          <w:sz w:val="32"/>
          <w:szCs w:val="32"/>
          <w:lang w:val="en-US" w:eastAsia="zh-CN"/>
        </w:rPr>
        <w:t>12.51</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r>
        <w:rPr>
          <w:rStyle w:val="17"/>
          <w:rFonts w:hint="eastAsia" w:ascii="仿宋" w:hAnsi="仿宋" w:eastAsia="仿宋" w:cs="仿宋"/>
          <w:b w:val="0"/>
          <w:bCs/>
          <w:sz w:val="32"/>
          <w:szCs w:val="32"/>
          <w:lang w:eastAsia="zh-CN"/>
        </w:rPr>
        <w:t>。</w:t>
      </w:r>
    </w:p>
    <w:p w14:paraId="06985E0D">
      <w:pPr>
        <w:spacing w:line="600" w:lineRule="exact"/>
        <w:ind w:firstLine="640" w:firstLineChars="200"/>
        <w:rPr>
          <w:rFonts w:hint="eastAsia" w:ascii="仿宋" w:hAnsi="仿宋" w:eastAsia="仿宋" w:cs="仿宋"/>
          <w:b w:val="0"/>
          <w:bCs/>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5.</w:t>
      </w:r>
      <w:r>
        <w:rPr>
          <w:rStyle w:val="17"/>
          <w:rFonts w:hint="eastAsia" w:ascii="仿宋" w:hAnsi="仿宋" w:eastAsia="仿宋" w:cs="仿宋"/>
          <w:b w:val="0"/>
          <w:bCs/>
          <w:sz w:val="32"/>
          <w:szCs w:val="32"/>
        </w:rPr>
        <w:t>社会保障和就业支出（类）抚恤（款）伤残抚恤（项）: 支出决算为</w:t>
      </w:r>
      <w:r>
        <w:rPr>
          <w:rStyle w:val="17"/>
          <w:rFonts w:hint="eastAsia" w:ascii="仿宋" w:hAnsi="仿宋" w:eastAsia="仿宋" w:cs="仿宋"/>
          <w:b w:val="0"/>
          <w:bCs/>
          <w:sz w:val="32"/>
          <w:szCs w:val="32"/>
          <w:lang w:val="en-US" w:eastAsia="zh-CN"/>
        </w:rPr>
        <w:t>4.57</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r>
        <w:rPr>
          <w:rStyle w:val="17"/>
          <w:rFonts w:hint="eastAsia" w:ascii="仿宋" w:hAnsi="仿宋" w:eastAsia="仿宋" w:cs="仿宋"/>
          <w:b w:val="0"/>
          <w:bCs/>
          <w:sz w:val="32"/>
          <w:szCs w:val="32"/>
          <w:lang w:eastAsia="zh-CN"/>
        </w:rPr>
        <w:t>。</w:t>
      </w:r>
    </w:p>
    <w:p w14:paraId="051DD731">
      <w:pPr>
        <w:spacing w:line="600" w:lineRule="exact"/>
        <w:ind w:firstLine="640" w:firstLineChars="200"/>
        <w:rPr>
          <w:rFonts w:hint="eastAsia" w:ascii="仿宋" w:hAnsi="仿宋" w:eastAsia="仿宋" w:cs="仿宋"/>
          <w:b w:val="0"/>
          <w:bCs/>
          <w:sz w:val="32"/>
          <w:szCs w:val="32"/>
        </w:rPr>
      </w:pPr>
      <w:r>
        <w:rPr>
          <w:rFonts w:hint="eastAsia" w:ascii="Times New Roman" w:hAnsi="Times New Roman" w:eastAsia="仿宋_GB2312" w:cs="仿宋_GB2312"/>
          <w:color w:val="auto"/>
          <w:kern w:val="2"/>
          <w:sz w:val="32"/>
          <w:szCs w:val="32"/>
          <w:highlight w:val="none"/>
          <w:lang w:val="en-US" w:eastAsia="zh-CN" w:bidi="ar-SA"/>
        </w:rPr>
        <w:t>6.</w:t>
      </w:r>
      <w:r>
        <w:rPr>
          <w:rStyle w:val="17"/>
          <w:rFonts w:hint="eastAsia" w:ascii="仿宋" w:hAnsi="仿宋" w:eastAsia="仿宋" w:cs="仿宋"/>
          <w:b w:val="0"/>
          <w:bCs/>
          <w:sz w:val="32"/>
          <w:szCs w:val="32"/>
        </w:rPr>
        <w:t>卫生健康支出（类）基层医疗卫生机构（款）城市社区卫生机构（项）: 支出决算为</w:t>
      </w:r>
      <w:r>
        <w:rPr>
          <w:rStyle w:val="17"/>
          <w:rFonts w:hint="eastAsia" w:ascii="仿宋" w:hAnsi="仿宋" w:eastAsia="仿宋" w:cs="仿宋"/>
          <w:b w:val="0"/>
          <w:bCs/>
          <w:sz w:val="32"/>
          <w:szCs w:val="32"/>
          <w:lang w:val="en-US" w:eastAsia="zh-CN"/>
        </w:rPr>
        <w:t>253.32</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64830360">
      <w:pPr>
        <w:spacing w:line="600" w:lineRule="exact"/>
        <w:ind w:firstLine="640" w:firstLineChars="200"/>
        <w:rPr>
          <w:rStyle w:val="17"/>
          <w:rFonts w:hint="eastAsia" w:ascii="仿宋" w:hAnsi="仿宋" w:eastAsia="仿宋" w:cs="仿宋"/>
          <w:b w:val="0"/>
          <w:bCs/>
          <w:sz w:val="32"/>
          <w:szCs w:val="32"/>
        </w:rPr>
      </w:pPr>
      <w:r>
        <w:rPr>
          <w:rStyle w:val="17"/>
          <w:rFonts w:hint="eastAsia" w:ascii="仿宋" w:hAnsi="仿宋" w:eastAsia="仿宋" w:cs="仿宋"/>
          <w:b w:val="0"/>
          <w:bCs/>
          <w:sz w:val="32"/>
          <w:szCs w:val="32"/>
          <w:lang w:val="en-US" w:eastAsia="zh-CN"/>
        </w:rPr>
        <w:t>7.</w:t>
      </w:r>
      <w:r>
        <w:rPr>
          <w:rStyle w:val="17"/>
          <w:rFonts w:hint="eastAsia" w:ascii="仿宋" w:hAnsi="仿宋" w:eastAsia="仿宋" w:cs="仿宋"/>
          <w:b w:val="0"/>
          <w:bCs/>
          <w:sz w:val="32"/>
          <w:szCs w:val="32"/>
        </w:rPr>
        <w:t>卫生健康支出（类）基层医疗卫生机构（款）其他基层医疗卫生机构支出（项）: 支出决算为</w:t>
      </w:r>
      <w:r>
        <w:rPr>
          <w:rStyle w:val="17"/>
          <w:rFonts w:hint="eastAsia" w:ascii="仿宋" w:hAnsi="仿宋" w:eastAsia="仿宋" w:cs="仿宋"/>
          <w:b w:val="0"/>
          <w:bCs/>
          <w:sz w:val="32"/>
          <w:szCs w:val="32"/>
          <w:lang w:val="en-US" w:eastAsia="zh-CN"/>
        </w:rPr>
        <w:t>11.59</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6018E865">
      <w:pPr>
        <w:pageBreakBefore w:val="0"/>
        <w:widowControl w:val="0"/>
        <w:kinsoku/>
        <w:wordWrap/>
        <w:overflowPunct/>
        <w:topLinePunct w:val="0"/>
        <w:autoSpaceDE/>
        <w:autoSpaceDN/>
        <w:bidi w:val="0"/>
        <w:adjustRightInd/>
        <w:snapToGrid/>
        <w:spacing w:line="600" w:lineRule="exact"/>
        <w:ind w:firstLine="640" w:firstLineChars="200"/>
        <w:textAlignment w:val="auto"/>
        <w:rPr>
          <w:rStyle w:val="17"/>
          <w:rFonts w:hint="eastAsia" w:ascii="仿宋" w:hAnsi="仿宋" w:eastAsia="仿宋" w:cs="仿宋"/>
          <w:b w:val="0"/>
          <w:bCs/>
          <w:sz w:val="32"/>
          <w:szCs w:val="32"/>
          <w:lang w:eastAsia="zh-CN"/>
        </w:rPr>
      </w:pPr>
      <w:r>
        <w:rPr>
          <w:rStyle w:val="17"/>
          <w:rFonts w:hint="eastAsia" w:ascii="仿宋" w:hAnsi="仿宋" w:eastAsia="仿宋" w:cs="仿宋"/>
          <w:b w:val="0"/>
          <w:bCs/>
          <w:sz w:val="32"/>
          <w:szCs w:val="32"/>
          <w:lang w:val="en-US" w:eastAsia="zh-CN"/>
        </w:rPr>
        <w:t>8.</w:t>
      </w:r>
      <w:r>
        <w:rPr>
          <w:rStyle w:val="17"/>
          <w:rFonts w:hint="eastAsia" w:ascii="仿宋" w:hAnsi="仿宋" w:eastAsia="仿宋" w:cs="仿宋"/>
          <w:b w:val="0"/>
          <w:bCs/>
          <w:sz w:val="32"/>
          <w:szCs w:val="32"/>
        </w:rPr>
        <w:t>卫生健康支出（类）</w:t>
      </w:r>
      <w:r>
        <w:rPr>
          <w:rStyle w:val="17"/>
          <w:rFonts w:hint="eastAsia" w:ascii="仿宋" w:hAnsi="仿宋" w:eastAsia="仿宋" w:cs="仿宋"/>
          <w:b w:val="0"/>
          <w:bCs/>
          <w:sz w:val="32"/>
          <w:szCs w:val="32"/>
          <w:lang w:eastAsia="zh-CN"/>
        </w:rPr>
        <w:t>公共卫生</w:t>
      </w:r>
      <w:r>
        <w:rPr>
          <w:rStyle w:val="17"/>
          <w:rFonts w:hint="eastAsia" w:ascii="仿宋" w:hAnsi="仿宋" w:eastAsia="仿宋" w:cs="仿宋"/>
          <w:b w:val="0"/>
          <w:bCs/>
          <w:sz w:val="32"/>
          <w:szCs w:val="32"/>
        </w:rPr>
        <w:t>（款）</w:t>
      </w:r>
      <w:r>
        <w:rPr>
          <w:rStyle w:val="17"/>
          <w:rFonts w:hint="eastAsia" w:ascii="仿宋" w:hAnsi="仿宋" w:eastAsia="仿宋" w:cs="仿宋"/>
          <w:b w:val="0"/>
          <w:bCs/>
          <w:sz w:val="32"/>
          <w:szCs w:val="32"/>
          <w:lang w:eastAsia="zh-CN"/>
        </w:rPr>
        <w:t>基本公共卫生服务</w:t>
      </w:r>
      <w:r>
        <w:rPr>
          <w:rStyle w:val="17"/>
          <w:rFonts w:hint="eastAsia" w:ascii="仿宋" w:hAnsi="仿宋" w:eastAsia="仿宋" w:cs="仿宋"/>
          <w:b w:val="0"/>
          <w:bCs/>
          <w:sz w:val="32"/>
          <w:szCs w:val="32"/>
        </w:rPr>
        <w:t>（项）:支出决算为</w:t>
      </w:r>
      <w:r>
        <w:rPr>
          <w:rStyle w:val="17"/>
          <w:rFonts w:hint="eastAsia" w:ascii="仿宋" w:hAnsi="仿宋" w:eastAsia="仿宋" w:cs="仿宋"/>
          <w:b w:val="0"/>
          <w:bCs/>
          <w:sz w:val="32"/>
          <w:szCs w:val="32"/>
          <w:lang w:val="en-US" w:eastAsia="zh-CN"/>
        </w:rPr>
        <w:t>121.12</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r>
        <w:rPr>
          <w:rStyle w:val="17"/>
          <w:rFonts w:hint="eastAsia" w:ascii="仿宋" w:hAnsi="仿宋" w:eastAsia="仿宋" w:cs="仿宋"/>
          <w:b w:val="0"/>
          <w:bCs/>
          <w:sz w:val="32"/>
          <w:szCs w:val="32"/>
          <w:lang w:eastAsia="zh-CN"/>
        </w:rPr>
        <w:t>。</w:t>
      </w:r>
    </w:p>
    <w:p w14:paraId="37D5EC84">
      <w:pPr>
        <w:pageBreakBefore w:val="0"/>
        <w:widowControl w:val="0"/>
        <w:kinsoku/>
        <w:wordWrap/>
        <w:overflowPunct/>
        <w:topLinePunct w:val="0"/>
        <w:autoSpaceDE/>
        <w:autoSpaceDN/>
        <w:bidi w:val="0"/>
        <w:adjustRightInd/>
        <w:snapToGrid/>
        <w:spacing w:line="600" w:lineRule="exact"/>
        <w:ind w:firstLine="640" w:firstLineChars="200"/>
        <w:textAlignment w:val="auto"/>
        <w:rPr>
          <w:rStyle w:val="17"/>
          <w:rFonts w:hint="eastAsia" w:ascii="仿宋" w:hAnsi="仿宋" w:eastAsia="仿宋" w:cs="仿宋"/>
          <w:b w:val="0"/>
          <w:bCs/>
          <w:sz w:val="32"/>
          <w:szCs w:val="32"/>
        </w:rPr>
      </w:pPr>
      <w:r>
        <w:rPr>
          <w:rStyle w:val="17"/>
          <w:rFonts w:hint="eastAsia" w:ascii="仿宋" w:hAnsi="仿宋" w:eastAsia="仿宋" w:cs="仿宋"/>
          <w:b w:val="0"/>
          <w:bCs/>
          <w:sz w:val="32"/>
          <w:szCs w:val="32"/>
          <w:lang w:val="en-US" w:eastAsia="zh-CN"/>
        </w:rPr>
        <w:t>9.</w:t>
      </w:r>
      <w:r>
        <w:rPr>
          <w:rStyle w:val="17"/>
          <w:rFonts w:hint="eastAsia" w:ascii="仿宋" w:hAnsi="仿宋" w:eastAsia="仿宋" w:cs="仿宋"/>
          <w:b w:val="0"/>
          <w:bCs/>
          <w:sz w:val="32"/>
          <w:szCs w:val="32"/>
        </w:rPr>
        <w:t>卫生健康支出（类）公共卫生（款）重大公共卫生服务（项）:支出决算为</w:t>
      </w:r>
      <w:r>
        <w:rPr>
          <w:rStyle w:val="17"/>
          <w:rFonts w:hint="eastAsia" w:ascii="仿宋" w:hAnsi="仿宋" w:eastAsia="仿宋" w:cs="仿宋"/>
          <w:b w:val="0"/>
          <w:bCs/>
          <w:sz w:val="32"/>
          <w:szCs w:val="32"/>
          <w:lang w:val="en-US" w:eastAsia="zh-CN"/>
        </w:rPr>
        <w:t>3.82</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703B073C">
      <w:pPr>
        <w:pageBreakBefore w:val="0"/>
        <w:widowControl w:val="0"/>
        <w:kinsoku/>
        <w:wordWrap/>
        <w:overflowPunct/>
        <w:topLinePunct w:val="0"/>
        <w:autoSpaceDE/>
        <w:autoSpaceDN/>
        <w:bidi w:val="0"/>
        <w:adjustRightInd/>
        <w:snapToGrid/>
        <w:spacing w:line="600" w:lineRule="exact"/>
        <w:ind w:firstLine="640" w:firstLineChars="200"/>
        <w:textAlignment w:val="auto"/>
        <w:rPr>
          <w:rStyle w:val="17"/>
          <w:rFonts w:hint="eastAsia" w:ascii="仿宋" w:hAnsi="仿宋" w:eastAsia="仿宋" w:cs="仿宋"/>
          <w:b w:val="0"/>
          <w:bCs/>
          <w:sz w:val="32"/>
          <w:szCs w:val="32"/>
        </w:rPr>
      </w:pPr>
      <w:r>
        <w:rPr>
          <w:rStyle w:val="17"/>
          <w:rFonts w:hint="eastAsia" w:ascii="仿宋" w:hAnsi="仿宋" w:eastAsia="仿宋" w:cs="仿宋"/>
          <w:b w:val="0"/>
          <w:bCs/>
          <w:sz w:val="32"/>
          <w:szCs w:val="32"/>
          <w:lang w:val="en-US" w:eastAsia="zh-CN"/>
        </w:rPr>
        <w:t>10.</w:t>
      </w:r>
      <w:r>
        <w:rPr>
          <w:rStyle w:val="17"/>
          <w:rFonts w:hint="eastAsia" w:ascii="仿宋" w:hAnsi="仿宋" w:eastAsia="仿宋" w:cs="仿宋"/>
          <w:b w:val="0"/>
          <w:bCs/>
          <w:sz w:val="32"/>
          <w:szCs w:val="32"/>
        </w:rPr>
        <w:t>卫生健康支出（类）行政事业单位医疗（款）事业单位医疗（项）:支出决算为</w:t>
      </w:r>
      <w:r>
        <w:rPr>
          <w:rStyle w:val="17"/>
          <w:rFonts w:hint="eastAsia" w:ascii="仿宋" w:hAnsi="仿宋" w:eastAsia="仿宋" w:cs="仿宋"/>
          <w:b w:val="0"/>
          <w:bCs/>
          <w:sz w:val="32"/>
          <w:szCs w:val="32"/>
          <w:lang w:val="en-US" w:eastAsia="zh-CN"/>
        </w:rPr>
        <w:t>19.16</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559EE062">
      <w:pPr>
        <w:pageBreakBefore w:val="0"/>
        <w:widowControl w:val="0"/>
        <w:kinsoku/>
        <w:wordWrap/>
        <w:overflowPunct/>
        <w:topLinePunct w:val="0"/>
        <w:autoSpaceDE/>
        <w:autoSpaceDN/>
        <w:bidi w:val="0"/>
        <w:adjustRightInd/>
        <w:snapToGrid/>
        <w:spacing w:line="600" w:lineRule="exact"/>
        <w:ind w:firstLine="640" w:firstLineChars="200"/>
        <w:textAlignment w:val="auto"/>
        <w:rPr>
          <w:rStyle w:val="17"/>
          <w:rFonts w:hint="eastAsia" w:ascii="仿宋" w:hAnsi="仿宋" w:eastAsia="仿宋" w:cs="仿宋"/>
          <w:b w:val="0"/>
          <w:bCs/>
          <w:sz w:val="32"/>
          <w:szCs w:val="32"/>
        </w:rPr>
      </w:pPr>
      <w:r>
        <w:rPr>
          <w:rStyle w:val="17"/>
          <w:rFonts w:hint="eastAsia" w:ascii="仿宋" w:hAnsi="仿宋" w:eastAsia="仿宋" w:cs="仿宋"/>
          <w:b w:val="0"/>
          <w:bCs/>
          <w:sz w:val="32"/>
          <w:szCs w:val="32"/>
          <w:lang w:val="en-US" w:eastAsia="zh-CN"/>
        </w:rPr>
        <w:t>11.</w:t>
      </w:r>
      <w:r>
        <w:rPr>
          <w:rStyle w:val="17"/>
          <w:rFonts w:hint="eastAsia" w:ascii="仿宋" w:hAnsi="仿宋" w:eastAsia="仿宋" w:cs="仿宋"/>
          <w:b w:val="0"/>
          <w:bCs/>
          <w:sz w:val="32"/>
          <w:szCs w:val="32"/>
        </w:rPr>
        <w:t>卫生健康支出（类）行政事业单位医疗（款）其他行政事业单位医疗支出（项）:支出决算为</w:t>
      </w:r>
      <w:r>
        <w:rPr>
          <w:rStyle w:val="17"/>
          <w:rFonts w:hint="eastAsia" w:ascii="仿宋" w:hAnsi="仿宋" w:eastAsia="仿宋" w:cs="仿宋"/>
          <w:b w:val="0"/>
          <w:bCs/>
          <w:sz w:val="32"/>
          <w:szCs w:val="32"/>
          <w:lang w:val="en-US" w:eastAsia="zh-CN"/>
        </w:rPr>
        <w:t>12.15</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52E2B716">
      <w:pPr>
        <w:pStyle w:val="19"/>
        <w:keepNext/>
        <w:keepLines/>
        <w:pageBreakBefore w:val="0"/>
        <w:widowControl w:val="0"/>
        <w:kinsoku/>
        <w:wordWrap/>
        <w:overflowPunct/>
        <w:topLinePunct w:val="0"/>
        <w:autoSpaceDE/>
        <w:autoSpaceDN/>
        <w:bidi w:val="0"/>
        <w:adjustRightInd/>
        <w:snapToGrid/>
        <w:spacing w:before="0" w:after="0" w:line="120" w:lineRule="auto"/>
        <w:ind w:firstLine="641"/>
        <w:textAlignment w:val="auto"/>
        <w:rPr>
          <w:rStyle w:val="17"/>
          <w:rFonts w:hint="eastAsia" w:ascii="仿宋" w:hAnsi="仿宋" w:eastAsia="仿宋" w:cs="仿宋"/>
          <w:b w:val="0"/>
          <w:bCs/>
          <w:sz w:val="32"/>
          <w:szCs w:val="32"/>
        </w:rPr>
      </w:pPr>
      <w:r>
        <w:rPr>
          <w:rStyle w:val="17"/>
          <w:rFonts w:hint="eastAsia" w:ascii="仿宋" w:hAnsi="仿宋" w:eastAsia="仿宋" w:cs="仿宋"/>
          <w:b w:val="0"/>
          <w:bCs/>
          <w:sz w:val="32"/>
          <w:szCs w:val="32"/>
          <w:lang w:val="en-US" w:eastAsia="zh-CN"/>
        </w:rPr>
        <w:t>12.</w:t>
      </w:r>
      <w:r>
        <w:rPr>
          <w:rStyle w:val="17"/>
          <w:rFonts w:hint="eastAsia" w:ascii="仿宋" w:hAnsi="仿宋" w:eastAsia="仿宋" w:cs="仿宋"/>
          <w:b w:val="0"/>
          <w:bCs/>
          <w:sz w:val="32"/>
          <w:szCs w:val="32"/>
        </w:rPr>
        <w:t>卫生健康支出（类）其他卫生健康支出（款）其他卫生健康支出（项）:支出决算为</w:t>
      </w:r>
      <w:r>
        <w:rPr>
          <w:rStyle w:val="17"/>
          <w:rFonts w:hint="eastAsia" w:ascii="仿宋" w:hAnsi="仿宋" w:eastAsia="仿宋" w:cs="仿宋"/>
          <w:b w:val="0"/>
          <w:bCs/>
          <w:sz w:val="32"/>
          <w:szCs w:val="32"/>
          <w:lang w:val="en-US" w:eastAsia="zh-CN"/>
        </w:rPr>
        <w:t>100.00</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3BBBD769">
      <w:pPr>
        <w:rPr>
          <w:rFonts w:hint="eastAsia"/>
        </w:rPr>
      </w:pPr>
    </w:p>
    <w:p w14:paraId="551776DD">
      <w:pPr>
        <w:pStyle w:val="19"/>
        <w:keepNext/>
        <w:keepLines/>
        <w:pageBreakBefore w:val="0"/>
        <w:widowControl w:val="0"/>
        <w:kinsoku/>
        <w:wordWrap/>
        <w:overflowPunct/>
        <w:topLinePunct w:val="0"/>
        <w:autoSpaceDE/>
        <w:autoSpaceDN/>
        <w:bidi w:val="0"/>
        <w:adjustRightInd/>
        <w:snapToGrid/>
        <w:spacing w:before="0" w:after="0"/>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Style w:val="17"/>
          <w:rFonts w:hint="eastAsia" w:ascii="仿宋" w:hAnsi="仿宋" w:eastAsia="仿宋" w:cs="仿宋"/>
          <w:b w:val="0"/>
          <w:bCs/>
          <w:sz w:val="32"/>
          <w:szCs w:val="32"/>
          <w:lang w:val="en-US" w:eastAsia="zh-CN"/>
        </w:rPr>
        <w:t>13.</w:t>
      </w:r>
      <w:r>
        <w:rPr>
          <w:rStyle w:val="17"/>
          <w:rFonts w:hint="eastAsia" w:ascii="仿宋" w:hAnsi="仿宋" w:eastAsia="仿宋" w:cs="仿宋"/>
          <w:b w:val="0"/>
          <w:bCs/>
          <w:sz w:val="32"/>
          <w:szCs w:val="32"/>
        </w:rPr>
        <w:t>住房保障支出（类）住房改革支出（款）住房公积金（项）:支出决算为</w:t>
      </w:r>
      <w:r>
        <w:rPr>
          <w:rStyle w:val="17"/>
          <w:rFonts w:hint="eastAsia" w:ascii="仿宋" w:hAnsi="仿宋" w:eastAsia="仿宋" w:cs="仿宋"/>
          <w:b w:val="0"/>
          <w:bCs/>
          <w:sz w:val="32"/>
          <w:szCs w:val="32"/>
          <w:lang w:val="en-US" w:eastAsia="zh-CN"/>
        </w:rPr>
        <w:t>28.15</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2D586F45">
      <w:pPr>
        <w:tabs>
          <w:tab w:val="right" w:pos="8306"/>
        </w:tabs>
        <w:spacing w:line="600" w:lineRule="exact"/>
        <w:ind w:firstLine="640"/>
        <w:outlineLvl w:val="1"/>
        <w:rPr>
          <w:rStyle w:val="29"/>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4"/>
      <w:bookmarkEnd w:id="35"/>
      <w:r>
        <w:rPr>
          <w:rStyle w:val="29"/>
          <w:rFonts w:ascii="Times New Roman" w:hAnsi="Times New Roman" w:eastAsia="黑体"/>
          <w:b w:val="0"/>
          <w:color w:val="auto"/>
          <w:highlight w:val="none"/>
        </w:rPr>
        <w:tab/>
      </w:r>
    </w:p>
    <w:p w14:paraId="0A3FC9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452.29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DB51E24">
      <w:pPr>
        <w:spacing w:line="600" w:lineRule="exact"/>
        <w:ind w:firstLine="645"/>
        <w:rPr>
          <w:rFonts w:hint="eastAsia"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448.75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元，主要包括：基本工资、津贴补贴、绩效工资、机关事业单位基本养老保险缴费、职业年金缴费、其他社会保障缴费、抚恤金、生活补助、医疗费补助、住房公积金、其他对个人和家庭的补助支出等。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3.54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 w:hAnsi="仿宋" w:eastAsia="仿宋"/>
          <w:sz w:val="32"/>
          <w:szCs w:val="32"/>
        </w:rPr>
        <w:t>主要包括：维修（护）费、  福利费</w:t>
      </w:r>
      <w:r>
        <w:rPr>
          <w:rFonts w:hint="eastAsia" w:ascii="仿宋" w:hAnsi="仿宋" w:eastAsia="仿宋"/>
          <w:sz w:val="32"/>
          <w:szCs w:val="32"/>
          <w:lang w:eastAsia="zh-CN"/>
        </w:rPr>
        <w:t>、</w:t>
      </w:r>
      <w:r>
        <w:rPr>
          <w:rFonts w:hint="eastAsia" w:ascii="仿宋" w:hAnsi="仿宋" w:eastAsia="仿宋"/>
          <w:sz w:val="32"/>
          <w:szCs w:val="32"/>
        </w:rPr>
        <w:t>其他商品和服务支出等。</w:t>
      </w:r>
    </w:p>
    <w:p w14:paraId="10BA0359">
      <w:pPr>
        <w:pStyle w:val="2"/>
        <w:rPr>
          <w:rFonts w:hint="eastAsia"/>
          <w:lang w:val="en-US" w:eastAsia="zh-CN"/>
        </w:rPr>
      </w:pPr>
    </w:p>
    <w:p w14:paraId="0EBD2FF5">
      <w:pPr>
        <w:spacing w:line="600" w:lineRule="exact"/>
        <w:ind w:firstLine="640"/>
        <w:outlineLvl w:val="1"/>
        <w:rPr>
          <w:rStyle w:val="29"/>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6"/>
      <w:bookmarkEnd w:id="37"/>
    </w:p>
    <w:p w14:paraId="7DA8A56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78310ABA">
      <w:pPr>
        <w:shd w:val="clear"/>
        <w:spacing w:line="600" w:lineRule="exact"/>
        <w:ind w:firstLine="640"/>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lang w:eastAsia="zh-CN"/>
        </w:rPr>
        <w:t>决算数</w:t>
      </w:r>
      <w:r>
        <w:rPr>
          <w:rFonts w:hint="eastAsia" w:ascii="仿宋" w:hAnsi="仿宋" w:eastAsia="仿宋"/>
          <w:sz w:val="32"/>
          <w:szCs w:val="32"/>
        </w:rPr>
        <w:t>预算数持平。</w:t>
      </w:r>
    </w:p>
    <w:p w14:paraId="1B43662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2AFAB81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59EA42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104DF08A">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256530" cy="2988310"/>
            <wp:effectExtent l="5080" t="4445" r="15240" b="17145"/>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sz w:val="32"/>
        </w:rPr>
        <mc:AlternateContent>
          <mc:Choice Requires="wps">
            <w:drawing>
              <wp:anchor distT="0" distB="0" distL="114300" distR="114300" simplePos="0" relativeHeight="251667456" behindDoc="0" locked="0" layoutInCell="1" allowOverlap="1">
                <wp:simplePos x="0" y="0"/>
                <wp:positionH relativeFrom="column">
                  <wp:posOffset>4145915</wp:posOffset>
                </wp:positionH>
                <wp:positionV relativeFrom="paragraph">
                  <wp:posOffset>229235</wp:posOffset>
                </wp:positionV>
                <wp:extent cx="1010285" cy="295910"/>
                <wp:effectExtent l="0" t="0" r="18415" b="8890"/>
                <wp:wrapNone/>
                <wp:docPr id="22" name="文本框 22"/>
                <wp:cNvGraphicFramePr/>
                <a:graphic xmlns:a="http://schemas.openxmlformats.org/drawingml/2006/main">
                  <a:graphicData uri="http://schemas.microsoft.com/office/word/2010/wordprocessingShape">
                    <wps:wsp>
                      <wps:cNvSpPr txBox="1"/>
                      <wps:spPr>
                        <a:xfrm>
                          <a:off x="5701665" y="3199765"/>
                          <a:ext cx="1010285" cy="2959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D7E6E5E">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45pt;margin-top:18.05pt;height:23.3pt;width:79.55pt;z-index:251667456;mso-width-relative:page;mso-height-relative:page;" fillcolor="#FFFFFF [3201]" filled="t" stroked="f" coordsize="21600,21600" o:gfxdata="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YCiVH&#10;1QAAAAkBAAAPAAAAAAAAAAEAIAAAACIAAABkcnMvZG93bnJldi54bWxQSwECFAAUAAAACACHTuJA&#10;OsUwxl0CAACdBAAADgAAAAAAAAABACAAAAAkAQAAZHJzL2Uyb0RvYy54bWxQSwUGAAAAAAYABgBZ&#10;AQAA8wUAAAAA&#10;">
                <v:fill on="t" focussize="0,0"/>
                <v:stroke on="f" weight="0.5pt"/>
                <v:imagedata o:title=""/>
                <o:lock v:ext="edit" aspectratio="f"/>
                <v:textbox>
                  <w:txbxContent>
                    <w:p w14:paraId="0D7E6E5E">
                      <w:pPr>
                        <w:rPr>
                          <w:rFonts w:hint="default" w:eastAsia="宋体"/>
                          <w:lang w:val="en-US" w:eastAsia="zh-CN"/>
                        </w:rPr>
                      </w:pPr>
                      <w:r>
                        <w:rPr>
                          <w:rFonts w:hint="eastAsia"/>
                          <w:lang w:val="en-US" w:eastAsia="zh-CN"/>
                        </w:rPr>
                        <w:t>单位：万元</w:t>
                      </w:r>
                    </w:p>
                  </w:txbxContent>
                </v:textbox>
              </v:shape>
            </w:pict>
          </mc:Fallback>
        </mc:AlternateContent>
      </w:r>
    </w:p>
    <w:p w14:paraId="67000A7A">
      <w:pPr>
        <w:spacing w:line="600" w:lineRule="exact"/>
        <w:ind w:firstLine="640"/>
        <w:rPr>
          <w:rFonts w:hint="eastAsia" w:ascii="仿宋" w:hAnsi="仿宋" w:eastAsia="仿宋" w:cs="仿宋"/>
          <w:b/>
          <w:sz w:val="32"/>
          <w:szCs w:val="32"/>
          <w:lang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sz w:val="32"/>
          <w:szCs w:val="32"/>
        </w:rPr>
        <w:t>因公出国（境）支出决算比202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eastAsia="zh-CN"/>
        </w:rPr>
        <w:t>相比无变化。</w:t>
      </w:r>
    </w:p>
    <w:p w14:paraId="581F3A0A">
      <w:pPr>
        <w:spacing w:line="600" w:lineRule="exact"/>
        <w:ind w:firstLine="640"/>
        <w:rPr>
          <w:rFonts w:hint="eastAsia" w:ascii="仿宋" w:hAnsi="仿宋" w:eastAsia="仿宋" w:cs="仿宋"/>
          <w:sz w:val="32"/>
          <w:szCs w:val="32"/>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 w:hAnsi="仿宋" w:eastAsia="仿宋" w:cs="仿宋"/>
          <w:sz w:val="32"/>
          <w:szCs w:val="32"/>
          <w:lang w:val="en-US" w:eastAsia="zh-CN"/>
        </w:rPr>
        <w:t>2024年有</w:t>
      </w:r>
      <w:r>
        <w:rPr>
          <w:rFonts w:hint="eastAsia" w:ascii="仿宋" w:hAnsi="仿宋" w:eastAsia="仿宋" w:cs="仿宋"/>
          <w:b w:val="0"/>
          <w:bCs/>
          <w:sz w:val="32"/>
          <w:szCs w:val="32"/>
        </w:rPr>
        <w:t>公务用车运行维护费</w:t>
      </w:r>
      <w:r>
        <w:rPr>
          <w:rFonts w:hint="eastAsia" w:ascii="仿宋" w:hAnsi="仿宋" w:eastAsia="仿宋" w:cs="仿宋"/>
          <w:sz w:val="32"/>
          <w:szCs w:val="32"/>
        </w:rPr>
        <w:t>。</w:t>
      </w:r>
    </w:p>
    <w:p w14:paraId="7EE7DB3C">
      <w:pPr>
        <w:spacing w:line="600" w:lineRule="exact"/>
        <w:ind w:firstLine="640" w:firstLineChars="200"/>
        <w:rPr>
          <w:rFonts w:hint="eastAsia" w:ascii="仿宋" w:hAnsi="仿宋" w:eastAsia="仿宋" w:cs="仿宋"/>
          <w:b/>
          <w:sz w:val="32"/>
          <w:szCs w:val="32"/>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 w:hAnsi="仿宋" w:eastAsia="仿宋" w:cs="仿宋"/>
          <w:sz w:val="32"/>
          <w:szCs w:val="32"/>
        </w:rPr>
        <w:t>全年按规定更新购置公务用车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辆，其中：轿车</w:t>
      </w:r>
      <w:r>
        <w:rPr>
          <w:rFonts w:hint="eastAsia" w:ascii="仿宋" w:hAnsi="仿宋" w:eastAsia="仿宋" w:cs="仿宋"/>
          <w:sz w:val="32"/>
          <w:szCs w:val="32"/>
          <w:lang w:val="en-US" w:eastAsia="zh-CN"/>
        </w:rPr>
        <w:t>0</w:t>
      </w:r>
      <w:r>
        <w:rPr>
          <w:rFonts w:hint="eastAsia" w:ascii="仿宋" w:hAnsi="仿宋" w:eastAsia="仿宋" w:cs="仿宋"/>
          <w:sz w:val="32"/>
          <w:szCs w:val="32"/>
        </w:rPr>
        <w:t>辆、金额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万元，越野车</w:t>
      </w:r>
      <w:r>
        <w:rPr>
          <w:rFonts w:hint="eastAsia" w:ascii="仿宋" w:hAnsi="仿宋" w:eastAsia="仿宋" w:cs="仿宋"/>
          <w:sz w:val="32"/>
          <w:szCs w:val="32"/>
          <w:lang w:val="en-US" w:eastAsia="zh-CN"/>
        </w:rPr>
        <w:t>0</w:t>
      </w:r>
      <w:r>
        <w:rPr>
          <w:rFonts w:hint="eastAsia" w:ascii="仿宋" w:hAnsi="仿宋" w:eastAsia="仿宋" w:cs="仿宋"/>
          <w:sz w:val="32"/>
          <w:szCs w:val="32"/>
        </w:rPr>
        <w:t>辆、金额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万元，载客汽车</w:t>
      </w:r>
      <w:r>
        <w:rPr>
          <w:rFonts w:hint="eastAsia" w:ascii="仿宋" w:hAnsi="仿宋" w:eastAsia="仿宋" w:cs="仿宋"/>
          <w:sz w:val="32"/>
          <w:szCs w:val="32"/>
          <w:lang w:val="en-US" w:eastAsia="zh-CN"/>
        </w:rPr>
        <w:t>0</w:t>
      </w:r>
      <w:r>
        <w:rPr>
          <w:rFonts w:hint="eastAsia" w:ascii="仿宋" w:hAnsi="仿宋" w:eastAsia="仿宋" w:cs="仿宋"/>
          <w:sz w:val="32"/>
          <w:szCs w:val="32"/>
        </w:rPr>
        <w:t>辆、金额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年12月31日，单位共有公务用车</w:t>
      </w:r>
      <w:r>
        <w:rPr>
          <w:rFonts w:hint="eastAsia" w:ascii="仿宋" w:hAnsi="仿宋" w:eastAsia="仿宋" w:cs="仿宋"/>
          <w:sz w:val="32"/>
          <w:szCs w:val="32"/>
          <w:lang w:val="en-US" w:eastAsia="zh-CN"/>
        </w:rPr>
        <w:t>1</w:t>
      </w:r>
      <w:r>
        <w:rPr>
          <w:rFonts w:hint="eastAsia" w:ascii="仿宋" w:hAnsi="仿宋" w:eastAsia="仿宋" w:cs="仿宋"/>
          <w:sz w:val="32"/>
          <w:szCs w:val="32"/>
        </w:rPr>
        <w:t>辆，其中：</w:t>
      </w:r>
      <w:r>
        <w:rPr>
          <w:rFonts w:hint="eastAsia" w:ascii="仿宋" w:hAnsi="仿宋" w:eastAsia="仿宋" w:cs="仿宋"/>
          <w:sz w:val="32"/>
          <w:szCs w:val="32"/>
          <w:lang w:val="en-US" w:eastAsia="zh-CN"/>
        </w:rPr>
        <w:t>特种专业技术用车（救护车）1辆</w:t>
      </w:r>
      <w:r>
        <w:rPr>
          <w:rFonts w:hint="eastAsia" w:ascii="仿宋" w:hAnsi="仿宋" w:eastAsia="仿宋" w:cs="仿宋"/>
          <w:sz w:val="32"/>
          <w:szCs w:val="32"/>
        </w:rPr>
        <w:t>。</w:t>
      </w:r>
    </w:p>
    <w:p w14:paraId="10FA96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63437F43">
      <w:pPr>
        <w:numPr>
          <w:ilvl w:val="0"/>
          <w:numId w:val="2"/>
        </w:numPr>
        <w:spacing w:line="600" w:lineRule="exact"/>
        <w:ind w:firstLine="640"/>
        <w:rPr>
          <w:rFonts w:hint="eastAsia" w:ascii="仿宋" w:hAnsi="仿宋" w:eastAsia="仿宋" w:cs="仿宋"/>
          <w:sz w:val="32"/>
          <w:szCs w:val="32"/>
          <w:lang w:eastAsia="zh-CN"/>
        </w:rPr>
      </w:pP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 w:hAnsi="仿宋" w:eastAsia="仿宋" w:cs="仿宋"/>
          <w:sz w:val="32"/>
          <w:szCs w:val="32"/>
        </w:rPr>
        <w:t>公务接待费支出决算比202</w:t>
      </w:r>
      <w:r>
        <w:rPr>
          <w:rFonts w:hint="eastAsia" w:ascii="仿宋" w:hAnsi="仿宋" w:eastAsia="仿宋" w:cs="仿宋"/>
          <w:sz w:val="32"/>
          <w:szCs w:val="32"/>
          <w:lang w:val="en-US" w:eastAsia="zh-CN"/>
        </w:rPr>
        <w:t>3</w:t>
      </w:r>
      <w:r>
        <w:rPr>
          <w:rFonts w:hint="eastAsia" w:ascii="仿宋" w:hAnsi="仿宋" w:eastAsia="仿宋" w:cs="仿宋"/>
          <w:sz w:val="32"/>
          <w:szCs w:val="32"/>
        </w:rPr>
        <w:t>年度</w:t>
      </w:r>
      <w:r>
        <w:rPr>
          <w:rFonts w:hint="eastAsia" w:ascii="仿宋" w:hAnsi="仿宋" w:eastAsia="仿宋" w:cs="仿宋"/>
          <w:sz w:val="32"/>
          <w:szCs w:val="32"/>
          <w:lang w:eastAsia="zh-CN"/>
        </w:rPr>
        <w:t>相比无变化。其中：</w:t>
      </w:r>
    </w:p>
    <w:p w14:paraId="5B38E38D">
      <w:pPr>
        <w:numPr>
          <w:ilvl w:val="0"/>
          <w:numId w:val="0"/>
        </w:numPr>
        <w:spacing w:line="600" w:lineRule="exact"/>
        <w:ind w:firstLine="643" w:firstLineChars="200"/>
        <w:rPr>
          <w:rFonts w:hint="eastAsia" w:ascii="仿宋" w:hAnsi="仿宋" w:eastAsia="仿宋" w:cs="仿宋"/>
          <w:sz w:val="32"/>
          <w:szCs w:val="32"/>
        </w:rPr>
      </w:pPr>
      <w:bookmarkStart w:id="40" w:name="_Toc15396610"/>
      <w:bookmarkStart w:id="41" w:name="_Toc15377218"/>
      <w:r>
        <w:rPr>
          <w:rFonts w:hint="eastAsia" w:ascii="仿宋" w:hAnsi="仿宋" w:eastAsia="仿宋" w:cs="仿宋"/>
          <w:b/>
          <w:sz w:val="32"/>
          <w:szCs w:val="32"/>
        </w:rPr>
        <w:t>国内公务接待支出0</w:t>
      </w:r>
      <w:r>
        <w:rPr>
          <w:rFonts w:hint="eastAsia" w:ascii="仿宋" w:hAnsi="仿宋" w:eastAsia="仿宋" w:cs="仿宋"/>
          <w:sz w:val="32"/>
          <w:szCs w:val="32"/>
        </w:rPr>
        <w:t>万元，主要用于接待上级部门工作检查餐费。共计支出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0A508679">
      <w:pPr>
        <w:keepNext w:val="0"/>
        <w:keepLines w:val="0"/>
        <w:pageBreakBefore w:val="0"/>
        <w:kinsoku/>
        <w:wordWrap/>
        <w:overflowPunct/>
        <w:topLinePunct w:val="0"/>
        <w:bidi w:val="0"/>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外事接待支出0</w:t>
      </w:r>
      <w:r>
        <w:rPr>
          <w:rFonts w:hint="eastAsia" w:ascii="仿宋" w:hAnsi="仿宋" w:eastAsia="仿宋" w:cs="仿宋"/>
          <w:sz w:val="32"/>
          <w:szCs w:val="32"/>
        </w:rPr>
        <w:t>万元，外事接待</w:t>
      </w:r>
      <w:r>
        <w:rPr>
          <w:rFonts w:hint="eastAsia" w:ascii="仿宋" w:hAnsi="仿宋" w:eastAsia="仿宋" w:cs="仿宋"/>
          <w:sz w:val="32"/>
          <w:szCs w:val="32"/>
          <w:lang w:val="en-US" w:eastAsia="zh-CN"/>
        </w:rPr>
        <w:t>0</w:t>
      </w:r>
      <w:r>
        <w:rPr>
          <w:rFonts w:hint="eastAsia" w:ascii="仿宋" w:hAnsi="仿宋" w:eastAsia="仿宋" w:cs="仿宋"/>
          <w:sz w:val="32"/>
          <w:szCs w:val="32"/>
        </w:rPr>
        <w:t>批次，</w:t>
      </w:r>
      <w:r>
        <w:rPr>
          <w:rFonts w:hint="eastAsia" w:ascii="仿宋" w:hAnsi="仿宋" w:eastAsia="仿宋" w:cs="仿宋"/>
          <w:sz w:val="32"/>
          <w:szCs w:val="32"/>
          <w:lang w:val="en-US" w:eastAsia="zh-CN"/>
        </w:rPr>
        <w:t>0</w:t>
      </w:r>
      <w:r>
        <w:rPr>
          <w:rFonts w:hint="eastAsia" w:ascii="仿宋" w:hAnsi="仿宋" w:eastAsia="仿宋" w:cs="仿宋"/>
          <w:sz w:val="32"/>
          <w:szCs w:val="32"/>
        </w:rPr>
        <w:t>人次。</w:t>
      </w:r>
    </w:p>
    <w:p w14:paraId="33B1FE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B61BAEF">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0"/>
      <w:bookmarkEnd w:id="41"/>
    </w:p>
    <w:p w14:paraId="0F8005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4B5A9058">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2" w:name="_Toc15377219"/>
      <w:bookmarkStart w:id="43"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2"/>
      <w:bookmarkEnd w:id="43"/>
    </w:p>
    <w:p w14:paraId="17D033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5E1F59D8">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4" w:name="_Toc15396612"/>
      <w:bookmarkStart w:id="45"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4"/>
      <w:bookmarkEnd w:id="45"/>
    </w:p>
    <w:p w14:paraId="351B7C2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54E659A2">
      <w:pPr>
        <w:spacing w:line="600" w:lineRule="exact"/>
        <w:ind w:firstLine="640" w:firstLineChars="200"/>
        <w:rPr>
          <w:rFonts w:hint="eastAsia" w:ascii="仿宋" w:hAnsi="仿宋" w:eastAsia="仿宋" w:cs="仿宋"/>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盐边县社区卫生服务中心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 w:hAnsi="仿宋" w:eastAsia="仿宋" w:cs="仿宋"/>
          <w:sz w:val="32"/>
          <w:szCs w:val="32"/>
          <w:lang w:eastAsia="zh-CN"/>
        </w:rPr>
        <w:t>与</w:t>
      </w:r>
      <w:r>
        <w:rPr>
          <w:rFonts w:hint="eastAsia" w:ascii="仿宋" w:hAnsi="仿宋" w:eastAsia="仿宋" w:cs="仿宋"/>
          <w:sz w:val="32"/>
          <w:szCs w:val="32"/>
          <w:lang w:val="en-US" w:eastAsia="zh-CN"/>
        </w:rPr>
        <w:t>2023年决算数持平。</w:t>
      </w:r>
    </w:p>
    <w:p w14:paraId="0DF7E0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D32316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16CAF39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盐边县社区卫生服务中心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51FDE3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65F93A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72EB7B17">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w:t>
      </w:r>
      <w:r>
        <w:rPr>
          <w:rFonts w:hint="eastAsia" w:ascii="仿宋" w:hAnsi="仿宋" w:eastAsia="仿宋" w:cs="仿宋"/>
          <w:b w:val="0"/>
          <w:bCs/>
          <w:sz w:val="32"/>
          <w:szCs w:val="32"/>
        </w:rPr>
        <w:t>盐边县社区卫生服务中心</w:t>
      </w:r>
      <w:r>
        <w:rPr>
          <w:rFonts w:hint="eastAsia" w:ascii="仿宋" w:hAnsi="仿宋" w:eastAsia="仿宋" w:cs="仿宋"/>
          <w:sz w:val="32"/>
          <w:szCs w:val="32"/>
        </w:rPr>
        <w:t>共有车辆</w:t>
      </w:r>
      <w:r>
        <w:rPr>
          <w:rFonts w:hint="eastAsia" w:ascii="仿宋" w:hAnsi="仿宋" w:eastAsia="仿宋" w:cs="仿宋"/>
          <w:b/>
          <w:sz w:val="32"/>
          <w:szCs w:val="32"/>
        </w:rPr>
        <w:t>1</w:t>
      </w:r>
      <w:r>
        <w:rPr>
          <w:rFonts w:hint="eastAsia" w:ascii="仿宋" w:hAnsi="仿宋" w:eastAsia="仿宋" w:cs="仿宋"/>
          <w:sz w:val="32"/>
          <w:szCs w:val="32"/>
        </w:rPr>
        <w:t>辆，其中：要领导干部用车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1</w:t>
      </w:r>
      <w:r>
        <w:rPr>
          <w:rFonts w:hint="eastAsia" w:ascii="仿宋" w:hAnsi="仿宋" w:eastAsia="仿宋" w:cs="仿宋"/>
          <w:sz w:val="32"/>
          <w:szCs w:val="32"/>
        </w:rPr>
        <w:t>辆，其他用车主要是用于</w:t>
      </w:r>
      <w:r>
        <w:rPr>
          <w:rFonts w:hint="eastAsia" w:ascii="仿宋" w:hAnsi="仿宋" w:eastAsia="仿宋" w:cs="仿宋"/>
          <w:sz w:val="32"/>
          <w:szCs w:val="32"/>
          <w:lang w:eastAsia="zh-CN"/>
        </w:rPr>
        <w:t>基本公共卫生项目下社区开展随访工作</w:t>
      </w:r>
      <w:r>
        <w:rPr>
          <w:rFonts w:hint="eastAsia" w:ascii="仿宋" w:hAnsi="仿宋" w:eastAsia="仿宋" w:cs="仿宋"/>
          <w:sz w:val="32"/>
          <w:szCs w:val="32"/>
        </w:rPr>
        <w:t>。单价100万元以上专用设备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14:paraId="5C5C93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1F5EC6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37A07B1">
      <w:pPr>
        <w:spacing w:line="600" w:lineRule="exact"/>
        <w:ind w:firstLine="640" w:firstLineChars="200"/>
        <w:rPr>
          <w:rFonts w:hint="eastAsia"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 w:hAnsi="仿宋" w:eastAsia="仿宋" w:cs="仿宋"/>
          <w:sz w:val="32"/>
          <w:szCs w:val="32"/>
        </w:rPr>
        <w:t>本单位</w:t>
      </w:r>
      <w:r>
        <w:rPr>
          <w:rFonts w:hint="eastAsia" w:ascii="Times New Roman" w:hAnsi="Times New Roman" w:eastAsia="仿宋_GB2312" w:cs="仿宋_GB2312"/>
          <w:color w:val="auto"/>
          <w:kern w:val="2"/>
          <w:sz w:val="32"/>
          <w:szCs w:val="32"/>
          <w:highlight w:val="none"/>
          <w:lang w:val="en-US" w:eastAsia="zh-CN" w:bidi="ar-SA"/>
        </w:rPr>
        <w:t>在2024年度</w:t>
      </w:r>
      <w:r>
        <w:rPr>
          <w:rFonts w:hint="eastAsia" w:ascii="仿宋" w:hAnsi="仿宋" w:eastAsia="仿宋" w:cs="仿宋"/>
          <w:sz w:val="32"/>
          <w:szCs w:val="32"/>
        </w:rPr>
        <w:t>预算编制阶段，组织对</w:t>
      </w:r>
      <w:r>
        <w:rPr>
          <w:rFonts w:hint="eastAsia" w:ascii="仿宋" w:hAnsi="仿宋" w:eastAsia="仿宋" w:cs="仿宋"/>
          <w:sz w:val="32"/>
          <w:szCs w:val="32"/>
          <w:lang w:eastAsia="zh-CN"/>
        </w:rPr>
        <w:t>人员经费、公用经费、</w:t>
      </w:r>
      <w:r>
        <w:rPr>
          <w:rFonts w:hint="eastAsia" w:ascii="仿宋" w:hAnsi="仿宋" w:eastAsia="仿宋" w:cs="仿宋"/>
          <w:sz w:val="32"/>
          <w:szCs w:val="32"/>
          <w:lang w:val="en-US" w:eastAsia="zh-CN"/>
        </w:rPr>
        <w:t>基本公共卫生服务</w:t>
      </w:r>
      <w:r>
        <w:rPr>
          <w:rFonts w:hint="eastAsia" w:ascii="仿宋" w:hAnsi="仿宋" w:eastAsia="仿宋" w:cs="仿宋"/>
          <w:sz w:val="32"/>
          <w:szCs w:val="32"/>
        </w:rPr>
        <w:t>项目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基本药物补助项目、</w:t>
      </w:r>
      <w:r>
        <w:rPr>
          <w:rFonts w:hint="eastAsia" w:ascii="仿宋" w:hAnsi="仿宋" w:eastAsia="仿宋" w:cs="仿宋"/>
          <w:sz w:val="32"/>
          <w:szCs w:val="32"/>
          <w:lang w:eastAsia="zh-CN"/>
        </w:rPr>
        <w:t>医养能力提升、疾控转艾滋病防控经费</w:t>
      </w:r>
      <w:r>
        <w:rPr>
          <w:rFonts w:hint="eastAsia" w:ascii="仿宋" w:hAnsi="仿宋" w:eastAsia="仿宋" w:cs="仿宋"/>
          <w:sz w:val="32"/>
          <w:szCs w:val="32"/>
          <w:lang w:val="en-US" w:eastAsia="zh-CN"/>
        </w:rPr>
        <w:t>等24</w:t>
      </w:r>
      <w:r>
        <w:rPr>
          <w:rFonts w:hint="eastAsia" w:ascii="仿宋" w:hAnsi="仿宋" w:eastAsia="仿宋" w:cs="仿宋"/>
          <w:sz w:val="32"/>
          <w:szCs w:val="32"/>
        </w:rPr>
        <w:t>个项目开展了预算事前绩效评估，对</w:t>
      </w:r>
      <w:r>
        <w:rPr>
          <w:rFonts w:hint="eastAsia" w:ascii="仿宋" w:hAnsi="仿宋" w:eastAsia="仿宋" w:cs="仿宋"/>
          <w:sz w:val="32"/>
          <w:szCs w:val="32"/>
          <w:lang w:val="en-US" w:eastAsia="zh-CN"/>
        </w:rPr>
        <w:t>24</w:t>
      </w:r>
      <w:r>
        <w:rPr>
          <w:rFonts w:hint="eastAsia" w:ascii="仿宋" w:hAnsi="仿宋" w:eastAsia="仿宋" w:cs="仿宋"/>
          <w:sz w:val="32"/>
          <w:szCs w:val="32"/>
        </w:rPr>
        <w:t>个项目编制了绩效目标，预算执行过程中，选取</w:t>
      </w:r>
      <w:r>
        <w:rPr>
          <w:rFonts w:hint="eastAsia" w:ascii="仿宋" w:hAnsi="仿宋" w:eastAsia="仿宋" w:cs="仿宋"/>
          <w:sz w:val="32"/>
          <w:szCs w:val="32"/>
          <w:lang w:val="en-US" w:eastAsia="zh-CN"/>
        </w:rPr>
        <w:t>24</w:t>
      </w:r>
      <w:r>
        <w:rPr>
          <w:rFonts w:hint="eastAsia" w:ascii="仿宋" w:hAnsi="仿宋" w:eastAsia="仿宋" w:cs="仿宋"/>
          <w:sz w:val="32"/>
          <w:szCs w:val="32"/>
        </w:rPr>
        <w:t>个项目开展绩效监控,组织对</w:t>
      </w:r>
      <w:r>
        <w:rPr>
          <w:rFonts w:hint="eastAsia" w:ascii="仿宋" w:hAnsi="仿宋" w:eastAsia="仿宋" w:cs="仿宋"/>
          <w:sz w:val="32"/>
          <w:szCs w:val="32"/>
          <w:lang w:val="en-US" w:eastAsia="zh-CN"/>
        </w:rPr>
        <w:t>24</w:t>
      </w:r>
      <w:r>
        <w:rPr>
          <w:rFonts w:hint="eastAsia" w:ascii="仿宋" w:hAnsi="仿宋" w:eastAsia="仿宋" w:cs="仿宋"/>
          <w:sz w:val="32"/>
          <w:szCs w:val="32"/>
        </w:rPr>
        <w:t>个项目开展绩效自评，绩效自评表详见第四部分附件。</w:t>
      </w:r>
    </w:p>
    <w:p w14:paraId="43B289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2DC05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D7909B3">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96613"/>
      <w:bookmarkStart w:id="50"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4D50DAD5">
      <w:pPr>
        <w:spacing w:line="600" w:lineRule="exact"/>
        <w:jc w:val="left"/>
        <w:rPr>
          <w:rFonts w:ascii="Times New Roman" w:hAnsi="Times New Roman"/>
          <w:b/>
          <w:color w:val="auto"/>
          <w:sz w:val="44"/>
          <w:szCs w:val="44"/>
          <w:highlight w:val="none"/>
        </w:rPr>
      </w:pPr>
    </w:p>
    <w:p w14:paraId="182179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74B5F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3CEC19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7A8724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2D4A5F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5ADD7E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DDB05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04B9F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734FE3A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ascii="仿宋" w:hAnsi="仿宋" w:eastAsia="仿宋" w:cs="仿宋"/>
          <w:sz w:val="32"/>
          <w:szCs w:val="32"/>
        </w:rPr>
        <w:t>社会保障和就业支出（类）行政事业单位养老支出（款）机关事业单位基本养老保险缴费支出（项）：指</w:t>
      </w:r>
      <w:r>
        <w:rPr>
          <w:rFonts w:hint="eastAsia" w:ascii="仿宋" w:hAnsi="仿宋" w:eastAsia="仿宋" w:cs="仿宋"/>
          <w:sz w:val="32"/>
          <w:szCs w:val="32"/>
          <w:lang w:val="en-US" w:eastAsia="zh-CN"/>
        </w:rPr>
        <w:t>机关事业单位实施养老保险制度由单位缴纳的基本养老保险费支出</w:t>
      </w:r>
      <w:r>
        <w:rPr>
          <w:rFonts w:hint="eastAsia" w:ascii="仿宋" w:hAnsi="仿宋" w:eastAsia="仿宋" w:cs="仿宋"/>
          <w:sz w:val="32"/>
          <w:szCs w:val="32"/>
        </w:rPr>
        <w:t>。</w:t>
      </w:r>
    </w:p>
    <w:p w14:paraId="569BAA00">
      <w:pPr>
        <w:spacing w:line="560" w:lineRule="exact"/>
        <w:ind w:firstLine="640" w:firstLineChars="200"/>
        <w:rPr>
          <w:rFonts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10.</w:t>
      </w:r>
      <w:r>
        <w:rPr>
          <w:rStyle w:val="17"/>
          <w:rFonts w:hint="eastAsia" w:ascii="仿宋" w:hAnsi="仿宋" w:eastAsia="仿宋" w:cs="仿宋"/>
          <w:b w:val="0"/>
          <w:sz w:val="32"/>
          <w:szCs w:val="32"/>
        </w:rPr>
        <w:t>社会保障和就业（类）行政事业单位养老支出（款）事业单位离退休（项）:</w:t>
      </w:r>
      <w:r>
        <w:rPr>
          <w:rFonts w:hint="eastAsia" w:ascii="仿宋" w:hAnsi="仿宋" w:eastAsia="仿宋" w:cs="仿宋"/>
          <w:sz w:val="32"/>
          <w:szCs w:val="32"/>
        </w:rPr>
        <w:t>指用于购买退休人员的公务员医疗保险、生活补贴支出。</w:t>
      </w:r>
    </w:p>
    <w:p w14:paraId="65937CDC">
      <w:pPr>
        <w:spacing w:line="560" w:lineRule="exact"/>
        <w:ind w:firstLine="640" w:firstLineChars="200"/>
        <w:rPr>
          <w:rFonts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11.</w:t>
      </w:r>
      <w:r>
        <w:rPr>
          <w:rStyle w:val="17"/>
          <w:rFonts w:hint="eastAsia" w:ascii="仿宋" w:hAnsi="仿宋" w:eastAsia="仿宋" w:cs="仿宋"/>
          <w:b w:val="0"/>
          <w:sz w:val="32"/>
          <w:szCs w:val="32"/>
        </w:rPr>
        <w:t>社会保障和就业（类）行政事业单位养老支出（款）机关事业单位职业年金缴费支出（项）:</w:t>
      </w:r>
      <w:r>
        <w:rPr>
          <w:rFonts w:hint="eastAsia" w:ascii="仿宋" w:hAnsi="仿宋" w:eastAsia="仿宋" w:cs="仿宋"/>
          <w:sz w:val="32"/>
          <w:szCs w:val="32"/>
        </w:rPr>
        <w:t>指机关事业单位实施退休人员年金纪实的职业年金支出</w:t>
      </w:r>
      <w:r>
        <w:rPr>
          <w:rStyle w:val="17"/>
          <w:rFonts w:hint="eastAsia" w:ascii="仿宋" w:hAnsi="仿宋" w:eastAsia="仿宋" w:cs="仿宋"/>
          <w:b w:val="0"/>
          <w:sz w:val="32"/>
          <w:szCs w:val="32"/>
        </w:rPr>
        <w:t>。</w:t>
      </w:r>
    </w:p>
    <w:p w14:paraId="0631284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12.</w:t>
      </w:r>
      <w:r>
        <w:rPr>
          <w:rFonts w:hint="eastAsia" w:ascii="仿宋" w:hAnsi="仿宋" w:eastAsia="仿宋" w:cs="仿宋"/>
          <w:sz w:val="32"/>
          <w:szCs w:val="32"/>
        </w:rPr>
        <w:t>卫生健康支出（类）基层医疗卫生机构（款）其他基层医疗卫生机构支出（项）：指</w:t>
      </w:r>
      <w:r>
        <w:rPr>
          <w:rFonts w:hint="eastAsia" w:ascii="仿宋" w:hAnsi="仿宋" w:eastAsia="仿宋" w:cs="仿宋"/>
          <w:sz w:val="32"/>
          <w:szCs w:val="32"/>
          <w:lang w:val="en-US" w:eastAsia="zh-CN"/>
        </w:rPr>
        <w:t>除上述项目以外的其他用于基层医疗卫生机构的支出</w:t>
      </w:r>
      <w:r>
        <w:rPr>
          <w:rFonts w:hint="eastAsia" w:ascii="仿宋" w:hAnsi="仿宋" w:eastAsia="仿宋" w:cs="仿宋"/>
          <w:sz w:val="32"/>
          <w:szCs w:val="32"/>
        </w:rPr>
        <w:t>。</w:t>
      </w:r>
    </w:p>
    <w:p w14:paraId="7CF3B8D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13.</w:t>
      </w:r>
      <w:r>
        <w:rPr>
          <w:rFonts w:hint="eastAsia" w:ascii="仿宋" w:hAnsi="仿宋" w:eastAsia="仿宋" w:cs="仿宋"/>
          <w:sz w:val="32"/>
          <w:szCs w:val="32"/>
        </w:rPr>
        <w:t>卫生健康支出（类）公共卫生（款）基本公共卫生服务（项）：指</w:t>
      </w:r>
      <w:r>
        <w:rPr>
          <w:rFonts w:hint="eastAsia" w:ascii="仿宋" w:hAnsi="仿宋" w:eastAsia="仿宋" w:cs="仿宋"/>
          <w:sz w:val="32"/>
          <w:szCs w:val="32"/>
          <w:lang w:val="en-US" w:eastAsia="zh-CN"/>
        </w:rPr>
        <w:t>基本公共卫生服务支出</w:t>
      </w:r>
      <w:r>
        <w:rPr>
          <w:rFonts w:hint="eastAsia" w:ascii="仿宋" w:hAnsi="仿宋" w:eastAsia="仿宋" w:cs="仿宋"/>
          <w:sz w:val="32"/>
          <w:szCs w:val="32"/>
        </w:rPr>
        <w:t>。</w:t>
      </w:r>
    </w:p>
    <w:p w14:paraId="50FCC89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w:t>
      </w:r>
      <w:r>
        <w:rPr>
          <w:rFonts w:hint="eastAsia" w:ascii="仿宋" w:hAnsi="仿宋" w:eastAsia="仿宋" w:cs="仿宋"/>
          <w:sz w:val="32"/>
          <w:szCs w:val="32"/>
        </w:rPr>
        <w:t>.卫生健康支出（类）公共卫生（款）重大公共卫生服务（项）：指</w:t>
      </w:r>
      <w:r>
        <w:rPr>
          <w:rFonts w:hint="eastAsia" w:ascii="仿宋" w:hAnsi="仿宋" w:eastAsia="仿宋" w:cs="仿宋"/>
          <w:sz w:val="32"/>
          <w:szCs w:val="32"/>
          <w:lang w:val="en-US" w:eastAsia="zh-CN"/>
        </w:rPr>
        <w:t>重大疾病、重大传染病预防控制等重大公共卫生服务项目支出</w:t>
      </w:r>
      <w:r>
        <w:rPr>
          <w:rFonts w:hint="eastAsia" w:ascii="仿宋" w:hAnsi="仿宋" w:eastAsia="仿宋" w:cs="仿宋"/>
          <w:sz w:val="32"/>
          <w:szCs w:val="32"/>
        </w:rPr>
        <w:t>。</w:t>
      </w:r>
    </w:p>
    <w:p w14:paraId="411F01B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15.</w:t>
      </w:r>
      <w:r>
        <w:rPr>
          <w:rFonts w:hint="eastAsia" w:ascii="仿宋" w:hAnsi="仿宋" w:eastAsia="仿宋" w:cs="仿宋"/>
          <w:sz w:val="32"/>
          <w:szCs w:val="32"/>
        </w:rPr>
        <w:t>卫生健康支出（类）行政事业单位医疗（款）事业单位医疗（项）：指</w:t>
      </w:r>
      <w:r>
        <w:rPr>
          <w:rFonts w:hint="eastAsia" w:ascii="仿宋" w:hAnsi="仿宋" w:eastAsia="仿宋" w:cs="仿宋"/>
          <w:sz w:val="32"/>
          <w:szCs w:val="32"/>
          <w:lang w:val="en-US" w:eastAsia="zh-CN"/>
        </w:rPr>
        <w:t>财政部门安排的事业单位基本医疗保险缴费经费，未参加医疗保险的事业单位的公费医疗经费，按国家规定享受离休人员待遇的医疗经费</w:t>
      </w:r>
      <w:r>
        <w:rPr>
          <w:rFonts w:hint="eastAsia" w:ascii="仿宋" w:hAnsi="仿宋" w:eastAsia="仿宋" w:cs="仿宋"/>
          <w:sz w:val="32"/>
          <w:szCs w:val="32"/>
        </w:rPr>
        <w:t>。</w:t>
      </w:r>
    </w:p>
    <w:p w14:paraId="7CCCF56B">
      <w:pPr>
        <w:spacing w:line="560" w:lineRule="exact"/>
        <w:ind w:firstLine="640" w:firstLineChars="200"/>
        <w:jc w:val="left"/>
        <w:rPr>
          <w:rFonts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16.</w:t>
      </w:r>
      <w:r>
        <w:rPr>
          <w:rFonts w:hint="eastAsia" w:ascii="仿宋" w:hAnsi="仿宋" w:eastAsia="仿宋" w:cs="仿宋"/>
          <w:sz w:val="32"/>
          <w:szCs w:val="32"/>
        </w:rPr>
        <w:t>卫生健康支出</w:t>
      </w:r>
      <w:r>
        <w:rPr>
          <w:rStyle w:val="17"/>
          <w:rFonts w:hint="eastAsia" w:ascii="仿宋" w:hAnsi="仿宋" w:eastAsia="仿宋" w:cs="仿宋"/>
          <w:b w:val="0"/>
          <w:sz w:val="32"/>
          <w:szCs w:val="32"/>
        </w:rPr>
        <w:t>（类）行政事业单位医疗（款）其他行政事业单位医疗支出（项）:指用于购买企业保险的支出。</w:t>
      </w:r>
    </w:p>
    <w:p w14:paraId="0417868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17.</w:t>
      </w:r>
      <w:r>
        <w:rPr>
          <w:rFonts w:hint="eastAsia" w:ascii="仿宋" w:hAnsi="仿宋" w:eastAsia="仿宋" w:cs="仿宋"/>
          <w:sz w:val="32"/>
          <w:szCs w:val="32"/>
        </w:rPr>
        <w:t>卫生健康支出（类）其他卫生健康支出（款）其他卫生健康支出（项）：指</w:t>
      </w:r>
      <w:r>
        <w:rPr>
          <w:rFonts w:hint="eastAsia" w:ascii="仿宋" w:hAnsi="仿宋" w:eastAsia="仿宋" w:cs="仿宋"/>
          <w:sz w:val="32"/>
          <w:szCs w:val="32"/>
          <w:lang w:val="en-US" w:eastAsia="zh-CN"/>
        </w:rPr>
        <w:t>除上述项目以外其他用于卫生健康方面的支出</w:t>
      </w:r>
      <w:r>
        <w:rPr>
          <w:rFonts w:hint="eastAsia" w:ascii="仿宋" w:hAnsi="仿宋" w:eastAsia="仿宋" w:cs="仿宋"/>
          <w:sz w:val="32"/>
          <w:szCs w:val="32"/>
        </w:rPr>
        <w:t>。</w:t>
      </w:r>
    </w:p>
    <w:p w14:paraId="5C0630B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18.</w:t>
      </w:r>
      <w:r>
        <w:rPr>
          <w:rFonts w:hint="eastAsia" w:ascii="仿宋" w:hAnsi="仿宋" w:eastAsia="仿宋" w:cs="仿宋"/>
          <w:sz w:val="32"/>
          <w:szCs w:val="32"/>
        </w:rPr>
        <w:t>住房保障支出（类）住房改革支出（款）住房公积金（项）：指</w:t>
      </w:r>
      <w:r>
        <w:rPr>
          <w:rFonts w:hint="eastAsia" w:ascii="仿宋" w:hAnsi="仿宋" w:eastAsia="仿宋" w:cs="仿宋"/>
          <w:sz w:val="32"/>
          <w:szCs w:val="32"/>
          <w:lang w:val="en-US" w:eastAsia="zh-CN"/>
        </w:rPr>
        <w:t>行政事业单位按人力资源和社会保障部、财政部规定的基本工资和津贴补贴以及规定比例为职工缴纳的住房公积金</w:t>
      </w:r>
      <w:r>
        <w:rPr>
          <w:rFonts w:hint="eastAsia" w:ascii="仿宋" w:hAnsi="仿宋" w:eastAsia="仿宋" w:cs="仿宋"/>
          <w:sz w:val="32"/>
          <w:szCs w:val="32"/>
        </w:rPr>
        <w:t>。</w:t>
      </w:r>
    </w:p>
    <w:p w14:paraId="09F0E2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7EFEE8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0C9745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311567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5940B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2DF5256">
      <w:pPr>
        <w:spacing w:line="600" w:lineRule="exact"/>
        <w:jc w:val="center"/>
        <w:rPr>
          <w:rStyle w:val="28"/>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6800936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4ACA43F">
      <w:pPr>
        <w:spacing w:line="600" w:lineRule="exact"/>
        <w:jc w:val="center"/>
        <w:outlineLvl w:val="0"/>
        <w:rPr>
          <w:rFonts w:hint="eastAsia" w:ascii="仿宋" w:hAnsi="仿宋" w:eastAsia="仿宋" w:cs="仿宋"/>
          <w:color w:val="FF0000"/>
          <w:sz w:val="32"/>
          <w:szCs w:val="32"/>
          <w:lang w:val="en-US" w:eastAsia="zh-CN"/>
        </w:rPr>
      </w:pPr>
      <w:r>
        <w:rPr>
          <w:rFonts w:hint="eastAsia" w:ascii="仿宋" w:hAnsi="仿宋" w:eastAsia="仿宋" w:cs="仿宋"/>
          <w:sz w:val="32"/>
          <w:szCs w:val="32"/>
        </w:rPr>
        <w:t>部门预算项目支出绩效自评表（202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p>
    <w:p w14:paraId="63889F5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537CFF8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807CFB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7EECBE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3"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65DB33D5">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1"/>
      <w:bookmarkEnd w:id="53"/>
      <w:bookmarkStart w:id="54" w:name="_Toc15396619"/>
    </w:p>
    <w:p w14:paraId="1E62E31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E6D78B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7A14232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6C4DA52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32504BE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2F69049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7445FE0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7F6EFD5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1D7BB1B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5646B37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2B788C6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7B4F15B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C6FA83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154BD4E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04242749">
      <w:pPr>
        <w:rPr>
          <w:rFonts w:hint="eastAsia" w:ascii="Times New Roman" w:hAnsi="Times New Roman"/>
          <w:lang w:eastAsia="zh-CN"/>
        </w:rPr>
      </w:pPr>
    </w:p>
    <w:sectPr>
      <w:footerReference r:id="rId7" w:type="first"/>
      <w:headerReference r:id="rId5" w:type="defaul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script"/>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60007" w:csb1="00000000"/>
  </w:font>
  <w:font w:name="CESI仿宋-GB2312">
    <w:panose1 w:val="02000500000000000000"/>
    <w:charset w:val="86"/>
    <w:family w:val="auto"/>
    <w:pitch w:val="default"/>
    <w:sig w:usb0="800002AF" w:usb1="084F6CF8" w:usb2="00000010" w:usb3="00000000" w:csb0="0004000F" w:csb1="00000000"/>
  </w:font>
  <w:font w:name="微软雅黑">
    <w:altName w:val="方正黑体_GBK"/>
    <w:panose1 w:val="020B0503020204020204"/>
    <w:charset w:val="86"/>
    <w:family w:val="auto"/>
    <w:pitch w:val="default"/>
    <w:sig w:usb0="00000000" w:usb1="00000000" w:usb2="00000000" w:usb3="00000000" w:csb0="0000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A6DA">
    <w:pPr>
      <w:pStyle w:val="10"/>
      <w:jc w:val="center"/>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FE7D">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BB440">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3BB440">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040D88A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50B93">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B792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DB792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88C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9645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027D6"/>
    <w:multiLevelType w:val="singleLevel"/>
    <w:tmpl w:val="BCB027D6"/>
    <w:lvl w:ilvl="0" w:tentative="0">
      <w:start w:val="1"/>
      <w:numFmt w:val="chineseCounting"/>
      <w:suff w:val="nothing"/>
      <w:lvlText w:val="%1、"/>
      <w:lvlJc w:val="left"/>
      <w:rPr>
        <w:rFonts w:hint="eastAsia"/>
      </w:rPr>
    </w:lvl>
  </w:abstractNum>
  <w:abstractNum w:abstractNumId="1">
    <w:nsid w:val="62EE73FA"/>
    <w:multiLevelType w:val="singleLevel"/>
    <w:tmpl w:val="62EE73FA"/>
    <w:lvl w:ilvl="0" w:tentative="0">
      <w:start w:val="3"/>
      <w:numFmt w:val="decimal"/>
      <w:lvlText w:val="%1."/>
      <w:lvlJc w:val="left"/>
      <w:pPr>
        <w:tabs>
          <w:tab w:val="left" w:pos="312"/>
        </w:tabs>
      </w:pPr>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49E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4D08"/>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BC61B7"/>
    <w:rsid w:val="02D56D30"/>
    <w:rsid w:val="02FEBE30"/>
    <w:rsid w:val="03644DCB"/>
    <w:rsid w:val="04916F1E"/>
    <w:rsid w:val="058645FB"/>
    <w:rsid w:val="061E35DE"/>
    <w:rsid w:val="066E0107"/>
    <w:rsid w:val="06B55198"/>
    <w:rsid w:val="07996F6E"/>
    <w:rsid w:val="07DFD8BA"/>
    <w:rsid w:val="08C6368D"/>
    <w:rsid w:val="08F8136C"/>
    <w:rsid w:val="09181A0E"/>
    <w:rsid w:val="09867E8F"/>
    <w:rsid w:val="0A2032A3"/>
    <w:rsid w:val="0AAC0660"/>
    <w:rsid w:val="0AC26133"/>
    <w:rsid w:val="0BBE1B70"/>
    <w:rsid w:val="0C2F4957"/>
    <w:rsid w:val="0CA8290A"/>
    <w:rsid w:val="0D35B1ED"/>
    <w:rsid w:val="0E254B6B"/>
    <w:rsid w:val="0E726137"/>
    <w:rsid w:val="0F00691E"/>
    <w:rsid w:val="0F7F00F1"/>
    <w:rsid w:val="0F7F5E93"/>
    <w:rsid w:val="0F98263C"/>
    <w:rsid w:val="0FB33DDB"/>
    <w:rsid w:val="101860EC"/>
    <w:rsid w:val="101F47CC"/>
    <w:rsid w:val="10AB5222"/>
    <w:rsid w:val="10C055FF"/>
    <w:rsid w:val="11694EBD"/>
    <w:rsid w:val="11772AA4"/>
    <w:rsid w:val="118107EC"/>
    <w:rsid w:val="11B95919"/>
    <w:rsid w:val="12443874"/>
    <w:rsid w:val="12AA7B7B"/>
    <w:rsid w:val="12E24EE2"/>
    <w:rsid w:val="13C0517C"/>
    <w:rsid w:val="13D50BC4"/>
    <w:rsid w:val="146855F8"/>
    <w:rsid w:val="14B17F78"/>
    <w:rsid w:val="15AB60E4"/>
    <w:rsid w:val="165E0673"/>
    <w:rsid w:val="16AA639C"/>
    <w:rsid w:val="16B831D5"/>
    <w:rsid w:val="16BB723D"/>
    <w:rsid w:val="173E1D2D"/>
    <w:rsid w:val="17E50567"/>
    <w:rsid w:val="186504BB"/>
    <w:rsid w:val="18C66D91"/>
    <w:rsid w:val="194F322A"/>
    <w:rsid w:val="19A445FC"/>
    <w:rsid w:val="1ABD41C4"/>
    <w:rsid w:val="1B3C5040"/>
    <w:rsid w:val="1B7725C5"/>
    <w:rsid w:val="1BC463D6"/>
    <w:rsid w:val="1BE8440E"/>
    <w:rsid w:val="1D0E51AB"/>
    <w:rsid w:val="1D155CEE"/>
    <w:rsid w:val="1D1638FE"/>
    <w:rsid w:val="1D972056"/>
    <w:rsid w:val="1DC615E1"/>
    <w:rsid w:val="1E312DEB"/>
    <w:rsid w:val="1E740ACF"/>
    <w:rsid w:val="1EB15DEE"/>
    <w:rsid w:val="1F444EB4"/>
    <w:rsid w:val="1F9E2816"/>
    <w:rsid w:val="1FF35744"/>
    <w:rsid w:val="1FF6BC77"/>
    <w:rsid w:val="20E73D48"/>
    <w:rsid w:val="20EC75B1"/>
    <w:rsid w:val="20FD07A7"/>
    <w:rsid w:val="2186353C"/>
    <w:rsid w:val="22C95DFC"/>
    <w:rsid w:val="235D02F2"/>
    <w:rsid w:val="23860B96"/>
    <w:rsid w:val="23953890"/>
    <w:rsid w:val="240371BF"/>
    <w:rsid w:val="24482D50"/>
    <w:rsid w:val="244F3473"/>
    <w:rsid w:val="24862B44"/>
    <w:rsid w:val="24C97D99"/>
    <w:rsid w:val="25A718F0"/>
    <w:rsid w:val="25BB59F6"/>
    <w:rsid w:val="25BC39F6"/>
    <w:rsid w:val="260F557C"/>
    <w:rsid w:val="26970054"/>
    <w:rsid w:val="26B97F35"/>
    <w:rsid w:val="27B96B4F"/>
    <w:rsid w:val="281408E2"/>
    <w:rsid w:val="28CC03F4"/>
    <w:rsid w:val="29FD04D3"/>
    <w:rsid w:val="2A75037D"/>
    <w:rsid w:val="2ADF60B4"/>
    <w:rsid w:val="2BFF7BC6"/>
    <w:rsid w:val="2C154F49"/>
    <w:rsid w:val="2C866A14"/>
    <w:rsid w:val="2C8A61B5"/>
    <w:rsid w:val="2D8E0A42"/>
    <w:rsid w:val="2DF04E50"/>
    <w:rsid w:val="2E586DFA"/>
    <w:rsid w:val="2E6A7E2D"/>
    <w:rsid w:val="2EA40590"/>
    <w:rsid w:val="2EA66FF1"/>
    <w:rsid w:val="2F040D46"/>
    <w:rsid w:val="2F6B035B"/>
    <w:rsid w:val="2FAE5751"/>
    <w:rsid w:val="2FB1A395"/>
    <w:rsid w:val="2FD9A7D8"/>
    <w:rsid w:val="2FDBF714"/>
    <w:rsid w:val="301569C3"/>
    <w:rsid w:val="305667F5"/>
    <w:rsid w:val="305736C6"/>
    <w:rsid w:val="30AB6865"/>
    <w:rsid w:val="319F7F4E"/>
    <w:rsid w:val="320329AC"/>
    <w:rsid w:val="32700042"/>
    <w:rsid w:val="32BD1EF1"/>
    <w:rsid w:val="3304709D"/>
    <w:rsid w:val="33584A7B"/>
    <w:rsid w:val="33A773CB"/>
    <w:rsid w:val="34084EE4"/>
    <w:rsid w:val="349D6851"/>
    <w:rsid w:val="36AA5135"/>
    <w:rsid w:val="36BE0DA7"/>
    <w:rsid w:val="37353608"/>
    <w:rsid w:val="376B6AA6"/>
    <w:rsid w:val="376D39B2"/>
    <w:rsid w:val="37871B8A"/>
    <w:rsid w:val="37BD06E4"/>
    <w:rsid w:val="37E16F03"/>
    <w:rsid w:val="37F53A3B"/>
    <w:rsid w:val="38895E8D"/>
    <w:rsid w:val="389B6C89"/>
    <w:rsid w:val="38CB3969"/>
    <w:rsid w:val="38D469F0"/>
    <w:rsid w:val="38E76B84"/>
    <w:rsid w:val="393C4ADC"/>
    <w:rsid w:val="3958538C"/>
    <w:rsid w:val="39627CCD"/>
    <w:rsid w:val="397BAF1F"/>
    <w:rsid w:val="398B39B3"/>
    <w:rsid w:val="3AB79AF3"/>
    <w:rsid w:val="3AE834C0"/>
    <w:rsid w:val="3B0C0B24"/>
    <w:rsid w:val="3B7EF35A"/>
    <w:rsid w:val="3B90705F"/>
    <w:rsid w:val="3B9FDB6C"/>
    <w:rsid w:val="3BF5BC2F"/>
    <w:rsid w:val="3C5C0BFC"/>
    <w:rsid w:val="3CEBA265"/>
    <w:rsid w:val="3D37175C"/>
    <w:rsid w:val="3D98207C"/>
    <w:rsid w:val="3DA160C7"/>
    <w:rsid w:val="3DEE7CF3"/>
    <w:rsid w:val="3E740A63"/>
    <w:rsid w:val="3E78745D"/>
    <w:rsid w:val="3EE17838"/>
    <w:rsid w:val="3F3C12AC"/>
    <w:rsid w:val="3F55381A"/>
    <w:rsid w:val="3F7F7599"/>
    <w:rsid w:val="3FC92B3F"/>
    <w:rsid w:val="3FF4CAE0"/>
    <w:rsid w:val="3FF7B227"/>
    <w:rsid w:val="42537038"/>
    <w:rsid w:val="428A3F13"/>
    <w:rsid w:val="42903DE8"/>
    <w:rsid w:val="43324E9F"/>
    <w:rsid w:val="44E268DA"/>
    <w:rsid w:val="450D13D7"/>
    <w:rsid w:val="45506656"/>
    <w:rsid w:val="4588524B"/>
    <w:rsid w:val="46EE10DD"/>
    <w:rsid w:val="473E02B7"/>
    <w:rsid w:val="4792415F"/>
    <w:rsid w:val="479A6968"/>
    <w:rsid w:val="486A6C7A"/>
    <w:rsid w:val="490948F4"/>
    <w:rsid w:val="49431703"/>
    <w:rsid w:val="49697B10"/>
    <w:rsid w:val="49FA5FEB"/>
    <w:rsid w:val="4A5C65A7"/>
    <w:rsid w:val="4A627F82"/>
    <w:rsid w:val="4A630034"/>
    <w:rsid w:val="4A7B22B1"/>
    <w:rsid w:val="4A8F4985"/>
    <w:rsid w:val="4B0E749A"/>
    <w:rsid w:val="4B2477C4"/>
    <w:rsid w:val="4B4F25DA"/>
    <w:rsid w:val="4BE068DB"/>
    <w:rsid w:val="4CE7150F"/>
    <w:rsid w:val="4D577224"/>
    <w:rsid w:val="4DBF1CEB"/>
    <w:rsid w:val="4DF0007C"/>
    <w:rsid w:val="4EAB630A"/>
    <w:rsid w:val="4ECE2238"/>
    <w:rsid w:val="4F4C3704"/>
    <w:rsid w:val="4F833267"/>
    <w:rsid w:val="4FE9BD67"/>
    <w:rsid w:val="4FFB052F"/>
    <w:rsid w:val="50B2258E"/>
    <w:rsid w:val="51126D0F"/>
    <w:rsid w:val="52253F45"/>
    <w:rsid w:val="52550248"/>
    <w:rsid w:val="52FE08FA"/>
    <w:rsid w:val="530529F2"/>
    <w:rsid w:val="537E6D0A"/>
    <w:rsid w:val="53991C45"/>
    <w:rsid w:val="53D07F45"/>
    <w:rsid w:val="53F74C96"/>
    <w:rsid w:val="54091C4C"/>
    <w:rsid w:val="54597485"/>
    <w:rsid w:val="55170BA8"/>
    <w:rsid w:val="553218C9"/>
    <w:rsid w:val="559F5EC0"/>
    <w:rsid w:val="563F9E06"/>
    <w:rsid w:val="567E1AA5"/>
    <w:rsid w:val="56DC71A4"/>
    <w:rsid w:val="56E47B74"/>
    <w:rsid w:val="57175D52"/>
    <w:rsid w:val="57BD3DD4"/>
    <w:rsid w:val="58676F42"/>
    <w:rsid w:val="5A682D95"/>
    <w:rsid w:val="5AF92295"/>
    <w:rsid w:val="5B250254"/>
    <w:rsid w:val="5B3449B9"/>
    <w:rsid w:val="5B7F6332"/>
    <w:rsid w:val="5BDD79E6"/>
    <w:rsid w:val="5BF561CA"/>
    <w:rsid w:val="5BFF5DFC"/>
    <w:rsid w:val="5CD71FC4"/>
    <w:rsid w:val="5D1F11B5"/>
    <w:rsid w:val="5D695134"/>
    <w:rsid w:val="5DAE1B18"/>
    <w:rsid w:val="5DE7D9E5"/>
    <w:rsid w:val="5EAB63BF"/>
    <w:rsid w:val="5ECEC941"/>
    <w:rsid w:val="5EE10365"/>
    <w:rsid w:val="5F6D7533"/>
    <w:rsid w:val="5FBF9FF3"/>
    <w:rsid w:val="5FCD4E2C"/>
    <w:rsid w:val="5FEF394A"/>
    <w:rsid w:val="5FF67715"/>
    <w:rsid w:val="60FF240D"/>
    <w:rsid w:val="61377DF9"/>
    <w:rsid w:val="61D11BD6"/>
    <w:rsid w:val="62861D78"/>
    <w:rsid w:val="62AC0373"/>
    <w:rsid w:val="62B40FD5"/>
    <w:rsid w:val="62BF3928"/>
    <w:rsid w:val="630E090A"/>
    <w:rsid w:val="63A771E4"/>
    <w:rsid w:val="63B3701E"/>
    <w:rsid w:val="64674DF8"/>
    <w:rsid w:val="647F5392"/>
    <w:rsid w:val="657D1B52"/>
    <w:rsid w:val="65A50EDE"/>
    <w:rsid w:val="65D025CA"/>
    <w:rsid w:val="65E66580"/>
    <w:rsid w:val="664B1D71"/>
    <w:rsid w:val="664B4E8E"/>
    <w:rsid w:val="66CC0FE3"/>
    <w:rsid w:val="67130B29"/>
    <w:rsid w:val="67277B67"/>
    <w:rsid w:val="67AA3209"/>
    <w:rsid w:val="67E81E4D"/>
    <w:rsid w:val="686B65DA"/>
    <w:rsid w:val="698D0931"/>
    <w:rsid w:val="699456BD"/>
    <w:rsid w:val="69CA10DE"/>
    <w:rsid w:val="6A7FE5F3"/>
    <w:rsid w:val="6B053271"/>
    <w:rsid w:val="6B7F62DE"/>
    <w:rsid w:val="6BDD78B3"/>
    <w:rsid w:val="6C4A05C8"/>
    <w:rsid w:val="6C8742B8"/>
    <w:rsid w:val="6DBF5E93"/>
    <w:rsid w:val="6DFF077E"/>
    <w:rsid w:val="6E405E13"/>
    <w:rsid w:val="6E494CC8"/>
    <w:rsid w:val="6E714EF0"/>
    <w:rsid w:val="6E7E3605"/>
    <w:rsid w:val="6E7FDCC7"/>
    <w:rsid w:val="6ED6A62E"/>
    <w:rsid w:val="6EE00B15"/>
    <w:rsid w:val="6F6FB3EB"/>
    <w:rsid w:val="6F8731EA"/>
    <w:rsid w:val="6FCE6052"/>
    <w:rsid w:val="6FD57C00"/>
    <w:rsid w:val="6FEFFFD8"/>
    <w:rsid w:val="6FF5CC65"/>
    <w:rsid w:val="6FFB47EC"/>
    <w:rsid w:val="6FFF034A"/>
    <w:rsid w:val="70484440"/>
    <w:rsid w:val="71105708"/>
    <w:rsid w:val="712A28F1"/>
    <w:rsid w:val="715C0E4B"/>
    <w:rsid w:val="71992E7C"/>
    <w:rsid w:val="71A05546"/>
    <w:rsid w:val="71B52674"/>
    <w:rsid w:val="71F15DA2"/>
    <w:rsid w:val="72233669"/>
    <w:rsid w:val="72734D90"/>
    <w:rsid w:val="72867401"/>
    <w:rsid w:val="72C25048"/>
    <w:rsid w:val="730E64E0"/>
    <w:rsid w:val="73160E6D"/>
    <w:rsid w:val="732B52E4"/>
    <w:rsid w:val="7332FE48"/>
    <w:rsid w:val="73AB61DA"/>
    <w:rsid w:val="73AD73D5"/>
    <w:rsid w:val="73B6EB34"/>
    <w:rsid w:val="73FA497D"/>
    <w:rsid w:val="744731E5"/>
    <w:rsid w:val="74BBD01D"/>
    <w:rsid w:val="74D177C5"/>
    <w:rsid w:val="74ED5379"/>
    <w:rsid w:val="75137DDD"/>
    <w:rsid w:val="75453EE2"/>
    <w:rsid w:val="75DEEEC2"/>
    <w:rsid w:val="75E32345"/>
    <w:rsid w:val="7677439C"/>
    <w:rsid w:val="767F318F"/>
    <w:rsid w:val="76E3355F"/>
    <w:rsid w:val="76FF5125"/>
    <w:rsid w:val="771D13E7"/>
    <w:rsid w:val="776F6FFA"/>
    <w:rsid w:val="778769C8"/>
    <w:rsid w:val="77A75DCA"/>
    <w:rsid w:val="77DC22F5"/>
    <w:rsid w:val="78212811"/>
    <w:rsid w:val="783E271A"/>
    <w:rsid w:val="78616DE9"/>
    <w:rsid w:val="78E875D7"/>
    <w:rsid w:val="79086DAD"/>
    <w:rsid w:val="79D7FD79"/>
    <w:rsid w:val="79EE5BA4"/>
    <w:rsid w:val="7A342CD0"/>
    <w:rsid w:val="7A894339"/>
    <w:rsid w:val="7A982E42"/>
    <w:rsid w:val="7AD284E8"/>
    <w:rsid w:val="7AFF7572"/>
    <w:rsid w:val="7B6C7DFB"/>
    <w:rsid w:val="7BBFBED0"/>
    <w:rsid w:val="7BC3E394"/>
    <w:rsid w:val="7C1F3737"/>
    <w:rsid w:val="7C374594"/>
    <w:rsid w:val="7C3C40BE"/>
    <w:rsid w:val="7C574A54"/>
    <w:rsid w:val="7C594C70"/>
    <w:rsid w:val="7CAA7279"/>
    <w:rsid w:val="7CBFC87B"/>
    <w:rsid w:val="7CFE0F48"/>
    <w:rsid w:val="7D154658"/>
    <w:rsid w:val="7D272ABC"/>
    <w:rsid w:val="7D7EC23E"/>
    <w:rsid w:val="7D7F376A"/>
    <w:rsid w:val="7DBE4F88"/>
    <w:rsid w:val="7E8ADEBF"/>
    <w:rsid w:val="7E9C7095"/>
    <w:rsid w:val="7EEF11D3"/>
    <w:rsid w:val="7EFE4840"/>
    <w:rsid w:val="7F0971A6"/>
    <w:rsid w:val="7F1A633B"/>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标题 2 字符"/>
    <w:basedOn w:val="16"/>
    <w:link w:val="4"/>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2.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Sheet1!$A$2:$A$5</c:f>
              <c:strCache>
                <c:ptCount val="4"/>
                <c:pt idx="1">
                  <c:v>总收入</c:v>
                </c:pt>
                <c:pt idx="2">
                  <c:v>总支出</c:v>
                </c:pt>
              </c:strCache>
            </c:strRef>
          </c:cat>
          <c:val>
            <c:numRef>
              <c:f>Sheet1!$B$2:$B$5</c:f>
              <c:numCache>
                <c:formatCode>General</c:formatCode>
                <c:ptCount val="4"/>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1">
                  <c:v>总收入</c:v>
                </c:pt>
                <c:pt idx="2">
                  <c:v>总支出</c:v>
                </c:pt>
              </c:strCache>
            </c:strRef>
          </c:cat>
          <c:val>
            <c:numRef>
              <c:f>Sheet1!$C$2:$C$5</c:f>
              <c:numCache>
                <c:formatCode>General</c:formatCode>
                <c:ptCount val="4"/>
                <c:pt idx="1">
                  <c:v>726.99</c:v>
                </c:pt>
                <c:pt idx="2">
                  <c:v>726.99</c:v>
                </c:pt>
              </c:numCache>
            </c:numRef>
          </c:val>
        </c:ser>
        <c:ser>
          <c:idx val="2"/>
          <c:order val="2"/>
          <c:tx>
            <c:strRef>
              <c:f>Sheet1!$D$1</c:f>
              <c:strCache>
                <c:ptCount val="1"/>
                <c:pt idx="0">
                  <c:v>2024年</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1">
                  <c:v>总收入</c:v>
                </c:pt>
                <c:pt idx="2">
                  <c:v>总支出</c:v>
                </c:pt>
              </c:strCache>
            </c:strRef>
          </c:cat>
          <c:val>
            <c:numRef>
              <c:f>Sheet1!$D$2:$D$5</c:f>
              <c:numCache>
                <c:formatCode>General</c:formatCode>
                <c:ptCount val="4"/>
                <c:pt idx="1">
                  <c:v>783</c:v>
                </c:pt>
                <c:pt idx="2">
                  <c:v>783</c:v>
                </c:pt>
              </c:numCache>
            </c:numRef>
          </c:val>
        </c:ser>
        <c:dLbls>
          <c:showLegendKey val="0"/>
          <c:showVal val="0"/>
          <c:showCatName val="0"/>
          <c:showSerName val="0"/>
          <c:showPercent val="0"/>
          <c:showBubbleSize val="0"/>
        </c:dLbls>
        <c:gapWidth val="246"/>
        <c:overlap val="-28"/>
        <c:axId val="690271379"/>
        <c:axId val="46103290"/>
      </c:barChart>
      <c:catAx>
        <c:axId val="6902713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103290"/>
        <c:crosses val="autoZero"/>
        <c:auto val="1"/>
        <c:lblAlgn val="ctr"/>
        <c:lblOffset val="100"/>
        <c:noMultiLvlLbl val="0"/>
      </c:catAx>
      <c:valAx>
        <c:axId val="461032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0271379"/>
        <c:crosses val="autoZero"/>
        <c:crossBetween val="between"/>
      </c:valAx>
      <c:spPr>
        <a:noFill/>
        <a:ln>
          <a:noFill/>
        </a:ln>
        <a:effectLst/>
      </c:spPr>
    </c:plotArea>
    <c:legend>
      <c:legendPos val="b"/>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ceb21f6-bd3e-44a8-a1f2-1c730393af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2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a:ln w="22225">
              <a:solidFill>
                <a:schemeClr val="bg1"/>
              </a:solidFill>
            </a:ln>
            <a:sp3d contourW="22225"/>
          </c:spPr>
          <c:explosion val="0"/>
          <c:dPt>
            <c:idx val="0"/>
            <c:bubble3D val="0"/>
            <c:spPr>
              <a:gradFill>
                <a:gsLst>
                  <a:gs pos="80000">
                    <a:schemeClr val="accent1"/>
                  </a:gs>
                  <a:gs pos="0">
                    <a:schemeClr val="accent1">
                      <a:hueOff val="-1670000"/>
                    </a:schemeClr>
                  </a:gs>
                </a:gsLst>
                <a:lin ang="5400000" scaled="0"/>
              </a:gradFill>
              <a:ln w="22225">
                <a:solidFill>
                  <a:schemeClr val="bg1"/>
                </a:solidFill>
              </a:ln>
              <a:effectLst/>
              <a:sp3d contourW="22225"/>
            </c:spPr>
          </c:dPt>
          <c:dPt>
            <c:idx val="1"/>
            <c:bubble3D val="0"/>
            <c:spPr>
              <a:gradFill>
                <a:gsLst>
                  <a:gs pos="80000">
                    <a:schemeClr val="accent2"/>
                  </a:gs>
                  <a:gs pos="0">
                    <a:schemeClr val="accent2">
                      <a:hueOff val="-1670000"/>
                    </a:schemeClr>
                  </a:gs>
                </a:gsLst>
                <a:lin ang="5400000" scaled="0"/>
              </a:gradFill>
              <a:ln w="22225">
                <a:solidFill>
                  <a:schemeClr val="bg1"/>
                </a:solidFill>
              </a:ln>
              <a:effectLst/>
              <a:sp3d contourW="22225"/>
            </c:spPr>
          </c:dPt>
          <c:dPt>
            <c:idx val="2"/>
            <c:bubble3D val="0"/>
            <c:spPr>
              <a:gradFill>
                <a:gsLst>
                  <a:gs pos="80000">
                    <a:schemeClr val="accent3"/>
                  </a:gs>
                  <a:gs pos="0">
                    <a:schemeClr val="accent3">
                      <a:hueOff val="-1670000"/>
                    </a:schemeClr>
                  </a:gs>
                </a:gsLst>
                <a:lin ang="5400000" scaled="0"/>
              </a:gradFill>
              <a:ln w="22225">
                <a:solidFill>
                  <a:schemeClr val="bg1"/>
                </a:solidFill>
              </a:ln>
              <a:effectLst/>
              <a:sp3d contourW="22225"/>
            </c:spPr>
          </c:dPt>
          <c:dPt>
            <c:idx val="3"/>
            <c:bubble3D val="0"/>
            <c:spPr>
              <a:gradFill>
                <a:gsLst>
                  <a:gs pos="80000">
                    <a:schemeClr val="accent4"/>
                  </a:gs>
                  <a:gs pos="0">
                    <a:schemeClr val="accent4">
                      <a:hueOff val="-1670000"/>
                    </a:schemeClr>
                  </a:gs>
                </a:gsLst>
                <a:lin ang="5400000" scaled="0"/>
              </a:gradFill>
              <a:ln w="22225">
                <a:solidFill>
                  <a:schemeClr val="bg1"/>
                </a:solidFill>
              </a:ln>
              <a:effectLst/>
              <a:sp3d contourW="2222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Sheet1!$A$2:$A$5</c:f>
              <c:strCache>
                <c:ptCount val="4"/>
                <c:pt idx="0">
                  <c:v>一般公共预算财政拨款收入</c:v>
                </c:pt>
                <c:pt idx="1">
                  <c:v>事业收入</c:v>
                </c:pt>
                <c:pt idx="2">
                  <c:v>其他收入</c:v>
                </c:pt>
              </c:strCache>
            </c:strRef>
          </c:cat>
          <c:val>
            <c:numRef>
              <c:f>Sheet1!$B$2:$B$5</c:f>
              <c:numCache>
                <c:formatCode>General</c:formatCode>
                <c:ptCount val="4"/>
                <c:pt idx="0">
                  <c:v>688.82</c:v>
                </c:pt>
                <c:pt idx="1">
                  <c:v>90.18</c:v>
                </c:pt>
                <c:pt idx="2">
                  <c:v>4</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91887bd8-7708-4b5c-a685-6af0514c75aa}"/>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542.47</c:v>
                </c:pt>
                <c:pt idx="1">
                  <c:v>238.53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78f3ec2-222a-4026-b3ec-5fecf7f3e01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财政拨款收支变动图</a:t>
            </a:r>
          </a:p>
        </c:rich>
      </c:tx>
      <c:layout/>
      <c:overlay val="0"/>
      <c:spPr>
        <a:noFill/>
        <a:ln>
          <a:noFill/>
        </a:ln>
        <a:effectLst/>
      </c:spPr>
    </c:title>
    <c:autoTitleDeleted val="0"/>
    <c:plotArea>
      <c:layout>
        <c:manualLayout>
          <c:layoutTarget val="inner"/>
          <c:xMode val="edge"/>
          <c:yMode val="edge"/>
          <c:x val="0.0665136506402513"/>
          <c:y val="0.161920951976201"/>
          <c:w val="0.908359507127325"/>
          <c:h val="0.63905652358691"/>
        </c:manualLayout>
      </c:layout>
      <c:barChart>
        <c:barDir val="col"/>
        <c:grouping val="clustered"/>
        <c:varyColors val="0"/>
        <c:ser>
          <c:idx val="0"/>
          <c:order val="0"/>
          <c:tx>
            <c:strRef>
              <c:f>Sheet1!$B$1</c:f>
              <c:strCache>
                <c:ptCount val="1"/>
                <c:pt idx="0">
                  <c:v>财政拨款总收入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c:v>
                </c:pt>
                <c:pt idx="1">
                  <c:v>2024年</c:v>
                </c:pt>
              </c:strCache>
            </c:strRef>
          </c:cat>
          <c:val>
            <c:numRef>
              <c:f>Sheet1!$B$2:$B$5</c:f>
              <c:numCache>
                <c:formatCode>General</c:formatCode>
                <c:ptCount val="4"/>
                <c:pt idx="0">
                  <c:v>643.49</c:v>
                </c:pt>
                <c:pt idx="1">
                  <c:v>688.82</c:v>
                </c:pt>
              </c:numCache>
            </c:numRef>
          </c:val>
        </c:ser>
        <c:ser>
          <c:idx val="1"/>
          <c:order val="1"/>
          <c:tx>
            <c:strRef>
              <c:f>Sheet1!$C$1</c:f>
              <c:strCache>
                <c:ptCount val="1"/>
                <c:pt idx="0">
                  <c:v>财政拨款总支出</c:v>
                </c:pt>
              </c:strCache>
            </c:strRef>
          </c:tx>
          <c:spPr>
            <a:solidFill>
              <a:schemeClr val="accent2"/>
            </a:solidFill>
            <a:ln>
              <a:noFill/>
            </a:ln>
            <a:effectLst/>
          </c:spPr>
          <c:invertIfNegative val="0"/>
          <c:dLbls>
            <c:dLbl>
              <c:idx val="0"/>
              <c:layout>
                <c:manualLayout>
                  <c:x val="0.00144962551340904"/>
                  <c:y val="-0.060985975350616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2481275670451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c:v>
                </c:pt>
                <c:pt idx="1">
                  <c:v>2024年</c:v>
                </c:pt>
              </c:strCache>
            </c:strRef>
          </c:cat>
          <c:val>
            <c:numRef>
              <c:f>Sheet1!$C$2:$C$5</c:f>
              <c:numCache>
                <c:formatCode>General</c:formatCode>
                <c:ptCount val="4"/>
                <c:pt idx="0">
                  <c:v>643.49</c:v>
                </c:pt>
                <c:pt idx="1">
                  <c:v>688.82</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c:v>
                </c:pt>
                <c:pt idx="1">
                  <c:v>2024年</c:v>
                </c:pt>
              </c:strCache>
            </c:strRef>
          </c:cat>
          <c:val>
            <c:numRef>
              <c:f>Sheet1!$D$2:$D$5</c:f>
              <c:numCache>
                <c:formatCode>General</c:formatCode>
                <c:ptCount val="4"/>
              </c:numCache>
            </c:numRef>
          </c:val>
        </c:ser>
        <c:dLbls>
          <c:showLegendKey val="0"/>
          <c:showVal val="1"/>
          <c:showCatName val="0"/>
          <c:showSerName val="0"/>
          <c:showPercent val="0"/>
          <c:showBubbleSize val="0"/>
        </c:dLbls>
        <c:gapWidth val="246"/>
        <c:overlap val="-28"/>
        <c:axId val="802210171"/>
        <c:axId val="927971465"/>
      </c:barChart>
      <c:catAx>
        <c:axId val="8022101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7971465"/>
        <c:crosses val="autoZero"/>
        <c:auto val="1"/>
        <c:lblAlgn val="ctr"/>
        <c:lblOffset val="100"/>
        <c:noMultiLvlLbl val="0"/>
      </c:catAx>
      <c:valAx>
        <c:axId val="92797146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2210171"/>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f8e4e89-b0e4-429e-916c-0e1036b84ae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a:t>
            </a:r>
          </a:p>
        </c:rich>
      </c:tx>
      <c:layout>
        <c:manualLayout>
          <c:xMode val="edge"/>
          <c:yMode val="edge"/>
          <c:x val="0.265402271079971"/>
          <c:y val="0.0280492987675308"/>
        </c:manualLayout>
      </c:layout>
      <c:overlay val="0"/>
      <c:spPr>
        <a:noFill/>
        <a:ln>
          <a:noFill/>
        </a:ln>
        <a:effectLst/>
      </c:spPr>
    </c:title>
    <c:autoTitleDeleted val="0"/>
    <c:plotArea>
      <c:layout>
        <c:manualLayout>
          <c:layoutTarget val="inner"/>
          <c:xMode val="edge"/>
          <c:yMode val="edge"/>
          <c:x val="0.0720705484416526"/>
          <c:y val="0.156183595410115"/>
          <c:w val="0.902923411452041"/>
          <c:h val="0.727666808329792"/>
        </c:manualLayout>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w="19050" cap="rnd">
              <a:solidFill>
                <a:schemeClr val="tx1">
                  <a:lumMod val="85000"/>
                  <a:lumOff val="15000"/>
                </a:schemeClr>
              </a:solidFill>
              <a:round/>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c:v>
                </c:pt>
                <c:pt idx="2">
                  <c:v>2024年</c:v>
                </c:pt>
              </c:strCache>
            </c:strRef>
          </c:cat>
          <c:val>
            <c:numRef>
              <c:f>Sheet1!$B$2:$B$5</c:f>
              <c:numCache>
                <c:formatCode>General</c:formatCode>
                <c:ptCount val="4"/>
                <c:pt idx="0">
                  <c:v>643.49</c:v>
                </c:pt>
                <c:pt idx="2">
                  <c:v>688.82</c:v>
                </c:pt>
              </c:numCache>
            </c:numRef>
          </c:val>
        </c:ser>
        <c:ser>
          <c:idx val="1"/>
          <c:order val="1"/>
          <c:tx>
            <c:strRef>
              <c:f>Sheet1!$C$1</c:f>
              <c:strCache>
                <c:ptCount val="1"/>
                <c:pt idx="0">
                  <c:v/>
                </c:pt>
              </c:strCache>
            </c:strRef>
          </c:tx>
          <c:spPr>
            <a:solidFill>
              <a:schemeClr val="accent2"/>
            </a:solidFill>
            <a:ln w="19050" cap="rnd">
              <a:solidFill>
                <a:schemeClr val="tx1">
                  <a:lumMod val="85000"/>
                  <a:lumOff val="15000"/>
                </a:schemeClr>
              </a:solidFill>
              <a:round/>
            </a:ln>
            <a:effectLst/>
          </c:spPr>
          <c:invertIfNegative val="0"/>
          <c:dLbls>
            <c:delete val="1"/>
          </c:dLbls>
          <c:cat>
            <c:strRef>
              <c:f>Sheet1!$A$2:$A$5</c:f>
              <c:strCache>
                <c:ptCount val="4"/>
                <c:pt idx="0">
                  <c:v>2023年</c:v>
                </c:pt>
                <c:pt idx="2">
                  <c:v>2024年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w="19050" cap="rnd">
              <a:solidFill>
                <a:schemeClr val="tx1">
                  <a:lumMod val="85000"/>
                  <a:lumOff val="15000"/>
                </a:schemeClr>
              </a:solidFill>
              <a:round/>
            </a:ln>
            <a:effectLst/>
          </c:spPr>
          <c:invertIfNegative val="0"/>
          <c:dLbls>
            <c:delete val="1"/>
          </c:dLbls>
          <c:cat>
            <c:strRef>
              <c:f>Sheet1!$A$2:$A$5</c:f>
              <c:strCache>
                <c:ptCount val="4"/>
                <c:pt idx="0">
                  <c:v>2023年</c:v>
                </c:pt>
                <c:pt idx="2">
                  <c:v>2024年</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0"/>
        <c:axId val="620371982"/>
        <c:axId val="148139786"/>
      </c:barChart>
      <c:catAx>
        <c:axId val="620371982"/>
        <c:scaling>
          <c:orientation val="minMax"/>
        </c:scaling>
        <c:delete val="0"/>
        <c:axPos val="b"/>
        <c:numFmt formatCode="General" sourceLinked="1"/>
        <c:majorTickMark val="none"/>
        <c:minorTickMark val="none"/>
        <c:tickLblPos val="nextTo"/>
        <c:spPr>
          <a:noFill/>
          <a:ln w="1270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48139786"/>
        <c:crosses val="autoZero"/>
        <c:auto val="1"/>
        <c:lblAlgn val="ctr"/>
        <c:lblOffset val="100"/>
        <c:noMultiLvlLbl val="0"/>
      </c:catAx>
      <c:valAx>
        <c:axId val="148139786"/>
        <c:scaling>
          <c:orientation val="minMax"/>
        </c:scaling>
        <c:delete val="0"/>
        <c:axPos val="l"/>
        <c:majorGridlines>
          <c:spPr>
            <a:ln w="9525" cap="flat" cmpd="sng" algn="ctr">
              <a:solidFill>
                <a:schemeClr val="tx1">
                  <a:lumMod val="50000"/>
                  <a:lumOff val="50000"/>
                  <a:alpha val="25000"/>
                </a:schemeClr>
              </a:solidFill>
              <a:prstDash val="dash"/>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20371982"/>
        <c:crosses val="autoZero"/>
        <c:crossBetween val="between"/>
      </c:valAx>
      <c:spPr>
        <a:noFill/>
        <a:ln>
          <a:noFill/>
        </a:ln>
        <a:effectLst/>
      </c:spPr>
    </c:plotArea>
    <c:plotVisOnly val="1"/>
    <c:dispBlanksAs val="gap"/>
    <c:showDLblsOverMax val="0"/>
    <c:extLst>
      <c:ext uri="{0b15fc19-7d7d-44ad-8c2d-2c3a37ce22c3}">
        <chartProps xmlns="https://web.wps.cn/et/2018/main" chartId="{6e913c51-6ad8-4375-9f61-88cde8515667}"/>
      </c:ext>
    </c:extLst>
  </c:chart>
  <c:spPr>
    <a:solidFill>
      <a:schemeClr val="bg1"/>
    </a:solidFill>
    <a:ln w="9525"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住房保障支出</c:v>
                </c:pt>
              </c:strCache>
            </c:strRef>
          </c:cat>
          <c:val>
            <c:numRef>
              <c:f>Sheet1!$B$2:$B$5</c:f>
              <c:numCache>
                <c:formatCode>General</c:formatCode>
                <c:ptCount val="4"/>
                <c:pt idx="0">
                  <c:v>139.51</c:v>
                </c:pt>
                <c:pt idx="1">
                  <c:v>521.16</c:v>
                </c:pt>
                <c:pt idx="2">
                  <c:v>28.15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f05b831-7023-4384-9567-e6085f2d7c5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a:t>
            </a:r>
          </a:p>
        </c:rich>
      </c:tx>
      <c:layout>
        <c:manualLayout>
          <c:xMode val="edge"/>
          <c:yMode val="edge"/>
          <c:x val="0.305870983329307"/>
          <c:y val="0.0227369315767106"/>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因公出国（境）费支出</c:v>
                </c:pt>
                <c:pt idx="1">
                  <c:v>公务用车购置及运行维护费支出</c:v>
                </c:pt>
                <c:pt idx="2">
                  <c:v>公务接待费支出</c:v>
                </c:pt>
              </c:strCache>
            </c:strRef>
          </c:cat>
          <c:val>
            <c:numRef>
              <c:f>Sheet1!$B$2:$B$5</c:f>
              <c:numCache>
                <c:formatCode>General</c:formatCode>
                <c:ptCount val="4"/>
                <c:pt idx="0">
                  <c:v>0</c:v>
                </c:pt>
                <c:pt idx="1">
                  <c:v>1</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abc42f7-de18-4b20-8404-3ae4f685759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8">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可爱风">
    <a:dk1>
      <a:srgbClr val="000000"/>
    </a:dk1>
    <a:lt1>
      <a:srgbClr val="FFFFFF"/>
    </a:lt1>
    <a:dk2>
      <a:srgbClr val="44546A"/>
    </a:dk2>
    <a:lt2>
      <a:srgbClr val="E7E6E6"/>
    </a:lt2>
    <a:accent1>
      <a:srgbClr val="8ECBEE"/>
    </a:accent1>
    <a:accent2>
      <a:srgbClr val="FFD873"/>
    </a:accent2>
    <a:accent3>
      <a:srgbClr val="F279A3"/>
    </a:accent3>
    <a:accent4>
      <a:srgbClr val="F8B39E"/>
    </a:accent4>
    <a:accent5>
      <a:srgbClr val="B8E2DD"/>
    </a:accent5>
    <a:accent6>
      <a:srgbClr val="DEDC6A"/>
    </a:accent6>
    <a:hlink>
      <a:srgbClr val="0026E5"/>
    </a:hlink>
    <a:folHlink>
      <a:srgbClr val="7E1FA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1">
    <a:dk1>
      <a:srgbClr val="000000"/>
    </a:dk1>
    <a:lt1>
      <a:srgbClr val="FFFFFF"/>
    </a:lt1>
    <a:dk2>
      <a:srgbClr val="44546A"/>
    </a:dk2>
    <a:lt2>
      <a:srgbClr val="E7E6E6"/>
    </a:lt2>
    <a:accent1>
      <a:srgbClr val="4F80FF"/>
    </a:accent1>
    <a:accent2>
      <a:srgbClr val="16CC8A"/>
    </a:accent2>
    <a:accent3>
      <a:srgbClr val="FFC619"/>
    </a:accent3>
    <a:accent4>
      <a:srgbClr val="FF7F41"/>
    </a:accent4>
    <a:accent5>
      <a:srgbClr val="F95F5F"/>
    </a:accent5>
    <a:accent6>
      <a:srgbClr val="A15CFF"/>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2501</Words>
  <Characters>2812</Characters>
  <Lines>61</Lines>
  <Paragraphs>17</Paragraphs>
  <TotalTime>0</TotalTime>
  <ScaleCrop>false</ScaleCrop>
  <LinksUpToDate>false</LinksUpToDate>
  <CharactersWithSpaces>2843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user</cp:lastModifiedBy>
  <cp:lastPrinted>2025-08-07T09:34:00Z</cp:lastPrinted>
  <dcterms:modified xsi:type="dcterms:W3CDTF">2025-10-27T10:51:23Z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04787F2533EB45DC91BCDE4AB213247F</vt:lpwstr>
  </property>
  <property fmtid="{D5CDD505-2E9C-101B-9397-08002B2CF9AE}" pid="4" name="KSOTemplateDocerSaveRecord">
    <vt:lpwstr>eyJoZGlkIjoiYWJlNzA5NDUxMGY1MTQ2MzNhY2FjNzMyNzBmYjM1NGMiLCJ1c2VySWQiOiI0MTkxMzU0NzMifQ==</vt:lpwstr>
  </property>
</Properties>
</file>