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E7F725">
      <w:pPr>
        <w:pStyle w:val="2"/>
        <w:spacing w:before="93"/>
        <w:rPr>
          <w:rFonts w:ascii="Times New Roman" w:eastAsia="方正小标宋简体"/>
          <w:kern w:val="2"/>
          <w:sz w:val="72"/>
          <w:szCs w:val="72"/>
        </w:rPr>
      </w:pPr>
      <w:bookmarkStart w:id="0" w:name="_Toc15378441"/>
      <w:bookmarkStart w:id="1" w:name="_Toc15377193"/>
      <w:bookmarkStart w:id="2" w:name="_Toc15396475"/>
      <w:bookmarkStart w:id="3" w:name="_Toc15396597"/>
      <w:bookmarkStart w:id="4" w:name="_Toc15306267"/>
      <w:bookmarkStart w:id="5" w:name="_Toc15377425"/>
    </w:p>
    <w:p w14:paraId="3C7CE7E1">
      <w:pPr>
        <w:pStyle w:val="2"/>
        <w:spacing w:before="93"/>
        <w:rPr>
          <w:rFonts w:ascii="Times New Roman" w:eastAsia="方正小标宋简体"/>
          <w:kern w:val="2"/>
          <w:sz w:val="72"/>
          <w:szCs w:val="72"/>
        </w:rPr>
      </w:pPr>
    </w:p>
    <w:p w14:paraId="57CF3255">
      <w:pPr>
        <w:pStyle w:val="2"/>
        <w:spacing w:before="93"/>
        <w:rPr>
          <w:rFonts w:ascii="Times New Roman" w:eastAsia="方正小标宋简体"/>
          <w:kern w:val="2"/>
          <w:sz w:val="72"/>
          <w:szCs w:val="72"/>
        </w:rPr>
      </w:pPr>
    </w:p>
    <w:p w14:paraId="4BB72009">
      <w:pPr>
        <w:pStyle w:val="2"/>
        <w:spacing w:before="93"/>
        <w:jc w:val="center"/>
        <w:rPr>
          <w:rFonts w:ascii="Times New Roman" w:eastAsia="方正小标宋简体"/>
          <w:kern w:val="2"/>
          <w:sz w:val="72"/>
          <w:szCs w:val="72"/>
        </w:rPr>
      </w:pPr>
      <w:r>
        <w:rPr>
          <w:rFonts w:hint="eastAsia" w:ascii="Times New Roman" w:eastAsia="方正小标宋简体"/>
          <w:kern w:val="2"/>
          <w:sz w:val="72"/>
          <w:szCs w:val="72"/>
        </w:rPr>
        <w:t>2024年度</w:t>
      </w:r>
    </w:p>
    <w:p w14:paraId="42A270BA">
      <w:pPr>
        <w:pStyle w:val="2"/>
        <w:spacing w:before="93"/>
        <w:jc w:val="center"/>
        <w:rPr>
          <w:rFonts w:ascii="Times New Roman" w:eastAsia="方正小标宋简体"/>
          <w:kern w:val="2"/>
          <w:sz w:val="72"/>
          <w:szCs w:val="72"/>
        </w:rPr>
      </w:pPr>
      <w:r>
        <w:rPr>
          <w:rFonts w:hint="eastAsia" w:ascii="Times New Roman" w:eastAsia="方正小标宋简体"/>
          <w:kern w:val="2"/>
          <w:sz w:val="72"/>
          <w:szCs w:val="72"/>
        </w:rPr>
        <w:t>盐边县</w:t>
      </w:r>
      <w:r>
        <w:rPr>
          <w:rFonts w:hint="eastAsia" w:ascii="Times New Roman" w:eastAsia="方正小标宋简体"/>
          <w:kern w:val="2"/>
          <w:sz w:val="72"/>
          <w:szCs w:val="72"/>
          <w:lang w:val="en-US" w:eastAsia="zh-CN"/>
        </w:rPr>
        <w:t>疾病预防控制中心</w:t>
      </w:r>
      <w:r>
        <w:rPr>
          <w:rFonts w:hint="eastAsia" w:ascii="Times New Roman" w:eastAsia="方正小标宋简体"/>
          <w:kern w:val="2"/>
          <w:sz w:val="72"/>
          <w:szCs w:val="72"/>
        </w:rPr>
        <w:t>决算公开编制说明</w:t>
      </w:r>
    </w:p>
    <w:p w14:paraId="20AC20E4">
      <w:pPr>
        <w:spacing w:line="600" w:lineRule="exact"/>
        <w:jc w:val="center"/>
        <w:outlineLvl w:val="0"/>
        <w:rPr>
          <w:rFonts w:eastAsia="方正小标宋简体"/>
          <w:sz w:val="72"/>
          <w:szCs w:val="72"/>
        </w:rPr>
      </w:pPr>
    </w:p>
    <w:p w14:paraId="1D5C61C6">
      <w:pPr>
        <w:pStyle w:val="20"/>
        <w:rPr>
          <w:rFonts w:ascii="Times New Roman" w:hAnsi="Times New Roma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14:paraId="0ABF5B6A"/>
    <w:bookmarkEnd w:id="0"/>
    <w:bookmarkEnd w:id="1"/>
    <w:bookmarkEnd w:id="2"/>
    <w:bookmarkEnd w:id="3"/>
    <w:bookmarkEnd w:id="4"/>
    <w:bookmarkEnd w:id="5"/>
    <w:p w14:paraId="488450FE">
      <w:pPr>
        <w:widowControl/>
        <w:jc w:val="center"/>
        <w:rPr>
          <w:rFonts w:eastAsia="黑体"/>
          <w:sz w:val="48"/>
          <w:szCs w:val="48"/>
        </w:rPr>
      </w:pPr>
      <w:r>
        <w:rPr>
          <w:rFonts w:hint="eastAsia" w:eastAsia="黑体"/>
          <w:sz w:val="48"/>
          <w:szCs w:val="48"/>
        </w:rPr>
        <w:t>目录</w:t>
      </w:r>
    </w:p>
    <w:p w14:paraId="6B211972">
      <w:pPr>
        <w:widowControl/>
        <w:jc w:val="center"/>
        <w:rPr>
          <w:rFonts w:eastAsia="黑体" w:cstheme="minorBidi"/>
          <w:sz w:val="28"/>
          <w:szCs w:val="28"/>
        </w:rPr>
      </w:pPr>
    </w:p>
    <w:p w14:paraId="083A0DA8">
      <w:pPr>
        <w:pStyle w:val="11"/>
        <w:rPr>
          <w:rFonts w:ascii="Times New Roman" w:hAnsi="Times New Roman" w:eastAsia="仿宋_GB2312" w:cs="仿宋_GB2312"/>
        </w:rPr>
      </w:pPr>
      <w:r>
        <w:rPr>
          <w:rFonts w:hint="eastAsia" w:ascii="Times New Roman" w:hAnsi="Times New Roman" w:eastAsia="仿宋_GB2312" w:cs="仿宋_GB2312"/>
        </w:rPr>
        <w:t>公开时间：2025年10月</w:t>
      </w:r>
      <w:r>
        <w:rPr>
          <w:rFonts w:hint="eastAsia" w:ascii="Times New Roman" w:hAnsi="Times New Roman" w:eastAsia="仿宋_GB2312" w:cs="仿宋_GB2312"/>
          <w:lang w:val="en-US" w:eastAsia="zh-CN"/>
        </w:rPr>
        <w:t>28</w:t>
      </w:r>
      <w:r>
        <w:rPr>
          <w:rFonts w:hint="eastAsia" w:ascii="Times New Roman" w:hAnsi="Times New Roman" w:eastAsia="仿宋_GB2312" w:cs="仿宋_GB2312"/>
        </w:rPr>
        <w:t>日</w:t>
      </w:r>
    </w:p>
    <w:sdt>
      <w:sdtPr>
        <w:rPr>
          <w:rFonts w:eastAsia="仿宋_GB2312"/>
          <w:sz w:val="32"/>
          <w:szCs w:val="32"/>
        </w:rPr>
        <w:id w:val="147462752"/>
        <w:docPartObj>
          <w:docPartGallery w:val="Table of Contents"/>
          <w:docPartUnique/>
        </w:docPartObj>
      </w:sdtPr>
      <w:sdtEndPr>
        <w:rPr>
          <w:rFonts w:eastAsia="仿宋_GB2312"/>
          <w:sz w:val="32"/>
          <w:szCs w:val="32"/>
        </w:rPr>
      </w:sdtEndPr>
      <w:sdtContent>
        <w:p w14:paraId="572D68B4">
          <w:pPr>
            <w:rPr>
              <w:rFonts w:hint="eastAsia" w:ascii="CESI仿宋-GB2312" w:hAnsi="CESI仿宋-GB2312" w:eastAsia="CESI仿宋-GB2312" w:cs="CESI仿宋-GB2312"/>
              <w:b w:val="0"/>
              <w:bCs w:val="0"/>
              <w:sz w:val="28"/>
              <w:szCs w:val="28"/>
            </w:rPr>
          </w:pPr>
          <w:bookmarkStart w:id="6" w:name="_Toc15396599"/>
          <w:bookmarkStart w:id="7" w:name="_Toc15377196"/>
          <w:r>
            <w:rPr>
              <w:rFonts w:hint="eastAsia" w:ascii="CESI仿宋-GB2312" w:hAnsi="CESI仿宋-GB2312" w:eastAsia="CESI仿宋-GB2312" w:cs="CESI仿宋-GB2312"/>
              <w:b w:val="0"/>
              <w:bCs w:val="0"/>
              <w:sz w:val="28"/>
              <w:szCs w:val="28"/>
            </w:rPr>
            <w:fldChar w:fldCharType="begin"/>
          </w:r>
          <w:r>
            <w:rPr>
              <w:rFonts w:hint="eastAsia" w:ascii="CESI仿宋-GB2312" w:hAnsi="CESI仿宋-GB2312" w:eastAsia="CESI仿宋-GB2312" w:cs="CESI仿宋-GB2312"/>
              <w:b w:val="0"/>
              <w:bCs w:val="0"/>
              <w:sz w:val="28"/>
              <w:szCs w:val="28"/>
            </w:rPr>
            <w:instrText xml:space="preserve">TOC \o "1-3" \h \u </w:instrText>
          </w:r>
          <w:r>
            <w:rPr>
              <w:rFonts w:hint="eastAsia" w:ascii="CESI仿宋-GB2312" w:hAnsi="CESI仿宋-GB2312" w:eastAsia="CESI仿宋-GB2312" w:cs="CESI仿宋-GB2312"/>
              <w:b w:val="0"/>
              <w:bCs w:val="0"/>
              <w:sz w:val="28"/>
              <w:szCs w:val="28"/>
            </w:rPr>
            <w:fldChar w:fldCharType="separate"/>
          </w:r>
          <w:r>
            <w:rPr>
              <w:rFonts w:hint="eastAsia" w:ascii="CESI仿宋-GB2312" w:hAnsi="CESI仿宋-GB2312" w:eastAsia="CESI仿宋-GB2312" w:cs="CESI仿宋-GB2312"/>
              <w:b w:val="0"/>
              <w:bCs w:val="0"/>
              <w:sz w:val="28"/>
              <w:szCs w:val="28"/>
            </w:rPr>
            <w:t>第一部分</w:t>
          </w:r>
          <w:r>
            <w:rPr>
              <w:rFonts w:hint="eastAsia" w:ascii="CESI仿宋-GB2312" w:hAnsi="CESI仿宋-GB2312" w:eastAsia="CESI仿宋-GB2312" w:cs="CESI仿宋-GB2312"/>
              <w:b w:val="0"/>
              <w:bCs w:val="0"/>
              <w:sz w:val="28"/>
              <w:szCs w:val="28"/>
              <w:lang w:val="en-US" w:eastAsia="zh-CN"/>
            </w:rPr>
            <w:t xml:space="preserve"> </w:t>
          </w:r>
          <w:r>
            <w:rPr>
              <w:rFonts w:hint="eastAsia" w:ascii="CESI仿宋-GB2312" w:hAnsi="CESI仿宋-GB2312" w:eastAsia="CESI仿宋-GB2312" w:cs="CESI仿宋-GB2312"/>
              <w:b w:val="0"/>
              <w:bCs w:val="0"/>
              <w:sz w:val="28"/>
              <w:szCs w:val="28"/>
            </w:rPr>
            <w:t>单位概况</w:t>
          </w:r>
          <w:r>
            <w:rPr>
              <w:rFonts w:hint="eastAsia" w:ascii="CESI仿宋-GB2312" w:hAnsi="CESI仿宋-GB2312" w:eastAsia="CESI仿宋-GB2312" w:cs="CESI仿宋-GB2312"/>
              <w:b w:val="0"/>
              <w:bCs w:val="0"/>
              <w:sz w:val="28"/>
              <w:szCs w:val="28"/>
            </w:rPr>
            <w:ptab w:relativeTo="margin" w:alignment="right" w:leader="dot"/>
          </w:r>
          <w:r>
            <w:rPr>
              <w:rFonts w:hint="eastAsia" w:ascii="CESI仿宋-GB2312" w:hAnsi="CESI仿宋-GB2312" w:eastAsia="CESI仿宋-GB2312" w:cs="CESI仿宋-GB2312"/>
              <w:b w:val="0"/>
              <w:bCs w:val="0"/>
              <w:sz w:val="28"/>
              <w:szCs w:val="28"/>
            </w:rPr>
            <w:t>1</w:t>
          </w:r>
        </w:p>
        <w:p w14:paraId="05FDBE8F">
          <w:pPr>
            <w:pStyle w:val="14"/>
            <w:tabs>
              <w:tab w:val="right" w:leader="dot" w:pos="8306"/>
              <w:tab w:val="clear" w:pos="8296"/>
            </w:tabs>
            <w:rPr>
              <w:rFonts w:hint="eastAsia" w:ascii="CESI仿宋-GB2312" w:hAnsi="CESI仿宋-GB2312" w:eastAsia="CESI仿宋-GB2312" w:cs="CESI仿宋-GB2312"/>
              <w:b w:val="0"/>
              <w:bCs w:val="0"/>
              <w:sz w:val="28"/>
              <w:szCs w:val="28"/>
            </w:rPr>
          </w:pPr>
          <w:r>
            <w:rPr>
              <w:rFonts w:hint="eastAsia" w:ascii="CESI仿宋-GB2312" w:hAnsi="CESI仿宋-GB2312" w:eastAsia="CESI仿宋-GB2312" w:cs="CESI仿宋-GB2312"/>
              <w:b w:val="0"/>
              <w:bCs w:val="0"/>
              <w:sz w:val="28"/>
              <w:szCs w:val="28"/>
            </w:rPr>
            <w:fldChar w:fldCharType="begin"/>
          </w:r>
          <w:r>
            <w:rPr>
              <w:rFonts w:hint="eastAsia" w:ascii="CESI仿宋-GB2312" w:hAnsi="CESI仿宋-GB2312" w:eastAsia="CESI仿宋-GB2312" w:cs="CESI仿宋-GB2312"/>
              <w:b w:val="0"/>
              <w:bCs w:val="0"/>
              <w:sz w:val="28"/>
              <w:szCs w:val="28"/>
            </w:rPr>
            <w:instrText xml:space="preserve"> HYPERLINK \l "_Toc20417" </w:instrText>
          </w:r>
          <w:r>
            <w:rPr>
              <w:rFonts w:hint="eastAsia" w:ascii="CESI仿宋-GB2312" w:hAnsi="CESI仿宋-GB2312" w:eastAsia="CESI仿宋-GB2312" w:cs="CESI仿宋-GB2312"/>
              <w:b w:val="0"/>
              <w:bCs w:val="0"/>
              <w:sz w:val="28"/>
              <w:szCs w:val="28"/>
            </w:rPr>
            <w:fldChar w:fldCharType="separate"/>
          </w:r>
          <w:r>
            <w:rPr>
              <w:rFonts w:hint="eastAsia" w:ascii="CESI仿宋-GB2312" w:hAnsi="CESI仿宋-GB2312" w:eastAsia="CESI仿宋-GB2312" w:cs="CESI仿宋-GB2312"/>
              <w:b w:val="0"/>
              <w:bCs w:val="0"/>
              <w:sz w:val="28"/>
              <w:szCs w:val="28"/>
            </w:rPr>
            <w:t>一、</w:t>
          </w:r>
          <w:r>
            <w:rPr>
              <w:rFonts w:hint="eastAsia" w:ascii="CESI仿宋-GB2312" w:hAnsi="CESI仿宋-GB2312" w:eastAsia="CESI仿宋-GB2312" w:cs="CESI仿宋-GB2312"/>
              <w:b w:val="0"/>
              <w:bCs w:val="0"/>
              <w:sz w:val="28"/>
              <w:szCs w:val="28"/>
              <w:lang w:val="en-US" w:eastAsia="zh-CN"/>
            </w:rPr>
            <w:t>主要</w:t>
          </w:r>
          <w:r>
            <w:rPr>
              <w:rFonts w:hint="eastAsia" w:ascii="CESI仿宋-GB2312" w:hAnsi="CESI仿宋-GB2312" w:eastAsia="CESI仿宋-GB2312" w:cs="CESI仿宋-GB2312"/>
              <w:b w:val="0"/>
              <w:bCs w:val="0"/>
              <w:sz w:val="28"/>
              <w:szCs w:val="28"/>
            </w:rPr>
            <w:t>职责</w:t>
          </w:r>
          <w:r>
            <w:rPr>
              <w:rFonts w:hint="eastAsia" w:ascii="CESI仿宋-GB2312" w:hAnsi="CESI仿宋-GB2312" w:eastAsia="CESI仿宋-GB2312" w:cs="CESI仿宋-GB2312"/>
              <w:b w:val="0"/>
              <w:bCs w:val="0"/>
              <w:sz w:val="28"/>
              <w:szCs w:val="28"/>
            </w:rPr>
            <w:tab/>
          </w:r>
          <w:r>
            <w:rPr>
              <w:rFonts w:hint="eastAsia" w:ascii="CESI仿宋-GB2312" w:hAnsi="CESI仿宋-GB2312" w:eastAsia="CESI仿宋-GB2312" w:cs="CESI仿宋-GB2312"/>
              <w:b w:val="0"/>
              <w:bCs w:val="0"/>
              <w:sz w:val="28"/>
              <w:szCs w:val="28"/>
            </w:rPr>
            <w:fldChar w:fldCharType="begin"/>
          </w:r>
          <w:r>
            <w:rPr>
              <w:rFonts w:hint="eastAsia" w:ascii="CESI仿宋-GB2312" w:hAnsi="CESI仿宋-GB2312" w:eastAsia="CESI仿宋-GB2312" w:cs="CESI仿宋-GB2312"/>
              <w:b w:val="0"/>
              <w:bCs w:val="0"/>
              <w:sz w:val="28"/>
              <w:szCs w:val="28"/>
            </w:rPr>
            <w:instrText xml:space="preserve"> PAGEREF _Toc20417 \h </w:instrText>
          </w:r>
          <w:r>
            <w:rPr>
              <w:rFonts w:hint="eastAsia" w:ascii="CESI仿宋-GB2312" w:hAnsi="CESI仿宋-GB2312" w:eastAsia="CESI仿宋-GB2312" w:cs="CESI仿宋-GB2312"/>
              <w:b w:val="0"/>
              <w:bCs w:val="0"/>
              <w:sz w:val="28"/>
              <w:szCs w:val="28"/>
            </w:rPr>
            <w:fldChar w:fldCharType="separate"/>
          </w:r>
          <w:r>
            <w:rPr>
              <w:rFonts w:hint="eastAsia" w:ascii="CESI仿宋-GB2312" w:hAnsi="CESI仿宋-GB2312" w:eastAsia="CESI仿宋-GB2312" w:cs="CESI仿宋-GB2312"/>
              <w:b w:val="0"/>
              <w:bCs w:val="0"/>
              <w:sz w:val="28"/>
              <w:szCs w:val="28"/>
            </w:rPr>
            <w:t>1</w:t>
          </w:r>
          <w:r>
            <w:rPr>
              <w:rFonts w:hint="eastAsia" w:ascii="CESI仿宋-GB2312" w:hAnsi="CESI仿宋-GB2312" w:eastAsia="CESI仿宋-GB2312" w:cs="CESI仿宋-GB2312"/>
              <w:b w:val="0"/>
              <w:bCs w:val="0"/>
              <w:sz w:val="28"/>
              <w:szCs w:val="28"/>
            </w:rPr>
            <w:fldChar w:fldCharType="end"/>
          </w:r>
          <w:r>
            <w:rPr>
              <w:rFonts w:hint="eastAsia" w:ascii="CESI仿宋-GB2312" w:hAnsi="CESI仿宋-GB2312" w:eastAsia="CESI仿宋-GB2312" w:cs="CESI仿宋-GB2312"/>
              <w:b w:val="0"/>
              <w:bCs w:val="0"/>
              <w:sz w:val="28"/>
              <w:szCs w:val="28"/>
            </w:rPr>
            <w:fldChar w:fldCharType="end"/>
          </w:r>
        </w:p>
        <w:p w14:paraId="19ECD0CF">
          <w:pPr>
            <w:pStyle w:val="14"/>
            <w:tabs>
              <w:tab w:val="right" w:leader="dot" w:pos="8306"/>
              <w:tab w:val="clear" w:pos="8296"/>
            </w:tabs>
            <w:rPr>
              <w:rFonts w:hint="eastAsia" w:ascii="CESI仿宋-GB2312" w:hAnsi="CESI仿宋-GB2312" w:eastAsia="CESI仿宋-GB2312" w:cs="CESI仿宋-GB2312"/>
              <w:b w:val="0"/>
              <w:bCs w:val="0"/>
              <w:sz w:val="28"/>
              <w:szCs w:val="28"/>
            </w:rPr>
          </w:pPr>
          <w:r>
            <w:rPr>
              <w:rFonts w:hint="eastAsia" w:ascii="CESI仿宋-GB2312" w:hAnsi="CESI仿宋-GB2312" w:eastAsia="CESI仿宋-GB2312" w:cs="CESI仿宋-GB2312"/>
              <w:b w:val="0"/>
              <w:bCs w:val="0"/>
              <w:sz w:val="28"/>
              <w:szCs w:val="28"/>
            </w:rPr>
            <w:fldChar w:fldCharType="begin"/>
          </w:r>
          <w:r>
            <w:rPr>
              <w:rFonts w:hint="eastAsia" w:ascii="CESI仿宋-GB2312" w:hAnsi="CESI仿宋-GB2312" w:eastAsia="CESI仿宋-GB2312" w:cs="CESI仿宋-GB2312"/>
              <w:b w:val="0"/>
              <w:bCs w:val="0"/>
              <w:sz w:val="28"/>
              <w:szCs w:val="28"/>
            </w:rPr>
            <w:instrText xml:space="preserve"> HYPERLINK \l "_Toc29815" </w:instrText>
          </w:r>
          <w:r>
            <w:rPr>
              <w:rFonts w:hint="eastAsia" w:ascii="CESI仿宋-GB2312" w:hAnsi="CESI仿宋-GB2312" w:eastAsia="CESI仿宋-GB2312" w:cs="CESI仿宋-GB2312"/>
              <w:b w:val="0"/>
              <w:bCs w:val="0"/>
              <w:sz w:val="28"/>
              <w:szCs w:val="28"/>
            </w:rPr>
            <w:fldChar w:fldCharType="separate"/>
          </w:r>
          <w:r>
            <w:rPr>
              <w:rFonts w:hint="eastAsia" w:ascii="CESI仿宋-GB2312" w:hAnsi="CESI仿宋-GB2312" w:eastAsia="CESI仿宋-GB2312" w:cs="CESI仿宋-GB2312"/>
              <w:b w:val="0"/>
              <w:bCs w:val="0"/>
              <w:sz w:val="28"/>
              <w:szCs w:val="28"/>
            </w:rPr>
            <w:t>二、机构设置</w:t>
          </w:r>
          <w:r>
            <w:rPr>
              <w:rFonts w:hint="eastAsia" w:ascii="CESI仿宋-GB2312" w:hAnsi="CESI仿宋-GB2312" w:eastAsia="CESI仿宋-GB2312" w:cs="CESI仿宋-GB2312"/>
              <w:b w:val="0"/>
              <w:bCs w:val="0"/>
              <w:sz w:val="28"/>
              <w:szCs w:val="28"/>
            </w:rPr>
            <w:tab/>
          </w:r>
          <w:r>
            <w:rPr>
              <w:rFonts w:hint="eastAsia" w:ascii="CESI仿宋-GB2312" w:hAnsi="CESI仿宋-GB2312" w:eastAsia="CESI仿宋-GB2312" w:cs="CESI仿宋-GB2312"/>
              <w:b w:val="0"/>
              <w:bCs w:val="0"/>
              <w:sz w:val="28"/>
              <w:szCs w:val="28"/>
            </w:rPr>
            <w:fldChar w:fldCharType="begin"/>
          </w:r>
          <w:r>
            <w:rPr>
              <w:rFonts w:hint="eastAsia" w:ascii="CESI仿宋-GB2312" w:hAnsi="CESI仿宋-GB2312" w:eastAsia="CESI仿宋-GB2312" w:cs="CESI仿宋-GB2312"/>
              <w:b w:val="0"/>
              <w:bCs w:val="0"/>
              <w:sz w:val="28"/>
              <w:szCs w:val="28"/>
            </w:rPr>
            <w:instrText xml:space="preserve"> PAGEREF _Toc29815 \h </w:instrText>
          </w:r>
          <w:r>
            <w:rPr>
              <w:rFonts w:hint="eastAsia" w:ascii="CESI仿宋-GB2312" w:hAnsi="CESI仿宋-GB2312" w:eastAsia="CESI仿宋-GB2312" w:cs="CESI仿宋-GB2312"/>
              <w:b w:val="0"/>
              <w:bCs w:val="0"/>
              <w:sz w:val="28"/>
              <w:szCs w:val="28"/>
            </w:rPr>
            <w:fldChar w:fldCharType="separate"/>
          </w:r>
          <w:r>
            <w:rPr>
              <w:rFonts w:hint="eastAsia" w:ascii="CESI仿宋-GB2312" w:hAnsi="CESI仿宋-GB2312" w:eastAsia="CESI仿宋-GB2312" w:cs="CESI仿宋-GB2312"/>
              <w:b w:val="0"/>
              <w:bCs w:val="0"/>
              <w:sz w:val="28"/>
              <w:szCs w:val="28"/>
            </w:rPr>
            <w:t>1</w:t>
          </w:r>
          <w:r>
            <w:rPr>
              <w:rFonts w:hint="eastAsia" w:ascii="CESI仿宋-GB2312" w:hAnsi="CESI仿宋-GB2312" w:eastAsia="CESI仿宋-GB2312" w:cs="CESI仿宋-GB2312"/>
              <w:b w:val="0"/>
              <w:bCs w:val="0"/>
              <w:sz w:val="28"/>
              <w:szCs w:val="28"/>
            </w:rPr>
            <w:fldChar w:fldCharType="end"/>
          </w:r>
          <w:r>
            <w:rPr>
              <w:rFonts w:hint="eastAsia" w:ascii="CESI仿宋-GB2312" w:hAnsi="CESI仿宋-GB2312" w:eastAsia="CESI仿宋-GB2312" w:cs="CESI仿宋-GB2312"/>
              <w:b w:val="0"/>
              <w:bCs w:val="0"/>
              <w:sz w:val="28"/>
              <w:szCs w:val="28"/>
            </w:rPr>
            <w:fldChar w:fldCharType="end"/>
          </w:r>
        </w:p>
        <w:p w14:paraId="02D1704B">
          <w:pPr>
            <w:pStyle w:val="11"/>
            <w:tabs>
              <w:tab w:val="right" w:leader="dot" w:pos="8306"/>
              <w:tab w:val="clear" w:pos="8296"/>
            </w:tabs>
            <w:rPr>
              <w:rFonts w:hint="eastAsia" w:ascii="CESI仿宋-GB2312" w:hAnsi="CESI仿宋-GB2312" w:eastAsia="CESI仿宋-GB2312" w:cs="CESI仿宋-GB2312"/>
              <w:b w:val="0"/>
              <w:bCs w:val="0"/>
              <w:sz w:val="28"/>
              <w:szCs w:val="28"/>
            </w:rPr>
          </w:pPr>
          <w:r>
            <w:rPr>
              <w:rFonts w:hint="eastAsia" w:ascii="CESI仿宋-GB2312" w:hAnsi="CESI仿宋-GB2312" w:eastAsia="CESI仿宋-GB2312" w:cs="CESI仿宋-GB2312"/>
              <w:b w:val="0"/>
              <w:bCs w:val="0"/>
              <w:sz w:val="28"/>
              <w:szCs w:val="28"/>
            </w:rPr>
            <w:fldChar w:fldCharType="begin"/>
          </w:r>
          <w:r>
            <w:rPr>
              <w:rFonts w:hint="eastAsia" w:ascii="CESI仿宋-GB2312" w:hAnsi="CESI仿宋-GB2312" w:eastAsia="CESI仿宋-GB2312" w:cs="CESI仿宋-GB2312"/>
              <w:b w:val="0"/>
              <w:bCs w:val="0"/>
              <w:sz w:val="28"/>
              <w:szCs w:val="28"/>
            </w:rPr>
            <w:instrText xml:space="preserve"> HYPERLINK \l "_Toc18061" </w:instrText>
          </w:r>
          <w:r>
            <w:rPr>
              <w:rFonts w:hint="eastAsia" w:ascii="CESI仿宋-GB2312" w:hAnsi="CESI仿宋-GB2312" w:eastAsia="CESI仿宋-GB2312" w:cs="CESI仿宋-GB2312"/>
              <w:b w:val="0"/>
              <w:bCs w:val="0"/>
              <w:sz w:val="28"/>
              <w:szCs w:val="28"/>
            </w:rPr>
            <w:fldChar w:fldCharType="separate"/>
          </w:r>
          <w:r>
            <w:rPr>
              <w:rFonts w:hint="eastAsia" w:ascii="CESI仿宋-GB2312" w:hAnsi="CESI仿宋-GB2312" w:eastAsia="CESI仿宋-GB2312" w:cs="CESI仿宋-GB2312"/>
              <w:b w:val="0"/>
              <w:bCs w:val="0"/>
              <w:sz w:val="28"/>
              <w:szCs w:val="28"/>
            </w:rPr>
            <w:t>第二部分 202</w:t>
          </w:r>
          <w:r>
            <w:rPr>
              <w:rFonts w:hint="eastAsia" w:ascii="CESI仿宋-GB2312" w:hAnsi="CESI仿宋-GB2312" w:eastAsia="CESI仿宋-GB2312" w:cs="CESI仿宋-GB2312"/>
              <w:b w:val="0"/>
              <w:bCs w:val="0"/>
              <w:sz w:val="28"/>
              <w:szCs w:val="28"/>
              <w:lang w:val="en-US" w:eastAsia="zh-CN"/>
            </w:rPr>
            <w:t>4</w:t>
          </w:r>
          <w:r>
            <w:rPr>
              <w:rFonts w:hint="eastAsia" w:ascii="CESI仿宋-GB2312" w:hAnsi="CESI仿宋-GB2312" w:eastAsia="CESI仿宋-GB2312" w:cs="CESI仿宋-GB2312"/>
              <w:b w:val="0"/>
              <w:bCs w:val="0"/>
              <w:sz w:val="28"/>
              <w:szCs w:val="28"/>
            </w:rPr>
            <w:t>年度单位决算情况说明</w:t>
          </w:r>
          <w:r>
            <w:rPr>
              <w:rFonts w:hint="eastAsia" w:ascii="CESI仿宋-GB2312" w:hAnsi="CESI仿宋-GB2312" w:eastAsia="CESI仿宋-GB2312" w:cs="CESI仿宋-GB2312"/>
              <w:b w:val="0"/>
              <w:bCs w:val="0"/>
              <w:sz w:val="28"/>
              <w:szCs w:val="28"/>
            </w:rPr>
            <w:tab/>
          </w:r>
          <w:r>
            <w:rPr>
              <w:rFonts w:hint="eastAsia" w:ascii="CESI仿宋-GB2312" w:hAnsi="CESI仿宋-GB2312" w:eastAsia="CESI仿宋-GB2312" w:cs="CESI仿宋-GB2312"/>
              <w:b w:val="0"/>
              <w:bCs w:val="0"/>
              <w:sz w:val="28"/>
              <w:szCs w:val="28"/>
            </w:rPr>
            <w:fldChar w:fldCharType="begin"/>
          </w:r>
          <w:r>
            <w:rPr>
              <w:rFonts w:hint="eastAsia" w:ascii="CESI仿宋-GB2312" w:hAnsi="CESI仿宋-GB2312" w:eastAsia="CESI仿宋-GB2312" w:cs="CESI仿宋-GB2312"/>
              <w:b w:val="0"/>
              <w:bCs w:val="0"/>
              <w:sz w:val="28"/>
              <w:szCs w:val="28"/>
            </w:rPr>
            <w:instrText xml:space="preserve"> PAGEREF _Toc18061 \h </w:instrText>
          </w:r>
          <w:r>
            <w:rPr>
              <w:rFonts w:hint="eastAsia" w:ascii="CESI仿宋-GB2312" w:hAnsi="CESI仿宋-GB2312" w:eastAsia="CESI仿宋-GB2312" w:cs="CESI仿宋-GB2312"/>
              <w:b w:val="0"/>
              <w:bCs w:val="0"/>
              <w:sz w:val="28"/>
              <w:szCs w:val="28"/>
            </w:rPr>
            <w:fldChar w:fldCharType="separate"/>
          </w:r>
          <w:r>
            <w:rPr>
              <w:rFonts w:hint="eastAsia" w:ascii="CESI仿宋-GB2312" w:hAnsi="CESI仿宋-GB2312" w:eastAsia="CESI仿宋-GB2312" w:cs="CESI仿宋-GB2312"/>
              <w:b w:val="0"/>
              <w:bCs w:val="0"/>
              <w:sz w:val="28"/>
              <w:szCs w:val="28"/>
            </w:rPr>
            <w:t>2</w:t>
          </w:r>
          <w:r>
            <w:rPr>
              <w:rFonts w:hint="eastAsia" w:ascii="CESI仿宋-GB2312" w:hAnsi="CESI仿宋-GB2312" w:eastAsia="CESI仿宋-GB2312" w:cs="CESI仿宋-GB2312"/>
              <w:b w:val="0"/>
              <w:bCs w:val="0"/>
              <w:sz w:val="28"/>
              <w:szCs w:val="28"/>
            </w:rPr>
            <w:fldChar w:fldCharType="end"/>
          </w:r>
          <w:r>
            <w:rPr>
              <w:rFonts w:hint="eastAsia" w:ascii="CESI仿宋-GB2312" w:hAnsi="CESI仿宋-GB2312" w:eastAsia="CESI仿宋-GB2312" w:cs="CESI仿宋-GB2312"/>
              <w:b w:val="0"/>
              <w:bCs w:val="0"/>
              <w:sz w:val="28"/>
              <w:szCs w:val="28"/>
            </w:rPr>
            <w:fldChar w:fldCharType="end"/>
          </w:r>
        </w:p>
        <w:p w14:paraId="0AC4B0B1">
          <w:pPr>
            <w:pStyle w:val="14"/>
            <w:tabs>
              <w:tab w:val="right" w:leader="dot" w:pos="8306"/>
              <w:tab w:val="clear" w:pos="8296"/>
            </w:tabs>
            <w:rPr>
              <w:rFonts w:hint="eastAsia" w:ascii="CESI仿宋-GB2312" w:hAnsi="CESI仿宋-GB2312" w:eastAsia="CESI仿宋-GB2312" w:cs="CESI仿宋-GB2312"/>
              <w:b w:val="0"/>
              <w:bCs w:val="0"/>
              <w:sz w:val="28"/>
              <w:szCs w:val="28"/>
            </w:rPr>
          </w:pPr>
          <w:r>
            <w:rPr>
              <w:rFonts w:hint="eastAsia" w:ascii="CESI仿宋-GB2312" w:hAnsi="CESI仿宋-GB2312" w:eastAsia="CESI仿宋-GB2312" w:cs="CESI仿宋-GB2312"/>
              <w:b w:val="0"/>
              <w:bCs w:val="0"/>
              <w:sz w:val="28"/>
              <w:szCs w:val="28"/>
            </w:rPr>
            <w:fldChar w:fldCharType="begin"/>
          </w:r>
          <w:r>
            <w:rPr>
              <w:rFonts w:hint="eastAsia" w:ascii="CESI仿宋-GB2312" w:hAnsi="CESI仿宋-GB2312" w:eastAsia="CESI仿宋-GB2312" w:cs="CESI仿宋-GB2312"/>
              <w:b w:val="0"/>
              <w:bCs w:val="0"/>
              <w:sz w:val="28"/>
              <w:szCs w:val="28"/>
            </w:rPr>
            <w:instrText xml:space="preserve"> HYPERLINK \l "_Toc6490" </w:instrText>
          </w:r>
          <w:r>
            <w:rPr>
              <w:rFonts w:hint="eastAsia" w:ascii="CESI仿宋-GB2312" w:hAnsi="CESI仿宋-GB2312" w:eastAsia="CESI仿宋-GB2312" w:cs="CESI仿宋-GB2312"/>
              <w:b w:val="0"/>
              <w:bCs w:val="0"/>
              <w:sz w:val="28"/>
              <w:szCs w:val="28"/>
            </w:rPr>
            <w:fldChar w:fldCharType="separate"/>
          </w:r>
          <w:r>
            <w:rPr>
              <w:rFonts w:hint="eastAsia" w:ascii="CESI仿宋-GB2312" w:hAnsi="CESI仿宋-GB2312" w:eastAsia="CESI仿宋-GB2312" w:cs="CESI仿宋-GB2312"/>
              <w:b w:val="0"/>
              <w:bCs w:val="0"/>
              <w:sz w:val="28"/>
              <w:szCs w:val="28"/>
            </w:rPr>
            <w:t>一、收入支出决算总体情况说明</w:t>
          </w:r>
          <w:r>
            <w:rPr>
              <w:rFonts w:hint="eastAsia" w:ascii="CESI仿宋-GB2312" w:hAnsi="CESI仿宋-GB2312" w:eastAsia="CESI仿宋-GB2312" w:cs="CESI仿宋-GB2312"/>
              <w:b w:val="0"/>
              <w:bCs w:val="0"/>
              <w:sz w:val="28"/>
              <w:szCs w:val="28"/>
            </w:rPr>
            <w:tab/>
          </w:r>
          <w:r>
            <w:rPr>
              <w:rFonts w:hint="eastAsia" w:ascii="CESI仿宋-GB2312" w:hAnsi="CESI仿宋-GB2312" w:eastAsia="CESI仿宋-GB2312" w:cs="CESI仿宋-GB2312"/>
              <w:b w:val="0"/>
              <w:bCs w:val="0"/>
              <w:sz w:val="28"/>
              <w:szCs w:val="28"/>
            </w:rPr>
            <w:fldChar w:fldCharType="begin"/>
          </w:r>
          <w:r>
            <w:rPr>
              <w:rFonts w:hint="eastAsia" w:ascii="CESI仿宋-GB2312" w:hAnsi="CESI仿宋-GB2312" w:eastAsia="CESI仿宋-GB2312" w:cs="CESI仿宋-GB2312"/>
              <w:b w:val="0"/>
              <w:bCs w:val="0"/>
              <w:sz w:val="28"/>
              <w:szCs w:val="28"/>
            </w:rPr>
            <w:instrText xml:space="preserve"> PAGEREF _Toc6490 \h </w:instrText>
          </w:r>
          <w:r>
            <w:rPr>
              <w:rFonts w:hint="eastAsia" w:ascii="CESI仿宋-GB2312" w:hAnsi="CESI仿宋-GB2312" w:eastAsia="CESI仿宋-GB2312" w:cs="CESI仿宋-GB2312"/>
              <w:b w:val="0"/>
              <w:bCs w:val="0"/>
              <w:sz w:val="28"/>
              <w:szCs w:val="28"/>
            </w:rPr>
            <w:fldChar w:fldCharType="separate"/>
          </w:r>
          <w:r>
            <w:rPr>
              <w:rFonts w:hint="eastAsia" w:ascii="CESI仿宋-GB2312" w:hAnsi="CESI仿宋-GB2312" w:eastAsia="CESI仿宋-GB2312" w:cs="CESI仿宋-GB2312"/>
              <w:b w:val="0"/>
              <w:bCs w:val="0"/>
              <w:sz w:val="28"/>
              <w:szCs w:val="28"/>
            </w:rPr>
            <w:t>2</w:t>
          </w:r>
          <w:r>
            <w:rPr>
              <w:rFonts w:hint="eastAsia" w:ascii="CESI仿宋-GB2312" w:hAnsi="CESI仿宋-GB2312" w:eastAsia="CESI仿宋-GB2312" w:cs="CESI仿宋-GB2312"/>
              <w:b w:val="0"/>
              <w:bCs w:val="0"/>
              <w:sz w:val="28"/>
              <w:szCs w:val="28"/>
            </w:rPr>
            <w:fldChar w:fldCharType="end"/>
          </w:r>
          <w:r>
            <w:rPr>
              <w:rFonts w:hint="eastAsia" w:ascii="CESI仿宋-GB2312" w:hAnsi="CESI仿宋-GB2312" w:eastAsia="CESI仿宋-GB2312" w:cs="CESI仿宋-GB2312"/>
              <w:b w:val="0"/>
              <w:bCs w:val="0"/>
              <w:sz w:val="28"/>
              <w:szCs w:val="28"/>
            </w:rPr>
            <w:fldChar w:fldCharType="end"/>
          </w:r>
        </w:p>
        <w:p w14:paraId="2F964033">
          <w:pPr>
            <w:pStyle w:val="14"/>
            <w:tabs>
              <w:tab w:val="right" w:leader="dot" w:pos="8306"/>
              <w:tab w:val="clear" w:pos="8296"/>
            </w:tabs>
            <w:rPr>
              <w:rFonts w:hint="eastAsia" w:ascii="CESI仿宋-GB2312" w:hAnsi="CESI仿宋-GB2312" w:eastAsia="CESI仿宋-GB2312" w:cs="CESI仿宋-GB2312"/>
              <w:b w:val="0"/>
              <w:bCs w:val="0"/>
              <w:sz w:val="28"/>
              <w:szCs w:val="28"/>
            </w:rPr>
          </w:pPr>
          <w:r>
            <w:rPr>
              <w:rFonts w:hint="eastAsia" w:ascii="CESI仿宋-GB2312" w:hAnsi="CESI仿宋-GB2312" w:eastAsia="CESI仿宋-GB2312" w:cs="CESI仿宋-GB2312"/>
              <w:b w:val="0"/>
              <w:bCs w:val="0"/>
              <w:sz w:val="28"/>
              <w:szCs w:val="28"/>
            </w:rPr>
            <w:fldChar w:fldCharType="begin"/>
          </w:r>
          <w:r>
            <w:rPr>
              <w:rFonts w:hint="eastAsia" w:ascii="CESI仿宋-GB2312" w:hAnsi="CESI仿宋-GB2312" w:eastAsia="CESI仿宋-GB2312" w:cs="CESI仿宋-GB2312"/>
              <w:b w:val="0"/>
              <w:bCs w:val="0"/>
              <w:sz w:val="28"/>
              <w:szCs w:val="28"/>
            </w:rPr>
            <w:instrText xml:space="preserve"> HYPERLINK \l "_Toc18387" </w:instrText>
          </w:r>
          <w:r>
            <w:rPr>
              <w:rFonts w:hint="eastAsia" w:ascii="CESI仿宋-GB2312" w:hAnsi="CESI仿宋-GB2312" w:eastAsia="CESI仿宋-GB2312" w:cs="CESI仿宋-GB2312"/>
              <w:b w:val="0"/>
              <w:bCs w:val="0"/>
              <w:sz w:val="28"/>
              <w:szCs w:val="28"/>
            </w:rPr>
            <w:fldChar w:fldCharType="separate"/>
          </w:r>
          <w:r>
            <w:rPr>
              <w:rFonts w:hint="eastAsia" w:ascii="CESI仿宋-GB2312" w:hAnsi="CESI仿宋-GB2312" w:eastAsia="CESI仿宋-GB2312" w:cs="CESI仿宋-GB2312"/>
              <w:b w:val="0"/>
              <w:bCs w:val="0"/>
              <w:sz w:val="28"/>
              <w:szCs w:val="28"/>
            </w:rPr>
            <w:t>二、收入决算情况说明</w:t>
          </w:r>
          <w:r>
            <w:rPr>
              <w:rFonts w:hint="eastAsia" w:ascii="CESI仿宋-GB2312" w:hAnsi="CESI仿宋-GB2312" w:eastAsia="CESI仿宋-GB2312" w:cs="CESI仿宋-GB2312"/>
              <w:b w:val="0"/>
              <w:bCs w:val="0"/>
              <w:sz w:val="28"/>
              <w:szCs w:val="28"/>
            </w:rPr>
            <w:tab/>
          </w:r>
          <w:r>
            <w:rPr>
              <w:rFonts w:hint="eastAsia" w:ascii="CESI仿宋-GB2312" w:hAnsi="CESI仿宋-GB2312" w:eastAsia="CESI仿宋-GB2312" w:cs="CESI仿宋-GB2312"/>
              <w:b w:val="0"/>
              <w:bCs w:val="0"/>
              <w:sz w:val="28"/>
              <w:szCs w:val="28"/>
            </w:rPr>
            <w:fldChar w:fldCharType="begin"/>
          </w:r>
          <w:r>
            <w:rPr>
              <w:rFonts w:hint="eastAsia" w:ascii="CESI仿宋-GB2312" w:hAnsi="CESI仿宋-GB2312" w:eastAsia="CESI仿宋-GB2312" w:cs="CESI仿宋-GB2312"/>
              <w:b w:val="0"/>
              <w:bCs w:val="0"/>
              <w:sz w:val="28"/>
              <w:szCs w:val="28"/>
            </w:rPr>
            <w:instrText xml:space="preserve"> PAGEREF _Toc18387 \h </w:instrText>
          </w:r>
          <w:r>
            <w:rPr>
              <w:rFonts w:hint="eastAsia" w:ascii="CESI仿宋-GB2312" w:hAnsi="CESI仿宋-GB2312" w:eastAsia="CESI仿宋-GB2312" w:cs="CESI仿宋-GB2312"/>
              <w:b w:val="0"/>
              <w:bCs w:val="0"/>
              <w:sz w:val="28"/>
              <w:szCs w:val="28"/>
            </w:rPr>
            <w:fldChar w:fldCharType="separate"/>
          </w:r>
          <w:r>
            <w:rPr>
              <w:rFonts w:hint="eastAsia" w:ascii="CESI仿宋-GB2312" w:hAnsi="CESI仿宋-GB2312" w:eastAsia="CESI仿宋-GB2312" w:cs="CESI仿宋-GB2312"/>
              <w:b w:val="0"/>
              <w:bCs w:val="0"/>
              <w:sz w:val="28"/>
              <w:szCs w:val="28"/>
            </w:rPr>
            <w:t>2</w:t>
          </w:r>
          <w:r>
            <w:rPr>
              <w:rFonts w:hint="eastAsia" w:ascii="CESI仿宋-GB2312" w:hAnsi="CESI仿宋-GB2312" w:eastAsia="CESI仿宋-GB2312" w:cs="CESI仿宋-GB2312"/>
              <w:b w:val="0"/>
              <w:bCs w:val="0"/>
              <w:sz w:val="28"/>
              <w:szCs w:val="28"/>
            </w:rPr>
            <w:fldChar w:fldCharType="end"/>
          </w:r>
          <w:r>
            <w:rPr>
              <w:rFonts w:hint="eastAsia" w:ascii="CESI仿宋-GB2312" w:hAnsi="CESI仿宋-GB2312" w:eastAsia="CESI仿宋-GB2312" w:cs="CESI仿宋-GB2312"/>
              <w:b w:val="0"/>
              <w:bCs w:val="0"/>
              <w:sz w:val="28"/>
              <w:szCs w:val="28"/>
            </w:rPr>
            <w:fldChar w:fldCharType="end"/>
          </w:r>
        </w:p>
        <w:p w14:paraId="7164345D">
          <w:pPr>
            <w:pStyle w:val="14"/>
            <w:tabs>
              <w:tab w:val="right" w:leader="dot" w:pos="8306"/>
              <w:tab w:val="clear" w:pos="8296"/>
            </w:tabs>
            <w:rPr>
              <w:rFonts w:hint="eastAsia" w:ascii="CESI仿宋-GB2312" w:hAnsi="CESI仿宋-GB2312" w:eastAsia="CESI仿宋-GB2312" w:cs="CESI仿宋-GB2312"/>
              <w:b w:val="0"/>
              <w:bCs w:val="0"/>
              <w:sz w:val="28"/>
              <w:szCs w:val="28"/>
            </w:rPr>
          </w:pPr>
          <w:r>
            <w:rPr>
              <w:rFonts w:hint="eastAsia" w:ascii="CESI仿宋-GB2312" w:hAnsi="CESI仿宋-GB2312" w:eastAsia="CESI仿宋-GB2312" w:cs="CESI仿宋-GB2312"/>
              <w:b w:val="0"/>
              <w:bCs w:val="0"/>
              <w:sz w:val="28"/>
              <w:szCs w:val="28"/>
            </w:rPr>
            <w:fldChar w:fldCharType="begin"/>
          </w:r>
          <w:r>
            <w:rPr>
              <w:rFonts w:hint="eastAsia" w:ascii="CESI仿宋-GB2312" w:hAnsi="CESI仿宋-GB2312" w:eastAsia="CESI仿宋-GB2312" w:cs="CESI仿宋-GB2312"/>
              <w:b w:val="0"/>
              <w:bCs w:val="0"/>
              <w:sz w:val="28"/>
              <w:szCs w:val="28"/>
            </w:rPr>
            <w:instrText xml:space="preserve"> HYPERLINK \l "_Toc4157" </w:instrText>
          </w:r>
          <w:r>
            <w:rPr>
              <w:rFonts w:hint="eastAsia" w:ascii="CESI仿宋-GB2312" w:hAnsi="CESI仿宋-GB2312" w:eastAsia="CESI仿宋-GB2312" w:cs="CESI仿宋-GB2312"/>
              <w:b w:val="0"/>
              <w:bCs w:val="0"/>
              <w:sz w:val="28"/>
              <w:szCs w:val="28"/>
            </w:rPr>
            <w:fldChar w:fldCharType="separate"/>
          </w:r>
          <w:r>
            <w:rPr>
              <w:rFonts w:hint="eastAsia" w:ascii="CESI仿宋-GB2312" w:hAnsi="CESI仿宋-GB2312" w:eastAsia="CESI仿宋-GB2312" w:cs="CESI仿宋-GB2312"/>
              <w:b w:val="0"/>
              <w:bCs w:val="0"/>
              <w:sz w:val="28"/>
              <w:szCs w:val="28"/>
            </w:rPr>
            <w:t>三、支出决算情况说明</w:t>
          </w:r>
          <w:r>
            <w:rPr>
              <w:rFonts w:hint="eastAsia" w:ascii="CESI仿宋-GB2312" w:hAnsi="CESI仿宋-GB2312" w:eastAsia="CESI仿宋-GB2312" w:cs="CESI仿宋-GB2312"/>
              <w:b w:val="0"/>
              <w:bCs w:val="0"/>
              <w:sz w:val="28"/>
              <w:szCs w:val="28"/>
            </w:rPr>
            <w:tab/>
          </w:r>
          <w:r>
            <w:rPr>
              <w:rFonts w:hint="eastAsia" w:ascii="CESI仿宋-GB2312" w:hAnsi="CESI仿宋-GB2312" w:eastAsia="CESI仿宋-GB2312" w:cs="CESI仿宋-GB2312"/>
              <w:b w:val="0"/>
              <w:bCs w:val="0"/>
              <w:sz w:val="28"/>
              <w:szCs w:val="28"/>
            </w:rPr>
            <w:fldChar w:fldCharType="begin"/>
          </w:r>
          <w:r>
            <w:rPr>
              <w:rFonts w:hint="eastAsia" w:ascii="CESI仿宋-GB2312" w:hAnsi="CESI仿宋-GB2312" w:eastAsia="CESI仿宋-GB2312" w:cs="CESI仿宋-GB2312"/>
              <w:b w:val="0"/>
              <w:bCs w:val="0"/>
              <w:sz w:val="28"/>
              <w:szCs w:val="28"/>
            </w:rPr>
            <w:instrText xml:space="preserve"> PAGEREF _Toc4157 \h </w:instrText>
          </w:r>
          <w:r>
            <w:rPr>
              <w:rFonts w:hint="eastAsia" w:ascii="CESI仿宋-GB2312" w:hAnsi="CESI仿宋-GB2312" w:eastAsia="CESI仿宋-GB2312" w:cs="CESI仿宋-GB2312"/>
              <w:b w:val="0"/>
              <w:bCs w:val="0"/>
              <w:sz w:val="28"/>
              <w:szCs w:val="28"/>
            </w:rPr>
            <w:fldChar w:fldCharType="separate"/>
          </w:r>
          <w:r>
            <w:rPr>
              <w:rFonts w:hint="eastAsia" w:ascii="CESI仿宋-GB2312" w:hAnsi="CESI仿宋-GB2312" w:eastAsia="CESI仿宋-GB2312" w:cs="CESI仿宋-GB2312"/>
              <w:b w:val="0"/>
              <w:bCs w:val="0"/>
              <w:sz w:val="28"/>
              <w:szCs w:val="28"/>
            </w:rPr>
            <w:t>3</w:t>
          </w:r>
          <w:r>
            <w:rPr>
              <w:rFonts w:hint="eastAsia" w:ascii="CESI仿宋-GB2312" w:hAnsi="CESI仿宋-GB2312" w:eastAsia="CESI仿宋-GB2312" w:cs="CESI仿宋-GB2312"/>
              <w:b w:val="0"/>
              <w:bCs w:val="0"/>
              <w:sz w:val="28"/>
              <w:szCs w:val="28"/>
            </w:rPr>
            <w:fldChar w:fldCharType="end"/>
          </w:r>
          <w:r>
            <w:rPr>
              <w:rFonts w:hint="eastAsia" w:ascii="CESI仿宋-GB2312" w:hAnsi="CESI仿宋-GB2312" w:eastAsia="CESI仿宋-GB2312" w:cs="CESI仿宋-GB2312"/>
              <w:b w:val="0"/>
              <w:bCs w:val="0"/>
              <w:sz w:val="28"/>
              <w:szCs w:val="28"/>
            </w:rPr>
            <w:fldChar w:fldCharType="end"/>
          </w:r>
        </w:p>
        <w:p w14:paraId="4231991A">
          <w:pPr>
            <w:pStyle w:val="14"/>
            <w:tabs>
              <w:tab w:val="right" w:leader="dot" w:pos="8306"/>
              <w:tab w:val="clear" w:pos="8296"/>
            </w:tabs>
            <w:rPr>
              <w:rFonts w:hint="eastAsia" w:ascii="CESI仿宋-GB2312" w:hAnsi="CESI仿宋-GB2312" w:eastAsia="CESI仿宋-GB2312" w:cs="CESI仿宋-GB2312"/>
              <w:b w:val="0"/>
              <w:bCs w:val="0"/>
              <w:sz w:val="28"/>
              <w:szCs w:val="28"/>
            </w:rPr>
          </w:pPr>
          <w:r>
            <w:rPr>
              <w:rFonts w:hint="eastAsia" w:ascii="CESI仿宋-GB2312" w:hAnsi="CESI仿宋-GB2312" w:eastAsia="CESI仿宋-GB2312" w:cs="CESI仿宋-GB2312"/>
              <w:b w:val="0"/>
              <w:bCs w:val="0"/>
              <w:sz w:val="28"/>
              <w:szCs w:val="28"/>
            </w:rPr>
            <w:fldChar w:fldCharType="begin"/>
          </w:r>
          <w:r>
            <w:rPr>
              <w:rFonts w:hint="eastAsia" w:ascii="CESI仿宋-GB2312" w:hAnsi="CESI仿宋-GB2312" w:eastAsia="CESI仿宋-GB2312" w:cs="CESI仿宋-GB2312"/>
              <w:b w:val="0"/>
              <w:bCs w:val="0"/>
              <w:sz w:val="28"/>
              <w:szCs w:val="28"/>
            </w:rPr>
            <w:instrText xml:space="preserve"> HYPERLINK \l "_Toc16124" </w:instrText>
          </w:r>
          <w:r>
            <w:rPr>
              <w:rFonts w:hint="eastAsia" w:ascii="CESI仿宋-GB2312" w:hAnsi="CESI仿宋-GB2312" w:eastAsia="CESI仿宋-GB2312" w:cs="CESI仿宋-GB2312"/>
              <w:b w:val="0"/>
              <w:bCs w:val="0"/>
              <w:sz w:val="28"/>
              <w:szCs w:val="28"/>
            </w:rPr>
            <w:fldChar w:fldCharType="separate"/>
          </w:r>
          <w:r>
            <w:rPr>
              <w:rFonts w:hint="eastAsia" w:ascii="CESI仿宋-GB2312" w:hAnsi="CESI仿宋-GB2312" w:eastAsia="CESI仿宋-GB2312" w:cs="CESI仿宋-GB2312"/>
              <w:b w:val="0"/>
              <w:bCs w:val="0"/>
              <w:sz w:val="28"/>
              <w:szCs w:val="28"/>
            </w:rPr>
            <w:t>四、财政拨款收入支出决算总体情况说明</w:t>
          </w:r>
          <w:r>
            <w:rPr>
              <w:rFonts w:hint="eastAsia" w:ascii="CESI仿宋-GB2312" w:hAnsi="CESI仿宋-GB2312" w:eastAsia="CESI仿宋-GB2312" w:cs="CESI仿宋-GB2312"/>
              <w:b w:val="0"/>
              <w:bCs w:val="0"/>
              <w:sz w:val="28"/>
              <w:szCs w:val="28"/>
            </w:rPr>
            <w:tab/>
          </w:r>
          <w:r>
            <w:rPr>
              <w:rFonts w:hint="eastAsia" w:ascii="CESI仿宋-GB2312" w:hAnsi="CESI仿宋-GB2312" w:eastAsia="CESI仿宋-GB2312" w:cs="CESI仿宋-GB2312"/>
              <w:b w:val="0"/>
              <w:bCs w:val="0"/>
              <w:sz w:val="28"/>
              <w:szCs w:val="28"/>
            </w:rPr>
            <w:fldChar w:fldCharType="begin"/>
          </w:r>
          <w:r>
            <w:rPr>
              <w:rFonts w:hint="eastAsia" w:ascii="CESI仿宋-GB2312" w:hAnsi="CESI仿宋-GB2312" w:eastAsia="CESI仿宋-GB2312" w:cs="CESI仿宋-GB2312"/>
              <w:b w:val="0"/>
              <w:bCs w:val="0"/>
              <w:sz w:val="28"/>
              <w:szCs w:val="28"/>
            </w:rPr>
            <w:instrText xml:space="preserve"> PAGEREF _Toc16124 \h </w:instrText>
          </w:r>
          <w:r>
            <w:rPr>
              <w:rFonts w:hint="eastAsia" w:ascii="CESI仿宋-GB2312" w:hAnsi="CESI仿宋-GB2312" w:eastAsia="CESI仿宋-GB2312" w:cs="CESI仿宋-GB2312"/>
              <w:b w:val="0"/>
              <w:bCs w:val="0"/>
              <w:sz w:val="28"/>
              <w:szCs w:val="28"/>
            </w:rPr>
            <w:fldChar w:fldCharType="separate"/>
          </w:r>
          <w:r>
            <w:rPr>
              <w:rFonts w:hint="eastAsia" w:ascii="CESI仿宋-GB2312" w:hAnsi="CESI仿宋-GB2312" w:eastAsia="CESI仿宋-GB2312" w:cs="CESI仿宋-GB2312"/>
              <w:b w:val="0"/>
              <w:bCs w:val="0"/>
              <w:sz w:val="28"/>
              <w:szCs w:val="28"/>
            </w:rPr>
            <w:t>4</w:t>
          </w:r>
          <w:r>
            <w:rPr>
              <w:rFonts w:hint="eastAsia" w:ascii="CESI仿宋-GB2312" w:hAnsi="CESI仿宋-GB2312" w:eastAsia="CESI仿宋-GB2312" w:cs="CESI仿宋-GB2312"/>
              <w:b w:val="0"/>
              <w:bCs w:val="0"/>
              <w:sz w:val="28"/>
              <w:szCs w:val="28"/>
            </w:rPr>
            <w:fldChar w:fldCharType="end"/>
          </w:r>
          <w:r>
            <w:rPr>
              <w:rFonts w:hint="eastAsia" w:ascii="CESI仿宋-GB2312" w:hAnsi="CESI仿宋-GB2312" w:eastAsia="CESI仿宋-GB2312" w:cs="CESI仿宋-GB2312"/>
              <w:b w:val="0"/>
              <w:bCs w:val="0"/>
              <w:sz w:val="28"/>
              <w:szCs w:val="28"/>
            </w:rPr>
            <w:fldChar w:fldCharType="end"/>
          </w:r>
        </w:p>
        <w:p w14:paraId="05E8D086">
          <w:pPr>
            <w:pStyle w:val="14"/>
            <w:tabs>
              <w:tab w:val="right" w:leader="dot" w:pos="8306"/>
              <w:tab w:val="clear" w:pos="8296"/>
            </w:tabs>
            <w:rPr>
              <w:rFonts w:hint="eastAsia" w:ascii="CESI仿宋-GB2312" w:hAnsi="CESI仿宋-GB2312" w:eastAsia="CESI仿宋-GB2312" w:cs="CESI仿宋-GB2312"/>
              <w:b w:val="0"/>
              <w:bCs w:val="0"/>
              <w:sz w:val="28"/>
              <w:szCs w:val="28"/>
            </w:rPr>
          </w:pPr>
          <w:r>
            <w:rPr>
              <w:rFonts w:hint="eastAsia" w:ascii="CESI仿宋-GB2312" w:hAnsi="CESI仿宋-GB2312" w:eastAsia="CESI仿宋-GB2312" w:cs="CESI仿宋-GB2312"/>
              <w:b w:val="0"/>
              <w:bCs w:val="0"/>
              <w:sz w:val="28"/>
              <w:szCs w:val="28"/>
            </w:rPr>
            <w:fldChar w:fldCharType="begin"/>
          </w:r>
          <w:r>
            <w:rPr>
              <w:rFonts w:hint="eastAsia" w:ascii="CESI仿宋-GB2312" w:hAnsi="CESI仿宋-GB2312" w:eastAsia="CESI仿宋-GB2312" w:cs="CESI仿宋-GB2312"/>
              <w:b w:val="0"/>
              <w:bCs w:val="0"/>
              <w:sz w:val="28"/>
              <w:szCs w:val="28"/>
            </w:rPr>
            <w:instrText xml:space="preserve"> HYPERLINK \l "_Toc28387" </w:instrText>
          </w:r>
          <w:r>
            <w:rPr>
              <w:rFonts w:hint="eastAsia" w:ascii="CESI仿宋-GB2312" w:hAnsi="CESI仿宋-GB2312" w:eastAsia="CESI仿宋-GB2312" w:cs="CESI仿宋-GB2312"/>
              <w:b w:val="0"/>
              <w:bCs w:val="0"/>
              <w:sz w:val="28"/>
              <w:szCs w:val="28"/>
            </w:rPr>
            <w:fldChar w:fldCharType="separate"/>
          </w:r>
          <w:r>
            <w:rPr>
              <w:rFonts w:hint="eastAsia" w:ascii="CESI仿宋-GB2312" w:hAnsi="CESI仿宋-GB2312" w:eastAsia="CESI仿宋-GB2312" w:cs="CESI仿宋-GB2312"/>
              <w:b w:val="0"/>
              <w:bCs w:val="0"/>
              <w:sz w:val="28"/>
              <w:szCs w:val="28"/>
            </w:rPr>
            <w:t>五、一般公共预算财政拨款支出决算情况说明</w:t>
          </w:r>
          <w:r>
            <w:rPr>
              <w:rFonts w:hint="eastAsia" w:ascii="CESI仿宋-GB2312" w:hAnsi="CESI仿宋-GB2312" w:eastAsia="CESI仿宋-GB2312" w:cs="CESI仿宋-GB2312"/>
              <w:b w:val="0"/>
              <w:bCs w:val="0"/>
              <w:sz w:val="28"/>
              <w:szCs w:val="28"/>
            </w:rPr>
            <w:tab/>
          </w:r>
          <w:r>
            <w:rPr>
              <w:rFonts w:hint="eastAsia" w:ascii="CESI仿宋-GB2312" w:hAnsi="CESI仿宋-GB2312" w:eastAsia="CESI仿宋-GB2312" w:cs="CESI仿宋-GB2312"/>
              <w:b w:val="0"/>
              <w:bCs w:val="0"/>
              <w:sz w:val="28"/>
              <w:szCs w:val="28"/>
            </w:rPr>
            <w:fldChar w:fldCharType="begin"/>
          </w:r>
          <w:r>
            <w:rPr>
              <w:rFonts w:hint="eastAsia" w:ascii="CESI仿宋-GB2312" w:hAnsi="CESI仿宋-GB2312" w:eastAsia="CESI仿宋-GB2312" w:cs="CESI仿宋-GB2312"/>
              <w:b w:val="0"/>
              <w:bCs w:val="0"/>
              <w:sz w:val="28"/>
              <w:szCs w:val="28"/>
            </w:rPr>
            <w:instrText xml:space="preserve"> PAGEREF _Toc28387 \h </w:instrText>
          </w:r>
          <w:r>
            <w:rPr>
              <w:rFonts w:hint="eastAsia" w:ascii="CESI仿宋-GB2312" w:hAnsi="CESI仿宋-GB2312" w:eastAsia="CESI仿宋-GB2312" w:cs="CESI仿宋-GB2312"/>
              <w:b w:val="0"/>
              <w:bCs w:val="0"/>
              <w:sz w:val="28"/>
              <w:szCs w:val="28"/>
            </w:rPr>
            <w:fldChar w:fldCharType="separate"/>
          </w:r>
          <w:r>
            <w:rPr>
              <w:rFonts w:hint="eastAsia" w:ascii="CESI仿宋-GB2312" w:hAnsi="CESI仿宋-GB2312" w:eastAsia="CESI仿宋-GB2312" w:cs="CESI仿宋-GB2312"/>
              <w:b w:val="0"/>
              <w:bCs w:val="0"/>
              <w:sz w:val="28"/>
              <w:szCs w:val="28"/>
            </w:rPr>
            <w:t>4</w:t>
          </w:r>
          <w:r>
            <w:rPr>
              <w:rFonts w:hint="eastAsia" w:ascii="CESI仿宋-GB2312" w:hAnsi="CESI仿宋-GB2312" w:eastAsia="CESI仿宋-GB2312" w:cs="CESI仿宋-GB2312"/>
              <w:b w:val="0"/>
              <w:bCs w:val="0"/>
              <w:sz w:val="28"/>
              <w:szCs w:val="28"/>
            </w:rPr>
            <w:fldChar w:fldCharType="end"/>
          </w:r>
          <w:r>
            <w:rPr>
              <w:rFonts w:hint="eastAsia" w:ascii="CESI仿宋-GB2312" w:hAnsi="CESI仿宋-GB2312" w:eastAsia="CESI仿宋-GB2312" w:cs="CESI仿宋-GB2312"/>
              <w:b w:val="0"/>
              <w:bCs w:val="0"/>
              <w:sz w:val="28"/>
              <w:szCs w:val="28"/>
            </w:rPr>
            <w:fldChar w:fldCharType="end"/>
          </w:r>
        </w:p>
        <w:p w14:paraId="0658D602">
          <w:pPr>
            <w:pStyle w:val="14"/>
            <w:tabs>
              <w:tab w:val="right" w:leader="dot" w:pos="8306"/>
              <w:tab w:val="clear" w:pos="8296"/>
            </w:tabs>
            <w:rPr>
              <w:rFonts w:hint="eastAsia" w:ascii="CESI仿宋-GB2312" w:hAnsi="CESI仿宋-GB2312" w:eastAsia="CESI仿宋-GB2312" w:cs="CESI仿宋-GB2312"/>
              <w:b w:val="0"/>
              <w:bCs w:val="0"/>
              <w:sz w:val="28"/>
              <w:szCs w:val="28"/>
            </w:rPr>
          </w:pPr>
          <w:r>
            <w:rPr>
              <w:rFonts w:hint="eastAsia" w:ascii="CESI仿宋-GB2312" w:hAnsi="CESI仿宋-GB2312" w:eastAsia="CESI仿宋-GB2312" w:cs="CESI仿宋-GB2312"/>
              <w:b w:val="0"/>
              <w:bCs w:val="0"/>
              <w:sz w:val="28"/>
              <w:szCs w:val="28"/>
            </w:rPr>
            <w:fldChar w:fldCharType="begin"/>
          </w:r>
          <w:r>
            <w:rPr>
              <w:rFonts w:hint="eastAsia" w:ascii="CESI仿宋-GB2312" w:hAnsi="CESI仿宋-GB2312" w:eastAsia="CESI仿宋-GB2312" w:cs="CESI仿宋-GB2312"/>
              <w:b w:val="0"/>
              <w:bCs w:val="0"/>
              <w:sz w:val="28"/>
              <w:szCs w:val="28"/>
            </w:rPr>
            <w:instrText xml:space="preserve"> HYPERLINK \l "_Toc32264" </w:instrText>
          </w:r>
          <w:r>
            <w:rPr>
              <w:rFonts w:hint="eastAsia" w:ascii="CESI仿宋-GB2312" w:hAnsi="CESI仿宋-GB2312" w:eastAsia="CESI仿宋-GB2312" w:cs="CESI仿宋-GB2312"/>
              <w:b w:val="0"/>
              <w:bCs w:val="0"/>
              <w:sz w:val="28"/>
              <w:szCs w:val="28"/>
            </w:rPr>
            <w:fldChar w:fldCharType="separate"/>
          </w:r>
          <w:r>
            <w:rPr>
              <w:rFonts w:hint="eastAsia" w:ascii="CESI仿宋-GB2312" w:hAnsi="CESI仿宋-GB2312" w:eastAsia="CESI仿宋-GB2312" w:cs="CESI仿宋-GB2312"/>
              <w:b w:val="0"/>
              <w:bCs w:val="0"/>
              <w:sz w:val="28"/>
              <w:szCs w:val="28"/>
            </w:rPr>
            <w:t>六、一般公共预算财政拨款基本支出决算情况说明</w:t>
          </w:r>
          <w:r>
            <w:rPr>
              <w:rFonts w:hint="eastAsia" w:ascii="CESI仿宋-GB2312" w:hAnsi="CESI仿宋-GB2312" w:eastAsia="CESI仿宋-GB2312" w:cs="CESI仿宋-GB2312"/>
              <w:b w:val="0"/>
              <w:bCs w:val="0"/>
              <w:sz w:val="28"/>
              <w:szCs w:val="28"/>
            </w:rPr>
            <w:tab/>
          </w:r>
          <w:r>
            <w:rPr>
              <w:rFonts w:hint="eastAsia" w:ascii="CESI仿宋-GB2312" w:hAnsi="CESI仿宋-GB2312" w:eastAsia="CESI仿宋-GB2312" w:cs="CESI仿宋-GB2312"/>
              <w:b w:val="0"/>
              <w:bCs w:val="0"/>
              <w:sz w:val="28"/>
              <w:szCs w:val="28"/>
            </w:rPr>
            <w:fldChar w:fldCharType="begin"/>
          </w:r>
          <w:r>
            <w:rPr>
              <w:rFonts w:hint="eastAsia" w:ascii="CESI仿宋-GB2312" w:hAnsi="CESI仿宋-GB2312" w:eastAsia="CESI仿宋-GB2312" w:cs="CESI仿宋-GB2312"/>
              <w:b w:val="0"/>
              <w:bCs w:val="0"/>
              <w:sz w:val="28"/>
              <w:szCs w:val="28"/>
            </w:rPr>
            <w:instrText xml:space="preserve"> PAGEREF _Toc32264 \h </w:instrText>
          </w:r>
          <w:r>
            <w:rPr>
              <w:rFonts w:hint="eastAsia" w:ascii="CESI仿宋-GB2312" w:hAnsi="CESI仿宋-GB2312" w:eastAsia="CESI仿宋-GB2312" w:cs="CESI仿宋-GB2312"/>
              <w:b w:val="0"/>
              <w:bCs w:val="0"/>
              <w:sz w:val="28"/>
              <w:szCs w:val="28"/>
            </w:rPr>
            <w:fldChar w:fldCharType="separate"/>
          </w:r>
          <w:r>
            <w:rPr>
              <w:rFonts w:hint="eastAsia" w:ascii="CESI仿宋-GB2312" w:hAnsi="CESI仿宋-GB2312" w:eastAsia="CESI仿宋-GB2312" w:cs="CESI仿宋-GB2312"/>
              <w:b w:val="0"/>
              <w:bCs w:val="0"/>
              <w:sz w:val="28"/>
              <w:szCs w:val="28"/>
            </w:rPr>
            <w:t>7</w:t>
          </w:r>
          <w:r>
            <w:rPr>
              <w:rFonts w:hint="eastAsia" w:ascii="CESI仿宋-GB2312" w:hAnsi="CESI仿宋-GB2312" w:eastAsia="CESI仿宋-GB2312" w:cs="CESI仿宋-GB2312"/>
              <w:b w:val="0"/>
              <w:bCs w:val="0"/>
              <w:sz w:val="28"/>
              <w:szCs w:val="28"/>
            </w:rPr>
            <w:fldChar w:fldCharType="end"/>
          </w:r>
          <w:r>
            <w:rPr>
              <w:rFonts w:hint="eastAsia" w:ascii="CESI仿宋-GB2312" w:hAnsi="CESI仿宋-GB2312" w:eastAsia="CESI仿宋-GB2312" w:cs="CESI仿宋-GB2312"/>
              <w:b w:val="0"/>
              <w:bCs w:val="0"/>
              <w:sz w:val="28"/>
              <w:szCs w:val="28"/>
            </w:rPr>
            <w:fldChar w:fldCharType="end"/>
          </w:r>
        </w:p>
        <w:p w14:paraId="7F27408A">
          <w:pPr>
            <w:pStyle w:val="14"/>
            <w:tabs>
              <w:tab w:val="right" w:leader="dot" w:pos="8306"/>
              <w:tab w:val="clear" w:pos="8296"/>
            </w:tabs>
            <w:rPr>
              <w:rFonts w:hint="eastAsia" w:ascii="CESI仿宋-GB2312" w:hAnsi="CESI仿宋-GB2312" w:eastAsia="CESI仿宋-GB2312" w:cs="CESI仿宋-GB2312"/>
              <w:b w:val="0"/>
              <w:bCs w:val="0"/>
              <w:sz w:val="28"/>
              <w:szCs w:val="28"/>
            </w:rPr>
          </w:pPr>
          <w:r>
            <w:rPr>
              <w:rFonts w:hint="eastAsia" w:ascii="CESI仿宋-GB2312" w:hAnsi="CESI仿宋-GB2312" w:eastAsia="CESI仿宋-GB2312" w:cs="CESI仿宋-GB2312"/>
              <w:b w:val="0"/>
              <w:bCs w:val="0"/>
              <w:sz w:val="28"/>
              <w:szCs w:val="28"/>
            </w:rPr>
            <w:fldChar w:fldCharType="begin"/>
          </w:r>
          <w:r>
            <w:rPr>
              <w:rFonts w:hint="eastAsia" w:ascii="CESI仿宋-GB2312" w:hAnsi="CESI仿宋-GB2312" w:eastAsia="CESI仿宋-GB2312" w:cs="CESI仿宋-GB2312"/>
              <w:b w:val="0"/>
              <w:bCs w:val="0"/>
              <w:sz w:val="28"/>
              <w:szCs w:val="28"/>
            </w:rPr>
            <w:instrText xml:space="preserve"> HYPERLINK \l "_Toc29779" </w:instrText>
          </w:r>
          <w:r>
            <w:rPr>
              <w:rFonts w:hint="eastAsia" w:ascii="CESI仿宋-GB2312" w:hAnsi="CESI仿宋-GB2312" w:eastAsia="CESI仿宋-GB2312" w:cs="CESI仿宋-GB2312"/>
              <w:b w:val="0"/>
              <w:bCs w:val="0"/>
              <w:sz w:val="28"/>
              <w:szCs w:val="28"/>
            </w:rPr>
            <w:fldChar w:fldCharType="separate"/>
          </w:r>
          <w:r>
            <w:rPr>
              <w:rFonts w:hint="eastAsia" w:ascii="CESI仿宋-GB2312" w:hAnsi="CESI仿宋-GB2312" w:eastAsia="CESI仿宋-GB2312" w:cs="CESI仿宋-GB2312"/>
              <w:b w:val="0"/>
              <w:bCs w:val="0"/>
              <w:sz w:val="28"/>
              <w:szCs w:val="28"/>
            </w:rPr>
            <w:t>七、财政拨款“三公”经费支出决算情况说明</w:t>
          </w:r>
          <w:r>
            <w:rPr>
              <w:rFonts w:hint="eastAsia" w:ascii="CESI仿宋-GB2312" w:hAnsi="CESI仿宋-GB2312" w:eastAsia="CESI仿宋-GB2312" w:cs="CESI仿宋-GB2312"/>
              <w:b w:val="0"/>
              <w:bCs w:val="0"/>
              <w:sz w:val="28"/>
              <w:szCs w:val="28"/>
            </w:rPr>
            <w:tab/>
          </w:r>
          <w:r>
            <w:rPr>
              <w:rFonts w:hint="eastAsia" w:ascii="CESI仿宋-GB2312" w:hAnsi="CESI仿宋-GB2312" w:eastAsia="CESI仿宋-GB2312" w:cs="CESI仿宋-GB2312"/>
              <w:b w:val="0"/>
              <w:bCs w:val="0"/>
              <w:sz w:val="28"/>
              <w:szCs w:val="28"/>
              <w:lang w:val="en-US" w:eastAsia="zh-CN"/>
            </w:rPr>
            <w:t>8</w:t>
          </w:r>
          <w:r>
            <w:rPr>
              <w:rFonts w:hint="eastAsia" w:ascii="CESI仿宋-GB2312" w:hAnsi="CESI仿宋-GB2312" w:eastAsia="CESI仿宋-GB2312" w:cs="CESI仿宋-GB2312"/>
              <w:b w:val="0"/>
              <w:bCs w:val="0"/>
              <w:sz w:val="28"/>
              <w:szCs w:val="28"/>
            </w:rPr>
            <w:fldChar w:fldCharType="end"/>
          </w:r>
        </w:p>
        <w:p w14:paraId="43FEDEE6">
          <w:pPr>
            <w:pStyle w:val="14"/>
            <w:tabs>
              <w:tab w:val="right" w:leader="dot" w:pos="8306"/>
              <w:tab w:val="clear" w:pos="8296"/>
            </w:tabs>
            <w:rPr>
              <w:rFonts w:hint="eastAsia" w:ascii="CESI仿宋-GB2312" w:hAnsi="CESI仿宋-GB2312" w:eastAsia="CESI仿宋-GB2312" w:cs="CESI仿宋-GB2312"/>
              <w:b w:val="0"/>
              <w:bCs w:val="0"/>
              <w:sz w:val="28"/>
              <w:szCs w:val="28"/>
            </w:rPr>
          </w:pPr>
          <w:r>
            <w:rPr>
              <w:rFonts w:hint="eastAsia" w:ascii="CESI仿宋-GB2312" w:hAnsi="CESI仿宋-GB2312" w:eastAsia="CESI仿宋-GB2312" w:cs="CESI仿宋-GB2312"/>
              <w:b w:val="0"/>
              <w:bCs w:val="0"/>
              <w:sz w:val="28"/>
              <w:szCs w:val="28"/>
            </w:rPr>
            <w:fldChar w:fldCharType="begin"/>
          </w:r>
          <w:r>
            <w:rPr>
              <w:rFonts w:hint="eastAsia" w:ascii="CESI仿宋-GB2312" w:hAnsi="CESI仿宋-GB2312" w:eastAsia="CESI仿宋-GB2312" w:cs="CESI仿宋-GB2312"/>
              <w:b w:val="0"/>
              <w:bCs w:val="0"/>
              <w:sz w:val="28"/>
              <w:szCs w:val="28"/>
            </w:rPr>
            <w:instrText xml:space="preserve"> HYPERLINK \l "_Toc10932" </w:instrText>
          </w:r>
          <w:r>
            <w:rPr>
              <w:rFonts w:hint="eastAsia" w:ascii="CESI仿宋-GB2312" w:hAnsi="CESI仿宋-GB2312" w:eastAsia="CESI仿宋-GB2312" w:cs="CESI仿宋-GB2312"/>
              <w:b w:val="0"/>
              <w:bCs w:val="0"/>
              <w:sz w:val="28"/>
              <w:szCs w:val="28"/>
            </w:rPr>
            <w:fldChar w:fldCharType="separate"/>
          </w:r>
          <w:r>
            <w:rPr>
              <w:rFonts w:hint="eastAsia" w:ascii="CESI仿宋-GB2312" w:hAnsi="CESI仿宋-GB2312" w:eastAsia="CESI仿宋-GB2312" w:cs="CESI仿宋-GB2312"/>
              <w:b w:val="0"/>
              <w:bCs w:val="0"/>
              <w:sz w:val="28"/>
              <w:szCs w:val="28"/>
            </w:rPr>
            <w:t>八、政府性基金预算支出决算情况说明</w:t>
          </w:r>
          <w:r>
            <w:rPr>
              <w:rFonts w:hint="eastAsia" w:ascii="CESI仿宋-GB2312" w:hAnsi="CESI仿宋-GB2312" w:eastAsia="CESI仿宋-GB2312" w:cs="CESI仿宋-GB2312"/>
              <w:b w:val="0"/>
              <w:bCs w:val="0"/>
              <w:sz w:val="28"/>
              <w:szCs w:val="28"/>
            </w:rPr>
            <w:tab/>
          </w:r>
          <w:r>
            <w:rPr>
              <w:rFonts w:hint="eastAsia" w:ascii="CESI仿宋-GB2312" w:hAnsi="CESI仿宋-GB2312" w:eastAsia="CESI仿宋-GB2312" w:cs="CESI仿宋-GB2312"/>
              <w:b w:val="0"/>
              <w:bCs w:val="0"/>
              <w:sz w:val="28"/>
              <w:szCs w:val="28"/>
            </w:rPr>
            <w:fldChar w:fldCharType="end"/>
          </w:r>
          <w:r>
            <w:rPr>
              <w:rFonts w:hint="eastAsia" w:ascii="CESI仿宋-GB2312" w:hAnsi="CESI仿宋-GB2312" w:eastAsia="CESI仿宋-GB2312" w:cs="CESI仿宋-GB2312"/>
              <w:b w:val="0"/>
              <w:bCs w:val="0"/>
              <w:sz w:val="28"/>
              <w:szCs w:val="28"/>
            </w:rPr>
            <w:t>9</w:t>
          </w:r>
        </w:p>
        <w:p w14:paraId="3BCFC124">
          <w:pPr>
            <w:pStyle w:val="14"/>
            <w:tabs>
              <w:tab w:val="right" w:leader="dot" w:pos="8306"/>
              <w:tab w:val="clear" w:pos="8296"/>
            </w:tabs>
            <w:rPr>
              <w:rFonts w:hint="eastAsia" w:ascii="CESI仿宋-GB2312" w:hAnsi="CESI仿宋-GB2312" w:eastAsia="CESI仿宋-GB2312" w:cs="CESI仿宋-GB2312"/>
              <w:b w:val="0"/>
              <w:bCs w:val="0"/>
              <w:sz w:val="28"/>
              <w:szCs w:val="28"/>
              <w:lang w:val="en-US" w:eastAsia="zh-CN"/>
            </w:rPr>
          </w:pPr>
          <w:r>
            <w:rPr>
              <w:rFonts w:hint="eastAsia" w:ascii="CESI仿宋-GB2312" w:hAnsi="CESI仿宋-GB2312" w:eastAsia="CESI仿宋-GB2312" w:cs="CESI仿宋-GB2312"/>
              <w:b w:val="0"/>
              <w:bCs w:val="0"/>
              <w:sz w:val="28"/>
              <w:szCs w:val="28"/>
            </w:rPr>
            <w:fldChar w:fldCharType="begin"/>
          </w:r>
          <w:r>
            <w:rPr>
              <w:rFonts w:hint="eastAsia" w:ascii="CESI仿宋-GB2312" w:hAnsi="CESI仿宋-GB2312" w:eastAsia="CESI仿宋-GB2312" w:cs="CESI仿宋-GB2312"/>
              <w:b w:val="0"/>
              <w:bCs w:val="0"/>
              <w:sz w:val="28"/>
              <w:szCs w:val="28"/>
            </w:rPr>
            <w:instrText xml:space="preserve"> HYPERLINK \l "_Toc5995" </w:instrText>
          </w:r>
          <w:r>
            <w:rPr>
              <w:rFonts w:hint="eastAsia" w:ascii="CESI仿宋-GB2312" w:hAnsi="CESI仿宋-GB2312" w:eastAsia="CESI仿宋-GB2312" w:cs="CESI仿宋-GB2312"/>
              <w:b w:val="0"/>
              <w:bCs w:val="0"/>
              <w:sz w:val="28"/>
              <w:szCs w:val="28"/>
            </w:rPr>
            <w:fldChar w:fldCharType="separate"/>
          </w:r>
          <w:r>
            <w:rPr>
              <w:rFonts w:hint="eastAsia" w:ascii="CESI仿宋-GB2312" w:hAnsi="CESI仿宋-GB2312" w:eastAsia="CESI仿宋-GB2312" w:cs="CESI仿宋-GB2312"/>
              <w:b w:val="0"/>
              <w:bCs w:val="0"/>
              <w:sz w:val="28"/>
              <w:szCs w:val="28"/>
            </w:rPr>
            <w:t>九、国有资本经营预算支出决算情况说明</w:t>
          </w:r>
          <w:r>
            <w:rPr>
              <w:rFonts w:hint="eastAsia" w:ascii="CESI仿宋-GB2312" w:hAnsi="CESI仿宋-GB2312" w:eastAsia="CESI仿宋-GB2312" w:cs="CESI仿宋-GB2312"/>
              <w:b w:val="0"/>
              <w:bCs w:val="0"/>
              <w:sz w:val="28"/>
              <w:szCs w:val="28"/>
            </w:rPr>
            <w:tab/>
          </w:r>
          <w:r>
            <w:rPr>
              <w:rFonts w:hint="eastAsia" w:ascii="CESI仿宋-GB2312" w:hAnsi="CESI仿宋-GB2312" w:eastAsia="CESI仿宋-GB2312" w:cs="CESI仿宋-GB2312"/>
              <w:b w:val="0"/>
              <w:bCs w:val="0"/>
              <w:sz w:val="28"/>
              <w:szCs w:val="28"/>
              <w:lang w:val="en-US" w:eastAsia="zh-CN"/>
            </w:rPr>
            <w:t>9</w:t>
          </w:r>
          <w:r>
            <w:rPr>
              <w:rFonts w:hint="eastAsia" w:ascii="CESI仿宋-GB2312" w:hAnsi="CESI仿宋-GB2312" w:eastAsia="CESI仿宋-GB2312" w:cs="CESI仿宋-GB2312"/>
              <w:b w:val="0"/>
              <w:bCs w:val="0"/>
              <w:sz w:val="28"/>
              <w:szCs w:val="28"/>
            </w:rPr>
            <w:fldChar w:fldCharType="end"/>
          </w:r>
        </w:p>
        <w:p w14:paraId="566549A8">
          <w:pPr>
            <w:pStyle w:val="14"/>
            <w:tabs>
              <w:tab w:val="right" w:leader="dot" w:pos="8306"/>
              <w:tab w:val="clear" w:pos="8296"/>
            </w:tabs>
            <w:rPr>
              <w:rFonts w:hint="eastAsia" w:ascii="CESI仿宋-GB2312" w:hAnsi="CESI仿宋-GB2312" w:eastAsia="CESI仿宋-GB2312" w:cs="CESI仿宋-GB2312"/>
              <w:b w:val="0"/>
              <w:bCs w:val="0"/>
              <w:sz w:val="28"/>
              <w:szCs w:val="28"/>
            </w:rPr>
          </w:pPr>
          <w:r>
            <w:rPr>
              <w:rFonts w:hint="eastAsia" w:ascii="CESI仿宋-GB2312" w:hAnsi="CESI仿宋-GB2312" w:eastAsia="CESI仿宋-GB2312" w:cs="CESI仿宋-GB2312"/>
              <w:b w:val="0"/>
              <w:bCs w:val="0"/>
              <w:sz w:val="28"/>
              <w:szCs w:val="28"/>
            </w:rPr>
            <w:fldChar w:fldCharType="begin"/>
          </w:r>
          <w:r>
            <w:rPr>
              <w:rFonts w:hint="eastAsia" w:ascii="CESI仿宋-GB2312" w:hAnsi="CESI仿宋-GB2312" w:eastAsia="CESI仿宋-GB2312" w:cs="CESI仿宋-GB2312"/>
              <w:b w:val="0"/>
              <w:bCs w:val="0"/>
              <w:sz w:val="28"/>
              <w:szCs w:val="28"/>
            </w:rPr>
            <w:instrText xml:space="preserve"> HYPERLINK \l "_Toc12051" </w:instrText>
          </w:r>
          <w:r>
            <w:rPr>
              <w:rFonts w:hint="eastAsia" w:ascii="CESI仿宋-GB2312" w:hAnsi="CESI仿宋-GB2312" w:eastAsia="CESI仿宋-GB2312" w:cs="CESI仿宋-GB2312"/>
              <w:b w:val="0"/>
              <w:bCs w:val="0"/>
              <w:sz w:val="28"/>
              <w:szCs w:val="28"/>
            </w:rPr>
            <w:fldChar w:fldCharType="separate"/>
          </w:r>
          <w:r>
            <w:rPr>
              <w:rFonts w:hint="eastAsia" w:ascii="CESI仿宋-GB2312" w:hAnsi="CESI仿宋-GB2312" w:eastAsia="CESI仿宋-GB2312" w:cs="CESI仿宋-GB2312"/>
              <w:b w:val="0"/>
              <w:bCs w:val="0"/>
              <w:sz w:val="28"/>
              <w:szCs w:val="28"/>
            </w:rPr>
            <w:t>十、其他重要事项的情况说明</w:t>
          </w:r>
          <w:r>
            <w:rPr>
              <w:rFonts w:hint="eastAsia" w:ascii="CESI仿宋-GB2312" w:hAnsi="CESI仿宋-GB2312" w:eastAsia="CESI仿宋-GB2312" w:cs="CESI仿宋-GB2312"/>
              <w:b w:val="0"/>
              <w:bCs w:val="0"/>
              <w:sz w:val="28"/>
              <w:szCs w:val="28"/>
            </w:rPr>
            <w:tab/>
          </w:r>
          <w:r>
            <w:rPr>
              <w:rFonts w:hint="eastAsia" w:ascii="CESI仿宋-GB2312" w:hAnsi="CESI仿宋-GB2312" w:eastAsia="CESI仿宋-GB2312" w:cs="CESI仿宋-GB2312"/>
              <w:b w:val="0"/>
              <w:bCs w:val="0"/>
              <w:sz w:val="28"/>
              <w:szCs w:val="28"/>
              <w:lang w:val="en-US" w:eastAsia="zh-CN"/>
            </w:rPr>
            <w:t>9</w:t>
          </w:r>
          <w:r>
            <w:rPr>
              <w:rFonts w:hint="eastAsia" w:ascii="CESI仿宋-GB2312" w:hAnsi="CESI仿宋-GB2312" w:eastAsia="CESI仿宋-GB2312" w:cs="CESI仿宋-GB2312"/>
              <w:b w:val="0"/>
              <w:bCs w:val="0"/>
              <w:sz w:val="28"/>
              <w:szCs w:val="28"/>
            </w:rPr>
            <w:fldChar w:fldCharType="end"/>
          </w:r>
        </w:p>
        <w:p w14:paraId="45F0849F">
          <w:pPr>
            <w:pStyle w:val="11"/>
            <w:tabs>
              <w:tab w:val="right" w:leader="dot" w:pos="8306"/>
              <w:tab w:val="clear" w:pos="8296"/>
            </w:tabs>
            <w:rPr>
              <w:rFonts w:hint="eastAsia" w:ascii="CESI仿宋-GB2312" w:hAnsi="CESI仿宋-GB2312" w:eastAsia="CESI仿宋-GB2312" w:cs="CESI仿宋-GB2312"/>
              <w:b w:val="0"/>
              <w:bCs w:val="0"/>
              <w:sz w:val="28"/>
              <w:szCs w:val="28"/>
              <w:lang w:val="en-US" w:eastAsia="zh-CN"/>
            </w:rPr>
          </w:pPr>
          <w:r>
            <w:rPr>
              <w:rFonts w:hint="eastAsia" w:ascii="CESI仿宋-GB2312" w:hAnsi="CESI仿宋-GB2312" w:eastAsia="CESI仿宋-GB2312" w:cs="CESI仿宋-GB2312"/>
              <w:b w:val="0"/>
              <w:bCs w:val="0"/>
              <w:sz w:val="28"/>
              <w:szCs w:val="28"/>
            </w:rPr>
            <w:fldChar w:fldCharType="begin"/>
          </w:r>
          <w:r>
            <w:rPr>
              <w:rFonts w:hint="eastAsia" w:ascii="CESI仿宋-GB2312" w:hAnsi="CESI仿宋-GB2312" w:eastAsia="CESI仿宋-GB2312" w:cs="CESI仿宋-GB2312"/>
              <w:b w:val="0"/>
              <w:bCs w:val="0"/>
              <w:sz w:val="28"/>
              <w:szCs w:val="28"/>
            </w:rPr>
            <w:instrText xml:space="preserve"> HYPERLINK \l "_Toc20138" </w:instrText>
          </w:r>
          <w:r>
            <w:rPr>
              <w:rFonts w:hint="eastAsia" w:ascii="CESI仿宋-GB2312" w:hAnsi="CESI仿宋-GB2312" w:eastAsia="CESI仿宋-GB2312" w:cs="CESI仿宋-GB2312"/>
              <w:b w:val="0"/>
              <w:bCs w:val="0"/>
              <w:sz w:val="28"/>
              <w:szCs w:val="28"/>
            </w:rPr>
            <w:fldChar w:fldCharType="separate"/>
          </w:r>
          <w:r>
            <w:rPr>
              <w:rFonts w:hint="eastAsia" w:ascii="CESI仿宋-GB2312" w:hAnsi="CESI仿宋-GB2312" w:eastAsia="CESI仿宋-GB2312" w:cs="CESI仿宋-GB2312"/>
              <w:b w:val="0"/>
              <w:bCs w:val="0"/>
              <w:sz w:val="28"/>
              <w:szCs w:val="28"/>
            </w:rPr>
            <w:t>第三部分 名词解释</w:t>
          </w:r>
          <w:r>
            <w:rPr>
              <w:rFonts w:hint="eastAsia" w:ascii="CESI仿宋-GB2312" w:hAnsi="CESI仿宋-GB2312" w:eastAsia="CESI仿宋-GB2312" w:cs="CESI仿宋-GB2312"/>
              <w:b w:val="0"/>
              <w:bCs w:val="0"/>
              <w:sz w:val="28"/>
              <w:szCs w:val="28"/>
            </w:rPr>
            <w:tab/>
          </w:r>
          <w:r>
            <w:rPr>
              <w:rFonts w:hint="eastAsia" w:ascii="CESI仿宋-GB2312" w:hAnsi="CESI仿宋-GB2312" w:eastAsia="CESI仿宋-GB2312" w:cs="CESI仿宋-GB2312"/>
              <w:b w:val="0"/>
              <w:bCs w:val="0"/>
              <w:sz w:val="28"/>
              <w:szCs w:val="28"/>
              <w:lang w:val="en-US" w:eastAsia="zh-CN"/>
            </w:rPr>
            <w:t>1</w:t>
          </w:r>
          <w:r>
            <w:rPr>
              <w:rFonts w:hint="eastAsia" w:ascii="CESI仿宋-GB2312" w:hAnsi="CESI仿宋-GB2312" w:eastAsia="CESI仿宋-GB2312" w:cs="CESI仿宋-GB2312"/>
              <w:b w:val="0"/>
              <w:bCs w:val="0"/>
              <w:sz w:val="28"/>
              <w:szCs w:val="28"/>
            </w:rPr>
            <w:fldChar w:fldCharType="end"/>
          </w:r>
          <w:r>
            <w:rPr>
              <w:rFonts w:hint="eastAsia" w:ascii="CESI仿宋-GB2312" w:hAnsi="CESI仿宋-GB2312" w:eastAsia="CESI仿宋-GB2312" w:cs="CESI仿宋-GB2312"/>
              <w:b w:val="0"/>
              <w:bCs w:val="0"/>
              <w:sz w:val="28"/>
              <w:szCs w:val="28"/>
              <w:lang w:val="en-US" w:eastAsia="zh-CN"/>
            </w:rPr>
            <w:t>1</w:t>
          </w:r>
        </w:p>
        <w:p w14:paraId="7CCFACD8">
          <w:pPr>
            <w:pStyle w:val="11"/>
            <w:tabs>
              <w:tab w:val="right" w:leader="dot" w:pos="8306"/>
              <w:tab w:val="clear" w:pos="8296"/>
            </w:tabs>
            <w:rPr>
              <w:rFonts w:hint="eastAsia" w:ascii="CESI仿宋-GB2312" w:hAnsi="CESI仿宋-GB2312" w:eastAsia="CESI仿宋-GB2312" w:cs="CESI仿宋-GB2312"/>
              <w:b w:val="0"/>
              <w:bCs w:val="0"/>
              <w:sz w:val="28"/>
              <w:szCs w:val="28"/>
              <w:lang w:val="en-US" w:eastAsia="zh-CN"/>
            </w:rPr>
          </w:pPr>
          <w:r>
            <w:rPr>
              <w:rFonts w:hint="eastAsia" w:ascii="CESI仿宋-GB2312" w:hAnsi="CESI仿宋-GB2312" w:eastAsia="CESI仿宋-GB2312" w:cs="CESI仿宋-GB2312"/>
              <w:b w:val="0"/>
              <w:bCs w:val="0"/>
              <w:sz w:val="28"/>
              <w:szCs w:val="28"/>
            </w:rPr>
            <w:fldChar w:fldCharType="begin"/>
          </w:r>
          <w:r>
            <w:rPr>
              <w:rFonts w:hint="eastAsia" w:ascii="CESI仿宋-GB2312" w:hAnsi="CESI仿宋-GB2312" w:eastAsia="CESI仿宋-GB2312" w:cs="CESI仿宋-GB2312"/>
              <w:b w:val="0"/>
              <w:bCs w:val="0"/>
              <w:sz w:val="28"/>
              <w:szCs w:val="28"/>
            </w:rPr>
            <w:instrText xml:space="preserve"> HYPERLINK \l "_Toc18807" </w:instrText>
          </w:r>
          <w:r>
            <w:rPr>
              <w:rFonts w:hint="eastAsia" w:ascii="CESI仿宋-GB2312" w:hAnsi="CESI仿宋-GB2312" w:eastAsia="CESI仿宋-GB2312" w:cs="CESI仿宋-GB2312"/>
              <w:b w:val="0"/>
              <w:bCs w:val="0"/>
              <w:sz w:val="28"/>
              <w:szCs w:val="28"/>
            </w:rPr>
            <w:fldChar w:fldCharType="separate"/>
          </w:r>
          <w:r>
            <w:rPr>
              <w:rFonts w:hint="eastAsia" w:ascii="CESI仿宋-GB2312" w:hAnsi="CESI仿宋-GB2312" w:eastAsia="CESI仿宋-GB2312" w:cs="CESI仿宋-GB2312"/>
              <w:b w:val="0"/>
              <w:bCs w:val="0"/>
              <w:sz w:val="28"/>
              <w:szCs w:val="28"/>
            </w:rPr>
            <w:t>第四部分 附件</w:t>
          </w:r>
          <w:r>
            <w:rPr>
              <w:rFonts w:hint="eastAsia" w:ascii="CESI仿宋-GB2312" w:hAnsi="CESI仿宋-GB2312" w:eastAsia="CESI仿宋-GB2312" w:cs="CESI仿宋-GB2312"/>
              <w:b w:val="0"/>
              <w:bCs w:val="0"/>
              <w:sz w:val="28"/>
              <w:szCs w:val="28"/>
            </w:rPr>
            <w:tab/>
          </w:r>
          <w:r>
            <w:rPr>
              <w:rFonts w:hint="eastAsia" w:ascii="CESI仿宋-GB2312" w:hAnsi="CESI仿宋-GB2312" w:eastAsia="CESI仿宋-GB2312" w:cs="CESI仿宋-GB2312"/>
              <w:b w:val="0"/>
              <w:bCs w:val="0"/>
              <w:sz w:val="28"/>
              <w:szCs w:val="28"/>
              <w:lang w:val="en-US" w:eastAsia="zh-CN"/>
            </w:rPr>
            <w:t>1</w:t>
          </w:r>
          <w:r>
            <w:rPr>
              <w:rFonts w:hint="eastAsia" w:ascii="CESI仿宋-GB2312" w:hAnsi="CESI仿宋-GB2312" w:eastAsia="CESI仿宋-GB2312" w:cs="CESI仿宋-GB2312"/>
              <w:b w:val="0"/>
              <w:bCs w:val="0"/>
              <w:sz w:val="28"/>
              <w:szCs w:val="28"/>
            </w:rPr>
            <w:fldChar w:fldCharType="end"/>
          </w:r>
          <w:r>
            <w:rPr>
              <w:rFonts w:hint="eastAsia" w:ascii="CESI仿宋-GB2312" w:hAnsi="CESI仿宋-GB2312" w:eastAsia="CESI仿宋-GB2312" w:cs="CESI仿宋-GB2312"/>
              <w:b w:val="0"/>
              <w:bCs w:val="0"/>
              <w:sz w:val="28"/>
              <w:szCs w:val="28"/>
              <w:lang w:val="en-US" w:eastAsia="zh-CN"/>
            </w:rPr>
            <w:t>4</w:t>
          </w:r>
        </w:p>
        <w:p w14:paraId="66EB874D">
          <w:pPr>
            <w:pStyle w:val="11"/>
            <w:tabs>
              <w:tab w:val="right" w:leader="dot" w:pos="8306"/>
              <w:tab w:val="clear" w:pos="8296"/>
            </w:tabs>
            <w:rPr>
              <w:rFonts w:hint="eastAsia" w:ascii="CESI仿宋-GB2312" w:hAnsi="CESI仿宋-GB2312" w:eastAsia="CESI仿宋-GB2312" w:cs="CESI仿宋-GB2312"/>
              <w:b w:val="0"/>
              <w:bCs w:val="0"/>
              <w:sz w:val="28"/>
              <w:szCs w:val="28"/>
              <w:lang w:val="en-US" w:eastAsia="zh-CN"/>
            </w:rPr>
          </w:pPr>
          <w:r>
            <w:rPr>
              <w:rFonts w:hint="eastAsia" w:ascii="CESI仿宋-GB2312" w:hAnsi="CESI仿宋-GB2312" w:eastAsia="CESI仿宋-GB2312" w:cs="CESI仿宋-GB2312"/>
              <w:b w:val="0"/>
              <w:bCs w:val="0"/>
              <w:sz w:val="28"/>
              <w:szCs w:val="28"/>
            </w:rPr>
            <w:fldChar w:fldCharType="begin"/>
          </w:r>
          <w:r>
            <w:rPr>
              <w:rFonts w:hint="eastAsia" w:ascii="CESI仿宋-GB2312" w:hAnsi="CESI仿宋-GB2312" w:eastAsia="CESI仿宋-GB2312" w:cs="CESI仿宋-GB2312"/>
              <w:b w:val="0"/>
              <w:bCs w:val="0"/>
              <w:sz w:val="28"/>
              <w:szCs w:val="28"/>
            </w:rPr>
            <w:instrText xml:space="preserve"> HYPERLINK \l "_Toc6450" </w:instrText>
          </w:r>
          <w:r>
            <w:rPr>
              <w:rFonts w:hint="eastAsia" w:ascii="CESI仿宋-GB2312" w:hAnsi="CESI仿宋-GB2312" w:eastAsia="CESI仿宋-GB2312" w:cs="CESI仿宋-GB2312"/>
              <w:b w:val="0"/>
              <w:bCs w:val="0"/>
              <w:sz w:val="28"/>
              <w:szCs w:val="28"/>
            </w:rPr>
            <w:fldChar w:fldCharType="separate"/>
          </w:r>
          <w:r>
            <w:rPr>
              <w:rFonts w:hint="eastAsia" w:ascii="CESI仿宋-GB2312" w:hAnsi="CESI仿宋-GB2312" w:eastAsia="CESI仿宋-GB2312" w:cs="CESI仿宋-GB2312"/>
              <w:b w:val="0"/>
              <w:bCs w:val="0"/>
              <w:sz w:val="28"/>
              <w:szCs w:val="28"/>
            </w:rPr>
            <w:t>第五部分 附表</w:t>
          </w:r>
          <w:r>
            <w:rPr>
              <w:rFonts w:hint="eastAsia" w:ascii="CESI仿宋-GB2312" w:hAnsi="CESI仿宋-GB2312" w:eastAsia="CESI仿宋-GB2312" w:cs="CESI仿宋-GB2312"/>
              <w:b w:val="0"/>
              <w:bCs w:val="0"/>
              <w:sz w:val="28"/>
              <w:szCs w:val="28"/>
            </w:rPr>
            <w:tab/>
          </w:r>
          <w:r>
            <w:rPr>
              <w:rFonts w:hint="eastAsia" w:ascii="CESI仿宋-GB2312" w:hAnsi="CESI仿宋-GB2312" w:eastAsia="CESI仿宋-GB2312" w:cs="CESI仿宋-GB2312"/>
              <w:b w:val="0"/>
              <w:bCs w:val="0"/>
              <w:sz w:val="28"/>
              <w:szCs w:val="28"/>
            </w:rPr>
            <w:fldChar w:fldCharType="end"/>
          </w:r>
          <w:r>
            <w:rPr>
              <w:rFonts w:hint="eastAsia" w:ascii="CESI仿宋-GB2312" w:hAnsi="CESI仿宋-GB2312" w:eastAsia="CESI仿宋-GB2312" w:cs="CESI仿宋-GB2312"/>
              <w:b w:val="0"/>
              <w:bCs w:val="0"/>
              <w:sz w:val="28"/>
              <w:szCs w:val="28"/>
            </w:rPr>
            <w:t>1</w:t>
          </w:r>
          <w:r>
            <w:rPr>
              <w:rFonts w:hint="eastAsia" w:ascii="CESI仿宋-GB2312" w:hAnsi="CESI仿宋-GB2312" w:eastAsia="CESI仿宋-GB2312" w:cs="CESI仿宋-GB2312"/>
              <w:b w:val="0"/>
              <w:bCs w:val="0"/>
              <w:sz w:val="28"/>
              <w:szCs w:val="28"/>
              <w:lang w:val="en-US" w:eastAsia="zh-CN"/>
            </w:rPr>
            <w:t>5</w:t>
          </w:r>
        </w:p>
        <w:p w14:paraId="7E40BB4D">
          <w:pPr>
            <w:pStyle w:val="14"/>
            <w:tabs>
              <w:tab w:val="right" w:leader="dot" w:pos="8306"/>
              <w:tab w:val="clear" w:pos="8296"/>
            </w:tabs>
            <w:rPr>
              <w:rFonts w:hint="eastAsia" w:ascii="CESI仿宋-GB2312" w:hAnsi="CESI仿宋-GB2312" w:eastAsia="CESI仿宋-GB2312" w:cs="CESI仿宋-GB2312"/>
              <w:b w:val="0"/>
              <w:bCs w:val="0"/>
              <w:sz w:val="28"/>
              <w:szCs w:val="28"/>
              <w:lang w:val="en-US" w:eastAsia="zh-CN"/>
            </w:rPr>
          </w:pPr>
          <w:r>
            <w:rPr>
              <w:rFonts w:hint="eastAsia" w:ascii="CESI仿宋-GB2312" w:hAnsi="CESI仿宋-GB2312" w:eastAsia="CESI仿宋-GB2312" w:cs="CESI仿宋-GB2312"/>
              <w:b w:val="0"/>
              <w:bCs w:val="0"/>
              <w:sz w:val="28"/>
              <w:szCs w:val="28"/>
            </w:rPr>
            <w:fldChar w:fldCharType="begin"/>
          </w:r>
          <w:r>
            <w:rPr>
              <w:rFonts w:hint="eastAsia" w:ascii="CESI仿宋-GB2312" w:hAnsi="CESI仿宋-GB2312" w:eastAsia="CESI仿宋-GB2312" w:cs="CESI仿宋-GB2312"/>
              <w:b w:val="0"/>
              <w:bCs w:val="0"/>
              <w:sz w:val="28"/>
              <w:szCs w:val="28"/>
            </w:rPr>
            <w:instrText xml:space="preserve"> HYPERLINK \l "_Toc14349" </w:instrText>
          </w:r>
          <w:r>
            <w:rPr>
              <w:rFonts w:hint="eastAsia" w:ascii="CESI仿宋-GB2312" w:hAnsi="CESI仿宋-GB2312" w:eastAsia="CESI仿宋-GB2312" w:cs="CESI仿宋-GB2312"/>
              <w:b w:val="0"/>
              <w:bCs w:val="0"/>
              <w:sz w:val="28"/>
              <w:szCs w:val="28"/>
            </w:rPr>
            <w:fldChar w:fldCharType="separate"/>
          </w:r>
          <w:r>
            <w:rPr>
              <w:rFonts w:hint="eastAsia" w:ascii="CESI仿宋-GB2312" w:hAnsi="CESI仿宋-GB2312" w:eastAsia="CESI仿宋-GB2312" w:cs="CESI仿宋-GB2312"/>
              <w:b w:val="0"/>
              <w:bCs w:val="0"/>
              <w:sz w:val="28"/>
              <w:szCs w:val="28"/>
            </w:rPr>
            <w:t>一、收入支出决算总表</w:t>
          </w:r>
          <w:r>
            <w:rPr>
              <w:rFonts w:hint="eastAsia" w:ascii="CESI仿宋-GB2312" w:hAnsi="CESI仿宋-GB2312" w:eastAsia="CESI仿宋-GB2312" w:cs="CESI仿宋-GB2312"/>
              <w:b w:val="0"/>
              <w:bCs w:val="0"/>
              <w:sz w:val="28"/>
              <w:szCs w:val="28"/>
            </w:rPr>
            <w:tab/>
          </w:r>
          <w:bookmarkStart w:id="63" w:name="_GoBack"/>
          <w:bookmarkEnd w:id="63"/>
          <w:r>
            <w:rPr>
              <w:rFonts w:hint="eastAsia" w:ascii="CESI仿宋-GB2312" w:hAnsi="CESI仿宋-GB2312" w:eastAsia="CESI仿宋-GB2312" w:cs="CESI仿宋-GB2312"/>
              <w:b w:val="0"/>
              <w:bCs w:val="0"/>
              <w:sz w:val="28"/>
              <w:szCs w:val="28"/>
              <w:lang w:val="en-US" w:eastAsia="zh-CN"/>
            </w:rPr>
            <w:t>1</w:t>
          </w:r>
          <w:r>
            <w:rPr>
              <w:rFonts w:hint="eastAsia" w:ascii="CESI仿宋-GB2312" w:hAnsi="CESI仿宋-GB2312" w:eastAsia="CESI仿宋-GB2312" w:cs="CESI仿宋-GB2312"/>
              <w:b w:val="0"/>
              <w:bCs w:val="0"/>
              <w:sz w:val="28"/>
              <w:szCs w:val="28"/>
            </w:rPr>
            <w:fldChar w:fldCharType="end"/>
          </w:r>
          <w:r>
            <w:rPr>
              <w:rFonts w:hint="eastAsia" w:ascii="CESI仿宋-GB2312" w:hAnsi="CESI仿宋-GB2312" w:eastAsia="CESI仿宋-GB2312" w:cs="CESI仿宋-GB2312"/>
              <w:b w:val="0"/>
              <w:bCs w:val="0"/>
              <w:sz w:val="28"/>
              <w:szCs w:val="28"/>
              <w:lang w:val="en-US" w:eastAsia="zh-CN"/>
            </w:rPr>
            <w:t>5</w:t>
          </w:r>
        </w:p>
        <w:p w14:paraId="07B78B42">
          <w:pPr>
            <w:pStyle w:val="14"/>
            <w:tabs>
              <w:tab w:val="right" w:leader="dot" w:pos="8306"/>
              <w:tab w:val="clear" w:pos="8296"/>
            </w:tabs>
            <w:rPr>
              <w:rFonts w:hint="eastAsia" w:ascii="CESI仿宋-GB2312" w:hAnsi="CESI仿宋-GB2312" w:eastAsia="CESI仿宋-GB2312" w:cs="CESI仿宋-GB2312"/>
              <w:b w:val="0"/>
              <w:bCs w:val="0"/>
              <w:sz w:val="28"/>
              <w:szCs w:val="28"/>
              <w:lang w:val="en-US" w:eastAsia="zh-CN"/>
            </w:rPr>
          </w:pPr>
          <w:r>
            <w:rPr>
              <w:rFonts w:hint="eastAsia" w:ascii="CESI仿宋-GB2312" w:hAnsi="CESI仿宋-GB2312" w:eastAsia="CESI仿宋-GB2312" w:cs="CESI仿宋-GB2312"/>
              <w:b w:val="0"/>
              <w:bCs w:val="0"/>
              <w:sz w:val="28"/>
              <w:szCs w:val="28"/>
            </w:rPr>
            <w:fldChar w:fldCharType="begin"/>
          </w:r>
          <w:r>
            <w:rPr>
              <w:rFonts w:hint="eastAsia" w:ascii="CESI仿宋-GB2312" w:hAnsi="CESI仿宋-GB2312" w:eastAsia="CESI仿宋-GB2312" w:cs="CESI仿宋-GB2312"/>
              <w:b w:val="0"/>
              <w:bCs w:val="0"/>
              <w:sz w:val="28"/>
              <w:szCs w:val="28"/>
            </w:rPr>
            <w:instrText xml:space="preserve"> HYPERLINK \l "_Toc1540" </w:instrText>
          </w:r>
          <w:r>
            <w:rPr>
              <w:rFonts w:hint="eastAsia" w:ascii="CESI仿宋-GB2312" w:hAnsi="CESI仿宋-GB2312" w:eastAsia="CESI仿宋-GB2312" w:cs="CESI仿宋-GB2312"/>
              <w:b w:val="0"/>
              <w:bCs w:val="0"/>
              <w:sz w:val="28"/>
              <w:szCs w:val="28"/>
            </w:rPr>
            <w:fldChar w:fldCharType="separate"/>
          </w:r>
          <w:r>
            <w:rPr>
              <w:rFonts w:hint="eastAsia" w:ascii="CESI仿宋-GB2312" w:hAnsi="CESI仿宋-GB2312" w:eastAsia="CESI仿宋-GB2312" w:cs="CESI仿宋-GB2312"/>
              <w:b w:val="0"/>
              <w:bCs w:val="0"/>
              <w:sz w:val="28"/>
              <w:szCs w:val="28"/>
            </w:rPr>
            <w:t>二、收入决算表</w:t>
          </w:r>
          <w:r>
            <w:rPr>
              <w:rFonts w:hint="eastAsia" w:ascii="CESI仿宋-GB2312" w:hAnsi="CESI仿宋-GB2312" w:eastAsia="CESI仿宋-GB2312" w:cs="CESI仿宋-GB2312"/>
              <w:b w:val="0"/>
              <w:bCs w:val="0"/>
              <w:sz w:val="28"/>
              <w:szCs w:val="28"/>
            </w:rPr>
            <w:tab/>
          </w:r>
          <w:r>
            <w:rPr>
              <w:rFonts w:hint="eastAsia" w:ascii="CESI仿宋-GB2312" w:hAnsi="CESI仿宋-GB2312" w:eastAsia="CESI仿宋-GB2312" w:cs="CESI仿宋-GB2312"/>
              <w:b w:val="0"/>
              <w:bCs w:val="0"/>
              <w:sz w:val="28"/>
              <w:szCs w:val="28"/>
              <w:lang w:val="en-US" w:eastAsia="zh-CN"/>
            </w:rPr>
            <w:t>1</w:t>
          </w:r>
          <w:r>
            <w:rPr>
              <w:rFonts w:hint="eastAsia" w:ascii="CESI仿宋-GB2312" w:hAnsi="CESI仿宋-GB2312" w:eastAsia="CESI仿宋-GB2312" w:cs="CESI仿宋-GB2312"/>
              <w:b w:val="0"/>
              <w:bCs w:val="0"/>
              <w:sz w:val="28"/>
              <w:szCs w:val="28"/>
            </w:rPr>
            <w:fldChar w:fldCharType="end"/>
          </w:r>
          <w:r>
            <w:rPr>
              <w:rFonts w:hint="eastAsia" w:ascii="CESI仿宋-GB2312" w:hAnsi="CESI仿宋-GB2312" w:eastAsia="CESI仿宋-GB2312" w:cs="CESI仿宋-GB2312"/>
              <w:b w:val="0"/>
              <w:bCs w:val="0"/>
              <w:sz w:val="28"/>
              <w:szCs w:val="28"/>
              <w:lang w:val="en-US" w:eastAsia="zh-CN"/>
            </w:rPr>
            <w:t>5</w:t>
          </w:r>
        </w:p>
        <w:p w14:paraId="78AFFA90">
          <w:pPr>
            <w:pStyle w:val="14"/>
            <w:tabs>
              <w:tab w:val="right" w:leader="dot" w:pos="8306"/>
              <w:tab w:val="clear" w:pos="8296"/>
            </w:tabs>
            <w:rPr>
              <w:rFonts w:hint="eastAsia" w:ascii="CESI仿宋-GB2312" w:hAnsi="CESI仿宋-GB2312" w:eastAsia="CESI仿宋-GB2312" w:cs="CESI仿宋-GB2312"/>
              <w:b w:val="0"/>
              <w:bCs w:val="0"/>
              <w:sz w:val="28"/>
              <w:szCs w:val="28"/>
              <w:lang w:val="en-US" w:eastAsia="zh-CN"/>
            </w:rPr>
          </w:pPr>
          <w:r>
            <w:rPr>
              <w:rFonts w:hint="eastAsia" w:ascii="CESI仿宋-GB2312" w:hAnsi="CESI仿宋-GB2312" w:eastAsia="CESI仿宋-GB2312" w:cs="CESI仿宋-GB2312"/>
              <w:b w:val="0"/>
              <w:bCs w:val="0"/>
              <w:sz w:val="28"/>
              <w:szCs w:val="28"/>
            </w:rPr>
            <w:fldChar w:fldCharType="begin"/>
          </w:r>
          <w:r>
            <w:rPr>
              <w:rFonts w:hint="eastAsia" w:ascii="CESI仿宋-GB2312" w:hAnsi="CESI仿宋-GB2312" w:eastAsia="CESI仿宋-GB2312" w:cs="CESI仿宋-GB2312"/>
              <w:b w:val="0"/>
              <w:bCs w:val="0"/>
              <w:sz w:val="28"/>
              <w:szCs w:val="28"/>
            </w:rPr>
            <w:instrText xml:space="preserve"> HYPERLINK \l "_Toc24186" </w:instrText>
          </w:r>
          <w:r>
            <w:rPr>
              <w:rFonts w:hint="eastAsia" w:ascii="CESI仿宋-GB2312" w:hAnsi="CESI仿宋-GB2312" w:eastAsia="CESI仿宋-GB2312" w:cs="CESI仿宋-GB2312"/>
              <w:b w:val="0"/>
              <w:bCs w:val="0"/>
              <w:sz w:val="28"/>
              <w:szCs w:val="28"/>
            </w:rPr>
            <w:fldChar w:fldCharType="separate"/>
          </w:r>
          <w:r>
            <w:rPr>
              <w:rFonts w:hint="eastAsia" w:ascii="CESI仿宋-GB2312" w:hAnsi="CESI仿宋-GB2312" w:eastAsia="CESI仿宋-GB2312" w:cs="CESI仿宋-GB2312"/>
              <w:b w:val="0"/>
              <w:bCs w:val="0"/>
              <w:sz w:val="28"/>
              <w:szCs w:val="28"/>
            </w:rPr>
            <w:t>三、支出决算表</w:t>
          </w:r>
          <w:r>
            <w:rPr>
              <w:rFonts w:hint="eastAsia" w:ascii="CESI仿宋-GB2312" w:hAnsi="CESI仿宋-GB2312" w:eastAsia="CESI仿宋-GB2312" w:cs="CESI仿宋-GB2312"/>
              <w:b w:val="0"/>
              <w:bCs w:val="0"/>
              <w:sz w:val="28"/>
              <w:szCs w:val="28"/>
            </w:rPr>
            <w:tab/>
          </w:r>
          <w:r>
            <w:rPr>
              <w:rFonts w:hint="eastAsia" w:ascii="CESI仿宋-GB2312" w:hAnsi="CESI仿宋-GB2312" w:eastAsia="CESI仿宋-GB2312" w:cs="CESI仿宋-GB2312"/>
              <w:b w:val="0"/>
              <w:bCs w:val="0"/>
              <w:sz w:val="28"/>
              <w:szCs w:val="28"/>
              <w:lang w:val="en-US" w:eastAsia="zh-CN"/>
            </w:rPr>
            <w:t>1</w:t>
          </w:r>
          <w:r>
            <w:rPr>
              <w:rFonts w:hint="eastAsia" w:ascii="CESI仿宋-GB2312" w:hAnsi="CESI仿宋-GB2312" w:eastAsia="CESI仿宋-GB2312" w:cs="CESI仿宋-GB2312"/>
              <w:b w:val="0"/>
              <w:bCs w:val="0"/>
              <w:sz w:val="28"/>
              <w:szCs w:val="28"/>
            </w:rPr>
            <w:fldChar w:fldCharType="end"/>
          </w:r>
          <w:r>
            <w:rPr>
              <w:rFonts w:hint="eastAsia" w:ascii="CESI仿宋-GB2312" w:hAnsi="CESI仿宋-GB2312" w:eastAsia="CESI仿宋-GB2312" w:cs="CESI仿宋-GB2312"/>
              <w:b w:val="0"/>
              <w:bCs w:val="0"/>
              <w:sz w:val="28"/>
              <w:szCs w:val="28"/>
              <w:lang w:val="en-US" w:eastAsia="zh-CN"/>
            </w:rPr>
            <w:t>5</w:t>
          </w:r>
        </w:p>
        <w:p w14:paraId="7EA17EB6">
          <w:pPr>
            <w:pStyle w:val="14"/>
            <w:tabs>
              <w:tab w:val="right" w:leader="dot" w:pos="8306"/>
              <w:tab w:val="clear" w:pos="8296"/>
            </w:tabs>
            <w:rPr>
              <w:rFonts w:hint="eastAsia" w:ascii="CESI仿宋-GB2312" w:hAnsi="CESI仿宋-GB2312" w:eastAsia="CESI仿宋-GB2312" w:cs="CESI仿宋-GB2312"/>
              <w:b w:val="0"/>
              <w:bCs w:val="0"/>
              <w:sz w:val="28"/>
              <w:szCs w:val="28"/>
              <w:lang w:val="en-US" w:eastAsia="zh-CN"/>
            </w:rPr>
          </w:pPr>
          <w:r>
            <w:rPr>
              <w:rFonts w:hint="eastAsia" w:ascii="CESI仿宋-GB2312" w:hAnsi="CESI仿宋-GB2312" w:eastAsia="CESI仿宋-GB2312" w:cs="CESI仿宋-GB2312"/>
              <w:b w:val="0"/>
              <w:bCs w:val="0"/>
              <w:sz w:val="28"/>
              <w:szCs w:val="28"/>
            </w:rPr>
            <w:fldChar w:fldCharType="begin"/>
          </w:r>
          <w:r>
            <w:rPr>
              <w:rFonts w:hint="eastAsia" w:ascii="CESI仿宋-GB2312" w:hAnsi="CESI仿宋-GB2312" w:eastAsia="CESI仿宋-GB2312" w:cs="CESI仿宋-GB2312"/>
              <w:b w:val="0"/>
              <w:bCs w:val="0"/>
              <w:sz w:val="28"/>
              <w:szCs w:val="28"/>
            </w:rPr>
            <w:instrText xml:space="preserve"> HYPERLINK \l "_Toc2109" </w:instrText>
          </w:r>
          <w:r>
            <w:rPr>
              <w:rFonts w:hint="eastAsia" w:ascii="CESI仿宋-GB2312" w:hAnsi="CESI仿宋-GB2312" w:eastAsia="CESI仿宋-GB2312" w:cs="CESI仿宋-GB2312"/>
              <w:b w:val="0"/>
              <w:bCs w:val="0"/>
              <w:sz w:val="28"/>
              <w:szCs w:val="28"/>
            </w:rPr>
            <w:fldChar w:fldCharType="separate"/>
          </w:r>
          <w:r>
            <w:rPr>
              <w:rFonts w:hint="eastAsia" w:ascii="CESI仿宋-GB2312" w:hAnsi="CESI仿宋-GB2312" w:eastAsia="CESI仿宋-GB2312" w:cs="CESI仿宋-GB2312"/>
              <w:b w:val="0"/>
              <w:bCs w:val="0"/>
              <w:sz w:val="28"/>
              <w:szCs w:val="28"/>
            </w:rPr>
            <w:t>四、财政拨款收入支出决算总表</w:t>
          </w:r>
          <w:r>
            <w:rPr>
              <w:rFonts w:hint="eastAsia" w:ascii="CESI仿宋-GB2312" w:hAnsi="CESI仿宋-GB2312" w:eastAsia="CESI仿宋-GB2312" w:cs="CESI仿宋-GB2312"/>
              <w:b w:val="0"/>
              <w:bCs w:val="0"/>
              <w:sz w:val="28"/>
              <w:szCs w:val="28"/>
            </w:rPr>
            <w:tab/>
          </w:r>
          <w:r>
            <w:rPr>
              <w:rFonts w:hint="eastAsia" w:ascii="CESI仿宋-GB2312" w:hAnsi="CESI仿宋-GB2312" w:eastAsia="CESI仿宋-GB2312" w:cs="CESI仿宋-GB2312"/>
              <w:b w:val="0"/>
              <w:bCs w:val="0"/>
              <w:sz w:val="28"/>
              <w:szCs w:val="28"/>
              <w:lang w:val="en-US" w:eastAsia="zh-CN"/>
            </w:rPr>
            <w:t>1</w:t>
          </w:r>
          <w:r>
            <w:rPr>
              <w:rFonts w:hint="eastAsia" w:ascii="CESI仿宋-GB2312" w:hAnsi="CESI仿宋-GB2312" w:eastAsia="CESI仿宋-GB2312" w:cs="CESI仿宋-GB2312"/>
              <w:b w:val="0"/>
              <w:bCs w:val="0"/>
              <w:sz w:val="28"/>
              <w:szCs w:val="28"/>
            </w:rPr>
            <w:fldChar w:fldCharType="end"/>
          </w:r>
          <w:r>
            <w:rPr>
              <w:rFonts w:hint="eastAsia" w:ascii="CESI仿宋-GB2312" w:hAnsi="CESI仿宋-GB2312" w:eastAsia="CESI仿宋-GB2312" w:cs="CESI仿宋-GB2312"/>
              <w:b w:val="0"/>
              <w:bCs w:val="0"/>
              <w:sz w:val="28"/>
              <w:szCs w:val="28"/>
              <w:lang w:val="en-US" w:eastAsia="zh-CN"/>
            </w:rPr>
            <w:t>5</w:t>
          </w:r>
        </w:p>
        <w:p w14:paraId="1EACD9DF">
          <w:pPr>
            <w:pStyle w:val="14"/>
            <w:tabs>
              <w:tab w:val="right" w:leader="dot" w:pos="8306"/>
              <w:tab w:val="clear" w:pos="8296"/>
            </w:tabs>
            <w:rPr>
              <w:rFonts w:hint="eastAsia" w:ascii="CESI仿宋-GB2312" w:hAnsi="CESI仿宋-GB2312" w:eastAsia="CESI仿宋-GB2312" w:cs="CESI仿宋-GB2312"/>
              <w:b w:val="0"/>
              <w:bCs w:val="0"/>
              <w:sz w:val="28"/>
              <w:szCs w:val="28"/>
              <w:lang w:val="en-US" w:eastAsia="zh-CN"/>
            </w:rPr>
          </w:pPr>
          <w:r>
            <w:rPr>
              <w:rFonts w:hint="eastAsia" w:ascii="CESI仿宋-GB2312" w:hAnsi="CESI仿宋-GB2312" w:eastAsia="CESI仿宋-GB2312" w:cs="CESI仿宋-GB2312"/>
              <w:b w:val="0"/>
              <w:bCs w:val="0"/>
              <w:sz w:val="28"/>
              <w:szCs w:val="28"/>
            </w:rPr>
            <w:fldChar w:fldCharType="begin"/>
          </w:r>
          <w:r>
            <w:rPr>
              <w:rFonts w:hint="eastAsia" w:ascii="CESI仿宋-GB2312" w:hAnsi="CESI仿宋-GB2312" w:eastAsia="CESI仿宋-GB2312" w:cs="CESI仿宋-GB2312"/>
              <w:b w:val="0"/>
              <w:bCs w:val="0"/>
              <w:sz w:val="28"/>
              <w:szCs w:val="28"/>
            </w:rPr>
            <w:instrText xml:space="preserve"> HYPERLINK \l "_Toc17137" </w:instrText>
          </w:r>
          <w:r>
            <w:rPr>
              <w:rFonts w:hint="eastAsia" w:ascii="CESI仿宋-GB2312" w:hAnsi="CESI仿宋-GB2312" w:eastAsia="CESI仿宋-GB2312" w:cs="CESI仿宋-GB2312"/>
              <w:b w:val="0"/>
              <w:bCs w:val="0"/>
              <w:sz w:val="28"/>
              <w:szCs w:val="28"/>
            </w:rPr>
            <w:fldChar w:fldCharType="separate"/>
          </w:r>
          <w:r>
            <w:rPr>
              <w:rFonts w:hint="eastAsia" w:ascii="CESI仿宋-GB2312" w:hAnsi="CESI仿宋-GB2312" w:eastAsia="CESI仿宋-GB2312" w:cs="CESI仿宋-GB2312"/>
              <w:b w:val="0"/>
              <w:bCs w:val="0"/>
              <w:sz w:val="28"/>
              <w:szCs w:val="28"/>
            </w:rPr>
            <w:t>五、财政拨款支出决算明细表</w:t>
          </w:r>
          <w:r>
            <w:rPr>
              <w:rFonts w:hint="eastAsia" w:ascii="CESI仿宋-GB2312" w:hAnsi="CESI仿宋-GB2312" w:eastAsia="CESI仿宋-GB2312" w:cs="CESI仿宋-GB2312"/>
              <w:b w:val="0"/>
              <w:bCs w:val="0"/>
              <w:sz w:val="28"/>
              <w:szCs w:val="28"/>
            </w:rPr>
            <w:tab/>
          </w:r>
          <w:r>
            <w:rPr>
              <w:rFonts w:hint="eastAsia" w:ascii="CESI仿宋-GB2312" w:hAnsi="CESI仿宋-GB2312" w:eastAsia="CESI仿宋-GB2312" w:cs="CESI仿宋-GB2312"/>
              <w:b w:val="0"/>
              <w:bCs w:val="0"/>
              <w:sz w:val="28"/>
              <w:szCs w:val="28"/>
              <w:lang w:val="en-US" w:eastAsia="zh-CN"/>
            </w:rPr>
            <w:t>1</w:t>
          </w:r>
          <w:r>
            <w:rPr>
              <w:rFonts w:hint="eastAsia" w:ascii="CESI仿宋-GB2312" w:hAnsi="CESI仿宋-GB2312" w:eastAsia="CESI仿宋-GB2312" w:cs="CESI仿宋-GB2312"/>
              <w:b w:val="0"/>
              <w:bCs w:val="0"/>
              <w:sz w:val="28"/>
              <w:szCs w:val="28"/>
            </w:rPr>
            <w:fldChar w:fldCharType="end"/>
          </w:r>
          <w:r>
            <w:rPr>
              <w:rFonts w:hint="eastAsia" w:ascii="CESI仿宋-GB2312" w:hAnsi="CESI仿宋-GB2312" w:eastAsia="CESI仿宋-GB2312" w:cs="CESI仿宋-GB2312"/>
              <w:b w:val="0"/>
              <w:bCs w:val="0"/>
              <w:sz w:val="28"/>
              <w:szCs w:val="28"/>
              <w:lang w:val="en-US" w:eastAsia="zh-CN"/>
            </w:rPr>
            <w:t>5</w:t>
          </w:r>
        </w:p>
        <w:p w14:paraId="683CC3E9">
          <w:pPr>
            <w:pStyle w:val="14"/>
            <w:tabs>
              <w:tab w:val="right" w:leader="dot" w:pos="8306"/>
              <w:tab w:val="clear" w:pos="8296"/>
            </w:tabs>
            <w:rPr>
              <w:rFonts w:hint="eastAsia" w:ascii="CESI仿宋-GB2312" w:hAnsi="CESI仿宋-GB2312" w:eastAsia="CESI仿宋-GB2312" w:cs="CESI仿宋-GB2312"/>
              <w:b w:val="0"/>
              <w:bCs w:val="0"/>
              <w:sz w:val="28"/>
              <w:szCs w:val="28"/>
              <w:lang w:val="en-US" w:eastAsia="zh-CN"/>
            </w:rPr>
          </w:pPr>
          <w:r>
            <w:rPr>
              <w:rFonts w:hint="eastAsia" w:ascii="CESI仿宋-GB2312" w:hAnsi="CESI仿宋-GB2312" w:eastAsia="CESI仿宋-GB2312" w:cs="CESI仿宋-GB2312"/>
              <w:b w:val="0"/>
              <w:bCs w:val="0"/>
              <w:sz w:val="28"/>
              <w:szCs w:val="28"/>
            </w:rPr>
            <w:fldChar w:fldCharType="begin"/>
          </w:r>
          <w:r>
            <w:rPr>
              <w:rFonts w:hint="eastAsia" w:ascii="CESI仿宋-GB2312" w:hAnsi="CESI仿宋-GB2312" w:eastAsia="CESI仿宋-GB2312" w:cs="CESI仿宋-GB2312"/>
              <w:b w:val="0"/>
              <w:bCs w:val="0"/>
              <w:sz w:val="28"/>
              <w:szCs w:val="28"/>
            </w:rPr>
            <w:instrText xml:space="preserve"> HYPERLINK \l "_Toc13960" </w:instrText>
          </w:r>
          <w:r>
            <w:rPr>
              <w:rFonts w:hint="eastAsia" w:ascii="CESI仿宋-GB2312" w:hAnsi="CESI仿宋-GB2312" w:eastAsia="CESI仿宋-GB2312" w:cs="CESI仿宋-GB2312"/>
              <w:b w:val="0"/>
              <w:bCs w:val="0"/>
              <w:sz w:val="28"/>
              <w:szCs w:val="28"/>
            </w:rPr>
            <w:fldChar w:fldCharType="separate"/>
          </w:r>
          <w:r>
            <w:rPr>
              <w:rFonts w:hint="eastAsia" w:ascii="CESI仿宋-GB2312" w:hAnsi="CESI仿宋-GB2312" w:eastAsia="CESI仿宋-GB2312" w:cs="CESI仿宋-GB2312"/>
              <w:b w:val="0"/>
              <w:bCs w:val="0"/>
              <w:sz w:val="28"/>
              <w:szCs w:val="28"/>
            </w:rPr>
            <w:t>六、一般公共预算财政拨款支出决算表</w:t>
          </w:r>
          <w:r>
            <w:rPr>
              <w:rFonts w:hint="eastAsia" w:ascii="CESI仿宋-GB2312" w:hAnsi="CESI仿宋-GB2312" w:eastAsia="CESI仿宋-GB2312" w:cs="CESI仿宋-GB2312"/>
              <w:b w:val="0"/>
              <w:bCs w:val="0"/>
              <w:sz w:val="28"/>
              <w:szCs w:val="28"/>
            </w:rPr>
            <w:tab/>
          </w:r>
          <w:r>
            <w:rPr>
              <w:rFonts w:hint="eastAsia" w:ascii="CESI仿宋-GB2312" w:hAnsi="CESI仿宋-GB2312" w:eastAsia="CESI仿宋-GB2312" w:cs="CESI仿宋-GB2312"/>
              <w:b w:val="0"/>
              <w:bCs w:val="0"/>
              <w:sz w:val="28"/>
              <w:szCs w:val="28"/>
              <w:lang w:val="en-US" w:eastAsia="zh-CN"/>
            </w:rPr>
            <w:t>1</w:t>
          </w:r>
          <w:r>
            <w:rPr>
              <w:rFonts w:hint="eastAsia" w:ascii="CESI仿宋-GB2312" w:hAnsi="CESI仿宋-GB2312" w:eastAsia="CESI仿宋-GB2312" w:cs="CESI仿宋-GB2312"/>
              <w:b w:val="0"/>
              <w:bCs w:val="0"/>
              <w:sz w:val="28"/>
              <w:szCs w:val="28"/>
            </w:rPr>
            <w:fldChar w:fldCharType="end"/>
          </w:r>
          <w:r>
            <w:rPr>
              <w:rFonts w:hint="eastAsia" w:ascii="CESI仿宋-GB2312" w:hAnsi="CESI仿宋-GB2312" w:eastAsia="CESI仿宋-GB2312" w:cs="CESI仿宋-GB2312"/>
              <w:b w:val="0"/>
              <w:bCs w:val="0"/>
              <w:sz w:val="28"/>
              <w:szCs w:val="28"/>
              <w:lang w:val="en-US" w:eastAsia="zh-CN"/>
            </w:rPr>
            <w:t>5</w:t>
          </w:r>
        </w:p>
        <w:p w14:paraId="32D79C33">
          <w:pPr>
            <w:pStyle w:val="14"/>
            <w:tabs>
              <w:tab w:val="right" w:leader="dot" w:pos="8306"/>
              <w:tab w:val="clear" w:pos="8296"/>
            </w:tabs>
            <w:rPr>
              <w:rFonts w:hint="eastAsia" w:ascii="CESI仿宋-GB2312" w:hAnsi="CESI仿宋-GB2312" w:eastAsia="CESI仿宋-GB2312" w:cs="CESI仿宋-GB2312"/>
              <w:b w:val="0"/>
              <w:bCs w:val="0"/>
              <w:sz w:val="28"/>
              <w:szCs w:val="28"/>
              <w:lang w:val="en-US" w:eastAsia="zh-CN"/>
            </w:rPr>
          </w:pPr>
          <w:r>
            <w:rPr>
              <w:rFonts w:hint="eastAsia" w:ascii="CESI仿宋-GB2312" w:hAnsi="CESI仿宋-GB2312" w:eastAsia="CESI仿宋-GB2312" w:cs="CESI仿宋-GB2312"/>
              <w:b w:val="0"/>
              <w:bCs w:val="0"/>
              <w:sz w:val="28"/>
              <w:szCs w:val="28"/>
            </w:rPr>
            <w:fldChar w:fldCharType="begin"/>
          </w:r>
          <w:r>
            <w:rPr>
              <w:rFonts w:hint="eastAsia" w:ascii="CESI仿宋-GB2312" w:hAnsi="CESI仿宋-GB2312" w:eastAsia="CESI仿宋-GB2312" w:cs="CESI仿宋-GB2312"/>
              <w:b w:val="0"/>
              <w:bCs w:val="0"/>
              <w:sz w:val="28"/>
              <w:szCs w:val="28"/>
            </w:rPr>
            <w:instrText xml:space="preserve"> HYPERLINK \l "_Toc19869" </w:instrText>
          </w:r>
          <w:r>
            <w:rPr>
              <w:rFonts w:hint="eastAsia" w:ascii="CESI仿宋-GB2312" w:hAnsi="CESI仿宋-GB2312" w:eastAsia="CESI仿宋-GB2312" w:cs="CESI仿宋-GB2312"/>
              <w:b w:val="0"/>
              <w:bCs w:val="0"/>
              <w:sz w:val="28"/>
              <w:szCs w:val="28"/>
            </w:rPr>
            <w:fldChar w:fldCharType="separate"/>
          </w:r>
          <w:r>
            <w:rPr>
              <w:rFonts w:hint="eastAsia" w:ascii="CESI仿宋-GB2312" w:hAnsi="CESI仿宋-GB2312" w:eastAsia="CESI仿宋-GB2312" w:cs="CESI仿宋-GB2312"/>
              <w:b w:val="0"/>
              <w:bCs w:val="0"/>
              <w:sz w:val="28"/>
              <w:szCs w:val="28"/>
            </w:rPr>
            <w:t>七、一般公共预算财政拨款支出决算明细表..................</w:t>
          </w:r>
          <w:r>
            <w:rPr>
              <w:rFonts w:hint="eastAsia" w:ascii="CESI仿宋-GB2312" w:hAnsi="CESI仿宋-GB2312" w:eastAsia="CESI仿宋-GB2312" w:cs="CESI仿宋-GB2312"/>
              <w:b w:val="0"/>
              <w:bCs w:val="0"/>
              <w:sz w:val="28"/>
              <w:szCs w:val="28"/>
              <w:lang w:val="en-US" w:eastAsia="zh-CN"/>
            </w:rPr>
            <w:t>.1</w:t>
          </w:r>
          <w:r>
            <w:rPr>
              <w:rFonts w:hint="eastAsia" w:ascii="CESI仿宋-GB2312" w:hAnsi="CESI仿宋-GB2312" w:eastAsia="CESI仿宋-GB2312" w:cs="CESI仿宋-GB2312"/>
              <w:b w:val="0"/>
              <w:bCs w:val="0"/>
              <w:sz w:val="28"/>
              <w:szCs w:val="28"/>
            </w:rPr>
            <w:fldChar w:fldCharType="end"/>
          </w:r>
          <w:r>
            <w:rPr>
              <w:rFonts w:hint="eastAsia" w:ascii="CESI仿宋-GB2312" w:hAnsi="CESI仿宋-GB2312" w:eastAsia="CESI仿宋-GB2312" w:cs="CESI仿宋-GB2312"/>
              <w:b w:val="0"/>
              <w:bCs w:val="0"/>
              <w:sz w:val="28"/>
              <w:szCs w:val="28"/>
              <w:lang w:val="en-US" w:eastAsia="zh-CN"/>
            </w:rPr>
            <w:t>5</w:t>
          </w:r>
        </w:p>
        <w:p w14:paraId="6820FCBB">
          <w:pPr>
            <w:pStyle w:val="14"/>
            <w:tabs>
              <w:tab w:val="right" w:leader="dot" w:pos="8306"/>
              <w:tab w:val="clear" w:pos="8296"/>
            </w:tabs>
            <w:rPr>
              <w:rFonts w:hint="eastAsia" w:ascii="CESI仿宋-GB2312" w:hAnsi="CESI仿宋-GB2312" w:eastAsia="CESI仿宋-GB2312" w:cs="CESI仿宋-GB2312"/>
              <w:b w:val="0"/>
              <w:bCs w:val="0"/>
              <w:sz w:val="28"/>
              <w:szCs w:val="28"/>
              <w:lang w:val="en-US" w:eastAsia="zh-CN"/>
            </w:rPr>
          </w:pPr>
          <w:r>
            <w:rPr>
              <w:rFonts w:hint="eastAsia" w:ascii="CESI仿宋-GB2312" w:hAnsi="CESI仿宋-GB2312" w:eastAsia="CESI仿宋-GB2312" w:cs="CESI仿宋-GB2312"/>
              <w:b w:val="0"/>
              <w:bCs w:val="0"/>
              <w:sz w:val="28"/>
              <w:szCs w:val="28"/>
            </w:rPr>
            <w:fldChar w:fldCharType="begin"/>
          </w:r>
          <w:r>
            <w:rPr>
              <w:rFonts w:hint="eastAsia" w:ascii="CESI仿宋-GB2312" w:hAnsi="CESI仿宋-GB2312" w:eastAsia="CESI仿宋-GB2312" w:cs="CESI仿宋-GB2312"/>
              <w:b w:val="0"/>
              <w:bCs w:val="0"/>
              <w:sz w:val="28"/>
              <w:szCs w:val="28"/>
            </w:rPr>
            <w:instrText xml:space="preserve"> HYPERLINK \l "_Toc31304" </w:instrText>
          </w:r>
          <w:r>
            <w:rPr>
              <w:rFonts w:hint="eastAsia" w:ascii="CESI仿宋-GB2312" w:hAnsi="CESI仿宋-GB2312" w:eastAsia="CESI仿宋-GB2312" w:cs="CESI仿宋-GB2312"/>
              <w:b w:val="0"/>
              <w:bCs w:val="0"/>
              <w:sz w:val="28"/>
              <w:szCs w:val="28"/>
            </w:rPr>
            <w:fldChar w:fldCharType="separate"/>
          </w:r>
          <w:r>
            <w:rPr>
              <w:rFonts w:hint="eastAsia" w:ascii="CESI仿宋-GB2312" w:hAnsi="CESI仿宋-GB2312" w:eastAsia="CESI仿宋-GB2312" w:cs="CESI仿宋-GB2312"/>
              <w:b w:val="0"/>
              <w:bCs w:val="0"/>
              <w:sz w:val="28"/>
              <w:szCs w:val="28"/>
            </w:rPr>
            <w:t>八、一般公共预算财政拨款基本支出决算明细表</w:t>
          </w:r>
          <w:r>
            <w:rPr>
              <w:rFonts w:hint="eastAsia" w:ascii="CESI仿宋-GB2312" w:hAnsi="CESI仿宋-GB2312" w:eastAsia="CESI仿宋-GB2312" w:cs="CESI仿宋-GB2312"/>
              <w:b w:val="0"/>
              <w:bCs w:val="0"/>
              <w:sz w:val="28"/>
              <w:szCs w:val="28"/>
            </w:rPr>
            <w:tab/>
          </w:r>
          <w:r>
            <w:rPr>
              <w:rFonts w:hint="eastAsia" w:ascii="CESI仿宋-GB2312" w:hAnsi="CESI仿宋-GB2312" w:eastAsia="CESI仿宋-GB2312" w:cs="CESI仿宋-GB2312"/>
              <w:b w:val="0"/>
              <w:bCs w:val="0"/>
              <w:sz w:val="28"/>
              <w:szCs w:val="28"/>
              <w:lang w:val="en-US" w:eastAsia="zh-CN"/>
            </w:rPr>
            <w:t>1</w:t>
          </w:r>
          <w:r>
            <w:rPr>
              <w:rFonts w:hint="eastAsia" w:ascii="CESI仿宋-GB2312" w:hAnsi="CESI仿宋-GB2312" w:eastAsia="CESI仿宋-GB2312" w:cs="CESI仿宋-GB2312"/>
              <w:b w:val="0"/>
              <w:bCs w:val="0"/>
              <w:sz w:val="28"/>
              <w:szCs w:val="28"/>
            </w:rPr>
            <w:fldChar w:fldCharType="end"/>
          </w:r>
          <w:r>
            <w:rPr>
              <w:rFonts w:hint="eastAsia" w:ascii="CESI仿宋-GB2312" w:hAnsi="CESI仿宋-GB2312" w:eastAsia="CESI仿宋-GB2312" w:cs="CESI仿宋-GB2312"/>
              <w:b w:val="0"/>
              <w:bCs w:val="0"/>
              <w:sz w:val="28"/>
              <w:szCs w:val="28"/>
              <w:lang w:val="en-US" w:eastAsia="zh-CN"/>
            </w:rPr>
            <w:t>5</w:t>
          </w:r>
        </w:p>
        <w:p w14:paraId="028536CD">
          <w:pPr>
            <w:pStyle w:val="14"/>
            <w:tabs>
              <w:tab w:val="right" w:leader="dot" w:pos="8306"/>
              <w:tab w:val="clear" w:pos="8296"/>
            </w:tabs>
            <w:rPr>
              <w:rFonts w:hint="eastAsia" w:ascii="CESI仿宋-GB2312" w:hAnsi="CESI仿宋-GB2312" w:eastAsia="CESI仿宋-GB2312" w:cs="CESI仿宋-GB2312"/>
              <w:b w:val="0"/>
              <w:bCs w:val="0"/>
              <w:sz w:val="28"/>
              <w:szCs w:val="28"/>
              <w:lang w:val="en-US" w:eastAsia="zh-CN"/>
            </w:rPr>
          </w:pPr>
          <w:r>
            <w:rPr>
              <w:rFonts w:hint="eastAsia" w:ascii="CESI仿宋-GB2312" w:hAnsi="CESI仿宋-GB2312" w:eastAsia="CESI仿宋-GB2312" w:cs="CESI仿宋-GB2312"/>
              <w:b w:val="0"/>
              <w:bCs w:val="0"/>
              <w:sz w:val="28"/>
              <w:szCs w:val="28"/>
            </w:rPr>
            <w:fldChar w:fldCharType="begin"/>
          </w:r>
          <w:r>
            <w:rPr>
              <w:rFonts w:hint="eastAsia" w:ascii="CESI仿宋-GB2312" w:hAnsi="CESI仿宋-GB2312" w:eastAsia="CESI仿宋-GB2312" w:cs="CESI仿宋-GB2312"/>
              <w:b w:val="0"/>
              <w:bCs w:val="0"/>
              <w:sz w:val="28"/>
              <w:szCs w:val="28"/>
            </w:rPr>
            <w:instrText xml:space="preserve"> HYPERLINK \l "_Toc13751" </w:instrText>
          </w:r>
          <w:r>
            <w:rPr>
              <w:rFonts w:hint="eastAsia" w:ascii="CESI仿宋-GB2312" w:hAnsi="CESI仿宋-GB2312" w:eastAsia="CESI仿宋-GB2312" w:cs="CESI仿宋-GB2312"/>
              <w:b w:val="0"/>
              <w:bCs w:val="0"/>
              <w:sz w:val="28"/>
              <w:szCs w:val="28"/>
            </w:rPr>
            <w:fldChar w:fldCharType="separate"/>
          </w:r>
          <w:r>
            <w:rPr>
              <w:rFonts w:hint="eastAsia" w:ascii="CESI仿宋-GB2312" w:hAnsi="CESI仿宋-GB2312" w:eastAsia="CESI仿宋-GB2312" w:cs="CESI仿宋-GB2312"/>
              <w:b w:val="0"/>
              <w:bCs w:val="0"/>
              <w:sz w:val="28"/>
              <w:szCs w:val="28"/>
            </w:rPr>
            <w:t>九、一般公共预算财政拨款项目支出决算表</w:t>
          </w:r>
          <w:r>
            <w:rPr>
              <w:rFonts w:hint="eastAsia" w:ascii="CESI仿宋-GB2312" w:hAnsi="CESI仿宋-GB2312" w:eastAsia="CESI仿宋-GB2312" w:cs="CESI仿宋-GB2312"/>
              <w:b w:val="0"/>
              <w:bCs w:val="0"/>
              <w:sz w:val="28"/>
              <w:szCs w:val="28"/>
            </w:rPr>
            <w:tab/>
          </w:r>
          <w:r>
            <w:rPr>
              <w:rFonts w:hint="eastAsia" w:ascii="CESI仿宋-GB2312" w:hAnsi="CESI仿宋-GB2312" w:eastAsia="CESI仿宋-GB2312" w:cs="CESI仿宋-GB2312"/>
              <w:b w:val="0"/>
              <w:bCs w:val="0"/>
              <w:sz w:val="28"/>
              <w:szCs w:val="28"/>
            </w:rPr>
            <w:t>.</w:t>
          </w:r>
          <w:r>
            <w:rPr>
              <w:rFonts w:hint="eastAsia" w:ascii="CESI仿宋-GB2312" w:hAnsi="CESI仿宋-GB2312" w:eastAsia="CESI仿宋-GB2312" w:cs="CESI仿宋-GB2312"/>
              <w:b w:val="0"/>
              <w:bCs w:val="0"/>
              <w:sz w:val="28"/>
              <w:szCs w:val="28"/>
            </w:rPr>
            <w:fldChar w:fldCharType="end"/>
          </w:r>
          <w:r>
            <w:rPr>
              <w:rFonts w:hint="eastAsia" w:ascii="CESI仿宋-GB2312" w:hAnsi="CESI仿宋-GB2312" w:eastAsia="CESI仿宋-GB2312" w:cs="CESI仿宋-GB2312"/>
              <w:b w:val="0"/>
              <w:bCs w:val="0"/>
              <w:sz w:val="28"/>
              <w:szCs w:val="28"/>
              <w:lang w:val="en-US" w:eastAsia="zh-CN"/>
            </w:rPr>
            <w:t>15</w:t>
          </w:r>
        </w:p>
        <w:p w14:paraId="3BA58DE5">
          <w:pPr>
            <w:pStyle w:val="14"/>
            <w:tabs>
              <w:tab w:val="right" w:leader="dot" w:pos="8306"/>
              <w:tab w:val="clear" w:pos="8296"/>
            </w:tabs>
            <w:rPr>
              <w:rFonts w:hint="eastAsia" w:ascii="CESI仿宋-GB2312" w:hAnsi="CESI仿宋-GB2312" w:eastAsia="CESI仿宋-GB2312" w:cs="CESI仿宋-GB2312"/>
              <w:b w:val="0"/>
              <w:bCs w:val="0"/>
              <w:sz w:val="28"/>
              <w:szCs w:val="28"/>
              <w:lang w:val="en-US" w:eastAsia="zh-CN"/>
            </w:rPr>
          </w:pPr>
          <w:r>
            <w:rPr>
              <w:rFonts w:hint="eastAsia" w:ascii="CESI仿宋-GB2312" w:hAnsi="CESI仿宋-GB2312" w:eastAsia="CESI仿宋-GB2312" w:cs="CESI仿宋-GB2312"/>
              <w:b w:val="0"/>
              <w:bCs w:val="0"/>
              <w:sz w:val="28"/>
              <w:szCs w:val="28"/>
            </w:rPr>
            <w:fldChar w:fldCharType="begin"/>
          </w:r>
          <w:r>
            <w:rPr>
              <w:rFonts w:hint="eastAsia" w:ascii="CESI仿宋-GB2312" w:hAnsi="CESI仿宋-GB2312" w:eastAsia="CESI仿宋-GB2312" w:cs="CESI仿宋-GB2312"/>
              <w:b w:val="0"/>
              <w:bCs w:val="0"/>
              <w:sz w:val="28"/>
              <w:szCs w:val="28"/>
            </w:rPr>
            <w:instrText xml:space="preserve"> HYPERLINK \l "_Toc10415" </w:instrText>
          </w:r>
          <w:r>
            <w:rPr>
              <w:rFonts w:hint="eastAsia" w:ascii="CESI仿宋-GB2312" w:hAnsi="CESI仿宋-GB2312" w:eastAsia="CESI仿宋-GB2312" w:cs="CESI仿宋-GB2312"/>
              <w:b w:val="0"/>
              <w:bCs w:val="0"/>
              <w:sz w:val="28"/>
              <w:szCs w:val="28"/>
            </w:rPr>
            <w:fldChar w:fldCharType="separate"/>
          </w:r>
          <w:r>
            <w:rPr>
              <w:rFonts w:hint="eastAsia" w:ascii="CESI仿宋-GB2312" w:hAnsi="CESI仿宋-GB2312" w:eastAsia="CESI仿宋-GB2312" w:cs="CESI仿宋-GB2312"/>
              <w:b w:val="0"/>
              <w:bCs w:val="0"/>
              <w:sz w:val="28"/>
              <w:szCs w:val="28"/>
            </w:rPr>
            <w:t>十、政府性基金预算财政拨款收入支出决算</w:t>
          </w:r>
          <w:r>
            <w:rPr>
              <w:rFonts w:hint="eastAsia" w:ascii="CESI仿宋-GB2312" w:hAnsi="CESI仿宋-GB2312" w:eastAsia="CESI仿宋-GB2312" w:cs="CESI仿宋-GB2312"/>
              <w:b w:val="0"/>
              <w:bCs w:val="0"/>
              <w:sz w:val="28"/>
              <w:szCs w:val="28"/>
            </w:rPr>
            <w:tab/>
          </w:r>
          <w:r>
            <w:rPr>
              <w:rFonts w:hint="eastAsia" w:ascii="CESI仿宋-GB2312" w:hAnsi="CESI仿宋-GB2312" w:eastAsia="CESI仿宋-GB2312" w:cs="CESI仿宋-GB2312"/>
              <w:b w:val="0"/>
              <w:bCs w:val="0"/>
              <w:sz w:val="28"/>
              <w:szCs w:val="28"/>
            </w:rPr>
            <w:fldChar w:fldCharType="begin"/>
          </w:r>
          <w:r>
            <w:rPr>
              <w:rFonts w:hint="eastAsia" w:ascii="CESI仿宋-GB2312" w:hAnsi="CESI仿宋-GB2312" w:eastAsia="CESI仿宋-GB2312" w:cs="CESI仿宋-GB2312"/>
              <w:b w:val="0"/>
              <w:bCs w:val="0"/>
              <w:sz w:val="28"/>
              <w:szCs w:val="28"/>
            </w:rPr>
            <w:instrText xml:space="preserve"> PAGEREF _Toc10415 \h </w:instrText>
          </w:r>
          <w:r>
            <w:rPr>
              <w:rFonts w:hint="eastAsia" w:ascii="CESI仿宋-GB2312" w:hAnsi="CESI仿宋-GB2312" w:eastAsia="CESI仿宋-GB2312" w:cs="CESI仿宋-GB2312"/>
              <w:b w:val="0"/>
              <w:bCs w:val="0"/>
              <w:sz w:val="28"/>
              <w:szCs w:val="28"/>
            </w:rPr>
            <w:fldChar w:fldCharType="separate"/>
          </w:r>
          <w:r>
            <w:rPr>
              <w:rFonts w:hint="eastAsia" w:ascii="CESI仿宋-GB2312" w:hAnsi="CESI仿宋-GB2312" w:eastAsia="CESI仿宋-GB2312" w:cs="CESI仿宋-GB2312"/>
              <w:b w:val="0"/>
              <w:bCs w:val="0"/>
              <w:sz w:val="28"/>
              <w:szCs w:val="28"/>
            </w:rPr>
            <w:t>..</w:t>
          </w:r>
          <w:r>
            <w:rPr>
              <w:rFonts w:hint="eastAsia" w:ascii="CESI仿宋-GB2312" w:hAnsi="CESI仿宋-GB2312" w:eastAsia="CESI仿宋-GB2312" w:cs="CESI仿宋-GB2312"/>
              <w:b w:val="0"/>
              <w:bCs w:val="0"/>
              <w:sz w:val="28"/>
              <w:szCs w:val="28"/>
            </w:rPr>
            <w:fldChar w:fldCharType="end"/>
          </w:r>
          <w:r>
            <w:rPr>
              <w:rFonts w:hint="eastAsia" w:ascii="CESI仿宋-GB2312" w:hAnsi="CESI仿宋-GB2312" w:eastAsia="CESI仿宋-GB2312" w:cs="CESI仿宋-GB2312"/>
              <w:b w:val="0"/>
              <w:bCs w:val="0"/>
              <w:sz w:val="28"/>
              <w:szCs w:val="28"/>
            </w:rPr>
            <w:fldChar w:fldCharType="end"/>
          </w:r>
          <w:r>
            <w:rPr>
              <w:rFonts w:hint="eastAsia" w:ascii="CESI仿宋-GB2312" w:hAnsi="CESI仿宋-GB2312" w:eastAsia="CESI仿宋-GB2312" w:cs="CESI仿宋-GB2312"/>
              <w:b w:val="0"/>
              <w:bCs w:val="0"/>
              <w:sz w:val="28"/>
              <w:szCs w:val="28"/>
              <w:lang w:val="en-US" w:eastAsia="zh-CN"/>
            </w:rPr>
            <w:t>15</w:t>
          </w:r>
        </w:p>
        <w:p w14:paraId="7D27C49B">
          <w:pPr>
            <w:pStyle w:val="14"/>
            <w:tabs>
              <w:tab w:val="right" w:leader="dot" w:pos="8306"/>
              <w:tab w:val="clear" w:pos="8296"/>
            </w:tabs>
            <w:rPr>
              <w:rFonts w:hint="eastAsia" w:ascii="CESI仿宋-GB2312" w:hAnsi="CESI仿宋-GB2312" w:eastAsia="CESI仿宋-GB2312" w:cs="CESI仿宋-GB2312"/>
              <w:b w:val="0"/>
              <w:bCs w:val="0"/>
              <w:sz w:val="28"/>
              <w:szCs w:val="28"/>
              <w:lang w:val="en-US" w:eastAsia="zh-CN"/>
            </w:rPr>
          </w:pPr>
          <w:r>
            <w:rPr>
              <w:rFonts w:hint="eastAsia" w:ascii="CESI仿宋-GB2312" w:hAnsi="CESI仿宋-GB2312" w:eastAsia="CESI仿宋-GB2312" w:cs="CESI仿宋-GB2312"/>
              <w:b w:val="0"/>
              <w:bCs w:val="0"/>
              <w:sz w:val="28"/>
              <w:szCs w:val="28"/>
            </w:rPr>
            <w:fldChar w:fldCharType="begin"/>
          </w:r>
          <w:r>
            <w:rPr>
              <w:rFonts w:hint="eastAsia" w:ascii="CESI仿宋-GB2312" w:hAnsi="CESI仿宋-GB2312" w:eastAsia="CESI仿宋-GB2312" w:cs="CESI仿宋-GB2312"/>
              <w:b w:val="0"/>
              <w:bCs w:val="0"/>
              <w:sz w:val="28"/>
              <w:szCs w:val="28"/>
            </w:rPr>
            <w:instrText xml:space="preserve"> HYPERLINK \l "_Toc26668" </w:instrText>
          </w:r>
          <w:r>
            <w:rPr>
              <w:rFonts w:hint="eastAsia" w:ascii="CESI仿宋-GB2312" w:hAnsi="CESI仿宋-GB2312" w:eastAsia="CESI仿宋-GB2312" w:cs="CESI仿宋-GB2312"/>
              <w:b w:val="0"/>
              <w:bCs w:val="0"/>
              <w:sz w:val="28"/>
              <w:szCs w:val="28"/>
            </w:rPr>
            <w:fldChar w:fldCharType="separate"/>
          </w:r>
          <w:r>
            <w:rPr>
              <w:rFonts w:hint="eastAsia" w:ascii="CESI仿宋-GB2312" w:hAnsi="CESI仿宋-GB2312" w:eastAsia="CESI仿宋-GB2312" w:cs="CESI仿宋-GB2312"/>
              <w:b w:val="0"/>
              <w:bCs w:val="0"/>
              <w:sz w:val="28"/>
              <w:szCs w:val="28"/>
            </w:rPr>
            <w:t>十一、国有资本经营预算财政拨款收入支出决算表</w:t>
          </w:r>
          <w:r>
            <w:rPr>
              <w:rFonts w:hint="eastAsia" w:ascii="CESI仿宋-GB2312" w:hAnsi="CESI仿宋-GB2312" w:eastAsia="CESI仿宋-GB2312" w:cs="CESI仿宋-GB2312"/>
              <w:b w:val="0"/>
              <w:bCs w:val="0"/>
              <w:sz w:val="28"/>
              <w:szCs w:val="28"/>
            </w:rPr>
            <w:tab/>
          </w:r>
          <w:r>
            <w:rPr>
              <w:rFonts w:hint="eastAsia" w:ascii="CESI仿宋-GB2312" w:hAnsi="CESI仿宋-GB2312" w:eastAsia="CESI仿宋-GB2312" w:cs="CESI仿宋-GB2312"/>
              <w:b w:val="0"/>
              <w:bCs w:val="0"/>
              <w:sz w:val="28"/>
              <w:szCs w:val="28"/>
            </w:rPr>
            <w:t>.</w:t>
          </w:r>
          <w:r>
            <w:rPr>
              <w:rFonts w:hint="eastAsia" w:ascii="CESI仿宋-GB2312" w:hAnsi="CESI仿宋-GB2312" w:eastAsia="CESI仿宋-GB2312" w:cs="CESI仿宋-GB2312"/>
              <w:b w:val="0"/>
              <w:bCs w:val="0"/>
              <w:sz w:val="28"/>
              <w:szCs w:val="28"/>
            </w:rPr>
            <w:fldChar w:fldCharType="end"/>
          </w:r>
          <w:r>
            <w:rPr>
              <w:rFonts w:hint="eastAsia" w:ascii="CESI仿宋-GB2312" w:hAnsi="CESI仿宋-GB2312" w:eastAsia="CESI仿宋-GB2312" w:cs="CESI仿宋-GB2312"/>
              <w:b w:val="0"/>
              <w:bCs w:val="0"/>
              <w:sz w:val="28"/>
              <w:szCs w:val="28"/>
              <w:lang w:val="en-US" w:eastAsia="zh-CN"/>
            </w:rPr>
            <w:t>15</w:t>
          </w:r>
        </w:p>
        <w:p w14:paraId="06A3F90E">
          <w:pPr>
            <w:pStyle w:val="14"/>
            <w:tabs>
              <w:tab w:val="right" w:leader="dot" w:pos="8306"/>
              <w:tab w:val="clear" w:pos="8296"/>
            </w:tabs>
            <w:rPr>
              <w:rFonts w:hint="eastAsia" w:ascii="CESI仿宋-GB2312" w:hAnsi="CESI仿宋-GB2312" w:eastAsia="CESI仿宋-GB2312" w:cs="CESI仿宋-GB2312"/>
              <w:b w:val="0"/>
              <w:bCs w:val="0"/>
              <w:sz w:val="28"/>
              <w:szCs w:val="28"/>
              <w:lang w:val="en-US" w:eastAsia="zh-CN"/>
            </w:rPr>
          </w:pPr>
          <w:r>
            <w:rPr>
              <w:rFonts w:hint="eastAsia" w:ascii="CESI仿宋-GB2312" w:hAnsi="CESI仿宋-GB2312" w:eastAsia="CESI仿宋-GB2312" w:cs="CESI仿宋-GB2312"/>
              <w:b w:val="0"/>
              <w:bCs w:val="0"/>
              <w:sz w:val="28"/>
              <w:szCs w:val="28"/>
            </w:rPr>
            <w:fldChar w:fldCharType="begin"/>
          </w:r>
          <w:r>
            <w:rPr>
              <w:rFonts w:hint="eastAsia" w:ascii="CESI仿宋-GB2312" w:hAnsi="CESI仿宋-GB2312" w:eastAsia="CESI仿宋-GB2312" w:cs="CESI仿宋-GB2312"/>
              <w:b w:val="0"/>
              <w:bCs w:val="0"/>
              <w:sz w:val="28"/>
              <w:szCs w:val="28"/>
            </w:rPr>
            <w:instrText xml:space="preserve"> HYPERLINK \l "_Toc2042" </w:instrText>
          </w:r>
          <w:r>
            <w:rPr>
              <w:rFonts w:hint="eastAsia" w:ascii="CESI仿宋-GB2312" w:hAnsi="CESI仿宋-GB2312" w:eastAsia="CESI仿宋-GB2312" w:cs="CESI仿宋-GB2312"/>
              <w:b w:val="0"/>
              <w:bCs w:val="0"/>
              <w:sz w:val="28"/>
              <w:szCs w:val="28"/>
            </w:rPr>
            <w:fldChar w:fldCharType="separate"/>
          </w:r>
          <w:r>
            <w:rPr>
              <w:rFonts w:hint="eastAsia" w:ascii="CESI仿宋-GB2312" w:hAnsi="CESI仿宋-GB2312" w:eastAsia="CESI仿宋-GB2312" w:cs="CESI仿宋-GB2312"/>
              <w:b w:val="0"/>
              <w:bCs w:val="0"/>
              <w:sz w:val="28"/>
              <w:szCs w:val="28"/>
            </w:rPr>
            <w:t>十二、国有资本经营预算财政拨款支出决算表.</w:t>
          </w:r>
          <w:r>
            <w:rPr>
              <w:rFonts w:hint="eastAsia" w:ascii="CESI仿宋-GB2312" w:hAnsi="CESI仿宋-GB2312" w:eastAsia="CESI仿宋-GB2312" w:cs="CESI仿宋-GB2312"/>
              <w:b w:val="0"/>
              <w:bCs w:val="0"/>
              <w:sz w:val="28"/>
              <w:szCs w:val="28"/>
            </w:rPr>
            <w:fldChar w:fldCharType="end"/>
          </w:r>
          <w:r>
            <w:rPr>
              <w:rFonts w:hint="eastAsia" w:ascii="CESI仿宋-GB2312" w:hAnsi="CESI仿宋-GB2312" w:eastAsia="CESI仿宋-GB2312" w:cs="CESI仿宋-GB2312"/>
              <w:b w:val="0"/>
              <w:bCs w:val="0"/>
              <w:sz w:val="28"/>
              <w:szCs w:val="28"/>
            </w:rPr>
            <w:t>..............</w:t>
          </w:r>
          <w:r>
            <w:rPr>
              <w:rFonts w:hint="eastAsia" w:ascii="CESI仿宋-GB2312" w:hAnsi="CESI仿宋-GB2312" w:eastAsia="CESI仿宋-GB2312" w:cs="CESI仿宋-GB2312"/>
              <w:b w:val="0"/>
              <w:bCs w:val="0"/>
              <w:sz w:val="28"/>
              <w:szCs w:val="28"/>
              <w:lang w:val="en-US" w:eastAsia="zh-CN"/>
            </w:rPr>
            <w:t>15</w:t>
          </w:r>
        </w:p>
        <w:p w14:paraId="4389C0DF">
          <w:pPr>
            <w:pStyle w:val="14"/>
            <w:tabs>
              <w:tab w:val="right" w:leader="dot" w:pos="8306"/>
              <w:tab w:val="clear" w:pos="8296"/>
            </w:tabs>
            <w:rPr>
              <w:rFonts w:hint="eastAsia" w:ascii="CESI仿宋-GB2312" w:hAnsi="CESI仿宋-GB2312" w:eastAsia="CESI仿宋-GB2312" w:cs="CESI仿宋-GB2312"/>
              <w:b w:val="0"/>
              <w:bCs w:val="0"/>
              <w:sz w:val="28"/>
              <w:szCs w:val="28"/>
              <w:lang w:val="en-US" w:eastAsia="zh-CN"/>
            </w:rPr>
          </w:pPr>
          <w:r>
            <w:rPr>
              <w:rFonts w:hint="eastAsia" w:ascii="CESI仿宋-GB2312" w:hAnsi="CESI仿宋-GB2312" w:eastAsia="CESI仿宋-GB2312" w:cs="CESI仿宋-GB2312"/>
              <w:b w:val="0"/>
              <w:bCs w:val="0"/>
              <w:sz w:val="28"/>
              <w:szCs w:val="28"/>
            </w:rPr>
            <w:fldChar w:fldCharType="begin"/>
          </w:r>
          <w:r>
            <w:rPr>
              <w:rFonts w:hint="eastAsia" w:ascii="CESI仿宋-GB2312" w:hAnsi="CESI仿宋-GB2312" w:eastAsia="CESI仿宋-GB2312" w:cs="CESI仿宋-GB2312"/>
              <w:b w:val="0"/>
              <w:bCs w:val="0"/>
              <w:sz w:val="28"/>
              <w:szCs w:val="28"/>
            </w:rPr>
            <w:instrText xml:space="preserve"> HYPERLINK \l "_Toc22381" </w:instrText>
          </w:r>
          <w:r>
            <w:rPr>
              <w:rFonts w:hint="eastAsia" w:ascii="CESI仿宋-GB2312" w:hAnsi="CESI仿宋-GB2312" w:eastAsia="CESI仿宋-GB2312" w:cs="CESI仿宋-GB2312"/>
              <w:b w:val="0"/>
              <w:bCs w:val="0"/>
              <w:sz w:val="28"/>
              <w:szCs w:val="28"/>
            </w:rPr>
            <w:fldChar w:fldCharType="separate"/>
          </w:r>
          <w:r>
            <w:rPr>
              <w:rFonts w:hint="eastAsia" w:ascii="CESI仿宋-GB2312" w:hAnsi="CESI仿宋-GB2312" w:eastAsia="CESI仿宋-GB2312" w:cs="CESI仿宋-GB2312"/>
              <w:b w:val="0"/>
              <w:bCs w:val="0"/>
              <w:sz w:val="28"/>
              <w:szCs w:val="28"/>
            </w:rPr>
            <w:t>十三、财政拨款“三公”经费支出决算表</w:t>
          </w:r>
          <w:r>
            <w:rPr>
              <w:rFonts w:hint="eastAsia" w:ascii="CESI仿宋-GB2312" w:hAnsi="CESI仿宋-GB2312" w:eastAsia="CESI仿宋-GB2312" w:cs="CESI仿宋-GB2312"/>
              <w:b w:val="0"/>
              <w:bCs w:val="0"/>
              <w:sz w:val="28"/>
              <w:szCs w:val="28"/>
            </w:rPr>
            <w:tab/>
          </w:r>
          <w:r>
            <w:rPr>
              <w:rFonts w:hint="eastAsia" w:ascii="CESI仿宋-GB2312" w:hAnsi="CESI仿宋-GB2312" w:eastAsia="CESI仿宋-GB2312" w:cs="CESI仿宋-GB2312"/>
              <w:b w:val="0"/>
              <w:bCs w:val="0"/>
              <w:sz w:val="28"/>
              <w:szCs w:val="28"/>
            </w:rPr>
            <w:t>.</w:t>
          </w:r>
          <w:r>
            <w:rPr>
              <w:rFonts w:hint="eastAsia" w:ascii="CESI仿宋-GB2312" w:hAnsi="CESI仿宋-GB2312" w:eastAsia="CESI仿宋-GB2312" w:cs="CESI仿宋-GB2312"/>
              <w:b w:val="0"/>
              <w:bCs w:val="0"/>
              <w:sz w:val="28"/>
              <w:szCs w:val="28"/>
            </w:rPr>
            <w:fldChar w:fldCharType="end"/>
          </w:r>
          <w:r>
            <w:rPr>
              <w:rFonts w:hint="eastAsia" w:ascii="CESI仿宋-GB2312" w:hAnsi="CESI仿宋-GB2312" w:eastAsia="CESI仿宋-GB2312" w:cs="CESI仿宋-GB2312"/>
              <w:b w:val="0"/>
              <w:bCs w:val="0"/>
              <w:sz w:val="28"/>
              <w:szCs w:val="28"/>
              <w:lang w:val="en-US" w:eastAsia="zh-CN"/>
            </w:rPr>
            <w:t>15</w:t>
          </w:r>
        </w:p>
        <w:p w14:paraId="62D12F29">
          <w:pPr>
            <w:widowControl/>
            <w:spacing w:line="560" w:lineRule="exact"/>
            <w:jc w:val="left"/>
            <w:sectPr>
              <w:footerReference r:id="rId6" w:type="first"/>
              <w:footerReference r:id="rId5" w:type="default"/>
              <w:pgSz w:w="11906" w:h="16838"/>
              <w:pgMar w:top="1440" w:right="1800" w:bottom="1440" w:left="1800" w:header="851" w:footer="992" w:gutter="0"/>
              <w:pgNumType w:fmt="numberInDash" w:start="1"/>
              <w:cols w:space="425" w:num="1"/>
              <w:titlePg/>
              <w:docGrid w:type="lines" w:linePitch="312" w:charSpace="0"/>
            </w:sectPr>
          </w:pPr>
          <w:r>
            <w:rPr>
              <w:rFonts w:hint="eastAsia" w:ascii="CESI仿宋-GB2312" w:hAnsi="CESI仿宋-GB2312" w:eastAsia="CESI仿宋-GB2312" w:cs="CESI仿宋-GB2312"/>
              <w:b w:val="0"/>
              <w:bCs w:val="0"/>
              <w:sz w:val="28"/>
              <w:szCs w:val="28"/>
            </w:rPr>
            <w:fldChar w:fldCharType="end"/>
          </w:r>
        </w:p>
      </w:sdtContent>
    </w:sdt>
    <w:p w14:paraId="001D73BB">
      <w:pPr>
        <w:pStyle w:val="2"/>
      </w:pPr>
    </w:p>
    <w:p w14:paraId="47B6CAAD">
      <w:pPr>
        <w:pStyle w:val="3"/>
        <w:jc w:val="center"/>
        <w:rPr>
          <w:rFonts w:eastAsia="黑体"/>
          <w:sz w:val="32"/>
          <w:szCs w:val="32"/>
        </w:rPr>
      </w:pPr>
      <w:r>
        <w:rPr>
          <w:rFonts w:hint="eastAsia" w:eastAsia="方正小标宋简体" w:cs="方正小标宋简体"/>
          <w:b w:val="0"/>
        </w:rPr>
        <w:t xml:space="preserve">第一部分  </w:t>
      </w:r>
      <w:r>
        <w:rPr>
          <w:rStyle w:val="29"/>
          <w:rFonts w:hint="eastAsia" w:eastAsia="方正小标宋简体" w:cs="方正小标宋简体"/>
          <w:b w:val="0"/>
          <w:bCs w:val="0"/>
        </w:rPr>
        <w:t>单位概况</w:t>
      </w:r>
      <w:bookmarkEnd w:id="6"/>
      <w:bookmarkEnd w:id="7"/>
    </w:p>
    <w:p w14:paraId="267DA1F7">
      <w:pPr>
        <w:pStyle w:val="4"/>
        <w:rPr>
          <w:rFonts w:hint="eastAsia" w:ascii="Times New Roman" w:hAnsi="Times New Roman" w:eastAsia="黑体"/>
          <w:b w:val="0"/>
        </w:rPr>
      </w:pPr>
      <w:bookmarkStart w:id="8" w:name="_Toc15377197"/>
      <w:bookmarkStart w:id="9" w:name="_Toc15396600"/>
      <w:r>
        <w:rPr>
          <w:rFonts w:hint="eastAsia" w:ascii="Times New Roman" w:hAnsi="Times New Roman" w:eastAsia="黑体"/>
          <w:b w:val="0"/>
        </w:rPr>
        <w:t>一、</w:t>
      </w:r>
      <w:bookmarkEnd w:id="8"/>
      <w:bookmarkEnd w:id="9"/>
      <w:r>
        <w:rPr>
          <w:rFonts w:hint="eastAsia" w:ascii="Times New Roman" w:hAnsi="Times New Roman" w:eastAsia="黑体"/>
          <w:b w:val="0"/>
        </w:rPr>
        <w:t>主要职责</w:t>
      </w:r>
    </w:p>
    <w:p w14:paraId="68BB67EC">
      <w:pPr>
        <w:pStyle w:val="28"/>
        <w:widowControl/>
        <w:adjustRightInd w:val="0"/>
        <w:snapToGrid w:val="0"/>
        <w:spacing w:line="360" w:lineRule="auto"/>
        <w:ind w:firstLine="640"/>
        <w:jc w:val="left"/>
      </w:pPr>
      <w:r>
        <w:rPr>
          <w:rFonts w:hint="eastAsia" w:ascii="仿宋_GB2312" w:hAnsi="华文宋体" w:eastAsia="仿宋_GB2312"/>
          <w:bCs/>
          <w:sz w:val="32"/>
          <w:szCs w:val="32"/>
        </w:rPr>
        <w:t>盐边县疾病预防控制中心主要负责传染病、寄生虫病、地方病、非传染性疾病等预防与控制；传染病暴发疫情、中毒及自然灾害事故等突发公共卫生事件应急处置；疫情及健康相关因素信息管理，开展疾病监测，收集、报告、分析和评价疾病与健康危害因素等公共卫生信息；健康危害因素监测与干预，开展食源性、职业性、放射性、环境性等疾病的监测评价和流行病学调查，开展公众健康和营养状况监测与评价，提出干预策略与措施；疾病病原生物检测、鉴定和物理、化学因子检测、评价；健康教育与健康促进，对公众进行健康指导和不良健康行为干预；疾病预防控制技术管理与应用研究指导；其他疾病预防控制工作。</w:t>
      </w:r>
    </w:p>
    <w:p w14:paraId="16CC8C45">
      <w:pPr>
        <w:pStyle w:val="4"/>
        <w:rPr>
          <w:rFonts w:eastAsia="黑体"/>
        </w:rPr>
      </w:pPr>
      <w:bookmarkStart w:id="10" w:name="_Toc15396601"/>
      <w:bookmarkStart w:id="11" w:name="_Toc15377200"/>
      <w:r>
        <w:rPr>
          <w:rFonts w:hint="eastAsia" w:ascii="Times New Roman" w:hAnsi="Times New Roman" w:eastAsia="黑体"/>
          <w:b w:val="0"/>
        </w:rPr>
        <w:t>二、机</w:t>
      </w:r>
      <w:r>
        <w:rPr>
          <w:rStyle w:val="30"/>
          <w:rFonts w:hint="eastAsia" w:ascii="Times New Roman" w:hAnsi="Times New Roman" w:eastAsia="黑体"/>
          <w:b w:val="0"/>
          <w:bCs w:val="0"/>
        </w:rPr>
        <w:t>构设置</w:t>
      </w:r>
      <w:bookmarkEnd w:id="10"/>
      <w:bookmarkEnd w:id="11"/>
    </w:p>
    <w:p w14:paraId="38322625">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60" w:lineRule="auto"/>
        <w:ind w:left="0" w:right="0" w:firstLine="663"/>
        <w:jc w:val="both"/>
        <w:textAlignment w:val="auto"/>
      </w:pPr>
      <w:r>
        <w:rPr>
          <w:rFonts w:hint="eastAsia" w:ascii="仿宋_GB2312" w:hAnsi="华文宋体" w:eastAsia="仿宋_GB2312" w:cs="Times New Roman"/>
          <w:bCs/>
          <w:kern w:val="2"/>
          <w:sz w:val="32"/>
          <w:szCs w:val="32"/>
          <w:lang w:val="en-US" w:eastAsia="zh-CN" w:bidi="ar-SA"/>
        </w:rPr>
        <w:t>盐边县疾病预防控制中心</w:t>
      </w:r>
      <w:r>
        <w:rPr>
          <w:rFonts w:hint="default" w:ascii="仿宋_GB2312" w:hAnsi="华文宋体" w:eastAsia="仿宋_GB2312" w:cs="Times New Roman"/>
          <w:bCs/>
          <w:kern w:val="2"/>
          <w:sz w:val="32"/>
          <w:szCs w:val="32"/>
          <w:lang w:val="en-US" w:eastAsia="zh-CN" w:bidi="ar-SA"/>
        </w:rPr>
        <w:t>设置有办公室、</w:t>
      </w:r>
      <w:r>
        <w:rPr>
          <w:rFonts w:hint="eastAsia" w:ascii="仿宋_GB2312" w:hAnsi="华文宋体" w:eastAsia="仿宋_GB2312" w:cs="Times New Roman"/>
          <w:bCs/>
          <w:kern w:val="2"/>
          <w:sz w:val="32"/>
          <w:szCs w:val="32"/>
          <w:lang w:val="en-US" w:eastAsia="zh-CN" w:bidi="ar-SA"/>
        </w:rPr>
        <w:t>急传科</w:t>
      </w:r>
      <w:r>
        <w:rPr>
          <w:rFonts w:hint="default" w:ascii="仿宋_GB2312" w:hAnsi="华文宋体" w:eastAsia="仿宋_GB2312" w:cs="Times New Roman"/>
          <w:bCs/>
          <w:kern w:val="2"/>
          <w:sz w:val="32"/>
          <w:szCs w:val="32"/>
          <w:lang w:val="en-US" w:eastAsia="zh-CN" w:bidi="ar-SA"/>
        </w:rPr>
        <w:t>、</w:t>
      </w:r>
      <w:r>
        <w:rPr>
          <w:rFonts w:hint="eastAsia" w:ascii="仿宋_GB2312" w:hAnsi="华文宋体" w:eastAsia="仿宋_GB2312" w:cs="Times New Roman"/>
          <w:bCs/>
          <w:kern w:val="2"/>
          <w:sz w:val="32"/>
          <w:szCs w:val="32"/>
          <w:lang w:val="en-US" w:eastAsia="zh-CN" w:bidi="ar-SA"/>
        </w:rPr>
        <w:t>地方病科</w:t>
      </w:r>
      <w:r>
        <w:rPr>
          <w:rFonts w:hint="default" w:ascii="仿宋_GB2312" w:hAnsi="华文宋体" w:eastAsia="仿宋_GB2312" w:cs="Times New Roman"/>
          <w:bCs/>
          <w:kern w:val="2"/>
          <w:sz w:val="32"/>
          <w:szCs w:val="32"/>
          <w:lang w:val="en-US" w:eastAsia="zh-CN" w:bidi="ar-SA"/>
        </w:rPr>
        <w:t>、</w:t>
      </w:r>
      <w:r>
        <w:rPr>
          <w:rFonts w:hint="eastAsia" w:ascii="仿宋_GB2312" w:hAnsi="华文宋体" w:eastAsia="仿宋_GB2312" w:cs="Times New Roman"/>
          <w:bCs/>
          <w:kern w:val="2"/>
          <w:sz w:val="32"/>
          <w:szCs w:val="32"/>
          <w:lang w:val="en-US" w:eastAsia="zh-CN" w:bidi="ar-SA"/>
        </w:rPr>
        <w:t>免规科</w:t>
      </w:r>
      <w:r>
        <w:rPr>
          <w:rFonts w:hint="default" w:ascii="仿宋_GB2312" w:hAnsi="华文宋体" w:eastAsia="仿宋_GB2312" w:cs="Times New Roman"/>
          <w:bCs/>
          <w:kern w:val="2"/>
          <w:sz w:val="32"/>
          <w:szCs w:val="32"/>
          <w:lang w:val="en-US" w:eastAsia="zh-CN" w:bidi="ar-SA"/>
        </w:rPr>
        <w:t>、</w:t>
      </w:r>
      <w:r>
        <w:rPr>
          <w:rFonts w:hint="eastAsia" w:ascii="仿宋_GB2312" w:hAnsi="华文宋体" w:eastAsia="仿宋_GB2312" w:cs="Times New Roman"/>
          <w:bCs/>
          <w:kern w:val="2"/>
          <w:sz w:val="32"/>
          <w:szCs w:val="32"/>
          <w:lang w:val="en-US" w:eastAsia="zh-CN" w:bidi="ar-SA"/>
        </w:rPr>
        <w:t>质控科</w:t>
      </w:r>
      <w:r>
        <w:rPr>
          <w:rFonts w:hint="default" w:ascii="仿宋_GB2312" w:hAnsi="华文宋体" w:eastAsia="仿宋_GB2312" w:cs="Times New Roman"/>
          <w:bCs/>
          <w:kern w:val="2"/>
          <w:sz w:val="32"/>
          <w:szCs w:val="32"/>
          <w:lang w:val="en-US" w:eastAsia="zh-CN" w:bidi="ar-SA"/>
        </w:rPr>
        <w:t>、</w:t>
      </w:r>
      <w:r>
        <w:rPr>
          <w:rFonts w:hint="eastAsia" w:ascii="仿宋_GB2312" w:hAnsi="华文宋体" w:eastAsia="仿宋_GB2312" w:cs="Times New Roman"/>
          <w:bCs/>
          <w:kern w:val="2"/>
          <w:sz w:val="32"/>
          <w:szCs w:val="32"/>
          <w:lang w:val="en-US" w:eastAsia="zh-CN" w:bidi="ar-SA"/>
        </w:rPr>
        <w:t>检验室</w:t>
      </w:r>
      <w:r>
        <w:rPr>
          <w:rFonts w:hint="default" w:ascii="仿宋_GB2312" w:hAnsi="华文宋体" w:eastAsia="仿宋_GB2312" w:cs="Times New Roman"/>
          <w:bCs/>
          <w:kern w:val="2"/>
          <w:sz w:val="32"/>
          <w:szCs w:val="32"/>
          <w:lang w:val="en-US" w:eastAsia="zh-CN" w:bidi="ar-SA"/>
        </w:rPr>
        <w:t>、</w:t>
      </w:r>
      <w:r>
        <w:rPr>
          <w:rFonts w:hint="eastAsia" w:ascii="仿宋_GB2312" w:hAnsi="华文宋体" w:eastAsia="仿宋_GB2312" w:cs="Times New Roman"/>
          <w:bCs/>
          <w:kern w:val="2"/>
          <w:sz w:val="32"/>
          <w:szCs w:val="32"/>
          <w:lang w:val="en-US" w:eastAsia="zh-CN" w:bidi="ar-SA"/>
        </w:rPr>
        <w:t>性艾科</w:t>
      </w:r>
      <w:r>
        <w:rPr>
          <w:rFonts w:hint="default" w:ascii="仿宋_GB2312" w:hAnsi="华文宋体" w:eastAsia="仿宋_GB2312" w:cs="Times New Roman"/>
          <w:bCs/>
          <w:kern w:val="2"/>
          <w:sz w:val="32"/>
          <w:szCs w:val="32"/>
          <w:lang w:val="en-US" w:eastAsia="zh-CN" w:bidi="ar-SA"/>
        </w:rPr>
        <w:t>、</w:t>
      </w:r>
      <w:r>
        <w:rPr>
          <w:rFonts w:hint="eastAsia" w:ascii="仿宋_GB2312" w:hAnsi="华文宋体" w:eastAsia="仿宋_GB2312" w:cs="Times New Roman"/>
          <w:bCs/>
          <w:kern w:val="2"/>
          <w:sz w:val="32"/>
          <w:szCs w:val="32"/>
          <w:lang w:val="en-US" w:eastAsia="zh-CN" w:bidi="ar-SA"/>
        </w:rPr>
        <w:t>免规科</w:t>
      </w:r>
      <w:r>
        <w:rPr>
          <w:rFonts w:hint="default" w:ascii="仿宋_GB2312" w:hAnsi="华文宋体" w:eastAsia="仿宋_GB2312" w:cs="Times New Roman"/>
          <w:bCs/>
          <w:kern w:val="2"/>
          <w:sz w:val="32"/>
          <w:szCs w:val="32"/>
          <w:lang w:val="en-US" w:eastAsia="zh-CN" w:bidi="ar-SA"/>
        </w:rPr>
        <w:t>、</w:t>
      </w:r>
      <w:r>
        <w:rPr>
          <w:rFonts w:hint="eastAsia" w:ascii="仿宋_GB2312" w:hAnsi="华文宋体" w:eastAsia="仿宋_GB2312" w:cs="Times New Roman"/>
          <w:bCs/>
          <w:kern w:val="2"/>
          <w:sz w:val="32"/>
          <w:szCs w:val="32"/>
          <w:lang w:val="en-US" w:eastAsia="zh-CN" w:bidi="ar-SA"/>
        </w:rPr>
        <w:t>慢病科</w:t>
      </w:r>
      <w:r>
        <w:rPr>
          <w:rFonts w:hint="default" w:ascii="仿宋_GB2312" w:hAnsi="华文宋体" w:eastAsia="仿宋_GB2312" w:cs="Times New Roman"/>
          <w:bCs/>
          <w:kern w:val="2"/>
          <w:sz w:val="32"/>
          <w:szCs w:val="32"/>
          <w:lang w:val="en-US" w:eastAsia="zh-CN" w:bidi="ar-SA"/>
        </w:rPr>
        <w:t>、</w:t>
      </w:r>
      <w:r>
        <w:rPr>
          <w:rFonts w:hint="eastAsia" w:ascii="仿宋_GB2312" w:hAnsi="华文宋体" w:eastAsia="仿宋_GB2312" w:cs="Times New Roman"/>
          <w:bCs/>
          <w:kern w:val="2"/>
          <w:sz w:val="32"/>
          <w:szCs w:val="32"/>
          <w:lang w:val="en-US" w:eastAsia="zh-CN" w:bidi="ar-SA"/>
        </w:rPr>
        <w:t>健教科</w:t>
      </w:r>
      <w:r>
        <w:rPr>
          <w:rFonts w:hint="default" w:ascii="仿宋_GB2312" w:hAnsi="华文宋体" w:eastAsia="仿宋_GB2312" w:cs="Times New Roman"/>
          <w:bCs/>
          <w:kern w:val="2"/>
          <w:sz w:val="32"/>
          <w:szCs w:val="32"/>
          <w:lang w:val="en-US" w:eastAsia="zh-CN" w:bidi="ar-SA"/>
        </w:rPr>
        <w:t>、</w:t>
      </w:r>
      <w:r>
        <w:rPr>
          <w:rFonts w:hint="eastAsia" w:ascii="仿宋_GB2312" w:hAnsi="华文宋体" w:eastAsia="仿宋_GB2312" w:cs="Times New Roman"/>
          <w:bCs/>
          <w:kern w:val="2"/>
          <w:sz w:val="32"/>
          <w:szCs w:val="32"/>
          <w:lang w:val="en-US" w:eastAsia="zh-CN" w:bidi="ar-SA"/>
        </w:rPr>
        <w:t>监测科</w:t>
      </w:r>
      <w:r>
        <w:rPr>
          <w:rFonts w:hint="default" w:ascii="仿宋_GB2312" w:hAnsi="华文宋体" w:eastAsia="仿宋_GB2312" w:cs="Times New Roman"/>
          <w:bCs/>
          <w:kern w:val="2"/>
          <w:sz w:val="32"/>
          <w:szCs w:val="32"/>
          <w:lang w:val="en-US" w:eastAsia="zh-CN" w:bidi="ar-SA"/>
        </w:rPr>
        <w:t>等</w:t>
      </w:r>
      <w:r>
        <w:rPr>
          <w:rFonts w:hint="eastAsia" w:ascii="仿宋_GB2312" w:hAnsi="华文宋体" w:eastAsia="仿宋_GB2312" w:cs="Times New Roman"/>
          <w:bCs/>
          <w:kern w:val="2"/>
          <w:sz w:val="32"/>
          <w:szCs w:val="32"/>
          <w:lang w:val="en-US" w:eastAsia="zh-CN" w:bidi="ar-SA"/>
        </w:rPr>
        <w:t>10</w:t>
      </w:r>
      <w:r>
        <w:rPr>
          <w:rFonts w:hint="default" w:ascii="仿宋_GB2312" w:hAnsi="华文宋体" w:eastAsia="仿宋_GB2312" w:cs="Times New Roman"/>
          <w:bCs/>
          <w:kern w:val="2"/>
          <w:sz w:val="32"/>
          <w:szCs w:val="32"/>
          <w:lang w:val="en-US" w:eastAsia="zh-CN" w:bidi="ar-SA"/>
        </w:rPr>
        <w:t>个内设</w:t>
      </w:r>
      <w:r>
        <w:rPr>
          <w:rFonts w:hint="eastAsia" w:ascii="仿宋_GB2312" w:hAnsi="华文宋体" w:eastAsia="仿宋_GB2312" w:cs="Times New Roman"/>
          <w:bCs/>
          <w:kern w:val="2"/>
          <w:sz w:val="32"/>
          <w:szCs w:val="32"/>
          <w:lang w:val="en-US" w:eastAsia="zh-CN" w:bidi="ar-SA"/>
        </w:rPr>
        <w:t>科室</w:t>
      </w:r>
      <w:r>
        <w:rPr>
          <w:rFonts w:hint="default" w:ascii="仿宋_GB2312" w:hAnsi="华文宋体" w:eastAsia="仿宋_GB2312" w:cs="Times New Roman"/>
          <w:bCs/>
          <w:kern w:val="2"/>
          <w:sz w:val="32"/>
          <w:szCs w:val="32"/>
          <w:lang w:val="en-US" w:eastAsia="zh-CN" w:bidi="ar-SA"/>
        </w:rPr>
        <w:t>。</w:t>
      </w:r>
    </w:p>
    <w:p w14:paraId="58A7E880">
      <w:pPr>
        <w:pStyle w:val="3"/>
        <w:jc w:val="center"/>
        <w:rPr>
          <w:rFonts w:eastAsia="方正小标宋简体" w:cs="方正小标宋简体"/>
          <w:b w:val="0"/>
        </w:rPr>
      </w:pPr>
      <w:bookmarkStart w:id="12" w:name="_Toc15396602"/>
      <w:bookmarkStart w:id="13" w:name="_Toc15377204"/>
      <w:r>
        <w:rPr>
          <w:rFonts w:hint="eastAsia" w:eastAsia="方正小标宋简体" w:cs="方正小标宋简体"/>
          <w:b w:val="0"/>
        </w:rPr>
        <w:t>第二部分  2024年度</w:t>
      </w:r>
      <w:r>
        <w:rPr>
          <w:rFonts w:hint="eastAsia" w:eastAsia="方正小标宋简体" w:cs="方正小标宋简体"/>
          <w:b w:val="0"/>
          <w:lang w:val="en-US" w:eastAsia="zh-CN"/>
        </w:rPr>
        <w:t>单位</w:t>
      </w:r>
      <w:r>
        <w:rPr>
          <w:rFonts w:hint="eastAsia" w:eastAsia="方正小标宋简体" w:cs="方正小标宋简体"/>
          <w:b w:val="0"/>
        </w:rPr>
        <w:t>决算情况说明</w:t>
      </w:r>
      <w:bookmarkEnd w:id="12"/>
      <w:bookmarkEnd w:id="13"/>
    </w:p>
    <w:p w14:paraId="4D188122"/>
    <w:p w14:paraId="0DDB27A5">
      <w:pPr>
        <w:pStyle w:val="28"/>
        <w:spacing w:line="600" w:lineRule="exact"/>
        <w:ind w:firstLine="640"/>
        <w:outlineLvl w:val="1"/>
        <w:rPr>
          <w:rStyle w:val="30"/>
          <w:rFonts w:ascii="Times New Roman" w:hAnsi="Times New Roman" w:eastAsia="黑体"/>
          <w:b w:val="0"/>
        </w:rPr>
      </w:pPr>
      <w:bookmarkStart w:id="14" w:name="_Toc15396603"/>
      <w:bookmarkStart w:id="15" w:name="_Toc15377205"/>
      <w:r>
        <w:rPr>
          <w:rFonts w:hint="eastAsia" w:eastAsia="黑体"/>
          <w:sz w:val="32"/>
          <w:szCs w:val="32"/>
        </w:rPr>
        <w:t>一、收</w:t>
      </w:r>
      <w:r>
        <w:rPr>
          <w:rStyle w:val="30"/>
          <w:rFonts w:hint="eastAsia" w:ascii="Times New Roman" w:hAnsi="Times New Roman" w:eastAsia="黑体"/>
          <w:b w:val="0"/>
        </w:rPr>
        <w:t>入支出决算总体情况说明</w:t>
      </w:r>
      <w:bookmarkEnd w:id="14"/>
      <w:bookmarkEnd w:id="15"/>
    </w:p>
    <w:p w14:paraId="2467EDFF">
      <w:pPr>
        <w:pStyle w:val="28"/>
        <w:spacing w:line="600" w:lineRule="exact"/>
        <w:ind w:firstLine="640"/>
        <w:outlineLvl w:val="1"/>
        <w:rPr>
          <w:rFonts w:hint="eastAsia" w:eastAsia="仿宋_GB2312" w:cs="仿宋_GB2312"/>
          <w:sz w:val="32"/>
          <w:szCs w:val="32"/>
          <w:lang w:val="en-US" w:eastAsia="zh-CN"/>
        </w:rPr>
      </w:pPr>
      <w:r>
        <w:rPr>
          <w:rFonts w:hint="eastAsia" w:eastAsia="仿宋_GB2312" w:cs="仿宋_GB2312"/>
          <w:sz w:val="32"/>
          <w:szCs w:val="32"/>
        </w:rPr>
        <w:t>2024年度收入、支出总计均为</w:t>
      </w:r>
      <w:r>
        <w:rPr>
          <w:rFonts w:hint="eastAsia" w:ascii="仿宋_GB2312" w:hAnsi="仿宋_GB2312" w:eastAsia="仿宋_GB2312" w:cs="仿宋_GB2312"/>
          <w:sz w:val="32"/>
          <w:szCs w:val="32"/>
        </w:rPr>
        <w:t>1530.91</w:t>
      </w:r>
      <w:r>
        <w:rPr>
          <w:rFonts w:hint="eastAsia" w:eastAsia="仿宋_GB2312" w:cs="仿宋_GB2312"/>
          <w:sz w:val="32"/>
          <w:szCs w:val="32"/>
        </w:rPr>
        <w:t>万元。与2023年度相比，收入、支出总计各增加</w:t>
      </w:r>
      <w:r>
        <w:rPr>
          <w:rFonts w:hint="eastAsia" w:eastAsia="仿宋_GB2312" w:cs="仿宋_GB2312"/>
          <w:sz w:val="32"/>
          <w:szCs w:val="32"/>
          <w:lang w:val="en-US" w:eastAsia="zh-CN"/>
        </w:rPr>
        <w:t>131.85</w:t>
      </w:r>
      <w:r>
        <w:rPr>
          <w:rFonts w:hint="eastAsia" w:eastAsia="仿宋_GB2312" w:cs="仿宋_GB2312"/>
          <w:sz w:val="32"/>
          <w:szCs w:val="32"/>
        </w:rPr>
        <w:t>万元，增长</w:t>
      </w:r>
      <w:r>
        <w:rPr>
          <w:rFonts w:hint="eastAsia" w:eastAsia="仿宋_GB2312" w:cs="仿宋_GB2312"/>
          <w:sz w:val="32"/>
          <w:szCs w:val="32"/>
          <w:lang w:val="en-US" w:eastAsia="zh-CN"/>
        </w:rPr>
        <w:t>9.42</w:t>
      </w:r>
      <w:r>
        <w:rPr>
          <w:rFonts w:hint="eastAsia" w:eastAsia="仿宋_GB2312" w:cs="仿宋_GB2312"/>
          <w:sz w:val="32"/>
          <w:szCs w:val="32"/>
        </w:rPr>
        <w:t>%。主要变动原因是</w:t>
      </w:r>
      <w:r>
        <w:rPr>
          <w:rFonts w:hint="eastAsia" w:eastAsia="仿宋_GB2312" w:cs="仿宋_GB2312"/>
          <w:sz w:val="32"/>
          <w:szCs w:val="32"/>
          <w:lang w:val="en-US" w:eastAsia="zh-CN"/>
        </w:rPr>
        <w:t>本年度为创二甲，实验室采购大量设备。</w:t>
      </w:r>
    </w:p>
    <w:p w14:paraId="6247E537">
      <w:pPr>
        <w:pStyle w:val="28"/>
        <w:spacing w:line="600" w:lineRule="exact"/>
        <w:ind w:firstLine="640"/>
        <w:outlineLvl w:val="1"/>
        <w:rPr>
          <w:rFonts w:hint="eastAsia" w:eastAsia="仿宋_GB2312" w:cs="仿宋_GB2312"/>
          <w:sz w:val="32"/>
          <w:szCs w:val="32"/>
          <w:lang w:val="en-US" w:eastAsia="zh-CN"/>
        </w:rPr>
      </w:pPr>
    </w:p>
    <w:p w14:paraId="38439BD5">
      <w:pPr>
        <w:pStyle w:val="28"/>
        <w:spacing w:line="600" w:lineRule="exact"/>
        <w:ind w:firstLine="640"/>
        <w:outlineLvl w:val="1"/>
        <w:rPr>
          <w:rFonts w:hint="default" w:eastAsia="仿宋_GB2312" w:cs="仿宋_GB2312"/>
          <w:sz w:val="32"/>
          <w:szCs w:val="32"/>
          <w:lang w:val="en-US" w:eastAsia="zh-CN"/>
        </w:rPr>
      </w:pPr>
      <w:r>
        <w:drawing>
          <wp:anchor distT="0" distB="0" distL="114300" distR="114300" simplePos="0" relativeHeight="251660288" behindDoc="0" locked="0" layoutInCell="1" allowOverlap="1">
            <wp:simplePos x="0" y="0"/>
            <wp:positionH relativeFrom="column">
              <wp:posOffset>314325</wp:posOffset>
            </wp:positionH>
            <wp:positionV relativeFrom="paragraph">
              <wp:posOffset>57785</wp:posOffset>
            </wp:positionV>
            <wp:extent cx="4826000" cy="2743200"/>
            <wp:effectExtent l="4445" t="4445" r="8255" b="14605"/>
            <wp:wrapNone/>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43956355">
      <w:pPr>
        <w:ind w:firstLine="640" w:firstLineChars="200"/>
        <w:rPr>
          <w:rFonts w:hint="eastAsia" w:eastAsia="仿宋_GB2312" w:cs="仿宋_GB2312"/>
          <w:sz w:val="32"/>
          <w:szCs w:val="32"/>
        </w:rPr>
      </w:pPr>
    </w:p>
    <w:p w14:paraId="6290AE84">
      <w:pPr>
        <w:ind w:firstLine="640" w:firstLineChars="200"/>
        <w:rPr>
          <w:rFonts w:hint="eastAsia" w:eastAsia="仿宋_GB2312" w:cs="仿宋_GB2312"/>
          <w:sz w:val="32"/>
          <w:szCs w:val="32"/>
        </w:rPr>
      </w:pPr>
    </w:p>
    <w:p w14:paraId="1A83E12E">
      <w:pPr>
        <w:ind w:firstLine="640" w:firstLineChars="200"/>
        <w:rPr>
          <w:rFonts w:hint="eastAsia" w:eastAsia="仿宋_GB2312" w:cs="仿宋_GB2312"/>
          <w:sz w:val="32"/>
          <w:szCs w:val="32"/>
        </w:rPr>
      </w:pPr>
    </w:p>
    <w:p w14:paraId="690AEE07">
      <w:pPr>
        <w:ind w:firstLine="640" w:firstLineChars="200"/>
        <w:rPr>
          <w:rFonts w:hint="eastAsia" w:eastAsia="仿宋_GB2312" w:cs="仿宋_GB2312"/>
          <w:sz w:val="32"/>
          <w:szCs w:val="32"/>
        </w:rPr>
      </w:pPr>
    </w:p>
    <w:p w14:paraId="431E8947">
      <w:pPr>
        <w:ind w:firstLine="640" w:firstLineChars="200"/>
        <w:rPr>
          <w:rFonts w:hint="eastAsia" w:eastAsia="仿宋_GB2312" w:cs="仿宋_GB2312"/>
          <w:sz w:val="32"/>
          <w:szCs w:val="32"/>
        </w:rPr>
      </w:pPr>
    </w:p>
    <w:p w14:paraId="4DABE094">
      <w:pPr>
        <w:ind w:firstLine="640" w:firstLineChars="200"/>
        <w:rPr>
          <w:rFonts w:hint="eastAsia" w:eastAsia="仿宋_GB2312" w:cs="仿宋_GB2312"/>
          <w:sz w:val="32"/>
          <w:szCs w:val="32"/>
        </w:rPr>
      </w:pPr>
    </w:p>
    <w:p w14:paraId="629B4694">
      <w:pPr>
        <w:ind w:firstLine="1280" w:firstLineChars="400"/>
        <w:rPr>
          <w:rFonts w:eastAsia="仿宋_GB2312" w:cs="仿宋_GB2312"/>
          <w:sz w:val="32"/>
          <w:szCs w:val="32"/>
        </w:rPr>
      </w:pPr>
      <w:r>
        <w:rPr>
          <w:rFonts w:hint="eastAsia" w:eastAsia="仿宋_GB2312" w:cs="仿宋_GB2312"/>
          <w:sz w:val="32"/>
          <w:szCs w:val="32"/>
        </w:rPr>
        <w:t>（图1：收入、支出决算总计变动情况图）</w:t>
      </w:r>
    </w:p>
    <w:p w14:paraId="1BC06876">
      <w:pPr>
        <w:pStyle w:val="28"/>
        <w:spacing w:line="600" w:lineRule="exact"/>
        <w:ind w:firstLine="640"/>
        <w:outlineLvl w:val="1"/>
        <w:rPr>
          <w:rFonts w:eastAsia="黑体"/>
          <w:sz w:val="32"/>
          <w:szCs w:val="32"/>
        </w:rPr>
      </w:pPr>
      <w:bookmarkStart w:id="16" w:name="_Toc15377206"/>
      <w:bookmarkStart w:id="17" w:name="_Toc15396604"/>
      <w:r>
        <w:rPr>
          <w:rFonts w:hint="eastAsia" w:eastAsia="黑体"/>
          <w:sz w:val="32"/>
          <w:szCs w:val="32"/>
        </w:rPr>
        <w:t>二、收入决算情况说明</w:t>
      </w:r>
      <w:bookmarkEnd w:id="16"/>
      <w:bookmarkEnd w:id="17"/>
    </w:p>
    <w:p w14:paraId="15AC03F5">
      <w:pPr>
        <w:pStyle w:val="28"/>
        <w:spacing w:line="600" w:lineRule="exact"/>
        <w:ind w:firstLine="640"/>
        <w:jc w:val="left"/>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1523.33万元，其中：一般公共预算财政拨款收入1449.81</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95.17</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%；国有资本经营预算财政拨款收入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%；上级补助收入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%；事业收入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%；附属单位上缴收入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rPr>
        <w:t>73.52</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4.82</w:t>
      </w:r>
      <w:r>
        <w:rPr>
          <w:rFonts w:hint="eastAsia" w:ascii="仿宋_GB2312" w:hAnsi="仿宋_GB2312" w:eastAsia="仿宋_GB2312" w:cs="仿宋_GB2312"/>
          <w:color w:val="auto"/>
          <w:sz w:val="32"/>
          <w:szCs w:val="32"/>
          <w:highlight w:val="none"/>
          <w:lang w:eastAsia="zh-CN"/>
        </w:rPr>
        <w:t>%。</w:t>
      </w:r>
    </w:p>
    <w:p w14:paraId="441DBE57">
      <w:pPr>
        <w:pStyle w:val="28"/>
        <w:spacing w:line="600" w:lineRule="exact"/>
        <w:ind w:firstLine="640"/>
        <w:jc w:val="left"/>
        <w:outlineLvl w:val="1"/>
        <w:rPr>
          <w:rFonts w:hint="eastAsia" w:ascii="仿宋_GB2312" w:hAnsi="仿宋_GB2312" w:eastAsia="仿宋_GB2312" w:cs="仿宋_GB2312"/>
          <w:color w:val="auto"/>
          <w:sz w:val="32"/>
          <w:szCs w:val="32"/>
          <w:highlight w:val="none"/>
          <w:lang w:eastAsia="zh-CN"/>
        </w:rPr>
      </w:pPr>
      <w:r>
        <w:drawing>
          <wp:anchor distT="0" distB="0" distL="114300" distR="114300" simplePos="0" relativeHeight="251661312" behindDoc="0" locked="0" layoutInCell="1" allowOverlap="1">
            <wp:simplePos x="0" y="0"/>
            <wp:positionH relativeFrom="column">
              <wp:posOffset>97155</wp:posOffset>
            </wp:positionH>
            <wp:positionV relativeFrom="paragraph">
              <wp:posOffset>127000</wp:posOffset>
            </wp:positionV>
            <wp:extent cx="4826000" cy="2665095"/>
            <wp:effectExtent l="4445" t="4445" r="8255" b="16510"/>
            <wp:wrapNone/>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6236DC22">
      <w:pPr>
        <w:ind w:firstLine="800" w:firstLineChars="250"/>
        <w:rPr>
          <w:rFonts w:hint="eastAsia" w:eastAsia="仿宋_GB2312" w:cs="仿宋_GB2312"/>
          <w:sz w:val="32"/>
          <w:szCs w:val="32"/>
        </w:rPr>
      </w:pPr>
    </w:p>
    <w:p w14:paraId="3C6E5C3B">
      <w:pPr>
        <w:ind w:firstLine="800" w:firstLineChars="250"/>
        <w:rPr>
          <w:rFonts w:hint="eastAsia" w:eastAsia="仿宋_GB2312" w:cs="仿宋_GB2312"/>
          <w:sz w:val="32"/>
          <w:szCs w:val="32"/>
        </w:rPr>
      </w:pPr>
    </w:p>
    <w:p w14:paraId="1E72A8C3">
      <w:pPr>
        <w:ind w:firstLine="800" w:firstLineChars="250"/>
        <w:rPr>
          <w:rFonts w:hint="eastAsia" w:eastAsia="仿宋_GB2312" w:cs="仿宋_GB2312"/>
          <w:sz w:val="32"/>
          <w:szCs w:val="32"/>
        </w:rPr>
      </w:pPr>
    </w:p>
    <w:p w14:paraId="44CAF9BD">
      <w:pPr>
        <w:ind w:firstLine="800" w:firstLineChars="250"/>
        <w:rPr>
          <w:rFonts w:hint="eastAsia" w:eastAsia="仿宋_GB2312" w:cs="仿宋_GB2312"/>
          <w:sz w:val="32"/>
          <w:szCs w:val="32"/>
        </w:rPr>
      </w:pPr>
    </w:p>
    <w:p w14:paraId="066FB127">
      <w:pPr>
        <w:ind w:firstLine="800" w:firstLineChars="250"/>
        <w:rPr>
          <w:rFonts w:hint="eastAsia" w:eastAsia="仿宋_GB2312" w:cs="仿宋_GB2312"/>
          <w:sz w:val="32"/>
          <w:szCs w:val="32"/>
        </w:rPr>
      </w:pPr>
    </w:p>
    <w:p w14:paraId="01FB7958">
      <w:pPr>
        <w:rPr>
          <w:rFonts w:hint="eastAsia" w:eastAsia="仿宋_GB2312" w:cs="仿宋_GB2312"/>
          <w:sz w:val="32"/>
          <w:szCs w:val="32"/>
        </w:rPr>
      </w:pPr>
    </w:p>
    <w:p w14:paraId="739945C7">
      <w:pPr>
        <w:ind w:firstLine="1760" w:firstLineChars="550"/>
        <w:rPr>
          <w:rFonts w:eastAsia="仿宋_GB2312" w:cs="仿宋_GB2312"/>
          <w:sz w:val="32"/>
          <w:szCs w:val="32"/>
        </w:rPr>
      </w:pPr>
      <w:r>
        <w:rPr>
          <w:rFonts w:hint="eastAsia" w:eastAsia="仿宋_GB2312" w:cs="仿宋_GB2312"/>
          <w:sz w:val="32"/>
          <w:szCs w:val="32"/>
        </w:rPr>
        <w:t>（图2：收入决算结构图）</w:t>
      </w:r>
    </w:p>
    <w:p w14:paraId="278A3B2B">
      <w:pPr>
        <w:pStyle w:val="28"/>
        <w:spacing w:line="600" w:lineRule="exact"/>
        <w:ind w:firstLine="640"/>
        <w:outlineLvl w:val="1"/>
        <w:rPr>
          <w:rStyle w:val="30"/>
          <w:rFonts w:ascii="Times New Roman" w:hAnsi="Times New Roman" w:eastAsia="黑体"/>
          <w:b w:val="0"/>
        </w:rPr>
      </w:pPr>
      <w:bookmarkStart w:id="18" w:name="_Toc15396605"/>
      <w:bookmarkStart w:id="19" w:name="_Toc15377207"/>
      <w:r>
        <w:rPr>
          <w:rFonts w:hint="eastAsia" w:eastAsia="黑体"/>
          <w:sz w:val="32"/>
          <w:szCs w:val="32"/>
        </w:rPr>
        <w:t>三、支</w:t>
      </w:r>
      <w:r>
        <w:rPr>
          <w:rStyle w:val="30"/>
          <w:rFonts w:hint="eastAsia" w:ascii="Times New Roman" w:hAnsi="Times New Roman" w:eastAsia="黑体"/>
          <w:b w:val="0"/>
        </w:rPr>
        <w:t>出决算情况说明</w:t>
      </w:r>
      <w:bookmarkEnd w:id="18"/>
      <w:bookmarkEnd w:id="19"/>
    </w:p>
    <w:p w14:paraId="5A30AB13">
      <w:pPr>
        <w:pStyle w:val="28"/>
        <w:spacing w:line="600" w:lineRule="exact"/>
        <w:ind w:firstLine="640"/>
        <w:jc w:val="left"/>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1495.25</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931.84</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62.32</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563.4</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37.67</w:t>
      </w:r>
      <w:r>
        <w:rPr>
          <w:rFonts w:hint="eastAsia" w:ascii="仿宋_GB2312" w:hAnsi="仿宋_GB2312" w:eastAsia="仿宋_GB2312" w:cs="仿宋_GB2312"/>
          <w:color w:val="auto"/>
          <w:sz w:val="32"/>
          <w:szCs w:val="32"/>
          <w:highlight w:val="none"/>
          <w:lang w:eastAsia="zh-CN"/>
        </w:rPr>
        <w:t>%；上缴上级支出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%；对附属单位补助支出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p>
    <w:p w14:paraId="5F9E807C">
      <w:pPr>
        <w:ind w:firstLine="525" w:firstLineChars="250"/>
        <w:rPr>
          <w:rFonts w:hint="eastAsia" w:eastAsia="仿宋_GB2312" w:cs="仿宋_GB2312"/>
          <w:sz w:val="32"/>
          <w:szCs w:val="32"/>
        </w:rPr>
      </w:pPr>
      <w:r>
        <w:drawing>
          <wp:inline distT="0" distB="0" distL="114300" distR="114300">
            <wp:extent cx="4826000" cy="2743200"/>
            <wp:effectExtent l="4445" t="4445" r="8255" b="1460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75A44A6">
      <w:pPr>
        <w:ind w:firstLine="2080" w:firstLineChars="650"/>
        <w:rPr>
          <w:rFonts w:eastAsia="仿宋_GB2312" w:cs="仿宋_GB2312"/>
          <w:sz w:val="32"/>
          <w:szCs w:val="32"/>
        </w:rPr>
      </w:pPr>
      <w:r>
        <w:rPr>
          <w:rFonts w:hint="eastAsia" w:eastAsia="仿宋_GB2312" w:cs="仿宋_GB2312"/>
          <w:sz w:val="32"/>
          <w:szCs w:val="32"/>
        </w:rPr>
        <w:t>（图3：支出决算结构图）</w:t>
      </w:r>
    </w:p>
    <w:p w14:paraId="2EC6716D">
      <w:pPr>
        <w:ind w:firstLine="800" w:firstLineChars="250"/>
        <w:rPr>
          <w:rFonts w:eastAsia="仿宋_GB2312" w:cs="仿宋_GB2312"/>
          <w:sz w:val="32"/>
          <w:szCs w:val="32"/>
        </w:rPr>
      </w:pPr>
    </w:p>
    <w:p w14:paraId="76BF1CD2">
      <w:pPr>
        <w:spacing w:line="600" w:lineRule="exact"/>
        <w:ind w:firstLine="640" w:firstLineChars="200"/>
        <w:outlineLvl w:val="1"/>
        <w:rPr>
          <w:rStyle w:val="30"/>
          <w:rFonts w:ascii="Times New Roman" w:hAnsi="Times New Roman" w:eastAsia="黑体"/>
          <w:b w:val="0"/>
        </w:rPr>
      </w:pPr>
      <w:bookmarkStart w:id="20" w:name="_Toc15396606"/>
      <w:bookmarkStart w:id="21" w:name="_Toc15377208"/>
      <w:r>
        <w:rPr>
          <w:rFonts w:hint="eastAsia" w:eastAsia="黑体"/>
          <w:sz w:val="32"/>
          <w:szCs w:val="32"/>
        </w:rPr>
        <w:t>四、财</w:t>
      </w:r>
      <w:r>
        <w:rPr>
          <w:rStyle w:val="30"/>
          <w:rFonts w:hint="eastAsia" w:ascii="Times New Roman" w:hAnsi="Times New Roman" w:eastAsia="黑体"/>
          <w:b w:val="0"/>
        </w:rPr>
        <w:t>政拨款收入支出决算总体情况说明</w:t>
      </w:r>
      <w:bookmarkEnd w:id="20"/>
      <w:bookmarkEnd w:id="21"/>
    </w:p>
    <w:p w14:paraId="3641ECCC">
      <w:pPr>
        <w:spacing w:line="600" w:lineRule="exact"/>
        <w:ind w:firstLine="640"/>
        <w:rPr>
          <w:rFonts w:hint="eastAsia" w:eastAsia="仿宋_GB2312" w:cs="仿宋_GB2312"/>
          <w:sz w:val="32"/>
          <w:szCs w:val="32"/>
          <w:lang w:val="en-US" w:eastAsia="zh-CN"/>
        </w:rPr>
      </w:pPr>
      <w:r>
        <w:rPr>
          <w:rFonts w:hint="eastAsia" w:eastAsia="仿宋_GB2312" w:cs="仿宋_GB2312"/>
          <w:sz w:val="32"/>
          <w:szCs w:val="32"/>
        </w:rPr>
        <w:t>2024年度财政拨款收入、支出总计均为</w:t>
      </w:r>
      <w:r>
        <w:rPr>
          <w:rFonts w:hint="eastAsia" w:ascii="仿宋_GB2312" w:hAnsi="仿宋_GB2312" w:eastAsia="仿宋_GB2312" w:cs="仿宋_GB2312"/>
          <w:sz w:val="32"/>
          <w:szCs w:val="32"/>
        </w:rPr>
        <w:t>1449.81</w:t>
      </w:r>
      <w:r>
        <w:rPr>
          <w:rFonts w:hint="eastAsia" w:eastAsia="仿宋_GB2312" w:cs="仿宋_GB2312"/>
          <w:sz w:val="32"/>
          <w:szCs w:val="32"/>
        </w:rPr>
        <w:t>万元。与2023年度相比，财政拨款收入总计、支出总计各增加</w:t>
      </w:r>
      <w:r>
        <w:rPr>
          <w:rFonts w:hint="eastAsia" w:eastAsia="仿宋_GB2312" w:cs="仿宋_GB2312"/>
          <w:sz w:val="32"/>
          <w:szCs w:val="32"/>
          <w:lang w:val="en-US" w:eastAsia="zh-CN"/>
        </w:rPr>
        <w:t>66.01</w:t>
      </w:r>
      <w:r>
        <w:rPr>
          <w:rFonts w:hint="eastAsia" w:eastAsia="仿宋_GB2312" w:cs="仿宋_GB2312"/>
          <w:sz w:val="32"/>
          <w:szCs w:val="32"/>
        </w:rPr>
        <w:t>万元，增长</w:t>
      </w:r>
      <w:r>
        <w:rPr>
          <w:rFonts w:hint="eastAsia" w:eastAsia="仿宋_GB2312" w:cs="仿宋_GB2312"/>
          <w:sz w:val="32"/>
          <w:szCs w:val="32"/>
          <w:lang w:val="en-US" w:eastAsia="zh-CN"/>
        </w:rPr>
        <w:t>4.77</w:t>
      </w:r>
      <w:r>
        <w:rPr>
          <w:rFonts w:hint="eastAsia" w:eastAsia="仿宋_GB2312" w:cs="仿宋_GB2312"/>
          <w:sz w:val="32"/>
          <w:szCs w:val="32"/>
        </w:rPr>
        <w:t>%。主要变动原因是</w:t>
      </w:r>
      <w:r>
        <w:rPr>
          <w:rFonts w:hint="eastAsia" w:eastAsia="仿宋_GB2312" w:cs="仿宋_GB2312"/>
          <w:sz w:val="32"/>
          <w:szCs w:val="32"/>
          <w:lang w:val="en-US" w:eastAsia="zh-CN"/>
        </w:rPr>
        <w:t>本年度为创二甲，实验室采购大量设备。</w:t>
      </w:r>
    </w:p>
    <w:p w14:paraId="04DD8530">
      <w:pPr>
        <w:pStyle w:val="2"/>
        <w:rPr>
          <w:rFonts w:hint="default"/>
          <w:lang w:val="en-US" w:eastAsia="zh-CN"/>
        </w:rPr>
      </w:pPr>
      <w:r>
        <w:drawing>
          <wp:inline distT="0" distB="0" distL="114300" distR="114300">
            <wp:extent cx="4826000" cy="2743200"/>
            <wp:effectExtent l="4445" t="4445" r="8255" b="1460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2357124">
      <w:pPr>
        <w:spacing w:line="600" w:lineRule="exact"/>
        <w:ind w:firstLine="640" w:firstLineChars="200"/>
        <w:rPr>
          <w:rFonts w:eastAsia="仿宋_GB2312" w:cs="仿宋_GB2312"/>
          <w:sz w:val="32"/>
          <w:szCs w:val="32"/>
        </w:rPr>
      </w:pPr>
      <w:r>
        <w:rPr>
          <w:rFonts w:hint="eastAsia" w:eastAsia="仿宋_GB2312" w:cs="仿宋_GB2312"/>
          <w:sz w:val="32"/>
          <w:szCs w:val="32"/>
        </w:rPr>
        <w:t>（图4：财政拨款收、支决算总计变动情况）</w:t>
      </w:r>
    </w:p>
    <w:p w14:paraId="1A222571">
      <w:pPr>
        <w:spacing w:line="600" w:lineRule="exact"/>
        <w:ind w:firstLine="640" w:firstLineChars="200"/>
        <w:outlineLvl w:val="1"/>
        <w:rPr>
          <w:rStyle w:val="30"/>
          <w:rFonts w:ascii="Times New Roman" w:hAnsi="Times New Roman" w:eastAsia="黑体"/>
          <w:b w:val="0"/>
        </w:rPr>
      </w:pPr>
      <w:bookmarkStart w:id="22" w:name="_Toc15396607"/>
      <w:bookmarkStart w:id="23" w:name="_Toc15377209"/>
      <w:r>
        <w:rPr>
          <w:rFonts w:hint="eastAsia" w:eastAsia="黑体"/>
          <w:sz w:val="32"/>
          <w:szCs w:val="32"/>
        </w:rPr>
        <w:t>五、</w:t>
      </w:r>
      <w:r>
        <w:rPr>
          <w:rFonts w:hint="eastAsia" w:eastAsia="黑体"/>
          <w:b/>
          <w:sz w:val="32"/>
          <w:szCs w:val="32"/>
        </w:rPr>
        <w:t>一</w:t>
      </w:r>
      <w:r>
        <w:rPr>
          <w:rStyle w:val="30"/>
          <w:rFonts w:hint="eastAsia" w:ascii="Times New Roman" w:hAnsi="Times New Roman" w:eastAsia="黑体"/>
          <w:b w:val="0"/>
        </w:rPr>
        <w:t>般公共预算财政拨款支出决算情况说明</w:t>
      </w:r>
      <w:bookmarkEnd w:id="22"/>
      <w:bookmarkEnd w:id="23"/>
    </w:p>
    <w:p w14:paraId="75D1BA34">
      <w:pPr>
        <w:spacing w:line="600" w:lineRule="exact"/>
        <w:ind w:firstLine="643" w:firstLineChars="200"/>
        <w:outlineLvl w:val="2"/>
        <w:rPr>
          <w:rFonts w:eastAsia="楷体_GB2312" w:cs="楷体_GB2312"/>
          <w:b/>
          <w:sz w:val="32"/>
          <w:szCs w:val="32"/>
        </w:rPr>
      </w:pPr>
      <w:bookmarkStart w:id="24" w:name="_Toc15377210"/>
      <w:r>
        <w:rPr>
          <w:rFonts w:hint="eastAsia" w:eastAsia="楷体_GB2312" w:cs="楷体_GB2312"/>
          <w:b/>
          <w:sz w:val="32"/>
          <w:szCs w:val="32"/>
        </w:rPr>
        <w:t>（一）一般公共预算财政拨款支出决算总体情况</w:t>
      </w:r>
      <w:bookmarkEnd w:id="24"/>
    </w:p>
    <w:p w14:paraId="41A4BD89">
      <w:pPr>
        <w:spacing w:line="600" w:lineRule="exact"/>
        <w:ind w:firstLine="640"/>
        <w:rPr>
          <w:rFonts w:hint="eastAsia" w:eastAsia="仿宋_GB2312" w:cs="仿宋_GB2312"/>
          <w:sz w:val="32"/>
          <w:szCs w:val="32"/>
          <w:lang w:val="en-US" w:eastAsia="zh-CN"/>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1449.81</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96.96</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w:t>
      </w:r>
      <w:r>
        <w:rPr>
          <w:rFonts w:hint="eastAsia" w:eastAsia="仿宋_GB2312" w:cs="仿宋_GB2312"/>
          <w:sz w:val="32"/>
          <w:szCs w:val="32"/>
          <w:lang w:val="en-US" w:eastAsia="zh-CN"/>
        </w:rPr>
        <w:t>66.01</w:t>
      </w:r>
      <w:r>
        <w:rPr>
          <w:rFonts w:hint="eastAsia" w:ascii="仿宋_GB2312" w:hAnsi="仿宋_GB2312" w:eastAsia="仿宋_GB2312" w:cs="仿宋_GB2312"/>
          <w:color w:val="auto"/>
          <w:kern w:val="2"/>
          <w:sz w:val="32"/>
          <w:szCs w:val="32"/>
          <w:highlight w:val="none"/>
          <w:lang w:val="en-US" w:eastAsia="zh-CN" w:bidi="ar-SA"/>
        </w:rPr>
        <w:t>万元，增长</w:t>
      </w:r>
      <w:r>
        <w:rPr>
          <w:rFonts w:hint="eastAsia" w:eastAsia="仿宋_GB2312" w:cs="仿宋_GB2312"/>
          <w:sz w:val="32"/>
          <w:szCs w:val="32"/>
          <w:lang w:val="en-US" w:eastAsia="zh-CN"/>
        </w:rPr>
        <w:t>4.77</w:t>
      </w:r>
      <w:r>
        <w:rPr>
          <w:rFonts w:hint="eastAsia" w:ascii="仿宋_GB2312" w:hAnsi="仿宋_GB2312" w:eastAsia="仿宋_GB2312" w:cs="仿宋_GB2312"/>
          <w:color w:val="auto"/>
          <w:kern w:val="2"/>
          <w:sz w:val="32"/>
          <w:szCs w:val="32"/>
          <w:highlight w:val="none"/>
          <w:lang w:val="en-US" w:eastAsia="zh-CN" w:bidi="ar-SA"/>
        </w:rPr>
        <w:t>%。主要变动原因是</w:t>
      </w:r>
      <w:r>
        <w:rPr>
          <w:rFonts w:hint="eastAsia" w:eastAsia="仿宋_GB2312" w:cs="仿宋_GB2312"/>
          <w:sz w:val="32"/>
          <w:szCs w:val="32"/>
          <w:lang w:val="en-US" w:eastAsia="zh-CN"/>
        </w:rPr>
        <w:t>本年度为创二甲，实验室采购大量设备。</w:t>
      </w:r>
    </w:p>
    <w:p w14:paraId="620007EF">
      <w:pPr>
        <w:pStyle w:val="12"/>
        <w:rPr>
          <w:rFonts w:hint="eastAsia"/>
          <w:lang w:val="en-US" w:eastAsia="zh-CN"/>
        </w:rPr>
      </w:pPr>
      <w:r>
        <w:drawing>
          <wp:inline distT="0" distB="0" distL="114300" distR="114300">
            <wp:extent cx="4826000" cy="2743200"/>
            <wp:effectExtent l="4445" t="4445" r="8255" b="1460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D0EE92A">
      <w:pPr>
        <w:spacing w:line="600" w:lineRule="exact"/>
        <w:ind w:firstLine="640"/>
        <w:rPr>
          <w:rFonts w:eastAsia="仿宋_GB2312" w:cs="仿宋_GB2312"/>
          <w:sz w:val="32"/>
          <w:szCs w:val="32"/>
        </w:rPr>
      </w:pPr>
      <w:r>
        <w:rPr>
          <w:rFonts w:hint="eastAsia" w:eastAsia="仿宋_GB2312" w:cs="仿宋_GB2312"/>
          <w:sz w:val="32"/>
          <w:szCs w:val="32"/>
        </w:rPr>
        <w:t>（图5：一般公共预算财政拨款支出决算变动情况）</w:t>
      </w:r>
    </w:p>
    <w:p w14:paraId="0A1FFAAC">
      <w:pPr>
        <w:spacing w:line="600" w:lineRule="exact"/>
        <w:ind w:firstLine="643" w:firstLineChars="200"/>
        <w:outlineLvl w:val="2"/>
        <w:rPr>
          <w:rFonts w:eastAsia="楷体_GB2312" w:cs="楷体_GB2312"/>
          <w:b/>
          <w:sz w:val="32"/>
          <w:szCs w:val="32"/>
        </w:rPr>
      </w:pPr>
      <w:bookmarkStart w:id="25" w:name="_Toc15377211"/>
      <w:r>
        <w:rPr>
          <w:rFonts w:hint="eastAsia" w:eastAsia="楷体_GB2312" w:cs="楷体_GB2312"/>
          <w:b/>
          <w:sz w:val="32"/>
          <w:szCs w:val="32"/>
        </w:rPr>
        <w:t>（二）一般公共预算财政拨款支出决算结构情况</w:t>
      </w:r>
      <w:bookmarkEnd w:id="25"/>
    </w:p>
    <w:p w14:paraId="7FE82E2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1449.81</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0万元，占0%；教育支出0万元，占0%；科学技术支出0万元，占0%；文化旅游体育与传媒支出0万元，占0%；社会保障和就业支出180.81万元，占12.41%；卫生健康支出1200.19万元，占82.78%；住房保障支出68.81万元，占4.75%；</w:t>
      </w:r>
    </w:p>
    <w:p w14:paraId="75E27A3D">
      <w:pPr>
        <w:spacing w:line="600" w:lineRule="exact"/>
        <w:ind w:firstLine="640"/>
        <w:rPr>
          <w:rFonts w:hint="eastAsia" w:eastAsia="仿宋_GB2312" w:cs="仿宋_GB2312"/>
          <w:sz w:val="32"/>
          <w:szCs w:val="32"/>
        </w:rPr>
      </w:pPr>
    </w:p>
    <w:p w14:paraId="6135008E">
      <w:pPr>
        <w:spacing w:line="600" w:lineRule="exact"/>
        <w:ind w:firstLine="640"/>
        <w:rPr>
          <w:rFonts w:hint="eastAsia" w:eastAsia="仿宋_GB2312" w:cs="仿宋_GB2312"/>
          <w:sz w:val="32"/>
          <w:szCs w:val="32"/>
        </w:rPr>
      </w:pPr>
    </w:p>
    <w:p w14:paraId="4AAE68CF">
      <w:pPr>
        <w:spacing w:line="600" w:lineRule="exact"/>
        <w:ind w:firstLine="640"/>
        <w:rPr>
          <w:rFonts w:hint="eastAsia" w:eastAsia="仿宋_GB2312" w:cs="仿宋_GB2312"/>
          <w:sz w:val="32"/>
          <w:szCs w:val="32"/>
        </w:rPr>
      </w:pPr>
    </w:p>
    <w:p w14:paraId="692BF272">
      <w:pPr>
        <w:spacing w:line="600" w:lineRule="exact"/>
        <w:ind w:firstLine="640"/>
        <w:rPr>
          <w:rFonts w:hint="eastAsia" w:eastAsia="仿宋_GB2312" w:cs="仿宋_GB2312"/>
          <w:sz w:val="32"/>
          <w:szCs w:val="32"/>
        </w:rPr>
      </w:pPr>
    </w:p>
    <w:p w14:paraId="6311E0FE">
      <w:pPr>
        <w:spacing w:line="600" w:lineRule="exact"/>
        <w:ind w:firstLine="640"/>
        <w:rPr>
          <w:rFonts w:hint="eastAsia" w:eastAsia="仿宋_GB2312" w:cs="仿宋_GB2312"/>
          <w:sz w:val="32"/>
          <w:szCs w:val="32"/>
        </w:rPr>
      </w:pPr>
    </w:p>
    <w:p w14:paraId="18765B76">
      <w:pPr>
        <w:spacing w:line="600" w:lineRule="exact"/>
        <w:ind w:firstLine="640"/>
        <w:rPr>
          <w:rFonts w:hint="eastAsia" w:eastAsia="仿宋_GB2312" w:cs="仿宋_GB2312"/>
          <w:sz w:val="32"/>
          <w:szCs w:val="32"/>
        </w:rPr>
      </w:pPr>
    </w:p>
    <w:p w14:paraId="62F00135">
      <w:pPr>
        <w:spacing w:line="600" w:lineRule="exact"/>
        <w:ind w:firstLine="640"/>
        <w:rPr>
          <w:rFonts w:hint="eastAsia" w:eastAsia="仿宋_GB2312" w:cs="仿宋_GB2312"/>
          <w:sz w:val="32"/>
          <w:szCs w:val="32"/>
        </w:rPr>
      </w:pPr>
    </w:p>
    <w:p w14:paraId="5F272C70">
      <w:pPr>
        <w:spacing w:line="600" w:lineRule="exact"/>
        <w:ind w:firstLine="640"/>
        <w:rPr>
          <w:rFonts w:eastAsia="仿宋_GB2312" w:cs="仿宋_GB2312"/>
          <w:sz w:val="32"/>
          <w:szCs w:val="32"/>
        </w:rPr>
      </w:pPr>
      <w:r>
        <w:drawing>
          <wp:anchor distT="0" distB="0" distL="114300" distR="114300" simplePos="0" relativeHeight="251662336" behindDoc="0" locked="0" layoutInCell="1" allowOverlap="1">
            <wp:simplePos x="0" y="0"/>
            <wp:positionH relativeFrom="column">
              <wp:posOffset>410845</wp:posOffset>
            </wp:positionH>
            <wp:positionV relativeFrom="paragraph">
              <wp:posOffset>-2453005</wp:posOffset>
            </wp:positionV>
            <wp:extent cx="4636135" cy="2432685"/>
            <wp:effectExtent l="4445" t="5080" r="7620" b="19685"/>
            <wp:wrapNone/>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rFonts w:hint="eastAsia" w:eastAsia="仿宋_GB2312" w:cs="仿宋_GB2312"/>
          <w:sz w:val="32"/>
          <w:szCs w:val="32"/>
        </w:rPr>
        <w:t>（图6：一般公共预算财政拨款支出决算结构）</w:t>
      </w:r>
    </w:p>
    <w:p w14:paraId="4B8C913E">
      <w:pPr>
        <w:spacing w:line="600" w:lineRule="exact"/>
        <w:ind w:firstLine="640"/>
        <w:rPr>
          <w:rFonts w:eastAsia="仿宋_GB2312" w:cs="仿宋_GB2312"/>
          <w:sz w:val="32"/>
          <w:szCs w:val="32"/>
        </w:rPr>
      </w:pPr>
    </w:p>
    <w:p w14:paraId="27FF5BA4">
      <w:pPr>
        <w:spacing w:line="600" w:lineRule="exact"/>
        <w:ind w:firstLine="643" w:firstLineChars="200"/>
        <w:outlineLvl w:val="2"/>
        <w:rPr>
          <w:rFonts w:eastAsia="楷体_GB2312" w:cs="楷体_GB2312"/>
          <w:b/>
          <w:sz w:val="32"/>
          <w:szCs w:val="32"/>
        </w:rPr>
      </w:pPr>
      <w:bookmarkStart w:id="26" w:name="_Toc15377212"/>
      <w:r>
        <w:rPr>
          <w:rFonts w:hint="eastAsia" w:eastAsia="楷体_GB2312" w:cs="楷体_GB2312"/>
          <w:b/>
          <w:sz w:val="32"/>
          <w:szCs w:val="32"/>
        </w:rPr>
        <w:t>（三）一般公共预算财政拨款支出决算具体情况</w:t>
      </w:r>
      <w:bookmarkEnd w:id="26"/>
    </w:p>
    <w:p w14:paraId="483077AD">
      <w:pPr>
        <w:spacing w:line="600" w:lineRule="exact"/>
        <w:ind w:firstLine="640"/>
        <w:rPr>
          <w:rFonts w:eastAsia="仿宋_GB2312" w:cs="仿宋_GB2312"/>
          <w:sz w:val="32"/>
          <w:szCs w:val="32"/>
        </w:rPr>
      </w:pPr>
      <w:bookmarkStart w:id="27" w:name="_Toc15378460"/>
      <w:bookmarkStart w:id="28" w:name="_Toc15377444"/>
      <w:bookmarkStart w:id="29" w:name="_Toc15377213"/>
      <w:r>
        <w:rPr>
          <w:rFonts w:hint="eastAsia" w:eastAsia="仿宋_GB2312" w:cs="仿宋_GB2312"/>
          <w:sz w:val="32"/>
          <w:szCs w:val="32"/>
        </w:rPr>
        <w:t>2024年度一般公共预算财政拨款支出决算数为</w:t>
      </w:r>
      <w:r>
        <w:rPr>
          <w:rFonts w:hint="eastAsia" w:ascii="仿宋_GB2312" w:hAnsi="仿宋_GB2312" w:eastAsia="仿宋_GB2312" w:cs="仿宋_GB2312"/>
          <w:sz w:val="32"/>
          <w:szCs w:val="32"/>
        </w:rPr>
        <w:t>1449.81</w:t>
      </w:r>
      <w:r>
        <w:rPr>
          <w:rFonts w:ascii="仿宋_GB2312" w:hAnsi="仿宋_GB2312" w:eastAsia="仿宋_GB2312" w:cs="仿宋_GB2312"/>
          <w:sz w:val="32"/>
          <w:szCs w:val="32"/>
        </w:rPr>
        <w:t>万元</w:t>
      </w:r>
      <w:r>
        <w:rPr>
          <w:rFonts w:hint="eastAsia" w:ascii="仿宋_GB2312" w:hAnsi="仿宋_GB2312" w:eastAsia="仿宋_GB2312" w:cs="仿宋_GB2312"/>
          <w:sz w:val="32"/>
          <w:szCs w:val="32"/>
        </w:rPr>
        <w:t>，</w:t>
      </w:r>
      <w:r>
        <w:rPr>
          <w:rFonts w:hint="eastAsia" w:eastAsia="仿宋_GB2312" w:cs="仿宋_GB2312"/>
          <w:sz w:val="32"/>
          <w:szCs w:val="32"/>
        </w:rPr>
        <w:t>完成预算</w:t>
      </w:r>
      <w:r>
        <w:rPr>
          <w:rFonts w:hint="eastAsia" w:eastAsia="仿宋_GB2312" w:cs="仿宋_GB2312"/>
          <w:sz w:val="32"/>
          <w:szCs w:val="32"/>
          <w:lang w:val="en-US" w:eastAsia="zh-CN"/>
        </w:rPr>
        <w:t>100</w:t>
      </w:r>
      <w:r>
        <w:rPr>
          <w:rFonts w:hint="eastAsia" w:eastAsia="仿宋_GB2312" w:cs="仿宋_GB2312"/>
          <w:sz w:val="32"/>
          <w:szCs w:val="32"/>
        </w:rPr>
        <w:t>%。其中：</w:t>
      </w:r>
      <w:bookmarkEnd w:id="27"/>
      <w:bookmarkEnd w:id="28"/>
      <w:bookmarkEnd w:id="29"/>
    </w:p>
    <w:p w14:paraId="329BDB4C">
      <w:pPr>
        <w:numPr>
          <w:ilvl w:val="0"/>
          <w:numId w:val="0"/>
        </w:numPr>
        <w:spacing w:line="560" w:lineRule="exact"/>
        <w:ind w:firstLine="640" w:firstLineChars="200"/>
        <w:rPr>
          <w:rStyle w:val="18"/>
          <w:rFonts w:eastAsia="仿宋_GB2312"/>
          <w:b w:val="0"/>
          <w:bCs/>
          <w:sz w:val="32"/>
          <w:szCs w:val="32"/>
        </w:rPr>
      </w:pPr>
      <w:r>
        <w:rPr>
          <w:rStyle w:val="18"/>
          <w:rFonts w:hint="eastAsia" w:ascii="Times New Roman" w:hAnsi="Times New Roman" w:eastAsia="仿宋_GB2312" w:cs="Times New Roman"/>
          <w:b w:val="0"/>
          <w:bCs/>
          <w:kern w:val="2"/>
          <w:sz w:val="32"/>
          <w:szCs w:val="32"/>
          <w:lang w:val="en-US" w:eastAsia="zh-CN" w:bidi="ar-SA"/>
        </w:rPr>
        <w:t>1</w:t>
      </w:r>
      <w:r>
        <w:rPr>
          <w:rStyle w:val="18"/>
          <w:rFonts w:hint="eastAsia" w:eastAsia="仿宋_GB2312"/>
          <w:sz w:val="32"/>
          <w:szCs w:val="32"/>
          <w:lang w:val="en-US" w:eastAsia="zh-CN"/>
        </w:rPr>
        <w:t>.</w:t>
      </w:r>
      <w:r>
        <w:rPr>
          <w:rStyle w:val="18"/>
          <w:rFonts w:eastAsia="仿宋_GB2312"/>
          <w:sz w:val="32"/>
          <w:szCs w:val="32"/>
        </w:rPr>
        <w:t>社会保障和就业支出（类）行政事业单位养老支出（款）机关事业单位基本养老保险缴费支出（项）</w:t>
      </w:r>
      <w:r>
        <w:rPr>
          <w:rStyle w:val="18"/>
          <w:rFonts w:eastAsia="仿宋_GB2312"/>
          <w:b w:val="0"/>
          <w:bCs/>
          <w:sz w:val="32"/>
          <w:szCs w:val="32"/>
        </w:rPr>
        <w:t>:支出决算为</w:t>
      </w:r>
      <w:r>
        <w:rPr>
          <w:rStyle w:val="18"/>
          <w:rFonts w:hint="eastAsia" w:eastAsia="仿宋_GB2312"/>
          <w:b w:val="0"/>
          <w:bCs/>
          <w:sz w:val="32"/>
          <w:szCs w:val="32"/>
          <w:lang w:val="en-US" w:eastAsia="zh-CN"/>
        </w:rPr>
        <w:t>77.74</w:t>
      </w:r>
      <w:r>
        <w:rPr>
          <w:rStyle w:val="18"/>
          <w:rFonts w:eastAsia="仿宋_GB2312"/>
          <w:b w:val="0"/>
          <w:bCs/>
          <w:sz w:val="32"/>
          <w:szCs w:val="32"/>
        </w:rPr>
        <w:t>万元，完成预算100%，决算数等于预算数。</w:t>
      </w:r>
    </w:p>
    <w:p w14:paraId="053DCB99">
      <w:pPr>
        <w:numPr>
          <w:ilvl w:val="0"/>
          <w:numId w:val="0"/>
        </w:numPr>
        <w:spacing w:line="560" w:lineRule="exact"/>
        <w:ind w:firstLine="640" w:firstLineChars="200"/>
        <w:rPr>
          <w:rStyle w:val="18"/>
          <w:rFonts w:eastAsia="仿宋_GB2312"/>
          <w:b w:val="0"/>
          <w:bCs/>
          <w:sz w:val="32"/>
          <w:szCs w:val="32"/>
        </w:rPr>
      </w:pPr>
      <w:r>
        <w:rPr>
          <w:rStyle w:val="18"/>
          <w:rFonts w:hint="eastAsia" w:ascii="Times New Roman" w:hAnsi="Times New Roman" w:eastAsia="仿宋_GB2312" w:cs="Times New Roman"/>
          <w:b w:val="0"/>
          <w:bCs/>
          <w:kern w:val="2"/>
          <w:sz w:val="32"/>
          <w:szCs w:val="32"/>
          <w:lang w:val="en-US" w:eastAsia="zh-CN" w:bidi="ar-SA"/>
        </w:rPr>
        <w:t>2</w:t>
      </w:r>
      <w:r>
        <w:rPr>
          <w:rStyle w:val="18"/>
          <w:rFonts w:hint="eastAsia" w:eastAsia="仿宋_GB2312"/>
          <w:sz w:val="32"/>
          <w:szCs w:val="32"/>
          <w:lang w:val="en-US" w:eastAsia="zh-CN"/>
        </w:rPr>
        <w:t>.</w:t>
      </w:r>
      <w:r>
        <w:rPr>
          <w:rStyle w:val="18"/>
          <w:rFonts w:eastAsia="仿宋_GB2312"/>
          <w:sz w:val="32"/>
          <w:szCs w:val="32"/>
        </w:rPr>
        <w:t>社会保障和就业支出（类）行政事业单位养老支出（款）事业单位离退休（项）</w:t>
      </w:r>
      <w:r>
        <w:rPr>
          <w:rStyle w:val="18"/>
          <w:rFonts w:eastAsia="仿宋_GB2312"/>
          <w:b w:val="0"/>
          <w:bCs/>
          <w:sz w:val="32"/>
          <w:szCs w:val="32"/>
        </w:rPr>
        <w:t>：支出决算为</w:t>
      </w:r>
      <w:r>
        <w:rPr>
          <w:rStyle w:val="18"/>
          <w:rFonts w:hint="eastAsia" w:eastAsia="仿宋_GB2312"/>
          <w:b w:val="0"/>
          <w:bCs/>
          <w:sz w:val="32"/>
          <w:szCs w:val="32"/>
          <w:lang w:val="en-US" w:eastAsia="zh-CN"/>
        </w:rPr>
        <w:t>81.94</w:t>
      </w:r>
      <w:r>
        <w:rPr>
          <w:rStyle w:val="18"/>
          <w:rFonts w:eastAsia="仿宋_GB2312"/>
          <w:b w:val="0"/>
          <w:bCs/>
          <w:sz w:val="32"/>
          <w:szCs w:val="32"/>
        </w:rPr>
        <w:t>万元</w:t>
      </w:r>
      <w:r>
        <w:rPr>
          <w:rStyle w:val="18"/>
          <w:rFonts w:hint="eastAsia" w:eastAsia="仿宋_GB2312"/>
          <w:b w:val="0"/>
          <w:bCs/>
          <w:sz w:val="32"/>
          <w:szCs w:val="32"/>
        </w:rPr>
        <w:t>，</w:t>
      </w:r>
      <w:r>
        <w:rPr>
          <w:rStyle w:val="18"/>
          <w:rFonts w:eastAsia="仿宋_GB2312"/>
          <w:b w:val="0"/>
          <w:bCs/>
          <w:sz w:val="32"/>
          <w:szCs w:val="32"/>
        </w:rPr>
        <w:t>完成预算100%，决算数等于预算数。</w:t>
      </w:r>
    </w:p>
    <w:p w14:paraId="147A44CE">
      <w:pPr>
        <w:pStyle w:val="2"/>
        <w:ind w:firstLine="640" w:firstLineChars="200"/>
        <w:rPr>
          <w:rFonts w:hint="eastAsia"/>
          <w:lang w:val="en-US" w:eastAsia="zh-CN"/>
        </w:rPr>
      </w:pPr>
      <w:r>
        <w:rPr>
          <w:rStyle w:val="18"/>
          <w:rFonts w:hint="eastAsia" w:ascii="Times New Roman" w:cs="Times New Roman"/>
          <w:b w:val="0"/>
          <w:bCs/>
          <w:kern w:val="2"/>
          <w:sz w:val="32"/>
          <w:szCs w:val="32"/>
          <w:lang w:val="en-US" w:eastAsia="zh-CN" w:bidi="ar-SA"/>
        </w:rPr>
        <w:t>3</w:t>
      </w:r>
      <w:r>
        <w:rPr>
          <w:rStyle w:val="18"/>
          <w:rFonts w:hint="eastAsia" w:eastAsia="仿宋_GB2312"/>
          <w:sz w:val="32"/>
          <w:szCs w:val="32"/>
          <w:lang w:val="en-US" w:eastAsia="zh-CN"/>
        </w:rPr>
        <w:t>.</w:t>
      </w:r>
      <w:r>
        <w:rPr>
          <w:rStyle w:val="18"/>
          <w:rFonts w:eastAsia="仿宋_GB2312"/>
          <w:sz w:val="32"/>
          <w:szCs w:val="32"/>
        </w:rPr>
        <w:t>社会保障和就业支出（类）行政事业单位养老支出（款）</w:t>
      </w:r>
      <w:r>
        <w:rPr>
          <w:rStyle w:val="18"/>
          <w:rFonts w:hint="eastAsia" w:eastAsia="仿宋_GB2312"/>
          <w:sz w:val="32"/>
          <w:szCs w:val="32"/>
        </w:rPr>
        <w:t>机关事业单位职业年金缴费支出</w:t>
      </w:r>
      <w:r>
        <w:rPr>
          <w:rStyle w:val="18"/>
          <w:rFonts w:eastAsia="仿宋_GB2312"/>
          <w:sz w:val="32"/>
          <w:szCs w:val="32"/>
        </w:rPr>
        <w:t>（项）</w:t>
      </w:r>
      <w:r>
        <w:rPr>
          <w:rStyle w:val="18"/>
          <w:rFonts w:hint="eastAsia"/>
          <w:sz w:val="32"/>
          <w:szCs w:val="32"/>
          <w:lang w:eastAsia="zh-CN"/>
        </w:rPr>
        <w:t>：</w:t>
      </w:r>
      <w:r>
        <w:rPr>
          <w:rStyle w:val="18"/>
          <w:rFonts w:eastAsia="仿宋_GB2312"/>
          <w:b w:val="0"/>
          <w:bCs/>
          <w:sz w:val="32"/>
          <w:szCs w:val="32"/>
        </w:rPr>
        <w:t>支出决算为</w:t>
      </w:r>
      <w:r>
        <w:rPr>
          <w:rStyle w:val="18"/>
          <w:rFonts w:hint="eastAsia"/>
          <w:b w:val="0"/>
          <w:bCs/>
          <w:sz w:val="32"/>
          <w:szCs w:val="32"/>
          <w:lang w:val="en-US" w:eastAsia="zh-CN"/>
        </w:rPr>
        <w:t>7.32</w:t>
      </w:r>
      <w:r>
        <w:rPr>
          <w:rStyle w:val="18"/>
          <w:rFonts w:eastAsia="仿宋_GB2312"/>
          <w:b w:val="0"/>
          <w:bCs/>
          <w:sz w:val="32"/>
          <w:szCs w:val="32"/>
        </w:rPr>
        <w:t>万元</w:t>
      </w:r>
      <w:r>
        <w:rPr>
          <w:rStyle w:val="18"/>
          <w:rFonts w:hint="eastAsia" w:eastAsia="仿宋_GB2312"/>
          <w:b w:val="0"/>
          <w:bCs/>
          <w:sz w:val="32"/>
          <w:szCs w:val="32"/>
        </w:rPr>
        <w:t>，</w:t>
      </w:r>
      <w:r>
        <w:rPr>
          <w:rStyle w:val="18"/>
          <w:rFonts w:eastAsia="仿宋_GB2312"/>
          <w:b w:val="0"/>
          <w:bCs/>
          <w:sz w:val="32"/>
          <w:szCs w:val="32"/>
        </w:rPr>
        <w:t>完成预算100%，决算数等于预算数。</w:t>
      </w:r>
    </w:p>
    <w:p w14:paraId="7E2B81B4">
      <w:pPr>
        <w:numPr>
          <w:ilvl w:val="0"/>
          <w:numId w:val="0"/>
        </w:numPr>
        <w:spacing w:line="560" w:lineRule="exact"/>
        <w:ind w:firstLine="640" w:firstLineChars="200"/>
        <w:rPr>
          <w:rFonts w:eastAsia="仿宋_GB2312"/>
          <w:b/>
          <w:sz w:val="32"/>
          <w:szCs w:val="32"/>
        </w:rPr>
      </w:pPr>
      <w:r>
        <w:rPr>
          <w:rStyle w:val="18"/>
          <w:rFonts w:hint="eastAsia" w:eastAsia="仿宋_GB2312" w:cs="Times New Roman"/>
          <w:b w:val="0"/>
          <w:bCs/>
          <w:kern w:val="2"/>
          <w:sz w:val="32"/>
          <w:szCs w:val="32"/>
          <w:lang w:val="en-US" w:eastAsia="zh-CN" w:bidi="ar-SA"/>
        </w:rPr>
        <w:t>4</w:t>
      </w:r>
      <w:r>
        <w:rPr>
          <w:rStyle w:val="18"/>
          <w:rFonts w:hint="eastAsia" w:eastAsia="仿宋_GB2312"/>
          <w:sz w:val="32"/>
          <w:szCs w:val="32"/>
          <w:lang w:val="en-US" w:eastAsia="zh-CN"/>
        </w:rPr>
        <w:t>.</w:t>
      </w:r>
      <w:r>
        <w:rPr>
          <w:rStyle w:val="18"/>
          <w:rFonts w:eastAsia="仿宋_GB2312"/>
          <w:sz w:val="32"/>
          <w:szCs w:val="32"/>
        </w:rPr>
        <w:t>社会保障和就业支出（类）抚恤（款）伤残抚恤（项）</w:t>
      </w:r>
      <w:r>
        <w:rPr>
          <w:rStyle w:val="18"/>
          <w:rFonts w:eastAsia="仿宋_GB2312"/>
          <w:b w:val="0"/>
          <w:bCs/>
          <w:sz w:val="32"/>
          <w:szCs w:val="32"/>
        </w:rPr>
        <w:t>：支出决算为</w:t>
      </w:r>
      <w:r>
        <w:rPr>
          <w:rStyle w:val="18"/>
          <w:rFonts w:hint="eastAsia" w:eastAsia="仿宋_GB2312"/>
          <w:b w:val="0"/>
          <w:bCs/>
          <w:sz w:val="32"/>
          <w:szCs w:val="32"/>
          <w:lang w:val="en-US" w:eastAsia="zh-CN"/>
        </w:rPr>
        <w:t>5.41</w:t>
      </w:r>
      <w:r>
        <w:rPr>
          <w:rStyle w:val="18"/>
          <w:rFonts w:eastAsia="仿宋_GB2312"/>
          <w:b w:val="0"/>
          <w:bCs/>
          <w:sz w:val="32"/>
          <w:szCs w:val="32"/>
        </w:rPr>
        <w:t>万元，完成预算100%，决算数等于预算数。</w:t>
      </w:r>
    </w:p>
    <w:p w14:paraId="7536BADD">
      <w:pPr>
        <w:pStyle w:val="2"/>
        <w:ind w:firstLine="640" w:firstLineChars="200"/>
        <w:rPr>
          <w:rFonts w:hint="eastAsia" w:eastAsia="仿宋_GB2312"/>
          <w:lang w:val="en-US" w:eastAsia="zh-CN"/>
        </w:rPr>
      </w:pPr>
      <w:r>
        <w:rPr>
          <w:rStyle w:val="18"/>
          <w:rFonts w:hint="eastAsia" w:ascii="Times New Roman" w:cs="Times New Roman"/>
          <w:b w:val="0"/>
          <w:bCs/>
          <w:kern w:val="2"/>
          <w:sz w:val="32"/>
          <w:szCs w:val="32"/>
          <w:lang w:val="en-US" w:eastAsia="zh-CN" w:bidi="ar-SA"/>
        </w:rPr>
        <w:t>5</w:t>
      </w:r>
      <w:r>
        <w:rPr>
          <w:rStyle w:val="18"/>
          <w:rFonts w:hint="eastAsia"/>
          <w:sz w:val="32"/>
          <w:szCs w:val="32"/>
          <w:lang w:val="en-US" w:eastAsia="zh-CN"/>
        </w:rPr>
        <w:t>.</w:t>
      </w:r>
      <w:r>
        <w:rPr>
          <w:rStyle w:val="18"/>
          <w:rFonts w:eastAsia="仿宋_GB2312"/>
          <w:sz w:val="32"/>
          <w:szCs w:val="32"/>
        </w:rPr>
        <w:t>社会保障和就业支出（类）抚恤（款）</w:t>
      </w:r>
      <w:r>
        <w:rPr>
          <w:rStyle w:val="18"/>
          <w:rFonts w:hint="eastAsia" w:eastAsia="仿宋_GB2312"/>
          <w:sz w:val="32"/>
          <w:szCs w:val="32"/>
        </w:rPr>
        <w:t>死亡抚恤</w:t>
      </w:r>
      <w:r>
        <w:rPr>
          <w:rStyle w:val="18"/>
          <w:rFonts w:eastAsia="仿宋_GB2312"/>
          <w:sz w:val="32"/>
          <w:szCs w:val="32"/>
        </w:rPr>
        <w:t>（项）</w:t>
      </w:r>
      <w:r>
        <w:rPr>
          <w:rStyle w:val="18"/>
          <w:rFonts w:eastAsia="仿宋_GB2312"/>
          <w:b w:val="0"/>
          <w:bCs/>
          <w:sz w:val="32"/>
          <w:szCs w:val="32"/>
        </w:rPr>
        <w:t>：</w:t>
      </w:r>
      <w:r>
        <w:rPr>
          <w:rStyle w:val="18"/>
          <w:rFonts w:hint="eastAsia"/>
          <w:b w:val="0"/>
          <w:bCs/>
          <w:sz w:val="32"/>
          <w:szCs w:val="32"/>
          <w:lang w:val="en-US" w:eastAsia="zh-CN"/>
        </w:rPr>
        <w:t>8.71万元，</w:t>
      </w:r>
      <w:r>
        <w:rPr>
          <w:rStyle w:val="18"/>
          <w:rFonts w:eastAsia="仿宋_GB2312"/>
          <w:b w:val="0"/>
          <w:bCs/>
          <w:sz w:val="32"/>
          <w:szCs w:val="32"/>
        </w:rPr>
        <w:t>完成预算100%，决算数等于预算数。</w:t>
      </w:r>
    </w:p>
    <w:p w14:paraId="5EBF40E7">
      <w:pPr>
        <w:spacing w:line="560" w:lineRule="exact"/>
        <w:ind w:firstLine="640" w:firstLineChars="200"/>
        <w:rPr>
          <w:rStyle w:val="18"/>
          <w:rFonts w:eastAsia="仿宋_GB2312"/>
          <w:b w:val="0"/>
          <w:bCs/>
          <w:sz w:val="32"/>
          <w:szCs w:val="32"/>
        </w:rPr>
      </w:pPr>
      <w:r>
        <w:rPr>
          <w:rStyle w:val="18"/>
          <w:rFonts w:hint="eastAsia" w:eastAsia="仿宋_GB2312" w:cs="Times New Roman"/>
          <w:b w:val="0"/>
          <w:bCs/>
          <w:sz w:val="32"/>
          <w:szCs w:val="32"/>
          <w:lang w:val="en-US" w:eastAsia="zh-CN"/>
        </w:rPr>
        <w:t>6</w:t>
      </w:r>
      <w:r>
        <w:rPr>
          <w:rStyle w:val="18"/>
          <w:rFonts w:eastAsia="仿宋_GB2312"/>
          <w:bCs/>
          <w:sz w:val="32"/>
          <w:szCs w:val="32"/>
        </w:rPr>
        <w:t>.</w:t>
      </w:r>
      <w:r>
        <w:rPr>
          <w:rStyle w:val="18"/>
          <w:rFonts w:eastAsia="仿宋_GB2312"/>
          <w:sz w:val="32"/>
          <w:szCs w:val="32"/>
        </w:rPr>
        <w:t>卫生健康支出（类）</w:t>
      </w:r>
      <w:r>
        <w:rPr>
          <w:rStyle w:val="18"/>
          <w:rFonts w:hint="eastAsia" w:eastAsia="仿宋_GB2312"/>
          <w:sz w:val="32"/>
          <w:szCs w:val="32"/>
        </w:rPr>
        <w:t>公共</w:t>
      </w:r>
      <w:r>
        <w:rPr>
          <w:rStyle w:val="18"/>
          <w:rFonts w:eastAsia="仿宋_GB2312"/>
          <w:sz w:val="32"/>
          <w:szCs w:val="32"/>
        </w:rPr>
        <w:t>卫生（款）</w:t>
      </w:r>
      <w:r>
        <w:rPr>
          <w:rStyle w:val="18"/>
          <w:rFonts w:hint="eastAsia" w:eastAsia="仿宋_GB2312"/>
          <w:sz w:val="32"/>
          <w:szCs w:val="32"/>
        </w:rPr>
        <w:t>疾病</w:t>
      </w:r>
      <w:r>
        <w:rPr>
          <w:rStyle w:val="18"/>
          <w:rFonts w:eastAsia="仿宋_GB2312"/>
          <w:sz w:val="32"/>
          <w:szCs w:val="32"/>
        </w:rPr>
        <w:t>预防控制机构（项）</w:t>
      </w:r>
      <w:r>
        <w:rPr>
          <w:rStyle w:val="18"/>
          <w:rFonts w:eastAsia="仿宋_GB2312"/>
          <w:b w:val="0"/>
          <w:bCs/>
          <w:sz w:val="32"/>
          <w:szCs w:val="32"/>
        </w:rPr>
        <w:t>:支出决算为</w:t>
      </w:r>
      <w:r>
        <w:rPr>
          <w:rStyle w:val="18"/>
          <w:rFonts w:hint="eastAsia" w:eastAsia="仿宋_GB2312"/>
          <w:b w:val="0"/>
          <w:bCs/>
          <w:sz w:val="32"/>
          <w:szCs w:val="32"/>
          <w:lang w:val="en-US" w:eastAsia="zh-CN"/>
        </w:rPr>
        <w:t>932.07</w:t>
      </w:r>
      <w:r>
        <w:rPr>
          <w:rStyle w:val="18"/>
          <w:rFonts w:eastAsia="仿宋_GB2312"/>
          <w:b w:val="0"/>
          <w:bCs/>
          <w:sz w:val="32"/>
          <w:szCs w:val="32"/>
        </w:rPr>
        <w:t>万元；完成预算100%，决算数等于预算数。</w:t>
      </w:r>
    </w:p>
    <w:p w14:paraId="39A6E071">
      <w:pPr>
        <w:spacing w:line="560" w:lineRule="exact"/>
        <w:ind w:firstLine="640" w:firstLineChars="200"/>
        <w:rPr>
          <w:rStyle w:val="18"/>
          <w:rFonts w:eastAsia="仿宋_GB2312"/>
          <w:b w:val="0"/>
          <w:bCs/>
          <w:sz w:val="32"/>
          <w:szCs w:val="32"/>
        </w:rPr>
      </w:pPr>
      <w:r>
        <w:rPr>
          <w:rStyle w:val="18"/>
          <w:rFonts w:hint="eastAsia" w:eastAsia="仿宋_GB2312"/>
          <w:b w:val="0"/>
          <w:bCs/>
          <w:sz w:val="32"/>
          <w:szCs w:val="32"/>
          <w:lang w:val="en-US" w:eastAsia="zh-CN"/>
        </w:rPr>
        <w:t>7</w:t>
      </w:r>
      <w:r>
        <w:rPr>
          <w:rStyle w:val="18"/>
          <w:rFonts w:eastAsia="仿宋_GB2312"/>
          <w:b w:val="0"/>
          <w:bCs/>
          <w:sz w:val="32"/>
          <w:szCs w:val="32"/>
        </w:rPr>
        <w:t>.</w:t>
      </w:r>
      <w:r>
        <w:rPr>
          <w:rStyle w:val="18"/>
          <w:rFonts w:eastAsia="仿宋_GB2312"/>
          <w:sz w:val="32"/>
          <w:szCs w:val="32"/>
        </w:rPr>
        <w:t>卫生健康支出（类）</w:t>
      </w:r>
      <w:r>
        <w:rPr>
          <w:rStyle w:val="18"/>
          <w:rFonts w:hint="eastAsia" w:eastAsia="仿宋_GB2312"/>
          <w:sz w:val="32"/>
          <w:szCs w:val="32"/>
        </w:rPr>
        <w:t>公共</w:t>
      </w:r>
      <w:r>
        <w:rPr>
          <w:rStyle w:val="18"/>
          <w:rFonts w:eastAsia="仿宋_GB2312"/>
          <w:sz w:val="32"/>
          <w:szCs w:val="32"/>
        </w:rPr>
        <w:t>卫生（款）</w:t>
      </w:r>
      <w:r>
        <w:rPr>
          <w:rStyle w:val="18"/>
          <w:rFonts w:hint="eastAsia" w:eastAsia="仿宋_GB2312"/>
          <w:sz w:val="32"/>
          <w:szCs w:val="32"/>
        </w:rPr>
        <w:t>基本公共卫生服务</w:t>
      </w:r>
      <w:r>
        <w:rPr>
          <w:rStyle w:val="18"/>
          <w:rFonts w:eastAsia="仿宋_GB2312"/>
          <w:sz w:val="32"/>
          <w:szCs w:val="32"/>
        </w:rPr>
        <w:t>（项）</w:t>
      </w:r>
      <w:r>
        <w:rPr>
          <w:rStyle w:val="18"/>
          <w:rFonts w:eastAsia="仿宋_GB2312"/>
          <w:b w:val="0"/>
          <w:bCs/>
          <w:sz w:val="32"/>
          <w:szCs w:val="32"/>
        </w:rPr>
        <w:t>:支出决算为</w:t>
      </w:r>
      <w:r>
        <w:rPr>
          <w:rStyle w:val="18"/>
          <w:rFonts w:hint="eastAsia" w:eastAsia="仿宋_GB2312"/>
          <w:b w:val="0"/>
          <w:bCs/>
          <w:sz w:val="32"/>
          <w:szCs w:val="32"/>
          <w:lang w:val="en-US" w:eastAsia="zh-CN"/>
        </w:rPr>
        <w:t>28.61</w:t>
      </w:r>
      <w:r>
        <w:rPr>
          <w:rStyle w:val="18"/>
          <w:rFonts w:eastAsia="仿宋_GB2312"/>
          <w:b w:val="0"/>
          <w:bCs/>
          <w:sz w:val="32"/>
          <w:szCs w:val="32"/>
        </w:rPr>
        <w:t>万元；完成预算100%，决算数等于预算数。</w:t>
      </w:r>
    </w:p>
    <w:p w14:paraId="7B83B9CA">
      <w:pPr>
        <w:spacing w:line="560" w:lineRule="exact"/>
        <w:ind w:firstLine="640" w:firstLineChars="200"/>
        <w:rPr>
          <w:rStyle w:val="18"/>
          <w:rFonts w:eastAsia="仿宋_GB2312"/>
          <w:b w:val="0"/>
          <w:bCs/>
          <w:sz w:val="32"/>
          <w:szCs w:val="32"/>
        </w:rPr>
      </w:pPr>
      <w:r>
        <w:rPr>
          <w:rStyle w:val="18"/>
          <w:rFonts w:hint="eastAsia" w:eastAsia="仿宋_GB2312"/>
          <w:b w:val="0"/>
          <w:bCs/>
          <w:sz w:val="32"/>
          <w:szCs w:val="32"/>
          <w:lang w:val="en-US" w:eastAsia="zh-CN"/>
        </w:rPr>
        <w:t>8</w:t>
      </w:r>
      <w:r>
        <w:rPr>
          <w:rStyle w:val="18"/>
          <w:rFonts w:eastAsia="仿宋_GB2312"/>
          <w:b w:val="0"/>
          <w:bCs/>
          <w:sz w:val="32"/>
          <w:szCs w:val="32"/>
        </w:rPr>
        <w:t>.</w:t>
      </w:r>
      <w:r>
        <w:rPr>
          <w:rStyle w:val="18"/>
          <w:rFonts w:eastAsia="仿宋_GB2312"/>
          <w:sz w:val="32"/>
          <w:szCs w:val="32"/>
        </w:rPr>
        <w:t>卫生健康支出（类）公共卫生（款）重大公共卫生服务（项）</w:t>
      </w:r>
      <w:r>
        <w:rPr>
          <w:rStyle w:val="18"/>
          <w:rFonts w:eastAsia="仿宋_GB2312"/>
          <w:b w:val="0"/>
          <w:bCs/>
          <w:sz w:val="32"/>
          <w:szCs w:val="32"/>
        </w:rPr>
        <w:t>:支出决算为</w:t>
      </w:r>
      <w:r>
        <w:rPr>
          <w:rStyle w:val="18"/>
          <w:rFonts w:hint="eastAsia" w:eastAsia="仿宋_GB2312"/>
          <w:b w:val="0"/>
          <w:bCs/>
          <w:sz w:val="32"/>
          <w:szCs w:val="32"/>
          <w:lang w:val="en-US" w:eastAsia="zh-CN"/>
        </w:rPr>
        <w:t>157.58</w:t>
      </w:r>
      <w:r>
        <w:rPr>
          <w:rStyle w:val="18"/>
          <w:rFonts w:eastAsia="仿宋_GB2312"/>
          <w:b w:val="0"/>
          <w:bCs/>
          <w:sz w:val="32"/>
          <w:szCs w:val="32"/>
        </w:rPr>
        <w:t>万元，完成预算100%，决算数等于预算数。</w:t>
      </w:r>
    </w:p>
    <w:p w14:paraId="6065202A">
      <w:pPr>
        <w:spacing w:line="560" w:lineRule="exact"/>
        <w:ind w:firstLine="640" w:firstLineChars="200"/>
        <w:rPr>
          <w:rStyle w:val="18"/>
          <w:rFonts w:eastAsia="仿宋_GB2312"/>
          <w:b w:val="0"/>
          <w:bCs/>
          <w:sz w:val="32"/>
          <w:szCs w:val="32"/>
        </w:rPr>
      </w:pPr>
      <w:r>
        <w:rPr>
          <w:rStyle w:val="18"/>
          <w:rFonts w:hint="eastAsia" w:eastAsia="仿宋_GB2312"/>
          <w:b w:val="0"/>
          <w:bCs/>
          <w:sz w:val="32"/>
          <w:szCs w:val="32"/>
          <w:lang w:val="en-US" w:eastAsia="zh-CN"/>
        </w:rPr>
        <w:t>9</w:t>
      </w:r>
      <w:r>
        <w:rPr>
          <w:rStyle w:val="18"/>
          <w:rFonts w:eastAsia="仿宋_GB2312"/>
          <w:b w:val="0"/>
          <w:bCs/>
          <w:sz w:val="32"/>
          <w:szCs w:val="32"/>
        </w:rPr>
        <w:t>.</w:t>
      </w:r>
      <w:r>
        <w:rPr>
          <w:rStyle w:val="18"/>
          <w:rFonts w:eastAsia="仿宋_GB2312"/>
          <w:sz w:val="32"/>
          <w:szCs w:val="32"/>
        </w:rPr>
        <w:t>卫生健康支出（类）公共卫生（款）</w:t>
      </w:r>
      <w:r>
        <w:rPr>
          <w:rStyle w:val="18"/>
          <w:rFonts w:eastAsia="仿宋_GB2312" w:asciiTheme="minorHAnsi" w:hAnsiTheme="minorHAnsi" w:cstheme="minorBidi"/>
          <w:sz w:val="32"/>
          <w:szCs w:val="32"/>
        </w:rPr>
        <w:t>其他公共卫生支出（项）:</w:t>
      </w:r>
      <w:r>
        <w:rPr>
          <w:rStyle w:val="18"/>
          <w:rFonts w:eastAsia="仿宋_GB2312"/>
          <w:b w:val="0"/>
          <w:bCs/>
          <w:sz w:val="32"/>
          <w:szCs w:val="32"/>
        </w:rPr>
        <w:t>支出决算为</w:t>
      </w:r>
      <w:r>
        <w:rPr>
          <w:rStyle w:val="18"/>
          <w:rFonts w:hint="eastAsia" w:eastAsia="仿宋_GB2312"/>
          <w:b w:val="0"/>
          <w:bCs/>
          <w:sz w:val="32"/>
          <w:szCs w:val="32"/>
          <w:lang w:val="en-US" w:eastAsia="zh-CN"/>
        </w:rPr>
        <w:t>10.29</w:t>
      </w:r>
      <w:r>
        <w:rPr>
          <w:rStyle w:val="18"/>
          <w:rFonts w:eastAsia="仿宋_GB2312"/>
          <w:b w:val="0"/>
          <w:bCs/>
          <w:sz w:val="32"/>
          <w:szCs w:val="32"/>
        </w:rPr>
        <w:t>万元，完成预算100%，决算数等于预算数。</w:t>
      </w:r>
    </w:p>
    <w:p w14:paraId="4D851574">
      <w:pPr>
        <w:pStyle w:val="2"/>
        <w:spacing w:before="93" w:line="560" w:lineRule="exact"/>
        <w:ind w:firstLine="640" w:firstLineChars="200"/>
        <w:rPr>
          <w:rStyle w:val="18"/>
          <w:rFonts w:ascii="Times New Roman"/>
          <w:b w:val="0"/>
          <w:bCs/>
          <w:sz w:val="32"/>
          <w:szCs w:val="32"/>
        </w:rPr>
      </w:pPr>
      <w:r>
        <w:rPr>
          <w:rStyle w:val="18"/>
          <w:rFonts w:hint="eastAsia" w:ascii="Times New Roman"/>
          <w:b w:val="0"/>
          <w:bCs/>
          <w:sz w:val="32"/>
          <w:szCs w:val="32"/>
          <w:lang w:val="en-US" w:eastAsia="zh-CN"/>
        </w:rPr>
        <w:t>10</w:t>
      </w:r>
      <w:r>
        <w:rPr>
          <w:rStyle w:val="18"/>
          <w:rFonts w:ascii="Times New Roman"/>
          <w:b w:val="0"/>
          <w:bCs/>
          <w:sz w:val="32"/>
          <w:szCs w:val="32"/>
        </w:rPr>
        <w:t>.</w:t>
      </w:r>
      <w:r>
        <w:rPr>
          <w:rStyle w:val="18"/>
          <w:rFonts w:ascii="Times New Roman"/>
          <w:sz w:val="32"/>
          <w:szCs w:val="32"/>
        </w:rPr>
        <w:t>卫生健康支出（类）</w:t>
      </w:r>
      <w:r>
        <w:rPr>
          <w:rStyle w:val="18"/>
          <w:sz w:val="32"/>
          <w:szCs w:val="32"/>
        </w:rPr>
        <w:t>行政事业单位医疗（款）事业单位医疗</w:t>
      </w:r>
      <w:r>
        <w:rPr>
          <w:rStyle w:val="18"/>
          <w:rFonts w:ascii="Times New Roman"/>
          <w:sz w:val="32"/>
          <w:szCs w:val="32"/>
        </w:rPr>
        <w:t>（项）</w:t>
      </w:r>
      <w:r>
        <w:rPr>
          <w:rStyle w:val="18"/>
          <w:rFonts w:ascii="Times New Roman"/>
          <w:b w:val="0"/>
          <w:bCs/>
          <w:sz w:val="32"/>
          <w:szCs w:val="32"/>
        </w:rPr>
        <w:t>:支出决算为</w:t>
      </w:r>
      <w:r>
        <w:rPr>
          <w:rStyle w:val="18"/>
          <w:rFonts w:hint="eastAsia" w:ascii="Times New Roman"/>
          <w:b w:val="0"/>
          <w:bCs/>
          <w:sz w:val="32"/>
          <w:szCs w:val="32"/>
          <w:lang w:val="en-US" w:eastAsia="zh-CN"/>
        </w:rPr>
        <w:t>45.15</w:t>
      </w:r>
      <w:r>
        <w:rPr>
          <w:rStyle w:val="18"/>
          <w:rFonts w:ascii="Times New Roman"/>
          <w:b w:val="0"/>
          <w:bCs/>
          <w:sz w:val="32"/>
          <w:szCs w:val="32"/>
        </w:rPr>
        <w:t>万元，完成预算100%，决算数等于预算数。</w:t>
      </w:r>
    </w:p>
    <w:p w14:paraId="0CDE2EC0">
      <w:pPr>
        <w:pStyle w:val="2"/>
        <w:spacing w:before="93" w:line="560" w:lineRule="exact"/>
        <w:ind w:firstLine="640" w:firstLineChars="200"/>
        <w:rPr>
          <w:rStyle w:val="18"/>
          <w:rFonts w:ascii="Times New Roman"/>
          <w:b w:val="0"/>
          <w:bCs/>
          <w:sz w:val="32"/>
          <w:szCs w:val="32"/>
        </w:rPr>
      </w:pPr>
      <w:r>
        <w:rPr>
          <w:rStyle w:val="18"/>
          <w:rFonts w:hint="eastAsia" w:ascii="Times New Roman"/>
          <w:b w:val="0"/>
          <w:bCs/>
          <w:sz w:val="32"/>
          <w:szCs w:val="32"/>
          <w:lang w:val="en-US" w:eastAsia="zh-CN"/>
        </w:rPr>
        <w:t>11</w:t>
      </w:r>
      <w:r>
        <w:rPr>
          <w:rStyle w:val="18"/>
          <w:rFonts w:ascii="Times New Roman"/>
          <w:b w:val="0"/>
          <w:bCs/>
          <w:sz w:val="32"/>
          <w:szCs w:val="32"/>
        </w:rPr>
        <w:t>.</w:t>
      </w:r>
      <w:r>
        <w:rPr>
          <w:rStyle w:val="18"/>
          <w:rFonts w:ascii="Times New Roman"/>
          <w:sz w:val="32"/>
          <w:szCs w:val="32"/>
        </w:rPr>
        <w:t>卫生健康支出（类）</w:t>
      </w:r>
      <w:r>
        <w:rPr>
          <w:rStyle w:val="18"/>
          <w:sz w:val="32"/>
          <w:szCs w:val="32"/>
        </w:rPr>
        <w:t>行政事业单位医疗（款）</w:t>
      </w:r>
      <w:r>
        <w:rPr>
          <w:rStyle w:val="18"/>
          <w:rFonts w:hint="eastAsia"/>
          <w:sz w:val="32"/>
          <w:szCs w:val="32"/>
        </w:rPr>
        <w:t>其他行政事业单位医疗支出</w:t>
      </w:r>
      <w:r>
        <w:rPr>
          <w:rStyle w:val="18"/>
          <w:rFonts w:ascii="Times New Roman"/>
          <w:sz w:val="32"/>
          <w:szCs w:val="32"/>
        </w:rPr>
        <w:t>（项）</w:t>
      </w:r>
      <w:r>
        <w:rPr>
          <w:rStyle w:val="18"/>
          <w:rFonts w:ascii="Times New Roman"/>
          <w:b w:val="0"/>
          <w:bCs/>
          <w:sz w:val="32"/>
          <w:szCs w:val="32"/>
        </w:rPr>
        <w:t>:支出决算为</w:t>
      </w:r>
      <w:r>
        <w:rPr>
          <w:rStyle w:val="18"/>
          <w:rFonts w:hint="eastAsia" w:ascii="Times New Roman"/>
          <w:b w:val="0"/>
          <w:bCs/>
          <w:sz w:val="32"/>
          <w:szCs w:val="32"/>
          <w:lang w:val="en-US" w:eastAsia="zh-CN"/>
        </w:rPr>
        <w:t>26.49</w:t>
      </w:r>
      <w:r>
        <w:rPr>
          <w:rStyle w:val="18"/>
          <w:rFonts w:ascii="Times New Roman"/>
          <w:b w:val="0"/>
          <w:bCs/>
          <w:sz w:val="32"/>
          <w:szCs w:val="32"/>
        </w:rPr>
        <w:t>万元，完成预算100%，决算数等于预算数。</w:t>
      </w:r>
    </w:p>
    <w:p w14:paraId="41C0DFF6">
      <w:pPr>
        <w:spacing w:line="560" w:lineRule="exact"/>
        <w:ind w:firstLine="640" w:firstLineChars="200"/>
        <w:rPr>
          <w:rFonts w:eastAsia="仿宋_GB2312" w:cs="仿宋_GB2312"/>
          <w:sz w:val="32"/>
          <w:szCs w:val="32"/>
        </w:rPr>
      </w:pPr>
      <w:r>
        <w:rPr>
          <w:rStyle w:val="18"/>
          <w:rFonts w:eastAsia="仿宋_GB2312"/>
          <w:b w:val="0"/>
          <w:bCs/>
          <w:sz w:val="32"/>
          <w:szCs w:val="32"/>
        </w:rPr>
        <w:t>1</w:t>
      </w:r>
      <w:r>
        <w:rPr>
          <w:rStyle w:val="18"/>
          <w:rFonts w:hint="eastAsia" w:eastAsia="仿宋_GB2312"/>
          <w:b w:val="0"/>
          <w:bCs/>
          <w:sz w:val="32"/>
          <w:szCs w:val="32"/>
          <w:lang w:val="en-US" w:eastAsia="zh-CN"/>
        </w:rPr>
        <w:t>2</w:t>
      </w:r>
      <w:r>
        <w:rPr>
          <w:rStyle w:val="18"/>
          <w:rFonts w:eastAsia="仿宋_GB2312"/>
          <w:b w:val="0"/>
          <w:bCs/>
          <w:sz w:val="32"/>
          <w:szCs w:val="32"/>
        </w:rPr>
        <w:t>.</w:t>
      </w:r>
      <w:r>
        <w:rPr>
          <w:rStyle w:val="18"/>
          <w:rFonts w:eastAsia="仿宋_GB2312"/>
          <w:sz w:val="32"/>
          <w:szCs w:val="32"/>
        </w:rPr>
        <w:t xml:space="preserve"> 住房保障支出（类）住房改革支出（款）住房公积金（项）</w:t>
      </w:r>
      <w:r>
        <w:rPr>
          <w:rStyle w:val="18"/>
          <w:rFonts w:eastAsia="仿宋_GB2312"/>
          <w:b w:val="0"/>
          <w:bCs/>
          <w:sz w:val="32"/>
          <w:szCs w:val="32"/>
        </w:rPr>
        <w:t>:支出决算为</w:t>
      </w:r>
      <w:r>
        <w:rPr>
          <w:rStyle w:val="18"/>
          <w:rFonts w:hint="eastAsia" w:eastAsia="仿宋_GB2312"/>
          <w:b w:val="0"/>
          <w:bCs/>
          <w:sz w:val="32"/>
          <w:szCs w:val="32"/>
          <w:lang w:val="en-US" w:eastAsia="zh-CN"/>
        </w:rPr>
        <w:t>68.81</w:t>
      </w:r>
      <w:r>
        <w:rPr>
          <w:rStyle w:val="18"/>
          <w:rFonts w:eastAsia="仿宋_GB2312"/>
          <w:b w:val="0"/>
          <w:bCs/>
          <w:sz w:val="32"/>
          <w:szCs w:val="32"/>
        </w:rPr>
        <w:t>万元，完成预算100%，决算数等于预算数。</w:t>
      </w:r>
    </w:p>
    <w:p w14:paraId="5C980766">
      <w:pPr>
        <w:tabs>
          <w:tab w:val="right" w:pos="8306"/>
        </w:tabs>
        <w:spacing w:line="600" w:lineRule="exact"/>
        <w:ind w:firstLine="640"/>
        <w:outlineLvl w:val="1"/>
        <w:rPr>
          <w:rStyle w:val="30"/>
          <w:rFonts w:ascii="Times New Roman" w:hAnsi="Times New Roman"/>
        </w:rPr>
      </w:pPr>
      <w:bookmarkStart w:id="30" w:name="_Toc15396608"/>
      <w:bookmarkStart w:id="31" w:name="_Toc15377214"/>
      <w:r>
        <w:rPr>
          <w:rFonts w:hint="eastAsia" w:eastAsia="黑体"/>
          <w:sz w:val="32"/>
          <w:szCs w:val="32"/>
        </w:rPr>
        <w:t>六</w:t>
      </w:r>
      <w:r>
        <w:rPr>
          <w:rFonts w:hint="eastAsia" w:eastAsia="黑体"/>
          <w:b/>
          <w:sz w:val="32"/>
          <w:szCs w:val="32"/>
        </w:rPr>
        <w:t>、一</w:t>
      </w:r>
      <w:r>
        <w:rPr>
          <w:rStyle w:val="30"/>
          <w:rFonts w:hint="eastAsia" w:ascii="Times New Roman" w:hAnsi="Times New Roman" w:eastAsia="黑体"/>
          <w:b w:val="0"/>
        </w:rPr>
        <w:t>般公共预算财政拨款基本支出决算情况说明</w:t>
      </w:r>
      <w:bookmarkEnd w:id="30"/>
      <w:bookmarkEnd w:id="31"/>
      <w:r>
        <w:rPr>
          <w:rStyle w:val="30"/>
          <w:rFonts w:ascii="Times New Roman" w:hAnsi="Times New Roman" w:eastAsia="黑体"/>
          <w:b w:val="0"/>
        </w:rPr>
        <w:tab/>
      </w:r>
    </w:p>
    <w:p w14:paraId="1A1BC60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931.84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782F3C53">
      <w:pPr>
        <w:spacing w:line="600" w:lineRule="exact"/>
        <w:ind w:firstLine="640"/>
        <w:rPr>
          <w:rFonts w:eastAsia="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882.9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w:t>
      </w:r>
      <w:r>
        <w:rPr>
          <w:rFonts w:eastAsia="仿宋_GB2312"/>
          <w:color w:val="000000" w:themeColor="text1"/>
          <w:sz w:val="32"/>
          <w:szCs w:val="32"/>
          <w14:textFill>
            <w14:solidFill>
              <w14:schemeClr w14:val="tx1"/>
            </w14:solidFill>
          </w14:textFill>
        </w:rPr>
        <w:t>基本工资、津贴补贴、绩效工资、机关事业单位基本养老保险缴费、职业年金缴费、职工基本医疗保险缴费、公务员医疗补助缴费、其他社会保障缴费、医疗费、其他工资福利支出、抚恤金、生活补助、医疗费补助、奖励金、住房公积金等。</w:t>
      </w:r>
    </w:p>
    <w:p w14:paraId="2B4080F6">
      <w:pPr>
        <w:spacing w:line="560" w:lineRule="exact"/>
        <w:ind w:firstLine="640" w:firstLineChars="200"/>
        <w:rPr>
          <w:rFonts w:eastAsia="仿宋_GB2312" w:cs="仿宋_GB2312"/>
          <w:sz w:val="32"/>
          <w:szCs w:val="32"/>
        </w:rPr>
      </w:pPr>
      <w:r>
        <w:rPr>
          <w:rFonts w:hint="eastAsia" w:ascii="Times New Roman" w:hAnsi="Times New Roman" w:eastAsia="仿宋_GB2312" w:cs="仿宋_GB2312"/>
          <w:color w:val="auto"/>
          <w:kern w:val="2"/>
          <w:sz w:val="32"/>
          <w:szCs w:val="32"/>
          <w:highlight w:val="none"/>
          <w:lang w:val="en-US" w:eastAsia="zh-CN" w:bidi="ar-SA"/>
        </w:rPr>
        <w:t>公用经费</w:t>
      </w:r>
      <w:r>
        <w:rPr>
          <w:rFonts w:hint="eastAsia" w:ascii="仿宋_GB2312" w:hAnsi="仿宋_GB2312" w:eastAsia="仿宋_GB2312" w:cs="仿宋_GB2312"/>
          <w:sz w:val="32"/>
          <w:szCs w:val="32"/>
        </w:rPr>
        <w:t>48.94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w:t>
      </w:r>
      <w:r>
        <w:rPr>
          <w:rFonts w:eastAsia="仿宋_GB2312"/>
          <w:color w:val="000000" w:themeColor="text1"/>
          <w:sz w:val="32"/>
          <w:szCs w:val="32"/>
          <w14:textFill>
            <w14:solidFill>
              <w14:schemeClr w14:val="tx1"/>
            </w14:solidFill>
          </w14:textFill>
        </w:rPr>
        <w:t>办公费、水费、电费、邮电费、差旅费、维修（护）费、培训费、专用材料费、劳务费、工会经费、福利费、其他交通费用、其他商品和服务支出等。</w:t>
      </w:r>
    </w:p>
    <w:p w14:paraId="1BB3C074">
      <w:pPr>
        <w:spacing w:line="600" w:lineRule="exact"/>
        <w:ind w:firstLine="640"/>
        <w:outlineLvl w:val="1"/>
        <w:rPr>
          <w:rStyle w:val="30"/>
          <w:rFonts w:ascii="Times New Roman" w:hAnsi="Times New Roman" w:eastAsia="黑体"/>
          <w:b w:val="0"/>
        </w:rPr>
      </w:pPr>
      <w:bookmarkStart w:id="32" w:name="_Toc15396609"/>
      <w:bookmarkStart w:id="33" w:name="_Toc15377215"/>
      <w:r>
        <w:rPr>
          <w:rFonts w:hint="eastAsia" w:eastAsia="黑体"/>
          <w:sz w:val="32"/>
          <w:szCs w:val="32"/>
        </w:rPr>
        <w:t>七、</w:t>
      </w:r>
      <w:r>
        <w:rPr>
          <w:rStyle w:val="30"/>
          <w:rFonts w:hint="eastAsia" w:ascii="Times New Roman" w:hAnsi="Times New Roman" w:eastAsia="黑体"/>
          <w:b w:val="0"/>
        </w:rPr>
        <w:t>财政拨款</w:t>
      </w:r>
      <w:r>
        <w:rPr>
          <w:rStyle w:val="30"/>
          <w:rFonts w:hint="eastAsia" w:ascii="Times New Roman" w:hAnsi="Times New Roman" w:eastAsia="黑体"/>
        </w:rPr>
        <w:t>“</w:t>
      </w:r>
      <w:r>
        <w:rPr>
          <w:rStyle w:val="30"/>
          <w:rFonts w:hint="eastAsia" w:ascii="Times New Roman" w:hAnsi="Times New Roman" w:eastAsia="黑体"/>
          <w:b w:val="0"/>
        </w:rPr>
        <w:t>三公”经费支出决算情况说明</w:t>
      </w:r>
      <w:bookmarkEnd w:id="32"/>
      <w:bookmarkEnd w:id="33"/>
    </w:p>
    <w:p w14:paraId="652E46B5">
      <w:pPr>
        <w:spacing w:line="600" w:lineRule="exact"/>
        <w:ind w:firstLine="643" w:firstLineChars="200"/>
        <w:outlineLvl w:val="2"/>
        <w:rPr>
          <w:rFonts w:eastAsia="楷体_GB2312" w:cs="楷体_GB2312"/>
          <w:b/>
          <w:sz w:val="32"/>
          <w:szCs w:val="32"/>
        </w:rPr>
      </w:pPr>
      <w:bookmarkStart w:id="34" w:name="_Toc15377216"/>
      <w:r>
        <w:rPr>
          <w:rFonts w:hint="eastAsia" w:eastAsia="楷体_GB2312" w:cs="楷体_GB2312"/>
          <w:b/>
          <w:sz w:val="32"/>
          <w:szCs w:val="32"/>
        </w:rPr>
        <w:t>（一）“三公”经费财政拨款支出决算总体情况说明</w:t>
      </w:r>
      <w:bookmarkEnd w:id="34"/>
    </w:p>
    <w:p w14:paraId="6A34E330">
      <w:pPr>
        <w:spacing w:line="600" w:lineRule="exact"/>
        <w:ind w:firstLine="640"/>
        <w:rPr>
          <w:rFonts w:hint="eastAsia" w:eastAsia="仿宋_GB2312" w:cs="仿宋_GB2312"/>
          <w:b/>
          <w:bCs/>
          <w:sz w:val="32"/>
          <w:szCs w:val="32"/>
          <w:lang w:eastAsia="zh-CN"/>
        </w:rPr>
      </w:pPr>
      <w:r>
        <w:rPr>
          <w:rFonts w:hint="eastAsia" w:eastAsia="仿宋_GB2312" w:cs="仿宋_GB2312"/>
          <w:sz w:val="32"/>
          <w:szCs w:val="32"/>
        </w:rPr>
        <w:t>2024年度“三公”经费财政拨款支出决算为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eastAsia="仿宋_GB2312" w:cs="仿宋_GB2312"/>
          <w:sz w:val="32"/>
          <w:szCs w:val="32"/>
        </w:rPr>
        <w:t>较上年度增加</w:t>
      </w:r>
      <w:r>
        <w:rPr>
          <w:rFonts w:hint="eastAsia" w:eastAsia="仿宋_GB2312" w:cs="仿宋_GB2312"/>
          <w:sz w:val="32"/>
          <w:szCs w:val="32"/>
          <w:lang w:val="en-US" w:eastAsia="zh-CN"/>
        </w:rPr>
        <w:t>0</w:t>
      </w:r>
      <w:r>
        <w:rPr>
          <w:rFonts w:hint="eastAsia" w:eastAsia="仿宋_GB2312" w:cs="仿宋_GB2312"/>
          <w:sz w:val="32"/>
          <w:szCs w:val="32"/>
        </w:rPr>
        <w:t>万元，增长</w:t>
      </w:r>
      <w:r>
        <w:rPr>
          <w:rFonts w:hint="eastAsia" w:eastAsia="仿宋_GB2312" w:cs="仿宋_GB2312"/>
          <w:sz w:val="32"/>
          <w:szCs w:val="32"/>
          <w:lang w:val="en-US" w:eastAsia="zh-CN"/>
        </w:rPr>
        <w:t>0</w:t>
      </w:r>
      <w:r>
        <w:rPr>
          <w:rFonts w:hint="eastAsia" w:eastAsia="仿宋_GB2312" w:cs="仿宋_GB2312"/>
          <w:sz w:val="32"/>
          <w:szCs w:val="32"/>
        </w:rPr>
        <w:t>%。决算数与预算数持平的主要原因是</w:t>
      </w:r>
      <w:r>
        <w:rPr>
          <w:rFonts w:eastAsia="仿宋_GB2312"/>
          <w:sz w:val="32"/>
          <w:szCs w:val="32"/>
        </w:rPr>
        <w:t>今年的没有产生三公经费</w:t>
      </w:r>
      <w:r>
        <w:rPr>
          <w:rFonts w:hint="eastAsia" w:eastAsia="仿宋_GB2312"/>
          <w:sz w:val="32"/>
          <w:szCs w:val="32"/>
          <w:lang w:eastAsia="zh-CN"/>
        </w:rPr>
        <w:t>。</w:t>
      </w:r>
    </w:p>
    <w:p w14:paraId="125C6B43">
      <w:pPr>
        <w:spacing w:line="600" w:lineRule="exact"/>
        <w:ind w:firstLine="643" w:firstLineChars="200"/>
        <w:outlineLvl w:val="2"/>
        <w:rPr>
          <w:rFonts w:eastAsia="楷体_GB2312" w:cs="楷体_GB2312"/>
          <w:b/>
          <w:sz w:val="32"/>
          <w:szCs w:val="32"/>
        </w:rPr>
      </w:pPr>
      <w:bookmarkStart w:id="35" w:name="_Toc15377217"/>
      <w:r>
        <w:rPr>
          <w:rFonts w:hint="eastAsia" w:eastAsia="楷体_GB2312" w:cs="楷体_GB2312"/>
          <w:b/>
          <w:sz w:val="32"/>
          <w:szCs w:val="32"/>
        </w:rPr>
        <w:t>（二）“三公”经费财政拨款支出决算具体情况说明</w:t>
      </w:r>
      <w:bookmarkEnd w:id="35"/>
    </w:p>
    <w:p w14:paraId="205FDC67">
      <w:pPr>
        <w:spacing w:line="600" w:lineRule="exact"/>
        <w:ind w:firstLine="640"/>
        <w:rPr>
          <w:rFonts w:hint="eastAsia" w:eastAsia="仿宋_GB2312" w:cs="仿宋_GB2312"/>
          <w:sz w:val="32"/>
          <w:szCs w:val="32"/>
        </w:rPr>
      </w:pPr>
      <w:r>
        <w:rPr>
          <w:rFonts w:hint="eastAsia" w:ascii="仿宋_GB2312" w:hAnsi="仿宋_GB2312" w:eastAsia="仿宋_GB2312" w:cs="仿宋_GB2312"/>
          <w:sz w:val="32"/>
          <w:szCs w:val="32"/>
        </w:rPr>
        <w:t>2024年度“三公”经费财政拨款支出决算中，因公出国（境）费支出决算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%；公务用车购置及运行维护费支出决算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%；公务接待费支出决算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%。具体情况如下：</w:t>
      </w:r>
    </w:p>
    <w:p w14:paraId="33A48D8D">
      <w:pPr>
        <w:spacing w:line="600" w:lineRule="exact"/>
        <w:ind w:firstLine="640"/>
        <w:rPr>
          <w:rFonts w:hint="eastAsia" w:eastAsia="仿宋_GB2312" w:cs="仿宋_GB2312"/>
          <w:sz w:val="32"/>
          <w:szCs w:val="32"/>
          <w:lang w:eastAsia="zh-CN"/>
        </w:rPr>
      </w:pPr>
      <w:r>
        <w:rPr>
          <w:rFonts w:hint="eastAsia" w:eastAsia="仿宋_GB2312" w:cs="仿宋_GB2312"/>
          <w:b/>
          <w:bCs/>
          <w:sz w:val="32"/>
          <w:szCs w:val="32"/>
        </w:rPr>
        <w:t>1.因公出国（境）经费支出</w:t>
      </w:r>
      <w:r>
        <w:rPr>
          <w:rFonts w:hint="eastAsia" w:eastAsia="仿宋_GB2312" w:cs="仿宋_GB2312"/>
          <w:b/>
          <w:bCs/>
          <w:sz w:val="32"/>
          <w:szCs w:val="32"/>
          <w:lang w:val="en-US" w:eastAsia="zh-CN"/>
        </w:rPr>
        <w:t>0</w:t>
      </w:r>
      <w:r>
        <w:rPr>
          <w:rFonts w:hint="eastAsia" w:eastAsia="仿宋_GB2312" w:cs="仿宋_GB2312"/>
          <w:b/>
          <w:bCs/>
          <w:sz w:val="32"/>
          <w:szCs w:val="32"/>
        </w:rPr>
        <w:t>万元，完成预算</w:t>
      </w:r>
      <w:r>
        <w:rPr>
          <w:rFonts w:hint="eastAsia" w:eastAsia="仿宋_GB2312" w:cs="仿宋_GB2312"/>
          <w:b/>
          <w:bCs/>
          <w:sz w:val="32"/>
          <w:szCs w:val="32"/>
          <w:lang w:val="en-US" w:eastAsia="zh-CN"/>
        </w:rPr>
        <w:t>0</w:t>
      </w:r>
      <w:r>
        <w:rPr>
          <w:rFonts w:hint="eastAsia" w:eastAsia="仿宋_GB2312" w:cs="仿宋_GB2312"/>
          <w:b/>
          <w:bCs/>
          <w:sz w:val="32"/>
          <w:szCs w:val="32"/>
        </w:rPr>
        <w:t>%。</w:t>
      </w:r>
      <w:r>
        <w:rPr>
          <w:rFonts w:hint="eastAsia" w:eastAsia="仿宋_GB2312" w:cs="仿宋_GB2312"/>
          <w:sz w:val="32"/>
          <w:szCs w:val="32"/>
        </w:rPr>
        <w:t>全年安排因公出国（境）团</w:t>
      </w:r>
      <w:r>
        <w:rPr>
          <w:rFonts w:hint="eastAsia" w:ascii="仿宋_GB2312" w:hAnsi="仿宋_GB2312" w:eastAsia="仿宋_GB2312" w:cs="仿宋_GB2312"/>
          <w:sz w:val="32"/>
          <w:szCs w:val="32"/>
        </w:rPr>
        <w:t>组</w:t>
      </w:r>
      <w:r>
        <w:rPr>
          <w:rFonts w:hint="eastAsia" w:ascii="仿宋_GB2312" w:hAnsi="仿宋_GB2312" w:eastAsia="仿宋_GB2312" w:cs="仿宋_GB2312"/>
          <w:sz w:val="32"/>
          <w:szCs w:val="32"/>
          <w:lang w:val="en-US" w:eastAsia="zh-CN"/>
        </w:rPr>
        <w:t>0</w:t>
      </w:r>
      <w:r>
        <w:rPr>
          <w:rFonts w:hint="eastAsia" w:eastAsia="仿宋_GB2312" w:cs="仿宋_GB2312"/>
          <w:sz w:val="32"/>
          <w:szCs w:val="32"/>
        </w:rPr>
        <w:t>次，出国（境）</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w:t>
      </w:r>
      <w:r>
        <w:rPr>
          <w:rFonts w:hint="eastAsia" w:eastAsia="仿宋_GB2312" w:cs="仿宋_GB2312"/>
          <w:sz w:val="32"/>
          <w:szCs w:val="32"/>
        </w:rPr>
        <w:t>。因公出国（境）支出决算比2023年增加</w:t>
      </w:r>
      <w:r>
        <w:rPr>
          <w:rFonts w:hint="eastAsia" w:eastAsia="仿宋_GB2312" w:cs="仿宋_GB2312"/>
          <w:sz w:val="32"/>
          <w:szCs w:val="32"/>
          <w:lang w:val="en-US" w:eastAsia="zh-CN"/>
        </w:rPr>
        <w:t>0</w:t>
      </w:r>
      <w:r>
        <w:rPr>
          <w:rFonts w:hint="eastAsia" w:eastAsia="仿宋_GB2312" w:cs="仿宋_GB2312"/>
          <w:sz w:val="32"/>
          <w:szCs w:val="32"/>
        </w:rPr>
        <w:t>万元，增长</w:t>
      </w:r>
      <w:r>
        <w:rPr>
          <w:rFonts w:hint="eastAsia" w:eastAsia="仿宋_GB2312" w:cs="仿宋_GB2312"/>
          <w:sz w:val="32"/>
          <w:szCs w:val="32"/>
          <w:lang w:val="en-US" w:eastAsia="zh-CN"/>
        </w:rPr>
        <w:t>0</w:t>
      </w:r>
      <w:r>
        <w:rPr>
          <w:rFonts w:hint="eastAsia" w:eastAsia="仿宋_GB2312" w:cs="仿宋_GB2312"/>
          <w:sz w:val="32"/>
          <w:szCs w:val="32"/>
        </w:rPr>
        <w:t>%。主要原因是</w:t>
      </w:r>
      <w:r>
        <w:rPr>
          <w:rFonts w:eastAsia="仿宋_GB2312"/>
          <w:sz w:val="32"/>
          <w:szCs w:val="32"/>
        </w:rPr>
        <w:t>今年的没有产生三公经费</w:t>
      </w:r>
      <w:r>
        <w:rPr>
          <w:rFonts w:hint="eastAsia" w:eastAsia="仿宋_GB2312"/>
          <w:sz w:val="32"/>
          <w:szCs w:val="32"/>
          <w:lang w:eastAsia="zh-CN"/>
        </w:rPr>
        <w:t>。</w:t>
      </w:r>
    </w:p>
    <w:p w14:paraId="30948B25">
      <w:pPr>
        <w:spacing w:line="600" w:lineRule="exact"/>
        <w:ind w:firstLine="640"/>
        <w:rPr>
          <w:rFonts w:hint="eastAsia" w:eastAsia="仿宋_GB2312"/>
          <w:sz w:val="32"/>
          <w:szCs w:val="32"/>
          <w:lang w:eastAsia="zh-CN"/>
        </w:rPr>
      </w:pPr>
      <w:r>
        <w:rPr>
          <w:rFonts w:hint="eastAsia" w:eastAsia="仿宋_GB2312" w:cs="仿宋_GB2312"/>
          <w:b/>
          <w:bCs/>
          <w:sz w:val="32"/>
          <w:szCs w:val="32"/>
        </w:rPr>
        <w:t>2.公务用车购置及运行维护费支出</w:t>
      </w:r>
      <w:r>
        <w:rPr>
          <w:rFonts w:hint="eastAsia" w:ascii="仿宋_GB2312" w:hAnsi="仿宋_GB2312" w:eastAsia="仿宋_GB2312" w:cs="仿宋_GB2312"/>
          <w:b/>
          <w:bCs/>
          <w:sz w:val="32"/>
          <w:szCs w:val="32"/>
          <w:lang w:val="en-US" w:eastAsia="zh-CN"/>
        </w:rPr>
        <w:t>0</w:t>
      </w:r>
      <w:r>
        <w:rPr>
          <w:rFonts w:hint="eastAsia" w:ascii="仿宋_GB2312" w:hAnsi="仿宋_GB2312" w:eastAsia="仿宋_GB2312" w:cs="仿宋_GB2312"/>
          <w:b/>
          <w:bCs/>
          <w:sz w:val="32"/>
          <w:szCs w:val="32"/>
        </w:rPr>
        <w:t>万</w:t>
      </w:r>
      <w:r>
        <w:rPr>
          <w:rFonts w:hint="eastAsia" w:eastAsia="仿宋_GB2312" w:cs="仿宋_GB2312"/>
          <w:b/>
          <w:bCs/>
          <w:sz w:val="32"/>
          <w:szCs w:val="32"/>
        </w:rPr>
        <w:t>元，完成预算</w:t>
      </w:r>
      <w:r>
        <w:rPr>
          <w:rFonts w:hint="eastAsia" w:eastAsia="仿宋_GB2312" w:cs="仿宋_GB2312"/>
          <w:b/>
          <w:bCs/>
          <w:sz w:val="32"/>
          <w:szCs w:val="32"/>
          <w:lang w:val="en-US" w:eastAsia="zh-CN"/>
        </w:rPr>
        <w:t>0</w:t>
      </w:r>
      <w:r>
        <w:rPr>
          <w:rFonts w:hint="eastAsia" w:eastAsia="仿宋_GB2312" w:cs="仿宋_GB2312"/>
          <w:b/>
          <w:bCs/>
          <w:sz w:val="32"/>
          <w:szCs w:val="32"/>
        </w:rPr>
        <w:t>%。</w:t>
      </w:r>
      <w:r>
        <w:rPr>
          <w:rFonts w:hint="eastAsia" w:eastAsia="仿宋_GB2312" w:cs="仿宋_GB2312"/>
          <w:sz w:val="32"/>
          <w:szCs w:val="32"/>
        </w:rPr>
        <w:t>公务用车购置及运行维护费支出决算比202</w:t>
      </w:r>
      <w:r>
        <w:rPr>
          <w:rFonts w:hint="eastAsia" w:eastAsia="仿宋_GB2312" w:cs="仿宋_GB2312"/>
          <w:sz w:val="32"/>
          <w:szCs w:val="32"/>
          <w:lang w:val="en-US" w:eastAsia="zh-CN"/>
        </w:rPr>
        <w:t>3</w:t>
      </w:r>
      <w:r>
        <w:rPr>
          <w:rFonts w:hint="eastAsia" w:eastAsia="仿宋_GB2312" w:cs="仿宋_GB2312"/>
          <w:sz w:val="32"/>
          <w:szCs w:val="32"/>
        </w:rPr>
        <w:t>年度增加</w:t>
      </w:r>
      <w:r>
        <w:rPr>
          <w:rFonts w:hint="eastAsia" w:eastAsia="仿宋_GB2312" w:cs="仿宋_GB2312"/>
          <w:sz w:val="32"/>
          <w:szCs w:val="32"/>
          <w:lang w:val="en-US" w:eastAsia="zh-CN"/>
        </w:rPr>
        <w:t>0</w:t>
      </w:r>
      <w:r>
        <w:rPr>
          <w:rFonts w:hint="eastAsia" w:eastAsia="仿宋_GB2312" w:cs="仿宋_GB2312"/>
          <w:sz w:val="32"/>
          <w:szCs w:val="32"/>
        </w:rPr>
        <w:t>万元，增长</w:t>
      </w:r>
      <w:r>
        <w:rPr>
          <w:rFonts w:hint="eastAsia" w:eastAsia="仿宋_GB2312" w:cs="仿宋_GB2312"/>
          <w:sz w:val="32"/>
          <w:szCs w:val="32"/>
          <w:lang w:val="en-US" w:eastAsia="zh-CN"/>
        </w:rPr>
        <w:t>0</w:t>
      </w:r>
      <w:r>
        <w:rPr>
          <w:rFonts w:hint="eastAsia" w:eastAsia="仿宋_GB2312" w:cs="仿宋_GB2312"/>
          <w:sz w:val="32"/>
          <w:szCs w:val="32"/>
        </w:rPr>
        <w:t>%。主要原因是</w:t>
      </w:r>
      <w:r>
        <w:rPr>
          <w:rFonts w:eastAsia="仿宋_GB2312"/>
          <w:sz w:val="32"/>
          <w:szCs w:val="32"/>
        </w:rPr>
        <w:t>今年的没有产生三公经费</w:t>
      </w:r>
      <w:r>
        <w:rPr>
          <w:rFonts w:hint="eastAsia" w:eastAsia="仿宋_GB2312"/>
          <w:sz w:val="32"/>
          <w:szCs w:val="32"/>
          <w:lang w:eastAsia="zh-CN"/>
        </w:rPr>
        <w:t>。</w:t>
      </w:r>
    </w:p>
    <w:p w14:paraId="525C0899">
      <w:pPr>
        <w:spacing w:line="600" w:lineRule="exact"/>
        <w:ind w:firstLine="640"/>
        <w:rPr>
          <w:rFonts w:eastAsia="仿宋_GB2312" w:cs="仿宋_GB2312"/>
          <w:sz w:val="32"/>
          <w:szCs w:val="32"/>
        </w:rPr>
      </w:pPr>
      <w:r>
        <w:rPr>
          <w:rFonts w:hint="eastAsia" w:eastAsia="仿宋_GB2312" w:cs="仿宋_GB2312"/>
          <w:sz w:val="32"/>
          <w:szCs w:val="32"/>
        </w:rPr>
        <w:t>其中：公务用车购置支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0</w:t>
      </w:r>
      <w:r>
        <w:rPr>
          <w:rFonts w:hint="eastAsia" w:eastAsia="仿宋_GB2312" w:cs="仿宋_GB2312"/>
          <w:sz w:val="32"/>
          <w:szCs w:val="32"/>
        </w:rPr>
        <w:t>万元。全年按规定更新购置公务用车</w:t>
      </w:r>
      <w:r>
        <w:rPr>
          <w:rFonts w:hint="eastAsia" w:eastAsia="仿宋_GB2312" w:cs="仿宋_GB2312"/>
          <w:sz w:val="32"/>
          <w:szCs w:val="32"/>
          <w:lang w:val="en-US" w:eastAsia="zh-CN"/>
        </w:rPr>
        <w:t>0</w:t>
      </w:r>
      <w:r>
        <w:rPr>
          <w:rFonts w:hint="eastAsia" w:eastAsia="仿宋_GB2312" w:cs="仿宋_GB2312"/>
          <w:sz w:val="32"/>
          <w:szCs w:val="32"/>
        </w:rPr>
        <w:t>辆，其中：轿车</w:t>
      </w:r>
      <w:r>
        <w:rPr>
          <w:rFonts w:hint="eastAsia" w:eastAsia="仿宋_GB2312" w:cs="仿宋_GB2312"/>
          <w:sz w:val="32"/>
          <w:szCs w:val="32"/>
          <w:lang w:val="en-US" w:eastAsia="zh-CN"/>
        </w:rPr>
        <w:t>0</w:t>
      </w:r>
      <w:r>
        <w:rPr>
          <w:rFonts w:hint="eastAsia" w:eastAsia="仿宋_GB2312" w:cs="仿宋_GB2312"/>
          <w:sz w:val="32"/>
          <w:szCs w:val="32"/>
        </w:rPr>
        <w:t>辆、金额</w:t>
      </w:r>
      <w:r>
        <w:rPr>
          <w:rFonts w:hint="eastAsia" w:eastAsia="仿宋_GB2312" w:cs="仿宋_GB2312"/>
          <w:sz w:val="32"/>
          <w:szCs w:val="32"/>
          <w:lang w:val="en-US" w:eastAsia="zh-CN"/>
        </w:rPr>
        <w:t>0</w:t>
      </w:r>
      <w:r>
        <w:rPr>
          <w:rFonts w:hint="eastAsia" w:eastAsia="仿宋_GB2312" w:cs="仿宋_GB2312"/>
          <w:sz w:val="32"/>
          <w:szCs w:val="32"/>
        </w:rPr>
        <w:t>万元，越野车</w:t>
      </w:r>
      <w:r>
        <w:rPr>
          <w:rFonts w:hint="eastAsia" w:eastAsia="仿宋_GB2312" w:cs="仿宋_GB2312"/>
          <w:sz w:val="32"/>
          <w:szCs w:val="32"/>
          <w:lang w:val="en-US" w:eastAsia="zh-CN"/>
        </w:rPr>
        <w:t>0</w:t>
      </w:r>
      <w:r>
        <w:rPr>
          <w:rFonts w:hint="eastAsia" w:eastAsia="仿宋_GB2312" w:cs="仿宋_GB2312"/>
          <w:sz w:val="32"/>
          <w:szCs w:val="32"/>
        </w:rPr>
        <w:t>辆、金额</w:t>
      </w:r>
      <w:r>
        <w:rPr>
          <w:rFonts w:hint="eastAsia" w:eastAsia="仿宋_GB2312" w:cs="仿宋_GB2312"/>
          <w:sz w:val="32"/>
          <w:szCs w:val="32"/>
          <w:lang w:val="en-US" w:eastAsia="zh-CN"/>
        </w:rPr>
        <w:t>0</w:t>
      </w:r>
      <w:r>
        <w:rPr>
          <w:rFonts w:hint="eastAsia" w:eastAsia="仿宋_GB2312" w:cs="仿宋_GB2312"/>
          <w:sz w:val="32"/>
          <w:szCs w:val="32"/>
        </w:rPr>
        <w:t>万元，载客汽车</w:t>
      </w:r>
      <w:r>
        <w:rPr>
          <w:rFonts w:hint="eastAsia" w:eastAsia="仿宋_GB2312" w:cs="仿宋_GB2312"/>
          <w:sz w:val="32"/>
          <w:szCs w:val="32"/>
          <w:lang w:val="en-US" w:eastAsia="zh-CN"/>
        </w:rPr>
        <w:t>0</w:t>
      </w:r>
      <w:r>
        <w:rPr>
          <w:rFonts w:hint="eastAsia" w:eastAsia="仿宋_GB2312" w:cs="仿宋_GB2312"/>
          <w:sz w:val="32"/>
          <w:szCs w:val="32"/>
        </w:rPr>
        <w:t>辆、金额</w:t>
      </w:r>
      <w:r>
        <w:rPr>
          <w:rFonts w:hint="eastAsia" w:eastAsia="仿宋_GB2312" w:cs="仿宋_GB2312"/>
          <w:sz w:val="32"/>
          <w:szCs w:val="32"/>
          <w:lang w:val="en-US" w:eastAsia="zh-CN"/>
        </w:rPr>
        <w:t>0</w:t>
      </w:r>
      <w:r>
        <w:rPr>
          <w:rFonts w:hint="eastAsia" w:eastAsia="仿宋_GB2312" w:cs="仿宋_GB2312"/>
          <w:sz w:val="32"/>
          <w:szCs w:val="32"/>
        </w:rPr>
        <w:t>万元。截至2024年12月31日，单位共有公务用车</w:t>
      </w:r>
      <w:r>
        <w:rPr>
          <w:rFonts w:hint="eastAsia" w:eastAsia="仿宋_GB2312" w:cs="仿宋_GB2312"/>
          <w:sz w:val="32"/>
          <w:szCs w:val="32"/>
          <w:lang w:val="en-US" w:eastAsia="zh-CN"/>
        </w:rPr>
        <w:t>4</w:t>
      </w:r>
      <w:r>
        <w:rPr>
          <w:rFonts w:hint="eastAsia" w:eastAsia="仿宋_GB2312" w:cs="仿宋_GB2312"/>
          <w:sz w:val="32"/>
          <w:szCs w:val="32"/>
        </w:rPr>
        <w:t>辆，其中：</w:t>
      </w:r>
      <w:r>
        <w:rPr>
          <w:rFonts w:eastAsia="仿宋_GB2312"/>
          <w:color w:val="000000" w:themeColor="text1"/>
          <w:sz w:val="32"/>
          <w:szCs w:val="32"/>
          <w14:textFill>
            <w14:solidFill>
              <w14:schemeClr w14:val="tx1"/>
            </w14:solidFill>
          </w14:textFill>
        </w:rPr>
        <w:t>特种专业技术用车</w:t>
      </w:r>
      <w:r>
        <w:rPr>
          <w:rFonts w:hint="eastAsia" w:eastAsia="仿宋_GB2312"/>
          <w:color w:val="000000" w:themeColor="text1"/>
          <w:sz w:val="32"/>
          <w:szCs w:val="32"/>
          <w14:textFill>
            <w14:solidFill>
              <w14:schemeClr w14:val="tx1"/>
            </w14:solidFill>
          </w14:textFill>
        </w:rPr>
        <w:t>4</w:t>
      </w:r>
      <w:r>
        <w:rPr>
          <w:rFonts w:eastAsia="仿宋_GB2312"/>
          <w:color w:val="000000" w:themeColor="text1"/>
          <w:sz w:val="32"/>
          <w:szCs w:val="32"/>
          <w14:textFill>
            <w14:solidFill>
              <w14:schemeClr w14:val="tx1"/>
            </w14:solidFill>
          </w14:textFill>
        </w:rPr>
        <w:t>辆</w:t>
      </w:r>
      <w:r>
        <w:rPr>
          <w:rFonts w:hint="eastAsia" w:eastAsia="仿宋_GB2312" w:cs="仿宋_GB2312"/>
          <w:sz w:val="32"/>
          <w:szCs w:val="32"/>
        </w:rPr>
        <w:t>。</w:t>
      </w:r>
    </w:p>
    <w:p w14:paraId="60559448">
      <w:pPr>
        <w:spacing w:line="600" w:lineRule="exact"/>
        <w:ind w:firstLine="640"/>
        <w:rPr>
          <w:rFonts w:hint="eastAsia" w:eastAsia="仿宋_GB2312" w:cs="仿宋_GB2312"/>
          <w:sz w:val="32"/>
          <w:szCs w:val="32"/>
        </w:rPr>
      </w:pPr>
      <w:r>
        <w:rPr>
          <w:rFonts w:hint="eastAsia" w:eastAsia="仿宋_GB2312" w:cs="仿宋_GB2312"/>
          <w:sz w:val="32"/>
          <w:szCs w:val="32"/>
        </w:rPr>
        <w:t>公务用车运行维护费支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0</w:t>
      </w:r>
      <w:r>
        <w:rPr>
          <w:rFonts w:hint="eastAsia" w:eastAsia="仿宋_GB2312" w:cs="仿宋_GB2312"/>
          <w:sz w:val="32"/>
          <w:szCs w:val="32"/>
        </w:rPr>
        <w:t>万元。</w:t>
      </w:r>
    </w:p>
    <w:p w14:paraId="70DFC56D">
      <w:pPr>
        <w:spacing w:line="600" w:lineRule="exact"/>
        <w:ind w:firstLine="640"/>
        <w:rPr>
          <w:rFonts w:eastAsia="仿宋_GB2312" w:cs="仿宋_GB2312"/>
          <w:sz w:val="32"/>
          <w:szCs w:val="32"/>
        </w:rPr>
      </w:pPr>
      <w:r>
        <w:rPr>
          <w:rFonts w:hint="eastAsia" w:eastAsia="仿宋_GB2312" w:cs="仿宋_GB2312"/>
          <w:b/>
          <w:bCs/>
          <w:sz w:val="32"/>
          <w:szCs w:val="32"/>
        </w:rPr>
        <w:t>3.公务接待费支出</w:t>
      </w:r>
      <w:r>
        <w:rPr>
          <w:rFonts w:hint="eastAsia" w:ascii="仿宋_GB2312" w:hAnsi="仿宋_GB2312" w:eastAsia="仿宋_GB2312" w:cs="仿宋_GB2312"/>
          <w:b/>
          <w:bCs/>
          <w:sz w:val="32"/>
          <w:szCs w:val="32"/>
          <w:lang w:val="en-US" w:eastAsia="zh-CN"/>
        </w:rPr>
        <w:t>0</w:t>
      </w:r>
      <w:r>
        <w:rPr>
          <w:rFonts w:hint="eastAsia" w:ascii="仿宋_GB2312" w:hAnsi="仿宋_GB2312" w:eastAsia="仿宋_GB2312" w:cs="仿宋_GB2312"/>
          <w:b/>
          <w:bCs/>
          <w:sz w:val="32"/>
          <w:szCs w:val="32"/>
        </w:rPr>
        <w:t>万</w:t>
      </w:r>
      <w:r>
        <w:rPr>
          <w:rFonts w:hint="eastAsia" w:eastAsia="仿宋_GB2312" w:cs="仿宋_GB2312"/>
          <w:b/>
          <w:bCs/>
          <w:sz w:val="32"/>
          <w:szCs w:val="32"/>
        </w:rPr>
        <w:t>元，完成预算</w:t>
      </w:r>
      <w:r>
        <w:rPr>
          <w:rFonts w:hint="eastAsia" w:eastAsia="仿宋_GB2312" w:cs="仿宋_GB2312"/>
          <w:b/>
          <w:bCs/>
          <w:sz w:val="32"/>
          <w:szCs w:val="32"/>
          <w:lang w:val="en-US" w:eastAsia="zh-CN"/>
        </w:rPr>
        <w:t>0</w:t>
      </w:r>
      <w:r>
        <w:rPr>
          <w:rFonts w:hint="eastAsia" w:eastAsia="仿宋_GB2312" w:cs="仿宋_GB2312"/>
          <w:b/>
          <w:bCs/>
          <w:sz w:val="32"/>
          <w:szCs w:val="32"/>
        </w:rPr>
        <w:t>%。</w:t>
      </w:r>
      <w:r>
        <w:rPr>
          <w:rFonts w:hint="eastAsia" w:eastAsia="仿宋_GB2312" w:cs="仿宋_GB2312"/>
          <w:sz w:val="32"/>
          <w:szCs w:val="32"/>
        </w:rPr>
        <w:t>公务接待费支出决算比2023年度增加</w:t>
      </w:r>
      <w:r>
        <w:rPr>
          <w:rFonts w:hint="eastAsia" w:eastAsia="仿宋_GB2312" w:cs="仿宋_GB2312"/>
          <w:sz w:val="32"/>
          <w:szCs w:val="32"/>
          <w:lang w:val="en-US" w:eastAsia="zh-CN"/>
        </w:rPr>
        <w:t>0</w:t>
      </w:r>
      <w:r>
        <w:rPr>
          <w:rFonts w:hint="eastAsia" w:eastAsia="仿宋_GB2312" w:cs="仿宋_GB2312"/>
          <w:sz w:val="32"/>
          <w:szCs w:val="32"/>
        </w:rPr>
        <w:t>万元，增长</w:t>
      </w:r>
      <w:r>
        <w:rPr>
          <w:rFonts w:hint="eastAsia" w:eastAsia="仿宋_GB2312" w:cs="仿宋_GB2312"/>
          <w:sz w:val="32"/>
          <w:szCs w:val="32"/>
          <w:lang w:val="en-US" w:eastAsia="zh-CN"/>
        </w:rPr>
        <w:t>0</w:t>
      </w:r>
      <w:r>
        <w:rPr>
          <w:rFonts w:hint="eastAsia" w:eastAsia="仿宋_GB2312" w:cs="仿宋_GB2312"/>
          <w:sz w:val="32"/>
          <w:szCs w:val="32"/>
        </w:rPr>
        <w:t>%。主要原因是</w:t>
      </w:r>
      <w:r>
        <w:rPr>
          <w:rFonts w:eastAsia="仿宋_GB2312"/>
          <w:sz w:val="32"/>
          <w:szCs w:val="32"/>
        </w:rPr>
        <w:t>今年的没有产生三公经费</w:t>
      </w:r>
      <w:r>
        <w:rPr>
          <w:rFonts w:hint="eastAsia" w:eastAsia="仿宋_GB2312" w:cs="仿宋_GB2312"/>
          <w:sz w:val="32"/>
          <w:szCs w:val="32"/>
        </w:rPr>
        <w:t>。其中：</w:t>
      </w:r>
    </w:p>
    <w:p w14:paraId="2767BB70">
      <w:pPr>
        <w:spacing w:line="600" w:lineRule="exact"/>
        <w:ind w:firstLine="640"/>
        <w:rPr>
          <w:rFonts w:eastAsia="仿宋_GB2312" w:cs="仿宋_GB2312"/>
          <w:sz w:val="32"/>
          <w:szCs w:val="32"/>
        </w:rPr>
      </w:pPr>
      <w:r>
        <w:rPr>
          <w:rFonts w:hint="eastAsia" w:eastAsia="仿宋_GB2312" w:cs="仿宋_GB2312"/>
          <w:sz w:val="32"/>
          <w:szCs w:val="32"/>
        </w:rPr>
        <w:t>国内公务接待支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w:t>
      </w:r>
      <w:r>
        <w:rPr>
          <w:rFonts w:hint="eastAsia" w:eastAsia="仿宋_GB2312" w:cs="仿宋_GB2312"/>
          <w:sz w:val="32"/>
          <w:szCs w:val="32"/>
        </w:rPr>
        <w:t>元，。国内公务接</w:t>
      </w:r>
      <w:r>
        <w:rPr>
          <w:rFonts w:hint="eastAsia" w:ascii="仿宋_GB2312" w:hAnsi="仿宋_GB2312" w:eastAsia="仿宋_GB2312" w:cs="仿宋_GB2312"/>
          <w:sz w:val="32"/>
          <w:szCs w:val="32"/>
        </w:rPr>
        <w:t>待</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批次，</w:t>
      </w:r>
      <w:r>
        <w:rPr>
          <w:rFonts w:hint="eastAsia" w:ascii="仿宋_GB2312" w:hAnsi="仿宋_GB2312" w:eastAsia="仿宋_GB2312" w:cs="仿宋_GB2312"/>
          <w:sz w:val="32"/>
          <w:szCs w:val="32"/>
          <w:lang w:val="en-US" w:eastAsia="zh-CN"/>
        </w:rPr>
        <w:t>0</w:t>
      </w:r>
      <w:r>
        <w:rPr>
          <w:rFonts w:hint="eastAsia" w:eastAsia="仿宋_GB2312" w:cs="仿宋_GB2312"/>
          <w:sz w:val="32"/>
          <w:szCs w:val="32"/>
        </w:rPr>
        <w:t>人次，共计支出</w:t>
      </w:r>
      <w:r>
        <w:rPr>
          <w:rFonts w:hint="eastAsia" w:eastAsia="仿宋_GB2312" w:cs="仿宋_GB2312"/>
          <w:sz w:val="32"/>
          <w:szCs w:val="32"/>
          <w:lang w:val="en-US" w:eastAsia="zh-CN"/>
        </w:rPr>
        <w:t>0</w:t>
      </w:r>
      <w:r>
        <w:rPr>
          <w:rFonts w:hint="eastAsia" w:eastAsia="仿宋_GB2312" w:cs="仿宋_GB2312"/>
          <w:sz w:val="32"/>
          <w:szCs w:val="32"/>
        </w:rPr>
        <w:t>万元。</w:t>
      </w:r>
    </w:p>
    <w:p w14:paraId="28C825D3">
      <w:pPr>
        <w:spacing w:line="600" w:lineRule="exact"/>
        <w:ind w:firstLine="640"/>
        <w:rPr>
          <w:rFonts w:eastAsia="仿宋_GB2312" w:cs="仿宋_GB2312"/>
          <w:sz w:val="32"/>
          <w:szCs w:val="32"/>
        </w:rPr>
      </w:pPr>
      <w:r>
        <w:rPr>
          <w:rFonts w:hint="eastAsia" w:eastAsia="仿宋_GB2312" w:cs="仿宋_GB2312"/>
          <w:sz w:val="32"/>
          <w:szCs w:val="32"/>
        </w:rPr>
        <w:t>外事接待支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万元。外事接待</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批次，</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人次（，共计支出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w:t>
      </w:r>
      <w:r>
        <w:rPr>
          <w:rFonts w:hint="eastAsia" w:eastAsia="仿宋_GB2312" w:cs="仿宋_GB2312"/>
          <w:sz w:val="32"/>
          <w:szCs w:val="32"/>
        </w:rPr>
        <w:t>元。</w:t>
      </w:r>
      <w:bookmarkStart w:id="36" w:name="_Toc15377218"/>
      <w:bookmarkStart w:id="37" w:name="_Toc15396610"/>
    </w:p>
    <w:p w14:paraId="2B62A46E">
      <w:pPr>
        <w:spacing w:line="600" w:lineRule="exact"/>
        <w:ind w:firstLine="640"/>
        <w:outlineLvl w:val="1"/>
        <w:rPr>
          <w:rStyle w:val="30"/>
          <w:rFonts w:ascii="Times New Roman" w:hAnsi="Times New Roman" w:eastAsia="黑体"/>
        </w:rPr>
      </w:pPr>
      <w:r>
        <w:rPr>
          <w:rFonts w:hint="eastAsia" w:eastAsia="黑体"/>
          <w:sz w:val="32"/>
          <w:szCs w:val="32"/>
        </w:rPr>
        <w:t>八、</w:t>
      </w:r>
      <w:r>
        <w:rPr>
          <w:rStyle w:val="30"/>
          <w:rFonts w:hint="eastAsia" w:ascii="Times New Roman" w:hAnsi="Times New Roman" w:eastAsia="黑体"/>
          <w:b w:val="0"/>
        </w:rPr>
        <w:t>政府性基金预算支出决算情况说明</w:t>
      </w:r>
      <w:bookmarkEnd w:id="36"/>
      <w:bookmarkEnd w:id="37"/>
    </w:p>
    <w:p w14:paraId="73F4FDCF">
      <w:pPr>
        <w:spacing w:line="600" w:lineRule="exact"/>
        <w:ind w:firstLine="640"/>
        <w:rPr>
          <w:rFonts w:eastAsia="仿宋_GB2312" w:cs="仿宋_GB2312"/>
          <w:sz w:val="32"/>
          <w:szCs w:val="32"/>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31E70946">
      <w:pPr>
        <w:spacing w:line="600" w:lineRule="exact"/>
        <w:ind w:left="630"/>
        <w:outlineLvl w:val="1"/>
        <w:rPr>
          <w:rStyle w:val="30"/>
          <w:rFonts w:ascii="Times New Roman" w:hAnsi="Times New Roman" w:eastAsia="黑体"/>
          <w:b w:val="0"/>
        </w:rPr>
      </w:pPr>
      <w:bookmarkStart w:id="38" w:name="_Toc15396611"/>
      <w:bookmarkStart w:id="39" w:name="_Toc15377219"/>
      <w:r>
        <w:rPr>
          <w:rStyle w:val="30"/>
          <w:rFonts w:hint="eastAsia" w:ascii="Times New Roman" w:hAnsi="Times New Roman" w:eastAsia="黑体"/>
          <w:b w:val="0"/>
        </w:rPr>
        <w:t>九、国有资本经营预算支出决算情况说明</w:t>
      </w:r>
      <w:bookmarkEnd w:id="38"/>
      <w:bookmarkEnd w:id="39"/>
    </w:p>
    <w:p w14:paraId="0AEEE7C5">
      <w:pPr>
        <w:spacing w:line="600" w:lineRule="exact"/>
        <w:ind w:firstLine="640"/>
        <w:rPr>
          <w:rFonts w:eastAsia="仿宋_GB2312" w:cs="仿宋_GB2312"/>
          <w:sz w:val="32"/>
          <w:szCs w:val="32"/>
        </w:rPr>
      </w:pPr>
      <w:r>
        <w:rPr>
          <w:rFonts w:hint="eastAsia" w:eastAsia="仿宋_GB2312" w:cs="仿宋_GB2312"/>
          <w:sz w:val="32"/>
          <w:szCs w:val="32"/>
        </w:rPr>
        <w:t>2024年度国有资本经营预算财政拨款支出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eastAsia="仿宋_GB2312" w:cs="仿宋_GB2312"/>
          <w:sz w:val="32"/>
          <w:szCs w:val="32"/>
        </w:rPr>
        <w:t>。与2023年度相比，国有资本经营预算财政拨款支出增加</w:t>
      </w:r>
      <w:r>
        <w:rPr>
          <w:rFonts w:hint="eastAsia" w:eastAsia="仿宋_GB2312" w:cs="仿宋_GB2312"/>
          <w:sz w:val="32"/>
          <w:szCs w:val="32"/>
          <w:lang w:val="en-US" w:eastAsia="zh-CN"/>
        </w:rPr>
        <w:t>0</w:t>
      </w:r>
      <w:r>
        <w:rPr>
          <w:rFonts w:hint="eastAsia" w:eastAsia="仿宋_GB2312" w:cs="仿宋_GB2312"/>
          <w:sz w:val="32"/>
          <w:szCs w:val="32"/>
        </w:rPr>
        <w:t>万元，增长</w:t>
      </w:r>
      <w:r>
        <w:rPr>
          <w:rFonts w:hint="eastAsia" w:eastAsia="仿宋_GB2312" w:cs="仿宋_GB2312"/>
          <w:sz w:val="32"/>
          <w:szCs w:val="32"/>
          <w:lang w:val="en-US" w:eastAsia="zh-CN"/>
        </w:rPr>
        <w:t>0</w:t>
      </w:r>
      <w:r>
        <w:rPr>
          <w:rFonts w:hint="eastAsia" w:eastAsia="仿宋_GB2312" w:cs="仿宋_GB2312"/>
          <w:sz w:val="32"/>
          <w:szCs w:val="32"/>
        </w:rPr>
        <w:t>%。</w:t>
      </w:r>
    </w:p>
    <w:p w14:paraId="47A2EC87">
      <w:pPr>
        <w:spacing w:line="600" w:lineRule="exact"/>
        <w:ind w:left="630"/>
        <w:outlineLvl w:val="1"/>
        <w:rPr>
          <w:rStyle w:val="30"/>
          <w:rFonts w:ascii="Times New Roman" w:hAnsi="Times New Roman" w:eastAsia="黑体"/>
          <w:b w:val="0"/>
        </w:rPr>
      </w:pPr>
      <w:bookmarkStart w:id="40" w:name="_Toc15396612"/>
      <w:bookmarkStart w:id="41" w:name="_Toc15377221"/>
      <w:r>
        <w:rPr>
          <w:rStyle w:val="30"/>
          <w:rFonts w:hint="eastAsia" w:ascii="Times New Roman" w:hAnsi="Times New Roman" w:eastAsia="黑体"/>
          <w:b w:val="0"/>
        </w:rPr>
        <w:t>十、其他重要事项的情况说明</w:t>
      </w:r>
      <w:bookmarkEnd w:id="40"/>
      <w:bookmarkEnd w:id="41"/>
    </w:p>
    <w:p w14:paraId="02C4C1C4">
      <w:pPr>
        <w:spacing w:line="600" w:lineRule="exact"/>
        <w:ind w:firstLine="643" w:firstLineChars="200"/>
        <w:outlineLvl w:val="2"/>
        <w:rPr>
          <w:rFonts w:eastAsia="楷体_GB2312" w:cs="楷体_GB2312"/>
          <w:b/>
          <w:sz w:val="32"/>
          <w:szCs w:val="32"/>
        </w:rPr>
      </w:pPr>
      <w:bookmarkStart w:id="42" w:name="_Toc15377222"/>
      <w:r>
        <w:rPr>
          <w:rFonts w:hint="eastAsia" w:eastAsia="楷体_GB2312" w:cs="楷体_GB2312"/>
          <w:b/>
          <w:sz w:val="32"/>
          <w:szCs w:val="32"/>
        </w:rPr>
        <w:t>（一）机关运行经费支出情况</w:t>
      </w:r>
      <w:bookmarkEnd w:id="42"/>
    </w:p>
    <w:p w14:paraId="61D24073">
      <w:pPr>
        <w:spacing w:line="600" w:lineRule="exact"/>
        <w:ind w:firstLine="640"/>
        <w:rPr>
          <w:rFonts w:eastAsia="仿宋_GB2312" w:cs="仿宋_GB2312"/>
          <w:sz w:val="32"/>
          <w:szCs w:val="32"/>
        </w:rPr>
      </w:pPr>
      <w:r>
        <w:rPr>
          <w:rFonts w:hint="eastAsia" w:eastAsia="仿宋_GB2312" w:cs="仿宋_GB2312"/>
          <w:sz w:val="32"/>
          <w:szCs w:val="32"/>
        </w:rPr>
        <w:t>2024年度</w:t>
      </w:r>
      <w:r>
        <w:rPr>
          <w:rFonts w:hint="eastAsia" w:ascii="仿宋_GB2312" w:hAnsi="仿宋_GB2312" w:eastAsia="仿宋_GB2312" w:cs="仿宋_GB2312"/>
          <w:sz w:val="32"/>
          <w:szCs w:val="32"/>
        </w:rPr>
        <w:t>，盐边县疾病预防控制中心机关运行经费支出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w:t>
      </w:r>
      <w:r>
        <w:rPr>
          <w:rFonts w:hint="eastAsia" w:eastAsia="仿宋_GB2312" w:cs="仿宋_GB2312"/>
          <w:sz w:val="32"/>
          <w:szCs w:val="32"/>
        </w:rPr>
        <w:t>元，比2023年度增加</w:t>
      </w:r>
      <w:r>
        <w:rPr>
          <w:rFonts w:hint="eastAsia" w:eastAsia="仿宋_GB2312" w:cs="仿宋_GB2312"/>
          <w:sz w:val="32"/>
          <w:szCs w:val="32"/>
          <w:lang w:val="en-US" w:eastAsia="zh-CN"/>
        </w:rPr>
        <w:t>0</w:t>
      </w:r>
      <w:r>
        <w:rPr>
          <w:rFonts w:hint="eastAsia" w:eastAsia="仿宋_GB2312" w:cs="仿宋_GB2312"/>
          <w:sz w:val="32"/>
          <w:szCs w:val="32"/>
        </w:rPr>
        <w:t>万元，与2023年度决算数持平。</w:t>
      </w:r>
    </w:p>
    <w:p w14:paraId="1048B129">
      <w:pPr>
        <w:spacing w:line="600" w:lineRule="exact"/>
        <w:ind w:firstLine="643" w:firstLineChars="200"/>
        <w:outlineLvl w:val="2"/>
        <w:rPr>
          <w:rFonts w:eastAsia="楷体_GB2312" w:cs="楷体_GB2312"/>
          <w:b/>
          <w:sz w:val="32"/>
          <w:szCs w:val="32"/>
        </w:rPr>
      </w:pPr>
      <w:bookmarkStart w:id="43" w:name="_Toc15377223"/>
      <w:r>
        <w:rPr>
          <w:rFonts w:hint="eastAsia" w:eastAsia="楷体_GB2312" w:cs="楷体_GB2312"/>
          <w:b/>
          <w:sz w:val="32"/>
          <w:szCs w:val="32"/>
        </w:rPr>
        <w:t>（二）政府采购支出情况</w:t>
      </w:r>
      <w:bookmarkEnd w:id="43"/>
    </w:p>
    <w:p w14:paraId="46B25A18">
      <w:pPr>
        <w:spacing w:line="600" w:lineRule="exact"/>
        <w:ind w:firstLine="640"/>
        <w:rPr>
          <w:rFonts w:eastAsia="仿宋_GB2312" w:cs="仿宋_GB2312"/>
          <w:sz w:val="32"/>
          <w:szCs w:val="32"/>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盐边县疾病预防控制中心</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370.92</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368.21</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2.71</w:t>
      </w:r>
      <w:r>
        <w:rPr>
          <w:rFonts w:hint="eastAsia" w:ascii="仿宋_GB2312" w:hAnsi="仿宋_GB2312" w:eastAsia="仿宋_GB2312" w:cs="仿宋_GB2312"/>
          <w:color w:val="auto"/>
          <w:kern w:val="2"/>
          <w:sz w:val="32"/>
          <w:szCs w:val="32"/>
          <w:highlight w:val="none"/>
          <w:lang w:val="en-US" w:eastAsia="zh-CN" w:bidi="ar-SA"/>
        </w:rPr>
        <w:t>万元。主要用于实验室临床检验。授予中小企业合同金额</w:t>
      </w:r>
      <w:r>
        <w:rPr>
          <w:rFonts w:hint="eastAsia" w:ascii="仿宋_GB2312" w:hAnsi="仿宋_GB2312" w:eastAsia="仿宋_GB2312" w:cs="仿宋_GB2312"/>
          <w:sz w:val="32"/>
          <w:szCs w:val="32"/>
        </w:rPr>
        <w:t>301.34</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81.24</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298.63</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80.51</w:t>
      </w:r>
      <w:r>
        <w:rPr>
          <w:rFonts w:hint="eastAsia" w:ascii="仿宋_GB2312" w:hAnsi="仿宋_GB2312" w:eastAsia="仿宋_GB2312" w:cs="仿宋_GB2312"/>
          <w:color w:val="auto"/>
          <w:kern w:val="2"/>
          <w:sz w:val="32"/>
          <w:szCs w:val="32"/>
          <w:highlight w:val="none"/>
          <w:lang w:val="en-US" w:eastAsia="zh-CN" w:bidi="ar-SA"/>
        </w:rPr>
        <w:t>%。</w:t>
      </w:r>
    </w:p>
    <w:p w14:paraId="3B217B47">
      <w:pPr>
        <w:spacing w:line="600" w:lineRule="exact"/>
        <w:ind w:firstLine="643" w:firstLineChars="200"/>
        <w:outlineLvl w:val="2"/>
        <w:rPr>
          <w:rFonts w:eastAsia="楷体_GB2312" w:cs="楷体_GB2312"/>
          <w:b/>
          <w:sz w:val="32"/>
          <w:szCs w:val="32"/>
        </w:rPr>
      </w:pPr>
      <w:bookmarkStart w:id="44" w:name="_Toc15377224"/>
      <w:r>
        <w:rPr>
          <w:rFonts w:hint="eastAsia" w:eastAsia="楷体_GB2312" w:cs="楷体_GB2312"/>
          <w:b/>
          <w:sz w:val="32"/>
          <w:szCs w:val="32"/>
        </w:rPr>
        <w:t>（三）国有资产占有使用情况</w:t>
      </w:r>
      <w:bookmarkEnd w:id="44"/>
    </w:p>
    <w:p w14:paraId="79A8B3D3">
      <w:pPr>
        <w:autoSpaceDE w:val="0"/>
        <w:autoSpaceDN w:val="0"/>
        <w:adjustRightInd w:val="0"/>
        <w:spacing w:line="560" w:lineRule="exact"/>
        <w:ind w:firstLine="640" w:firstLineChars="200"/>
        <w:jc w:val="left"/>
        <w:rPr>
          <w:rFonts w:eastAsia="仿宋_GB2312" w:cs="仿宋_GB2312"/>
          <w:sz w:val="32"/>
          <w:szCs w:val="32"/>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盐边县疾病预防控制中心</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4</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color w:val="auto"/>
          <w:kern w:val="2"/>
          <w:sz w:val="32"/>
          <w:szCs w:val="32"/>
          <w:highlight w:val="none"/>
          <w:lang w:val="en-US" w:eastAsia="zh-CN" w:bidi="ar-SA"/>
        </w:rPr>
        <w:t>辆，</w:t>
      </w:r>
      <w:r>
        <w:rPr>
          <w:rFonts w:eastAsia="仿宋_GB2312"/>
          <w:sz w:val="32"/>
          <w:szCs w:val="32"/>
        </w:rPr>
        <w:t>其他用车主要是</w:t>
      </w:r>
      <w:r>
        <w:rPr>
          <w:rFonts w:hint="eastAsia" w:eastAsia="仿宋_GB2312"/>
          <w:sz w:val="32"/>
          <w:szCs w:val="32"/>
        </w:rPr>
        <w:t>疾病预防控制中心日常</w:t>
      </w:r>
      <w:r>
        <w:rPr>
          <w:rFonts w:eastAsia="仿宋_GB2312"/>
          <w:sz w:val="32"/>
          <w:szCs w:val="32"/>
        </w:rPr>
        <w:t>工作用车。单价100万元以上专用设备0台（套）。</w:t>
      </w:r>
    </w:p>
    <w:p w14:paraId="1DA249AD">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（四）预算绩效管理情况</w:t>
      </w:r>
    </w:p>
    <w:p w14:paraId="5873D0A9">
      <w:pPr>
        <w:widowControl/>
        <w:ind w:firstLine="640" w:firstLineChars="200"/>
        <w:jc w:val="left"/>
        <w:rPr>
          <w:rFonts w:ascii="仿宋_GB2312" w:hAnsi="仿宋_GB2312" w:eastAsia="仿宋_GB2312" w:cs="仿宋_GB2312"/>
          <w:color w:val="FF0000"/>
          <w:sz w:val="32"/>
          <w:szCs w:val="32"/>
        </w:rPr>
      </w:pPr>
      <w:r>
        <w:rPr>
          <w:rFonts w:hint="eastAsia" w:eastAsia="仿宋_GB2312"/>
          <w:color w:val="000000" w:themeColor="text1"/>
          <w:sz w:val="32"/>
          <w:szCs w:val="32"/>
          <w14:textFill>
            <w14:solidFill>
              <w14:schemeClr w14:val="tx1"/>
            </w14:solidFill>
          </w14:textFill>
        </w:rPr>
        <w:t>根据预算绩效管理要求，盐边县疾病预防控制中心在202</w:t>
      </w:r>
      <w:r>
        <w:rPr>
          <w:rFonts w:hint="eastAsia" w:eastAsia="仿宋_GB2312"/>
          <w:color w:val="000000" w:themeColor="text1"/>
          <w:sz w:val="32"/>
          <w:szCs w:val="32"/>
          <w:lang w:val="en-US" w:eastAsia="zh-CN"/>
          <w14:textFill>
            <w14:solidFill>
              <w14:schemeClr w14:val="tx1"/>
            </w14:solidFill>
          </w14:textFill>
        </w:rPr>
        <w:t>4</w:t>
      </w:r>
      <w:r>
        <w:rPr>
          <w:rFonts w:hint="eastAsia" w:eastAsia="仿宋_GB2312"/>
          <w:color w:val="000000" w:themeColor="text1"/>
          <w:sz w:val="32"/>
          <w:szCs w:val="32"/>
          <w14:textFill>
            <w14:solidFill>
              <w14:schemeClr w14:val="tx1"/>
            </w14:solidFill>
          </w14:textFill>
        </w:rPr>
        <w:t>年度预算编制阶段，组织对</w:t>
      </w:r>
      <w:r>
        <w:rPr>
          <w:rFonts w:hint="eastAsia" w:eastAsia="仿宋_GB2312"/>
          <w:color w:val="000000" w:themeColor="text1"/>
          <w:sz w:val="32"/>
          <w:szCs w:val="32"/>
          <w:lang w:val="en-US" w:eastAsia="zh-CN"/>
          <w14:textFill>
            <w14:solidFill>
              <w14:schemeClr w14:val="tx1"/>
            </w14:solidFill>
          </w14:textFill>
        </w:rPr>
        <w:t>基本公共卫生、重大传染病防控、盐边县疾控中心能力提升建设项目、医疗服务与保障能力提升（疾控机构能力建设）、民族地区卫生发展十年行动计划</w:t>
      </w:r>
      <w:r>
        <w:rPr>
          <w:rFonts w:hint="eastAsia" w:eastAsia="仿宋_GB2312"/>
          <w:color w:val="000000" w:themeColor="text1"/>
          <w:sz w:val="32"/>
          <w:szCs w:val="32"/>
          <w14:textFill>
            <w14:solidFill>
              <w14:schemeClr w14:val="tx1"/>
            </w14:solidFill>
          </w14:textFill>
        </w:rPr>
        <w:t>等</w:t>
      </w:r>
      <w:r>
        <w:rPr>
          <w:rFonts w:hint="eastAsia" w:eastAsia="仿宋_GB2312"/>
          <w:color w:val="000000" w:themeColor="text1"/>
          <w:sz w:val="32"/>
          <w:szCs w:val="32"/>
          <w:lang w:val="en-US" w:eastAsia="zh-CN"/>
          <w14:textFill>
            <w14:solidFill>
              <w14:schemeClr w14:val="tx1"/>
            </w14:solidFill>
          </w14:textFill>
        </w:rPr>
        <w:t>5</w:t>
      </w:r>
      <w:r>
        <w:rPr>
          <w:rFonts w:hint="eastAsia" w:eastAsia="仿宋_GB2312"/>
          <w:color w:val="000000" w:themeColor="text1"/>
          <w:sz w:val="32"/>
          <w:szCs w:val="32"/>
          <w14:textFill>
            <w14:solidFill>
              <w14:schemeClr w14:val="tx1"/>
            </w14:solidFill>
          </w14:textFill>
        </w:rPr>
        <w:t>个项目开展了预算事前绩效评估，对</w:t>
      </w:r>
      <w:r>
        <w:rPr>
          <w:rFonts w:hint="eastAsia" w:eastAsia="仿宋_GB2312"/>
          <w:color w:val="000000" w:themeColor="text1"/>
          <w:sz w:val="32"/>
          <w:szCs w:val="32"/>
          <w:lang w:val="en-US" w:eastAsia="zh-CN"/>
          <w14:textFill>
            <w14:solidFill>
              <w14:schemeClr w14:val="tx1"/>
            </w14:solidFill>
          </w14:textFill>
        </w:rPr>
        <w:t>5</w:t>
      </w:r>
      <w:r>
        <w:rPr>
          <w:rFonts w:hint="eastAsia" w:eastAsia="仿宋_GB2312"/>
          <w:color w:val="000000" w:themeColor="text1"/>
          <w:sz w:val="32"/>
          <w:szCs w:val="32"/>
          <w14:textFill>
            <w14:solidFill>
              <w14:schemeClr w14:val="tx1"/>
            </w14:solidFill>
          </w14:textFill>
        </w:rPr>
        <w:t>个项目编制了绩效目标，预算执行过程中，选取</w:t>
      </w:r>
      <w:r>
        <w:rPr>
          <w:rFonts w:hint="eastAsia" w:eastAsia="仿宋_GB2312"/>
          <w:color w:val="000000" w:themeColor="text1"/>
          <w:sz w:val="32"/>
          <w:szCs w:val="32"/>
          <w:lang w:val="en-US" w:eastAsia="zh-CN"/>
          <w14:textFill>
            <w14:solidFill>
              <w14:schemeClr w14:val="tx1"/>
            </w14:solidFill>
          </w14:textFill>
        </w:rPr>
        <w:t>5</w:t>
      </w:r>
      <w:r>
        <w:rPr>
          <w:rFonts w:hint="eastAsia" w:eastAsia="仿宋_GB2312"/>
          <w:color w:val="000000" w:themeColor="text1"/>
          <w:sz w:val="32"/>
          <w:szCs w:val="32"/>
          <w14:textFill>
            <w14:solidFill>
              <w14:schemeClr w14:val="tx1"/>
            </w14:solidFill>
          </w14:textFill>
        </w:rPr>
        <w:t>个项目开展绩效监控，</w:t>
      </w:r>
      <w:r>
        <w:rPr>
          <w:rFonts w:eastAsia="仿宋_GB2312"/>
          <w:color w:val="000000" w:themeColor="text1"/>
          <w:sz w:val="32"/>
          <w:szCs w:val="32"/>
          <w14:textFill>
            <w14:solidFill>
              <w14:schemeClr w14:val="tx1"/>
            </w14:solidFill>
          </w14:textFill>
        </w:rPr>
        <w:t>组织对</w:t>
      </w:r>
      <w:r>
        <w:rPr>
          <w:rFonts w:hint="eastAsia" w:eastAsia="仿宋_GB2312"/>
          <w:color w:val="000000" w:themeColor="text1"/>
          <w:sz w:val="32"/>
          <w:szCs w:val="32"/>
          <w:lang w:val="en-US" w:eastAsia="zh-CN"/>
          <w14:textFill>
            <w14:solidFill>
              <w14:schemeClr w14:val="tx1"/>
            </w14:solidFill>
          </w14:textFill>
        </w:rPr>
        <w:t>5</w:t>
      </w:r>
      <w:r>
        <w:rPr>
          <w:rFonts w:eastAsia="仿宋_GB2312"/>
          <w:color w:val="000000" w:themeColor="text1"/>
          <w:sz w:val="32"/>
          <w:szCs w:val="32"/>
          <w14:textFill>
            <w14:solidFill>
              <w14:schemeClr w14:val="tx1"/>
            </w14:solidFill>
          </w14:textFill>
        </w:rPr>
        <w:t>个项目开展绩效自评，绩效自评表详见第四部分附件。</w:t>
      </w:r>
    </w:p>
    <w:p w14:paraId="7CE7E046">
      <w:pPr>
        <w:pStyle w:val="13"/>
        <w:ind w:left="420"/>
      </w:pPr>
    </w:p>
    <w:p w14:paraId="1E6102A9">
      <w:pPr>
        <w:pStyle w:val="13"/>
        <w:ind w:left="420"/>
      </w:pPr>
    </w:p>
    <w:p w14:paraId="1168AD7E">
      <w:pPr>
        <w:pStyle w:val="13"/>
        <w:ind w:left="420"/>
      </w:pPr>
    </w:p>
    <w:p w14:paraId="251357F3">
      <w:pPr>
        <w:pStyle w:val="13"/>
        <w:ind w:left="420"/>
      </w:pPr>
    </w:p>
    <w:p w14:paraId="2A0EE727">
      <w:pPr>
        <w:spacing w:line="600" w:lineRule="exact"/>
        <w:jc w:val="center"/>
        <w:outlineLvl w:val="0"/>
        <w:rPr>
          <w:rFonts w:eastAsia="黑体"/>
          <w:sz w:val="44"/>
          <w:szCs w:val="44"/>
        </w:rPr>
      </w:pPr>
      <w:bookmarkStart w:id="45" w:name="_Toc15396613"/>
      <w:bookmarkStart w:id="46" w:name="_Toc15377225"/>
      <w:r>
        <w:rPr>
          <w:rFonts w:hint="eastAsia" w:eastAsia="黑体"/>
          <w:sz w:val="44"/>
          <w:szCs w:val="44"/>
        </w:rPr>
        <w:t>第三部分  名词解释</w:t>
      </w:r>
      <w:bookmarkEnd w:id="45"/>
      <w:bookmarkEnd w:id="46"/>
    </w:p>
    <w:p w14:paraId="6FD19F43">
      <w:pPr>
        <w:spacing w:line="600" w:lineRule="exact"/>
        <w:jc w:val="left"/>
        <w:rPr>
          <w:b/>
          <w:sz w:val="44"/>
          <w:szCs w:val="44"/>
        </w:rPr>
      </w:pPr>
    </w:p>
    <w:p w14:paraId="3D0A1B3C">
      <w:pPr>
        <w:pStyle w:val="27"/>
        <w:spacing w:line="560" w:lineRule="exact"/>
        <w:ind w:firstLine="640" w:firstLineChars="200"/>
        <w:rPr>
          <w:rFonts w:ascii="仿宋_GB2312" w:eastAsia="仿宋_GB2312"/>
          <w:color w:val="auto"/>
          <w:sz w:val="32"/>
          <w:szCs w:val="32"/>
        </w:rPr>
      </w:pPr>
      <w:r>
        <w:rPr>
          <w:rFonts w:ascii="Times New Roman" w:hAnsi="Times New Roman" w:eastAsia="仿宋_GB2312" w:cs="Times New Roman"/>
          <w:color w:val="000000" w:themeColor="text1"/>
          <w:sz w:val="32"/>
          <w:szCs w:val="32"/>
          <w14:textFill>
            <w14:solidFill>
              <w14:schemeClr w14:val="tx1"/>
            </w14:solidFill>
          </w14:textFill>
        </w:rPr>
        <w:t>1.</w:t>
      </w:r>
      <w:r>
        <w:rPr>
          <w:rFonts w:hint="eastAsia" w:ascii="仿宋_GB2312" w:eastAsia="仿宋_GB2312"/>
          <w:color w:val="auto"/>
          <w:sz w:val="32"/>
          <w:szCs w:val="32"/>
        </w:rPr>
        <w:t>财政拨款收入：指单位从同级财政部门取得的财政预算资金。</w:t>
      </w:r>
    </w:p>
    <w:p w14:paraId="30221205">
      <w:pPr>
        <w:pStyle w:val="27"/>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2.事业收入：指事业单位开展专业业务活动及辅助活动取得的收入。</w:t>
      </w:r>
    </w:p>
    <w:p w14:paraId="2C7AD973">
      <w:pPr>
        <w:pStyle w:val="27"/>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3.其他收入：指单位取得的除上述收入以外的各项收入。主要是其他单位汇来的非专项资金。</w:t>
      </w:r>
    </w:p>
    <w:p w14:paraId="3830FC77">
      <w:pPr>
        <w:pStyle w:val="27"/>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4.</w:t>
      </w:r>
      <w:r>
        <w:rPr>
          <w:rFonts w:hint="eastAsia" w:ascii="仿宋_GB2312" w:hAnsi="华文中宋" w:eastAsia="仿宋_GB2312"/>
          <w:sz w:val="32"/>
          <w:szCs w:val="32"/>
        </w:rPr>
        <w:t>使用非财政拨款结余（含专用结余）</w:t>
      </w:r>
      <w:r>
        <w:rPr>
          <w:rFonts w:hint="eastAsia" w:ascii="仿宋_GB2312" w:eastAsia="仿宋_GB2312"/>
          <w:color w:val="auto"/>
          <w:sz w:val="32"/>
          <w:szCs w:val="32"/>
        </w:rPr>
        <w:t>：指事业单位使用以前年度积累的非财政拨款结余弥补当年收支差额的金额。</w:t>
      </w:r>
      <w:r>
        <w:rPr>
          <w:rFonts w:ascii="仿宋_GB2312" w:eastAsia="仿宋_GB2312"/>
          <w:color w:val="auto"/>
          <w:sz w:val="32"/>
          <w:szCs w:val="32"/>
        </w:rPr>
        <w:t xml:space="preserve"> </w:t>
      </w:r>
    </w:p>
    <w:p w14:paraId="60CF8930">
      <w:pPr>
        <w:pStyle w:val="27"/>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5.</w:t>
      </w:r>
      <w:r>
        <w:rPr>
          <w:rFonts w:hint="eastAsia" w:ascii="仿宋_GB2312" w:eastAsia="仿宋_GB2312"/>
          <w:color w:val="auto"/>
          <w:sz w:val="32"/>
          <w:szCs w:val="32"/>
        </w:rPr>
        <w:t>年初结转和结余：指以前年度尚未完成、结转到本年按有关规定继续使用的资金。</w:t>
      </w:r>
    </w:p>
    <w:p w14:paraId="293817A7">
      <w:pPr>
        <w:pStyle w:val="27"/>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6.</w:t>
      </w:r>
      <w:r>
        <w:rPr>
          <w:rFonts w:hint="eastAsia" w:ascii="仿宋_GB2312" w:eastAsia="仿宋_GB2312"/>
          <w:color w:val="auto"/>
          <w:sz w:val="32"/>
          <w:szCs w:val="32"/>
        </w:rPr>
        <w:t>结余分配：指事业单位按照会计制度规定缴纳的所得税、提取的专用结余以及转入非财政拨款结余的金额等。</w:t>
      </w:r>
    </w:p>
    <w:p w14:paraId="64E42A14">
      <w:pPr>
        <w:pStyle w:val="27"/>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7</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hint="eastAsia" w:ascii="仿宋_GB2312" w:eastAsia="仿宋_GB2312"/>
          <w:color w:val="auto"/>
          <w:sz w:val="32"/>
          <w:szCs w:val="32"/>
        </w:rPr>
        <w:t>年末结转和结余：指单位按有关规定结转到下年或以后年度继续使用的资金。</w:t>
      </w:r>
    </w:p>
    <w:p w14:paraId="2B428C45">
      <w:pPr>
        <w:spacing w:line="56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8.社会保障和就业支出（类）行政事业单位养老支出（款）机关事业单位基本养老保险缴费支出（项）：</w:t>
      </w:r>
      <w:r>
        <w:rPr>
          <w:rFonts w:hint="eastAsia" w:eastAsia="仿宋_GB2312"/>
          <w:color w:val="000000" w:themeColor="text1"/>
          <w:sz w:val="32"/>
          <w:szCs w:val="32"/>
          <w:lang w:val="en-US" w:eastAsia="zh-CN"/>
          <w14:textFill>
            <w14:solidFill>
              <w14:schemeClr w14:val="tx1"/>
            </w14:solidFill>
          </w14:textFill>
        </w:rPr>
        <w:t>指</w:t>
      </w:r>
      <w:r>
        <w:rPr>
          <w:rFonts w:eastAsia="仿宋_GB2312"/>
          <w:color w:val="000000" w:themeColor="text1"/>
          <w:sz w:val="32"/>
          <w:szCs w:val="32"/>
          <w14:textFill>
            <w14:solidFill>
              <w14:schemeClr w14:val="tx1"/>
            </w14:solidFill>
          </w14:textFill>
        </w:rPr>
        <w:t>机关事业单位实施养老保险制度由单位缴纳的基本养老保险费支出。</w:t>
      </w:r>
    </w:p>
    <w:p w14:paraId="403B97FF">
      <w:pPr>
        <w:spacing w:line="560" w:lineRule="exact"/>
        <w:ind w:firstLine="640" w:firstLineChars="200"/>
        <w:rPr>
          <w:rFonts w:hint="eastAsia" w:eastAsia="仿宋_GB2312"/>
          <w:color w:val="000000" w:themeColor="text1"/>
          <w:sz w:val="32"/>
          <w:szCs w:val="32"/>
          <w:lang w:val="en-US" w:eastAsia="zh-CN"/>
          <w14:textFill>
            <w14:solidFill>
              <w14:schemeClr w14:val="tx1"/>
            </w14:solidFill>
          </w14:textFill>
        </w:rPr>
      </w:pPr>
      <w:r>
        <w:rPr>
          <w:rFonts w:hint="eastAsia" w:eastAsia="仿宋_GB2312"/>
          <w:color w:val="000000" w:themeColor="text1"/>
          <w:sz w:val="32"/>
          <w:szCs w:val="32"/>
          <w:lang w:val="en-US" w:eastAsia="zh-CN"/>
          <w14:textFill>
            <w14:solidFill>
              <w14:schemeClr w14:val="tx1"/>
            </w14:solidFill>
          </w14:textFill>
        </w:rPr>
        <w:t>9</w:t>
      </w:r>
      <w:r>
        <w:rPr>
          <w:rFonts w:eastAsia="仿宋_GB2312"/>
          <w:color w:val="000000" w:themeColor="text1"/>
          <w:sz w:val="32"/>
          <w:szCs w:val="32"/>
          <w14:textFill>
            <w14:solidFill>
              <w14:schemeClr w14:val="tx1"/>
            </w14:solidFill>
          </w14:textFill>
        </w:rPr>
        <w:t>.社会保障和就业支出（类）行政事业单位养老支出（款）</w:t>
      </w:r>
      <w:r>
        <w:rPr>
          <w:rFonts w:hint="eastAsia" w:eastAsia="仿宋_GB2312"/>
          <w:color w:val="000000" w:themeColor="text1"/>
          <w:sz w:val="32"/>
          <w:szCs w:val="32"/>
          <w:lang w:val="en-US" w:eastAsia="zh-CN"/>
          <w14:textFill>
            <w14:solidFill>
              <w14:schemeClr w14:val="tx1"/>
            </w14:solidFill>
          </w14:textFill>
        </w:rPr>
        <w:t>事业单位离退休</w:t>
      </w:r>
      <w:r>
        <w:rPr>
          <w:rFonts w:eastAsia="仿宋_GB2312"/>
          <w:color w:val="000000" w:themeColor="text1"/>
          <w:sz w:val="32"/>
          <w:szCs w:val="32"/>
          <w14:textFill>
            <w14:solidFill>
              <w14:schemeClr w14:val="tx1"/>
            </w14:solidFill>
          </w14:textFill>
        </w:rPr>
        <w:t>（项）：指</w:t>
      </w:r>
      <w:r>
        <w:rPr>
          <w:rFonts w:hint="eastAsia" w:eastAsia="仿宋_GB2312"/>
          <w:color w:val="000000" w:themeColor="text1"/>
          <w:sz w:val="32"/>
          <w:szCs w:val="32"/>
          <w:lang w:val="en-US" w:eastAsia="zh-CN"/>
          <w14:textFill>
            <w14:solidFill>
              <w14:schemeClr w14:val="tx1"/>
            </w14:solidFill>
          </w14:textFill>
        </w:rPr>
        <w:t>事业单位开支的离退休经费。</w:t>
      </w:r>
    </w:p>
    <w:p w14:paraId="0D7F0E27">
      <w:pPr>
        <w:spacing w:line="560" w:lineRule="exact"/>
        <w:ind w:firstLine="640" w:firstLineChars="200"/>
        <w:rPr>
          <w:rFonts w:hint="eastAsia" w:eastAsia="仿宋_GB2312"/>
          <w:color w:val="000000" w:themeColor="text1"/>
          <w:sz w:val="32"/>
          <w:szCs w:val="32"/>
          <w:lang w:val="en-US" w:eastAsia="zh-CN"/>
          <w14:textFill>
            <w14:solidFill>
              <w14:schemeClr w14:val="tx1"/>
            </w14:solidFill>
          </w14:textFill>
        </w:rPr>
      </w:pPr>
      <w:r>
        <w:rPr>
          <w:rFonts w:hint="eastAsia" w:eastAsia="仿宋_GB2312"/>
          <w:color w:val="000000" w:themeColor="text1"/>
          <w:sz w:val="32"/>
          <w:szCs w:val="32"/>
          <w:lang w:val="en-US" w:eastAsia="zh-CN"/>
          <w14:textFill>
            <w14:solidFill>
              <w14:schemeClr w14:val="tx1"/>
            </w14:solidFill>
          </w14:textFill>
        </w:rPr>
        <w:t>10</w:t>
      </w:r>
      <w:r>
        <w:rPr>
          <w:rFonts w:eastAsia="仿宋_GB2312"/>
          <w:color w:val="000000" w:themeColor="text1"/>
          <w:sz w:val="32"/>
          <w:szCs w:val="32"/>
          <w14:textFill>
            <w14:solidFill>
              <w14:schemeClr w14:val="tx1"/>
            </w14:solidFill>
          </w14:textFill>
        </w:rPr>
        <w:t>.社会保障和就业支出（类）</w:t>
      </w:r>
      <w:r>
        <w:rPr>
          <w:rFonts w:hint="eastAsia" w:eastAsia="仿宋_GB2312"/>
          <w:color w:val="000000" w:themeColor="text1"/>
          <w:sz w:val="32"/>
          <w:szCs w:val="32"/>
          <w:lang w:val="en-US" w:eastAsia="zh-CN"/>
          <w14:textFill>
            <w14:solidFill>
              <w14:schemeClr w14:val="tx1"/>
            </w14:solidFill>
          </w14:textFill>
        </w:rPr>
        <w:t>抚恤</w:t>
      </w:r>
      <w:r>
        <w:rPr>
          <w:rFonts w:eastAsia="仿宋_GB2312"/>
          <w:color w:val="000000" w:themeColor="text1"/>
          <w:sz w:val="32"/>
          <w:szCs w:val="32"/>
          <w14:textFill>
            <w14:solidFill>
              <w14:schemeClr w14:val="tx1"/>
            </w14:solidFill>
          </w14:textFill>
        </w:rPr>
        <w:t>（款）</w:t>
      </w:r>
      <w:r>
        <w:rPr>
          <w:rFonts w:hint="eastAsia" w:eastAsia="仿宋_GB2312"/>
          <w:color w:val="000000" w:themeColor="text1"/>
          <w:sz w:val="32"/>
          <w:szCs w:val="32"/>
          <w:lang w:val="en-US" w:eastAsia="zh-CN"/>
          <w14:textFill>
            <w14:solidFill>
              <w14:schemeClr w14:val="tx1"/>
            </w14:solidFill>
          </w14:textFill>
        </w:rPr>
        <w:t>死亡抚恤</w:t>
      </w:r>
      <w:r>
        <w:rPr>
          <w:rFonts w:eastAsia="仿宋_GB2312"/>
          <w:color w:val="000000" w:themeColor="text1"/>
          <w:sz w:val="32"/>
          <w:szCs w:val="32"/>
          <w14:textFill>
            <w14:solidFill>
              <w14:schemeClr w14:val="tx1"/>
            </w14:solidFill>
          </w14:textFill>
        </w:rPr>
        <w:t>（项）：指</w:t>
      </w:r>
      <w:r>
        <w:rPr>
          <w:rFonts w:hint="eastAsia" w:eastAsia="仿宋_GB2312"/>
          <w:color w:val="000000" w:themeColor="text1"/>
          <w:sz w:val="32"/>
          <w:szCs w:val="32"/>
          <w:lang w:val="en-US" w:eastAsia="zh-CN"/>
          <w14:textFill>
            <w14:solidFill>
              <w14:schemeClr w14:val="tx1"/>
            </w14:solidFill>
          </w14:textFill>
        </w:rPr>
        <w:t>按规定用于烈士和牺牲、病故人员家属的一次性和定期抚恤金、丧葬补助费以及烈士褒扬金。</w:t>
      </w:r>
    </w:p>
    <w:p w14:paraId="24717AAD">
      <w:pPr>
        <w:spacing w:line="560" w:lineRule="exact"/>
        <w:ind w:firstLine="640" w:firstLineChars="200"/>
        <w:rPr>
          <w:rFonts w:hint="default" w:eastAsia="仿宋_GB2312"/>
          <w:color w:val="000000" w:themeColor="text1"/>
          <w:sz w:val="32"/>
          <w:szCs w:val="32"/>
          <w:lang w:val="en-US" w:eastAsia="zh-CN"/>
          <w14:textFill>
            <w14:solidFill>
              <w14:schemeClr w14:val="tx1"/>
            </w14:solidFill>
          </w14:textFill>
        </w:rPr>
      </w:pPr>
      <w:r>
        <w:rPr>
          <w:rFonts w:hint="eastAsia" w:eastAsia="仿宋_GB2312"/>
          <w:color w:val="000000" w:themeColor="text1"/>
          <w:sz w:val="32"/>
          <w:szCs w:val="32"/>
          <w:lang w:val="en-US" w:eastAsia="zh-CN"/>
          <w14:textFill>
            <w14:solidFill>
              <w14:schemeClr w14:val="tx1"/>
            </w14:solidFill>
          </w14:textFill>
        </w:rPr>
        <w:t>11</w:t>
      </w:r>
      <w:r>
        <w:rPr>
          <w:rFonts w:eastAsia="仿宋_GB2312"/>
          <w:color w:val="000000" w:themeColor="text1"/>
          <w:sz w:val="32"/>
          <w:szCs w:val="32"/>
          <w14:textFill>
            <w14:solidFill>
              <w14:schemeClr w14:val="tx1"/>
            </w14:solidFill>
          </w14:textFill>
        </w:rPr>
        <w:t>.社会保障和就业支出（类）</w:t>
      </w:r>
      <w:r>
        <w:rPr>
          <w:rFonts w:hint="eastAsia" w:eastAsia="仿宋_GB2312"/>
          <w:color w:val="000000" w:themeColor="text1"/>
          <w:sz w:val="32"/>
          <w:szCs w:val="32"/>
          <w:lang w:val="en-US" w:eastAsia="zh-CN"/>
          <w14:textFill>
            <w14:solidFill>
              <w14:schemeClr w14:val="tx1"/>
            </w14:solidFill>
          </w14:textFill>
        </w:rPr>
        <w:t>抚恤</w:t>
      </w:r>
      <w:r>
        <w:rPr>
          <w:rFonts w:eastAsia="仿宋_GB2312"/>
          <w:color w:val="000000" w:themeColor="text1"/>
          <w:sz w:val="32"/>
          <w:szCs w:val="32"/>
          <w14:textFill>
            <w14:solidFill>
              <w14:schemeClr w14:val="tx1"/>
            </w14:solidFill>
          </w14:textFill>
        </w:rPr>
        <w:t>（款）</w:t>
      </w:r>
      <w:r>
        <w:rPr>
          <w:rFonts w:hint="eastAsia" w:eastAsia="仿宋_GB2312"/>
          <w:color w:val="000000" w:themeColor="text1"/>
          <w:sz w:val="32"/>
          <w:szCs w:val="32"/>
          <w:lang w:val="en-US" w:eastAsia="zh-CN"/>
          <w14:textFill>
            <w14:solidFill>
              <w14:schemeClr w14:val="tx1"/>
            </w14:solidFill>
          </w14:textFill>
        </w:rPr>
        <w:t>伤残抚恤</w:t>
      </w:r>
      <w:r>
        <w:rPr>
          <w:rFonts w:eastAsia="仿宋_GB2312"/>
          <w:color w:val="000000" w:themeColor="text1"/>
          <w:sz w:val="32"/>
          <w:szCs w:val="32"/>
          <w14:textFill>
            <w14:solidFill>
              <w14:schemeClr w14:val="tx1"/>
            </w14:solidFill>
          </w14:textFill>
        </w:rPr>
        <w:t>（项）：指</w:t>
      </w:r>
      <w:r>
        <w:rPr>
          <w:rFonts w:hint="eastAsia" w:eastAsia="仿宋_GB2312"/>
          <w:color w:val="000000" w:themeColor="text1"/>
          <w:sz w:val="32"/>
          <w:szCs w:val="32"/>
          <w:lang w:val="en-US" w:eastAsia="zh-CN"/>
          <w14:textFill>
            <w14:solidFill>
              <w14:schemeClr w14:val="tx1"/>
            </w14:solidFill>
          </w14:textFill>
        </w:rPr>
        <w:t>按规定用于伤残人员的抚恤金和按规定开支的各种伤残补助费。</w:t>
      </w:r>
    </w:p>
    <w:p w14:paraId="30E21BCF">
      <w:pPr>
        <w:spacing w:line="56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lang w:val="en-US" w:eastAsia="zh-CN"/>
          <w14:textFill>
            <w14:solidFill>
              <w14:schemeClr w14:val="tx1"/>
            </w14:solidFill>
          </w14:textFill>
        </w:rPr>
        <w:t>12</w:t>
      </w:r>
      <w:r>
        <w:rPr>
          <w:rFonts w:eastAsia="仿宋_GB2312"/>
          <w:color w:val="000000" w:themeColor="text1"/>
          <w:sz w:val="32"/>
          <w:szCs w:val="32"/>
          <w14:textFill>
            <w14:solidFill>
              <w14:schemeClr w14:val="tx1"/>
            </w14:solidFill>
          </w14:textFill>
        </w:rPr>
        <w:t>.卫生健康支出（类）</w:t>
      </w:r>
      <w:r>
        <w:rPr>
          <w:rFonts w:hint="eastAsia" w:eastAsia="仿宋_GB2312"/>
          <w:color w:val="000000" w:themeColor="text1"/>
          <w:sz w:val="32"/>
          <w:szCs w:val="32"/>
          <w14:textFill>
            <w14:solidFill>
              <w14:schemeClr w14:val="tx1"/>
            </w14:solidFill>
          </w14:textFill>
        </w:rPr>
        <w:t>公共卫生</w:t>
      </w:r>
      <w:r>
        <w:rPr>
          <w:rFonts w:eastAsia="仿宋_GB2312"/>
          <w:color w:val="000000" w:themeColor="text1"/>
          <w:sz w:val="32"/>
          <w:szCs w:val="32"/>
          <w14:textFill>
            <w14:solidFill>
              <w14:schemeClr w14:val="tx1"/>
            </w14:solidFill>
          </w14:textFill>
        </w:rPr>
        <w:t>（款）</w:t>
      </w:r>
      <w:r>
        <w:rPr>
          <w:rFonts w:hint="eastAsia" w:eastAsia="仿宋_GB2312"/>
          <w:color w:val="000000" w:themeColor="text1"/>
          <w:sz w:val="32"/>
          <w:szCs w:val="32"/>
          <w14:textFill>
            <w14:solidFill>
              <w14:schemeClr w14:val="tx1"/>
            </w14:solidFill>
          </w14:textFill>
        </w:rPr>
        <w:t>疾病</w:t>
      </w:r>
      <w:r>
        <w:rPr>
          <w:rFonts w:eastAsia="仿宋_GB2312"/>
          <w:color w:val="000000" w:themeColor="text1"/>
          <w:sz w:val="32"/>
          <w:szCs w:val="32"/>
          <w14:textFill>
            <w14:solidFill>
              <w14:schemeClr w14:val="tx1"/>
            </w14:solidFill>
          </w14:textFill>
        </w:rPr>
        <w:t>预防控制机构（项）：</w:t>
      </w:r>
      <w:r>
        <w:rPr>
          <w:rFonts w:hint="eastAsia" w:eastAsia="仿宋_GB2312"/>
          <w:color w:val="000000" w:themeColor="text1"/>
          <w:sz w:val="32"/>
          <w:szCs w:val="32"/>
          <w:lang w:val="en-US" w:eastAsia="zh-CN"/>
          <w14:textFill>
            <w14:solidFill>
              <w14:schemeClr w14:val="tx1"/>
            </w14:solidFill>
          </w14:textFill>
        </w:rPr>
        <w:t>指卫生健康、疾病预防控制部门所属疾病预防控制机构的支出</w:t>
      </w:r>
      <w:r>
        <w:rPr>
          <w:rFonts w:eastAsia="仿宋_GB2312"/>
          <w:color w:val="000000" w:themeColor="text1"/>
          <w:sz w:val="32"/>
          <w:szCs w:val="32"/>
          <w14:textFill>
            <w14:solidFill>
              <w14:schemeClr w14:val="tx1"/>
            </w14:solidFill>
          </w14:textFill>
        </w:rPr>
        <w:t>。</w:t>
      </w:r>
    </w:p>
    <w:p w14:paraId="7547E78E">
      <w:pPr>
        <w:spacing w:line="56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1</w:t>
      </w:r>
      <w:r>
        <w:rPr>
          <w:rFonts w:hint="eastAsia" w:eastAsia="仿宋_GB2312"/>
          <w:color w:val="000000" w:themeColor="text1"/>
          <w:sz w:val="32"/>
          <w:szCs w:val="32"/>
          <w:lang w:val="en-US" w:eastAsia="zh-CN"/>
          <w14:textFill>
            <w14:solidFill>
              <w14:schemeClr w14:val="tx1"/>
            </w14:solidFill>
          </w14:textFill>
        </w:rPr>
        <w:t>3</w:t>
      </w:r>
      <w:r>
        <w:rPr>
          <w:rFonts w:eastAsia="仿宋_GB2312"/>
          <w:color w:val="000000" w:themeColor="text1"/>
          <w:sz w:val="32"/>
          <w:szCs w:val="32"/>
          <w14:textFill>
            <w14:solidFill>
              <w14:schemeClr w14:val="tx1"/>
            </w14:solidFill>
          </w14:textFill>
        </w:rPr>
        <w:t>.卫生健康支出（类）公共卫生（款）基本公共卫生服务（项）：</w:t>
      </w:r>
      <w:r>
        <w:rPr>
          <w:rFonts w:hint="eastAsia" w:eastAsia="仿宋_GB2312"/>
          <w:color w:val="000000" w:themeColor="text1"/>
          <w:sz w:val="32"/>
          <w:szCs w:val="32"/>
          <w:lang w:val="en-US" w:eastAsia="zh-CN"/>
          <w14:textFill>
            <w14:solidFill>
              <w14:schemeClr w14:val="tx1"/>
            </w14:solidFill>
          </w14:textFill>
        </w:rPr>
        <w:t>指</w:t>
      </w:r>
      <w:r>
        <w:rPr>
          <w:rFonts w:eastAsia="仿宋_GB2312"/>
          <w:color w:val="000000" w:themeColor="text1"/>
          <w:sz w:val="32"/>
          <w:szCs w:val="32"/>
          <w14:textFill>
            <w14:solidFill>
              <w14:schemeClr w14:val="tx1"/>
            </w14:solidFill>
          </w14:textFill>
        </w:rPr>
        <w:t>基本公共卫生服务支出。</w:t>
      </w:r>
    </w:p>
    <w:p w14:paraId="7CF76C40">
      <w:pPr>
        <w:spacing w:line="560" w:lineRule="exact"/>
        <w:ind w:firstLine="640" w:firstLineChars="200"/>
        <w:rPr>
          <w:rFonts w:eastAsia="仿宋_GB2312"/>
          <w:color w:val="FF0000"/>
          <w:sz w:val="32"/>
          <w:szCs w:val="32"/>
        </w:rPr>
      </w:pPr>
      <w:r>
        <w:rPr>
          <w:rFonts w:eastAsia="仿宋_GB2312"/>
          <w:color w:val="000000" w:themeColor="text1"/>
          <w:sz w:val="32"/>
          <w:szCs w:val="32"/>
          <w14:textFill>
            <w14:solidFill>
              <w14:schemeClr w14:val="tx1"/>
            </w14:solidFill>
          </w14:textFill>
        </w:rPr>
        <w:t>1</w:t>
      </w:r>
      <w:r>
        <w:rPr>
          <w:rFonts w:hint="eastAsia" w:eastAsia="仿宋_GB2312"/>
          <w:color w:val="000000" w:themeColor="text1"/>
          <w:sz w:val="32"/>
          <w:szCs w:val="32"/>
          <w:lang w:val="en-US" w:eastAsia="zh-CN"/>
          <w14:textFill>
            <w14:solidFill>
              <w14:schemeClr w14:val="tx1"/>
            </w14:solidFill>
          </w14:textFill>
        </w:rPr>
        <w:t>4</w:t>
      </w:r>
      <w:r>
        <w:rPr>
          <w:rFonts w:eastAsia="仿宋_GB2312"/>
          <w:color w:val="000000" w:themeColor="text1"/>
          <w:sz w:val="32"/>
          <w:szCs w:val="32"/>
          <w14:textFill>
            <w14:solidFill>
              <w14:schemeClr w14:val="tx1"/>
            </w14:solidFill>
          </w14:textFill>
        </w:rPr>
        <w:t>.卫生健康支出（类）公共卫生（款）重大公共卫生服务（项）：</w:t>
      </w:r>
      <w:r>
        <w:rPr>
          <w:rFonts w:hint="eastAsia" w:eastAsia="仿宋_GB2312"/>
          <w:color w:val="000000" w:themeColor="text1"/>
          <w:sz w:val="32"/>
          <w:szCs w:val="32"/>
          <w:lang w:val="en-US" w:eastAsia="zh-CN"/>
          <w14:textFill>
            <w14:solidFill>
              <w14:schemeClr w14:val="tx1"/>
            </w14:solidFill>
          </w14:textFill>
        </w:rPr>
        <w:t>指</w:t>
      </w:r>
      <w:r>
        <w:rPr>
          <w:rFonts w:eastAsia="仿宋_GB2312"/>
          <w:color w:val="000000" w:themeColor="text1"/>
          <w:sz w:val="32"/>
          <w:szCs w:val="32"/>
          <w14:textFill>
            <w14:solidFill>
              <w14:schemeClr w14:val="tx1"/>
            </w14:solidFill>
          </w14:textFill>
        </w:rPr>
        <w:t>重大疾病、重大传染病预防控制等重大公共卫生服务项目支出。</w:t>
      </w:r>
    </w:p>
    <w:p w14:paraId="729BFC5E">
      <w:pPr>
        <w:spacing w:line="56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1</w:t>
      </w:r>
      <w:r>
        <w:rPr>
          <w:rFonts w:hint="eastAsia" w:eastAsia="仿宋_GB2312"/>
          <w:color w:val="000000" w:themeColor="text1"/>
          <w:sz w:val="32"/>
          <w:szCs w:val="32"/>
          <w:lang w:val="en-US" w:eastAsia="zh-CN"/>
          <w14:textFill>
            <w14:solidFill>
              <w14:schemeClr w14:val="tx1"/>
            </w14:solidFill>
          </w14:textFill>
        </w:rPr>
        <w:t>5</w:t>
      </w:r>
      <w:r>
        <w:rPr>
          <w:rFonts w:eastAsia="仿宋_GB2312"/>
          <w:color w:val="000000" w:themeColor="text1"/>
          <w:sz w:val="32"/>
          <w:szCs w:val="32"/>
          <w14:textFill>
            <w14:solidFill>
              <w14:schemeClr w14:val="tx1"/>
            </w14:solidFill>
          </w14:textFill>
        </w:rPr>
        <w:t>.卫生健康支出（类）</w:t>
      </w:r>
      <w:r>
        <w:rPr>
          <w:rFonts w:hint="eastAsia" w:eastAsia="仿宋_GB2312"/>
          <w:color w:val="000000" w:themeColor="text1"/>
          <w:sz w:val="32"/>
          <w:szCs w:val="32"/>
          <w14:textFill>
            <w14:solidFill>
              <w14:schemeClr w14:val="tx1"/>
            </w14:solidFill>
          </w14:textFill>
        </w:rPr>
        <w:t>公共卫生</w:t>
      </w:r>
      <w:r>
        <w:rPr>
          <w:rFonts w:eastAsia="仿宋_GB2312"/>
          <w:color w:val="000000" w:themeColor="text1"/>
          <w:sz w:val="32"/>
          <w:szCs w:val="32"/>
          <w14:textFill>
            <w14:solidFill>
              <w14:schemeClr w14:val="tx1"/>
            </w14:solidFill>
          </w14:textFill>
        </w:rPr>
        <w:t>（款）</w:t>
      </w:r>
      <w:r>
        <w:rPr>
          <w:rFonts w:hint="eastAsia" w:eastAsia="仿宋_GB2312"/>
          <w:color w:val="000000" w:themeColor="text1"/>
          <w:sz w:val="32"/>
          <w:szCs w:val="32"/>
          <w:lang w:val="en-US" w:eastAsia="zh-CN"/>
          <w14:textFill>
            <w14:solidFill>
              <w14:schemeClr w14:val="tx1"/>
            </w14:solidFill>
          </w14:textFill>
        </w:rPr>
        <w:t>其他公共卫生支出</w:t>
      </w:r>
      <w:r>
        <w:rPr>
          <w:rFonts w:eastAsia="仿宋_GB2312"/>
          <w:color w:val="000000" w:themeColor="text1"/>
          <w:sz w:val="32"/>
          <w:szCs w:val="32"/>
          <w14:textFill>
            <w14:solidFill>
              <w14:schemeClr w14:val="tx1"/>
            </w14:solidFill>
          </w14:textFill>
        </w:rPr>
        <w:t>（项）：指</w:t>
      </w:r>
      <w:r>
        <w:rPr>
          <w:rFonts w:hint="eastAsia" w:eastAsia="仿宋_GB2312"/>
          <w:color w:val="000000" w:themeColor="text1"/>
          <w:sz w:val="32"/>
          <w:szCs w:val="32"/>
          <w:lang w:val="en-US" w:eastAsia="zh-CN"/>
          <w14:textFill>
            <w14:solidFill>
              <w14:schemeClr w14:val="tx1"/>
            </w14:solidFill>
          </w14:textFill>
        </w:rPr>
        <w:t>除上述项目以外的其他用于公共卫生方面的支出</w:t>
      </w:r>
      <w:r>
        <w:rPr>
          <w:rFonts w:eastAsia="仿宋_GB2312"/>
          <w:color w:val="000000" w:themeColor="text1"/>
          <w:sz w:val="32"/>
          <w:szCs w:val="32"/>
          <w14:textFill>
            <w14:solidFill>
              <w14:schemeClr w14:val="tx1"/>
            </w14:solidFill>
          </w14:textFill>
        </w:rPr>
        <w:t>。</w:t>
      </w:r>
    </w:p>
    <w:p w14:paraId="39C8A0FD">
      <w:pPr>
        <w:spacing w:line="56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lang w:val="en-US" w:eastAsia="zh-CN"/>
          <w14:textFill>
            <w14:solidFill>
              <w14:schemeClr w14:val="tx1"/>
            </w14:solidFill>
          </w14:textFill>
        </w:rPr>
        <w:t>16</w:t>
      </w:r>
      <w:r>
        <w:rPr>
          <w:rFonts w:eastAsia="仿宋_GB2312"/>
          <w:color w:val="000000" w:themeColor="text1"/>
          <w:sz w:val="32"/>
          <w:szCs w:val="32"/>
          <w14:textFill>
            <w14:solidFill>
              <w14:schemeClr w14:val="tx1"/>
            </w14:solidFill>
          </w14:textFill>
        </w:rPr>
        <w:t>.卫生健康支出（类）行政事业单位医疗（款）事业单位医疗（项）：指财政部门安排的事业单位基本医疗保险缴费经费，未参加医疗保险的事业单位的公费医疗经费，按国家规定享受离休人员待遇的医疗经费。</w:t>
      </w:r>
    </w:p>
    <w:p w14:paraId="4B144233">
      <w:pPr>
        <w:spacing w:line="560" w:lineRule="exact"/>
        <w:ind w:firstLine="640" w:firstLineChars="200"/>
        <w:rPr>
          <w:rFonts w:eastAsia="仿宋_GB2312"/>
          <w:color w:val="FF0000"/>
          <w:sz w:val="32"/>
          <w:szCs w:val="32"/>
        </w:rPr>
      </w:pPr>
      <w:r>
        <w:rPr>
          <w:rFonts w:hint="eastAsia" w:eastAsia="仿宋_GB2312"/>
          <w:color w:val="000000" w:themeColor="text1"/>
          <w:sz w:val="32"/>
          <w:szCs w:val="32"/>
          <w:lang w:val="en-US" w:eastAsia="zh-CN"/>
          <w14:textFill>
            <w14:solidFill>
              <w14:schemeClr w14:val="tx1"/>
            </w14:solidFill>
          </w14:textFill>
        </w:rPr>
        <w:t>17</w:t>
      </w:r>
      <w:r>
        <w:rPr>
          <w:rFonts w:eastAsia="仿宋_GB2312"/>
          <w:color w:val="000000" w:themeColor="text1"/>
          <w:sz w:val="32"/>
          <w:szCs w:val="32"/>
          <w14:textFill>
            <w14:solidFill>
              <w14:schemeClr w14:val="tx1"/>
            </w14:solidFill>
          </w14:textFill>
        </w:rPr>
        <w:t>.卫生健康支出（类）行政事业单位医疗（款）</w:t>
      </w:r>
      <w:r>
        <w:rPr>
          <w:rFonts w:hint="eastAsia" w:eastAsia="仿宋_GB2312"/>
          <w:color w:val="000000" w:themeColor="text1"/>
          <w:sz w:val="32"/>
          <w:szCs w:val="32"/>
          <w:lang w:val="en-US" w:eastAsia="zh-CN"/>
          <w14:textFill>
            <w14:solidFill>
              <w14:schemeClr w14:val="tx1"/>
            </w14:solidFill>
          </w14:textFill>
        </w:rPr>
        <w:t>其他行政事业单位医疗</w:t>
      </w:r>
      <w:r>
        <w:rPr>
          <w:rFonts w:eastAsia="仿宋_GB2312"/>
          <w:color w:val="000000" w:themeColor="text1"/>
          <w:sz w:val="32"/>
          <w:szCs w:val="32"/>
          <w14:textFill>
            <w14:solidFill>
              <w14:schemeClr w14:val="tx1"/>
            </w14:solidFill>
          </w14:textFill>
        </w:rPr>
        <w:t>（项）：指</w:t>
      </w:r>
      <w:r>
        <w:rPr>
          <w:rFonts w:hint="eastAsia" w:eastAsia="仿宋_GB2312"/>
          <w:color w:val="000000" w:themeColor="text1"/>
          <w:sz w:val="32"/>
          <w:szCs w:val="32"/>
          <w:lang w:val="en-US" w:eastAsia="zh-CN"/>
          <w14:textFill>
            <w14:solidFill>
              <w14:schemeClr w14:val="tx1"/>
            </w14:solidFill>
          </w14:textFill>
        </w:rPr>
        <w:t>除上述项目以外的其他用于行政事业单位医疗方面的支出</w:t>
      </w:r>
      <w:r>
        <w:rPr>
          <w:rFonts w:eastAsia="仿宋_GB2312"/>
          <w:color w:val="000000" w:themeColor="text1"/>
          <w:sz w:val="32"/>
          <w:szCs w:val="32"/>
          <w14:textFill>
            <w14:solidFill>
              <w14:schemeClr w14:val="tx1"/>
            </w14:solidFill>
          </w14:textFill>
        </w:rPr>
        <w:t>。</w:t>
      </w:r>
    </w:p>
    <w:p w14:paraId="2DC16793">
      <w:pPr>
        <w:spacing w:line="560" w:lineRule="exact"/>
        <w:ind w:firstLine="640" w:firstLineChars="200"/>
        <w:rPr>
          <w:rFonts w:eastAsia="仿宋_GB2312"/>
          <w:color w:val="FF0000"/>
          <w:sz w:val="32"/>
          <w:szCs w:val="32"/>
        </w:rPr>
      </w:pPr>
      <w:r>
        <w:rPr>
          <w:rFonts w:eastAsia="仿宋_GB2312"/>
          <w:color w:val="000000" w:themeColor="text1"/>
          <w:sz w:val="32"/>
          <w:szCs w:val="32"/>
          <w14:textFill>
            <w14:solidFill>
              <w14:schemeClr w14:val="tx1"/>
            </w14:solidFill>
          </w14:textFill>
        </w:rPr>
        <w:t>1</w:t>
      </w:r>
      <w:r>
        <w:rPr>
          <w:rFonts w:hint="eastAsia" w:eastAsia="仿宋_GB2312"/>
          <w:color w:val="000000" w:themeColor="text1"/>
          <w:sz w:val="32"/>
          <w:szCs w:val="32"/>
          <w:lang w:val="en-US" w:eastAsia="zh-CN"/>
          <w14:textFill>
            <w14:solidFill>
              <w14:schemeClr w14:val="tx1"/>
            </w14:solidFill>
          </w14:textFill>
        </w:rPr>
        <w:t>8</w:t>
      </w:r>
      <w:r>
        <w:rPr>
          <w:rFonts w:eastAsia="仿宋_GB2312"/>
          <w:color w:val="000000" w:themeColor="text1"/>
          <w:sz w:val="32"/>
          <w:szCs w:val="32"/>
          <w14:textFill>
            <w14:solidFill>
              <w14:schemeClr w14:val="tx1"/>
            </w14:solidFill>
          </w14:textFill>
        </w:rPr>
        <w:t>.卫生健康支出（类）其他卫生健康支出（款）其他卫生健康支出（项）：指除上述项目以外其他用于卫生健康方面的支出。</w:t>
      </w:r>
    </w:p>
    <w:p w14:paraId="02B224B4">
      <w:pPr>
        <w:spacing w:line="56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1</w:t>
      </w:r>
      <w:r>
        <w:rPr>
          <w:rFonts w:hint="eastAsia" w:eastAsia="仿宋_GB2312"/>
          <w:color w:val="000000" w:themeColor="text1"/>
          <w:sz w:val="32"/>
          <w:szCs w:val="32"/>
          <w:lang w:val="en-US" w:eastAsia="zh-CN"/>
          <w14:textFill>
            <w14:solidFill>
              <w14:schemeClr w14:val="tx1"/>
            </w14:solidFill>
          </w14:textFill>
        </w:rPr>
        <w:t>9</w:t>
      </w:r>
      <w:r>
        <w:rPr>
          <w:rFonts w:eastAsia="仿宋_GB2312"/>
          <w:color w:val="000000" w:themeColor="text1"/>
          <w:sz w:val="32"/>
          <w:szCs w:val="32"/>
          <w14:textFill>
            <w14:solidFill>
              <w14:schemeClr w14:val="tx1"/>
            </w14:solidFill>
          </w14:textFill>
        </w:rPr>
        <w:t>.住房保障支出（类）住房改革支出（款）住房公积金（项）：指行政事业单位按人力资源和社会保障部、财政部规定的基本工资和津贴补贴以及规定比例为职工缴纳的住房公积金。</w:t>
      </w:r>
    </w:p>
    <w:p w14:paraId="4F24A87B">
      <w:pPr>
        <w:spacing w:line="56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lang w:val="en-US" w:eastAsia="zh-CN"/>
          <w14:textFill>
            <w14:solidFill>
              <w14:schemeClr w14:val="tx1"/>
            </w14:solidFill>
          </w14:textFill>
        </w:rPr>
        <w:t>20</w:t>
      </w:r>
      <w:r>
        <w:rPr>
          <w:rFonts w:eastAsia="仿宋_GB2312"/>
          <w:color w:val="000000" w:themeColor="text1"/>
          <w:sz w:val="32"/>
          <w:szCs w:val="32"/>
          <w14:textFill>
            <w14:solidFill>
              <w14:schemeClr w14:val="tx1"/>
            </w14:solidFill>
          </w14:textFill>
        </w:rPr>
        <w:t>.基本支出：指为保障机构正常运转、完成日常工作任务而发生的人员支出和公用支出。</w:t>
      </w:r>
    </w:p>
    <w:p w14:paraId="7EB21771">
      <w:pPr>
        <w:spacing w:line="560" w:lineRule="exact"/>
        <w:ind w:firstLine="640" w:firstLineChars="200"/>
        <w:rPr>
          <w:rFonts w:eastAsia="仿宋_GB2312"/>
          <w:color w:val="FF0000"/>
          <w:sz w:val="32"/>
          <w:szCs w:val="32"/>
        </w:rPr>
      </w:pPr>
      <w:r>
        <w:rPr>
          <w:rFonts w:hint="eastAsia" w:eastAsia="仿宋_GB2312"/>
          <w:color w:val="000000" w:themeColor="text1"/>
          <w:sz w:val="32"/>
          <w:szCs w:val="32"/>
          <w:lang w:val="en-US" w:eastAsia="zh-CN"/>
          <w14:textFill>
            <w14:solidFill>
              <w14:schemeClr w14:val="tx1"/>
            </w14:solidFill>
          </w14:textFill>
        </w:rPr>
        <w:t>21</w:t>
      </w:r>
      <w:r>
        <w:rPr>
          <w:rFonts w:eastAsia="仿宋_GB2312"/>
          <w:color w:val="000000" w:themeColor="text1"/>
          <w:sz w:val="32"/>
          <w:szCs w:val="32"/>
          <w14:textFill>
            <w14:solidFill>
              <w14:schemeClr w14:val="tx1"/>
            </w14:solidFill>
          </w14:textFill>
        </w:rPr>
        <w:t>.项目支出：指在基本支出之外为完成特定行政任务和事业发展目标所发生的支出</w:t>
      </w:r>
      <w:r>
        <w:rPr>
          <w:rFonts w:eastAsia="仿宋_GB2312"/>
          <w:color w:val="FF0000"/>
          <w:sz w:val="32"/>
          <w:szCs w:val="32"/>
        </w:rPr>
        <w:t>。</w:t>
      </w:r>
    </w:p>
    <w:p w14:paraId="0B822445">
      <w:pPr>
        <w:pStyle w:val="27"/>
        <w:spacing w:line="560" w:lineRule="exact"/>
        <w:ind w:firstLine="640" w:firstLineChars="200"/>
        <w:rPr>
          <w:rFonts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22</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8E85ADB">
      <w:pPr>
        <w:pStyle w:val="27"/>
        <w:spacing w:line="560" w:lineRule="exact"/>
        <w:ind w:firstLine="640" w:firstLineChars="200"/>
        <w:rPr>
          <w:rFonts w:ascii="仿宋_GB2312" w:eastAsia="仿宋_GB2312"/>
          <w:color w:val="auto"/>
          <w:sz w:val="32"/>
          <w:szCs w:val="32"/>
        </w:rPr>
      </w:pPr>
      <w:r>
        <w:rPr>
          <w:rFonts w:hint="eastAsia" w:eastAsia="仿宋_GB2312"/>
          <w:color w:val="000000" w:themeColor="text1"/>
          <w:sz w:val="32"/>
          <w:szCs w:val="32"/>
          <w:lang w:val="en-US" w:eastAsia="zh-CN"/>
          <w14:textFill>
            <w14:solidFill>
              <w14:schemeClr w14:val="tx1"/>
            </w14:solidFill>
          </w14:textFill>
        </w:rPr>
        <w:t>23</w:t>
      </w:r>
      <w:r>
        <w:rPr>
          <w:rFonts w:eastAsia="仿宋_GB2312"/>
          <w:color w:val="000000" w:themeColor="text1"/>
          <w:sz w:val="32"/>
          <w:szCs w:val="32"/>
          <w14:textFill>
            <w14:solidFill>
              <w14:schemeClr w14:val="tx1"/>
            </w14:solidFill>
          </w14:textFill>
        </w:rPr>
        <w:t>.</w:t>
      </w:r>
      <w:r>
        <w:rPr>
          <w:rFonts w:hint="eastAsia" w:ascii="仿宋_GB2312" w:eastAsia="仿宋_GB2312"/>
          <w:color w:val="auto"/>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C645AE9">
      <w:pPr>
        <w:spacing w:line="600" w:lineRule="exact"/>
        <w:jc w:val="center"/>
        <w:rPr>
          <w:rFonts w:hint="eastAsia" w:eastAsia="黑体"/>
          <w:sz w:val="44"/>
          <w:szCs w:val="44"/>
        </w:rPr>
      </w:pPr>
      <w:bookmarkStart w:id="47" w:name="_Toc15396614"/>
      <w:bookmarkStart w:id="48" w:name="_Toc15377226"/>
    </w:p>
    <w:p w14:paraId="4F01014F">
      <w:pPr>
        <w:spacing w:line="600" w:lineRule="exact"/>
        <w:jc w:val="center"/>
        <w:rPr>
          <w:rFonts w:hint="eastAsia" w:eastAsia="黑体"/>
          <w:sz w:val="44"/>
          <w:szCs w:val="44"/>
        </w:rPr>
      </w:pPr>
    </w:p>
    <w:p w14:paraId="40062545">
      <w:pPr>
        <w:spacing w:line="600" w:lineRule="exact"/>
        <w:jc w:val="center"/>
        <w:rPr>
          <w:rStyle w:val="29"/>
          <w:rFonts w:eastAsia="黑体"/>
          <w:b w:val="0"/>
        </w:rPr>
      </w:pPr>
      <w:r>
        <w:rPr>
          <w:rFonts w:hint="eastAsia" w:eastAsia="黑体"/>
          <w:sz w:val="44"/>
          <w:szCs w:val="44"/>
        </w:rPr>
        <w:t>第四部分  附件</w:t>
      </w:r>
      <w:bookmarkEnd w:id="47"/>
    </w:p>
    <w:p w14:paraId="2634892F">
      <w:pPr>
        <w:spacing w:line="572" w:lineRule="exact"/>
        <w:jc w:val="left"/>
        <w:outlineLvl w:val="0"/>
        <w:rPr>
          <w:rFonts w:eastAsia="黑体" w:cs="黑体"/>
          <w:sz w:val="32"/>
          <w:szCs w:val="32"/>
        </w:rPr>
      </w:pPr>
    </w:p>
    <w:p w14:paraId="2B1FC99A">
      <w:pPr>
        <w:pStyle w:val="13"/>
        <w:spacing w:line="560" w:lineRule="exact"/>
        <w:ind w:left="0" w:leftChars="0" w:firstLine="0" w:firstLineChars="0"/>
        <w:jc w:val="left"/>
        <w:rPr>
          <w:rFonts w:hint="eastAsia" w:ascii="仿宋_GB2312" w:hAnsi="仿宋_GB2312" w:eastAsia="仿宋_GB2312" w:cs="仿宋_GB2312"/>
          <w:sz w:val="32"/>
          <w:szCs w:val="32"/>
          <w:lang w:eastAsia="zh-CN"/>
        </w:rPr>
      </w:pPr>
      <w:bookmarkStart w:id="49" w:name="_Toc15396618"/>
      <w:r>
        <w:rPr>
          <w:rFonts w:hint="eastAsia" w:ascii="仿宋_GB2312" w:hAnsi="仿宋_GB2312" w:eastAsia="仿宋_GB2312" w:cs="仿宋_GB2312"/>
          <w:sz w:val="32"/>
          <w:szCs w:val="32"/>
        </w:rPr>
        <w:t>部门预算项目支出绩效自评表（202</w:t>
      </w:r>
      <w:r>
        <w:rPr>
          <w:rFonts w:hint="eastAsia" w:hAnsi="仿宋_GB2312" w:eastAsia="仿宋_GB2312" w:cs="仿宋_GB2312"/>
          <w:sz w:val="32"/>
          <w:szCs w:val="32"/>
          <w:lang w:val="en-US" w:eastAsia="zh-CN"/>
        </w:rPr>
        <w:t>4</w:t>
      </w:r>
      <w:r>
        <w:rPr>
          <w:rFonts w:hint="eastAsia" w:ascii="仿宋_GB2312" w:hAnsi="仿宋_GB2312" w:eastAsia="仿宋_GB2312" w:cs="仿宋_GB2312"/>
          <w:sz w:val="32"/>
          <w:szCs w:val="32"/>
        </w:rPr>
        <w:t>年度）见附件</w:t>
      </w:r>
      <w:r>
        <w:rPr>
          <w:rFonts w:hint="eastAsia" w:hAnsi="仿宋_GB2312" w:eastAsia="仿宋_GB2312" w:cs="仿宋_GB2312"/>
          <w:sz w:val="32"/>
          <w:szCs w:val="32"/>
          <w:lang w:eastAsia="zh-CN"/>
        </w:rPr>
        <w:t>。</w:t>
      </w:r>
    </w:p>
    <w:p w14:paraId="58D60793">
      <w:pPr>
        <w:spacing w:line="578" w:lineRule="exact"/>
        <w:ind w:firstLine="640"/>
        <w:rPr>
          <w:rFonts w:eastAsia="仿宋_GB2312" w:cs="仿宋_GB2312"/>
          <w:kern w:val="0"/>
          <w:sz w:val="32"/>
          <w:szCs w:val="32"/>
        </w:rPr>
      </w:pPr>
      <w:r>
        <w:rPr>
          <w:rFonts w:hint="eastAsia" w:eastAsia="仿宋_GB2312" w:cs="仿宋_GB2312"/>
          <w:kern w:val="0"/>
          <w:sz w:val="32"/>
          <w:szCs w:val="32"/>
        </w:rPr>
        <w:br w:type="page"/>
      </w:r>
    </w:p>
    <w:p w14:paraId="2773E9B6">
      <w:pPr>
        <w:widowControl/>
        <w:jc w:val="center"/>
        <w:rPr>
          <w:rFonts w:eastAsia="仿宋"/>
        </w:rPr>
      </w:pPr>
      <w:r>
        <w:rPr>
          <w:rFonts w:hint="eastAsia" w:eastAsia="黑体"/>
          <w:sz w:val="44"/>
          <w:szCs w:val="44"/>
        </w:rPr>
        <w:t>第</w:t>
      </w:r>
      <w:r>
        <w:rPr>
          <w:rStyle w:val="29"/>
          <w:rFonts w:hint="eastAsia" w:eastAsia="黑体"/>
          <w:b w:val="0"/>
        </w:rPr>
        <w:t>五部分 附表</w:t>
      </w:r>
      <w:bookmarkEnd w:id="48"/>
      <w:bookmarkEnd w:id="49"/>
      <w:bookmarkStart w:id="50" w:name="_Toc15396619"/>
    </w:p>
    <w:p w14:paraId="71010387">
      <w:pPr>
        <w:pStyle w:val="14"/>
        <w:adjustRightInd w:val="0"/>
        <w:snapToGrid w:val="0"/>
        <w:spacing w:line="560" w:lineRule="exact"/>
        <w:jc w:val="left"/>
        <w:rPr>
          <w:rFonts w:eastAsia="仿宋_GB2312" w:cs="仿宋_GB2312"/>
          <w:sz w:val="32"/>
          <w:szCs w:val="32"/>
        </w:rPr>
      </w:pPr>
    </w:p>
    <w:p w14:paraId="6288EBA0">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一、收入支出决算总表</w:t>
      </w:r>
      <w:bookmarkEnd w:id="50"/>
    </w:p>
    <w:p w14:paraId="3501E73A">
      <w:pPr>
        <w:pStyle w:val="14"/>
        <w:adjustRightInd w:val="0"/>
        <w:snapToGrid w:val="0"/>
        <w:spacing w:line="560" w:lineRule="exact"/>
        <w:jc w:val="left"/>
        <w:rPr>
          <w:rFonts w:eastAsia="仿宋_GB2312" w:cs="仿宋_GB2312"/>
          <w:sz w:val="32"/>
          <w:szCs w:val="32"/>
        </w:rPr>
      </w:pPr>
      <w:bookmarkStart w:id="51" w:name="_Toc15396620"/>
      <w:r>
        <w:rPr>
          <w:rFonts w:hint="eastAsia" w:eastAsia="仿宋_GB2312" w:cs="仿宋_GB2312"/>
          <w:sz w:val="32"/>
          <w:szCs w:val="32"/>
        </w:rPr>
        <w:t>二、收入决算表</w:t>
      </w:r>
      <w:bookmarkEnd w:id="51"/>
    </w:p>
    <w:p w14:paraId="19D71E22">
      <w:pPr>
        <w:pStyle w:val="14"/>
        <w:adjustRightInd w:val="0"/>
        <w:snapToGrid w:val="0"/>
        <w:spacing w:line="560" w:lineRule="exact"/>
        <w:jc w:val="left"/>
        <w:rPr>
          <w:rFonts w:eastAsia="仿宋_GB2312" w:cs="仿宋_GB2312"/>
          <w:sz w:val="32"/>
          <w:szCs w:val="32"/>
        </w:rPr>
      </w:pPr>
      <w:bookmarkStart w:id="52" w:name="_Toc15396621"/>
      <w:r>
        <w:rPr>
          <w:rFonts w:hint="eastAsia" w:eastAsia="仿宋_GB2312" w:cs="仿宋_GB2312"/>
          <w:sz w:val="32"/>
          <w:szCs w:val="32"/>
        </w:rPr>
        <w:t>三、支出决算表</w:t>
      </w:r>
      <w:bookmarkEnd w:id="52"/>
    </w:p>
    <w:p w14:paraId="016248CA">
      <w:pPr>
        <w:pStyle w:val="14"/>
        <w:adjustRightInd w:val="0"/>
        <w:snapToGrid w:val="0"/>
        <w:spacing w:line="560" w:lineRule="exact"/>
        <w:jc w:val="left"/>
        <w:rPr>
          <w:rFonts w:eastAsia="仿宋_GB2312" w:cs="仿宋_GB2312"/>
          <w:sz w:val="32"/>
          <w:szCs w:val="32"/>
        </w:rPr>
      </w:pPr>
      <w:bookmarkStart w:id="53" w:name="_Toc15396622"/>
      <w:r>
        <w:rPr>
          <w:rFonts w:hint="eastAsia" w:eastAsia="仿宋_GB2312" w:cs="仿宋_GB2312"/>
          <w:sz w:val="32"/>
          <w:szCs w:val="32"/>
        </w:rPr>
        <w:t>四、财政拨款收入支出决算总表</w:t>
      </w:r>
      <w:bookmarkEnd w:id="53"/>
    </w:p>
    <w:p w14:paraId="1A1FB04F">
      <w:pPr>
        <w:pStyle w:val="14"/>
        <w:adjustRightInd w:val="0"/>
        <w:snapToGrid w:val="0"/>
        <w:spacing w:line="560" w:lineRule="exact"/>
        <w:jc w:val="left"/>
        <w:rPr>
          <w:rFonts w:eastAsia="仿宋_GB2312" w:cs="仿宋_GB2312"/>
          <w:sz w:val="32"/>
          <w:szCs w:val="32"/>
        </w:rPr>
      </w:pPr>
      <w:bookmarkStart w:id="54" w:name="_Toc15396623"/>
      <w:r>
        <w:rPr>
          <w:rFonts w:hint="eastAsia" w:eastAsia="仿宋_GB2312" w:cs="仿宋_GB2312"/>
          <w:sz w:val="32"/>
          <w:szCs w:val="32"/>
        </w:rPr>
        <w:t>五、财政拨款支出决算明细表</w:t>
      </w:r>
      <w:bookmarkEnd w:id="54"/>
      <w:bookmarkStart w:id="55" w:name="_Toc15396624"/>
    </w:p>
    <w:p w14:paraId="0ECA2E7D">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六、一般公共预算财政拨款支出决算表</w:t>
      </w:r>
      <w:bookmarkEnd w:id="55"/>
    </w:p>
    <w:p w14:paraId="009ABDE2">
      <w:pPr>
        <w:pStyle w:val="14"/>
        <w:adjustRightInd w:val="0"/>
        <w:snapToGrid w:val="0"/>
        <w:spacing w:line="560" w:lineRule="exact"/>
        <w:jc w:val="left"/>
        <w:rPr>
          <w:rFonts w:eastAsia="仿宋_GB2312" w:cs="仿宋_GB2312"/>
          <w:sz w:val="32"/>
          <w:szCs w:val="32"/>
        </w:rPr>
      </w:pPr>
      <w:bookmarkStart w:id="56" w:name="_Toc15396625"/>
      <w:r>
        <w:rPr>
          <w:rFonts w:hint="eastAsia" w:eastAsia="仿宋_GB2312" w:cs="仿宋_GB2312"/>
          <w:sz w:val="32"/>
          <w:szCs w:val="32"/>
        </w:rPr>
        <w:t>七、一般公共预算财政拨款支出决算明细表</w:t>
      </w:r>
      <w:bookmarkEnd w:id="56"/>
    </w:p>
    <w:p w14:paraId="181AB23F">
      <w:pPr>
        <w:pStyle w:val="14"/>
        <w:adjustRightInd w:val="0"/>
        <w:snapToGrid w:val="0"/>
        <w:spacing w:line="560" w:lineRule="exact"/>
        <w:jc w:val="left"/>
        <w:rPr>
          <w:rFonts w:eastAsia="仿宋_GB2312" w:cs="仿宋_GB2312"/>
          <w:sz w:val="32"/>
          <w:szCs w:val="32"/>
        </w:rPr>
      </w:pPr>
      <w:bookmarkStart w:id="57" w:name="_Toc15396626"/>
      <w:r>
        <w:rPr>
          <w:rFonts w:hint="eastAsia" w:eastAsia="仿宋_GB2312" w:cs="仿宋_GB2312"/>
          <w:sz w:val="32"/>
          <w:szCs w:val="32"/>
        </w:rPr>
        <w:t>八、一般公共预算财政拨款基本支出决算表</w:t>
      </w:r>
      <w:bookmarkEnd w:id="57"/>
    </w:p>
    <w:p w14:paraId="4D4A050F">
      <w:pPr>
        <w:pStyle w:val="14"/>
        <w:adjustRightInd w:val="0"/>
        <w:snapToGrid w:val="0"/>
        <w:spacing w:line="560" w:lineRule="exact"/>
        <w:jc w:val="left"/>
        <w:rPr>
          <w:rFonts w:eastAsia="仿宋_GB2312" w:cs="仿宋_GB2312"/>
          <w:sz w:val="32"/>
          <w:szCs w:val="32"/>
        </w:rPr>
      </w:pPr>
      <w:bookmarkStart w:id="58" w:name="_Toc15396627"/>
      <w:r>
        <w:rPr>
          <w:rFonts w:hint="eastAsia" w:eastAsia="仿宋_GB2312" w:cs="仿宋_GB2312"/>
          <w:sz w:val="32"/>
          <w:szCs w:val="32"/>
        </w:rPr>
        <w:t>九、一般公共预算财政拨款项目支出决算表</w:t>
      </w:r>
      <w:bookmarkEnd w:id="58"/>
    </w:p>
    <w:p w14:paraId="46F0EA2A">
      <w:pPr>
        <w:pStyle w:val="14"/>
        <w:adjustRightInd w:val="0"/>
        <w:snapToGrid w:val="0"/>
        <w:spacing w:line="560" w:lineRule="exact"/>
        <w:jc w:val="left"/>
        <w:rPr>
          <w:rFonts w:eastAsia="仿宋_GB2312" w:cs="仿宋_GB2312"/>
          <w:sz w:val="32"/>
          <w:szCs w:val="32"/>
        </w:rPr>
      </w:pPr>
      <w:bookmarkStart w:id="59" w:name="_Toc15396628"/>
      <w:r>
        <w:rPr>
          <w:rFonts w:hint="eastAsia" w:eastAsia="仿宋_GB2312" w:cs="仿宋_GB2312"/>
          <w:sz w:val="32"/>
          <w:szCs w:val="32"/>
        </w:rPr>
        <w:t>十、</w:t>
      </w:r>
      <w:bookmarkEnd w:id="59"/>
      <w:r>
        <w:rPr>
          <w:rFonts w:hint="eastAsia" w:eastAsia="仿宋_GB2312" w:cs="仿宋_GB2312"/>
          <w:sz w:val="32"/>
          <w:szCs w:val="32"/>
        </w:rPr>
        <w:t>政府性基金预算财政拨款收入支出决算表</w:t>
      </w:r>
    </w:p>
    <w:p w14:paraId="3268F269">
      <w:pPr>
        <w:pStyle w:val="14"/>
        <w:adjustRightInd w:val="0"/>
        <w:snapToGrid w:val="0"/>
        <w:spacing w:line="560" w:lineRule="exact"/>
        <w:jc w:val="left"/>
        <w:rPr>
          <w:rFonts w:eastAsia="仿宋_GB2312" w:cs="仿宋_GB2312"/>
          <w:sz w:val="32"/>
          <w:szCs w:val="32"/>
        </w:rPr>
      </w:pPr>
      <w:bookmarkStart w:id="60" w:name="_Toc15396629"/>
      <w:r>
        <w:rPr>
          <w:rFonts w:hint="eastAsia" w:eastAsia="仿宋_GB2312" w:cs="仿宋_GB2312"/>
          <w:sz w:val="32"/>
          <w:szCs w:val="32"/>
        </w:rPr>
        <w:t>十一、</w:t>
      </w:r>
      <w:bookmarkEnd w:id="60"/>
      <w:r>
        <w:rPr>
          <w:rFonts w:hint="eastAsia" w:eastAsia="仿宋_GB2312" w:cs="仿宋_GB2312"/>
          <w:sz w:val="32"/>
          <w:szCs w:val="32"/>
        </w:rPr>
        <w:t>国有资本经营预算财政拨款收入支出决算表</w:t>
      </w:r>
    </w:p>
    <w:p w14:paraId="1F745EA4">
      <w:pPr>
        <w:pStyle w:val="14"/>
        <w:adjustRightInd w:val="0"/>
        <w:snapToGrid w:val="0"/>
        <w:spacing w:line="560" w:lineRule="exact"/>
        <w:jc w:val="left"/>
        <w:rPr>
          <w:rFonts w:eastAsia="仿宋_GB2312" w:cs="仿宋_GB2312"/>
          <w:sz w:val="32"/>
          <w:szCs w:val="32"/>
        </w:rPr>
      </w:pPr>
      <w:bookmarkStart w:id="61" w:name="_Toc15396630"/>
      <w:r>
        <w:rPr>
          <w:rFonts w:hint="eastAsia" w:eastAsia="仿宋_GB2312" w:cs="仿宋_GB2312"/>
          <w:sz w:val="32"/>
          <w:szCs w:val="32"/>
        </w:rPr>
        <w:t>十二、</w:t>
      </w:r>
      <w:bookmarkEnd w:id="61"/>
      <w:r>
        <w:rPr>
          <w:rFonts w:hint="eastAsia" w:eastAsia="仿宋_GB2312" w:cs="仿宋_GB2312"/>
          <w:sz w:val="32"/>
          <w:szCs w:val="32"/>
        </w:rPr>
        <w:t>国有资本经营预算财政拨款支出决算表</w:t>
      </w:r>
    </w:p>
    <w:p w14:paraId="6DB6082E">
      <w:pPr>
        <w:pStyle w:val="14"/>
        <w:adjustRightInd w:val="0"/>
        <w:snapToGrid w:val="0"/>
        <w:spacing w:line="560" w:lineRule="exact"/>
        <w:jc w:val="left"/>
        <w:rPr>
          <w:rFonts w:eastAsia="仿宋_GB2312" w:cs="仿宋_GB2312"/>
          <w:sz w:val="32"/>
          <w:szCs w:val="32"/>
        </w:rPr>
      </w:pPr>
      <w:bookmarkStart w:id="62" w:name="_Toc15396631"/>
      <w:r>
        <w:rPr>
          <w:rFonts w:hint="eastAsia" w:eastAsia="仿宋_GB2312" w:cs="仿宋_GB2312"/>
          <w:sz w:val="32"/>
          <w:szCs w:val="32"/>
        </w:rPr>
        <w:t>十三、</w:t>
      </w:r>
      <w:bookmarkEnd w:id="62"/>
      <w:r>
        <w:rPr>
          <w:rFonts w:hint="eastAsia" w:eastAsia="仿宋_GB2312" w:cs="仿宋_GB2312"/>
          <w:sz w:val="32"/>
          <w:szCs w:val="32"/>
        </w:rPr>
        <w:t>财政拨款“三公”经费支出决算表</w:t>
      </w:r>
    </w:p>
    <w:p w14:paraId="0133CCA1"/>
    <w:sectPr>
      <w:footerReference r:id="rId8" w:type="first"/>
      <w:footerReference r:id="rId7"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
    <w:altName w:val="国标仿宋"/>
    <w:panose1 w:val="00000000000000000000"/>
    <w:charset w:val="00"/>
    <w:family w:val="roman"/>
    <w:pitch w:val="default"/>
    <w:sig w:usb0="00000000" w:usb1="00000000" w:usb2="00000000" w:usb3="00000000" w:csb0="00000000" w:csb1="00000000"/>
  </w:font>
  <w:font w:name="国标仿宋">
    <w:panose1 w:val="02000500000000000000"/>
    <w:charset w:val="86"/>
    <w:family w:val="auto"/>
    <w:pitch w:val="default"/>
    <w:sig w:usb0="A00002BF" w:usb1="38C77CFA" w:usb2="00000016" w:usb3="00000000" w:csb0="00060007" w:csb1="00000000"/>
  </w:font>
  <w:font w:name="方正小标宋简体">
    <w:panose1 w:val="02000000000000000000"/>
    <w:charset w:val="86"/>
    <w:family w:val="script"/>
    <w:pitch w:val="default"/>
    <w:sig w:usb0="A00002BF" w:usb1="184F6CFA" w:usb2="00000012" w:usb3="00000000" w:csb0="00040001" w:csb1="00000000"/>
  </w:font>
  <w:font w:name="华文宋体">
    <w:altName w:val="方正书宋_GBK"/>
    <w:panose1 w:val="02010600040101010101"/>
    <w:charset w:val="86"/>
    <w:family w:val="auto"/>
    <w:pitch w:val="default"/>
    <w:sig w:usb0="00000000" w:usb1="00000000" w:usb2="00000000" w:usb3="00000000" w:csb0="0004009F" w:csb1="DFD7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Noto Sans CJK JP Bold">
    <w:panose1 w:val="020B0800000000000000"/>
    <w:charset w:val="86"/>
    <w:family w:val="auto"/>
    <w:pitch w:val="default"/>
    <w:sig w:usb0="30000003" w:usb1="2BDF3C10" w:usb2="00000016" w:usb3="00000000" w:csb0="602E0107" w:csb1="00000000"/>
  </w:font>
  <w:font w:name="CESI仿宋-GB2312">
    <w:panose1 w:val="02000500000000000000"/>
    <w:charset w:val="86"/>
    <w:family w:val="auto"/>
    <w:pitch w:val="default"/>
    <w:sig w:usb0="800002AF" w:usb1="084F6CF8"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C7B3D">
    <w:pPr>
      <w:pStyle w:val="9"/>
      <w:jc w:val="center"/>
    </w:pPr>
  </w:p>
  <w:p w14:paraId="07E3D392">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BBDED">
    <w:pPr>
      <w:pStyle w:val="9"/>
      <w:jc w:val="center"/>
    </w:pPr>
  </w:p>
  <w:p w14:paraId="3A93057D">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DA15F">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6BDA8">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7C1DE7">
                          <w:pPr>
                            <w:pStyle w:val="9"/>
                          </w:pPr>
                          <w:r>
                            <w:t xml:space="preserve">— </w:t>
                          </w:r>
                          <w:r>
                            <w:fldChar w:fldCharType="begin"/>
                          </w:r>
                          <w:r>
                            <w:instrText xml:space="preserve"> PAGE  \* MERGEFORMAT </w:instrText>
                          </w:r>
                          <w:r>
                            <w:fldChar w:fldCharType="separate"/>
                          </w:r>
                          <w:r>
                            <w:t>- 2 -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E7C1DE7">
                    <w:pPr>
                      <w:pStyle w:val="9"/>
                    </w:pPr>
                    <w:r>
                      <w:t xml:space="preserve">— </w:t>
                    </w:r>
                    <w:r>
                      <w:fldChar w:fldCharType="begin"/>
                    </w:r>
                    <w:r>
                      <w:instrText xml:space="preserve"> PAGE  \* MERGEFORMAT </w:instrText>
                    </w:r>
                    <w:r>
                      <w:fldChar w:fldCharType="separate"/>
                    </w:r>
                    <w:r>
                      <w:t>- 2 -</w:t>
                    </w:r>
                    <w:r>
                      <w:fldChar w:fldCharType="end"/>
                    </w:r>
                    <w:r>
                      <w:t xml:space="preserve"> —</w:t>
                    </w:r>
                  </w:p>
                </w:txbxContent>
              </v:textbox>
            </v:shape>
          </w:pict>
        </mc:Fallback>
      </mc:AlternateContent>
    </w:r>
  </w:p>
  <w:p w14:paraId="2AEB2889">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28243">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5C9A09">
                          <w:pPr>
                            <w:pStyle w:val="9"/>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65C9A09">
                    <w:pPr>
                      <w:pStyle w:val="9"/>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BF1BE">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441E"/>
    <w:rsid w:val="000E6613"/>
    <w:rsid w:val="000E7119"/>
    <w:rsid w:val="00114E9B"/>
    <w:rsid w:val="00142216"/>
    <w:rsid w:val="00144D6A"/>
    <w:rsid w:val="0014729F"/>
    <w:rsid w:val="00157BAB"/>
    <w:rsid w:val="001654D1"/>
    <w:rsid w:val="00174518"/>
    <w:rsid w:val="0018106D"/>
    <w:rsid w:val="001877A7"/>
    <w:rsid w:val="00191536"/>
    <w:rsid w:val="00196687"/>
    <w:rsid w:val="001A43E3"/>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A77D0"/>
    <w:rsid w:val="002B2613"/>
    <w:rsid w:val="002D6D05"/>
    <w:rsid w:val="002F1818"/>
    <w:rsid w:val="002F567B"/>
    <w:rsid w:val="003216A9"/>
    <w:rsid w:val="00335A74"/>
    <w:rsid w:val="0036561B"/>
    <w:rsid w:val="0037013F"/>
    <w:rsid w:val="0037413C"/>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9374F"/>
    <w:rsid w:val="004A711F"/>
    <w:rsid w:val="004B199D"/>
    <w:rsid w:val="004B4690"/>
    <w:rsid w:val="004E0A2D"/>
    <w:rsid w:val="004E206B"/>
    <w:rsid w:val="004E383C"/>
    <w:rsid w:val="004E6DF7"/>
    <w:rsid w:val="004F0FBD"/>
    <w:rsid w:val="00505A47"/>
    <w:rsid w:val="00512FDA"/>
    <w:rsid w:val="00520DA0"/>
    <w:rsid w:val="005664BB"/>
    <w:rsid w:val="00566FFA"/>
    <w:rsid w:val="0057481D"/>
    <w:rsid w:val="005817F3"/>
    <w:rsid w:val="0058486E"/>
    <w:rsid w:val="00585B33"/>
    <w:rsid w:val="0059014D"/>
    <w:rsid w:val="005B5C64"/>
    <w:rsid w:val="005C5337"/>
    <w:rsid w:val="005C6BD0"/>
    <w:rsid w:val="005D1C8B"/>
    <w:rsid w:val="005D468D"/>
    <w:rsid w:val="005D5CED"/>
    <w:rsid w:val="005F1A4C"/>
    <w:rsid w:val="00605688"/>
    <w:rsid w:val="006070AF"/>
    <w:rsid w:val="00607712"/>
    <w:rsid w:val="00607E6C"/>
    <w:rsid w:val="006101B1"/>
    <w:rsid w:val="00614E44"/>
    <w:rsid w:val="0062270A"/>
    <w:rsid w:val="00622830"/>
    <w:rsid w:val="00623DA0"/>
    <w:rsid w:val="00630AEF"/>
    <w:rsid w:val="006325F8"/>
    <w:rsid w:val="00633463"/>
    <w:rsid w:val="00634C9A"/>
    <w:rsid w:val="006440E4"/>
    <w:rsid w:val="0066343B"/>
    <w:rsid w:val="00664777"/>
    <w:rsid w:val="00672AB7"/>
    <w:rsid w:val="006748A4"/>
    <w:rsid w:val="00681A31"/>
    <w:rsid w:val="00683E73"/>
    <w:rsid w:val="006A0156"/>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665E4"/>
    <w:rsid w:val="00871F71"/>
    <w:rsid w:val="00872FD8"/>
    <w:rsid w:val="00885AF4"/>
    <w:rsid w:val="008939CD"/>
    <w:rsid w:val="008B768C"/>
    <w:rsid w:val="008C4DB1"/>
    <w:rsid w:val="008C4EAF"/>
    <w:rsid w:val="008C5176"/>
    <w:rsid w:val="008C7FD0"/>
    <w:rsid w:val="008E1DE7"/>
    <w:rsid w:val="008E707C"/>
    <w:rsid w:val="008F7702"/>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8103C"/>
    <w:rsid w:val="00A91760"/>
    <w:rsid w:val="00A93B00"/>
    <w:rsid w:val="00A93C21"/>
    <w:rsid w:val="00AB64C9"/>
    <w:rsid w:val="00AC3C6A"/>
    <w:rsid w:val="00AD5620"/>
    <w:rsid w:val="00AD656B"/>
    <w:rsid w:val="00AD7C1B"/>
    <w:rsid w:val="00AE16BA"/>
    <w:rsid w:val="00AE1EBE"/>
    <w:rsid w:val="00B03C9D"/>
    <w:rsid w:val="00B060AE"/>
    <w:rsid w:val="00B10517"/>
    <w:rsid w:val="00B130BB"/>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29DB"/>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19F4776"/>
    <w:rsid w:val="12E24EE2"/>
    <w:rsid w:val="13D50BC4"/>
    <w:rsid w:val="14B17F78"/>
    <w:rsid w:val="165E0673"/>
    <w:rsid w:val="16B831D5"/>
    <w:rsid w:val="16BB723D"/>
    <w:rsid w:val="17E50567"/>
    <w:rsid w:val="186504BB"/>
    <w:rsid w:val="19A445FC"/>
    <w:rsid w:val="1BE8440E"/>
    <w:rsid w:val="1CC6347C"/>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2F4845"/>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1967D2"/>
    <w:rsid w:val="3CEBA265"/>
    <w:rsid w:val="3D5153AF"/>
    <w:rsid w:val="3D98207C"/>
    <w:rsid w:val="3DEE7CF3"/>
    <w:rsid w:val="3E740A63"/>
    <w:rsid w:val="3E78745D"/>
    <w:rsid w:val="3EE17838"/>
    <w:rsid w:val="3F55381A"/>
    <w:rsid w:val="3F7F7599"/>
    <w:rsid w:val="3FF4CAE0"/>
    <w:rsid w:val="3FF7B227"/>
    <w:rsid w:val="44E268DA"/>
    <w:rsid w:val="450D13D7"/>
    <w:rsid w:val="45506656"/>
    <w:rsid w:val="47425E02"/>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5E13BF"/>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3103EE"/>
    <w:rsid w:val="62BF3928"/>
    <w:rsid w:val="63B3701E"/>
    <w:rsid w:val="647F5392"/>
    <w:rsid w:val="65E66580"/>
    <w:rsid w:val="664B1D71"/>
    <w:rsid w:val="664B4E8E"/>
    <w:rsid w:val="67277B67"/>
    <w:rsid w:val="67AA3209"/>
    <w:rsid w:val="698D0931"/>
    <w:rsid w:val="6A7FE5F3"/>
    <w:rsid w:val="6B053271"/>
    <w:rsid w:val="6BDD78B3"/>
    <w:rsid w:val="6C4A05C8"/>
    <w:rsid w:val="6C5648C6"/>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191CE7"/>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731F5E"/>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BF7C33D"/>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6"/>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2"/>
    <w:semiHidden/>
    <w:unhideWhenUsed/>
    <w:qFormat/>
    <w:uiPriority w:val="99"/>
    <w:rPr>
      <w:sz w:val="18"/>
      <w:szCs w:val="18"/>
    </w:rPr>
  </w:style>
  <w:style w:type="paragraph" w:styleId="9">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footnote text"/>
    <w:basedOn w:val="1"/>
    <w:next w:val="13"/>
    <w:semiHidden/>
    <w:qFormat/>
    <w:uiPriority w:val="0"/>
    <w:pPr>
      <w:snapToGrid w:val="0"/>
      <w:jc w:val="left"/>
    </w:pPr>
    <w:rPr>
      <w:sz w:val="18"/>
      <w:szCs w:val="18"/>
    </w:rPr>
  </w:style>
  <w:style w:type="paragraph" w:styleId="13">
    <w:name w:val="Body Text First Indent 2"/>
    <w:basedOn w:val="6"/>
    <w:unhideWhenUsed/>
    <w:qFormat/>
    <w:uiPriority w:val="99"/>
    <w:pPr>
      <w:ind w:firstLine="420" w:firstLineChars="200"/>
    </w:p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semiHidden/>
    <w:unhideWhenUsed/>
    <w:qFormat/>
    <w:uiPriority w:val="99"/>
    <w:rPr>
      <w:sz w:val="24"/>
    </w:r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0"/>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9"/>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2"/>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3"/>
    <w:qFormat/>
    <w:uiPriority w:val="9"/>
    <w:rPr>
      <w:rFonts w:ascii="Times New Roman" w:hAnsi="Times New Roman"/>
      <w:b/>
      <w:bCs/>
      <w:kern w:val="44"/>
      <w:sz w:val="44"/>
      <w:szCs w:val="44"/>
    </w:rPr>
  </w:style>
  <w:style w:type="character" w:customStyle="1" w:styleId="30">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8"/>
    <w:semiHidden/>
    <w:qFormat/>
    <w:uiPriority w:val="99"/>
    <w:rPr>
      <w:rFonts w:ascii="Times New Roman" w:hAnsi="Times New Roman"/>
      <w:kern w:val="2"/>
      <w:sz w:val="18"/>
      <w:szCs w:val="18"/>
    </w:rPr>
  </w:style>
  <w:style w:type="character" w:customStyle="1" w:styleId="33">
    <w:name w:val="标题 3 Char"/>
    <w:basedOn w:val="17"/>
    <w:link w:val="5"/>
    <w:qFormat/>
    <w:uiPriority w:val="9"/>
    <w:rPr>
      <w:rFonts w:ascii="Times New Roman" w:hAnsi="Times New Roman"/>
      <w:b/>
      <w:bCs/>
      <w:kern w:val="2"/>
      <w:sz w:val="32"/>
      <w:szCs w:val="32"/>
    </w:rPr>
  </w:style>
  <w:style w:type="paragraph" w:customStyle="1" w:styleId="34">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收入、支出决算总计变动情况图</a:t>
            </a:r>
            <a:r>
              <a:rPr lang="en-US" altLang="zh-CN"/>
              <a:t>                   </a:t>
            </a:r>
            <a:r>
              <a:rPr altLang="en-US" sz="750">
                <a:latin typeface="方正仿宋_GBK" panose="02000000000000000000" charset="-122"/>
                <a:ea typeface="方正仿宋_GBK" panose="02000000000000000000" charset="-122"/>
              </a:rPr>
              <a:t>单位：万元</a:t>
            </a:r>
            <a:endParaRPr lang="en-US" altLang="en-US" sz="750">
              <a:latin typeface="方正仿宋_GBK" panose="02000000000000000000" charset="-122"/>
              <a:ea typeface="方正仿宋_GBK" panose="02000000000000000000" charset="-122"/>
            </a:endParaRPr>
          </a:p>
        </c:rich>
      </c:tx>
      <c:layout>
        <c:manualLayout>
          <c:xMode val="edge"/>
          <c:yMode val="edge"/>
          <c:x val="0.179868421052632"/>
          <c:y val="0.0310185185185185"/>
        </c:manualLayout>
      </c:layout>
      <c:overlay val="0"/>
      <c:spPr>
        <a:noFill/>
        <a:ln>
          <a:noFill/>
        </a:ln>
        <a:effectLst/>
      </c:spPr>
    </c:title>
    <c:autoTitleDeleted val="0"/>
    <c:plotArea>
      <c:layout/>
      <c:barChart>
        <c:barDir val="col"/>
        <c:grouping val="clustered"/>
        <c:varyColors val="0"/>
        <c:ser>
          <c:idx val="0"/>
          <c:order val="0"/>
          <c:tx>
            <c:strRef>
              <c:f>[工作簿1]Sheet1!$I$22</c:f>
              <c:strCache>
                <c:ptCount val="1"/>
                <c:pt idx="0">
                  <c:v>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[工作簿1]Sheet1!$J$21:$K$21</c:f>
              <c:numCache>
                <c:formatCode>General</c:formatCode>
                <c:ptCount val="2"/>
                <c:pt idx="0">
                  <c:v>2024</c:v>
                </c:pt>
                <c:pt idx="1">
                  <c:v>2025</c:v>
                </c:pt>
              </c:numCache>
            </c:numRef>
          </c:cat>
          <c:val>
            <c:numRef>
              <c:f>[工作簿1]Sheet1!$J$22:$K$22</c:f>
              <c:numCache>
                <c:formatCode>General</c:formatCode>
                <c:ptCount val="2"/>
                <c:pt idx="0">
                  <c:v>1399.06</c:v>
                </c:pt>
                <c:pt idx="1">
                  <c:v>1530.91</c:v>
                </c:pt>
              </c:numCache>
            </c:numRef>
          </c:val>
        </c:ser>
        <c:ser>
          <c:idx val="1"/>
          <c:order val="1"/>
          <c:tx>
            <c:strRef>
              <c:f>[工作簿1]Sheet1!$I$23</c:f>
              <c:strCache>
                <c:ptCount val="1"/>
                <c:pt idx="0">
                  <c:v>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[工作簿1]Sheet1!$J$21:$K$21</c:f>
              <c:numCache>
                <c:formatCode>General</c:formatCode>
                <c:ptCount val="2"/>
                <c:pt idx="0">
                  <c:v>2024</c:v>
                </c:pt>
                <c:pt idx="1">
                  <c:v>2025</c:v>
                </c:pt>
              </c:numCache>
            </c:numRef>
          </c:cat>
          <c:val>
            <c:numRef>
              <c:f>[工作簿1]Sheet1!$J$23:$K$23</c:f>
              <c:numCache>
                <c:formatCode>General</c:formatCode>
                <c:ptCount val="2"/>
                <c:pt idx="0">
                  <c:v>1399.06</c:v>
                </c:pt>
                <c:pt idx="1">
                  <c:v>1530.91</c:v>
                </c:pt>
              </c:numCache>
            </c:numRef>
          </c:val>
        </c:ser>
        <c:dLbls>
          <c:showLegendKey val="0"/>
          <c:showVal val="1"/>
          <c:showCatName val="0"/>
          <c:showSerName val="0"/>
          <c:showPercent val="0"/>
          <c:showBubbleSize val="0"/>
        </c:dLbls>
        <c:gapWidth val="246"/>
        <c:overlap val="-28"/>
        <c:axId val="293707587"/>
        <c:axId val="50962493"/>
      </c:barChart>
      <c:catAx>
        <c:axId val="29370758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962493"/>
        <c:crosses val="autoZero"/>
        <c:auto val="1"/>
        <c:lblAlgn val="ctr"/>
        <c:lblOffset val="100"/>
        <c:noMultiLvlLbl val="0"/>
      </c:catAx>
      <c:valAx>
        <c:axId val="5096249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9370758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f54751e-bd13-4460-bdc6-19b210c0706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方正仿宋_GBK" panose="02000000000000000000" charset="-122"/>
                <a:ea typeface="方正仿宋_GBK" panose="02000000000000000000" charset="-122"/>
                <a:cs typeface="方正仿宋_GBK" panose="02000000000000000000" charset="-122"/>
                <a:sym typeface="方正仿宋_GBK" panose="02000000000000000000" charset="-122"/>
              </a:defRPr>
            </a:pPr>
            <a:r>
              <a:rPr>
                <a:latin typeface="方正仿宋_GBK" panose="02000000000000000000" charset="-122"/>
                <a:ea typeface="方正仿宋_GBK" panose="02000000000000000000" charset="-122"/>
                <a:cs typeface="方正仿宋_GBK" panose="02000000000000000000" charset="-122"/>
                <a:sym typeface="方正仿宋_GBK" panose="02000000000000000000" charset="-122"/>
              </a:rPr>
              <a:t>收入决算结构图</a:t>
            </a:r>
            <a:r>
              <a:rPr lang="en-US" altLang="zh-CN">
                <a:latin typeface="方正仿宋_GBK" panose="02000000000000000000" charset="-122"/>
                <a:ea typeface="方正仿宋_GBK" panose="02000000000000000000" charset="-122"/>
                <a:cs typeface="方正仿宋_GBK" panose="02000000000000000000" charset="-122"/>
                <a:sym typeface="方正仿宋_GBK" panose="02000000000000000000" charset="-122"/>
              </a:rPr>
              <a:t>               </a:t>
            </a:r>
            <a:r>
              <a:rPr sz="750">
                <a:latin typeface="方正仿宋_GBK" panose="02000000000000000000" charset="-122"/>
                <a:ea typeface="方正仿宋_GBK" panose="02000000000000000000" charset="-122"/>
                <a:cs typeface="方正仿宋_GBK" panose="02000000000000000000" charset="-122"/>
                <a:sym typeface="方正仿宋_GBK" panose="02000000000000000000" charset="-122"/>
              </a:rPr>
              <a:t>单位：万元</a:t>
            </a:r>
            <a:endParaRPr sz="750">
              <a:latin typeface="方正仿宋_GBK" panose="02000000000000000000" charset="-122"/>
              <a:ea typeface="方正仿宋_GBK" panose="02000000000000000000" charset="-122"/>
              <a:cs typeface="方正仿宋_GBK" panose="02000000000000000000" charset="-122"/>
              <a:sym typeface="方正仿宋_GBK" panose="02000000000000000000" charset="-122"/>
            </a:endParaRPr>
          </a:p>
        </c:rich>
      </c:tx>
      <c:layout>
        <c:manualLayout>
          <c:xMode val="edge"/>
          <c:yMode val="edge"/>
          <c:x val="0.281776315789474"/>
          <c:y val="0.0405092592592593"/>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Lbls>
            <c:dLbl>
              <c:idx val="0"/>
              <c:layout>
                <c:manualLayout>
                  <c:x val="0.190075700446721"/>
                  <c:y val="-0.076342781241533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5"/>
              <c:layout/>
              <c:dLblPos val="bestFit"/>
              <c:showLegendKey val="0"/>
              <c:showVal val="1"/>
              <c:showCatName val="0"/>
              <c:showSerName val="0"/>
              <c:showPercent val="0"/>
              <c:showBubbleSize val="0"/>
              <c:extLst>
                <c:ext xmlns:c15="http://schemas.microsoft.com/office/drawing/2012/chart" uri="{CE6537A1-D6FC-4f65-9D91-7224C49458BB}">
                  <c15:layout>
                    <c:manualLayout>
                      <c:w val="0.0297368421052632"/>
                      <c:h val="0.0791666666666667"/>
                    </c:manualLayout>
                  </c15:layout>
                </c:ext>
              </c:extLst>
            </c:dLbl>
            <c:dLbl>
              <c:idx val="6"/>
              <c:delete val="1"/>
            </c:dLbl>
            <c:dLbl>
              <c:idx val="7"/>
              <c:layout>
                <c:manualLayout>
                  <c:x val="0.127099391390475"/>
                  <c:y val="-0.004180752063460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方正仿宋_GBK" panose="02000000000000000000" charset="-122"/>
                    <a:ea typeface="方正仿宋_GBK" panose="02000000000000000000" charset="-122"/>
                    <a:cs typeface="方正仿宋_GBK" panose="02000000000000000000" charset="-122"/>
                    <a:sym typeface="方正仿宋_GBK" panose="02000000000000000000"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[工作簿1]Sheet1!$G$48:$G$55</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[工作簿1]Sheet1!$H$48:$H$55</c:f>
              <c:numCache>
                <c:formatCode>General</c:formatCode>
                <c:ptCount val="8"/>
                <c:pt idx="0">
                  <c:v>1523.33</c:v>
                </c:pt>
                <c:pt idx="1">
                  <c:v>0</c:v>
                </c:pt>
                <c:pt idx="2">
                  <c:v>0</c:v>
                </c:pt>
                <c:pt idx="3">
                  <c:v>0</c:v>
                </c:pt>
                <c:pt idx="4">
                  <c:v>0</c:v>
                </c:pt>
                <c:pt idx="5">
                  <c:v>0</c:v>
                </c:pt>
                <c:pt idx="6">
                  <c:v>0</c:v>
                </c:pt>
                <c:pt idx="7">
                  <c:v>73.52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egendEntry>
        <c:idx val="0"/>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方正仿宋_GBK" panose="02000000000000000000" charset="-122"/>
                <a:ea typeface="方正仿宋_GBK" panose="02000000000000000000" charset="-122"/>
                <a:cs typeface="方正仿宋_GBK" panose="02000000000000000000" charset="-122"/>
                <a:sym typeface="方正仿宋_GBK" panose="02000000000000000000" charset="-122"/>
              </a:defRPr>
            </a:pPr>
          </a:p>
        </c:txPr>
      </c:legendEntry>
      <c:legendEntry>
        <c:idx val="1"/>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方正仿宋_GBK" panose="02000000000000000000" charset="-122"/>
                <a:ea typeface="方正仿宋_GBK" panose="02000000000000000000" charset="-122"/>
                <a:cs typeface="方正仿宋_GBK" panose="02000000000000000000" charset="-122"/>
                <a:sym typeface="方正仿宋_GBK" panose="02000000000000000000" charset="-122"/>
              </a:defRPr>
            </a:pPr>
          </a:p>
        </c:txPr>
      </c:legendEntry>
      <c:legendEntry>
        <c:idx val="2"/>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方正仿宋_GBK" panose="02000000000000000000" charset="-122"/>
                <a:ea typeface="方正仿宋_GBK" panose="02000000000000000000" charset="-122"/>
                <a:cs typeface="方正仿宋_GBK" panose="02000000000000000000" charset="-122"/>
                <a:sym typeface="方正仿宋_GBK" panose="02000000000000000000" charset="-122"/>
              </a:defRPr>
            </a:pPr>
          </a:p>
        </c:txPr>
      </c:legendEntry>
      <c:legendEntry>
        <c:idx val="3"/>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方正仿宋_GBK" panose="02000000000000000000" charset="-122"/>
                <a:ea typeface="方正仿宋_GBK" panose="02000000000000000000" charset="-122"/>
                <a:cs typeface="方正仿宋_GBK" panose="02000000000000000000" charset="-122"/>
                <a:sym typeface="方正仿宋_GBK" panose="02000000000000000000" charset="-122"/>
              </a:defRPr>
            </a:pPr>
          </a:p>
        </c:txPr>
      </c:legendEntry>
      <c:legendEntry>
        <c:idx val="4"/>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方正仿宋_GBK" panose="02000000000000000000" charset="-122"/>
                <a:ea typeface="方正仿宋_GBK" panose="02000000000000000000" charset="-122"/>
                <a:cs typeface="方正仿宋_GBK" panose="02000000000000000000" charset="-122"/>
                <a:sym typeface="方正仿宋_GBK" panose="02000000000000000000" charset="-122"/>
              </a:defRPr>
            </a:pPr>
          </a:p>
        </c:txPr>
      </c:legendEntry>
      <c:legendEntry>
        <c:idx val="5"/>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方正仿宋_GBK" panose="02000000000000000000" charset="-122"/>
                <a:ea typeface="方正仿宋_GBK" panose="02000000000000000000" charset="-122"/>
                <a:cs typeface="方正仿宋_GBK" panose="02000000000000000000" charset="-122"/>
                <a:sym typeface="方正仿宋_GBK" panose="02000000000000000000" charset="-122"/>
              </a:defRPr>
            </a:pPr>
          </a:p>
        </c:txPr>
      </c:legendEntry>
      <c:legendEntry>
        <c:idx val="6"/>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方正仿宋_GBK" panose="02000000000000000000" charset="-122"/>
                <a:ea typeface="方正仿宋_GBK" panose="02000000000000000000" charset="-122"/>
                <a:cs typeface="方正仿宋_GBK" panose="02000000000000000000" charset="-122"/>
                <a:sym typeface="方正仿宋_GBK" panose="02000000000000000000" charset="-122"/>
              </a:defRPr>
            </a:pPr>
          </a:p>
        </c:txPr>
      </c:legendEntry>
      <c:legendEntry>
        <c:idx val="7"/>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方正仿宋_GBK" panose="02000000000000000000" charset="-122"/>
                <a:ea typeface="方正仿宋_GBK" panose="02000000000000000000" charset="-122"/>
                <a:cs typeface="方正仿宋_GBK" panose="02000000000000000000" charset="-122"/>
                <a:sym typeface="方正仿宋_GBK" panose="02000000000000000000" charset="-122"/>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方正仿宋_GBK" panose="02000000000000000000" charset="-122"/>
              <a:ea typeface="方正仿宋_GBK" panose="02000000000000000000" charset="-122"/>
              <a:cs typeface="方正仿宋_GBK" panose="02000000000000000000" charset="-122"/>
              <a:sym typeface="方正仿宋_GBK" panose="02000000000000000000" charset="-122"/>
            </a:defRPr>
          </a:pPr>
        </a:p>
      </c:txPr>
    </c:legend>
    <c:plotVisOnly val="1"/>
    <c:dispBlanksAs val="gap"/>
    <c:showDLblsOverMax val="0"/>
    <c:extLst>
      <c:ext uri="{0b15fc19-7d7d-44ad-8c2d-2c3a37ce22c3}">
        <chartProps xmlns="https://web.wps.cn/et/2018/main" chartId="{c76dbabf-c788-4aa6-9450-f104952d419d}"/>
      </c:ext>
    </c:extLst>
  </c:chart>
  <c:spPr>
    <a:solidFill>
      <a:schemeClr val="bg1"/>
    </a:solidFill>
    <a:ln w="9525" cap="flat" cmpd="sng" algn="ctr">
      <a:solidFill>
        <a:schemeClr val="tx1">
          <a:lumMod val="15000"/>
          <a:lumOff val="85000"/>
        </a:schemeClr>
      </a:solidFill>
      <a:round/>
    </a:ln>
    <a:effectLst/>
  </c:spPr>
  <c:txPr>
    <a:bodyPr/>
    <a:lstStyle/>
    <a:p>
      <a:pPr>
        <a:defRPr lang="zh-CN">
          <a:latin typeface="方正仿宋_GBK" panose="02000000000000000000" charset="-122"/>
          <a:ea typeface="方正仿宋_GBK" panose="02000000000000000000" charset="-122"/>
          <a:cs typeface="方正仿宋_GBK" panose="02000000000000000000" charset="-122"/>
          <a:sym typeface="方正仿宋_GBK" panose="02000000000000000000"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支出决算结构图</a:t>
            </a:r>
            <a:r>
              <a:rPr lang="en-US" altLang="zh-CN"/>
              <a:t>                           </a:t>
            </a:r>
            <a:r>
              <a:rPr sz="750">
                <a:latin typeface="方正仿宋_GBK" panose="02000000000000000000" charset="-122"/>
                <a:ea typeface="方正仿宋_GBK" panose="02000000000000000000" charset="-122"/>
              </a:rPr>
              <a:t>单位：万元</a:t>
            </a:r>
            <a:endParaRPr sz="750">
              <a:latin typeface="方正仿宋_GBK" panose="02000000000000000000" charset="-122"/>
              <a:ea typeface="方正仿宋_GBK" panose="02000000000000000000" charset="-122"/>
            </a:endParaRPr>
          </a:p>
        </c:rich>
      </c:tx>
      <c:layout>
        <c:manualLayout>
          <c:xMode val="edge"/>
          <c:yMode val="edge"/>
          <c:x val="0.312368421052632"/>
          <c:y val="0.0277777777777778"/>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[工作簿1]Sheet1!$H$70:$H$74</c:f>
              <c:strCache>
                <c:ptCount val="5"/>
                <c:pt idx="0">
                  <c:v>基本支出</c:v>
                </c:pt>
                <c:pt idx="1">
                  <c:v>项目支出</c:v>
                </c:pt>
                <c:pt idx="2">
                  <c:v>上缴上级支出</c:v>
                </c:pt>
                <c:pt idx="3">
                  <c:v>经营支出</c:v>
                </c:pt>
                <c:pt idx="4">
                  <c:v>对附属单位补助支出</c:v>
                </c:pt>
              </c:strCache>
            </c:strRef>
          </c:cat>
          <c:val>
            <c:numRef>
              <c:f>[工作簿1]Sheet1!$I$70:$I$74</c:f>
              <c:numCache>
                <c:formatCode>General</c:formatCode>
                <c:ptCount val="5"/>
                <c:pt idx="0">
                  <c:v>931.84</c:v>
                </c:pt>
                <c:pt idx="1">
                  <c:v>563.4</c:v>
                </c:pt>
                <c:pt idx="2">
                  <c:v>0</c:v>
                </c:pt>
                <c:pt idx="3">
                  <c:v>0</c:v>
                </c:pt>
                <c:pt idx="4">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73ebdb9-346f-48df-8476-386ab9bfd82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财政拨款收、支决算总计变动情况图</a:t>
            </a:r>
            <a:r>
              <a:rPr lang="en-US" altLang="zh-CN"/>
              <a:t>          </a:t>
            </a:r>
            <a:r>
              <a:rPr sz="750">
                <a:latin typeface="方正仿宋_GBK" panose="02000000000000000000" charset="-122"/>
                <a:ea typeface="方正仿宋_GBK" panose="02000000000000000000" charset="-122"/>
              </a:rPr>
              <a:t>单位：万元</a:t>
            </a:r>
            <a:endParaRPr sz="750">
              <a:latin typeface="方正仿宋_GBK" panose="02000000000000000000" charset="-122"/>
              <a:ea typeface="方正仿宋_GBK" panose="02000000000000000000" charset="-122"/>
            </a:endParaRPr>
          </a:p>
        </c:rich>
      </c:tx>
      <c:layout>
        <c:manualLayout>
          <c:xMode val="edge"/>
          <c:yMode val="edge"/>
          <c:x val="0.151381578947368"/>
          <c:y val="0.0277777777777778"/>
        </c:manualLayout>
      </c:layout>
      <c:overlay val="0"/>
      <c:spPr>
        <a:noFill/>
        <a:ln>
          <a:noFill/>
        </a:ln>
        <a:effectLst/>
      </c:spPr>
    </c:title>
    <c:autoTitleDeleted val="0"/>
    <c:plotArea>
      <c:layout/>
      <c:barChart>
        <c:barDir val="col"/>
        <c:grouping val="clustered"/>
        <c:varyColors val="0"/>
        <c:ser>
          <c:idx val="0"/>
          <c:order val="0"/>
          <c:tx>
            <c:strRef>
              <c:f>[工作簿1]Sheet1!$E$81</c:f>
              <c:strCache>
                <c:ptCount val="1"/>
                <c:pt idx="0">
                  <c:v>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[工作簿1]Sheet1!$F$80:$G$80</c:f>
              <c:numCache>
                <c:formatCode>General</c:formatCode>
                <c:ptCount val="2"/>
                <c:pt idx="0">
                  <c:v>2023</c:v>
                </c:pt>
                <c:pt idx="1">
                  <c:v>2024</c:v>
                </c:pt>
              </c:numCache>
            </c:numRef>
          </c:cat>
          <c:val>
            <c:numRef>
              <c:f>[工作簿1]Sheet1!$F$81:$G$81</c:f>
              <c:numCache>
                <c:formatCode>General</c:formatCode>
                <c:ptCount val="2"/>
                <c:pt idx="0">
                  <c:v>1383.8</c:v>
                </c:pt>
                <c:pt idx="1">
                  <c:v>1449.81</c:v>
                </c:pt>
              </c:numCache>
            </c:numRef>
          </c:val>
        </c:ser>
        <c:ser>
          <c:idx val="1"/>
          <c:order val="1"/>
          <c:tx>
            <c:strRef>
              <c:f>[工作簿1]Sheet1!$E$82</c:f>
              <c:strCache>
                <c:ptCount val="1"/>
                <c:pt idx="0">
                  <c:v>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[工作簿1]Sheet1!$F$80:$G$80</c:f>
              <c:numCache>
                <c:formatCode>General</c:formatCode>
                <c:ptCount val="2"/>
                <c:pt idx="0">
                  <c:v>2023</c:v>
                </c:pt>
                <c:pt idx="1">
                  <c:v>2024</c:v>
                </c:pt>
              </c:numCache>
            </c:numRef>
          </c:cat>
          <c:val>
            <c:numRef>
              <c:f>[工作簿1]Sheet1!$F$82:$G$82</c:f>
              <c:numCache>
                <c:formatCode>General</c:formatCode>
                <c:ptCount val="2"/>
                <c:pt idx="0">
                  <c:v>1383.8</c:v>
                </c:pt>
                <c:pt idx="1">
                  <c:v>1449.81</c:v>
                </c:pt>
              </c:numCache>
            </c:numRef>
          </c:val>
        </c:ser>
        <c:dLbls>
          <c:showLegendKey val="0"/>
          <c:showVal val="1"/>
          <c:showCatName val="0"/>
          <c:showSerName val="0"/>
          <c:showPercent val="0"/>
          <c:showBubbleSize val="0"/>
        </c:dLbls>
        <c:gapWidth val="246"/>
        <c:overlap val="-28"/>
        <c:axId val="646702457"/>
        <c:axId val="974272993"/>
      </c:barChart>
      <c:catAx>
        <c:axId val="64670245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74272993"/>
        <c:crosses val="autoZero"/>
        <c:auto val="1"/>
        <c:lblAlgn val="ctr"/>
        <c:lblOffset val="100"/>
        <c:noMultiLvlLbl val="0"/>
      </c:catAx>
      <c:valAx>
        <c:axId val="97427299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4670245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96f3bdd-83de-46bb-9fa6-b9ee0ab3b34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一般公共预算财政拨款支出变动情况表</a:t>
            </a:r>
            <a:r>
              <a:rPr lang="en-US" altLang="zh-CN"/>
              <a:t>      </a:t>
            </a:r>
            <a:r>
              <a:rPr sz="750">
                <a:latin typeface="方正仿宋_GBK" panose="02000000000000000000" charset="-122"/>
                <a:ea typeface="方正仿宋_GBK" panose="02000000000000000000" charset="-122"/>
              </a:rPr>
              <a:t>单位：万元</a:t>
            </a:r>
            <a:endParaRPr sz="750">
              <a:latin typeface="方正仿宋_GBK" panose="02000000000000000000" charset="-122"/>
              <a:ea typeface="方正仿宋_GBK" panose="02000000000000000000" charset="-122"/>
            </a:endParaRPr>
          </a:p>
        </c:rich>
      </c:tx>
      <c:layout>
        <c:manualLayout>
          <c:xMode val="edge"/>
          <c:yMode val="edge"/>
          <c:x val="0.138618421052632"/>
          <c:y val="0.0247685185185185"/>
        </c:manualLayout>
      </c:layout>
      <c:overlay val="0"/>
      <c:spPr>
        <a:noFill/>
        <a:ln>
          <a:noFill/>
        </a:ln>
        <a:effectLst/>
      </c:spPr>
    </c:title>
    <c:autoTitleDeleted val="0"/>
    <c:plotArea>
      <c:layout>
        <c:manualLayout>
          <c:layoutTarget val="inner"/>
          <c:xMode val="edge"/>
          <c:yMode val="edge"/>
          <c:x val="0.0811315789473684"/>
          <c:y val="0.218055555555556"/>
          <c:w val="0.888210526315789"/>
          <c:h val="0.67"/>
        </c:manualLayout>
      </c:layout>
      <c:barChart>
        <c:barDir val="col"/>
        <c:grouping val="clustered"/>
        <c:varyColors val="0"/>
        <c:ser>
          <c:idx val="0"/>
          <c:order val="0"/>
          <c:tx>
            <c:strRef>
              <c:f>[工作簿1]Sheet1!$E$81</c:f>
              <c:strCache>
                <c:ptCount val="1"/>
                <c:pt idx="0">
                  <c:v>支出</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[工作簿1]Sheet1!$F$80:$G$80</c:f>
              <c:numCache>
                <c:formatCode>General</c:formatCode>
                <c:ptCount val="2"/>
                <c:pt idx="0">
                  <c:v>2023</c:v>
                </c:pt>
                <c:pt idx="1">
                  <c:v>2024</c:v>
                </c:pt>
              </c:numCache>
            </c:numRef>
          </c:cat>
          <c:val>
            <c:numRef>
              <c:f>[工作簿1]Sheet1!$F$81:$G$81</c:f>
              <c:numCache>
                <c:formatCode>General</c:formatCode>
                <c:ptCount val="2"/>
                <c:pt idx="0">
                  <c:v>1383.8</c:v>
                </c:pt>
                <c:pt idx="1">
                  <c:v>1449.81</c:v>
                </c:pt>
              </c:numCache>
            </c:numRef>
          </c:val>
        </c:ser>
        <c:dLbls>
          <c:showLegendKey val="0"/>
          <c:showVal val="1"/>
          <c:showCatName val="0"/>
          <c:showSerName val="0"/>
          <c:showPercent val="0"/>
          <c:showBubbleSize val="0"/>
        </c:dLbls>
        <c:gapWidth val="246"/>
        <c:overlap val="-28"/>
        <c:axId val="946316845"/>
        <c:axId val="155252998"/>
      </c:barChart>
      <c:catAx>
        <c:axId val="94631684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5252998"/>
        <c:crosses val="autoZero"/>
        <c:auto val="1"/>
        <c:lblAlgn val="ctr"/>
        <c:lblOffset val="100"/>
        <c:noMultiLvlLbl val="0"/>
      </c:catAx>
      <c:valAx>
        <c:axId val="155252998"/>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46316845"/>
        <c:crosses val="autoZero"/>
        <c:crossBetween val="between"/>
      </c:valAx>
      <c:spPr>
        <a:noFill/>
        <a:ln>
          <a:noFill/>
        </a:ln>
        <a:effectLst/>
      </c:spPr>
    </c:plotArea>
    <c:plotVisOnly val="1"/>
    <c:dispBlanksAs val="gap"/>
    <c:showDLblsOverMax val="0"/>
    <c:extLst>
      <c:ext uri="{0b15fc19-7d7d-44ad-8c2d-2c3a37ce22c3}">
        <chartProps xmlns="https://web.wps.cn/et/2018/main" chartId="{866dab19-d5b9-423a-897c-db994bb7c57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一般公共预算财政拨款支出结构图</a:t>
            </a:r>
            <a:r>
              <a:rPr lang="en-US" altLang="zh-CN"/>
              <a:t>       </a:t>
            </a:r>
            <a:r>
              <a:rPr sz="750">
                <a:latin typeface="方正仿宋_GBK" panose="02000000000000000000" charset="-122"/>
                <a:ea typeface="方正仿宋_GBK" panose="02000000000000000000" charset="-122"/>
              </a:rPr>
              <a:t>单位：万元</a:t>
            </a:r>
            <a:endParaRPr sz="750">
              <a:latin typeface="方正仿宋_GBK" panose="02000000000000000000" charset="-122"/>
              <a:ea typeface="方正仿宋_GBK" panose="02000000000000000000" charset="-122"/>
            </a:endParaRPr>
          </a:p>
        </c:rich>
      </c:tx>
      <c:layout>
        <c:manualLayout>
          <c:xMode val="edge"/>
          <c:yMode val="edge"/>
          <c:x val="0.150732776332009"/>
          <c:y val="0.0276690159227356"/>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[工作簿1]Sheet1!$H$101:$H$107</c:f>
              <c:strCache>
                <c:ptCount val="7"/>
                <c:pt idx="0">
                  <c:v>一般公共服务支出</c:v>
                </c:pt>
                <c:pt idx="1">
                  <c:v>教育支出</c:v>
                </c:pt>
                <c:pt idx="2">
                  <c:v>科学技术支出</c:v>
                </c:pt>
                <c:pt idx="3">
                  <c:v>文化旅游体育与传媒支出</c:v>
                </c:pt>
                <c:pt idx="4">
                  <c:v>社会保障和就业支出</c:v>
                </c:pt>
                <c:pt idx="5">
                  <c:v>卫生健康支出</c:v>
                </c:pt>
                <c:pt idx="6">
                  <c:v>住房保障支出</c:v>
                </c:pt>
              </c:strCache>
            </c:strRef>
          </c:cat>
          <c:val>
            <c:numRef>
              <c:f>[工作簿1]Sheet1!$I$101:$I$107</c:f>
              <c:numCache>
                <c:formatCode>General</c:formatCode>
                <c:ptCount val="7"/>
                <c:pt idx="0">
                  <c:v>0</c:v>
                </c:pt>
                <c:pt idx="1">
                  <c:v>0</c:v>
                </c:pt>
                <c:pt idx="2">
                  <c:v>0</c:v>
                </c:pt>
                <c:pt idx="3">
                  <c:v>0</c:v>
                </c:pt>
                <c:pt idx="4">
                  <c:v>180.81</c:v>
                </c:pt>
                <c:pt idx="5" c:formatCode="#,##0.00">
                  <c:v>1200.19</c:v>
                </c:pt>
                <c:pt idx="6">
                  <c:v>68.81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65dd864-7c9f-4629-a120-a40bd79b644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18</Pages>
  <Words>950</Words>
  <Characters>1029</Characters>
  <Lines>44</Lines>
  <Paragraphs>12</Paragraphs>
  <TotalTime>8</TotalTime>
  <ScaleCrop>false</ScaleCrop>
  <LinksUpToDate>false</LinksUpToDate>
  <CharactersWithSpaces>1144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2020-08-09T17:49:00Z</dcterms:created>
  <dc:creator>曹颖</dc:creator>
  <cp:lastModifiedBy>user</cp:lastModifiedBy>
  <cp:lastPrinted>2025-10-10T11:06:00Z</cp:lastPrinted>
  <dcterms:modified xsi:type="dcterms:W3CDTF">2025-10-22T11:14:24Z</dcterms:modified>
  <dc:title>四川省***</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23849A0D1B564B8684ED0A4B32EBDB42_13</vt:lpwstr>
  </property>
  <property fmtid="{D5CDD505-2E9C-101B-9397-08002B2CF9AE}" pid="4" name="KSOTemplateDocerSaveRecord">
    <vt:lpwstr>eyJoZGlkIjoiODgwMzM0ZmVmOTAxYmVjODAzYmE3MmQwYjIwZjZmYjYiLCJ1c2VySWQiOiIyNjk4NDExNjkifQ==</vt:lpwstr>
  </property>
</Properties>
</file>