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422E2">
      <w:pPr>
        <w:pStyle w:val="7"/>
        <w:spacing w:before="93"/>
        <w:rPr>
          <w:rFonts w:ascii="Times New Roman" w:eastAsia="方正小标宋简体"/>
          <w:kern w:val="2"/>
          <w:sz w:val="72"/>
          <w:szCs w:val="72"/>
        </w:rPr>
      </w:pPr>
      <w:bookmarkStart w:id="0" w:name="_Toc15396597"/>
      <w:bookmarkStart w:id="1" w:name="_Toc15306267"/>
      <w:bookmarkStart w:id="2" w:name="_Toc15377425"/>
      <w:bookmarkStart w:id="3" w:name="_Toc15377193"/>
      <w:bookmarkStart w:id="4" w:name="_Toc15396475"/>
      <w:bookmarkStart w:id="5" w:name="_Toc15378441"/>
    </w:p>
    <w:p w14:paraId="0FCD0389">
      <w:pPr>
        <w:pStyle w:val="7"/>
        <w:spacing w:before="93"/>
        <w:rPr>
          <w:rFonts w:ascii="Times New Roman" w:eastAsia="方正小标宋简体"/>
          <w:kern w:val="2"/>
          <w:sz w:val="72"/>
          <w:szCs w:val="72"/>
        </w:rPr>
      </w:pPr>
    </w:p>
    <w:p w14:paraId="4EB010F4">
      <w:pPr>
        <w:pStyle w:val="7"/>
        <w:spacing w:before="93"/>
        <w:rPr>
          <w:rFonts w:ascii="Times New Roman" w:eastAsia="方正小标宋简体"/>
          <w:kern w:val="2"/>
          <w:sz w:val="72"/>
          <w:szCs w:val="72"/>
        </w:rPr>
      </w:pPr>
    </w:p>
    <w:p w14:paraId="758E9547">
      <w:pPr>
        <w:pStyle w:val="7"/>
        <w:spacing w:before="93"/>
        <w:jc w:val="center"/>
        <w:rPr>
          <w:rFonts w:hint="eastAsia" w:ascii="方正小标宋_GBK" w:hAnsi="方正小标宋_GBK" w:eastAsia="方正小标宋_GBK" w:cs="方正小标宋_GBK"/>
          <w:kern w:val="2"/>
          <w:sz w:val="48"/>
          <w:szCs w:val="48"/>
        </w:rPr>
      </w:pPr>
      <w:r>
        <w:rPr>
          <w:rFonts w:hint="eastAsia" w:ascii="方正小标宋_GBK" w:hAnsi="方正小标宋_GBK" w:eastAsia="方正小标宋_GBK" w:cs="方正小标宋_GBK"/>
          <w:kern w:val="2"/>
          <w:sz w:val="48"/>
          <w:szCs w:val="48"/>
        </w:rPr>
        <w:t>2024年度</w:t>
      </w:r>
    </w:p>
    <w:p w14:paraId="0A74371F">
      <w:pPr>
        <w:pStyle w:val="7"/>
        <w:spacing w:before="93"/>
        <w:jc w:val="center"/>
        <w:rPr>
          <w:rFonts w:hint="eastAsia" w:ascii="方正小标宋_GBK" w:hAnsi="方正小标宋_GBK" w:eastAsia="方正小标宋_GBK" w:cs="方正小标宋_GBK"/>
          <w:kern w:val="2"/>
          <w:sz w:val="48"/>
          <w:szCs w:val="48"/>
        </w:rPr>
      </w:pPr>
      <w:r>
        <w:rPr>
          <w:rFonts w:hint="eastAsia" w:ascii="方正小标宋_GBK" w:hAnsi="方正小标宋_GBK" w:eastAsia="方正小标宋_GBK" w:cs="方正小标宋_GBK"/>
          <w:kern w:val="2"/>
          <w:sz w:val="48"/>
          <w:szCs w:val="48"/>
        </w:rPr>
        <w:t>盐边县信访局</w:t>
      </w:r>
      <w:r>
        <w:rPr>
          <w:rFonts w:hint="eastAsia" w:ascii="方正小标宋_GBK" w:hAnsi="方正小标宋_GBK" w:eastAsia="方正小标宋_GBK" w:cs="方正小标宋_GBK"/>
          <w:kern w:val="2"/>
          <w:sz w:val="48"/>
          <w:szCs w:val="48"/>
          <w:lang w:val="en-US" w:eastAsia="zh-CN"/>
        </w:rPr>
        <w:t>单位</w:t>
      </w:r>
      <w:r>
        <w:rPr>
          <w:rFonts w:hint="eastAsia" w:ascii="方正小标宋_GBK" w:hAnsi="方正小标宋_GBK" w:eastAsia="方正小标宋_GBK" w:cs="方正小标宋_GBK"/>
          <w:kern w:val="2"/>
          <w:sz w:val="48"/>
          <w:szCs w:val="48"/>
        </w:rPr>
        <w:t>决算</w:t>
      </w:r>
    </w:p>
    <w:p w14:paraId="6EC16874">
      <w:pPr>
        <w:pStyle w:val="7"/>
        <w:spacing w:before="93"/>
        <w:jc w:val="center"/>
        <w:rPr>
          <w:rFonts w:hint="eastAsia" w:ascii="方正小标宋_GBK" w:hAnsi="方正小标宋_GBK" w:eastAsia="方正小标宋_GBK" w:cs="方正小标宋_GBK"/>
          <w:kern w:val="2"/>
          <w:sz w:val="48"/>
          <w:szCs w:val="48"/>
        </w:rPr>
      </w:pPr>
      <w:r>
        <w:rPr>
          <w:rFonts w:hint="eastAsia" w:ascii="方正小标宋_GBK" w:hAnsi="方正小标宋_GBK" w:eastAsia="方正小标宋_GBK" w:cs="方正小标宋_GBK"/>
          <w:kern w:val="2"/>
          <w:sz w:val="48"/>
          <w:szCs w:val="48"/>
        </w:rPr>
        <w:t>公开编制说明</w:t>
      </w:r>
    </w:p>
    <w:p w14:paraId="62F9FD13">
      <w:pPr>
        <w:spacing w:line="600" w:lineRule="exact"/>
        <w:jc w:val="center"/>
        <w:outlineLvl w:val="0"/>
        <w:rPr>
          <w:rFonts w:eastAsia="方正小标宋简体"/>
          <w:sz w:val="72"/>
          <w:szCs w:val="72"/>
        </w:rPr>
      </w:pPr>
    </w:p>
    <w:p w14:paraId="00B4E55F">
      <w:pPr>
        <w:pStyle w:val="20"/>
        <w:rPr>
          <w:rFonts w:ascii="Times New Roman" w:hAnsi="Times New Roman"/>
        </w:rPr>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992" w:gutter="0"/>
          <w:pgNumType w:fmt="decimal" w:start="1"/>
          <w:cols w:space="425" w:num="1"/>
          <w:titlePg/>
          <w:docGrid w:type="lines" w:linePitch="312" w:charSpace="0"/>
        </w:sectPr>
      </w:pPr>
    </w:p>
    <w:p w14:paraId="6E2C06F2"/>
    <w:bookmarkEnd w:id="0"/>
    <w:bookmarkEnd w:id="1"/>
    <w:bookmarkEnd w:id="2"/>
    <w:bookmarkEnd w:id="3"/>
    <w:bookmarkEnd w:id="4"/>
    <w:bookmarkEnd w:id="5"/>
    <w:p w14:paraId="7403C270">
      <w:pPr>
        <w:widowControl/>
        <w:jc w:val="center"/>
        <w:rPr>
          <w:rFonts w:eastAsia="黑体"/>
          <w:sz w:val="48"/>
          <w:szCs w:val="48"/>
        </w:rPr>
      </w:pPr>
      <w:r>
        <w:rPr>
          <w:rFonts w:hint="eastAsia" w:eastAsia="黑体"/>
          <w:sz w:val="48"/>
          <w:szCs w:val="48"/>
        </w:rPr>
        <w:t>目</w:t>
      </w:r>
      <w:r>
        <w:rPr>
          <w:rFonts w:hint="eastAsia" w:eastAsia="黑体"/>
          <w:sz w:val="48"/>
          <w:szCs w:val="48"/>
          <w:lang w:val="en-US" w:eastAsia="zh-CN"/>
        </w:rPr>
        <w:t xml:space="preserve">  </w:t>
      </w:r>
      <w:r>
        <w:rPr>
          <w:rFonts w:hint="eastAsia" w:eastAsia="黑体"/>
          <w:sz w:val="48"/>
          <w:szCs w:val="48"/>
        </w:rPr>
        <w:t>录</w:t>
      </w:r>
    </w:p>
    <w:p w14:paraId="1BBB61A4">
      <w:pPr>
        <w:widowControl/>
        <w:jc w:val="center"/>
        <w:rPr>
          <w:rFonts w:eastAsia="黑体" w:cstheme="minorBidi"/>
          <w:sz w:val="28"/>
          <w:szCs w:val="28"/>
        </w:rPr>
      </w:pPr>
    </w:p>
    <w:p w14:paraId="377D230C">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 10 月 28 日</w:t>
      </w:r>
    </w:p>
    <w:p w14:paraId="07BE32AA"/>
    <w:p w14:paraId="321EA01F">
      <w:pPr>
        <w:pStyle w:val="12"/>
        <w:keepNext w:val="0"/>
        <w:keepLines w:val="0"/>
        <w:pageBreakBefore w:val="0"/>
        <w:kinsoku/>
        <w:wordWrap/>
        <w:overflowPunct/>
        <w:topLinePunct w:val="0"/>
        <w:autoSpaceDE/>
        <w:autoSpaceDN/>
        <w:bidi w:val="0"/>
        <w:adjustRightInd w:val="0"/>
        <w:snapToGrid w:val="0"/>
        <w:spacing w:before="0" w:line="560" w:lineRule="exact"/>
        <w:ind w:left="0" w:leftChars="0" w:firstLine="640" w:firstLineChars="200"/>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 xml:space="preserve">第一部分 </w:t>
      </w:r>
      <w:r>
        <w:rPr>
          <w:rFonts w:hint="eastAsia" w:ascii="Times New Roman" w:hAnsi="Times New Roman" w:eastAsia="黑体" w:cs="黑体"/>
          <w:sz w:val="32"/>
          <w:szCs w:val="32"/>
          <w:lang w:val="en-US" w:eastAsia="zh-CN"/>
        </w:rPr>
        <w:t>单位</w:t>
      </w:r>
      <w:r>
        <w:rPr>
          <w:rFonts w:hint="eastAsia" w:ascii="Times New Roman" w:hAnsi="Times New Roman" w:eastAsia="黑体" w:cs="黑体"/>
          <w:sz w:val="32"/>
          <w:szCs w:val="32"/>
        </w:rPr>
        <w:t>概况</w:t>
      </w:r>
      <w:r>
        <w:rPr>
          <w:rFonts w:hint="eastAsia" w:ascii="仿宋_GB2312" w:hAnsi="仿宋_GB2312" w:eastAsia="仿宋_GB2312" w:cs="仿宋_GB2312"/>
          <w:sz w:val="24"/>
          <w:szCs w:val="24"/>
          <w:lang w:val="en-US" w:eastAsia="zh-CN"/>
        </w:rPr>
        <w:t>............................................4</w:t>
      </w:r>
    </w:p>
    <w:p w14:paraId="641488CD">
      <w:pPr>
        <w:pStyle w:val="12"/>
        <w:keepNext w:val="0"/>
        <w:keepLines w:val="0"/>
        <w:pageBreakBefore w:val="0"/>
        <w:kinsoku/>
        <w:wordWrap/>
        <w:overflowPunct/>
        <w:topLinePunct w:val="0"/>
        <w:autoSpaceDE/>
        <w:autoSpaceDN/>
        <w:bidi w:val="0"/>
        <w:adjustRightInd w:val="0"/>
        <w:snapToGrid w:val="0"/>
        <w:spacing w:before="0" w:line="560" w:lineRule="exact"/>
        <w:ind w:left="0" w:leftChars="0" w:firstLine="640" w:firstLineChars="200"/>
        <w:jc w:val="left"/>
        <w:textAlignment w:val="auto"/>
        <w:rPr>
          <w:rFonts w:hint="default" w:eastAsia="仿宋_GB2312" w:cs="仿宋_GB2312"/>
          <w:sz w:val="32"/>
          <w:szCs w:val="32"/>
          <w:lang w:val="en-US"/>
        </w:rPr>
      </w:pPr>
      <w:r>
        <w:rPr>
          <w:rFonts w:hint="eastAsia" w:eastAsia="仿宋_GB2312" w:cs="仿宋_GB2312"/>
          <w:sz w:val="32"/>
          <w:szCs w:val="32"/>
        </w:rPr>
        <w:t>一、部门职责</w:t>
      </w:r>
      <w:r>
        <w:rPr>
          <w:rFonts w:hint="eastAsia" w:ascii="仿宋_GB2312" w:hAnsi="仿宋_GB2312" w:eastAsia="仿宋_GB2312" w:cs="仿宋_GB2312"/>
          <w:sz w:val="24"/>
          <w:szCs w:val="24"/>
          <w:lang w:val="en-US" w:eastAsia="zh-CN"/>
        </w:rPr>
        <w:t>....................................................4</w:t>
      </w:r>
    </w:p>
    <w:p w14:paraId="53C77FCF">
      <w:pPr>
        <w:pStyle w:val="12"/>
        <w:keepNext w:val="0"/>
        <w:keepLines w:val="0"/>
        <w:pageBreakBefore w:val="0"/>
        <w:kinsoku/>
        <w:wordWrap/>
        <w:overflowPunct/>
        <w:topLinePunct w:val="0"/>
        <w:autoSpaceDE/>
        <w:autoSpaceDN/>
        <w:bidi w:val="0"/>
        <w:adjustRightInd w:val="0"/>
        <w:snapToGrid w:val="0"/>
        <w:spacing w:before="0" w:line="560" w:lineRule="exact"/>
        <w:ind w:left="0" w:leftChars="0" w:firstLine="640" w:firstLineChars="200"/>
        <w:jc w:val="left"/>
        <w:textAlignment w:val="auto"/>
        <w:rPr>
          <w:rFonts w:hint="default" w:eastAsia="仿宋_GB2312" w:cs="仿宋_GB2312"/>
          <w:sz w:val="32"/>
          <w:szCs w:val="32"/>
          <w:lang w:val="en-US"/>
        </w:rPr>
      </w:pPr>
      <w:r>
        <w:rPr>
          <w:rFonts w:hint="eastAsia" w:eastAsia="仿宋_GB2312" w:cs="仿宋_GB2312"/>
          <w:sz w:val="32"/>
          <w:szCs w:val="32"/>
        </w:rPr>
        <w:t>二、机构设置</w:t>
      </w:r>
      <w:r>
        <w:rPr>
          <w:rFonts w:hint="eastAsia" w:ascii="仿宋_GB2312" w:hAnsi="仿宋_GB2312" w:eastAsia="仿宋_GB2312" w:cs="仿宋_GB2312"/>
          <w:sz w:val="24"/>
          <w:szCs w:val="24"/>
          <w:lang w:val="en-US" w:eastAsia="zh-CN"/>
        </w:rPr>
        <w:t>....................................................5</w:t>
      </w:r>
    </w:p>
    <w:p w14:paraId="05F46D09">
      <w:pPr>
        <w:pStyle w:val="12"/>
        <w:adjustRightInd w:val="0"/>
        <w:snapToGrid w:val="0"/>
        <w:spacing w:before="0" w:line="560" w:lineRule="exact"/>
        <w:ind w:firstLine="640" w:firstLineChars="200"/>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2024年度部门决算情况说明</w:t>
      </w:r>
      <w:r>
        <w:rPr>
          <w:rFonts w:hint="eastAsia" w:ascii="仿宋_GB2312" w:hAnsi="仿宋_GB2312" w:eastAsia="仿宋_GB2312" w:cs="仿宋_GB2312"/>
          <w:sz w:val="24"/>
          <w:szCs w:val="24"/>
          <w:lang w:val="en-US" w:eastAsia="zh-CN"/>
        </w:rPr>
        <w:t>.......................6</w:t>
      </w:r>
    </w:p>
    <w:p w14:paraId="3EF01813">
      <w:pPr>
        <w:pStyle w:val="12"/>
        <w:keepNext w:val="0"/>
        <w:keepLines w:val="0"/>
        <w:pageBreakBefore w:val="0"/>
        <w:kinsoku/>
        <w:wordWrap/>
        <w:overflowPunct/>
        <w:topLinePunct w:val="0"/>
        <w:autoSpaceDE/>
        <w:autoSpaceDN/>
        <w:bidi w:val="0"/>
        <w:adjustRightInd w:val="0"/>
        <w:snapToGrid w:val="0"/>
        <w:spacing w:before="0" w:line="560" w:lineRule="exact"/>
        <w:ind w:left="0" w:leftChars="0" w:firstLine="640" w:firstLineChars="200"/>
        <w:jc w:val="left"/>
        <w:textAlignment w:val="auto"/>
        <w:rPr>
          <w:rFonts w:hint="default" w:eastAsia="仿宋_GB2312" w:cs="仿宋_GB2312"/>
          <w:sz w:val="32"/>
          <w:szCs w:val="32"/>
          <w:lang w:val="en-US"/>
        </w:rPr>
      </w:pPr>
      <w:r>
        <w:rPr>
          <w:rFonts w:hint="eastAsia" w:eastAsia="仿宋_GB2312" w:cs="仿宋_GB2312"/>
          <w:sz w:val="32"/>
          <w:szCs w:val="32"/>
        </w:rPr>
        <w:t>一、收入支出决算总体情况说明</w:t>
      </w:r>
      <w:r>
        <w:rPr>
          <w:rFonts w:hint="eastAsia" w:ascii="仿宋_GB2312" w:hAnsi="仿宋_GB2312" w:eastAsia="仿宋_GB2312" w:cs="仿宋_GB2312"/>
          <w:sz w:val="24"/>
          <w:szCs w:val="24"/>
          <w:lang w:val="en-US" w:eastAsia="zh-CN"/>
        </w:rPr>
        <w:t>...............................6</w:t>
      </w:r>
    </w:p>
    <w:p w14:paraId="4E520874">
      <w:pPr>
        <w:pStyle w:val="12"/>
        <w:keepNext w:val="0"/>
        <w:keepLines w:val="0"/>
        <w:pageBreakBefore w:val="0"/>
        <w:kinsoku/>
        <w:wordWrap/>
        <w:overflowPunct/>
        <w:topLinePunct w:val="0"/>
        <w:autoSpaceDE/>
        <w:autoSpaceDN/>
        <w:bidi w:val="0"/>
        <w:adjustRightInd w:val="0"/>
        <w:snapToGrid w:val="0"/>
        <w:spacing w:before="0" w:line="560" w:lineRule="exact"/>
        <w:ind w:left="0" w:leftChars="0" w:firstLine="640" w:firstLineChars="200"/>
        <w:jc w:val="left"/>
        <w:textAlignment w:val="auto"/>
        <w:rPr>
          <w:rFonts w:hint="default" w:eastAsia="仿宋_GB2312" w:cs="仿宋_GB2312"/>
          <w:sz w:val="32"/>
          <w:szCs w:val="32"/>
          <w:lang w:val="en-US"/>
        </w:rPr>
      </w:pPr>
      <w:r>
        <w:rPr>
          <w:rFonts w:hint="eastAsia" w:eastAsia="仿宋_GB2312" w:cs="仿宋_GB2312"/>
          <w:sz w:val="32"/>
          <w:szCs w:val="32"/>
        </w:rPr>
        <w:t>二、收入决算情况说明</w:t>
      </w:r>
      <w:r>
        <w:rPr>
          <w:rFonts w:hint="eastAsia" w:ascii="仿宋_GB2312" w:hAnsi="仿宋_GB2312" w:eastAsia="仿宋_GB2312" w:cs="仿宋_GB2312"/>
          <w:sz w:val="24"/>
          <w:szCs w:val="24"/>
          <w:lang w:val="en-US" w:eastAsia="zh-CN"/>
        </w:rPr>
        <w:t>..........................................6</w:t>
      </w:r>
    </w:p>
    <w:p w14:paraId="64B1FA08">
      <w:pPr>
        <w:pStyle w:val="12"/>
        <w:keepNext w:val="0"/>
        <w:keepLines w:val="0"/>
        <w:pageBreakBefore w:val="0"/>
        <w:kinsoku/>
        <w:wordWrap/>
        <w:overflowPunct/>
        <w:topLinePunct w:val="0"/>
        <w:autoSpaceDE/>
        <w:autoSpaceDN/>
        <w:bidi w:val="0"/>
        <w:adjustRightInd w:val="0"/>
        <w:snapToGrid w:val="0"/>
        <w:spacing w:before="0" w:line="560" w:lineRule="exact"/>
        <w:ind w:left="0" w:leftChars="0" w:firstLine="640" w:firstLineChars="200"/>
        <w:jc w:val="left"/>
        <w:textAlignment w:val="auto"/>
        <w:rPr>
          <w:rFonts w:hint="default" w:ascii="仿宋_GB2312" w:hAnsi="仿宋_GB2312" w:eastAsia="仿宋_GB2312" w:cs="仿宋_GB2312"/>
          <w:sz w:val="24"/>
          <w:szCs w:val="24"/>
          <w:lang w:val="en-US" w:eastAsia="zh-CN"/>
        </w:rPr>
      </w:pPr>
      <w:r>
        <w:rPr>
          <w:rFonts w:hint="eastAsia" w:eastAsia="仿宋_GB2312" w:cs="仿宋_GB2312"/>
          <w:sz w:val="32"/>
          <w:szCs w:val="32"/>
        </w:rPr>
        <w:t>三、支出决算情况说明</w:t>
      </w:r>
      <w:r>
        <w:rPr>
          <w:rFonts w:hint="eastAsia" w:ascii="仿宋_GB2312" w:hAnsi="仿宋_GB2312" w:eastAsia="仿宋_GB2312" w:cs="仿宋_GB2312"/>
          <w:sz w:val="24"/>
          <w:szCs w:val="24"/>
          <w:lang w:val="en-US" w:eastAsia="zh-CN"/>
        </w:rPr>
        <w:t>..........................................7</w:t>
      </w:r>
    </w:p>
    <w:p w14:paraId="7DCA6DD4">
      <w:pPr>
        <w:pStyle w:val="12"/>
        <w:keepNext w:val="0"/>
        <w:keepLines w:val="0"/>
        <w:pageBreakBefore w:val="0"/>
        <w:kinsoku/>
        <w:wordWrap/>
        <w:overflowPunct/>
        <w:topLinePunct w:val="0"/>
        <w:autoSpaceDE/>
        <w:autoSpaceDN/>
        <w:bidi w:val="0"/>
        <w:adjustRightInd w:val="0"/>
        <w:snapToGrid w:val="0"/>
        <w:spacing w:before="0" w:line="560" w:lineRule="exact"/>
        <w:ind w:left="638" w:leftChars="304" w:firstLine="0" w:firstLineChars="0"/>
        <w:jc w:val="left"/>
        <w:textAlignment w:val="auto"/>
        <w:rPr>
          <w:rFonts w:hint="default" w:ascii="仿宋_GB2312" w:hAnsi="仿宋_GB2312" w:eastAsia="仿宋_GB2312" w:cs="仿宋_GB2312"/>
          <w:sz w:val="24"/>
          <w:szCs w:val="24"/>
          <w:lang w:val="en-US" w:eastAsia="zh-CN"/>
        </w:rPr>
      </w:pPr>
      <w:r>
        <w:rPr>
          <w:rFonts w:hint="eastAsia" w:eastAsia="仿宋_GB2312" w:cs="仿宋_GB2312"/>
          <w:sz w:val="32"/>
          <w:szCs w:val="32"/>
        </w:rPr>
        <w:t>四、财政拨款收入支出决算总体情况说明</w:t>
      </w:r>
      <w:r>
        <w:rPr>
          <w:rFonts w:hint="eastAsia" w:ascii="仿宋_GB2312" w:hAnsi="仿宋_GB2312" w:eastAsia="仿宋_GB2312" w:cs="仿宋_GB2312"/>
          <w:sz w:val="24"/>
          <w:szCs w:val="24"/>
          <w:lang w:val="en-US" w:eastAsia="zh-CN"/>
        </w:rPr>
        <w:t>....................7</w:t>
      </w:r>
      <w:r>
        <w:rPr>
          <w:rFonts w:hint="eastAsia" w:eastAsia="仿宋_GB2312" w:cs="仿宋_GB2312"/>
          <w:sz w:val="32"/>
          <w:szCs w:val="32"/>
        </w:rPr>
        <w:t>五、一般公共预算财政拨款支出决算情况说明</w:t>
      </w:r>
      <w:r>
        <w:rPr>
          <w:rFonts w:hint="eastAsia" w:ascii="仿宋_GB2312" w:hAnsi="仿宋_GB2312" w:eastAsia="仿宋_GB2312" w:cs="仿宋_GB2312"/>
          <w:sz w:val="24"/>
          <w:szCs w:val="24"/>
          <w:lang w:val="en-US" w:eastAsia="zh-CN"/>
        </w:rPr>
        <w:t>...............8</w:t>
      </w:r>
    </w:p>
    <w:p w14:paraId="5A711593">
      <w:pPr>
        <w:pStyle w:val="12"/>
        <w:keepNext w:val="0"/>
        <w:keepLines w:val="0"/>
        <w:pageBreakBefore w:val="0"/>
        <w:kinsoku/>
        <w:wordWrap/>
        <w:overflowPunct/>
        <w:topLinePunct w:val="0"/>
        <w:autoSpaceDE/>
        <w:autoSpaceDN/>
        <w:bidi w:val="0"/>
        <w:adjustRightInd w:val="0"/>
        <w:snapToGrid w:val="0"/>
        <w:spacing w:before="0" w:line="560" w:lineRule="exact"/>
        <w:ind w:left="638" w:leftChars="304" w:firstLine="0" w:firstLineChars="0"/>
        <w:jc w:val="left"/>
        <w:textAlignment w:val="auto"/>
        <w:rPr>
          <w:rFonts w:hint="default" w:ascii="仿宋_GB2312" w:hAnsi="仿宋_GB2312" w:eastAsia="仿宋_GB2312" w:cs="仿宋_GB2312"/>
          <w:sz w:val="24"/>
          <w:szCs w:val="24"/>
          <w:lang w:val="en-US" w:eastAsia="zh-CN"/>
        </w:rPr>
      </w:pPr>
      <w:r>
        <w:rPr>
          <w:rFonts w:hint="eastAsia" w:eastAsia="仿宋_GB2312" w:cs="仿宋_GB2312"/>
          <w:sz w:val="32"/>
          <w:szCs w:val="32"/>
        </w:rPr>
        <w:t>六、一般公共预算财政拨款基本支出决算情况说明</w:t>
      </w:r>
      <w:r>
        <w:rPr>
          <w:rFonts w:hint="eastAsia" w:ascii="仿宋_GB2312" w:hAnsi="仿宋_GB2312" w:eastAsia="仿宋_GB2312" w:cs="仿宋_GB2312"/>
          <w:sz w:val="24"/>
          <w:szCs w:val="24"/>
          <w:lang w:val="en-US" w:eastAsia="zh-CN"/>
        </w:rPr>
        <w:t>.........11</w:t>
      </w:r>
      <w:r>
        <w:rPr>
          <w:rFonts w:hint="eastAsia" w:eastAsia="仿宋_GB2312" w:cs="仿宋_GB2312"/>
          <w:sz w:val="32"/>
          <w:szCs w:val="32"/>
        </w:rPr>
        <w:t>七、财政拨款“三公”经费支出决算情况说明</w:t>
      </w:r>
      <w:r>
        <w:rPr>
          <w:rFonts w:hint="eastAsia" w:ascii="仿宋_GB2312" w:hAnsi="仿宋_GB2312" w:eastAsia="仿宋_GB2312" w:cs="仿宋_GB2312"/>
          <w:sz w:val="24"/>
          <w:szCs w:val="24"/>
          <w:lang w:val="en-US" w:eastAsia="zh-CN"/>
        </w:rPr>
        <w:t>..............12</w:t>
      </w:r>
    </w:p>
    <w:p w14:paraId="36B9032F">
      <w:pPr>
        <w:pStyle w:val="12"/>
        <w:keepNext w:val="0"/>
        <w:keepLines w:val="0"/>
        <w:pageBreakBefore w:val="0"/>
        <w:kinsoku/>
        <w:wordWrap/>
        <w:overflowPunct/>
        <w:topLinePunct w:val="0"/>
        <w:autoSpaceDE/>
        <w:autoSpaceDN/>
        <w:bidi w:val="0"/>
        <w:adjustRightInd w:val="0"/>
        <w:snapToGrid w:val="0"/>
        <w:spacing w:before="0" w:line="560" w:lineRule="exact"/>
        <w:ind w:left="0" w:leftChars="0" w:firstLine="640" w:firstLineChars="200"/>
        <w:jc w:val="left"/>
        <w:textAlignment w:val="auto"/>
        <w:rPr>
          <w:rFonts w:hint="default" w:eastAsia="仿宋_GB2312" w:cs="仿宋_GB2312"/>
          <w:sz w:val="32"/>
          <w:szCs w:val="32"/>
          <w:lang w:val="en-US"/>
        </w:rPr>
      </w:pPr>
      <w:r>
        <w:rPr>
          <w:rFonts w:hint="eastAsia" w:eastAsia="仿宋_GB2312" w:cs="仿宋_GB2312"/>
          <w:sz w:val="32"/>
          <w:szCs w:val="32"/>
        </w:rPr>
        <w:t>八、政府性基金预算支出决算情况说明</w:t>
      </w:r>
      <w:r>
        <w:rPr>
          <w:rFonts w:hint="eastAsia" w:ascii="仿宋_GB2312" w:hAnsi="仿宋_GB2312" w:eastAsia="仿宋_GB2312" w:cs="仿宋_GB2312"/>
          <w:sz w:val="24"/>
          <w:szCs w:val="24"/>
          <w:lang w:val="en-US" w:eastAsia="zh-CN"/>
        </w:rPr>
        <w:t>........,,,,,.........14</w:t>
      </w:r>
    </w:p>
    <w:p w14:paraId="1C6A4E74">
      <w:pPr>
        <w:pStyle w:val="12"/>
        <w:keepNext w:val="0"/>
        <w:keepLines w:val="0"/>
        <w:pageBreakBefore w:val="0"/>
        <w:kinsoku/>
        <w:wordWrap/>
        <w:overflowPunct/>
        <w:topLinePunct w:val="0"/>
        <w:autoSpaceDE/>
        <w:autoSpaceDN/>
        <w:bidi w:val="0"/>
        <w:adjustRightInd w:val="0"/>
        <w:snapToGrid w:val="0"/>
        <w:spacing w:before="0" w:line="560" w:lineRule="exact"/>
        <w:ind w:left="0" w:leftChars="0" w:firstLine="640" w:firstLineChars="200"/>
        <w:jc w:val="left"/>
        <w:textAlignment w:val="auto"/>
        <w:rPr>
          <w:rFonts w:hint="default" w:ascii="仿宋_GB2312" w:hAnsi="仿宋_GB2312" w:eastAsia="仿宋_GB2312" w:cs="仿宋_GB2312"/>
          <w:sz w:val="24"/>
          <w:szCs w:val="24"/>
          <w:lang w:val="en-US" w:eastAsia="zh-CN"/>
        </w:rPr>
      </w:pPr>
      <w:r>
        <w:rPr>
          <w:rFonts w:hint="eastAsia" w:eastAsia="仿宋_GB2312" w:cs="仿宋_GB2312"/>
          <w:sz w:val="32"/>
          <w:szCs w:val="32"/>
        </w:rPr>
        <w:t>九、国有资本经营预算支出决算情况说明</w:t>
      </w:r>
      <w:r>
        <w:rPr>
          <w:rFonts w:hint="eastAsia" w:ascii="仿宋_GB2312" w:hAnsi="仿宋_GB2312" w:eastAsia="仿宋_GB2312" w:cs="仿宋_GB2312"/>
          <w:sz w:val="24"/>
          <w:szCs w:val="24"/>
          <w:lang w:val="en-US" w:eastAsia="zh-CN"/>
        </w:rPr>
        <w:t>...................14</w:t>
      </w:r>
    </w:p>
    <w:p w14:paraId="320613F5">
      <w:pPr>
        <w:pStyle w:val="12"/>
        <w:keepNext w:val="0"/>
        <w:keepLines w:val="0"/>
        <w:pageBreakBefore w:val="0"/>
        <w:kinsoku/>
        <w:wordWrap/>
        <w:overflowPunct/>
        <w:topLinePunct w:val="0"/>
        <w:autoSpaceDE/>
        <w:autoSpaceDN/>
        <w:bidi w:val="0"/>
        <w:adjustRightInd w:val="0"/>
        <w:snapToGrid w:val="0"/>
        <w:spacing w:before="0" w:line="560" w:lineRule="exact"/>
        <w:ind w:left="0" w:leftChars="0" w:firstLine="640" w:firstLineChars="200"/>
        <w:jc w:val="left"/>
        <w:textAlignment w:val="auto"/>
        <w:rPr>
          <w:rFonts w:hint="default" w:eastAsia="仿宋_GB2312" w:cs="仿宋_GB2312"/>
          <w:sz w:val="32"/>
          <w:szCs w:val="32"/>
          <w:lang w:val="en-US"/>
        </w:rPr>
      </w:pPr>
      <w:r>
        <w:rPr>
          <w:rFonts w:hint="eastAsia" w:eastAsia="仿宋_GB2312" w:cs="仿宋_GB2312"/>
          <w:sz w:val="32"/>
          <w:szCs w:val="32"/>
        </w:rPr>
        <w:t>十、其他重要事项的情况说明</w:t>
      </w:r>
      <w:r>
        <w:rPr>
          <w:rFonts w:hint="eastAsia" w:ascii="仿宋_GB2312" w:hAnsi="仿宋_GB2312" w:eastAsia="仿宋_GB2312" w:cs="仿宋_GB2312"/>
          <w:sz w:val="24"/>
          <w:szCs w:val="24"/>
          <w:lang w:val="en-US" w:eastAsia="zh-CN"/>
        </w:rPr>
        <w:t>.................................17</w:t>
      </w:r>
    </w:p>
    <w:p w14:paraId="1CD053CB">
      <w:pPr>
        <w:pStyle w:val="12"/>
        <w:adjustRightInd w:val="0"/>
        <w:snapToGrid w:val="0"/>
        <w:spacing w:before="0" w:line="560" w:lineRule="exact"/>
        <w:ind w:left="638" w:leftChars="304" w:firstLine="0" w:firstLineChars="0"/>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第三部分名词解释</w:t>
      </w:r>
      <w:r>
        <w:rPr>
          <w:rFonts w:hint="eastAsia" w:ascii="仿宋_GB2312" w:hAnsi="仿宋_GB2312" w:eastAsia="仿宋_GB2312" w:cs="仿宋_GB2312"/>
          <w:sz w:val="24"/>
          <w:szCs w:val="24"/>
          <w:lang w:val="en-US" w:eastAsia="zh-CN"/>
        </w:rPr>
        <w:t>...........................。。................21</w:t>
      </w:r>
      <w:r>
        <w:rPr>
          <w:rFonts w:hint="eastAsia" w:ascii="Times New Roman" w:hAnsi="Times New Roman" w:eastAsia="黑体" w:cs="黑体"/>
          <w:sz w:val="32"/>
          <w:szCs w:val="32"/>
        </w:rPr>
        <w:t>第四部分 附件</w:t>
      </w:r>
      <w:r>
        <w:rPr>
          <w:rFonts w:hint="eastAsia" w:ascii="仿宋_GB2312" w:hAnsi="仿宋_GB2312" w:eastAsia="仿宋_GB2312" w:cs="仿宋_GB2312"/>
          <w:sz w:val="24"/>
          <w:szCs w:val="24"/>
          <w:lang w:val="en-US" w:eastAsia="zh-CN"/>
        </w:rPr>
        <w:t>.................................................22</w:t>
      </w:r>
    </w:p>
    <w:p w14:paraId="032CA4AF">
      <w:pPr>
        <w:pStyle w:val="12"/>
        <w:adjustRightInd w:val="0"/>
        <w:snapToGrid w:val="0"/>
        <w:spacing w:before="0" w:line="560" w:lineRule="exact"/>
        <w:ind w:firstLine="640" w:firstLineChars="200"/>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第五部分 附表</w:t>
      </w:r>
      <w:r>
        <w:rPr>
          <w:rFonts w:hint="eastAsia" w:ascii="仿宋_GB2312" w:hAnsi="仿宋_GB2312" w:eastAsia="仿宋_GB2312" w:cs="仿宋_GB2312"/>
          <w:sz w:val="24"/>
          <w:szCs w:val="24"/>
          <w:lang w:val="en-US" w:eastAsia="zh-CN"/>
        </w:rPr>
        <w:t>.................................................23</w:t>
      </w:r>
    </w:p>
    <w:p w14:paraId="412E67D6">
      <w:pPr>
        <w:pStyle w:val="12"/>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640" w:firstLineChars="200"/>
        <w:jc w:val="left"/>
        <w:textAlignment w:val="auto"/>
        <w:rPr>
          <w:rFonts w:hint="eastAsia" w:ascii="仿宋_GB2312" w:hAnsi="仿宋_GB2312" w:eastAsia="仿宋_GB2312" w:cs="仿宋_GB2312"/>
          <w:sz w:val="24"/>
          <w:szCs w:val="24"/>
          <w:lang w:val="en-US" w:eastAsia="zh-CN"/>
        </w:rPr>
      </w:pPr>
      <w:r>
        <w:rPr>
          <w:rFonts w:hint="eastAsia" w:eastAsia="仿宋_GB2312" w:cs="仿宋_GB2312"/>
          <w:sz w:val="32"/>
          <w:szCs w:val="32"/>
        </w:rPr>
        <w:t>一、收入支出决算总表</w:t>
      </w:r>
      <w:r>
        <w:rPr>
          <w:rFonts w:hint="eastAsia" w:ascii="仿宋_GB2312" w:hAnsi="仿宋_GB2312" w:eastAsia="仿宋_GB2312" w:cs="仿宋_GB2312"/>
          <w:sz w:val="24"/>
          <w:szCs w:val="24"/>
          <w:lang w:val="en-US" w:eastAsia="zh-CN"/>
        </w:rPr>
        <w:t xml:space="preserve">...............................,,,,,....23     </w:t>
      </w:r>
    </w:p>
    <w:p w14:paraId="716277ED">
      <w:pPr>
        <w:pStyle w:val="12"/>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640" w:firstLineChars="200"/>
        <w:jc w:val="left"/>
        <w:textAlignment w:val="auto"/>
        <w:rPr>
          <w:rFonts w:hint="default" w:ascii="仿宋_GB2312" w:hAnsi="仿宋_GB2312" w:eastAsia="仿宋_GB2312" w:cs="仿宋_GB2312"/>
          <w:sz w:val="24"/>
          <w:szCs w:val="24"/>
          <w:lang w:val="en-US" w:eastAsia="zh-CN"/>
        </w:rPr>
      </w:pPr>
      <w:r>
        <w:rPr>
          <w:rFonts w:hint="eastAsia" w:eastAsia="仿宋_GB2312" w:cs="仿宋_GB2312"/>
          <w:sz w:val="32"/>
          <w:szCs w:val="32"/>
        </w:rPr>
        <w:t>二、收入决算表</w:t>
      </w:r>
      <w:r>
        <w:rPr>
          <w:rFonts w:hint="eastAsia" w:ascii="仿宋_GB2312" w:hAnsi="仿宋_GB2312" w:eastAsia="仿宋_GB2312" w:cs="仿宋_GB2312"/>
          <w:sz w:val="24"/>
          <w:szCs w:val="24"/>
          <w:lang w:val="en-US" w:eastAsia="zh-CN"/>
        </w:rPr>
        <w:t>.................................................23</w:t>
      </w:r>
    </w:p>
    <w:p w14:paraId="2E2FDDA0">
      <w:pPr>
        <w:pStyle w:val="12"/>
        <w:keepNext w:val="0"/>
        <w:keepLines w:val="0"/>
        <w:pageBreakBefore w:val="0"/>
        <w:kinsoku/>
        <w:wordWrap/>
        <w:overflowPunct/>
        <w:topLinePunct w:val="0"/>
        <w:autoSpaceDE/>
        <w:autoSpaceDN/>
        <w:bidi w:val="0"/>
        <w:adjustRightInd w:val="0"/>
        <w:snapToGrid w:val="0"/>
        <w:spacing w:before="0" w:line="560" w:lineRule="exact"/>
        <w:ind w:left="0" w:leftChars="0" w:firstLine="640" w:firstLineChars="200"/>
        <w:jc w:val="left"/>
        <w:textAlignment w:val="auto"/>
        <w:rPr>
          <w:rFonts w:hint="default" w:eastAsia="仿宋_GB2312" w:cs="仿宋_GB2312"/>
          <w:sz w:val="32"/>
          <w:szCs w:val="32"/>
          <w:lang w:val="en-US"/>
        </w:rPr>
      </w:pPr>
      <w:r>
        <w:rPr>
          <w:rFonts w:hint="eastAsia" w:eastAsia="仿宋_GB2312" w:cs="仿宋_GB2312"/>
          <w:sz w:val="32"/>
          <w:szCs w:val="32"/>
        </w:rPr>
        <w:t>三、支出决算表</w:t>
      </w:r>
      <w:r>
        <w:rPr>
          <w:rFonts w:hint="eastAsia" w:ascii="仿宋_GB2312" w:hAnsi="仿宋_GB2312" w:eastAsia="仿宋_GB2312" w:cs="仿宋_GB2312"/>
          <w:sz w:val="24"/>
          <w:szCs w:val="24"/>
          <w:lang w:val="en-US" w:eastAsia="zh-CN"/>
        </w:rPr>
        <w:t>.................................................23</w:t>
      </w:r>
    </w:p>
    <w:p w14:paraId="5D8B6D5F">
      <w:pPr>
        <w:pStyle w:val="12"/>
        <w:keepNext w:val="0"/>
        <w:keepLines w:val="0"/>
        <w:pageBreakBefore w:val="0"/>
        <w:kinsoku/>
        <w:wordWrap/>
        <w:overflowPunct/>
        <w:topLinePunct w:val="0"/>
        <w:autoSpaceDE/>
        <w:autoSpaceDN/>
        <w:bidi w:val="0"/>
        <w:adjustRightInd w:val="0"/>
        <w:snapToGrid w:val="0"/>
        <w:spacing w:before="0" w:line="560" w:lineRule="exact"/>
        <w:ind w:left="638" w:leftChars="304" w:firstLine="0" w:firstLineChars="0"/>
        <w:jc w:val="left"/>
        <w:textAlignment w:val="auto"/>
        <w:rPr>
          <w:rFonts w:hint="default" w:ascii="仿宋_GB2312" w:hAnsi="仿宋_GB2312" w:eastAsia="仿宋_GB2312" w:cs="仿宋_GB2312"/>
          <w:sz w:val="24"/>
          <w:szCs w:val="24"/>
          <w:lang w:val="en-US" w:eastAsia="zh-CN"/>
        </w:rPr>
      </w:pPr>
      <w:r>
        <w:rPr>
          <w:rFonts w:hint="eastAsia" w:eastAsia="仿宋_GB2312" w:cs="仿宋_GB2312"/>
          <w:sz w:val="32"/>
          <w:szCs w:val="32"/>
        </w:rPr>
        <w:t>四、财政拨款收入支出决算总表</w:t>
      </w:r>
      <w:r>
        <w:rPr>
          <w:rFonts w:hint="eastAsia" w:ascii="仿宋_GB2312" w:hAnsi="仿宋_GB2312" w:eastAsia="仿宋_GB2312" w:cs="仿宋_GB2312"/>
          <w:sz w:val="24"/>
          <w:szCs w:val="24"/>
          <w:lang w:val="en-US" w:eastAsia="zh-CN"/>
        </w:rPr>
        <w:t>..............................23</w:t>
      </w:r>
      <w:r>
        <w:rPr>
          <w:rFonts w:hint="eastAsia" w:eastAsia="仿宋_GB2312" w:cs="仿宋_GB2312"/>
          <w:sz w:val="32"/>
          <w:szCs w:val="32"/>
        </w:rPr>
        <w:t>五、财政拨款支出决算明细表</w:t>
      </w:r>
      <w:r>
        <w:rPr>
          <w:rFonts w:hint="eastAsia" w:ascii="仿宋_GB2312" w:hAnsi="仿宋_GB2312" w:eastAsia="仿宋_GB2312" w:cs="仿宋_GB2312"/>
          <w:sz w:val="24"/>
          <w:szCs w:val="24"/>
          <w:lang w:val="en-US" w:eastAsia="zh-CN"/>
        </w:rPr>
        <w:t>.................................23</w:t>
      </w:r>
    </w:p>
    <w:p w14:paraId="2CC6C7F8">
      <w:pPr>
        <w:pStyle w:val="12"/>
        <w:keepNext w:val="0"/>
        <w:keepLines w:val="0"/>
        <w:pageBreakBefore w:val="0"/>
        <w:kinsoku/>
        <w:wordWrap/>
        <w:overflowPunct/>
        <w:topLinePunct w:val="0"/>
        <w:autoSpaceDE/>
        <w:autoSpaceDN/>
        <w:bidi w:val="0"/>
        <w:adjustRightInd w:val="0"/>
        <w:snapToGrid w:val="0"/>
        <w:spacing w:before="0" w:line="560" w:lineRule="exact"/>
        <w:ind w:left="0" w:leftChars="0" w:firstLine="64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32"/>
          <w:szCs w:val="32"/>
          <w:lang w:val="en-US" w:eastAsia="zh-CN"/>
        </w:rPr>
        <w:t>六、</w:t>
      </w:r>
      <w:r>
        <w:rPr>
          <w:rFonts w:hint="eastAsia" w:eastAsia="仿宋_GB2312" w:cs="仿宋_GB2312"/>
          <w:sz w:val="32"/>
          <w:szCs w:val="32"/>
        </w:rPr>
        <w:t>一般公共预算财政拨款支出决算表</w:t>
      </w:r>
      <w:r>
        <w:rPr>
          <w:rFonts w:hint="eastAsia" w:ascii="仿宋_GB2312" w:hAnsi="仿宋_GB2312" w:eastAsia="仿宋_GB2312" w:cs="仿宋_GB2312"/>
          <w:sz w:val="24"/>
          <w:szCs w:val="24"/>
          <w:lang w:val="en-US" w:eastAsia="zh-CN"/>
        </w:rPr>
        <w:t>...........</w:t>
      </w:r>
      <w:r>
        <w:rPr>
          <w:rFonts w:hint="eastAsia" w:eastAsia="仿宋_GB2312" w:cs="仿宋_GB2312"/>
          <w:sz w:val="32"/>
          <w:szCs w:val="32"/>
          <w:lang w:val="en-US" w:eastAsia="zh-CN"/>
        </w:rPr>
        <w:t>........</w:t>
      </w:r>
      <w:r>
        <w:rPr>
          <w:rFonts w:hint="eastAsia" w:ascii="仿宋_GB2312" w:hAnsi="仿宋_GB2312" w:eastAsia="仿宋_GB2312" w:cs="仿宋_GB2312"/>
          <w:sz w:val="24"/>
          <w:szCs w:val="24"/>
          <w:lang w:val="en-US" w:eastAsia="zh-CN"/>
        </w:rPr>
        <w:t>23</w:t>
      </w:r>
    </w:p>
    <w:p w14:paraId="4B1D48BA">
      <w:pPr>
        <w:pStyle w:val="12"/>
        <w:keepNext w:val="0"/>
        <w:keepLines w:val="0"/>
        <w:pageBreakBefore w:val="0"/>
        <w:kinsoku/>
        <w:wordWrap/>
        <w:overflowPunct/>
        <w:topLinePunct w:val="0"/>
        <w:autoSpaceDE/>
        <w:autoSpaceDN/>
        <w:bidi w:val="0"/>
        <w:adjustRightInd w:val="0"/>
        <w:snapToGrid w:val="0"/>
        <w:spacing w:before="0" w:line="560" w:lineRule="exact"/>
        <w:ind w:left="0" w:leftChars="0" w:firstLine="640" w:firstLineChars="200"/>
        <w:jc w:val="left"/>
        <w:textAlignment w:val="auto"/>
        <w:rPr>
          <w:rFonts w:hint="default" w:ascii="仿宋_GB2312" w:hAnsi="仿宋_GB2312" w:eastAsia="仿宋_GB2312" w:cs="仿宋_GB2312"/>
          <w:sz w:val="24"/>
          <w:szCs w:val="24"/>
          <w:lang w:val="en-US" w:eastAsia="zh-CN"/>
        </w:rPr>
      </w:pPr>
      <w:r>
        <w:rPr>
          <w:rFonts w:hint="eastAsia" w:eastAsia="仿宋_GB2312" w:cs="仿宋_GB2312"/>
          <w:sz w:val="32"/>
          <w:szCs w:val="32"/>
          <w:lang w:val="en-US" w:eastAsia="zh-CN"/>
        </w:rPr>
        <w:t>七、</w:t>
      </w:r>
      <w:r>
        <w:rPr>
          <w:rFonts w:hint="eastAsia" w:eastAsia="仿宋_GB2312" w:cs="仿宋_GB2312"/>
          <w:sz w:val="32"/>
          <w:szCs w:val="32"/>
        </w:rPr>
        <w:t>一般公共预算财政拨款支出决算明细表</w:t>
      </w:r>
      <w:r>
        <w:rPr>
          <w:rFonts w:hint="eastAsia" w:ascii="仿宋_GB2312" w:hAnsi="仿宋_GB2312" w:eastAsia="仿宋_GB2312" w:cs="仿宋_GB2312"/>
          <w:sz w:val="24"/>
          <w:szCs w:val="24"/>
          <w:lang w:val="en-US" w:eastAsia="zh-CN"/>
        </w:rPr>
        <w:t>.................23</w:t>
      </w:r>
    </w:p>
    <w:p w14:paraId="11A1A28F">
      <w:pPr>
        <w:pStyle w:val="12"/>
        <w:keepNext w:val="0"/>
        <w:keepLines w:val="0"/>
        <w:pageBreakBefore w:val="0"/>
        <w:numPr>
          <w:ilvl w:val="0"/>
          <w:numId w:val="0"/>
        </w:numPr>
        <w:kinsoku/>
        <w:wordWrap/>
        <w:overflowPunct/>
        <w:topLinePunct w:val="0"/>
        <w:autoSpaceDE/>
        <w:autoSpaceDN/>
        <w:bidi w:val="0"/>
        <w:adjustRightInd w:val="0"/>
        <w:snapToGrid w:val="0"/>
        <w:spacing w:before="0" w:line="560" w:lineRule="exact"/>
        <w:ind w:leftChars="200" w:firstLine="320" w:firstLineChars="100"/>
        <w:jc w:val="left"/>
        <w:textAlignment w:val="auto"/>
        <w:rPr>
          <w:rFonts w:hint="default" w:eastAsia="仿宋_GB2312" w:cs="仿宋_GB2312"/>
          <w:sz w:val="32"/>
          <w:szCs w:val="32"/>
          <w:lang w:val="en-US"/>
        </w:rPr>
      </w:pPr>
      <w:r>
        <w:rPr>
          <w:rFonts w:hint="eastAsia" w:eastAsia="仿宋_GB2312" w:cs="仿宋_GB2312"/>
          <w:sz w:val="32"/>
          <w:szCs w:val="32"/>
        </w:rPr>
        <w:t>八、一般公共预算财政拨款基本支出决算明细表</w:t>
      </w:r>
      <w:r>
        <w:rPr>
          <w:rFonts w:hint="eastAsia" w:ascii="仿宋_GB2312" w:hAnsi="仿宋_GB2312" w:eastAsia="仿宋_GB2312" w:cs="仿宋_GB2312"/>
          <w:sz w:val="24"/>
          <w:szCs w:val="24"/>
          <w:lang w:val="en-US" w:eastAsia="zh-CN"/>
        </w:rPr>
        <w:t>..........23</w:t>
      </w:r>
    </w:p>
    <w:p w14:paraId="547F596B">
      <w:pPr>
        <w:pStyle w:val="12"/>
        <w:keepNext w:val="0"/>
        <w:keepLines w:val="0"/>
        <w:pageBreakBefore w:val="0"/>
        <w:kinsoku/>
        <w:wordWrap/>
        <w:overflowPunct/>
        <w:topLinePunct w:val="0"/>
        <w:autoSpaceDE/>
        <w:autoSpaceDN/>
        <w:bidi w:val="0"/>
        <w:adjustRightInd w:val="0"/>
        <w:snapToGrid w:val="0"/>
        <w:spacing w:before="0" w:line="560" w:lineRule="exact"/>
        <w:ind w:left="638" w:leftChars="304" w:firstLine="0" w:firstLineChars="0"/>
        <w:jc w:val="left"/>
        <w:textAlignment w:val="auto"/>
        <w:rPr>
          <w:rFonts w:hint="default" w:eastAsia="仿宋_GB2312" w:cs="仿宋_GB2312"/>
          <w:sz w:val="32"/>
          <w:szCs w:val="32"/>
          <w:lang w:val="en-US"/>
        </w:rPr>
      </w:pPr>
      <w:r>
        <w:rPr>
          <w:rFonts w:hint="eastAsia" w:eastAsia="仿宋_GB2312" w:cs="仿宋_GB2312"/>
          <w:sz w:val="32"/>
          <w:szCs w:val="32"/>
        </w:rPr>
        <w:t>九、一般公共预算财政拨款项目支出决算表</w:t>
      </w:r>
      <w:r>
        <w:rPr>
          <w:rFonts w:hint="eastAsia" w:ascii="仿宋_GB2312" w:hAnsi="仿宋_GB2312" w:eastAsia="仿宋_GB2312" w:cs="仿宋_GB2312"/>
          <w:sz w:val="24"/>
          <w:szCs w:val="24"/>
          <w:lang w:val="en-US" w:eastAsia="zh-CN"/>
        </w:rPr>
        <w:t>.................23</w:t>
      </w:r>
      <w:r>
        <w:rPr>
          <w:rFonts w:hint="eastAsia" w:eastAsia="仿宋_GB2312" w:cs="仿宋_GB2312"/>
          <w:sz w:val="32"/>
          <w:szCs w:val="32"/>
        </w:rPr>
        <w:t>十、政府性基金预算财政拨款收入支出决算表</w:t>
      </w:r>
      <w:r>
        <w:rPr>
          <w:rFonts w:hint="eastAsia" w:ascii="仿宋_GB2312" w:hAnsi="仿宋_GB2312" w:eastAsia="仿宋_GB2312" w:cs="仿宋_GB2312"/>
          <w:sz w:val="24"/>
          <w:szCs w:val="24"/>
          <w:lang w:val="en-US" w:eastAsia="zh-CN"/>
        </w:rPr>
        <w:t>..............23</w:t>
      </w:r>
      <w:r>
        <w:rPr>
          <w:rFonts w:hint="eastAsia" w:eastAsia="仿宋_GB2312" w:cs="仿宋_GB2312"/>
          <w:sz w:val="32"/>
          <w:szCs w:val="32"/>
        </w:rPr>
        <w:t>十一、国有资本经营预算财政拨款收入支出决算表</w:t>
      </w:r>
      <w:r>
        <w:rPr>
          <w:rFonts w:hint="eastAsia" w:ascii="仿宋_GB2312" w:hAnsi="仿宋_GB2312" w:eastAsia="仿宋_GB2312" w:cs="仿宋_GB2312"/>
          <w:sz w:val="24"/>
          <w:szCs w:val="24"/>
          <w:lang w:val="en-US" w:eastAsia="zh-CN"/>
        </w:rPr>
        <w:t>.........23</w:t>
      </w:r>
      <w:r>
        <w:rPr>
          <w:rFonts w:hint="eastAsia" w:eastAsia="仿宋_GB2312" w:cs="仿宋_GB2312"/>
          <w:sz w:val="32"/>
          <w:szCs w:val="32"/>
        </w:rPr>
        <w:t>十二、国有资本经营预算财政拨款支出决算表</w:t>
      </w:r>
      <w:r>
        <w:rPr>
          <w:rFonts w:hint="eastAsia" w:ascii="仿宋_GB2312" w:hAnsi="仿宋_GB2312" w:eastAsia="仿宋_GB2312" w:cs="仿宋_GB2312"/>
          <w:sz w:val="24"/>
          <w:szCs w:val="24"/>
          <w:lang w:val="en-US" w:eastAsia="zh-CN"/>
        </w:rPr>
        <w:t>..............23</w:t>
      </w:r>
    </w:p>
    <w:p w14:paraId="6262975F">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ascii="仿宋_GB2312" w:hAnsi="仿宋_GB2312" w:eastAsia="仿宋_GB2312" w:cs="仿宋_GB2312"/>
          <w:sz w:val="24"/>
          <w:szCs w:val="24"/>
          <w:lang w:val="en-US" w:eastAsia="zh-CN"/>
        </w:rPr>
        <w:t>......................23</w:t>
      </w:r>
    </w:p>
    <w:p w14:paraId="4949BDBF">
      <w:pPr>
        <w:widowControl/>
        <w:spacing w:line="560" w:lineRule="exact"/>
        <w:jc w:val="left"/>
        <w:rPr>
          <w:rFonts w:eastAsia="仿宋_GB2312" w:cs="仿宋_GB2312"/>
          <w:bCs/>
          <w:kern w:val="44"/>
          <w:sz w:val="32"/>
          <w:szCs w:val="32"/>
        </w:rPr>
      </w:pPr>
      <w:bookmarkStart w:id="6" w:name="_Toc15377196"/>
      <w:bookmarkStart w:id="7" w:name="_Toc15396599"/>
      <w:r>
        <w:rPr>
          <w:rFonts w:hint="eastAsia" w:eastAsia="仿宋_GB2312" w:cs="仿宋_GB2312"/>
          <w:b/>
          <w:sz w:val="32"/>
          <w:szCs w:val="32"/>
        </w:rPr>
        <w:br w:type="page"/>
      </w:r>
    </w:p>
    <w:p w14:paraId="01E46D19">
      <w:pPr>
        <w:pStyle w:val="4"/>
        <w:numPr>
          <w:ilvl w:val="0"/>
          <w:numId w:val="1"/>
        </w:numPr>
        <w:jc w:val="center"/>
        <w:rPr>
          <w:rStyle w:val="29"/>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sz w:val="44"/>
          <w:szCs w:val="44"/>
        </w:rPr>
        <w:t xml:space="preserve"> </w:t>
      </w:r>
      <w:r>
        <w:rPr>
          <w:rStyle w:val="29"/>
          <w:rFonts w:hint="eastAsia" w:ascii="方正小标宋_GBK" w:hAnsi="方正小标宋_GBK" w:eastAsia="方正小标宋_GBK" w:cs="方正小标宋_GBK"/>
          <w:b w:val="0"/>
          <w:bCs w:val="0"/>
          <w:sz w:val="44"/>
          <w:szCs w:val="44"/>
        </w:rPr>
        <w:t>部门概况</w:t>
      </w:r>
      <w:bookmarkEnd w:id="6"/>
      <w:bookmarkEnd w:id="7"/>
    </w:p>
    <w:p w14:paraId="38202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一、主要职责</w:t>
      </w:r>
    </w:p>
    <w:p w14:paraId="4075036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18"/>
          <w:rFonts w:hint="eastAsia" w:ascii="仿宋_GB2312" w:hAnsi="仿宋" w:eastAsia="仿宋_GB2312" w:cs="仿宋_GB2312"/>
          <w:b w:val="0"/>
          <w:bCs/>
          <w:sz w:val="32"/>
          <w:szCs w:val="32"/>
          <w:shd w:val="clear" w:color="auto" w:fill="FFFFFF"/>
        </w:rPr>
      </w:pPr>
      <w:r>
        <w:rPr>
          <w:rStyle w:val="18"/>
          <w:rFonts w:hint="eastAsia" w:ascii="仿宋_GB2312" w:hAnsi="仿宋" w:eastAsia="仿宋_GB2312" w:cs="仿宋_GB2312"/>
          <w:b w:val="0"/>
          <w:bCs/>
          <w:sz w:val="32"/>
          <w:szCs w:val="32"/>
          <w:shd w:val="clear" w:color="auto" w:fill="FFFFFF"/>
        </w:rPr>
        <w:t>信访局</w:t>
      </w:r>
      <w:r>
        <w:rPr>
          <w:rStyle w:val="18"/>
          <w:rFonts w:hint="eastAsia" w:ascii="仿宋_GB2312" w:hAnsi="仿宋" w:eastAsia="仿宋_GB2312" w:cs="仿宋_GB2312"/>
          <w:b w:val="0"/>
          <w:bCs/>
          <w:sz w:val="32"/>
          <w:szCs w:val="32"/>
          <w:shd w:val="clear" w:color="auto" w:fill="FFFFFF"/>
          <w:lang w:val="zh-CN"/>
        </w:rPr>
        <w:t>属县政府派出机构，主要职责和职能是处理群众来信，接待群众来访；宣传党和政府群众工作的各项方针、政策、法律法规；收集社情民意，综合分析群众意见、建议和对突出问题的反映，及时向县委、县政府领导反映；承办、督促县委、县政府领导同志交办的信访事项；排查县内矛盾纠纷，落实化解责任；协调处理跨县、区、部门的重要信访事项，协调处理群众集体到市委、市政府的上访事项及赴省进京非正常上访的相关事项；指导、协调县级部门和乡（镇）党政机关的群众（信访）工作；检查、协调、指导乡（镇）、县级部门的群众工作，对县级部门和乡（镇）党政机关的群众（信访）工作进行目标管理考核，配合协助相关部门及乡（镇）开展群众思想政治工作。承办县委、县政府和省、市政府群众（信访）工作局交办的其他事项。</w:t>
      </w:r>
      <w:r>
        <w:rPr>
          <w:rStyle w:val="18"/>
          <w:rFonts w:hint="eastAsia" w:ascii="仿宋_GB2312" w:hAnsi="仿宋" w:eastAsia="仿宋_GB2312" w:cs="仿宋_GB2312"/>
          <w:b w:val="0"/>
          <w:bCs/>
          <w:sz w:val="32"/>
          <w:szCs w:val="32"/>
          <w:shd w:val="clear" w:color="auto" w:fill="FFFFFF"/>
        </w:rPr>
        <w:t>具体的职能职责为</w:t>
      </w:r>
      <w:r>
        <w:rPr>
          <w:rStyle w:val="18"/>
          <w:rFonts w:hint="eastAsia" w:ascii="仿宋_GB2312" w:hAnsi="仿宋" w:eastAsia="仿宋_GB2312" w:cs="仿宋_GB2312"/>
          <w:b w:val="0"/>
          <w:bCs/>
          <w:sz w:val="32"/>
          <w:szCs w:val="32"/>
          <w:shd w:val="clear" w:color="auto" w:fill="FFFFFF"/>
          <w:lang w:eastAsia="zh-CN"/>
        </w:rPr>
        <w:t>：</w:t>
      </w:r>
      <w:r>
        <w:rPr>
          <w:rStyle w:val="18"/>
          <w:rFonts w:hint="eastAsia" w:ascii="仿宋_GB2312" w:hAnsi="仿宋" w:eastAsia="仿宋_GB2312" w:cs="仿宋_GB2312"/>
          <w:b w:val="0"/>
          <w:bCs/>
          <w:sz w:val="32"/>
          <w:szCs w:val="32"/>
          <w:shd w:val="clear" w:color="auto" w:fill="FFFFFF"/>
          <w:lang w:val="zh-CN"/>
        </w:rPr>
        <w:t>综合股（政策法规股）。负责机关人事、保密、文电、目标管理、财务、会务、宣传、政务公开、政务接待、档案、机要、资产管理、后勤保障、应急、安全保卫等工作。承担机关党建、党风廉政和反腐败建设、群团和文化建设等工作。组织协调、督促检查机关政务、业务等工作，总结推广信访工作经验，组织开展全县信访工作业务指导、教育培训工作，负责机关退休人员管理服务工作，承担县信访工作联席会议办公室日常工作，承担本部门规范性文件合法性审查、备案和清理；</w:t>
      </w:r>
      <w:r>
        <w:rPr>
          <w:rStyle w:val="18"/>
          <w:rFonts w:hint="eastAsia" w:ascii="仿宋_GB2312" w:hAnsi="仿宋" w:eastAsia="仿宋_GB2312" w:cs="仿宋_GB2312"/>
          <w:b w:val="0"/>
          <w:bCs/>
          <w:sz w:val="32"/>
          <w:szCs w:val="32"/>
          <w:shd w:val="clear" w:color="auto" w:fill="FFFFFF"/>
          <w:lang w:val="en-US" w:eastAsia="zh-CN"/>
        </w:rPr>
        <w:t>业务</w:t>
      </w:r>
      <w:r>
        <w:rPr>
          <w:rStyle w:val="18"/>
          <w:rFonts w:hint="eastAsia" w:ascii="仿宋_GB2312" w:hAnsi="仿宋" w:eastAsia="仿宋_GB2312" w:cs="仿宋_GB2312"/>
          <w:b w:val="0"/>
          <w:bCs/>
          <w:sz w:val="32"/>
          <w:szCs w:val="32"/>
          <w:shd w:val="clear" w:color="auto" w:fill="FFFFFF"/>
          <w:lang w:val="zh-CN"/>
        </w:rPr>
        <w:t>股负责办理网上投诉信访事项。综合分析网上信访情况，提出工作建议，承担全县信访信息系统、四川省网上信访信息系统、各级党政领导信箱、人民网地方领导人留言、县信访局门户网站等应用系统的建设、运行、维护工作，承担网上信访相关业务的推广应用培训工作，办理上级转办交办的来信事项和群众给县委、县政府领导来信，承担社情民意的汇集分析工作，提出工作建议，承担县政府信访事项复查委员会办公室日常工作，负责接待群众到县委、县政府来访，综合分析来访情况提出工作建议。承办上级转办、交办来访事项，协助县领导开展接访下访工作，负责重大活动、重要会议等敏感时段的值班值守工作，组织协调进京赴省到市到县非接待场所有关人员</w:t>
      </w:r>
      <w:r>
        <w:rPr>
          <w:rStyle w:val="18"/>
          <w:rFonts w:hint="eastAsia" w:ascii="仿宋_GB2312" w:hAnsi="仿宋" w:eastAsia="仿宋_GB2312" w:cs="仿宋_GB2312"/>
          <w:b w:val="0"/>
          <w:bCs/>
          <w:sz w:val="32"/>
          <w:szCs w:val="32"/>
          <w:shd w:val="clear" w:color="auto" w:fill="FFFFFF"/>
        </w:rPr>
        <w:t>接访劝返协调处理工作。</w:t>
      </w:r>
    </w:p>
    <w:p w14:paraId="285C04C0">
      <w:pPr>
        <w:pStyle w:val="5"/>
        <w:pageBreakBefore w:val="0"/>
        <w:widowControl w:val="0"/>
        <w:kinsoku/>
        <w:wordWrap/>
        <w:overflowPunct/>
        <w:topLinePunct w:val="0"/>
        <w:autoSpaceDE/>
        <w:autoSpaceDN/>
        <w:bidi w:val="0"/>
        <w:adjustRightInd/>
        <w:spacing w:before="0" w:after="0" w:line="560" w:lineRule="exact"/>
        <w:ind w:left="0" w:firstLine="640" w:firstLineChars="200"/>
        <w:textAlignment w:val="auto"/>
        <w:rPr>
          <w:rStyle w:val="30"/>
          <w:rFonts w:ascii="Times New Roman" w:hAnsi="Times New Roman"/>
          <w:b w:val="0"/>
          <w:bCs w:val="0"/>
        </w:rPr>
      </w:pPr>
      <w:bookmarkStart w:id="8" w:name="_Toc15377200"/>
      <w:bookmarkStart w:id="9"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8"/>
      <w:bookmarkEnd w:id="9"/>
    </w:p>
    <w:p w14:paraId="4BD6C7E6">
      <w:pPr>
        <w:pageBreakBefore w:val="0"/>
        <w:widowControl w:val="0"/>
        <w:kinsoku/>
        <w:wordWrap/>
        <w:overflowPunct/>
        <w:topLinePunct w:val="0"/>
        <w:autoSpaceDE/>
        <w:autoSpaceDN/>
        <w:bidi w:val="0"/>
        <w:adjustRightInd/>
        <w:spacing w:line="560" w:lineRule="exact"/>
        <w:ind w:left="0" w:firstLine="640" w:firstLineChars="200"/>
        <w:textAlignment w:val="auto"/>
        <w:rPr>
          <w:rFonts w:eastAsia="仿宋"/>
          <w:sz w:val="32"/>
          <w:szCs w:val="32"/>
        </w:rPr>
      </w:pPr>
      <w:r>
        <w:rPr>
          <w:rStyle w:val="18"/>
          <w:rFonts w:hint="eastAsia" w:ascii="仿宋_GB2312" w:hAnsi="仿宋" w:eastAsia="仿宋_GB2312" w:cs="仿宋_GB2312"/>
          <w:b w:val="0"/>
          <w:bCs/>
          <w:sz w:val="32"/>
          <w:szCs w:val="32"/>
          <w:shd w:val="clear" w:color="auto" w:fill="FFFFFF"/>
          <w:lang w:val="zh-CN"/>
        </w:rPr>
        <w:t>盐边县信访局下属二级预算单位0个，其中行政单位1个，参照公务员法管理的事业单位0个，其他事业单位0个。</w:t>
      </w:r>
      <w:r>
        <w:rPr>
          <w:rFonts w:eastAsia="仿宋"/>
          <w:sz w:val="32"/>
          <w:szCs w:val="32"/>
        </w:rPr>
        <w:br w:type="page"/>
      </w:r>
    </w:p>
    <w:p w14:paraId="3A26E275">
      <w:pPr>
        <w:pStyle w:val="4"/>
        <w:jc w:val="center"/>
      </w:pPr>
      <w:bookmarkStart w:id="10" w:name="_Toc15396602"/>
      <w:bookmarkStart w:id="11" w:name="_Toc15377204"/>
      <w:r>
        <w:rPr>
          <w:rFonts w:hint="eastAsia" w:ascii="方正小标宋_GBK" w:hAnsi="方正小标宋_GBK" w:eastAsia="方正小标宋_GBK" w:cs="方正小标宋_GBK"/>
          <w:b w:val="0"/>
        </w:rPr>
        <w:t>第二部分  2024年度部门决算情况说明</w:t>
      </w:r>
      <w:bookmarkEnd w:id="10"/>
      <w:bookmarkEnd w:id="11"/>
    </w:p>
    <w:p w14:paraId="15860EC5">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30"/>
          <w:rFonts w:ascii="Times New Roman" w:hAnsi="Times New Roman" w:eastAsia="黑体"/>
          <w:b w:val="0"/>
        </w:rPr>
      </w:pPr>
      <w:bookmarkStart w:id="12" w:name="_Toc15396603"/>
      <w:bookmarkStart w:id="13"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12"/>
      <w:bookmarkEnd w:id="13"/>
    </w:p>
    <w:p w14:paraId="172EBD8A">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2024年度收入、支出总计均为451.88万元。与2023年度相比，收入、支出总计各增加51.20万元，增长12.78%。主要变动原因</w:t>
      </w:r>
      <w:r>
        <w:rPr>
          <w:rFonts w:hint="eastAsia" w:eastAsia="仿宋_GB2312" w:cs="仿宋_GB2312"/>
          <w:kern w:val="2"/>
          <w:sz w:val="32"/>
          <w:szCs w:val="32"/>
          <w:lang w:val="en-US" w:eastAsia="zh-CN" w:bidi="ar-SA"/>
        </w:rPr>
        <w:t>是因为</w:t>
      </w:r>
      <w:r>
        <w:rPr>
          <w:rFonts w:hint="eastAsia" w:ascii="Times New Roman" w:hAnsi="Times New Roman" w:eastAsia="仿宋_GB2312" w:cs="仿宋_GB2312"/>
          <w:kern w:val="2"/>
          <w:sz w:val="32"/>
          <w:szCs w:val="32"/>
          <w:lang w:val="en-US" w:eastAsia="zh-CN" w:bidi="ar-SA"/>
        </w:rPr>
        <w:t>人员正常工资晋升、退休人员职业年金及项目增加。</w:t>
      </w:r>
    </w:p>
    <w:p w14:paraId="3BF3B7C2">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（图1：收入、支出决算总计变动情况图）（柱状图）</w:t>
      </w:r>
    </w:p>
    <w:p w14:paraId="49C0EE7D">
      <w:pPr>
        <w:pStyle w:val="20"/>
        <w:rPr>
          <w:rFonts w:hint="eastAsia"/>
        </w:rPr>
      </w:pPr>
      <w:r>
        <w:drawing>
          <wp:inline distT="0" distB="0" distL="0" distR="0">
            <wp:extent cx="5274310" cy="2514600"/>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EB86FC">
      <w:pPr>
        <w:spacing w:line="600" w:lineRule="exact"/>
        <w:ind w:firstLine="640" w:firstLineChars="200"/>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14:paraId="0AB566A6">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度本年收入合计451.88万元，其中：一般公共预算财政拨款收入446.88万元，占98.90%；政府性基金预算财政拨款收入0万元，占0%；国有资本经营预算财政拨款收入0万元，占0%；上级补助收入0万元，占0%；事业收入0万元，占0%；经营收入0万元，占0%；附属单位上缴收入0万元，占0%；其他收入5万元，占1.10%。（注：仅罗列本部门涉及的收入）</w:t>
      </w:r>
    </w:p>
    <w:p w14:paraId="2AFA7196">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（图2：收入决算结构图）（饼状图）</w:t>
      </w:r>
    </w:p>
    <w:p w14:paraId="44417F1C">
      <w:pPr>
        <w:pStyle w:val="20"/>
      </w:pPr>
      <w:r>
        <w:drawing>
          <wp:inline distT="0" distB="0" distL="0" distR="0">
            <wp:extent cx="5274310" cy="22002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DCA056">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30"/>
          <w:rFonts w:ascii="Times New Roman" w:hAnsi="Times New Roman" w:eastAsia="黑体"/>
          <w:b w:val="0"/>
        </w:rPr>
      </w:pPr>
      <w:bookmarkStart w:id="16" w:name="_Toc15377207"/>
      <w:bookmarkStart w:id="17" w:name="_Toc15396605"/>
      <w:r>
        <w:rPr>
          <w:rFonts w:hint="eastAsia" w:eastAsia="黑体"/>
          <w:sz w:val="32"/>
          <w:szCs w:val="32"/>
        </w:rPr>
        <w:t>三、支</w:t>
      </w:r>
      <w:r>
        <w:rPr>
          <w:rStyle w:val="30"/>
          <w:rFonts w:hint="eastAsia" w:ascii="Times New Roman" w:hAnsi="Times New Roman" w:eastAsia="黑体"/>
          <w:b w:val="0"/>
        </w:rPr>
        <w:t>出决算情况说明</w:t>
      </w:r>
      <w:bookmarkEnd w:id="16"/>
      <w:bookmarkEnd w:id="17"/>
    </w:p>
    <w:p w14:paraId="40DD9C1E">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度本年支出合计451.88万元，其中：基本支出228.63万元，占50.59%；项目支出223.25万元，占49.4%；上缴上级支出0万元，占0%；经营支出0万元，占0%；对附属单位补助支出0万元，占0%。（注：仅罗列本部门涉及的支出）</w:t>
      </w:r>
    </w:p>
    <w:p w14:paraId="1B6A512A">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（图3：支出决算结构图）（饼状图）</w:t>
      </w:r>
    </w:p>
    <w:p w14:paraId="74EC8B1D">
      <w:pPr>
        <w:ind w:firstLine="800" w:firstLineChars="250"/>
        <w:rPr>
          <w:rFonts w:eastAsia="仿宋_GB2312" w:cs="仿宋_GB2312"/>
          <w:sz w:val="32"/>
          <w:szCs w:val="32"/>
        </w:rPr>
      </w:pPr>
      <w:r>
        <w:rPr>
          <w:rFonts w:eastAsia="仿宋_GB2312" w:cs="仿宋_GB2312"/>
          <w:sz w:val="32"/>
          <w:szCs w:val="32"/>
        </w:rPr>
        <w:drawing>
          <wp:inline distT="0" distB="0" distL="0" distR="0">
            <wp:extent cx="5055870" cy="2382520"/>
            <wp:effectExtent l="4445" t="4445" r="6985" b="1333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9E7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30"/>
          <w:rFonts w:ascii="Times New Roman" w:hAnsi="Times New Roman" w:eastAsia="黑体"/>
          <w:b w:val="0"/>
        </w:rPr>
      </w:pPr>
      <w:bookmarkStart w:id="18" w:name="_Toc15377208"/>
      <w:bookmarkStart w:id="19"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18"/>
      <w:bookmarkEnd w:id="19"/>
    </w:p>
    <w:p w14:paraId="4E45C7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2024年度财政拨款收入、支出总计均为446.88万元。与2023年度相比，财政拨款收入总计、支出总计各增加51.20万元，增长12.78%。主要变动原因是</w:t>
      </w:r>
      <w:r>
        <w:rPr>
          <w:rFonts w:hint="eastAsia" w:eastAsia="仿宋_GB2312" w:cs="仿宋_GB2312"/>
          <w:kern w:val="2"/>
          <w:sz w:val="32"/>
          <w:szCs w:val="32"/>
          <w:lang w:val="en-US" w:eastAsia="zh-CN" w:bidi="ar-SA"/>
        </w:rPr>
        <w:t>因为</w:t>
      </w:r>
      <w:r>
        <w:rPr>
          <w:rFonts w:hint="eastAsia" w:ascii="Times New Roman" w:hAnsi="Times New Roman" w:eastAsia="仿宋_GB2312" w:cs="仿宋_GB2312"/>
          <w:kern w:val="2"/>
          <w:sz w:val="32"/>
          <w:szCs w:val="32"/>
          <w:lang w:val="en-US" w:eastAsia="zh-CN" w:bidi="ar-SA"/>
        </w:rPr>
        <w:t>人员正常工资晋升、退休人员职业年金及项目增加。</w:t>
      </w:r>
    </w:p>
    <w:p w14:paraId="591548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（图4：财政拨款收、支决算总计变动情况）（柱状图）</w:t>
      </w:r>
    </w:p>
    <w:p w14:paraId="65D8B6EC">
      <w:pPr>
        <w:pStyle w:val="20"/>
      </w:pPr>
      <w:r>
        <w:drawing>
          <wp:inline distT="0" distB="0" distL="0" distR="0">
            <wp:extent cx="5274310" cy="2749550"/>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DCB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30"/>
          <w:rFonts w:ascii="Times New Roman" w:hAnsi="Times New Roman" w:eastAsia="黑体"/>
          <w:b w:val="0"/>
        </w:rPr>
      </w:pPr>
      <w:bookmarkStart w:id="20" w:name="_Toc15377209"/>
      <w:bookmarkStart w:id="21"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0"/>
      <w:bookmarkEnd w:id="21"/>
    </w:p>
    <w:p w14:paraId="7FB2A7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eastAsia="楷体_GB2312" w:cs="楷体_GB2312"/>
          <w:b w:val="0"/>
          <w:bCs/>
          <w:sz w:val="32"/>
          <w:szCs w:val="32"/>
        </w:rPr>
      </w:pPr>
      <w:bookmarkStart w:id="22" w:name="_Toc15377210"/>
      <w:r>
        <w:rPr>
          <w:rFonts w:hint="eastAsia" w:eastAsia="楷体_GB2312" w:cs="楷体_GB2312"/>
          <w:b w:val="0"/>
          <w:bCs/>
          <w:sz w:val="32"/>
          <w:szCs w:val="32"/>
        </w:rPr>
        <w:t>（一）一般公共预算财政拨款支出决算总体情况</w:t>
      </w:r>
      <w:bookmarkEnd w:id="22"/>
    </w:p>
    <w:p w14:paraId="65E6F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2024年度一般公共预算财政拨款支出446.88万元，占本年支出合计的98.89%。与2023年度相比，一般公共预算财政拨款支出增加56.20万元，增长14.39%。主要变动原因是项目增加。</w:t>
      </w:r>
    </w:p>
    <w:p w14:paraId="32AFA2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（图5：一般公共预算财政拨款支出决算变动情况）（柱状图）</w:t>
      </w:r>
    </w:p>
    <w:p w14:paraId="55454217">
      <w:pPr>
        <w:spacing w:line="600" w:lineRule="exact"/>
        <w:ind w:firstLine="640"/>
        <w:rPr>
          <w:rFonts w:hint="eastAsia" w:eastAsia="仿宋_GB2312" w:cs="仿宋_GB2312"/>
          <w:sz w:val="32"/>
          <w:szCs w:val="32"/>
        </w:rPr>
      </w:pPr>
    </w:p>
    <w:p w14:paraId="5BC58273">
      <w:pPr>
        <w:pStyle w:val="20"/>
        <w:rPr>
          <w:rFonts w:hint="eastAsia" w:eastAsia="楷体_GB2312" w:cs="楷体_GB2312"/>
          <w:b/>
          <w:sz w:val="32"/>
          <w:szCs w:val="32"/>
        </w:rPr>
      </w:pPr>
      <w:r>
        <w:drawing>
          <wp:inline distT="0" distB="0" distL="0" distR="0">
            <wp:extent cx="5274310" cy="2400300"/>
            <wp:effectExtent l="19050" t="0" r="2159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23" w:name="_Toc15377211"/>
    </w:p>
    <w:p w14:paraId="480FE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eastAsia="楷体_GB2312" w:cs="楷体_GB2312"/>
          <w:b w:val="0"/>
          <w:bCs/>
          <w:sz w:val="32"/>
          <w:szCs w:val="32"/>
        </w:rPr>
      </w:pPr>
      <w:r>
        <w:rPr>
          <w:rFonts w:hint="eastAsia" w:eastAsia="楷体_GB2312" w:cs="楷体_GB2312"/>
          <w:b w:val="0"/>
          <w:bCs/>
          <w:sz w:val="32"/>
          <w:szCs w:val="32"/>
        </w:rPr>
        <w:t>（二）一般公共预算财政拨款支出决算结构情况</w:t>
      </w:r>
      <w:bookmarkEnd w:id="23"/>
    </w:p>
    <w:p w14:paraId="79F657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2024年度一般公共预算财政拨款支出446.88万元，主要用于以下方面：一般公共服务支出377.60万元，占84.50%；社会保障和就业支出34.77万元，占7.78%；卫生健康支出18.03万元，占4.03%；住房保障支出16.49万元，占3.69%。（注：仅罗列本部门涉及的全部功能分类科目，至类级）</w:t>
      </w:r>
    </w:p>
    <w:p w14:paraId="786727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r>
        <w:rPr>
          <w:rFonts w:hint="eastAsia" w:eastAsia="仿宋_GB2312" w:cs="仿宋_GB2312"/>
          <w:sz w:val="32"/>
          <w:szCs w:val="32"/>
        </w:rPr>
        <w:t>（图6：一般公共预算财政拨款支出决算结构）（饼状图）</w:t>
      </w:r>
    </w:p>
    <w:p w14:paraId="1F74C9E1">
      <w:r>
        <w:drawing>
          <wp:inline distT="0" distB="0" distL="0" distR="0">
            <wp:extent cx="5093335" cy="2581910"/>
            <wp:effectExtent l="4445" t="4445" r="7620" b="2349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8A3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eastAsia="楷体_GB2312" w:cs="楷体_GB2312"/>
          <w:b w:val="0"/>
          <w:bCs/>
          <w:sz w:val="32"/>
          <w:szCs w:val="32"/>
        </w:rPr>
      </w:pPr>
      <w:bookmarkStart w:id="24" w:name="_Toc15377212"/>
      <w:r>
        <w:rPr>
          <w:rFonts w:hint="eastAsia" w:eastAsia="楷体_GB2312" w:cs="楷体_GB2312"/>
          <w:b w:val="0"/>
          <w:bCs/>
          <w:sz w:val="32"/>
          <w:szCs w:val="32"/>
        </w:rPr>
        <w:t>（三）一般公共预算财政拨款支出决算具体情况</w:t>
      </w:r>
      <w:bookmarkEnd w:id="24"/>
    </w:p>
    <w:p w14:paraId="457594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bookmarkStart w:id="25" w:name="_Toc15377213"/>
      <w:bookmarkStart w:id="26" w:name="_Toc15377444"/>
      <w:bookmarkStart w:id="27"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446.88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完成预算100%。其中：</w:t>
      </w:r>
      <w:bookmarkEnd w:id="25"/>
      <w:bookmarkEnd w:id="26"/>
      <w:bookmarkEnd w:id="27"/>
    </w:p>
    <w:p w14:paraId="141A22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b/>
          <w:sz w:val="32"/>
          <w:szCs w:val="32"/>
        </w:rPr>
      </w:pPr>
      <w:r>
        <w:rPr>
          <w:rStyle w:val="18"/>
          <w:rFonts w:hint="eastAsia" w:ascii="仿宋_GB2312" w:hAnsi="仿宋" w:eastAsia="仿宋_GB2312"/>
          <w:bCs/>
          <w:sz w:val="32"/>
          <w:szCs w:val="32"/>
        </w:rPr>
        <w:t>1.一般公共服务（类）政府办公厅（室）及相关机构事务（款）行政运行（项）</w:t>
      </w:r>
      <w:r>
        <w:rPr>
          <w:rStyle w:val="18"/>
          <w:rFonts w:hint="eastAsia" w:ascii="仿宋_GB2312" w:hAnsi="仿宋" w:eastAsia="仿宋_GB2312"/>
          <w:bCs/>
          <w:sz w:val="32"/>
          <w:szCs w:val="32"/>
          <w:lang w:eastAsia="zh-CN"/>
        </w:rPr>
        <w:t>：</w:t>
      </w:r>
      <w:r>
        <w:rPr>
          <w:rStyle w:val="18"/>
          <w:rFonts w:hint="eastAsia" w:ascii="仿宋_GB2312" w:hAnsi="仿宋" w:eastAsia="仿宋_GB2312"/>
          <w:b w:val="0"/>
          <w:bCs/>
          <w:sz w:val="32"/>
          <w:szCs w:val="32"/>
        </w:rPr>
        <w:t xml:space="preserve"> 支出决算为44.86万元，完成预算100%，决算数等于预算数。</w:t>
      </w:r>
    </w:p>
    <w:p w14:paraId="028DEA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b/>
          <w:sz w:val="32"/>
          <w:szCs w:val="32"/>
        </w:rPr>
      </w:pPr>
      <w:r>
        <w:rPr>
          <w:rStyle w:val="18"/>
          <w:rFonts w:hint="eastAsia" w:ascii="仿宋_GB2312" w:hAnsi="仿宋" w:eastAsia="仿宋_GB2312"/>
          <w:bCs/>
          <w:sz w:val="32"/>
          <w:szCs w:val="32"/>
        </w:rPr>
        <w:t>2.一般公共服务（类）政府办公厅（室）及相关机构事务（款）信访事务（项）</w:t>
      </w:r>
      <w:r>
        <w:rPr>
          <w:rStyle w:val="18"/>
          <w:rFonts w:hint="eastAsia" w:ascii="仿宋_GB2312" w:hAnsi="仿宋" w:eastAsia="仿宋_GB2312"/>
          <w:bCs/>
          <w:sz w:val="32"/>
          <w:szCs w:val="32"/>
          <w:lang w:eastAsia="zh-CN"/>
        </w:rPr>
        <w:t>：</w:t>
      </w:r>
      <w:r>
        <w:rPr>
          <w:rStyle w:val="18"/>
          <w:rFonts w:hint="eastAsia" w:ascii="仿宋_GB2312" w:hAnsi="仿宋" w:eastAsia="仿宋_GB2312"/>
          <w:b w:val="0"/>
          <w:bCs/>
          <w:sz w:val="32"/>
          <w:szCs w:val="32"/>
        </w:rPr>
        <w:t xml:space="preserve"> 支出决算为216.07万元，完成预算100%，决算数等于预算数。</w:t>
      </w:r>
    </w:p>
    <w:p w14:paraId="11618A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b/>
          <w:sz w:val="32"/>
          <w:szCs w:val="32"/>
        </w:rPr>
      </w:pPr>
      <w:r>
        <w:rPr>
          <w:rStyle w:val="18"/>
          <w:rFonts w:hint="eastAsia" w:ascii="仿宋_GB2312" w:hAnsi="仿宋" w:eastAsia="仿宋_GB2312"/>
          <w:bCs/>
          <w:sz w:val="32"/>
          <w:szCs w:val="32"/>
        </w:rPr>
        <w:t>3.一般公共服务（类）政府办公厅（室）及相关机构事务（款）其他信访事务支出（项）</w:t>
      </w:r>
      <w:r>
        <w:rPr>
          <w:rStyle w:val="18"/>
          <w:rFonts w:hint="eastAsia" w:ascii="仿宋_GB2312" w:hAnsi="仿宋" w:eastAsia="仿宋_GB2312"/>
          <w:bCs/>
          <w:sz w:val="32"/>
          <w:szCs w:val="32"/>
          <w:lang w:eastAsia="zh-CN"/>
        </w:rPr>
        <w:t>：</w:t>
      </w:r>
      <w:r>
        <w:rPr>
          <w:rStyle w:val="18"/>
          <w:rFonts w:hint="eastAsia" w:ascii="仿宋_GB2312" w:hAnsi="仿宋" w:eastAsia="仿宋_GB2312"/>
          <w:b w:val="0"/>
          <w:bCs/>
          <w:sz w:val="32"/>
          <w:szCs w:val="32"/>
        </w:rPr>
        <w:t xml:space="preserve"> 支出决算为116.68万元，完成预算100%，决算数等于预算数。</w:t>
      </w:r>
    </w:p>
    <w:p w14:paraId="36C0D6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eastAsia" w:ascii="仿宋_GB2312" w:hAnsi="仿宋" w:eastAsia="仿宋_GB2312"/>
          <w:sz w:val="32"/>
          <w:szCs w:val="32"/>
        </w:rPr>
      </w:pPr>
      <w:r>
        <w:rPr>
          <w:rStyle w:val="18"/>
          <w:rFonts w:hint="eastAsia" w:ascii="仿宋_GB2312" w:hAnsi="仿宋" w:eastAsia="仿宋_GB2312"/>
          <w:bCs/>
          <w:sz w:val="32"/>
          <w:szCs w:val="32"/>
        </w:rPr>
        <w:t>4.社会保障和就业（类）行政事业单位养老支出（款）行政单位离退休（项）</w:t>
      </w:r>
      <w:r>
        <w:rPr>
          <w:rStyle w:val="18"/>
          <w:rFonts w:hint="eastAsia" w:ascii="仿宋_GB2312" w:hAnsi="仿宋" w:eastAsia="仿宋_GB2312"/>
          <w:bCs/>
          <w:sz w:val="32"/>
          <w:szCs w:val="32"/>
          <w:lang w:eastAsia="zh-CN"/>
        </w:rPr>
        <w:t>：</w:t>
      </w:r>
      <w:r>
        <w:rPr>
          <w:rStyle w:val="18"/>
          <w:rFonts w:hint="eastAsia" w:ascii="仿宋_GB2312" w:hAnsi="仿宋" w:eastAsia="仿宋_GB2312"/>
          <w:b w:val="0"/>
          <w:bCs/>
          <w:sz w:val="32"/>
          <w:szCs w:val="32"/>
        </w:rPr>
        <w:t xml:space="preserve"> 支出决算为5.03万元，完成预算100%，决算数等于预算数。</w:t>
      </w:r>
    </w:p>
    <w:p w14:paraId="543144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b/>
          <w:sz w:val="32"/>
          <w:szCs w:val="32"/>
        </w:rPr>
      </w:pPr>
      <w:r>
        <w:rPr>
          <w:rStyle w:val="18"/>
          <w:rFonts w:hint="eastAsia" w:ascii="仿宋_GB2312" w:hAnsi="仿宋" w:eastAsia="仿宋_GB2312"/>
          <w:bCs/>
          <w:sz w:val="32"/>
          <w:szCs w:val="32"/>
        </w:rPr>
        <w:t>5.社会保障和就业（类）行政事业单位养老支出（款）机关事业单位基本养老保险缴费支出（项）</w:t>
      </w:r>
      <w:r>
        <w:rPr>
          <w:rStyle w:val="18"/>
          <w:rFonts w:hint="eastAsia" w:ascii="仿宋_GB2312" w:hAnsi="仿宋" w:eastAsia="仿宋_GB2312"/>
          <w:bCs/>
          <w:sz w:val="32"/>
          <w:szCs w:val="32"/>
          <w:lang w:eastAsia="zh-CN"/>
        </w:rPr>
        <w:t>：</w:t>
      </w:r>
      <w:r>
        <w:rPr>
          <w:rStyle w:val="18"/>
          <w:rFonts w:hint="eastAsia" w:ascii="仿宋_GB2312" w:hAnsi="仿宋" w:eastAsia="仿宋_GB2312"/>
          <w:b w:val="0"/>
          <w:bCs/>
          <w:sz w:val="32"/>
          <w:szCs w:val="32"/>
        </w:rPr>
        <w:t xml:space="preserve"> 支出决算为19.28万元，完成预算100%，决算数等于预算数。</w:t>
      </w:r>
    </w:p>
    <w:p w14:paraId="5423D8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eastAsia" w:ascii="仿宋_GB2312" w:hAnsi="仿宋" w:eastAsia="仿宋_GB2312"/>
          <w:b w:val="0"/>
          <w:bCs/>
          <w:sz w:val="32"/>
          <w:szCs w:val="32"/>
        </w:rPr>
      </w:pPr>
      <w:r>
        <w:rPr>
          <w:rStyle w:val="18"/>
          <w:rFonts w:hint="eastAsia" w:ascii="仿宋_GB2312" w:hAnsi="仿宋" w:eastAsia="仿宋_GB2312"/>
          <w:bCs/>
          <w:sz w:val="32"/>
          <w:szCs w:val="32"/>
        </w:rPr>
        <w:t>6.社会保障和就业（类）行政事业单位养老支出（款）机关事业单位职业年金缴费支出（项）</w:t>
      </w:r>
      <w:r>
        <w:rPr>
          <w:rStyle w:val="18"/>
          <w:rFonts w:hint="eastAsia" w:ascii="仿宋_GB2312" w:hAnsi="仿宋" w:eastAsia="仿宋_GB2312"/>
          <w:bCs/>
          <w:sz w:val="32"/>
          <w:szCs w:val="32"/>
          <w:lang w:eastAsia="zh-CN"/>
        </w:rPr>
        <w:t>：</w:t>
      </w:r>
      <w:r>
        <w:rPr>
          <w:rStyle w:val="18"/>
          <w:rFonts w:hint="eastAsia" w:ascii="仿宋_GB2312" w:hAnsi="仿宋" w:eastAsia="仿宋_GB2312"/>
          <w:b w:val="0"/>
          <w:bCs/>
          <w:sz w:val="32"/>
          <w:szCs w:val="32"/>
        </w:rPr>
        <w:t>支出决算为9.32万元，完成预算100%，决算数等于预算数。</w:t>
      </w:r>
    </w:p>
    <w:p w14:paraId="16FD13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bCs/>
          <w:sz w:val="32"/>
          <w:szCs w:val="32"/>
        </w:rPr>
      </w:pPr>
      <w:r>
        <w:rPr>
          <w:rStyle w:val="18"/>
          <w:rFonts w:hint="eastAsia" w:ascii="仿宋_GB2312" w:hAnsi="仿宋" w:eastAsia="仿宋_GB2312"/>
          <w:b/>
          <w:bCs w:val="0"/>
          <w:sz w:val="32"/>
          <w:szCs w:val="32"/>
        </w:rPr>
        <w:t>7.社</w:t>
      </w:r>
      <w:r>
        <w:rPr>
          <w:rStyle w:val="18"/>
          <w:rFonts w:hint="eastAsia" w:ascii="仿宋_GB2312" w:hAnsi="仿宋" w:eastAsia="仿宋_GB2312"/>
          <w:bCs/>
          <w:sz w:val="32"/>
          <w:szCs w:val="32"/>
        </w:rPr>
        <w:t>会保障和就业（类）抚恤（款）伤残抚恤（项）</w:t>
      </w:r>
      <w:r>
        <w:rPr>
          <w:rStyle w:val="18"/>
          <w:rFonts w:hint="eastAsia" w:ascii="仿宋_GB2312" w:hAnsi="仿宋" w:eastAsia="仿宋_GB2312"/>
          <w:bCs/>
          <w:sz w:val="32"/>
          <w:szCs w:val="32"/>
          <w:lang w:eastAsia="zh-CN"/>
        </w:rPr>
        <w:t>：</w:t>
      </w:r>
      <w:r>
        <w:rPr>
          <w:rStyle w:val="18"/>
          <w:rFonts w:hint="eastAsia" w:ascii="仿宋_GB2312" w:hAnsi="仿宋" w:eastAsia="仿宋_GB2312"/>
          <w:b w:val="0"/>
          <w:bCs/>
          <w:sz w:val="32"/>
          <w:szCs w:val="32"/>
        </w:rPr>
        <w:t>支出决算为1.14万元，完成预算100%，决算数等于预算数。</w:t>
      </w:r>
    </w:p>
    <w:p w14:paraId="5B5FF0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b/>
          <w:sz w:val="32"/>
          <w:szCs w:val="32"/>
        </w:rPr>
      </w:pPr>
      <w:r>
        <w:rPr>
          <w:rStyle w:val="18"/>
          <w:rFonts w:hint="eastAsia" w:ascii="仿宋_GB2312" w:hAnsi="仿宋" w:eastAsia="仿宋_GB2312"/>
          <w:bCs/>
          <w:sz w:val="32"/>
          <w:szCs w:val="32"/>
        </w:rPr>
        <w:t>8.</w:t>
      </w:r>
      <w:r>
        <w:rPr>
          <w:rFonts w:hint="eastAsia" w:ascii="仿宋_GB2312" w:hAnsi="仿宋" w:eastAsia="仿宋_GB2312"/>
          <w:b/>
          <w:bCs/>
          <w:sz w:val="32"/>
          <w:szCs w:val="32"/>
        </w:rPr>
        <w:t>卫生健康</w:t>
      </w:r>
      <w:r>
        <w:rPr>
          <w:rStyle w:val="18"/>
          <w:rFonts w:hint="eastAsia" w:ascii="仿宋_GB2312" w:hAnsi="仿宋" w:eastAsia="仿宋_GB2312"/>
          <w:bCs/>
          <w:sz w:val="32"/>
          <w:szCs w:val="32"/>
        </w:rPr>
        <w:t>（类）行政事业单位医疗（款）行政单位医疗项）</w:t>
      </w:r>
      <w:r>
        <w:rPr>
          <w:rStyle w:val="18"/>
          <w:rFonts w:hint="eastAsia" w:ascii="仿宋_GB2312" w:hAnsi="仿宋" w:eastAsia="仿宋_GB2312"/>
          <w:bCs/>
          <w:sz w:val="32"/>
          <w:szCs w:val="32"/>
          <w:lang w:eastAsia="zh-CN"/>
        </w:rPr>
        <w:t>：</w:t>
      </w:r>
      <w:r>
        <w:rPr>
          <w:rStyle w:val="18"/>
          <w:rFonts w:hint="eastAsia" w:ascii="仿宋_GB2312" w:hAnsi="仿宋" w:eastAsia="仿宋_GB2312"/>
          <w:b w:val="0"/>
          <w:bCs/>
          <w:sz w:val="32"/>
          <w:szCs w:val="32"/>
        </w:rPr>
        <w:t>支出决算为2.77万元，完成预算100%，决算数等于预算数。</w:t>
      </w:r>
    </w:p>
    <w:p w14:paraId="470647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b/>
          <w:sz w:val="32"/>
          <w:szCs w:val="32"/>
        </w:rPr>
      </w:pPr>
      <w:r>
        <w:rPr>
          <w:rStyle w:val="18"/>
          <w:rFonts w:hint="eastAsia" w:ascii="仿宋_GB2312" w:hAnsi="仿宋" w:eastAsia="仿宋_GB2312"/>
          <w:bCs/>
          <w:sz w:val="32"/>
          <w:szCs w:val="32"/>
        </w:rPr>
        <w:t>9.</w:t>
      </w:r>
      <w:r>
        <w:rPr>
          <w:rFonts w:hint="eastAsia" w:ascii="仿宋_GB2312" w:hAnsi="仿宋" w:eastAsia="仿宋_GB2312"/>
          <w:b/>
          <w:bCs/>
          <w:sz w:val="32"/>
          <w:szCs w:val="32"/>
        </w:rPr>
        <w:t>卫生健康</w:t>
      </w:r>
      <w:r>
        <w:rPr>
          <w:rStyle w:val="18"/>
          <w:rFonts w:hint="eastAsia" w:ascii="仿宋_GB2312" w:hAnsi="仿宋" w:eastAsia="仿宋_GB2312"/>
          <w:bCs/>
          <w:sz w:val="32"/>
          <w:szCs w:val="32"/>
        </w:rPr>
        <w:t>（类）行政事业单位医疗（款）事业单位医疗</w:t>
      </w:r>
      <w:r>
        <w:rPr>
          <w:rStyle w:val="18"/>
          <w:rFonts w:hint="eastAsia" w:ascii="仿宋_GB2312" w:hAnsi="仿宋" w:eastAsia="仿宋_GB2312"/>
          <w:bCs/>
          <w:sz w:val="32"/>
          <w:szCs w:val="32"/>
          <w:lang w:eastAsia="zh-CN"/>
        </w:rPr>
        <w:t>（</w:t>
      </w:r>
      <w:r>
        <w:rPr>
          <w:rStyle w:val="18"/>
          <w:rFonts w:hint="eastAsia" w:ascii="仿宋_GB2312" w:hAnsi="仿宋" w:eastAsia="仿宋_GB2312"/>
          <w:bCs/>
          <w:sz w:val="32"/>
          <w:szCs w:val="32"/>
        </w:rPr>
        <w:t>项）</w:t>
      </w:r>
      <w:r>
        <w:rPr>
          <w:rStyle w:val="18"/>
          <w:rFonts w:hint="eastAsia" w:ascii="仿宋_GB2312" w:hAnsi="仿宋" w:eastAsia="仿宋_GB2312"/>
          <w:bCs/>
          <w:sz w:val="32"/>
          <w:szCs w:val="32"/>
          <w:lang w:eastAsia="zh-CN"/>
        </w:rPr>
        <w:t>：</w:t>
      </w:r>
      <w:r>
        <w:rPr>
          <w:rStyle w:val="18"/>
          <w:rFonts w:hint="eastAsia" w:ascii="仿宋_GB2312" w:hAnsi="仿宋" w:eastAsia="仿宋_GB2312"/>
          <w:b w:val="0"/>
          <w:bCs/>
          <w:sz w:val="32"/>
          <w:szCs w:val="32"/>
        </w:rPr>
        <w:t>支出决算为7.82万元，完成预算100%，决算数等于预算数。</w:t>
      </w:r>
    </w:p>
    <w:p w14:paraId="6D1256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b/>
          <w:sz w:val="32"/>
          <w:szCs w:val="32"/>
        </w:rPr>
      </w:pPr>
      <w:r>
        <w:rPr>
          <w:rFonts w:hint="eastAsia" w:ascii="仿宋_GB2312" w:hAnsi="仿宋" w:eastAsia="仿宋_GB2312"/>
          <w:b/>
          <w:bCs/>
          <w:sz w:val="32"/>
          <w:szCs w:val="32"/>
        </w:rPr>
        <w:t>10.卫生健康</w:t>
      </w:r>
      <w:r>
        <w:rPr>
          <w:rStyle w:val="18"/>
          <w:rFonts w:hint="eastAsia" w:ascii="仿宋_GB2312" w:hAnsi="仿宋" w:eastAsia="仿宋_GB2312"/>
          <w:bCs/>
          <w:sz w:val="32"/>
          <w:szCs w:val="32"/>
        </w:rPr>
        <w:t>（类）行政事业单位医疗（款）公务员医疗补助</w:t>
      </w:r>
      <w:r>
        <w:rPr>
          <w:rStyle w:val="18"/>
          <w:rFonts w:hint="eastAsia" w:ascii="仿宋_GB2312" w:hAnsi="仿宋" w:eastAsia="仿宋_GB2312"/>
          <w:bCs/>
          <w:sz w:val="32"/>
          <w:szCs w:val="32"/>
          <w:lang w:eastAsia="zh-CN"/>
        </w:rPr>
        <w:t>（</w:t>
      </w:r>
      <w:r>
        <w:rPr>
          <w:rStyle w:val="18"/>
          <w:rFonts w:hint="eastAsia" w:ascii="仿宋_GB2312" w:hAnsi="仿宋" w:eastAsia="仿宋_GB2312"/>
          <w:bCs/>
          <w:sz w:val="32"/>
          <w:szCs w:val="32"/>
        </w:rPr>
        <w:t>项）</w:t>
      </w:r>
      <w:r>
        <w:rPr>
          <w:rStyle w:val="18"/>
          <w:rFonts w:hint="eastAsia" w:ascii="仿宋_GB2312" w:hAnsi="仿宋" w:eastAsia="仿宋_GB2312"/>
          <w:bCs/>
          <w:sz w:val="32"/>
          <w:szCs w:val="32"/>
          <w:lang w:eastAsia="zh-CN"/>
        </w:rPr>
        <w:t>：</w:t>
      </w:r>
      <w:r>
        <w:rPr>
          <w:rStyle w:val="18"/>
          <w:rFonts w:hint="eastAsia" w:ascii="仿宋_GB2312" w:hAnsi="仿宋" w:eastAsia="仿宋_GB2312"/>
          <w:b w:val="0"/>
          <w:bCs/>
          <w:sz w:val="32"/>
          <w:szCs w:val="32"/>
        </w:rPr>
        <w:t>支出决算为0.25万元，完成预算100%，决算数等于预算数。</w:t>
      </w:r>
    </w:p>
    <w:p w14:paraId="1B5B3B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bCs/>
          <w:sz w:val="32"/>
          <w:szCs w:val="32"/>
        </w:rPr>
        <w:t>11.卫生健康</w:t>
      </w:r>
      <w:r>
        <w:rPr>
          <w:rStyle w:val="18"/>
          <w:rFonts w:hint="eastAsia" w:ascii="仿宋_GB2312" w:hAnsi="仿宋" w:eastAsia="仿宋_GB2312"/>
          <w:bCs/>
          <w:sz w:val="32"/>
          <w:szCs w:val="32"/>
        </w:rPr>
        <w:t>（类）行政事业单位医疗（款）其他行政事业单位医疗支出</w:t>
      </w:r>
      <w:r>
        <w:rPr>
          <w:rStyle w:val="18"/>
          <w:rFonts w:hint="eastAsia" w:ascii="仿宋_GB2312" w:hAnsi="仿宋" w:eastAsia="仿宋_GB2312"/>
          <w:bCs/>
          <w:sz w:val="32"/>
          <w:szCs w:val="32"/>
          <w:lang w:eastAsia="zh-CN"/>
        </w:rPr>
        <w:t>（</w:t>
      </w:r>
      <w:r>
        <w:rPr>
          <w:rStyle w:val="18"/>
          <w:rFonts w:hint="eastAsia" w:ascii="仿宋_GB2312" w:hAnsi="仿宋" w:eastAsia="仿宋_GB2312"/>
          <w:bCs/>
          <w:sz w:val="32"/>
          <w:szCs w:val="32"/>
        </w:rPr>
        <w:t>项）</w:t>
      </w:r>
      <w:r>
        <w:rPr>
          <w:rStyle w:val="18"/>
          <w:rFonts w:hint="eastAsia" w:ascii="仿宋_GB2312" w:hAnsi="仿宋" w:eastAsia="仿宋_GB2312"/>
          <w:bCs/>
          <w:sz w:val="32"/>
          <w:szCs w:val="32"/>
          <w:lang w:eastAsia="zh-CN"/>
        </w:rPr>
        <w:t>：</w:t>
      </w:r>
      <w:r>
        <w:rPr>
          <w:rStyle w:val="18"/>
          <w:rFonts w:hint="eastAsia" w:ascii="仿宋_GB2312" w:hAnsi="仿宋" w:eastAsia="仿宋_GB2312"/>
          <w:b w:val="0"/>
          <w:bCs/>
          <w:sz w:val="32"/>
          <w:szCs w:val="32"/>
        </w:rPr>
        <w:t>支出决算为7.18万元，完成预算100%，决算数等于预算数。</w:t>
      </w:r>
    </w:p>
    <w:p w14:paraId="49B8FB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b/>
          <w:sz w:val="32"/>
          <w:szCs w:val="32"/>
        </w:rPr>
      </w:pPr>
      <w:r>
        <w:rPr>
          <w:rFonts w:hint="eastAsia" w:ascii="仿宋_GB2312" w:hAnsi="仿宋" w:eastAsia="仿宋_GB2312"/>
          <w:b/>
          <w:bCs/>
          <w:sz w:val="32"/>
          <w:szCs w:val="32"/>
        </w:rPr>
        <w:t>12.住房保障支出</w:t>
      </w:r>
      <w:r>
        <w:rPr>
          <w:rStyle w:val="18"/>
          <w:rFonts w:hint="eastAsia" w:ascii="仿宋_GB2312" w:hAnsi="仿宋" w:eastAsia="仿宋_GB2312"/>
          <w:bCs/>
          <w:sz w:val="32"/>
          <w:szCs w:val="32"/>
        </w:rPr>
        <w:t>（类）住房改革支出（款）其住房公积金</w:t>
      </w:r>
      <w:r>
        <w:rPr>
          <w:rStyle w:val="18"/>
          <w:rFonts w:hint="eastAsia" w:ascii="仿宋_GB2312" w:hAnsi="仿宋" w:eastAsia="仿宋_GB2312"/>
          <w:bCs/>
          <w:sz w:val="32"/>
          <w:szCs w:val="32"/>
          <w:lang w:eastAsia="zh-CN"/>
        </w:rPr>
        <w:t>（</w:t>
      </w:r>
      <w:r>
        <w:rPr>
          <w:rStyle w:val="18"/>
          <w:rFonts w:hint="eastAsia" w:ascii="仿宋_GB2312" w:hAnsi="仿宋" w:eastAsia="仿宋_GB2312"/>
          <w:bCs/>
          <w:sz w:val="32"/>
          <w:szCs w:val="32"/>
        </w:rPr>
        <w:t>项）</w:t>
      </w:r>
      <w:r>
        <w:rPr>
          <w:rStyle w:val="18"/>
          <w:rFonts w:hint="eastAsia" w:ascii="仿宋_GB2312" w:hAnsi="仿宋" w:eastAsia="仿宋_GB2312"/>
          <w:bCs/>
          <w:sz w:val="32"/>
          <w:szCs w:val="32"/>
          <w:lang w:eastAsia="zh-CN"/>
        </w:rPr>
        <w:t>：</w:t>
      </w:r>
      <w:r>
        <w:rPr>
          <w:rStyle w:val="18"/>
          <w:rFonts w:hint="eastAsia" w:ascii="仿宋_GB2312" w:hAnsi="仿宋" w:eastAsia="仿宋_GB2312"/>
          <w:b w:val="0"/>
          <w:bCs/>
          <w:sz w:val="32"/>
          <w:szCs w:val="32"/>
        </w:rPr>
        <w:t>支出决算为16.49万元，完成预算100%，决算等于预算数。</w:t>
      </w:r>
    </w:p>
    <w:p w14:paraId="159C7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b/>
          <w:bCs/>
          <w:sz w:val="32"/>
          <w:szCs w:val="32"/>
        </w:rPr>
      </w:pPr>
      <w:r>
        <w:rPr>
          <w:rFonts w:hint="eastAsia" w:eastAsia="仿宋_GB2312" w:cs="仿宋_GB2312"/>
          <w:b w:val="0"/>
          <w:bCs w:val="0"/>
          <w:sz w:val="32"/>
          <w:szCs w:val="32"/>
        </w:rPr>
        <w:t>（注：仅罗列本部门涉及的全部功能分类科目，至项级。上述“预算”口径为全年预算数。增减变动原因为决算数&lt;项级&gt;和全年预算数&lt;项级&gt;比较，与预算数持平可以不写原因）</w:t>
      </w:r>
    </w:p>
    <w:p w14:paraId="30999355">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firstLineChars="200"/>
        <w:textAlignment w:val="auto"/>
        <w:outlineLvl w:val="1"/>
        <w:rPr>
          <w:rStyle w:val="30"/>
          <w:rFonts w:ascii="Times New Roman" w:hAnsi="Times New Roman"/>
        </w:rPr>
      </w:pPr>
      <w:bookmarkStart w:id="28" w:name="_Toc15396608"/>
      <w:bookmarkStart w:id="29"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28"/>
      <w:bookmarkEnd w:id="29"/>
      <w:r>
        <w:rPr>
          <w:rStyle w:val="30"/>
          <w:rFonts w:ascii="Times New Roman" w:hAnsi="Times New Roman" w:eastAsia="黑体"/>
          <w:b w:val="0"/>
        </w:rPr>
        <w:tab/>
      </w:r>
    </w:p>
    <w:p w14:paraId="4CEED2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2024年度一般公共预算财政拨款基本支出228.63万元，其中：</w:t>
      </w:r>
    </w:p>
    <w:p w14:paraId="7A1F0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人员经费214.58万元，主要包括：基本工资47.35万元、津贴补贴20.28万元、奖金12.87万元、绩效工资55.46万元、机关事业单位基本养老保险缴费19.28万元、职业年金缴费9.32万元、职工基本医疗保险缴费10.60万元、公务员医疗补助缴费6.49万元、其他社会保障缴费0.73万元、住房公积金16.49万元、医疗费0.94万元、其他工资福利支出7.28万元、抚恤金1.14万元、生活补助5.64万元、医疗费补助0.72万元、奖励金0.01万元等。</w:t>
      </w:r>
      <w:r>
        <w:rPr>
          <w:rFonts w:hint="eastAsia" w:eastAsia="仿宋_GB2312" w:cs="仿宋_GB2312"/>
          <w:sz w:val="32"/>
          <w:szCs w:val="32"/>
        </w:rPr>
        <w:br w:type="textWrapping"/>
      </w:r>
      <w:r>
        <w:rPr>
          <w:rFonts w:hint="eastAsia" w:eastAsia="仿宋_GB2312" w:cs="仿宋_GB2312"/>
          <w:sz w:val="32"/>
          <w:szCs w:val="32"/>
        </w:rPr>
        <w:t>　　公用经费14.05万元，主要包括：办公费2.64万元、水费0.07万元、电费0.69万元、邮电费0.64万元、差旅费1.52万元、维修（护）费0</w:t>
      </w:r>
      <w:r>
        <w:rPr>
          <w:rFonts w:hint="eastAsia" w:eastAsia="仿宋_GB2312" w:cs="仿宋_GB2312"/>
          <w:sz w:val="32"/>
          <w:szCs w:val="32"/>
          <w:lang w:val="en-US" w:eastAsia="zh-CN"/>
        </w:rPr>
        <w:t>.</w:t>
      </w:r>
      <w:r>
        <w:rPr>
          <w:rFonts w:hint="eastAsia" w:eastAsia="仿宋_GB2312" w:cs="仿宋_GB2312"/>
          <w:sz w:val="32"/>
          <w:szCs w:val="32"/>
        </w:rPr>
        <w:t>5 万元、会议费0.11万元、培训费0.36万元、公务接待费0.06万元、劳务费0.77万元、工会经费2.68万元、福利费0.75万元、其他交通费3.18万元、其他商品和服务支出0.10万元等。</w:t>
      </w:r>
    </w:p>
    <w:p w14:paraId="632D27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（注：仅罗列本部门实际支出涉及的经济分类科目）</w:t>
      </w:r>
    </w:p>
    <w:p w14:paraId="7F55B3F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30"/>
          <w:rFonts w:ascii="Times New Roman" w:hAnsi="Times New Roman" w:eastAsia="黑体"/>
          <w:b w:val="0"/>
        </w:rPr>
      </w:pPr>
      <w:bookmarkStart w:id="30" w:name="_Toc15396609"/>
      <w:bookmarkStart w:id="31"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0"/>
      <w:bookmarkEnd w:id="31"/>
    </w:p>
    <w:p w14:paraId="226D9C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eastAsia="楷体_GB2312" w:cs="楷体_GB2312"/>
          <w:b w:val="0"/>
          <w:bCs/>
          <w:sz w:val="32"/>
          <w:szCs w:val="32"/>
        </w:rPr>
      </w:pPr>
      <w:bookmarkStart w:id="32" w:name="_Toc15377216"/>
      <w:r>
        <w:rPr>
          <w:rFonts w:hint="eastAsia" w:eastAsia="楷体_GB2312" w:cs="楷体_GB2312"/>
          <w:b w:val="0"/>
          <w:bCs/>
          <w:sz w:val="32"/>
          <w:szCs w:val="32"/>
        </w:rPr>
        <w:t>（一）“三公”经费财政拨款支出决算总体情况说明</w:t>
      </w:r>
      <w:bookmarkEnd w:id="32"/>
    </w:p>
    <w:p w14:paraId="1D9B9D2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s="仿宋_GB2312"/>
          <w:sz w:val="32"/>
          <w:szCs w:val="32"/>
        </w:rPr>
      </w:pPr>
      <w:r>
        <w:rPr>
          <w:rFonts w:hint="eastAsia" w:eastAsia="仿宋_GB2312" w:cs="仿宋_GB2312"/>
          <w:sz w:val="32"/>
          <w:szCs w:val="32"/>
        </w:rPr>
        <w:t>2024年度“三公”经费财政拨款支出决算为0.06万元，完成预算100%，较上年度增加/减少0万元，增长/下降0%。与预算数持平。</w:t>
      </w:r>
    </w:p>
    <w:p w14:paraId="5C8EDB8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s="仿宋_GB2312"/>
          <w:sz w:val="32"/>
          <w:szCs w:val="32"/>
        </w:rPr>
      </w:pPr>
      <w:r>
        <w:rPr>
          <w:rFonts w:hint="eastAsia" w:eastAsia="仿宋_GB2312" w:cs="仿宋_GB2312"/>
          <w:sz w:val="32"/>
          <w:szCs w:val="32"/>
        </w:rPr>
        <w:t>（注：上述“预算”口径为全年预算数，包括一般公共预算和政府性基金预算财政拨款支出决算情况）</w:t>
      </w:r>
    </w:p>
    <w:p w14:paraId="644B5B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eastAsia="楷体_GB2312" w:cs="楷体_GB2312"/>
          <w:b w:val="0"/>
          <w:bCs/>
          <w:sz w:val="32"/>
          <w:szCs w:val="32"/>
        </w:rPr>
      </w:pPr>
      <w:bookmarkStart w:id="33" w:name="_Toc15377217"/>
      <w:r>
        <w:rPr>
          <w:rFonts w:hint="eastAsia" w:eastAsia="楷体_GB2312" w:cs="楷体_GB2312"/>
          <w:b w:val="0"/>
          <w:bCs/>
          <w:sz w:val="32"/>
          <w:szCs w:val="32"/>
        </w:rPr>
        <w:t>（二）“三公”经费财政拨款支出决算具体情况说明</w:t>
      </w:r>
      <w:bookmarkEnd w:id="33"/>
    </w:p>
    <w:p w14:paraId="58A7CBE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s="仿宋_GB2312"/>
          <w:sz w:val="32"/>
          <w:szCs w:val="32"/>
        </w:rPr>
      </w:pPr>
      <w:r>
        <w:rPr>
          <w:rFonts w:hint="eastAsia" w:eastAsia="仿宋_GB2312" w:cs="仿宋_GB2312"/>
          <w:sz w:val="32"/>
          <w:szCs w:val="32"/>
        </w:rPr>
        <w:t>2024年度“三公”经费财政拨款支出决算中，因公出国（境）费支出决算0万元，占0%；公务用车购置及运行维护费支出决算0万元，占0%；公务接待费支出决算0.06万元，占100%。具体情况如下：</w:t>
      </w:r>
    </w:p>
    <w:p w14:paraId="32EDDBA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s="仿宋_GB2312"/>
          <w:sz w:val="32"/>
          <w:szCs w:val="32"/>
        </w:rPr>
      </w:pPr>
      <w:r>
        <w:rPr>
          <w:rFonts w:hint="eastAsia" w:eastAsia="仿宋_GB2312" w:cs="仿宋_GB2312"/>
          <w:sz w:val="32"/>
          <w:szCs w:val="32"/>
        </w:rPr>
        <w:t>（图7：“三公”经费财政拨款支出结构）（饼状图）</w:t>
      </w:r>
    </w:p>
    <w:p w14:paraId="6F0F1B1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。因公出国（境）支出决算比2023年增加/减少0万元，增长/下降0%。未安排</w:t>
      </w:r>
      <w:r>
        <w:rPr>
          <w:rFonts w:hint="eastAsia" w:eastAsia="仿宋_GB2312" w:cs="仿宋_GB2312"/>
          <w:b w:val="0"/>
          <w:bCs w:val="0"/>
          <w:sz w:val="32"/>
          <w:szCs w:val="32"/>
        </w:rPr>
        <w:t>因公出国（境）。</w:t>
      </w:r>
    </w:p>
    <w:p w14:paraId="4A3CC7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公务用车购置及运行维护费支出决算比2023年度增加/减少0万元，增长/下降0%。</w:t>
      </w:r>
    </w:p>
    <w:p w14:paraId="4B935F2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万元。全年按规定更新购置公务用车0辆，其中：轿车0辆、金额0万元，越野车0辆、金额0万元，载客汽车0辆、金额0万元。截至2024年12月31日，单位共有公务用车0辆，其中：轿车0辆、越野车0辆、载客汽车0辆。</w:t>
      </w:r>
    </w:p>
    <w:p w14:paraId="3102570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4EDCA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仿宋_GB2312" w:cs="仿宋_GB2312"/>
          <w:sz w:val="32"/>
          <w:szCs w:val="32"/>
        </w:rPr>
      </w:pPr>
      <w:r>
        <w:rPr>
          <w:rFonts w:hint="eastAsia" w:eastAsia="仿宋_GB2312" w:cs="仿宋_GB2312"/>
          <w:b/>
          <w:bCs/>
          <w:sz w:val="32"/>
          <w:szCs w:val="32"/>
          <w:lang w:val="en-US" w:eastAsia="zh-CN"/>
        </w:rPr>
        <w:t>3.</w:t>
      </w:r>
      <w:r>
        <w:rPr>
          <w:rFonts w:hint="eastAsia" w:eastAsia="仿宋_GB2312" w:cs="仿宋_GB2312"/>
          <w:b/>
          <w:bCs/>
          <w:sz w:val="32"/>
          <w:szCs w:val="32"/>
        </w:rPr>
        <w:t>公务接待费支出</w:t>
      </w:r>
      <w:r>
        <w:rPr>
          <w:rFonts w:hint="eastAsia" w:ascii="仿宋_GB2312" w:hAnsi="仿宋_GB2312" w:eastAsia="仿宋_GB2312" w:cs="仿宋_GB2312"/>
          <w:b/>
          <w:bCs/>
          <w:sz w:val="32"/>
          <w:szCs w:val="32"/>
        </w:rPr>
        <w:t>0.06万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公务接待费支出决算比2023年度增加/减少0万元，增长/下降0%。</w:t>
      </w:r>
    </w:p>
    <w:p w14:paraId="30D2FE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其中：国内公务接待支出0.06万元，主要用于开展业务活动开支用餐费。国内公务接待1批次，8人次，共计支出0.06万元，具体内容包括：本年公务接待费0.06万元，国内公务接待1次共计8人次。</w:t>
      </w:r>
    </w:p>
    <w:p w14:paraId="786E53A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s="仿宋_GB2312"/>
          <w:sz w:val="32"/>
          <w:szCs w:val="32"/>
        </w:rPr>
      </w:pPr>
      <w:r>
        <w:rPr>
          <w:rFonts w:hint="eastAsia" w:eastAsia="仿宋_GB2312" w:cs="仿宋_GB2312"/>
          <w:sz w:val="32"/>
          <w:szCs w:val="32"/>
        </w:rPr>
        <w:t>外事接待支出0万元。外事接待0批次，0人次（不包括陪同人员），共计支出0万元。</w:t>
      </w:r>
      <w:bookmarkStart w:id="34" w:name="_Toc15396610"/>
      <w:bookmarkStart w:id="35" w:name="_Toc15377218"/>
    </w:p>
    <w:p w14:paraId="2B4AA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34"/>
      <w:bookmarkEnd w:id="35"/>
    </w:p>
    <w:p w14:paraId="60960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2024年度政府性基金预算财政拨款支出0万元，占本年支出合计的0%。与202</w:t>
      </w:r>
      <w:r>
        <w:rPr>
          <w:rFonts w:hint="eastAsia" w:ascii="仿宋_GB2312" w:hAnsi="仿宋_GB2312" w:eastAsia="仿宋_GB2312" w:cs="仿宋_GB2312"/>
          <w:sz w:val="32"/>
          <w:szCs w:val="32"/>
          <w:lang w:val="en-US" w:eastAsia="zh-CN"/>
        </w:rPr>
        <w:t>3年度相比</w:t>
      </w:r>
      <w:r>
        <w:rPr>
          <w:rFonts w:hint="eastAsia" w:ascii="仿宋_GB2312" w:hAnsi="仿宋_GB2312" w:eastAsia="仿宋_GB2312" w:cs="仿宋_GB2312"/>
          <w:sz w:val="32"/>
          <w:szCs w:val="32"/>
        </w:rPr>
        <w:t>，政府性基金预算财政拨款支出增加/减少0万元，增长/下降0%。（注：支出数与上年持平可以不写原因）</w:t>
      </w:r>
      <w:bookmarkStart w:id="36" w:name="_Toc15377219"/>
      <w:bookmarkStart w:id="37" w:name="_Toc15396611"/>
    </w:p>
    <w:p w14:paraId="6D20D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30"/>
          <w:rFonts w:ascii="Times New Roman" w:hAnsi="Times New Roman" w:eastAsia="黑体"/>
          <w:b w:val="0"/>
        </w:rPr>
      </w:pPr>
      <w:r>
        <w:rPr>
          <w:rStyle w:val="30"/>
          <w:rFonts w:hint="eastAsia" w:ascii="Times New Roman" w:hAnsi="Times New Roman" w:eastAsia="黑体"/>
          <w:b w:val="0"/>
        </w:rPr>
        <w:t>九、国有资本经营预算支出决算情况说明</w:t>
      </w:r>
      <w:bookmarkEnd w:id="36"/>
      <w:bookmarkEnd w:id="37"/>
    </w:p>
    <w:p w14:paraId="5B6B6B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2024年度国有资本经营预算财政拨款支出0万元，占本年支出合计的0%。与2023年度相比，国有资本经营预算财政拨款支出增加/减少0万元，增长/下降0%。（注：支出数与上年持平可以不写原因）</w:t>
      </w:r>
      <w:bookmarkStart w:id="38" w:name="_Toc15396612"/>
      <w:bookmarkStart w:id="39" w:name="_Toc15377221"/>
    </w:p>
    <w:p w14:paraId="012478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30"/>
          <w:rFonts w:ascii="Times New Roman" w:hAnsi="Times New Roman" w:eastAsia="黑体"/>
          <w:b w:val="0"/>
        </w:rPr>
      </w:pPr>
      <w:r>
        <w:rPr>
          <w:rStyle w:val="30"/>
          <w:rFonts w:hint="eastAsia" w:ascii="Times New Roman" w:hAnsi="Times New Roman" w:eastAsia="黑体"/>
          <w:b w:val="0"/>
        </w:rPr>
        <w:t>十、其他重要事项的情况说明</w:t>
      </w:r>
      <w:bookmarkEnd w:id="38"/>
      <w:bookmarkEnd w:id="39"/>
    </w:p>
    <w:p w14:paraId="0559FF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eastAsia="楷体_GB2312" w:cs="楷体_GB2312"/>
          <w:b w:val="0"/>
          <w:bCs/>
          <w:sz w:val="32"/>
          <w:szCs w:val="32"/>
        </w:rPr>
      </w:pPr>
      <w:bookmarkStart w:id="40" w:name="_Toc15377222"/>
      <w:r>
        <w:rPr>
          <w:rFonts w:hint="eastAsia" w:eastAsia="楷体_GB2312" w:cs="楷体_GB2312"/>
          <w:b w:val="0"/>
          <w:bCs/>
          <w:sz w:val="32"/>
          <w:szCs w:val="32"/>
        </w:rPr>
        <w:t>（一）机关运行经费支出情况</w:t>
      </w:r>
      <w:bookmarkEnd w:id="40"/>
    </w:p>
    <w:p w14:paraId="5DF42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2024年度，盐边县信访局机关运行经费支出14.05万元，比2023年度减少1.64万元，下降10.46%。主要原因是厉行节约、减少开支。</w:t>
      </w:r>
    </w:p>
    <w:p w14:paraId="40794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eastAsia="楷体_GB2312" w:cs="楷体_GB2312"/>
          <w:b w:val="0"/>
          <w:bCs/>
          <w:sz w:val="32"/>
          <w:szCs w:val="32"/>
        </w:rPr>
      </w:pPr>
      <w:bookmarkStart w:id="41" w:name="_Toc15377223"/>
      <w:r>
        <w:rPr>
          <w:rFonts w:hint="eastAsia" w:eastAsia="楷体_GB2312" w:cs="楷体_GB2312"/>
          <w:b w:val="0"/>
          <w:bCs/>
          <w:sz w:val="32"/>
          <w:szCs w:val="32"/>
        </w:rPr>
        <w:t>（二）政府采购支出情况</w:t>
      </w:r>
      <w:bookmarkEnd w:id="41"/>
    </w:p>
    <w:p w14:paraId="5DCE0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盐边县信访局政府采购支出总额2.04万元，其中：政府采购货物支出2.04万元、政府采购工程支出0万元、政府采购服务支出0万元。主要保证机关工作正常开展，提高机关办公室效率。授予中小企业合同金额2.04万元，占政府采购支出总额的100%，其中：授予小微企业合同金额2.04万元，占政府采购支出总额的100%。</w:t>
      </w:r>
    </w:p>
    <w:p w14:paraId="66F34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eastAsia="楷体_GB2312" w:cs="楷体_GB2312"/>
          <w:b w:val="0"/>
          <w:bCs/>
          <w:sz w:val="32"/>
          <w:szCs w:val="32"/>
        </w:rPr>
      </w:pPr>
      <w:bookmarkStart w:id="42" w:name="_Toc15377224"/>
      <w:r>
        <w:rPr>
          <w:rFonts w:hint="eastAsia" w:eastAsia="楷体_GB2312" w:cs="楷体_GB2312"/>
          <w:b w:val="0"/>
          <w:bCs/>
          <w:sz w:val="32"/>
          <w:szCs w:val="32"/>
        </w:rPr>
        <w:t>（三）国有资产占有使用情况</w:t>
      </w:r>
      <w:bookmarkEnd w:id="42"/>
    </w:p>
    <w:p w14:paraId="55B92D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截至2024年12月31日，盐边县信访局共有车辆0辆，其中：主要负责人用车0辆、机要通信用车0辆、应急保障用车0辆、其他用车0辆</w:t>
      </w:r>
      <w:bookmarkStart w:id="61" w:name="_GoBack"/>
      <w:bookmarkEnd w:id="61"/>
      <w:r>
        <w:rPr>
          <w:rFonts w:hint="eastAsia" w:ascii="仿宋_GB2312" w:hAnsi="仿宋_GB2312" w:eastAsia="仿宋_GB2312" w:cs="仿宋_GB2312"/>
          <w:sz w:val="32"/>
          <w:szCs w:val="32"/>
        </w:rPr>
        <w:t>。单价100万元（含）以上设备（不含车辆）0台（套）。</w:t>
      </w:r>
    </w:p>
    <w:p w14:paraId="21226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eastAsia="楷体_GB2312" w:cs="楷体_GB2312"/>
          <w:b w:val="0"/>
          <w:bCs/>
          <w:sz w:val="32"/>
          <w:szCs w:val="32"/>
        </w:rPr>
      </w:pPr>
      <w:r>
        <w:rPr>
          <w:rFonts w:hint="eastAsia" w:eastAsia="楷体_GB2312" w:cs="楷体_GB2312"/>
          <w:b w:val="0"/>
          <w:bCs/>
          <w:sz w:val="32"/>
          <w:szCs w:val="32"/>
        </w:rPr>
        <w:t>（四）预算绩效管理情况</w:t>
      </w:r>
    </w:p>
    <w:p w14:paraId="73136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盐边县信访局在2024年度预算编制阶段，组织对信访业务经费、2024年成都工作站经费、盐边县特殊疑难信访事项化解专项、盐边县信访局进京进省值班专项、2024年信访业务经费、2024年办公设备购置等6个项目开展了预算事前绩效评估，对6个项目编制了绩效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执行过程中，选取6个项目开展绩效监控。组织对2024年度一般公共预算、政府性基金预算、国有资本经营预算、社会保险基金预算以及资本资产等全面开展绩效自评，形成盐边县信访局部门整体（含部门预算项目）绩效自评报告、信访业务经费、2024年成都工作站经费、盐边县特殊疑难信访事项化解专项、盐边县信访局进京进省值班专项、2024年信访业务经费项目绩效自评报告、2024年办公设备购置项目绩效自评报告等专项预算项目绩效自评报告，其中，盐边县信访局部门整体（含部门预算项目）绩效自评得分为98分，绩效自评综述除了正常的信访</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化解工作以外，每年均有部分特殊疑难信访案件的化解存在，多为无责任主体、无政策依据支持但又确实严重影响上访群众生活水平的信访</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因为此类信访案情况复杂，常常导致成为重复信访积案、上级督办案件，因此做好此类信访案的化解工作是信访工作的重要部分。通过困难救助、就地稳控、途中劝返等化解方式，进一步提高信访事项“三率”巩固“两降两升”有效预防和及时化解、防止极端恶性和群体性事件发生。2024年拟进一步规范全县信访积案、特殊疑难信访案件化解资金集中使用，更好</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完成年度信访工作目标。2024年专项预算项目绩效自评得分为100分，绩效自评综述做好群众来信来访，网络投诉等基础信访业务工作， 引导信访群众依法解决信访诉求，提高信访事项“三率”巩固“两降两升”建立多功能、多形式、多渠道的信访网络平台弥补传统信访方式的缺陷，满足人民群众的信访要求，畅通群众信访绿色通道。按照上级维稳的要求和决策部署，负责上访群众到县到市到省进京上访劝返处置，有效预防和及时化解、防止极端恶性和群体性事件发生。推进信访法制工作建设，建立健全律师咨询、参与信访事项化解工作。推动心理咨询师参与化解信访事项工作，进一步为群众服务，促进社会和谐稳定。加强信访接待场所安保措施，有序安全开展接访工作。做好群众来信来访，网络投诉等基础信访业务工作，引导信访群众依法解决信访诉求，提高信访事项“三率”巩固“两降两升”建立多功能、多形式、多渠道的信访网络平台弥补传统信访方式的缺陷，满足人民群众的信访要求，畅通群众信访绿色通道。按照上级维稳的要求和决策部署，负责上访群众到县到市到省进京上访劝返处置，有效预防和及时化解、防止极端恶性和群体性事件发生。推进信访法制工作建设，建立健全律师咨询、参与信访事项化解工作。推动心理咨询师参与化解信访事项工作，进一步为群众服务，促进社会和谐稳定。加强信访接待场所安保措施，有序安全开展接访工作。绩效自评报告详见附件。（注：如不涉及，可根据实际修改表述。）</w:t>
      </w:r>
    </w:p>
    <w:p w14:paraId="373C69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6A80C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056F69E">
      <w:pPr>
        <w:pStyle w:val="20"/>
        <w:rPr>
          <w:rFonts w:hint="eastAsia"/>
        </w:rPr>
      </w:pPr>
    </w:p>
    <w:p w14:paraId="610AB8C3">
      <w:pPr>
        <w:rPr>
          <w:rFonts w:hint="eastAsia"/>
        </w:rPr>
      </w:pPr>
    </w:p>
    <w:p w14:paraId="5999899E">
      <w:pPr>
        <w:pStyle w:val="20"/>
        <w:rPr>
          <w:rFonts w:hint="eastAsia"/>
        </w:rPr>
      </w:pPr>
    </w:p>
    <w:p w14:paraId="625CCA7A">
      <w:pPr>
        <w:rPr>
          <w:rFonts w:hint="eastAsia"/>
        </w:rPr>
      </w:pPr>
    </w:p>
    <w:p w14:paraId="70E61C54">
      <w:pPr>
        <w:pStyle w:val="2"/>
        <w:rPr>
          <w:rFonts w:hint="eastAsia"/>
        </w:rPr>
      </w:pPr>
    </w:p>
    <w:p w14:paraId="0846CAA3">
      <w:pPr>
        <w:pStyle w:val="2"/>
        <w:rPr>
          <w:rFonts w:hint="eastAsia"/>
        </w:rPr>
      </w:pPr>
    </w:p>
    <w:p w14:paraId="15141B86">
      <w:pPr>
        <w:pStyle w:val="2"/>
        <w:rPr>
          <w:rFonts w:hint="eastAsia"/>
        </w:rPr>
      </w:pPr>
    </w:p>
    <w:p w14:paraId="68619E4E">
      <w:pPr>
        <w:pStyle w:val="2"/>
        <w:rPr>
          <w:rFonts w:hint="eastAsia"/>
        </w:rPr>
      </w:pPr>
    </w:p>
    <w:p w14:paraId="1862F36E">
      <w:pPr>
        <w:pStyle w:val="2"/>
        <w:rPr>
          <w:rFonts w:hint="eastAsia"/>
        </w:rPr>
      </w:pPr>
    </w:p>
    <w:p w14:paraId="2EE7AE3A">
      <w:pPr>
        <w:pStyle w:val="2"/>
        <w:rPr>
          <w:rFonts w:hint="eastAsia"/>
        </w:rPr>
      </w:pPr>
    </w:p>
    <w:p w14:paraId="6C118376">
      <w:pPr>
        <w:pStyle w:val="2"/>
        <w:rPr>
          <w:rFonts w:hint="eastAsia"/>
        </w:rPr>
      </w:pPr>
    </w:p>
    <w:p w14:paraId="704F2ADB">
      <w:pPr>
        <w:pStyle w:val="2"/>
        <w:rPr>
          <w:rFonts w:hint="eastAsia"/>
        </w:rPr>
      </w:pPr>
    </w:p>
    <w:p w14:paraId="7D899B29">
      <w:pPr>
        <w:pStyle w:val="2"/>
        <w:rPr>
          <w:rFonts w:hint="eastAsia"/>
        </w:rPr>
      </w:pPr>
    </w:p>
    <w:p w14:paraId="0226824C">
      <w:pPr>
        <w:pStyle w:val="2"/>
        <w:rPr>
          <w:rFonts w:hint="eastAsia"/>
        </w:rPr>
      </w:pPr>
    </w:p>
    <w:p w14:paraId="16FB896D">
      <w:pPr>
        <w:pStyle w:val="2"/>
        <w:rPr>
          <w:rFonts w:hint="eastAsia"/>
        </w:rPr>
      </w:pPr>
    </w:p>
    <w:p w14:paraId="65DD4777">
      <w:pPr>
        <w:pStyle w:val="2"/>
        <w:rPr>
          <w:rFonts w:hint="eastAsia"/>
        </w:rPr>
      </w:pPr>
    </w:p>
    <w:p w14:paraId="18B95467">
      <w:pPr>
        <w:rPr>
          <w:rFonts w:hint="eastAsia"/>
        </w:rPr>
      </w:pPr>
    </w:p>
    <w:p w14:paraId="23E2F686">
      <w:pPr>
        <w:spacing w:line="600" w:lineRule="exact"/>
        <w:jc w:val="center"/>
        <w:outlineLvl w:val="0"/>
        <w:rPr>
          <w:rFonts w:eastAsia="黑体"/>
          <w:sz w:val="44"/>
          <w:szCs w:val="44"/>
        </w:rPr>
      </w:pPr>
      <w:bookmarkStart w:id="43" w:name="_Toc15377225"/>
      <w:bookmarkStart w:id="44" w:name="_Toc15396613"/>
      <w:r>
        <w:rPr>
          <w:rFonts w:hint="eastAsia" w:eastAsia="黑体"/>
          <w:sz w:val="44"/>
          <w:szCs w:val="44"/>
        </w:rPr>
        <w:t>第三部分  名词解释</w:t>
      </w:r>
      <w:bookmarkEnd w:id="43"/>
      <w:bookmarkEnd w:id="44"/>
    </w:p>
    <w:p w14:paraId="0071A716">
      <w:pPr>
        <w:spacing w:line="600" w:lineRule="exact"/>
        <w:jc w:val="left"/>
        <w:rPr>
          <w:b/>
          <w:sz w:val="44"/>
          <w:szCs w:val="44"/>
        </w:rPr>
      </w:pPr>
    </w:p>
    <w:p w14:paraId="47B26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14:paraId="670F9A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14:paraId="52C5A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14:paraId="6DF8F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指单位取得的除上述收入以外的各项收入。</w:t>
      </w:r>
    </w:p>
    <w:p w14:paraId="788173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5.使用非财政拨款结余（含专用结余）：指事业单位使用以前年度积累的非财政拨款结余弥补当年收支差额的金额。 </w:t>
      </w:r>
    </w:p>
    <w:p w14:paraId="68624E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14:paraId="666D86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7.结余分配：指事业单位按照会计制度规定缴纳的所得税、提取的专用结余以及转入非财政拨款结余的金额等。</w:t>
      </w:r>
    </w:p>
    <w:p w14:paraId="4E3D1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14:paraId="490C58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9.一般公共服务支出（类201）信访事务（款40）行政运行（项01）反映行政单位（包括实行公务员管理的事业单位）的基本支出。</w:t>
      </w:r>
    </w:p>
    <w:p w14:paraId="5D797A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10.一般公共服务支出（类201）信访事务（款40）信访事务（项04），反映各级政府用于接待群众来信来访方面的支出。</w:t>
      </w:r>
    </w:p>
    <w:p w14:paraId="14F0C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一般公共服务支出（类201）信访事务（款40）其他信访事务支出（项99），反映上述项目以外的其他信访事务支出。</w:t>
      </w:r>
    </w:p>
    <w:p w14:paraId="03B3C2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社会保障和就业支出（类208）行政事业单位养老支出（款05）行政单位离退休（项01），反映行政单位（包括实行公务员管理的事业单位）开支的离退休经费。</w:t>
      </w:r>
    </w:p>
    <w:p w14:paraId="76F95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社会保障和就业支出（类208）行政事业单位养老支出（款05）机关事业单位基本养老保险缴费支出（项05），反映机关事业单位实施养老保险制度由单位缴纳的基本养老保险费支出。</w:t>
      </w:r>
    </w:p>
    <w:p w14:paraId="5DC2C0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14.社会保障和就业支出（类208）行政事业单位养老支出（款05）机关事业单位职业年金缴费支出（项05），反映机关事业单位实施养老保险制度由单位缴纳的职业年金支出（含职业年金补记支出）。</w:t>
      </w:r>
    </w:p>
    <w:p w14:paraId="1D637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15.社会保障和就业（208类）抚恤（08款）伤残抚恤（02项），反映按规定用于伤残人员的抚恤金和按规定开支的各项伤残补助。</w:t>
      </w:r>
    </w:p>
    <w:p w14:paraId="5ED9A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卫生健康支出（类210）行政事业单位医疗（款11）行政单位医疗（项01），反映财政部门安排的行政单位（包括实行公务员管理的事业单位，下同）基本医疗保险缴费经费，未参加医疗保险的行政单位的公费医疗经费，按国家规定享受离休人员、红军老战士待遇人员的医疗经费。</w:t>
      </w:r>
    </w:p>
    <w:p w14:paraId="0C8A6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卫生健康支出（类210）行政事业单位医疗（款11）事业单位医疗（项02），反映财政部门安排的事业单位基本医疗保险缴费经费，未参加医疗保险的事业单位的公费医疗经费，按国家规定享受离休人员待遇的医疗经费。</w:t>
      </w:r>
    </w:p>
    <w:p w14:paraId="0C5A9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18.卫生健康支出（类210）行政事业单位医疗（款11）公务员医疗补助（项03），反映财政部门安排的公务员医疗补助经费。</w:t>
      </w:r>
    </w:p>
    <w:p w14:paraId="54BB53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19.卫生健康支出（类210）行政事业单位医疗（款11）其他行政事业单位医疗支出（项99），反映出上述项目以外的其他用于行政事业单位医疗方面的支出。</w:t>
      </w:r>
    </w:p>
    <w:p w14:paraId="35692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20.住房保障支出（类221）住房改革支出（款02）住房公积金（项01），反映行政事业单位按人力资源和社会保障部、财政部规定的基本工资和津贴补贴以及规定比例为职工缴纳的住房公积金。</w:t>
      </w:r>
    </w:p>
    <w:p w14:paraId="7B9CA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21.基本支出：指为保障机构正常运转、完成日常工作任务而发生的人员支出和公用支出。</w:t>
      </w:r>
    </w:p>
    <w:p w14:paraId="0EC715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22.项目支出：指在基本支出之外为完成特定行政任务和事业发展目标所发生的支出。 </w:t>
      </w:r>
    </w:p>
    <w:p w14:paraId="55794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23.经营支出：指事业单位在专业业务活动及其辅助活动之外开展非独立核算经营活动发生的支出。</w:t>
      </w:r>
    </w:p>
    <w:p w14:paraId="1EA91B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C607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AF83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（注：名词解释部分请根据各部门实际列支情况罗列，并根据本部门职责职能增减名词解释内容）</w:t>
      </w:r>
    </w:p>
    <w:p w14:paraId="70D2F6B7">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Style w:val="29"/>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14:paraId="26A4257D">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仿宋_GB2312" w:hAnsi="仿宋_GB2312" w:eastAsia="仿宋_GB2312" w:cs="仿宋_GB2312"/>
          <w:sz w:val="32"/>
          <w:szCs w:val="32"/>
        </w:rPr>
      </w:pPr>
    </w:p>
    <w:p w14:paraId="23C163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color w:val="FF0000"/>
          <w:sz w:val="44"/>
          <w:szCs w:val="44"/>
        </w:rPr>
      </w:pPr>
      <w:r>
        <w:rPr>
          <w:rFonts w:hint="eastAsia" w:ascii="仿宋_GB2312" w:hAnsi="仿宋_GB2312" w:eastAsia="仿宋_GB2312" w:cs="仿宋_GB2312"/>
          <w:sz w:val="32"/>
          <w:szCs w:val="32"/>
        </w:rPr>
        <w:t>部门预算项目支出绩效自评表（202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p>
    <w:p w14:paraId="45960BE4">
      <w:pPr>
        <w:spacing w:line="572" w:lineRule="exact"/>
        <w:jc w:val="left"/>
        <w:outlineLvl w:val="0"/>
        <w:rPr>
          <w:rFonts w:hint="eastAsia" w:eastAsia="黑体" w:cs="黑体"/>
          <w:sz w:val="32"/>
          <w:szCs w:val="32"/>
        </w:rPr>
      </w:pPr>
    </w:p>
    <w:p w14:paraId="1B3E0E33">
      <w:pPr>
        <w:widowControl/>
        <w:jc w:val="center"/>
        <w:rPr>
          <w:rFonts w:hint="eastAsia" w:eastAsia="黑体"/>
          <w:sz w:val="44"/>
          <w:szCs w:val="44"/>
        </w:rPr>
      </w:pPr>
      <w:bookmarkStart w:id="47" w:name="_Toc15396618"/>
    </w:p>
    <w:p w14:paraId="2DB3CD79">
      <w:pPr>
        <w:widowControl/>
        <w:jc w:val="center"/>
        <w:rPr>
          <w:rFonts w:hint="eastAsia" w:eastAsia="黑体"/>
          <w:sz w:val="44"/>
          <w:szCs w:val="44"/>
        </w:rPr>
      </w:pPr>
    </w:p>
    <w:p w14:paraId="564460B7">
      <w:pPr>
        <w:widowControl/>
        <w:jc w:val="center"/>
        <w:rPr>
          <w:rFonts w:hint="eastAsia" w:eastAsia="黑体"/>
          <w:sz w:val="44"/>
          <w:szCs w:val="44"/>
        </w:rPr>
      </w:pPr>
    </w:p>
    <w:p w14:paraId="6AB7A5C3">
      <w:pPr>
        <w:widowControl/>
        <w:jc w:val="center"/>
        <w:rPr>
          <w:rFonts w:hint="eastAsia" w:eastAsia="黑体"/>
          <w:sz w:val="44"/>
          <w:szCs w:val="44"/>
        </w:rPr>
      </w:pPr>
    </w:p>
    <w:p w14:paraId="573D7DAE">
      <w:pPr>
        <w:widowControl/>
        <w:jc w:val="center"/>
        <w:rPr>
          <w:rFonts w:hint="eastAsia" w:eastAsia="黑体"/>
          <w:sz w:val="44"/>
          <w:szCs w:val="44"/>
        </w:rPr>
      </w:pPr>
    </w:p>
    <w:p w14:paraId="6B94FBF4">
      <w:pPr>
        <w:widowControl/>
        <w:jc w:val="center"/>
        <w:rPr>
          <w:rFonts w:hint="eastAsia" w:eastAsia="黑体"/>
          <w:sz w:val="44"/>
          <w:szCs w:val="44"/>
        </w:rPr>
      </w:pPr>
    </w:p>
    <w:p w14:paraId="4FC8B8CA">
      <w:pPr>
        <w:widowControl/>
        <w:jc w:val="center"/>
        <w:rPr>
          <w:rFonts w:hint="eastAsia" w:eastAsia="黑体"/>
          <w:sz w:val="44"/>
          <w:szCs w:val="44"/>
        </w:rPr>
      </w:pPr>
    </w:p>
    <w:p w14:paraId="22C9081F">
      <w:pPr>
        <w:widowControl/>
        <w:jc w:val="center"/>
        <w:rPr>
          <w:rFonts w:hint="eastAsia" w:eastAsia="黑体"/>
          <w:sz w:val="44"/>
          <w:szCs w:val="44"/>
        </w:rPr>
      </w:pPr>
    </w:p>
    <w:p w14:paraId="7D0CEA98">
      <w:pPr>
        <w:widowControl/>
        <w:jc w:val="center"/>
        <w:rPr>
          <w:rFonts w:hint="eastAsia" w:eastAsia="黑体"/>
          <w:sz w:val="44"/>
          <w:szCs w:val="44"/>
        </w:rPr>
      </w:pPr>
    </w:p>
    <w:p w14:paraId="6CD73DC3">
      <w:pPr>
        <w:widowControl/>
        <w:jc w:val="center"/>
        <w:rPr>
          <w:rFonts w:hint="eastAsia" w:eastAsia="黑体"/>
          <w:sz w:val="44"/>
          <w:szCs w:val="44"/>
        </w:rPr>
      </w:pPr>
    </w:p>
    <w:p w14:paraId="57FE7363">
      <w:pPr>
        <w:widowControl/>
        <w:jc w:val="center"/>
        <w:rPr>
          <w:rFonts w:hint="eastAsia" w:eastAsia="黑体"/>
          <w:sz w:val="44"/>
          <w:szCs w:val="44"/>
        </w:rPr>
      </w:pPr>
    </w:p>
    <w:p w14:paraId="144ECEB3">
      <w:pPr>
        <w:widowControl/>
        <w:jc w:val="center"/>
        <w:rPr>
          <w:rFonts w:hint="eastAsia" w:eastAsia="黑体"/>
          <w:sz w:val="44"/>
          <w:szCs w:val="44"/>
        </w:rPr>
      </w:pPr>
    </w:p>
    <w:p w14:paraId="64AF0861">
      <w:pPr>
        <w:widowControl/>
        <w:jc w:val="center"/>
        <w:rPr>
          <w:rFonts w:hint="eastAsia" w:eastAsia="黑体"/>
          <w:sz w:val="44"/>
          <w:szCs w:val="44"/>
        </w:rPr>
      </w:pPr>
    </w:p>
    <w:p w14:paraId="463C8FA2">
      <w:pPr>
        <w:widowControl/>
        <w:jc w:val="center"/>
        <w:rPr>
          <w:rFonts w:hint="eastAsia" w:eastAsia="黑体"/>
          <w:sz w:val="44"/>
          <w:szCs w:val="44"/>
        </w:rPr>
      </w:pPr>
    </w:p>
    <w:p w14:paraId="49AD9F15">
      <w:pPr>
        <w:widowControl/>
        <w:jc w:val="center"/>
        <w:rPr>
          <w:rFonts w:hint="eastAsia" w:eastAsia="黑体"/>
          <w:sz w:val="44"/>
          <w:szCs w:val="44"/>
        </w:rPr>
      </w:pPr>
    </w:p>
    <w:p w14:paraId="3CB65515">
      <w:pPr>
        <w:widowControl/>
        <w:jc w:val="center"/>
        <w:rPr>
          <w:rFonts w:hint="eastAsia" w:eastAsia="黑体"/>
          <w:sz w:val="44"/>
          <w:szCs w:val="44"/>
        </w:rPr>
      </w:pPr>
    </w:p>
    <w:p w14:paraId="01AE14F8">
      <w:pPr>
        <w:widowControl/>
        <w:jc w:val="center"/>
        <w:rPr>
          <w:rFonts w:eastAsia="仿宋"/>
        </w:rPr>
      </w:pPr>
      <w:r>
        <w:rPr>
          <w:rFonts w:hint="eastAsia" w:eastAsia="黑体"/>
          <w:sz w:val="44"/>
          <w:szCs w:val="44"/>
        </w:rPr>
        <w:t>第</w:t>
      </w:r>
      <w:r>
        <w:rPr>
          <w:rStyle w:val="29"/>
          <w:rFonts w:hint="eastAsia" w:eastAsia="黑体"/>
          <w:b w:val="0"/>
        </w:rPr>
        <w:t>五部分 附表</w:t>
      </w:r>
      <w:bookmarkEnd w:id="45"/>
      <w:bookmarkEnd w:id="47"/>
      <w:bookmarkStart w:id="48" w:name="_Toc15396619"/>
    </w:p>
    <w:p w14:paraId="26DE4DCF">
      <w:pPr>
        <w:pStyle w:val="14"/>
        <w:adjustRightInd w:val="0"/>
        <w:snapToGrid w:val="0"/>
        <w:spacing w:line="560" w:lineRule="exact"/>
        <w:jc w:val="left"/>
        <w:rPr>
          <w:rFonts w:eastAsia="仿宋_GB2312" w:cs="仿宋_GB2312"/>
          <w:sz w:val="32"/>
          <w:szCs w:val="32"/>
        </w:rPr>
      </w:pPr>
    </w:p>
    <w:p w14:paraId="55B0C372">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14:paraId="2C637AB9">
      <w:pPr>
        <w:pStyle w:val="14"/>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14:paraId="3A84EC8F">
      <w:pPr>
        <w:pStyle w:val="14"/>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14:paraId="6B40A75C">
      <w:pPr>
        <w:pStyle w:val="14"/>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14:paraId="2273DAF3">
      <w:pPr>
        <w:pStyle w:val="14"/>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14:paraId="07125E7D">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14:paraId="05523FB3">
      <w:pPr>
        <w:pStyle w:val="14"/>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14:paraId="71FF349D">
      <w:pPr>
        <w:pStyle w:val="14"/>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14:paraId="4910B8B7">
      <w:pPr>
        <w:pStyle w:val="14"/>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14:paraId="059813A5">
      <w:pPr>
        <w:pStyle w:val="14"/>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14:paraId="181AFF26">
      <w:pPr>
        <w:pStyle w:val="14"/>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14:paraId="111E45D0">
      <w:pPr>
        <w:pStyle w:val="14"/>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14:paraId="5E6B9DEB">
      <w:pPr>
        <w:pStyle w:val="14"/>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14:paraId="62576A3F"/>
    <w:sectPr>
      <w:footerReference r:id="rId9" w:type="first"/>
      <w:footerReference r:id="rId8"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55322">
    <w:pPr>
      <w:pStyle w:val="10"/>
      <w:jc w:val="center"/>
    </w:pPr>
    <w:r>
      <w:rPr>
        <w:sz w:val="18"/>
      </w:rPr>
      <w:pict>
        <v:shape id="_x0000_s4101" o:spid="_x0000_s4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A39F42E">
                <w:pPr>
                  <w:pStyle w:val="10"/>
                </w:pPr>
                <w:r>
                  <w:fldChar w:fldCharType="begin"/>
                </w:r>
                <w:r>
                  <w:instrText xml:space="preserve"> PAGE  \* MERGEFORMAT </w:instrText>
                </w:r>
                <w:r>
                  <w:fldChar w:fldCharType="separate"/>
                </w:r>
                <w:r>
                  <w:t>1</w:t>
                </w:r>
                <w:r>
                  <w:fldChar w:fldCharType="end"/>
                </w:r>
              </w:p>
            </w:txbxContent>
          </v:textbox>
        </v:shape>
      </w:pict>
    </w:r>
  </w:p>
  <w:p w14:paraId="67BE527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24B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9214">
    <w:pPr>
      <w:pStyle w:val="10"/>
    </w:pPr>
    <w:r>
      <w:rPr>
        <w:sz w:val="18"/>
      </w:rP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88B749D">
                <w:pPr>
                  <w:pStyle w:val="10"/>
                  <w:rPr>
                    <w:rFonts w:hint="eastAsia" w:ascii="宋体" w:hAnsi="宋体" w:eastAsia="宋体" w:cs="宋体"/>
                  </w:rPr>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5BA07">
    <w:pPr>
      <w:pStyle w:val="10"/>
      <w:jc w:val="center"/>
      <w:rPr>
        <w:rFonts w:hint="eastAsia" w:asciiTheme="minorEastAsia" w:hAnsiTheme="minorEastAsia" w:eastAsiaTheme="minorEastAsia" w:cstheme="minorEastAsia"/>
        <w:sz w:val="32"/>
        <w:szCs w:val="32"/>
      </w:rPr>
    </w:pPr>
    <w:r>
      <w:rPr>
        <w:sz w:val="32"/>
      </w:rPr>
      <w:pict>
        <v:shape id="_x0000_s4103" o:spid="_x0000_s410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F0AC144">
                <w:pPr>
                  <w:pStyle w:val="10"/>
                </w:pPr>
                <w:r>
                  <w:fldChar w:fldCharType="begin"/>
                </w:r>
                <w:r>
                  <w:instrText xml:space="preserve"> PAGE  \* MERGEFORMAT </w:instrText>
                </w:r>
                <w:r>
                  <w:fldChar w:fldCharType="separate"/>
                </w:r>
                <w:r>
                  <w:t>2</w:t>
                </w:r>
                <w:r>
                  <w:fldChar w:fldCharType="end"/>
                </w:r>
              </w:p>
            </w:txbxContent>
          </v:textbox>
        </v:shape>
      </w:pict>
    </w:r>
  </w:p>
  <w:p w14:paraId="30EF9FA6">
    <w:pPr>
      <w:pStyle w:val="10"/>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3F68E">
    <w:pPr>
      <w:pStyle w:val="10"/>
    </w:pPr>
    <w:r>
      <w:rPr>
        <w:sz w:val="18"/>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41D10F0">
                <w:pPr>
                  <w:pStyle w:val="10"/>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BB5D7">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BB759">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14C4D"/>
    <w:multiLevelType w:val="singleLevel"/>
    <w:tmpl w:val="88314C4D"/>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854F9"/>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1D8B"/>
    <w:rsid w:val="001D6EB5"/>
    <w:rsid w:val="001D7531"/>
    <w:rsid w:val="001E737D"/>
    <w:rsid w:val="001F0592"/>
    <w:rsid w:val="001F7506"/>
    <w:rsid w:val="002006CD"/>
    <w:rsid w:val="00202B36"/>
    <w:rsid w:val="00204B7A"/>
    <w:rsid w:val="00204CDE"/>
    <w:rsid w:val="0021101A"/>
    <w:rsid w:val="00220536"/>
    <w:rsid w:val="00235629"/>
    <w:rsid w:val="00237509"/>
    <w:rsid w:val="00260C38"/>
    <w:rsid w:val="002616C0"/>
    <w:rsid w:val="00265372"/>
    <w:rsid w:val="002662AA"/>
    <w:rsid w:val="00280496"/>
    <w:rsid w:val="00294959"/>
    <w:rsid w:val="00294DC9"/>
    <w:rsid w:val="00295495"/>
    <w:rsid w:val="002A31DE"/>
    <w:rsid w:val="002B2613"/>
    <w:rsid w:val="002D6D05"/>
    <w:rsid w:val="002D734E"/>
    <w:rsid w:val="002F1818"/>
    <w:rsid w:val="002F567B"/>
    <w:rsid w:val="003216A9"/>
    <w:rsid w:val="00335A74"/>
    <w:rsid w:val="00357965"/>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5057"/>
    <w:rsid w:val="00437085"/>
    <w:rsid w:val="00443880"/>
    <w:rsid w:val="004464F4"/>
    <w:rsid w:val="00471401"/>
    <w:rsid w:val="00473F31"/>
    <w:rsid w:val="0048263A"/>
    <w:rsid w:val="00487E5D"/>
    <w:rsid w:val="004A711F"/>
    <w:rsid w:val="004B199D"/>
    <w:rsid w:val="004B4690"/>
    <w:rsid w:val="004B6FEA"/>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B61CA"/>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A2"/>
    <w:rsid w:val="0066343B"/>
    <w:rsid w:val="00664777"/>
    <w:rsid w:val="006748A4"/>
    <w:rsid w:val="00681A31"/>
    <w:rsid w:val="00683E73"/>
    <w:rsid w:val="006A0156"/>
    <w:rsid w:val="006A3141"/>
    <w:rsid w:val="006A5E34"/>
    <w:rsid w:val="006B2422"/>
    <w:rsid w:val="006B2B9A"/>
    <w:rsid w:val="006C1937"/>
    <w:rsid w:val="006F020C"/>
    <w:rsid w:val="007127B7"/>
    <w:rsid w:val="0071539F"/>
    <w:rsid w:val="0071798E"/>
    <w:rsid w:val="007416B6"/>
    <w:rsid w:val="00746BD5"/>
    <w:rsid w:val="00746F48"/>
    <w:rsid w:val="00752579"/>
    <w:rsid w:val="0075311B"/>
    <w:rsid w:val="0075404D"/>
    <w:rsid w:val="0076182A"/>
    <w:rsid w:val="00763A57"/>
    <w:rsid w:val="00767B7E"/>
    <w:rsid w:val="007770C3"/>
    <w:rsid w:val="00784D24"/>
    <w:rsid w:val="00785FBA"/>
    <w:rsid w:val="00786E4A"/>
    <w:rsid w:val="007875EB"/>
    <w:rsid w:val="00791E48"/>
    <w:rsid w:val="0079426B"/>
    <w:rsid w:val="007D1682"/>
    <w:rsid w:val="007D312A"/>
    <w:rsid w:val="007D3F19"/>
    <w:rsid w:val="007E23B0"/>
    <w:rsid w:val="007E23E5"/>
    <w:rsid w:val="007F1991"/>
    <w:rsid w:val="007F2C2F"/>
    <w:rsid w:val="007F55FC"/>
    <w:rsid w:val="007F5665"/>
    <w:rsid w:val="00800112"/>
    <w:rsid w:val="00801C10"/>
    <w:rsid w:val="00813348"/>
    <w:rsid w:val="008253BB"/>
    <w:rsid w:val="00834A4E"/>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99B"/>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4588"/>
    <w:rsid w:val="00A40A00"/>
    <w:rsid w:val="00A4142F"/>
    <w:rsid w:val="00A422EB"/>
    <w:rsid w:val="00A45BB7"/>
    <w:rsid w:val="00A56DF2"/>
    <w:rsid w:val="00A56E6E"/>
    <w:rsid w:val="00A61AA0"/>
    <w:rsid w:val="00A67AB5"/>
    <w:rsid w:val="00A733B2"/>
    <w:rsid w:val="00A741C2"/>
    <w:rsid w:val="00A8103C"/>
    <w:rsid w:val="00A91760"/>
    <w:rsid w:val="00A93B00"/>
    <w:rsid w:val="00A93C21"/>
    <w:rsid w:val="00AB64C9"/>
    <w:rsid w:val="00AC3C6A"/>
    <w:rsid w:val="00AC74B6"/>
    <w:rsid w:val="00AD5620"/>
    <w:rsid w:val="00AD656B"/>
    <w:rsid w:val="00AD7C1B"/>
    <w:rsid w:val="00AE16BA"/>
    <w:rsid w:val="00AE1EBE"/>
    <w:rsid w:val="00AE5B72"/>
    <w:rsid w:val="00B03C9D"/>
    <w:rsid w:val="00B060AE"/>
    <w:rsid w:val="00B10517"/>
    <w:rsid w:val="00B14E76"/>
    <w:rsid w:val="00B161B8"/>
    <w:rsid w:val="00B2048C"/>
    <w:rsid w:val="00B30C21"/>
    <w:rsid w:val="00B310B9"/>
    <w:rsid w:val="00B35F3F"/>
    <w:rsid w:val="00B36CBB"/>
    <w:rsid w:val="00B425E0"/>
    <w:rsid w:val="00B440AA"/>
    <w:rsid w:val="00B44B70"/>
    <w:rsid w:val="00B53C56"/>
    <w:rsid w:val="00B57DAF"/>
    <w:rsid w:val="00B6081F"/>
    <w:rsid w:val="00B77EA6"/>
    <w:rsid w:val="00B81598"/>
    <w:rsid w:val="00B841F1"/>
    <w:rsid w:val="00B944D6"/>
    <w:rsid w:val="00BB4DF0"/>
    <w:rsid w:val="00BB6A8B"/>
    <w:rsid w:val="00BC289F"/>
    <w:rsid w:val="00BC2D50"/>
    <w:rsid w:val="00BC4940"/>
    <w:rsid w:val="00BC5361"/>
    <w:rsid w:val="00BC5460"/>
    <w:rsid w:val="00BC6B50"/>
    <w:rsid w:val="00BD0E25"/>
    <w:rsid w:val="00BD1D4A"/>
    <w:rsid w:val="00BF5BD6"/>
    <w:rsid w:val="00C03E31"/>
    <w:rsid w:val="00C170E2"/>
    <w:rsid w:val="00C33E72"/>
    <w:rsid w:val="00C354B2"/>
    <w:rsid w:val="00C35554"/>
    <w:rsid w:val="00C42709"/>
    <w:rsid w:val="00C533CC"/>
    <w:rsid w:val="00C5751C"/>
    <w:rsid w:val="00C61BFC"/>
    <w:rsid w:val="00C62B85"/>
    <w:rsid w:val="00C65438"/>
    <w:rsid w:val="00C87FD8"/>
    <w:rsid w:val="00C91381"/>
    <w:rsid w:val="00C91CBB"/>
    <w:rsid w:val="00CA5663"/>
    <w:rsid w:val="00CB4E70"/>
    <w:rsid w:val="00CC09B6"/>
    <w:rsid w:val="00CC666F"/>
    <w:rsid w:val="00CD1E3F"/>
    <w:rsid w:val="00CE44F6"/>
    <w:rsid w:val="00CE49DA"/>
    <w:rsid w:val="00CE7B61"/>
    <w:rsid w:val="00D00095"/>
    <w:rsid w:val="00D114F0"/>
    <w:rsid w:val="00D2061B"/>
    <w:rsid w:val="00D20620"/>
    <w:rsid w:val="00D254F7"/>
    <w:rsid w:val="00D26091"/>
    <w:rsid w:val="00D2685C"/>
    <w:rsid w:val="00D34E7C"/>
    <w:rsid w:val="00D35489"/>
    <w:rsid w:val="00D36AFE"/>
    <w:rsid w:val="00D51276"/>
    <w:rsid w:val="00D56015"/>
    <w:rsid w:val="00D7035F"/>
    <w:rsid w:val="00D929DB"/>
    <w:rsid w:val="00DA634F"/>
    <w:rsid w:val="00DA65AC"/>
    <w:rsid w:val="00DB1913"/>
    <w:rsid w:val="00DC410D"/>
    <w:rsid w:val="00DC5A81"/>
    <w:rsid w:val="00DC68CA"/>
    <w:rsid w:val="00DC7A2C"/>
    <w:rsid w:val="00DC7CBA"/>
    <w:rsid w:val="00DD73B7"/>
    <w:rsid w:val="00DF28BC"/>
    <w:rsid w:val="00DF34B9"/>
    <w:rsid w:val="00E01053"/>
    <w:rsid w:val="00E07ACF"/>
    <w:rsid w:val="00E11161"/>
    <w:rsid w:val="00E331A1"/>
    <w:rsid w:val="00E33202"/>
    <w:rsid w:val="00E336A9"/>
    <w:rsid w:val="00E472B1"/>
    <w:rsid w:val="00E50624"/>
    <w:rsid w:val="00E54633"/>
    <w:rsid w:val="00E568DF"/>
    <w:rsid w:val="00E64269"/>
    <w:rsid w:val="00E82267"/>
    <w:rsid w:val="00E853CE"/>
    <w:rsid w:val="00E867B6"/>
    <w:rsid w:val="00EA010F"/>
    <w:rsid w:val="00ED1B63"/>
    <w:rsid w:val="00ED1C02"/>
    <w:rsid w:val="00ED3C1F"/>
    <w:rsid w:val="00ED4085"/>
    <w:rsid w:val="00ED420E"/>
    <w:rsid w:val="00ED6FBE"/>
    <w:rsid w:val="00EE2F57"/>
    <w:rsid w:val="00EF4C34"/>
    <w:rsid w:val="00EF77C6"/>
    <w:rsid w:val="00F05438"/>
    <w:rsid w:val="00F1361C"/>
    <w:rsid w:val="00F156F0"/>
    <w:rsid w:val="00F160C7"/>
    <w:rsid w:val="00F17821"/>
    <w:rsid w:val="00F22188"/>
    <w:rsid w:val="00F2408F"/>
    <w:rsid w:val="00F240E9"/>
    <w:rsid w:val="00F36D8F"/>
    <w:rsid w:val="00F417B1"/>
    <w:rsid w:val="00F45853"/>
    <w:rsid w:val="00F602DF"/>
    <w:rsid w:val="00F754A1"/>
    <w:rsid w:val="00F81FD9"/>
    <w:rsid w:val="00F841AA"/>
    <w:rsid w:val="00F84A94"/>
    <w:rsid w:val="00F87E96"/>
    <w:rsid w:val="00F93663"/>
    <w:rsid w:val="00FA23E8"/>
    <w:rsid w:val="00FD3CC1"/>
    <w:rsid w:val="00FF1E02"/>
    <w:rsid w:val="00FF30B4"/>
    <w:rsid w:val="012A5EC2"/>
    <w:rsid w:val="015975B8"/>
    <w:rsid w:val="02AC6AEF"/>
    <w:rsid w:val="02FEBE30"/>
    <w:rsid w:val="04916F1E"/>
    <w:rsid w:val="04E963FE"/>
    <w:rsid w:val="055727FC"/>
    <w:rsid w:val="061E35DE"/>
    <w:rsid w:val="066E0107"/>
    <w:rsid w:val="07996F6E"/>
    <w:rsid w:val="07DFD8BA"/>
    <w:rsid w:val="08E36989"/>
    <w:rsid w:val="09867E8F"/>
    <w:rsid w:val="0A2032A3"/>
    <w:rsid w:val="0BA71CE4"/>
    <w:rsid w:val="0CA8290A"/>
    <w:rsid w:val="0D162B78"/>
    <w:rsid w:val="0D35B1ED"/>
    <w:rsid w:val="0E254B6B"/>
    <w:rsid w:val="0E4B1F3E"/>
    <w:rsid w:val="0E653000"/>
    <w:rsid w:val="0F98263C"/>
    <w:rsid w:val="101860EC"/>
    <w:rsid w:val="101F47CC"/>
    <w:rsid w:val="10C055FF"/>
    <w:rsid w:val="11694EBD"/>
    <w:rsid w:val="11772AA4"/>
    <w:rsid w:val="118107EC"/>
    <w:rsid w:val="12E24EE2"/>
    <w:rsid w:val="13D50BC4"/>
    <w:rsid w:val="14B17F78"/>
    <w:rsid w:val="165E0673"/>
    <w:rsid w:val="16B831D5"/>
    <w:rsid w:val="16BB723D"/>
    <w:rsid w:val="17654D0C"/>
    <w:rsid w:val="17E50567"/>
    <w:rsid w:val="186504BB"/>
    <w:rsid w:val="19251148"/>
    <w:rsid w:val="194E48ED"/>
    <w:rsid w:val="19A445FC"/>
    <w:rsid w:val="1A290F84"/>
    <w:rsid w:val="1BAD4F97"/>
    <w:rsid w:val="1BD73063"/>
    <w:rsid w:val="1BE8440E"/>
    <w:rsid w:val="1C972D75"/>
    <w:rsid w:val="1CC6347C"/>
    <w:rsid w:val="1D155CEE"/>
    <w:rsid w:val="1D1638FE"/>
    <w:rsid w:val="1DE859FC"/>
    <w:rsid w:val="1E312DEB"/>
    <w:rsid w:val="1E740ACF"/>
    <w:rsid w:val="1EC12F22"/>
    <w:rsid w:val="1FF35744"/>
    <w:rsid w:val="1FF6BC77"/>
    <w:rsid w:val="2186353C"/>
    <w:rsid w:val="23860B96"/>
    <w:rsid w:val="240371BF"/>
    <w:rsid w:val="244F3473"/>
    <w:rsid w:val="24C97D99"/>
    <w:rsid w:val="25A718F0"/>
    <w:rsid w:val="25BB59F6"/>
    <w:rsid w:val="260F557C"/>
    <w:rsid w:val="26970054"/>
    <w:rsid w:val="281408E2"/>
    <w:rsid w:val="292D69B8"/>
    <w:rsid w:val="29FD04D3"/>
    <w:rsid w:val="2A4B2692"/>
    <w:rsid w:val="2AF87FAC"/>
    <w:rsid w:val="2BFF7BC6"/>
    <w:rsid w:val="2C8A61B5"/>
    <w:rsid w:val="2DF04E50"/>
    <w:rsid w:val="2E586DFA"/>
    <w:rsid w:val="2F040D46"/>
    <w:rsid w:val="2F6B035B"/>
    <w:rsid w:val="2FAE5751"/>
    <w:rsid w:val="2FB1A395"/>
    <w:rsid w:val="2FD9A7D8"/>
    <w:rsid w:val="2FDBF714"/>
    <w:rsid w:val="301A0A5D"/>
    <w:rsid w:val="30AB6865"/>
    <w:rsid w:val="319F7F4E"/>
    <w:rsid w:val="31DF1A56"/>
    <w:rsid w:val="32BD1EF1"/>
    <w:rsid w:val="3304709D"/>
    <w:rsid w:val="33A773CB"/>
    <w:rsid w:val="349D6851"/>
    <w:rsid w:val="36AA5135"/>
    <w:rsid w:val="36BE0DA7"/>
    <w:rsid w:val="376B6AA6"/>
    <w:rsid w:val="376D39B2"/>
    <w:rsid w:val="37E16F03"/>
    <w:rsid w:val="37F53A3B"/>
    <w:rsid w:val="384635F3"/>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EE43DBA"/>
    <w:rsid w:val="3F55381A"/>
    <w:rsid w:val="3F7F7599"/>
    <w:rsid w:val="3FBB6674"/>
    <w:rsid w:val="3FF4CAE0"/>
    <w:rsid w:val="3FF7B227"/>
    <w:rsid w:val="43CC351F"/>
    <w:rsid w:val="44E268DA"/>
    <w:rsid w:val="450D13D7"/>
    <w:rsid w:val="45506656"/>
    <w:rsid w:val="45E613B2"/>
    <w:rsid w:val="461426E7"/>
    <w:rsid w:val="486A6C7A"/>
    <w:rsid w:val="48E03610"/>
    <w:rsid w:val="4A627F82"/>
    <w:rsid w:val="4B0E749A"/>
    <w:rsid w:val="4B2477C4"/>
    <w:rsid w:val="4B4F25DA"/>
    <w:rsid w:val="4BE068DB"/>
    <w:rsid w:val="4D577224"/>
    <w:rsid w:val="4DBF1CEB"/>
    <w:rsid w:val="4DF0007C"/>
    <w:rsid w:val="4E10402F"/>
    <w:rsid w:val="4EAB630A"/>
    <w:rsid w:val="4ECE2238"/>
    <w:rsid w:val="4F833267"/>
    <w:rsid w:val="4FB82BD0"/>
    <w:rsid w:val="4FE9BD67"/>
    <w:rsid w:val="4FFB052F"/>
    <w:rsid w:val="527F1783"/>
    <w:rsid w:val="537B7FD7"/>
    <w:rsid w:val="537E6D0A"/>
    <w:rsid w:val="53F74C96"/>
    <w:rsid w:val="55170BA8"/>
    <w:rsid w:val="553218C9"/>
    <w:rsid w:val="567E1AA5"/>
    <w:rsid w:val="56E47B74"/>
    <w:rsid w:val="57175D52"/>
    <w:rsid w:val="57BD3DD4"/>
    <w:rsid w:val="57E36612"/>
    <w:rsid w:val="5A2E27D9"/>
    <w:rsid w:val="5AE623A0"/>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9442AC"/>
    <w:rsid w:val="63B23E93"/>
    <w:rsid w:val="63B3701E"/>
    <w:rsid w:val="647F5392"/>
    <w:rsid w:val="65AB4911"/>
    <w:rsid w:val="65E66580"/>
    <w:rsid w:val="664B1D71"/>
    <w:rsid w:val="664B4E8E"/>
    <w:rsid w:val="67277B67"/>
    <w:rsid w:val="67AA3209"/>
    <w:rsid w:val="698D0931"/>
    <w:rsid w:val="6A7FE5F3"/>
    <w:rsid w:val="6B053271"/>
    <w:rsid w:val="6BDD78B3"/>
    <w:rsid w:val="6C4A05C8"/>
    <w:rsid w:val="6C8742B8"/>
    <w:rsid w:val="6DB70E69"/>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8B4812"/>
    <w:rsid w:val="71992E7C"/>
    <w:rsid w:val="72233669"/>
    <w:rsid w:val="72734D90"/>
    <w:rsid w:val="73160E6D"/>
    <w:rsid w:val="7332FE48"/>
    <w:rsid w:val="73953632"/>
    <w:rsid w:val="73AB61DA"/>
    <w:rsid w:val="73AD73D5"/>
    <w:rsid w:val="73B6EB34"/>
    <w:rsid w:val="73FA497D"/>
    <w:rsid w:val="740442B0"/>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030BAC"/>
    <w:rsid w:val="7C1F3737"/>
    <w:rsid w:val="7C6333F8"/>
    <w:rsid w:val="7C740448"/>
    <w:rsid w:val="7CBFC87B"/>
    <w:rsid w:val="7CFE0F48"/>
    <w:rsid w:val="7D272ABC"/>
    <w:rsid w:val="7D7EC23E"/>
    <w:rsid w:val="7E8ADEBF"/>
    <w:rsid w:val="7EEF11D3"/>
    <w:rsid w:val="7EFE4840"/>
    <w:rsid w:val="7F0971A6"/>
    <w:rsid w:val="7F1D62E7"/>
    <w:rsid w:val="7F2C0ABB"/>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200" w:leftChars="200"/>
    </w:pPr>
    <w:rPr>
      <w:rFonts w:ascii="仿宋_GB2312"/>
      <w:szCs w:val="32"/>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2"/>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autoRedefine/>
    <w:qFormat/>
    <w:uiPriority w:val="0"/>
    <w:pPr>
      <w:widowControl/>
      <w:spacing w:before="100" w:beforeAutospacing="1" w:after="100" w:afterAutospacing="1"/>
      <w:ind w:firstLine="640" w:firstLineChars="200"/>
      <w:jc w:val="left"/>
    </w:pPr>
    <w:rPr>
      <w:rFonts w:ascii="仿宋_GB2312" w:hAnsi="仿宋_GB2312" w:eastAsia="仿宋_GB2312" w:cs="仿宋_GB2312"/>
      <w:color w:val="000000"/>
      <w:kern w:val="0"/>
      <w:sz w:val="32"/>
      <w:szCs w:val="32"/>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99"/>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024-202570\2025\2024&#24180;&#20915;&#31639;&#20844;&#24320;\2024&#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4-202570\2025\2024&#24180;&#20915;&#31639;&#20844;&#24320;\2024&#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24-202570\2025\2024&#24180;&#20915;&#31639;&#20844;&#24320;\2024&#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24-202570\2025\2024&#24180;&#20915;&#31639;&#20844;&#24320;\2024&#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024-202570\2025\2024&#24180;&#20915;&#31639;&#20844;&#24320;\2024&#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024-202570\2025\2024&#24180;&#20915;&#31639;&#20844;&#24320;\2024&#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1   </a:t>
            </a:r>
            <a:r>
              <a:rPr lang="zh-CN" altLang="en-US"/>
              <a:t>收入、支出决算总计变动情况</a:t>
            </a:r>
            <a:endParaRPr lang="zh-CN" altLang="en-US"/>
          </a:p>
        </c:rich>
      </c:tx>
      <c:layout>
        <c:manualLayout>
          <c:xMode val="edge"/>
          <c:yMode val="edge"/>
          <c:x val="0.275216289606451"/>
          <c:y val="0.0317848410757946"/>
        </c:manualLayout>
      </c:layout>
      <c:overlay val="0"/>
      <c:spPr>
        <a:noFill/>
        <a:ln w="25400">
          <a:noFill/>
        </a:ln>
      </c:spPr>
    </c:title>
    <c:autoTitleDeleted val="0"/>
    <c:plotArea>
      <c:layout>
        <c:manualLayout>
          <c:layoutTarget val="inner"/>
          <c:xMode val="edge"/>
          <c:yMode val="edge"/>
          <c:x val="0.169616763482848"/>
          <c:y val="0.317848790219083"/>
          <c:w val="0.610620348538251"/>
          <c:h val="0.491443129492581"/>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2023</c:v>
                </c:pt>
                <c:pt idx="1">
                  <c:v>2024</c:v>
                </c:pt>
              </c:numCache>
            </c:numRef>
          </c:cat>
          <c:val>
            <c:numRef>
              <c:f>Sheet1!$B$59:$C$59</c:f>
              <c:numCache>
                <c:formatCode>General</c:formatCode>
                <c:ptCount val="2"/>
                <c:pt idx="0">
                  <c:v>400.68</c:v>
                </c:pt>
                <c:pt idx="1">
                  <c:v>451.88</c:v>
                </c:pt>
              </c:numCache>
            </c:numRef>
          </c:val>
        </c:ser>
        <c:dLbls>
          <c:showLegendKey val="0"/>
          <c:showVal val="1"/>
          <c:showCatName val="0"/>
          <c:showSerName val="0"/>
          <c:showPercent val="0"/>
          <c:showBubbleSize val="0"/>
        </c:dLbls>
        <c:gapWidth val="150"/>
        <c:axId val="178369280"/>
        <c:axId val="197535232"/>
      </c:barChart>
      <c:catAx>
        <c:axId val="178369280"/>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7535232"/>
        <c:crosses val="autoZero"/>
        <c:auto val="1"/>
        <c:lblAlgn val="ctr"/>
        <c:lblOffset val="100"/>
        <c:tickLblSkip val="1"/>
        <c:noMultiLvlLbl val="0"/>
      </c:catAx>
      <c:valAx>
        <c:axId val="197535232"/>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8369280"/>
        <c:crosses val="autoZero"/>
        <c:crossBetween val="between"/>
      </c:valAx>
      <c:spPr>
        <a:solidFill>
          <a:srgbClr val="C0C0C0"/>
        </a:solidFill>
        <a:ln w="12700">
          <a:solidFill>
            <a:srgbClr val="808080"/>
          </a:solidFill>
          <a:prstDash val="solid"/>
        </a:ln>
      </c:spPr>
    </c:plotArea>
    <c:legend>
      <c:legendPos val="r"/>
      <c:layout>
        <c:manualLayout>
          <c:xMode val="edge"/>
          <c:yMode val="edge"/>
          <c:x val="0.7955"/>
          <c:y val="0.507"/>
          <c:w val="0.193832599118943"/>
          <c:h val="0.0513517614464659"/>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db369dfe-1a29-4cfd-892e-41439175640d}"/>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2    </a:t>
            </a:r>
            <a:r>
              <a:rPr lang="zh-CN" altLang="en-US"/>
              <a:t>收入决算结构图</a:t>
            </a:r>
            <a:endParaRPr lang="zh-CN" altLang="en-US"/>
          </a:p>
        </c:rich>
      </c:tx>
      <c:layout>
        <c:manualLayout>
          <c:xMode val="edge"/>
          <c:yMode val="edge"/>
          <c:x val="0.337607286268704"/>
          <c:y val="0.0332409972299169"/>
        </c:manualLayout>
      </c:layout>
      <c:overlay val="0"/>
      <c:spPr>
        <a:noFill/>
        <a:ln w="25400">
          <a:noFill/>
        </a:ln>
      </c:spPr>
    </c:title>
    <c:autoTitleDeleted val="0"/>
    <c:plotArea>
      <c:layout>
        <c:manualLayout>
          <c:layoutTarget val="inner"/>
          <c:xMode val="edge"/>
          <c:yMode val="edge"/>
          <c:x val="0.23538045301714"/>
          <c:y val="0.437673722182472"/>
          <c:w val="0.195906712449048"/>
          <c:h val="0.371191637800324"/>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Lbl>
              <c:idx val="2"/>
              <c:layout>
                <c:manualLayout>
                  <c:x val="0.0244091437427354"/>
                  <c:y val="-0.159919028340081"/>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3"/>
              <c:layout>
                <c:manualLayout>
                  <c:x val="0.222006974041069"/>
                  <c:y val="0.255060728744939"/>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4"/>
              <c:layout>
                <c:manualLayout>
                  <c:x val="0.259201859744285"/>
                  <c:y val="-0.0485829959514171"/>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5"/>
              <c:layout>
                <c:manualLayout>
                  <c:x val="-0.169701666020922"/>
                  <c:y val="-0.097165991902834"/>
                </c:manualLayout>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a:t>5, 1.10%</a:t>
                    </a:r>
                    <a:endParaRPr lang="en-US" altLang="en-US"/>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 sourceLinked="0"/>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Sheet1!$C$3:$C$8</c:f>
              <c:numCache>
                <c:formatCode>General</c:formatCode>
                <c:ptCount val="6"/>
                <c:pt idx="0">
                  <c:v>446.88</c:v>
                </c:pt>
                <c:pt idx="1">
                  <c:v>0</c:v>
                </c:pt>
                <c:pt idx="2">
                  <c:v>0</c:v>
                </c:pt>
                <c:pt idx="3">
                  <c:v>0</c:v>
                </c:pt>
                <c:pt idx="4">
                  <c:v>0</c:v>
                </c:pt>
                <c:pt idx="5">
                  <c:v>5</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Sheet1!$D$3:$D$8</c:f>
              <c:numCache>
                <c:formatCode>0.00%</c:formatCode>
                <c:ptCount val="6"/>
                <c:pt idx="0">
                  <c:v>0.989</c:v>
                </c:pt>
                <c:pt idx="1">
                  <c:v>0</c:v>
                </c:pt>
                <c:pt idx="2">
                  <c:v>0</c:v>
                </c:pt>
                <c:pt idx="3">
                  <c:v>0</c:v>
                </c:pt>
                <c:pt idx="4">
                  <c:v>0</c:v>
                </c:pt>
                <c:pt idx="5">
                  <c:v>0.011</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9750000000001"/>
          <c:y val="0.2355"/>
          <c:w val="0.329329719110877"/>
          <c:h val="0.647773292691278"/>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bf47028d-2618-4431-a932-259238a530c7}"/>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3    </a:t>
            </a:r>
            <a:r>
              <a:rPr lang="zh-CN" altLang="en-US"/>
              <a:t>支出决算结构图</a:t>
            </a:r>
            <a:endParaRPr lang="zh-CN" altLang="en-US"/>
          </a:p>
        </c:rich>
      </c:tx>
      <c:layout>
        <c:manualLayout>
          <c:xMode val="edge"/>
          <c:yMode val="edge"/>
          <c:x val="0.355648974840488"/>
          <c:y val="0.0332409972299169"/>
        </c:manualLayout>
      </c:layout>
      <c:overlay val="0"/>
      <c:spPr>
        <a:noFill/>
        <a:ln w="25400">
          <a:noFill/>
        </a:ln>
      </c:spPr>
    </c:title>
    <c:autoTitleDeleted val="0"/>
    <c:plotArea>
      <c:layout>
        <c:manualLayout>
          <c:layoutTarget val="inner"/>
          <c:xMode val="edge"/>
          <c:yMode val="edge"/>
          <c:x val="0.300000443892703"/>
          <c:y val="0.462026030375468"/>
          <c:w val="0.162121452002622"/>
          <c:h val="0.338608118151884"/>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dLbl>
              <c:idx val="3"/>
              <c:layout>
                <c:manualLayout>
                  <c:x val="0.262432252543501"/>
                  <c:y val="-0.00834347297062403"/>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220214890177807"/>
                  <c:y val="-0.0458891013384321"/>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Sheet1!$B$34:$B$38</c:f>
              <c:strCache>
                <c:ptCount val="5"/>
                <c:pt idx="0">
                  <c:v>基本支出</c:v>
                </c:pt>
                <c:pt idx="1">
                  <c:v>项目支出</c:v>
                </c:pt>
                <c:pt idx="2">
                  <c:v>上缴上级支出</c:v>
                </c:pt>
                <c:pt idx="3">
                  <c:v>经营支出</c:v>
                </c:pt>
                <c:pt idx="4">
                  <c:v>对附属单位补助支出</c:v>
                </c:pt>
              </c:strCache>
            </c:strRef>
          </c:cat>
          <c:val>
            <c:numRef>
              <c:f>Sheet1!$C$34:$C$38</c:f>
              <c:numCache>
                <c:formatCode>General</c:formatCode>
                <c:ptCount val="5"/>
                <c:pt idx="0">
                  <c:v>228.63</c:v>
                </c:pt>
                <c:pt idx="1">
                  <c:v>223.25</c:v>
                </c:pt>
                <c:pt idx="2">
                  <c:v>0</c:v>
                </c:pt>
                <c:pt idx="3">
                  <c:v>0</c:v>
                </c:pt>
                <c:pt idx="4">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delete val="1"/>
          </c:dLbls>
          <c:cat>
            <c:strRef>
              <c:f>Sheet1!$B$34:$B$38</c:f>
              <c:strCache>
                <c:ptCount val="5"/>
                <c:pt idx="0">
                  <c:v>基本支出</c:v>
                </c:pt>
                <c:pt idx="1">
                  <c:v>项目支出</c:v>
                </c:pt>
                <c:pt idx="2">
                  <c:v>上缴上级支出</c:v>
                </c:pt>
                <c:pt idx="3">
                  <c:v>经营支出</c:v>
                </c:pt>
                <c:pt idx="4">
                  <c:v>对附属单位补助支出</c:v>
                </c:pt>
              </c:strCache>
            </c:strRef>
          </c:cat>
          <c:val>
            <c:numRef>
              <c:f>Sheet1!$D$34:$D$38</c:f>
              <c:numCache>
                <c:formatCode>0.00%</c:formatCode>
                <c:ptCount val="5"/>
                <c:pt idx="0">
                  <c:v>0.506</c:v>
                </c:pt>
                <c:pt idx="1">
                  <c:v>0.494</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7"/>
          <c:y val="0.4175"/>
          <c:w val="0.232005328751682"/>
          <c:h val="0.288545113023256"/>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7480869e-cd40-4a19-abe7-aa9fee2d3dc6}"/>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5      </a:t>
            </a:r>
            <a:r>
              <a:rPr lang="zh-CN" altLang="en-US"/>
              <a:t>财政拨款收、支出决算总计变动情况</a:t>
            </a:r>
            <a:endParaRPr lang="zh-CN" altLang="en-US"/>
          </a:p>
        </c:rich>
      </c:tx>
      <c:layout>
        <c:manualLayout>
          <c:xMode val="edge"/>
          <c:yMode val="edge"/>
          <c:x val="0.189818133885406"/>
          <c:y val="0.0332409865197446"/>
        </c:manualLayout>
      </c:layout>
      <c:overlay val="0"/>
      <c:spPr>
        <a:noFill/>
        <a:ln w="25400">
          <a:noFill/>
        </a:ln>
      </c:spPr>
    </c:title>
    <c:autoTitleDeleted val="0"/>
    <c:plotArea>
      <c:layout>
        <c:manualLayout>
          <c:layoutTarget val="inner"/>
          <c:xMode val="edge"/>
          <c:yMode val="edge"/>
          <c:x val="0.138847858197932"/>
          <c:y val="0.351274787535411"/>
          <c:w val="0.521418020679468"/>
          <c:h val="0.430594900849859"/>
        </c:manualLayout>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Sheet1!$B$84:$C$84</c:f>
              <c:numCache>
                <c:formatCode>General</c:formatCode>
                <c:ptCount val="2"/>
                <c:pt idx="0">
                  <c:v>2023</c:v>
                </c:pt>
                <c:pt idx="1">
                  <c:v>2024</c:v>
                </c:pt>
              </c:numCache>
            </c:numRef>
          </c:cat>
          <c:val>
            <c:numRef>
              <c:f>Sheet1!$B$85:$C$85</c:f>
              <c:numCache>
                <c:formatCode>General</c:formatCode>
                <c:ptCount val="2"/>
                <c:pt idx="0">
                  <c:v>390.68</c:v>
                </c:pt>
                <c:pt idx="1">
                  <c:v>446.88</c:v>
                </c:pt>
              </c:numCache>
            </c:numRef>
          </c:val>
        </c:ser>
        <c:dLbls>
          <c:showLegendKey val="0"/>
          <c:showVal val="1"/>
          <c:showCatName val="0"/>
          <c:showSerName val="0"/>
          <c:showPercent val="0"/>
          <c:showBubbleSize val="0"/>
        </c:dLbls>
        <c:gapWidth val="150"/>
        <c:axId val="199402624"/>
        <c:axId val="199404160"/>
      </c:barChart>
      <c:catAx>
        <c:axId val="199402624"/>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9404160"/>
        <c:crosses val="autoZero"/>
        <c:auto val="1"/>
        <c:lblAlgn val="ctr"/>
        <c:lblOffset val="100"/>
        <c:tickLblSkip val="1"/>
        <c:noMultiLvlLbl val="0"/>
      </c:catAx>
      <c:valAx>
        <c:axId val="199404160"/>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9402624"/>
        <c:crosses val="autoZero"/>
        <c:crossBetween val="between"/>
      </c:valAx>
      <c:spPr>
        <a:solidFill>
          <a:srgbClr val="C0C0C0"/>
        </a:solidFill>
        <a:ln w="12700">
          <a:solidFill>
            <a:srgbClr val="808080"/>
          </a:solidFill>
          <a:prstDash val="solid"/>
        </a:ln>
      </c:spPr>
    </c:plotArea>
    <c:legend>
      <c:legendPos val="r"/>
      <c:layout>
        <c:manualLayout>
          <c:xMode val="edge"/>
          <c:yMode val="edge"/>
          <c:x val="0.678750000000001"/>
          <c:y val="0.5055"/>
          <c:w val="0.309591462397168"/>
          <c:h val="0.057588076476100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66117ea9-ef86-401a-a1d6-fb916df1e322}"/>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5</a:t>
            </a:r>
            <a:r>
              <a:rPr lang="zh-CN" altLang="en-US" sz="1400" b="0" i="0" u="none" strike="noStrike" baseline="0"/>
              <a:t>一般公共预算</a:t>
            </a:r>
            <a:r>
              <a:rPr lang="zh-CN" altLang="en-US"/>
              <a:t>财政拨款支出决算变动情况</a:t>
            </a:r>
            <a:endParaRPr lang="zh-CN" altLang="en-US"/>
          </a:p>
        </c:rich>
      </c:tx>
      <c:layout>
        <c:manualLayout>
          <c:xMode val="edge"/>
          <c:yMode val="edge"/>
          <c:x val="0.189818133885406"/>
          <c:y val="0.0332409865197446"/>
        </c:manualLayout>
      </c:layout>
      <c:overlay val="0"/>
      <c:spPr>
        <a:noFill/>
        <a:ln w="25400">
          <a:noFill/>
        </a:ln>
      </c:spPr>
    </c:title>
    <c:autoTitleDeleted val="0"/>
    <c:plotArea>
      <c:layout>
        <c:manualLayout>
          <c:layoutTarget val="inner"/>
          <c:xMode val="edge"/>
          <c:yMode val="edge"/>
          <c:x val="0.138847858197932"/>
          <c:y val="0.351274787535411"/>
          <c:w val="0.521418020679468"/>
          <c:h val="0.430594900849859"/>
        </c:manualLayout>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Sheet1!$B$84:$C$84</c:f>
              <c:numCache>
                <c:formatCode>General</c:formatCode>
                <c:ptCount val="2"/>
                <c:pt idx="0">
                  <c:v>2023</c:v>
                </c:pt>
                <c:pt idx="1">
                  <c:v>2024</c:v>
                </c:pt>
              </c:numCache>
            </c:numRef>
          </c:cat>
          <c:val>
            <c:numRef>
              <c:f>Sheet1!$B$85:$C$85</c:f>
              <c:numCache>
                <c:formatCode>General</c:formatCode>
                <c:ptCount val="2"/>
                <c:pt idx="0">
                  <c:v>390.68</c:v>
                </c:pt>
                <c:pt idx="1">
                  <c:v>446.88</c:v>
                </c:pt>
              </c:numCache>
            </c:numRef>
          </c:val>
        </c:ser>
        <c:dLbls>
          <c:showLegendKey val="0"/>
          <c:showVal val="1"/>
          <c:showCatName val="0"/>
          <c:showSerName val="0"/>
          <c:showPercent val="0"/>
          <c:showBubbleSize val="0"/>
        </c:dLbls>
        <c:gapWidth val="150"/>
        <c:axId val="199424640"/>
        <c:axId val="199856512"/>
      </c:barChart>
      <c:catAx>
        <c:axId val="199424640"/>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9856512"/>
        <c:crosses val="autoZero"/>
        <c:auto val="1"/>
        <c:lblAlgn val="ctr"/>
        <c:lblOffset val="100"/>
        <c:tickLblSkip val="1"/>
        <c:noMultiLvlLbl val="0"/>
      </c:catAx>
      <c:valAx>
        <c:axId val="199856512"/>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9424640"/>
        <c:crosses val="autoZero"/>
        <c:crossBetween val="between"/>
      </c:valAx>
      <c:spPr>
        <a:solidFill>
          <a:srgbClr val="C0C0C0"/>
        </a:solidFill>
        <a:ln w="12700">
          <a:solidFill>
            <a:srgbClr val="808080"/>
          </a:solidFill>
          <a:prstDash val="solid"/>
        </a:ln>
      </c:spPr>
    </c:plotArea>
    <c:legend>
      <c:legendPos val="r"/>
      <c:layout>
        <c:manualLayout>
          <c:xMode val="edge"/>
          <c:yMode val="edge"/>
          <c:x val="0.678750000000001"/>
          <c:y val="0.5055"/>
          <c:w val="0.309591462397168"/>
          <c:h val="0.057588076476100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b04d0484-5e87-49f7-a44d-6f1c9be1ec18}"/>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2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6    </a:t>
            </a:r>
            <a:r>
              <a:rPr lang="zh-CN" altLang="en-US"/>
              <a:t>一般公共预算财政拨款支出决算结构</a:t>
            </a:r>
            <a:endParaRPr lang="zh-CN" altLang="en-US"/>
          </a:p>
        </c:rich>
      </c:tx>
      <c:layout>
        <c:manualLayout>
          <c:xMode val="edge"/>
          <c:yMode val="edge"/>
          <c:x val="0.23562412342216"/>
          <c:y val="0.0289855072463768"/>
        </c:manualLayout>
      </c:layout>
      <c:overlay val="0"/>
      <c:spPr>
        <a:noFill/>
        <a:ln w="25400">
          <a:noFill/>
        </a:ln>
      </c:spPr>
    </c:title>
    <c:autoTitleDeleted val="0"/>
    <c:plotArea>
      <c:layout>
        <c:manualLayout>
          <c:layoutTarget val="inner"/>
          <c:xMode val="edge"/>
          <c:yMode val="edge"/>
          <c:x val="0.325179856115108"/>
          <c:y val="0.486302183055609"/>
          <c:w val="0.110791366906475"/>
          <c:h val="0.263699071093534"/>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Lbl>
              <c:idx val="1"/>
              <c:layout>
                <c:manualLayout>
                  <c:x val="-0.0326534143218442"/>
                  <c:y val="0.0517679466727275"/>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00151264850677116"/>
                  <c:y val="-0.0547394923582748"/>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153033126263483"/>
                  <c:y val="0.00469500594437568"/>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25400">
                <a:noFill/>
              </a:ln>
              <a:effectLst/>
            </c:spPr>
            <c:txPr>
              <a:bodyPr rot="0" spcFirstLastPara="0" vertOverflow="ellipsis" vert="horz" wrap="square" lIns="38100" tIns="19050" rIns="38100" bIns="19050"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Sheet1!$A$110:$A$113</c:f>
              <c:strCache>
                <c:ptCount val="4"/>
                <c:pt idx="0">
                  <c:v>一般公共服务支出</c:v>
                </c:pt>
                <c:pt idx="1">
                  <c:v>卫生健康支出</c:v>
                </c:pt>
                <c:pt idx="2">
                  <c:v>社会保障和就业支出</c:v>
                </c:pt>
                <c:pt idx="3">
                  <c:v>住房保障支出</c:v>
                </c:pt>
              </c:strCache>
            </c:strRef>
          </c:cat>
          <c:val>
            <c:numRef>
              <c:f>Sheet1!$B$110:$B$113</c:f>
              <c:numCache>
                <c:formatCode>General</c:formatCode>
                <c:ptCount val="4"/>
                <c:pt idx="0">
                  <c:v>377.6</c:v>
                </c:pt>
                <c:pt idx="1">
                  <c:v>34.77</c:v>
                </c:pt>
                <c:pt idx="2">
                  <c:v>18.03</c:v>
                </c:pt>
                <c:pt idx="3">
                  <c:v>16.49</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elete val="1"/>
          </c:dLbls>
          <c:cat>
            <c:strRef>
              <c:f>Sheet1!$A$110:$A$113</c:f>
              <c:strCache>
                <c:ptCount val="4"/>
                <c:pt idx="0">
                  <c:v>一般公共服务支出</c:v>
                </c:pt>
                <c:pt idx="1">
                  <c:v>卫生健康支出</c:v>
                </c:pt>
                <c:pt idx="2">
                  <c:v>社会保障和就业支出</c:v>
                </c:pt>
                <c:pt idx="3">
                  <c:v>住房保障支出</c:v>
                </c:pt>
              </c:strCache>
            </c:strRef>
          </c:cat>
          <c:val>
            <c:numRef>
              <c:f>Sheet1!$C$110:$C$113</c:f>
              <c:numCache>
                <c:formatCode>0.00%</c:formatCode>
                <c:ptCount val="4"/>
                <c:pt idx="0">
                  <c:v>0.844950658998859</c:v>
                </c:pt>
                <c:pt idx="1">
                  <c:v>0.0778043813913939</c:v>
                </c:pt>
                <c:pt idx="2">
                  <c:v>0.0403454988923449</c:v>
                </c:pt>
                <c:pt idx="3">
                  <c:v>0.0368994607174025</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7189125011993"/>
          <c:y val="0.42175"/>
          <c:w val="0.234867291802097"/>
          <c:h val="0.259282567652612"/>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dbe43039-d899-466a-ac48-f5bd08c34e69}"/>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1" textRotate="1"/>
    <customShpInfo spid="_x0000_s4102" textRotate="1"/>
    <customShpInfo spid="_x0000_s4103"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7822</Words>
  <Characters>9366</Characters>
  <Lines>130</Lines>
  <Paragraphs>36</Paragraphs>
  <TotalTime>3</TotalTime>
  <ScaleCrop>false</ScaleCrop>
  <LinksUpToDate>false</LinksUpToDate>
  <CharactersWithSpaces>9404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崽崽</cp:lastModifiedBy>
  <cp:lastPrinted>2025-10-27T01:11:00Z</cp:lastPrinted>
  <dcterms:modified xsi:type="dcterms:W3CDTF">2025-10-28T01:12:05Z</dcterms:modified>
  <dc:title>四川省***</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eyJoZGlkIjoiMjA3NmY4MmM1ZjQ4OGNhMDQ1MjhhMGJkNDIwNTAzNDQiLCJ1c2VySWQiOiI3NzgwNTYyMjcifQ==</vt:lpwstr>
  </property>
</Properties>
</file>