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2D346B">
      <w:pPr>
        <w:spacing w:line="600" w:lineRule="exact"/>
        <w:jc w:val="left"/>
        <w:outlineLvl w:val="0"/>
        <w:rPr>
          <w:rFonts w:ascii="方正小标宋简体" w:hAnsi="宋体" w:eastAsia="方正小标宋简体"/>
          <w:szCs w:val="21"/>
        </w:rPr>
      </w:pPr>
      <w:bookmarkStart w:id="0" w:name="_Toc15306267"/>
    </w:p>
    <w:p w14:paraId="7DBA4AE2">
      <w:pPr>
        <w:spacing w:line="600" w:lineRule="exact"/>
        <w:jc w:val="center"/>
        <w:outlineLvl w:val="0"/>
        <w:rPr>
          <w:rFonts w:ascii="方正小标宋简体" w:hAnsi="宋体" w:eastAsia="方正小标宋简体"/>
          <w:sz w:val="72"/>
          <w:szCs w:val="72"/>
        </w:rPr>
      </w:pPr>
    </w:p>
    <w:p w14:paraId="64596A22">
      <w:pPr>
        <w:spacing w:line="600" w:lineRule="exact"/>
        <w:jc w:val="center"/>
        <w:outlineLvl w:val="0"/>
        <w:rPr>
          <w:rFonts w:ascii="方正小标宋简体" w:hAnsi="宋体" w:eastAsia="方正小标宋简体"/>
          <w:sz w:val="72"/>
          <w:szCs w:val="72"/>
        </w:rPr>
      </w:pPr>
    </w:p>
    <w:p w14:paraId="079048FF">
      <w:pPr>
        <w:pStyle w:val="8"/>
        <w:spacing w:before="93"/>
        <w:jc w:val="center"/>
        <w:rPr>
          <w:rFonts w:hint="eastAsia" w:ascii="Times New Roman" w:hAnsi="Times New Roman" w:eastAsia="方正小标宋简体" w:cs="Times New Roman"/>
          <w:kern w:val="2"/>
          <w:sz w:val="72"/>
          <w:szCs w:val="72"/>
        </w:rPr>
      </w:pPr>
      <w:bookmarkStart w:id="1" w:name="_Toc15377425"/>
      <w:bookmarkStart w:id="2" w:name="_Toc15396597"/>
      <w:bookmarkStart w:id="3" w:name="_Toc15396475"/>
      <w:bookmarkStart w:id="4" w:name="_Toc15378441"/>
      <w:bookmarkStart w:id="5" w:name="_Toc15377193"/>
    </w:p>
    <w:p w14:paraId="3BB828AF">
      <w:pPr>
        <w:pStyle w:val="8"/>
        <w:spacing w:before="93"/>
        <w:jc w:val="center"/>
        <w:rPr>
          <w:rFonts w:hint="eastAsia" w:ascii="Times New Roman" w:hAnsi="Times New Roman" w:eastAsia="方正小标宋简体" w:cs="Times New Roman"/>
          <w:kern w:val="2"/>
          <w:sz w:val="72"/>
          <w:szCs w:val="72"/>
        </w:rPr>
      </w:pPr>
      <w:r>
        <w:rPr>
          <w:rFonts w:hint="eastAsia" w:ascii="Times New Roman" w:hAnsi="Times New Roman" w:eastAsia="方正小标宋简体" w:cs="Times New Roman"/>
          <w:kern w:val="2"/>
          <w:sz w:val="72"/>
          <w:szCs w:val="72"/>
        </w:rPr>
        <w:t>202</w:t>
      </w:r>
      <w:r>
        <w:rPr>
          <w:rFonts w:hint="eastAsia" w:ascii="Times New Roman" w:hAnsi="Times New Roman" w:eastAsia="方正小标宋简体" w:cs="Times New Roman"/>
          <w:kern w:val="2"/>
          <w:sz w:val="72"/>
          <w:szCs w:val="72"/>
          <w:lang w:val="en-US" w:eastAsia="zh-CN"/>
        </w:rPr>
        <w:t>4</w:t>
      </w:r>
      <w:r>
        <w:rPr>
          <w:rFonts w:hint="eastAsia" w:ascii="Times New Roman" w:hAnsi="Times New Roman" w:eastAsia="方正小标宋简体" w:cs="Times New Roman"/>
          <w:kern w:val="2"/>
          <w:sz w:val="72"/>
          <w:szCs w:val="72"/>
        </w:rPr>
        <w:t>年度</w:t>
      </w:r>
      <w:bookmarkEnd w:id="1"/>
      <w:bookmarkEnd w:id="2"/>
      <w:bookmarkEnd w:id="3"/>
      <w:bookmarkEnd w:id="4"/>
      <w:bookmarkEnd w:id="5"/>
    </w:p>
    <w:bookmarkEnd w:id="0"/>
    <w:p w14:paraId="02E8A2FE">
      <w:pPr>
        <w:pStyle w:val="8"/>
        <w:spacing w:before="93"/>
        <w:jc w:val="center"/>
        <w:rPr>
          <w:rFonts w:hint="eastAsia" w:ascii="Times New Roman" w:hAnsi="Times New Roman" w:eastAsia="方正小标宋简体" w:cs="Times New Roman"/>
          <w:kern w:val="2"/>
          <w:sz w:val="72"/>
          <w:szCs w:val="72"/>
          <w:lang w:eastAsia="zh-CN"/>
        </w:rPr>
      </w:pPr>
      <w:bookmarkStart w:id="6" w:name="_Toc15306268"/>
      <w:bookmarkStart w:id="7" w:name="_Toc15377194"/>
      <w:bookmarkStart w:id="8" w:name="_Toc15378442"/>
      <w:bookmarkStart w:id="9" w:name="_Toc15396598"/>
      <w:bookmarkStart w:id="10" w:name="_Toc15377426"/>
      <w:bookmarkStart w:id="11" w:name="_Toc15396476"/>
      <w:r>
        <w:rPr>
          <w:rFonts w:hint="eastAsia" w:ascii="Times New Roman" w:hAnsi="Times New Roman" w:eastAsia="方正小标宋简体" w:cs="Times New Roman"/>
          <w:kern w:val="2"/>
          <w:sz w:val="72"/>
          <w:szCs w:val="72"/>
          <w:lang w:eastAsia="zh-CN"/>
        </w:rPr>
        <w:t>盐边县红果中心卫生院</w:t>
      </w:r>
    </w:p>
    <w:p w14:paraId="56CC6E2D">
      <w:pPr>
        <w:pStyle w:val="8"/>
        <w:spacing w:before="93"/>
        <w:jc w:val="center"/>
        <w:rPr>
          <w:rFonts w:hint="eastAsia" w:ascii="Times New Roman" w:hAnsi="Times New Roman" w:eastAsia="方正小标宋简体" w:cs="Times New Roman"/>
          <w:kern w:val="2"/>
          <w:sz w:val="72"/>
          <w:szCs w:val="72"/>
          <w:lang w:eastAsia="zh-CN"/>
        </w:rPr>
      </w:pPr>
      <w:r>
        <w:rPr>
          <w:rFonts w:hint="eastAsia" w:ascii="Times New Roman" w:hAnsi="Times New Roman" w:eastAsia="方正小标宋简体" w:cs="Times New Roman"/>
          <w:kern w:val="2"/>
          <w:sz w:val="72"/>
          <w:szCs w:val="72"/>
        </w:rPr>
        <w:t>单位决算</w:t>
      </w:r>
      <w:bookmarkEnd w:id="6"/>
      <w:bookmarkEnd w:id="7"/>
      <w:bookmarkEnd w:id="8"/>
      <w:bookmarkEnd w:id="9"/>
      <w:bookmarkEnd w:id="10"/>
      <w:bookmarkEnd w:id="11"/>
      <w:r>
        <w:rPr>
          <w:rFonts w:hint="eastAsia" w:ascii="Times New Roman" w:hAnsi="Times New Roman" w:eastAsia="方正小标宋简体" w:cs="Times New Roman"/>
          <w:kern w:val="2"/>
          <w:sz w:val="72"/>
          <w:szCs w:val="72"/>
          <w:lang w:eastAsia="zh-CN"/>
        </w:rPr>
        <w:t>公开编制说明</w:t>
      </w:r>
    </w:p>
    <w:p w14:paraId="47D1199C">
      <w:pPr>
        <w:widowControl/>
        <w:jc w:val="center"/>
        <w:rPr>
          <w:rFonts w:ascii="黑体" w:hAnsi="黑体" w:eastAsia="黑体"/>
          <w:color w:val="000000"/>
          <w:sz w:val="48"/>
          <w:szCs w:val="48"/>
        </w:rPr>
      </w:pPr>
      <w:r>
        <w:rPr>
          <w:rFonts w:ascii="方正小标宋简体" w:hAnsi="宋体" w:eastAsia="方正小标宋简体"/>
          <w:sz w:val="36"/>
          <w:szCs w:val="36"/>
        </w:rPr>
        <w:br w:type="page"/>
      </w:r>
      <w:bookmarkStart w:id="12" w:name="_Toc15377197"/>
      <w:bookmarkStart w:id="13" w:name="_Toc15396600"/>
      <w:r>
        <w:rPr>
          <w:rFonts w:hint="eastAsia" w:ascii="黑体" w:hAnsi="黑体" w:eastAsia="黑体"/>
          <w:color w:val="000000"/>
          <w:sz w:val="48"/>
          <w:szCs w:val="48"/>
        </w:rPr>
        <w:t>目录</w:t>
      </w:r>
    </w:p>
    <w:p w14:paraId="23BAAB44">
      <w:pPr>
        <w:pStyle w:val="13"/>
        <w:ind w:right="-218" w:rightChars="-104" w:firstLine="2240" w:firstLineChars="700"/>
        <w:jc w:val="both"/>
        <w:rPr>
          <w:rFonts w:hint="eastAsia" w:ascii="仿宋" w:hAnsi="仿宋" w:eastAsia="仿宋" w:cs="仿宋"/>
          <w:sz w:val="32"/>
          <w:szCs w:val="32"/>
        </w:rPr>
      </w:pPr>
      <w:r>
        <w:rPr>
          <w:rFonts w:hint="eastAsia" w:ascii="仿宋" w:hAnsi="仿宋" w:eastAsia="仿宋" w:cs="仿宋"/>
          <w:sz w:val="32"/>
          <w:szCs w:val="32"/>
        </w:rPr>
        <w:t>公开时间：202</w:t>
      </w:r>
      <w:r>
        <w:rPr>
          <w:rFonts w:hint="eastAsia"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10</w:t>
      </w:r>
      <w:r>
        <w:rPr>
          <w:rFonts w:hint="eastAsia" w:ascii="仿宋" w:hAnsi="仿宋" w:eastAsia="仿宋" w:cs="仿宋"/>
          <w:sz w:val="32"/>
          <w:szCs w:val="32"/>
        </w:rPr>
        <w:t>月</w:t>
      </w:r>
      <w:r>
        <w:rPr>
          <w:rFonts w:hint="eastAsia" w:ascii="仿宋" w:hAnsi="仿宋" w:eastAsia="仿宋" w:cs="仿宋"/>
          <w:sz w:val="32"/>
          <w:szCs w:val="32"/>
          <w:lang w:val="en-US" w:eastAsia="zh-CN"/>
        </w:rPr>
        <w:t>28</w:t>
      </w:r>
      <w:r>
        <w:rPr>
          <w:rFonts w:hint="eastAsia" w:ascii="仿宋" w:hAnsi="仿宋" w:eastAsia="仿宋" w:cs="仿宋"/>
          <w:sz w:val="32"/>
          <w:szCs w:val="32"/>
        </w:rPr>
        <w:t>日</w:t>
      </w:r>
    </w:p>
    <w:p w14:paraId="372EDCEA">
      <w:pPr>
        <w:tabs>
          <w:tab w:val="left" w:pos="8400"/>
        </w:tabs>
        <w:ind w:right="-218" w:rightChars="-104"/>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TOC \o "1-3" \h \u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
          <w:bCs/>
          <w:sz w:val="32"/>
          <w:szCs w:val="32"/>
        </w:rPr>
        <w:t>第一部分单位概况</w:t>
      </w:r>
      <w:r>
        <w:rPr>
          <w:rFonts w:hint="eastAsia" w:eastAsia="仿宋_GB2312"/>
          <w:sz w:val="28"/>
          <w:szCs w:val="28"/>
          <w:lang w:val="en-US" w:eastAsia="zh-CN"/>
        </w:rPr>
        <w:t>...............................................................................</w:t>
      </w:r>
      <w:r>
        <w:rPr>
          <w:rFonts w:hint="eastAsia" w:eastAsia="仿宋_GB2312"/>
          <w:sz w:val="32"/>
          <w:szCs w:val="32"/>
          <w:lang w:val="en-US" w:eastAsia="zh-CN"/>
        </w:rPr>
        <w:t>1</w:t>
      </w:r>
    </w:p>
    <w:p w14:paraId="34BA2DE6">
      <w:pPr>
        <w:pStyle w:val="14"/>
        <w:tabs>
          <w:tab w:val="right" w:leader="dot" w:pos="8306"/>
          <w:tab w:val="clear" w:pos="8296"/>
        </w:tabs>
        <w:ind w:right="-218" w:rightChars="-104"/>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_Toc20417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一、 主要职责</w:t>
      </w:r>
      <w:r>
        <w:rPr>
          <w:rFonts w:hint="default" w:ascii="Times New Roman" w:hAnsi="Times New Roman" w:eastAsia="仿宋_GB2312" w:cs="Times New Roman"/>
          <w:sz w:val="32"/>
          <w:szCs w:val="32"/>
        </w:rPr>
        <w:tab/>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fldChar w:fldCharType="end"/>
      </w:r>
    </w:p>
    <w:p w14:paraId="74E0A132">
      <w:pPr>
        <w:pStyle w:val="14"/>
        <w:tabs>
          <w:tab w:val="right" w:leader="dot" w:pos="8306"/>
          <w:tab w:val="clear" w:pos="8296"/>
        </w:tabs>
        <w:ind w:right="-218" w:rightChars="-104"/>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_Toc29815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lang w:val="en-US" w:eastAsia="zh-CN"/>
        </w:rPr>
        <w:t xml:space="preserve">二、 </w:t>
      </w:r>
      <w:r>
        <w:rPr>
          <w:rFonts w:hint="default" w:ascii="Times New Roman" w:hAnsi="Times New Roman" w:eastAsia="仿宋_GB2312" w:cs="Times New Roman"/>
          <w:sz w:val="32"/>
          <w:szCs w:val="32"/>
        </w:rPr>
        <w:t>机构设置</w:t>
      </w:r>
      <w:r>
        <w:rPr>
          <w:rFonts w:hint="default" w:ascii="Times New Roman" w:hAnsi="Times New Roman" w:eastAsia="仿宋_GB2312" w:cs="Times New Roman"/>
          <w:sz w:val="32"/>
          <w:szCs w:val="32"/>
        </w:rPr>
        <w:tab/>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fldChar w:fldCharType="end"/>
      </w:r>
    </w:p>
    <w:p w14:paraId="67B9E866">
      <w:pPr>
        <w:pStyle w:val="13"/>
        <w:tabs>
          <w:tab w:val="right" w:leader="dot" w:pos="8306"/>
          <w:tab w:val="clear" w:pos="8296"/>
        </w:tabs>
        <w:ind w:right="-218" w:rightChars="-104"/>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_Toc18061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
          <w:bCs/>
          <w:sz w:val="32"/>
          <w:szCs w:val="32"/>
        </w:rPr>
        <w:t>第二部分 202</w:t>
      </w:r>
      <w:r>
        <w:rPr>
          <w:rFonts w:hint="eastAsia" w:ascii="Times New Roman" w:hAnsi="Times New Roman" w:eastAsia="仿宋_GB2312" w:cs="Times New Roman"/>
          <w:b/>
          <w:bCs/>
          <w:sz w:val="32"/>
          <w:szCs w:val="32"/>
          <w:lang w:val="en-US" w:eastAsia="zh-CN"/>
        </w:rPr>
        <w:t>4</w:t>
      </w:r>
      <w:r>
        <w:rPr>
          <w:rFonts w:hint="default" w:ascii="Times New Roman" w:hAnsi="Times New Roman" w:eastAsia="仿宋_GB2312" w:cs="Times New Roman"/>
          <w:b/>
          <w:bCs/>
          <w:sz w:val="32"/>
          <w:szCs w:val="32"/>
        </w:rPr>
        <w:t>年度单位决算情况说明</w:t>
      </w:r>
      <w:r>
        <w:rPr>
          <w:rFonts w:hint="default" w:ascii="Times New Roman" w:hAnsi="Times New Roman" w:eastAsia="仿宋_GB2312" w:cs="Times New Roman"/>
          <w:sz w:val="32"/>
          <w:szCs w:val="32"/>
        </w:rPr>
        <w:tab/>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fldChar w:fldCharType="end"/>
      </w:r>
    </w:p>
    <w:p w14:paraId="0C5DE5FA">
      <w:pPr>
        <w:pStyle w:val="14"/>
        <w:tabs>
          <w:tab w:val="right" w:leader="dot" w:pos="8306"/>
          <w:tab w:val="clear" w:pos="8296"/>
        </w:tabs>
        <w:ind w:right="-218" w:rightChars="-104"/>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_Toc6490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sz w:val="32"/>
          <w:szCs w:val="32"/>
        </w:rPr>
        <w:t xml:space="preserve">一、 </w:t>
      </w:r>
      <w:r>
        <w:rPr>
          <w:rFonts w:hint="default" w:ascii="Times New Roman" w:hAnsi="Times New Roman" w:eastAsia="仿宋_GB2312" w:cs="Times New Roman"/>
          <w:sz w:val="32"/>
          <w:szCs w:val="32"/>
        </w:rPr>
        <w:t>收</w:t>
      </w:r>
      <w:r>
        <w:rPr>
          <w:rFonts w:hint="default" w:ascii="Times New Roman" w:hAnsi="Times New Roman" w:eastAsia="仿宋_GB2312" w:cs="Times New Roman"/>
          <w:bCs/>
          <w:sz w:val="32"/>
          <w:szCs w:val="32"/>
        </w:rPr>
        <w:t>入支出决算总体情况说明</w:t>
      </w:r>
      <w:r>
        <w:rPr>
          <w:rFonts w:hint="default" w:ascii="Times New Roman" w:hAnsi="Times New Roman" w:eastAsia="仿宋_GB2312" w:cs="Times New Roman"/>
          <w:sz w:val="32"/>
          <w:szCs w:val="32"/>
        </w:rPr>
        <w:tab/>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fldChar w:fldCharType="end"/>
      </w:r>
    </w:p>
    <w:p w14:paraId="2D8561C4">
      <w:pPr>
        <w:pStyle w:val="14"/>
        <w:tabs>
          <w:tab w:val="right" w:leader="dot" w:pos="8306"/>
          <w:tab w:val="clear" w:pos="8296"/>
        </w:tabs>
        <w:ind w:right="-218" w:rightChars="-104"/>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_Toc18387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二、 收入决算情况说明</w:t>
      </w:r>
      <w:r>
        <w:rPr>
          <w:rFonts w:hint="default" w:ascii="Times New Roman" w:hAnsi="Times New Roman" w:eastAsia="仿宋_GB2312" w:cs="Times New Roman"/>
          <w:sz w:val="32"/>
          <w:szCs w:val="32"/>
        </w:rPr>
        <w:tab/>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fldChar w:fldCharType="end"/>
      </w:r>
    </w:p>
    <w:p w14:paraId="0FB6F197">
      <w:pPr>
        <w:pStyle w:val="14"/>
        <w:tabs>
          <w:tab w:val="right" w:leader="dot" w:pos="8306"/>
          <w:tab w:val="clear" w:pos="8296"/>
        </w:tabs>
        <w:ind w:right="-218" w:rightChars="-104"/>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_Toc4157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三、 支出决算情况说明</w:t>
      </w:r>
      <w:r>
        <w:rPr>
          <w:rFonts w:hint="default" w:ascii="Times New Roman" w:hAnsi="Times New Roman" w:eastAsia="仿宋_GB2312" w:cs="Times New Roman"/>
          <w:sz w:val="32"/>
          <w:szCs w:val="32"/>
        </w:rPr>
        <w:tab/>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fldChar w:fldCharType="end"/>
      </w:r>
    </w:p>
    <w:p w14:paraId="3D8CBF2B">
      <w:pPr>
        <w:pStyle w:val="14"/>
        <w:tabs>
          <w:tab w:val="right" w:leader="dot" w:pos="8306"/>
          <w:tab w:val="clear" w:pos="8296"/>
        </w:tabs>
        <w:ind w:right="-218" w:rightChars="-104"/>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_Toc16124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四、财政拨款收入支出决算总体情况说明</w:t>
      </w:r>
      <w:r>
        <w:rPr>
          <w:rFonts w:hint="default" w:ascii="Times New Roman" w:hAnsi="Times New Roman" w:eastAsia="仿宋_GB2312" w:cs="Times New Roman"/>
          <w:sz w:val="32"/>
          <w:szCs w:val="32"/>
        </w:rPr>
        <w:tab/>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fldChar w:fldCharType="end"/>
      </w:r>
    </w:p>
    <w:p w14:paraId="06AFB188">
      <w:pPr>
        <w:pStyle w:val="14"/>
        <w:tabs>
          <w:tab w:val="right" w:leader="dot" w:pos="8306"/>
          <w:tab w:val="clear" w:pos="8296"/>
        </w:tabs>
        <w:ind w:right="-218" w:rightChars="-104"/>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_Toc28387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五、一般公共预算财政拨款支出决算情况说明</w:t>
      </w:r>
      <w:r>
        <w:rPr>
          <w:rFonts w:hint="default" w:ascii="Times New Roman" w:hAnsi="Times New Roman" w:eastAsia="仿宋_GB2312" w:cs="Times New Roman"/>
          <w:sz w:val="32"/>
          <w:szCs w:val="32"/>
        </w:rPr>
        <w:tab/>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fldChar w:fldCharType="end"/>
      </w:r>
      <w:r>
        <w:rPr>
          <w:rFonts w:hint="eastAsia" w:ascii="Times New Roman" w:hAnsi="Times New Roman" w:eastAsia="仿宋_GB2312" w:cs="Times New Roman"/>
          <w:sz w:val="32"/>
          <w:szCs w:val="32"/>
          <w:lang w:val="en-US" w:eastAsia="zh-CN"/>
        </w:rPr>
        <w:t>4</w:t>
      </w:r>
    </w:p>
    <w:p w14:paraId="0A438CA3">
      <w:pPr>
        <w:pStyle w:val="14"/>
        <w:tabs>
          <w:tab w:val="right" w:leader="dot" w:pos="8306"/>
          <w:tab w:val="clear" w:pos="8296"/>
        </w:tabs>
        <w:ind w:right="-218" w:rightChars="-104"/>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_Toc32264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六、一般公共预算财政拨款基本支出决算情况说明</w:t>
      </w:r>
      <w:r>
        <w:rPr>
          <w:rFonts w:hint="default" w:ascii="Times New Roman" w:hAnsi="Times New Roman" w:eastAsia="仿宋_GB2312" w:cs="Times New Roman"/>
          <w:sz w:val="32"/>
          <w:szCs w:val="32"/>
        </w:rPr>
        <w:tab/>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fldChar w:fldCharType="end"/>
      </w:r>
      <w:r>
        <w:rPr>
          <w:rFonts w:hint="eastAsia" w:ascii="Times New Roman" w:hAnsi="Times New Roman" w:eastAsia="仿宋_GB2312" w:cs="Times New Roman"/>
          <w:sz w:val="32"/>
          <w:szCs w:val="32"/>
          <w:lang w:val="en-US" w:eastAsia="zh-CN"/>
        </w:rPr>
        <w:t>7</w:t>
      </w:r>
    </w:p>
    <w:p w14:paraId="06EA531A">
      <w:pPr>
        <w:pStyle w:val="14"/>
        <w:tabs>
          <w:tab w:val="right" w:leader="dot" w:pos="8306"/>
          <w:tab w:val="clear" w:pos="8296"/>
        </w:tabs>
        <w:ind w:right="-218" w:rightChars="-104"/>
        <w:rPr>
          <w:rFonts w:hint="default" w:ascii="Times New Roman" w:hAnsi="Times New Roman" w:eastAsia="仿宋_GB2312" w:cs="Times New Roman"/>
          <w:sz w:val="32"/>
          <w:szCs w:val="32"/>
          <w:lang w:val="en-US" w:eastAsia="zh-CN"/>
        </w:rPr>
      </w:pPr>
      <w:r>
        <w:rPr>
          <w:rFonts w:hint="eastAsia" w:eastAsia="仿宋_GB2312" w:cs="Times New Roman"/>
          <w:sz w:val="32"/>
          <w:szCs w:val="32"/>
          <w:lang w:eastAsia="zh-CN"/>
        </w:rPr>
        <w:t>七、财政拨款“三公”经费支出决算情况说明</w:t>
      </w:r>
      <w:r>
        <w:rPr>
          <w:rFonts w:hint="eastAsia" w:eastAsia="仿宋_GB2312" w:cs="Times New Roman"/>
          <w:sz w:val="32"/>
          <w:szCs w:val="32"/>
          <w:lang w:val="en-US" w:eastAsia="zh-CN"/>
        </w:rPr>
        <w:t>.................7</w:t>
      </w:r>
    </w:p>
    <w:p w14:paraId="43D8DBDF">
      <w:pPr>
        <w:pStyle w:val="14"/>
        <w:tabs>
          <w:tab w:val="right" w:leader="dot" w:pos="8306"/>
          <w:tab w:val="clear" w:pos="8296"/>
        </w:tabs>
        <w:ind w:right="-218" w:rightChars="-104"/>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_Toc10932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八、政府性基金预算支出决算情况说明</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end"/>
      </w:r>
      <w:r>
        <w:rPr>
          <w:rFonts w:hint="eastAsia" w:eastAsia="仿宋_GB2312" w:cs="Times New Roman"/>
          <w:sz w:val="32"/>
          <w:szCs w:val="32"/>
          <w:lang w:val="en-US" w:eastAsia="zh-CN"/>
        </w:rPr>
        <w:t>8</w:t>
      </w:r>
    </w:p>
    <w:p w14:paraId="66679706">
      <w:pPr>
        <w:pStyle w:val="14"/>
        <w:tabs>
          <w:tab w:val="right" w:leader="dot" w:pos="8306"/>
          <w:tab w:val="clear" w:pos="8296"/>
        </w:tabs>
        <w:ind w:right="-218" w:rightChars="-104"/>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_Toc5995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九、 国有资本经营预算支出决算情况说明</w:t>
      </w:r>
      <w:r>
        <w:rPr>
          <w:rFonts w:hint="default" w:ascii="Times New Roman" w:hAnsi="Times New Roman" w:eastAsia="仿宋_GB2312" w:cs="Times New Roman"/>
          <w:sz w:val="32"/>
          <w:szCs w:val="32"/>
        </w:rPr>
        <w:tab/>
      </w:r>
      <w:r>
        <w:rPr>
          <w:rFonts w:hint="eastAsia" w:eastAsia="仿宋_GB2312" w:cs="Times New Roman"/>
          <w:sz w:val="32"/>
          <w:szCs w:val="32"/>
          <w:lang w:val="en-US" w:eastAsia="zh-CN"/>
        </w:rPr>
        <w:t>9</w:t>
      </w:r>
      <w:r>
        <w:rPr>
          <w:rFonts w:hint="default" w:ascii="Times New Roman" w:hAnsi="Times New Roman" w:eastAsia="仿宋_GB2312" w:cs="Times New Roman"/>
          <w:sz w:val="32"/>
          <w:szCs w:val="32"/>
        </w:rPr>
        <w:fldChar w:fldCharType="end"/>
      </w:r>
    </w:p>
    <w:p w14:paraId="25778EDA">
      <w:pPr>
        <w:pStyle w:val="14"/>
        <w:tabs>
          <w:tab w:val="right" w:leader="dot" w:pos="8306"/>
          <w:tab w:val="clear" w:pos="8296"/>
        </w:tabs>
        <w:ind w:right="-218" w:rightChars="-104"/>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_Toc12051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十、 其他重要事项的情况说明</w:t>
      </w:r>
      <w:r>
        <w:rPr>
          <w:rFonts w:hint="default" w:ascii="Times New Roman" w:hAnsi="Times New Roman" w:eastAsia="仿宋_GB2312" w:cs="Times New Roman"/>
          <w:sz w:val="32"/>
          <w:szCs w:val="32"/>
        </w:rPr>
        <w:tab/>
      </w:r>
      <w:r>
        <w:rPr>
          <w:rFonts w:hint="eastAsia" w:eastAsia="仿宋_GB2312" w:cs="Times New Roman"/>
          <w:sz w:val="32"/>
          <w:szCs w:val="32"/>
          <w:lang w:val="en-US" w:eastAsia="zh-CN"/>
        </w:rPr>
        <w:t>9</w:t>
      </w:r>
      <w:r>
        <w:rPr>
          <w:rFonts w:hint="default" w:ascii="Times New Roman" w:hAnsi="Times New Roman" w:eastAsia="仿宋_GB2312" w:cs="Times New Roman"/>
          <w:sz w:val="32"/>
          <w:szCs w:val="32"/>
        </w:rPr>
        <w:fldChar w:fldCharType="end"/>
      </w:r>
    </w:p>
    <w:p w14:paraId="7F548C4E">
      <w:pPr>
        <w:pStyle w:val="13"/>
        <w:tabs>
          <w:tab w:val="right" w:leader="dot" w:pos="8306"/>
          <w:tab w:val="clear" w:pos="8296"/>
        </w:tabs>
        <w:ind w:right="-218" w:rightChars="-104"/>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_Toc20138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
          <w:bCs/>
          <w:sz w:val="32"/>
          <w:szCs w:val="32"/>
        </w:rPr>
        <w:t>第三部分 名词解释</w:t>
      </w:r>
      <w:r>
        <w:rPr>
          <w:rFonts w:hint="default" w:ascii="Times New Roman" w:hAnsi="Times New Roman" w:eastAsia="仿宋_GB2312" w:cs="Times New Roman"/>
          <w:sz w:val="32"/>
          <w:szCs w:val="32"/>
        </w:rPr>
        <w:tab/>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fldChar w:fldCharType="end"/>
      </w:r>
      <w:r>
        <w:rPr>
          <w:rFonts w:hint="eastAsia" w:ascii="Times New Roman" w:hAnsi="Times New Roman" w:eastAsia="仿宋_GB2312" w:cs="Times New Roman"/>
          <w:sz w:val="32"/>
          <w:szCs w:val="32"/>
          <w:lang w:val="en-US" w:eastAsia="zh-CN"/>
        </w:rPr>
        <w:t>1</w:t>
      </w:r>
    </w:p>
    <w:p w14:paraId="53B3964A">
      <w:pPr>
        <w:pStyle w:val="13"/>
        <w:tabs>
          <w:tab w:val="right" w:leader="dot" w:pos="8306"/>
          <w:tab w:val="clear" w:pos="8296"/>
        </w:tabs>
        <w:ind w:right="-218" w:rightChars="-104"/>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_Toc18807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
          <w:bCs/>
          <w:sz w:val="32"/>
          <w:szCs w:val="32"/>
        </w:rPr>
        <w:t>第四部分 附件</w:t>
      </w:r>
      <w:r>
        <w:rPr>
          <w:rFonts w:hint="default" w:ascii="Times New Roman" w:hAnsi="Times New Roman" w:eastAsia="仿宋_GB2312" w:cs="Times New Roman"/>
          <w:sz w:val="32"/>
          <w:szCs w:val="32"/>
        </w:rPr>
        <w:tab/>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fldChar w:fldCharType="end"/>
      </w:r>
      <w:r>
        <w:rPr>
          <w:rFonts w:hint="eastAsia" w:ascii="Times New Roman" w:hAnsi="Times New Roman" w:eastAsia="仿宋_GB2312" w:cs="Times New Roman"/>
          <w:sz w:val="32"/>
          <w:szCs w:val="32"/>
          <w:lang w:val="en-US" w:eastAsia="zh-CN"/>
        </w:rPr>
        <w:t>4</w:t>
      </w:r>
    </w:p>
    <w:p w14:paraId="6BA17276">
      <w:pPr>
        <w:pStyle w:val="13"/>
        <w:tabs>
          <w:tab w:val="right" w:leader="dot" w:pos="8306"/>
          <w:tab w:val="clear" w:pos="8296"/>
        </w:tabs>
        <w:ind w:right="-218" w:rightChars="-104"/>
        <w:rPr>
          <w:rFonts w:hint="default" w:ascii="仿宋" w:hAnsi="仿宋" w:eastAsia="仿宋" w:cs="仿宋"/>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_Toc6450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
          <w:bCs/>
          <w:sz w:val="32"/>
          <w:szCs w:val="32"/>
        </w:rPr>
        <w:t>第五部分 附表</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end"/>
      </w:r>
      <w:r>
        <w:rPr>
          <w:rFonts w:hint="eastAsia" w:ascii="Times New Roman" w:hAnsi="Times New Roman" w:eastAsia="仿宋_GB2312" w:cs="Times New Roman"/>
          <w:sz w:val="32"/>
          <w:szCs w:val="32"/>
          <w:lang w:val="en-US" w:eastAsia="zh-CN"/>
        </w:rPr>
        <w:t>15</w:t>
      </w:r>
    </w:p>
    <w:p w14:paraId="05B1A41D">
      <w:pPr>
        <w:pStyle w:val="14"/>
        <w:tabs>
          <w:tab w:val="right" w:leader="dot" w:pos="8306"/>
          <w:tab w:val="clear" w:pos="8296"/>
        </w:tabs>
        <w:ind w:right="-218" w:rightChars="-104"/>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_Toc14349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一、</w:t>
      </w:r>
      <w:r>
        <w:rPr>
          <w:rFonts w:hint="default" w:ascii="Times New Roman" w:hAnsi="Times New Roman" w:eastAsia="仿宋_GB2312" w:cs="Times New Roman"/>
          <w:bCs/>
          <w:sz w:val="32"/>
          <w:szCs w:val="32"/>
        </w:rPr>
        <w:t>收入支出决算总表</w:t>
      </w:r>
      <w:r>
        <w:rPr>
          <w:rFonts w:hint="default" w:ascii="Times New Roman" w:hAnsi="Times New Roman" w:eastAsia="仿宋_GB2312" w:cs="Times New Roman"/>
          <w:sz w:val="32"/>
          <w:szCs w:val="32"/>
        </w:rPr>
        <w:tab/>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fldChar w:fldCharType="end"/>
      </w:r>
      <w:r>
        <w:rPr>
          <w:rFonts w:hint="eastAsia" w:eastAsia="仿宋_GB2312" w:cs="Times New Roman"/>
          <w:sz w:val="32"/>
          <w:szCs w:val="32"/>
          <w:lang w:val="en-US" w:eastAsia="zh-CN"/>
        </w:rPr>
        <w:t>5</w:t>
      </w:r>
    </w:p>
    <w:p w14:paraId="0F106320">
      <w:pPr>
        <w:pStyle w:val="14"/>
        <w:tabs>
          <w:tab w:val="right" w:leader="dot" w:pos="8306"/>
          <w:tab w:val="clear" w:pos="8296"/>
        </w:tabs>
        <w:ind w:right="-218" w:rightChars="-104"/>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_Toc1540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二、</w:t>
      </w:r>
      <w:r>
        <w:rPr>
          <w:rFonts w:hint="default" w:ascii="Times New Roman" w:hAnsi="Times New Roman" w:eastAsia="仿宋_GB2312" w:cs="Times New Roman"/>
          <w:bCs/>
          <w:sz w:val="32"/>
          <w:szCs w:val="32"/>
        </w:rPr>
        <w:t>收入决算表</w:t>
      </w:r>
      <w:r>
        <w:rPr>
          <w:rFonts w:hint="default" w:ascii="Times New Roman" w:hAnsi="Times New Roman" w:eastAsia="仿宋_GB2312" w:cs="Times New Roman"/>
          <w:sz w:val="32"/>
          <w:szCs w:val="32"/>
        </w:rPr>
        <w:tab/>
      </w: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rPr>
        <w:fldChar w:fldCharType="end"/>
      </w:r>
      <w:r>
        <w:rPr>
          <w:rFonts w:hint="eastAsia" w:eastAsia="仿宋_GB2312" w:cs="Times New Roman"/>
          <w:sz w:val="32"/>
          <w:szCs w:val="32"/>
          <w:lang w:val="en-US" w:eastAsia="zh-CN"/>
        </w:rPr>
        <w:t>5</w:t>
      </w:r>
    </w:p>
    <w:p w14:paraId="68A920FF">
      <w:pPr>
        <w:pStyle w:val="14"/>
        <w:tabs>
          <w:tab w:val="right" w:leader="dot" w:pos="8306"/>
          <w:tab w:val="clear" w:pos="8296"/>
        </w:tabs>
        <w:ind w:right="-218" w:rightChars="-104"/>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_Toc24186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val="0"/>
          <w:sz w:val="32"/>
          <w:szCs w:val="32"/>
        </w:rPr>
        <w:t>三、</w:t>
      </w:r>
      <w:r>
        <w:rPr>
          <w:rFonts w:hint="default" w:ascii="Times New Roman" w:hAnsi="Times New Roman" w:eastAsia="仿宋_GB2312" w:cs="Times New Roman"/>
          <w:bCs/>
          <w:sz w:val="32"/>
          <w:szCs w:val="32"/>
        </w:rPr>
        <w:t>支出决算表</w:t>
      </w:r>
      <w:r>
        <w:rPr>
          <w:rFonts w:hint="default" w:ascii="Times New Roman" w:hAnsi="Times New Roman" w:eastAsia="仿宋_GB2312" w:cs="Times New Roman"/>
          <w:sz w:val="32"/>
          <w:szCs w:val="32"/>
        </w:rPr>
        <w:tab/>
      </w: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rPr>
        <w:fldChar w:fldCharType="end"/>
      </w:r>
      <w:r>
        <w:rPr>
          <w:rFonts w:hint="eastAsia" w:eastAsia="仿宋_GB2312" w:cs="Times New Roman"/>
          <w:sz w:val="32"/>
          <w:szCs w:val="32"/>
          <w:lang w:val="en-US" w:eastAsia="zh-CN"/>
        </w:rPr>
        <w:t>5</w:t>
      </w:r>
    </w:p>
    <w:p w14:paraId="5E75DB25">
      <w:pPr>
        <w:pStyle w:val="14"/>
        <w:tabs>
          <w:tab w:val="right" w:leader="dot" w:pos="8306"/>
          <w:tab w:val="clear" w:pos="8296"/>
        </w:tabs>
        <w:ind w:right="-218" w:rightChars="-104"/>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_Toc2109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val="0"/>
          <w:sz w:val="32"/>
          <w:szCs w:val="32"/>
        </w:rPr>
        <w:t>四、</w:t>
      </w:r>
      <w:r>
        <w:rPr>
          <w:rFonts w:hint="default" w:ascii="Times New Roman" w:hAnsi="Times New Roman" w:eastAsia="仿宋_GB2312" w:cs="Times New Roman"/>
          <w:bCs/>
          <w:sz w:val="32"/>
          <w:szCs w:val="32"/>
        </w:rPr>
        <w:t>财政拨款收入支出决算总表</w:t>
      </w:r>
      <w:r>
        <w:rPr>
          <w:rFonts w:hint="default" w:ascii="Times New Roman" w:hAnsi="Times New Roman" w:eastAsia="仿宋_GB2312" w:cs="Times New Roman"/>
          <w:sz w:val="32"/>
          <w:szCs w:val="32"/>
        </w:rPr>
        <w:tab/>
      </w: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rPr>
        <w:fldChar w:fldCharType="end"/>
      </w:r>
      <w:r>
        <w:rPr>
          <w:rFonts w:hint="eastAsia" w:eastAsia="仿宋_GB2312" w:cs="Times New Roman"/>
          <w:sz w:val="32"/>
          <w:szCs w:val="32"/>
          <w:lang w:val="en-US" w:eastAsia="zh-CN"/>
        </w:rPr>
        <w:t>5</w:t>
      </w:r>
    </w:p>
    <w:p w14:paraId="31164659">
      <w:pPr>
        <w:pStyle w:val="14"/>
        <w:tabs>
          <w:tab w:val="right" w:leader="dot" w:pos="8306"/>
          <w:tab w:val="clear" w:pos="8296"/>
        </w:tabs>
        <w:ind w:right="-218" w:rightChars="-104"/>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_Toc17137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val="0"/>
          <w:sz w:val="32"/>
          <w:szCs w:val="32"/>
        </w:rPr>
        <w:t>五、</w:t>
      </w:r>
      <w:r>
        <w:rPr>
          <w:rFonts w:hint="default" w:ascii="Times New Roman" w:hAnsi="Times New Roman" w:eastAsia="仿宋_GB2312" w:cs="Times New Roman"/>
          <w:bCs/>
          <w:sz w:val="32"/>
          <w:szCs w:val="32"/>
        </w:rPr>
        <w:t>财政拨款支出决算明细表</w:t>
      </w:r>
      <w:r>
        <w:rPr>
          <w:rFonts w:hint="default" w:ascii="Times New Roman" w:hAnsi="Times New Roman" w:eastAsia="仿宋_GB2312" w:cs="Times New Roman"/>
          <w:sz w:val="32"/>
          <w:szCs w:val="32"/>
        </w:rPr>
        <w:tab/>
      </w: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rPr>
        <w:fldChar w:fldCharType="end"/>
      </w:r>
      <w:r>
        <w:rPr>
          <w:rFonts w:hint="eastAsia" w:eastAsia="仿宋_GB2312" w:cs="Times New Roman"/>
          <w:sz w:val="32"/>
          <w:szCs w:val="32"/>
          <w:lang w:val="en-US" w:eastAsia="zh-CN"/>
        </w:rPr>
        <w:t>5</w:t>
      </w:r>
    </w:p>
    <w:p w14:paraId="30748430">
      <w:pPr>
        <w:pStyle w:val="14"/>
        <w:tabs>
          <w:tab w:val="right" w:leader="dot" w:pos="8306"/>
          <w:tab w:val="clear" w:pos="8296"/>
        </w:tabs>
        <w:ind w:right="-218" w:rightChars="-104"/>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_Toc13960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val="0"/>
          <w:sz w:val="32"/>
          <w:szCs w:val="32"/>
        </w:rPr>
        <w:t>六、</w:t>
      </w:r>
      <w:r>
        <w:rPr>
          <w:rFonts w:hint="default" w:ascii="Times New Roman" w:hAnsi="Times New Roman" w:eastAsia="仿宋_GB2312" w:cs="Times New Roman"/>
          <w:bCs/>
          <w:sz w:val="32"/>
          <w:szCs w:val="32"/>
        </w:rPr>
        <w:t>一般公共预算财政拨款支出决算表</w:t>
      </w:r>
      <w:r>
        <w:rPr>
          <w:rFonts w:hint="default" w:ascii="Times New Roman" w:hAnsi="Times New Roman" w:eastAsia="仿宋_GB2312" w:cs="Times New Roman"/>
          <w:sz w:val="32"/>
          <w:szCs w:val="32"/>
        </w:rPr>
        <w:tab/>
      </w: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rPr>
        <w:fldChar w:fldCharType="end"/>
      </w:r>
      <w:r>
        <w:rPr>
          <w:rFonts w:hint="eastAsia" w:eastAsia="仿宋_GB2312" w:cs="Times New Roman"/>
          <w:sz w:val="32"/>
          <w:szCs w:val="32"/>
          <w:lang w:val="en-US" w:eastAsia="zh-CN"/>
        </w:rPr>
        <w:t>5</w:t>
      </w:r>
    </w:p>
    <w:p w14:paraId="19BCB9DB">
      <w:pPr>
        <w:pStyle w:val="14"/>
        <w:tabs>
          <w:tab w:val="right" w:leader="dot" w:pos="8306"/>
          <w:tab w:val="clear" w:pos="8296"/>
        </w:tabs>
        <w:ind w:right="-218" w:rightChars="-104"/>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_Toc19869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val="0"/>
          <w:sz w:val="32"/>
          <w:szCs w:val="32"/>
        </w:rPr>
        <w:t>七、</w:t>
      </w:r>
      <w:r>
        <w:rPr>
          <w:rFonts w:hint="default" w:ascii="Times New Roman" w:hAnsi="Times New Roman" w:eastAsia="仿宋_GB2312" w:cs="Times New Roman"/>
          <w:bCs/>
          <w:sz w:val="32"/>
          <w:szCs w:val="32"/>
        </w:rPr>
        <w:t>一般公共预算财政拨款支出决算明细表</w:t>
      </w:r>
      <w:r>
        <w:rPr>
          <w:rFonts w:hint="eastAsia" w:ascii="Times New Roman" w:hAnsi="Times New Roman" w:eastAsia="仿宋_GB2312" w:cs="Times New Roman"/>
          <w:bCs/>
          <w:sz w:val="32"/>
          <w:szCs w:val="32"/>
          <w:lang w:val="en-US" w:eastAsia="zh-CN"/>
        </w:rPr>
        <w:t>..................</w:t>
      </w:r>
      <w:r>
        <w:rPr>
          <w:rFonts w:hint="eastAsia" w:eastAsia="仿宋_GB2312" w:cs="Times New Roman"/>
          <w:bCs/>
          <w:sz w:val="32"/>
          <w:szCs w:val="32"/>
          <w:lang w:val="en-US" w:eastAsia="zh-CN"/>
        </w:rPr>
        <w:t>.</w:t>
      </w: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rPr>
        <w:fldChar w:fldCharType="end"/>
      </w:r>
      <w:r>
        <w:rPr>
          <w:rFonts w:hint="eastAsia" w:eastAsia="仿宋_GB2312" w:cs="Times New Roman"/>
          <w:sz w:val="32"/>
          <w:szCs w:val="32"/>
          <w:lang w:val="en-US" w:eastAsia="zh-CN"/>
        </w:rPr>
        <w:t>5</w:t>
      </w:r>
    </w:p>
    <w:p w14:paraId="1A5543E6">
      <w:pPr>
        <w:pStyle w:val="14"/>
        <w:tabs>
          <w:tab w:val="right" w:leader="dot" w:pos="8306"/>
          <w:tab w:val="clear" w:pos="8296"/>
        </w:tabs>
        <w:ind w:right="-218" w:rightChars="-104"/>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_Toc31304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val="0"/>
          <w:sz w:val="32"/>
          <w:szCs w:val="32"/>
        </w:rPr>
        <w:t>八、</w:t>
      </w:r>
      <w:r>
        <w:rPr>
          <w:rFonts w:hint="default" w:ascii="Times New Roman" w:hAnsi="Times New Roman" w:eastAsia="仿宋_GB2312" w:cs="Times New Roman"/>
          <w:bCs/>
          <w:sz w:val="32"/>
          <w:szCs w:val="32"/>
        </w:rPr>
        <w:t>一般公共预算财政拨款基本支出决算</w:t>
      </w:r>
      <w:r>
        <w:rPr>
          <w:rFonts w:hint="eastAsia" w:ascii="Times New Roman" w:hAnsi="Times New Roman" w:eastAsia="仿宋_GB2312" w:cs="Times New Roman"/>
          <w:bCs/>
          <w:sz w:val="32"/>
          <w:szCs w:val="32"/>
          <w:lang w:val="en-US" w:eastAsia="zh-CN"/>
        </w:rPr>
        <w:t>明细</w:t>
      </w:r>
      <w:r>
        <w:rPr>
          <w:rFonts w:hint="default" w:ascii="Times New Roman" w:hAnsi="Times New Roman" w:eastAsia="仿宋_GB2312" w:cs="Times New Roman"/>
          <w:bCs/>
          <w:sz w:val="32"/>
          <w:szCs w:val="32"/>
        </w:rPr>
        <w:t>表</w:t>
      </w:r>
      <w:r>
        <w:rPr>
          <w:rFonts w:hint="default" w:ascii="Times New Roman" w:hAnsi="Times New Roman" w:eastAsia="仿宋_GB2312" w:cs="Times New Roman"/>
          <w:sz w:val="32"/>
          <w:szCs w:val="32"/>
        </w:rPr>
        <w:tab/>
      </w: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rPr>
        <w:fldChar w:fldCharType="end"/>
      </w:r>
      <w:r>
        <w:rPr>
          <w:rFonts w:hint="eastAsia" w:eastAsia="仿宋_GB2312" w:cs="Times New Roman"/>
          <w:sz w:val="32"/>
          <w:szCs w:val="32"/>
          <w:lang w:val="en-US" w:eastAsia="zh-CN"/>
        </w:rPr>
        <w:t>5</w:t>
      </w:r>
    </w:p>
    <w:p w14:paraId="73A0220C">
      <w:pPr>
        <w:pStyle w:val="14"/>
        <w:tabs>
          <w:tab w:val="right" w:leader="dot" w:pos="8306"/>
          <w:tab w:val="clear" w:pos="8296"/>
        </w:tabs>
        <w:ind w:right="-218" w:rightChars="-104"/>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_Toc13751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val="0"/>
          <w:sz w:val="32"/>
          <w:szCs w:val="32"/>
        </w:rPr>
        <w:t>九、</w:t>
      </w:r>
      <w:r>
        <w:rPr>
          <w:rFonts w:hint="default" w:ascii="Times New Roman" w:hAnsi="Times New Roman" w:eastAsia="仿宋_GB2312" w:cs="Times New Roman"/>
          <w:bCs/>
          <w:sz w:val="32"/>
          <w:szCs w:val="32"/>
        </w:rPr>
        <w:t>一般公共预算财政拨款项目支出决算表</w:t>
      </w:r>
      <w:r>
        <w:rPr>
          <w:rFonts w:hint="default" w:ascii="Times New Roman" w:hAnsi="Times New Roman" w:eastAsia="仿宋_GB2312" w:cs="Times New Roman"/>
          <w:sz w:val="32"/>
          <w:szCs w:val="32"/>
        </w:rPr>
        <w:tab/>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fldChar w:fldCharType="end"/>
      </w:r>
      <w:r>
        <w:rPr>
          <w:rFonts w:hint="eastAsia" w:eastAsia="仿宋_GB2312" w:cs="Times New Roman"/>
          <w:sz w:val="32"/>
          <w:szCs w:val="32"/>
          <w:lang w:val="en-US" w:eastAsia="zh-CN"/>
        </w:rPr>
        <w:t>15</w:t>
      </w:r>
    </w:p>
    <w:p w14:paraId="4C6F37EA">
      <w:pPr>
        <w:pStyle w:val="14"/>
        <w:tabs>
          <w:tab w:val="right" w:leader="dot" w:pos="8306"/>
          <w:tab w:val="clear" w:pos="8296"/>
        </w:tabs>
        <w:ind w:right="-218" w:rightChars="-104"/>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_Toc10415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val="0"/>
          <w:sz w:val="32"/>
          <w:szCs w:val="32"/>
        </w:rPr>
        <w:t>十、</w:t>
      </w:r>
      <w:r>
        <w:rPr>
          <w:rFonts w:hint="default" w:ascii="Times New Roman" w:hAnsi="Times New Roman" w:eastAsia="仿宋_GB2312" w:cs="Times New Roman"/>
          <w:bCs/>
          <w:sz w:val="32"/>
          <w:szCs w:val="32"/>
        </w:rPr>
        <w:t>政府性基金预算财政拨款收入支出决算</w:t>
      </w:r>
      <w:r>
        <w:rPr>
          <w:rFonts w:hint="eastAsia" w:ascii="Times New Roman" w:hAnsi="Times New Roman" w:eastAsia="仿宋_GB2312" w:cs="Times New Roman"/>
          <w:bCs/>
          <w:sz w:val="32"/>
          <w:szCs w:val="32"/>
          <w:lang w:eastAsia="zh-CN"/>
        </w:rPr>
        <w:t>表</w:t>
      </w:r>
      <w:r>
        <w:rPr>
          <w:rFonts w:hint="default" w:ascii="Times New Roman" w:hAnsi="Times New Roman" w:eastAsia="仿宋_GB2312" w:cs="Times New Roman"/>
          <w:sz w:val="32"/>
          <w:szCs w:val="32"/>
        </w:rPr>
        <w:tab/>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fldChar w:fldCharType="end"/>
      </w:r>
      <w:r>
        <w:rPr>
          <w:rFonts w:hint="eastAsia" w:eastAsia="仿宋_GB2312" w:cs="Times New Roman"/>
          <w:sz w:val="32"/>
          <w:szCs w:val="32"/>
          <w:lang w:val="en-US" w:eastAsia="zh-CN"/>
        </w:rPr>
        <w:t>15</w:t>
      </w:r>
    </w:p>
    <w:p w14:paraId="08314289">
      <w:pPr>
        <w:pStyle w:val="14"/>
        <w:tabs>
          <w:tab w:val="right" w:leader="dot" w:pos="8306"/>
          <w:tab w:val="clear" w:pos="8296"/>
        </w:tabs>
        <w:ind w:right="-218" w:rightChars="-104"/>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_Toc26668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val="0"/>
          <w:sz w:val="32"/>
          <w:szCs w:val="32"/>
        </w:rPr>
        <w:t>十一</w:t>
      </w:r>
      <w:r>
        <w:rPr>
          <w:rFonts w:hint="default" w:ascii="Times New Roman" w:hAnsi="Times New Roman" w:eastAsia="仿宋_GB2312" w:cs="Times New Roman"/>
          <w:bCs/>
          <w:sz w:val="32"/>
          <w:szCs w:val="32"/>
        </w:rPr>
        <w:t>、国有资本经营预算财政拨款收入支出决算表</w:t>
      </w:r>
      <w:r>
        <w:rPr>
          <w:rFonts w:hint="default" w:ascii="Times New Roman" w:hAnsi="Times New Roman" w:eastAsia="仿宋_GB2312" w:cs="Times New Roman"/>
          <w:sz w:val="32"/>
          <w:szCs w:val="32"/>
        </w:rPr>
        <w:tab/>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fldChar w:fldCharType="end"/>
      </w:r>
      <w:r>
        <w:rPr>
          <w:rFonts w:hint="eastAsia" w:eastAsia="仿宋_GB2312" w:cs="Times New Roman"/>
          <w:sz w:val="32"/>
          <w:szCs w:val="32"/>
          <w:lang w:val="en-US" w:eastAsia="zh-CN"/>
        </w:rPr>
        <w:t>15</w:t>
      </w:r>
    </w:p>
    <w:p w14:paraId="405FA11E">
      <w:pPr>
        <w:pStyle w:val="14"/>
        <w:tabs>
          <w:tab w:val="right" w:leader="dot" w:pos="8306"/>
          <w:tab w:val="clear" w:pos="8296"/>
        </w:tabs>
        <w:ind w:right="-218" w:rightChars="-104"/>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_Toc2042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val="0"/>
          <w:sz w:val="32"/>
          <w:szCs w:val="32"/>
        </w:rPr>
        <w:t>十二、国有资本经营预算财政拨款支出决算表</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fldChar w:fldCharType="end"/>
      </w:r>
      <w:r>
        <w:rPr>
          <w:rFonts w:hint="eastAsia"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15</w:t>
      </w:r>
    </w:p>
    <w:p w14:paraId="0CA707C9">
      <w:pPr>
        <w:pStyle w:val="14"/>
        <w:tabs>
          <w:tab w:val="right" w:leader="dot" w:pos="8306"/>
          <w:tab w:val="clear" w:pos="8296"/>
        </w:tabs>
        <w:ind w:right="-218" w:rightChars="-104"/>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_Toc22381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val="0"/>
          <w:sz w:val="32"/>
          <w:szCs w:val="32"/>
        </w:rPr>
        <w:t>十三、财政拨款“三公”经费支出决算表</w:t>
      </w:r>
      <w:r>
        <w:rPr>
          <w:rFonts w:hint="default" w:ascii="Times New Roman" w:hAnsi="Times New Roman" w:eastAsia="仿宋_GB2312" w:cs="Times New Roman"/>
          <w:sz w:val="32"/>
          <w:szCs w:val="32"/>
        </w:rPr>
        <w:tab/>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fldChar w:fldCharType="end"/>
      </w:r>
      <w:r>
        <w:rPr>
          <w:rFonts w:hint="eastAsia" w:eastAsia="仿宋_GB2312" w:cs="Times New Roman"/>
          <w:sz w:val="32"/>
          <w:szCs w:val="32"/>
          <w:lang w:val="en-US" w:eastAsia="zh-CN"/>
        </w:rPr>
        <w:t>15</w:t>
      </w:r>
    </w:p>
    <w:p w14:paraId="1B4D0967">
      <w:pPr>
        <w:ind w:right="-218" w:rightChars="-104"/>
      </w:pPr>
      <w:r>
        <w:rPr>
          <w:rFonts w:hint="default" w:ascii="Times New Roman" w:hAnsi="Times New Roman" w:eastAsia="仿宋_GB2312" w:cs="Times New Roman"/>
          <w:sz w:val="32"/>
          <w:szCs w:val="32"/>
        </w:rPr>
        <w:fldChar w:fldCharType="end"/>
      </w:r>
    </w:p>
    <w:p w14:paraId="467B9671">
      <w:pPr>
        <w:pStyle w:val="5"/>
        <w:ind w:firstLine="2200" w:firstLineChars="500"/>
        <w:jc w:val="both"/>
        <w:rPr>
          <w:rFonts w:hint="eastAsia" w:ascii="黑体" w:hAnsi="黑体" w:eastAsia="黑体"/>
          <w:b w:val="0"/>
        </w:rPr>
      </w:pPr>
    </w:p>
    <w:p w14:paraId="3CD84D82">
      <w:pPr>
        <w:tabs>
          <w:tab w:val="left" w:pos="7086"/>
        </w:tabs>
        <w:bidi w:val="0"/>
        <w:jc w:val="left"/>
        <w:rPr>
          <w:rFonts w:hint="eastAsia" w:eastAsia="宋体"/>
          <w:lang w:eastAsia="zh-CN"/>
        </w:rPr>
        <w:sectPr>
          <w:footerReference r:id="rId4" w:type="first"/>
          <w:headerReference r:id="rId3" w:type="default"/>
          <w:pgSz w:w="11906" w:h="16838"/>
          <w:pgMar w:top="1440" w:right="1926" w:bottom="1440" w:left="1800" w:header="851" w:footer="992" w:gutter="0"/>
          <w:pgNumType w:start="1"/>
          <w:cols w:space="720" w:num="1"/>
          <w:docGrid w:type="lines" w:linePitch="312" w:charSpace="0"/>
        </w:sectPr>
      </w:pPr>
      <w:r>
        <w:rPr>
          <w:rFonts w:hint="eastAsia"/>
          <w:lang w:eastAsia="zh-CN"/>
        </w:rPr>
        <w:tab/>
      </w:r>
    </w:p>
    <w:p w14:paraId="20FFAB2B">
      <w:pPr>
        <w:pStyle w:val="5"/>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rPr>
      </w:pPr>
      <w:r>
        <w:rPr>
          <w:rFonts w:hint="eastAsia" w:ascii="黑体" w:hAnsi="黑体" w:eastAsia="黑体" w:cs="黑体"/>
          <w:b w:val="0"/>
          <w:bCs w:val="0"/>
        </w:rPr>
        <w:t>第一部分 单位概况</w:t>
      </w:r>
    </w:p>
    <w:p w14:paraId="648EBEF5">
      <w:pPr>
        <w:pStyle w:val="5"/>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rPr>
      </w:pPr>
    </w:p>
    <w:p w14:paraId="02E5FED5">
      <w:pPr>
        <w:pStyle w:val="6"/>
        <w:keepNext/>
        <w:keepLines/>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b w:val="0"/>
          <w:sz w:val="32"/>
          <w:szCs w:val="32"/>
          <w:lang w:val="en-US" w:eastAsia="zh-CN"/>
        </w:rPr>
        <w:t xml:space="preserve"> </w:t>
      </w:r>
      <w:r>
        <w:rPr>
          <w:rFonts w:hint="eastAsia" w:ascii="黑体" w:hAnsi="黑体" w:eastAsia="黑体" w:cs="黑体"/>
          <w:b w:val="0"/>
          <w:sz w:val="32"/>
          <w:szCs w:val="32"/>
          <w:lang w:eastAsia="zh-CN"/>
        </w:rPr>
        <w:t>一、</w:t>
      </w:r>
      <w:r>
        <w:rPr>
          <w:rStyle w:val="28"/>
          <w:rFonts w:hint="eastAsia" w:ascii="黑体" w:hAnsi="黑体" w:eastAsia="黑体" w:cs="黑体"/>
          <w:b w:val="0"/>
          <w:bCs w:val="0"/>
          <w:sz w:val="32"/>
          <w:szCs w:val="32"/>
        </w:rPr>
        <w:t>主要职责</w:t>
      </w:r>
    </w:p>
    <w:p w14:paraId="65120CA8">
      <w:pPr>
        <w:pStyle w:val="6"/>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b w:val="0"/>
          <w:bCs w:val="0"/>
          <w:kern w:val="2"/>
          <w:sz w:val="32"/>
          <w:szCs w:val="32"/>
          <w:lang w:val="en-US" w:eastAsia="zh-CN" w:bidi="ar-SA"/>
        </w:rPr>
        <w:t>承担本辖区内围产保健、妇女保健、儿童保健等妇幼保健任务和妇女儿童常见病防治任务；承担计划生育宣传教育、技术服务、优生指导、药具发放、信息咨询、随访服务、生殖保健等公共服务职能；落实妇幼重大公共卫生服务项目和基本公共卫生服务项目，配合做好孕前优生健康检查项目等任务；负责对村医生及计生服务人员提供业务培训指导。</w:t>
      </w:r>
    </w:p>
    <w:p w14:paraId="248F368A">
      <w:pPr>
        <w:pStyle w:val="6"/>
        <w:keepNext/>
        <w:keepLines/>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黑体" w:hAnsi="黑体" w:eastAsia="黑体" w:cs="黑体"/>
          <w:b w:val="0"/>
          <w:sz w:val="32"/>
          <w:szCs w:val="32"/>
        </w:rPr>
      </w:pPr>
      <w:r>
        <w:rPr>
          <w:rFonts w:hint="eastAsia" w:ascii="黑体" w:hAnsi="黑体" w:eastAsia="黑体" w:cs="黑体"/>
          <w:b w:val="0"/>
          <w:sz w:val="32"/>
          <w:szCs w:val="32"/>
          <w:lang w:eastAsia="zh-CN"/>
        </w:rPr>
        <w:t>二、</w:t>
      </w:r>
      <w:r>
        <w:rPr>
          <w:rFonts w:hint="eastAsia" w:ascii="黑体" w:hAnsi="黑体" w:eastAsia="黑体" w:cs="黑体"/>
          <w:b w:val="0"/>
          <w:sz w:val="32"/>
          <w:szCs w:val="32"/>
        </w:rPr>
        <w:t>机构设置</w:t>
      </w:r>
    </w:p>
    <w:p w14:paraId="55E84A63">
      <w:pPr>
        <w:pStyle w:val="6"/>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按照决算管理规定，部门决算编报内容为本单位的全部收支情况。纳入2024年度部门决算编报范围的单位是盐边县红果中心卫生院。内设机构6个，分别为中医科、西医科、护理部、药剂科、公共卫生科、综合办公室。</w:t>
      </w:r>
    </w:p>
    <w:bookmarkEnd w:id="12"/>
    <w:bookmarkEnd w:id="13"/>
    <w:p w14:paraId="2787FC68">
      <w:pPr>
        <w:pStyle w:val="6"/>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br w:type="page"/>
      </w:r>
    </w:p>
    <w:p w14:paraId="02D5F93A">
      <w:pPr>
        <w:pStyle w:val="5"/>
        <w:pageBreakBefore w:val="0"/>
        <w:widowControl w:val="0"/>
        <w:kinsoku/>
        <w:wordWrap/>
        <w:overflowPunct/>
        <w:topLinePunct w:val="0"/>
        <w:autoSpaceDE/>
        <w:autoSpaceDN/>
        <w:bidi w:val="0"/>
        <w:adjustRightInd/>
        <w:snapToGrid/>
        <w:spacing w:line="560" w:lineRule="exact"/>
        <w:ind w:right="440"/>
        <w:jc w:val="center"/>
        <w:textAlignment w:val="auto"/>
        <w:rPr>
          <w:rStyle w:val="27"/>
          <w:rFonts w:hint="eastAsia" w:ascii="黑体" w:hAnsi="黑体" w:eastAsia="黑体" w:cs="黑体"/>
          <w:b w:val="0"/>
          <w:bCs/>
          <w:sz w:val="44"/>
          <w:szCs w:val="44"/>
        </w:rPr>
      </w:pPr>
      <w:bookmarkStart w:id="14" w:name="_Toc15396602"/>
      <w:bookmarkStart w:id="15" w:name="_Toc15377204"/>
      <w:r>
        <w:rPr>
          <w:rFonts w:hint="eastAsia" w:ascii="黑体" w:hAnsi="黑体" w:eastAsia="黑体" w:cs="黑体"/>
          <w:b w:val="0"/>
          <w:sz w:val="44"/>
          <w:szCs w:val="44"/>
        </w:rPr>
        <w:t>第二部分 202</w:t>
      </w:r>
      <w:r>
        <w:rPr>
          <w:rFonts w:hint="eastAsia" w:ascii="黑体" w:hAnsi="黑体" w:eastAsia="黑体" w:cs="黑体"/>
          <w:b w:val="0"/>
          <w:sz w:val="44"/>
          <w:szCs w:val="44"/>
          <w:lang w:val="en-US" w:eastAsia="zh-CN"/>
        </w:rPr>
        <w:t>4</w:t>
      </w:r>
      <w:r>
        <w:rPr>
          <w:rFonts w:hint="eastAsia" w:ascii="黑体" w:hAnsi="黑体" w:eastAsia="黑体" w:cs="黑体"/>
          <w:b w:val="0"/>
          <w:sz w:val="44"/>
          <w:szCs w:val="44"/>
        </w:rPr>
        <w:t>年度</w:t>
      </w:r>
      <w:r>
        <w:rPr>
          <w:rStyle w:val="27"/>
          <w:rFonts w:hint="eastAsia" w:ascii="黑体" w:hAnsi="黑体" w:eastAsia="黑体" w:cs="黑体"/>
          <w:b w:val="0"/>
          <w:bCs/>
          <w:sz w:val="44"/>
          <w:szCs w:val="44"/>
        </w:rPr>
        <w:t>单位决算情况说明</w:t>
      </w:r>
      <w:bookmarkEnd w:id="14"/>
      <w:bookmarkEnd w:id="15"/>
    </w:p>
    <w:p w14:paraId="6B7DC17E">
      <w:pPr>
        <w:pageBreakBefore w:val="0"/>
        <w:widowControl w:val="0"/>
        <w:kinsoku/>
        <w:wordWrap/>
        <w:overflowPunct/>
        <w:topLinePunct w:val="0"/>
        <w:autoSpaceDE/>
        <w:autoSpaceDN/>
        <w:bidi w:val="0"/>
        <w:adjustRightInd/>
        <w:snapToGrid/>
        <w:spacing w:line="560" w:lineRule="exact"/>
        <w:textAlignment w:val="auto"/>
      </w:pPr>
    </w:p>
    <w:p w14:paraId="12BE3A2D">
      <w:pPr>
        <w:pStyle w:val="26"/>
        <w:pageBreakBefore w:val="0"/>
        <w:widowControl w:val="0"/>
        <w:numPr>
          <w:ilvl w:val="0"/>
          <w:numId w:val="0"/>
        </w:numPr>
        <w:kinsoku/>
        <w:wordWrap/>
        <w:overflowPunct/>
        <w:topLinePunct w:val="0"/>
        <w:autoSpaceDE/>
        <w:autoSpaceDN/>
        <w:bidi w:val="0"/>
        <w:adjustRightInd/>
        <w:snapToGrid/>
        <w:spacing w:line="560" w:lineRule="exact"/>
        <w:ind w:left="640" w:leftChars="0"/>
        <w:textAlignment w:val="auto"/>
        <w:outlineLvl w:val="1"/>
        <w:rPr>
          <w:rStyle w:val="28"/>
          <w:rFonts w:ascii="黑体" w:hAnsi="黑体" w:eastAsia="黑体"/>
          <w:b w:val="0"/>
        </w:rPr>
      </w:pPr>
      <w:bookmarkStart w:id="16" w:name="_Toc15377205"/>
      <w:bookmarkStart w:id="17" w:name="_Toc15396603"/>
      <w:r>
        <w:rPr>
          <w:rFonts w:hint="eastAsia" w:ascii="黑体" w:hAnsi="黑体" w:eastAsia="黑体"/>
          <w:sz w:val="32"/>
          <w:szCs w:val="32"/>
          <w:lang w:val="en-US" w:eastAsia="zh-CN"/>
        </w:rPr>
        <w:t>一、</w:t>
      </w:r>
      <w:r>
        <w:rPr>
          <w:rFonts w:hint="eastAsia" w:ascii="黑体" w:hAnsi="黑体" w:eastAsia="黑体"/>
          <w:sz w:val="32"/>
          <w:szCs w:val="32"/>
        </w:rPr>
        <w:t>收</w:t>
      </w:r>
      <w:r>
        <w:rPr>
          <w:rStyle w:val="28"/>
          <w:rFonts w:hint="eastAsia" w:ascii="黑体" w:hAnsi="黑体" w:eastAsia="黑体"/>
          <w:b w:val="0"/>
        </w:rPr>
        <w:t>入支出决算总体情况说明</w:t>
      </w:r>
      <w:bookmarkEnd w:id="16"/>
      <w:bookmarkEnd w:id="17"/>
    </w:p>
    <w:p w14:paraId="68D5D50C">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color w:val="auto"/>
          <w:sz w:val="32"/>
          <w:szCs w:val="32"/>
        </w:rPr>
        <w:t>20</w:t>
      </w:r>
      <w:r>
        <w:rPr>
          <w:rFonts w:hint="eastAsia" w:ascii="仿宋" w:hAnsi="仿宋" w:eastAsia="仿宋" w:cs="仿宋"/>
          <w:color w:val="auto"/>
          <w:sz w:val="32"/>
          <w:szCs w:val="32"/>
          <w:lang w:val="en-US" w:eastAsia="zh-CN"/>
        </w:rPr>
        <w:t>24</w:t>
      </w:r>
      <w:r>
        <w:rPr>
          <w:rFonts w:hint="eastAsia" w:ascii="仿宋" w:hAnsi="仿宋" w:eastAsia="仿宋" w:cs="仿宋"/>
          <w:color w:val="auto"/>
          <w:sz w:val="32"/>
          <w:szCs w:val="32"/>
        </w:rPr>
        <w:t>年度</w:t>
      </w:r>
      <w:r>
        <w:rPr>
          <w:rFonts w:hint="eastAsia" w:ascii="仿宋" w:hAnsi="仿宋" w:eastAsia="仿宋" w:cs="仿宋"/>
          <w:color w:val="auto"/>
          <w:sz w:val="32"/>
          <w:szCs w:val="32"/>
          <w:lang w:eastAsia="zh-CN"/>
        </w:rPr>
        <w:t>收入、支出</w:t>
      </w:r>
      <w:r>
        <w:rPr>
          <w:rFonts w:hint="eastAsia" w:ascii="仿宋" w:hAnsi="仿宋" w:eastAsia="仿宋" w:cs="仿宋"/>
          <w:color w:val="auto"/>
          <w:sz w:val="32"/>
          <w:szCs w:val="32"/>
        </w:rPr>
        <w:t>总计</w:t>
      </w:r>
      <w:r>
        <w:rPr>
          <w:rFonts w:hint="eastAsia" w:ascii="仿宋" w:hAnsi="仿宋" w:eastAsia="仿宋" w:cs="仿宋"/>
          <w:color w:val="auto"/>
          <w:sz w:val="32"/>
          <w:szCs w:val="32"/>
          <w:lang w:eastAsia="zh-CN"/>
        </w:rPr>
        <w:t>均为</w:t>
      </w:r>
      <w:r>
        <w:rPr>
          <w:rFonts w:hint="eastAsia" w:ascii="仿宋" w:hAnsi="仿宋" w:eastAsia="仿宋" w:cs="仿宋"/>
          <w:color w:val="auto"/>
          <w:sz w:val="32"/>
          <w:szCs w:val="32"/>
          <w:lang w:val="en-US" w:eastAsia="zh-CN"/>
        </w:rPr>
        <w:t>453.98万元，与2023年度相比（2023年度为430.32万元），收入、支出总计各增加23.66万元，增长5.50%；</w:t>
      </w:r>
      <w:r>
        <w:rPr>
          <w:rFonts w:hint="eastAsia" w:ascii="仿宋" w:hAnsi="仿宋" w:eastAsia="仿宋" w:cs="仿宋"/>
          <w:sz w:val="32"/>
          <w:szCs w:val="32"/>
        </w:rPr>
        <w:t>主要变动原因是</w:t>
      </w:r>
      <w:r>
        <w:rPr>
          <w:rFonts w:hint="eastAsia" w:ascii="仿宋" w:hAnsi="仿宋" w:eastAsia="仿宋" w:cs="仿宋"/>
          <w:sz w:val="32"/>
          <w:szCs w:val="32"/>
          <w:lang w:val="en-US" w:eastAsia="zh-CN"/>
        </w:rPr>
        <w:t>职工薪酬增加、基本公共卫生服务补助较上年增加。</w:t>
      </w:r>
    </w:p>
    <w:p w14:paraId="6672995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sz w:val="32"/>
          <w:szCs w:val="32"/>
        </w:rPr>
      </w:pPr>
      <w:r>
        <w:rPr>
          <w:rFonts w:hint="default" w:ascii="仿宋_GB2312" w:hAnsi="Times New Roman" w:eastAsia="仿宋_GB2312" w:cs="Times New Roman"/>
          <w:kern w:val="0"/>
          <w:sz w:val="30"/>
          <w:szCs w:val="24"/>
          <w:lang w:val="en-US" w:eastAsia="zh-CN" w:bidi="ar-SA"/>
        </w:rPr>
        <w:object>
          <v:shape id="_x0000_i1025" o:spt="75" type="#_x0000_t75" style="height:226.2pt;width:431.1pt;" o:ole="t" filled="f" o:preferrelative="t" stroked="f" coordsize="21600,21600">
            <v:path/>
            <v:fill on="f" focussize="0,0"/>
            <v:stroke on="f"/>
            <v:imagedata r:id="rId10" o:title=""/>
            <o:lock v:ext="edit" aspectratio="t"/>
            <w10:wrap type="none"/>
            <w10:anchorlock/>
          </v:shape>
          <o:OLEObject Type="Embed" ProgID="Excel.Chart.8" ShapeID="_x0000_i1025" DrawAspect="Content" ObjectID="_1468075725" r:id="rId9">
            <o:LockedField>false</o:LockedField>
          </o:OLEObject>
        </w:object>
      </w:r>
      <w:r>
        <w:rPr>
          <w:rFonts w:hint="eastAsia" w:ascii="仿宋_GB2312" w:eastAsia="仿宋_GB2312" w:cs="Times New Roman"/>
          <w:kern w:val="0"/>
          <w:sz w:val="30"/>
          <w:szCs w:val="24"/>
          <w:lang w:val="en-US" w:eastAsia="zh-CN" w:bidi="ar-SA"/>
        </w:rPr>
        <w:t xml:space="preserve">     </w:t>
      </w: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w:t>
      </w:r>
      <w:r>
        <w:rPr>
          <w:rFonts w:hint="eastAsia" w:ascii="仿宋" w:hAnsi="仿宋" w:eastAsia="仿宋"/>
          <w:sz w:val="32"/>
          <w:szCs w:val="32"/>
          <w:lang w:eastAsia="zh-CN"/>
        </w:rPr>
        <w:t>入</w:t>
      </w:r>
      <w:r>
        <w:rPr>
          <w:rFonts w:hint="eastAsia" w:ascii="仿宋" w:hAnsi="仿宋" w:eastAsia="仿宋"/>
          <w:sz w:val="32"/>
          <w:szCs w:val="32"/>
        </w:rPr>
        <w:t>、支</w:t>
      </w:r>
      <w:r>
        <w:rPr>
          <w:rFonts w:hint="eastAsia" w:ascii="仿宋" w:hAnsi="仿宋" w:eastAsia="仿宋"/>
          <w:sz w:val="32"/>
          <w:szCs w:val="32"/>
          <w:lang w:eastAsia="zh-CN"/>
        </w:rPr>
        <w:t>出</w:t>
      </w:r>
      <w:r>
        <w:rPr>
          <w:rFonts w:hint="eastAsia" w:ascii="仿宋" w:hAnsi="仿宋" w:eastAsia="仿宋"/>
          <w:sz w:val="32"/>
          <w:szCs w:val="32"/>
        </w:rPr>
        <w:t>决算总计变动情况图）</w:t>
      </w:r>
      <w:bookmarkStart w:id="18" w:name="_Toc15396604"/>
      <w:bookmarkStart w:id="19" w:name="_Toc15377206"/>
    </w:p>
    <w:p w14:paraId="6180DA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8"/>
          <w:rFonts w:ascii="黑体" w:hAnsi="黑体" w:eastAsia="黑体"/>
          <w:b w:val="0"/>
        </w:rPr>
      </w:pPr>
      <w:r>
        <w:rPr>
          <w:rFonts w:hint="eastAsia" w:ascii="黑体" w:hAnsi="黑体" w:eastAsia="黑体" w:cs="Times New Roman"/>
          <w:kern w:val="2"/>
          <w:sz w:val="32"/>
          <w:szCs w:val="32"/>
          <w:lang w:val="en-US" w:eastAsia="zh-CN" w:bidi="ar-SA"/>
        </w:rPr>
        <w:t>二、</w:t>
      </w:r>
      <w:r>
        <w:rPr>
          <w:rFonts w:hint="eastAsia" w:ascii="黑体" w:hAnsi="黑体" w:eastAsia="黑体"/>
          <w:sz w:val="32"/>
          <w:szCs w:val="32"/>
        </w:rPr>
        <w:t>收</w:t>
      </w:r>
      <w:r>
        <w:rPr>
          <w:rStyle w:val="28"/>
          <w:rFonts w:hint="eastAsia" w:ascii="黑体" w:hAnsi="黑体" w:eastAsia="黑体"/>
          <w:b w:val="0"/>
        </w:rPr>
        <w:t>入决算情况说明</w:t>
      </w:r>
      <w:bookmarkEnd w:id="18"/>
      <w:bookmarkEnd w:id="19"/>
    </w:p>
    <w:p w14:paraId="1CDF36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仿宋" w:hAnsi="仿宋" w:eastAsia="仿宋" w:cs="仿宋"/>
          <w:color w:val="000000"/>
          <w:sz w:val="32"/>
          <w:szCs w:val="32"/>
        </w:rPr>
      </w:pPr>
      <w:bookmarkStart w:id="20" w:name="_Toc52180076"/>
      <w:r>
        <w:rPr>
          <w:rFonts w:hint="eastAsia" w:ascii="仿宋" w:hAnsi="仿宋" w:eastAsia="仿宋" w:cs="仿宋"/>
          <w:color w:val="000000"/>
          <w:sz w:val="32"/>
          <w:szCs w:val="32"/>
        </w:rPr>
        <w:t>202</w:t>
      </w: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年</w:t>
      </w:r>
      <w:r>
        <w:rPr>
          <w:rFonts w:hint="eastAsia" w:ascii="仿宋" w:hAnsi="仿宋" w:eastAsia="仿宋" w:cs="仿宋"/>
          <w:color w:val="000000"/>
          <w:sz w:val="32"/>
          <w:szCs w:val="32"/>
          <w:lang w:eastAsia="zh-CN"/>
        </w:rPr>
        <w:t>度</w:t>
      </w:r>
      <w:r>
        <w:rPr>
          <w:rFonts w:hint="eastAsia" w:ascii="仿宋" w:hAnsi="仿宋" w:eastAsia="仿宋" w:cs="仿宋"/>
          <w:color w:val="000000"/>
          <w:sz w:val="32"/>
          <w:szCs w:val="32"/>
        </w:rPr>
        <w:t>本年收入合计</w:t>
      </w:r>
      <w:r>
        <w:rPr>
          <w:rFonts w:hint="eastAsia" w:ascii="仿宋" w:hAnsi="仿宋" w:eastAsia="仿宋" w:cs="仿宋"/>
          <w:color w:val="auto"/>
          <w:sz w:val="32"/>
          <w:szCs w:val="32"/>
          <w:lang w:val="en-US" w:eastAsia="zh-CN"/>
        </w:rPr>
        <w:t>428.51</w:t>
      </w:r>
      <w:r>
        <w:rPr>
          <w:rFonts w:hint="eastAsia" w:ascii="仿宋" w:hAnsi="仿宋" w:eastAsia="仿宋" w:cs="仿宋"/>
          <w:color w:val="000000"/>
          <w:sz w:val="32"/>
          <w:szCs w:val="32"/>
        </w:rPr>
        <w:t>万元，其中：一般公共预算财政拨款收入</w:t>
      </w:r>
      <w:r>
        <w:rPr>
          <w:rFonts w:hint="eastAsia" w:ascii="仿宋" w:hAnsi="仿宋" w:eastAsia="仿宋" w:cs="仿宋"/>
          <w:color w:val="000000"/>
          <w:sz w:val="32"/>
          <w:szCs w:val="32"/>
          <w:lang w:val="en-US" w:eastAsia="zh-CN"/>
        </w:rPr>
        <w:t>390.25</w:t>
      </w:r>
      <w:r>
        <w:rPr>
          <w:rFonts w:hint="eastAsia" w:ascii="仿宋" w:hAnsi="仿宋" w:eastAsia="仿宋" w:cs="仿宋"/>
          <w:color w:val="000000"/>
          <w:sz w:val="32"/>
          <w:szCs w:val="32"/>
        </w:rPr>
        <w:t>万元，占</w:t>
      </w:r>
      <w:r>
        <w:rPr>
          <w:rFonts w:hint="eastAsia" w:ascii="仿宋" w:hAnsi="仿宋" w:eastAsia="仿宋" w:cs="仿宋"/>
          <w:color w:val="000000"/>
          <w:sz w:val="32"/>
          <w:szCs w:val="32"/>
          <w:lang w:val="en-US" w:eastAsia="zh-CN"/>
        </w:rPr>
        <w:t>91.07</w:t>
      </w:r>
      <w:r>
        <w:rPr>
          <w:rFonts w:hint="eastAsia" w:ascii="仿宋" w:hAnsi="仿宋" w:eastAsia="仿宋" w:cs="仿宋"/>
          <w:color w:val="000000"/>
          <w:sz w:val="32"/>
          <w:szCs w:val="32"/>
        </w:rPr>
        <w:t>%；政府性基金预算财政拨款收入</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万元，占0%；</w:t>
      </w:r>
      <w:r>
        <w:rPr>
          <w:rFonts w:hint="eastAsia" w:ascii="仿宋" w:hAnsi="仿宋" w:eastAsia="仿宋" w:cs="仿宋"/>
          <w:sz w:val="32"/>
          <w:szCs w:val="32"/>
        </w:rPr>
        <w:t>国有资本经营预算财政拨款收入</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w:t>
      </w:r>
      <w:r>
        <w:rPr>
          <w:rFonts w:hint="eastAsia" w:ascii="仿宋" w:hAnsi="仿宋" w:eastAsia="仿宋" w:cs="仿宋"/>
          <w:sz w:val="32"/>
          <w:szCs w:val="32"/>
        </w:rPr>
        <w:t>%；</w:t>
      </w:r>
      <w:r>
        <w:rPr>
          <w:rFonts w:hint="eastAsia" w:ascii="仿宋" w:hAnsi="仿宋" w:eastAsia="仿宋" w:cs="仿宋"/>
          <w:color w:val="000000" w:themeColor="text1"/>
          <w:sz w:val="32"/>
          <w:szCs w:val="32"/>
          <w14:textFill>
            <w14:solidFill>
              <w14:schemeClr w14:val="tx1"/>
            </w14:solidFill>
          </w14:textFill>
        </w:rPr>
        <w:t>上级补助收入0</w:t>
      </w:r>
      <w:r>
        <w:rPr>
          <w:rFonts w:hint="eastAsia" w:ascii="仿宋" w:hAnsi="仿宋" w:eastAsia="仿宋" w:cs="仿宋"/>
          <w:color w:val="000000"/>
          <w:sz w:val="32"/>
          <w:szCs w:val="32"/>
        </w:rPr>
        <w:t>万元，占0%；事业收入</w:t>
      </w:r>
      <w:r>
        <w:rPr>
          <w:rFonts w:hint="eastAsia" w:ascii="仿宋" w:hAnsi="仿宋" w:eastAsia="仿宋" w:cs="仿宋"/>
          <w:color w:val="000000"/>
          <w:sz w:val="32"/>
          <w:szCs w:val="32"/>
          <w:lang w:val="en-US" w:eastAsia="zh-CN"/>
        </w:rPr>
        <w:t>36.05</w:t>
      </w:r>
      <w:r>
        <w:rPr>
          <w:rFonts w:hint="eastAsia" w:ascii="仿宋" w:hAnsi="仿宋" w:eastAsia="仿宋" w:cs="仿宋"/>
          <w:color w:val="000000"/>
          <w:sz w:val="32"/>
          <w:szCs w:val="32"/>
        </w:rPr>
        <w:t>万元，占</w:t>
      </w:r>
      <w:r>
        <w:rPr>
          <w:rFonts w:hint="eastAsia" w:ascii="仿宋" w:hAnsi="仿宋" w:eastAsia="仿宋" w:cs="仿宋"/>
          <w:color w:val="000000"/>
          <w:sz w:val="32"/>
          <w:szCs w:val="32"/>
          <w:lang w:val="en-US" w:eastAsia="zh-CN"/>
        </w:rPr>
        <w:t>8.41</w:t>
      </w:r>
      <w:r>
        <w:rPr>
          <w:rFonts w:hint="eastAsia" w:ascii="仿宋" w:hAnsi="仿宋" w:eastAsia="仿宋" w:cs="仿宋"/>
          <w:color w:val="000000"/>
          <w:sz w:val="32"/>
          <w:szCs w:val="32"/>
        </w:rPr>
        <w:t>%；经营收入0万元，占0%；附属单位上缴收入0万元，占0%；其他收入</w:t>
      </w:r>
      <w:r>
        <w:rPr>
          <w:rFonts w:hint="eastAsia" w:ascii="仿宋" w:hAnsi="仿宋" w:eastAsia="仿宋" w:cs="仿宋"/>
          <w:color w:val="000000"/>
          <w:sz w:val="32"/>
          <w:szCs w:val="32"/>
          <w:lang w:val="en-US" w:eastAsia="zh-CN"/>
        </w:rPr>
        <w:t>2.2</w:t>
      </w:r>
      <w:r>
        <w:rPr>
          <w:rFonts w:hint="eastAsia" w:ascii="仿宋" w:hAnsi="仿宋" w:eastAsia="仿宋" w:cs="仿宋"/>
          <w:color w:val="000000"/>
          <w:sz w:val="32"/>
          <w:szCs w:val="32"/>
        </w:rPr>
        <w:t>万元，占</w:t>
      </w:r>
      <w:r>
        <w:rPr>
          <w:rFonts w:hint="eastAsia" w:ascii="仿宋" w:hAnsi="仿宋" w:eastAsia="仿宋" w:cs="仿宋"/>
          <w:color w:val="000000"/>
          <w:sz w:val="32"/>
          <w:szCs w:val="32"/>
          <w:lang w:val="en-US" w:eastAsia="zh-CN"/>
        </w:rPr>
        <w:t>0.51</w:t>
      </w:r>
      <w:r>
        <w:rPr>
          <w:rFonts w:hint="eastAsia" w:ascii="仿宋" w:hAnsi="仿宋" w:eastAsia="仿宋" w:cs="仿宋"/>
          <w:color w:val="000000"/>
          <w:sz w:val="32"/>
          <w:szCs w:val="32"/>
        </w:rPr>
        <w:t>%。</w:t>
      </w:r>
      <w:bookmarkEnd w:id="20"/>
    </w:p>
    <w:p w14:paraId="6B0E92B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hint="eastAsia" w:ascii="仿宋" w:hAnsi="仿宋" w:eastAsia="仿宋"/>
          <w:sz w:val="32"/>
          <w:szCs w:val="32"/>
        </w:rPr>
      </w:pPr>
      <w:r>
        <w:rPr>
          <w:rFonts w:hint="eastAsia" w:ascii="仿宋" w:hAnsi="仿宋" w:eastAsia="仿宋" w:cs="Times New Roman"/>
          <w:kern w:val="0"/>
          <w:sz w:val="32"/>
          <w:szCs w:val="32"/>
          <w:lang w:val="en-US" w:eastAsia="zh-CN" w:bidi="ar-SA"/>
        </w:rPr>
        <w:object>
          <v:shape id="_x0000_i1026" o:spt="75" type="#_x0000_t75" style="height:221pt;width:441.55pt;" o:ole="t" filled="f" o:preferrelative="t" stroked="f" coordsize="21600,21600">
            <v:path/>
            <v:fill on="f" focussize="0,0"/>
            <v:stroke on="f"/>
            <v:imagedata r:id="rId12" o:title=""/>
            <o:lock v:ext="edit" aspectratio="t"/>
            <w10:wrap type="none"/>
            <w10:anchorlock/>
          </v:shape>
          <o:OLEObject Type="Embed" ProgID="Excel.Chart.8" ShapeID="_x0000_i1026" DrawAspect="Content" ObjectID="_1468075726" r:id="rId11">
            <o:LockedField>false</o:LockedField>
          </o:OLEObject>
        </w:object>
      </w:r>
      <w:r>
        <w:rPr>
          <w:rFonts w:hint="eastAsia" w:ascii="仿宋" w:hAnsi="仿宋" w:eastAsia="仿宋" w:cs="Times New Roman"/>
          <w:kern w:val="0"/>
          <w:sz w:val="32"/>
          <w:szCs w:val="32"/>
          <w:lang w:val="en-US" w:eastAsia="zh-CN" w:bidi="ar-SA"/>
        </w:rPr>
        <w:t xml:space="preserve">    </w:t>
      </w:r>
      <w:r>
        <w:rPr>
          <w:rFonts w:hint="eastAsia" w:ascii="仿宋" w:hAnsi="仿宋" w:eastAsia="仿宋"/>
          <w:sz w:val="32"/>
          <w:szCs w:val="32"/>
        </w:rPr>
        <w:t>（图2：收入决算结构图）</w:t>
      </w:r>
      <w:bookmarkStart w:id="21" w:name="_Toc15377207"/>
      <w:bookmarkStart w:id="22" w:name="_Toc15396605"/>
    </w:p>
    <w:p w14:paraId="104CF3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Style w:val="28"/>
          <w:rFonts w:ascii="黑体" w:hAnsi="黑体" w:eastAsia="黑体"/>
          <w:b w:val="0"/>
        </w:rPr>
      </w:pPr>
      <w:r>
        <w:rPr>
          <w:rFonts w:hint="eastAsia" w:ascii="黑体" w:hAnsi="黑体" w:eastAsia="黑体" w:cs="Times New Roman"/>
          <w:kern w:val="2"/>
          <w:sz w:val="32"/>
          <w:szCs w:val="32"/>
          <w:lang w:val="en-US" w:eastAsia="zh-CN" w:bidi="ar-SA"/>
        </w:rPr>
        <w:t>三、</w:t>
      </w:r>
      <w:r>
        <w:rPr>
          <w:rFonts w:hint="eastAsia" w:ascii="黑体" w:hAnsi="黑体" w:eastAsia="黑体"/>
          <w:sz w:val="32"/>
          <w:szCs w:val="32"/>
        </w:rPr>
        <w:t>支</w:t>
      </w:r>
      <w:r>
        <w:rPr>
          <w:rStyle w:val="28"/>
          <w:rFonts w:hint="eastAsia" w:ascii="黑体" w:hAnsi="黑体" w:eastAsia="黑体"/>
          <w:b w:val="0"/>
        </w:rPr>
        <w:t>出决算情况说明</w:t>
      </w:r>
      <w:bookmarkEnd w:id="21"/>
      <w:bookmarkEnd w:id="22"/>
    </w:p>
    <w:p w14:paraId="2E44D1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仿宋" w:hAnsi="仿宋" w:eastAsia="仿宋" w:cs="仿宋"/>
          <w:color w:val="000000"/>
          <w:sz w:val="32"/>
          <w:szCs w:val="32"/>
        </w:rPr>
      </w:pPr>
      <w:bookmarkStart w:id="23" w:name="_Toc52180078"/>
      <w:r>
        <w:rPr>
          <w:rFonts w:hint="eastAsia" w:ascii="仿宋" w:hAnsi="仿宋" w:eastAsia="仿宋" w:cs="仿宋"/>
          <w:color w:val="000000"/>
          <w:sz w:val="32"/>
          <w:szCs w:val="32"/>
        </w:rPr>
        <w:t>202</w:t>
      </w: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年</w:t>
      </w:r>
      <w:r>
        <w:rPr>
          <w:rFonts w:hint="eastAsia" w:ascii="仿宋" w:hAnsi="仿宋" w:eastAsia="仿宋" w:cs="仿宋"/>
          <w:color w:val="000000"/>
          <w:sz w:val="32"/>
          <w:szCs w:val="32"/>
          <w:lang w:eastAsia="zh-CN"/>
        </w:rPr>
        <w:t>度</w:t>
      </w:r>
      <w:r>
        <w:rPr>
          <w:rFonts w:hint="eastAsia" w:ascii="仿宋" w:hAnsi="仿宋" w:eastAsia="仿宋" w:cs="仿宋"/>
          <w:color w:val="000000"/>
          <w:sz w:val="32"/>
          <w:szCs w:val="32"/>
        </w:rPr>
        <w:t>本年支出合计</w:t>
      </w:r>
      <w:r>
        <w:rPr>
          <w:rFonts w:hint="eastAsia" w:ascii="仿宋" w:hAnsi="仿宋" w:eastAsia="仿宋" w:cs="仿宋"/>
          <w:color w:val="000000"/>
          <w:sz w:val="32"/>
          <w:szCs w:val="32"/>
          <w:lang w:val="en-US" w:eastAsia="zh-CN"/>
        </w:rPr>
        <w:t>453.98</w:t>
      </w:r>
      <w:r>
        <w:rPr>
          <w:rFonts w:hint="eastAsia" w:ascii="仿宋" w:hAnsi="仿宋" w:eastAsia="仿宋" w:cs="仿宋"/>
          <w:color w:val="000000"/>
          <w:sz w:val="32"/>
          <w:szCs w:val="32"/>
        </w:rPr>
        <w:t>万元，其中：基本支出</w:t>
      </w:r>
      <w:r>
        <w:rPr>
          <w:rFonts w:hint="eastAsia" w:ascii="仿宋" w:hAnsi="仿宋" w:eastAsia="仿宋" w:cs="仿宋"/>
          <w:color w:val="000000"/>
          <w:sz w:val="32"/>
          <w:szCs w:val="32"/>
          <w:lang w:val="en-US" w:eastAsia="zh-CN"/>
        </w:rPr>
        <w:t>326.77</w:t>
      </w:r>
      <w:r>
        <w:rPr>
          <w:rFonts w:hint="eastAsia" w:ascii="仿宋" w:hAnsi="仿宋" w:eastAsia="仿宋" w:cs="仿宋"/>
          <w:color w:val="000000"/>
          <w:sz w:val="32"/>
          <w:szCs w:val="32"/>
        </w:rPr>
        <w:t>万元，占</w:t>
      </w:r>
      <w:r>
        <w:rPr>
          <w:rFonts w:hint="eastAsia" w:ascii="仿宋" w:hAnsi="仿宋" w:eastAsia="仿宋" w:cs="仿宋"/>
          <w:color w:val="000000"/>
          <w:sz w:val="32"/>
          <w:szCs w:val="32"/>
          <w:lang w:val="en-US" w:eastAsia="zh-CN"/>
        </w:rPr>
        <w:t>71.97</w:t>
      </w:r>
      <w:r>
        <w:rPr>
          <w:rFonts w:hint="eastAsia" w:ascii="仿宋" w:hAnsi="仿宋" w:eastAsia="仿宋" w:cs="仿宋"/>
          <w:color w:val="000000"/>
          <w:sz w:val="32"/>
          <w:szCs w:val="32"/>
        </w:rPr>
        <w:t>%；项目支出</w:t>
      </w:r>
      <w:r>
        <w:rPr>
          <w:rFonts w:hint="eastAsia" w:ascii="仿宋" w:hAnsi="仿宋" w:eastAsia="仿宋" w:cs="仿宋"/>
          <w:color w:val="000000"/>
          <w:sz w:val="32"/>
          <w:szCs w:val="32"/>
          <w:lang w:val="en-US" w:eastAsia="zh-CN"/>
        </w:rPr>
        <w:t>127.22</w:t>
      </w:r>
      <w:r>
        <w:rPr>
          <w:rFonts w:hint="eastAsia" w:ascii="仿宋" w:hAnsi="仿宋" w:eastAsia="仿宋" w:cs="仿宋"/>
          <w:color w:val="000000"/>
          <w:sz w:val="32"/>
          <w:szCs w:val="32"/>
        </w:rPr>
        <w:t>万元，占</w:t>
      </w:r>
      <w:r>
        <w:rPr>
          <w:rFonts w:hint="eastAsia" w:ascii="仿宋" w:hAnsi="仿宋" w:eastAsia="仿宋" w:cs="仿宋"/>
          <w:color w:val="000000"/>
          <w:sz w:val="32"/>
          <w:szCs w:val="32"/>
          <w:lang w:val="en-US" w:eastAsia="zh-CN"/>
        </w:rPr>
        <w:t>28.02</w:t>
      </w:r>
      <w:r>
        <w:rPr>
          <w:rFonts w:hint="eastAsia" w:ascii="仿宋" w:hAnsi="仿宋" w:eastAsia="仿宋" w:cs="仿宋"/>
          <w:color w:val="000000"/>
          <w:sz w:val="32"/>
          <w:szCs w:val="32"/>
        </w:rPr>
        <w:t>%；上缴上级支出0万元，占0%；经营支出0万元，占0%；对附属单位补助支出0万元，占0%。</w:t>
      </w:r>
      <w:bookmarkEnd w:id="23"/>
    </w:p>
    <w:p w14:paraId="4E2FD534">
      <w:pPr>
        <w:spacing w:line="240" w:lineRule="auto"/>
        <w:jc w:val="center"/>
        <w:rPr>
          <w:rFonts w:ascii="仿宋_GB2312" w:eastAsia="仿宋_GB2312"/>
          <w:sz w:val="32"/>
          <w:szCs w:val="32"/>
        </w:rPr>
      </w:pPr>
      <w:r>
        <w:rPr>
          <w:rFonts w:hint="eastAsia" w:ascii="仿宋" w:hAnsi="仿宋" w:eastAsia="仿宋" w:cs="Times New Roman"/>
          <w:kern w:val="0"/>
          <w:sz w:val="32"/>
          <w:szCs w:val="32"/>
          <w:shd w:val="pct10" w:color="auto" w:fill="FFFFFF"/>
          <w:lang w:val="en-US" w:eastAsia="zh-CN" w:bidi="ar-SA"/>
        </w:rPr>
        <w:object>
          <v:shape id="_x0000_i1027" o:spt="75" type="#_x0000_t75" style="height:218.65pt;width:417.5pt;" o:ole="t" filled="f" o:preferrelative="t" stroked="f" coordsize="21600,21600">
            <v:path/>
            <v:fill on="f" focussize="0,0"/>
            <v:stroke on="f"/>
            <v:imagedata r:id="rId14" o:title=""/>
            <o:lock v:ext="edit" aspectratio="t"/>
            <w10:wrap type="none"/>
            <w10:anchorlock/>
          </v:shape>
          <o:OLEObject Type="Embed" ProgID="Excel.Chart.8" ShapeID="_x0000_i1027" DrawAspect="Content" ObjectID="_1468075727" r:id="rId13">
            <o:LockedField>false</o:LockedField>
          </o:OLEObject>
        </w:object>
      </w:r>
      <w:r>
        <w:rPr>
          <w:rFonts w:hint="eastAsia" w:ascii="仿宋" w:hAnsi="仿宋" w:eastAsia="仿宋"/>
          <w:sz w:val="32"/>
          <w:szCs w:val="32"/>
        </w:rPr>
        <w:t>（图3：支出决算结构图）</w:t>
      </w:r>
    </w:p>
    <w:p w14:paraId="1F1F3269">
      <w:pPr>
        <w:spacing w:line="600" w:lineRule="exact"/>
        <w:ind w:firstLine="640" w:firstLineChars="200"/>
        <w:outlineLvl w:val="1"/>
        <w:rPr>
          <w:rStyle w:val="28"/>
          <w:rFonts w:ascii="黑体" w:hAnsi="黑体" w:eastAsia="黑体"/>
          <w:b w:val="0"/>
        </w:rPr>
      </w:pPr>
      <w:bookmarkStart w:id="24" w:name="_Toc15377208"/>
      <w:bookmarkStart w:id="25" w:name="_Toc15396606"/>
      <w:r>
        <w:rPr>
          <w:rFonts w:hint="eastAsia" w:ascii="黑体" w:hAnsi="黑体" w:eastAsia="黑体"/>
          <w:sz w:val="32"/>
          <w:szCs w:val="32"/>
        </w:rPr>
        <w:t>四、财</w:t>
      </w:r>
      <w:r>
        <w:rPr>
          <w:rStyle w:val="28"/>
          <w:rFonts w:hint="eastAsia" w:ascii="黑体" w:hAnsi="黑体" w:eastAsia="黑体"/>
          <w:b w:val="0"/>
        </w:rPr>
        <w:t>政拨款收入支出决算总体情况说明</w:t>
      </w:r>
      <w:bookmarkEnd w:id="24"/>
      <w:bookmarkEnd w:id="25"/>
    </w:p>
    <w:p w14:paraId="0E956CD7">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20</w:t>
      </w:r>
      <w:r>
        <w:rPr>
          <w:rFonts w:hint="eastAsia" w:ascii="仿宋" w:hAnsi="仿宋" w:eastAsia="仿宋" w:cs="仿宋"/>
          <w:color w:val="auto"/>
          <w:sz w:val="32"/>
          <w:szCs w:val="32"/>
          <w:lang w:val="en-US" w:eastAsia="zh-CN"/>
        </w:rPr>
        <w:t>24</w:t>
      </w:r>
      <w:r>
        <w:rPr>
          <w:rFonts w:hint="eastAsia" w:ascii="仿宋" w:hAnsi="仿宋" w:eastAsia="仿宋" w:cs="仿宋"/>
          <w:color w:val="auto"/>
          <w:sz w:val="32"/>
          <w:szCs w:val="32"/>
        </w:rPr>
        <w:t>年</w:t>
      </w:r>
      <w:r>
        <w:rPr>
          <w:rFonts w:hint="eastAsia" w:ascii="仿宋" w:hAnsi="仿宋" w:eastAsia="仿宋" w:cs="仿宋"/>
          <w:color w:val="auto"/>
          <w:sz w:val="32"/>
          <w:szCs w:val="32"/>
          <w:lang w:eastAsia="zh-CN"/>
        </w:rPr>
        <w:t>度</w:t>
      </w:r>
      <w:r>
        <w:rPr>
          <w:rFonts w:hint="eastAsia" w:ascii="仿宋" w:hAnsi="仿宋" w:eastAsia="仿宋" w:cs="仿宋"/>
          <w:color w:val="auto"/>
          <w:sz w:val="32"/>
          <w:szCs w:val="32"/>
        </w:rPr>
        <w:t>财政拨款</w:t>
      </w:r>
      <w:r>
        <w:rPr>
          <w:rFonts w:hint="eastAsia" w:ascii="仿宋" w:hAnsi="仿宋" w:eastAsia="仿宋" w:cs="仿宋"/>
          <w:color w:val="auto"/>
          <w:sz w:val="32"/>
          <w:szCs w:val="32"/>
          <w:lang w:eastAsia="zh-CN"/>
        </w:rPr>
        <w:t>收入</w:t>
      </w:r>
      <w:r>
        <w:rPr>
          <w:rFonts w:hint="eastAsia" w:ascii="仿宋" w:hAnsi="仿宋" w:eastAsia="仿宋" w:cs="仿宋"/>
          <w:color w:val="auto"/>
          <w:sz w:val="32"/>
          <w:szCs w:val="32"/>
          <w:lang w:val="en-US" w:eastAsia="zh-CN"/>
        </w:rPr>
        <w:t>、支出</w:t>
      </w:r>
      <w:r>
        <w:rPr>
          <w:rFonts w:hint="eastAsia" w:ascii="仿宋" w:hAnsi="仿宋" w:eastAsia="仿宋" w:cs="仿宋"/>
          <w:color w:val="auto"/>
          <w:sz w:val="32"/>
          <w:szCs w:val="32"/>
          <w:lang w:eastAsia="zh-CN"/>
        </w:rPr>
        <w:t>总计均为</w:t>
      </w:r>
      <w:r>
        <w:rPr>
          <w:rFonts w:hint="eastAsia" w:ascii="仿宋" w:hAnsi="仿宋" w:eastAsia="仿宋" w:cs="仿宋"/>
          <w:color w:val="auto"/>
          <w:sz w:val="32"/>
          <w:szCs w:val="32"/>
          <w:lang w:val="en-US" w:eastAsia="zh-CN"/>
        </w:rPr>
        <w:t>390.25万元，与2023年度相比（2023度年为398.84万元），财政拨款收入总计、支出总计各减少8.59万元，下降2.15%。</w:t>
      </w:r>
      <w:r>
        <w:rPr>
          <w:rFonts w:hint="eastAsia" w:ascii="仿宋" w:hAnsi="仿宋" w:eastAsia="仿宋" w:cs="仿宋"/>
          <w:color w:val="auto"/>
          <w:sz w:val="32"/>
          <w:szCs w:val="32"/>
        </w:rPr>
        <w:t>主要变动原因是</w:t>
      </w:r>
      <w:r>
        <w:rPr>
          <w:rFonts w:hint="eastAsia" w:ascii="仿宋" w:hAnsi="仿宋" w:eastAsia="仿宋" w:cs="仿宋"/>
          <w:color w:val="auto"/>
          <w:sz w:val="32"/>
          <w:szCs w:val="32"/>
          <w:lang w:eastAsia="zh-CN"/>
        </w:rPr>
        <w:t>项目支出增加、</w:t>
      </w:r>
      <w:r>
        <w:rPr>
          <w:rFonts w:hint="eastAsia" w:ascii="仿宋" w:hAnsi="仿宋" w:eastAsia="仿宋" w:cs="仿宋"/>
          <w:color w:val="auto"/>
          <w:sz w:val="32"/>
          <w:szCs w:val="32"/>
          <w:lang w:val="en-US" w:eastAsia="zh-CN"/>
        </w:rPr>
        <w:t>人员经费和公用经费减少，导致财政拨款收支同时减少。</w:t>
      </w:r>
    </w:p>
    <w:p w14:paraId="07798B60">
      <w:pPr>
        <w:pStyle w:val="8"/>
        <w:rPr>
          <w:rFonts w:ascii="仿宋" w:hAnsi="仿宋" w:eastAsia="仿宋"/>
          <w:sz w:val="32"/>
          <w:szCs w:val="32"/>
        </w:rPr>
      </w:pPr>
      <w:r>
        <w:rPr>
          <w:rFonts w:hint="eastAsia" w:ascii="仿宋" w:hAnsi="仿宋" w:eastAsia="仿宋" w:cs="Times New Roman"/>
          <w:kern w:val="0"/>
          <w:sz w:val="32"/>
          <w:szCs w:val="32"/>
          <w:lang w:val="en-US" w:eastAsia="zh-CN" w:bidi="ar-SA"/>
        </w:rPr>
        <w:object>
          <v:shape id="_x0000_i1028" o:spt="75" type="#_x0000_t75" style="height:226.2pt;width:477.75pt;" o:ole="t" filled="f" o:preferrelative="t" stroked="f" coordsize="21600,21600">
            <v:path/>
            <v:fill on="f" focussize="0,0"/>
            <v:stroke on="f"/>
            <v:imagedata r:id="rId16" o:title=""/>
            <o:lock v:ext="edit" aspectratio="t"/>
            <w10:wrap type="none"/>
            <w10:anchorlock/>
          </v:shape>
          <o:OLEObject Type="Embed" ProgID="Excel.Chart.8" ShapeID="_x0000_i1028" DrawAspect="Content" ObjectID="_1468075728" r:id="rId15">
            <o:LockedField>false</o:LockedField>
          </o:OLEObject>
        </w:object>
      </w:r>
      <w:r>
        <w:rPr>
          <w:rFonts w:hint="eastAsia" w:ascii="仿宋" w:hAnsi="仿宋" w:eastAsia="仿宋" w:cs="Times New Roman"/>
          <w:kern w:val="0"/>
          <w:sz w:val="32"/>
          <w:szCs w:val="32"/>
          <w:lang w:val="en-US" w:eastAsia="zh-CN" w:bidi="ar-SA"/>
        </w:rPr>
        <w:t xml:space="preserve">   </w:t>
      </w:r>
      <w:r>
        <w:rPr>
          <w:rFonts w:hint="eastAsia" w:ascii="仿宋" w:hAnsi="仿宋" w:eastAsia="仿宋"/>
          <w:sz w:val="32"/>
          <w:szCs w:val="32"/>
        </w:rPr>
        <w:t>（图4：财政拨款收</w:t>
      </w:r>
      <w:r>
        <w:rPr>
          <w:rFonts w:hint="eastAsia" w:ascii="仿宋" w:hAnsi="仿宋" w:eastAsia="仿宋"/>
          <w:sz w:val="32"/>
          <w:szCs w:val="32"/>
          <w:lang w:eastAsia="zh-CN"/>
        </w:rPr>
        <w:t>入</w:t>
      </w:r>
      <w:r>
        <w:rPr>
          <w:rFonts w:hint="eastAsia" w:ascii="仿宋" w:hAnsi="仿宋" w:eastAsia="仿宋"/>
          <w:sz w:val="32"/>
          <w:szCs w:val="32"/>
        </w:rPr>
        <w:t>、支</w:t>
      </w:r>
      <w:r>
        <w:rPr>
          <w:rFonts w:hint="eastAsia" w:ascii="仿宋" w:hAnsi="仿宋" w:eastAsia="仿宋"/>
          <w:sz w:val="32"/>
          <w:szCs w:val="32"/>
          <w:lang w:eastAsia="zh-CN"/>
        </w:rPr>
        <w:t>出</w:t>
      </w:r>
      <w:r>
        <w:rPr>
          <w:rFonts w:hint="eastAsia" w:ascii="仿宋" w:hAnsi="仿宋" w:eastAsia="仿宋"/>
          <w:sz w:val="32"/>
          <w:szCs w:val="32"/>
        </w:rPr>
        <w:t>决算总计变动情况）</w:t>
      </w:r>
    </w:p>
    <w:p w14:paraId="1A1B3F48">
      <w:pPr>
        <w:spacing w:line="600" w:lineRule="exact"/>
        <w:ind w:firstLine="960" w:firstLineChars="300"/>
        <w:outlineLvl w:val="1"/>
        <w:rPr>
          <w:rStyle w:val="28"/>
          <w:rFonts w:ascii="黑体" w:hAnsi="黑体" w:eastAsia="黑体"/>
          <w:b w:val="0"/>
          <w:sz w:val="32"/>
          <w:szCs w:val="32"/>
        </w:rPr>
      </w:pPr>
      <w:bookmarkStart w:id="26" w:name="_Toc15396607"/>
      <w:bookmarkStart w:id="27" w:name="_Toc15377209"/>
      <w:r>
        <w:rPr>
          <w:rFonts w:hint="eastAsia" w:ascii="黑体" w:hAnsi="黑体" w:eastAsia="黑体"/>
          <w:sz w:val="32"/>
          <w:szCs w:val="32"/>
        </w:rPr>
        <w:t>五、</w:t>
      </w:r>
      <w:r>
        <w:rPr>
          <w:rFonts w:hint="eastAsia" w:ascii="黑体" w:hAnsi="黑体" w:eastAsia="黑体"/>
          <w:b/>
          <w:sz w:val="32"/>
          <w:szCs w:val="32"/>
        </w:rPr>
        <w:t>一</w:t>
      </w:r>
      <w:r>
        <w:rPr>
          <w:rStyle w:val="28"/>
          <w:rFonts w:hint="eastAsia" w:ascii="黑体" w:hAnsi="黑体" w:eastAsia="黑体"/>
          <w:b w:val="0"/>
          <w:sz w:val="32"/>
          <w:szCs w:val="32"/>
        </w:rPr>
        <w:t>般公共预算财政拨款支出决算情况说明</w:t>
      </w:r>
      <w:bookmarkEnd w:id="26"/>
      <w:bookmarkEnd w:id="27"/>
    </w:p>
    <w:p w14:paraId="1F0F2B33">
      <w:pPr>
        <w:spacing w:line="600" w:lineRule="exact"/>
        <w:ind w:firstLine="964" w:firstLineChars="300"/>
        <w:outlineLvl w:val="2"/>
        <w:rPr>
          <w:rFonts w:hint="eastAsia" w:ascii="仿宋" w:hAnsi="仿宋" w:eastAsia="仿宋" w:cs="仿宋"/>
          <w:b/>
          <w:sz w:val="32"/>
          <w:szCs w:val="32"/>
        </w:rPr>
      </w:pPr>
      <w:bookmarkStart w:id="28" w:name="_Toc15377210"/>
      <w:r>
        <w:rPr>
          <w:rFonts w:hint="eastAsia" w:ascii="仿宋" w:hAnsi="仿宋" w:eastAsia="仿宋" w:cs="仿宋"/>
          <w:b/>
          <w:sz w:val="32"/>
          <w:szCs w:val="32"/>
        </w:rPr>
        <w:t>（一）一般公共预算财政拨款支出决算总体情况</w:t>
      </w:r>
      <w:bookmarkEnd w:id="28"/>
    </w:p>
    <w:p w14:paraId="32D07411">
      <w:pPr>
        <w:ind w:firstLine="640" w:firstLineChars="200"/>
        <w:rPr>
          <w:rFonts w:hint="eastAsia" w:ascii="仿宋" w:hAnsi="仿宋" w:eastAsia="仿宋" w:cs="仿宋"/>
          <w:color w:val="auto"/>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eastAsia="zh-CN"/>
        </w:rPr>
        <w:t>度</w:t>
      </w:r>
      <w:r>
        <w:rPr>
          <w:rFonts w:hint="eastAsia" w:ascii="仿宋" w:hAnsi="仿宋" w:eastAsia="仿宋" w:cs="仿宋"/>
          <w:sz w:val="32"/>
          <w:szCs w:val="32"/>
        </w:rPr>
        <w:t>一般公共预算财政拨款支出</w:t>
      </w:r>
      <w:r>
        <w:rPr>
          <w:rFonts w:hint="eastAsia" w:ascii="仿宋" w:hAnsi="仿宋" w:eastAsia="仿宋" w:cs="仿宋"/>
          <w:sz w:val="32"/>
          <w:szCs w:val="32"/>
          <w:lang w:val="en-US" w:eastAsia="zh-CN"/>
        </w:rPr>
        <w:t>390.25</w:t>
      </w:r>
      <w:r>
        <w:rPr>
          <w:rFonts w:hint="eastAsia" w:ascii="仿宋" w:hAnsi="仿宋" w:eastAsia="仿宋" w:cs="仿宋"/>
          <w:sz w:val="32"/>
          <w:szCs w:val="32"/>
        </w:rPr>
        <w:t>万元，占本年支出合计的</w:t>
      </w:r>
      <w:r>
        <w:rPr>
          <w:rFonts w:hint="eastAsia" w:ascii="仿宋" w:hAnsi="仿宋" w:eastAsia="仿宋" w:cs="仿宋"/>
          <w:sz w:val="32"/>
          <w:szCs w:val="32"/>
          <w:lang w:val="en-US" w:eastAsia="zh-CN"/>
        </w:rPr>
        <w:t>85.96</w:t>
      </w:r>
      <w:r>
        <w:rPr>
          <w:rFonts w:hint="eastAsia" w:ascii="仿宋" w:hAnsi="仿宋" w:eastAsia="仿宋" w:cs="仿宋"/>
          <w:sz w:val="32"/>
          <w:szCs w:val="32"/>
        </w:rPr>
        <w:t>%。与202</w:t>
      </w:r>
      <w:r>
        <w:rPr>
          <w:rFonts w:hint="eastAsia" w:ascii="仿宋" w:hAnsi="仿宋" w:eastAsia="仿宋" w:cs="仿宋"/>
          <w:sz w:val="32"/>
          <w:szCs w:val="32"/>
          <w:lang w:val="en-US" w:eastAsia="zh-CN"/>
        </w:rPr>
        <w:t>3</w:t>
      </w:r>
      <w:r>
        <w:rPr>
          <w:rFonts w:hint="eastAsia" w:ascii="仿宋" w:hAnsi="仿宋" w:eastAsia="仿宋" w:cs="仿宋"/>
          <w:sz w:val="32"/>
          <w:szCs w:val="32"/>
        </w:rPr>
        <w:t>年</w:t>
      </w:r>
      <w:r>
        <w:rPr>
          <w:rFonts w:hint="eastAsia" w:ascii="仿宋" w:hAnsi="仿宋" w:eastAsia="仿宋" w:cs="仿宋"/>
          <w:sz w:val="32"/>
          <w:szCs w:val="32"/>
          <w:lang w:eastAsia="zh-CN"/>
        </w:rPr>
        <w:t>度</w:t>
      </w:r>
      <w:r>
        <w:rPr>
          <w:rFonts w:hint="eastAsia" w:ascii="仿宋" w:hAnsi="仿宋" w:eastAsia="仿宋" w:cs="仿宋"/>
          <w:sz w:val="32"/>
          <w:szCs w:val="32"/>
          <w:lang w:val="en-US" w:eastAsia="zh-CN"/>
        </w:rPr>
        <w:t>398.84万元</w:t>
      </w:r>
      <w:r>
        <w:rPr>
          <w:rFonts w:hint="eastAsia" w:ascii="仿宋" w:hAnsi="仿宋" w:eastAsia="仿宋" w:cs="仿宋"/>
          <w:sz w:val="32"/>
          <w:szCs w:val="32"/>
        </w:rPr>
        <w:t>相比，一般公共预算财政拨款支出</w:t>
      </w:r>
      <w:r>
        <w:rPr>
          <w:rFonts w:hint="eastAsia" w:ascii="仿宋" w:hAnsi="仿宋" w:eastAsia="仿宋" w:cs="仿宋"/>
          <w:sz w:val="32"/>
          <w:szCs w:val="32"/>
          <w:lang w:eastAsia="zh-CN"/>
        </w:rPr>
        <w:t>减少</w:t>
      </w:r>
      <w:r>
        <w:rPr>
          <w:rFonts w:hint="eastAsia" w:ascii="仿宋" w:hAnsi="仿宋" w:eastAsia="仿宋" w:cs="仿宋"/>
          <w:sz w:val="32"/>
          <w:szCs w:val="32"/>
          <w:lang w:val="en-US" w:eastAsia="zh-CN"/>
        </w:rPr>
        <w:t>8.59</w:t>
      </w:r>
      <w:r>
        <w:rPr>
          <w:rFonts w:hint="eastAsia" w:ascii="仿宋" w:hAnsi="仿宋" w:eastAsia="仿宋" w:cs="仿宋"/>
          <w:sz w:val="32"/>
          <w:szCs w:val="32"/>
        </w:rPr>
        <w:t>元，</w:t>
      </w:r>
      <w:r>
        <w:rPr>
          <w:rFonts w:hint="eastAsia" w:ascii="仿宋" w:hAnsi="仿宋" w:eastAsia="仿宋" w:cs="仿宋"/>
          <w:sz w:val="32"/>
          <w:szCs w:val="32"/>
          <w:lang w:eastAsia="zh-CN"/>
        </w:rPr>
        <w:t>下降</w:t>
      </w:r>
      <w:r>
        <w:rPr>
          <w:rFonts w:hint="eastAsia" w:ascii="仿宋" w:hAnsi="仿宋" w:eastAsia="仿宋" w:cs="仿宋"/>
          <w:sz w:val="32"/>
          <w:szCs w:val="32"/>
          <w:lang w:val="en-US" w:eastAsia="zh-CN"/>
        </w:rPr>
        <w:t>2.15</w:t>
      </w:r>
      <w:r>
        <w:rPr>
          <w:rFonts w:hint="eastAsia" w:ascii="仿宋" w:hAnsi="仿宋" w:eastAsia="仿宋" w:cs="仿宋"/>
          <w:sz w:val="32"/>
          <w:szCs w:val="32"/>
        </w:rPr>
        <w:t>%。</w:t>
      </w:r>
      <w:r>
        <w:rPr>
          <w:rFonts w:hint="eastAsia" w:ascii="仿宋" w:hAnsi="仿宋" w:eastAsia="仿宋" w:cs="仿宋"/>
          <w:color w:val="auto"/>
          <w:sz w:val="32"/>
          <w:szCs w:val="32"/>
        </w:rPr>
        <w:t>主要变动原因是</w:t>
      </w:r>
      <w:r>
        <w:rPr>
          <w:rFonts w:hint="eastAsia" w:ascii="仿宋" w:hAnsi="仿宋" w:eastAsia="仿宋" w:cs="仿宋"/>
          <w:color w:val="auto"/>
          <w:sz w:val="32"/>
          <w:szCs w:val="32"/>
          <w:lang w:eastAsia="zh-CN"/>
        </w:rPr>
        <w:t>项目支出增加、</w:t>
      </w:r>
      <w:r>
        <w:rPr>
          <w:rFonts w:hint="eastAsia" w:ascii="仿宋" w:hAnsi="仿宋" w:eastAsia="仿宋" w:cs="仿宋"/>
          <w:color w:val="auto"/>
          <w:sz w:val="32"/>
          <w:szCs w:val="32"/>
          <w:lang w:val="en-US" w:eastAsia="zh-CN"/>
        </w:rPr>
        <w:t>人员经费和公用经费减少，故支出相应较上年减少。</w:t>
      </w:r>
    </w:p>
    <w:p w14:paraId="1F59D19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sz w:val="32"/>
          <w:szCs w:val="32"/>
          <w:lang w:eastAsia="zh-CN"/>
        </w:rPr>
      </w:pPr>
      <w:r>
        <w:rPr>
          <w:rFonts w:hint="eastAsia" w:ascii="仿宋" w:hAnsi="仿宋" w:eastAsia="仿宋" w:cs="Times New Roman"/>
          <w:kern w:val="0"/>
          <w:sz w:val="32"/>
          <w:szCs w:val="32"/>
          <w:lang w:val="en-US" w:eastAsia="zh-CN" w:bidi="ar-SA"/>
        </w:rPr>
        <w:object>
          <v:shape id="_x0000_i1029" o:spt="75" type="#_x0000_t75" style="height:214.95pt;width:433pt;" o:ole="t" filled="f" o:preferrelative="t" stroked="f" coordsize="21600,21600">
            <v:path/>
            <v:fill on="f" focussize="0,0"/>
            <v:stroke on="f"/>
            <v:imagedata r:id="rId18" o:title=""/>
            <o:lock v:ext="edit" aspectratio="t"/>
            <w10:wrap type="none"/>
            <w10:anchorlock/>
          </v:shape>
          <o:OLEObject Type="Embed" ProgID="Excel.Chart.8" ShapeID="_x0000_i1029" DrawAspect="Content" ObjectID="_1468075729" r:id="rId17">
            <o:LockedField>false</o:LockedField>
          </o:OLEObject>
        </w:object>
      </w:r>
      <w:r>
        <w:rPr>
          <w:rFonts w:hint="eastAsia" w:ascii="仿宋" w:hAnsi="仿宋" w:eastAsia="仿宋"/>
          <w:sz w:val="32"/>
          <w:szCs w:val="32"/>
        </w:rPr>
        <w:t>（图5：一般公共预算财政拨款支出决算变动情况）</w:t>
      </w:r>
      <w:bookmarkStart w:id="29" w:name="_Toc15377211"/>
    </w:p>
    <w:p w14:paraId="66046772">
      <w:pPr>
        <w:spacing w:line="240" w:lineRule="auto"/>
        <w:ind w:firstLine="643" w:firstLineChars="200"/>
        <w:rPr>
          <w:rFonts w:hint="eastAsia" w:ascii="仿宋" w:hAnsi="仿宋" w:eastAsia="仿宋" w:cs="仿宋"/>
          <w:b/>
          <w:bCs w:val="0"/>
          <w:sz w:val="32"/>
          <w:szCs w:val="32"/>
        </w:rPr>
      </w:pPr>
      <w:r>
        <w:rPr>
          <w:rFonts w:hint="eastAsia" w:ascii="仿宋" w:hAnsi="仿宋" w:eastAsia="仿宋" w:cs="仿宋"/>
          <w:b/>
          <w:bCs w:val="0"/>
          <w:sz w:val="32"/>
          <w:szCs w:val="32"/>
        </w:rPr>
        <w:t>（二）一般公共预算财政拨款支出决算结构情况</w:t>
      </w:r>
      <w:bookmarkEnd w:id="29"/>
    </w:p>
    <w:p w14:paraId="615DE8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kern w:val="0"/>
          <w:sz w:val="32"/>
          <w:szCs w:val="32"/>
          <w:lang w:val="en-US" w:eastAsia="zh-CN" w:bidi="ar-SA"/>
        </w:rPr>
        <w:pict>
          <v:shape id="_x0000_s1042" o:spid="_x0000_s1042" o:spt="75" type="#_x0000_t75" style="position:absolute;left:0pt;margin-left:0.8pt;margin-top:174.35pt;height:220.15pt;width:418.4pt;mso-wrap-distance-bottom:0pt;mso-wrap-distance-left:9pt;mso-wrap-distance-right:9pt;mso-wrap-distance-top:0pt;z-index:251661312;mso-width-relative:page;mso-height-relative:page;" o:ole="t" filled="f" o:preferrelative="t" stroked="f" coordsize="21600,21600">
            <v:path/>
            <v:fill on="f" focussize="0,0"/>
            <v:stroke on="f"/>
            <v:imagedata r:id="rId20" o:title=""/>
            <o:lock v:ext="edit" aspectratio="t"/>
            <w10:wrap type="square"/>
          </v:shape>
          <o:OLEObject Type="Embed" ProgID="Excel.Chart.8" ShapeID="_x0000_s1042" DrawAspect="Content" ObjectID="_1468075730" r:id="rId19">
            <o:LockedField>false</o:LockedField>
          </o:OLEObject>
        </w:pict>
      </w:r>
      <w:r>
        <w:rPr>
          <w:rFonts w:hint="eastAsia" w:ascii="仿宋" w:hAnsi="仿宋" w:eastAsia="仿宋" w:cs="仿宋"/>
          <w:b w:val="0"/>
          <w:bCs w:val="0"/>
          <w:sz w:val="32"/>
          <w:szCs w:val="32"/>
        </w:rPr>
        <w:t>202</w:t>
      </w:r>
      <w:r>
        <w:rPr>
          <w:rFonts w:hint="eastAsia" w:ascii="仿宋" w:hAnsi="仿宋" w:eastAsia="仿宋" w:cs="仿宋"/>
          <w:b w:val="0"/>
          <w:bCs w:val="0"/>
          <w:sz w:val="32"/>
          <w:szCs w:val="32"/>
          <w:lang w:val="en-US" w:eastAsia="zh-CN"/>
        </w:rPr>
        <w:t>4</w:t>
      </w:r>
      <w:r>
        <w:rPr>
          <w:rFonts w:hint="eastAsia" w:ascii="仿宋" w:hAnsi="仿宋" w:eastAsia="仿宋" w:cs="仿宋"/>
          <w:b w:val="0"/>
          <w:bCs w:val="0"/>
          <w:sz w:val="32"/>
          <w:szCs w:val="32"/>
        </w:rPr>
        <w:t>年</w:t>
      </w:r>
      <w:r>
        <w:rPr>
          <w:rFonts w:hint="eastAsia" w:ascii="仿宋" w:hAnsi="仿宋" w:eastAsia="仿宋" w:cs="仿宋"/>
          <w:b w:val="0"/>
          <w:bCs w:val="0"/>
          <w:sz w:val="32"/>
          <w:szCs w:val="32"/>
          <w:lang w:eastAsia="zh-CN"/>
        </w:rPr>
        <w:t>度</w:t>
      </w:r>
      <w:r>
        <w:rPr>
          <w:rFonts w:hint="eastAsia" w:ascii="仿宋" w:hAnsi="仿宋" w:eastAsia="仿宋" w:cs="仿宋"/>
          <w:b w:val="0"/>
          <w:bCs w:val="0"/>
          <w:sz w:val="32"/>
          <w:szCs w:val="32"/>
        </w:rPr>
        <w:t>一般公共预算财政拨款支出</w:t>
      </w:r>
      <w:r>
        <w:rPr>
          <w:rFonts w:hint="eastAsia" w:ascii="仿宋" w:hAnsi="仿宋" w:eastAsia="仿宋" w:cs="仿宋"/>
          <w:b w:val="0"/>
          <w:bCs w:val="0"/>
          <w:color w:val="auto"/>
          <w:sz w:val="32"/>
          <w:szCs w:val="32"/>
          <w:lang w:val="en-US" w:eastAsia="zh-CN"/>
        </w:rPr>
        <w:t>390.25</w:t>
      </w:r>
      <w:r>
        <w:rPr>
          <w:rFonts w:hint="eastAsia" w:ascii="仿宋" w:hAnsi="仿宋" w:eastAsia="仿宋" w:cs="仿宋"/>
          <w:b w:val="0"/>
          <w:bCs w:val="0"/>
          <w:color w:val="auto"/>
          <w:sz w:val="32"/>
          <w:szCs w:val="32"/>
        </w:rPr>
        <w:t>万元</w:t>
      </w:r>
      <w:r>
        <w:rPr>
          <w:rFonts w:hint="eastAsia" w:ascii="仿宋" w:hAnsi="仿宋" w:eastAsia="仿宋" w:cs="仿宋"/>
          <w:b w:val="0"/>
          <w:bCs w:val="0"/>
          <w:sz w:val="32"/>
          <w:szCs w:val="32"/>
        </w:rPr>
        <w:t>，主要用于以下方面:一般公共服务支出</w:t>
      </w:r>
      <w:r>
        <w:rPr>
          <w:rFonts w:hint="eastAsia" w:ascii="仿宋" w:hAnsi="仿宋" w:eastAsia="仿宋" w:cs="仿宋"/>
          <w:b w:val="0"/>
          <w:bCs w:val="0"/>
          <w:sz w:val="32"/>
          <w:szCs w:val="32"/>
          <w:lang w:val="en-US" w:eastAsia="zh-CN"/>
        </w:rPr>
        <w:t>0</w:t>
      </w:r>
      <w:r>
        <w:rPr>
          <w:rFonts w:hint="eastAsia" w:ascii="仿宋" w:hAnsi="仿宋" w:eastAsia="仿宋" w:cs="仿宋"/>
          <w:b w:val="0"/>
          <w:bCs w:val="0"/>
          <w:sz w:val="32"/>
          <w:szCs w:val="32"/>
        </w:rPr>
        <w:t>万元，占</w:t>
      </w:r>
      <w:r>
        <w:rPr>
          <w:rFonts w:hint="eastAsia" w:ascii="仿宋" w:hAnsi="仿宋" w:eastAsia="仿宋" w:cs="仿宋"/>
          <w:b w:val="0"/>
          <w:bCs w:val="0"/>
          <w:sz w:val="32"/>
          <w:szCs w:val="32"/>
          <w:lang w:val="en-US" w:eastAsia="zh-CN"/>
        </w:rPr>
        <w:t>0</w:t>
      </w:r>
      <w:r>
        <w:rPr>
          <w:rFonts w:hint="eastAsia" w:ascii="仿宋" w:hAnsi="仿宋" w:eastAsia="仿宋" w:cs="仿宋"/>
          <w:b w:val="0"/>
          <w:bCs w:val="0"/>
          <w:sz w:val="32"/>
          <w:szCs w:val="32"/>
        </w:rPr>
        <w:t>%；教育支出</w:t>
      </w:r>
      <w:r>
        <w:rPr>
          <w:rFonts w:hint="eastAsia" w:ascii="仿宋" w:hAnsi="仿宋" w:eastAsia="仿宋" w:cs="仿宋"/>
          <w:b w:val="0"/>
          <w:bCs w:val="0"/>
          <w:sz w:val="32"/>
          <w:szCs w:val="32"/>
          <w:lang w:val="en-US" w:eastAsia="zh-CN"/>
        </w:rPr>
        <w:t>0</w:t>
      </w:r>
      <w:r>
        <w:rPr>
          <w:rFonts w:hint="eastAsia" w:ascii="仿宋" w:hAnsi="仿宋" w:eastAsia="仿宋" w:cs="仿宋"/>
          <w:b w:val="0"/>
          <w:bCs w:val="0"/>
          <w:sz w:val="32"/>
          <w:szCs w:val="32"/>
        </w:rPr>
        <w:t>万元，占</w:t>
      </w:r>
      <w:r>
        <w:rPr>
          <w:rFonts w:hint="eastAsia" w:ascii="仿宋" w:hAnsi="仿宋" w:eastAsia="仿宋" w:cs="仿宋"/>
          <w:b w:val="0"/>
          <w:bCs w:val="0"/>
          <w:sz w:val="32"/>
          <w:szCs w:val="32"/>
          <w:lang w:val="en-US" w:eastAsia="zh-CN"/>
        </w:rPr>
        <w:t>0</w:t>
      </w:r>
      <w:r>
        <w:rPr>
          <w:rFonts w:hint="eastAsia" w:ascii="仿宋" w:hAnsi="仿宋" w:eastAsia="仿宋" w:cs="仿宋"/>
          <w:b w:val="0"/>
          <w:bCs w:val="0"/>
          <w:sz w:val="32"/>
          <w:szCs w:val="32"/>
        </w:rPr>
        <w:t>%；科学技术支出</w:t>
      </w:r>
      <w:r>
        <w:rPr>
          <w:rFonts w:hint="eastAsia" w:ascii="仿宋" w:hAnsi="仿宋" w:eastAsia="仿宋" w:cs="仿宋"/>
          <w:b w:val="0"/>
          <w:bCs w:val="0"/>
          <w:sz w:val="32"/>
          <w:szCs w:val="32"/>
          <w:lang w:val="en-US" w:eastAsia="zh-CN"/>
        </w:rPr>
        <w:t>0</w:t>
      </w:r>
      <w:r>
        <w:rPr>
          <w:rFonts w:hint="eastAsia" w:ascii="仿宋" w:hAnsi="仿宋" w:eastAsia="仿宋" w:cs="仿宋"/>
          <w:b w:val="0"/>
          <w:bCs w:val="0"/>
          <w:sz w:val="32"/>
          <w:szCs w:val="32"/>
        </w:rPr>
        <w:t>万元，占</w:t>
      </w:r>
      <w:r>
        <w:rPr>
          <w:rFonts w:hint="eastAsia" w:ascii="仿宋" w:hAnsi="仿宋" w:eastAsia="仿宋" w:cs="仿宋"/>
          <w:b w:val="0"/>
          <w:bCs w:val="0"/>
          <w:sz w:val="32"/>
          <w:szCs w:val="32"/>
          <w:lang w:val="en-US" w:eastAsia="zh-CN"/>
        </w:rPr>
        <w:t>0</w:t>
      </w:r>
      <w:r>
        <w:rPr>
          <w:rFonts w:hint="eastAsia" w:ascii="仿宋" w:hAnsi="仿宋" w:eastAsia="仿宋" w:cs="仿宋"/>
          <w:b w:val="0"/>
          <w:bCs w:val="0"/>
          <w:sz w:val="32"/>
          <w:szCs w:val="32"/>
        </w:rPr>
        <w:t>%；文化旅游体育与传媒支出</w:t>
      </w:r>
      <w:r>
        <w:rPr>
          <w:rFonts w:hint="eastAsia" w:ascii="仿宋" w:hAnsi="仿宋" w:eastAsia="仿宋" w:cs="仿宋"/>
          <w:b w:val="0"/>
          <w:bCs w:val="0"/>
          <w:sz w:val="32"/>
          <w:szCs w:val="32"/>
          <w:lang w:val="en-US" w:eastAsia="zh-CN"/>
        </w:rPr>
        <w:t>0</w:t>
      </w:r>
      <w:r>
        <w:rPr>
          <w:rFonts w:hint="eastAsia" w:ascii="仿宋" w:hAnsi="仿宋" w:eastAsia="仿宋" w:cs="仿宋"/>
          <w:b w:val="0"/>
          <w:bCs w:val="0"/>
          <w:sz w:val="32"/>
          <w:szCs w:val="32"/>
        </w:rPr>
        <w:t>万元，占</w:t>
      </w:r>
      <w:r>
        <w:rPr>
          <w:rFonts w:hint="eastAsia" w:ascii="仿宋" w:hAnsi="仿宋" w:eastAsia="仿宋" w:cs="仿宋"/>
          <w:b w:val="0"/>
          <w:bCs w:val="0"/>
          <w:sz w:val="32"/>
          <w:szCs w:val="32"/>
          <w:lang w:val="en-US" w:eastAsia="zh-CN"/>
        </w:rPr>
        <w:t>0</w:t>
      </w:r>
      <w:r>
        <w:rPr>
          <w:rFonts w:hint="eastAsia" w:ascii="仿宋" w:hAnsi="仿宋" w:eastAsia="仿宋" w:cs="仿宋"/>
          <w:b w:val="0"/>
          <w:bCs w:val="0"/>
          <w:sz w:val="32"/>
          <w:szCs w:val="32"/>
        </w:rPr>
        <w:t>%；社会保障和就业支出</w:t>
      </w:r>
      <w:r>
        <w:rPr>
          <w:rFonts w:hint="eastAsia" w:ascii="仿宋" w:hAnsi="仿宋" w:eastAsia="仿宋" w:cs="仿宋"/>
          <w:b w:val="0"/>
          <w:bCs w:val="0"/>
          <w:sz w:val="32"/>
          <w:szCs w:val="32"/>
          <w:lang w:val="en-US" w:eastAsia="zh-CN"/>
        </w:rPr>
        <w:t>40.96</w:t>
      </w:r>
      <w:r>
        <w:rPr>
          <w:rFonts w:hint="eastAsia" w:ascii="仿宋" w:hAnsi="仿宋" w:eastAsia="仿宋" w:cs="仿宋"/>
          <w:b w:val="0"/>
          <w:bCs w:val="0"/>
          <w:sz w:val="32"/>
          <w:szCs w:val="32"/>
        </w:rPr>
        <w:t>万元，占</w:t>
      </w:r>
      <w:r>
        <w:rPr>
          <w:rFonts w:hint="eastAsia" w:ascii="仿宋" w:hAnsi="仿宋" w:eastAsia="仿宋" w:cs="仿宋"/>
          <w:b w:val="0"/>
          <w:bCs w:val="0"/>
          <w:sz w:val="32"/>
          <w:szCs w:val="32"/>
          <w:lang w:val="en-US" w:eastAsia="zh-CN"/>
        </w:rPr>
        <w:t>10.50</w:t>
      </w:r>
      <w:r>
        <w:rPr>
          <w:rFonts w:hint="eastAsia" w:ascii="仿宋" w:hAnsi="仿宋" w:eastAsia="仿宋" w:cs="仿宋"/>
          <w:b w:val="0"/>
          <w:bCs w:val="0"/>
          <w:sz w:val="32"/>
          <w:szCs w:val="32"/>
        </w:rPr>
        <w:t>%；卫生健康支出</w:t>
      </w:r>
      <w:r>
        <w:rPr>
          <w:rFonts w:hint="eastAsia" w:ascii="仿宋" w:hAnsi="仿宋" w:eastAsia="仿宋" w:cs="仿宋"/>
          <w:b w:val="0"/>
          <w:bCs w:val="0"/>
          <w:sz w:val="32"/>
          <w:szCs w:val="32"/>
          <w:lang w:val="en-US" w:eastAsia="zh-CN"/>
        </w:rPr>
        <w:t>327.15</w:t>
      </w:r>
      <w:r>
        <w:rPr>
          <w:rFonts w:hint="eastAsia" w:ascii="仿宋" w:hAnsi="仿宋" w:eastAsia="仿宋" w:cs="仿宋"/>
          <w:b w:val="0"/>
          <w:bCs w:val="0"/>
          <w:sz w:val="32"/>
          <w:szCs w:val="32"/>
        </w:rPr>
        <w:t>万元，占</w:t>
      </w:r>
      <w:r>
        <w:rPr>
          <w:rFonts w:hint="eastAsia" w:ascii="仿宋" w:hAnsi="仿宋" w:eastAsia="仿宋" w:cs="仿宋"/>
          <w:b w:val="0"/>
          <w:bCs w:val="0"/>
          <w:sz w:val="32"/>
          <w:szCs w:val="32"/>
          <w:lang w:val="en-US" w:eastAsia="zh-CN"/>
        </w:rPr>
        <w:t>83.83</w:t>
      </w:r>
      <w:r>
        <w:rPr>
          <w:rFonts w:hint="eastAsia" w:ascii="仿宋" w:hAnsi="仿宋" w:eastAsia="仿宋" w:cs="仿宋"/>
          <w:b w:val="0"/>
          <w:bCs w:val="0"/>
          <w:sz w:val="32"/>
          <w:szCs w:val="32"/>
        </w:rPr>
        <w:t>%；住房保障支出</w:t>
      </w:r>
      <w:r>
        <w:rPr>
          <w:rFonts w:hint="eastAsia" w:ascii="仿宋" w:hAnsi="仿宋" w:eastAsia="仿宋" w:cs="仿宋"/>
          <w:b w:val="0"/>
          <w:bCs w:val="0"/>
          <w:sz w:val="32"/>
          <w:szCs w:val="32"/>
          <w:lang w:val="en-US" w:eastAsia="zh-CN"/>
        </w:rPr>
        <w:t>22.15</w:t>
      </w:r>
      <w:r>
        <w:rPr>
          <w:rFonts w:hint="eastAsia" w:ascii="仿宋" w:hAnsi="仿宋" w:eastAsia="仿宋" w:cs="仿宋"/>
          <w:b w:val="0"/>
          <w:bCs w:val="0"/>
          <w:sz w:val="32"/>
          <w:szCs w:val="32"/>
        </w:rPr>
        <w:t>万元，占</w:t>
      </w:r>
      <w:r>
        <w:rPr>
          <w:rFonts w:hint="eastAsia" w:ascii="仿宋" w:hAnsi="仿宋" w:eastAsia="仿宋" w:cs="仿宋"/>
          <w:b w:val="0"/>
          <w:bCs w:val="0"/>
          <w:sz w:val="32"/>
          <w:szCs w:val="32"/>
          <w:lang w:val="en-US" w:eastAsia="zh-CN"/>
        </w:rPr>
        <w:t>5.68</w:t>
      </w:r>
      <w:r>
        <w:rPr>
          <w:rFonts w:hint="eastAsia" w:ascii="仿宋" w:hAnsi="仿宋" w:eastAsia="仿宋" w:cs="仿宋"/>
          <w:b w:val="0"/>
          <w:bCs w:val="0"/>
          <w:sz w:val="32"/>
          <w:szCs w:val="32"/>
        </w:rPr>
        <w:t>%。</w:t>
      </w:r>
    </w:p>
    <w:p w14:paraId="09FE73D1">
      <w:pPr>
        <w:spacing w:line="600" w:lineRule="exact"/>
        <w:ind w:firstLine="640"/>
        <w:rPr>
          <w:rFonts w:ascii="仿宋" w:hAnsi="仿宋" w:eastAsia="仿宋"/>
          <w:sz w:val="32"/>
          <w:szCs w:val="32"/>
        </w:rPr>
      </w:pPr>
      <w:r>
        <w:rPr>
          <w:rFonts w:hint="eastAsia" w:ascii="仿宋" w:hAnsi="仿宋" w:eastAsia="仿宋"/>
          <w:sz w:val="32"/>
          <w:szCs w:val="32"/>
        </w:rPr>
        <w:t>（图6：一般公共预算财政拨款支出决算结构）</w:t>
      </w:r>
    </w:p>
    <w:p w14:paraId="4901385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eastAsia" w:ascii="仿宋" w:hAnsi="仿宋" w:eastAsia="仿宋" w:cs="仿宋"/>
          <w:b/>
          <w:sz w:val="32"/>
          <w:szCs w:val="32"/>
        </w:rPr>
      </w:pPr>
      <w:bookmarkStart w:id="30" w:name="_Toc15377212"/>
      <w:r>
        <w:rPr>
          <w:rFonts w:hint="eastAsia" w:ascii="仿宋" w:hAnsi="仿宋" w:eastAsia="仿宋" w:cs="仿宋"/>
          <w:b/>
          <w:sz w:val="32"/>
          <w:szCs w:val="32"/>
        </w:rPr>
        <w:t>（三）一般公共预算财政拨款支出决算具体情况</w:t>
      </w:r>
      <w:bookmarkEnd w:id="30"/>
    </w:p>
    <w:p w14:paraId="0854CDFA">
      <w:pPr>
        <w:keepNext w:val="0"/>
        <w:keepLines w:val="0"/>
        <w:pageBreakBefore w:val="0"/>
        <w:kinsoku/>
        <w:wordWrap/>
        <w:overflowPunct/>
        <w:topLinePunct w:val="0"/>
        <w:bidi w:val="0"/>
        <w:snapToGrid/>
        <w:spacing w:line="560" w:lineRule="exact"/>
        <w:ind w:firstLine="640" w:firstLineChars="200"/>
        <w:textAlignment w:val="auto"/>
        <w:outlineLvl w:val="2"/>
        <w:rPr>
          <w:rFonts w:hint="eastAsia" w:ascii="仿宋" w:hAnsi="仿宋" w:eastAsia="仿宋" w:cs="仿宋"/>
          <w:b w:val="0"/>
          <w:bCs/>
          <w:color w:val="FF0000"/>
          <w:sz w:val="32"/>
          <w:szCs w:val="32"/>
        </w:rPr>
      </w:pPr>
      <w:bookmarkStart w:id="31" w:name="_Toc52180084"/>
      <w:bookmarkStart w:id="32" w:name="_Toc15377213"/>
      <w:bookmarkStart w:id="33" w:name="_Toc15377444"/>
      <w:bookmarkStart w:id="34" w:name="_Toc15378460"/>
      <w:r>
        <w:rPr>
          <w:rFonts w:hint="eastAsia" w:ascii="仿宋" w:hAnsi="仿宋" w:eastAsia="仿宋" w:cs="仿宋"/>
          <w:b w:val="0"/>
          <w:bCs/>
          <w:color w:val="000000" w:themeColor="text1"/>
          <w:sz w:val="32"/>
          <w:szCs w:val="32"/>
          <w14:textFill>
            <w14:solidFill>
              <w14:schemeClr w14:val="tx1"/>
            </w14:solidFill>
          </w14:textFill>
        </w:rPr>
        <w:t>20</w:t>
      </w:r>
      <w:r>
        <w:rPr>
          <w:rFonts w:hint="eastAsia" w:ascii="仿宋" w:hAnsi="仿宋" w:eastAsia="仿宋" w:cs="仿宋"/>
          <w:b w:val="0"/>
          <w:bCs/>
          <w:color w:val="000000" w:themeColor="text1"/>
          <w:sz w:val="32"/>
          <w:szCs w:val="32"/>
          <w:lang w:val="en-US" w:eastAsia="zh-CN"/>
          <w14:textFill>
            <w14:solidFill>
              <w14:schemeClr w14:val="tx1"/>
            </w14:solidFill>
          </w14:textFill>
        </w:rPr>
        <w:t>24</w:t>
      </w:r>
      <w:r>
        <w:rPr>
          <w:rFonts w:hint="eastAsia" w:ascii="仿宋" w:hAnsi="仿宋" w:eastAsia="仿宋" w:cs="仿宋"/>
          <w:b w:val="0"/>
          <w:bCs/>
          <w:color w:val="000000" w:themeColor="text1"/>
          <w:sz w:val="32"/>
          <w:szCs w:val="32"/>
          <w14:textFill>
            <w14:solidFill>
              <w14:schemeClr w14:val="tx1"/>
            </w14:solidFill>
          </w14:textFill>
        </w:rPr>
        <w:t>年</w:t>
      </w:r>
      <w:r>
        <w:rPr>
          <w:rFonts w:hint="eastAsia" w:ascii="仿宋" w:hAnsi="仿宋" w:eastAsia="仿宋" w:cs="仿宋"/>
          <w:b w:val="0"/>
          <w:bCs/>
          <w:color w:val="000000" w:themeColor="text1"/>
          <w:sz w:val="32"/>
          <w:szCs w:val="32"/>
          <w:lang w:eastAsia="zh-CN"/>
          <w14:textFill>
            <w14:solidFill>
              <w14:schemeClr w14:val="tx1"/>
            </w14:solidFill>
          </w14:textFill>
        </w:rPr>
        <w:t>度</w:t>
      </w:r>
      <w:r>
        <w:rPr>
          <w:rFonts w:hint="eastAsia" w:ascii="仿宋" w:hAnsi="仿宋" w:eastAsia="仿宋" w:cs="仿宋"/>
          <w:b w:val="0"/>
          <w:bCs/>
          <w:color w:val="000000" w:themeColor="text1"/>
          <w:sz w:val="32"/>
          <w:szCs w:val="32"/>
          <w14:textFill>
            <w14:solidFill>
              <w14:schemeClr w14:val="tx1"/>
            </w14:solidFill>
          </w14:textFill>
        </w:rPr>
        <w:t>一般公共预算支出决算数为</w:t>
      </w:r>
      <w:r>
        <w:rPr>
          <w:rFonts w:hint="eastAsia" w:ascii="仿宋" w:hAnsi="仿宋" w:eastAsia="仿宋" w:cs="仿宋"/>
          <w:b w:val="0"/>
          <w:bCs/>
          <w:color w:val="000000" w:themeColor="text1"/>
          <w:sz w:val="32"/>
          <w:szCs w:val="32"/>
          <w:lang w:val="en-US" w:eastAsia="zh-CN"/>
          <w14:textFill>
            <w14:solidFill>
              <w14:schemeClr w14:val="tx1"/>
            </w14:solidFill>
          </w14:textFill>
        </w:rPr>
        <w:t>390.25</w:t>
      </w:r>
      <w:r>
        <w:rPr>
          <w:rFonts w:hint="eastAsia" w:ascii="仿宋" w:hAnsi="仿宋" w:eastAsia="仿宋" w:cs="仿宋"/>
          <w:b w:val="0"/>
          <w:bCs/>
          <w:color w:val="000000" w:themeColor="text1"/>
          <w:sz w:val="32"/>
          <w:szCs w:val="32"/>
          <w14:textFill>
            <w14:solidFill>
              <w14:schemeClr w14:val="tx1"/>
            </w14:solidFill>
          </w14:textFill>
        </w:rPr>
        <w:t>万元，</w:t>
      </w:r>
      <w:r>
        <w:rPr>
          <w:rStyle w:val="17"/>
          <w:rFonts w:hint="eastAsia" w:ascii="仿宋" w:hAnsi="仿宋" w:eastAsia="仿宋" w:cs="仿宋"/>
          <w:b w:val="0"/>
          <w:bCs/>
          <w:color w:val="000000" w:themeColor="text1"/>
          <w:sz w:val="32"/>
          <w:szCs w:val="32"/>
          <w14:textFill>
            <w14:solidFill>
              <w14:schemeClr w14:val="tx1"/>
            </w14:solidFill>
          </w14:textFill>
        </w:rPr>
        <w:t>完成</w:t>
      </w:r>
      <w:r>
        <w:rPr>
          <w:rStyle w:val="17"/>
          <w:rFonts w:hint="eastAsia" w:ascii="仿宋" w:hAnsi="仿宋" w:eastAsia="仿宋" w:cs="仿宋"/>
          <w:b w:val="0"/>
          <w:bCs/>
          <w:color w:val="000000"/>
          <w:sz w:val="32"/>
          <w:szCs w:val="32"/>
        </w:rPr>
        <w:t>预算100%。其中：</w:t>
      </w:r>
      <w:bookmarkEnd w:id="31"/>
    </w:p>
    <w:p w14:paraId="6DEF72A5">
      <w:pPr>
        <w:keepNext w:val="0"/>
        <w:keepLines w:val="0"/>
        <w:pageBreakBefore w:val="0"/>
        <w:kinsoku/>
        <w:wordWrap/>
        <w:overflowPunct/>
        <w:topLinePunct w:val="0"/>
        <w:bidi w:val="0"/>
        <w:snapToGrid/>
        <w:spacing w:line="560" w:lineRule="exact"/>
        <w:ind w:firstLine="640" w:firstLineChars="200"/>
        <w:textAlignment w:val="auto"/>
        <w:rPr>
          <w:rStyle w:val="17"/>
          <w:rFonts w:hint="eastAsia" w:ascii="仿宋" w:hAnsi="仿宋" w:eastAsia="仿宋" w:cs="仿宋"/>
          <w:b w:val="0"/>
          <w:bCs/>
          <w:sz w:val="32"/>
          <w:szCs w:val="32"/>
        </w:rPr>
      </w:pPr>
      <w:r>
        <w:rPr>
          <w:rStyle w:val="17"/>
          <w:rFonts w:hint="eastAsia" w:ascii="仿宋" w:hAnsi="仿宋" w:eastAsia="仿宋" w:cs="仿宋"/>
          <w:b w:val="0"/>
          <w:bCs/>
          <w:sz w:val="32"/>
          <w:szCs w:val="32"/>
        </w:rPr>
        <w:t>1.社会保障和就业支出（类）行政事业单位养老支出（款）事业单位离退休（项）:支出决算为</w:t>
      </w:r>
      <w:r>
        <w:rPr>
          <w:rStyle w:val="17"/>
          <w:rFonts w:hint="eastAsia" w:ascii="仿宋" w:hAnsi="仿宋" w:eastAsia="仿宋" w:cs="仿宋"/>
          <w:b w:val="0"/>
          <w:bCs/>
          <w:sz w:val="32"/>
          <w:szCs w:val="32"/>
          <w:lang w:val="en-US" w:eastAsia="zh-CN"/>
        </w:rPr>
        <w:t>14.21</w:t>
      </w:r>
      <w:r>
        <w:rPr>
          <w:rStyle w:val="17"/>
          <w:rFonts w:hint="eastAsia" w:ascii="仿宋" w:hAnsi="仿宋" w:eastAsia="仿宋" w:cs="仿宋"/>
          <w:b w:val="0"/>
          <w:bCs/>
          <w:sz w:val="32"/>
          <w:szCs w:val="32"/>
        </w:rPr>
        <w:t>万元，完成预算</w:t>
      </w:r>
      <w:r>
        <w:rPr>
          <w:rStyle w:val="17"/>
          <w:rFonts w:hint="eastAsia" w:ascii="仿宋" w:hAnsi="仿宋" w:eastAsia="仿宋" w:cs="仿宋"/>
          <w:b w:val="0"/>
          <w:bCs/>
          <w:sz w:val="32"/>
          <w:szCs w:val="32"/>
          <w:lang w:val="en-US" w:eastAsia="zh-CN"/>
        </w:rPr>
        <w:t>100</w:t>
      </w:r>
      <w:r>
        <w:rPr>
          <w:rStyle w:val="17"/>
          <w:rFonts w:hint="eastAsia" w:ascii="仿宋" w:hAnsi="仿宋" w:eastAsia="仿宋" w:cs="仿宋"/>
          <w:b w:val="0"/>
          <w:bCs/>
          <w:sz w:val="32"/>
          <w:szCs w:val="32"/>
        </w:rPr>
        <w:t>%，决算数等于预算数。</w:t>
      </w:r>
    </w:p>
    <w:p w14:paraId="68C60AC7">
      <w:pPr>
        <w:keepNext w:val="0"/>
        <w:keepLines w:val="0"/>
        <w:pageBreakBefore w:val="0"/>
        <w:kinsoku/>
        <w:wordWrap/>
        <w:overflowPunct/>
        <w:topLinePunct w:val="0"/>
        <w:bidi w:val="0"/>
        <w:snapToGrid/>
        <w:spacing w:line="560" w:lineRule="exact"/>
        <w:ind w:firstLine="640" w:firstLineChars="200"/>
        <w:textAlignment w:val="auto"/>
        <w:rPr>
          <w:rStyle w:val="17"/>
          <w:rFonts w:hint="eastAsia" w:ascii="仿宋" w:hAnsi="仿宋" w:eastAsia="仿宋" w:cs="仿宋"/>
          <w:b w:val="0"/>
          <w:bCs/>
          <w:sz w:val="32"/>
          <w:szCs w:val="32"/>
        </w:rPr>
      </w:pPr>
      <w:r>
        <w:rPr>
          <w:rStyle w:val="17"/>
          <w:rFonts w:hint="eastAsia" w:ascii="仿宋" w:hAnsi="仿宋" w:eastAsia="仿宋" w:cs="仿宋"/>
          <w:b w:val="0"/>
          <w:bCs/>
          <w:sz w:val="32"/>
          <w:szCs w:val="32"/>
          <w:lang w:val="en-US" w:eastAsia="zh-CN"/>
        </w:rPr>
        <w:t>2</w:t>
      </w:r>
      <w:r>
        <w:rPr>
          <w:rStyle w:val="17"/>
          <w:rFonts w:hint="eastAsia" w:ascii="仿宋" w:hAnsi="仿宋" w:eastAsia="仿宋" w:cs="仿宋"/>
          <w:b w:val="0"/>
          <w:bCs/>
          <w:sz w:val="32"/>
          <w:szCs w:val="32"/>
        </w:rPr>
        <w:t>.社会保障和就业支出（类）行政事业单位养老支出（款）机关事业单位基本养老保险缴费支出（项）:支出决算为</w:t>
      </w:r>
      <w:r>
        <w:rPr>
          <w:rStyle w:val="17"/>
          <w:rFonts w:hint="eastAsia" w:ascii="仿宋" w:hAnsi="仿宋" w:eastAsia="仿宋" w:cs="仿宋"/>
          <w:b w:val="0"/>
          <w:bCs/>
          <w:sz w:val="32"/>
          <w:szCs w:val="32"/>
          <w:lang w:val="en-US" w:eastAsia="zh-CN"/>
        </w:rPr>
        <w:t>26.74</w:t>
      </w:r>
      <w:r>
        <w:rPr>
          <w:rStyle w:val="17"/>
          <w:rFonts w:hint="eastAsia" w:ascii="仿宋" w:hAnsi="仿宋" w:eastAsia="仿宋" w:cs="仿宋"/>
          <w:b w:val="0"/>
          <w:bCs/>
          <w:sz w:val="32"/>
          <w:szCs w:val="32"/>
        </w:rPr>
        <w:t>万元，完成预算</w:t>
      </w:r>
      <w:r>
        <w:rPr>
          <w:rStyle w:val="17"/>
          <w:rFonts w:hint="eastAsia" w:ascii="仿宋" w:hAnsi="仿宋" w:eastAsia="仿宋" w:cs="仿宋"/>
          <w:b w:val="0"/>
          <w:bCs/>
          <w:sz w:val="32"/>
          <w:szCs w:val="32"/>
          <w:lang w:val="en-US" w:eastAsia="zh-CN"/>
        </w:rPr>
        <w:t>100</w:t>
      </w:r>
      <w:r>
        <w:rPr>
          <w:rStyle w:val="17"/>
          <w:rFonts w:hint="eastAsia" w:ascii="仿宋" w:hAnsi="仿宋" w:eastAsia="仿宋" w:cs="仿宋"/>
          <w:b w:val="0"/>
          <w:bCs/>
          <w:sz w:val="32"/>
          <w:szCs w:val="32"/>
        </w:rPr>
        <w:t>%，决算数等于预算数。</w:t>
      </w:r>
    </w:p>
    <w:p w14:paraId="655B7D4F">
      <w:pPr>
        <w:keepNext w:val="0"/>
        <w:keepLines w:val="0"/>
        <w:pageBreakBefore w:val="0"/>
        <w:kinsoku/>
        <w:wordWrap/>
        <w:overflowPunct/>
        <w:topLinePunct w:val="0"/>
        <w:bidi w:val="0"/>
        <w:snapToGrid/>
        <w:spacing w:line="560" w:lineRule="exact"/>
        <w:ind w:firstLine="640" w:firstLineChars="200"/>
        <w:textAlignment w:val="auto"/>
        <w:rPr>
          <w:rStyle w:val="17"/>
          <w:rFonts w:hint="eastAsia" w:ascii="仿宋" w:hAnsi="仿宋" w:eastAsia="仿宋" w:cs="仿宋"/>
          <w:b w:val="0"/>
          <w:bCs/>
          <w:sz w:val="32"/>
          <w:szCs w:val="32"/>
        </w:rPr>
      </w:pPr>
      <w:r>
        <w:rPr>
          <w:rStyle w:val="17"/>
          <w:rFonts w:hint="eastAsia" w:ascii="仿宋" w:hAnsi="仿宋" w:eastAsia="仿宋" w:cs="仿宋"/>
          <w:b w:val="0"/>
          <w:bCs/>
          <w:sz w:val="32"/>
          <w:szCs w:val="32"/>
          <w:lang w:val="en-US" w:eastAsia="zh-CN"/>
        </w:rPr>
        <w:t>3</w:t>
      </w:r>
      <w:r>
        <w:rPr>
          <w:rStyle w:val="17"/>
          <w:rFonts w:hint="eastAsia" w:ascii="仿宋" w:hAnsi="仿宋" w:eastAsia="仿宋" w:cs="仿宋"/>
          <w:b w:val="0"/>
          <w:bCs/>
          <w:sz w:val="32"/>
          <w:szCs w:val="32"/>
        </w:rPr>
        <w:t>.卫生健康支出（类）基层医疗卫生机构（款）乡镇卫生院（项）:支出决算为</w:t>
      </w:r>
      <w:r>
        <w:rPr>
          <w:rStyle w:val="17"/>
          <w:rFonts w:hint="eastAsia" w:ascii="仿宋" w:hAnsi="仿宋" w:eastAsia="仿宋" w:cs="仿宋"/>
          <w:b w:val="0"/>
          <w:bCs/>
          <w:sz w:val="32"/>
          <w:szCs w:val="32"/>
          <w:lang w:val="en-US" w:eastAsia="zh-CN"/>
        </w:rPr>
        <w:t>177.16</w:t>
      </w:r>
      <w:r>
        <w:rPr>
          <w:rStyle w:val="17"/>
          <w:rFonts w:hint="eastAsia" w:ascii="仿宋" w:hAnsi="仿宋" w:eastAsia="仿宋" w:cs="仿宋"/>
          <w:b w:val="0"/>
          <w:bCs/>
          <w:sz w:val="32"/>
          <w:szCs w:val="32"/>
        </w:rPr>
        <w:t>万元，完成预算</w:t>
      </w:r>
      <w:r>
        <w:rPr>
          <w:rStyle w:val="17"/>
          <w:rFonts w:hint="eastAsia" w:ascii="仿宋" w:hAnsi="仿宋" w:eastAsia="仿宋" w:cs="仿宋"/>
          <w:b w:val="0"/>
          <w:bCs/>
          <w:sz w:val="32"/>
          <w:szCs w:val="32"/>
          <w:lang w:val="en-US" w:eastAsia="zh-CN"/>
        </w:rPr>
        <w:t>100</w:t>
      </w:r>
      <w:r>
        <w:rPr>
          <w:rStyle w:val="17"/>
          <w:rFonts w:hint="eastAsia" w:ascii="仿宋" w:hAnsi="仿宋" w:eastAsia="仿宋" w:cs="仿宋"/>
          <w:b w:val="0"/>
          <w:bCs/>
          <w:sz w:val="32"/>
          <w:szCs w:val="32"/>
        </w:rPr>
        <w:t>%，决算数等于预算数。</w:t>
      </w:r>
    </w:p>
    <w:p w14:paraId="2CB20846">
      <w:pPr>
        <w:keepNext w:val="0"/>
        <w:keepLines w:val="0"/>
        <w:pageBreakBefore w:val="0"/>
        <w:kinsoku/>
        <w:wordWrap/>
        <w:overflowPunct/>
        <w:topLinePunct w:val="0"/>
        <w:bidi w:val="0"/>
        <w:snapToGrid/>
        <w:spacing w:line="560" w:lineRule="exact"/>
        <w:ind w:firstLine="640" w:firstLineChars="200"/>
        <w:textAlignment w:val="auto"/>
        <w:rPr>
          <w:rStyle w:val="17"/>
          <w:rFonts w:hint="eastAsia" w:ascii="仿宋" w:hAnsi="仿宋" w:eastAsia="仿宋" w:cs="仿宋"/>
          <w:b w:val="0"/>
          <w:bCs/>
          <w:sz w:val="32"/>
          <w:szCs w:val="32"/>
        </w:rPr>
      </w:pPr>
      <w:r>
        <w:rPr>
          <w:rStyle w:val="17"/>
          <w:rFonts w:hint="eastAsia" w:ascii="仿宋" w:hAnsi="仿宋" w:eastAsia="仿宋" w:cs="仿宋"/>
          <w:b w:val="0"/>
          <w:bCs/>
          <w:sz w:val="32"/>
          <w:szCs w:val="32"/>
          <w:lang w:val="en-US" w:eastAsia="zh-CN"/>
        </w:rPr>
        <w:t>4</w:t>
      </w:r>
      <w:r>
        <w:rPr>
          <w:rStyle w:val="17"/>
          <w:rFonts w:hint="eastAsia" w:ascii="仿宋" w:hAnsi="仿宋" w:eastAsia="仿宋" w:cs="仿宋"/>
          <w:b w:val="0"/>
          <w:bCs/>
          <w:sz w:val="32"/>
          <w:szCs w:val="32"/>
        </w:rPr>
        <w:t>.卫生健康支出（类）基层医疗卫生机构（款）其他基层医疗卫生机构支出（项）:支出决算为</w:t>
      </w:r>
      <w:r>
        <w:rPr>
          <w:rStyle w:val="17"/>
          <w:rFonts w:hint="eastAsia" w:ascii="仿宋" w:hAnsi="仿宋" w:eastAsia="仿宋" w:cs="仿宋"/>
          <w:b w:val="0"/>
          <w:bCs/>
          <w:sz w:val="32"/>
          <w:szCs w:val="32"/>
          <w:lang w:val="en-US" w:eastAsia="zh-CN"/>
        </w:rPr>
        <w:t>24.87</w:t>
      </w:r>
      <w:r>
        <w:rPr>
          <w:rStyle w:val="17"/>
          <w:rFonts w:hint="eastAsia" w:ascii="仿宋" w:hAnsi="仿宋" w:eastAsia="仿宋" w:cs="仿宋"/>
          <w:b w:val="0"/>
          <w:bCs/>
          <w:sz w:val="32"/>
          <w:szCs w:val="32"/>
        </w:rPr>
        <w:t>万元，完成预算</w:t>
      </w:r>
      <w:r>
        <w:rPr>
          <w:rStyle w:val="17"/>
          <w:rFonts w:hint="eastAsia" w:ascii="仿宋" w:hAnsi="仿宋" w:eastAsia="仿宋" w:cs="仿宋"/>
          <w:b w:val="0"/>
          <w:bCs/>
          <w:sz w:val="32"/>
          <w:szCs w:val="32"/>
          <w:lang w:val="en-US" w:eastAsia="zh-CN"/>
        </w:rPr>
        <w:t>100</w:t>
      </w:r>
      <w:r>
        <w:rPr>
          <w:rStyle w:val="17"/>
          <w:rFonts w:hint="eastAsia" w:ascii="仿宋" w:hAnsi="仿宋" w:eastAsia="仿宋" w:cs="仿宋"/>
          <w:b w:val="0"/>
          <w:bCs/>
          <w:sz w:val="32"/>
          <w:szCs w:val="32"/>
        </w:rPr>
        <w:t>%，决算数等于预算数。</w:t>
      </w:r>
    </w:p>
    <w:p w14:paraId="04260883">
      <w:pPr>
        <w:keepNext w:val="0"/>
        <w:keepLines w:val="0"/>
        <w:pageBreakBefore w:val="0"/>
        <w:kinsoku/>
        <w:wordWrap/>
        <w:overflowPunct/>
        <w:topLinePunct w:val="0"/>
        <w:bidi w:val="0"/>
        <w:snapToGrid/>
        <w:spacing w:line="560" w:lineRule="exact"/>
        <w:ind w:firstLine="640" w:firstLineChars="200"/>
        <w:textAlignment w:val="auto"/>
        <w:rPr>
          <w:rStyle w:val="17"/>
          <w:rFonts w:hint="eastAsia" w:ascii="仿宋" w:hAnsi="仿宋" w:eastAsia="仿宋" w:cs="仿宋"/>
          <w:b w:val="0"/>
          <w:bCs/>
          <w:sz w:val="32"/>
          <w:szCs w:val="32"/>
        </w:rPr>
      </w:pPr>
      <w:r>
        <w:rPr>
          <w:rStyle w:val="17"/>
          <w:rFonts w:hint="eastAsia" w:ascii="仿宋" w:hAnsi="仿宋" w:eastAsia="仿宋" w:cs="仿宋"/>
          <w:b w:val="0"/>
          <w:bCs/>
          <w:sz w:val="32"/>
          <w:szCs w:val="32"/>
          <w:lang w:val="en-US" w:eastAsia="zh-CN"/>
        </w:rPr>
        <w:t>5</w:t>
      </w:r>
      <w:r>
        <w:rPr>
          <w:rStyle w:val="17"/>
          <w:rFonts w:hint="eastAsia" w:ascii="仿宋" w:hAnsi="仿宋" w:eastAsia="仿宋" w:cs="仿宋"/>
          <w:b w:val="0"/>
          <w:bCs/>
          <w:sz w:val="32"/>
          <w:szCs w:val="32"/>
        </w:rPr>
        <w:t>.卫生健康支出（类）公共卫生（款）基本公共卫生服务（项）:支出决算为</w:t>
      </w:r>
      <w:r>
        <w:rPr>
          <w:rStyle w:val="17"/>
          <w:rFonts w:hint="eastAsia" w:ascii="仿宋" w:hAnsi="仿宋" w:eastAsia="仿宋" w:cs="仿宋"/>
          <w:b w:val="0"/>
          <w:bCs/>
          <w:sz w:val="32"/>
          <w:szCs w:val="32"/>
          <w:lang w:val="en-US" w:eastAsia="zh-CN"/>
        </w:rPr>
        <w:t>97.76</w:t>
      </w:r>
      <w:r>
        <w:rPr>
          <w:rStyle w:val="17"/>
          <w:rFonts w:hint="eastAsia" w:ascii="仿宋" w:hAnsi="仿宋" w:eastAsia="仿宋" w:cs="仿宋"/>
          <w:b w:val="0"/>
          <w:bCs/>
          <w:sz w:val="32"/>
          <w:szCs w:val="32"/>
        </w:rPr>
        <w:t>万元，完成预算</w:t>
      </w:r>
      <w:r>
        <w:rPr>
          <w:rStyle w:val="17"/>
          <w:rFonts w:hint="eastAsia" w:ascii="仿宋" w:hAnsi="仿宋" w:eastAsia="仿宋" w:cs="仿宋"/>
          <w:b w:val="0"/>
          <w:bCs/>
          <w:sz w:val="32"/>
          <w:szCs w:val="32"/>
          <w:lang w:val="en-US" w:eastAsia="zh-CN"/>
        </w:rPr>
        <w:t>100</w:t>
      </w:r>
      <w:r>
        <w:rPr>
          <w:rStyle w:val="17"/>
          <w:rFonts w:hint="eastAsia" w:ascii="仿宋" w:hAnsi="仿宋" w:eastAsia="仿宋" w:cs="仿宋"/>
          <w:b w:val="0"/>
          <w:bCs/>
          <w:sz w:val="32"/>
          <w:szCs w:val="32"/>
        </w:rPr>
        <w:t>%，决算数等于预算数。</w:t>
      </w:r>
    </w:p>
    <w:p w14:paraId="49B86ADA">
      <w:pPr>
        <w:keepNext w:val="0"/>
        <w:keepLines w:val="0"/>
        <w:pageBreakBefore w:val="0"/>
        <w:kinsoku/>
        <w:wordWrap/>
        <w:overflowPunct/>
        <w:topLinePunct w:val="0"/>
        <w:bidi w:val="0"/>
        <w:snapToGrid/>
        <w:spacing w:line="560" w:lineRule="exact"/>
        <w:ind w:firstLine="640" w:firstLineChars="200"/>
        <w:textAlignment w:val="auto"/>
        <w:rPr>
          <w:rStyle w:val="17"/>
          <w:rFonts w:hint="eastAsia" w:ascii="仿宋" w:hAnsi="仿宋" w:eastAsia="仿宋" w:cs="仿宋"/>
          <w:b w:val="0"/>
          <w:bCs/>
          <w:sz w:val="32"/>
          <w:szCs w:val="32"/>
        </w:rPr>
      </w:pPr>
      <w:r>
        <w:rPr>
          <w:rStyle w:val="17"/>
          <w:rFonts w:hint="eastAsia" w:ascii="仿宋" w:hAnsi="仿宋" w:eastAsia="仿宋" w:cs="仿宋"/>
          <w:b w:val="0"/>
          <w:bCs/>
          <w:sz w:val="32"/>
          <w:szCs w:val="32"/>
          <w:lang w:val="en-US" w:eastAsia="zh-CN"/>
        </w:rPr>
        <w:t>6</w:t>
      </w:r>
      <w:r>
        <w:rPr>
          <w:rStyle w:val="17"/>
          <w:rFonts w:hint="eastAsia" w:ascii="仿宋" w:hAnsi="仿宋" w:eastAsia="仿宋" w:cs="仿宋"/>
          <w:b w:val="0"/>
          <w:bCs/>
          <w:sz w:val="32"/>
          <w:szCs w:val="32"/>
        </w:rPr>
        <w:t>.卫生健康支出（类）公共卫生（款）重大公共卫生服务（项）:支出决算为</w:t>
      </w:r>
      <w:r>
        <w:rPr>
          <w:rStyle w:val="17"/>
          <w:rFonts w:hint="eastAsia" w:ascii="仿宋" w:hAnsi="仿宋" w:eastAsia="仿宋" w:cs="仿宋"/>
          <w:b w:val="0"/>
          <w:bCs/>
          <w:sz w:val="32"/>
          <w:szCs w:val="32"/>
          <w:lang w:val="en-US" w:eastAsia="zh-CN"/>
        </w:rPr>
        <w:t>4.01</w:t>
      </w:r>
      <w:r>
        <w:rPr>
          <w:rStyle w:val="17"/>
          <w:rFonts w:hint="eastAsia" w:ascii="仿宋" w:hAnsi="仿宋" w:eastAsia="仿宋" w:cs="仿宋"/>
          <w:b w:val="0"/>
          <w:bCs/>
          <w:sz w:val="32"/>
          <w:szCs w:val="32"/>
        </w:rPr>
        <w:t>万元，完成预算</w:t>
      </w:r>
      <w:r>
        <w:rPr>
          <w:rStyle w:val="17"/>
          <w:rFonts w:hint="eastAsia" w:ascii="仿宋" w:hAnsi="仿宋" w:eastAsia="仿宋" w:cs="仿宋"/>
          <w:b w:val="0"/>
          <w:bCs/>
          <w:sz w:val="32"/>
          <w:szCs w:val="32"/>
          <w:lang w:val="en-US" w:eastAsia="zh-CN"/>
        </w:rPr>
        <w:t>100</w:t>
      </w:r>
      <w:r>
        <w:rPr>
          <w:rStyle w:val="17"/>
          <w:rFonts w:hint="eastAsia" w:ascii="仿宋" w:hAnsi="仿宋" w:eastAsia="仿宋" w:cs="仿宋"/>
          <w:b w:val="0"/>
          <w:bCs/>
          <w:sz w:val="32"/>
          <w:szCs w:val="32"/>
        </w:rPr>
        <w:t>%，决算数等于预算数。</w:t>
      </w:r>
    </w:p>
    <w:p w14:paraId="6490E47F">
      <w:pPr>
        <w:keepNext w:val="0"/>
        <w:keepLines w:val="0"/>
        <w:pageBreakBefore w:val="0"/>
        <w:kinsoku/>
        <w:wordWrap/>
        <w:overflowPunct/>
        <w:topLinePunct w:val="0"/>
        <w:bidi w:val="0"/>
        <w:snapToGrid/>
        <w:spacing w:line="560" w:lineRule="exact"/>
        <w:ind w:firstLine="640" w:firstLineChars="200"/>
        <w:textAlignment w:val="auto"/>
        <w:rPr>
          <w:rStyle w:val="17"/>
          <w:rFonts w:hint="eastAsia" w:ascii="仿宋" w:hAnsi="仿宋" w:eastAsia="仿宋" w:cs="仿宋"/>
          <w:b w:val="0"/>
          <w:bCs/>
          <w:sz w:val="32"/>
          <w:szCs w:val="32"/>
        </w:rPr>
      </w:pPr>
      <w:r>
        <w:rPr>
          <w:rStyle w:val="17"/>
          <w:rFonts w:hint="eastAsia" w:ascii="仿宋" w:hAnsi="仿宋" w:eastAsia="仿宋" w:cs="仿宋"/>
          <w:b w:val="0"/>
          <w:bCs/>
          <w:sz w:val="32"/>
          <w:szCs w:val="32"/>
          <w:lang w:val="en-US" w:eastAsia="zh-CN"/>
        </w:rPr>
        <w:t>7</w:t>
      </w:r>
      <w:r>
        <w:rPr>
          <w:rStyle w:val="17"/>
          <w:rFonts w:hint="eastAsia" w:ascii="仿宋" w:hAnsi="仿宋" w:eastAsia="仿宋" w:cs="仿宋"/>
          <w:b w:val="0"/>
          <w:bCs/>
          <w:sz w:val="32"/>
          <w:szCs w:val="32"/>
        </w:rPr>
        <w:t>.卫生健康支出（类）公共卫生（款）</w:t>
      </w:r>
      <w:r>
        <w:rPr>
          <w:rStyle w:val="17"/>
          <w:rFonts w:hint="eastAsia" w:ascii="仿宋" w:hAnsi="仿宋" w:eastAsia="仿宋" w:cs="仿宋"/>
          <w:b w:val="0"/>
          <w:bCs/>
          <w:sz w:val="32"/>
          <w:szCs w:val="32"/>
          <w:lang w:eastAsia="zh-CN"/>
        </w:rPr>
        <w:t>其他</w:t>
      </w:r>
      <w:r>
        <w:rPr>
          <w:rStyle w:val="17"/>
          <w:rFonts w:hint="eastAsia" w:ascii="仿宋" w:hAnsi="仿宋" w:eastAsia="仿宋" w:cs="仿宋"/>
          <w:b w:val="0"/>
          <w:bCs/>
          <w:sz w:val="32"/>
          <w:szCs w:val="32"/>
        </w:rPr>
        <w:t>公共卫生</w:t>
      </w:r>
      <w:r>
        <w:rPr>
          <w:rStyle w:val="17"/>
          <w:rFonts w:hint="eastAsia" w:ascii="仿宋" w:hAnsi="仿宋" w:eastAsia="仿宋" w:cs="仿宋"/>
          <w:b w:val="0"/>
          <w:bCs/>
          <w:sz w:val="32"/>
          <w:szCs w:val="32"/>
          <w:lang w:eastAsia="zh-CN"/>
        </w:rPr>
        <w:t>支出</w:t>
      </w:r>
      <w:r>
        <w:rPr>
          <w:rStyle w:val="17"/>
          <w:rFonts w:hint="eastAsia" w:ascii="仿宋" w:hAnsi="仿宋" w:eastAsia="仿宋" w:cs="仿宋"/>
          <w:b w:val="0"/>
          <w:bCs/>
          <w:sz w:val="32"/>
          <w:szCs w:val="32"/>
        </w:rPr>
        <w:t>（项）:支出决算为</w:t>
      </w:r>
      <w:r>
        <w:rPr>
          <w:rStyle w:val="17"/>
          <w:rFonts w:hint="eastAsia" w:ascii="仿宋" w:hAnsi="仿宋" w:eastAsia="仿宋" w:cs="仿宋"/>
          <w:b w:val="0"/>
          <w:bCs/>
          <w:sz w:val="32"/>
          <w:szCs w:val="32"/>
          <w:lang w:val="en-US" w:eastAsia="zh-CN"/>
        </w:rPr>
        <w:t>0.68</w:t>
      </w:r>
      <w:r>
        <w:rPr>
          <w:rStyle w:val="17"/>
          <w:rFonts w:hint="eastAsia" w:ascii="仿宋" w:hAnsi="仿宋" w:eastAsia="仿宋" w:cs="仿宋"/>
          <w:b w:val="0"/>
          <w:bCs/>
          <w:sz w:val="32"/>
          <w:szCs w:val="32"/>
        </w:rPr>
        <w:t>万元，完成预算</w:t>
      </w:r>
      <w:r>
        <w:rPr>
          <w:rStyle w:val="17"/>
          <w:rFonts w:hint="eastAsia" w:ascii="仿宋" w:hAnsi="仿宋" w:eastAsia="仿宋" w:cs="仿宋"/>
          <w:b w:val="0"/>
          <w:bCs/>
          <w:sz w:val="32"/>
          <w:szCs w:val="32"/>
          <w:lang w:val="en-US" w:eastAsia="zh-CN"/>
        </w:rPr>
        <w:t>100</w:t>
      </w:r>
      <w:r>
        <w:rPr>
          <w:rStyle w:val="17"/>
          <w:rFonts w:hint="eastAsia" w:ascii="仿宋" w:hAnsi="仿宋" w:eastAsia="仿宋" w:cs="仿宋"/>
          <w:b w:val="0"/>
          <w:bCs/>
          <w:sz w:val="32"/>
          <w:szCs w:val="32"/>
        </w:rPr>
        <w:t>%，决算数等于预算数。</w:t>
      </w:r>
    </w:p>
    <w:p w14:paraId="6F6806FF">
      <w:pPr>
        <w:keepNext w:val="0"/>
        <w:keepLines w:val="0"/>
        <w:pageBreakBefore w:val="0"/>
        <w:kinsoku/>
        <w:wordWrap/>
        <w:overflowPunct/>
        <w:topLinePunct w:val="0"/>
        <w:bidi w:val="0"/>
        <w:snapToGrid/>
        <w:spacing w:line="560" w:lineRule="exact"/>
        <w:ind w:firstLine="640" w:firstLineChars="200"/>
        <w:textAlignment w:val="auto"/>
        <w:rPr>
          <w:rStyle w:val="17"/>
          <w:rFonts w:hint="eastAsia" w:ascii="仿宋" w:hAnsi="仿宋" w:eastAsia="仿宋" w:cs="仿宋"/>
          <w:b w:val="0"/>
          <w:bCs/>
          <w:sz w:val="32"/>
          <w:szCs w:val="32"/>
        </w:rPr>
      </w:pPr>
      <w:r>
        <w:rPr>
          <w:rStyle w:val="17"/>
          <w:rFonts w:hint="eastAsia" w:ascii="仿宋" w:hAnsi="仿宋" w:eastAsia="仿宋" w:cs="仿宋"/>
          <w:b w:val="0"/>
          <w:bCs/>
          <w:sz w:val="32"/>
          <w:szCs w:val="32"/>
          <w:lang w:val="en-US" w:eastAsia="zh-CN"/>
        </w:rPr>
        <w:t>8</w:t>
      </w:r>
      <w:r>
        <w:rPr>
          <w:rStyle w:val="17"/>
          <w:rFonts w:hint="eastAsia" w:ascii="仿宋" w:hAnsi="仿宋" w:eastAsia="仿宋" w:cs="仿宋"/>
          <w:b w:val="0"/>
          <w:bCs/>
          <w:sz w:val="32"/>
          <w:szCs w:val="32"/>
        </w:rPr>
        <w:t>.卫生健康支出（类）行政事业单位医疗（款）事业单位医疗（项）:支出决算为</w:t>
      </w:r>
      <w:r>
        <w:rPr>
          <w:rStyle w:val="17"/>
          <w:rFonts w:hint="eastAsia" w:ascii="仿宋" w:hAnsi="仿宋" w:eastAsia="仿宋" w:cs="仿宋"/>
          <w:b w:val="0"/>
          <w:bCs/>
          <w:sz w:val="32"/>
          <w:szCs w:val="32"/>
          <w:lang w:val="en-US" w:eastAsia="zh-CN"/>
        </w:rPr>
        <w:t>14.27</w:t>
      </w:r>
      <w:r>
        <w:rPr>
          <w:rStyle w:val="17"/>
          <w:rFonts w:hint="eastAsia" w:ascii="仿宋" w:hAnsi="仿宋" w:eastAsia="仿宋" w:cs="仿宋"/>
          <w:b w:val="0"/>
          <w:bCs/>
          <w:sz w:val="32"/>
          <w:szCs w:val="32"/>
        </w:rPr>
        <w:t>万元，完成预算</w:t>
      </w:r>
      <w:r>
        <w:rPr>
          <w:rStyle w:val="17"/>
          <w:rFonts w:hint="eastAsia" w:ascii="仿宋" w:hAnsi="仿宋" w:eastAsia="仿宋" w:cs="仿宋"/>
          <w:b w:val="0"/>
          <w:bCs/>
          <w:sz w:val="32"/>
          <w:szCs w:val="32"/>
          <w:lang w:val="en-US" w:eastAsia="zh-CN"/>
        </w:rPr>
        <w:t>100</w:t>
      </w:r>
      <w:r>
        <w:rPr>
          <w:rStyle w:val="17"/>
          <w:rFonts w:hint="eastAsia" w:ascii="仿宋" w:hAnsi="仿宋" w:eastAsia="仿宋" w:cs="仿宋"/>
          <w:b w:val="0"/>
          <w:bCs/>
          <w:sz w:val="32"/>
          <w:szCs w:val="32"/>
        </w:rPr>
        <w:t>%，决算数等于预算数。</w:t>
      </w:r>
    </w:p>
    <w:p w14:paraId="35BE2665">
      <w:pPr>
        <w:keepNext w:val="0"/>
        <w:keepLines w:val="0"/>
        <w:pageBreakBefore w:val="0"/>
        <w:kinsoku/>
        <w:wordWrap/>
        <w:overflowPunct/>
        <w:topLinePunct w:val="0"/>
        <w:bidi w:val="0"/>
        <w:snapToGrid/>
        <w:spacing w:line="560" w:lineRule="exact"/>
        <w:ind w:firstLine="640" w:firstLineChars="200"/>
        <w:textAlignment w:val="auto"/>
        <w:rPr>
          <w:rStyle w:val="17"/>
          <w:rFonts w:hint="eastAsia" w:ascii="仿宋" w:hAnsi="仿宋" w:eastAsia="仿宋" w:cs="仿宋"/>
          <w:b w:val="0"/>
          <w:bCs/>
          <w:sz w:val="32"/>
          <w:szCs w:val="32"/>
        </w:rPr>
      </w:pPr>
      <w:r>
        <w:rPr>
          <w:rStyle w:val="17"/>
          <w:rFonts w:hint="eastAsia" w:ascii="仿宋" w:hAnsi="仿宋" w:eastAsia="仿宋" w:cs="仿宋"/>
          <w:b w:val="0"/>
          <w:bCs/>
          <w:sz w:val="32"/>
          <w:szCs w:val="32"/>
          <w:lang w:val="en-US" w:eastAsia="zh-CN"/>
        </w:rPr>
        <w:t>9</w:t>
      </w:r>
      <w:r>
        <w:rPr>
          <w:rStyle w:val="17"/>
          <w:rFonts w:hint="eastAsia" w:ascii="仿宋" w:hAnsi="仿宋" w:eastAsia="仿宋" w:cs="仿宋"/>
          <w:b w:val="0"/>
          <w:bCs/>
          <w:sz w:val="32"/>
          <w:szCs w:val="32"/>
        </w:rPr>
        <w:t>.卫生健康支出（类）行政事业单位医疗（款）其他行政事业单位医疗支出（项）:支出决算为</w:t>
      </w:r>
      <w:r>
        <w:rPr>
          <w:rStyle w:val="17"/>
          <w:rFonts w:hint="eastAsia" w:ascii="仿宋" w:hAnsi="仿宋" w:eastAsia="仿宋" w:cs="仿宋"/>
          <w:b w:val="0"/>
          <w:bCs/>
          <w:sz w:val="32"/>
          <w:szCs w:val="32"/>
          <w:lang w:val="en-US" w:eastAsia="zh-CN"/>
        </w:rPr>
        <w:t>8.40</w:t>
      </w:r>
      <w:r>
        <w:rPr>
          <w:rStyle w:val="17"/>
          <w:rFonts w:hint="eastAsia" w:ascii="仿宋" w:hAnsi="仿宋" w:eastAsia="仿宋" w:cs="仿宋"/>
          <w:b w:val="0"/>
          <w:bCs/>
          <w:sz w:val="32"/>
          <w:szCs w:val="32"/>
        </w:rPr>
        <w:t>万元，完成预算</w:t>
      </w:r>
      <w:r>
        <w:rPr>
          <w:rStyle w:val="17"/>
          <w:rFonts w:hint="eastAsia" w:ascii="仿宋" w:hAnsi="仿宋" w:eastAsia="仿宋" w:cs="仿宋"/>
          <w:b w:val="0"/>
          <w:bCs/>
          <w:sz w:val="32"/>
          <w:szCs w:val="32"/>
          <w:lang w:val="en-US" w:eastAsia="zh-CN"/>
        </w:rPr>
        <w:t>100</w:t>
      </w:r>
      <w:r>
        <w:rPr>
          <w:rStyle w:val="17"/>
          <w:rFonts w:hint="eastAsia" w:ascii="仿宋" w:hAnsi="仿宋" w:eastAsia="仿宋" w:cs="仿宋"/>
          <w:b w:val="0"/>
          <w:bCs/>
          <w:sz w:val="32"/>
          <w:szCs w:val="32"/>
        </w:rPr>
        <w:t>%，决算数等于预算数。</w:t>
      </w:r>
    </w:p>
    <w:p w14:paraId="3B41E129">
      <w:pPr>
        <w:keepNext w:val="0"/>
        <w:keepLines w:val="0"/>
        <w:pageBreakBefore w:val="0"/>
        <w:kinsoku/>
        <w:wordWrap/>
        <w:overflowPunct/>
        <w:topLinePunct w:val="0"/>
        <w:bidi w:val="0"/>
        <w:snapToGrid/>
        <w:spacing w:line="560" w:lineRule="exact"/>
        <w:ind w:firstLine="640" w:firstLineChars="200"/>
        <w:textAlignment w:val="auto"/>
        <w:rPr>
          <w:rStyle w:val="17"/>
          <w:rFonts w:hint="eastAsia" w:ascii="仿宋" w:hAnsi="仿宋" w:eastAsia="仿宋" w:cs="仿宋"/>
          <w:b w:val="0"/>
          <w:bCs/>
          <w:sz w:val="32"/>
          <w:szCs w:val="32"/>
        </w:rPr>
      </w:pPr>
      <w:r>
        <w:rPr>
          <w:rStyle w:val="17"/>
          <w:rFonts w:hint="eastAsia" w:ascii="仿宋" w:hAnsi="仿宋" w:eastAsia="仿宋" w:cs="仿宋"/>
          <w:b w:val="0"/>
          <w:bCs/>
          <w:sz w:val="32"/>
          <w:szCs w:val="32"/>
          <w:lang w:val="en-US" w:eastAsia="zh-CN"/>
        </w:rPr>
        <w:t>9</w:t>
      </w:r>
      <w:r>
        <w:rPr>
          <w:rStyle w:val="17"/>
          <w:rFonts w:hint="eastAsia" w:ascii="仿宋" w:hAnsi="仿宋" w:eastAsia="仿宋" w:cs="仿宋"/>
          <w:b w:val="0"/>
          <w:bCs/>
          <w:sz w:val="32"/>
          <w:szCs w:val="32"/>
        </w:rPr>
        <w:t>.住房保障支出（类）住房改革支出（款）住房公积金（项）:支出决算为</w:t>
      </w:r>
      <w:r>
        <w:rPr>
          <w:rStyle w:val="17"/>
          <w:rFonts w:hint="eastAsia" w:ascii="仿宋" w:hAnsi="仿宋" w:eastAsia="仿宋" w:cs="仿宋"/>
          <w:b w:val="0"/>
          <w:bCs/>
          <w:sz w:val="32"/>
          <w:szCs w:val="32"/>
          <w:lang w:val="en-US" w:eastAsia="zh-CN"/>
        </w:rPr>
        <w:t>22.15</w:t>
      </w:r>
      <w:r>
        <w:rPr>
          <w:rStyle w:val="17"/>
          <w:rFonts w:hint="eastAsia" w:ascii="仿宋" w:hAnsi="仿宋" w:eastAsia="仿宋" w:cs="仿宋"/>
          <w:b w:val="0"/>
          <w:bCs/>
          <w:sz w:val="32"/>
          <w:szCs w:val="32"/>
        </w:rPr>
        <w:t>万元，完成预算</w:t>
      </w:r>
      <w:r>
        <w:rPr>
          <w:rStyle w:val="17"/>
          <w:rFonts w:hint="eastAsia" w:ascii="仿宋" w:hAnsi="仿宋" w:eastAsia="仿宋" w:cs="仿宋"/>
          <w:b w:val="0"/>
          <w:bCs/>
          <w:sz w:val="32"/>
          <w:szCs w:val="32"/>
          <w:lang w:val="en-US" w:eastAsia="zh-CN"/>
        </w:rPr>
        <w:t>100</w:t>
      </w:r>
      <w:r>
        <w:rPr>
          <w:rStyle w:val="17"/>
          <w:rFonts w:hint="eastAsia" w:ascii="仿宋" w:hAnsi="仿宋" w:eastAsia="仿宋" w:cs="仿宋"/>
          <w:b w:val="0"/>
          <w:bCs/>
          <w:sz w:val="32"/>
          <w:szCs w:val="32"/>
        </w:rPr>
        <w:t>%，决算数等于预算数。</w:t>
      </w:r>
      <w:bookmarkEnd w:id="32"/>
      <w:bookmarkEnd w:id="33"/>
      <w:bookmarkEnd w:id="34"/>
      <w:bookmarkStart w:id="35" w:name="_Toc15396608"/>
      <w:bookmarkStart w:id="36" w:name="_Toc15377214"/>
    </w:p>
    <w:p w14:paraId="252DBFFD">
      <w:pPr>
        <w:keepNext w:val="0"/>
        <w:keepLines w:val="0"/>
        <w:pageBreakBefore w:val="0"/>
        <w:kinsoku/>
        <w:wordWrap/>
        <w:overflowPunct/>
        <w:topLinePunct w:val="0"/>
        <w:bidi w:val="0"/>
        <w:snapToGrid/>
        <w:spacing w:line="560" w:lineRule="exact"/>
        <w:ind w:firstLine="640" w:firstLineChars="200"/>
        <w:textAlignment w:val="auto"/>
        <w:rPr>
          <w:rStyle w:val="28"/>
          <w:rFonts w:hint="default" w:ascii="Times New Roman" w:hAnsi="Times New Roman" w:eastAsia="仿宋_GB2312" w:cs="Times New Roman"/>
          <w:sz w:val="32"/>
          <w:szCs w:val="32"/>
        </w:rPr>
      </w:pPr>
      <w:r>
        <w:rPr>
          <w:rFonts w:hint="eastAsia" w:ascii="黑体" w:hAnsi="黑体" w:eastAsia="黑体" w:cs="黑体"/>
          <w:sz w:val="32"/>
          <w:szCs w:val="32"/>
        </w:rPr>
        <w:t>六</w:t>
      </w:r>
      <w:r>
        <w:rPr>
          <w:rFonts w:hint="eastAsia" w:ascii="黑体" w:hAnsi="黑体" w:eastAsia="黑体" w:cs="黑体"/>
          <w:b/>
          <w:sz w:val="32"/>
          <w:szCs w:val="32"/>
        </w:rPr>
        <w:t>、一</w:t>
      </w:r>
      <w:r>
        <w:rPr>
          <w:rStyle w:val="28"/>
          <w:rFonts w:hint="eastAsia" w:ascii="黑体" w:hAnsi="黑体" w:eastAsia="黑体" w:cs="黑体"/>
          <w:b w:val="0"/>
          <w:sz w:val="32"/>
          <w:szCs w:val="32"/>
        </w:rPr>
        <w:t>般公共预算财政拨款基本支出决算情况说明</w:t>
      </w:r>
      <w:bookmarkEnd w:id="35"/>
      <w:bookmarkEnd w:id="36"/>
      <w:r>
        <w:rPr>
          <w:rStyle w:val="28"/>
          <w:rFonts w:hint="default" w:ascii="Times New Roman" w:hAnsi="Times New Roman" w:eastAsia="仿宋_GB2312" w:cs="Times New Roman"/>
          <w:b w:val="0"/>
          <w:sz w:val="32"/>
          <w:szCs w:val="32"/>
        </w:rPr>
        <w:tab/>
      </w:r>
    </w:p>
    <w:p w14:paraId="2154914F">
      <w:pPr>
        <w:keepNext w:val="0"/>
        <w:keepLines w:val="0"/>
        <w:pageBreakBefore w:val="0"/>
        <w:kinsoku/>
        <w:wordWrap/>
        <w:overflowPunct/>
        <w:topLinePunct w:val="0"/>
        <w:bidi w:val="0"/>
        <w:snapToGrid/>
        <w:spacing w:line="560" w:lineRule="exact"/>
        <w:ind w:firstLine="645"/>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eastAsia="zh-CN"/>
        </w:rPr>
        <w:t>度</w:t>
      </w:r>
      <w:r>
        <w:rPr>
          <w:rFonts w:hint="eastAsia" w:ascii="仿宋" w:hAnsi="仿宋" w:eastAsia="仿宋" w:cs="仿宋"/>
          <w:sz w:val="32"/>
          <w:szCs w:val="32"/>
        </w:rPr>
        <w:t>一般公共预算财政拨款基本支出</w:t>
      </w:r>
      <w:r>
        <w:rPr>
          <w:rFonts w:hint="eastAsia" w:ascii="仿宋" w:hAnsi="仿宋" w:eastAsia="仿宋" w:cs="仿宋"/>
          <w:sz w:val="32"/>
          <w:szCs w:val="32"/>
          <w:lang w:val="en-US" w:eastAsia="zh-CN"/>
        </w:rPr>
        <w:t>263.04</w:t>
      </w:r>
      <w:r>
        <w:rPr>
          <w:rFonts w:hint="eastAsia" w:ascii="仿宋" w:hAnsi="仿宋" w:eastAsia="仿宋" w:cs="仿宋"/>
          <w:sz w:val="32"/>
          <w:szCs w:val="32"/>
        </w:rPr>
        <w:t>万元，其中：</w:t>
      </w:r>
    </w:p>
    <w:p w14:paraId="000073AE">
      <w:pPr>
        <w:keepNext w:val="0"/>
        <w:keepLines w:val="0"/>
        <w:pageBreakBefore w:val="0"/>
        <w:kinsoku/>
        <w:wordWrap/>
        <w:overflowPunct/>
        <w:topLinePunct w:val="0"/>
        <w:bidi w:val="0"/>
        <w:snapToGrid/>
        <w:spacing w:line="560" w:lineRule="exact"/>
        <w:ind w:firstLine="645"/>
        <w:textAlignment w:val="auto"/>
        <w:rPr>
          <w:rFonts w:hint="eastAsia" w:ascii="仿宋" w:hAnsi="仿宋" w:eastAsia="仿宋" w:cs="仿宋"/>
          <w:sz w:val="32"/>
          <w:szCs w:val="32"/>
          <w:lang w:eastAsia="zh-CN"/>
        </w:rPr>
      </w:pPr>
      <w:r>
        <w:rPr>
          <w:rFonts w:hint="eastAsia" w:ascii="仿宋" w:hAnsi="仿宋" w:eastAsia="仿宋" w:cs="仿宋"/>
          <w:sz w:val="32"/>
          <w:szCs w:val="32"/>
        </w:rPr>
        <w:t>人员经费</w:t>
      </w:r>
      <w:r>
        <w:rPr>
          <w:rFonts w:hint="eastAsia" w:ascii="仿宋" w:hAnsi="仿宋" w:eastAsia="仿宋" w:cs="仿宋"/>
          <w:sz w:val="32"/>
          <w:szCs w:val="32"/>
          <w:lang w:val="en-US" w:eastAsia="zh-CN"/>
        </w:rPr>
        <w:t>262.86</w:t>
      </w:r>
      <w:r>
        <w:rPr>
          <w:rFonts w:hint="eastAsia" w:ascii="仿宋" w:hAnsi="仿宋" w:eastAsia="仿宋" w:cs="仿宋"/>
          <w:sz w:val="32"/>
          <w:szCs w:val="32"/>
        </w:rPr>
        <w:t>万元，主要包括：基本工资、津贴补贴、绩效工资、机关事业单位基本养老保险缴费、职工基本医疗保险缴费</w:t>
      </w:r>
      <w:r>
        <w:rPr>
          <w:rFonts w:hint="eastAsia" w:ascii="仿宋" w:hAnsi="仿宋" w:eastAsia="仿宋" w:cs="仿宋"/>
          <w:sz w:val="32"/>
          <w:szCs w:val="32"/>
          <w:lang w:eastAsia="zh-CN"/>
        </w:rPr>
        <w:t>、公务员医疗补助缴费、其他社会保障缴费、</w:t>
      </w:r>
      <w:r>
        <w:rPr>
          <w:rFonts w:hint="eastAsia" w:ascii="仿宋" w:hAnsi="仿宋" w:eastAsia="仿宋" w:cs="仿宋"/>
          <w:sz w:val="32"/>
          <w:szCs w:val="32"/>
        </w:rPr>
        <w:t>住房公积金</w:t>
      </w:r>
      <w:r>
        <w:rPr>
          <w:rFonts w:hint="eastAsia" w:ascii="仿宋" w:hAnsi="仿宋" w:eastAsia="仿宋" w:cs="仿宋"/>
          <w:sz w:val="32"/>
          <w:szCs w:val="32"/>
          <w:lang w:eastAsia="zh-CN"/>
        </w:rPr>
        <w:t>、</w:t>
      </w:r>
      <w:r>
        <w:rPr>
          <w:rFonts w:hint="eastAsia" w:ascii="仿宋" w:hAnsi="仿宋" w:eastAsia="仿宋" w:cs="仿宋"/>
          <w:sz w:val="32"/>
          <w:szCs w:val="32"/>
        </w:rPr>
        <w:t>其他工资福利支出等。</w:t>
      </w:r>
    </w:p>
    <w:p w14:paraId="4523E6C7">
      <w:pPr>
        <w:keepNext w:val="0"/>
        <w:keepLines w:val="0"/>
        <w:pageBreakBefore w:val="0"/>
        <w:kinsoku/>
        <w:wordWrap/>
        <w:overflowPunct/>
        <w:topLinePunct w:val="0"/>
        <w:bidi w:val="0"/>
        <w:snapToGrid/>
        <w:spacing w:line="560" w:lineRule="exact"/>
        <w:ind w:firstLine="645"/>
        <w:textAlignment w:val="auto"/>
        <w:rPr>
          <w:rFonts w:hint="eastAsia" w:ascii="仿宋" w:hAnsi="仿宋" w:eastAsia="仿宋" w:cs="仿宋"/>
          <w:sz w:val="32"/>
          <w:szCs w:val="32"/>
          <w:lang w:eastAsia="zh-CN"/>
        </w:rPr>
      </w:pPr>
      <w:r>
        <w:rPr>
          <w:rFonts w:hint="eastAsia" w:ascii="仿宋" w:hAnsi="仿宋" w:eastAsia="仿宋" w:cs="仿宋"/>
          <w:sz w:val="32"/>
          <w:szCs w:val="32"/>
        </w:rPr>
        <w:t>公用经费</w:t>
      </w:r>
      <w:r>
        <w:rPr>
          <w:rFonts w:hint="eastAsia" w:ascii="仿宋" w:hAnsi="仿宋" w:eastAsia="仿宋" w:cs="仿宋"/>
          <w:sz w:val="32"/>
          <w:szCs w:val="32"/>
          <w:lang w:val="en-US" w:eastAsia="zh-CN"/>
        </w:rPr>
        <w:t>0.18</w:t>
      </w:r>
      <w:r>
        <w:rPr>
          <w:rFonts w:hint="eastAsia" w:ascii="仿宋" w:hAnsi="仿宋" w:eastAsia="仿宋" w:cs="仿宋"/>
          <w:sz w:val="32"/>
          <w:szCs w:val="32"/>
        </w:rPr>
        <w:t>万元</w:t>
      </w:r>
      <w:r>
        <w:rPr>
          <w:rFonts w:hint="eastAsia" w:ascii="仿宋" w:hAnsi="仿宋" w:eastAsia="仿宋" w:cs="仿宋"/>
          <w:sz w:val="32"/>
          <w:szCs w:val="32"/>
          <w:lang w:eastAsia="zh-CN"/>
        </w:rPr>
        <w:t>，</w:t>
      </w:r>
      <w:r>
        <w:rPr>
          <w:rFonts w:hint="eastAsia" w:ascii="仿宋" w:hAnsi="仿宋" w:eastAsia="仿宋" w:cs="仿宋"/>
          <w:sz w:val="32"/>
          <w:szCs w:val="32"/>
        </w:rPr>
        <w:t>主要包括：</w:t>
      </w:r>
      <w:r>
        <w:rPr>
          <w:rFonts w:hint="eastAsia" w:ascii="仿宋" w:hAnsi="仿宋" w:eastAsia="仿宋" w:cs="仿宋"/>
          <w:sz w:val="32"/>
          <w:szCs w:val="32"/>
          <w:lang w:eastAsia="zh-CN"/>
        </w:rPr>
        <w:t>维修（护）费、差旅费。</w:t>
      </w:r>
    </w:p>
    <w:p w14:paraId="71944346">
      <w:pPr>
        <w:keepNext w:val="0"/>
        <w:keepLines w:val="0"/>
        <w:pageBreakBefore w:val="0"/>
        <w:kinsoku/>
        <w:wordWrap/>
        <w:overflowPunct/>
        <w:topLinePunct w:val="0"/>
        <w:bidi w:val="0"/>
        <w:snapToGrid/>
        <w:spacing w:line="560" w:lineRule="exact"/>
        <w:ind w:firstLine="640" w:firstLineChars="200"/>
        <w:textAlignment w:val="auto"/>
        <w:outlineLvl w:val="1"/>
        <w:rPr>
          <w:rStyle w:val="28"/>
          <w:rFonts w:hint="eastAsia" w:ascii="黑体" w:hAnsi="黑体" w:eastAsia="黑体" w:cs="黑体"/>
          <w:b w:val="0"/>
          <w:sz w:val="32"/>
          <w:szCs w:val="32"/>
        </w:rPr>
      </w:pPr>
      <w:bookmarkStart w:id="37" w:name="_Toc15396609"/>
      <w:bookmarkStart w:id="38" w:name="_Toc15377215"/>
      <w:r>
        <w:rPr>
          <w:rFonts w:hint="eastAsia" w:ascii="黑体" w:hAnsi="黑体" w:eastAsia="黑体" w:cs="黑体"/>
          <w:sz w:val="32"/>
          <w:szCs w:val="32"/>
        </w:rPr>
        <w:t>七、</w:t>
      </w:r>
      <w:r>
        <w:rPr>
          <w:rStyle w:val="28"/>
          <w:rFonts w:hint="eastAsia" w:ascii="黑体" w:hAnsi="黑体" w:eastAsia="黑体" w:cs="黑体"/>
          <w:b w:val="0"/>
          <w:sz w:val="32"/>
          <w:szCs w:val="32"/>
        </w:rPr>
        <w:t>财政拨款</w:t>
      </w:r>
      <w:r>
        <w:rPr>
          <w:rStyle w:val="28"/>
          <w:rFonts w:hint="eastAsia" w:ascii="黑体" w:hAnsi="黑体" w:eastAsia="黑体" w:cs="黑体"/>
          <w:sz w:val="32"/>
          <w:szCs w:val="32"/>
        </w:rPr>
        <w:t>“</w:t>
      </w:r>
      <w:r>
        <w:rPr>
          <w:rStyle w:val="28"/>
          <w:rFonts w:hint="eastAsia" w:ascii="黑体" w:hAnsi="黑体" w:eastAsia="黑体" w:cs="黑体"/>
          <w:b w:val="0"/>
          <w:sz w:val="32"/>
          <w:szCs w:val="32"/>
        </w:rPr>
        <w:t>三公”经费支出决算情况说明</w:t>
      </w:r>
      <w:bookmarkEnd w:id="37"/>
      <w:bookmarkEnd w:id="38"/>
    </w:p>
    <w:p w14:paraId="4463A035">
      <w:pPr>
        <w:keepNext w:val="0"/>
        <w:keepLines w:val="0"/>
        <w:pageBreakBefore w:val="0"/>
        <w:kinsoku/>
        <w:wordWrap/>
        <w:overflowPunct/>
        <w:topLinePunct w:val="0"/>
        <w:bidi w:val="0"/>
        <w:snapToGrid/>
        <w:spacing w:line="560" w:lineRule="exact"/>
        <w:ind w:firstLine="640"/>
        <w:textAlignment w:val="auto"/>
        <w:outlineLvl w:val="2"/>
        <w:rPr>
          <w:rFonts w:hint="eastAsia" w:ascii="仿宋" w:hAnsi="仿宋" w:eastAsia="仿宋" w:cs="仿宋"/>
          <w:b/>
          <w:sz w:val="32"/>
          <w:szCs w:val="32"/>
        </w:rPr>
      </w:pPr>
      <w:bookmarkStart w:id="39" w:name="_Toc15377216"/>
      <w:r>
        <w:rPr>
          <w:rFonts w:hint="eastAsia" w:ascii="仿宋" w:hAnsi="仿宋" w:eastAsia="仿宋" w:cs="仿宋"/>
          <w:b/>
          <w:sz w:val="32"/>
          <w:szCs w:val="32"/>
        </w:rPr>
        <w:t>（一）“三公”经费财政拨款支出决算总体情况说明</w:t>
      </w:r>
      <w:bookmarkEnd w:id="39"/>
    </w:p>
    <w:p w14:paraId="04A73F09">
      <w:pPr>
        <w:keepNext w:val="0"/>
        <w:keepLines w:val="0"/>
        <w:pageBreakBefore w:val="0"/>
        <w:kinsoku/>
        <w:wordWrap/>
        <w:overflowPunct/>
        <w:topLinePunct w:val="0"/>
        <w:bidi w:val="0"/>
        <w:snapToGrid/>
        <w:spacing w:line="560" w:lineRule="exact"/>
        <w:ind w:firstLine="640"/>
        <w:textAlignment w:val="auto"/>
        <w:rPr>
          <w:rFonts w:hint="eastAsia" w:ascii="仿宋" w:hAnsi="仿宋" w:eastAsia="仿宋" w:cs="仿宋"/>
          <w:sz w:val="32"/>
          <w:szCs w:val="32"/>
          <w:lang w:eastAsia="zh-CN"/>
        </w:rPr>
      </w:pPr>
      <w:r>
        <w:rPr>
          <w:rFonts w:hint="eastAsia" w:ascii="仿宋" w:hAnsi="仿宋" w:eastAsia="仿宋" w:cs="仿宋"/>
          <w:color w:val="000000"/>
          <w:sz w:val="32"/>
          <w:szCs w:val="32"/>
        </w:rPr>
        <w:t>202</w:t>
      </w: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年</w:t>
      </w:r>
      <w:r>
        <w:rPr>
          <w:rFonts w:hint="eastAsia" w:ascii="仿宋" w:hAnsi="仿宋" w:eastAsia="仿宋" w:cs="仿宋"/>
          <w:color w:val="000000"/>
          <w:sz w:val="32"/>
          <w:szCs w:val="32"/>
          <w:lang w:eastAsia="zh-CN"/>
        </w:rPr>
        <w:t>度</w:t>
      </w:r>
      <w:r>
        <w:rPr>
          <w:rFonts w:hint="eastAsia" w:ascii="仿宋" w:hAnsi="仿宋" w:eastAsia="仿宋" w:cs="仿宋"/>
          <w:color w:val="000000"/>
          <w:sz w:val="32"/>
          <w:szCs w:val="32"/>
        </w:rPr>
        <w:t>“三公”经费财政拨款支出决算为0万元，完成预算0%。</w:t>
      </w:r>
      <w:r>
        <w:rPr>
          <w:rFonts w:hint="eastAsia" w:ascii="仿宋" w:hAnsi="仿宋" w:eastAsia="仿宋" w:cs="仿宋"/>
          <w:color w:val="000000"/>
          <w:sz w:val="32"/>
          <w:szCs w:val="32"/>
          <w:lang w:eastAsia="zh-CN"/>
        </w:rPr>
        <w:t>与上年持平。</w:t>
      </w:r>
    </w:p>
    <w:p w14:paraId="246C380F">
      <w:pPr>
        <w:keepNext w:val="0"/>
        <w:keepLines w:val="0"/>
        <w:pageBreakBefore w:val="0"/>
        <w:kinsoku/>
        <w:wordWrap/>
        <w:overflowPunct/>
        <w:topLinePunct w:val="0"/>
        <w:bidi w:val="0"/>
        <w:snapToGrid/>
        <w:spacing w:line="560" w:lineRule="exact"/>
        <w:ind w:firstLine="640"/>
        <w:textAlignment w:val="auto"/>
        <w:outlineLvl w:val="2"/>
        <w:rPr>
          <w:rFonts w:hint="eastAsia" w:ascii="仿宋" w:hAnsi="仿宋" w:eastAsia="仿宋" w:cs="仿宋"/>
          <w:b/>
          <w:sz w:val="32"/>
          <w:szCs w:val="32"/>
        </w:rPr>
      </w:pPr>
      <w:bookmarkStart w:id="40" w:name="_Toc15377217"/>
      <w:r>
        <w:rPr>
          <w:rFonts w:hint="eastAsia" w:ascii="仿宋" w:hAnsi="仿宋" w:eastAsia="仿宋" w:cs="仿宋"/>
          <w:b/>
          <w:sz w:val="32"/>
          <w:szCs w:val="32"/>
        </w:rPr>
        <w:t>（二）“三公”经费财政拨款支出决算具体情况说明</w:t>
      </w:r>
      <w:bookmarkEnd w:id="40"/>
    </w:p>
    <w:p w14:paraId="4C20AE8D">
      <w:pPr>
        <w:keepNext w:val="0"/>
        <w:keepLines w:val="0"/>
        <w:pageBreakBefore w:val="0"/>
        <w:kinsoku/>
        <w:wordWrap/>
        <w:overflowPunct/>
        <w:topLinePunct w:val="0"/>
        <w:bidi w:val="0"/>
        <w:snapToGrid/>
        <w:spacing w:line="560" w:lineRule="exact"/>
        <w:ind w:firstLine="640"/>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eastAsia="zh-CN"/>
        </w:rPr>
        <w:t>度</w:t>
      </w:r>
      <w:r>
        <w:rPr>
          <w:rFonts w:hint="eastAsia" w:ascii="仿宋" w:hAnsi="仿宋" w:eastAsia="仿宋" w:cs="仿宋"/>
          <w:sz w:val="32"/>
          <w:szCs w:val="32"/>
        </w:rPr>
        <w:t>“三公”经费财政拨款支出决算中，因公出国（境）费支出决算</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w:t>
      </w:r>
      <w:r>
        <w:rPr>
          <w:rFonts w:hint="eastAsia" w:ascii="仿宋" w:hAnsi="仿宋" w:eastAsia="仿宋" w:cs="仿宋"/>
          <w:sz w:val="32"/>
          <w:szCs w:val="32"/>
        </w:rPr>
        <w:t>%；公务用车购置及运行维护费支出决算</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w:t>
      </w:r>
      <w:r>
        <w:rPr>
          <w:rFonts w:hint="eastAsia" w:ascii="仿宋" w:hAnsi="仿宋" w:eastAsia="仿宋" w:cs="仿宋"/>
          <w:sz w:val="32"/>
          <w:szCs w:val="32"/>
        </w:rPr>
        <w:t>%；公务接待费支出决算</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w:t>
      </w:r>
      <w:r>
        <w:rPr>
          <w:rFonts w:hint="eastAsia" w:ascii="仿宋" w:hAnsi="仿宋" w:eastAsia="仿宋" w:cs="仿宋"/>
          <w:sz w:val="32"/>
          <w:szCs w:val="32"/>
        </w:rPr>
        <w:t>%。具体情况如下：</w:t>
      </w:r>
    </w:p>
    <w:p w14:paraId="099F9F29">
      <w:pPr>
        <w:keepNext w:val="0"/>
        <w:keepLines w:val="0"/>
        <w:pageBreakBefore w:val="0"/>
        <w:kinsoku/>
        <w:wordWrap/>
        <w:overflowPunct/>
        <w:topLinePunct w:val="0"/>
        <w:bidi w:val="0"/>
        <w:snapToGrid/>
        <w:spacing w:line="560" w:lineRule="exact"/>
        <w:ind w:firstLine="640"/>
        <w:textAlignment w:val="auto"/>
        <w:rPr>
          <w:rFonts w:hint="eastAsia" w:ascii="仿宋" w:hAnsi="仿宋" w:eastAsia="仿宋" w:cs="仿宋"/>
          <w:b/>
          <w:color w:val="000000"/>
          <w:sz w:val="32"/>
          <w:szCs w:val="32"/>
        </w:rPr>
      </w:pPr>
      <w:r>
        <w:rPr>
          <w:rFonts w:hint="eastAsia" w:ascii="仿宋" w:hAnsi="仿宋" w:eastAsia="仿宋" w:cs="仿宋"/>
          <w:b/>
          <w:color w:val="000000"/>
          <w:sz w:val="32"/>
          <w:szCs w:val="32"/>
        </w:rPr>
        <w:t>1.因公出国（境）经费支出</w:t>
      </w:r>
      <w:r>
        <w:rPr>
          <w:rFonts w:hint="eastAsia" w:ascii="仿宋" w:hAnsi="仿宋" w:eastAsia="仿宋" w:cs="仿宋"/>
          <w:color w:val="000000"/>
          <w:sz w:val="32"/>
          <w:szCs w:val="32"/>
        </w:rPr>
        <w:t>0万元，</w:t>
      </w:r>
      <w:r>
        <w:rPr>
          <w:rStyle w:val="17"/>
          <w:rFonts w:hint="eastAsia" w:ascii="仿宋" w:hAnsi="仿宋" w:eastAsia="仿宋" w:cs="仿宋"/>
          <w:b w:val="0"/>
          <w:bCs/>
          <w:color w:val="000000"/>
          <w:sz w:val="32"/>
          <w:szCs w:val="32"/>
        </w:rPr>
        <w:t>完成预算0%。</w:t>
      </w:r>
      <w:r>
        <w:rPr>
          <w:rFonts w:hint="eastAsia" w:ascii="仿宋" w:hAnsi="仿宋" w:eastAsia="仿宋" w:cs="仿宋"/>
          <w:color w:val="000000"/>
          <w:sz w:val="32"/>
          <w:szCs w:val="32"/>
        </w:rPr>
        <w:t>全年安排因公出国（境）团组0次，出国（境）0人。因公出国（境）支出决算与20</w:t>
      </w:r>
      <w:r>
        <w:rPr>
          <w:rFonts w:hint="eastAsia" w:ascii="仿宋" w:hAnsi="仿宋" w:eastAsia="仿宋" w:cs="仿宋"/>
          <w:color w:val="000000"/>
          <w:sz w:val="32"/>
          <w:szCs w:val="32"/>
          <w:lang w:val="en-US" w:eastAsia="zh-CN"/>
        </w:rPr>
        <w:t>23</w:t>
      </w:r>
      <w:r>
        <w:rPr>
          <w:rFonts w:hint="eastAsia" w:ascii="仿宋" w:hAnsi="仿宋" w:eastAsia="仿宋" w:cs="仿宋"/>
          <w:color w:val="000000"/>
          <w:sz w:val="32"/>
          <w:szCs w:val="32"/>
        </w:rPr>
        <w:t>年</w:t>
      </w:r>
      <w:r>
        <w:rPr>
          <w:rFonts w:hint="eastAsia" w:ascii="仿宋" w:hAnsi="仿宋" w:eastAsia="仿宋" w:cs="仿宋"/>
          <w:color w:val="000000"/>
          <w:sz w:val="32"/>
          <w:szCs w:val="32"/>
          <w:lang w:eastAsia="zh-CN"/>
        </w:rPr>
        <w:t>度</w:t>
      </w:r>
      <w:r>
        <w:rPr>
          <w:rFonts w:hint="eastAsia" w:ascii="仿宋" w:hAnsi="仿宋" w:eastAsia="仿宋" w:cs="仿宋"/>
          <w:color w:val="000000"/>
          <w:sz w:val="32"/>
          <w:szCs w:val="32"/>
        </w:rPr>
        <w:t>持平。</w:t>
      </w:r>
    </w:p>
    <w:p w14:paraId="72F73405">
      <w:pPr>
        <w:keepNext w:val="0"/>
        <w:keepLines w:val="0"/>
        <w:pageBreakBefore w:val="0"/>
        <w:kinsoku/>
        <w:wordWrap/>
        <w:overflowPunct/>
        <w:topLinePunct w:val="0"/>
        <w:bidi w:val="0"/>
        <w:snapToGrid/>
        <w:spacing w:line="560" w:lineRule="exact"/>
        <w:ind w:firstLine="640"/>
        <w:textAlignment w:val="auto"/>
        <w:rPr>
          <w:rFonts w:hint="eastAsia" w:ascii="仿宋" w:hAnsi="仿宋" w:eastAsia="仿宋" w:cs="仿宋"/>
          <w:b/>
          <w:color w:val="000000"/>
          <w:sz w:val="32"/>
          <w:szCs w:val="32"/>
        </w:rPr>
      </w:pPr>
      <w:r>
        <w:rPr>
          <w:rFonts w:hint="eastAsia" w:ascii="仿宋" w:hAnsi="仿宋" w:eastAsia="仿宋" w:cs="仿宋"/>
          <w:b/>
          <w:color w:val="000000"/>
          <w:sz w:val="32"/>
          <w:szCs w:val="32"/>
        </w:rPr>
        <w:t>2.公务用车购置及运行维护费支出</w:t>
      </w:r>
      <w:r>
        <w:rPr>
          <w:rFonts w:hint="eastAsia" w:ascii="仿宋" w:hAnsi="仿宋" w:eastAsia="仿宋" w:cs="仿宋"/>
          <w:color w:val="000000"/>
          <w:sz w:val="32"/>
          <w:szCs w:val="32"/>
        </w:rPr>
        <w:t>0万元,</w:t>
      </w:r>
      <w:r>
        <w:rPr>
          <w:rStyle w:val="17"/>
          <w:rFonts w:hint="eastAsia" w:ascii="仿宋" w:hAnsi="仿宋" w:eastAsia="仿宋" w:cs="仿宋"/>
          <w:b w:val="0"/>
          <w:bCs/>
          <w:color w:val="000000"/>
          <w:sz w:val="32"/>
          <w:szCs w:val="32"/>
        </w:rPr>
        <w:t>完成预算0%。</w:t>
      </w:r>
      <w:r>
        <w:rPr>
          <w:rFonts w:hint="eastAsia" w:ascii="仿宋" w:hAnsi="仿宋" w:eastAsia="仿宋" w:cs="仿宋"/>
          <w:color w:val="000000"/>
          <w:sz w:val="32"/>
          <w:szCs w:val="32"/>
        </w:rPr>
        <w:t>公务用车购置及运行维护费支出决算</w:t>
      </w:r>
      <w:r>
        <w:rPr>
          <w:rFonts w:hint="eastAsia" w:ascii="仿宋" w:hAnsi="仿宋" w:eastAsia="仿宋" w:cs="仿宋"/>
          <w:color w:val="000000"/>
          <w:sz w:val="32"/>
          <w:szCs w:val="32"/>
          <w:lang w:eastAsia="zh-CN"/>
        </w:rPr>
        <w:t>与</w:t>
      </w:r>
      <w:r>
        <w:rPr>
          <w:rFonts w:hint="eastAsia" w:ascii="仿宋" w:hAnsi="仿宋" w:eastAsia="仿宋" w:cs="仿宋"/>
          <w:color w:val="000000"/>
          <w:sz w:val="32"/>
          <w:szCs w:val="32"/>
          <w:lang w:val="en-US" w:eastAsia="zh-CN"/>
        </w:rPr>
        <w:t>2023年度持平，</w:t>
      </w:r>
      <w:r>
        <w:rPr>
          <w:rFonts w:hint="eastAsia" w:ascii="仿宋" w:hAnsi="仿宋" w:eastAsia="仿宋" w:cs="仿宋"/>
          <w:color w:val="000000"/>
          <w:sz w:val="32"/>
          <w:szCs w:val="32"/>
        </w:rPr>
        <w:t>主要原因是公务用车已报废，未产生公务用车运行维护费。</w:t>
      </w:r>
    </w:p>
    <w:p w14:paraId="1A04F523">
      <w:pPr>
        <w:keepNext w:val="0"/>
        <w:keepLines w:val="0"/>
        <w:pageBreakBefore w:val="0"/>
        <w:kinsoku/>
        <w:wordWrap/>
        <w:overflowPunct/>
        <w:topLinePunct w:val="0"/>
        <w:bidi w:val="0"/>
        <w:snapToGrid/>
        <w:spacing w:line="560" w:lineRule="exact"/>
        <w:ind w:firstLine="640" w:firstLineChars="200"/>
        <w:textAlignment w:val="auto"/>
        <w:rPr>
          <w:rFonts w:hint="eastAsia" w:ascii="仿宋" w:hAnsi="仿宋" w:eastAsia="仿宋" w:cs="仿宋"/>
          <w:b/>
          <w:sz w:val="32"/>
          <w:szCs w:val="32"/>
        </w:rPr>
      </w:pPr>
      <w:r>
        <w:rPr>
          <w:rFonts w:hint="eastAsia" w:ascii="仿宋" w:hAnsi="仿宋" w:eastAsia="仿宋" w:cs="仿宋"/>
          <w:sz w:val="32"/>
          <w:szCs w:val="32"/>
        </w:rPr>
        <w:t>其中：</w:t>
      </w:r>
      <w:r>
        <w:rPr>
          <w:rFonts w:hint="eastAsia" w:ascii="仿宋" w:hAnsi="仿宋" w:eastAsia="仿宋" w:cs="仿宋"/>
          <w:b/>
          <w:sz w:val="32"/>
          <w:szCs w:val="32"/>
        </w:rPr>
        <w:t>公务用车购置支出</w:t>
      </w:r>
      <w:r>
        <w:rPr>
          <w:rFonts w:hint="eastAsia" w:ascii="仿宋" w:hAnsi="仿宋" w:eastAsia="仿宋" w:cs="仿宋"/>
          <w:sz w:val="32"/>
          <w:szCs w:val="32"/>
          <w:lang w:val="en-US" w:eastAsia="zh-CN"/>
        </w:rPr>
        <w:t>0</w:t>
      </w:r>
      <w:r>
        <w:rPr>
          <w:rFonts w:hint="eastAsia" w:ascii="仿宋" w:hAnsi="仿宋" w:eastAsia="仿宋" w:cs="仿宋"/>
          <w:sz w:val="32"/>
          <w:szCs w:val="32"/>
        </w:rPr>
        <w:t>万元。全年按规定更新购置公务用车</w:t>
      </w:r>
      <w:r>
        <w:rPr>
          <w:rFonts w:hint="eastAsia" w:ascii="仿宋" w:hAnsi="仿宋" w:eastAsia="仿宋" w:cs="仿宋"/>
          <w:sz w:val="32"/>
          <w:szCs w:val="32"/>
          <w:lang w:val="en-US" w:eastAsia="zh-CN"/>
        </w:rPr>
        <w:t>0</w:t>
      </w:r>
      <w:r>
        <w:rPr>
          <w:rFonts w:hint="eastAsia" w:ascii="仿宋" w:hAnsi="仿宋" w:eastAsia="仿宋" w:cs="仿宋"/>
          <w:sz w:val="32"/>
          <w:szCs w:val="32"/>
        </w:rPr>
        <w:t>辆，其中：轿车</w:t>
      </w:r>
      <w:r>
        <w:rPr>
          <w:rFonts w:hint="eastAsia" w:ascii="仿宋" w:hAnsi="仿宋" w:eastAsia="仿宋" w:cs="仿宋"/>
          <w:sz w:val="32"/>
          <w:szCs w:val="32"/>
          <w:lang w:val="en-US" w:eastAsia="zh-CN"/>
        </w:rPr>
        <w:t>0</w:t>
      </w:r>
      <w:r>
        <w:rPr>
          <w:rFonts w:hint="eastAsia" w:ascii="仿宋" w:hAnsi="仿宋" w:eastAsia="仿宋" w:cs="仿宋"/>
          <w:sz w:val="32"/>
          <w:szCs w:val="32"/>
        </w:rPr>
        <w:t>辆、金额</w:t>
      </w:r>
      <w:r>
        <w:rPr>
          <w:rFonts w:hint="eastAsia" w:ascii="仿宋" w:hAnsi="仿宋" w:eastAsia="仿宋" w:cs="仿宋"/>
          <w:sz w:val="32"/>
          <w:szCs w:val="32"/>
          <w:lang w:val="en-US" w:eastAsia="zh-CN"/>
        </w:rPr>
        <w:t>0</w:t>
      </w:r>
      <w:r>
        <w:rPr>
          <w:rFonts w:hint="eastAsia" w:ascii="仿宋" w:hAnsi="仿宋" w:eastAsia="仿宋" w:cs="仿宋"/>
          <w:sz w:val="32"/>
          <w:szCs w:val="32"/>
        </w:rPr>
        <w:t>万元，越野车</w:t>
      </w:r>
      <w:r>
        <w:rPr>
          <w:rFonts w:hint="eastAsia" w:ascii="仿宋" w:hAnsi="仿宋" w:eastAsia="仿宋" w:cs="仿宋"/>
          <w:sz w:val="32"/>
          <w:szCs w:val="32"/>
          <w:lang w:val="en-US" w:eastAsia="zh-CN"/>
        </w:rPr>
        <w:t>0</w:t>
      </w:r>
      <w:r>
        <w:rPr>
          <w:rFonts w:hint="eastAsia" w:ascii="仿宋" w:hAnsi="仿宋" w:eastAsia="仿宋" w:cs="仿宋"/>
          <w:sz w:val="32"/>
          <w:szCs w:val="32"/>
        </w:rPr>
        <w:t>辆、金额</w:t>
      </w:r>
      <w:r>
        <w:rPr>
          <w:rFonts w:hint="eastAsia" w:ascii="仿宋" w:hAnsi="仿宋" w:eastAsia="仿宋" w:cs="仿宋"/>
          <w:sz w:val="32"/>
          <w:szCs w:val="32"/>
          <w:lang w:val="en-US" w:eastAsia="zh-CN"/>
        </w:rPr>
        <w:t>0</w:t>
      </w:r>
      <w:r>
        <w:rPr>
          <w:rFonts w:hint="eastAsia" w:ascii="仿宋" w:hAnsi="仿宋" w:eastAsia="仿宋" w:cs="仿宋"/>
          <w:sz w:val="32"/>
          <w:szCs w:val="32"/>
        </w:rPr>
        <w:t>万元，载客汽车</w:t>
      </w:r>
      <w:r>
        <w:rPr>
          <w:rFonts w:hint="eastAsia" w:ascii="仿宋" w:hAnsi="仿宋" w:eastAsia="仿宋" w:cs="仿宋"/>
          <w:sz w:val="32"/>
          <w:szCs w:val="32"/>
          <w:lang w:val="en-US" w:eastAsia="zh-CN"/>
        </w:rPr>
        <w:t>0</w:t>
      </w:r>
      <w:r>
        <w:rPr>
          <w:rFonts w:hint="eastAsia" w:ascii="仿宋" w:hAnsi="仿宋" w:eastAsia="仿宋" w:cs="仿宋"/>
          <w:sz w:val="32"/>
          <w:szCs w:val="32"/>
        </w:rPr>
        <w:t>辆、金额</w:t>
      </w:r>
      <w:r>
        <w:rPr>
          <w:rFonts w:hint="eastAsia" w:ascii="仿宋" w:hAnsi="仿宋" w:eastAsia="仿宋" w:cs="仿宋"/>
          <w:sz w:val="32"/>
          <w:szCs w:val="32"/>
          <w:lang w:val="en-US" w:eastAsia="zh-CN"/>
        </w:rPr>
        <w:t>0</w:t>
      </w:r>
      <w:r>
        <w:rPr>
          <w:rFonts w:hint="eastAsia" w:ascii="仿宋" w:hAnsi="仿宋" w:eastAsia="仿宋" w:cs="仿宋"/>
          <w:sz w:val="32"/>
          <w:szCs w:val="32"/>
        </w:rPr>
        <w:t>万元</w:t>
      </w:r>
      <w:r>
        <w:rPr>
          <w:rFonts w:hint="eastAsia" w:ascii="仿宋" w:hAnsi="仿宋" w:eastAsia="仿宋" w:cs="仿宋"/>
          <w:sz w:val="32"/>
          <w:szCs w:val="32"/>
          <w:lang w:eastAsia="zh-CN"/>
        </w:rPr>
        <w:t>。</w:t>
      </w:r>
      <w:r>
        <w:rPr>
          <w:rFonts w:hint="eastAsia" w:ascii="仿宋" w:hAnsi="仿宋" w:eastAsia="仿宋" w:cs="仿宋"/>
          <w:sz w:val="32"/>
          <w:szCs w:val="32"/>
        </w:rPr>
        <w:t>截至202</w:t>
      </w:r>
      <w:r>
        <w:rPr>
          <w:rFonts w:hint="eastAsia" w:ascii="仿宋" w:hAnsi="仿宋" w:eastAsia="仿宋" w:cs="仿宋"/>
          <w:sz w:val="32"/>
          <w:szCs w:val="32"/>
          <w:lang w:val="en-US" w:eastAsia="zh-CN"/>
        </w:rPr>
        <w:t>4</w:t>
      </w:r>
      <w:r>
        <w:rPr>
          <w:rFonts w:hint="eastAsia" w:ascii="仿宋" w:hAnsi="仿宋" w:eastAsia="仿宋" w:cs="仿宋"/>
          <w:sz w:val="32"/>
          <w:szCs w:val="32"/>
        </w:rPr>
        <w:t>年12月</w:t>
      </w:r>
      <w:r>
        <w:rPr>
          <w:rFonts w:hint="eastAsia" w:ascii="仿宋" w:hAnsi="仿宋" w:eastAsia="仿宋" w:cs="仿宋"/>
          <w:sz w:val="32"/>
          <w:szCs w:val="32"/>
          <w:lang w:val="en-US" w:eastAsia="zh-CN"/>
        </w:rPr>
        <w:t>31日</w:t>
      </w:r>
      <w:r>
        <w:rPr>
          <w:rFonts w:hint="eastAsia" w:ascii="仿宋" w:hAnsi="仿宋" w:eastAsia="仿宋" w:cs="仿宋"/>
          <w:sz w:val="32"/>
          <w:szCs w:val="32"/>
        </w:rPr>
        <w:t>，单位共有公务用车</w:t>
      </w:r>
      <w:r>
        <w:rPr>
          <w:rFonts w:hint="eastAsia" w:ascii="仿宋" w:hAnsi="仿宋" w:eastAsia="仿宋" w:cs="仿宋"/>
          <w:sz w:val="32"/>
          <w:szCs w:val="32"/>
          <w:lang w:val="en-US" w:eastAsia="zh-CN"/>
        </w:rPr>
        <w:t>0</w:t>
      </w:r>
      <w:r>
        <w:rPr>
          <w:rFonts w:hint="eastAsia" w:ascii="仿宋" w:hAnsi="仿宋" w:eastAsia="仿宋" w:cs="仿宋"/>
          <w:sz w:val="32"/>
          <w:szCs w:val="32"/>
        </w:rPr>
        <w:t>辆，其中：轿车</w:t>
      </w:r>
      <w:r>
        <w:rPr>
          <w:rFonts w:hint="eastAsia" w:ascii="仿宋" w:hAnsi="仿宋" w:eastAsia="仿宋" w:cs="仿宋"/>
          <w:sz w:val="32"/>
          <w:szCs w:val="32"/>
          <w:lang w:val="en-US" w:eastAsia="zh-CN"/>
        </w:rPr>
        <w:t>0</w:t>
      </w:r>
      <w:r>
        <w:rPr>
          <w:rFonts w:hint="eastAsia" w:ascii="仿宋" w:hAnsi="仿宋" w:eastAsia="仿宋" w:cs="仿宋"/>
          <w:sz w:val="32"/>
          <w:szCs w:val="32"/>
        </w:rPr>
        <w:t>辆、越野车</w:t>
      </w:r>
      <w:r>
        <w:rPr>
          <w:rFonts w:hint="eastAsia" w:ascii="仿宋" w:hAnsi="仿宋" w:eastAsia="仿宋" w:cs="仿宋"/>
          <w:sz w:val="32"/>
          <w:szCs w:val="32"/>
          <w:lang w:val="en-US" w:eastAsia="zh-CN"/>
        </w:rPr>
        <w:t>0</w:t>
      </w:r>
      <w:r>
        <w:rPr>
          <w:rFonts w:hint="eastAsia" w:ascii="仿宋" w:hAnsi="仿宋" w:eastAsia="仿宋" w:cs="仿宋"/>
          <w:sz w:val="32"/>
          <w:szCs w:val="32"/>
        </w:rPr>
        <w:t>辆、载客汽车</w:t>
      </w:r>
      <w:r>
        <w:rPr>
          <w:rFonts w:hint="eastAsia" w:ascii="仿宋" w:hAnsi="仿宋" w:eastAsia="仿宋" w:cs="仿宋"/>
          <w:sz w:val="32"/>
          <w:szCs w:val="32"/>
          <w:lang w:val="en-US" w:eastAsia="zh-CN"/>
        </w:rPr>
        <w:t>0</w:t>
      </w:r>
      <w:r>
        <w:rPr>
          <w:rFonts w:hint="eastAsia" w:ascii="仿宋" w:hAnsi="仿宋" w:eastAsia="仿宋" w:cs="仿宋"/>
          <w:sz w:val="32"/>
          <w:szCs w:val="32"/>
        </w:rPr>
        <w:t>辆。</w:t>
      </w:r>
    </w:p>
    <w:p w14:paraId="56267F2D">
      <w:pPr>
        <w:keepNext w:val="0"/>
        <w:keepLines w:val="0"/>
        <w:pageBreakBefore w:val="0"/>
        <w:kinsoku/>
        <w:wordWrap/>
        <w:overflowPunct/>
        <w:topLinePunct w:val="0"/>
        <w:bidi w:val="0"/>
        <w:snapToGrid/>
        <w:spacing w:line="560" w:lineRule="exact"/>
        <w:ind w:firstLine="640"/>
        <w:textAlignment w:val="auto"/>
        <w:rPr>
          <w:rFonts w:hint="eastAsia" w:ascii="仿宋" w:hAnsi="仿宋" w:eastAsia="仿宋" w:cs="仿宋"/>
          <w:color w:val="000000"/>
          <w:sz w:val="32"/>
          <w:szCs w:val="32"/>
        </w:rPr>
      </w:pPr>
      <w:r>
        <w:rPr>
          <w:rFonts w:hint="eastAsia" w:ascii="仿宋" w:hAnsi="仿宋" w:eastAsia="仿宋" w:cs="仿宋"/>
          <w:b/>
          <w:color w:val="000000"/>
          <w:sz w:val="32"/>
          <w:szCs w:val="32"/>
        </w:rPr>
        <w:t>公务用车运行维护费支出</w:t>
      </w:r>
      <w:r>
        <w:rPr>
          <w:rFonts w:hint="eastAsia" w:ascii="仿宋" w:hAnsi="仿宋" w:eastAsia="仿宋" w:cs="仿宋"/>
          <w:color w:val="000000"/>
          <w:sz w:val="32"/>
          <w:szCs w:val="32"/>
        </w:rPr>
        <w:t>0万元。</w:t>
      </w:r>
    </w:p>
    <w:p w14:paraId="1D231B87">
      <w:pPr>
        <w:keepNext w:val="0"/>
        <w:keepLines w:val="0"/>
        <w:pageBreakBefore w:val="0"/>
        <w:kinsoku/>
        <w:wordWrap/>
        <w:overflowPunct/>
        <w:topLinePunct w:val="0"/>
        <w:bidi w:val="0"/>
        <w:snapToGrid/>
        <w:spacing w:line="560" w:lineRule="exact"/>
        <w:ind w:firstLine="640"/>
        <w:textAlignment w:val="auto"/>
        <w:rPr>
          <w:rFonts w:hint="eastAsia" w:ascii="仿宋" w:hAnsi="仿宋" w:eastAsia="仿宋" w:cs="仿宋"/>
          <w:color w:val="000000"/>
          <w:sz w:val="32"/>
          <w:szCs w:val="32"/>
        </w:rPr>
      </w:pPr>
      <w:r>
        <w:rPr>
          <w:rFonts w:hint="eastAsia" w:ascii="仿宋" w:hAnsi="仿宋" w:eastAsia="仿宋" w:cs="仿宋"/>
          <w:b/>
          <w:color w:val="000000"/>
          <w:sz w:val="32"/>
          <w:szCs w:val="32"/>
        </w:rPr>
        <w:t>3.公务接待费支出</w:t>
      </w:r>
      <w:r>
        <w:rPr>
          <w:rFonts w:hint="eastAsia" w:ascii="仿宋" w:hAnsi="仿宋" w:eastAsia="仿宋" w:cs="仿宋"/>
          <w:color w:val="000000"/>
          <w:sz w:val="32"/>
          <w:szCs w:val="32"/>
        </w:rPr>
        <w:t>0万元，</w:t>
      </w:r>
      <w:r>
        <w:rPr>
          <w:rStyle w:val="17"/>
          <w:rFonts w:hint="eastAsia" w:ascii="仿宋" w:hAnsi="仿宋" w:eastAsia="仿宋" w:cs="仿宋"/>
          <w:b w:val="0"/>
          <w:bCs/>
          <w:color w:val="000000"/>
          <w:sz w:val="32"/>
          <w:szCs w:val="32"/>
        </w:rPr>
        <w:t>完成预算0%。</w:t>
      </w:r>
      <w:r>
        <w:rPr>
          <w:rFonts w:hint="eastAsia" w:ascii="仿宋" w:hAnsi="仿宋" w:eastAsia="仿宋" w:cs="仿宋"/>
          <w:color w:val="000000"/>
          <w:sz w:val="32"/>
          <w:szCs w:val="32"/>
        </w:rPr>
        <w:t>公务接待费支出决算</w:t>
      </w:r>
      <w:r>
        <w:rPr>
          <w:rFonts w:hint="eastAsia" w:ascii="仿宋" w:hAnsi="仿宋" w:eastAsia="仿宋" w:cs="仿宋"/>
          <w:color w:val="000000"/>
          <w:sz w:val="32"/>
          <w:szCs w:val="32"/>
          <w:lang w:eastAsia="zh-CN"/>
        </w:rPr>
        <w:t>与</w:t>
      </w:r>
      <w:r>
        <w:rPr>
          <w:rFonts w:hint="eastAsia" w:ascii="仿宋" w:hAnsi="仿宋" w:eastAsia="仿宋" w:cs="仿宋"/>
          <w:color w:val="000000"/>
          <w:sz w:val="32"/>
          <w:szCs w:val="32"/>
        </w:rPr>
        <w:t>20</w:t>
      </w:r>
      <w:r>
        <w:rPr>
          <w:rFonts w:hint="eastAsia" w:ascii="仿宋" w:hAnsi="仿宋" w:eastAsia="仿宋" w:cs="仿宋"/>
          <w:color w:val="000000"/>
          <w:sz w:val="32"/>
          <w:szCs w:val="32"/>
          <w:lang w:val="en-US" w:eastAsia="zh-CN"/>
        </w:rPr>
        <w:t>23年度</w:t>
      </w:r>
      <w:r>
        <w:rPr>
          <w:rFonts w:hint="eastAsia" w:ascii="仿宋" w:hAnsi="仿宋" w:eastAsia="仿宋" w:cs="仿宋"/>
          <w:color w:val="000000"/>
          <w:sz w:val="32"/>
          <w:szCs w:val="32"/>
        </w:rPr>
        <w:t>持平。主要原因是未产生公务接待。</w:t>
      </w:r>
    </w:p>
    <w:p w14:paraId="0DC8CF13">
      <w:pPr>
        <w:keepNext w:val="0"/>
        <w:keepLines w:val="0"/>
        <w:pageBreakBefore w:val="0"/>
        <w:kinsoku/>
        <w:wordWrap/>
        <w:overflowPunct/>
        <w:topLinePunct w:val="0"/>
        <w:bidi w:val="0"/>
        <w:snapToGrid/>
        <w:spacing w:line="560" w:lineRule="exact"/>
        <w:ind w:firstLine="640"/>
        <w:textAlignment w:val="auto"/>
        <w:rPr>
          <w:rFonts w:hint="eastAsia" w:ascii="仿宋" w:hAnsi="仿宋" w:eastAsia="仿宋" w:cs="仿宋"/>
          <w:color w:val="000000"/>
          <w:sz w:val="32"/>
          <w:szCs w:val="32"/>
          <w:lang w:eastAsia="zh-CN"/>
        </w:rPr>
      </w:pPr>
      <w:r>
        <w:rPr>
          <w:rFonts w:hint="eastAsia" w:ascii="仿宋" w:hAnsi="仿宋" w:eastAsia="仿宋" w:cs="仿宋"/>
          <w:b/>
          <w:color w:val="000000"/>
          <w:sz w:val="32"/>
          <w:szCs w:val="32"/>
        </w:rPr>
        <w:t>国内公务接待支出</w:t>
      </w:r>
      <w:r>
        <w:rPr>
          <w:rFonts w:hint="eastAsia" w:ascii="仿宋" w:hAnsi="仿宋" w:eastAsia="仿宋" w:cs="仿宋"/>
          <w:color w:val="000000"/>
          <w:sz w:val="32"/>
          <w:szCs w:val="32"/>
        </w:rPr>
        <w:t>0万元</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国内公务接待0批次，0人次（不包括陪同人员），共计支出0万元</w:t>
      </w:r>
      <w:r>
        <w:rPr>
          <w:rFonts w:hint="eastAsia" w:ascii="仿宋" w:hAnsi="仿宋" w:eastAsia="仿宋" w:cs="仿宋"/>
          <w:color w:val="000000"/>
          <w:sz w:val="32"/>
          <w:szCs w:val="32"/>
          <w:lang w:eastAsia="zh-CN"/>
        </w:rPr>
        <w:t>。</w:t>
      </w:r>
    </w:p>
    <w:p w14:paraId="79514C76">
      <w:pPr>
        <w:keepNext w:val="0"/>
        <w:keepLines w:val="0"/>
        <w:pageBreakBefore w:val="0"/>
        <w:kinsoku/>
        <w:wordWrap/>
        <w:overflowPunct/>
        <w:topLinePunct w:val="0"/>
        <w:bidi w:val="0"/>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color w:val="000000"/>
          <w:sz w:val="32"/>
          <w:szCs w:val="32"/>
        </w:rPr>
        <w:t>外事接待支出</w:t>
      </w:r>
      <w:r>
        <w:rPr>
          <w:rFonts w:hint="eastAsia" w:ascii="仿宋" w:hAnsi="仿宋" w:eastAsia="仿宋" w:cs="仿宋"/>
          <w:color w:val="000000"/>
          <w:sz w:val="32"/>
          <w:szCs w:val="32"/>
        </w:rPr>
        <w:t>0万元</w:t>
      </w:r>
      <w:r>
        <w:rPr>
          <w:rFonts w:hint="eastAsia" w:ascii="仿宋" w:hAnsi="仿宋" w:eastAsia="仿宋" w:cs="仿宋"/>
          <w:color w:val="000000" w:themeColor="text1"/>
          <w:sz w:val="32"/>
          <w:szCs w:val="32"/>
          <w14:textFill>
            <w14:solidFill>
              <w14:schemeClr w14:val="tx1"/>
            </w14:solidFill>
          </w14:textFill>
        </w:rPr>
        <w:t>，外事接待0批次，0人，共计支出0万元</w:t>
      </w:r>
      <w:r>
        <w:rPr>
          <w:rFonts w:hint="eastAsia" w:ascii="仿宋" w:hAnsi="仿宋" w:eastAsia="仿宋" w:cs="仿宋"/>
          <w:color w:val="000000" w:themeColor="text1"/>
          <w:sz w:val="32"/>
          <w:szCs w:val="32"/>
          <w:lang w:eastAsia="zh-CN"/>
          <w14:textFill>
            <w14:solidFill>
              <w14:schemeClr w14:val="tx1"/>
            </w14:solidFill>
          </w14:textFill>
        </w:rPr>
        <w:t>。</w:t>
      </w:r>
      <w:bookmarkStart w:id="41" w:name="_Toc15396610"/>
      <w:bookmarkStart w:id="42" w:name="_Toc15377218"/>
    </w:p>
    <w:p w14:paraId="46A4657D">
      <w:pPr>
        <w:keepNext w:val="0"/>
        <w:keepLines w:val="0"/>
        <w:pageBreakBefore w:val="0"/>
        <w:kinsoku/>
        <w:wordWrap/>
        <w:overflowPunct/>
        <w:topLinePunct w:val="0"/>
        <w:bidi w:val="0"/>
        <w:snapToGrid/>
        <w:spacing w:line="560" w:lineRule="exact"/>
        <w:ind w:firstLine="640" w:firstLineChars="200"/>
        <w:textAlignment w:val="auto"/>
        <w:outlineLvl w:val="1"/>
        <w:rPr>
          <w:rStyle w:val="28"/>
          <w:rFonts w:hint="eastAsia" w:ascii="黑体" w:hAnsi="黑体" w:eastAsia="黑体" w:cs="黑体"/>
          <w:sz w:val="32"/>
          <w:szCs w:val="32"/>
        </w:rPr>
      </w:pPr>
      <w:r>
        <w:rPr>
          <w:rFonts w:hint="eastAsia" w:ascii="黑体" w:hAnsi="黑体" w:eastAsia="黑体" w:cs="黑体"/>
          <w:sz w:val="32"/>
          <w:szCs w:val="32"/>
        </w:rPr>
        <w:t>八、</w:t>
      </w:r>
      <w:r>
        <w:rPr>
          <w:rStyle w:val="28"/>
          <w:rFonts w:hint="eastAsia" w:ascii="黑体" w:hAnsi="黑体" w:eastAsia="黑体" w:cs="黑体"/>
          <w:b w:val="0"/>
          <w:sz w:val="32"/>
          <w:szCs w:val="32"/>
        </w:rPr>
        <w:t>政府性基金预算支出决算情况说明</w:t>
      </w:r>
      <w:bookmarkEnd w:id="41"/>
      <w:bookmarkEnd w:id="42"/>
    </w:p>
    <w:p w14:paraId="32AC4DC0">
      <w:pPr>
        <w:keepNext w:val="0"/>
        <w:keepLines w:val="0"/>
        <w:pageBreakBefore w:val="0"/>
        <w:kinsoku/>
        <w:wordWrap/>
        <w:overflowPunct/>
        <w:topLinePunct w:val="0"/>
        <w:bidi w:val="0"/>
        <w:snapToGrid/>
        <w:spacing w:line="560" w:lineRule="exact"/>
        <w:ind w:firstLine="640"/>
        <w:textAlignment w:val="auto"/>
        <w:rPr>
          <w:rFonts w:hint="default" w:ascii="仿宋" w:hAnsi="仿宋" w:eastAsia="仿宋" w:cs="仿宋"/>
          <w:sz w:val="32"/>
          <w:szCs w:val="32"/>
          <w:lang w:val="en-US" w:eastAsia="zh-CN"/>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eastAsia="zh-CN"/>
        </w:rPr>
        <w:t>度</w:t>
      </w:r>
      <w:r>
        <w:rPr>
          <w:rFonts w:hint="eastAsia" w:ascii="仿宋" w:hAnsi="仿宋" w:eastAsia="仿宋" w:cs="仿宋"/>
          <w:sz w:val="32"/>
          <w:szCs w:val="32"/>
        </w:rPr>
        <w:t>政府性基金预算财政拨款支出</w:t>
      </w:r>
      <w:r>
        <w:rPr>
          <w:rFonts w:hint="eastAsia" w:ascii="仿宋" w:hAnsi="仿宋" w:eastAsia="仿宋" w:cs="仿宋"/>
          <w:sz w:val="32"/>
          <w:szCs w:val="32"/>
          <w:lang w:val="en-US" w:eastAsia="zh-CN"/>
        </w:rPr>
        <w:t>0</w:t>
      </w:r>
      <w:r>
        <w:rPr>
          <w:rFonts w:hint="eastAsia" w:ascii="仿宋" w:hAnsi="仿宋" w:eastAsia="仿宋" w:cs="仿宋"/>
          <w:sz w:val="32"/>
          <w:szCs w:val="32"/>
        </w:rPr>
        <w:t>万元</w:t>
      </w:r>
      <w:r>
        <w:rPr>
          <w:rFonts w:hint="eastAsia" w:ascii="仿宋" w:hAnsi="仿宋" w:eastAsia="仿宋" w:cs="仿宋"/>
          <w:sz w:val="32"/>
          <w:szCs w:val="32"/>
          <w:lang w:eastAsia="zh-CN"/>
        </w:rPr>
        <w:t>，占本年支出合计的</w:t>
      </w:r>
      <w:r>
        <w:rPr>
          <w:rFonts w:hint="eastAsia" w:ascii="仿宋" w:hAnsi="仿宋" w:eastAsia="仿宋" w:cs="仿宋"/>
          <w:sz w:val="32"/>
          <w:szCs w:val="32"/>
          <w:lang w:val="en-US" w:eastAsia="zh-CN"/>
        </w:rPr>
        <w:t>0%。与2023年持平。</w:t>
      </w:r>
    </w:p>
    <w:p w14:paraId="791E82A1">
      <w:pPr>
        <w:keepNext w:val="0"/>
        <w:keepLines w:val="0"/>
        <w:pageBreakBefore w:val="0"/>
        <w:numPr>
          <w:ilvl w:val="0"/>
          <w:numId w:val="0"/>
        </w:numPr>
        <w:kinsoku/>
        <w:wordWrap/>
        <w:overflowPunct/>
        <w:topLinePunct w:val="0"/>
        <w:bidi w:val="0"/>
        <w:snapToGrid/>
        <w:spacing w:line="560" w:lineRule="exact"/>
        <w:ind w:firstLine="640" w:firstLineChars="200"/>
        <w:textAlignment w:val="auto"/>
        <w:outlineLvl w:val="1"/>
        <w:rPr>
          <w:rFonts w:hint="default" w:ascii="Times New Roman" w:hAnsi="Times New Roman" w:eastAsia="仿宋_GB2312" w:cs="Times New Roman"/>
          <w:sz w:val="32"/>
          <w:szCs w:val="32"/>
        </w:rPr>
      </w:pPr>
      <w:bookmarkStart w:id="43" w:name="_Toc15396611"/>
      <w:bookmarkStart w:id="44" w:name="_Toc15377219"/>
      <w:r>
        <w:rPr>
          <w:rStyle w:val="28"/>
          <w:rFonts w:hint="eastAsia" w:ascii="黑体" w:hAnsi="黑体" w:eastAsia="黑体" w:cs="黑体"/>
          <w:b w:val="0"/>
          <w:sz w:val="32"/>
          <w:szCs w:val="32"/>
          <w:lang w:eastAsia="zh-CN"/>
        </w:rPr>
        <w:t>九、</w:t>
      </w:r>
      <w:r>
        <w:rPr>
          <w:rStyle w:val="28"/>
          <w:rFonts w:hint="eastAsia" w:ascii="黑体" w:hAnsi="黑体" w:eastAsia="黑体" w:cs="黑体"/>
          <w:b w:val="0"/>
          <w:sz w:val="32"/>
          <w:szCs w:val="32"/>
        </w:rPr>
        <w:t>国有资本经营预算支出决算情况说明</w:t>
      </w:r>
      <w:bookmarkEnd w:id="43"/>
      <w:bookmarkEnd w:id="44"/>
    </w:p>
    <w:p w14:paraId="175365A6">
      <w:pPr>
        <w:keepNext w:val="0"/>
        <w:keepLines w:val="0"/>
        <w:pageBreakBefore w:val="0"/>
        <w:numPr>
          <w:ilvl w:val="0"/>
          <w:numId w:val="0"/>
        </w:numPr>
        <w:kinsoku/>
        <w:wordWrap/>
        <w:overflowPunct/>
        <w:topLinePunct w:val="0"/>
        <w:bidi w:val="0"/>
        <w:snapToGrid/>
        <w:spacing w:line="560" w:lineRule="exact"/>
        <w:ind w:firstLine="640" w:firstLineChars="200"/>
        <w:textAlignment w:val="auto"/>
        <w:outlineLvl w:val="1"/>
        <w:rPr>
          <w:rFonts w:hint="eastAsia" w:ascii="仿宋" w:hAnsi="仿宋" w:eastAsia="仿宋" w:cs="仿宋"/>
          <w:sz w:val="32"/>
          <w:szCs w:val="32"/>
          <w:lang w:eastAsia="zh-CN"/>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eastAsia="zh-CN"/>
        </w:rPr>
        <w:t>度</w:t>
      </w:r>
      <w:r>
        <w:rPr>
          <w:rFonts w:hint="eastAsia" w:ascii="仿宋" w:hAnsi="仿宋" w:eastAsia="仿宋" w:cs="仿宋"/>
          <w:sz w:val="32"/>
          <w:szCs w:val="32"/>
        </w:rPr>
        <w:t>国有资本经营预算财政拨款支出</w:t>
      </w:r>
      <w:r>
        <w:rPr>
          <w:rFonts w:hint="eastAsia" w:ascii="仿宋" w:hAnsi="仿宋" w:eastAsia="仿宋" w:cs="仿宋"/>
          <w:sz w:val="32"/>
          <w:szCs w:val="32"/>
          <w:lang w:val="en-US" w:eastAsia="zh-CN"/>
        </w:rPr>
        <w:t>0</w:t>
      </w:r>
      <w:r>
        <w:rPr>
          <w:rFonts w:hint="eastAsia" w:ascii="仿宋" w:hAnsi="仿宋" w:eastAsia="仿宋" w:cs="仿宋"/>
          <w:sz w:val="32"/>
          <w:szCs w:val="32"/>
        </w:rPr>
        <w:t>万元</w:t>
      </w:r>
      <w:bookmarkStart w:id="45" w:name="_Toc15396612"/>
      <w:bookmarkStart w:id="46" w:name="_Toc15377221"/>
      <w:r>
        <w:rPr>
          <w:rFonts w:hint="eastAsia" w:ascii="仿宋" w:hAnsi="仿宋" w:eastAsia="仿宋" w:cs="仿宋"/>
          <w:sz w:val="32"/>
          <w:szCs w:val="32"/>
          <w:lang w:eastAsia="zh-CN"/>
        </w:rPr>
        <w:t>，占本年支出合计的</w:t>
      </w:r>
      <w:r>
        <w:rPr>
          <w:rFonts w:hint="eastAsia" w:ascii="仿宋" w:hAnsi="仿宋" w:eastAsia="仿宋" w:cs="仿宋"/>
          <w:sz w:val="32"/>
          <w:szCs w:val="32"/>
          <w:lang w:val="en-US" w:eastAsia="zh-CN"/>
        </w:rPr>
        <w:t>0%。与2023年持平。</w:t>
      </w:r>
    </w:p>
    <w:p w14:paraId="14FCE58E">
      <w:pPr>
        <w:keepNext w:val="0"/>
        <w:keepLines w:val="0"/>
        <w:pageBreakBefore w:val="0"/>
        <w:numPr>
          <w:ilvl w:val="0"/>
          <w:numId w:val="0"/>
        </w:numPr>
        <w:kinsoku/>
        <w:wordWrap/>
        <w:overflowPunct/>
        <w:topLinePunct w:val="0"/>
        <w:bidi w:val="0"/>
        <w:snapToGrid/>
        <w:spacing w:line="560" w:lineRule="exact"/>
        <w:ind w:firstLine="640" w:firstLineChars="200"/>
        <w:textAlignment w:val="auto"/>
        <w:outlineLvl w:val="1"/>
        <w:rPr>
          <w:rStyle w:val="28"/>
          <w:rFonts w:hint="eastAsia" w:ascii="黑体" w:hAnsi="黑体" w:eastAsia="黑体" w:cs="黑体"/>
          <w:b w:val="0"/>
          <w:sz w:val="32"/>
          <w:szCs w:val="32"/>
        </w:rPr>
      </w:pPr>
      <w:r>
        <w:rPr>
          <w:rStyle w:val="28"/>
          <w:rFonts w:hint="eastAsia" w:ascii="黑体" w:hAnsi="黑体" w:eastAsia="黑体" w:cs="黑体"/>
          <w:b w:val="0"/>
          <w:sz w:val="32"/>
          <w:szCs w:val="32"/>
          <w:lang w:eastAsia="zh-CN"/>
        </w:rPr>
        <w:t>十、</w:t>
      </w:r>
      <w:r>
        <w:rPr>
          <w:rStyle w:val="28"/>
          <w:rFonts w:hint="eastAsia" w:ascii="黑体" w:hAnsi="黑体" w:eastAsia="黑体" w:cs="黑体"/>
          <w:b w:val="0"/>
          <w:sz w:val="32"/>
          <w:szCs w:val="32"/>
        </w:rPr>
        <w:t>其他重要事项的情况说明</w:t>
      </w:r>
      <w:bookmarkEnd w:id="45"/>
      <w:bookmarkEnd w:id="46"/>
    </w:p>
    <w:p w14:paraId="3840986A">
      <w:pPr>
        <w:keepNext w:val="0"/>
        <w:keepLines w:val="0"/>
        <w:pageBreakBefore w:val="0"/>
        <w:kinsoku/>
        <w:wordWrap/>
        <w:overflowPunct/>
        <w:topLinePunct w:val="0"/>
        <w:bidi w:val="0"/>
        <w:snapToGrid/>
        <w:spacing w:line="560" w:lineRule="exact"/>
        <w:ind w:firstLine="643" w:firstLineChars="200"/>
        <w:textAlignment w:val="auto"/>
        <w:outlineLvl w:val="2"/>
        <w:rPr>
          <w:rFonts w:hint="eastAsia" w:ascii="仿宋" w:hAnsi="仿宋" w:eastAsia="仿宋" w:cs="仿宋"/>
          <w:sz w:val="32"/>
          <w:szCs w:val="32"/>
        </w:rPr>
      </w:pPr>
      <w:bookmarkStart w:id="47" w:name="_Toc15377222"/>
      <w:r>
        <w:rPr>
          <w:rFonts w:hint="eastAsia" w:ascii="仿宋" w:hAnsi="仿宋" w:eastAsia="仿宋" w:cs="仿宋"/>
          <w:b/>
          <w:sz w:val="32"/>
          <w:szCs w:val="32"/>
        </w:rPr>
        <w:t>（一）机关运行经费支出情况</w:t>
      </w:r>
      <w:bookmarkEnd w:id="47"/>
    </w:p>
    <w:p w14:paraId="2133DB5E">
      <w:pPr>
        <w:keepNext w:val="0"/>
        <w:keepLines w:val="0"/>
        <w:pageBreakBefore w:val="0"/>
        <w:kinsoku/>
        <w:wordWrap/>
        <w:overflowPunct/>
        <w:topLinePunct w:val="0"/>
        <w:bidi w:val="0"/>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eastAsia="zh-CN"/>
        </w:rPr>
        <w:t>度</w:t>
      </w:r>
      <w:r>
        <w:rPr>
          <w:rFonts w:hint="eastAsia" w:ascii="仿宋" w:hAnsi="仿宋" w:eastAsia="仿宋" w:cs="仿宋"/>
          <w:sz w:val="32"/>
          <w:szCs w:val="32"/>
        </w:rPr>
        <w:t>，</w:t>
      </w:r>
      <w:r>
        <w:rPr>
          <w:rFonts w:hint="eastAsia" w:ascii="仿宋" w:hAnsi="仿宋" w:eastAsia="仿宋" w:cs="仿宋"/>
          <w:sz w:val="32"/>
          <w:szCs w:val="32"/>
          <w:lang w:eastAsia="zh-CN"/>
        </w:rPr>
        <w:t>盐边县红果中心卫生院</w:t>
      </w:r>
      <w:r>
        <w:rPr>
          <w:rFonts w:hint="eastAsia" w:ascii="仿宋" w:hAnsi="仿宋" w:eastAsia="仿宋" w:cs="仿宋"/>
          <w:sz w:val="32"/>
          <w:szCs w:val="32"/>
        </w:rPr>
        <w:t>机关运行经费支出</w:t>
      </w:r>
      <w:r>
        <w:rPr>
          <w:rFonts w:hint="eastAsia" w:ascii="仿宋" w:hAnsi="仿宋" w:eastAsia="仿宋" w:cs="仿宋"/>
          <w:sz w:val="32"/>
          <w:szCs w:val="32"/>
          <w:lang w:val="en-US" w:eastAsia="zh-CN"/>
        </w:rPr>
        <w:t>0</w:t>
      </w:r>
      <w:r>
        <w:rPr>
          <w:rFonts w:hint="eastAsia" w:ascii="仿宋" w:hAnsi="仿宋" w:eastAsia="仿宋" w:cs="仿宋"/>
          <w:sz w:val="32"/>
          <w:szCs w:val="32"/>
        </w:rPr>
        <w:t>万元，与202</w:t>
      </w:r>
      <w:r>
        <w:rPr>
          <w:rFonts w:hint="eastAsia" w:ascii="仿宋" w:hAnsi="仿宋" w:eastAsia="仿宋" w:cs="仿宋"/>
          <w:sz w:val="32"/>
          <w:szCs w:val="32"/>
          <w:lang w:val="en-US" w:eastAsia="zh-CN"/>
        </w:rPr>
        <w:t>3</w:t>
      </w:r>
      <w:r>
        <w:rPr>
          <w:rFonts w:hint="eastAsia" w:ascii="仿宋" w:hAnsi="仿宋" w:eastAsia="仿宋" w:cs="仿宋"/>
          <w:sz w:val="32"/>
          <w:szCs w:val="32"/>
        </w:rPr>
        <w:t>年</w:t>
      </w:r>
      <w:r>
        <w:rPr>
          <w:rFonts w:hint="eastAsia" w:ascii="仿宋" w:hAnsi="仿宋" w:eastAsia="仿宋" w:cs="仿宋"/>
          <w:sz w:val="32"/>
          <w:szCs w:val="32"/>
          <w:lang w:eastAsia="zh-CN"/>
        </w:rPr>
        <w:t>度</w:t>
      </w:r>
      <w:r>
        <w:rPr>
          <w:rFonts w:hint="eastAsia" w:ascii="仿宋" w:hAnsi="仿宋" w:eastAsia="仿宋" w:cs="仿宋"/>
          <w:sz w:val="32"/>
          <w:szCs w:val="32"/>
        </w:rPr>
        <w:t>决算数持平</w:t>
      </w:r>
      <w:r>
        <w:rPr>
          <w:rFonts w:hint="eastAsia" w:ascii="仿宋" w:hAnsi="仿宋" w:eastAsia="仿宋" w:cs="仿宋"/>
          <w:sz w:val="32"/>
          <w:szCs w:val="32"/>
          <w:lang w:eastAsia="zh-CN"/>
        </w:rPr>
        <w:t>。</w:t>
      </w:r>
    </w:p>
    <w:p w14:paraId="438E0FA5">
      <w:pPr>
        <w:keepNext w:val="0"/>
        <w:keepLines w:val="0"/>
        <w:pageBreakBefore w:val="0"/>
        <w:kinsoku/>
        <w:wordWrap/>
        <w:overflowPunct/>
        <w:topLinePunct w:val="0"/>
        <w:autoSpaceDE w:val="0"/>
        <w:autoSpaceDN w:val="0"/>
        <w:bidi w:val="0"/>
        <w:adjustRightInd w:val="0"/>
        <w:snapToGrid/>
        <w:spacing w:line="560" w:lineRule="exact"/>
        <w:ind w:firstLine="643" w:firstLineChars="200"/>
        <w:jc w:val="left"/>
        <w:textAlignment w:val="auto"/>
        <w:outlineLvl w:val="2"/>
        <w:rPr>
          <w:rFonts w:hint="eastAsia" w:ascii="仿宋" w:hAnsi="仿宋" w:eastAsia="仿宋" w:cs="仿宋"/>
          <w:b/>
          <w:bCs w:val="0"/>
          <w:sz w:val="32"/>
          <w:szCs w:val="32"/>
        </w:rPr>
      </w:pPr>
      <w:bookmarkStart w:id="48" w:name="_Toc15377223"/>
      <w:r>
        <w:rPr>
          <w:rFonts w:hint="eastAsia" w:ascii="仿宋" w:hAnsi="仿宋" w:eastAsia="仿宋" w:cs="仿宋"/>
          <w:b/>
          <w:bCs w:val="0"/>
          <w:sz w:val="32"/>
          <w:szCs w:val="32"/>
        </w:rPr>
        <w:t>（二）政府采购支出情况</w:t>
      </w:r>
      <w:bookmarkEnd w:id="48"/>
    </w:p>
    <w:p w14:paraId="2DDB6646">
      <w:pPr>
        <w:keepNext w:val="0"/>
        <w:keepLines w:val="0"/>
        <w:pageBreakBefore w:val="0"/>
        <w:kinsoku/>
        <w:wordWrap/>
        <w:overflowPunct/>
        <w:topLinePunct w:val="0"/>
        <w:bidi w:val="0"/>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eastAsia="zh-CN"/>
        </w:rPr>
        <w:t>度</w:t>
      </w:r>
      <w:r>
        <w:rPr>
          <w:rFonts w:hint="eastAsia" w:ascii="仿宋" w:hAnsi="仿宋" w:eastAsia="仿宋" w:cs="仿宋"/>
          <w:sz w:val="32"/>
          <w:szCs w:val="32"/>
        </w:rPr>
        <w:t>，</w:t>
      </w:r>
      <w:r>
        <w:rPr>
          <w:rFonts w:hint="eastAsia" w:ascii="仿宋" w:hAnsi="仿宋" w:eastAsia="仿宋" w:cs="仿宋"/>
          <w:sz w:val="32"/>
          <w:szCs w:val="32"/>
          <w:lang w:eastAsia="zh-CN"/>
        </w:rPr>
        <w:t>盐边县红果中心卫生院</w:t>
      </w:r>
      <w:r>
        <w:rPr>
          <w:rFonts w:hint="eastAsia" w:ascii="仿宋" w:hAnsi="仿宋" w:eastAsia="仿宋" w:cs="仿宋"/>
          <w:sz w:val="32"/>
          <w:szCs w:val="32"/>
        </w:rPr>
        <w:t>政府采购支出总额</w:t>
      </w:r>
      <w:r>
        <w:rPr>
          <w:rFonts w:hint="eastAsia" w:ascii="仿宋" w:hAnsi="仿宋" w:eastAsia="仿宋" w:cs="仿宋"/>
          <w:sz w:val="32"/>
          <w:szCs w:val="32"/>
          <w:lang w:val="en-US" w:eastAsia="zh-CN"/>
        </w:rPr>
        <w:t>1.15</w:t>
      </w:r>
      <w:r>
        <w:rPr>
          <w:rFonts w:hint="eastAsia" w:ascii="仿宋" w:hAnsi="仿宋" w:eastAsia="仿宋" w:cs="仿宋"/>
          <w:sz w:val="32"/>
          <w:szCs w:val="32"/>
        </w:rPr>
        <w:t>万元，其中：政府采购货物支出</w:t>
      </w:r>
      <w:r>
        <w:rPr>
          <w:rFonts w:hint="eastAsia" w:ascii="仿宋" w:hAnsi="仿宋" w:eastAsia="仿宋" w:cs="仿宋"/>
          <w:sz w:val="32"/>
          <w:szCs w:val="32"/>
          <w:lang w:val="en-US" w:eastAsia="zh-CN"/>
        </w:rPr>
        <w:t>1.15</w:t>
      </w:r>
      <w:r>
        <w:rPr>
          <w:rFonts w:hint="eastAsia" w:ascii="仿宋" w:hAnsi="仿宋" w:eastAsia="仿宋" w:cs="仿宋"/>
          <w:sz w:val="32"/>
          <w:szCs w:val="32"/>
        </w:rPr>
        <w:t>万元、政府采购工程支出</w:t>
      </w:r>
      <w:r>
        <w:rPr>
          <w:rFonts w:hint="eastAsia" w:ascii="仿宋" w:hAnsi="仿宋" w:eastAsia="仿宋" w:cs="仿宋"/>
          <w:sz w:val="32"/>
          <w:szCs w:val="32"/>
          <w:lang w:val="en-US" w:eastAsia="zh-CN"/>
        </w:rPr>
        <w:t>0</w:t>
      </w:r>
      <w:r>
        <w:rPr>
          <w:rFonts w:hint="eastAsia" w:ascii="仿宋" w:hAnsi="仿宋" w:eastAsia="仿宋" w:cs="仿宋"/>
          <w:sz w:val="32"/>
          <w:szCs w:val="32"/>
        </w:rPr>
        <w:t>万元、政府采购服务支出</w:t>
      </w:r>
      <w:r>
        <w:rPr>
          <w:rFonts w:hint="eastAsia" w:ascii="仿宋" w:hAnsi="仿宋" w:eastAsia="仿宋" w:cs="仿宋"/>
          <w:sz w:val="32"/>
          <w:szCs w:val="32"/>
          <w:lang w:val="en-US" w:eastAsia="zh-CN"/>
        </w:rPr>
        <w:t>0</w:t>
      </w:r>
      <w:r>
        <w:rPr>
          <w:rFonts w:hint="eastAsia" w:ascii="仿宋" w:hAnsi="仿宋" w:eastAsia="仿宋" w:cs="仿宋"/>
          <w:sz w:val="32"/>
          <w:szCs w:val="32"/>
        </w:rPr>
        <w:t>万元。</w:t>
      </w:r>
      <w:r>
        <w:rPr>
          <w:rFonts w:hint="eastAsia" w:ascii="仿宋" w:hAnsi="仿宋" w:eastAsia="仿宋" w:cs="仿宋"/>
          <w:sz w:val="32"/>
          <w:szCs w:val="32"/>
          <w:lang w:eastAsia="zh-CN"/>
        </w:rPr>
        <w:t>主要用于基本公共卫生服务工作，</w:t>
      </w:r>
      <w:r>
        <w:rPr>
          <w:rFonts w:hint="eastAsia" w:ascii="仿宋" w:hAnsi="仿宋" w:eastAsia="仿宋" w:cs="仿宋"/>
          <w:sz w:val="32"/>
          <w:szCs w:val="32"/>
        </w:rPr>
        <w:t>授予中小企业合同金额</w:t>
      </w:r>
      <w:r>
        <w:rPr>
          <w:rFonts w:hint="eastAsia" w:ascii="仿宋" w:hAnsi="仿宋" w:eastAsia="仿宋" w:cs="仿宋"/>
          <w:sz w:val="32"/>
          <w:szCs w:val="32"/>
          <w:lang w:val="en-US" w:eastAsia="zh-CN"/>
        </w:rPr>
        <w:t>1.15</w:t>
      </w:r>
      <w:r>
        <w:rPr>
          <w:rFonts w:hint="eastAsia" w:ascii="仿宋" w:hAnsi="仿宋" w:eastAsia="仿宋" w:cs="仿宋"/>
          <w:sz w:val="32"/>
          <w:szCs w:val="32"/>
        </w:rPr>
        <w:t>万元，占政府采购支出总额的</w:t>
      </w:r>
      <w:r>
        <w:rPr>
          <w:rFonts w:hint="eastAsia" w:ascii="仿宋" w:hAnsi="仿宋" w:eastAsia="仿宋" w:cs="仿宋"/>
          <w:sz w:val="32"/>
          <w:szCs w:val="32"/>
          <w:lang w:val="en-US" w:eastAsia="zh-CN"/>
        </w:rPr>
        <w:t>100</w:t>
      </w:r>
      <w:r>
        <w:rPr>
          <w:rFonts w:hint="eastAsia" w:ascii="仿宋" w:hAnsi="仿宋" w:eastAsia="仿宋" w:cs="仿宋"/>
          <w:sz w:val="32"/>
          <w:szCs w:val="32"/>
        </w:rPr>
        <w:t>%，其中：授予小微企业合同金额</w:t>
      </w:r>
      <w:r>
        <w:rPr>
          <w:rFonts w:hint="eastAsia" w:ascii="仿宋" w:hAnsi="仿宋" w:eastAsia="仿宋" w:cs="仿宋"/>
          <w:sz w:val="32"/>
          <w:szCs w:val="32"/>
          <w:lang w:val="en-US" w:eastAsia="zh-CN"/>
        </w:rPr>
        <w:t>1.15</w:t>
      </w:r>
      <w:r>
        <w:rPr>
          <w:rFonts w:hint="eastAsia" w:ascii="仿宋" w:hAnsi="仿宋" w:eastAsia="仿宋" w:cs="仿宋"/>
          <w:sz w:val="32"/>
          <w:szCs w:val="32"/>
        </w:rPr>
        <w:t>万元，占政府采购支出总额的</w:t>
      </w:r>
      <w:r>
        <w:rPr>
          <w:rFonts w:hint="eastAsia" w:ascii="仿宋" w:hAnsi="仿宋" w:eastAsia="仿宋" w:cs="仿宋"/>
          <w:sz w:val="32"/>
          <w:szCs w:val="32"/>
          <w:lang w:val="en-US" w:eastAsia="zh-CN"/>
        </w:rPr>
        <w:t>100</w:t>
      </w:r>
      <w:r>
        <w:rPr>
          <w:rFonts w:hint="eastAsia" w:ascii="仿宋" w:hAnsi="仿宋" w:eastAsia="仿宋" w:cs="仿宋"/>
          <w:sz w:val="32"/>
          <w:szCs w:val="32"/>
        </w:rPr>
        <w:t>%。</w:t>
      </w:r>
    </w:p>
    <w:p w14:paraId="633699A3">
      <w:pPr>
        <w:keepNext w:val="0"/>
        <w:keepLines w:val="0"/>
        <w:pageBreakBefore w:val="0"/>
        <w:kinsoku/>
        <w:wordWrap/>
        <w:overflowPunct/>
        <w:topLinePunct w:val="0"/>
        <w:autoSpaceDE w:val="0"/>
        <w:autoSpaceDN w:val="0"/>
        <w:bidi w:val="0"/>
        <w:adjustRightInd w:val="0"/>
        <w:snapToGrid/>
        <w:spacing w:line="560" w:lineRule="exact"/>
        <w:ind w:firstLine="643" w:firstLineChars="200"/>
        <w:jc w:val="left"/>
        <w:textAlignment w:val="auto"/>
        <w:outlineLvl w:val="2"/>
        <w:rPr>
          <w:rFonts w:hint="eastAsia" w:ascii="仿宋" w:hAnsi="仿宋" w:eastAsia="仿宋" w:cs="仿宋"/>
          <w:b/>
          <w:sz w:val="32"/>
          <w:szCs w:val="32"/>
        </w:rPr>
      </w:pPr>
      <w:bookmarkStart w:id="49" w:name="_Toc15377224"/>
      <w:r>
        <w:rPr>
          <w:rFonts w:hint="eastAsia" w:ascii="仿宋" w:hAnsi="仿宋" w:eastAsia="仿宋" w:cs="仿宋"/>
          <w:b/>
          <w:sz w:val="32"/>
          <w:szCs w:val="32"/>
        </w:rPr>
        <w:t>（三）国有资产占有使用情况</w:t>
      </w:r>
      <w:bookmarkEnd w:id="49"/>
    </w:p>
    <w:p w14:paraId="51F6450B">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截至202</w:t>
      </w:r>
      <w:r>
        <w:rPr>
          <w:rFonts w:hint="eastAsia" w:ascii="仿宋" w:hAnsi="仿宋" w:eastAsia="仿宋" w:cs="仿宋"/>
          <w:sz w:val="32"/>
          <w:szCs w:val="32"/>
          <w:lang w:val="en-US" w:eastAsia="zh-CN"/>
        </w:rPr>
        <w:t>4</w:t>
      </w:r>
      <w:r>
        <w:rPr>
          <w:rFonts w:hint="eastAsia" w:ascii="仿宋" w:hAnsi="仿宋" w:eastAsia="仿宋" w:cs="仿宋"/>
          <w:sz w:val="32"/>
          <w:szCs w:val="32"/>
        </w:rPr>
        <w:t>年12月31日，</w:t>
      </w:r>
      <w:r>
        <w:rPr>
          <w:rFonts w:hint="eastAsia" w:ascii="仿宋" w:hAnsi="仿宋" w:eastAsia="仿宋" w:cs="仿宋"/>
          <w:sz w:val="32"/>
          <w:szCs w:val="32"/>
          <w:lang w:eastAsia="zh-CN"/>
        </w:rPr>
        <w:t>盐边县红果中心卫生院</w:t>
      </w:r>
      <w:r>
        <w:rPr>
          <w:rFonts w:hint="eastAsia" w:ascii="仿宋" w:hAnsi="仿宋" w:eastAsia="仿宋" w:cs="仿宋"/>
          <w:sz w:val="32"/>
          <w:szCs w:val="32"/>
        </w:rPr>
        <w:t>共有车辆</w:t>
      </w:r>
      <w:r>
        <w:rPr>
          <w:rFonts w:hint="eastAsia" w:ascii="仿宋" w:hAnsi="仿宋" w:eastAsia="仿宋" w:cs="仿宋"/>
          <w:sz w:val="32"/>
          <w:szCs w:val="32"/>
          <w:lang w:val="en-US" w:eastAsia="zh-CN"/>
        </w:rPr>
        <w:t>0</w:t>
      </w:r>
      <w:r>
        <w:rPr>
          <w:rFonts w:hint="eastAsia" w:ascii="仿宋" w:hAnsi="仿宋" w:eastAsia="仿宋" w:cs="仿宋"/>
          <w:sz w:val="32"/>
          <w:szCs w:val="32"/>
        </w:rPr>
        <w:t>辆，其中：主要</w:t>
      </w:r>
      <w:r>
        <w:rPr>
          <w:rFonts w:hint="eastAsia" w:ascii="仿宋" w:hAnsi="仿宋" w:eastAsia="仿宋" w:cs="仿宋"/>
          <w:sz w:val="32"/>
          <w:szCs w:val="32"/>
          <w:lang w:eastAsia="zh-CN"/>
        </w:rPr>
        <w:t>负责人</w:t>
      </w:r>
      <w:r>
        <w:rPr>
          <w:rFonts w:hint="eastAsia" w:ascii="仿宋" w:hAnsi="仿宋" w:eastAsia="仿宋" w:cs="仿宋"/>
          <w:sz w:val="32"/>
          <w:szCs w:val="32"/>
        </w:rPr>
        <w:t>用车</w:t>
      </w:r>
      <w:r>
        <w:rPr>
          <w:rFonts w:hint="eastAsia" w:ascii="仿宋" w:hAnsi="仿宋" w:eastAsia="仿宋" w:cs="仿宋"/>
          <w:sz w:val="32"/>
          <w:szCs w:val="32"/>
          <w:lang w:val="en-US" w:eastAsia="zh-CN"/>
        </w:rPr>
        <w:t>0</w:t>
      </w:r>
      <w:r>
        <w:rPr>
          <w:rFonts w:hint="eastAsia" w:ascii="仿宋" w:hAnsi="仿宋" w:eastAsia="仿宋" w:cs="仿宋"/>
          <w:sz w:val="32"/>
          <w:szCs w:val="32"/>
        </w:rPr>
        <w:t>辆、机要通信用车</w:t>
      </w:r>
      <w:r>
        <w:rPr>
          <w:rFonts w:hint="eastAsia" w:ascii="仿宋" w:hAnsi="仿宋" w:eastAsia="仿宋" w:cs="仿宋"/>
          <w:sz w:val="32"/>
          <w:szCs w:val="32"/>
          <w:lang w:val="en-US" w:eastAsia="zh-CN"/>
        </w:rPr>
        <w:t>0</w:t>
      </w:r>
      <w:r>
        <w:rPr>
          <w:rFonts w:hint="eastAsia" w:ascii="仿宋" w:hAnsi="仿宋" w:eastAsia="仿宋" w:cs="仿宋"/>
          <w:sz w:val="32"/>
          <w:szCs w:val="32"/>
        </w:rPr>
        <w:t>辆、应急保障用车</w:t>
      </w:r>
      <w:r>
        <w:rPr>
          <w:rFonts w:hint="eastAsia" w:ascii="仿宋" w:hAnsi="仿宋" w:eastAsia="仿宋" w:cs="仿宋"/>
          <w:sz w:val="32"/>
          <w:szCs w:val="32"/>
          <w:lang w:val="en-US" w:eastAsia="zh-CN"/>
        </w:rPr>
        <w:t>0</w:t>
      </w:r>
      <w:r>
        <w:rPr>
          <w:rFonts w:hint="eastAsia" w:ascii="仿宋" w:hAnsi="仿宋" w:eastAsia="仿宋" w:cs="仿宋"/>
          <w:sz w:val="32"/>
          <w:szCs w:val="32"/>
        </w:rPr>
        <w:t>辆、其他用车</w:t>
      </w:r>
      <w:r>
        <w:rPr>
          <w:rFonts w:hint="eastAsia" w:ascii="仿宋" w:hAnsi="仿宋" w:eastAsia="仿宋" w:cs="仿宋"/>
          <w:sz w:val="32"/>
          <w:szCs w:val="32"/>
          <w:lang w:val="en-US" w:eastAsia="zh-CN"/>
        </w:rPr>
        <w:t>0</w:t>
      </w:r>
      <w:r>
        <w:rPr>
          <w:rFonts w:hint="eastAsia" w:ascii="仿宋" w:hAnsi="仿宋" w:eastAsia="仿宋" w:cs="仿宋"/>
          <w:sz w:val="32"/>
          <w:szCs w:val="32"/>
        </w:rPr>
        <w:t>辆。单价100万元以上设备</w:t>
      </w:r>
      <w:r>
        <w:rPr>
          <w:rFonts w:hint="eastAsia" w:ascii="仿宋" w:hAnsi="仿宋" w:eastAsia="仿宋" w:cs="仿宋"/>
          <w:sz w:val="32"/>
          <w:szCs w:val="32"/>
          <w:lang w:eastAsia="zh-CN"/>
        </w:rPr>
        <w:t>（不含车辆）</w:t>
      </w:r>
      <w:r>
        <w:rPr>
          <w:rFonts w:hint="eastAsia" w:ascii="仿宋" w:hAnsi="仿宋" w:eastAsia="仿宋" w:cs="仿宋"/>
          <w:sz w:val="32"/>
          <w:szCs w:val="32"/>
          <w:lang w:val="en-US" w:eastAsia="zh-CN"/>
        </w:rPr>
        <w:t>0</w:t>
      </w:r>
      <w:r>
        <w:rPr>
          <w:rFonts w:hint="eastAsia" w:ascii="仿宋" w:hAnsi="仿宋" w:eastAsia="仿宋" w:cs="仿宋"/>
          <w:sz w:val="32"/>
          <w:szCs w:val="32"/>
        </w:rPr>
        <w:t>台（套）。</w:t>
      </w:r>
    </w:p>
    <w:p w14:paraId="52037939">
      <w:pPr>
        <w:keepNext w:val="0"/>
        <w:keepLines w:val="0"/>
        <w:pageBreakBefore w:val="0"/>
        <w:kinsoku/>
        <w:wordWrap/>
        <w:overflowPunct/>
        <w:topLinePunct w:val="0"/>
        <w:autoSpaceDE w:val="0"/>
        <w:autoSpaceDN w:val="0"/>
        <w:bidi w:val="0"/>
        <w:adjustRightInd w:val="0"/>
        <w:snapToGrid/>
        <w:spacing w:line="560" w:lineRule="exact"/>
        <w:ind w:firstLine="643" w:firstLineChars="200"/>
        <w:jc w:val="left"/>
        <w:textAlignment w:val="auto"/>
        <w:rPr>
          <w:rFonts w:hint="eastAsia" w:ascii="仿宋" w:hAnsi="仿宋" w:eastAsia="仿宋" w:cs="仿宋"/>
          <w:b/>
          <w:sz w:val="32"/>
          <w:szCs w:val="32"/>
        </w:rPr>
      </w:pPr>
      <w:r>
        <w:rPr>
          <w:rFonts w:hint="eastAsia" w:ascii="仿宋" w:hAnsi="仿宋" w:eastAsia="仿宋" w:cs="仿宋"/>
          <w:b/>
          <w:sz w:val="32"/>
          <w:szCs w:val="32"/>
        </w:rPr>
        <w:t>（四）预算绩效管理情况</w:t>
      </w:r>
    </w:p>
    <w:p w14:paraId="0F174BA1">
      <w:pPr>
        <w:keepNext w:val="0"/>
        <w:keepLines w:val="0"/>
        <w:pageBreakBefore w:val="0"/>
        <w:widowControl/>
        <w:kinsoku/>
        <w:wordWrap/>
        <w:overflowPunct/>
        <w:topLinePunct w:val="0"/>
        <w:bidi w:val="0"/>
        <w:snapToGrid/>
        <w:spacing w:line="560" w:lineRule="exact"/>
        <w:ind w:firstLine="640" w:firstLineChars="200"/>
        <w:jc w:val="left"/>
        <w:textAlignment w:val="auto"/>
        <w:rPr>
          <w:rFonts w:ascii="仿宋_GB2312" w:eastAsia="仿宋_GB2312"/>
          <w:b/>
          <w:sz w:val="32"/>
          <w:szCs w:val="32"/>
        </w:rPr>
      </w:pPr>
      <w:r>
        <w:rPr>
          <w:rFonts w:hint="eastAsia" w:ascii="仿宋" w:hAnsi="仿宋" w:eastAsia="仿宋" w:cs="仿宋"/>
          <w:sz w:val="32"/>
          <w:szCs w:val="32"/>
        </w:rPr>
        <w:t>根据预算绩效管理要求，本单位在202</w:t>
      </w:r>
      <w:r>
        <w:rPr>
          <w:rFonts w:hint="eastAsia" w:ascii="仿宋" w:hAnsi="仿宋" w:eastAsia="仿宋" w:cs="仿宋"/>
          <w:sz w:val="32"/>
          <w:szCs w:val="32"/>
          <w:lang w:val="en-US" w:eastAsia="zh-CN"/>
        </w:rPr>
        <w:t>4</w:t>
      </w:r>
      <w:r>
        <w:rPr>
          <w:rFonts w:hint="eastAsia" w:ascii="仿宋" w:hAnsi="仿宋" w:eastAsia="仿宋" w:cs="仿宋"/>
          <w:sz w:val="32"/>
          <w:szCs w:val="32"/>
        </w:rPr>
        <w:t>年度预算编制阶段，组织对</w:t>
      </w:r>
      <w:r>
        <w:rPr>
          <w:rFonts w:hint="eastAsia" w:ascii="仿宋" w:hAnsi="仿宋" w:eastAsia="仿宋" w:cs="仿宋"/>
          <w:color w:val="auto"/>
          <w:sz w:val="32"/>
          <w:szCs w:val="32"/>
          <w:highlight w:val="none"/>
          <w:lang w:eastAsia="zh-CN"/>
        </w:rPr>
        <w:t>基本公共卫生服务、基本药物制度补助</w:t>
      </w:r>
      <w:r>
        <w:rPr>
          <w:rFonts w:hint="eastAsia" w:ascii="仿宋" w:hAnsi="仿宋" w:eastAsia="仿宋" w:cs="仿宋"/>
          <w:sz w:val="32"/>
          <w:szCs w:val="32"/>
        </w:rPr>
        <w:t>项目等</w:t>
      </w:r>
      <w:r>
        <w:rPr>
          <w:rFonts w:hint="eastAsia" w:ascii="仿宋" w:hAnsi="仿宋" w:eastAsia="仿宋" w:cs="仿宋"/>
          <w:sz w:val="32"/>
          <w:szCs w:val="32"/>
          <w:lang w:val="en-US" w:eastAsia="zh-CN"/>
        </w:rPr>
        <w:t>20</w:t>
      </w:r>
      <w:r>
        <w:rPr>
          <w:rFonts w:hint="eastAsia" w:ascii="仿宋" w:hAnsi="仿宋" w:eastAsia="仿宋" w:cs="仿宋"/>
          <w:sz w:val="32"/>
          <w:szCs w:val="32"/>
        </w:rPr>
        <w:t>个项目开展了预算事前绩效评估</w:t>
      </w:r>
      <w:r>
        <w:rPr>
          <w:rFonts w:hint="eastAsia" w:ascii="仿宋" w:hAnsi="仿宋" w:eastAsia="仿宋" w:cs="仿宋"/>
          <w:color w:val="auto"/>
          <w:sz w:val="32"/>
          <w:szCs w:val="32"/>
        </w:rPr>
        <w:t>，对</w:t>
      </w:r>
      <w:r>
        <w:rPr>
          <w:rFonts w:hint="eastAsia" w:ascii="仿宋" w:hAnsi="仿宋" w:eastAsia="仿宋" w:cs="仿宋"/>
          <w:color w:val="auto"/>
          <w:sz w:val="32"/>
          <w:szCs w:val="32"/>
          <w:lang w:val="en-US" w:eastAsia="zh-CN"/>
        </w:rPr>
        <w:t>20</w:t>
      </w:r>
      <w:r>
        <w:rPr>
          <w:rFonts w:hint="eastAsia" w:ascii="仿宋" w:hAnsi="仿宋" w:eastAsia="仿宋" w:cs="仿宋"/>
          <w:color w:val="auto"/>
          <w:sz w:val="32"/>
          <w:szCs w:val="32"/>
        </w:rPr>
        <w:t>个项目编制了绩</w:t>
      </w:r>
      <w:r>
        <w:rPr>
          <w:rFonts w:hint="eastAsia" w:ascii="仿宋" w:hAnsi="仿宋" w:eastAsia="仿宋" w:cs="仿宋"/>
          <w:sz w:val="32"/>
          <w:szCs w:val="32"/>
        </w:rPr>
        <w:t>效目标，预算执</w:t>
      </w:r>
      <w:bookmarkStart w:id="67" w:name="_GoBack"/>
      <w:bookmarkEnd w:id="67"/>
      <w:r>
        <w:rPr>
          <w:rFonts w:hint="eastAsia" w:ascii="仿宋" w:hAnsi="仿宋" w:eastAsia="仿宋" w:cs="仿宋"/>
          <w:sz w:val="32"/>
          <w:szCs w:val="32"/>
        </w:rPr>
        <w:t>行过程中，选取</w:t>
      </w:r>
      <w:r>
        <w:rPr>
          <w:rFonts w:hint="eastAsia" w:ascii="仿宋" w:hAnsi="仿宋" w:eastAsia="仿宋" w:cs="仿宋"/>
          <w:sz w:val="32"/>
          <w:szCs w:val="32"/>
          <w:lang w:val="en-US" w:eastAsia="zh-CN"/>
        </w:rPr>
        <w:t>20</w:t>
      </w:r>
      <w:r>
        <w:rPr>
          <w:rFonts w:hint="eastAsia" w:ascii="仿宋" w:hAnsi="仿宋" w:eastAsia="仿宋" w:cs="仿宋"/>
          <w:sz w:val="32"/>
          <w:szCs w:val="32"/>
        </w:rPr>
        <w:t>个项目开展绩效监控,</w:t>
      </w:r>
      <w:r>
        <w:rPr>
          <w:rFonts w:hint="eastAsia" w:ascii="仿宋" w:hAnsi="仿宋" w:eastAsia="仿宋" w:cs="仿宋"/>
          <w:sz w:val="32"/>
          <w:szCs w:val="32"/>
          <w:lang w:eastAsia="zh-CN"/>
        </w:rPr>
        <w:t>组</w:t>
      </w:r>
      <w:r>
        <w:rPr>
          <w:rFonts w:hint="eastAsia" w:ascii="仿宋" w:hAnsi="仿宋" w:eastAsia="仿宋" w:cs="仿宋"/>
          <w:sz w:val="32"/>
          <w:szCs w:val="32"/>
        </w:rPr>
        <w:t>织对</w:t>
      </w:r>
      <w:r>
        <w:rPr>
          <w:rFonts w:hint="eastAsia" w:ascii="仿宋" w:hAnsi="仿宋" w:eastAsia="仿宋" w:cs="仿宋"/>
          <w:sz w:val="32"/>
          <w:szCs w:val="32"/>
          <w:lang w:val="en-US" w:eastAsia="zh-CN"/>
        </w:rPr>
        <w:t>20</w:t>
      </w:r>
      <w:r>
        <w:rPr>
          <w:rFonts w:hint="eastAsia" w:ascii="仿宋" w:hAnsi="仿宋" w:eastAsia="仿宋" w:cs="仿宋"/>
          <w:sz w:val="32"/>
          <w:szCs w:val="32"/>
        </w:rPr>
        <w:t>个项目开展绩效自评，绩效自评表详见第四部分附件。</w:t>
      </w:r>
      <w:r>
        <w:rPr>
          <w:rFonts w:ascii="仿宋_GB2312" w:eastAsia="仿宋_GB2312"/>
          <w:b/>
          <w:sz w:val="32"/>
          <w:szCs w:val="32"/>
        </w:rPr>
        <w:br w:type="page"/>
      </w:r>
    </w:p>
    <w:p w14:paraId="60229762">
      <w:pPr>
        <w:numPr>
          <w:ilvl w:val="0"/>
          <w:numId w:val="1"/>
        </w:numPr>
        <w:spacing w:line="600" w:lineRule="exact"/>
        <w:ind w:firstLine="660" w:firstLineChars="150"/>
        <w:jc w:val="center"/>
        <w:outlineLvl w:val="0"/>
        <w:rPr>
          <w:rStyle w:val="27"/>
          <w:rFonts w:hint="eastAsia" w:ascii="黑体" w:hAnsi="黑体" w:eastAsia="黑体" w:cs="黑体"/>
          <w:b w:val="0"/>
          <w:sz w:val="44"/>
          <w:szCs w:val="44"/>
        </w:rPr>
      </w:pPr>
      <w:bookmarkStart w:id="50" w:name="_Toc15396613"/>
      <w:bookmarkStart w:id="51" w:name="_Toc15377225"/>
      <w:r>
        <w:rPr>
          <w:rFonts w:hint="eastAsia" w:ascii="黑体" w:hAnsi="黑体" w:eastAsia="黑体" w:cs="黑体"/>
          <w:sz w:val="44"/>
          <w:szCs w:val="44"/>
        </w:rPr>
        <w:t>名</w:t>
      </w:r>
      <w:r>
        <w:rPr>
          <w:rStyle w:val="27"/>
          <w:rFonts w:hint="eastAsia" w:ascii="黑体" w:hAnsi="黑体" w:eastAsia="黑体" w:cs="黑体"/>
          <w:b w:val="0"/>
          <w:sz w:val="44"/>
          <w:szCs w:val="44"/>
        </w:rPr>
        <w:t>词解释</w:t>
      </w:r>
      <w:bookmarkEnd w:id="50"/>
      <w:bookmarkEnd w:id="51"/>
    </w:p>
    <w:p w14:paraId="2788F1F9">
      <w:pPr>
        <w:spacing w:line="600" w:lineRule="exact"/>
        <w:jc w:val="left"/>
        <w:rPr>
          <w:rFonts w:ascii="宋体"/>
          <w:b/>
          <w:sz w:val="44"/>
          <w:szCs w:val="44"/>
        </w:rPr>
      </w:pPr>
    </w:p>
    <w:p w14:paraId="1E9AC82B">
      <w:pPr>
        <w:pStyle w:val="25"/>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1.财政拨款收入：指单位从同级财政部门取得的财政预算资金。</w:t>
      </w:r>
    </w:p>
    <w:p w14:paraId="0F57E5D8">
      <w:pPr>
        <w:pStyle w:val="25"/>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2.事业收入：指事业单位开展专业业务活动及辅助活动取得的收入。</w:t>
      </w:r>
    </w:p>
    <w:p w14:paraId="608ACDD6">
      <w:pPr>
        <w:pStyle w:val="25"/>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.其他收入：指单位取得的除上述收入以外的各项收入。</w:t>
      </w:r>
    </w:p>
    <w:p w14:paraId="701AF6EE">
      <w:pPr>
        <w:pStyle w:val="25"/>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.使用非财政拨款结余</w:t>
      </w:r>
      <w:r>
        <w:rPr>
          <w:rFonts w:hint="eastAsia" w:ascii="仿宋" w:hAnsi="仿宋" w:eastAsia="仿宋" w:cs="仿宋"/>
          <w:color w:val="auto"/>
          <w:sz w:val="32"/>
          <w:szCs w:val="32"/>
          <w:lang w:eastAsia="zh-CN"/>
        </w:rPr>
        <w:t>（含专用结余）</w:t>
      </w:r>
      <w:r>
        <w:rPr>
          <w:rFonts w:hint="eastAsia" w:ascii="仿宋" w:hAnsi="仿宋" w:eastAsia="仿宋" w:cs="仿宋"/>
          <w:color w:val="auto"/>
          <w:sz w:val="32"/>
          <w:szCs w:val="32"/>
        </w:rPr>
        <w:t>：指事业单位使用以前年度积累的非财政拨款结余弥补当年收支差额的金额。</w:t>
      </w:r>
    </w:p>
    <w:p w14:paraId="0C42F604">
      <w:pPr>
        <w:pStyle w:val="25"/>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.年初结转和结余：指以前年度尚未完成、结转到本年按有关规定继续使用的资金。</w:t>
      </w:r>
    </w:p>
    <w:p w14:paraId="66DF8F46">
      <w:pPr>
        <w:pStyle w:val="25"/>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.结余分配：指事业单位按照会计制度规定缴纳的所得税、提取的专用结余以及转入非财政拨款结余的金额等。</w:t>
      </w:r>
    </w:p>
    <w:p w14:paraId="03774CDE">
      <w:pPr>
        <w:pStyle w:val="25"/>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年末结转和结余：指单位按有关规定结转到下年或以后年度继续使用的资金。</w:t>
      </w:r>
    </w:p>
    <w:p w14:paraId="4C7D302C">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8</w:t>
      </w:r>
      <w:r>
        <w:rPr>
          <w:rFonts w:hint="eastAsia" w:ascii="仿宋" w:hAnsi="仿宋" w:eastAsia="仿宋" w:cs="仿宋"/>
          <w:sz w:val="32"/>
          <w:szCs w:val="32"/>
        </w:rPr>
        <w:t>.社会保障和就业支出（类）行政事业单位养老支出（款）机关事业单位基本养老保险缴费支出（项）：指</w:t>
      </w:r>
      <w:r>
        <w:rPr>
          <w:rFonts w:hint="eastAsia" w:ascii="仿宋" w:hAnsi="仿宋" w:eastAsia="仿宋" w:cs="仿宋"/>
          <w:sz w:val="32"/>
          <w:szCs w:val="32"/>
          <w:lang w:val="en-US" w:eastAsia="zh-CN"/>
        </w:rPr>
        <w:t>机关事业单位实施养老保险制度由单位缴纳的基本养老保险费支出</w:t>
      </w:r>
      <w:r>
        <w:rPr>
          <w:rFonts w:hint="eastAsia" w:ascii="仿宋" w:hAnsi="仿宋" w:eastAsia="仿宋" w:cs="仿宋"/>
          <w:sz w:val="32"/>
          <w:szCs w:val="32"/>
        </w:rPr>
        <w:t>。</w:t>
      </w:r>
    </w:p>
    <w:p w14:paraId="4ACE9E2F">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9</w:t>
      </w:r>
      <w:r>
        <w:rPr>
          <w:rFonts w:hint="eastAsia" w:ascii="仿宋" w:hAnsi="仿宋" w:eastAsia="仿宋" w:cs="仿宋"/>
          <w:sz w:val="32"/>
          <w:szCs w:val="32"/>
        </w:rPr>
        <w:t>.卫生健康支出（类）基层医疗卫生机构（款）乡镇卫生院（项）：指</w:t>
      </w:r>
      <w:r>
        <w:rPr>
          <w:rFonts w:hint="eastAsia" w:ascii="仿宋" w:hAnsi="仿宋" w:eastAsia="仿宋" w:cs="仿宋"/>
          <w:sz w:val="32"/>
          <w:szCs w:val="32"/>
          <w:lang w:val="en-US" w:eastAsia="zh-CN"/>
        </w:rPr>
        <w:t>用于乡镇卫生院的支出</w:t>
      </w:r>
      <w:r>
        <w:rPr>
          <w:rFonts w:hint="eastAsia" w:ascii="仿宋" w:hAnsi="仿宋" w:eastAsia="仿宋" w:cs="仿宋"/>
          <w:sz w:val="32"/>
          <w:szCs w:val="32"/>
        </w:rPr>
        <w:t>。</w:t>
      </w:r>
    </w:p>
    <w:p w14:paraId="12AD3173">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10</w:t>
      </w:r>
      <w:r>
        <w:rPr>
          <w:rFonts w:hint="eastAsia" w:ascii="仿宋" w:hAnsi="仿宋" w:eastAsia="仿宋" w:cs="仿宋"/>
          <w:sz w:val="32"/>
          <w:szCs w:val="32"/>
        </w:rPr>
        <w:t>.卫生健康支出（类）基层医疗卫生机构（款）其他基层医疗卫生机构支出（项）：指</w:t>
      </w:r>
      <w:r>
        <w:rPr>
          <w:rFonts w:hint="eastAsia" w:ascii="仿宋" w:hAnsi="仿宋" w:eastAsia="仿宋" w:cs="仿宋"/>
          <w:sz w:val="32"/>
          <w:szCs w:val="32"/>
          <w:lang w:val="en-US" w:eastAsia="zh-CN"/>
        </w:rPr>
        <w:t>除上述项目以外的其他用于基层医疗卫生机构的支出</w:t>
      </w:r>
      <w:r>
        <w:rPr>
          <w:rFonts w:hint="eastAsia" w:ascii="仿宋" w:hAnsi="仿宋" w:eastAsia="仿宋" w:cs="仿宋"/>
          <w:sz w:val="32"/>
          <w:szCs w:val="32"/>
        </w:rPr>
        <w:t>。</w:t>
      </w:r>
    </w:p>
    <w:p w14:paraId="3452051C">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11</w:t>
      </w:r>
      <w:r>
        <w:rPr>
          <w:rFonts w:hint="eastAsia" w:ascii="仿宋" w:hAnsi="仿宋" w:eastAsia="仿宋" w:cs="仿宋"/>
          <w:sz w:val="32"/>
          <w:szCs w:val="32"/>
        </w:rPr>
        <w:t>.卫生健康支出（类）公共卫生（款）基本公共卫生服务（项）：指</w:t>
      </w:r>
      <w:r>
        <w:rPr>
          <w:rFonts w:hint="eastAsia" w:ascii="仿宋" w:hAnsi="仿宋" w:eastAsia="仿宋" w:cs="仿宋"/>
          <w:sz w:val="32"/>
          <w:szCs w:val="32"/>
          <w:lang w:val="en-US" w:eastAsia="zh-CN"/>
        </w:rPr>
        <w:t>基本公共卫生服务支出</w:t>
      </w:r>
      <w:r>
        <w:rPr>
          <w:rFonts w:hint="eastAsia" w:ascii="仿宋" w:hAnsi="仿宋" w:eastAsia="仿宋" w:cs="仿宋"/>
          <w:sz w:val="32"/>
          <w:szCs w:val="32"/>
        </w:rPr>
        <w:t>。</w:t>
      </w:r>
    </w:p>
    <w:p w14:paraId="29DE2F6B">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12</w:t>
      </w:r>
      <w:r>
        <w:rPr>
          <w:rFonts w:hint="eastAsia" w:ascii="仿宋" w:hAnsi="仿宋" w:eastAsia="仿宋" w:cs="仿宋"/>
          <w:sz w:val="32"/>
          <w:szCs w:val="32"/>
        </w:rPr>
        <w:t>.卫生健康支出（类）公共卫生（款）重大公共卫生服务（项）：指</w:t>
      </w:r>
      <w:r>
        <w:rPr>
          <w:rFonts w:hint="eastAsia" w:ascii="仿宋" w:hAnsi="仿宋" w:eastAsia="仿宋" w:cs="仿宋"/>
          <w:sz w:val="32"/>
          <w:szCs w:val="32"/>
          <w:lang w:val="en-US" w:eastAsia="zh-CN"/>
        </w:rPr>
        <w:t>重大疾病、重大传染病预防控制等重大公共卫生服务项目支出</w:t>
      </w:r>
      <w:r>
        <w:rPr>
          <w:rFonts w:hint="eastAsia" w:ascii="仿宋" w:hAnsi="仿宋" w:eastAsia="仿宋" w:cs="仿宋"/>
          <w:sz w:val="32"/>
          <w:szCs w:val="32"/>
        </w:rPr>
        <w:t>。</w:t>
      </w:r>
    </w:p>
    <w:p w14:paraId="4FF5EEC0">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13</w:t>
      </w:r>
      <w:r>
        <w:rPr>
          <w:rFonts w:hint="eastAsia" w:ascii="仿宋" w:hAnsi="仿宋" w:eastAsia="仿宋" w:cs="仿宋"/>
          <w:sz w:val="32"/>
          <w:szCs w:val="32"/>
        </w:rPr>
        <w:t>.卫生健康支出（类）公共卫生（款）其他公共卫生支出（项）：指</w:t>
      </w:r>
      <w:r>
        <w:rPr>
          <w:rFonts w:hint="eastAsia" w:ascii="仿宋" w:hAnsi="仿宋" w:eastAsia="仿宋" w:cs="仿宋"/>
          <w:sz w:val="32"/>
          <w:szCs w:val="32"/>
          <w:lang w:val="en-US" w:eastAsia="zh-CN"/>
        </w:rPr>
        <w:t>除上述项目以外的其他用于公共卫生方面的支出</w:t>
      </w:r>
      <w:r>
        <w:rPr>
          <w:rFonts w:hint="eastAsia" w:ascii="仿宋" w:hAnsi="仿宋" w:eastAsia="仿宋" w:cs="仿宋"/>
          <w:sz w:val="32"/>
          <w:szCs w:val="32"/>
        </w:rPr>
        <w:t>。</w:t>
      </w:r>
    </w:p>
    <w:p w14:paraId="5D6513C6">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14</w:t>
      </w:r>
      <w:r>
        <w:rPr>
          <w:rFonts w:hint="eastAsia" w:ascii="仿宋" w:hAnsi="仿宋" w:eastAsia="仿宋" w:cs="仿宋"/>
          <w:sz w:val="32"/>
          <w:szCs w:val="32"/>
        </w:rPr>
        <w:t>.卫生健康支出（类）行政事业单位医疗（款）事业单位医疗（项）：指</w:t>
      </w:r>
      <w:r>
        <w:rPr>
          <w:rFonts w:hint="eastAsia" w:ascii="仿宋" w:hAnsi="仿宋" w:eastAsia="仿宋" w:cs="仿宋"/>
          <w:sz w:val="32"/>
          <w:szCs w:val="32"/>
          <w:lang w:val="en-US" w:eastAsia="zh-CN"/>
        </w:rPr>
        <w:t>财政部门安排的事业单位基本医疗保险缴费经费，未参加医疗保险的事业单位的公费医疗经费，按国家规定享受离休人员待遇的医疗经费</w:t>
      </w:r>
      <w:r>
        <w:rPr>
          <w:rFonts w:hint="eastAsia" w:ascii="仿宋" w:hAnsi="仿宋" w:eastAsia="仿宋" w:cs="仿宋"/>
          <w:sz w:val="32"/>
          <w:szCs w:val="32"/>
        </w:rPr>
        <w:t>。</w:t>
      </w:r>
    </w:p>
    <w:p w14:paraId="49FB6576">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15</w:t>
      </w:r>
      <w:r>
        <w:rPr>
          <w:rFonts w:hint="eastAsia" w:ascii="仿宋" w:hAnsi="仿宋" w:eastAsia="仿宋" w:cs="仿宋"/>
          <w:sz w:val="32"/>
          <w:szCs w:val="32"/>
        </w:rPr>
        <w:t>.卫生健康支出（类）行政事业单位医疗（款）公务员医疗补助（项）：指</w:t>
      </w:r>
      <w:r>
        <w:rPr>
          <w:rFonts w:hint="eastAsia" w:ascii="仿宋" w:hAnsi="仿宋" w:eastAsia="仿宋" w:cs="仿宋"/>
          <w:sz w:val="32"/>
          <w:szCs w:val="32"/>
          <w:lang w:val="en-US" w:eastAsia="zh-CN"/>
        </w:rPr>
        <w:t>财政部门安排的公务员医疗补助经费</w:t>
      </w:r>
      <w:r>
        <w:rPr>
          <w:rFonts w:hint="eastAsia" w:ascii="仿宋" w:hAnsi="仿宋" w:eastAsia="仿宋" w:cs="仿宋"/>
          <w:sz w:val="32"/>
          <w:szCs w:val="32"/>
        </w:rPr>
        <w:t>。</w:t>
      </w:r>
    </w:p>
    <w:p w14:paraId="0233CF87">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16</w:t>
      </w:r>
      <w:r>
        <w:rPr>
          <w:rFonts w:hint="eastAsia" w:ascii="仿宋" w:hAnsi="仿宋" w:eastAsia="仿宋" w:cs="仿宋"/>
          <w:sz w:val="32"/>
          <w:szCs w:val="32"/>
        </w:rPr>
        <w:t>.卫生健康支出（类）其他卫生健康支出（款）其他卫生健康支出（项）：指</w:t>
      </w:r>
      <w:r>
        <w:rPr>
          <w:rFonts w:hint="eastAsia" w:ascii="仿宋" w:hAnsi="仿宋" w:eastAsia="仿宋" w:cs="仿宋"/>
          <w:sz w:val="32"/>
          <w:szCs w:val="32"/>
          <w:lang w:val="en-US" w:eastAsia="zh-CN"/>
        </w:rPr>
        <w:t>除上述项目以外其他用于卫生健康方面的支出</w:t>
      </w:r>
      <w:r>
        <w:rPr>
          <w:rFonts w:hint="eastAsia" w:ascii="仿宋" w:hAnsi="仿宋" w:eastAsia="仿宋" w:cs="仿宋"/>
          <w:sz w:val="32"/>
          <w:szCs w:val="32"/>
        </w:rPr>
        <w:t>。</w:t>
      </w:r>
    </w:p>
    <w:p w14:paraId="53891CAF">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17</w:t>
      </w:r>
      <w:r>
        <w:rPr>
          <w:rFonts w:hint="eastAsia" w:ascii="仿宋" w:hAnsi="仿宋" w:eastAsia="仿宋" w:cs="仿宋"/>
          <w:sz w:val="32"/>
          <w:szCs w:val="32"/>
        </w:rPr>
        <w:t>.住房保障支出（类）住房改革支出（款）住房公积金（项）：指</w:t>
      </w:r>
      <w:r>
        <w:rPr>
          <w:rFonts w:hint="eastAsia" w:ascii="仿宋" w:hAnsi="仿宋" w:eastAsia="仿宋" w:cs="仿宋"/>
          <w:sz w:val="32"/>
          <w:szCs w:val="32"/>
          <w:lang w:val="en-US" w:eastAsia="zh-CN"/>
        </w:rPr>
        <w:t>行政事业单位按人力资源和社会保障部、财政部规定的基本工资和津贴补贴以及规定比例为职工缴纳的住房公积金</w:t>
      </w:r>
      <w:r>
        <w:rPr>
          <w:rFonts w:hint="eastAsia" w:ascii="仿宋" w:hAnsi="仿宋" w:eastAsia="仿宋" w:cs="仿宋"/>
          <w:sz w:val="32"/>
          <w:szCs w:val="32"/>
        </w:rPr>
        <w:t>。</w:t>
      </w:r>
    </w:p>
    <w:p w14:paraId="4851639B">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18</w:t>
      </w:r>
      <w:r>
        <w:rPr>
          <w:rFonts w:hint="eastAsia" w:ascii="仿宋" w:hAnsi="仿宋" w:eastAsia="仿宋" w:cs="仿宋"/>
          <w:sz w:val="32"/>
          <w:szCs w:val="32"/>
        </w:rPr>
        <w:t>.基本支出：指为保障机构正常运转、完成日常工作任务而发生的人员支出和公用支出。</w:t>
      </w:r>
    </w:p>
    <w:p w14:paraId="3FE774A7">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19</w:t>
      </w:r>
      <w:r>
        <w:rPr>
          <w:rFonts w:hint="eastAsia" w:ascii="仿宋" w:hAnsi="仿宋" w:eastAsia="仿宋" w:cs="仿宋"/>
          <w:sz w:val="32"/>
          <w:szCs w:val="32"/>
        </w:rPr>
        <w:t>.项目支出：指在基本支出之外为完成特定行政任务和事业发展目标所发生的支出。</w:t>
      </w:r>
    </w:p>
    <w:p w14:paraId="1BC712FD">
      <w:pPr>
        <w:pStyle w:val="25"/>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20</w:t>
      </w:r>
      <w:r>
        <w:rPr>
          <w:rFonts w:hint="eastAsia" w:ascii="仿宋" w:hAnsi="仿宋" w:eastAsia="仿宋" w:cs="仿宋"/>
          <w:color w:val="auto"/>
          <w:sz w:val="32"/>
          <w:szCs w:val="32"/>
        </w:rPr>
        <w:t>.“三公”经费：指</w:t>
      </w:r>
      <w:r>
        <w:rPr>
          <w:rFonts w:hint="eastAsia" w:hAnsi="仿宋" w:cs="仿宋"/>
          <w:color w:val="auto"/>
          <w:sz w:val="32"/>
          <w:szCs w:val="32"/>
          <w:lang w:eastAsia="zh-CN"/>
        </w:rPr>
        <w:t>部门</w:t>
      </w:r>
      <w:r>
        <w:rPr>
          <w:rFonts w:hint="eastAsia" w:ascii="仿宋" w:hAnsi="仿宋" w:eastAsia="仿宋" w:cs="仿宋"/>
          <w:color w:val="auto"/>
          <w:sz w:val="32"/>
          <w:szCs w:val="32"/>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 w:hAnsi="仿宋" w:eastAsia="仿宋" w:cs="仿宋"/>
          <w:color w:val="auto"/>
          <w:sz w:val="32"/>
          <w:szCs w:val="32"/>
          <w:lang w:eastAsia="zh-CN"/>
        </w:rPr>
        <w:t>及</w:t>
      </w:r>
      <w:r>
        <w:rPr>
          <w:rFonts w:hint="eastAsia" w:hAnsi="仿宋" w:cs="仿宋"/>
          <w:color w:val="auto"/>
          <w:sz w:val="32"/>
          <w:szCs w:val="32"/>
          <w:lang w:eastAsia="zh-CN"/>
        </w:rPr>
        <w:t>租用费、</w:t>
      </w:r>
      <w:r>
        <w:rPr>
          <w:rFonts w:hint="eastAsia" w:ascii="仿宋" w:hAnsi="仿宋" w:eastAsia="仿宋" w:cs="仿宋"/>
          <w:color w:val="auto"/>
          <w:sz w:val="32"/>
          <w:szCs w:val="32"/>
        </w:rPr>
        <w:t>燃料费、维修费、过路过桥费、保险费等支出；公务接待费反映单位按规定开支的各类公务接待（含外宾接待）支出。</w:t>
      </w:r>
    </w:p>
    <w:p w14:paraId="0BCA24EB">
      <w:pPr>
        <w:pStyle w:val="25"/>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s="仿宋"/>
          <w:color w:val="auto"/>
          <w:sz w:val="32"/>
          <w:szCs w:val="32"/>
        </w:rPr>
      </w:pPr>
    </w:p>
    <w:p w14:paraId="6B1C33A9">
      <w:pPr>
        <w:keepNext w:val="0"/>
        <w:keepLines w:val="0"/>
        <w:pageBreakBefore w:val="0"/>
        <w:widowControl w:val="0"/>
        <w:kinsoku/>
        <w:wordWrap/>
        <w:overflowPunct/>
        <w:topLinePunct w:val="0"/>
        <w:bidi w:val="0"/>
        <w:snapToGrid/>
        <w:spacing w:line="560" w:lineRule="exact"/>
        <w:jc w:val="center"/>
        <w:textAlignment w:val="auto"/>
        <w:outlineLvl w:val="0"/>
        <w:rPr>
          <w:rStyle w:val="27"/>
          <w:rFonts w:ascii="黑体" w:hAnsi="黑体" w:eastAsia="黑体"/>
          <w:b w:val="0"/>
        </w:rPr>
      </w:pPr>
      <w:bookmarkStart w:id="52" w:name="_Toc15377226"/>
    </w:p>
    <w:p w14:paraId="49A3B162">
      <w:pPr>
        <w:keepNext w:val="0"/>
        <w:keepLines w:val="0"/>
        <w:pageBreakBefore w:val="0"/>
        <w:widowControl w:val="0"/>
        <w:kinsoku/>
        <w:wordWrap/>
        <w:overflowPunct/>
        <w:topLinePunct w:val="0"/>
        <w:bidi w:val="0"/>
        <w:snapToGrid/>
        <w:spacing w:line="560" w:lineRule="exact"/>
        <w:jc w:val="center"/>
        <w:textAlignment w:val="auto"/>
        <w:outlineLvl w:val="0"/>
        <w:rPr>
          <w:rStyle w:val="27"/>
          <w:rFonts w:ascii="黑体" w:hAnsi="黑体" w:eastAsia="黑体"/>
          <w:b w:val="0"/>
        </w:rPr>
      </w:pPr>
    </w:p>
    <w:p w14:paraId="5E1E3B01">
      <w:pPr>
        <w:keepNext w:val="0"/>
        <w:keepLines w:val="0"/>
        <w:pageBreakBefore w:val="0"/>
        <w:widowControl w:val="0"/>
        <w:kinsoku/>
        <w:wordWrap/>
        <w:overflowPunct/>
        <w:topLinePunct w:val="0"/>
        <w:bidi w:val="0"/>
        <w:snapToGrid/>
        <w:spacing w:line="560" w:lineRule="exact"/>
        <w:jc w:val="center"/>
        <w:textAlignment w:val="auto"/>
        <w:outlineLvl w:val="0"/>
        <w:rPr>
          <w:rStyle w:val="27"/>
          <w:rFonts w:ascii="黑体" w:hAnsi="黑体" w:eastAsia="黑体"/>
          <w:b w:val="0"/>
        </w:rPr>
      </w:pPr>
    </w:p>
    <w:p w14:paraId="2F3A8909">
      <w:pPr>
        <w:keepNext w:val="0"/>
        <w:keepLines w:val="0"/>
        <w:pageBreakBefore w:val="0"/>
        <w:widowControl w:val="0"/>
        <w:kinsoku/>
        <w:wordWrap/>
        <w:overflowPunct/>
        <w:topLinePunct w:val="0"/>
        <w:bidi w:val="0"/>
        <w:snapToGrid/>
        <w:spacing w:line="560" w:lineRule="exact"/>
        <w:jc w:val="center"/>
        <w:textAlignment w:val="auto"/>
        <w:outlineLvl w:val="0"/>
        <w:rPr>
          <w:rStyle w:val="27"/>
          <w:rFonts w:ascii="黑体" w:hAnsi="黑体" w:eastAsia="黑体"/>
          <w:b w:val="0"/>
        </w:rPr>
      </w:pPr>
    </w:p>
    <w:p w14:paraId="664D3B66">
      <w:pPr>
        <w:keepNext w:val="0"/>
        <w:keepLines w:val="0"/>
        <w:pageBreakBefore w:val="0"/>
        <w:widowControl w:val="0"/>
        <w:kinsoku/>
        <w:wordWrap/>
        <w:overflowPunct/>
        <w:topLinePunct w:val="0"/>
        <w:bidi w:val="0"/>
        <w:snapToGrid/>
        <w:spacing w:line="560" w:lineRule="exact"/>
        <w:jc w:val="center"/>
        <w:textAlignment w:val="auto"/>
        <w:outlineLvl w:val="0"/>
        <w:rPr>
          <w:rStyle w:val="27"/>
          <w:rFonts w:ascii="黑体" w:hAnsi="黑体" w:eastAsia="黑体"/>
          <w:b w:val="0"/>
        </w:rPr>
      </w:pPr>
    </w:p>
    <w:p w14:paraId="46E4F8B8">
      <w:pPr>
        <w:keepNext w:val="0"/>
        <w:keepLines w:val="0"/>
        <w:pageBreakBefore w:val="0"/>
        <w:widowControl w:val="0"/>
        <w:kinsoku/>
        <w:wordWrap/>
        <w:overflowPunct/>
        <w:topLinePunct w:val="0"/>
        <w:bidi w:val="0"/>
        <w:snapToGrid/>
        <w:spacing w:line="560" w:lineRule="exact"/>
        <w:jc w:val="center"/>
        <w:textAlignment w:val="auto"/>
        <w:outlineLvl w:val="0"/>
        <w:rPr>
          <w:rStyle w:val="27"/>
          <w:rFonts w:ascii="黑体" w:hAnsi="黑体" w:eastAsia="黑体"/>
          <w:b w:val="0"/>
        </w:rPr>
      </w:pPr>
    </w:p>
    <w:p w14:paraId="74DFC411">
      <w:pPr>
        <w:keepNext w:val="0"/>
        <w:keepLines w:val="0"/>
        <w:pageBreakBefore w:val="0"/>
        <w:widowControl w:val="0"/>
        <w:kinsoku/>
        <w:wordWrap/>
        <w:overflowPunct/>
        <w:topLinePunct w:val="0"/>
        <w:bidi w:val="0"/>
        <w:snapToGrid/>
        <w:spacing w:line="560" w:lineRule="exact"/>
        <w:jc w:val="center"/>
        <w:textAlignment w:val="auto"/>
        <w:outlineLvl w:val="0"/>
        <w:rPr>
          <w:rStyle w:val="27"/>
          <w:rFonts w:ascii="黑体" w:hAnsi="黑体" w:eastAsia="黑体"/>
          <w:b w:val="0"/>
        </w:rPr>
      </w:pPr>
    </w:p>
    <w:p w14:paraId="12A8E372">
      <w:pPr>
        <w:keepNext w:val="0"/>
        <w:keepLines w:val="0"/>
        <w:pageBreakBefore w:val="0"/>
        <w:widowControl w:val="0"/>
        <w:kinsoku/>
        <w:wordWrap/>
        <w:overflowPunct/>
        <w:topLinePunct w:val="0"/>
        <w:bidi w:val="0"/>
        <w:snapToGrid/>
        <w:spacing w:line="560" w:lineRule="exact"/>
        <w:jc w:val="center"/>
        <w:textAlignment w:val="auto"/>
        <w:outlineLvl w:val="0"/>
        <w:rPr>
          <w:rStyle w:val="27"/>
          <w:rFonts w:ascii="黑体" w:hAnsi="黑体" w:eastAsia="黑体"/>
          <w:b w:val="0"/>
        </w:rPr>
      </w:pPr>
    </w:p>
    <w:p w14:paraId="08BF4027">
      <w:pPr>
        <w:keepNext w:val="0"/>
        <w:keepLines w:val="0"/>
        <w:pageBreakBefore w:val="0"/>
        <w:widowControl w:val="0"/>
        <w:kinsoku/>
        <w:wordWrap/>
        <w:overflowPunct/>
        <w:topLinePunct w:val="0"/>
        <w:bidi w:val="0"/>
        <w:snapToGrid/>
        <w:spacing w:line="560" w:lineRule="exact"/>
        <w:jc w:val="center"/>
        <w:textAlignment w:val="auto"/>
        <w:outlineLvl w:val="0"/>
        <w:rPr>
          <w:rStyle w:val="27"/>
          <w:rFonts w:ascii="黑体" w:hAnsi="黑体" w:eastAsia="黑体"/>
          <w:b w:val="0"/>
        </w:rPr>
      </w:pPr>
    </w:p>
    <w:p w14:paraId="5E67EC2F">
      <w:pPr>
        <w:keepNext w:val="0"/>
        <w:keepLines w:val="0"/>
        <w:pageBreakBefore w:val="0"/>
        <w:widowControl w:val="0"/>
        <w:kinsoku/>
        <w:wordWrap/>
        <w:overflowPunct/>
        <w:topLinePunct w:val="0"/>
        <w:bidi w:val="0"/>
        <w:snapToGrid/>
        <w:spacing w:line="560" w:lineRule="exact"/>
        <w:jc w:val="center"/>
        <w:textAlignment w:val="auto"/>
        <w:outlineLvl w:val="0"/>
        <w:rPr>
          <w:rStyle w:val="27"/>
          <w:rFonts w:ascii="黑体" w:hAnsi="黑体" w:eastAsia="黑体"/>
          <w:b w:val="0"/>
        </w:rPr>
      </w:pPr>
    </w:p>
    <w:p w14:paraId="442345E1">
      <w:pPr>
        <w:keepNext w:val="0"/>
        <w:keepLines w:val="0"/>
        <w:pageBreakBefore w:val="0"/>
        <w:widowControl w:val="0"/>
        <w:kinsoku/>
        <w:wordWrap/>
        <w:overflowPunct/>
        <w:topLinePunct w:val="0"/>
        <w:bidi w:val="0"/>
        <w:snapToGrid/>
        <w:spacing w:line="560" w:lineRule="exact"/>
        <w:jc w:val="center"/>
        <w:textAlignment w:val="auto"/>
        <w:outlineLvl w:val="0"/>
        <w:rPr>
          <w:rStyle w:val="27"/>
          <w:rFonts w:ascii="黑体" w:hAnsi="黑体" w:eastAsia="黑体"/>
          <w:b w:val="0"/>
        </w:rPr>
      </w:pPr>
    </w:p>
    <w:p w14:paraId="36471C2D">
      <w:pPr>
        <w:keepNext w:val="0"/>
        <w:keepLines w:val="0"/>
        <w:pageBreakBefore w:val="0"/>
        <w:widowControl w:val="0"/>
        <w:kinsoku/>
        <w:wordWrap/>
        <w:overflowPunct/>
        <w:topLinePunct w:val="0"/>
        <w:bidi w:val="0"/>
        <w:snapToGrid/>
        <w:spacing w:line="560" w:lineRule="exact"/>
        <w:jc w:val="center"/>
        <w:textAlignment w:val="auto"/>
        <w:outlineLvl w:val="0"/>
        <w:rPr>
          <w:rStyle w:val="27"/>
          <w:rFonts w:ascii="黑体" w:hAnsi="黑体" w:eastAsia="黑体"/>
          <w:b w:val="0"/>
        </w:rPr>
      </w:pPr>
    </w:p>
    <w:p w14:paraId="4821FF47">
      <w:pPr>
        <w:keepNext w:val="0"/>
        <w:keepLines w:val="0"/>
        <w:pageBreakBefore w:val="0"/>
        <w:widowControl w:val="0"/>
        <w:kinsoku/>
        <w:wordWrap/>
        <w:overflowPunct/>
        <w:topLinePunct w:val="0"/>
        <w:bidi w:val="0"/>
        <w:snapToGrid/>
        <w:spacing w:line="560" w:lineRule="exact"/>
        <w:jc w:val="center"/>
        <w:textAlignment w:val="auto"/>
        <w:outlineLvl w:val="0"/>
        <w:rPr>
          <w:rStyle w:val="27"/>
          <w:rFonts w:ascii="黑体" w:hAnsi="黑体" w:eastAsia="黑体"/>
          <w:b w:val="0"/>
        </w:rPr>
      </w:pPr>
    </w:p>
    <w:p w14:paraId="34565CB3">
      <w:pPr>
        <w:keepNext w:val="0"/>
        <w:keepLines w:val="0"/>
        <w:pageBreakBefore w:val="0"/>
        <w:widowControl w:val="0"/>
        <w:kinsoku/>
        <w:wordWrap/>
        <w:overflowPunct/>
        <w:topLinePunct w:val="0"/>
        <w:bidi w:val="0"/>
        <w:snapToGrid/>
        <w:spacing w:line="560" w:lineRule="exact"/>
        <w:jc w:val="center"/>
        <w:textAlignment w:val="auto"/>
        <w:outlineLvl w:val="0"/>
        <w:rPr>
          <w:rStyle w:val="27"/>
          <w:rFonts w:ascii="黑体" w:hAnsi="黑体" w:eastAsia="黑体"/>
          <w:b w:val="0"/>
        </w:rPr>
      </w:pPr>
    </w:p>
    <w:p w14:paraId="183F37C7">
      <w:pPr>
        <w:keepNext w:val="0"/>
        <w:keepLines w:val="0"/>
        <w:pageBreakBefore w:val="0"/>
        <w:widowControl w:val="0"/>
        <w:kinsoku/>
        <w:wordWrap/>
        <w:overflowPunct/>
        <w:topLinePunct w:val="0"/>
        <w:bidi w:val="0"/>
        <w:snapToGrid/>
        <w:spacing w:line="560" w:lineRule="exact"/>
        <w:jc w:val="center"/>
        <w:textAlignment w:val="auto"/>
        <w:outlineLvl w:val="0"/>
        <w:rPr>
          <w:rStyle w:val="27"/>
          <w:rFonts w:ascii="黑体" w:hAnsi="黑体" w:eastAsia="黑体"/>
          <w:b w:val="0"/>
        </w:rPr>
      </w:pPr>
    </w:p>
    <w:p w14:paraId="5EBDCC08">
      <w:pPr>
        <w:keepNext w:val="0"/>
        <w:keepLines w:val="0"/>
        <w:pageBreakBefore w:val="0"/>
        <w:widowControl w:val="0"/>
        <w:kinsoku/>
        <w:wordWrap/>
        <w:overflowPunct/>
        <w:topLinePunct w:val="0"/>
        <w:bidi w:val="0"/>
        <w:snapToGrid/>
        <w:spacing w:line="560" w:lineRule="exact"/>
        <w:jc w:val="center"/>
        <w:textAlignment w:val="auto"/>
        <w:outlineLvl w:val="0"/>
        <w:rPr>
          <w:rStyle w:val="27"/>
          <w:rFonts w:ascii="黑体" w:hAnsi="黑体" w:eastAsia="黑体"/>
          <w:b w:val="0"/>
        </w:rPr>
      </w:pPr>
      <w:r>
        <w:rPr>
          <w:rStyle w:val="27"/>
          <w:rFonts w:ascii="黑体" w:hAnsi="黑体" w:eastAsia="黑体"/>
          <w:b w:val="0"/>
        </w:rPr>
        <w:t xml:space="preserve"> </w:t>
      </w:r>
      <w:r>
        <w:rPr>
          <w:rFonts w:hint="eastAsia" w:ascii="黑体" w:hAnsi="黑体" w:eastAsia="黑体"/>
          <w:sz w:val="44"/>
          <w:szCs w:val="44"/>
        </w:rPr>
        <w:t>第</w:t>
      </w:r>
      <w:r>
        <w:rPr>
          <w:rStyle w:val="27"/>
          <w:rFonts w:hint="eastAsia" w:ascii="黑体" w:hAnsi="黑体" w:eastAsia="黑体"/>
        </w:rPr>
        <w:t>四部分 附件</w:t>
      </w:r>
    </w:p>
    <w:p w14:paraId="66D1BF04">
      <w:pPr>
        <w:pStyle w:val="3"/>
        <w:spacing w:line="560" w:lineRule="exact"/>
        <w:ind w:left="0" w:leftChars="0" w:firstLine="640"/>
        <w:rPr>
          <w:rFonts w:ascii="仿宋_GB2312" w:hAnsi="仿宋_GB2312" w:eastAsia="仿宋_GB2312" w:cs="仿宋_GB2312"/>
          <w:sz w:val="32"/>
          <w:szCs w:val="32"/>
        </w:rPr>
      </w:pPr>
    </w:p>
    <w:p w14:paraId="27DB509B">
      <w:pPr>
        <w:pStyle w:val="3"/>
        <w:spacing w:line="560" w:lineRule="exact"/>
        <w:ind w:left="0" w:leftChars="0" w:firstLine="800" w:firstLineChars="250"/>
        <w:rPr>
          <w:rFonts w:hint="eastAsia" w:ascii="仿宋" w:hAnsi="仿宋" w:eastAsia="仿宋" w:cs="仿宋"/>
          <w:sz w:val="32"/>
          <w:szCs w:val="32"/>
        </w:rPr>
        <w:sectPr>
          <w:footerReference r:id="rId7" w:type="first"/>
          <w:headerReference r:id="rId5" w:type="default"/>
          <w:footerReference r:id="rId6" w:type="default"/>
          <w:pgSz w:w="11906" w:h="16838"/>
          <w:pgMar w:top="1440" w:right="1800" w:bottom="1440" w:left="1800" w:header="851" w:footer="992" w:gutter="0"/>
          <w:pgNumType w:fmt="decimal" w:start="1"/>
          <w:cols w:space="425" w:num="1"/>
          <w:titlePg/>
          <w:docGrid w:type="lines" w:linePitch="312" w:charSpace="0"/>
        </w:sectPr>
      </w:pPr>
      <w:r>
        <w:rPr>
          <w:rFonts w:hint="eastAsia" w:ascii="仿宋" w:hAnsi="仿宋" w:eastAsia="仿宋" w:cs="仿宋"/>
          <w:sz w:val="32"/>
          <w:szCs w:val="32"/>
        </w:rPr>
        <w:t>部门预算项目支出绩效自评表（202</w:t>
      </w:r>
      <w:r>
        <w:rPr>
          <w:rFonts w:hint="eastAsia" w:ascii="仿宋" w:hAnsi="仿宋" w:eastAsia="仿宋" w:cs="仿宋"/>
          <w:sz w:val="32"/>
          <w:szCs w:val="32"/>
          <w:lang w:val="en-US" w:eastAsia="zh-CN"/>
        </w:rPr>
        <w:t>4</w:t>
      </w:r>
      <w:r>
        <w:rPr>
          <w:rFonts w:hint="eastAsia" w:ascii="仿宋" w:hAnsi="仿宋" w:eastAsia="仿宋" w:cs="仿宋"/>
          <w:sz w:val="32"/>
          <w:szCs w:val="32"/>
        </w:rPr>
        <w:t>年度）见附件</w:t>
      </w:r>
      <w:bookmarkStart w:id="53" w:name="_Toc15396618"/>
    </w:p>
    <w:p w14:paraId="5D0595F6">
      <w:pPr>
        <w:spacing w:line="600" w:lineRule="exact"/>
        <w:jc w:val="center"/>
        <w:outlineLvl w:val="0"/>
      </w:pPr>
      <w:r>
        <w:rPr>
          <w:rFonts w:hint="eastAsia" w:ascii="黑体" w:hAnsi="黑体" w:eastAsia="黑体" w:cs="黑体"/>
          <w:sz w:val="44"/>
          <w:szCs w:val="44"/>
        </w:rPr>
        <w:t>第</w:t>
      </w:r>
      <w:r>
        <w:rPr>
          <w:rStyle w:val="27"/>
          <w:rFonts w:hint="eastAsia" w:ascii="黑体" w:hAnsi="黑体" w:eastAsia="黑体" w:cs="黑体"/>
          <w:b w:val="0"/>
          <w:sz w:val="44"/>
          <w:szCs w:val="44"/>
        </w:rPr>
        <w:t>五部分 附表</w:t>
      </w:r>
      <w:bookmarkEnd w:id="52"/>
      <w:bookmarkEnd w:id="53"/>
      <w:bookmarkStart w:id="54" w:name="_Toc15396619"/>
    </w:p>
    <w:p w14:paraId="0ED9645E">
      <w:pPr>
        <w:pStyle w:val="6"/>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val="0"/>
          <w:sz w:val="32"/>
          <w:szCs w:val="32"/>
        </w:rPr>
        <w:t>一、收</w:t>
      </w:r>
      <w:r>
        <w:rPr>
          <w:rStyle w:val="28"/>
          <w:rFonts w:hint="eastAsia" w:ascii="仿宋" w:hAnsi="仿宋" w:eastAsia="仿宋" w:cs="仿宋"/>
          <w:b w:val="0"/>
          <w:bCs w:val="0"/>
          <w:sz w:val="32"/>
          <w:szCs w:val="32"/>
        </w:rPr>
        <w:t>入支出决算总表</w:t>
      </w:r>
      <w:bookmarkEnd w:id="54"/>
    </w:p>
    <w:p w14:paraId="2A3C1882">
      <w:pPr>
        <w:pStyle w:val="6"/>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bookmarkStart w:id="55" w:name="_Toc15396620"/>
      <w:r>
        <w:rPr>
          <w:rFonts w:hint="eastAsia" w:ascii="仿宋" w:hAnsi="仿宋" w:eastAsia="仿宋" w:cs="仿宋"/>
          <w:b w:val="0"/>
          <w:sz w:val="32"/>
          <w:szCs w:val="32"/>
        </w:rPr>
        <w:t>二、收</w:t>
      </w:r>
      <w:r>
        <w:rPr>
          <w:rStyle w:val="28"/>
          <w:rFonts w:hint="eastAsia" w:ascii="仿宋" w:hAnsi="仿宋" w:eastAsia="仿宋" w:cs="仿宋"/>
          <w:b w:val="0"/>
          <w:bCs w:val="0"/>
          <w:sz w:val="32"/>
          <w:szCs w:val="32"/>
        </w:rPr>
        <w:t>入决算表</w:t>
      </w:r>
      <w:bookmarkEnd w:id="55"/>
    </w:p>
    <w:p w14:paraId="18C24D6F">
      <w:pPr>
        <w:pStyle w:val="6"/>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bookmarkStart w:id="56" w:name="_Toc15396621"/>
      <w:r>
        <w:rPr>
          <w:rStyle w:val="28"/>
          <w:rFonts w:hint="eastAsia" w:ascii="仿宋" w:hAnsi="仿宋" w:eastAsia="仿宋" w:cs="仿宋"/>
          <w:b w:val="0"/>
          <w:bCs w:val="0"/>
          <w:sz w:val="32"/>
          <w:szCs w:val="32"/>
        </w:rPr>
        <w:t>三、</w:t>
      </w:r>
      <w:r>
        <w:rPr>
          <w:rFonts w:hint="eastAsia" w:ascii="仿宋" w:hAnsi="仿宋" w:eastAsia="仿宋" w:cs="仿宋"/>
          <w:b w:val="0"/>
          <w:sz w:val="32"/>
          <w:szCs w:val="32"/>
        </w:rPr>
        <w:t>支</w:t>
      </w:r>
      <w:r>
        <w:rPr>
          <w:rStyle w:val="28"/>
          <w:rFonts w:hint="eastAsia" w:ascii="仿宋" w:hAnsi="仿宋" w:eastAsia="仿宋" w:cs="仿宋"/>
          <w:b w:val="0"/>
          <w:bCs w:val="0"/>
          <w:sz w:val="32"/>
          <w:szCs w:val="32"/>
        </w:rPr>
        <w:t>出决算表</w:t>
      </w:r>
      <w:bookmarkEnd w:id="56"/>
    </w:p>
    <w:p w14:paraId="2D24D3B2">
      <w:pPr>
        <w:pStyle w:val="6"/>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sz w:val="32"/>
          <w:szCs w:val="32"/>
        </w:rPr>
      </w:pPr>
      <w:bookmarkStart w:id="57" w:name="_Toc15396622"/>
      <w:r>
        <w:rPr>
          <w:rStyle w:val="28"/>
          <w:rFonts w:hint="eastAsia" w:ascii="仿宋" w:hAnsi="仿宋" w:eastAsia="仿宋" w:cs="仿宋"/>
          <w:b w:val="0"/>
          <w:bCs w:val="0"/>
          <w:sz w:val="32"/>
          <w:szCs w:val="32"/>
        </w:rPr>
        <w:t>四、</w:t>
      </w:r>
      <w:r>
        <w:rPr>
          <w:rFonts w:hint="eastAsia" w:ascii="仿宋" w:hAnsi="仿宋" w:eastAsia="仿宋" w:cs="仿宋"/>
          <w:b w:val="0"/>
          <w:sz w:val="32"/>
          <w:szCs w:val="32"/>
        </w:rPr>
        <w:t>财</w:t>
      </w:r>
      <w:r>
        <w:rPr>
          <w:rStyle w:val="28"/>
          <w:rFonts w:hint="eastAsia" w:ascii="仿宋" w:hAnsi="仿宋" w:eastAsia="仿宋" w:cs="仿宋"/>
          <w:b w:val="0"/>
          <w:bCs w:val="0"/>
          <w:sz w:val="32"/>
          <w:szCs w:val="32"/>
        </w:rPr>
        <w:t>政拨款收入支出决算总表</w:t>
      </w:r>
      <w:bookmarkEnd w:id="57"/>
    </w:p>
    <w:p w14:paraId="65DC3F55">
      <w:pPr>
        <w:pStyle w:val="6"/>
        <w:pageBreakBefore w:val="0"/>
        <w:widowControl w:val="0"/>
        <w:kinsoku/>
        <w:wordWrap/>
        <w:overflowPunct/>
        <w:topLinePunct w:val="0"/>
        <w:autoSpaceDE/>
        <w:autoSpaceDN/>
        <w:bidi w:val="0"/>
        <w:adjustRightInd/>
        <w:snapToGrid/>
        <w:spacing w:line="560" w:lineRule="exact"/>
        <w:textAlignment w:val="auto"/>
        <w:rPr>
          <w:rStyle w:val="28"/>
          <w:rFonts w:hint="eastAsia" w:ascii="仿宋" w:hAnsi="仿宋" w:eastAsia="仿宋" w:cs="仿宋"/>
          <w:b w:val="0"/>
          <w:bCs w:val="0"/>
          <w:sz w:val="32"/>
          <w:szCs w:val="32"/>
        </w:rPr>
      </w:pPr>
      <w:bookmarkStart w:id="58" w:name="_Toc15396623"/>
      <w:r>
        <w:rPr>
          <w:rStyle w:val="28"/>
          <w:rFonts w:hint="eastAsia" w:ascii="仿宋" w:hAnsi="仿宋" w:eastAsia="仿宋" w:cs="仿宋"/>
          <w:b w:val="0"/>
          <w:bCs w:val="0"/>
          <w:sz w:val="32"/>
          <w:szCs w:val="32"/>
        </w:rPr>
        <w:t>五、</w:t>
      </w:r>
      <w:r>
        <w:rPr>
          <w:rFonts w:hint="eastAsia" w:ascii="仿宋" w:hAnsi="仿宋" w:eastAsia="仿宋" w:cs="仿宋"/>
          <w:b w:val="0"/>
          <w:sz w:val="32"/>
          <w:szCs w:val="32"/>
        </w:rPr>
        <w:t>财</w:t>
      </w:r>
      <w:r>
        <w:rPr>
          <w:rStyle w:val="28"/>
          <w:rFonts w:hint="eastAsia" w:ascii="仿宋" w:hAnsi="仿宋" w:eastAsia="仿宋" w:cs="仿宋"/>
          <w:b w:val="0"/>
          <w:bCs w:val="0"/>
          <w:sz w:val="32"/>
          <w:szCs w:val="32"/>
        </w:rPr>
        <w:t>政拨款支出决算明细表</w:t>
      </w:r>
      <w:bookmarkEnd w:id="58"/>
      <w:bookmarkStart w:id="59" w:name="_Toc15396624"/>
    </w:p>
    <w:p w14:paraId="4CE511CF">
      <w:pPr>
        <w:pStyle w:val="6"/>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Style w:val="28"/>
          <w:rFonts w:hint="eastAsia" w:ascii="仿宋" w:hAnsi="仿宋" w:eastAsia="仿宋" w:cs="仿宋"/>
          <w:b w:val="0"/>
          <w:bCs w:val="0"/>
          <w:sz w:val="32"/>
          <w:szCs w:val="32"/>
        </w:rPr>
        <w:t>六、</w:t>
      </w:r>
      <w:r>
        <w:rPr>
          <w:rFonts w:hint="eastAsia" w:ascii="仿宋" w:hAnsi="仿宋" w:eastAsia="仿宋" w:cs="仿宋"/>
          <w:b w:val="0"/>
          <w:sz w:val="32"/>
          <w:szCs w:val="32"/>
        </w:rPr>
        <w:t>一</w:t>
      </w:r>
      <w:r>
        <w:rPr>
          <w:rStyle w:val="28"/>
          <w:rFonts w:hint="eastAsia" w:ascii="仿宋" w:hAnsi="仿宋" w:eastAsia="仿宋" w:cs="仿宋"/>
          <w:b w:val="0"/>
          <w:bCs w:val="0"/>
          <w:sz w:val="32"/>
          <w:szCs w:val="32"/>
        </w:rPr>
        <w:t>般公共预算财政拨款支出决算表</w:t>
      </w:r>
      <w:bookmarkEnd w:id="59"/>
    </w:p>
    <w:p w14:paraId="1E5A46C2">
      <w:pPr>
        <w:pStyle w:val="6"/>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bookmarkStart w:id="60" w:name="_Toc15396625"/>
      <w:r>
        <w:rPr>
          <w:rStyle w:val="28"/>
          <w:rFonts w:hint="eastAsia" w:ascii="仿宋" w:hAnsi="仿宋" w:eastAsia="仿宋" w:cs="仿宋"/>
          <w:b w:val="0"/>
          <w:bCs w:val="0"/>
          <w:sz w:val="32"/>
          <w:szCs w:val="32"/>
        </w:rPr>
        <w:t>七、</w:t>
      </w:r>
      <w:r>
        <w:rPr>
          <w:rFonts w:hint="eastAsia" w:ascii="仿宋" w:hAnsi="仿宋" w:eastAsia="仿宋" w:cs="仿宋"/>
          <w:b w:val="0"/>
          <w:sz w:val="32"/>
          <w:szCs w:val="32"/>
        </w:rPr>
        <w:t>一</w:t>
      </w:r>
      <w:r>
        <w:rPr>
          <w:rStyle w:val="28"/>
          <w:rFonts w:hint="eastAsia" w:ascii="仿宋" w:hAnsi="仿宋" w:eastAsia="仿宋" w:cs="仿宋"/>
          <w:b w:val="0"/>
          <w:bCs w:val="0"/>
          <w:sz w:val="32"/>
          <w:szCs w:val="32"/>
        </w:rPr>
        <w:t>般公共预算财政拨款支出决算明细表</w:t>
      </w:r>
      <w:bookmarkEnd w:id="60"/>
    </w:p>
    <w:p w14:paraId="2673D52C">
      <w:pPr>
        <w:pStyle w:val="6"/>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bookmarkStart w:id="61" w:name="_Toc15396626"/>
      <w:r>
        <w:rPr>
          <w:rStyle w:val="28"/>
          <w:rFonts w:hint="eastAsia" w:ascii="仿宋" w:hAnsi="仿宋" w:eastAsia="仿宋" w:cs="仿宋"/>
          <w:b w:val="0"/>
          <w:bCs w:val="0"/>
          <w:sz w:val="32"/>
          <w:szCs w:val="32"/>
        </w:rPr>
        <w:t>八、</w:t>
      </w:r>
      <w:r>
        <w:rPr>
          <w:rFonts w:hint="eastAsia" w:ascii="仿宋" w:hAnsi="仿宋" w:eastAsia="仿宋" w:cs="仿宋"/>
          <w:b w:val="0"/>
          <w:sz w:val="32"/>
          <w:szCs w:val="32"/>
        </w:rPr>
        <w:t>一</w:t>
      </w:r>
      <w:r>
        <w:rPr>
          <w:rStyle w:val="28"/>
          <w:rFonts w:hint="eastAsia" w:ascii="仿宋" w:hAnsi="仿宋" w:eastAsia="仿宋" w:cs="仿宋"/>
          <w:b w:val="0"/>
          <w:bCs w:val="0"/>
          <w:sz w:val="32"/>
          <w:szCs w:val="32"/>
        </w:rPr>
        <w:t>般公共预算财政拨款基本支出决算表</w:t>
      </w:r>
      <w:bookmarkEnd w:id="61"/>
    </w:p>
    <w:p w14:paraId="2BA30695">
      <w:pPr>
        <w:pStyle w:val="6"/>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bookmarkStart w:id="62" w:name="_Toc15396627"/>
      <w:r>
        <w:rPr>
          <w:rStyle w:val="28"/>
          <w:rFonts w:hint="eastAsia" w:ascii="仿宋" w:hAnsi="仿宋" w:eastAsia="仿宋" w:cs="仿宋"/>
          <w:b w:val="0"/>
          <w:bCs w:val="0"/>
          <w:sz w:val="32"/>
          <w:szCs w:val="32"/>
        </w:rPr>
        <w:t>九、</w:t>
      </w:r>
      <w:r>
        <w:rPr>
          <w:rFonts w:hint="eastAsia" w:ascii="仿宋" w:hAnsi="仿宋" w:eastAsia="仿宋" w:cs="仿宋"/>
          <w:b w:val="0"/>
          <w:sz w:val="32"/>
          <w:szCs w:val="32"/>
        </w:rPr>
        <w:t>一</w:t>
      </w:r>
      <w:r>
        <w:rPr>
          <w:rStyle w:val="28"/>
          <w:rFonts w:hint="eastAsia" w:ascii="仿宋" w:hAnsi="仿宋" w:eastAsia="仿宋" w:cs="仿宋"/>
          <w:b w:val="0"/>
          <w:bCs w:val="0"/>
          <w:sz w:val="32"/>
          <w:szCs w:val="32"/>
        </w:rPr>
        <w:t>般公共预算财政拨款项目支出决算表</w:t>
      </w:r>
      <w:bookmarkEnd w:id="62"/>
    </w:p>
    <w:p w14:paraId="275F9921">
      <w:pPr>
        <w:pStyle w:val="6"/>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bookmarkStart w:id="63" w:name="_Toc15396628"/>
      <w:r>
        <w:rPr>
          <w:rStyle w:val="28"/>
          <w:rFonts w:hint="eastAsia" w:ascii="仿宋" w:hAnsi="仿宋" w:eastAsia="仿宋" w:cs="仿宋"/>
          <w:b w:val="0"/>
          <w:bCs w:val="0"/>
          <w:sz w:val="32"/>
          <w:szCs w:val="32"/>
        </w:rPr>
        <w:t>十、</w:t>
      </w:r>
      <w:bookmarkEnd w:id="63"/>
      <w:r>
        <w:rPr>
          <w:rFonts w:hint="eastAsia" w:ascii="仿宋" w:hAnsi="仿宋" w:eastAsia="仿宋" w:cs="仿宋"/>
          <w:b w:val="0"/>
          <w:sz w:val="32"/>
          <w:szCs w:val="32"/>
        </w:rPr>
        <w:t>政</w:t>
      </w:r>
      <w:r>
        <w:rPr>
          <w:rStyle w:val="28"/>
          <w:rFonts w:hint="eastAsia" w:ascii="仿宋" w:hAnsi="仿宋" w:eastAsia="仿宋" w:cs="仿宋"/>
          <w:b w:val="0"/>
          <w:bCs w:val="0"/>
          <w:sz w:val="32"/>
          <w:szCs w:val="32"/>
        </w:rPr>
        <w:t>府性基金预算财政拨款收入支出决算表</w:t>
      </w:r>
    </w:p>
    <w:p w14:paraId="6D12C1E1">
      <w:pPr>
        <w:pStyle w:val="6"/>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bookmarkStart w:id="64" w:name="_Toc15396629"/>
      <w:r>
        <w:rPr>
          <w:rStyle w:val="28"/>
          <w:rFonts w:hint="eastAsia" w:ascii="仿宋" w:hAnsi="仿宋" w:eastAsia="仿宋" w:cs="仿宋"/>
          <w:b w:val="0"/>
          <w:bCs w:val="0"/>
          <w:sz w:val="32"/>
          <w:szCs w:val="32"/>
        </w:rPr>
        <w:t>十一、</w:t>
      </w:r>
      <w:bookmarkEnd w:id="64"/>
      <w:r>
        <w:rPr>
          <w:rFonts w:hint="eastAsia" w:ascii="仿宋" w:hAnsi="仿宋" w:eastAsia="仿宋" w:cs="仿宋"/>
          <w:b w:val="0"/>
          <w:sz w:val="32"/>
          <w:szCs w:val="32"/>
        </w:rPr>
        <w:t>国</w:t>
      </w:r>
      <w:r>
        <w:rPr>
          <w:rStyle w:val="28"/>
          <w:rFonts w:hint="eastAsia" w:ascii="仿宋" w:hAnsi="仿宋" w:eastAsia="仿宋" w:cs="仿宋"/>
          <w:b w:val="0"/>
          <w:bCs w:val="0"/>
          <w:sz w:val="32"/>
          <w:szCs w:val="32"/>
        </w:rPr>
        <w:t>有资本经营预算财政拨款收入支出决算表</w:t>
      </w:r>
    </w:p>
    <w:p w14:paraId="51C2463B">
      <w:pPr>
        <w:pStyle w:val="6"/>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bookmarkStart w:id="65" w:name="_Toc15396630"/>
      <w:r>
        <w:rPr>
          <w:rStyle w:val="28"/>
          <w:rFonts w:hint="eastAsia" w:ascii="仿宋" w:hAnsi="仿宋" w:eastAsia="仿宋" w:cs="仿宋"/>
          <w:b w:val="0"/>
          <w:bCs w:val="0"/>
          <w:sz w:val="32"/>
          <w:szCs w:val="32"/>
        </w:rPr>
        <w:t>十二、</w:t>
      </w:r>
      <w:bookmarkEnd w:id="65"/>
      <w:r>
        <w:rPr>
          <w:rStyle w:val="28"/>
          <w:rFonts w:hint="eastAsia" w:ascii="仿宋" w:hAnsi="仿宋" w:eastAsia="仿宋" w:cs="仿宋"/>
          <w:b w:val="0"/>
          <w:bCs w:val="0"/>
          <w:sz w:val="32"/>
          <w:szCs w:val="32"/>
        </w:rPr>
        <w:t>国有资本经营预算财政拨款支出决算表</w:t>
      </w:r>
    </w:p>
    <w:p w14:paraId="1EE74C87">
      <w:pPr>
        <w:pStyle w:val="6"/>
        <w:pageBreakBefore w:val="0"/>
        <w:widowControl w:val="0"/>
        <w:kinsoku/>
        <w:wordWrap/>
        <w:overflowPunct/>
        <w:topLinePunct w:val="0"/>
        <w:autoSpaceDE/>
        <w:autoSpaceDN/>
        <w:bidi w:val="0"/>
        <w:adjustRightInd/>
        <w:snapToGrid/>
        <w:spacing w:line="560" w:lineRule="exact"/>
        <w:textAlignment w:val="auto"/>
        <w:rPr>
          <w:rStyle w:val="28"/>
          <w:rFonts w:hint="eastAsia" w:ascii="仿宋" w:hAnsi="仿宋" w:eastAsia="仿宋" w:cs="仿宋"/>
          <w:b w:val="0"/>
          <w:bCs w:val="0"/>
        </w:rPr>
      </w:pPr>
      <w:bookmarkStart w:id="66" w:name="_Toc15396631"/>
      <w:r>
        <w:rPr>
          <w:rStyle w:val="28"/>
          <w:rFonts w:hint="eastAsia" w:ascii="仿宋" w:hAnsi="仿宋" w:eastAsia="仿宋" w:cs="仿宋"/>
          <w:b w:val="0"/>
          <w:bCs w:val="0"/>
          <w:sz w:val="32"/>
          <w:szCs w:val="32"/>
        </w:rPr>
        <w:t>十三、</w:t>
      </w:r>
      <w:bookmarkEnd w:id="66"/>
      <w:r>
        <w:rPr>
          <w:rStyle w:val="28"/>
          <w:rFonts w:hint="eastAsia" w:ascii="仿宋" w:hAnsi="仿宋" w:eastAsia="仿宋" w:cs="仿宋"/>
          <w:b w:val="0"/>
          <w:bCs w:val="0"/>
          <w:sz w:val="32"/>
          <w:szCs w:val="32"/>
        </w:rPr>
        <w:t>财政拨款“三公”经费支出决算表</w:t>
      </w:r>
    </w:p>
    <w:sectPr>
      <w:pgSz w:w="11906" w:h="16838"/>
      <w:pgMar w:top="1440" w:right="1800" w:bottom="1440" w:left="180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
    <w:altName w:val="国标仿宋"/>
    <w:panose1 w:val="00000000000000000000"/>
    <w:charset w:val="00"/>
    <w:family w:val="roman"/>
    <w:pitch w:val="default"/>
    <w:sig w:usb0="00000000" w:usb1="00000000" w:usb2="00000000" w:usb3="00000000" w:csb0="00000000" w:csb1="00000000"/>
  </w:font>
  <w:font w:name="国标仿宋">
    <w:panose1 w:val="02000500000000000000"/>
    <w:charset w:val="86"/>
    <w:family w:val="auto"/>
    <w:pitch w:val="default"/>
    <w:sig w:usb0="A00002BF" w:usb1="38C77CFA" w:usb2="00000016" w:usb3="00000000" w:csb0="00060007" w:csb1="00000000"/>
  </w:font>
  <w:font w:name="方正小标宋简体">
    <w:panose1 w:val="02000000000000000000"/>
    <w:charset w:val="86"/>
    <w:family w:val="script"/>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7450ED">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F1123">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09AC33">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909AC33">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82409">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E07725">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8E07725">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3C5EC">
    <w:pPr>
      <w:pStyle w:val="12"/>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224A4">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5YjEwOWE3NDcwNWY1ZDVkNWIyNGI2ZTMwNTUwMDc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37022"/>
    <w:rsid w:val="00142216"/>
    <w:rsid w:val="00144D6A"/>
    <w:rsid w:val="0014729F"/>
    <w:rsid w:val="00157BAB"/>
    <w:rsid w:val="001654D1"/>
    <w:rsid w:val="00174518"/>
    <w:rsid w:val="0018106D"/>
    <w:rsid w:val="001877A7"/>
    <w:rsid w:val="00191536"/>
    <w:rsid w:val="00196687"/>
    <w:rsid w:val="001C0962"/>
    <w:rsid w:val="001D1977"/>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55301"/>
    <w:rsid w:val="0036561B"/>
    <w:rsid w:val="0037013F"/>
    <w:rsid w:val="00380080"/>
    <w:rsid w:val="00380C92"/>
    <w:rsid w:val="003A46D7"/>
    <w:rsid w:val="003A484F"/>
    <w:rsid w:val="003A4883"/>
    <w:rsid w:val="003B0BE0"/>
    <w:rsid w:val="003B0C1B"/>
    <w:rsid w:val="003B688C"/>
    <w:rsid w:val="003C0291"/>
    <w:rsid w:val="003C39AE"/>
    <w:rsid w:val="003C4ACF"/>
    <w:rsid w:val="003C7B60"/>
    <w:rsid w:val="003D0C0F"/>
    <w:rsid w:val="003D1FB2"/>
    <w:rsid w:val="003D66DA"/>
    <w:rsid w:val="003E1310"/>
    <w:rsid w:val="003E6F55"/>
    <w:rsid w:val="003F73E3"/>
    <w:rsid w:val="00401788"/>
    <w:rsid w:val="00406254"/>
    <w:rsid w:val="004223DE"/>
    <w:rsid w:val="00422AE2"/>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23130"/>
    <w:rsid w:val="005664BB"/>
    <w:rsid w:val="00566FFA"/>
    <w:rsid w:val="0057481D"/>
    <w:rsid w:val="0058486E"/>
    <w:rsid w:val="00585B33"/>
    <w:rsid w:val="0059014D"/>
    <w:rsid w:val="005B42B0"/>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1A1"/>
    <w:rsid w:val="00681A31"/>
    <w:rsid w:val="00683E73"/>
    <w:rsid w:val="00691047"/>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E4BCE"/>
    <w:rsid w:val="007F1991"/>
    <w:rsid w:val="007F2C2F"/>
    <w:rsid w:val="007F55FC"/>
    <w:rsid w:val="007F5665"/>
    <w:rsid w:val="00800112"/>
    <w:rsid w:val="00804F68"/>
    <w:rsid w:val="00813348"/>
    <w:rsid w:val="008253BB"/>
    <w:rsid w:val="0083706E"/>
    <w:rsid w:val="008408F6"/>
    <w:rsid w:val="008423A5"/>
    <w:rsid w:val="00846D6C"/>
    <w:rsid w:val="00850625"/>
    <w:rsid w:val="00853718"/>
    <w:rsid w:val="00855221"/>
    <w:rsid w:val="00860645"/>
    <w:rsid w:val="00871F71"/>
    <w:rsid w:val="00872FD8"/>
    <w:rsid w:val="00885AF4"/>
    <w:rsid w:val="008939CD"/>
    <w:rsid w:val="008B768C"/>
    <w:rsid w:val="008C4DB1"/>
    <w:rsid w:val="008C4EAF"/>
    <w:rsid w:val="008C5176"/>
    <w:rsid w:val="008C7FD0"/>
    <w:rsid w:val="008D5F37"/>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4BDD"/>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64E43"/>
    <w:rsid w:val="00B77EA6"/>
    <w:rsid w:val="00B81598"/>
    <w:rsid w:val="00B841F1"/>
    <w:rsid w:val="00B944D6"/>
    <w:rsid w:val="00BA696C"/>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11855"/>
    <w:rsid w:val="00E331A1"/>
    <w:rsid w:val="00E33202"/>
    <w:rsid w:val="00E336A9"/>
    <w:rsid w:val="00E472B1"/>
    <w:rsid w:val="00E50624"/>
    <w:rsid w:val="00E53DE4"/>
    <w:rsid w:val="00E568DF"/>
    <w:rsid w:val="00E61F0C"/>
    <w:rsid w:val="00E64269"/>
    <w:rsid w:val="00E82267"/>
    <w:rsid w:val="00E853CE"/>
    <w:rsid w:val="00E867B6"/>
    <w:rsid w:val="00EA010F"/>
    <w:rsid w:val="00EA60DA"/>
    <w:rsid w:val="00EB7439"/>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D3DAB"/>
    <w:rsid w:val="00FF1E02"/>
    <w:rsid w:val="00FF30B4"/>
    <w:rsid w:val="01AA1AC9"/>
    <w:rsid w:val="01BB3CD7"/>
    <w:rsid w:val="01D550C6"/>
    <w:rsid w:val="02272BFC"/>
    <w:rsid w:val="02AB0B1F"/>
    <w:rsid w:val="03270470"/>
    <w:rsid w:val="03D642C9"/>
    <w:rsid w:val="03F554BD"/>
    <w:rsid w:val="04CB5FDF"/>
    <w:rsid w:val="05107E95"/>
    <w:rsid w:val="0524470D"/>
    <w:rsid w:val="053A62B5"/>
    <w:rsid w:val="057F7766"/>
    <w:rsid w:val="05CA7F66"/>
    <w:rsid w:val="063874BE"/>
    <w:rsid w:val="067B5176"/>
    <w:rsid w:val="06C158EB"/>
    <w:rsid w:val="06D747A6"/>
    <w:rsid w:val="07156D23"/>
    <w:rsid w:val="079C1EB4"/>
    <w:rsid w:val="08B46AC4"/>
    <w:rsid w:val="08BB2A53"/>
    <w:rsid w:val="08FC0E5C"/>
    <w:rsid w:val="09CA0D6F"/>
    <w:rsid w:val="09E61F4C"/>
    <w:rsid w:val="09ED059C"/>
    <w:rsid w:val="0A2032A3"/>
    <w:rsid w:val="0B8A37D8"/>
    <w:rsid w:val="0DAB400E"/>
    <w:rsid w:val="0E322F59"/>
    <w:rsid w:val="0E3A41D5"/>
    <w:rsid w:val="0E55532C"/>
    <w:rsid w:val="0FD9564D"/>
    <w:rsid w:val="1020006D"/>
    <w:rsid w:val="10852132"/>
    <w:rsid w:val="10C055FF"/>
    <w:rsid w:val="11361FF1"/>
    <w:rsid w:val="118107EC"/>
    <w:rsid w:val="118869FA"/>
    <w:rsid w:val="11AE5655"/>
    <w:rsid w:val="11BD1AE3"/>
    <w:rsid w:val="11D66B9E"/>
    <w:rsid w:val="11DD6519"/>
    <w:rsid w:val="12631C8D"/>
    <w:rsid w:val="12674E5F"/>
    <w:rsid w:val="12802AF4"/>
    <w:rsid w:val="12A167A5"/>
    <w:rsid w:val="12B40D97"/>
    <w:rsid w:val="12DE15D3"/>
    <w:rsid w:val="13B97B5C"/>
    <w:rsid w:val="13C51B57"/>
    <w:rsid w:val="151A69B5"/>
    <w:rsid w:val="151C7F6C"/>
    <w:rsid w:val="15FB12BA"/>
    <w:rsid w:val="16096967"/>
    <w:rsid w:val="16315EBE"/>
    <w:rsid w:val="16BA4105"/>
    <w:rsid w:val="16BB723D"/>
    <w:rsid w:val="16CC28AA"/>
    <w:rsid w:val="16E93113"/>
    <w:rsid w:val="16F435A7"/>
    <w:rsid w:val="18015F3F"/>
    <w:rsid w:val="184A3267"/>
    <w:rsid w:val="188D46EA"/>
    <w:rsid w:val="1A7F5449"/>
    <w:rsid w:val="1AC83294"/>
    <w:rsid w:val="1B596D27"/>
    <w:rsid w:val="1BE8440E"/>
    <w:rsid w:val="1CCE02C8"/>
    <w:rsid w:val="1CD87068"/>
    <w:rsid w:val="1D155CEE"/>
    <w:rsid w:val="1D24052A"/>
    <w:rsid w:val="1D7E3CFC"/>
    <w:rsid w:val="1E0D0FBE"/>
    <w:rsid w:val="1E4F5A7B"/>
    <w:rsid w:val="1EF03E3A"/>
    <w:rsid w:val="1FFB1A16"/>
    <w:rsid w:val="200F60C4"/>
    <w:rsid w:val="20F57F95"/>
    <w:rsid w:val="215815BC"/>
    <w:rsid w:val="22781B63"/>
    <w:rsid w:val="22AC67DC"/>
    <w:rsid w:val="23FE3D9C"/>
    <w:rsid w:val="240371BF"/>
    <w:rsid w:val="24212E47"/>
    <w:rsid w:val="242B6642"/>
    <w:rsid w:val="25711CC6"/>
    <w:rsid w:val="25C4122D"/>
    <w:rsid w:val="25C741E6"/>
    <w:rsid w:val="26461511"/>
    <w:rsid w:val="26677021"/>
    <w:rsid w:val="26E1615C"/>
    <w:rsid w:val="272058C6"/>
    <w:rsid w:val="27842671"/>
    <w:rsid w:val="28137B19"/>
    <w:rsid w:val="286C4F60"/>
    <w:rsid w:val="28845E46"/>
    <w:rsid w:val="28C4189A"/>
    <w:rsid w:val="296A5E3B"/>
    <w:rsid w:val="298C4542"/>
    <w:rsid w:val="29C57D30"/>
    <w:rsid w:val="29E24212"/>
    <w:rsid w:val="29FD04D3"/>
    <w:rsid w:val="2ABE7A3E"/>
    <w:rsid w:val="2CA234A8"/>
    <w:rsid w:val="2CB92758"/>
    <w:rsid w:val="2DCD2253"/>
    <w:rsid w:val="2E444588"/>
    <w:rsid w:val="2E725599"/>
    <w:rsid w:val="2EFA178C"/>
    <w:rsid w:val="2F034443"/>
    <w:rsid w:val="2F3B67F3"/>
    <w:rsid w:val="2FD63901"/>
    <w:rsid w:val="30B46D73"/>
    <w:rsid w:val="316D3ECD"/>
    <w:rsid w:val="319F7F4E"/>
    <w:rsid w:val="32452DFA"/>
    <w:rsid w:val="33A65271"/>
    <w:rsid w:val="33AA1328"/>
    <w:rsid w:val="33B63461"/>
    <w:rsid w:val="359D54D1"/>
    <w:rsid w:val="363442E8"/>
    <w:rsid w:val="364C66D0"/>
    <w:rsid w:val="368D6C2E"/>
    <w:rsid w:val="36D645E3"/>
    <w:rsid w:val="373A0C1E"/>
    <w:rsid w:val="37E94C1E"/>
    <w:rsid w:val="381628EF"/>
    <w:rsid w:val="381A45AC"/>
    <w:rsid w:val="383D272C"/>
    <w:rsid w:val="38662A5B"/>
    <w:rsid w:val="39AE70AB"/>
    <w:rsid w:val="3A7C46BB"/>
    <w:rsid w:val="3B68450D"/>
    <w:rsid w:val="3B7949FF"/>
    <w:rsid w:val="3C0C0783"/>
    <w:rsid w:val="3C575DCE"/>
    <w:rsid w:val="3D3F6F8E"/>
    <w:rsid w:val="3DC252FC"/>
    <w:rsid w:val="3E78202C"/>
    <w:rsid w:val="3F9F3A96"/>
    <w:rsid w:val="40F2258F"/>
    <w:rsid w:val="41705765"/>
    <w:rsid w:val="42A60163"/>
    <w:rsid w:val="42D00689"/>
    <w:rsid w:val="4315253F"/>
    <w:rsid w:val="442F148E"/>
    <w:rsid w:val="445F1985"/>
    <w:rsid w:val="447E329C"/>
    <w:rsid w:val="44E16B7D"/>
    <w:rsid w:val="45A8221A"/>
    <w:rsid w:val="460422BE"/>
    <w:rsid w:val="46873832"/>
    <w:rsid w:val="468B4BC9"/>
    <w:rsid w:val="46D364BA"/>
    <w:rsid w:val="473E2141"/>
    <w:rsid w:val="482C010F"/>
    <w:rsid w:val="48BF60AB"/>
    <w:rsid w:val="493C27E9"/>
    <w:rsid w:val="496F39ED"/>
    <w:rsid w:val="49D34A43"/>
    <w:rsid w:val="49FF41D3"/>
    <w:rsid w:val="4A8E1084"/>
    <w:rsid w:val="4AB61CEB"/>
    <w:rsid w:val="4AF6440F"/>
    <w:rsid w:val="4B8A1D1C"/>
    <w:rsid w:val="4BE068DB"/>
    <w:rsid w:val="4BF6002B"/>
    <w:rsid w:val="4DBF6D93"/>
    <w:rsid w:val="4EAE04E3"/>
    <w:rsid w:val="4ECE2238"/>
    <w:rsid w:val="4EDF237F"/>
    <w:rsid w:val="4F161B19"/>
    <w:rsid w:val="4FB07878"/>
    <w:rsid w:val="50637B26"/>
    <w:rsid w:val="51C23892"/>
    <w:rsid w:val="51DB4B86"/>
    <w:rsid w:val="52AB07CA"/>
    <w:rsid w:val="530D4FE1"/>
    <w:rsid w:val="535449BE"/>
    <w:rsid w:val="53DB0C3B"/>
    <w:rsid w:val="54E029AD"/>
    <w:rsid w:val="55271562"/>
    <w:rsid w:val="55333C3E"/>
    <w:rsid w:val="55946C69"/>
    <w:rsid w:val="5699538C"/>
    <w:rsid w:val="56F75D8C"/>
    <w:rsid w:val="578A4E52"/>
    <w:rsid w:val="57C0752E"/>
    <w:rsid w:val="57D54CC1"/>
    <w:rsid w:val="57E9601D"/>
    <w:rsid w:val="59E32F32"/>
    <w:rsid w:val="5A4161F7"/>
    <w:rsid w:val="5AD16135"/>
    <w:rsid w:val="5B022FD4"/>
    <w:rsid w:val="5B9242D5"/>
    <w:rsid w:val="5BD033B5"/>
    <w:rsid w:val="5BE015F8"/>
    <w:rsid w:val="5CE9261B"/>
    <w:rsid w:val="5D1057B5"/>
    <w:rsid w:val="5D1458EA"/>
    <w:rsid w:val="5D8F31C2"/>
    <w:rsid w:val="5DAE7128"/>
    <w:rsid w:val="5DFA21C0"/>
    <w:rsid w:val="5E916306"/>
    <w:rsid w:val="5FEC5995"/>
    <w:rsid w:val="60870181"/>
    <w:rsid w:val="616F316A"/>
    <w:rsid w:val="61B83FB6"/>
    <w:rsid w:val="628D3A49"/>
    <w:rsid w:val="63461034"/>
    <w:rsid w:val="64943BD6"/>
    <w:rsid w:val="64CA39A1"/>
    <w:rsid w:val="658B57A6"/>
    <w:rsid w:val="65B6704A"/>
    <w:rsid w:val="65E733B9"/>
    <w:rsid w:val="66287D10"/>
    <w:rsid w:val="670D6F42"/>
    <w:rsid w:val="67707C5E"/>
    <w:rsid w:val="67A45552"/>
    <w:rsid w:val="67DC5A69"/>
    <w:rsid w:val="67E20393"/>
    <w:rsid w:val="67FB08D1"/>
    <w:rsid w:val="683230C8"/>
    <w:rsid w:val="68EE1995"/>
    <w:rsid w:val="69630ADE"/>
    <w:rsid w:val="69646D61"/>
    <w:rsid w:val="697D65C5"/>
    <w:rsid w:val="6A887A97"/>
    <w:rsid w:val="6BCA4F6B"/>
    <w:rsid w:val="6C4A05C8"/>
    <w:rsid w:val="6D3B1A89"/>
    <w:rsid w:val="6E194469"/>
    <w:rsid w:val="6E930AEE"/>
    <w:rsid w:val="6E9340AE"/>
    <w:rsid w:val="6EB5457E"/>
    <w:rsid w:val="6ED8076A"/>
    <w:rsid w:val="6F822FA3"/>
    <w:rsid w:val="708A46FF"/>
    <w:rsid w:val="70957042"/>
    <w:rsid w:val="70A02B99"/>
    <w:rsid w:val="70C26078"/>
    <w:rsid w:val="71341814"/>
    <w:rsid w:val="71BF4EC2"/>
    <w:rsid w:val="71C6119E"/>
    <w:rsid w:val="72077373"/>
    <w:rsid w:val="722872EA"/>
    <w:rsid w:val="723E22A6"/>
    <w:rsid w:val="72431602"/>
    <w:rsid w:val="72734D90"/>
    <w:rsid w:val="72B770C1"/>
    <w:rsid w:val="73F90FA1"/>
    <w:rsid w:val="7412278C"/>
    <w:rsid w:val="74753B56"/>
    <w:rsid w:val="748D1686"/>
    <w:rsid w:val="76716609"/>
    <w:rsid w:val="76BD44A5"/>
    <w:rsid w:val="77B2631F"/>
    <w:rsid w:val="77CA412C"/>
    <w:rsid w:val="77CE623E"/>
    <w:rsid w:val="79E7B28D"/>
    <w:rsid w:val="7A095B93"/>
    <w:rsid w:val="7A815A7B"/>
    <w:rsid w:val="7A847E09"/>
    <w:rsid w:val="7AC3045B"/>
    <w:rsid w:val="7AC34054"/>
    <w:rsid w:val="7B273FE4"/>
    <w:rsid w:val="7B477DF0"/>
    <w:rsid w:val="7B62386D"/>
    <w:rsid w:val="7D585968"/>
    <w:rsid w:val="7DC4536C"/>
    <w:rsid w:val="7F550461"/>
    <w:rsid w:val="7F6C2913"/>
    <w:rsid w:val="7F9F20EE"/>
    <w:rsid w:val="7FE31350"/>
    <w:rsid w:val="9E3A10E2"/>
    <w:rsid w:val="BFAC5454"/>
    <w:rsid w:val="F2E1F9D4"/>
    <w:rsid w:val="F788081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link w:val="34"/>
    <w:semiHidden/>
    <w:unhideWhenUsed/>
    <w:qFormat/>
    <w:uiPriority w:val="99"/>
    <w:pPr>
      <w:ind w:firstLine="420" w:firstLineChars="200"/>
    </w:pPr>
  </w:style>
  <w:style w:type="paragraph" w:styleId="4">
    <w:name w:val="Body Text Indent"/>
    <w:basedOn w:val="1"/>
    <w:next w:val="3"/>
    <w:link w:val="33"/>
    <w:semiHidden/>
    <w:unhideWhenUsed/>
    <w:qFormat/>
    <w:uiPriority w:val="99"/>
    <w:pPr>
      <w:spacing w:after="120"/>
      <w:ind w:left="420" w:leftChars="200"/>
    </w:pPr>
  </w:style>
  <w:style w:type="paragraph" w:styleId="8">
    <w:name w:val="Body Text"/>
    <w:basedOn w:val="1"/>
    <w:link w:val="24"/>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0"/>
    <w:semiHidden/>
    <w:unhideWhenUsed/>
    <w:qFormat/>
    <w:uiPriority w:val="99"/>
    <w:rPr>
      <w:sz w:val="18"/>
      <w:szCs w:val="18"/>
    </w:rPr>
  </w:style>
  <w:style w:type="paragraph" w:styleId="11">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character" w:customStyle="1" w:styleId="19">
    <w:name w:val="Header Char"/>
    <w:basedOn w:val="16"/>
    <w:semiHidden/>
    <w:qFormat/>
    <w:uiPriority w:val="99"/>
    <w:rPr>
      <w:rFonts w:ascii="Times New Roman" w:hAnsi="Times New Roman"/>
      <w:sz w:val="18"/>
      <w:szCs w:val="18"/>
    </w:rPr>
  </w:style>
  <w:style w:type="character" w:customStyle="1" w:styleId="20">
    <w:name w:val="页眉 Char"/>
    <w:link w:val="12"/>
    <w:semiHidden/>
    <w:qFormat/>
    <w:locked/>
    <w:uiPriority w:val="99"/>
    <w:rPr>
      <w:sz w:val="18"/>
    </w:rPr>
  </w:style>
  <w:style w:type="character" w:customStyle="1" w:styleId="21">
    <w:name w:val="Footer Char"/>
    <w:basedOn w:val="16"/>
    <w:semiHidden/>
    <w:qFormat/>
    <w:uiPriority w:val="99"/>
    <w:rPr>
      <w:rFonts w:ascii="Times New Roman" w:hAnsi="Times New Roman"/>
      <w:sz w:val="18"/>
      <w:szCs w:val="18"/>
    </w:rPr>
  </w:style>
  <w:style w:type="character" w:customStyle="1" w:styleId="22">
    <w:name w:val="页脚 Char"/>
    <w:link w:val="11"/>
    <w:qFormat/>
    <w:locked/>
    <w:uiPriority w:val="99"/>
    <w:rPr>
      <w:sz w:val="18"/>
    </w:rPr>
  </w:style>
  <w:style w:type="character" w:customStyle="1" w:styleId="23">
    <w:name w:val="Body Text Char"/>
    <w:basedOn w:val="16"/>
    <w:semiHidden/>
    <w:qFormat/>
    <w:uiPriority w:val="99"/>
    <w:rPr>
      <w:rFonts w:ascii="Times New Roman" w:hAnsi="Times New Roman"/>
      <w:szCs w:val="24"/>
    </w:rPr>
  </w:style>
  <w:style w:type="character" w:customStyle="1" w:styleId="24">
    <w:name w:val="正文文本 Char"/>
    <w:link w:val="8"/>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6">
    <w:name w:val="List Paragraph"/>
    <w:basedOn w:val="1"/>
    <w:qFormat/>
    <w:uiPriority w:val="34"/>
    <w:pPr>
      <w:ind w:firstLine="420" w:firstLineChars="200"/>
    </w:pPr>
  </w:style>
  <w:style w:type="character" w:customStyle="1" w:styleId="27">
    <w:name w:val="标题 1 Char"/>
    <w:basedOn w:val="16"/>
    <w:link w:val="5"/>
    <w:qFormat/>
    <w:uiPriority w:val="9"/>
    <w:rPr>
      <w:rFonts w:ascii="Times New Roman" w:hAnsi="Times New Roman"/>
      <w:b/>
      <w:bCs/>
      <w:kern w:val="44"/>
      <w:sz w:val="44"/>
      <w:szCs w:val="44"/>
    </w:rPr>
  </w:style>
  <w:style w:type="character" w:customStyle="1" w:styleId="28">
    <w:name w:val="标题 2 Char"/>
    <w:basedOn w:val="16"/>
    <w:link w:val="6"/>
    <w:qFormat/>
    <w:uiPriority w:val="9"/>
    <w:rPr>
      <w:rFonts w:asciiTheme="majorHAnsi" w:hAnsiTheme="majorHAnsi" w:eastAsiaTheme="majorEastAsia" w:cstheme="majorBidi"/>
      <w:b/>
      <w:bCs/>
      <w:kern w:val="2"/>
      <w:sz w:val="32"/>
      <w:szCs w:val="32"/>
    </w:rPr>
  </w:style>
  <w:style w:type="paragraph" w:customStyle="1" w:styleId="29">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批注框文本 Char"/>
    <w:basedOn w:val="16"/>
    <w:link w:val="10"/>
    <w:semiHidden/>
    <w:qFormat/>
    <w:uiPriority w:val="99"/>
    <w:rPr>
      <w:rFonts w:ascii="Times New Roman" w:hAnsi="Times New Roman"/>
      <w:kern w:val="2"/>
      <w:sz w:val="18"/>
      <w:szCs w:val="18"/>
    </w:rPr>
  </w:style>
  <w:style w:type="character" w:customStyle="1" w:styleId="31">
    <w:name w:val="标题 3 Char"/>
    <w:basedOn w:val="16"/>
    <w:link w:val="7"/>
    <w:qFormat/>
    <w:uiPriority w:val="9"/>
    <w:rPr>
      <w:rFonts w:ascii="Times New Roman" w:hAnsi="Times New Roman"/>
      <w:b/>
      <w:bCs/>
      <w:kern w:val="2"/>
      <w:sz w:val="32"/>
      <w:szCs w:val="32"/>
    </w:rPr>
  </w:style>
  <w:style w:type="paragraph" w:customStyle="1" w:styleId="32">
    <w:name w:val="TOC 标题2"/>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正文文本缩进 Char"/>
    <w:basedOn w:val="16"/>
    <w:link w:val="4"/>
    <w:semiHidden/>
    <w:qFormat/>
    <w:uiPriority w:val="99"/>
    <w:rPr>
      <w:rFonts w:ascii="Times New Roman" w:hAnsi="Times New Roman" w:eastAsia="宋体" w:cs="Times New Roman"/>
      <w:kern w:val="2"/>
      <w:sz w:val="21"/>
      <w:szCs w:val="24"/>
    </w:rPr>
  </w:style>
  <w:style w:type="character" w:customStyle="1" w:styleId="34">
    <w:name w:val="正文首行缩进 2 Char"/>
    <w:basedOn w:val="33"/>
    <w:link w:val="3"/>
    <w:semiHidden/>
    <w:qFormat/>
    <w:uiPriority w:val="99"/>
  </w:style>
  <w:style w:type="paragraph" w:customStyle="1" w:styleId="35">
    <w:name w:val="四号正文"/>
    <w:basedOn w:val="1"/>
    <w:qFormat/>
    <w:uiPriority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6.emf"/><Relationship Id="rId2" Type="http://schemas.openxmlformats.org/officeDocument/2006/relationships/settings" Target="settings.xml"/><Relationship Id="rId19" Type="http://schemas.openxmlformats.org/officeDocument/2006/relationships/oleObject" Target="embeddings/oleObject6.bin"/><Relationship Id="rId18" Type="http://schemas.openxmlformats.org/officeDocument/2006/relationships/image" Target="media/image5.emf"/><Relationship Id="rId17" Type="http://schemas.openxmlformats.org/officeDocument/2006/relationships/oleObject" Target="embeddings/oleObject5.bin"/><Relationship Id="rId16" Type="http://schemas.openxmlformats.org/officeDocument/2006/relationships/image" Target="media/image4.emf"/><Relationship Id="rId15" Type="http://schemas.openxmlformats.org/officeDocument/2006/relationships/oleObject" Target="embeddings/oleObject4.bin"/><Relationship Id="rId14" Type="http://schemas.openxmlformats.org/officeDocument/2006/relationships/image" Target="media/image3.emf"/><Relationship Id="rId13" Type="http://schemas.openxmlformats.org/officeDocument/2006/relationships/oleObject" Target="embeddings/oleObject3.bin"/><Relationship Id="rId12" Type="http://schemas.openxmlformats.org/officeDocument/2006/relationships/image" Target="media/image2.emf"/><Relationship Id="rId11" Type="http://schemas.openxmlformats.org/officeDocument/2006/relationships/oleObject" Target="embeddings/oleObject2.bin"/><Relationship Id="rId10" Type="http://schemas.openxmlformats.org/officeDocument/2006/relationships/image" Target="media/image1.e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Info spid="_x0000_s104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18</Pages>
  <Words>4894</Words>
  <Characters>5475</Characters>
  <Lines>41</Lines>
  <Paragraphs>11</Paragraphs>
  <TotalTime>114</TotalTime>
  <ScaleCrop>false</ScaleCrop>
  <LinksUpToDate>false</LinksUpToDate>
  <CharactersWithSpaces>5532</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2023-10-12T02:29:00Z</dcterms:created>
  <dc:creator>曹颖</dc:creator>
  <cp:lastModifiedBy>user</cp:lastModifiedBy>
  <cp:lastPrinted>2025-10-20T15:31:00Z</cp:lastPrinted>
  <dcterms:modified xsi:type="dcterms:W3CDTF">2025-10-22T09:56:49Z</dcterms:modified>
  <dc:title>四川省***</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5E240C34BC44478985BC32D9CD66A476</vt:lpwstr>
  </property>
  <property fmtid="{D5CDD505-2E9C-101B-9397-08002B2CF9AE}" pid="4" name="KSOTemplateDocerSaveRecord">
    <vt:lpwstr>eyJoZGlkIjoiN2UzZWRjZmJkZDdjMDk4OGE2NDU1NTEyYmFjYTI3ZDUifQ==</vt:lpwstr>
  </property>
</Properties>
</file>