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
        <w:rPr>
          <w:rFonts w:ascii="Times New Roman" w:eastAsia="方正小标宋简体"/>
          <w:kern w:val="2"/>
          <w:sz w:val="72"/>
          <w:szCs w:val="72"/>
        </w:rPr>
      </w:pPr>
      <w:bookmarkStart w:id="0" w:name="_Toc15378441"/>
      <w:bookmarkStart w:id="1" w:name="_Toc15377425"/>
      <w:bookmarkStart w:id="2" w:name="_Toc15306267"/>
      <w:bookmarkStart w:id="3" w:name="_Toc15377193"/>
      <w:bookmarkStart w:id="4" w:name="_Toc15396597"/>
      <w:bookmarkStart w:id="5" w:name="_Toc15396475"/>
    </w:p>
    <w:p>
      <w:pPr>
        <w:pStyle w:val="2"/>
        <w:spacing w:before="93"/>
        <w:rPr>
          <w:rFonts w:ascii="Times New Roman" w:eastAsia="方正小标宋简体"/>
          <w:kern w:val="2"/>
          <w:sz w:val="72"/>
          <w:szCs w:val="72"/>
        </w:rPr>
      </w:pPr>
    </w:p>
    <w:p>
      <w:pPr>
        <w:pStyle w:val="2"/>
        <w:spacing w:before="93"/>
        <w:rPr>
          <w:rFonts w:ascii="Times New Roman" w:eastAsia="方正小标宋简体"/>
          <w:kern w:val="2"/>
          <w:sz w:val="72"/>
          <w:szCs w:val="72"/>
        </w:rPr>
      </w:pPr>
    </w:p>
    <w:p>
      <w:pPr>
        <w:pStyle w:val="2"/>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pPr>
        <w:pStyle w:val="2"/>
        <w:spacing w:before="93"/>
        <w:jc w:val="center"/>
        <w:rPr>
          <w:rFonts w:ascii="Times New Roman" w:eastAsia="方正小标宋简体"/>
          <w:kern w:val="2"/>
          <w:sz w:val="72"/>
          <w:szCs w:val="72"/>
        </w:rPr>
      </w:pPr>
      <w:r>
        <w:rPr>
          <w:rFonts w:hint="eastAsia" w:ascii="Times New Roman" w:eastAsia="方正小标宋简体"/>
          <w:kern w:val="2"/>
          <w:sz w:val="72"/>
          <w:szCs w:val="72"/>
        </w:rPr>
        <w:t>盐边县</w:t>
      </w:r>
      <w:r>
        <w:rPr>
          <w:rFonts w:hint="eastAsia" w:ascii="Times New Roman" w:eastAsia="方正小标宋简体"/>
          <w:kern w:val="2"/>
          <w:sz w:val="72"/>
          <w:szCs w:val="72"/>
          <w:lang w:val="en-US" w:eastAsia="zh-CN"/>
        </w:rPr>
        <w:t>红格镇中心卫生院</w:t>
      </w:r>
      <w:r>
        <w:rPr>
          <w:rFonts w:hint="eastAsia" w:ascii="Times New Roman" w:eastAsia="方正小标宋简体"/>
          <w:kern w:val="2"/>
          <w:sz w:val="72"/>
          <w:szCs w:val="72"/>
        </w:rPr>
        <w:t>单位决算公开编制说明</w:t>
      </w:r>
    </w:p>
    <w:p>
      <w:pPr>
        <w:spacing w:line="600" w:lineRule="exact"/>
        <w:jc w:val="center"/>
        <w:outlineLvl w:val="0"/>
        <w:rPr>
          <w:rFonts w:eastAsia="方正小标宋简体"/>
          <w:sz w:val="72"/>
          <w:szCs w:val="72"/>
        </w:rPr>
      </w:pPr>
    </w:p>
    <w:p>
      <w:pPr>
        <w:pStyle w:val="19"/>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bookmarkEnd w:id="0"/>
    <w:bookmarkEnd w:id="1"/>
    <w:bookmarkEnd w:id="2"/>
    <w:bookmarkEnd w:id="3"/>
    <w:bookmarkEnd w:id="4"/>
    <w:bookmarkEnd w:id="5"/>
    <w:p>
      <w:pPr>
        <w:widowControl/>
        <w:jc w:val="center"/>
        <w:rPr>
          <w:rFonts w:eastAsia="黑体"/>
          <w:sz w:val="48"/>
          <w:szCs w:val="48"/>
        </w:rPr>
      </w:pPr>
      <w:r>
        <w:rPr>
          <w:rFonts w:hint="eastAsia" w:eastAsia="黑体"/>
          <w:sz w:val="48"/>
          <w:szCs w:val="48"/>
        </w:rPr>
        <w:t>目录</w:t>
      </w:r>
    </w:p>
    <w:p>
      <w:pPr>
        <w:widowControl/>
        <w:jc w:val="center"/>
        <w:rPr>
          <w:rFonts w:eastAsia="黑体" w:cstheme="minorBidi"/>
          <w:sz w:val="28"/>
          <w:szCs w:val="28"/>
        </w:rPr>
      </w:pPr>
    </w:p>
    <w:p>
      <w:pPr>
        <w:pStyle w:val="12"/>
        <w:rPr>
          <w:rFonts w:ascii="Times New Roman" w:hAnsi="Times New Roman" w:eastAsia="仿宋_GB2312" w:cs="仿宋_GB2312"/>
        </w:rPr>
      </w:pPr>
      <w:r>
        <w:rPr>
          <w:rFonts w:hint="eastAsia" w:ascii="Times New Roman" w:hAnsi="Times New Roman" w:eastAsia="仿宋_GB2312" w:cs="仿宋_GB2312"/>
        </w:rPr>
        <w:t>公开时间：2025年10月</w:t>
      </w:r>
      <w:r>
        <w:rPr>
          <w:rFonts w:hint="eastAsia" w:ascii="Times New Roman" w:hAnsi="Times New Roman" w:eastAsia="仿宋_GB2312" w:cs="仿宋_GB2312"/>
          <w:lang w:val="en-US" w:eastAsia="zh-CN"/>
        </w:rPr>
        <w:t>28</w:t>
      </w:r>
      <w:r>
        <w:rPr>
          <w:rFonts w:hint="eastAsia" w:ascii="Times New Roman" w:hAnsi="Times New Roman" w:eastAsia="仿宋_GB2312" w:cs="仿宋_GB2312"/>
        </w:rPr>
        <w:t>日</w:t>
      </w:r>
    </w:p>
    <w:p>
      <w:pPr>
        <w:rPr>
          <w:sz w:val="28"/>
          <w:szCs w:val="28"/>
        </w:rPr>
      </w:pPr>
    </w:p>
    <w:p>
      <w:pPr>
        <w:pStyle w:val="12"/>
        <w:adjustRightInd w:val="0"/>
        <w:snapToGrid w:val="0"/>
        <w:spacing w:before="0" w:line="560" w:lineRule="exact"/>
        <w:jc w:val="left"/>
        <w:rPr>
          <w:rFonts w:ascii="Times New Roman" w:hAnsi="Times New Roman" w:eastAsia="黑体" w:cs="黑体"/>
        </w:rPr>
      </w:pPr>
      <w:r>
        <w:rPr>
          <w:rFonts w:hint="eastAsia" w:ascii="Times New Roman" w:hAnsi="Times New Roman" w:eastAsia="黑体" w:cs="黑体"/>
        </w:rPr>
        <w:t>第一部分 单位概况</w:t>
      </w:r>
      <w:r>
        <w:tab/>
      </w:r>
      <w:r>
        <w:rPr>
          <w:rFonts w:hint="eastAsia" w:asciiTheme="minorEastAsia" w:hAnsiTheme="minorEastAsia" w:eastAsiaTheme="minorEastAsia" w:cstheme="minorEastAsia"/>
          <w:kern w:val="2"/>
          <w:sz w:val="24"/>
          <w:szCs w:val="24"/>
          <w:lang w:val="en-US" w:eastAsia="zh-CN" w:bidi="ar-SA"/>
        </w:rPr>
        <w:t>1</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一、主要职责</w:t>
      </w:r>
      <w:r>
        <w:tab/>
      </w:r>
      <w:r>
        <w:rPr>
          <w:rFonts w:hint="eastAsia" w:asciiTheme="minorEastAsia" w:hAnsiTheme="minorEastAsia" w:eastAsiaTheme="minorEastAsia" w:cstheme="minorEastAsia"/>
          <w:sz w:val="24"/>
          <w:szCs w:val="24"/>
          <w:lang w:val="en-US" w:eastAsia="zh-CN"/>
        </w:rPr>
        <w:t>1</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二、机构设置</w:t>
      </w:r>
      <w:r>
        <w:tab/>
      </w:r>
      <w:r>
        <w:rPr>
          <w:rFonts w:hint="eastAsia" w:asciiTheme="minorEastAsia" w:hAnsiTheme="minorEastAsia" w:eastAsiaTheme="minorEastAsia" w:cstheme="minorEastAsia"/>
          <w:sz w:val="24"/>
          <w:szCs w:val="24"/>
          <w:lang w:val="en-US" w:eastAsia="zh-CN"/>
        </w:rPr>
        <w:t>1</w:t>
      </w:r>
    </w:p>
    <w:p>
      <w:pPr>
        <w:pStyle w:val="12"/>
        <w:adjustRightInd w:val="0"/>
        <w:snapToGrid w:val="0"/>
        <w:spacing w:before="0" w:line="560" w:lineRule="exact"/>
        <w:jc w:val="left"/>
      </w:pPr>
      <w:r>
        <w:rPr>
          <w:rFonts w:hint="eastAsia" w:ascii="Times New Roman" w:hAnsi="Times New Roman" w:eastAsia="黑体" w:cs="黑体"/>
        </w:rPr>
        <w:t>第二部分 2024年度部门决算情况说明</w:t>
      </w:r>
      <w:r>
        <w:tab/>
      </w:r>
      <w:r>
        <w:rPr>
          <w:rFonts w:hint="eastAsia" w:asciiTheme="minorEastAsia" w:hAnsiTheme="minorEastAsia" w:eastAsiaTheme="minorEastAsia" w:cstheme="minorEastAsia"/>
          <w:kern w:val="2"/>
          <w:sz w:val="24"/>
          <w:szCs w:val="24"/>
          <w:lang w:val="en-US" w:eastAsia="zh-CN" w:bidi="ar-SA"/>
        </w:rPr>
        <w:t>2</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一、收入支出决算总体情况说明</w:t>
      </w:r>
      <w:r>
        <w:tab/>
      </w:r>
      <w:r>
        <w:rPr>
          <w:rFonts w:hint="eastAsia" w:asciiTheme="minorEastAsia" w:hAnsiTheme="minorEastAsia" w:eastAsiaTheme="minorEastAsia" w:cstheme="minorEastAsia"/>
          <w:kern w:val="2"/>
          <w:sz w:val="24"/>
          <w:szCs w:val="24"/>
          <w:lang w:val="en-US" w:eastAsia="zh-CN" w:bidi="ar-SA"/>
        </w:rPr>
        <w:t>2</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二、收入决算情况说明</w:t>
      </w:r>
      <w:r>
        <w:tab/>
      </w:r>
      <w:r>
        <w:rPr>
          <w:rFonts w:hint="eastAsia" w:asciiTheme="minorEastAsia" w:hAnsiTheme="minorEastAsia" w:eastAsiaTheme="minorEastAsia" w:cstheme="minorEastAsia"/>
          <w:kern w:val="2"/>
          <w:sz w:val="24"/>
          <w:szCs w:val="24"/>
          <w:lang w:val="en-US" w:eastAsia="zh-CN" w:bidi="ar-SA"/>
        </w:rPr>
        <w:t>2</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三、支出决算情况说明</w:t>
      </w:r>
      <w:r>
        <w:tab/>
      </w:r>
      <w:r>
        <w:rPr>
          <w:rFonts w:hint="eastAsia" w:asciiTheme="minorEastAsia" w:hAnsiTheme="minorEastAsia" w:eastAsiaTheme="minorEastAsia" w:cstheme="minorEastAsia"/>
          <w:kern w:val="2"/>
          <w:sz w:val="24"/>
          <w:szCs w:val="24"/>
          <w:lang w:val="en-US" w:eastAsia="zh-CN" w:bidi="ar-SA"/>
        </w:rPr>
        <w:t>3</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四、财政拨款收入支出决算总体情况说明</w:t>
      </w:r>
      <w:r>
        <w:tab/>
      </w:r>
      <w:r>
        <w:rPr>
          <w:rFonts w:hint="eastAsia" w:asciiTheme="minorEastAsia" w:hAnsiTheme="minorEastAsia" w:eastAsiaTheme="minorEastAsia" w:cstheme="minorEastAsia"/>
          <w:kern w:val="2"/>
          <w:sz w:val="24"/>
          <w:szCs w:val="24"/>
          <w:lang w:val="en-US" w:eastAsia="zh-CN" w:bidi="ar-SA"/>
        </w:rPr>
        <w:t>4</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五、一般公共预算财政拨款支出决算情况说明</w:t>
      </w:r>
      <w:r>
        <w:tab/>
      </w:r>
      <w:r>
        <w:rPr>
          <w:rFonts w:hint="eastAsia" w:asciiTheme="minorEastAsia" w:hAnsiTheme="minorEastAsia" w:eastAsiaTheme="minorEastAsia" w:cstheme="minorEastAsia"/>
          <w:kern w:val="2"/>
          <w:sz w:val="24"/>
          <w:szCs w:val="24"/>
          <w:lang w:val="en-US" w:eastAsia="zh-CN" w:bidi="ar-SA"/>
        </w:rPr>
        <w:t>5</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六、一般公共预算财政拨款基本支出决算情况说明</w:t>
      </w:r>
      <w:r>
        <w:tab/>
      </w:r>
      <w:r>
        <w:rPr>
          <w:rFonts w:hint="eastAsia" w:asciiTheme="minorEastAsia" w:hAnsiTheme="minorEastAsia" w:eastAsiaTheme="minorEastAsia" w:cstheme="minorEastAsia"/>
          <w:kern w:val="2"/>
          <w:sz w:val="24"/>
          <w:szCs w:val="24"/>
          <w:lang w:val="en-US" w:eastAsia="zh-CN" w:bidi="ar-SA"/>
        </w:rPr>
        <w:t>8</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七、财政拨款“三公”经费支出决算情况说明</w:t>
      </w:r>
      <w:r>
        <w:tab/>
      </w:r>
      <w:r>
        <w:rPr>
          <w:rFonts w:hint="eastAsia" w:asciiTheme="minorEastAsia" w:hAnsiTheme="minorEastAsia" w:eastAsiaTheme="minorEastAsia" w:cstheme="minorEastAsia"/>
          <w:kern w:val="2"/>
          <w:sz w:val="24"/>
          <w:szCs w:val="24"/>
          <w:lang w:val="en-US" w:eastAsia="zh-CN" w:bidi="ar-SA"/>
        </w:rPr>
        <w:t>8</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八、政府性基金预算支出决算情况说明</w:t>
      </w:r>
      <w:r>
        <w:tab/>
      </w:r>
      <w:r>
        <w:rPr>
          <w:rFonts w:hint="eastAsia" w:asciiTheme="minorEastAsia" w:hAnsiTheme="minorEastAsia" w:eastAsiaTheme="minorEastAsia" w:cstheme="minorEastAsia"/>
          <w:kern w:val="2"/>
          <w:sz w:val="24"/>
          <w:szCs w:val="24"/>
          <w:lang w:val="en-US" w:eastAsia="zh-CN" w:bidi="ar-SA"/>
        </w:rPr>
        <w:t>10</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九、国有资本经营预算支出决算情况说明</w:t>
      </w:r>
      <w:r>
        <w:tab/>
      </w:r>
      <w:r>
        <w:rPr>
          <w:rFonts w:hint="eastAsia" w:asciiTheme="minorEastAsia" w:hAnsiTheme="minorEastAsia" w:eastAsiaTheme="minorEastAsia" w:cstheme="minorEastAsia"/>
          <w:kern w:val="2"/>
          <w:sz w:val="24"/>
          <w:szCs w:val="24"/>
          <w:lang w:val="en-US" w:eastAsia="zh-CN" w:bidi="ar-SA"/>
        </w:rPr>
        <w:t>10</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十、其他重要事项的情况说明</w:t>
      </w:r>
      <w:r>
        <w:tab/>
      </w:r>
      <w:r>
        <w:rPr>
          <w:rFonts w:hint="eastAsia" w:asciiTheme="minorEastAsia" w:hAnsiTheme="minorEastAsia" w:eastAsiaTheme="minorEastAsia" w:cstheme="minorEastAsia"/>
          <w:kern w:val="2"/>
          <w:sz w:val="24"/>
          <w:szCs w:val="24"/>
          <w:lang w:val="en-US" w:eastAsia="zh-CN" w:bidi="ar-SA"/>
        </w:rPr>
        <w:t>10</w:t>
      </w:r>
    </w:p>
    <w:p>
      <w:pPr>
        <w:pStyle w:val="12"/>
        <w:adjustRightInd w:val="0"/>
        <w:snapToGrid w:val="0"/>
        <w:spacing w:before="0" w:line="560" w:lineRule="exact"/>
        <w:jc w:val="left"/>
        <w:rPr>
          <w:rFonts w:ascii="Times New Roman" w:hAnsi="Times New Roman" w:eastAsia="黑体" w:cs="黑体"/>
        </w:rPr>
      </w:pPr>
      <w:r>
        <w:rPr>
          <w:rFonts w:hint="eastAsia" w:ascii="Times New Roman" w:hAnsi="Times New Roman" w:eastAsia="黑体" w:cs="黑体"/>
        </w:rPr>
        <w:t>第三部分 名词解释</w:t>
      </w:r>
      <w:r>
        <w:tab/>
      </w:r>
      <w:r>
        <w:rPr>
          <w:rFonts w:hint="eastAsia" w:asciiTheme="minorEastAsia" w:hAnsiTheme="minorEastAsia" w:eastAsiaTheme="minorEastAsia" w:cstheme="minorEastAsia"/>
          <w:kern w:val="2"/>
          <w:sz w:val="24"/>
          <w:szCs w:val="24"/>
          <w:lang w:val="en-US" w:eastAsia="zh-CN" w:bidi="ar-SA"/>
        </w:rPr>
        <w:t>12</w:t>
      </w:r>
    </w:p>
    <w:p>
      <w:pPr>
        <w:pStyle w:val="12"/>
        <w:adjustRightInd w:val="0"/>
        <w:snapToGrid w:val="0"/>
        <w:spacing w:before="0" w:line="560" w:lineRule="exact"/>
        <w:jc w:val="left"/>
        <w:rPr>
          <w:rFonts w:ascii="Times New Roman" w:hAnsi="Times New Roman" w:eastAsia="黑体" w:cs="黑体"/>
        </w:rPr>
      </w:pPr>
      <w:r>
        <w:rPr>
          <w:rFonts w:hint="eastAsia" w:ascii="Times New Roman" w:hAnsi="Times New Roman" w:eastAsia="黑体" w:cs="黑体"/>
        </w:rPr>
        <w:t>第四部分 附件</w:t>
      </w:r>
      <w:r>
        <w:tab/>
      </w:r>
      <w:r>
        <w:rPr>
          <w:rFonts w:hint="eastAsia" w:asciiTheme="minorEastAsia" w:hAnsiTheme="minorEastAsia" w:eastAsiaTheme="minorEastAsia" w:cstheme="minorEastAsia"/>
          <w:kern w:val="2"/>
          <w:sz w:val="24"/>
          <w:szCs w:val="24"/>
          <w:lang w:val="en-US" w:eastAsia="zh-CN" w:bidi="ar-SA"/>
        </w:rPr>
        <w:t>15</w:t>
      </w:r>
    </w:p>
    <w:p>
      <w:pPr>
        <w:pStyle w:val="12"/>
        <w:adjustRightInd w:val="0"/>
        <w:snapToGrid w:val="0"/>
        <w:spacing w:before="0" w:line="560" w:lineRule="exact"/>
        <w:jc w:val="left"/>
        <w:rPr>
          <w:rFonts w:ascii="Times New Roman" w:hAnsi="Times New Roman" w:eastAsia="黑体" w:cs="黑体"/>
        </w:rPr>
      </w:pPr>
      <w:r>
        <w:rPr>
          <w:rFonts w:hint="eastAsia" w:ascii="Times New Roman" w:hAnsi="Times New Roman" w:eastAsia="黑体" w:cs="黑体"/>
        </w:rPr>
        <w:t>第五部分 附表</w:t>
      </w:r>
      <w:r>
        <w:tab/>
      </w:r>
      <w:r>
        <w:rPr>
          <w:rFonts w:hint="eastAsia" w:asciiTheme="minorEastAsia" w:hAnsiTheme="minorEastAsia" w:eastAsiaTheme="minorEastAsia" w:cstheme="minorEastAsia"/>
          <w:kern w:val="2"/>
          <w:sz w:val="24"/>
          <w:szCs w:val="24"/>
          <w:lang w:val="en-US" w:eastAsia="zh-CN" w:bidi="ar-SA"/>
        </w:rPr>
        <w:t>16</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一、收入支出决算总表</w:t>
      </w:r>
      <w:r>
        <w:tab/>
      </w:r>
      <w:r>
        <w:rPr>
          <w:rFonts w:hint="eastAsia" w:asciiTheme="minorEastAsia" w:hAnsiTheme="minorEastAsia" w:eastAsiaTheme="minorEastAsia" w:cstheme="minorEastAsia"/>
          <w:kern w:val="2"/>
          <w:sz w:val="24"/>
          <w:szCs w:val="24"/>
          <w:lang w:val="en-US" w:eastAsia="zh-CN" w:bidi="ar-SA"/>
        </w:rPr>
        <w:t>16</w:t>
      </w:r>
    </w:p>
    <w:p>
      <w:pPr>
        <w:pStyle w:val="14"/>
        <w:adjustRightInd w:val="0"/>
        <w:snapToGrid w:val="0"/>
        <w:spacing w:line="560" w:lineRule="exact"/>
        <w:ind w:left="0" w:leftChars="0" w:firstLine="560" w:firstLineChars="200"/>
        <w:jc w:val="left"/>
        <w:rPr>
          <w:rFonts w:hint="eastAsia" w:eastAsia="仿宋_GB2312" w:cs="仿宋_GB2312"/>
          <w:sz w:val="28"/>
          <w:szCs w:val="28"/>
          <w:lang w:val="en-US" w:eastAsia="zh-CN"/>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r>
        <w:rPr>
          <w:rFonts w:hint="eastAsia" w:eastAsia="仿宋_GB2312" w:cs="仿宋_GB2312"/>
          <w:sz w:val="28"/>
          <w:szCs w:val="28"/>
        </w:rPr>
        <w:t>二、收入决算表</w:t>
      </w:r>
      <w:r>
        <w:tab/>
      </w:r>
      <w:r>
        <w:rPr>
          <w:rFonts w:hint="eastAsia" w:asciiTheme="minorEastAsia" w:hAnsiTheme="minorEastAsia" w:eastAsiaTheme="minorEastAsia" w:cstheme="minorEastAsia"/>
          <w:kern w:val="2"/>
          <w:sz w:val="24"/>
          <w:szCs w:val="24"/>
          <w:lang w:val="en-US" w:eastAsia="zh-CN" w:bidi="ar-SA"/>
        </w:rPr>
        <w:t>16</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三、支出决算表</w:t>
      </w:r>
      <w:r>
        <w:tab/>
      </w:r>
      <w:r>
        <w:rPr>
          <w:rFonts w:hint="eastAsia" w:asciiTheme="minorEastAsia" w:hAnsiTheme="minorEastAsia" w:eastAsiaTheme="minorEastAsia" w:cstheme="minorEastAsia"/>
          <w:kern w:val="2"/>
          <w:sz w:val="24"/>
          <w:szCs w:val="24"/>
          <w:lang w:val="en-US" w:eastAsia="zh-CN" w:bidi="ar-SA"/>
        </w:rPr>
        <w:t>16</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四、财政拨款收入支出决算总表</w:t>
      </w:r>
      <w:r>
        <w:tab/>
      </w:r>
      <w:r>
        <w:rPr>
          <w:rFonts w:hint="eastAsia" w:asciiTheme="minorEastAsia" w:hAnsiTheme="minorEastAsia" w:eastAsiaTheme="minorEastAsia" w:cstheme="minorEastAsia"/>
          <w:kern w:val="2"/>
          <w:sz w:val="24"/>
          <w:szCs w:val="24"/>
          <w:lang w:val="en-US" w:eastAsia="zh-CN" w:bidi="ar-SA"/>
        </w:rPr>
        <w:t>16</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五、财政拨款支出决算明细表</w:t>
      </w:r>
      <w:r>
        <w:tab/>
      </w:r>
      <w:r>
        <w:rPr>
          <w:rFonts w:hint="eastAsia" w:asciiTheme="minorEastAsia" w:hAnsiTheme="minorEastAsia" w:eastAsiaTheme="minorEastAsia" w:cstheme="minorEastAsia"/>
          <w:kern w:val="2"/>
          <w:sz w:val="24"/>
          <w:szCs w:val="24"/>
          <w:lang w:val="en-US" w:eastAsia="zh-CN" w:bidi="ar-SA"/>
        </w:rPr>
        <w:t>16</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六、一般公共预算财政拨款支出决算表</w:t>
      </w:r>
      <w:r>
        <w:tab/>
      </w:r>
      <w:r>
        <w:rPr>
          <w:rFonts w:hint="eastAsia" w:asciiTheme="minorEastAsia" w:hAnsiTheme="minorEastAsia" w:eastAsiaTheme="minorEastAsia" w:cstheme="minorEastAsia"/>
          <w:kern w:val="2"/>
          <w:sz w:val="24"/>
          <w:szCs w:val="24"/>
          <w:lang w:val="en-US" w:eastAsia="zh-CN" w:bidi="ar-SA"/>
        </w:rPr>
        <w:t>16</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七、一般公共预算财政拨款支出决算明细表</w:t>
      </w:r>
      <w:r>
        <w:tab/>
      </w:r>
      <w:r>
        <w:rPr>
          <w:rFonts w:hint="eastAsia" w:asciiTheme="minorEastAsia" w:hAnsiTheme="minorEastAsia" w:eastAsiaTheme="minorEastAsia" w:cstheme="minorEastAsia"/>
          <w:kern w:val="2"/>
          <w:sz w:val="24"/>
          <w:szCs w:val="24"/>
          <w:lang w:val="en-US" w:eastAsia="zh-CN" w:bidi="ar-SA"/>
        </w:rPr>
        <w:t>16</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八、一般公共预算财政拨款基本支出决算明细表</w:t>
      </w:r>
      <w:r>
        <w:tab/>
      </w:r>
      <w:r>
        <w:rPr>
          <w:rFonts w:hint="eastAsia" w:asciiTheme="minorEastAsia" w:hAnsiTheme="minorEastAsia" w:eastAsiaTheme="minorEastAsia" w:cstheme="minorEastAsia"/>
          <w:kern w:val="2"/>
          <w:sz w:val="24"/>
          <w:szCs w:val="24"/>
          <w:lang w:val="en-US" w:eastAsia="zh-CN" w:bidi="ar-SA"/>
        </w:rPr>
        <w:t>16</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九、一般公共预算财政拨款项目支出决算表</w:t>
      </w:r>
      <w:r>
        <w:tab/>
      </w:r>
      <w:r>
        <w:rPr>
          <w:rFonts w:hint="eastAsia" w:asciiTheme="minorEastAsia" w:hAnsiTheme="minorEastAsia" w:eastAsiaTheme="minorEastAsia" w:cstheme="minorEastAsia"/>
          <w:kern w:val="2"/>
          <w:sz w:val="24"/>
          <w:szCs w:val="24"/>
          <w:lang w:val="en-US" w:eastAsia="zh-CN" w:bidi="ar-SA"/>
        </w:rPr>
        <w:t>16</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十、政府性基金预算财政拨款收入支出决算表</w:t>
      </w:r>
      <w:r>
        <w:tab/>
      </w:r>
      <w:r>
        <w:rPr>
          <w:rFonts w:hint="eastAsia" w:asciiTheme="minorEastAsia" w:hAnsiTheme="minorEastAsia" w:eastAsiaTheme="minorEastAsia" w:cstheme="minorEastAsia"/>
          <w:kern w:val="2"/>
          <w:sz w:val="24"/>
          <w:szCs w:val="24"/>
          <w:lang w:val="en-US" w:eastAsia="zh-CN" w:bidi="ar-SA"/>
        </w:rPr>
        <w:t>16</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十一、国有资本经营预算财政拨款收入支出决算表</w:t>
      </w:r>
      <w:r>
        <w:tab/>
      </w:r>
      <w:r>
        <w:rPr>
          <w:rFonts w:hint="eastAsia" w:asciiTheme="minorEastAsia" w:hAnsiTheme="minorEastAsia" w:eastAsiaTheme="minorEastAsia" w:cstheme="minorEastAsia"/>
          <w:kern w:val="2"/>
          <w:sz w:val="24"/>
          <w:szCs w:val="24"/>
          <w:lang w:val="en-US" w:eastAsia="zh-CN" w:bidi="ar-SA"/>
        </w:rPr>
        <w:t>16</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十二、国有资本经营预算财政拨款支出决算表</w:t>
      </w:r>
      <w:r>
        <w:tab/>
      </w:r>
      <w:r>
        <w:rPr>
          <w:rFonts w:hint="eastAsia" w:asciiTheme="minorEastAsia" w:hAnsiTheme="minorEastAsia" w:eastAsiaTheme="minorEastAsia" w:cstheme="minorEastAsia"/>
          <w:kern w:val="2"/>
          <w:sz w:val="24"/>
          <w:szCs w:val="24"/>
          <w:lang w:val="en-US" w:eastAsia="zh-CN" w:bidi="ar-SA"/>
        </w:rPr>
        <w:t>16</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十三、财政拨款“三公”经费支出决算表</w:t>
      </w:r>
      <w:r>
        <w:tab/>
      </w:r>
      <w:r>
        <w:rPr>
          <w:rFonts w:hint="eastAsia" w:asciiTheme="minorEastAsia" w:hAnsiTheme="minorEastAsia" w:eastAsiaTheme="minorEastAsia" w:cstheme="minorEastAsia"/>
          <w:kern w:val="2"/>
          <w:sz w:val="24"/>
          <w:szCs w:val="24"/>
          <w:lang w:val="en-US" w:eastAsia="zh-CN" w:bidi="ar-SA"/>
        </w:rPr>
        <w:t>16</w:t>
      </w:r>
    </w:p>
    <w:p>
      <w:pPr>
        <w:pStyle w:val="3"/>
        <w:jc w:val="center"/>
        <w:rPr>
          <w:rFonts w:hint="eastAsia" w:eastAsia="方正小标宋简体" w:cs="方正小标宋简体"/>
          <w:b w:val="0"/>
        </w:rPr>
        <w:sectPr>
          <w:footerReference r:id="rId8" w:type="first"/>
          <w:footerReference r:id="rId7" w:type="default"/>
          <w:pgSz w:w="11906" w:h="16838"/>
          <w:pgMar w:top="1440" w:right="1800" w:bottom="1440" w:left="1800" w:header="851" w:footer="992" w:gutter="0"/>
          <w:pgNumType w:fmt="numberInDash" w:start="1"/>
          <w:cols w:space="425" w:num="1"/>
          <w:titlePg/>
          <w:docGrid w:type="lines" w:linePitch="312" w:charSpace="0"/>
        </w:sectPr>
      </w:pPr>
      <w:bookmarkStart w:id="6" w:name="_Toc15396599"/>
      <w:bookmarkStart w:id="7" w:name="_Toc15377196"/>
    </w:p>
    <w:p>
      <w:pPr>
        <w:pStyle w:val="3"/>
        <w:jc w:val="center"/>
        <w:rPr>
          <w:rStyle w:val="28"/>
          <w:rFonts w:eastAsia="方正小标宋简体" w:cs="方正小标宋简体"/>
          <w:b/>
          <w:bCs w:val="0"/>
        </w:rPr>
      </w:pPr>
      <w:r>
        <w:rPr>
          <w:rFonts w:hint="eastAsia" w:eastAsia="方正小标宋简体" w:cs="方正小标宋简体"/>
          <w:b w:val="0"/>
        </w:rPr>
        <w:t xml:space="preserve">第一部分  </w:t>
      </w:r>
      <w:r>
        <w:rPr>
          <w:rStyle w:val="28"/>
          <w:rFonts w:hint="eastAsia" w:eastAsia="方正小标宋简体" w:cs="方正小标宋简体"/>
          <w:b w:val="0"/>
          <w:bCs w:val="0"/>
        </w:rPr>
        <w:t>单位概况</w:t>
      </w:r>
      <w:bookmarkEnd w:id="6"/>
      <w:bookmarkEnd w:id="7"/>
    </w:p>
    <w:p>
      <w:pPr>
        <w:widowControl/>
        <w:jc w:val="left"/>
        <w:rPr>
          <w:rFonts w:eastAsia="黑体"/>
          <w:sz w:val="32"/>
          <w:szCs w:val="32"/>
        </w:rPr>
      </w:pPr>
    </w:p>
    <w:p>
      <w:pPr>
        <w:pStyle w:val="27"/>
        <w:spacing w:line="600" w:lineRule="exact"/>
        <w:ind w:firstLine="640"/>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主要职责</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bookmarkStart w:id="8" w:name="_Toc15396601"/>
      <w:bookmarkStart w:id="9" w:name="_Toc15377200"/>
      <w:r>
        <w:rPr>
          <w:rFonts w:hint="eastAsia" w:ascii="仿宋_GB2312" w:hAnsi="仿宋_GB2312" w:eastAsia="仿宋_GB2312" w:cs="仿宋_GB2312"/>
          <w:kern w:val="2"/>
          <w:sz w:val="32"/>
          <w:szCs w:val="32"/>
          <w:lang w:val="en-US" w:eastAsia="zh-CN" w:bidi="ar-SA"/>
        </w:rPr>
        <w:t>我院是一所设卫生行政兼医疗预防工作的机构，我院以基本公共卫生服务为主，提供预防、保健和基本医疗服务等；主要负责红格片区的农村疾病预防控制，做好儿童计划免疫工作，做好孕产妇及儿童保健工作，做好老年人健康体检及糖尿病筛查，做好本地区的健康档案管理工作等。按照盐边县委文件《盐边委发[2019]11号文》，乡镇区域调整的通知及盐边县卫生健康局第6次局委会议精神将盐边县益民乡卫生院及盐边县和爱彝族乡卫生院合并至盐边县红格中心卫生院。</w:t>
      </w:r>
      <w:r>
        <w:rPr>
          <w:rFonts w:hint="eastAsia" w:ascii="仿宋_GB2312" w:hAnsi="仿宋_GB2312" w:eastAsia="仿宋_GB2312" w:cs="仿宋_GB2312"/>
          <w:kern w:val="2"/>
          <w:sz w:val="32"/>
          <w:szCs w:val="32"/>
          <w:lang w:val="zh-CN" w:eastAsia="zh-CN" w:bidi="ar-SA"/>
        </w:rPr>
        <w:t>辖区内村卫生站由原来的</w:t>
      </w:r>
      <w:r>
        <w:rPr>
          <w:rFonts w:hint="eastAsia" w:ascii="仿宋_GB2312" w:hAnsi="仿宋_GB2312" w:eastAsia="仿宋_GB2312" w:cs="仿宋_GB2312"/>
          <w:kern w:val="2"/>
          <w:sz w:val="32"/>
          <w:szCs w:val="32"/>
          <w:lang w:val="en-US" w:eastAsia="zh-CN" w:bidi="ar-SA"/>
        </w:rPr>
        <w:t>4个增至16</w:t>
      </w:r>
      <w:r>
        <w:rPr>
          <w:rFonts w:hint="eastAsia" w:ascii="仿宋_GB2312" w:hAnsi="仿宋_GB2312" w:eastAsia="仿宋_GB2312" w:cs="仿宋_GB2312"/>
          <w:kern w:val="2"/>
          <w:sz w:val="32"/>
          <w:szCs w:val="32"/>
          <w:lang w:val="zh-CN" w:eastAsia="zh-CN" w:bidi="ar-SA"/>
        </w:rPr>
        <w:t>个，各村卫生站均配合医院完成辖区的基本公共卫生服务。</w:t>
      </w:r>
    </w:p>
    <w:p>
      <w:pPr>
        <w:pStyle w:val="27"/>
        <w:numPr>
          <w:ilvl w:val="0"/>
          <w:numId w:val="1"/>
        </w:numPr>
        <w:spacing w:line="600" w:lineRule="exact"/>
        <w:ind w:firstLine="640"/>
        <w:outlineLvl w:val="1"/>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机构设置</w:t>
      </w:r>
      <w:bookmarkEnd w:id="8"/>
      <w:bookmarkEnd w:id="9"/>
    </w:p>
    <w:p>
      <w:pPr>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zh-CN" w:eastAsia="zh-CN" w:bidi="ar-SA"/>
        </w:rPr>
        <w:t>单位内设基本公共卫生科、</w:t>
      </w:r>
      <w:r>
        <w:rPr>
          <w:rFonts w:hint="eastAsia" w:ascii="仿宋_GB2312" w:hAnsi="仿宋_GB2312" w:eastAsia="仿宋_GB2312" w:cs="仿宋_GB2312"/>
          <w:kern w:val="2"/>
          <w:sz w:val="32"/>
          <w:szCs w:val="32"/>
          <w:lang w:val="en-US" w:eastAsia="zh-CN" w:bidi="ar-SA"/>
        </w:rPr>
        <w:t>内儿科、外科</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药剂科</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中医科</w:t>
      </w:r>
      <w:r>
        <w:rPr>
          <w:rFonts w:hint="eastAsia" w:ascii="仿宋_GB2312" w:hAnsi="仿宋_GB2312" w:eastAsia="仿宋_GB2312" w:cs="仿宋_GB2312"/>
          <w:kern w:val="2"/>
          <w:sz w:val="32"/>
          <w:szCs w:val="32"/>
          <w:lang w:val="zh-CN" w:eastAsia="zh-CN" w:bidi="ar-SA"/>
        </w:rPr>
        <w:t>、检验科、</w:t>
      </w:r>
      <w:r>
        <w:rPr>
          <w:rFonts w:hint="eastAsia" w:ascii="仿宋_GB2312" w:hAnsi="仿宋_GB2312" w:eastAsia="仿宋_GB2312" w:cs="仿宋_GB2312"/>
          <w:kern w:val="2"/>
          <w:sz w:val="32"/>
          <w:szCs w:val="32"/>
          <w:lang w:val="en-US" w:eastAsia="zh-CN" w:bidi="ar-SA"/>
        </w:rPr>
        <w:t>特检科</w:t>
      </w:r>
      <w:r>
        <w:rPr>
          <w:rFonts w:hint="eastAsia" w:ascii="仿宋_GB2312" w:hAnsi="仿宋_GB2312" w:eastAsia="仿宋_GB2312" w:cs="仿宋_GB2312"/>
          <w:kern w:val="2"/>
          <w:sz w:val="32"/>
          <w:szCs w:val="32"/>
          <w:lang w:val="zh-CN" w:eastAsia="zh-CN" w:bidi="ar-SA"/>
        </w:rPr>
        <w:t>等业务科室</w:t>
      </w:r>
      <w:r>
        <w:rPr>
          <w:rFonts w:hint="eastAsia" w:ascii="仿宋_GB2312" w:hAnsi="仿宋_GB2312" w:eastAsia="仿宋_GB2312" w:cs="仿宋_GB2312"/>
          <w:kern w:val="2"/>
          <w:sz w:val="32"/>
          <w:szCs w:val="32"/>
          <w:lang w:val="en-US" w:eastAsia="zh-CN" w:bidi="ar-SA"/>
        </w:rPr>
        <w:t>7个</w:t>
      </w:r>
      <w:r>
        <w:rPr>
          <w:rFonts w:hint="eastAsia" w:ascii="仿宋_GB2312" w:hAnsi="仿宋_GB2312" w:eastAsia="仿宋_GB2312" w:cs="仿宋_GB2312"/>
          <w:kern w:val="2"/>
          <w:sz w:val="32"/>
          <w:szCs w:val="32"/>
          <w:lang w:val="zh-CN" w:eastAsia="zh-CN" w:bidi="ar-SA"/>
        </w:rPr>
        <w:t>。</w:t>
      </w:r>
    </w:p>
    <w:p>
      <w:pPr>
        <w:rPr>
          <w:rFonts w:hint="eastAsia" w:eastAsia="仿宋_GB2312" w:cs="仿宋_GB2312"/>
          <w:sz w:val="32"/>
          <w:szCs w:val="32"/>
          <w:lang w:val="en-US" w:eastAsia="zh-CN"/>
        </w:rPr>
      </w:pPr>
    </w:p>
    <w:p>
      <w:pPr>
        <w:pStyle w:val="13"/>
      </w:pPr>
    </w:p>
    <w:p>
      <w:pPr>
        <w:pStyle w:val="7"/>
        <w:ind w:left="420"/>
      </w:pPr>
    </w:p>
    <w:p>
      <w:pPr>
        <w:pStyle w:val="7"/>
        <w:ind w:left="420"/>
      </w:pPr>
    </w:p>
    <w:p>
      <w:pPr>
        <w:pStyle w:val="7"/>
        <w:ind w:left="420"/>
      </w:pPr>
    </w:p>
    <w:p>
      <w:pPr>
        <w:pStyle w:val="7"/>
        <w:ind w:left="420"/>
      </w:pPr>
    </w:p>
    <w:p>
      <w:pPr>
        <w:pStyle w:val="7"/>
        <w:ind w:left="420"/>
      </w:pPr>
    </w:p>
    <w:p>
      <w:pPr>
        <w:pStyle w:val="7"/>
        <w:ind w:left="0" w:leftChars="0" w:firstLine="0" w:firstLineChars="0"/>
      </w:pPr>
    </w:p>
    <w:p>
      <w:pPr>
        <w:pStyle w:val="3"/>
        <w:jc w:val="center"/>
        <w:rPr>
          <w:rFonts w:eastAsia="方正小标宋简体" w:cs="方正小标宋简体"/>
          <w:b w:val="0"/>
        </w:rPr>
      </w:pPr>
      <w:bookmarkStart w:id="10" w:name="_Toc15377204"/>
      <w:bookmarkStart w:id="11" w:name="_Toc15396602"/>
      <w:r>
        <w:rPr>
          <w:rFonts w:hint="eastAsia" w:eastAsia="方正小标宋简体" w:cs="方正小标宋简体"/>
          <w:b w:val="0"/>
        </w:rPr>
        <w:t>第二部分  2024年度部门决算情况说明</w:t>
      </w:r>
      <w:bookmarkEnd w:id="10"/>
      <w:bookmarkEnd w:id="11"/>
    </w:p>
    <w:p/>
    <w:p>
      <w:pPr>
        <w:pStyle w:val="27"/>
        <w:spacing w:line="600" w:lineRule="exact"/>
        <w:ind w:firstLine="640"/>
        <w:outlineLvl w:val="1"/>
        <w:rPr>
          <w:rStyle w:val="29"/>
          <w:rFonts w:hint="eastAsia" w:ascii="方正黑体_GBK" w:hAnsi="方正黑体_GBK" w:eastAsia="方正黑体_GBK" w:cs="方正黑体_GBK"/>
          <w:b w:val="0"/>
        </w:rPr>
      </w:pPr>
      <w:bookmarkStart w:id="12" w:name="_Toc15377205"/>
      <w:bookmarkStart w:id="13" w:name="_Toc15396603"/>
      <w:r>
        <w:rPr>
          <w:rFonts w:hint="eastAsia" w:ascii="方正黑体_GBK" w:hAnsi="方正黑体_GBK" w:eastAsia="方正黑体_GBK" w:cs="方正黑体_GBK"/>
          <w:sz w:val="32"/>
          <w:szCs w:val="32"/>
        </w:rPr>
        <w:t>一、收</w:t>
      </w:r>
      <w:r>
        <w:rPr>
          <w:rStyle w:val="29"/>
          <w:rFonts w:hint="eastAsia" w:ascii="方正黑体_GBK" w:hAnsi="方正黑体_GBK" w:eastAsia="方正黑体_GBK" w:cs="方正黑体_GBK"/>
          <w:b w:val="0"/>
        </w:rPr>
        <w:t>入支出决算总体情况说明</w:t>
      </w:r>
      <w:bookmarkEnd w:id="12"/>
      <w:bookmarkEnd w:id="13"/>
    </w:p>
    <w:p>
      <w:pPr>
        <w:pStyle w:val="27"/>
        <w:spacing w:line="600" w:lineRule="exact"/>
        <w:ind w:firstLine="640"/>
        <w:outlineLvl w:val="1"/>
        <w:rPr>
          <w:rFonts w:hint="eastAsia" w:ascii="方正仿宋_GBK" w:hAnsi="方正仿宋_GBK" w:eastAsia="方正仿宋_GBK" w:cs="方正仿宋_GBK"/>
          <w:sz w:val="32"/>
          <w:szCs w:val="32"/>
          <w:lang w:val="en-US" w:eastAsia="zh-CN"/>
        </w:rPr>
      </w:pPr>
      <w:r>
        <w:rPr>
          <w:rFonts w:hint="eastAsia" w:ascii="仿宋_GB2312" w:hAnsi="仿宋_GB2312" w:eastAsia="仿宋_GB2312" w:cs="仿宋_GB2312"/>
          <w:kern w:val="2"/>
          <w:sz w:val="32"/>
          <w:szCs w:val="32"/>
          <w:lang w:val="zh-CN" w:eastAsia="zh-CN" w:bidi="ar-SA"/>
        </w:rPr>
        <w:t>202</w:t>
      </w:r>
      <w:r>
        <w:rPr>
          <w:rFonts w:hint="eastAsia" w:ascii="仿宋_GB2312" w:hAnsi="仿宋_GB2312" w:eastAsia="仿宋_GB2312" w:cs="仿宋_GB2312"/>
          <w:kern w:val="2"/>
          <w:sz w:val="32"/>
          <w:szCs w:val="32"/>
          <w:lang w:val="zh-CN" w:eastAsia="zh-CN" w:bidi="ar-SA"/>
        </w:rPr>
        <w:t>4年度收入、支出总计均为</w:t>
      </w:r>
      <w:r>
        <w:rPr>
          <w:rFonts w:hint="eastAsia" w:ascii="仿宋_GB2312" w:hAnsi="仿宋_GB2312" w:eastAsia="仿宋_GB2312" w:cs="仿宋_GB2312"/>
          <w:kern w:val="2"/>
          <w:sz w:val="32"/>
          <w:szCs w:val="32"/>
          <w:lang w:val="en-US" w:eastAsia="zh-CN" w:bidi="ar-SA"/>
        </w:rPr>
        <w:t>1016.40</w:t>
      </w:r>
      <w:r>
        <w:rPr>
          <w:rFonts w:hint="eastAsia" w:ascii="仿宋_GB2312" w:hAnsi="仿宋_GB2312" w:eastAsia="仿宋_GB2312" w:cs="仿宋_GB2312"/>
          <w:kern w:val="2"/>
          <w:sz w:val="32"/>
          <w:szCs w:val="32"/>
          <w:lang w:val="zh-CN" w:eastAsia="zh-CN" w:bidi="ar-SA"/>
        </w:rPr>
        <w:t>万元。与2023年度相比，收入、支出总计各增加</w:t>
      </w:r>
      <w:r>
        <w:rPr>
          <w:rFonts w:hint="eastAsia" w:ascii="仿宋_GB2312" w:hAnsi="仿宋_GB2312" w:eastAsia="仿宋_GB2312" w:cs="仿宋_GB2312"/>
          <w:kern w:val="2"/>
          <w:sz w:val="32"/>
          <w:szCs w:val="32"/>
          <w:lang w:val="en-US" w:eastAsia="zh-CN" w:bidi="ar-SA"/>
        </w:rPr>
        <w:t>107.53</w:t>
      </w:r>
      <w:r>
        <w:rPr>
          <w:rFonts w:hint="eastAsia" w:ascii="仿宋_GB2312" w:hAnsi="仿宋_GB2312" w:eastAsia="仿宋_GB2312" w:cs="仿宋_GB2312"/>
          <w:kern w:val="2"/>
          <w:sz w:val="32"/>
          <w:szCs w:val="32"/>
          <w:lang w:val="zh-CN" w:eastAsia="zh-CN" w:bidi="ar-SA"/>
        </w:rPr>
        <w:t>万元，增长</w:t>
      </w:r>
      <w:r>
        <w:rPr>
          <w:rFonts w:hint="eastAsia" w:ascii="仿宋_GB2312" w:hAnsi="仿宋_GB2312" w:eastAsia="仿宋_GB2312" w:cs="仿宋_GB2312"/>
          <w:kern w:val="2"/>
          <w:sz w:val="32"/>
          <w:szCs w:val="32"/>
          <w:lang w:val="en-US" w:eastAsia="zh-CN" w:bidi="ar-SA"/>
        </w:rPr>
        <w:t>11.83</w:t>
      </w:r>
      <w:r>
        <w:rPr>
          <w:rFonts w:hint="eastAsia" w:ascii="仿宋_GB2312" w:hAnsi="仿宋_GB2312" w:eastAsia="仿宋_GB2312" w:cs="仿宋_GB2312"/>
          <w:kern w:val="2"/>
          <w:sz w:val="32"/>
          <w:szCs w:val="32"/>
          <w:lang w:val="zh-CN" w:eastAsia="zh-CN" w:bidi="ar-SA"/>
        </w:rPr>
        <w:t>%。主要变动原因是</w:t>
      </w:r>
      <w:r>
        <w:rPr>
          <w:rFonts w:hint="eastAsia" w:ascii="仿宋_GB2312" w:hAnsi="仿宋_GB2312" w:eastAsia="仿宋_GB2312" w:cs="仿宋_GB2312"/>
          <w:kern w:val="2"/>
          <w:sz w:val="32"/>
          <w:szCs w:val="32"/>
          <w:lang w:val="en-US" w:eastAsia="zh-CN" w:bidi="ar-SA"/>
        </w:rPr>
        <w:t>2024年增加</w:t>
      </w:r>
      <w:r>
        <w:rPr>
          <w:rFonts w:hint="eastAsia" w:ascii="仿宋_GB2312" w:hAnsi="仿宋_GB2312" w:eastAsia="仿宋_GB2312" w:cs="仿宋_GB2312"/>
          <w:kern w:val="2"/>
          <w:sz w:val="32"/>
          <w:szCs w:val="32"/>
          <w:lang w:val="zh-CN" w:eastAsia="zh-CN" w:bidi="ar-SA"/>
        </w:rPr>
        <w:t>医养结合能力提升项目资金98.7万元</w:t>
      </w:r>
      <w:r>
        <w:rPr>
          <w:rFonts w:hint="eastAsia" w:ascii="仿宋_GB2312" w:hAnsi="仿宋_GB2312" w:eastAsia="仿宋_GB2312" w:cs="仿宋_GB2312"/>
          <w:kern w:val="2"/>
          <w:sz w:val="32"/>
          <w:szCs w:val="32"/>
          <w:lang w:val="en-US" w:eastAsia="zh-CN" w:bidi="ar-SA"/>
        </w:rPr>
        <w:t>以及在编职工正常增资。</w:t>
      </w:r>
    </w:p>
    <w:p>
      <w:pPr>
        <w:pStyle w:val="27"/>
        <w:spacing w:line="600" w:lineRule="exact"/>
        <w:ind w:firstLine="640"/>
        <w:jc w:val="right"/>
        <w:outlineLvl w:val="1"/>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单位：万元</w:t>
      </w:r>
    </w:p>
    <w:p>
      <w:pPr>
        <w:pStyle w:val="27"/>
        <w:spacing w:line="600" w:lineRule="exact"/>
        <w:ind w:left="0" w:leftChars="0" w:firstLine="0" w:firstLineChars="0"/>
        <w:jc w:val="center"/>
        <w:outlineLvl w:val="1"/>
        <w:rPr>
          <w:rFonts w:eastAsia="仿宋_GB2312" w:cs="仿宋_GB2312"/>
          <w:sz w:val="32"/>
          <w:szCs w:val="32"/>
        </w:rPr>
      </w:pPr>
      <w:r>
        <w:rPr>
          <w:rFonts w:hint="default" w:ascii="仿宋_GB2312" w:hAnsi="Times New Roman" w:eastAsia="仿宋_GB2312" w:cs="Times New Roman"/>
          <w:kern w:val="0"/>
          <w:sz w:val="30"/>
          <w:szCs w:val="24"/>
          <w:lang w:val="en-US" w:eastAsia="zh-CN" w:bidi="ar-SA"/>
        </w:rPr>
        <w:pict>
          <v:shape id="_x0000_s1026" o:spid="_x0000_s1026" o:spt="75" type="#_x0000_t75" style="position:absolute;left:0pt;margin-left:6.75pt;margin-top:0.35pt;height:262.45pt;width:405.4pt;mso-wrap-distance-bottom:0pt;mso-wrap-distance-left:9pt;mso-wrap-distance-right:9pt;mso-wrap-distance-top:0pt;z-index:251658240;mso-width-relative:page;mso-height-relative:page;" o:ole="t" filled="f" o:preferrelative="t" stroked="f" coordsize="21600,21600">
            <v:path/>
            <v:fill on="f" focussize="0,0"/>
            <v:stroke on="f"/>
            <v:imagedata r:id="rId13" o:title=""/>
            <o:lock v:ext="edit" aspectratio="t"/>
            <w10:wrap type="square"/>
          </v:shape>
          <o:OLEObject Type="Embed" ProgID="Excel.Chart.8" ShapeID="_x0000_s1026" DrawAspect="Content" ObjectID="_1468075725" r:id="rId12">
            <o:LockedField>false</o:LockedField>
          </o:OLEObject>
        </w:pict>
      </w:r>
      <w:r>
        <w:rPr>
          <w:rFonts w:hint="eastAsia" w:eastAsia="仿宋_GB2312" w:cs="仿宋_GB2312"/>
          <w:sz w:val="32"/>
          <w:szCs w:val="32"/>
        </w:rPr>
        <w:t>（图1：收入、支出决算总计变动情况图）</w:t>
      </w:r>
    </w:p>
    <w:p>
      <w:pPr>
        <w:ind w:firstLine="640" w:firstLineChars="200"/>
        <w:rPr>
          <w:rFonts w:eastAsia="仿宋_GB2312" w:cs="仿宋_GB2312"/>
          <w:sz w:val="32"/>
          <w:szCs w:val="32"/>
        </w:rPr>
      </w:pPr>
    </w:p>
    <w:p>
      <w:pPr>
        <w:pStyle w:val="27"/>
        <w:spacing w:line="600" w:lineRule="exact"/>
        <w:ind w:firstLine="640"/>
        <w:outlineLvl w:val="1"/>
        <w:rPr>
          <w:rFonts w:hint="eastAsia" w:ascii="方正黑体_GBK" w:hAnsi="方正黑体_GBK" w:eastAsia="方正黑体_GBK" w:cs="方正黑体_GBK"/>
          <w:sz w:val="32"/>
          <w:szCs w:val="32"/>
        </w:rPr>
      </w:pPr>
      <w:bookmarkStart w:id="14" w:name="_Toc15396604"/>
      <w:bookmarkStart w:id="15" w:name="_Toc15377206"/>
      <w:r>
        <w:rPr>
          <w:rFonts w:hint="eastAsia" w:ascii="方正黑体_GBK" w:hAnsi="方正黑体_GBK" w:eastAsia="方正黑体_GBK" w:cs="方正黑体_GBK"/>
          <w:sz w:val="32"/>
          <w:szCs w:val="32"/>
        </w:rPr>
        <w:t>二、收入决算情况说明</w:t>
      </w:r>
      <w:bookmarkEnd w:id="14"/>
      <w:bookmarkEnd w:id="15"/>
    </w:p>
    <w:p>
      <w:pPr>
        <w:pStyle w:val="27"/>
        <w:spacing w:line="600" w:lineRule="exact"/>
        <w:ind w:firstLine="640"/>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度本年收入合计987.36万元，其中：一般公共预算财政拨款收入966.94万元，占97.93%；政府性基金预算财政拨款收入0万元，占0%；国有资本经营预算财政拨款收入0万元，占0%；上级补助收入0万元，占0%；事业收入18.18万元，占1.84%；经营收入0万元，占0%；附属单位上缴收入0万元，占0%；其他收入2.24万元，占0.23%。</w:t>
      </w:r>
    </w:p>
    <w:p>
      <w:pPr>
        <w:pStyle w:val="27"/>
        <w:spacing w:line="600" w:lineRule="exact"/>
        <w:ind w:firstLine="640"/>
        <w:jc w:val="right"/>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24"/>
          <w:szCs w:val="24"/>
          <w:lang w:val="en-US" w:eastAsia="zh-CN"/>
        </w:rPr>
        <w:t>单位：万元</w:t>
      </w:r>
    </w:p>
    <w:p>
      <w:pPr>
        <w:jc w:val="center"/>
        <w:rPr>
          <w:rFonts w:hint="eastAsia" w:ascii="方正仿宋_GBK" w:hAnsi="方正仿宋_GBK" w:eastAsia="方正仿宋_GBK" w:cs="方正仿宋_GBK"/>
          <w:sz w:val="32"/>
          <w:szCs w:val="32"/>
        </w:rPr>
      </w:pPr>
      <w:r>
        <w:rPr>
          <w:rFonts w:hint="eastAsia" w:ascii="仿宋" w:hAnsi="仿宋" w:eastAsia="仿宋" w:cs="Times New Roman"/>
          <w:kern w:val="0"/>
          <w:sz w:val="32"/>
          <w:szCs w:val="32"/>
          <w:lang w:val="en-US" w:eastAsia="zh-CN" w:bidi="ar-SA"/>
        </w:rPr>
        <w:pict>
          <v:shape id="_x0000_s1029" o:spid="_x0000_s1029" o:spt="75" type="#_x0000_t75" style="position:absolute;left:0pt;margin-left:-1.25pt;margin-top:2.7pt;height:250.85pt;width:424.35pt;mso-wrap-distance-bottom:0pt;mso-wrap-distance-left:9pt;mso-wrap-distance-right:9pt;mso-wrap-distance-top:0pt;z-index:251660288;mso-width-relative:page;mso-height-relative:page;" o:ole="t" filled="f" o:preferrelative="t" stroked="f" coordsize="21600,21600">
            <v:path/>
            <v:fill on="f" focussize="0,0"/>
            <v:stroke on="f"/>
            <v:imagedata r:id="rId15" o:title=""/>
            <o:lock v:ext="edit" aspectratio="t"/>
            <w10:wrap type="square"/>
          </v:shape>
          <o:OLEObject Type="Embed" ProgID="Excel.Chart.8" ShapeID="_x0000_s1029" DrawAspect="Content" ObjectID="_1468075726" r:id="rId14">
            <o:LockedField>false</o:LockedField>
          </o:OLEObject>
        </w:pict>
      </w:r>
      <w:r>
        <w:rPr>
          <w:rFonts w:hint="eastAsia" w:ascii="方正仿宋_GBK" w:hAnsi="方正仿宋_GBK" w:eastAsia="方正仿宋_GBK" w:cs="方正仿宋_GBK"/>
          <w:sz w:val="32"/>
          <w:szCs w:val="32"/>
        </w:rPr>
        <w:t>（图2：收入决算结构图）</w:t>
      </w:r>
    </w:p>
    <w:p>
      <w:pPr>
        <w:ind w:firstLine="800" w:firstLineChars="250"/>
        <w:rPr>
          <w:rFonts w:eastAsia="仿宋_GB2312" w:cs="仿宋_GB2312"/>
          <w:sz w:val="32"/>
          <w:szCs w:val="32"/>
        </w:rPr>
      </w:pPr>
    </w:p>
    <w:p>
      <w:pPr>
        <w:pStyle w:val="27"/>
        <w:spacing w:line="600" w:lineRule="exact"/>
        <w:ind w:firstLine="640"/>
        <w:outlineLvl w:val="1"/>
        <w:rPr>
          <w:rStyle w:val="29"/>
          <w:rFonts w:ascii="Times New Roman" w:hAnsi="Times New Roman" w:eastAsia="黑体"/>
          <w:b w:val="0"/>
        </w:rPr>
      </w:pPr>
      <w:bookmarkStart w:id="16" w:name="_Toc15377207"/>
      <w:bookmarkStart w:id="17" w:name="_Toc15396605"/>
      <w:r>
        <w:rPr>
          <w:rFonts w:hint="eastAsia" w:eastAsia="黑体"/>
          <w:sz w:val="32"/>
          <w:szCs w:val="32"/>
        </w:rPr>
        <w:t>三、支</w:t>
      </w:r>
      <w:r>
        <w:rPr>
          <w:rStyle w:val="29"/>
          <w:rFonts w:hint="eastAsia" w:ascii="Times New Roman" w:hAnsi="Times New Roman" w:eastAsia="黑体"/>
          <w:b w:val="0"/>
        </w:rPr>
        <w:t>出决算情况说明</w:t>
      </w:r>
      <w:bookmarkEnd w:id="16"/>
      <w:bookmarkEnd w:id="17"/>
    </w:p>
    <w:p>
      <w:pPr>
        <w:pStyle w:val="27"/>
        <w:spacing w:line="600" w:lineRule="exact"/>
        <w:ind w:firstLine="64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2024年度本年支出合计</w:t>
      </w:r>
      <w:r>
        <w:rPr>
          <w:rFonts w:hint="eastAsia" w:ascii="仿宋_GB2312" w:hAnsi="仿宋_GB2312" w:eastAsia="仿宋_GB2312" w:cs="仿宋_GB2312"/>
          <w:sz w:val="32"/>
          <w:szCs w:val="32"/>
          <w:lang w:val="en-US" w:eastAsia="zh-CN"/>
        </w:rPr>
        <w:t>1016.40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602.04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59.23</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414.36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40.77</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27"/>
        <w:spacing w:line="600" w:lineRule="exact"/>
        <w:ind w:firstLine="640"/>
        <w:jc w:val="left"/>
        <w:outlineLvl w:val="1"/>
        <w:rPr>
          <w:rFonts w:hint="eastAsia" w:ascii="仿宋_GB2312" w:hAnsi="仿宋_GB2312" w:eastAsia="仿宋_GB2312" w:cs="仿宋_GB2312"/>
          <w:sz w:val="32"/>
          <w:szCs w:val="32"/>
        </w:rPr>
      </w:pPr>
    </w:p>
    <w:p>
      <w:pPr>
        <w:pStyle w:val="27"/>
        <w:spacing w:line="600" w:lineRule="exact"/>
        <w:ind w:firstLine="640"/>
        <w:jc w:val="left"/>
        <w:outlineLvl w:val="1"/>
        <w:rPr>
          <w:rFonts w:hint="eastAsia" w:ascii="仿宋_GB2312" w:hAnsi="仿宋_GB2312" w:eastAsia="仿宋_GB2312" w:cs="仿宋_GB2312"/>
          <w:sz w:val="32"/>
          <w:szCs w:val="32"/>
        </w:rPr>
      </w:pPr>
    </w:p>
    <w:p>
      <w:pPr>
        <w:pStyle w:val="27"/>
        <w:spacing w:line="600" w:lineRule="exact"/>
        <w:ind w:left="0" w:leftChars="0" w:firstLine="0" w:firstLineChars="0"/>
        <w:jc w:val="center"/>
        <w:outlineLvl w:val="1"/>
        <w:rPr>
          <w:rFonts w:hint="eastAsia" w:eastAsia="仿宋_GB2312" w:cs="仿宋_GB2312"/>
          <w:sz w:val="32"/>
          <w:szCs w:val="32"/>
        </w:rPr>
      </w:pPr>
      <w:r>
        <w:rPr>
          <w:rFonts w:hint="eastAsia" w:ascii="仿宋_GB2312" w:hAnsi="仿宋_GB2312" w:eastAsia="仿宋_GB2312" w:cs="仿宋_GB2312"/>
          <w:sz w:val="24"/>
          <w:szCs w:val="24"/>
          <w:lang w:val="en-US" w:eastAsia="zh-CN"/>
        </w:rPr>
        <w:t xml:space="preserve">                                                    单位：万元</w:t>
      </w:r>
    </w:p>
    <w:p>
      <w:pPr>
        <w:ind w:firstLine="0" w:firstLineChars="0"/>
        <w:jc w:val="center"/>
        <w:rPr>
          <w:rFonts w:hint="eastAsia" w:ascii="仿宋" w:hAnsi="仿宋" w:eastAsia="仿宋" w:cs="Times New Roman"/>
          <w:kern w:val="0"/>
          <w:sz w:val="32"/>
          <w:szCs w:val="32"/>
          <w:shd w:val="pct10" w:color="auto" w:fill="FFFFFF"/>
          <w:lang w:val="en-US" w:eastAsia="zh-CN" w:bidi="ar-SA"/>
        </w:rPr>
      </w:pPr>
      <w:r>
        <w:rPr>
          <w:rFonts w:hint="eastAsia" w:ascii="仿宋" w:hAnsi="仿宋" w:eastAsia="仿宋" w:cs="Times New Roman"/>
          <w:kern w:val="0"/>
          <w:sz w:val="32"/>
          <w:szCs w:val="32"/>
          <w:shd w:val="pct10" w:color="auto" w:fill="FFFFFF"/>
          <w:lang w:val="en-US" w:eastAsia="zh-CN" w:bidi="ar-SA"/>
        </w:rPr>
        <w:object>
          <v:shape id="_x0000_i1025" o:spt="75" type="#_x0000_t75" style="height:228pt;width:388.05pt;" o:ole="t" filled="f" o:preferrelative="t" stroked="f" coordsize="21600,21600">
            <v:path/>
            <v:fill on="f" focussize="0,0"/>
            <v:stroke on="f"/>
            <v:imagedata r:id="rId17" o:title=""/>
            <o:lock v:ext="edit" aspectratio="t"/>
            <w10:wrap type="none"/>
            <w10:anchorlock/>
          </v:shape>
          <o:OLEObject Type="Embed" ProgID="Excel.Chart.8" ShapeID="_x0000_i1025" DrawAspect="Content" ObjectID="_1468075727" r:id="rId16">
            <o:LockedField>false</o:LockedField>
          </o:OLEObject>
        </w:object>
      </w:r>
    </w:p>
    <w:p>
      <w:pPr>
        <w:ind w:firstLine="0" w:firstLineChars="0"/>
        <w:jc w:val="center"/>
        <w:rPr>
          <w:rFonts w:eastAsia="仿宋_GB2312" w:cs="仿宋_GB2312"/>
          <w:sz w:val="32"/>
          <w:szCs w:val="32"/>
        </w:rPr>
      </w:pPr>
      <w:r>
        <w:rPr>
          <w:rFonts w:hint="eastAsia" w:eastAsia="仿宋_GB2312" w:cs="仿宋_GB2312"/>
          <w:sz w:val="32"/>
          <w:szCs w:val="32"/>
        </w:rPr>
        <w:t>（图3：支出决算结构图）</w:t>
      </w:r>
    </w:p>
    <w:p>
      <w:pPr>
        <w:ind w:firstLine="800" w:firstLineChars="250"/>
        <w:rPr>
          <w:rFonts w:eastAsia="仿宋_GB2312" w:cs="仿宋_GB2312"/>
          <w:sz w:val="32"/>
          <w:szCs w:val="32"/>
        </w:rPr>
      </w:pPr>
    </w:p>
    <w:p>
      <w:pPr>
        <w:spacing w:line="600" w:lineRule="exact"/>
        <w:ind w:firstLine="640" w:firstLineChars="200"/>
        <w:outlineLvl w:val="1"/>
        <w:rPr>
          <w:rStyle w:val="29"/>
          <w:rFonts w:ascii="Times New Roman" w:hAnsi="Times New Roman" w:eastAsia="黑体"/>
          <w:b w:val="0"/>
        </w:rPr>
      </w:pPr>
      <w:bookmarkStart w:id="18" w:name="_Toc15377208"/>
      <w:bookmarkStart w:id="19" w:name="_Toc15396606"/>
      <w:r>
        <w:rPr>
          <w:rFonts w:hint="eastAsia" w:eastAsia="黑体"/>
          <w:sz w:val="32"/>
          <w:szCs w:val="32"/>
        </w:rPr>
        <w:t>四、财</w:t>
      </w:r>
      <w:r>
        <w:rPr>
          <w:rStyle w:val="29"/>
          <w:rFonts w:hint="eastAsia" w:ascii="Times New Roman" w:hAnsi="Times New Roman" w:eastAsia="黑体"/>
          <w:b w:val="0"/>
        </w:rPr>
        <w:t>政拨款收入支出决算总体情况说明</w:t>
      </w:r>
      <w:bookmarkEnd w:id="18"/>
      <w:bookmarkEnd w:id="19"/>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rPr>
        <w:t>2024年度财政拨款收入、支出总计均为</w:t>
      </w:r>
      <w:r>
        <w:rPr>
          <w:rFonts w:hint="eastAsia" w:eastAsia="仿宋_GB2312" w:cs="仿宋_GB2312"/>
          <w:sz w:val="32"/>
          <w:szCs w:val="32"/>
          <w:lang w:val="en-US" w:eastAsia="zh-CN"/>
        </w:rPr>
        <w:t>966.94</w:t>
      </w:r>
      <w:r>
        <w:rPr>
          <w:rFonts w:hint="eastAsia" w:eastAsia="仿宋_GB2312" w:cs="仿宋_GB2312"/>
          <w:sz w:val="32"/>
          <w:szCs w:val="32"/>
        </w:rPr>
        <w:t>万元。与2023年度相比，财政拨款收入总计、支出总计各增加</w:t>
      </w:r>
      <w:r>
        <w:rPr>
          <w:rFonts w:hint="eastAsia" w:eastAsia="仿宋_GB2312" w:cs="仿宋_GB2312"/>
          <w:sz w:val="32"/>
          <w:szCs w:val="32"/>
          <w:lang w:val="en-US" w:eastAsia="zh-CN"/>
        </w:rPr>
        <w:t>85.06</w:t>
      </w:r>
      <w:r>
        <w:rPr>
          <w:rFonts w:hint="eastAsia" w:eastAsia="仿宋_GB2312" w:cs="仿宋_GB2312"/>
          <w:sz w:val="32"/>
          <w:szCs w:val="32"/>
        </w:rPr>
        <w:t>万元，增长</w:t>
      </w:r>
      <w:r>
        <w:rPr>
          <w:rFonts w:hint="eastAsia" w:eastAsia="仿宋_GB2312" w:cs="仿宋_GB2312"/>
          <w:sz w:val="32"/>
          <w:szCs w:val="32"/>
          <w:lang w:val="en-US" w:eastAsia="zh-CN"/>
        </w:rPr>
        <w:t>9.65</w:t>
      </w:r>
      <w:r>
        <w:rPr>
          <w:rFonts w:hint="eastAsia" w:eastAsia="仿宋_GB2312" w:cs="仿宋_GB2312"/>
          <w:sz w:val="32"/>
          <w:szCs w:val="32"/>
        </w:rPr>
        <w:t>%。主要变动原因是</w:t>
      </w:r>
      <w:r>
        <w:rPr>
          <w:rFonts w:hint="eastAsia" w:eastAsia="仿宋_GB2312" w:cs="仿宋_GB2312"/>
          <w:sz w:val="32"/>
          <w:szCs w:val="32"/>
          <w:lang w:val="en-US" w:eastAsia="zh-CN"/>
        </w:rPr>
        <w:t>2024年度增加</w:t>
      </w:r>
      <w:r>
        <w:rPr>
          <w:rFonts w:hint="eastAsia" w:eastAsia="仿宋_GB2312" w:cs="仿宋_GB2312"/>
          <w:sz w:val="32"/>
          <w:szCs w:val="32"/>
        </w:rPr>
        <w:t>医养结合能力提升</w:t>
      </w:r>
      <w:r>
        <w:rPr>
          <w:rFonts w:hint="eastAsia" w:eastAsia="仿宋_GB2312" w:cs="仿宋_GB2312"/>
          <w:sz w:val="32"/>
          <w:szCs w:val="32"/>
          <w:lang w:val="en-US" w:eastAsia="zh-CN"/>
        </w:rPr>
        <w:t>财政</w:t>
      </w:r>
      <w:r>
        <w:rPr>
          <w:rFonts w:hint="eastAsia" w:eastAsia="仿宋_GB2312" w:cs="仿宋_GB2312"/>
          <w:sz w:val="32"/>
          <w:szCs w:val="32"/>
        </w:rPr>
        <w:t>项目资金</w:t>
      </w:r>
      <w:r>
        <w:rPr>
          <w:rFonts w:hint="eastAsia" w:eastAsia="仿宋_GB2312" w:cs="仿宋_GB2312"/>
          <w:sz w:val="32"/>
          <w:szCs w:val="32"/>
          <w:lang w:val="en-US" w:eastAsia="zh-CN"/>
        </w:rPr>
        <w:t>98.70万元。</w:t>
      </w:r>
    </w:p>
    <w:p>
      <w:pPr>
        <w:pStyle w:val="2"/>
        <w:jc w:val="right"/>
        <w:rPr>
          <w:rFonts w:hint="eastAsia"/>
          <w:sz w:val="24"/>
          <w:szCs w:val="24"/>
          <w:lang w:val="en-US" w:eastAsia="zh-CN"/>
        </w:rPr>
      </w:pPr>
      <w:r>
        <w:rPr>
          <w:rFonts w:hint="eastAsia" w:cs="仿宋_GB2312"/>
          <w:sz w:val="24"/>
          <w:szCs w:val="24"/>
          <w:lang w:val="en-US" w:eastAsia="zh-CN"/>
        </w:rPr>
        <w:t>单位：万元</w:t>
      </w:r>
    </w:p>
    <w:p>
      <w:pPr>
        <w:pStyle w:val="2"/>
        <w:rPr>
          <w:rFonts w:hint="eastAsia" w:eastAsia="仿宋_GB2312" w:cs="仿宋_GB2312"/>
          <w:sz w:val="32"/>
          <w:szCs w:val="32"/>
          <w:lang w:val="en-US" w:eastAsia="zh-CN"/>
        </w:rPr>
      </w:pPr>
      <w:r>
        <w:rPr>
          <w:rFonts w:hint="eastAsia" w:ascii="仿宋" w:hAnsi="仿宋" w:eastAsia="仿宋" w:cs="Times New Roman"/>
          <w:kern w:val="0"/>
          <w:sz w:val="32"/>
          <w:szCs w:val="32"/>
          <w:lang w:val="en-US" w:eastAsia="zh-CN" w:bidi="ar-SA"/>
        </w:rPr>
        <w:object>
          <v:shape id="_x0000_i1026" o:spt="75" type="#_x0000_t75" style="height:154pt;width:405.7pt;" o:ole="t" filled="f" o:preferrelative="t" stroked="f" coordsize="21600,21600">
            <v:path/>
            <v:fill on="f" focussize="0,0"/>
            <v:stroke on="f"/>
            <v:imagedata r:id="rId19" o:title=""/>
            <o:lock v:ext="edit" aspectratio="t"/>
            <w10:wrap type="none"/>
            <w10:anchorlock/>
          </v:shape>
          <o:OLEObject Type="Embed" ProgID="Excel.Chart.8" ShapeID="_x0000_i1026" DrawAspect="Content" ObjectID="_1468075728" r:id="rId18">
            <o:LockedField>false</o:LockedField>
          </o:OLEObject>
        </w:object>
      </w:r>
    </w:p>
    <w:p>
      <w:pPr>
        <w:spacing w:line="600" w:lineRule="exact"/>
        <w:jc w:val="center"/>
        <w:rPr>
          <w:rFonts w:eastAsia="仿宋_GB2312" w:cs="仿宋_GB2312"/>
          <w:sz w:val="32"/>
          <w:szCs w:val="32"/>
        </w:rPr>
      </w:pPr>
      <w:r>
        <w:rPr>
          <w:rFonts w:hint="eastAsia" w:eastAsia="仿宋_GB2312" w:cs="仿宋_GB2312"/>
          <w:sz w:val="32"/>
          <w:szCs w:val="32"/>
        </w:rPr>
        <w:t>（图4：财政拨款收、支决算总计变动情况）</w:t>
      </w:r>
    </w:p>
    <w:p>
      <w:pPr>
        <w:spacing w:line="600" w:lineRule="exact"/>
        <w:ind w:firstLine="640" w:firstLineChars="200"/>
        <w:outlineLvl w:val="1"/>
        <w:rPr>
          <w:rStyle w:val="29"/>
          <w:rFonts w:ascii="Times New Roman" w:hAnsi="Times New Roman" w:eastAsia="黑体"/>
          <w:b w:val="0"/>
        </w:rPr>
      </w:pPr>
      <w:bookmarkStart w:id="20" w:name="_Toc15396607"/>
      <w:bookmarkStart w:id="21" w:name="_Toc15377209"/>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0"/>
      <w:bookmarkEnd w:id="21"/>
    </w:p>
    <w:p>
      <w:pPr>
        <w:spacing w:line="600" w:lineRule="exact"/>
        <w:ind w:firstLine="643" w:firstLineChars="200"/>
        <w:outlineLvl w:val="2"/>
        <w:rPr>
          <w:rFonts w:eastAsia="楷体_GB2312" w:cs="楷体_GB2312"/>
          <w:b/>
          <w:sz w:val="32"/>
          <w:szCs w:val="32"/>
        </w:rPr>
      </w:pPr>
      <w:bookmarkStart w:id="22" w:name="_Toc15377210"/>
      <w:r>
        <w:rPr>
          <w:rFonts w:hint="eastAsia" w:eastAsia="楷体_GB2312" w:cs="楷体_GB2312"/>
          <w:b/>
          <w:sz w:val="32"/>
          <w:szCs w:val="32"/>
        </w:rPr>
        <w:t>（一）一般公共预算财政拨款支出决算总体情况</w:t>
      </w:r>
      <w:bookmarkEnd w:id="22"/>
    </w:p>
    <w:p>
      <w:pPr>
        <w:spacing w:line="600" w:lineRule="exact"/>
        <w:ind w:firstLine="640"/>
        <w:rPr>
          <w:rFonts w:hint="eastAsia" w:eastAsia="仿宋_GB2312" w:cs="仿宋_GB2312"/>
          <w:sz w:val="32"/>
          <w:szCs w:val="32"/>
          <w:lang w:val="en-US" w:eastAsia="zh-CN"/>
        </w:rPr>
      </w:pPr>
      <w:r>
        <w:rPr>
          <w:rFonts w:hint="eastAsia" w:ascii="仿宋_GB2312" w:hAnsi="仿宋_GB2312"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966.94</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95.13</w:t>
      </w:r>
      <w:r>
        <w:rPr>
          <w:rFonts w:hint="eastAsia" w:ascii="仿宋_GB2312" w:hAnsi="仿宋_GB2312" w:eastAsia="仿宋_GB2312" w:cs="仿宋_GB2312"/>
          <w:sz w:val="32"/>
          <w:szCs w:val="32"/>
        </w:rPr>
        <w:t>%。与2023年度相比，一般公共预算财政拨款支出增加</w:t>
      </w:r>
      <w:r>
        <w:rPr>
          <w:rFonts w:hint="eastAsia" w:ascii="仿宋_GB2312" w:hAnsi="仿宋_GB2312" w:eastAsia="仿宋_GB2312" w:cs="仿宋_GB2312"/>
          <w:sz w:val="32"/>
          <w:szCs w:val="32"/>
          <w:lang w:val="en-US" w:eastAsia="zh-CN"/>
        </w:rPr>
        <w:t>85.06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9.65</w:t>
      </w:r>
      <w:r>
        <w:rPr>
          <w:rFonts w:hint="eastAsia" w:ascii="仿宋_GB2312" w:hAnsi="仿宋_GB2312" w:eastAsia="仿宋_GB2312" w:cs="仿宋_GB2312"/>
          <w:sz w:val="32"/>
          <w:szCs w:val="32"/>
        </w:rPr>
        <w:t>%。主要变动原因是</w:t>
      </w:r>
      <w:r>
        <w:rPr>
          <w:rFonts w:hint="eastAsia" w:eastAsia="仿宋_GB2312" w:cs="仿宋_GB2312"/>
          <w:sz w:val="32"/>
          <w:szCs w:val="32"/>
          <w:lang w:val="en-US" w:eastAsia="zh-CN"/>
        </w:rPr>
        <w:t>2024年度增加</w:t>
      </w:r>
      <w:r>
        <w:rPr>
          <w:rFonts w:hint="eastAsia" w:eastAsia="仿宋_GB2312" w:cs="仿宋_GB2312"/>
          <w:sz w:val="32"/>
          <w:szCs w:val="32"/>
        </w:rPr>
        <w:t>医养结合能力提升</w:t>
      </w:r>
      <w:r>
        <w:rPr>
          <w:rFonts w:hint="eastAsia" w:eastAsia="仿宋_GB2312" w:cs="仿宋_GB2312"/>
          <w:sz w:val="32"/>
          <w:szCs w:val="32"/>
          <w:lang w:val="en-US" w:eastAsia="zh-CN"/>
        </w:rPr>
        <w:t>财政</w:t>
      </w:r>
      <w:r>
        <w:rPr>
          <w:rFonts w:hint="eastAsia" w:eastAsia="仿宋_GB2312" w:cs="仿宋_GB2312"/>
          <w:sz w:val="32"/>
          <w:szCs w:val="32"/>
        </w:rPr>
        <w:t>项目资金</w:t>
      </w:r>
      <w:r>
        <w:rPr>
          <w:rFonts w:hint="eastAsia" w:eastAsia="仿宋_GB2312" w:cs="仿宋_GB2312"/>
          <w:sz w:val="32"/>
          <w:szCs w:val="32"/>
          <w:lang w:val="en-US" w:eastAsia="zh-CN"/>
        </w:rPr>
        <w:t>98.70万元。</w:t>
      </w:r>
    </w:p>
    <w:p>
      <w:pPr>
        <w:pStyle w:val="2"/>
        <w:jc w:val="right"/>
        <w:rPr>
          <w:rFonts w:hint="eastAsia"/>
          <w:sz w:val="24"/>
          <w:szCs w:val="24"/>
          <w:lang w:val="en-US" w:eastAsia="zh-CN"/>
        </w:rPr>
      </w:pPr>
      <w:r>
        <w:rPr>
          <w:rFonts w:hint="eastAsia" w:cs="仿宋_GB2312"/>
          <w:sz w:val="24"/>
          <w:szCs w:val="24"/>
          <w:lang w:val="en-US" w:eastAsia="zh-CN"/>
        </w:rPr>
        <w:t>单位：万元</w:t>
      </w:r>
    </w:p>
    <w:p>
      <w:pPr>
        <w:pStyle w:val="2"/>
        <w:rPr>
          <w:rFonts w:hint="eastAsia" w:eastAsia="仿宋_GB2312" w:cs="仿宋_GB2312"/>
          <w:sz w:val="32"/>
          <w:szCs w:val="32"/>
          <w:lang w:val="en-US" w:eastAsia="zh-CN"/>
        </w:rPr>
      </w:pPr>
    </w:p>
    <w:p>
      <w:pPr>
        <w:pStyle w:val="2"/>
        <w:rPr>
          <w:rFonts w:hint="eastAsia" w:eastAsia="仿宋_GB2312" w:cs="仿宋_GB2312"/>
          <w:sz w:val="32"/>
          <w:szCs w:val="32"/>
          <w:lang w:val="en-US" w:eastAsia="zh-CN"/>
        </w:rPr>
      </w:pPr>
    </w:p>
    <w:p>
      <w:pPr>
        <w:pStyle w:val="2"/>
        <w:rPr>
          <w:rFonts w:hint="eastAsia" w:eastAsia="仿宋_GB2312" w:cs="仿宋_GB2312"/>
          <w:sz w:val="32"/>
          <w:szCs w:val="32"/>
          <w:lang w:val="en-US" w:eastAsia="zh-CN"/>
        </w:rPr>
      </w:pPr>
    </w:p>
    <w:p>
      <w:pPr>
        <w:pStyle w:val="2"/>
        <w:rPr>
          <w:rFonts w:hint="eastAsia" w:eastAsia="仿宋_GB2312" w:cs="仿宋_GB2312"/>
          <w:sz w:val="32"/>
          <w:szCs w:val="32"/>
          <w:lang w:val="en-US" w:eastAsia="zh-CN"/>
        </w:rPr>
      </w:pPr>
    </w:p>
    <w:p>
      <w:pPr>
        <w:pStyle w:val="2"/>
        <w:rPr>
          <w:rFonts w:hint="eastAsia" w:eastAsia="仿宋_GB2312" w:cs="仿宋_GB2312"/>
          <w:sz w:val="32"/>
          <w:szCs w:val="32"/>
          <w:lang w:val="en-US" w:eastAsia="zh-CN"/>
        </w:rPr>
      </w:pPr>
      <w:r>
        <w:rPr>
          <w:rFonts w:hint="eastAsia" w:ascii="仿宋_GB2312" w:hAnsi="Times New Roman" w:eastAsia="仿宋_GB2312" w:cs="Times New Roman"/>
          <w:kern w:val="0"/>
          <w:sz w:val="30"/>
          <w:szCs w:val="24"/>
          <w:lang w:val="en-US" w:eastAsia="zh-CN" w:bidi="ar-SA"/>
        </w:rPr>
        <w:pict>
          <v:shape id="_x0000_s1030" o:spid="_x0000_s1030" o:spt="75" type="#_x0000_t75" style="position:absolute;left:0pt;margin-left:41.4pt;margin-top:-136.25pt;height:235.85pt;width:362.8pt;mso-wrap-distance-bottom:0pt;mso-wrap-distance-left:9pt;mso-wrap-distance-right:9pt;mso-wrap-distance-top:0pt;z-index:251663360;mso-width-relative:page;mso-height-relative:page;" o:ole="t" filled="f" o:preferrelative="t" stroked="f" coordsize="21600,21600">
            <v:path/>
            <v:fill on="f" focussize="0,0"/>
            <v:stroke on="f"/>
            <v:imagedata r:id="rId21" o:title=""/>
            <o:lock v:ext="edit" aspectratio="t"/>
            <w10:wrap type="square"/>
          </v:shape>
          <o:OLEObject Type="Embed" ProgID="Excel.Chart.8" ShapeID="_x0000_s1030" DrawAspect="Content" ObjectID="_1468075729" r:id="rId20">
            <o:LockedField>false</o:LockedField>
          </o:OLEObject>
        </w:pict>
      </w:r>
    </w:p>
    <w:p>
      <w:pPr>
        <w:pStyle w:val="2"/>
        <w:rPr>
          <w:rFonts w:hint="eastAsia" w:eastAsia="仿宋_GB2312" w:cs="仿宋_GB2312"/>
          <w:sz w:val="32"/>
          <w:szCs w:val="32"/>
          <w:lang w:val="en-US" w:eastAsia="zh-CN"/>
        </w:rPr>
      </w:pPr>
    </w:p>
    <w:p>
      <w:pPr>
        <w:pStyle w:val="2"/>
        <w:rPr>
          <w:rFonts w:hint="eastAsia" w:eastAsia="仿宋_GB2312" w:cs="仿宋_GB2312"/>
          <w:sz w:val="32"/>
          <w:szCs w:val="32"/>
          <w:lang w:val="en-US" w:eastAsia="zh-CN"/>
        </w:rPr>
      </w:pPr>
    </w:p>
    <w:p>
      <w:pPr>
        <w:spacing w:line="600" w:lineRule="exact"/>
        <w:jc w:val="center"/>
        <w:rPr>
          <w:rFonts w:eastAsia="仿宋_GB2312" w:cs="仿宋_GB2312"/>
          <w:sz w:val="32"/>
          <w:szCs w:val="32"/>
        </w:rPr>
      </w:pPr>
      <w:r>
        <w:rPr>
          <w:rFonts w:hint="eastAsia" w:eastAsia="仿宋_GB2312" w:cs="仿宋_GB2312"/>
          <w:sz w:val="32"/>
          <w:szCs w:val="32"/>
        </w:rPr>
        <w:t>（图5：一般公共预算财政拨款支出决算变动情况）</w:t>
      </w:r>
    </w:p>
    <w:p>
      <w:pPr>
        <w:spacing w:line="600" w:lineRule="exact"/>
        <w:ind w:firstLine="643" w:firstLineChars="200"/>
        <w:outlineLvl w:val="2"/>
        <w:rPr>
          <w:rFonts w:eastAsia="楷体_GB2312" w:cs="楷体_GB2312"/>
          <w:b/>
          <w:sz w:val="32"/>
          <w:szCs w:val="32"/>
        </w:rPr>
      </w:pPr>
      <w:bookmarkStart w:id="23" w:name="_Toc15377211"/>
      <w:r>
        <w:rPr>
          <w:rFonts w:hint="eastAsia" w:eastAsia="楷体_GB2312" w:cs="楷体_GB2312"/>
          <w:b/>
          <w:sz w:val="32"/>
          <w:szCs w:val="32"/>
        </w:rPr>
        <w:t>（二）一般公共预算财政拨款支出决算结构情况</w:t>
      </w:r>
      <w:bookmarkEnd w:id="23"/>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2024年度一般公共预算财政拨款支出</w:t>
      </w:r>
      <w:r>
        <w:rPr>
          <w:rFonts w:hint="eastAsia" w:eastAsia="仿宋_GB2312" w:cs="仿宋_GB2312"/>
          <w:sz w:val="32"/>
          <w:szCs w:val="32"/>
          <w:lang w:val="en-US" w:eastAsia="zh-CN"/>
        </w:rPr>
        <w:t>966.94</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，主要用于以下方面：一般公共服务支出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%；教育支出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%；科学技术支出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%；文化旅游体育与传媒支出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%；社会保障和就业支出</w:t>
      </w:r>
      <w:r>
        <w:rPr>
          <w:rFonts w:hint="eastAsia" w:eastAsia="仿宋_GB2312" w:cs="仿宋_GB2312"/>
          <w:sz w:val="32"/>
          <w:szCs w:val="32"/>
          <w:lang w:val="en-US" w:eastAsia="zh-CN"/>
        </w:rPr>
        <w:t>99.82</w:t>
      </w:r>
      <w:r>
        <w:rPr>
          <w:rFonts w:hint="eastAsia" w:eastAsia="仿宋_GB2312" w:cs="仿宋_GB2312"/>
          <w:sz w:val="32"/>
          <w:szCs w:val="32"/>
        </w:rPr>
        <w:t>万元，占</w:t>
      </w:r>
      <w:r>
        <w:rPr>
          <w:rFonts w:hint="eastAsia" w:eastAsia="仿宋_GB2312" w:cs="仿宋_GB2312"/>
          <w:sz w:val="32"/>
          <w:szCs w:val="32"/>
          <w:lang w:val="en-US" w:eastAsia="zh-CN"/>
        </w:rPr>
        <w:t>10.32</w:t>
      </w:r>
      <w:r>
        <w:rPr>
          <w:rFonts w:hint="eastAsia" w:eastAsia="仿宋_GB2312" w:cs="仿宋_GB2312"/>
          <w:sz w:val="32"/>
          <w:szCs w:val="32"/>
        </w:rPr>
        <w:t>%；卫生健康支出</w:t>
      </w:r>
      <w:r>
        <w:rPr>
          <w:rFonts w:hint="eastAsia" w:eastAsia="仿宋_GB2312" w:cs="仿宋_GB2312"/>
          <w:sz w:val="32"/>
          <w:szCs w:val="32"/>
          <w:lang w:val="en-US" w:eastAsia="zh-CN"/>
        </w:rPr>
        <w:t>822.10</w:t>
      </w:r>
      <w:r>
        <w:rPr>
          <w:rFonts w:hint="eastAsia" w:eastAsia="仿宋_GB2312" w:cs="仿宋_GB2312"/>
          <w:sz w:val="32"/>
          <w:szCs w:val="32"/>
        </w:rPr>
        <w:t>万元，占</w:t>
      </w:r>
      <w:r>
        <w:rPr>
          <w:rFonts w:hint="eastAsia" w:eastAsia="仿宋_GB2312" w:cs="仿宋_GB2312"/>
          <w:sz w:val="32"/>
          <w:szCs w:val="32"/>
          <w:lang w:val="en-US" w:eastAsia="zh-CN"/>
        </w:rPr>
        <w:t>85.02</w:t>
      </w:r>
      <w:r>
        <w:rPr>
          <w:rFonts w:hint="eastAsia" w:eastAsia="仿宋_GB2312" w:cs="仿宋_GB2312"/>
          <w:sz w:val="32"/>
          <w:szCs w:val="32"/>
        </w:rPr>
        <w:t>%；住房保障支出</w:t>
      </w:r>
      <w:r>
        <w:rPr>
          <w:rFonts w:hint="eastAsia" w:eastAsia="仿宋_GB2312" w:cs="仿宋_GB2312"/>
          <w:sz w:val="32"/>
          <w:szCs w:val="32"/>
          <w:lang w:val="en-US" w:eastAsia="zh-CN"/>
        </w:rPr>
        <w:t>45.02</w:t>
      </w:r>
      <w:r>
        <w:rPr>
          <w:rFonts w:hint="eastAsia" w:eastAsia="仿宋_GB2312" w:cs="仿宋_GB2312"/>
          <w:sz w:val="32"/>
          <w:szCs w:val="32"/>
        </w:rPr>
        <w:t>万元，占</w:t>
      </w:r>
      <w:r>
        <w:rPr>
          <w:rFonts w:hint="eastAsia" w:eastAsia="仿宋_GB2312" w:cs="仿宋_GB2312"/>
          <w:sz w:val="32"/>
          <w:szCs w:val="32"/>
          <w:lang w:val="en-US" w:eastAsia="zh-CN"/>
        </w:rPr>
        <w:t>4.66</w:t>
      </w:r>
      <w:r>
        <w:rPr>
          <w:rFonts w:hint="eastAsia" w:eastAsia="仿宋_GB2312" w:cs="仿宋_GB2312"/>
          <w:sz w:val="32"/>
          <w:szCs w:val="32"/>
        </w:rPr>
        <w:t>%</w:t>
      </w:r>
      <w:r>
        <w:rPr>
          <w:rFonts w:hint="eastAsia" w:eastAsia="仿宋_GB2312" w:cs="仿宋_GB2312"/>
          <w:sz w:val="32"/>
          <w:szCs w:val="32"/>
          <w:lang w:eastAsia="zh-CN"/>
        </w:rPr>
        <w:t>。</w:t>
      </w:r>
    </w:p>
    <w:p>
      <w:pPr>
        <w:pStyle w:val="2"/>
        <w:jc w:val="right"/>
        <w:rPr>
          <w:rFonts w:hint="eastAsia"/>
          <w:sz w:val="24"/>
          <w:szCs w:val="24"/>
          <w:lang w:val="en-US" w:eastAsia="zh-CN"/>
        </w:rPr>
      </w:pPr>
      <w:r>
        <w:rPr>
          <w:rFonts w:hint="eastAsia" w:cs="仿宋_GB2312"/>
          <w:sz w:val="24"/>
          <w:szCs w:val="24"/>
          <w:lang w:val="en-US" w:eastAsia="zh-CN"/>
        </w:rPr>
        <w:t>单位：万元</w:t>
      </w:r>
    </w:p>
    <w:p>
      <w:pPr>
        <w:pStyle w:val="2"/>
        <w:jc w:val="center"/>
        <w:rPr>
          <w:rFonts w:eastAsia="仿宋_GB2312" w:cs="仿宋_GB2312"/>
          <w:sz w:val="32"/>
          <w:szCs w:val="32"/>
        </w:rPr>
      </w:pPr>
      <w:r>
        <w:rPr>
          <w:rFonts w:hint="eastAsia" w:ascii="仿宋" w:hAnsi="仿宋" w:eastAsia="仿宋" w:cs="Times New Roman"/>
          <w:kern w:val="0"/>
          <w:sz w:val="32"/>
          <w:szCs w:val="32"/>
          <w:lang w:val="en-US" w:eastAsia="zh-CN" w:bidi="ar-SA"/>
        </w:rPr>
        <w:pict>
          <v:shape id="_x0000_s1031" o:spid="_x0000_s1031" o:spt="75" type="#_x0000_t75" style="position:absolute;left:0pt;margin-left:3.2pt;margin-top:6.1pt;height:252.65pt;width:413.5pt;mso-wrap-distance-bottom:0pt;mso-wrap-distance-left:9pt;mso-wrap-distance-right:9pt;mso-wrap-distance-top:0pt;z-index:251667456;mso-width-relative:page;mso-height-relative:page;" o:ole="t" filled="f" o:preferrelative="t" stroked="f" coordsize="21600,21600">
            <v:path/>
            <v:fill on="f" focussize="0,0"/>
            <v:stroke on="f"/>
            <v:imagedata r:id="rId23" o:title=""/>
            <o:lock v:ext="edit" aspectratio="t"/>
            <w10:wrap type="square"/>
          </v:shape>
          <o:OLEObject Type="Embed" ProgID="Excel.Chart.8" ShapeID="_x0000_s1031" DrawAspect="Content" ObjectID="_1468075730" r:id="rId22">
            <o:LockedField>false</o:LockedField>
          </o:OLEObject>
        </w:pict>
      </w:r>
      <w:r>
        <w:rPr>
          <w:rFonts w:hint="eastAsia" w:eastAsia="仿宋_GB2312" w:cs="仿宋_GB2312"/>
          <w:sz w:val="32"/>
          <w:szCs w:val="32"/>
        </w:rPr>
        <w:t>（图6：一般公共预算财政拨款支出决算结构）</w:t>
      </w:r>
    </w:p>
    <w:p>
      <w:pPr>
        <w:spacing w:line="600" w:lineRule="exact"/>
        <w:ind w:firstLine="643" w:firstLineChars="200"/>
        <w:outlineLvl w:val="2"/>
        <w:rPr>
          <w:rFonts w:eastAsia="楷体_GB2312" w:cs="楷体_GB2312"/>
          <w:b/>
          <w:sz w:val="32"/>
          <w:szCs w:val="32"/>
        </w:rPr>
      </w:pPr>
      <w:bookmarkStart w:id="24" w:name="_Toc15377212"/>
      <w:r>
        <w:rPr>
          <w:rFonts w:hint="eastAsia" w:eastAsia="楷体_GB2312" w:cs="楷体_GB2312"/>
          <w:b/>
          <w:sz w:val="32"/>
          <w:szCs w:val="32"/>
        </w:rPr>
        <w:t>（三）一般公共预算财政拨款支出决算具体情况</w:t>
      </w:r>
      <w:bookmarkEnd w:id="24"/>
    </w:p>
    <w:p>
      <w:pPr>
        <w:spacing w:line="600" w:lineRule="exact"/>
        <w:ind w:firstLine="640"/>
        <w:rPr>
          <w:rFonts w:eastAsia="仿宋_GB2312" w:cs="仿宋_GB2312"/>
          <w:sz w:val="32"/>
          <w:szCs w:val="32"/>
        </w:rPr>
      </w:pPr>
      <w:bookmarkStart w:id="25" w:name="_Toc15377213"/>
      <w:bookmarkStart w:id="26" w:name="_Toc15377444"/>
      <w:bookmarkStart w:id="27"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lang w:val="en-US" w:eastAsia="zh-CN"/>
        </w:rPr>
        <w:t>966.94</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25"/>
      <w:bookmarkEnd w:id="26"/>
      <w:bookmarkEnd w:id="27"/>
    </w:p>
    <w:p>
      <w:pPr>
        <w:numPr>
          <w:ilvl w:val="0"/>
          <w:numId w:val="0"/>
        </w:numPr>
        <w:spacing w:line="600" w:lineRule="exact"/>
        <w:ind w:firstLine="640" w:firstLineChars="200"/>
        <w:rPr>
          <w:rStyle w:val="16"/>
          <w:rFonts w:hint="eastAsia" w:ascii="仿宋_GB2312" w:hAnsi="仿宋_GB2312" w:eastAsia="仿宋_GB2312" w:cs="仿宋_GB2312"/>
          <w:b w:val="0"/>
          <w:bCs/>
          <w:sz w:val="32"/>
          <w:szCs w:val="32"/>
        </w:rPr>
      </w:pPr>
      <w:r>
        <w:rPr>
          <w:rFonts w:hint="eastAsia" w:eastAsia="仿宋_GB2312" w:cs="仿宋_GB2312"/>
          <w:sz w:val="32"/>
          <w:szCs w:val="32"/>
          <w:lang w:val="en-US" w:eastAsia="zh-CN"/>
        </w:rPr>
        <w:t>1</w:t>
      </w:r>
      <w:r>
        <w:rPr>
          <w:rStyle w:val="16"/>
          <w:rFonts w:hint="eastAsia" w:ascii="仿宋_GB2312" w:hAnsi="仿宋_GB2312" w:eastAsia="仿宋_GB2312" w:cs="仿宋_GB2312"/>
          <w:b w:val="0"/>
          <w:bCs/>
          <w:sz w:val="32"/>
          <w:szCs w:val="32"/>
          <w:lang w:val="en-US" w:eastAsia="zh-CN"/>
        </w:rPr>
        <w:t>.</w:t>
      </w:r>
      <w:r>
        <w:rPr>
          <w:rStyle w:val="16"/>
          <w:rFonts w:hint="eastAsia" w:ascii="仿宋_GB2312" w:hAnsi="仿宋_GB2312" w:eastAsia="仿宋_GB2312" w:cs="仿宋_GB2312"/>
          <w:b w:val="0"/>
          <w:bCs/>
          <w:sz w:val="32"/>
          <w:szCs w:val="32"/>
        </w:rPr>
        <w:t>社会保障和就业支出（类）行政事业单位养老支出（款）</w:t>
      </w:r>
      <w:r>
        <w:rPr>
          <w:rStyle w:val="16"/>
          <w:rFonts w:hint="eastAsia" w:ascii="仿宋_GB2312" w:hAnsi="仿宋_GB2312" w:eastAsia="仿宋_GB2312" w:cs="仿宋_GB2312"/>
          <w:b w:val="0"/>
          <w:bCs/>
          <w:sz w:val="32"/>
          <w:szCs w:val="32"/>
          <w:lang w:val="en-US" w:eastAsia="zh-CN"/>
        </w:rPr>
        <w:t>事业单位离退休</w:t>
      </w:r>
      <w:r>
        <w:rPr>
          <w:rStyle w:val="16"/>
          <w:rFonts w:hint="eastAsia" w:ascii="仿宋_GB2312" w:hAnsi="仿宋_GB2312" w:eastAsia="仿宋_GB2312" w:cs="仿宋_GB2312"/>
          <w:b w:val="0"/>
          <w:bCs/>
          <w:sz w:val="32"/>
          <w:szCs w:val="32"/>
        </w:rPr>
        <w:t>（项）:支出决算为</w:t>
      </w:r>
      <w:r>
        <w:rPr>
          <w:rStyle w:val="16"/>
          <w:rFonts w:hint="eastAsia" w:ascii="仿宋_GB2312" w:hAnsi="仿宋_GB2312" w:eastAsia="仿宋_GB2312" w:cs="仿宋_GB2312"/>
          <w:b w:val="0"/>
          <w:bCs/>
          <w:sz w:val="32"/>
          <w:szCs w:val="32"/>
          <w:lang w:val="en-US" w:eastAsia="zh-CN"/>
        </w:rPr>
        <w:t>36.69</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%，决算数等于预算数。</w:t>
      </w:r>
    </w:p>
    <w:p>
      <w:pPr>
        <w:numPr>
          <w:ilvl w:val="0"/>
          <w:numId w:val="0"/>
        </w:numPr>
        <w:spacing w:line="600" w:lineRule="exact"/>
        <w:ind w:firstLine="640" w:firstLineChars="200"/>
        <w:rPr>
          <w:rFonts w:eastAsia="仿宋_GB2312" w:cs="仿宋_GB2312"/>
          <w:sz w:val="32"/>
          <w:szCs w:val="32"/>
        </w:rPr>
      </w:pPr>
      <w:r>
        <w:rPr>
          <w:rFonts w:hint="eastAsia" w:eastAsia="仿宋_GB2312" w:cs="仿宋_GB2312"/>
          <w:sz w:val="32"/>
          <w:szCs w:val="32"/>
        </w:rPr>
        <w:t>2.</w:t>
      </w:r>
      <w:r>
        <w:rPr>
          <w:rStyle w:val="16"/>
          <w:rFonts w:hint="eastAsia" w:ascii="仿宋_GB2312" w:hAnsi="仿宋_GB2312" w:eastAsia="仿宋_GB2312" w:cs="仿宋_GB2312"/>
          <w:b w:val="0"/>
          <w:bCs/>
          <w:sz w:val="32"/>
          <w:szCs w:val="32"/>
        </w:rPr>
        <w:t>社会保障和就业支出（类）行政事业单位养老支出（款）</w:t>
      </w:r>
      <w:r>
        <w:rPr>
          <w:rStyle w:val="16"/>
          <w:rFonts w:hint="eastAsia" w:ascii="仿宋_GB2312" w:hAnsi="仿宋_GB2312" w:eastAsia="仿宋_GB2312" w:cs="仿宋_GB2312"/>
          <w:b w:val="0"/>
          <w:bCs/>
          <w:sz w:val="32"/>
          <w:szCs w:val="32"/>
          <w:lang w:val="en-US" w:eastAsia="zh-CN"/>
        </w:rPr>
        <w:t>机关事业单位基本养老保险缴费支出</w:t>
      </w:r>
      <w:r>
        <w:rPr>
          <w:rStyle w:val="16"/>
          <w:rFonts w:hint="eastAsia" w:ascii="仿宋_GB2312" w:hAnsi="仿宋_GB2312" w:eastAsia="仿宋_GB2312" w:cs="仿宋_GB2312"/>
          <w:b w:val="0"/>
          <w:bCs/>
          <w:sz w:val="32"/>
          <w:szCs w:val="32"/>
        </w:rPr>
        <w:t>（项）:支出决算为</w:t>
      </w:r>
      <w:r>
        <w:rPr>
          <w:rStyle w:val="16"/>
          <w:rFonts w:hint="eastAsia" w:ascii="仿宋_GB2312" w:hAnsi="仿宋_GB2312" w:eastAsia="仿宋_GB2312" w:cs="仿宋_GB2312"/>
          <w:b w:val="0"/>
          <w:bCs/>
          <w:sz w:val="32"/>
          <w:szCs w:val="32"/>
          <w:lang w:val="en-US" w:eastAsia="zh-CN"/>
        </w:rPr>
        <w:t>59.76</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%，决算数等于预算数。</w:t>
      </w:r>
    </w:p>
    <w:p>
      <w:pPr>
        <w:spacing w:line="600" w:lineRule="exact"/>
        <w:ind w:firstLine="640"/>
        <w:rPr>
          <w:rStyle w:val="16"/>
          <w:rFonts w:hint="eastAsia" w:ascii="仿宋_GB2312" w:hAnsi="仿宋_GB2312" w:eastAsia="仿宋_GB2312" w:cs="仿宋_GB2312"/>
          <w:b w:val="0"/>
          <w:bCs/>
          <w:sz w:val="32"/>
          <w:szCs w:val="32"/>
        </w:rPr>
      </w:pPr>
      <w:r>
        <w:rPr>
          <w:rFonts w:hint="eastAsia" w:eastAsia="仿宋_GB2312" w:cs="仿宋_GB2312"/>
          <w:sz w:val="32"/>
          <w:szCs w:val="32"/>
        </w:rPr>
        <w:t>3.</w:t>
      </w:r>
      <w:r>
        <w:rPr>
          <w:rStyle w:val="16"/>
          <w:rFonts w:hint="eastAsia" w:ascii="仿宋_GB2312" w:hAnsi="仿宋_GB2312" w:eastAsia="仿宋_GB2312" w:cs="仿宋_GB2312"/>
          <w:b w:val="0"/>
          <w:bCs/>
          <w:sz w:val="32"/>
          <w:szCs w:val="32"/>
        </w:rPr>
        <w:t>社会保障和就业支出（类）行政事业单位养老支出（款）</w:t>
      </w:r>
      <w:r>
        <w:rPr>
          <w:rStyle w:val="16"/>
          <w:rFonts w:hint="eastAsia" w:ascii="仿宋_GB2312" w:hAnsi="仿宋_GB2312" w:eastAsia="仿宋_GB2312" w:cs="仿宋_GB2312"/>
          <w:b w:val="0"/>
          <w:bCs/>
          <w:sz w:val="32"/>
          <w:szCs w:val="32"/>
          <w:lang w:val="en-US" w:eastAsia="zh-CN"/>
        </w:rPr>
        <w:t>机关事业单位职业年金缴费支出</w:t>
      </w:r>
      <w:r>
        <w:rPr>
          <w:rStyle w:val="16"/>
          <w:rFonts w:hint="eastAsia" w:ascii="仿宋_GB2312" w:hAnsi="仿宋_GB2312" w:eastAsia="仿宋_GB2312" w:cs="仿宋_GB2312"/>
          <w:b w:val="0"/>
          <w:bCs/>
          <w:sz w:val="32"/>
          <w:szCs w:val="32"/>
        </w:rPr>
        <w:t>（项）:支出决算为</w:t>
      </w:r>
      <w:r>
        <w:rPr>
          <w:rStyle w:val="16"/>
          <w:rFonts w:hint="eastAsia" w:ascii="仿宋_GB2312" w:hAnsi="仿宋_GB2312" w:eastAsia="仿宋_GB2312" w:cs="仿宋_GB2312"/>
          <w:b w:val="0"/>
          <w:bCs/>
          <w:sz w:val="32"/>
          <w:szCs w:val="32"/>
          <w:lang w:val="en-US" w:eastAsia="zh-CN"/>
        </w:rPr>
        <w:t>3.37</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%，决算数等于预算数。</w:t>
      </w:r>
    </w:p>
    <w:p>
      <w:pPr>
        <w:spacing w:line="600" w:lineRule="exact"/>
        <w:ind w:firstLine="640" w:firstLineChars="200"/>
        <w:rPr>
          <w:rFonts w:eastAsia="仿宋_GB2312" w:cs="仿宋_GB2312"/>
          <w:sz w:val="32"/>
          <w:szCs w:val="32"/>
        </w:rPr>
      </w:pPr>
      <w:r>
        <w:rPr>
          <w:rFonts w:hint="eastAsia" w:eastAsia="仿宋_GB2312" w:cs="仿宋_GB2312"/>
          <w:sz w:val="32"/>
          <w:szCs w:val="32"/>
        </w:rPr>
        <w:t>4.</w:t>
      </w:r>
      <w:r>
        <w:rPr>
          <w:rStyle w:val="16"/>
          <w:rFonts w:hint="eastAsia" w:ascii="仿宋_GB2312" w:hAnsi="仿宋_GB2312" w:eastAsia="仿宋_GB2312" w:cs="仿宋_GB2312"/>
          <w:b w:val="0"/>
          <w:bCs/>
          <w:sz w:val="32"/>
          <w:szCs w:val="32"/>
        </w:rPr>
        <w:t>卫生健康支出（类）基层医疗卫生机构（款）</w:t>
      </w:r>
      <w:r>
        <w:rPr>
          <w:rStyle w:val="16"/>
          <w:rFonts w:hint="eastAsia" w:ascii="仿宋_GB2312" w:hAnsi="仿宋_GB2312" w:eastAsia="仿宋_GB2312" w:cs="仿宋_GB2312"/>
          <w:b w:val="0"/>
          <w:bCs/>
          <w:sz w:val="32"/>
          <w:szCs w:val="32"/>
          <w:lang w:val="en-US" w:eastAsia="zh-CN"/>
        </w:rPr>
        <w:t>乡镇卫生院</w:t>
      </w:r>
      <w:r>
        <w:rPr>
          <w:rStyle w:val="16"/>
          <w:rFonts w:hint="eastAsia" w:ascii="仿宋_GB2312" w:hAnsi="仿宋_GB2312" w:eastAsia="仿宋_GB2312" w:cs="仿宋_GB2312"/>
          <w:b w:val="0"/>
          <w:bCs/>
          <w:sz w:val="32"/>
          <w:szCs w:val="32"/>
        </w:rPr>
        <w:t>（项）:支出决算为</w:t>
      </w:r>
      <w:r>
        <w:rPr>
          <w:rStyle w:val="16"/>
          <w:rFonts w:hint="eastAsia" w:ascii="仿宋_GB2312" w:hAnsi="仿宋_GB2312" w:eastAsia="仿宋_GB2312" w:cs="仿宋_GB2312"/>
          <w:b w:val="0"/>
          <w:bCs/>
          <w:sz w:val="32"/>
          <w:szCs w:val="32"/>
          <w:lang w:val="en-US" w:eastAsia="zh-CN"/>
        </w:rPr>
        <w:t>360.79</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%，决算数等于预算数。</w:t>
      </w:r>
    </w:p>
    <w:p>
      <w:pPr>
        <w:spacing w:line="600" w:lineRule="exact"/>
        <w:ind w:firstLine="640"/>
        <w:rPr>
          <w:rFonts w:eastAsia="仿宋_GB2312" w:cs="仿宋_GB2312"/>
          <w:sz w:val="32"/>
          <w:szCs w:val="32"/>
        </w:rPr>
      </w:pPr>
      <w:r>
        <w:rPr>
          <w:rFonts w:hint="eastAsia" w:eastAsia="仿宋_GB2312" w:cs="仿宋_GB2312"/>
          <w:sz w:val="32"/>
          <w:szCs w:val="32"/>
        </w:rPr>
        <w:t>5</w:t>
      </w:r>
      <w:r>
        <w:rPr>
          <w:rFonts w:hint="eastAsia" w:eastAsia="仿宋_GB2312" w:cs="仿宋_GB2312"/>
          <w:sz w:val="32"/>
          <w:szCs w:val="32"/>
          <w:lang w:val="en-US" w:eastAsia="zh-CN"/>
        </w:rPr>
        <w:t>.</w:t>
      </w:r>
      <w:r>
        <w:rPr>
          <w:rStyle w:val="16"/>
          <w:rFonts w:hint="eastAsia" w:ascii="仿宋_GB2312" w:hAnsi="仿宋_GB2312" w:eastAsia="仿宋_GB2312" w:cs="仿宋_GB2312"/>
          <w:b w:val="0"/>
          <w:bCs/>
          <w:sz w:val="32"/>
          <w:szCs w:val="32"/>
        </w:rPr>
        <w:t>卫生健康支出（类）基层医疗卫生机构（款）</w:t>
      </w:r>
      <w:r>
        <w:rPr>
          <w:rStyle w:val="16"/>
          <w:rFonts w:hint="eastAsia" w:ascii="仿宋_GB2312" w:hAnsi="仿宋_GB2312" w:eastAsia="仿宋_GB2312" w:cs="仿宋_GB2312"/>
          <w:b w:val="0"/>
          <w:bCs/>
          <w:sz w:val="32"/>
          <w:szCs w:val="32"/>
          <w:lang w:val="en-US" w:eastAsia="zh-CN"/>
        </w:rPr>
        <w:t>其他基层医疗卫生机构支出</w:t>
      </w:r>
      <w:r>
        <w:rPr>
          <w:rStyle w:val="16"/>
          <w:rFonts w:hint="eastAsia" w:ascii="仿宋_GB2312" w:hAnsi="仿宋_GB2312" w:eastAsia="仿宋_GB2312" w:cs="仿宋_GB2312"/>
          <w:b w:val="0"/>
          <w:bCs/>
          <w:sz w:val="32"/>
          <w:szCs w:val="32"/>
        </w:rPr>
        <w:t>（项）:支出决算为</w:t>
      </w:r>
      <w:r>
        <w:rPr>
          <w:rStyle w:val="16"/>
          <w:rFonts w:hint="eastAsia" w:ascii="仿宋_GB2312" w:hAnsi="仿宋_GB2312" w:eastAsia="仿宋_GB2312" w:cs="仿宋_GB2312"/>
          <w:b w:val="0"/>
          <w:bCs/>
          <w:sz w:val="32"/>
          <w:szCs w:val="32"/>
          <w:lang w:val="en-US" w:eastAsia="zh-CN"/>
        </w:rPr>
        <w:t>58.91</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%，决算数等于预算数</w:t>
      </w:r>
      <w:r>
        <w:rPr>
          <w:rStyle w:val="16"/>
          <w:rFonts w:hint="eastAsia" w:ascii="仿宋_GB2312" w:hAnsi="仿宋_GB2312" w:eastAsia="仿宋_GB2312" w:cs="仿宋_GB2312"/>
          <w:b w:val="0"/>
          <w:bCs/>
          <w:sz w:val="32"/>
          <w:szCs w:val="32"/>
          <w:lang w:eastAsia="zh-CN"/>
        </w:rPr>
        <w:t>。</w:t>
      </w:r>
    </w:p>
    <w:p>
      <w:pPr>
        <w:numPr>
          <w:ilvl w:val="0"/>
          <w:numId w:val="0"/>
        </w:numPr>
        <w:spacing w:line="600" w:lineRule="exact"/>
        <w:ind w:firstLine="640" w:firstLineChars="200"/>
        <w:rPr>
          <w:rStyle w:val="16"/>
          <w:rFonts w:hint="eastAsia" w:ascii="仿宋_GB2312" w:hAnsi="仿宋_GB2312" w:eastAsia="仿宋_GB2312" w:cs="仿宋_GB2312"/>
          <w:b w:val="0"/>
          <w:bCs/>
          <w:sz w:val="32"/>
          <w:szCs w:val="32"/>
        </w:rPr>
      </w:pPr>
      <w:r>
        <w:rPr>
          <w:rFonts w:hint="eastAsia" w:eastAsia="仿宋_GB2312" w:cs="仿宋_GB2312"/>
          <w:sz w:val="32"/>
          <w:szCs w:val="32"/>
          <w:lang w:val="en-US" w:eastAsia="zh-CN"/>
        </w:rPr>
        <w:t>6.</w:t>
      </w:r>
      <w:r>
        <w:rPr>
          <w:rStyle w:val="16"/>
          <w:rFonts w:hint="eastAsia" w:ascii="仿宋_GB2312" w:hAnsi="仿宋_GB2312" w:eastAsia="仿宋_GB2312" w:cs="仿宋_GB2312"/>
          <w:b w:val="0"/>
          <w:bCs/>
          <w:sz w:val="32"/>
          <w:szCs w:val="32"/>
        </w:rPr>
        <w:t>卫生健康支出（类）公共卫生（款）</w:t>
      </w:r>
      <w:r>
        <w:rPr>
          <w:rStyle w:val="16"/>
          <w:rFonts w:hint="eastAsia" w:ascii="仿宋_GB2312" w:hAnsi="仿宋_GB2312" w:eastAsia="仿宋_GB2312" w:cs="仿宋_GB2312"/>
          <w:b w:val="0"/>
          <w:bCs/>
          <w:sz w:val="32"/>
          <w:szCs w:val="32"/>
          <w:lang w:val="en-US" w:eastAsia="zh-CN"/>
        </w:rPr>
        <w:t>基本公共卫生服务（</w:t>
      </w:r>
      <w:r>
        <w:rPr>
          <w:rStyle w:val="16"/>
          <w:rFonts w:hint="eastAsia" w:ascii="仿宋_GB2312" w:hAnsi="仿宋_GB2312" w:eastAsia="仿宋_GB2312" w:cs="仿宋_GB2312"/>
          <w:b w:val="0"/>
          <w:bCs/>
          <w:sz w:val="32"/>
          <w:szCs w:val="32"/>
        </w:rPr>
        <w:t>项）:支出决算为</w:t>
      </w:r>
      <w:r>
        <w:rPr>
          <w:rStyle w:val="16"/>
          <w:rFonts w:hint="eastAsia" w:ascii="仿宋_GB2312" w:hAnsi="仿宋_GB2312" w:eastAsia="仿宋_GB2312" w:cs="仿宋_GB2312"/>
          <w:b w:val="0"/>
          <w:bCs/>
          <w:sz w:val="32"/>
          <w:szCs w:val="32"/>
          <w:lang w:val="en-US" w:eastAsia="zh-CN"/>
        </w:rPr>
        <w:t>248.96</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%，决算数等于预算数。</w:t>
      </w:r>
    </w:p>
    <w:p>
      <w:pPr>
        <w:pStyle w:val="2"/>
        <w:rPr>
          <w:rFonts w:hint="eastAsia" w:ascii="Times New Roman" w:hAnsi="Times New Roman" w:eastAsia="仿宋_GB2312" w:cs="仿宋_GB2312"/>
          <w:kern w:val="2"/>
          <w:sz w:val="32"/>
          <w:szCs w:val="32"/>
          <w:lang w:val="en-US" w:eastAsia="zh-CN" w:bidi="ar-SA"/>
        </w:rPr>
      </w:pPr>
      <w:r>
        <w:rPr>
          <w:rStyle w:val="16"/>
          <w:rFonts w:hint="eastAsia" w:hAnsi="仿宋_GB2312" w:cs="仿宋_GB2312"/>
          <w:b w:val="0"/>
          <w:bCs/>
          <w:sz w:val="32"/>
          <w:szCs w:val="32"/>
          <w:lang w:val="en-US" w:eastAsia="zh-CN"/>
        </w:rPr>
        <w:t xml:space="preserve">   </w:t>
      </w:r>
      <w:r>
        <w:rPr>
          <w:rFonts w:hint="eastAsia" w:ascii="Times New Roman" w:hAnsi="Times New Roman" w:eastAsia="仿宋_GB2312" w:cs="仿宋_GB2312"/>
          <w:kern w:val="2"/>
          <w:sz w:val="32"/>
          <w:szCs w:val="32"/>
          <w:lang w:val="en-US" w:eastAsia="zh-CN" w:bidi="ar-SA"/>
        </w:rPr>
        <w:t xml:space="preserve"> 7.</w:t>
      </w:r>
      <w:r>
        <w:rPr>
          <w:rStyle w:val="16"/>
          <w:rFonts w:hint="eastAsia" w:ascii="仿宋_GB2312" w:hAnsi="仿宋_GB2312" w:eastAsia="仿宋_GB2312" w:cs="仿宋_GB2312"/>
          <w:b w:val="0"/>
          <w:bCs/>
          <w:sz w:val="32"/>
          <w:szCs w:val="32"/>
        </w:rPr>
        <w:t>卫生健康支出（类）公共卫生（款）</w:t>
      </w:r>
      <w:r>
        <w:rPr>
          <w:rStyle w:val="16"/>
          <w:rFonts w:hint="eastAsia" w:ascii="仿宋_GB2312" w:hAnsi="仿宋_GB2312" w:eastAsia="仿宋_GB2312" w:cs="仿宋_GB2312"/>
          <w:b w:val="0"/>
          <w:bCs/>
          <w:sz w:val="32"/>
          <w:szCs w:val="32"/>
          <w:lang w:val="en-US" w:eastAsia="zh-CN"/>
        </w:rPr>
        <w:t>重大公共卫生服务</w:t>
      </w:r>
      <w:r>
        <w:rPr>
          <w:rStyle w:val="16"/>
          <w:rFonts w:hint="eastAsia" w:ascii="仿宋_GB2312" w:hAnsi="仿宋_GB2312" w:eastAsia="仿宋_GB2312" w:cs="仿宋_GB2312"/>
          <w:b w:val="0"/>
          <w:bCs/>
          <w:sz w:val="32"/>
          <w:szCs w:val="32"/>
        </w:rPr>
        <w:t>（项）:支出决算为</w:t>
      </w:r>
      <w:r>
        <w:rPr>
          <w:rStyle w:val="16"/>
          <w:rFonts w:hint="eastAsia" w:hAnsi="仿宋_GB2312" w:cs="仿宋_GB2312"/>
          <w:b w:val="0"/>
          <w:bCs/>
          <w:sz w:val="32"/>
          <w:szCs w:val="32"/>
          <w:lang w:val="en-US" w:eastAsia="zh-CN"/>
        </w:rPr>
        <w:t>6.68</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%，决算数等于预算数。</w:t>
      </w:r>
    </w:p>
    <w:p>
      <w:pPr>
        <w:pStyle w:val="2"/>
        <w:ind w:firstLine="64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8.</w:t>
      </w:r>
      <w:r>
        <w:rPr>
          <w:rStyle w:val="16"/>
          <w:rFonts w:hint="eastAsia" w:ascii="仿宋_GB2312" w:hAnsi="仿宋_GB2312" w:eastAsia="仿宋_GB2312" w:cs="仿宋_GB2312"/>
          <w:b w:val="0"/>
          <w:bCs/>
          <w:sz w:val="32"/>
          <w:szCs w:val="32"/>
        </w:rPr>
        <w:t>卫生健康支出（类）公共卫生（款）</w:t>
      </w:r>
      <w:r>
        <w:rPr>
          <w:rStyle w:val="16"/>
          <w:rFonts w:hint="eastAsia" w:hAnsi="仿宋_GB2312" w:cs="仿宋_GB2312"/>
          <w:b w:val="0"/>
          <w:bCs/>
          <w:sz w:val="32"/>
          <w:szCs w:val="32"/>
          <w:lang w:val="en-US" w:eastAsia="zh-CN"/>
        </w:rPr>
        <w:t>其他公共卫生支出</w:t>
      </w:r>
      <w:r>
        <w:rPr>
          <w:rStyle w:val="16"/>
          <w:rFonts w:hint="eastAsia" w:ascii="仿宋_GB2312" w:hAnsi="仿宋_GB2312" w:eastAsia="仿宋_GB2312" w:cs="仿宋_GB2312"/>
          <w:b w:val="0"/>
          <w:bCs/>
          <w:sz w:val="32"/>
          <w:szCs w:val="32"/>
        </w:rPr>
        <w:t>（项）:支出决算为</w:t>
      </w:r>
      <w:r>
        <w:rPr>
          <w:rStyle w:val="16"/>
          <w:rFonts w:hint="eastAsia" w:hAnsi="仿宋_GB2312" w:cs="仿宋_GB2312"/>
          <w:b w:val="0"/>
          <w:bCs/>
          <w:sz w:val="32"/>
          <w:szCs w:val="32"/>
          <w:lang w:val="en-US" w:eastAsia="zh-CN"/>
        </w:rPr>
        <w:t>1.12</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%，决算数等于预算数。</w:t>
      </w:r>
    </w:p>
    <w:p>
      <w:pPr>
        <w:pStyle w:val="2"/>
        <w:ind w:firstLine="64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9.</w:t>
      </w:r>
      <w:r>
        <w:rPr>
          <w:rStyle w:val="16"/>
          <w:rFonts w:hint="eastAsia" w:ascii="仿宋_GB2312" w:hAnsi="仿宋_GB2312" w:eastAsia="仿宋_GB2312" w:cs="仿宋_GB2312"/>
          <w:b w:val="0"/>
          <w:bCs/>
          <w:sz w:val="32"/>
          <w:szCs w:val="32"/>
        </w:rPr>
        <w:t>卫生健康支出（类）行政事业单位医疗（款）</w:t>
      </w:r>
      <w:r>
        <w:rPr>
          <w:rStyle w:val="16"/>
          <w:rFonts w:hint="eastAsia" w:ascii="仿宋_GB2312" w:hAnsi="仿宋_GB2312" w:eastAsia="仿宋_GB2312" w:cs="仿宋_GB2312"/>
          <w:b w:val="0"/>
          <w:bCs/>
          <w:sz w:val="32"/>
          <w:szCs w:val="32"/>
          <w:lang w:val="en-US" w:eastAsia="zh-CN"/>
        </w:rPr>
        <w:t>事业单位医疗</w:t>
      </w:r>
      <w:r>
        <w:rPr>
          <w:rStyle w:val="16"/>
          <w:rFonts w:hint="eastAsia" w:ascii="仿宋_GB2312" w:hAnsi="仿宋_GB2312" w:eastAsia="仿宋_GB2312" w:cs="仿宋_GB2312"/>
          <w:b w:val="0"/>
          <w:bCs/>
          <w:sz w:val="32"/>
          <w:szCs w:val="32"/>
        </w:rPr>
        <w:t>（项）:支出决算为</w:t>
      </w:r>
      <w:r>
        <w:rPr>
          <w:rStyle w:val="16"/>
          <w:rFonts w:hint="eastAsia" w:hAnsi="仿宋_GB2312" w:cs="仿宋_GB2312"/>
          <w:b w:val="0"/>
          <w:bCs/>
          <w:sz w:val="32"/>
          <w:szCs w:val="32"/>
          <w:lang w:val="en-US" w:eastAsia="zh-CN"/>
        </w:rPr>
        <w:t>29.41</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%，决算数等于预算数。</w:t>
      </w:r>
    </w:p>
    <w:p>
      <w:pPr>
        <w:pStyle w:val="2"/>
        <w:ind w:firstLine="64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10.</w:t>
      </w:r>
      <w:r>
        <w:rPr>
          <w:rStyle w:val="16"/>
          <w:rFonts w:hint="eastAsia" w:ascii="仿宋_GB2312" w:hAnsi="仿宋_GB2312" w:eastAsia="仿宋_GB2312" w:cs="仿宋_GB2312"/>
          <w:b w:val="0"/>
          <w:bCs/>
          <w:sz w:val="32"/>
          <w:szCs w:val="32"/>
        </w:rPr>
        <w:t>卫生健康支出（类）行政事业单位医疗（款）</w:t>
      </w:r>
      <w:r>
        <w:rPr>
          <w:rStyle w:val="16"/>
          <w:rFonts w:hint="eastAsia" w:ascii="仿宋_GB2312" w:hAnsi="仿宋_GB2312" w:eastAsia="仿宋_GB2312" w:cs="仿宋_GB2312"/>
          <w:b w:val="0"/>
          <w:bCs/>
          <w:sz w:val="32"/>
          <w:szCs w:val="32"/>
          <w:lang w:val="en-US" w:eastAsia="zh-CN"/>
        </w:rPr>
        <w:t>其他行政事业单位医疗支出</w:t>
      </w:r>
      <w:r>
        <w:rPr>
          <w:rStyle w:val="16"/>
          <w:rFonts w:hint="eastAsia" w:ascii="仿宋_GB2312" w:hAnsi="仿宋_GB2312" w:eastAsia="仿宋_GB2312" w:cs="仿宋_GB2312"/>
          <w:b w:val="0"/>
          <w:bCs/>
          <w:sz w:val="32"/>
          <w:szCs w:val="32"/>
        </w:rPr>
        <w:t>（项）:支出决算为</w:t>
      </w:r>
      <w:r>
        <w:rPr>
          <w:rStyle w:val="16"/>
          <w:rFonts w:hint="eastAsia" w:hAnsi="仿宋_GB2312" w:cs="仿宋_GB2312"/>
          <w:b w:val="0"/>
          <w:bCs/>
          <w:sz w:val="32"/>
          <w:szCs w:val="32"/>
          <w:lang w:val="en-US" w:eastAsia="zh-CN"/>
        </w:rPr>
        <w:t>17.53</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%，决算数等于预算数。</w:t>
      </w:r>
    </w:p>
    <w:p>
      <w:pPr>
        <w:pStyle w:val="2"/>
        <w:keepNext w:val="0"/>
        <w:keepLines w:val="0"/>
        <w:pageBreakBefore w:val="0"/>
        <w:widowControl w:val="0"/>
        <w:kinsoku/>
        <w:wordWrap/>
        <w:overflowPunct/>
        <w:topLinePunct w:val="0"/>
        <w:autoSpaceDE/>
        <w:autoSpaceDN/>
        <w:bidi w:val="0"/>
        <w:adjustRightInd/>
        <w:snapToGrid/>
        <w:spacing w:after="0"/>
        <w:ind w:firstLine="641"/>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11.</w:t>
      </w:r>
      <w:r>
        <w:rPr>
          <w:rStyle w:val="16"/>
          <w:rFonts w:hint="eastAsia" w:hAnsi="仿宋_GB2312" w:cs="仿宋_GB2312"/>
          <w:b w:val="0"/>
          <w:bCs/>
          <w:sz w:val="32"/>
          <w:szCs w:val="32"/>
          <w:lang w:val="en-US" w:eastAsia="zh-CN"/>
        </w:rPr>
        <w:t>卫生健康支出</w:t>
      </w:r>
      <w:r>
        <w:rPr>
          <w:rStyle w:val="16"/>
          <w:rFonts w:hint="eastAsia" w:ascii="仿宋_GB2312" w:hAnsi="仿宋_GB2312" w:eastAsia="仿宋_GB2312" w:cs="仿宋_GB2312"/>
          <w:b w:val="0"/>
          <w:bCs/>
          <w:sz w:val="32"/>
          <w:szCs w:val="32"/>
        </w:rPr>
        <w:t>（类）</w:t>
      </w:r>
      <w:r>
        <w:rPr>
          <w:rStyle w:val="16"/>
          <w:rFonts w:hint="eastAsia" w:hAnsi="仿宋_GB2312" w:cs="仿宋_GB2312"/>
          <w:b w:val="0"/>
          <w:bCs/>
          <w:sz w:val="32"/>
          <w:szCs w:val="32"/>
          <w:lang w:val="en-US" w:eastAsia="zh-CN"/>
        </w:rPr>
        <w:t>其他卫生健康支出</w:t>
      </w:r>
      <w:r>
        <w:rPr>
          <w:rStyle w:val="16"/>
          <w:rFonts w:hint="eastAsia" w:ascii="仿宋_GB2312" w:hAnsi="仿宋_GB2312" w:eastAsia="仿宋_GB2312" w:cs="仿宋_GB2312"/>
          <w:b w:val="0"/>
          <w:bCs/>
          <w:sz w:val="32"/>
          <w:szCs w:val="32"/>
        </w:rPr>
        <w:t>（款）</w:t>
      </w:r>
      <w:r>
        <w:rPr>
          <w:rStyle w:val="16"/>
          <w:rFonts w:hint="eastAsia" w:hAnsi="仿宋_GB2312" w:cs="仿宋_GB2312"/>
          <w:b w:val="0"/>
          <w:bCs/>
          <w:sz w:val="32"/>
          <w:szCs w:val="32"/>
          <w:lang w:val="en-US" w:eastAsia="zh-CN"/>
        </w:rPr>
        <w:t>其他卫生健康支出</w:t>
      </w:r>
      <w:r>
        <w:rPr>
          <w:rStyle w:val="16"/>
          <w:rFonts w:hint="eastAsia" w:ascii="仿宋_GB2312" w:hAnsi="仿宋_GB2312" w:eastAsia="仿宋_GB2312" w:cs="仿宋_GB2312"/>
          <w:b w:val="0"/>
          <w:bCs/>
          <w:sz w:val="32"/>
          <w:szCs w:val="32"/>
        </w:rPr>
        <w:t>（项）:支出决算为</w:t>
      </w:r>
      <w:r>
        <w:rPr>
          <w:rStyle w:val="16"/>
          <w:rFonts w:hint="eastAsia" w:hAnsi="仿宋_GB2312" w:cs="仿宋_GB2312"/>
          <w:b w:val="0"/>
          <w:bCs/>
          <w:sz w:val="32"/>
          <w:szCs w:val="32"/>
          <w:lang w:val="en-US" w:eastAsia="zh-CN"/>
        </w:rPr>
        <w:t>98.70</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%，决算数等于预算数。</w:t>
      </w:r>
    </w:p>
    <w:p>
      <w:pPr>
        <w:pStyle w:val="2"/>
        <w:keepNext w:val="0"/>
        <w:keepLines w:val="0"/>
        <w:pageBreakBefore w:val="0"/>
        <w:widowControl w:val="0"/>
        <w:kinsoku/>
        <w:wordWrap/>
        <w:overflowPunct/>
        <w:topLinePunct w:val="0"/>
        <w:autoSpaceDE/>
        <w:autoSpaceDN/>
        <w:bidi w:val="0"/>
        <w:adjustRightInd/>
        <w:snapToGrid/>
        <w:spacing w:after="0"/>
        <w:ind w:firstLine="641"/>
        <w:textAlignment w:val="auto"/>
        <w:rPr>
          <w:rStyle w:val="16"/>
          <w:rFonts w:hint="eastAsia" w:ascii="仿宋_GB2312" w:hAnsi="仿宋_GB2312" w:eastAsia="仿宋_GB2312" w:cs="仿宋_GB2312"/>
          <w:b w:val="0"/>
          <w:bCs/>
          <w:sz w:val="32"/>
          <w:szCs w:val="32"/>
        </w:rPr>
      </w:pPr>
      <w:r>
        <w:rPr>
          <w:rFonts w:hint="eastAsia" w:ascii="Times New Roman" w:cs="仿宋_GB2312"/>
          <w:kern w:val="2"/>
          <w:sz w:val="32"/>
          <w:szCs w:val="32"/>
          <w:lang w:val="en-US" w:eastAsia="zh-CN" w:bidi="ar-SA"/>
        </w:rPr>
        <w:t>12.</w:t>
      </w:r>
      <w:r>
        <w:rPr>
          <w:rStyle w:val="16"/>
          <w:rFonts w:hint="eastAsia" w:ascii="仿宋_GB2312" w:hAnsi="仿宋_GB2312" w:eastAsia="仿宋_GB2312" w:cs="仿宋_GB2312"/>
          <w:b w:val="0"/>
          <w:bCs/>
          <w:sz w:val="32"/>
          <w:szCs w:val="32"/>
        </w:rPr>
        <w:t>住房保障支出（类）住房改革支出（款）</w:t>
      </w:r>
      <w:r>
        <w:rPr>
          <w:rStyle w:val="16"/>
          <w:rFonts w:hint="eastAsia" w:ascii="仿宋_GB2312" w:hAnsi="仿宋_GB2312" w:eastAsia="仿宋_GB2312" w:cs="仿宋_GB2312"/>
          <w:b w:val="0"/>
          <w:bCs/>
          <w:sz w:val="32"/>
          <w:szCs w:val="32"/>
          <w:lang w:val="en-US" w:eastAsia="zh-CN"/>
        </w:rPr>
        <w:t>住房公积金</w:t>
      </w:r>
      <w:r>
        <w:rPr>
          <w:rStyle w:val="16"/>
          <w:rFonts w:hint="eastAsia" w:ascii="仿宋_GB2312" w:hAnsi="仿宋_GB2312" w:eastAsia="仿宋_GB2312" w:cs="仿宋_GB2312"/>
          <w:b w:val="0"/>
          <w:bCs/>
          <w:sz w:val="32"/>
          <w:szCs w:val="32"/>
        </w:rPr>
        <w:t>（项）:支出决算为</w:t>
      </w:r>
      <w:r>
        <w:rPr>
          <w:rStyle w:val="16"/>
          <w:rFonts w:hint="eastAsia" w:hAnsi="仿宋_GB2312" w:cs="仿宋_GB2312"/>
          <w:b w:val="0"/>
          <w:bCs/>
          <w:sz w:val="32"/>
          <w:szCs w:val="32"/>
          <w:lang w:val="en-US" w:eastAsia="zh-CN"/>
        </w:rPr>
        <w:t>45.02</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%，决算数等于预算数。</w:t>
      </w:r>
    </w:p>
    <w:p>
      <w:pPr>
        <w:spacing w:line="600" w:lineRule="exact"/>
        <w:ind w:firstLine="640"/>
        <w:rPr>
          <w:rFonts w:eastAsia="仿宋_GB2312" w:cs="仿宋_GB2312"/>
          <w:sz w:val="32"/>
          <w:szCs w:val="32"/>
        </w:rPr>
      </w:pPr>
    </w:p>
    <w:p>
      <w:pPr>
        <w:tabs>
          <w:tab w:val="right" w:pos="8306"/>
        </w:tabs>
        <w:spacing w:line="600" w:lineRule="exact"/>
        <w:ind w:firstLine="640"/>
        <w:outlineLvl w:val="1"/>
        <w:rPr>
          <w:rStyle w:val="29"/>
          <w:rFonts w:ascii="Times New Roman" w:hAnsi="Times New Roman"/>
        </w:rPr>
      </w:pPr>
      <w:bookmarkStart w:id="28" w:name="_Toc15396608"/>
      <w:bookmarkStart w:id="29" w:name="_Toc15377214"/>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28"/>
      <w:bookmarkEnd w:id="29"/>
      <w:r>
        <w:rPr>
          <w:rStyle w:val="29"/>
          <w:rFonts w:ascii="Times New Roman" w:hAnsi="Times New Roman" w:eastAsia="黑体"/>
          <w:b w:val="0"/>
        </w:rPr>
        <w:tab/>
      </w:r>
    </w:p>
    <w:p>
      <w:pPr>
        <w:spacing w:line="600" w:lineRule="exact"/>
        <w:ind w:firstLine="640"/>
        <w:rPr>
          <w:rStyle w:val="16"/>
          <w:rFonts w:hint="eastAsia" w:ascii="仿宋_GB2312" w:hAnsi="仿宋_GB2312" w:eastAsia="仿宋_GB2312" w:cs="仿宋_GB2312"/>
          <w:b w:val="0"/>
          <w:bCs/>
          <w:kern w:val="0"/>
          <w:sz w:val="32"/>
          <w:szCs w:val="32"/>
          <w:lang w:val="en-US" w:eastAsia="zh-CN" w:bidi="ar-SA"/>
        </w:rPr>
      </w:pPr>
      <w:r>
        <w:rPr>
          <w:rStyle w:val="16"/>
          <w:rFonts w:hint="eastAsia" w:ascii="仿宋_GB2312" w:hAnsi="仿宋_GB2312" w:eastAsia="仿宋_GB2312" w:cs="仿宋_GB2312"/>
          <w:b w:val="0"/>
          <w:bCs/>
          <w:kern w:val="0"/>
          <w:sz w:val="32"/>
          <w:szCs w:val="32"/>
          <w:lang w:val="en-US" w:eastAsia="zh-CN" w:bidi="ar-SA"/>
        </w:rPr>
        <w:t>2024年度一般公共预算财政拨款基本支出552.58万元，其中：</w:t>
      </w:r>
    </w:p>
    <w:p>
      <w:pPr>
        <w:spacing w:line="600" w:lineRule="exact"/>
        <w:ind w:firstLine="640"/>
        <w:rPr>
          <w:rStyle w:val="16"/>
          <w:rFonts w:hint="eastAsia" w:ascii="仿宋_GB2312" w:hAnsi="仿宋_GB2312" w:eastAsia="仿宋_GB2312" w:cs="仿宋_GB2312"/>
          <w:b w:val="0"/>
          <w:bCs/>
          <w:kern w:val="0"/>
          <w:sz w:val="32"/>
          <w:szCs w:val="32"/>
          <w:lang w:val="en-US" w:eastAsia="zh-CN" w:bidi="ar-SA"/>
        </w:rPr>
      </w:pPr>
      <w:r>
        <w:rPr>
          <w:rStyle w:val="16"/>
          <w:rFonts w:hint="eastAsia" w:ascii="仿宋_GB2312" w:hAnsi="仿宋_GB2312" w:eastAsia="仿宋_GB2312" w:cs="仿宋_GB2312"/>
          <w:b w:val="0"/>
          <w:bCs/>
          <w:kern w:val="0"/>
          <w:sz w:val="32"/>
          <w:szCs w:val="32"/>
          <w:lang w:val="en-US" w:eastAsia="zh-CN" w:bidi="ar-SA"/>
        </w:rPr>
        <w:t>人员经费550.87万元，主要包括：基本工资、津贴补贴、绩效工资、机关事业单位基本养老保险缴费、职业年金缴费、职工基本医疗保险缴费、公务员医疗补助缴费、其他社会保障缴费、住房公积金、医疗费、其他工资福利支出、生活补助、医疗费补助、奖励金等。</w:t>
      </w:r>
      <w:r>
        <w:rPr>
          <w:rStyle w:val="16"/>
          <w:rFonts w:hint="eastAsia" w:ascii="仿宋_GB2312" w:hAnsi="仿宋_GB2312" w:eastAsia="仿宋_GB2312" w:cs="仿宋_GB2312"/>
          <w:b w:val="0"/>
          <w:bCs/>
          <w:kern w:val="0"/>
          <w:sz w:val="32"/>
          <w:szCs w:val="32"/>
          <w:lang w:val="en-US" w:eastAsia="zh-CN" w:bidi="ar-SA"/>
        </w:rPr>
        <w:br w:type="textWrapping"/>
      </w:r>
      <w:r>
        <w:rPr>
          <w:rStyle w:val="16"/>
          <w:rFonts w:hint="eastAsia" w:ascii="仿宋_GB2312" w:hAnsi="仿宋_GB2312" w:eastAsia="仿宋_GB2312" w:cs="仿宋_GB2312"/>
          <w:b w:val="0"/>
          <w:bCs/>
          <w:kern w:val="0"/>
          <w:sz w:val="32"/>
          <w:szCs w:val="32"/>
          <w:lang w:val="en-US" w:eastAsia="zh-CN" w:bidi="ar-SA"/>
        </w:rPr>
        <w:t>　　公用经费1.71万元，主要包括：维修（护）费、培训费、福利费等。</w:t>
      </w:r>
    </w:p>
    <w:p>
      <w:pPr>
        <w:spacing w:line="600" w:lineRule="exact"/>
        <w:ind w:firstLine="640"/>
        <w:rPr>
          <w:rFonts w:eastAsia="仿宋_GB2312" w:cs="仿宋_GB2312"/>
          <w:sz w:val="32"/>
          <w:szCs w:val="32"/>
        </w:rPr>
      </w:pPr>
    </w:p>
    <w:p>
      <w:pPr>
        <w:spacing w:line="600" w:lineRule="exact"/>
        <w:ind w:firstLine="640"/>
        <w:outlineLvl w:val="1"/>
        <w:rPr>
          <w:rStyle w:val="29"/>
          <w:rFonts w:ascii="Times New Roman" w:hAnsi="Times New Roman" w:eastAsia="黑体"/>
          <w:b w:val="0"/>
        </w:rPr>
      </w:pPr>
      <w:bookmarkStart w:id="30" w:name="_Toc15377215"/>
      <w:bookmarkStart w:id="31" w:name="_Toc15396609"/>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0"/>
      <w:bookmarkEnd w:id="31"/>
    </w:p>
    <w:p>
      <w:pPr>
        <w:spacing w:line="600" w:lineRule="exact"/>
        <w:ind w:firstLine="643" w:firstLineChars="200"/>
        <w:outlineLvl w:val="2"/>
        <w:rPr>
          <w:rFonts w:eastAsia="楷体_GB2312" w:cs="楷体_GB2312"/>
          <w:b/>
          <w:sz w:val="32"/>
          <w:szCs w:val="32"/>
        </w:rPr>
      </w:pPr>
      <w:bookmarkStart w:id="32" w:name="_Toc15377216"/>
      <w:r>
        <w:rPr>
          <w:rFonts w:hint="eastAsia" w:eastAsia="楷体_GB2312" w:cs="楷体_GB2312"/>
          <w:b/>
          <w:sz w:val="32"/>
          <w:szCs w:val="32"/>
        </w:rPr>
        <w:t>（一）“三公”经费财政拨款支出决算总体情况说明</w:t>
      </w:r>
      <w:bookmarkEnd w:id="32"/>
    </w:p>
    <w:p>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rPr>
        <w:t>较上年度</w:t>
      </w:r>
      <w:r>
        <w:rPr>
          <w:rFonts w:hint="eastAsia" w:eastAsia="仿宋_GB2312" w:cs="仿宋_GB2312"/>
          <w:sz w:val="32"/>
          <w:szCs w:val="32"/>
          <w:lang w:val="en-US" w:eastAsia="zh-CN"/>
        </w:rPr>
        <w:t>无增减变动</w:t>
      </w:r>
      <w:r>
        <w:rPr>
          <w:rFonts w:hint="eastAsia" w:eastAsia="仿宋_GB2312" w:cs="仿宋_GB2312"/>
          <w:sz w:val="32"/>
          <w:szCs w:val="32"/>
        </w:rPr>
        <w:t>。决算数与预算数持平</w:t>
      </w:r>
      <w:r>
        <w:rPr>
          <w:rFonts w:hint="eastAsia" w:eastAsia="仿宋_GB2312" w:cs="仿宋_GB2312"/>
          <w:sz w:val="32"/>
          <w:szCs w:val="32"/>
          <w:lang w:eastAsia="zh-CN"/>
        </w:rPr>
        <w:t>。</w:t>
      </w:r>
    </w:p>
    <w:p>
      <w:pPr>
        <w:spacing w:line="600" w:lineRule="exact"/>
        <w:ind w:firstLine="643" w:firstLineChars="200"/>
        <w:outlineLvl w:val="2"/>
        <w:rPr>
          <w:rFonts w:eastAsia="楷体_GB2312" w:cs="楷体_GB2312"/>
          <w:b/>
          <w:sz w:val="32"/>
          <w:szCs w:val="32"/>
        </w:rPr>
      </w:pPr>
      <w:bookmarkStart w:id="33" w:name="_Toc15377217"/>
      <w:r>
        <w:rPr>
          <w:rFonts w:hint="eastAsia" w:eastAsia="楷体_GB2312" w:cs="楷体_GB2312"/>
          <w:b/>
          <w:sz w:val="32"/>
          <w:szCs w:val="32"/>
        </w:rPr>
        <w:t>（二）“三公”经费财政拨款支出决算具体情况说明</w:t>
      </w:r>
      <w:bookmarkEnd w:id="33"/>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%。具体情况如下：</w:t>
      </w:r>
    </w:p>
    <w:p>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eastAsia="仿宋_GB2312" w:cs="仿宋_GB2312"/>
          <w:sz w:val="32"/>
          <w:szCs w:val="32"/>
        </w:rPr>
        <w:t>。因公出国（境）支出决算</w:t>
      </w:r>
      <w:r>
        <w:rPr>
          <w:rFonts w:hint="eastAsia" w:eastAsia="仿宋_GB2312" w:cs="仿宋_GB2312"/>
          <w:sz w:val="32"/>
          <w:szCs w:val="32"/>
          <w:lang w:val="en-US" w:eastAsia="zh-CN"/>
        </w:rPr>
        <w:t>较</w:t>
      </w:r>
      <w:r>
        <w:rPr>
          <w:rFonts w:hint="eastAsia" w:eastAsia="仿宋_GB2312" w:cs="仿宋_GB2312"/>
          <w:sz w:val="32"/>
          <w:szCs w:val="32"/>
        </w:rPr>
        <w:t>2023年</w:t>
      </w:r>
      <w:r>
        <w:rPr>
          <w:rFonts w:hint="eastAsia" w:eastAsia="仿宋_GB2312" w:cs="仿宋_GB2312"/>
          <w:sz w:val="32"/>
          <w:szCs w:val="32"/>
          <w:lang w:val="en-US" w:eastAsia="zh-CN"/>
        </w:rPr>
        <w:t>无增减变动</w:t>
      </w:r>
      <w:r>
        <w:rPr>
          <w:rFonts w:hint="eastAsia" w:eastAsia="仿宋_GB2312" w:cs="仿宋_GB2312"/>
          <w:sz w:val="32"/>
          <w:szCs w:val="32"/>
        </w:rPr>
        <w:t>。</w:t>
      </w:r>
    </w:p>
    <w:p>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公务用车购置及运行维护费支出决算</w:t>
      </w:r>
      <w:r>
        <w:rPr>
          <w:rFonts w:hint="eastAsia" w:eastAsia="仿宋_GB2312" w:cs="仿宋_GB2312"/>
          <w:sz w:val="32"/>
          <w:szCs w:val="32"/>
          <w:lang w:val="en-US" w:eastAsia="zh-CN"/>
        </w:rPr>
        <w:t>较</w:t>
      </w:r>
      <w:r>
        <w:rPr>
          <w:rFonts w:hint="eastAsia" w:eastAsia="仿宋_GB2312" w:cs="仿宋_GB2312"/>
          <w:sz w:val="32"/>
          <w:szCs w:val="32"/>
        </w:rPr>
        <w:t>2023年度</w:t>
      </w:r>
      <w:r>
        <w:rPr>
          <w:rFonts w:hint="eastAsia" w:eastAsia="仿宋_GB2312" w:cs="仿宋_GB2312"/>
          <w:sz w:val="32"/>
          <w:szCs w:val="32"/>
          <w:lang w:val="en-US" w:eastAsia="zh-CN"/>
        </w:rPr>
        <w:t>无增减变动。</w:t>
      </w:r>
    </w:p>
    <w:p>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w:t>
      </w:r>
      <w:r>
        <w:rPr>
          <w:rFonts w:hint="eastAsia" w:eastAsia="仿宋_GB2312" w:cs="仿宋_GB2312"/>
          <w:sz w:val="32"/>
          <w:szCs w:val="32"/>
          <w:lang w:val="en-US" w:eastAsia="zh-CN"/>
        </w:rPr>
        <w:t>0</w:t>
      </w:r>
      <w:r>
        <w:rPr>
          <w:rFonts w:hint="eastAsia" w:eastAsia="仿宋_GB2312" w:cs="仿宋_GB2312"/>
          <w:sz w:val="32"/>
          <w:szCs w:val="32"/>
        </w:rPr>
        <w:t>。截至2024年12月31日，单位共有公务用车</w:t>
      </w:r>
      <w:r>
        <w:rPr>
          <w:rFonts w:hint="eastAsia" w:eastAsia="仿宋_GB2312" w:cs="仿宋_GB2312"/>
          <w:sz w:val="32"/>
          <w:szCs w:val="32"/>
          <w:lang w:val="en-US" w:eastAsia="zh-CN"/>
        </w:rPr>
        <w:t>2</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辆、越野车</w:t>
      </w:r>
      <w:r>
        <w:rPr>
          <w:rFonts w:hint="eastAsia" w:eastAsia="仿宋_GB2312" w:cs="仿宋_GB2312"/>
          <w:sz w:val="32"/>
          <w:szCs w:val="32"/>
          <w:lang w:val="en-US" w:eastAsia="zh-CN"/>
        </w:rPr>
        <w:t>0</w:t>
      </w:r>
      <w:r>
        <w:rPr>
          <w:rFonts w:hint="eastAsia" w:eastAsia="仿宋_GB2312" w:cs="仿宋_GB2312"/>
          <w:sz w:val="32"/>
          <w:szCs w:val="32"/>
        </w:rPr>
        <w:t>辆、载客汽车</w:t>
      </w:r>
      <w:r>
        <w:rPr>
          <w:rFonts w:hint="eastAsia" w:eastAsia="仿宋_GB2312" w:cs="仿宋_GB2312"/>
          <w:sz w:val="32"/>
          <w:szCs w:val="32"/>
          <w:lang w:val="en-US" w:eastAsia="zh-CN"/>
        </w:rPr>
        <w:t>0</w:t>
      </w:r>
      <w:r>
        <w:rPr>
          <w:rFonts w:hint="eastAsia" w:eastAsia="仿宋_GB2312" w:cs="仿宋_GB2312"/>
          <w:sz w:val="32"/>
          <w:szCs w:val="32"/>
        </w:rPr>
        <w:t>辆</w:t>
      </w:r>
      <w:r>
        <w:rPr>
          <w:rFonts w:hint="eastAsia" w:eastAsia="仿宋_GB2312" w:cs="仿宋_GB2312"/>
          <w:sz w:val="32"/>
          <w:szCs w:val="32"/>
          <w:lang w:eastAsia="zh-CN"/>
        </w:rPr>
        <w:t>、</w:t>
      </w:r>
      <w:r>
        <w:rPr>
          <w:rFonts w:hint="eastAsia" w:ascii="仿宋_GB2312" w:hAnsi="仿宋_GB2312" w:eastAsia="仿宋_GB2312" w:cs="仿宋_GB2312"/>
          <w:sz w:val="32"/>
          <w:szCs w:val="32"/>
          <w:lang w:val="en-US" w:eastAsia="zh-CN"/>
        </w:rPr>
        <w:t>特种专业技术用车（救护车）2辆</w:t>
      </w:r>
      <w:r>
        <w:rPr>
          <w:rFonts w:hint="eastAsia" w:eastAsia="仿宋_GB2312" w:cs="仿宋_GB2312"/>
          <w:sz w:val="32"/>
          <w:szCs w:val="32"/>
        </w:rPr>
        <w:t>。</w:t>
      </w:r>
    </w:p>
    <w:p>
      <w:pPr>
        <w:spacing w:line="600" w:lineRule="exact"/>
        <w:ind w:firstLine="640"/>
        <w:rPr>
          <w:rFonts w:hint="eastAsia"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w:t>
      </w:r>
    </w:p>
    <w:p>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公务接待费支出决算</w:t>
      </w:r>
      <w:r>
        <w:rPr>
          <w:rFonts w:hint="eastAsia" w:eastAsia="仿宋_GB2312" w:cs="仿宋_GB2312"/>
          <w:sz w:val="32"/>
          <w:szCs w:val="32"/>
          <w:lang w:val="en-US" w:eastAsia="zh-CN"/>
        </w:rPr>
        <w:t>较</w:t>
      </w:r>
      <w:r>
        <w:rPr>
          <w:rFonts w:hint="eastAsia" w:eastAsia="仿宋_GB2312" w:cs="仿宋_GB2312"/>
          <w:sz w:val="32"/>
          <w:szCs w:val="32"/>
        </w:rPr>
        <w:t>2023年度</w:t>
      </w:r>
      <w:r>
        <w:rPr>
          <w:rFonts w:hint="eastAsia" w:eastAsia="仿宋_GB2312" w:cs="仿宋_GB2312"/>
          <w:sz w:val="32"/>
          <w:szCs w:val="32"/>
          <w:lang w:val="en-US" w:eastAsia="zh-CN"/>
        </w:rPr>
        <w:t>无</w:t>
      </w:r>
      <w:r>
        <w:rPr>
          <w:rFonts w:hint="eastAsia" w:eastAsia="仿宋_GB2312" w:cs="仿宋_GB2312"/>
          <w:sz w:val="32"/>
          <w:szCs w:val="32"/>
        </w:rPr>
        <w:t>增减</w:t>
      </w:r>
      <w:r>
        <w:rPr>
          <w:rFonts w:hint="eastAsia" w:eastAsia="仿宋_GB2312" w:cs="仿宋_GB2312"/>
          <w:sz w:val="32"/>
          <w:szCs w:val="32"/>
          <w:lang w:val="en-US" w:eastAsia="zh-CN"/>
        </w:rPr>
        <w:t>变动</w:t>
      </w:r>
      <w:r>
        <w:rPr>
          <w:rFonts w:hint="eastAsia" w:eastAsia="仿宋_GB2312" w:cs="仿宋_GB2312"/>
          <w:sz w:val="32"/>
          <w:szCs w:val="32"/>
        </w:rPr>
        <w:t>。其中：</w:t>
      </w:r>
    </w:p>
    <w:p>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元。国内公务接</w:t>
      </w:r>
      <w:r>
        <w:rPr>
          <w:rFonts w:hint="eastAsia" w:ascii="仿宋_GB2312" w:hAnsi="仿宋_GB2312" w:eastAsia="仿宋_GB2312" w:cs="仿宋_GB2312"/>
          <w:sz w:val="32"/>
          <w:szCs w:val="32"/>
        </w:rPr>
        <w:t>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人次（不包括陪同人员），共计支出</w:t>
      </w:r>
      <w:r>
        <w:rPr>
          <w:rFonts w:hint="eastAsia" w:eastAsia="仿宋_GB2312" w:cs="仿宋_GB2312"/>
          <w:sz w:val="32"/>
          <w:szCs w:val="32"/>
          <w:lang w:val="en-US" w:eastAsia="zh-CN"/>
        </w:rPr>
        <w:t>0</w:t>
      </w:r>
      <w:r>
        <w:rPr>
          <w:rFonts w:hint="eastAsia" w:eastAsia="仿宋_GB2312" w:cs="仿宋_GB2312"/>
          <w:sz w:val="32"/>
          <w:szCs w:val="32"/>
        </w:rPr>
        <w:t>万元。</w:t>
      </w:r>
    </w:p>
    <w:p>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万元，外事接待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人次（不包括陪同人员），共计支出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w:t>
      </w:r>
    </w:p>
    <w:p>
      <w:pPr>
        <w:spacing w:line="600" w:lineRule="exact"/>
        <w:ind w:firstLine="640"/>
        <w:rPr>
          <w:rFonts w:eastAsia="仿宋_GB2312" w:cs="仿宋_GB2312"/>
          <w:sz w:val="32"/>
          <w:szCs w:val="32"/>
        </w:rPr>
      </w:pPr>
      <w:bookmarkStart w:id="34" w:name="_Toc15377218"/>
      <w:bookmarkStart w:id="35" w:name="_Toc15396610"/>
    </w:p>
    <w:p>
      <w:pPr>
        <w:spacing w:line="600" w:lineRule="exact"/>
        <w:ind w:firstLine="640"/>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34"/>
      <w:bookmarkEnd w:id="35"/>
    </w:p>
    <w:p>
      <w:pPr>
        <w:spacing w:line="600" w:lineRule="exact"/>
        <w:ind w:firstLine="640"/>
        <w:rPr>
          <w:rFonts w:hint="eastAsia" w:eastAsia="仿宋_GB2312" w:cs="仿宋_GB2312"/>
          <w:sz w:val="32"/>
          <w:szCs w:val="32"/>
        </w:rPr>
      </w:pPr>
      <w:r>
        <w:rPr>
          <w:rFonts w:hint="eastAsia" w:ascii="仿宋_GB2312" w:hAnsi="仿宋_GB2312" w:eastAsia="仿宋_GB2312" w:cs="仿宋_GB2312"/>
          <w:sz w:val="32"/>
          <w:szCs w:val="32"/>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rPr>
        <w:t>。与2023年度决算数持平。</w:t>
      </w:r>
    </w:p>
    <w:p>
      <w:pPr>
        <w:pStyle w:val="2"/>
      </w:pPr>
    </w:p>
    <w:p>
      <w:pPr>
        <w:spacing w:line="600" w:lineRule="exact"/>
        <w:ind w:left="630"/>
        <w:outlineLvl w:val="1"/>
        <w:rPr>
          <w:rStyle w:val="29"/>
          <w:rFonts w:ascii="Times New Roman" w:hAnsi="Times New Roman" w:eastAsia="黑体"/>
          <w:b w:val="0"/>
        </w:rPr>
      </w:pPr>
      <w:bookmarkStart w:id="36" w:name="_Toc15396611"/>
      <w:bookmarkStart w:id="37" w:name="_Toc15377219"/>
      <w:r>
        <w:rPr>
          <w:rStyle w:val="29"/>
          <w:rFonts w:hint="eastAsia" w:ascii="Times New Roman" w:hAnsi="Times New Roman" w:eastAsia="黑体"/>
          <w:b w:val="0"/>
        </w:rPr>
        <w:t>九、国有资本经营预算支出决算情况说明</w:t>
      </w:r>
      <w:bookmarkEnd w:id="36"/>
      <w:bookmarkEnd w:id="37"/>
    </w:p>
    <w:p>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rPr>
        <w:t>。与2023年度决算数持平。</w:t>
      </w:r>
    </w:p>
    <w:p>
      <w:pPr>
        <w:spacing w:line="600" w:lineRule="exact"/>
        <w:ind w:firstLine="640"/>
        <w:rPr>
          <w:rFonts w:eastAsia="仿宋_GB2312" w:cs="仿宋_GB2312"/>
          <w:sz w:val="32"/>
          <w:szCs w:val="32"/>
        </w:rPr>
      </w:pPr>
    </w:p>
    <w:p>
      <w:pPr>
        <w:spacing w:line="600" w:lineRule="exact"/>
        <w:ind w:left="630"/>
        <w:outlineLvl w:val="1"/>
        <w:rPr>
          <w:rStyle w:val="29"/>
          <w:rFonts w:ascii="Times New Roman" w:hAnsi="Times New Roman" w:eastAsia="黑体"/>
          <w:b w:val="0"/>
        </w:rPr>
      </w:pPr>
      <w:bookmarkStart w:id="38" w:name="_Toc15377221"/>
      <w:bookmarkStart w:id="39" w:name="_Toc15396612"/>
      <w:r>
        <w:rPr>
          <w:rStyle w:val="29"/>
          <w:rFonts w:hint="eastAsia" w:ascii="Times New Roman" w:hAnsi="Times New Roman" w:eastAsia="黑体"/>
          <w:b w:val="0"/>
        </w:rPr>
        <w:t>十、其他重要事项的情况说明</w:t>
      </w:r>
      <w:bookmarkEnd w:id="38"/>
      <w:bookmarkEnd w:id="39"/>
    </w:p>
    <w:p>
      <w:pPr>
        <w:spacing w:line="600" w:lineRule="exact"/>
        <w:ind w:firstLine="643" w:firstLineChars="200"/>
        <w:outlineLvl w:val="2"/>
        <w:rPr>
          <w:rFonts w:eastAsia="楷体_GB2312" w:cs="楷体_GB2312"/>
          <w:b/>
          <w:sz w:val="32"/>
          <w:szCs w:val="32"/>
        </w:rPr>
      </w:pPr>
      <w:bookmarkStart w:id="40" w:name="_Toc15377222"/>
      <w:r>
        <w:rPr>
          <w:rFonts w:hint="eastAsia" w:eastAsia="楷体_GB2312" w:cs="楷体_GB2312"/>
          <w:b/>
          <w:sz w:val="32"/>
          <w:szCs w:val="32"/>
        </w:rPr>
        <w:t>（一）机关运行经费支出情况</w:t>
      </w:r>
      <w:bookmarkEnd w:id="40"/>
    </w:p>
    <w:p>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盐边县红格镇中心卫生院</w:t>
      </w:r>
      <w:r>
        <w:rPr>
          <w:rFonts w:hint="eastAsia" w:ascii="仿宋_GB2312" w:hAnsi="仿宋_GB2312" w:eastAsia="仿宋_GB2312" w:cs="仿宋_GB2312"/>
          <w:sz w:val="32"/>
          <w:szCs w:val="32"/>
        </w:rPr>
        <w:t>机关运行经费支出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元，与2023年度决算数持平。</w:t>
      </w:r>
    </w:p>
    <w:p>
      <w:pPr>
        <w:spacing w:line="600" w:lineRule="exact"/>
        <w:ind w:firstLine="643" w:firstLineChars="200"/>
        <w:outlineLvl w:val="2"/>
        <w:rPr>
          <w:rFonts w:eastAsia="楷体_GB2312" w:cs="楷体_GB2312"/>
          <w:b/>
          <w:sz w:val="32"/>
          <w:szCs w:val="32"/>
        </w:rPr>
      </w:pPr>
      <w:bookmarkStart w:id="41" w:name="_Toc15377223"/>
      <w:r>
        <w:rPr>
          <w:rFonts w:hint="eastAsia" w:eastAsia="楷体_GB2312" w:cs="楷体_GB2312"/>
          <w:b/>
          <w:sz w:val="32"/>
          <w:szCs w:val="32"/>
        </w:rPr>
        <w:t>（二）政府采购支出情况</w:t>
      </w:r>
      <w:bookmarkEnd w:id="41"/>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w:t>
      </w:r>
      <w:r>
        <w:rPr>
          <w:rFonts w:hint="eastAsia" w:ascii="仿宋_GB2312" w:hAnsi="仿宋_GB2312" w:eastAsia="仿宋_GB2312" w:cs="仿宋_GB2312"/>
          <w:sz w:val="32"/>
          <w:szCs w:val="32"/>
          <w:lang w:val="en-US" w:eastAsia="zh-CN"/>
        </w:rPr>
        <w:t>盐边县红格镇中心卫生院</w:t>
      </w:r>
      <w:r>
        <w:rPr>
          <w:rFonts w:hint="eastAsia" w:ascii="仿宋_GB2312" w:hAnsi="仿宋_GB2312" w:eastAsia="仿宋_GB2312" w:cs="仿宋_GB2312"/>
          <w:sz w:val="32"/>
          <w:szCs w:val="32"/>
        </w:rPr>
        <w:t>政府采购支出总额</w:t>
      </w:r>
      <w:r>
        <w:rPr>
          <w:rFonts w:hint="eastAsia" w:ascii="仿宋_GB2312" w:hAnsi="仿宋_GB2312" w:eastAsia="仿宋_GB2312" w:cs="仿宋_GB2312"/>
          <w:sz w:val="32"/>
          <w:szCs w:val="32"/>
          <w:lang w:val="en-US" w:eastAsia="zh-CN"/>
        </w:rPr>
        <w:t>68.80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68.80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val="en-US" w:eastAsia="zh-CN"/>
        </w:rPr>
        <w:t>医疗设备购置</w:t>
      </w:r>
      <w:r>
        <w:rPr>
          <w:rFonts w:hint="eastAsia" w:ascii="仿宋_GB2312" w:hAnsi="仿宋_GB2312" w:eastAsia="仿宋_GB2312" w:cs="仿宋_GB2312"/>
          <w:sz w:val="32"/>
          <w:szCs w:val="32"/>
        </w:rPr>
        <w:t>。授予中小企业合同金额</w:t>
      </w:r>
      <w:r>
        <w:rPr>
          <w:rFonts w:hint="eastAsia" w:ascii="仿宋_GB2312" w:hAnsi="仿宋_GB2312" w:eastAsia="仿宋_GB2312" w:cs="仿宋_GB2312"/>
          <w:sz w:val="32"/>
          <w:szCs w:val="32"/>
          <w:lang w:val="en-US" w:eastAsia="zh-CN"/>
        </w:rPr>
        <w:t>68.80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68.80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spacing w:line="600" w:lineRule="exact"/>
        <w:ind w:firstLine="643" w:firstLineChars="200"/>
        <w:outlineLvl w:val="2"/>
        <w:rPr>
          <w:rFonts w:eastAsia="楷体_GB2312" w:cs="楷体_GB2312"/>
          <w:b/>
          <w:sz w:val="32"/>
          <w:szCs w:val="32"/>
        </w:rPr>
      </w:pPr>
      <w:bookmarkStart w:id="42" w:name="_Toc15377224"/>
      <w:r>
        <w:rPr>
          <w:rFonts w:hint="eastAsia" w:eastAsia="楷体_GB2312" w:cs="楷体_GB2312"/>
          <w:b/>
          <w:sz w:val="32"/>
          <w:szCs w:val="32"/>
        </w:rPr>
        <w:t>（三）国有资产占有使用情况</w:t>
      </w:r>
      <w:bookmarkEnd w:id="42"/>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w:t>
      </w:r>
      <w:r>
        <w:rPr>
          <w:rFonts w:hint="eastAsia" w:ascii="仿宋_GB2312" w:hAnsi="仿宋_GB2312" w:eastAsia="仿宋_GB2312" w:cs="仿宋_GB2312"/>
          <w:sz w:val="32"/>
          <w:szCs w:val="32"/>
          <w:lang w:val="en-US" w:eastAsia="zh-CN"/>
        </w:rPr>
        <w:t>盐边县红格镇中心卫生院</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辆，其中：主要负责人用车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eastAsia="仿宋_GB2312"/>
          <w:sz w:val="32"/>
          <w:szCs w:val="32"/>
          <w:lang w:val="en-US" w:eastAsia="zh-CN"/>
        </w:rPr>
        <w:t>特种专业技术用车（救护车）2辆</w:t>
      </w:r>
      <w:r>
        <w:rPr>
          <w:rFonts w:hint="eastAsia" w:ascii="仿宋_GB2312" w:hAnsi="仿宋_GB2312" w:eastAsia="仿宋_GB2312" w:cs="仿宋_GB2312"/>
          <w:sz w:val="32"/>
          <w:szCs w:val="32"/>
        </w:rPr>
        <w:t>。单价100万元（含）以上设备（不含车辆）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r>
        <w:rPr>
          <w:rFonts w:hint="eastAsia" w:eastAsia="仿宋_GB2312" w:cs="仿宋_GB2312"/>
          <w:sz w:val="32"/>
          <w:szCs w:val="32"/>
        </w:rPr>
        <w:t>。</w:t>
      </w:r>
    </w:p>
    <w:p>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pPr>
        <w:spacing w:line="600" w:lineRule="exact"/>
        <w:ind w:firstLine="640"/>
        <w:rPr>
          <w:rFonts w:eastAsia="仿宋_GB2312" w:cs="仿宋_GB2312"/>
          <w:sz w:val="32"/>
          <w:szCs w:val="32"/>
          <w:highlight w:val="none"/>
        </w:rPr>
      </w:pPr>
      <w:r>
        <w:rPr>
          <w:rFonts w:hint="eastAsia" w:eastAsia="仿宋_GB2312" w:cs="仿宋_GB2312"/>
          <w:sz w:val="32"/>
          <w:szCs w:val="32"/>
        </w:rPr>
        <w:t>根据预算绩效管理要求，</w:t>
      </w:r>
      <w:r>
        <w:rPr>
          <w:rFonts w:hint="eastAsia" w:eastAsia="仿宋_GB2312" w:cs="仿宋_GB2312"/>
          <w:sz w:val="32"/>
          <w:szCs w:val="32"/>
          <w:lang w:val="en-US" w:eastAsia="zh-CN"/>
        </w:rPr>
        <w:t>盐边县红格镇中心卫生院</w:t>
      </w:r>
      <w:r>
        <w:rPr>
          <w:rFonts w:hint="eastAsia" w:eastAsia="仿宋_GB2312" w:cs="仿宋_GB2312"/>
          <w:sz w:val="32"/>
          <w:szCs w:val="32"/>
        </w:rPr>
        <w:t>在2024年度预算编制阶段，组织对</w:t>
      </w:r>
      <w:r>
        <w:rPr>
          <w:rFonts w:hint="eastAsia" w:ascii="仿宋_GB2312" w:hAnsi="Times New Roman" w:eastAsia="仿宋_GB2312"/>
          <w:sz w:val="32"/>
          <w:szCs w:val="32"/>
          <w:lang w:val="en-US" w:eastAsia="zh-CN"/>
        </w:rPr>
        <w:t>基本公共卫生、基本药物补助</w:t>
      </w:r>
      <w:r>
        <w:rPr>
          <w:rFonts w:hint="eastAsia" w:eastAsia="仿宋_GB2312" w:cs="仿宋_GB2312"/>
          <w:sz w:val="32"/>
          <w:szCs w:val="32"/>
        </w:rPr>
        <w:t>等</w:t>
      </w:r>
      <w:r>
        <w:rPr>
          <w:rFonts w:hint="eastAsia" w:eastAsia="仿宋_GB2312" w:cs="仿宋_GB2312"/>
          <w:sz w:val="32"/>
          <w:szCs w:val="32"/>
          <w:lang w:val="en-US" w:eastAsia="zh-CN"/>
        </w:rPr>
        <w:t>19</w:t>
      </w:r>
      <w:r>
        <w:rPr>
          <w:rFonts w:hint="eastAsia" w:eastAsia="仿宋_GB2312" w:cs="仿宋_GB2312"/>
          <w:sz w:val="32"/>
          <w:szCs w:val="32"/>
          <w:highlight w:val="none"/>
        </w:rPr>
        <w:t>个项目开展了预算事前绩效评估，对</w:t>
      </w:r>
      <w:r>
        <w:rPr>
          <w:rFonts w:hint="eastAsia" w:eastAsia="仿宋_GB2312" w:cs="仿宋_GB2312"/>
          <w:sz w:val="32"/>
          <w:szCs w:val="32"/>
          <w:highlight w:val="none"/>
          <w:lang w:val="en-US" w:eastAsia="zh-CN"/>
        </w:rPr>
        <w:t>19</w:t>
      </w:r>
      <w:r>
        <w:rPr>
          <w:rFonts w:hint="eastAsia" w:eastAsia="仿宋_GB2312" w:cs="仿宋_GB2312"/>
          <w:sz w:val="32"/>
          <w:szCs w:val="32"/>
          <w:highlight w:val="none"/>
        </w:rPr>
        <w:t>个项目编制了绩效目标，预算执行过程中，选取</w:t>
      </w:r>
      <w:r>
        <w:rPr>
          <w:rFonts w:hint="eastAsia" w:eastAsia="仿宋_GB2312" w:cs="仿宋_GB2312"/>
          <w:sz w:val="32"/>
          <w:szCs w:val="32"/>
          <w:highlight w:val="none"/>
          <w:lang w:val="en-US" w:eastAsia="zh-CN"/>
        </w:rPr>
        <w:t>19</w:t>
      </w:r>
      <w:r>
        <w:rPr>
          <w:rFonts w:hint="eastAsia" w:eastAsia="仿宋_GB2312" w:cs="仿宋_GB2312"/>
          <w:sz w:val="32"/>
          <w:szCs w:val="32"/>
          <w:highlight w:val="none"/>
        </w:rPr>
        <w:t>个项目开展绩效监控。</w:t>
      </w:r>
    </w:p>
    <w:p>
      <w:pPr>
        <w:spacing w:line="600" w:lineRule="exact"/>
        <w:ind w:firstLine="640"/>
        <w:rPr>
          <w:rFonts w:eastAsia="仿宋_GB2312" w:cs="仿宋_GB2312"/>
          <w:sz w:val="32"/>
          <w:szCs w:val="32"/>
        </w:rPr>
      </w:pPr>
    </w:p>
    <w:p>
      <w:pPr>
        <w:spacing w:line="600" w:lineRule="exact"/>
        <w:ind w:firstLine="640"/>
        <w:rPr>
          <w:rFonts w:eastAsia="仿宋_GB2312" w:cs="仿宋_GB2312"/>
          <w:sz w:val="32"/>
          <w:szCs w:val="32"/>
        </w:rPr>
      </w:pPr>
    </w:p>
    <w:p>
      <w:pPr>
        <w:pStyle w:val="13"/>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0" w:leftChars="0" w:firstLine="0" w:firstLineChars="0"/>
      </w:pPr>
    </w:p>
    <w:p>
      <w:pPr>
        <w:spacing w:line="600" w:lineRule="exact"/>
        <w:jc w:val="center"/>
        <w:outlineLvl w:val="0"/>
        <w:rPr>
          <w:rFonts w:eastAsia="黑体"/>
          <w:sz w:val="44"/>
          <w:szCs w:val="44"/>
        </w:rPr>
      </w:pPr>
      <w:bookmarkStart w:id="43" w:name="_Toc15396613"/>
      <w:bookmarkStart w:id="44" w:name="_Toc15377225"/>
      <w:r>
        <w:rPr>
          <w:rFonts w:hint="eastAsia" w:eastAsia="黑体"/>
          <w:sz w:val="44"/>
          <w:szCs w:val="44"/>
        </w:rPr>
        <w:t>第三部分  名词解释</w:t>
      </w:r>
      <w:bookmarkEnd w:id="43"/>
      <w:bookmarkEnd w:id="44"/>
    </w:p>
    <w:p>
      <w:pPr>
        <w:spacing w:line="600" w:lineRule="exact"/>
        <w:jc w:val="left"/>
        <w:rPr>
          <w:b/>
          <w:sz w:val="44"/>
          <w:szCs w:val="44"/>
        </w:rPr>
      </w:pPr>
    </w:p>
    <w:p>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pPr>
        <w:spacing w:line="600" w:lineRule="exact"/>
        <w:ind w:firstLine="640"/>
        <w:rPr>
          <w:rFonts w:eastAsia="仿宋_GB2312" w:cs="仿宋_GB2312"/>
          <w:sz w:val="32"/>
          <w:szCs w:val="32"/>
        </w:rPr>
      </w:pPr>
      <w:r>
        <w:rPr>
          <w:rFonts w:hint="eastAsia" w:eastAsia="仿宋_GB2312" w:cs="仿宋_GB2312"/>
          <w:sz w:val="32"/>
          <w:szCs w:val="32"/>
        </w:rPr>
        <w:t>2.事业收入：指事业单位开展专业业务活动及辅助活动取得的收入。</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3</w:t>
      </w:r>
      <w:r>
        <w:rPr>
          <w:rFonts w:hint="eastAsia" w:eastAsia="仿宋_GB2312" w:cs="仿宋_GB2312"/>
          <w:sz w:val="32"/>
          <w:szCs w:val="32"/>
        </w:rPr>
        <w:t>.其他收入：指单位取得的除上述收入以外的各项收入。</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4</w:t>
      </w:r>
      <w:r>
        <w:rPr>
          <w:rFonts w:hint="eastAsia" w:eastAsia="仿宋_GB2312" w:cs="仿宋_GB2312"/>
          <w:sz w:val="32"/>
          <w:szCs w:val="32"/>
        </w:rPr>
        <w:t xml:space="preserve">.使用非财政拨款结余（含专用结余）：指事业单位使用以前年度积累的非财政拨款结余弥补当年收支差额的金额。 </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5</w:t>
      </w:r>
      <w:r>
        <w:rPr>
          <w:rFonts w:hint="eastAsia" w:eastAsia="仿宋_GB2312" w:cs="仿宋_GB2312"/>
          <w:sz w:val="32"/>
          <w:szCs w:val="32"/>
        </w:rPr>
        <w:t>.社会保障和就业支出（类）行政事业单位养老支出（款）事业单位离退休（项）：指</w:t>
      </w:r>
      <w:r>
        <w:rPr>
          <w:rFonts w:hint="eastAsia" w:eastAsia="仿宋_GB2312" w:cs="仿宋_GB2312"/>
          <w:sz w:val="32"/>
          <w:szCs w:val="32"/>
          <w:lang w:val="en-US" w:eastAsia="zh-CN"/>
        </w:rPr>
        <w:t>事业单位开支的离退休经费。</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6</w:t>
      </w:r>
      <w:r>
        <w:rPr>
          <w:rFonts w:hint="eastAsia" w:eastAsia="仿宋_GB2312" w:cs="仿宋_GB2312"/>
          <w:sz w:val="32"/>
          <w:szCs w:val="32"/>
        </w:rPr>
        <w:t>.社会保障和就业支出（类）行政事业单位养老支出（款）机关事业单位基本养老保险缴费支出（项）：指</w:t>
      </w:r>
      <w:r>
        <w:rPr>
          <w:rFonts w:hint="eastAsia" w:eastAsia="仿宋_GB2312" w:cs="仿宋_GB2312"/>
          <w:sz w:val="32"/>
          <w:szCs w:val="32"/>
          <w:lang w:val="en-US" w:eastAsia="zh-CN"/>
        </w:rPr>
        <w:t>机关事业单位实施养老保险制度由单位缴纳的基本养老保险费支出。</w:t>
      </w:r>
    </w:p>
    <w:p>
      <w:pPr>
        <w:spacing w:line="600" w:lineRule="exact"/>
        <w:ind w:firstLine="640"/>
        <w:rPr>
          <w:rFonts w:hint="eastAsia" w:eastAsia="仿宋_GB2312" w:cs="仿宋_GB2312"/>
          <w:sz w:val="32"/>
          <w:szCs w:val="32"/>
        </w:rPr>
      </w:pPr>
      <w:r>
        <w:rPr>
          <w:rFonts w:hint="eastAsia" w:eastAsia="仿宋_GB2312" w:cs="仿宋_GB2312"/>
          <w:sz w:val="32"/>
          <w:szCs w:val="32"/>
          <w:lang w:val="en-US" w:eastAsia="zh-CN"/>
        </w:rPr>
        <w:t>7</w:t>
      </w:r>
      <w:r>
        <w:rPr>
          <w:rFonts w:hint="eastAsia" w:eastAsia="仿宋_GB2312" w:cs="仿宋_GB2312"/>
          <w:sz w:val="32"/>
          <w:szCs w:val="32"/>
        </w:rPr>
        <w:t>.社会保障和就业支出（类）行政事业单位养老支出（款）机关事业单位职业年金缴费支出（项）：指</w:t>
      </w:r>
      <w:r>
        <w:rPr>
          <w:rFonts w:hint="eastAsia" w:eastAsia="仿宋_GB2312" w:cs="仿宋_GB2312"/>
          <w:sz w:val="32"/>
          <w:szCs w:val="32"/>
          <w:lang w:val="en-US" w:eastAsia="zh-CN"/>
        </w:rPr>
        <w:t>机关事业单位实施养老保险制度由单位实际缴纳的职业年金支出（含职业年金补记支出）。</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8</w:t>
      </w:r>
      <w:r>
        <w:rPr>
          <w:rFonts w:hint="eastAsia" w:eastAsia="仿宋_GB2312" w:cs="仿宋_GB2312"/>
          <w:sz w:val="32"/>
          <w:szCs w:val="32"/>
        </w:rPr>
        <w:t>.卫生健康支出（类）基层医疗卫生机构（款）乡镇卫生院（项）：指</w:t>
      </w:r>
      <w:r>
        <w:rPr>
          <w:rFonts w:hint="eastAsia" w:eastAsia="仿宋_GB2312" w:cs="仿宋_GB2312"/>
          <w:sz w:val="32"/>
          <w:szCs w:val="32"/>
          <w:lang w:val="en-US" w:eastAsia="zh-CN"/>
        </w:rPr>
        <w:t>用于乡镇卫生院的支出。</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9</w:t>
      </w:r>
      <w:r>
        <w:rPr>
          <w:rFonts w:hint="eastAsia" w:eastAsia="仿宋_GB2312" w:cs="仿宋_GB2312"/>
          <w:sz w:val="32"/>
          <w:szCs w:val="32"/>
        </w:rPr>
        <w:t>.卫生健康支出（类）基层医疗卫生机构（款）其他基层医疗卫生机构支出（项）：指</w:t>
      </w:r>
      <w:r>
        <w:rPr>
          <w:rFonts w:hint="eastAsia" w:eastAsia="仿宋_GB2312" w:cs="仿宋_GB2312"/>
          <w:sz w:val="32"/>
          <w:szCs w:val="32"/>
          <w:lang w:val="en-US" w:eastAsia="zh-CN"/>
        </w:rPr>
        <w:t>除上述项目以外的其他用于基层医疗卫生机构的支出。</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10.</w:t>
      </w:r>
      <w:r>
        <w:rPr>
          <w:rFonts w:hint="eastAsia" w:eastAsia="仿宋_GB2312" w:cs="仿宋_GB2312"/>
          <w:sz w:val="32"/>
          <w:szCs w:val="32"/>
        </w:rPr>
        <w:t>卫生健康支出（类）公共卫生（款）基本公共卫生服务（项）：指</w:t>
      </w:r>
      <w:r>
        <w:rPr>
          <w:rFonts w:hint="eastAsia" w:eastAsia="仿宋_GB2312" w:cs="仿宋_GB2312"/>
          <w:sz w:val="32"/>
          <w:szCs w:val="32"/>
          <w:lang w:val="en-US" w:eastAsia="zh-CN"/>
        </w:rPr>
        <w:t>基本公共卫生服务支出。</w:t>
      </w:r>
    </w:p>
    <w:p>
      <w:pPr>
        <w:spacing w:line="600" w:lineRule="exact"/>
        <w:ind w:firstLine="640"/>
        <w:rPr>
          <w:rFonts w:eastAsia="仿宋_GB2312" w:cs="仿宋_GB2312"/>
          <w:sz w:val="32"/>
          <w:szCs w:val="32"/>
        </w:rPr>
      </w:pPr>
      <w:r>
        <w:rPr>
          <w:rFonts w:hint="eastAsia" w:eastAsia="仿宋_GB2312" w:cs="仿宋_GB2312"/>
          <w:sz w:val="32"/>
          <w:szCs w:val="32"/>
        </w:rPr>
        <w:t>11.卫生健康支出（类）公共卫生（款）重大公共卫生服务（项）：指</w:t>
      </w:r>
      <w:r>
        <w:rPr>
          <w:rFonts w:hint="eastAsia" w:eastAsia="仿宋_GB2312" w:cs="仿宋_GB2312"/>
          <w:sz w:val="32"/>
          <w:szCs w:val="32"/>
          <w:lang w:val="en-US" w:eastAsia="zh-CN"/>
        </w:rPr>
        <w:t>重大疾病、重大传染病预防控制等重大公共卫生服务项目支出。</w:t>
      </w:r>
    </w:p>
    <w:p>
      <w:pPr>
        <w:spacing w:line="600" w:lineRule="exact"/>
        <w:ind w:firstLine="640"/>
        <w:rPr>
          <w:rFonts w:eastAsia="仿宋_GB2312" w:cs="仿宋_GB2312"/>
          <w:sz w:val="32"/>
          <w:szCs w:val="32"/>
        </w:rPr>
      </w:pPr>
      <w:r>
        <w:rPr>
          <w:rFonts w:hint="eastAsia" w:eastAsia="仿宋_GB2312" w:cs="仿宋_GB2312"/>
          <w:sz w:val="32"/>
          <w:szCs w:val="32"/>
        </w:rPr>
        <w:t>12.卫生健康支出（类）公共卫生（款）其他公共卫生支出（项）：指</w:t>
      </w:r>
      <w:r>
        <w:rPr>
          <w:rFonts w:hint="eastAsia" w:eastAsia="仿宋_GB2312" w:cs="仿宋_GB2312"/>
          <w:sz w:val="32"/>
          <w:szCs w:val="32"/>
          <w:lang w:val="en-US" w:eastAsia="zh-CN"/>
        </w:rPr>
        <w:t>除上述项目以外的其他用于公共卫生方面的支出。</w:t>
      </w:r>
    </w:p>
    <w:p>
      <w:pPr>
        <w:spacing w:line="600" w:lineRule="exact"/>
        <w:ind w:firstLine="640"/>
        <w:rPr>
          <w:rFonts w:eastAsia="仿宋_GB2312" w:cs="仿宋_GB2312"/>
          <w:sz w:val="32"/>
          <w:szCs w:val="32"/>
        </w:rPr>
      </w:pPr>
      <w:r>
        <w:rPr>
          <w:rFonts w:hint="eastAsia" w:eastAsia="仿宋_GB2312" w:cs="仿宋_GB2312"/>
          <w:sz w:val="32"/>
          <w:szCs w:val="32"/>
        </w:rPr>
        <w:t>13.卫生健康支出（类）行政事业单位医疗（款）事业单位医疗（项）：指</w:t>
      </w:r>
      <w:r>
        <w:rPr>
          <w:rFonts w:hint="eastAsia" w:eastAsia="仿宋_GB2312" w:cs="仿宋_GB2312"/>
          <w:sz w:val="32"/>
          <w:szCs w:val="32"/>
          <w:lang w:val="en-US" w:eastAsia="zh-CN"/>
        </w:rPr>
        <w:t>财政部门安排的事业单位基本医疗保险缴费经费，未参加医疗保险的事业单位的公费医疗经费，按国家规定享受离休人员待遇的医疗经费。</w:t>
      </w:r>
    </w:p>
    <w:p>
      <w:pPr>
        <w:spacing w:line="600" w:lineRule="exact"/>
        <w:ind w:firstLine="640"/>
        <w:rPr>
          <w:rFonts w:eastAsia="仿宋_GB2312" w:cs="仿宋_GB2312"/>
          <w:sz w:val="32"/>
          <w:szCs w:val="32"/>
        </w:rPr>
      </w:pPr>
      <w:r>
        <w:rPr>
          <w:rFonts w:hint="eastAsia" w:eastAsia="仿宋_GB2312" w:cs="仿宋_GB2312"/>
          <w:sz w:val="32"/>
          <w:szCs w:val="32"/>
        </w:rPr>
        <w:t>14.卫生健康支出（类）行政事业单位医疗（款）其他行政事业单位医疗支出（项）：指</w:t>
      </w:r>
      <w:r>
        <w:rPr>
          <w:rFonts w:hint="eastAsia" w:eastAsia="仿宋_GB2312" w:cs="仿宋_GB2312"/>
          <w:sz w:val="32"/>
          <w:szCs w:val="32"/>
          <w:lang w:val="en-US" w:eastAsia="zh-CN"/>
        </w:rPr>
        <w:t>除上述项目以外的其他用于行政事业单位医疗方面的支出。</w:t>
      </w:r>
    </w:p>
    <w:p>
      <w:pPr>
        <w:spacing w:line="600" w:lineRule="exact"/>
        <w:ind w:firstLine="640"/>
        <w:rPr>
          <w:rFonts w:eastAsia="仿宋_GB2312" w:cs="仿宋_GB2312"/>
          <w:sz w:val="32"/>
          <w:szCs w:val="32"/>
        </w:rPr>
      </w:pPr>
      <w:r>
        <w:rPr>
          <w:rFonts w:hint="eastAsia" w:eastAsia="仿宋_GB2312" w:cs="仿宋_GB2312"/>
          <w:sz w:val="32"/>
          <w:szCs w:val="32"/>
        </w:rPr>
        <w:t>15.卫生健康支出（类）其他卫生健康支出（款）其他卫生健康支出（项）：指</w:t>
      </w:r>
      <w:r>
        <w:rPr>
          <w:rFonts w:hint="eastAsia" w:eastAsia="仿宋_GB2312" w:cs="仿宋_GB2312"/>
          <w:sz w:val="32"/>
          <w:szCs w:val="32"/>
          <w:lang w:val="en-US" w:eastAsia="zh-CN"/>
        </w:rPr>
        <w:t>除上述项目以外其他用于卫生健康方面的支出。</w:t>
      </w:r>
    </w:p>
    <w:p>
      <w:pPr>
        <w:spacing w:line="600" w:lineRule="exact"/>
        <w:ind w:firstLine="640"/>
        <w:rPr>
          <w:rFonts w:eastAsia="仿宋_GB2312" w:cs="仿宋_GB2312"/>
          <w:sz w:val="32"/>
          <w:szCs w:val="32"/>
        </w:rPr>
      </w:pPr>
      <w:r>
        <w:rPr>
          <w:rFonts w:hint="eastAsia" w:eastAsia="仿宋_GB2312" w:cs="仿宋_GB2312"/>
          <w:sz w:val="32"/>
          <w:szCs w:val="32"/>
        </w:rPr>
        <w:t>16.住房保障支出（类）住房改革支出（款）住房公积金（项）：指</w:t>
      </w:r>
      <w:r>
        <w:rPr>
          <w:rFonts w:hint="eastAsia" w:eastAsia="仿宋_GB2312" w:cs="仿宋_GB2312"/>
          <w:sz w:val="32"/>
          <w:szCs w:val="32"/>
          <w:lang w:val="en-US" w:eastAsia="zh-CN"/>
        </w:rPr>
        <w:t>行政事业单位按人力资源和社会保障部、财政部规定的基本工资和津贴补贴以及规定比例为职工缴纳的住房公积金。</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17</w:t>
      </w:r>
      <w:r>
        <w:rPr>
          <w:rFonts w:hint="eastAsia" w:eastAsia="仿宋_GB2312" w:cs="仿宋_GB2312"/>
          <w:sz w:val="32"/>
          <w:szCs w:val="32"/>
        </w:rPr>
        <w:t>.基本支出：指为保障机构正常运转、完成日常工作任务而发生的人员支出和公用支出。</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18</w:t>
      </w:r>
      <w:r>
        <w:rPr>
          <w:rFonts w:hint="eastAsia" w:eastAsia="仿宋_GB2312" w:cs="仿宋_GB2312"/>
          <w:sz w:val="32"/>
          <w:szCs w:val="32"/>
        </w:rPr>
        <w:t xml:space="preserve">.项目支出：指在基本支出之外为完成特定行政任务和事业发展目标所发生的支出。 </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19</w:t>
      </w:r>
      <w:r>
        <w:rPr>
          <w:rFonts w:hint="eastAsia"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rPr>
          <w:rStyle w:val="28"/>
          <w:rFonts w:eastAsia="黑体"/>
          <w:b w:val="0"/>
        </w:rPr>
      </w:pPr>
      <w:bookmarkStart w:id="45" w:name="_Toc15377226"/>
      <w:r>
        <w:rPr>
          <w:rFonts w:hint="eastAsia" w:eastAsia="仿宋_GB2312" w:cs="仿宋_GB2312"/>
          <w:sz w:val="32"/>
          <w:szCs w:val="32"/>
        </w:rPr>
        <w:br w:type="page"/>
      </w:r>
      <w:bookmarkStart w:id="46" w:name="_Toc15396614"/>
      <w:r>
        <w:rPr>
          <w:rFonts w:hint="eastAsia" w:eastAsia="黑体"/>
          <w:sz w:val="44"/>
          <w:szCs w:val="44"/>
        </w:rPr>
        <w:t>第四部分  附件</w:t>
      </w:r>
      <w:bookmarkEnd w:id="46"/>
    </w:p>
    <w:p>
      <w:pPr>
        <w:spacing w:line="572" w:lineRule="exact"/>
        <w:jc w:val="left"/>
        <w:outlineLvl w:val="0"/>
        <w:rPr>
          <w:rFonts w:eastAsia="黑体" w:cs="黑体"/>
          <w:sz w:val="32"/>
          <w:szCs w:val="32"/>
        </w:rPr>
      </w:pPr>
    </w:p>
    <w:p>
      <w:pPr>
        <w:widowControl/>
        <w:spacing w:line="578" w:lineRule="exact"/>
        <w:contextualSpacing/>
        <w:jc w:val="center"/>
      </w:pPr>
      <w:r>
        <w:rPr>
          <w:rFonts w:hint="eastAsia" w:eastAsia="黑体" w:cs="黑体"/>
          <w:sz w:val="32"/>
          <w:szCs w:val="32"/>
        </w:rPr>
        <w:t>部门预算项目支出绩效评价表（2024年度）</w:t>
      </w:r>
    </w:p>
    <w:p>
      <w:pPr>
        <w:pStyle w:val="7"/>
        <w:spacing w:line="560" w:lineRule="exact"/>
        <w:ind w:left="0" w:leftChars="0" w:firstLine="640"/>
        <w:rPr>
          <w:rFonts w:ascii="Times New Roman" w:eastAsia="仿宋_GB2312" w:cs="仿宋_GB2312"/>
          <w:kern w:val="0"/>
          <w:sz w:val="32"/>
        </w:rPr>
      </w:pPr>
    </w:p>
    <w:p>
      <w:pPr>
        <w:spacing w:line="578" w:lineRule="exact"/>
        <w:ind w:firstLine="640"/>
        <w:rPr>
          <w:rFonts w:eastAsia="仿宋_GB2312" w:cs="仿宋_GB2312"/>
          <w:kern w:val="0"/>
          <w:sz w:val="32"/>
          <w:szCs w:val="32"/>
        </w:rPr>
      </w:pPr>
      <w:bookmarkStart w:id="47" w:name="_Toc15396618"/>
      <w:r>
        <w:rPr>
          <w:rFonts w:hint="eastAsia" w:eastAsia="仿宋_GB2312" w:cs="仿宋_GB2312"/>
          <w:kern w:val="0"/>
          <w:sz w:val="32"/>
          <w:szCs w:val="32"/>
        </w:rPr>
        <w:br w:type="page"/>
      </w:r>
    </w:p>
    <w:p>
      <w:pPr>
        <w:widowControl/>
        <w:jc w:val="center"/>
        <w:rPr>
          <w:rFonts w:eastAsia="仿宋"/>
        </w:rPr>
      </w:pPr>
      <w:r>
        <w:rPr>
          <w:rFonts w:hint="eastAsia" w:eastAsia="黑体"/>
          <w:sz w:val="44"/>
          <w:szCs w:val="44"/>
        </w:rPr>
        <w:t>第</w:t>
      </w:r>
      <w:r>
        <w:rPr>
          <w:rStyle w:val="28"/>
          <w:rFonts w:hint="eastAsia" w:eastAsia="黑体"/>
          <w:b w:val="0"/>
        </w:rPr>
        <w:t>五部分 附表</w:t>
      </w:r>
      <w:bookmarkEnd w:id="45"/>
      <w:bookmarkEnd w:id="47"/>
      <w:bookmarkStart w:id="48" w:name="_Toc15396619"/>
    </w:p>
    <w:p>
      <w:pPr>
        <w:pStyle w:val="14"/>
        <w:adjustRightInd w:val="0"/>
        <w:snapToGrid w:val="0"/>
        <w:spacing w:line="560" w:lineRule="exact"/>
        <w:jc w:val="left"/>
        <w:rPr>
          <w:rFonts w:eastAsia="仿宋_GB2312" w:cs="仿宋_GB2312"/>
          <w:sz w:val="32"/>
          <w:szCs w:val="32"/>
        </w:rPr>
      </w:pPr>
    </w:p>
    <w:p>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8"/>
    </w:p>
    <w:p>
      <w:pPr>
        <w:pStyle w:val="14"/>
        <w:adjustRightInd w:val="0"/>
        <w:snapToGrid w:val="0"/>
        <w:spacing w:line="560" w:lineRule="exact"/>
        <w:jc w:val="left"/>
        <w:rPr>
          <w:rFonts w:eastAsia="仿宋_GB2312" w:cs="仿宋_GB2312"/>
          <w:sz w:val="32"/>
          <w:szCs w:val="32"/>
        </w:rPr>
      </w:pPr>
      <w:bookmarkStart w:id="49" w:name="_Toc15396620"/>
      <w:r>
        <w:rPr>
          <w:rFonts w:hint="eastAsia" w:eastAsia="仿宋_GB2312" w:cs="仿宋_GB2312"/>
          <w:sz w:val="32"/>
          <w:szCs w:val="32"/>
        </w:rPr>
        <w:t>二、收入决算表</w:t>
      </w:r>
      <w:bookmarkEnd w:id="49"/>
    </w:p>
    <w:p>
      <w:pPr>
        <w:pStyle w:val="14"/>
        <w:adjustRightInd w:val="0"/>
        <w:snapToGrid w:val="0"/>
        <w:spacing w:line="560" w:lineRule="exact"/>
        <w:jc w:val="left"/>
        <w:rPr>
          <w:rFonts w:eastAsia="仿宋_GB2312" w:cs="仿宋_GB2312"/>
          <w:sz w:val="32"/>
          <w:szCs w:val="32"/>
        </w:rPr>
      </w:pPr>
      <w:bookmarkStart w:id="50" w:name="_Toc15396621"/>
      <w:r>
        <w:rPr>
          <w:rFonts w:hint="eastAsia" w:eastAsia="仿宋_GB2312" w:cs="仿宋_GB2312"/>
          <w:sz w:val="32"/>
          <w:szCs w:val="32"/>
        </w:rPr>
        <w:t>三、支出决算表</w:t>
      </w:r>
      <w:bookmarkEnd w:id="50"/>
    </w:p>
    <w:p>
      <w:pPr>
        <w:pStyle w:val="14"/>
        <w:adjustRightInd w:val="0"/>
        <w:snapToGrid w:val="0"/>
        <w:spacing w:line="560" w:lineRule="exact"/>
        <w:jc w:val="left"/>
        <w:rPr>
          <w:rFonts w:eastAsia="仿宋_GB2312" w:cs="仿宋_GB2312"/>
          <w:sz w:val="32"/>
          <w:szCs w:val="32"/>
        </w:rPr>
      </w:pPr>
      <w:bookmarkStart w:id="51" w:name="_Toc15396622"/>
      <w:r>
        <w:rPr>
          <w:rFonts w:hint="eastAsia" w:eastAsia="仿宋_GB2312" w:cs="仿宋_GB2312"/>
          <w:sz w:val="32"/>
          <w:szCs w:val="32"/>
        </w:rPr>
        <w:t>四、财政拨款收入支出决算总表</w:t>
      </w:r>
      <w:bookmarkEnd w:id="51"/>
    </w:p>
    <w:p>
      <w:pPr>
        <w:pStyle w:val="14"/>
        <w:adjustRightInd w:val="0"/>
        <w:snapToGrid w:val="0"/>
        <w:spacing w:line="560" w:lineRule="exact"/>
        <w:jc w:val="left"/>
        <w:rPr>
          <w:rFonts w:eastAsia="仿宋_GB2312" w:cs="仿宋_GB2312"/>
          <w:sz w:val="32"/>
          <w:szCs w:val="32"/>
        </w:rPr>
      </w:pPr>
      <w:bookmarkStart w:id="52" w:name="_Toc15396623"/>
      <w:r>
        <w:rPr>
          <w:rFonts w:hint="eastAsia" w:eastAsia="仿宋_GB2312" w:cs="仿宋_GB2312"/>
          <w:sz w:val="32"/>
          <w:szCs w:val="32"/>
        </w:rPr>
        <w:t>五、财政拨款支出决算明细表</w:t>
      </w:r>
      <w:bookmarkEnd w:id="52"/>
      <w:bookmarkStart w:id="53" w:name="_Toc15396624"/>
    </w:p>
    <w:p>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3"/>
    </w:p>
    <w:p>
      <w:pPr>
        <w:pStyle w:val="14"/>
        <w:adjustRightInd w:val="0"/>
        <w:snapToGrid w:val="0"/>
        <w:spacing w:line="560" w:lineRule="exact"/>
        <w:jc w:val="left"/>
        <w:rPr>
          <w:rFonts w:eastAsia="仿宋_GB2312" w:cs="仿宋_GB2312"/>
          <w:sz w:val="32"/>
          <w:szCs w:val="32"/>
        </w:rPr>
      </w:pPr>
      <w:bookmarkStart w:id="54" w:name="_Toc15396625"/>
      <w:r>
        <w:rPr>
          <w:rFonts w:hint="eastAsia" w:eastAsia="仿宋_GB2312" w:cs="仿宋_GB2312"/>
          <w:sz w:val="32"/>
          <w:szCs w:val="32"/>
        </w:rPr>
        <w:t>七、一般公共预算财政拨款支出决算明细表</w:t>
      </w:r>
      <w:bookmarkEnd w:id="54"/>
    </w:p>
    <w:p>
      <w:pPr>
        <w:pStyle w:val="14"/>
        <w:adjustRightInd w:val="0"/>
        <w:snapToGrid w:val="0"/>
        <w:spacing w:line="560" w:lineRule="exact"/>
        <w:jc w:val="left"/>
        <w:rPr>
          <w:rFonts w:eastAsia="仿宋_GB2312" w:cs="仿宋_GB2312"/>
          <w:sz w:val="32"/>
          <w:szCs w:val="32"/>
        </w:rPr>
      </w:pPr>
      <w:bookmarkStart w:id="55" w:name="_Toc15396626"/>
      <w:r>
        <w:rPr>
          <w:rFonts w:hint="eastAsia" w:eastAsia="仿宋_GB2312" w:cs="仿宋_GB2312"/>
          <w:sz w:val="32"/>
          <w:szCs w:val="32"/>
        </w:rPr>
        <w:t>八、一般公共预算财政拨款基本支出决算表</w:t>
      </w:r>
      <w:bookmarkEnd w:id="55"/>
    </w:p>
    <w:p>
      <w:pPr>
        <w:pStyle w:val="14"/>
        <w:adjustRightInd w:val="0"/>
        <w:snapToGrid w:val="0"/>
        <w:spacing w:line="560" w:lineRule="exact"/>
        <w:jc w:val="left"/>
        <w:rPr>
          <w:rFonts w:eastAsia="仿宋_GB2312" w:cs="仿宋_GB2312"/>
          <w:sz w:val="32"/>
          <w:szCs w:val="32"/>
        </w:rPr>
      </w:pPr>
      <w:bookmarkStart w:id="56" w:name="_Toc15396627"/>
      <w:r>
        <w:rPr>
          <w:rFonts w:hint="eastAsia" w:eastAsia="仿宋_GB2312" w:cs="仿宋_GB2312"/>
          <w:sz w:val="32"/>
          <w:szCs w:val="32"/>
        </w:rPr>
        <w:t>九、一般公共预算财政</w:t>
      </w:r>
      <w:bookmarkStart w:id="61" w:name="_GoBack"/>
      <w:bookmarkEnd w:id="61"/>
      <w:r>
        <w:rPr>
          <w:rFonts w:hint="eastAsia" w:eastAsia="仿宋_GB2312" w:cs="仿宋_GB2312"/>
          <w:sz w:val="32"/>
          <w:szCs w:val="32"/>
        </w:rPr>
        <w:t>拨款项目支出决算表</w:t>
      </w:r>
      <w:bookmarkEnd w:id="56"/>
    </w:p>
    <w:p>
      <w:pPr>
        <w:pStyle w:val="14"/>
        <w:adjustRightInd w:val="0"/>
        <w:snapToGrid w:val="0"/>
        <w:spacing w:line="560" w:lineRule="exact"/>
        <w:jc w:val="left"/>
        <w:rPr>
          <w:rFonts w:eastAsia="仿宋_GB2312" w:cs="仿宋_GB2312"/>
          <w:sz w:val="32"/>
          <w:szCs w:val="32"/>
        </w:rPr>
      </w:pPr>
      <w:bookmarkStart w:id="57" w:name="_Toc15396628"/>
      <w:r>
        <w:rPr>
          <w:rFonts w:hint="eastAsia" w:eastAsia="仿宋_GB2312" w:cs="仿宋_GB2312"/>
          <w:sz w:val="32"/>
          <w:szCs w:val="32"/>
        </w:rPr>
        <w:t>十、</w:t>
      </w:r>
      <w:bookmarkEnd w:id="57"/>
      <w:r>
        <w:rPr>
          <w:rFonts w:hint="eastAsia" w:eastAsia="仿宋_GB2312" w:cs="仿宋_GB2312"/>
          <w:sz w:val="32"/>
          <w:szCs w:val="32"/>
        </w:rPr>
        <w:t>政府性基金预算财政拨款收入支出决算表</w:t>
      </w:r>
    </w:p>
    <w:p>
      <w:pPr>
        <w:pStyle w:val="14"/>
        <w:adjustRightInd w:val="0"/>
        <w:snapToGrid w:val="0"/>
        <w:spacing w:line="560" w:lineRule="exact"/>
        <w:jc w:val="left"/>
        <w:rPr>
          <w:rFonts w:eastAsia="仿宋_GB2312" w:cs="仿宋_GB2312"/>
          <w:sz w:val="32"/>
          <w:szCs w:val="32"/>
        </w:rPr>
      </w:pPr>
      <w:bookmarkStart w:id="58" w:name="_Toc15396629"/>
      <w:r>
        <w:rPr>
          <w:rFonts w:hint="eastAsia" w:eastAsia="仿宋_GB2312" w:cs="仿宋_GB2312"/>
          <w:sz w:val="32"/>
          <w:szCs w:val="32"/>
        </w:rPr>
        <w:t>十一、</w:t>
      </w:r>
      <w:bookmarkEnd w:id="58"/>
      <w:r>
        <w:rPr>
          <w:rFonts w:hint="eastAsia" w:eastAsia="仿宋_GB2312" w:cs="仿宋_GB2312"/>
          <w:sz w:val="32"/>
          <w:szCs w:val="32"/>
        </w:rPr>
        <w:t>国有资本经营预算财政拨款收入支出决算表</w:t>
      </w:r>
    </w:p>
    <w:p>
      <w:pPr>
        <w:pStyle w:val="14"/>
        <w:adjustRightInd w:val="0"/>
        <w:snapToGrid w:val="0"/>
        <w:spacing w:line="560" w:lineRule="exact"/>
        <w:jc w:val="left"/>
        <w:rPr>
          <w:rFonts w:eastAsia="仿宋_GB2312" w:cs="仿宋_GB2312"/>
          <w:sz w:val="32"/>
          <w:szCs w:val="32"/>
        </w:rPr>
      </w:pPr>
      <w:bookmarkStart w:id="59" w:name="_Toc15396630"/>
      <w:r>
        <w:rPr>
          <w:rFonts w:hint="eastAsia" w:eastAsia="仿宋_GB2312" w:cs="仿宋_GB2312"/>
          <w:sz w:val="32"/>
          <w:szCs w:val="32"/>
        </w:rPr>
        <w:t>十二、</w:t>
      </w:r>
      <w:bookmarkEnd w:id="59"/>
      <w:r>
        <w:rPr>
          <w:rFonts w:hint="eastAsia" w:eastAsia="仿宋_GB2312" w:cs="仿宋_GB2312"/>
          <w:sz w:val="32"/>
          <w:szCs w:val="32"/>
        </w:rPr>
        <w:t>国有资本经营预算财政拨款支出决算表</w:t>
      </w:r>
    </w:p>
    <w:p>
      <w:pPr>
        <w:pStyle w:val="14"/>
        <w:adjustRightInd w:val="0"/>
        <w:snapToGrid w:val="0"/>
        <w:spacing w:line="560" w:lineRule="exact"/>
        <w:jc w:val="left"/>
        <w:rPr>
          <w:rFonts w:eastAsia="仿宋_GB2312" w:cs="仿宋_GB2312"/>
          <w:sz w:val="32"/>
          <w:szCs w:val="32"/>
        </w:rPr>
      </w:pPr>
      <w:bookmarkStart w:id="60" w:name="_Toc15396631"/>
      <w:r>
        <w:rPr>
          <w:rFonts w:hint="eastAsia" w:eastAsia="仿宋_GB2312" w:cs="仿宋_GB2312"/>
          <w:sz w:val="32"/>
          <w:szCs w:val="32"/>
        </w:rPr>
        <w:t>十三、</w:t>
      </w:r>
      <w:bookmarkEnd w:id="60"/>
      <w:r>
        <w:rPr>
          <w:rFonts w:hint="eastAsia" w:eastAsia="仿宋_GB2312" w:cs="仿宋_GB2312"/>
          <w:sz w:val="32"/>
          <w:szCs w:val="32"/>
        </w:rPr>
        <w:t>财政拨款“三公”经费支出决算表</w:t>
      </w:r>
    </w:p>
    <w:p/>
    <w:sectPr>
      <w:footerReference r:id="rId10" w:type="first"/>
      <w:footerReference r:id="rId9"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B7038"/>
    <w:multiLevelType w:val="singleLevel"/>
    <w:tmpl w:val="30AB703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41E"/>
    <w:rsid w:val="000E6613"/>
    <w:rsid w:val="000E7119"/>
    <w:rsid w:val="00114E9B"/>
    <w:rsid w:val="00142216"/>
    <w:rsid w:val="00144D6A"/>
    <w:rsid w:val="0014729F"/>
    <w:rsid w:val="00157BAB"/>
    <w:rsid w:val="001654D1"/>
    <w:rsid w:val="00174518"/>
    <w:rsid w:val="0018106D"/>
    <w:rsid w:val="001877A7"/>
    <w:rsid w:val="00191536"/>
    <w:rsid w:val="00196687"/>
    <w:rsid w:val="001A43E3"/>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77D0"/>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374F"/>
    <w:rsid w:val="004A711F"/>
    <w:rsid w:val="004B199D"/>
    <w:rsid w:val="004B4690"/>
    <w:rsid w:val="004E0A2D"/>
    <w:rsid w:val="004E206B"/>
    <w:rsid w:val="004E383C"/>
    <w:rsid w:val="004E6DF7"/>
    <w:rsid w:val="004F0FBD"/>
    <w:rsid w:val="00505A47"/>
    <w:rsid w:val="00512FDA"/>
    <w:rsid w:val="00520DA0"/>
    <w:rsid w:val="005664BB"/>
    <w:rsid w:val="00566FFA"/>
    <w:rsid w:val="0057481D"/>
    <w:rsid w:val="005817F3"/>
    <w:rsid w:val="0058486E"/>
    <w:rsid w:val="00585B33"/>
    <w:rsid w:val="0059014D"/>
    <w:rsid w:val="005B5C64"/>
    <w:rsid w:val="005C5337"/>
    <w:rsid w:val="005C6BD0"/>
    <w:rsid w:val="005D1C8B"/>
    <w:rsid w:val="005D468D"/>
    <w:rsid w:val="005D5CED"/>
    <w:rsid w:val="005F1A4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5E4"/>
    <w:rsid w:val="00871F71"/>
    <w:rsid w:val="00872FD8"/>
    <w:rsid w:val="00885AF4"/>
    <w:rsid w:val="008939CD"/>
    <w:rsid w:val="008B768C"/>
    <w:rsid w:val="008C4DB1"/>
    <w:rsid w:val="008C4EAF"/>
    <w:rsid w:val="008C5176"/>
    <w:rsid w:val="008C7FD0"/>
    <w:rsid w:val="008E1DE7"/>
    <w:rsid w:val="008E707C"/>
    <w:rsid w:val="008F770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A61A8C"/>
    <w:rsid w:val="026B51C9"/>
    <w:rsid w:val="02FEBE30"/>
    <w:rsid w:val="047474CE"/>
    <w:rsid w:val="04916F1E"/>
    <w:rsid w:val="061E35DE"/>
    <w:rsid w:val="066E0107"/>
    <w:rsid w:val="06F517EA"/>
    <w:rsid w:val="07996F6E"/>
    <w:rsid w:val="07DFD8BA"/>
    <w:rsid w:val="080414C3"/>
    <w:rsid w:val="08741291"/>
    <w:rsid w:val="09082DE7"/>
    <w:rsid w:val="094565A7"/>
    <w:rsid w:val="09867E8F"/>
    <w:rsid w:val="0A2032A3"/>
    <w:rsid w:val="0CA8290A"/>
    <w:rsid w:val="0D35B1ED"/>
    <w:rsid w:val="0E254B6B"/>
    <w:rsid w:val="0E482152"/>
    <w:rsid w:val="0F98263C"/>
    <w:rsid w:val="101860EC"/>
    <w:rsid w:val="101F47CC"/>
    <w:rsid w:val="10C055FF"/>
    <w:rsid w:val="11694EBD"/>
    <w:rsid w:val="11772AA4"/>
    <w:rsid w:val="118107EC"/>
    <w:rsid w:val="12E24EE2"/>
    <w:rsid w:val="13D50BC4"/>
    <w:rsid w:val="13F266EB"/>
    <w:rsid w:val="14B17F78"/>
    <w:rsid w:val="14E10FD4"/>
    <w:rsid w:val="165E0673"/>
    <w:rsid w:val="16B831D5"/>
    <w:rsid w:val="16BB723D"/>
    <w:rsid w:val="17E50567"/>
    <w:rsid w:val="17E8773E"/>
    <w:rsid w:val="185A657F"/>
    <w:rsid w:val="186504BB"/>
    <w:rsid w:val="18BB3EEC"/>
    <w:rsid w:val="18E101D0"/>
    <w:rsid w:val="19A445FC"/>
    <w:rsid w:val="1BE8440E"/>
    <w:rsid w:val="1BFE50A1"/>
    <w:rsid w:val="1CC6347C"/>
    <w:rsid w:val="1D155CEE"/>
    <w:rsid w:val="1D1638FE"/>
    <w:rsid w:val="1E312DEB"/>
    <w:rsid w:val="1E740ACF"/>
    <w:rsid w:val="1FF35744"/>
    <w:rsid w:val="1FF6BC77"/>
    <w:rsid w:val="2121756D"/>
    <w:rsid w:val="2186353C"/>
    <w:rsid w:val="22A96B43"/>
    <w:rsid w:val="23860B96"/>
    <w:rsid w:val="240371BF"/>
    <w:rsid w:val="241B0192"/>
    <w:rsid w:val="244F3473"/>
    <w:rsid w:val="24C97D99"/>
    <w:rsid w:val="252F78B6"/>
    <w:rsid w:val="25621C96"/>
    <w:rsid w:val="25A718F0"/>
    <w:rsid w:val="25BB59F6"/>
    <w:rsid w:val="260F557C"/>
    <w:rsid w:val="2689355F"/>
    <w:rsid w:val="26970054"/>
    <w:rsid w:val="281408E2"/>
    <w:rsid w:val="28C82216"/>
    <w:rsid w:val="29FD04D3"/>
    <w:rsid w:val="2A4F6A8C"/>
    <w:rsid w:val="2B133EFB"/>
    <w:rsid w:val="2BFF7BC6"/>
    <w:rsid w:val="2C8A61B5"/>
    <w:rsid w:val="2DF04E50"/>
    <w:rsid w:val="2E586DFA"/>
    <w:rsid w:val="2F040D46"/>
    <w:rsid w:val="2F0A0F96"/>
    <w:rsid w:val="2F6B035B"/>
    <w:rsid w:val="2FAE5751"/>
    <w:rsid w:val="2FB1A395"/>
    <w:rsid w:val="2FD9A7D8"/>
    <w:rsid w:val="2FDBF714"/>
    <w:rsid w:val="302C3F7D"/>
    <w:rsid w:val="30AB6865"/>
    <w:rsid w:val="319F7F4E"/>
    <w:rsid w:val="32BD1EF1"/>
    <w:rsid w:val="3304709D"/>
    <w:rsid w:val="33437015"/>
    <w:rsid w:val="33A773CB"/>
    <w:rsid w:val="349D6851"/>
    <w:rsid w:val="35EA1031"/>
    <w:rsid w:val="3689520C"/>
    <w:rsid w:val="36AA5135"/>
    <w:rsid w:val="36BE0DA7"/>
    <w:rsid w:val="376B6AA6"/>
    <w:rsid w:val="376D39B2"/>
    <w:rsid w:val="37E16F03"/>
    <w:rsid w:val="37F53A3B"/>
    <w:rsid w:val="389B6C89"/>
    <w:rsid w:val="38D469F0"/>
    <w:rsid w:val="39627CCD"/>
    <w:rsid w:val="397BAF1F"/>
    <w:rsid w:val="39FF3348"/>
    <w:rsid w:val="3A3E3228"/>
    <w:rsid w:val="3AB79AF3"/>
    <w:rsid w:val="3AE834C0"/>
    <w:rsid w:val="3B7EF35A"/>
    <w:rsid w:val="3B8017FA"/>
    <w:rsid w:val="3B9FDB6C"/>
    <w:rsid w:val="3BA764BD"/>
    <w:rsid w:val="3BC27141"/>
    <w:rsid w:val="3BF5BC2F"/>
    <w:rsid w:val="3CEBA265"/>
    <w:rsid w:val="3D98207C"/>
    <w:rsid w:val="3DEE7CF3"/>
    <w:rsid w:val="3E3F632C"/>
    <w:rsid w:val="3E740A63"/>
    <w:rsid w:val="3E78745D"/>
    <w:rsid w:val="3EE17838"/>
    <w:rsid w:val="3F4360BB"/>
    <w:rsid w:val="3F55381A"/>
    <w:rsid w:val="3F7F7599"/>
    <w:rsid w:val="3FF0321D"/>
    <w:rsid w:val="3FF4CAE0"/>
    <w:rsid w:val="3FF7B227"/>
    <w:rsid w:val="3FFD7670"/>
    <w:rsid w:val="4004557B"/>
    <w:rsid w:val="43F81F3E"/>
    <w:rsid w:val="445A5E01"/>
    <w:rsid w:val="44E268DA"/>
    <w:rsid w:val="450D13D7"/>
    <w:rsid w:val="45506656"/>
    <w:rsid w:val="46297D7F"/>
    <w:rsid w:val="467E26B7"/>
    <w:rsid w:val="468A1980"/>
    <w:rsid w:val="486A6C7A"/>
    <w:rsid w:val="493125C8"/>
    <w:rsid w:val="499377C0"/>
    <w:rsid w:val="49D410F7"/>
    <w:rsid w:val="4A627F82"/>
    <w:rsid w:val="4B0E749A"/>
    <w:rsid w:val="4B2477C4"/>
    <w:rsid w:val="4B4F25DA"/>
    <w:rsid w:val="4BE068DB"/>
    <w:rsid w:val="4CD95AD7"/>
    <w:rsid w:val="4D22705C"/>
    <w:rsid w:val="4D577224"/>
    <w:rsid w:val="4D935D1A"/>
    <w:rsid w:val="4DBF1CEB"/>
    <w:rsid w:val="4DF0007C"/>
    <w:rsid w:val="4EAB630A"/>
    <w:rsid w:val="4ECE2238"/>
    <w:rsid w:val="4F833267"/>
    <w:rsid w:val="4FE9BD67"/>
    <w:rsid w:val="4FFB052F"/>
    <w:rsid w:val="537E6D0A"/>
    <w:rsid w:val="53F74C96"/>
    <w:rsid w:val="55170BA8"/>
    <w:rsid w:val="553218C9"/>
    <w:rsid w:val="567E1AA5"/>
    <w:rsid w:val="56D41E7C"/>
    <w:rsid w:val="56E47B74"/>
    <w:rsid w:val="57175D52"/>
    <w:rsid w:val="57BD3DD4"/>
    <w:rsid w:val="586832D1"/>
    <w:rsid w:val="58907739"/>
    <w:rsid w:val="59D14915"/>
    <w:rsid w:val="5A612CA3"/>
    <w:rsid w:val="5AF92295"/>
    <w:rsid w:val="5B250254"/>
    <w:rsid w:val="5BD205C5"/>
    <w:rsid w:val="5BDD79E6"/>
    <w:rsid w:val="5BF561CA"/>
    <w:rsid w:val="5BFF5DFC"/>
    <w:rsid w:val="5C593135"/>
    <w:rsid w:val="5C5A0E73"/>
    <w:rsid w:val="5CD71FC4"/>
    <w:rsid w:val="5D1F11B5"/>
    <w:rsid w:val="5D695134"/>
    <w:rsid w:val="5DAE1B18"/>
    <w:rsid w:val="5DE7D9E5"/>
    <w:rsid w:val="5E956CB8"/>
    <w:rsid w:val="5EC06F35"/>
    <w:rsid w:val="5ECEC941"/>
    <w:rsid w:val="5EDC0B6C"/>
    <w:rsid w:val="5FBF9FF3"/>
    <w:rsid w:val="5FCD4E2C"/>
    <w:rsid w:val="5FEF394A"/>
    <w:rsid w:val="5FF67715"/>
    <w:rsid w:val="6162417D"/>
    <w:rsid w:val="62B75EFA"/>
    <w:rsid w:val="62BF3928"/>
    <w:rsid w:val="63B3701E"/>
    <w:rsid w:val="647F5392"/>
    <w:rsid w:val="64E23327"/>
    <w:rsid w:val="65E66580"/>
    <w:rsid w:val="664B1D71"/>
    <w:rsid w:val="664B4E8E"/>
    <w:rsid w:val="67277B67"/>
    <w:rsid w:val="67AA3209"/>
    <w:rsid w:val="68B451AF"/>
    <w:rsid w:val="698349F0"/>
    <w:rsid w:val="698D0931"/>
    <w:rsid w:val="69EE227B"/>
    <w:rsid w:val="6A7FE5F3"/>
    <w:rsid w:val="6B053271"/>
    <w:rsid w:val="6BDD78B3"/>
    <w:rsid w:val="6C4A05C8"/>
    <w:rsid w:val="6C5648C6"/>
    <w:rsid w:val="6C8742B8"/>
    <w:rsid w:val="6CA24FDE"/>
    <w:rsid w:val="6DBF5E93"/>
    <w:rsid w:val="6DFF077E"/>
    <w:rsid w:val="6E217C8C"/>
    <w:rsid w:val="6E4D6FC5"/>
    <w:rsid w:val="6E714EF0"/>
    <w:rsid w:val="6E7E3605"/>
    <w:rsid w:val="6E7FDCC7"/>
    <w:rsid w:val="6ED6A62E"/>
    <w:rsid w:val="6EE00B15"/>
    <w:rsid w:val="6F6FB3EB"/>
    <w:rsid w:val="6F8731EA"/>
    <w:rsid w:val="6FCE6052"/>
    <w:rsid w:val="6FD57C00"/>
    <w:rsid w:val="6FEFFFD8"/>
    <w:rsid w:val="6FF5CC65"/>
    <w:rsid w:val="6FFB47EC"/>
    <w:rsid w:val="6FFF034A"/>
    <w:rsid w:val="70483A0F"/>
    <w:rsid w:val="70484440"/>
    <w:rsid w:val="712A28F1"/>
    <w:rsid w:val="712E4E39"/>
    <w:rsid w:val="715C0E4B"/>
    <w:rsid w:val="71992E7C"/>
    <w:rsid w:val="71E96247"/>
    <w:rsid w:val="72233669"/>
    <w:rsid w:val="722A46C9"/>
    <w:rsid w:val="72734D90"/>
    <w:rsid w:val="73160E6D"/>
    <w:rsid w:val="73270476"/>
    <w:rsid w:val="7332FE48"/>
    <w:rsid w:val="73AB61DA"/>
    <w:rsid w:val="73AD73D5"/>
    <w:rsid w:val="73B6EB34"/>
    <w:rsid w:val="73FA497D"/>
    <w:rsid w:val="744731E5"/>
    <w:rsid w:val="74BBD01D"/>
    <w:rsid w:val="74ED5379"/>
    <w:rsid w:val="75DEEEC2"/>
    <w:rsid w:val="75E32345"/>
    <w:rsid w:val="76D16184"/>
    <w:rsid w:val="76E3355F"/>
    <w:rsid w:val="76FF5125"/>
    <w:rsid w:val="776F6FFA"/>
    <w:rsid w:val="778769C8"/>
    <w:rsid w:val="77A75DCA"/>
    <w:rsid w:val="77DC22F5"/>
    <w:rsid w:val="783E271A"/>
    <w:rsid w:val="78616DE9"/>
    <w:rsid w:val="78B22B56"/>
    <w:rsid w:val="78E875D7"/>
    <w:rsid w:val="79086DAD"/>
    <w:rsid w:val="79731F5E"/>
    <w:rsid w:val="799E1082"/>
    <w:rsid w:val="79D7FD79"/>
    <w:rsid w:val="79EE5BA4"/>
    <w:rsid w:val="7A476067"/>
    <w:rsid w:val="7A894339"/>
    <w:rsid w:val="7AD284E8"/>
    <w:rsid w:val="7AF82744"/>
    <w:rsid w:val="7AFF7572"/>
    <w:rsid w:val="7B6C7DFB"/>
    <w:rsid w:val="7BBFBED0"/>
    <w:rsid w:val="7BC3E394"/>
    <w:rsid w:val="7C1F3737"/>
    <w:rsid w:val="7CBFC87B"/>
    <w:rsid w:val="7CF13099"/>
    <w:rsid w:val="7CFE0F48"/>
    <w:rsid w:val="7D272ABC"/>
    <w:rsid w:val="7D7EC23E"/>
    <w:rsid w:val="7E8ADEBF"/>
    <w:rsid w:val="7EA65004"/>
    <w:rsid w:val="7EEF11D3"/>
    <w:rsid w:val="7EFE4840"/>
    <w:rsid w:val="7F0971A6"/>
    <w:rsid w:val="7F1D62E7"/>
    <w:rsid w:val="7F3A6E44"/>
    <w:rsid w:val="7F3F679B"/>
    <w:rsid w:val="7F49029E"/>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8">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5"/>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5"/>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5"/>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5"/>
    <w:link w:val="3"/>
    <w:qFormat/>
    <w:uiPriority w:val="9"/>
    <w:rPr>
      <w:rFonts w:ascii="Times New Roman" w:hAnsi="Times New Roman"/>
      <w:b/>
      <w:bCs/>
      <w:kern w:val="44"/>
      <w:sz w:val="44"/>
      <w:szCs w:val="44"/>
    </w:rPr>
  </w:style>
  <w:style w:type="character" w:customStyle="1" w:styleId="29">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5"/>
    <w:link w:val="9"/>
    <w:semiHidden/>
    <w:qFormat/>
    <w:uiPriority w:val="99"/>
    <w:rPr>
      <w:rFonts w:ascii="Times New Roman" w:hAnsi="Times New Roman"/>
      <w:kern w:val="2"/>
      <w:sz w:val="18"/>
      <w:szCs w:val="18"/>
    </w:rPr>
  </w:style>
  <w:style w:type="character" w:customStyle="1" w:styleId="32">
    <w:name w:val="标题 3 Char"/>
    <w:basedOn w:val="15"/>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6.emf"/><Relationship Id="rId22" Type="http://schemas.openxmlformats.org/officeDocument/2006/relationships/oleObject" Target="embeddings/oleObject6.bin"/><Relationship Id="rId21" Type="http://schemas.openxmlformats.org/officeDocument/2006/relationships/image" Target="media/image5.e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4.emf"/><Relationship Id="rId18" Type="http://schemas.openxmlformats.org/officeDocument/2006/relationships/oleObject" Target="embeddings/oleObject4.bin"/><Relationship Id="rId17" Type="http://schemas.openxmlformats.org/officeDocument/2006/relationships/image" Target="media/image3.emf"/><Relationship Id="rId16" Type="http://schemas.openxmlformats.org/officeDocument/2006/relationships/oleObject" Target="embeddings/oleObject3.bin"/><Relationship Id="rId15" Type="http://schemas.openxmlformats.org/officeDocument/2006/relationships/image" Target="media/image2.emf"/><Relationship Id="rId14" Type="http://schemas.openxmlformats.org/officeDocument/2006/relationships/oleObject" Target="embeddings/oleObject2.bin"/><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Pages>
  <Words>927</Words>
  <Characters>5290</Characters>
  <Lines>44</Lines>
  <Paragraphs>12</Paragraphs>
  <ScaleCrop>false</ScaleCrop>
  <LinksUpToDate>false</LinksUpToDate>
  <CharactersWithSpaces>6205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2025-10-17T02:44:00Z</cp:lastPrinted>
  <dcterms:modified xsi:type="dcterms:W3CDTF">2025-10-17T03:09:40Z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04787F2533EB45DC91BCDE4AB213247F</vt:lpwstr>
  </property>
</Properties>
</file>