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3C02">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475"/>
      <w:bookmarkStart w:id="1" w:name="_Toc15378441"/>
      <w:bookmarkStart w:id="2" w:name="_Toc15377425"/>
      <w:bookmarkStart w:id="3" w:name="_Toc15396597"/>
      <w:bookmarkStart w:id="4" w:name="_Toc15377193"/>
      <w:bookmarkStart w:id="5" w:name="_Toc15306267"/>
    </w:p>
    <w:p w14:paraId="26601BA4">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4BDCEBA">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3088C9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29FB4FB">
      <w:pPr>
        <w:adjustRightInd w:val="0"/>
        <w:snapToGrid w:val="0"/>
        <w:spacing w:line="360" w:lineRule="auto"/>
        <w:jc w:val="center"/>
        <w:outlineLvl w:val="0"/>
        <w:rPr>
          <w:rFonts w:hint="eastAsia" w:ascii="方正小标宋_GBK" w:hAnsi="方正小标宋_GBK" w:eastAsia="方正小标宋_GBK" w:cs="方正小标宋_GBK"/>
          <w:color w:val="auto"/>
          <w:kern w:val="2"/>
          <w:sz w:val="72"/>
          <w:szCs w:val="72"/>
          <w:highlight w:val="none"/>
          <w:lang w:val="en-US" w:eastAsia="zh-CN" w:bidi="ar-SA"/>
        </w:rPr>
      </w:pPr>
      <w:bookmarkStart w:id="6" w:name="_Toc15396598"/>
      <w:bookmarkStart w:id="7" w:name="_Toc15396476"/>
      <w:bookmarkStart w:id="8" w:name="_Toc15378442"/>
      <w:bookmarkStart w:id="9" w:name="_Toc15377194"/>
      <w:bookmarkStart w:id="10" w:name="_Toc15377426"/>
      <w:r>
        <w:rPr>
          <w:rFonts w:hint="eastAsia" w:ascii="方正小标宋_GBK" w:hAnsi="方正小标宋_GBK" w:eastAsia="方正小标宋_GBK" w:cs="方正小标宋_GBK"/>
          <w:color w:val="auto"/>
          <w:kern w:val="2"/>
          <w:sz w:val="72"/>
          <w:szCs w:val="72"/>
          <w:highlight w:val="none"/>
          <w:lang w:val="en-US" w:eastAsia="zh-CN" w:bidi="ar-SA"/>
        </w:rPr>
        <w:t>2024年度</w:t>
      </w:r>
    </w:p>
    <w:bookmarkEnd w:id="5"/>
    <w:p w14:paraId="38F2D50B">
      <w:pPr>
        <w:adjustRightInd w:val="0"/>
        <w:snapToGrid w:val="0"/>
        <w:spacing w:line="360" w:lineRule="auto"/>
        <w:jc w:val="center"/>
        <w:outlineLvl w:val="0"/>
        <w:rPr>
          <w:rFonts w:hint="eastAsia" w:ascii="方正小标宋_GBK" w:hAnsi="方正小标宋_GBK" w:eastAsia="方正小标宋_GBK" w:cs="方正小标宋_GBK"/>
          <w:sz w:val="72"/>
          <w:szCs w:val="72"/>
        </w:rPr>
      </w:pPr>
      <w:bookmarkStart w:id="11" w:name="_Toc15306268"/>
      <w:r>
        <w:rPr>
          <w:rFonts w:hint="eastAsia" w:ascii="方正小标宋_GBK" w:hAnsi="方正小标宋_GBK" w:eastAsia="方正小标宋_GBK" w:cs="方正小标宋_GBK"/>
          <w:sz w:val="72"/>
          <w:szCs w:val="72"/>
        </w:rPr>
        <w:t>盐边县妇幼保健服务中心</w:t>
      </w:r>
      <w:bookmarkEnd w:id="6"/>
      <w:bookmarkEnd w:id="7"/>
      <w:bookmarkEnd w:id="8"/>
      <w:bookmarkEnd w:id="9"/>
      <w:bookmarkEnd w:id="10"/>
      <w:bookmarkEnd w:id="11"/>
    </w:p>
    <w:p w14:paraId="0AAEAF5A">
      <w:pPr>
        <w:adjustRightInd w:val="0"/>
        <w:snapToGrid w:val="0"/>
        <w:spacing w:line="360" w:lineRule="auto"/>
        <w:jc w:val="center"/>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单位决算</w:t>
      </w:r>
    </w:p>
    <w:p w14:paraId="61A115F2">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02B9C212">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526DE358">
      <w:pPr>
        <w:widowControl/>
        <w:jc w:val="center"/>
        <w:rPr>
          <w:rFonts w:ascii="黑体" w:hAnsi="黑体" w:eastAsia="黑体" w:cstheme="minorBidi"/>
          <w:sz w:val="28"/>
          <w:szCs w:val="28"/>
        </w:rPr>
      </w:pPr>
      <w:r>
        <w:rPr>
          <w:rFonts w:hint="eastAsia" w:ascii="黑体" w:hAnsi="黑体" w:eastAsia="黑体"/>
          <w:sz w:val="48"/>
          <w:szCs w:val="48"/>
        </w:rPr>
        <w:t>目录</w:t>
      </w:r>
      <w:bookmarkStart w:id="67" w:name="_GoBack"/>
      <w:bookmarkEnd w:id="67"/>
    </w:p>
    <w:p w14:paraId="59F5BDB1">
      <w:pPr>
        <w:pStyle w:val="13"/>
        <w:rPr>
          <w:rFonts w:ascii="宋体" w:hAnsi="宋体" w:eastAsia="宋体" w:cs="宋体"/>
          <w:color w:val="FF0000"/>
          <w:sz w:val="32"/>
          <w:szCs w:val="32"/>
        </w:rPr>
      </w:pPr>
      <w:r>
        <w:rPr>
          <w:rFonts w:hint="eastAsia" w:ascii="宋体" w:hAnsi="宋体" w:eastAsia="宋体" w:cs="宋体"/>
          <w:sz w:val="32"/>
          <w:szCs w:val="32"/>
        </w:rPr>
        <w:t>公开时间：</w:t>
      </w:r>
      <w:r>
        <w:rPr>
          <w:rFonts w:hint="eastAsia" w:ascii="宋体" w:hAnsi="宋体" w:eastAsia="宋体" w:cs="宋体"/>
          <w:color w:val="000000" w:themeColor="text1"/>
          <w:sz w:val="32"/>
          <w:szCs w:val="32"/>
          <w:highlight w:val="none"/>
          <w14:textFill>
            <w14:solidFill>
              <w14:schemeClr w14:val="tx1"/>
            </w14:solidFill>
          </w14:textFill>
        </w:rPr>
        <w:t>202</w:t>
      </w:r>
      <w:r>
        <w:rPr>
          <w:rFonts w:hint="eastAsia" w:ascii="宋体" w:hAnsi="宋体" w:eastAsia="宋体" w:cs="宋体"/>
          <w:color w:val="000000" w:themeColor="text1"/>
          <w:sz w:val="32"/>
          <w:szCs w:val="32"/>
          <w:highlight w:val="none"/>
          <w:lang w:val="en-US" w:eastAsia="zh-CN"/>
          <w14:textFill>
            <w14:solidFill>
              <w14:schemeClr w14:val="tx1"/>
            </w14:solidFill>
          </w14:textFill>
        </w:rPr>
        <w:t>5</w:t>
      </w:r>
      <w:r>
        <w:rPr>
          <w:rFonts w:hint="eastAsia" w:ascii="宋体" w:hAnsi="宋体" w:eastAsia="宋体" w:cs="宋体"/>
          <w:color w:val="000000" w:themeColor="text1"/>
          <w:sz w:val="32"/>
          <w:szCs w:val="32"/>
          <w:highlight w:val="none"/>
          <w14:textFill>
            <w14:solidFill>
              <w14:schemeClr w14:val="tx1"/>
            </w14:solidFill>
          </w14:textFill>
        </w:rPr>
        <w:t>年10月28日</w:t>
      </w:r>
    </w:p>
    <w:p w14:paraId="6B3F0420">
      <w:pPr>
        <w:rPr>
          <w:rFonts w:ascii="宋体" w:hAnsi="宋体" w:cs="宋体"/>
          <w:sz w:val="24"/>
        </w:rPr>
      </w:pPr>
    </w:p>
    <w:p w14:paraId="687A92E2">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第一部分 单位概况</w:t>
      </w:r>
      <w:r>
        <w:rPr>
          <w:rFonts w:hint="eastAsia" w:ascii="国标黑体" w:hAnsi="国标黑体" w:eastAsia="国标黑体" w:cs="国标黑体"/>
          <w:sz w:val="32"/>
          <w:szCs w:val="32"/>
        </w:rPr>
        <w:ptab w:relativeTo="margin" w:alignment="right" w:leader="dot"/>
      </w:r>
      <w:r>
        <w:rPr>
          <w:rFonts w:hint="eastAsia" w:ascii="国标黑体" w:hAnsi="国标黑体" w:eastAsia="国标黑体" w:cs="国标黑体"/>
          <w:sz w:val="32"/>
          <w:szCs w:val="32"/>
        </w:rPr>
        <w:t>1</w:t>
      </w:r>
    </w:p>
    <w:p w14:paraId="212E82E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一、主要职责</w:t>
      </w:r>
      <w:r>
        <w:rPr>
          <w:rFonts w:hint="eastAsia" w:ascii="CESI仿宋-GB2312" w:hAnsi="CESI仿宋-GB2312" w:eastAsia="CESI仿宋-GB2312" w:cs="CESI仿宋-GB2312"/>
          <w:sz w:val="32"/>
          <w:szCs w:val="32"/>
        </w:rPr>
        <w:ptab w:relativeTo="margin" w:alignment="right" w:leader="dot"/>
      </w:r>
      <w:r>
        <w:rPr>
          <w:rFonts w:hint="eastAsia" w:ascii="CESI仿宋-GB2312" w:hAnsi="CESI仿宋-GB2312" w:eastAsia="CESI仿宋-GB2312" w:cs="CESI仿宋-GB2312"/>
          <w:sz w:val="32"/>
          <w:szCs w:val="32"/>
        </w:rPr>
        <w:t>1</w:t>
      </w:r>
    </w:p>
    <w:p w14:paraId="75495A7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二、机构设置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w:t>
      </w:r>
    </w:p>
    <w:p w14:paraId="4A11B2FE">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第二部分 202</w:t>
      </w:r>
      <w:r>
        <w:rPr>
          <w:rFonts w:hint="eastAsia" w:ascii="国标黑体" w:hAnsi="国标黑体" w:eastAsia="国标黑体" w:cs="国标黑体"/>
          <w:sz w:val="32"/>
          <w:szCs w:val="32"/>
          <w:lang w:val="en-US" w:eastAsia="zh-CN"/>
        </w:rPr>
        <w:t>4</w:t>
      </w:r>
      <w:r>
        <w:rPr>
          <w:rFonts w:hint="eastAsia" w:ascii="国标黑体" w:hAnsi="国标黑体" w:eastAsia="国标黑体" w:cs="国标黑体"/>
          <w:sz w:val="32"/>
          <w:szCs w:val="32"/>
        </w:rPr>
        <w:t>年度单位决算情况说明</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t>2</w:t>
      </w:r>
    </w:p>
    <w:p w14:paraId="56702C2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2</w:t>
      </w:r>
    </w:p>
    <w:p w14:paraId="53ED04D6">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二、收入决算情况说明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2</w:t>
      </w:r>
    </w:p>
    <w:p w14:paraId="03538DF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3</w:t>
      </w:r>
    </w:p>
    <w:p w14:paraId="2345F50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四、财政拨款收入支出决算总体情况说明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4</w:t>
      </w:r>
    </w:p>
    <w:p w14:paraId="1B20D726">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五、一般公共预算财政拨款支出决算情况说明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4</w:t>
      </w:r>
    </w:p>
    <w:p w14:paraId="2B97A70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六、一般公共预算财政拨款基本支出决算情况说明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7</w:t>
      </w:r>
    </w:p>
    <w:p w14:paraId="46896C1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七、财政拨款“三公”经费支出决算情况说明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7</w:t>
      </w:r>
    </w:p>
    <w:p w14:paraId="7142864C">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八、政府性基金预算支出决算情况说明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lang w:val="en-US" w:eastAsia="zh-CN"/>
        </w:rPr>
        <w:t>9</w:t>
      </w:r>
    </w:p>
    <w:p w14:paraId="7D9C8E5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九、国有资本经营预算支出决算情况说明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9</w:t>
      </w:r>
    </w:p>
    <w:p w14:paraId="5BB5199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十、其他重要事项的情况说明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9</w:t>
      </w:r>
    </w:p>
    <w:p w14:paraId="29DA7E73">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第三部分 名词解释</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t>11</w:t>
      </w:r>
    </w:p>
    <w:p w14:paraId="6EA9563C">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第四部分 附件</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t>14</w:t>
      </w:r>
    </w:p>
    <w:p w14:paraId="5DCADD0F">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第五部分 附表</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t>15</w:t>
      </w:r>
    </w:p>
    <w:p w14:paraId="67EC83D7">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04EED78C">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二、收入决算表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2CB0409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5F3B3BE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四、财政拨款收入支出决算总表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0DA52D9F">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623C3FA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六、一般公共预算财政拨款支出决算表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79F48C6E">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七、一般公共预算财政拨款支出决算明细表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304B045D">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八、一般公共预算财政拨款基本支出决算明细表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79DDE0C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九、一般公共预算财政拨款项目支出决算表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72830FA7">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十、政府性基金预算财政拨款收入支出决算表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448078E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十一、国有资本经营预算财政拨款收入支出决算表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00BBD066">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十二、国有资本经营预算财政拨款支出决算表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1DF8D87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CESI仿宋-GB2312" w:hAnsi="CESI仿宋-GB2312" w:eastAsia="CESI仿宋-GB2312" w:cs="CESI仿宋-GB2312"/>
          <w:sz w:val="32"/>
          <w:szCs w:val="32"/>
        </w:rPr>
      </w:pPr>
      <w:bookmarkStart w:id="12" w:name="_Toc15377196"/>
      <w:bookmarkStart w:id="13" w:name="_Toc15396599"/>
      <w:r>
        <w:rPr>
          <w:rFonts w:hint="eastAsia" w:ascii="CESI仿宋-GB2312" w:hAnsi="CESI仿宋-GB2312" w:eastAsia="CESI仿宋-GB2312" w:cs="CESI仿宋-GB2312"/>
          <w:sz w:val="32"/>
          <w:szCs w:val="32"/>
        </w:rPr>
        <w:t>十三、财政拨款“三公”经费支出决算表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15</w:t>
      </w:r>
    </w:p>
    <w:p w14:paraId="4680A9DC">
      <w:pPr>
        <w:pStyle w:val="5"/>
        <w:jc w:val="center"/>
        <w:rPr>
          <w:rFonts w:hint="eastAsia" w:ascii="Times New Roman" w:hAnsi="Times New Roman" w:eastAsia="方正小标宋简体" w:cs="方正小标宋简体"/>
          <w:b w:val="0"/>
          <w:color w:val="auto"/>
          <w:highlight w:val="none"/>
        </w:rPr>
      </w:pPr>
    </w:p>
    <w:p w14:paraId="71DC8DB5">
      <w:pPr>
        <w:rPr>
          <w:rFonts w:hint="eastAsia"/>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7014BB6A">
      <w:pPr>
        <w:pStyle w:val="5"/>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1B6F6D7D">
      <w:pPr>
        <w:widowControl/>
        <w:jc w:val="left"/>
        <w:rPr>
          <w:rFonts w:ascii="Times New Roman" w:hAnsi="Times New Roman" w:eastAsia="黑体"/>
          <w:color w:val="auto"/>
          <w:sz w:val="32"/>
          <w:szCs w:val="32"/>
          <w:highlight w:val="none"/>
        </w:rPr>
      </w:pPr>
    </w:p>
    <w:p w14:paraId="3BD6AA08">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1801257E">
      <w:pPr>
        <w:pStyle w:val="6"/>
        <w:numPr>
          <w:ilvl w:val="0"/>
          <w:numId w:val="0"/>
        </w:numPr>
        <w:ind w:firstLine="640" w:firstLineChars="200"/>
        <w:rPr>
          <w:rFonts w:hint="eastAsia"/>
          <w:lang w:eastAsia="zh-CN"/>
        </w:rPr>
      </w:pPr>
      <w:r>
        <w:rPr>
          <w:rFonts w:hint="eastAsia" w:ascii="仿宋" w:hAnsi="仿宋" w:eastAsia="仿宋" w:cs="仿宋"/>
          <w:b w:val="0"/>
          <w:bCs w:val="0"/>
          <w:color w:val="333333"/>
        </w:rPr>
        <w:t>本单位以群体保健工作为基础，面向基层、预防为主，主要以</w:t>
      </w:r>
      <w:r>
        <w:rPr>
          <w:rFonts w:hint="eastAsia" w:ascii="仿宋" w:hAnsi="仿宋" w:eastAsia="仿宋" w:cs="仿宋"/>
          <w:b w:val="0"/>
          <w:bCs w:val="0"/>
          <w:color w:val="3D3D3D"/>
        </w:rPr>
        <w:t>妇女保健、儿童保健、妇产科医疗、儿科医疗、妇幼卫生监测与信息管理、妇幼卫生保健人员培训与技术支持、妇幼保健科学研究、妇幼保健咨询、计划生育技术服务、生育指导与避孕咨询、婚前保健和医学检查、婚前咨询与新婚保健、避孕方法使用和知情选择、计划生育技术和婚前保健服务人员培训与技术支持、计划生育科学研究一系列业务</w:t>
      </w:r>
      <w:r>
        <w:rPr>
          <w:rFonts w:hint="eastAsia" w:ascii="仿宋" w:hAnsi="仿宋" w:eastAsia="仿宋" w:cs="仿宋"/>
          <w:b w:val="0"/>
          <w:bCs w:val="0"/>
          <w:color w:val="333333"/>
        </w:rPr>
        <w:t>。在切实履行公共卫生职责的同时，开展与妇女儿童健康密切相关的基本医疗服务。</w:t>
      </w:r>
    </w:p>
    <w:p w14:paraId="6E6BA735">
      <w:pPr>
        <w:pStyle w:val="6"/>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4777E27B">
      <w:pPr>
        <w:pStyle w:val="6"/>
        <w:numPr>
          <w:ilvl w:val="0"/>
          <w:numId w:val="0"/>
        </w:numPr>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盐边县妇幼保健服务中心是全额拨款二级预算事业单位。由于2022年年底和盐边县人民医院合并办公，本单位的人员被分流到其他科室里。盐边县妇幼保健服务中心设立5个办公室，分别是中心主任办公室、办公室、基层保健科、预防母婴传播办公室、财务科。</w:t>
      </w:r>
    </w:p>
    <w:p w14:paraId="519DB6F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C0BA969">
      <w:pPr>
        <w:pStyle w:val="5"/>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7E6BB014">
      <w:pPr>
        <w:rPr>
          <w:rFonts w:ascii="Times New Roman" w:hAnsi="Times New Roman"/>
          <w:color w:val="auto"/>
          <w:highlight w:val="none"/>
        </w:rPr>
      </w:pPr>
    </w:p>
    <w:p w14:paraId="061A746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26934FB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630.64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ascii="仿宋_GB2312" w:hAnsi="仿宋_GB2312" w:eastAsia="仿宋_GB2312" w:cs="仿宋_GB2312"/>
          <w:sz w:val="32"/>
          <w:szCs w:val="32"/>
          <w:lang w:val="en-US" w:eastAsia="zh-CN"/>
        </w:rPr>
        <w:t>50.50</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7.41</w:t>
      </w:r>
      <w:r>
        <w:rPr>
          <w:rFonts w:hint="eastAsia" w:ascii="Times New Roman" w:hAnsi="Times New Roman" w:eastAsia="仿宋_GB2312" w:cs="仿宋_GB2312"/>
          <w:color w:val="auto"/>
          <w:sz w:val="32"/>
          <w:szCs w:val="32"/>
          <w:highlight w:val="none"/>
        </w:rPr>
        <w:t>%。主要变动原因是</w:t>
      </w:r>
      <w:r>
        <w:rPr>
          <w:rFonts w:eastAsia="仿宋_GB2312"/>
          <w:sz w:val="32"/>
          <w:szCs w:val="32"/>
        </w:rPr>
        <w:t>一般公共预算财政拨款收入</w:t>
      </w:r>
      <w:r>
        <w:rPr>
          <w:rFonts w:hint="eastAsia" w:eastAsia="仿宋_GB2312"/>
          <w:sz w:val="32"/>
          <w:szCs w:val="32"/>
          <w:lang w:val="en-US" w:eastAsia="zh-CN"/>
        </w:rPr>
        <w:t>中卫生健康收入减少</w:t>
      </w:r>
      <w:r>
        <w:rPr>
          <w:rFonts w:hint="eastAsia" w:ascii="仿宋" w:hAnsi="仿宋" w:eastAsia="仿宋"/>
          <w:sz w:val="32"/>
          <w:szCs w:val="32"/>
        </w:rPr>
        <w:t>。</w:t>
      </w:r>
    </w:p>
    <w:p w14:paraId="2FA8A8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3987800</wp:posOffset>
                </wp:positionH>
                <wp:positionV relativeFrom="paragraph">
                  <wp:posOffset>144780</wp:posOffset>
                </wp:positionV>
                <wp:extent cx="1128395" cy="311150"/>
                <wp:effectExtent l="0" t="0" r="14605" b="12700"/>
                <wp:wrapNone/>
                <wp:docPr id="5" name="文本框 5"/>
                <wp:cNvGraphicFramePr/>
                <a:graphic xmlns:a="http://schemas.openxmlformats.org/drawingml/2006/main">
                  <a:graphicData uri="http://schemas.microsoft.com/office/word/2010/wordprocessingShape">
                    <wps:wsp>
                      <wps:cNvSpPr txBox="1"/>
                      <wps:spPr>
                        <a:xfrm>
                          <a:off x="5717540" y="4195445"/>
                          <a:ext cx="1128395" cy="311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C638B2">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pt;margin-top:11.4pt;height:24.5pt;width:88.85pt;z-index:251660288;mso-width-relative:page;mso-height-relative:page;" fillcolor="#FFFFFF [3201]" filled="t" stroked="f" coordsize="21600,21600" o:gfxdata="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wnjQ&#10;1QAAAAkBAAAPAAAAAAAAAAEAIAAAACIAAABkcnMvZG93bnJldi54bWxQSwECFAAUAAAACACHTuJA&#10;bXZWy10CAACbBAAADgAAAAAAAAABACAAAAAkAQAAZHJzL2Uyb0RvYy54bWxQSwUGAAAAAAYABgBZ&#10;AQAA8wUAAAAA&#10;">
                <v:fill on="t" focussize="0,0"/>
                <v:stroke on="f" weight="0.5pt"/>
                <v:imagedata o:title=""/>
                <o:lock v:ext="edit" aspectratio="f"/>
                <v:textbox>
                  <w:txbxContent>
                    <w:p w14:paraId="66C638B2">
                      <w:pPr>
                        <w:rPr>
                          <w:rFonts w:hint="default" w:eastAsia="宋体"/>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4828540" cy="2821305"/>
            <wp:effectExtent l="4445" t="4445" r="5715" b="1270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DDCA30">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0472E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A0438D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72BB5EB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630.64万元，其中：一般公共预算财政拨款收入587.78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93.2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42.86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6.79</w:t>
      </w:r>
      <w:r>
        <w:rPr>
          <w:rFonts w:hint="eastAsia" w:ascii="仿宋_GB2312" w:hAnsi="仿宋_GB2312" w:eastAsia="仿宋_GB2312" w:cs="仿宋_GB2312"/>
          <w:color w:val="auto"/>
          <w:sz w:val="32"/>
          <w:szCs w:val="32"/>
          <w:highlight w:val="none"/>
          <w:lang w:eastAsia="zh-CN"/>
        </w:rPr>
        <w:t>%。</w:t>
      </w:r>
    </w:p>
    <w:p w14:paraId="58192151">
      <w:pPr>
        <w:pStyle w:val="8"/>
        <w:ind w:firstLine="420" w:firstLineChars="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3630295</wp:posOffset>
                </wp:positionH>
                <wp:positionV relativeFrom="paragraph">
                  <wp:posOffset>257810</wp:posOffset>
                </wp:positionV>
                <wp:extent cx="811530" cy="327025"/>
                <wp:effectExtent l="0" t="0" r="7620" b="15875"/>
                <wp:wrapNone/>
                <wp:docPr id="6" name="文本框 6"/>
                <wp:cNvGraphicFramePr/>
                <a:graphic xmlns:a="http://schemas.openxmlformats.org/drawingml/2006/main">
                  <a:graphicData uri="http://schemas.microsoft.com/office/word/2010/wordprocessingShape">
                    <wps:wsp>
                      <wps:cNvSpPr txBox="1"/>
                      <wps:spPr>
                        <a:xfrm>
                          <a:off x="5225415" y="2045335"/>
                          <a:ext cx="811530" cy="327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49184A">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85pt;margin-top:20.3pt;height:25.75pt;width:63.9pt;z-index:251661312;mso-width-relative:page;mso-height-relative:page;" fillcolor="#FFFFFF [3201]" filled="t" stroked="f" coordsize="21600,21600" o:gfxdata="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SxO&#10;qdYAAAAJAQAADwAAAAAAAAABACAAAAAiAAAAZHJzL2Rvd25yZXYueG1sUEsBAhQAFAAAAAgAh07i&#10;QIBW1DxdAgAAmgQAAA4AAAAAAAAAAQAgAAAAJQEAAGRycy9lMm9Eb2MueG1sUEsFBgAAAAAGAAYA&#10;WQEAAPQFAAAAAA==&#10;">
                <v:fill on="t" focussize="0,0"/>
                <v:stroke on="f" weight="0.5pt"/>
                <v:imagedata o:title=""/>
                <o:lock v:ext="edit" aspectratio="f"/>
                <v:textbox>
                  <w:txbxContent>
                    <w:p w14:paraId="5649184A">
                      <w:pPr>
                        <w:rPr>
                          <w:rFonts w:hint="default" w:eastAsia="宋体"/>
                          <w:lang w:val="en-US" w:eastAsia="zh-CN"/>
                        </w:rPr>
                      </w:pPr>
                      <w:r>
                        <w:rPr>
                          <w:rFonts w:hint="eastAsia"/>
                          <w:lang w:val="en-US"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4676140" cy="2655570"/>
            <wp:effectExtent l="4445" t="4445" r="5715" b="698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D77E2D">
      <w:pPr>
        <w:spacing w:line="600" w:lineRule="exact"/>
        <w:ind w:firstLine="640" w:firstLineChars="200"/>
        <w:rPr>
          <w:rFonts w:hint="eastAsia"/>
          <w:lang w:eastAsia="zh-CN"/>
        </w:rPr>
      </w:pPr>
      <w:r>
        <w:rPr>
          <w:rFonts w:hint="eastAsia" w:ascii="仿宋" w:hAnsi="仿宋" w:eastAsia="仿宋"/>
          <w:sz w:val="32"/>
          <w:szCs w:val="32"/>
        </w:rPr>
        <w:t>图2：收入决算结构图</w:t>
      </w:r>
    </w:p>
    <w:p w14:paraId="405DEB5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4D1B6E6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629.74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549.75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87.29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79.99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03BB457E">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3844290</wp:posOffset>
                </wp:positionH>
                <wp:positionV relativeFrom="paragraph">
                  <wp:posOffset>233045</wp:posOffset>
                </wp:positionV>
                <wp:extent cx="914400" cy="335280"/>
                <wp:effectExtent l="0" t="0" r="0" b="7620"/>
                <wp:wrapNone/>
                <wp:docPr id="7" name="文本框 7"/>
                <wp:cNvGraphicFramePr/>
                <a:graphic xmlns:a="http://schemas.openxmlformats.org/drawingml/2006/main">
                  <a:graphicData uri="http://schemas.microsoft.com/office/word/2010/wordprocessingShape">
                    <wps:wsp>
                      <wps:cNvSpPr txBox="1"/>
                      <wps:spPr>
                        <a:xfrm>
                          <a:off x="5527040" y="7242810"/>
                          <a:ext cx="914400" cy="335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C68DB5">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7pt;margin-top:18.35pt;height:26.4pt;width:72pt;z-index:251662336;mso-width-relative:page;mso-height-relative:page;" fillcolor="#FFFFFF [3201]" filled="t" stroked="f" coordsize="21600,21600" o:gfxdata="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o0giQ1QAA&#10;AAkBAAAPAAAAAAAAAAEAIAAAACIAAABkcnMvZG93bnJldi54bWxQSwECFAAUAAAACACHTuJAvIpT&#10;eFoCAACaBAAADgAAAAAAAAABACAAAAAkAQAAZHJzL2Uyb0RvYy54bWxQSwUGAAAAAAYABgBZAQAA&#10;8AUAAAAA&#10;">
                <v:fill on="t" focussize="0,0"/>
                <v:stroke on="f" weight="0.5pt"/>
                <v:imagedata o:title=""/>
                <o:lock v:ext="edit" aspectratio="f"/>
                <v:textbox>
                  <w:txbxContent>
                    <w:p w14:paraId="7FC68DB5">
                      <w:pPr>
                        <w:rPr>
                          <w:rFonts w:hint="default" w:eastAsia="宋体"/>
                          <w:lang w:val="en-US" w:eastAsia="zh-CN"/>
                        </w:rPr>
                      </w:pPr>
                      <w:r>
                        <w:rPr>
                          <w:rFonts w:hint="eastAsia"/>
                          <w:lang w:val="en-US" w:eastAsia="zh-CN"/>
                        </w:rPr>
                        <w:t>单位：万元</w:t>
                      </w:r>
                    </w:p>
                  </w:txbxContent>
                </v:textbox>
              </v:shape>
            </w:pict>
          </mc:Fallback>
        </mc:AlternateContent>
      </w:r>
      <w:r>
        <w:rPr>
          <w:rFonts w:hint="eastAsia" w:ascii="仿宋_GB2312" w:hAnsi="仿宋_GB2312" w:eastAsia="仿宋_GB2312" w:cs="仿宋_GB2312"/>
          <w:color w:val="auto"/>
          <w:sz w:val="32"/>
          <w:szCs w:val="32"/>
          <w:highlight w:val="none"/>
          <w:lang w:eastAsia="zh-CN"/>
        </w:rPr>
        <w:drawing>
          <wp:inline distT="0" distB="0" distL="114300" distR="114300">
            <wp:extent cx="4729480" cy="2567305"/>
            <wp:effectExtent l="4445" t="5080" r="9525" b="1841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615B3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6775C888">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76AEB54F">
      <w:pPr>
        <w:spacing w:line="600" w:lineRule="exact"/>
        <w:ind w:firstLine="64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587.78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93.36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13.71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rPr>
        <w:t>项目支出</w:t>
      </w:r>
      <w:r>
        <w:rPr>
          <w:rFonts w:hint="eastAsia" w:ascii="仿宋" w:hAnsi="仿宋" w:eastAsia="仿宋"/>
          <w:sz w:val="32"/>
          <w:szCs w:val="32"/>
          <w:lang w:val="en-US" w:eastAsia="zh-CN"/>
        </w:rPr>
        <w:t>公共卫生支出减少</w:t>
      </w:r>
      <w:r>
        <w:rPr>
          <w:rFonts w:hint="eastAsia" w:ascii="仿宋" w:hAnsi="仿宋" w:eastAsia="仿宋"/>
          <w:sz w:val="32"/>
          <w:szCs w:val="32"/>
        </w:rPr>
        <w:t>。</w:t>
      </w:r>
    </w:p>
    <w:p w14:paraId="5B458302">
      <w:pPr>
        <w:pStyle w:val="8"/>
        <w:rPr>
          <w:rFonts w:hint="eastAsia" w:ascii="仿宋" w:hAnsi="仿宋" w:eastAsia="仿宋"/>
          <w:sz w:val="32"/>
          <w:szCs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4003675</wp:posOffset>
                </wp:positionH>
                <wp:positionV relativeFrom="paragraph">
                  <wp:posOffset>276860</wp:posOffset>
                </wp:positionV>
                <wp:extent cx="913765" cy="256540"/>
                <wp:effectExtent l="0" t="0" r="635" b="10160"/>
                <wp:wrapNone/>
                <wp:docPr id="8" name="文本框 8"/>
                <wp:cNvGraphicFramePr/>
                <a:graphic xmlns:a="http://schemas.openxmlformats.org/drawingml/2006/main">
                  <a:graphicData uri="http://schemas.microsoft.com/office/word/2010/wordprocessingShape">
                    <wps:wsp>
                      <wps:cNvSpPr txBox="1"/>
                      <wps:spPr>
                        <a:xfrm>
                          <a:off x="5376545" y="3563620"/>
                          <a:ext cx="913765"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D3D33B">
                            <w:pPr>
                              <w:rPr>
                                <w:rFonts w:hint="default" w:eastAsia="宋体"/>
                                <w:lang w:val="en-US" w:eastAsia="zh-CN"/>
                              </w:rPr>
                            </w:pPr>
                            <w:r>
                              <w:rPr>
                                <w:rFonts w:hint="eastAsia"/>
                                <w:lang w:val="en-US" w:eastAsia="zh-CN"/>
                              </w:rPr>
                              <w:t>单位：万元元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25pt;margin-top:21.8pt;height:20.2pt;width:71.95pt;z-index:251663360;mso-width-relative:page;mso-height-relative:page;" fillcolor="#FFFFFF [3201]" filled="t" stroked="f" coordsize="21600,21600" o:gfxdata="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6yyMNUA&#10;AAAJAQAADwAAAAAAAAABACAAAAAiAAAAZHJzL2Rvd25yZXYueG1sUEsBAhQAFAAAAAgAh07iQOyw&#10;AjNbAgAAmgQAAA4AAAAAAAAAAQAgAAAAJAEAAGRycy9lMm9Eb2MueG1sUEsFBgAAAAAGAAYAWQEA&#10;APEFAAAAAA==&#10;">
                <v:fill on="t" focussize="0,0"/>
                <v:stroke on="f" weight="0.5pt"/>
                <v:imagedata o:title=""/>
                <o:lock v:ext="edit" aspectratio="f"/>
                <v:textbox>
                  <w:txbxContent>
                    <w:p w14:paraId="22D3D33B">
                      <w:pPr>
                        <w:rPr>
                          <w:rFonts w:hint="default" w:eastAsia="宋体"/>
                          <w:lang w:val="en-US" w:eastAsia="zh-CN"/>
                        </w:rPr>
                      </w:pPr>
                      <w:r>
                        <w:rPr>
                          <w:rFonts w:hint="eastAsia"/>
                          <w:lang w:val="en-US" w:eastAsia="zh-CN"/>
                        </w:rPr>
                        <w:t>单位：万元元</w:t>
                      </w:r>
                    </w:p>
                  </w:txbxContent>
                </v:textbox>
              </v:shape>
            </w:pict>
          </mc:Fallback>
        </mc:AlternateContent>
      </w:r>
      <w:r>
        <w:rPr>
          <w:rFonts w:hint="eastAsia" w:ascii="仿宋" w:hAnsi="仿宋" w:eastAsia="仿宋"/>
          <w:sz w:val="32"/>
          <w:szCs w:val="32"/>
          <w:lang w:eastAsia="zh-CN"/>
        </w:rPr>
        <w:drawing>
          <wp:inline distT="0" distB="0" distL="114300" distR="114300">
            <wp:extent cx="4939030" cy="2568575"/>
            <wp:effectExtent l="4445" t="4445" r="9525" b="1778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096002">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46012DA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9B741EE">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5F6DAFB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53BAF90F">
      <w:pPr>
        <w:spacing w:line="600" w:lineRule="exact"/>
        <w:ind w:firstLine="64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587.78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93.</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%。与2023年度相比，一般公共预算财政拨款支出减少93.36万元，下降</w:t>
      </w:r>
      <w:r>
        <w:rPr>
          <w:rFonts w:hint="eastAsia" w:eastAsia="仿宋_GB2312" w:cs="仿宋_GB2312"/>
          <w:color w:val="auto"/>
          <w:kern w:val="2"/>
          <w:sz w:val="32"/>
          <w:szCs w:val="32"/>
          <w:highlight w:val="none"/>
          <w:lang w:val="en-US" w:eastAsia="zh-CN" w:bidi="ar-SA"/>
        </w:rPr>
        <w:t>13.71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rPr>
        <w:t>项目支出</w:t>
      </w:r>
      <w:r>
        <w:rPr>
          <w:rFonts w:hint="eastAsia" w:ascii="仿宋" w:hAnsi="仿宋" w:eastAsia="仿宋"/>
          <w:sz w:val="32"/>
          <w:szCs w:val="32"/>
          <w:lang w:val="en-US" w:eastAsia="zh-CN"/>
        </w:rPr>
        <w:t>公共卫生支出减少</w:t>
      </w:r>
      <w:r>
        <w:rPr>
          <w:rFonts w:hint="eastAsia" w:ascii="仿宋" w:hAnsi="仿宋" w:eastAsia="仿宋"/>
          <w:sz w:val="32"/>
          <w:szCs w:val="32"/>
        </w:rPr>
        <w:t>。</w:t>
      </w:r>
    </w:p>
    <w:p w14:paraId="649AD40C">
      <w:pPr>
        <w:pStyle w:val="8"/>
        <w:rPr>
          <w:rFonts w:hint="eastAsia" w:ascii="仿宋" w:hAnsi="仿宋" w:eastAsia="仿宋"/>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3789045</wp:posOffset>
                </wp:positionH>
                <wp:positionV relativeFrom="paragraph">
                  <wp:posOffset>128270</wp:posOffset>
                </wp:positionV>
                <wp:extent cx="1049655" cy="343535"/>
                <wp:effectExtent l="0" t="0" r="17145" b="18415"/>
                <wp:wrapNone/>
                <wp:docPr id="9" name="文本框 9"/>
                <wp:cNvGraphicFramePr/>
                <a:graphic xmlns:a="http://schemas.openxmlformats.org/drawingml/2006/main">
                  <a:graphicData uri="http://schemas.microsoft.com/office/word/2010/wordprocessingShape">
                    <wps:wsp>
                      <wps:cNvSpPr txBox="1"/>
                      <wps:spPr>
                        <a:xfrm>
                          <a:off x="5598795" y="1264285"/>
                          <a:ext cx="1049655" cy="3435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2D99B9">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35pt;margin-top:10.1pt;height:27.05pt;width:82.65pt;z-index:251664384;mso-width-relative:page;mso-height-relative:page;" fillcolor="#FFFFFF [3201]" filled="t" stroked="f" coordsize="21600,21600" o:gfxdata="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PCZoG&#10;1QAAAAkBAAAPAAAAAAAAAAEAIAAAACIAAABkcnMvZG93bnJldi54bWxQSwECFAAUAAAACACHTuJA&#10;LRZKjF0CAACbBAAADgAAAAAAAAABACAAAAAkAQAAZHJzL2Uyb0RvYy54bWxQSwUGAAAAAAYABgBZ&#10;AQAA8wUAAAAA&#10;">
                <v:fill on="t" focussize="0,0"/>
                <v:stroke on="f" weight="0.5pt"/>
                <v:imagedata o:title=""/>
                <o:lock v:ext="edit" aspectratio="f"/>
                <v:textbox>
                  <w:txbxContent>
                    <w:p w14:paraId="592D99B9">
                      <w:pPr>
                        <w:rPr>
                          <w:rFonts w:hint="default" w:eastAsia="宋体"/>
                          <w:lang w:val="en-US" w:eastAsia="zh-CN"/>
                        </w:rPr>
                      </w:pPr>
                      <w:r>
                        <w:rPr>
                          <w:rFonts w:hint="eastAsia"/>
                          <w:lang w:val="en-US" w:eastAsia="zh-CN"/>
                        </w:rPr>
                        <w:t>单位：万元</w:t>
                      </w:r>
                    </w:p>
                  </w:txbxContent>
                </v:textbox>
              </v:shape>
            </w:pict>
          </mc:Fallback>
        </mc:AlternateContent>
      </w:r>
      <w:r>
        <w:rPr>
          <w:rFonts w:hint="eastAsia" w:ascii="仿宋" w:hAnsi="仿宋" w:eastAsia="仿宋"/>
          <w:sz w:val="32"/>
          <w:szCs w:val="32"/>
          <w:lang w:eastAsia="zh-CN"/>
        </w:rPr>
        <w:drawing>
          <wp:inline distT="0" distB="0" distL="114300" distR="114300">
            <wp:extent cx="4923790" cy="2623185"/>
            <wp:effectExtent l="4445" t="4445" r="5715" b="2032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8DD2EE">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259946C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5905D560">
      <w:pPr>
        <w:spacing w:line="600" w:lineRule="exact"/>
        <w:ind w:firstLine="64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587.78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120.66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20.53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426.18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72.51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40.94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项目支出</w:t>
      </w:r>
      <w:r>
        <w:rPr>
          <w:rFonts w:hint="eastAsia" w:ascii="仿宋" w:hAnsi="仿宋" w:eastAsia="仿宋"/>
          <w:sz w:val="32"/>
          <w:szCs w:val="32"/>
          <w:lang w:val="en-US" w:eastAsia="zh-CN"/>
        </w:rPr>
        <w:t>38.03万元</w:t>
      </w:r>
      <w:r>
        <w:rPr>
          <w:rFonts w:hint="eastAsia" w:ascii="仿宋" w:hAnsi="仿宋" w:eastAsia="仿宋"/>
          <w:sz w:val="32"/>
          <w:szCs w:val="32"/>
        </w:rPr>
        <w:t>，占</w:t>
      </w:r>
      <w:r>
        <w:rPr>
          <w:rFonts w:hint="eastAsia" w:ascii="仿宋" w:hAnsi="仿宋" w:eastAsia="仿宋"/>
          <w:sz w:val="32"/>
          <w:szCs w:val="32"/>
          <w:lang w:val="en-US" w:eastAsia="zh-CN"/>
        </w:rPr>
        <w:t>6.47</w:t>
      </w:r>
      <w:r>
        <w:rPr>
          <w:rFonts w:hint="eastAsia" w:ascii="仿宋" w:hAnsi="仿宋" w:eastAsia="仿宋"/>
          <w:sz w:val="32"/>
          <w:szCs w:val="32"/>
        </w:rPr>
        <w:t>%。</w:t>
      </w:r>
    </w:p>
    <w:p w14:paraId="40E66D65">
      <w:pPr>
        <w:pStyle w:val="2"/>
        <w:rPr>
          <w:rFonts w:hint="eastAsia"/>
        </w:rPr>
      </w:pPr>
    </w:p>
    <w:p w14:paraId="65DB2267">
      <w:pPr>
        <w:pStyle w:val="2"/>
        <w:rPr>
          <w:rFonts w:hint="eastAsia" w:ascii="仿宋" w:hAnsi="仿宋" w:eastAsia="仿宋"/>
          <w:sz w:val="32"/>
          <w:szCs w:val="32"/>
        </w:rPr>
      </w:pPr>
      <w:r>
        <w:rPr>
          <w:sz w:val="18"/>
        </w:rPr>
        <mc:AlternateContent>
          <mc:Choice Requires="wps">
            <w:drawing>
              <wp:anchor distT="0" distB="0" distL="114300" distR="114300" simplePos="0" relativeHeight="251665408" behindDoc="0" locked="0" layoutInCell="1" allowOverlap="1">
                <wp:simplePos x="0" y="0"/>
                <wp:positionH relativeFrom="column">
                  <wp:posOffset>4146550</wp:posOffset>
                </wp:positionH>
                <wp:positionV relativeFrom="paragraph">
                  <wp:posOffset>190500</wp:posOffset>
                </wp:positionV>
                <wp:extent cx="835025" cy="295910"/>
                <wp:effectExtent l="0" t="0" r="3175" b="8890"/>
                <wp:wrapNone/>
                <wp:docPr id="10" name="文本框 10"/>
                <wp:cNvGraphicFramePr/>
                <a:graphic xmlns:a="http://schemas.openxmlformats.org/drawingml/2006/main">
                  <a:graphicData uri="http://schemas.microsoft.com/office/word/2010/wordprocessingShape">
                    <wps:wsp>
                      <wps:cNvSpPr txBox="1"/>
                      <wps:spPr>
                        <a:xfrm>
                          <a:off x="5685790" y="7438390"/>
                          <a:ext cx="835025"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EE6643">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5pt;margin-top:15pt;height:23.3pt;width:65.75pt;z-index:251665408;mso-width-relative:page;mso-height-relative:page;" fillcolor="#FFFFFF [3201]" filled="t" stroked="f" coordsize="21600,21600" o:gfxdata="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RP361QAA&#10;AAkBAAAPAAAAAAAAAAEAIAAAACIAAABkcnMvZG93bnJldi54bWxQSwECFAAUAAAACACHTuJATXU5&#10;QloCAACcBAAADgAAAAAAAAABACAAAAAkAQAAZHJzL2Uyb0RvYy54bWxQSwUGAAAAAAYABgBZAQAA&#10;8AUAAAAA&#10;">
                <v:fill on="t" focussize="0,0"/>
                <v:stroke on="f" weight="0.5pt"/>
                <v:imagedata o:title=""/>
                <o:lock v:ext="edit" aspectratio="f"/>
                <v:textbox>
                  <w:txbxContent>
                    <w:p w14:paraId="38EE6643">
                      <w:pPr>
                        <w:rPr>
                          <w:rFonts w:hint="default" w:eastAsia="宋体"/>
                          <w:lang w:val="en-US" w:eastAsia="zh-CN"/>
                        </w:rPr>
                      </w:pPr>
                      <w:r>
                        <w:rPr>
                          <w:rFonts w:hint="eastAsia"/>
                          <w:lang w:val="en-US" w:eastAsia="zh-CN"/>
                        </w:rPr>
                        <w:t>单位：万元</w:t>
                      </w:r>
                    </w:p>
                  </w:txbxContent>
                </v:textbox>
              </v:shape>
            </w:pict>
          </mc:Fallback>
        </mc:AlternateContent>
      </w:r>
      <w:r>
        <w:rPr>
          <w:rFonts w:hint="eastAsia" w:eastAsia="仿宋"/>
          <w:lang w:eastAsia="zh-CN"/>
        </w:rPr>
        <w:drawing>
          <wp:inline distT="0" distB="0" distL="114300" distR="114300">
            <wp:extent cx="5025390" cy="2367915"/>
            <wp:effectExtent l="4445" t="4445" r="18415" b="889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8741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579D4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59D57E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213"/>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587.78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4BE9C151">
      <w:pPr>
        <w:spacing w:line="600" w:lineRule="exact"/>
        <w:ind w:firstLine="640" w:firstLineChars="200"/>
        <w:rPr>
          <w:rStyle w:val="17"/>
          <w:rFonts w:ascii="仿宋" w:hAnsi="仿宋" w:eastAsia="仿宋" w:cs="仿宋"/>
          <w:b w:val="0"/>
          <w:bCs/>
          <w:sz w:val="32"/>
          <w:szCs w:val="32"/>
        </w:rPr>
      </w:pPr>
      <w:r>
        <w:rPr>
          <w:rStyle w:val="17"/>
          <w:rFonts w:hint="eastAsia" w:ascii="仿宋" w:hAnsi="仿宋" w:eastAsia="仿宋" w:cs="仿宋"/>
          <w:b w:val="0"/>
          <w:bCs/>
          <w:sz w:val="32"/>
          <w:szCs w:val="32"/>
        </w:rPr>
        <w:t>1.社会保障和就业（类）行政事业单位养老支出（款）事业单位养老保险（项）: 支出决算为</w:t>
      </w:r>
      <w:r>
        <w:rPr>
          <w:rStyle w:val="17"/>
          <w:rFonts w:hint="eastAsia" w:ascii="仿宋" w:hAnsi="仿宋" w:eastAsia="仿宋" w:cs="仿宋"/>
          <w:b w:val="0"/>
          <w:bCs/>
          <w:sz w:val="32"/>
          <w:szCs w:val="32"/>
          <w:lang w:val="en-US" w:eastAsia="zh-CN"/>
        </w:rPr>
        <w:t>54.27</w:t>
      </w:r>
      <w:r>
        <w:rPr>
          <w:rStyle w:val="17"/>
          <w:rFonts w:hint="eastAsia" w:ascii="仿宋" w:hAnsi="仿宋" w:eastAsia="仿宋" w:cs="仿宋"/>
          <w:b w:val="0"/>
          <w:bCs/>
          <w:sz w:val="32"/>
          <w:szCs w:val="32"/>
        </w:rPr>
        <w:t>万元，完成预算100%.</w:t>
      </w:r>
    </w:p>
    <w:p w14:paraId="536D00F6">
      <w:pPr>
        <w:spacing w:line="600" w:lineRule="exact"/>
        <w:ind w:firstLine="640" w:firstLineChars="200"/>
        <w:rPr>
          <w:rStyle w:val="17"/>
          <w:rFonts w:ascii="仿宋" w:hAnsi="仿宋" w:eastAsia="仿宋" w:cs="仿宋"/>
          <w:b w:val="0"/>
          <w:bCs/>
          <w:sz w:val="32"/>
          <w:szCs w:val="32"/>
        </w:rPr>
      </w:pPr>
      <w:r>
        <w:rPr>
          <w:rStyle w:val="17"/>
          <w:rFonts w:hint="eastAsia" w:ascii="仿宋" w:hAnsi="仿宋" w:eastAsia="仿宋" w:cs="仿宋"/>
          <w:b w:val="0"/>
          <w:bCs/>
          <w:sz w:val="32"/>
          <w:szCs w:val="32"/>
        </w:rPr>
        <w:t>2.社会保障和就业（类）行政事业单位养老支出（款）事业单位离退休（项）: 支出决算为</w:t>
      </w:r>
      <w:r>
        <w:rPr>
          <w:rStyle w:val="17"/>
          <w:rFonts w:hint="eastAsia" w:ascii="仿宋" w:hAnsi="仿宋" w:eastAsia="仿宋" w:cs="仿宋"/>
          <w:b w:val="0"/>
          <w:bCs/>
          <w:sz w:val="32"/>
          <w:szCs w:val="32"/>
          <w:lang w:val="en-US" w:eastAsia="zh-CN"/>
        </w:rPr>
        <w:t>45.05</w:t>
      </w:r>
      <w:r>
        <w:rPr>
          <w:rStyle w:val="17"/>
          <w:rFonts w:hint="eastAsia" w:ascii="仿宋" w:hAnsi="仿宋" w:eastAsia="仿宋" w:cs="仿宋"/>
          <w:b w:val="0"/>
          <w:bCs/>
          <w:sz w:val="32"/>
          <w:szCs w:val="32"/>
        </w:rPr>
        <w:t>万元，完成预算100%。</w:t>
      </w:r>
    </w:p>
    <w:p w14:paraId="55422A74">
      <w:pPr>
        <w:spacing w:line="600" w:lineRule="exact"/>
        <w:ind w:firstLine="640" w:firstLineChars="200"/>
        <w:rPr>
          <w:rStyle w:val="17"/>
          <w:rFonts w:hint="eastAsia" w:ascii="仿宋" w:hAnsi="仿宋" w:eastAsia="仿宋" w:cs="仿宋"/>
          <w:b w:val="0"/>
          <w:bCs/>
          <w:sz w:val="32"/>
          <w:szCs w:val="32"/>
        </w:rPr>
      </w:pPr>
      <w:r>
        <w:rPr>
          <w:rStyle w:val="17"/>
          <w:rFonts w:hint="eastAsia" w:ascii="仿宋" w:hAnsi="仿宋" w:eastAsia="仿宋" w:cs="仿宋"/>
          <w:b w:val="0"/>
          <w:bCs/>
          <w:sz w:val="32"/>
          <w:szCs w:val="32"/>
        </w:rPr>
        <w:t>3.社会保障和就业（类）行政事业单位养老支出（款）事业单位职业年金缴费支出（项）: 支出决算为</w:t>
      </w:r>
      <w:r>
        <w:rPr>
          <w:rStyle w:val="17"/>
          <w:rFonts w:hint="eastAsia" w:ascii="仿宋" w:hAnsi="仿宋" w:eastAsia="仿宋" w:cs="仿宋"/>
          <w:b w:val="0"/>
          <w:bCs/>
          <w:sz w:val="32"/>
          <w:szCs w:val="32"/>
          <w:lang w:val="en-US" w:eastAsia="zh-CN"/>
        </w:rPr>
        <w:t>21.34</w:t>
      </w:r>
      <w:r>
        <w:rPr>
          <w:rStyle w:val="17"/>
          <w:rFonts w:hint="eastAsia" w:ascii="仿宋" w:hAnsi="仿宋" w:eastAsia="仿宋" w:cs="仿宋"/>
          <w:b w:val="0"/>
          <w:bCs/>
          <w:sz w:val="32"/>
          <w:szCs w:val="32"/>
        </w:rPr>
        <w:t>万元，完成预算100%。</w:t>
      </w:r>
    </w:p>
    <w:p w14:paraId="7FD8A35C">
      <w:pPr>
        <w:spacing w:line="600" w:lineRule="exact"/>
        <w:ind w:firstLine="640" w:firstLineChars="200"/>
        <w:rPr>
          <w:rFonts w:ascii="仿宋" w:hAnsi="仿宋" w:eastAsia="仿宋" w:cs="仿宋"/>
          <w:bCs/>
          <w:sz w:val="32"/>
          <w:szCs w:val="32"/>
        </w:rPr>
      </w:pPr>
      <w:r>
        <w:rPr>
          <w:rStyle w:val="17"/>
          <w:rFonts w:hint="eastAsia" w:ascii="仿宋" w:hAnsi="仿宋" w:eastAsia="仿宋" w:cs="仿宋"/>
          <w:b w:val="0"/>
          <w:bCs/>
          <w:sz w:val="32"/>
          <w:szCs w:val="32"/>
        </w:rPr>
        <w:t>4.</w:t>
      </w:r>
      <w:r>
        <w:rPr>
          <w:rFonts w:hint="eastAsia" w:ascii="仿宋" w:hAnsi="仿宋" w:eastAsia="仿宋" w:cs="仿宋"/>
          <w:bCs/>
          <w:sz w:val="32"/>
          <w:szCs w:val="32"/>
        </w:rPr>
        <w:t>卫生健康</w:t>
      </w:r>
      <w:r>
        <w:rPr>
          <w:rStyle w:val="17"/>
          <w:rFonts w:hint="eastAsia" w:ascii="仿宋" w:hAnsi="仿宋" w:eastAsia="仿宋" w:cs="仿宋"/>
          <w:b w:val="0"/>
          <w:bCs/>
          <w:sz w:val="32"/>
          <w:szCs w:val="32"/>
        </w:rPr>
        <w:t>（类）公共卫生（款）妇幼保健机构（项）:支出决算为</w:t>
      </w:r>
      <w:r>
        <w:rPr>
          <w:rStyle w:val="17"/>
          <w:rFonts w:hint="eastAsia" w:ascii="仿宋" w:hAnsi="仿宋" w:eastAsia="仿宋" w:cs="仿宋"/>
          <w:b w:val="0"/>
          <w:bCs/>
          <w:sz w:val="32"/>
          <w:szCs w:val="32"/>
          <w:lang w:val="en-US" w:eastAsia="zh-CN"/>
        </w:rPr>
        <w:t>344.17</w:t>
      </w:r>
      <w:r>
        <w:rPr>
          <w:rStyle w:val="17"/>
          <w:rFonts w:hint="eastAsia" w:ascii="仿宋" w:hAnsi="仿宋" w:eastAsia="仿宋" w:cs="仿宋"/>
          <w:b w:val="0"/>
          <w:bCs/>
          <w:sz w:val="32"/>
          <w:szCs w:val="32"/>
        </w:rPr>
        <w:t>万元，完成预算</w:t>
      </w:r>
      <w:r>
        <w:rPr>
          <w:rStyle w:val="17"/>
          <w:rFonts w:hint="eastAsia" w:ascii="仿宋" w:hAnsi="仿宋" w:eastAsia="仿宋" w:cs="仿宋"/>
          <w:b w:val="0"/>
          <w:bCs/>
          <w:sz w:val="32"/>
          <w:szCs w:val="32"/>
          <w:highlight w:val="none"/>
        </w:rPr>
        <w:t>100%。</w:t>
      </w:r>
    </w:p>
    <w:p w14:paraId="2EDA017C">
      <w:pPr>
        <w:spacing w:line="600" w:lineRule="exact"/>
        <w:ind w:firstLine="640" w:firstLineChars="200"/>
        <w:rPr>
          <w:rFonts w:ascii="仿宋" w:hAnsi="仿宋" w:eastAsia="仿宋" w:cs="仿宋"/>
          <w:bCs/>
          <w:sz w:val="32"/>
          <w:szCs w:val="32"/>
          <w:highlight w:val="yellow"/>
        </w:rPr>
      </w:pPr>
      <w:r>
        <w:rPr>
          <w:rStyle w:val="17"/>
          <w:rFonts w:hint="eastAsia" w:ascii="仿宋" w:hAnsi="仿宋" w:eastAsia="仿宋" w:cs="仿宋"/>
          <w:b w:val="0"/>
          <w:bCs/>
          <w:sz w:val="32"/>
          <w:szCs w:val="32"/>
        </w:rPr>
        <w:t>5.</w:t>
      </w:r>
      <w:r>
        <w:rPr>
          <w:rFonts w:hint="eastAsia" w:ascii="仿宋" w:hAnsi="仿宋" w:eastAsia="仿宋" w:cs="仿宋"/>
          <w:bCs/>
          <w:sz w:val="32"/>
          <w:szCs w:val="32"/>
        </w:rPr>
        <w:t>卫生健康</w:t>
      </w:r>
      <w:r>
        <w:rPr>
          <w:rStyle w:val="17"/>
          <w:rFonts w:hint="eastAsia" w:ascii="仿宋" w:hAnsi="仿宋" w:eastAsia="仿宋" w:cs="仿宋"/>
          <w:b w:val="0"/>
          <w:bCs/>
          <w:sz w:val="32"/>
          <w:szCs w:val="32"/>
        </w:rPr>
        <w:t>（类）公共卫生（款）基本公共卫生支出（项）:支出决算为</w:t>
      </w:r>
      <w:r>
        <w:rPr>
          <w:rStyle w:val="17"/>
          <w:rFonts w:hint="eastAsia" w:ascii="仿宋" w:hAnsi="仿宋" w:eastAsia="仿宋" w:cs="仿宋"/>
          <w:b w:val="0"/>
          <w:bCs/>
          <w:sz w:val="32"/>
          <w:szCs w:val="32"/>
          <w:lang w:val="en-US" w:eastAsia="zh-CN"/>
        </w:rPr>
        <w:t>8.10</w:t>
      </w:r>
      <w:r>
        <w:rPr>
          <w:rStyle w:val="17"/>
          <w:rFonts w:hint="eastAsia" w:ascii="仿宋" w:hAnsi="仿宋" w:eastAsia="仿宋" w:cs="仿宋"/>
          <w:b w:val="0"/>
          <w:bCs/>
          <w:sz w:val="32"/>
          <w:szCs w:val="32"/>
        </w:rPr>
        <w:t>万元，完成</w:t>
      </w:r>
      <w:r>
        <w:rPr>
          <w:rStyle w:val="17"/>
          <w:rFonts w:hint="eastAsia" w:ascii="仿宋" w:hAnsi="仿宋" w:eastAsia="仿宋" w:cs="仿宋"/>
          <w:b w:val="0"/>
          <w:bCs/>
          <w:sz w:val="32"/>
          <w:szCs w:val="32"/>
          <w:highlight w:val="none"/>
        </w:rPr>
        <w:t>预算100%。</w:t>
      </w:r>
    </w:p>
    <w:p w14:paraId="419A894A">
      <w:pPr>
        <w:spacing w:line="600" w:lineRule="exact"/>
        <w:ind w:firstLine="640" w:firstLineChars="200"/>
        <w:rPr>
          <w:rFonts w:ascii="仿宋" w:hAnsi="仿宋" w:eastAsia="仿宋" w:cs="仿宋"/>
          <w:bCs/>
          <w:sz w:val="32"/>
          <w:szCs w:val="32"/>
          <w:highlight w:val="none"/>
        </w:rPr>
      </w:pPr>
      <w:r>
        <w:rPr>
          <w:rStyle w:val="17"/>
          <w:rFonts w:hint="eastAsia" w:ascii="仿宋" w:hAnsi="仿宋" w:eastAsia="仿宋" w:cs="仿宋"/>
          <w:b w:val="0"/>
          <w:bCs/>
          <w:sz w:val="32"/>
          <w:szCs w:val="32"/>
          <w:highlight w:val="none"/>
        </w:rPr>
        <w:t>6.</w:t>
      </w:r>
      <w:r>
        <w:rPr>
          <w:rFonts w:hint="eastAsia" w:ascii="仿宋" w:hAnsi="仿宋" w:eastAsia="仿宋" w:cs="仿宋"/>
          <w:bCs/>
          <w:sz w:val="32"/>
          <w:szCs w:val="32"/>
          <w:highlight w:val="none"/>
        </w:rPr>
        <w:t>卫生健康</w:t>
      </w:r>
      <w:r>
        <w:rPr>
          <w:rStyle w:val="17"/>
          <w:rFonts w:hint="eastAsia" w:ascii="仿宋" w:hAnsi="仿宋" w:eastAsia="仿宋" w:cs="仿宋"/>
          <w:b w:val="0"/>
          <w:bCs/>
          <w:sz w:val="32"/>
          <w:szCs w:val="32"/>
          <w:highlight w:val="none"/>
        </w:rPr>
        <w:t>（类）公共卫生（款）重大公共卫生支出（项）:支出决算为</w:t>
      </w:r>
      <w:r>
        <w:rPr>
          <w:rStyle w:val="17"/>
          <w:rFonts w:hint="eastAsia" w:ascii="仿宋" w:hAnsi="仿宋" w:eastAsia="仿宋" w:cs="仿宋"/>
          <w:b w:val="0"/>
          <w:bCs/>
          <w:sz w:val="32"/>
          <w:szCs w:val="32"/>
          <w:highlight w:val="none"/>
          <w:lang w:val="en-US" w:eastAsia="zh-CN"/>
        </w:rPr>
        <w:t>29.94</w:t>
      </w:r>
      <w:r>
        <w:rPr>
          <w:rStyle w:val="17"/>
          <w:rFonts w:hint="eastAsia" w:ascii="仿宋" w:hAnsi="仿宋" w:eastAsia="仿宋" w:cs="仿宋"/>
          <w:b w:val="0"/>
          <w:bCs/>
          <w:sz w:val="32"/>
          <w:szCs w:val="32"/>
          <w:highlight w:val="none"/>
        </w:rPr>
        <w:t>万元，完成预算100%。</w:t>
      </w:r>
    </w:p>
    <w:p w14:paraId="6C1DE48D">
      <w:pPr>
        <w:spacing w:line="600" w:lineRule="exact"/>
        <w:ind w:firstLine="640" w:firstLineChars="200"/>
        <w:rPr>
          <w:rFonts w:ascii="仿宋" w:hAnsi="仿宋" w:eastAsia="仿宋" w:cs="仿宋"/>
          <w:bCs/>
          <w:sz w:val="32"/>
          <w:szCs w:val="32"/>
        </w:rPr>
      </w:pPr>
      <w:r>
        <w:rPr>
          <w:rStyle w:val="17"/>
          <w:rFonts w:hint="eastAsia" w:ascii="仿宋" w:hAnsi="仿宋" w:eastAsia="仿宋" w:cs="仿宋"/>
          <w:b w:val="0"/>
          <w:bCs/>
          <w:sz w:val="32"/>
          <w:szCs w:val="32"/>
          <w:lang w:val="en-US" w:eastAsia="zh-CN"/>
        </w:rPr>
        <w:t>7</w:t>
      </w:r>
      <w:r>
        <w:rPr>
          <w:rStyle w:val="17"/>
          <w:rFonts w:hint="eastAsia" w:ascii="仿宋" w:hAnsi="仿宋" w:eastAsia="仿宋" w:cs="仿宋"/>
          <w:b w:val="0"/>
          <w:bCs/>
          <w:sz w:val="32"/>
          <w:szCs w:val="32"/>
        </w:rPr>
        <w:t>.</w:t>
      </w:r>
      <w:r>
        <w:rPr>
          <w:rFonts w:hint="eastAsia" w:ascii="仿宋" w:hAnsi="仿宋" w:eastAsia="仿宋" w:cs="仿宋"/>
          <w:bCs/>
          <w:sz w:val="32"/>
          <w:szCs w:val="32"/>
        </w:rPr>
        <w:t>卫生健康支出</w:t>
      </w:r>
      <w:r>
        <w:rPr>
          <w:rStyle w:val="17"/>
          <w:rFonts w:hint="eastAsia" w:ascii="仿宋" w:hAnsi="仿宋" w:eastAsia="仿宋" w:cs="仿宋"/>
          <w:b w:val="0"/>
          <w:bCs/>
          <w:sz w:val="32"/>
          <w:szCs w:val="32"/>
        </w:rPr>
        <w:t>（类）行政事业单位医疗（款）事业单位医疗（项）:支出决算为</w:t>
      </w:r>
      <w:r>
        <w:rPr>
          <w:rStyle w:val="17"/>
          <w:rFonts w:hint="eastAsia" w:ascii="仿宋" w:hAnsi="仿宋" w:eastAsia="仿宋" w:cs="仿宋"/>
          <w:b w:val="0"/>
          <w:bCs/>
          <w:sz w:val="32"/>
          <w:szCs w:val="32"/>
          <w:lang w:val="en-US" w:eastAsia="zh-CN"/>
        </w:rPr>
        <w:t>26.90</w:t>
      </w:r>
      <w:r>
        <w:rPr>
          <w:rStyle w:val="17"/>
          <w:rFonts w:hint="eastAsia" w:ascii="仿宋" w:hAnsi="仿宋" w:eastAsia="仿宋" w:cs="仿宋"/>
          <w:b w:val="0"/>
          <w:bCs/>
          <w:sz w:val="32"/>
          <w:szCs w:val="32"/>
        </w:rPr>
        <w:t>万元，完成预算100%。</w:t>
      </w:r>
    </w:p>
    <w:p w14:paraId="5C962125">
      <w:pPr>
        <w:spacing w:line="600" w:lineRule="exact"/>
        <w:ind w:firstLine="640" w:firstLineChars="200"/>
        <w:rPr>
          <w:rStyle w:val="17"/>
          <w:rFonts w:hint="eastAsia" w:ascii="仿宋" w:hAnsi="仿宋" w:eastAsia="仿宋" w:cs="仿宋"/>
          <w:b w:val="0"/>
          <w:bCs/>
          <w:sz w:val="32"/>
          <w:szCs w:val="32"/>
        </w:rPr>
      </w:pPr>
      <w:r>
        <w:rPr>
          <w:rStyle w:val="17"/>
          <w:rFonts w:hint="eastAsia" w:ascii="仿宋" w:hAnsi="仿宋" w:eastAsia="仿宋" w:cs="仿宋"/>
          <w:b w:val="0"/>
          <w:bCs/>
          <w:sz w:val="32"/>
          <w:szCs w:val="32"/>
          <w:lang w:val="en-US" w:eastAsia="zh-CN"/>
        </w:rPr>
        <w:t>8</w:t>
      </w:r>
      <w:r>
        <w:rPr>
          <w:rStyle w:val="17"/>
          <w:rFonts w:hint="eastAsia" w:ascii="仿宋" w:hAnsi="仿宋" w:eastAsia="仿宋" w:cs="仿宋"/>
          <w:b w:val="0"/>
          <w:bCs/>
          <w:sz w:val="32"/>
          <w:szCs w:val="32"/>
        </w:rPr>
        <w:t>.</w:t>
      </w:r>
      <w:r>
        <w:rPr>
          <w:rFonts w:hint="eastAsia" w:ascii="仿宋" w:hAnsi="仿宋" w:eastAsia="仿宋" w:cs="仿宋"/>
          <w:bCs/>
          <w:sz w:val="32"/>
          <w:szCs w:val="32"/>
        </w:rPr>
        <w:t>卫生健康支出</w:t>
      </w:r>
      <w:r>
        <w:rPr>
          <w:rStyle w:val="17"/>
          <w:rFonts w:hint="eastAsia" w:ascii="仿宋" w:hAnsi="仿宋" w:eastAsia="仿宋" w:cs="仿宋"/>
          <w:b w:val="0"/>
          <w:bCs/>
          <w:sz w:val="32"/>
          <w:szCs w:val="32"/>
        </w:rPr>
        <w:t>（类）行政事业单位医疗（款）其他行政事业单位医疗支出（项）:支出决算为</w:t>
      </w:r>
      <w:r>
        <w:rPr>
          <w:rStyle w:val="17"/>
          <w:rFonts w:hint="eastAsia" w:ascii="仿宋" w:hAnsi="仿宋" w:eastAsia="仿宋" w:cs="仿宋"/>
          <w:b w:val="0"/>
          <w:bCs/>
          <w:sz w:val="32"/>
          <w:szCs w:val="32"/>
          <w:lang w:val="en-US" w:eastAsia="zh-CN"/>
        </w:rPr>
        <w:t>17.07</w:t>
      </w:r>
      <w:r>
        <w:rPr>
          <w:rStyle w:val="17"/>
          <w:rFonts w:hint="eastAsia" w:ascii="仿宋" w:hAnsi="仿宋" w:eastAsia="仿宋" w:cs="仿宋"/>
          <w:b w:val="0"/>
          <w:bCs/>
          <w:sz w:val="32"/>
          <w:szCs w:val="32"/>
        </w:rPr>
        <w:t>万元，完成预算100%。</w:t>
      </w:r>
    </w:p>
    <w:p w14:paraId="7128F7D3">
      <w:pPr>
        <w:pStyle w:val="8"/>
        <w:spacing w:before="93"/>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17"/>
          <w:rFonts w:hint="eastAsia" w:ascii="仿宋" w:hAnsi="仿宋" w:eastAsia="仿宋" w:cs="仿宋"/>
          <w:b w:val="0"/>
          <w:bCs/>
          <w:color w:val="000000"/>
          <w:sz w:val="32"/>
          <w:szCs w:val="32"/>
          <w:lang w:val="en-US" w:eastAsia="zh-CN"/>
        </w:rPr>
        <w:t>9</w:t>
      </w:r>
      <w:r>
        <w:rPr>
          <w:rStyle w:val="17"/>
          <w:rFonts w:hint="eastAsia" w:ascii="仿宋" w:hAnsi="仿宋" w:eastAsia="仿宋" w:cs="仿宋"/>
          <w:b w:val="0"/>
          <w:bCs/>
          <w:color w:val="000000"/>
          <w:sz w:val="32"/>
          <w:szCs w:val="32"/>
        </w:rPr>
        <w:t>.</w:t>
      </w:r>
      <w:r>
        <w:rPr>
          <w:rFonts w:hint="eastAsia" w:ascii="仿宋" w:hAnsi="仿宋" w:eastAsia="仿宋" w:cs="仿宋"/>
          <w:bCs/>
          <w:color w:val="000000"/>
          <w:sz w:val="32"/>
          <w:szCs w:val="32"/>
        </w:rPr>
        <w:t>住房保障支出（类）住房改革支出（款）住房公积金（项）</w:t>
      </w:r>
      <w:r>
        <w:rPr>
          <w:rStyle w:val="17"/>
          <w:rFonts w:hint="eastAsia" w:ascii="仿宋" w:hAnsi="仿宋" w:eastAsia="仿宋" w:cs="仿宋"/>
          <w:b w:val="0"/>
          <w:bCs/>
          <w:color w:val="000000"/>
          <w:sz w:val="32"/>
          <w:szCs w:val="32"/>
        </w:rPr>
        <w:t>: 支出决算为</w:t>
      </w:r>
      <w:r>
        <w:rPr>
          <w:rStyle w:val="17"/>
          <w:rFonts w:hint="eastAsia" w:ascii="仿宋" w:hAnsi="仿宋" w:eastAsia="仿宋" w:cs="仿宋"/>
          <w:b w:val="0"/>
          <w:bCs/>
          <w:color w:val="000000"/>
          <w:sz w:val="32"/>
          <w:szCs w:val="32"/>
          <w:lang w:val="en-US" w:eastAsia="zh-CN"/>
        </w:rPr>
        <w:t>40.94</w:t>
      </w:r>
      <w:r>
        <w:rPr>
          <w:rStyle w:val="17"/>
          <w:rFonts w:hint="eastAsia" w:ascii="仿宋" w:hAnsi="仿宋" w:eastAsia="仿宋" w:cs="仿宋"/>
          <w:b w:val="0"/>
          <w:bCs/>
          <w:color w:val="000000"/>
          <w:sz w:val="32"/>
          <w:szCs w:val="32"/>
        </w:rPr>
        <w:t>万元，完成预算100%</w:t>
      </w:r>
      <w:r>
        <w:rPr>
          <w:rFonts w:hint="eastAsia" w:ascii="仿宋" w:hAnsi="仿宋" w:eastAsia="仿宋" w:cs="仿宋"/>
          <w:bCs/>
          <w:sz w:val="32"/>
          <w:szCs w:val="32"/>
        </w:rPr>
        <w:t>。</w:t>
      </w:r>
    </w:p>
    <w:p w14:paraId="37FA66AF">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058AA8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549.75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32B1987">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547.38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元，主要包括：基本工资、津贴补贴、绩效工资、机关事业单位基本养老保险缴费、职业年金缴费、其他社会保障缴费、生活补助、医疗费补助、住房公积金等。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维修（护）费、福利费。</w:t>
      </w:r>
    </w:p>
    <w:p w14:paraId="5D1A58FB">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79B387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88383EF">
      <w:pPr>
        <w:spacing w:line="600" w:lineRule="exact"/>
        <w:ind w:firstLine="640"/>
        <w:rPr>
          <w:rFonts w:hint="eastAsia" w:ascii="仿宋" w:hAnsi="仿宋" w:eastAsia="仿宋" w:cs="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预算数的主要原因是</w:t>
      </w:r>
      <w:r>
        <w:rPr>
          <w:rFonts w:hint="eastAsia" w:eastAsia="仿宋_GB2312" w:cs="仿宋_GB2312"/>
          <w:color w:val="auto"/>
          <w:kern w:val="2"/>
          <w:sz w:val="32"/>
          <w:szCs w:val="32"/>
          <w:highlight w:val="none"/>
          <w:lang w:val="en-US" w:eastAsia="zh-CN" w:bidi="ar-SA"/>
        </w:rPr>
        <w:t>增加</w:t>
      </w:r>
      <w:r>
        <w:rPr>
          <w:rFonts w:hint="eastAsia" w:ascii="仿宋" w:hAnsi="仿宋" w:eastAsia="仿宋" w:cs="仿宋"/>
          <w:sz w:val="32"/>
          <w:szCs w:val="32"/>
        </w:rPr>
        <w:t>“三公”经费支出。</w:t>
      </w:r>
    </w:p>
    <w:p w14:paraId="7C28C40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06B6721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720AF82E">
      <w:pPr>
        <w:pStyle w:val="8"/>
        <w:rPr>
          <w:rFonts w:hint="eastAsia" w:ascii="仿宋_GB2312" w:hAnsi="仿宋_GB2312" w:eastAsia="仿宋_GB2312" w:cs="仿宋_GB2312"/>
          <w:color w:val="auto"/>
          <w:kern w:val="2"/>
          <w:sz w:val="32"/>
          <w:szCs w:val="32"/>
          <w:highlight w:val="none"/>
          <w:lang w:val="en-US" w:eastAsia="zh-CN" w:bidi="ar-SA"/>
        </w:rPr>
      </w:pPr>
    </w:p>
    <w:p w14:paraId="7292F748">
      <w:pPr>
        <w:pStyle w:val="8"/>
        <w:tabs>
          <w:tab w:val="right" w:pos="8306"/>
        </w:tabs>
        <w:rPr>
          <w:rFonts w:hint="eastAsia" w:ascii="仿宋_GB2312" w:hAnsi="仿宋_GB2312"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66432" behindDoc="0" locked="0" layoutInCell="1" allowOverlap="1">
                <wp:simplePos x="0" y="0"/>
                <wp:positionH relativeFrom="column">
                  <wp:posOffset>3891915</wp:posOffset>
                </wp:positionH>
                <wp:positionV relativeFrom="paragraph">
                  <wp:posOffset>167640</wp:posOffset>
                </wp:positionV>
                <wp:extent cx="803910" cy="303530"/>
                <wp:effectExtent l="0" t="0" r="0" b="0"/>
                <wp:wrapNone/>
                <wp:docPr id="11" name="文本框 11"/>
                <wp:cNvGraphicFramePr/>
                <a:graphic xmlns:a="http://schemas.openxmlformats.org/drawingml/2006/main">
                  <a:graphicData uri="http://schemas.microsoft.com/office/word/2010/wordprocessingShape">
                    <wps:wsp>
                      <wps:cNvSpPr txBox="1"/>
                      <wps:spPr>
                        <a:xfrm>
                          <a:off x="5034915" y="1248410"/>
                          <a:ext cx="803910" cy="303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1900">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45pt;margin-top:13.2pt;height:23.9pt;width:63.3pt;z-index:251666432;mso-width-relative:page;mso-height-relative:page;" filled="f" stroked="f" coordsize="21600,21600" o:gfxdata="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1g0G9sAAAAJAQAADwAAAAAAAAAB&#10;ACAAAAAiAAAAZHJzL2Rvd25yZXYueG1sUEsBAhQAFAAAAAgAh07iQAGfPpNGAgAAcwQAAA4AAAAA&#10;AAAAAQAgAAAAKgEAAGRycy9lMm9Eb2MueG1sUEsFBgAAAAAGAAYAWQEAAOIFAAAAAA==&#10;">
                <v:fill on="f" focussize="0,0"/>
                <v:stroke on="f" weight="0.5pt"/>
                <v:imagedata o:title=""/>
                <o:lock v:ext="edit" aspectratio="f"/>
                <v:textbox>
                  <w:txbxContent>
                    <w:p w14:paraId="3C7C1900">
                      <w:pPr>
                        <w:rPr>
                          <w:rFonts w:hint="default" w:eastAsia="宋体"/>
                          <w:lang w:val="en-US" w:eastAsia="zh-CN"/>
                        </w:rPr>
                      </w:pPr>
                      <w:r>
                        <w:rPr>
                          <w:rFonts w:hint="eastAsia"/>
                          <w:lang w:val="en-US" w:eastAsia="zh-CN"/>
                        </w:rPr>
                        <w:t>单位：万元</w:t>
                      </w:r>
                    </w:p>
                  </w:txbxContent>
                </v:textbox>
              </v:shape>
            </w:pict>
          </mc:Fallback>
        </mc:AlternateContent>
      </w: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4733290" cy="2592070"/>
            <wp:effectExtent l="4445" t="5080" r="5715" b="1270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hAnsi="仿宋_GB2312" w:cs="仿宋_GB2312"/>
          <w:color w:val="auto"/>
          <w:kern w:val="2"/>
          <w:sz w:val="32"/>
          <w:szCs w:val="32"/>
          <w:highlight w:val="none"/>
          <w:lang w:val="en-US" w:eastAsia="zh-CN" w:bidi="ar-SA"/>
        </w:rPr>
        <w:tab/>
      </w:r>
    </w:p>
    <w:p w14:paraId="2E9A0F61">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41C932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FD23097">
      <w:pPr>
        <w:spacing w:line="600" w:lineRule="exact"/>
        <w:ind w:firstLine="640"/>
        <w:rPr>
          <w:rFonts w:ascii="仿宋" w:hAnsi="仿宋" w:eastAsia="仿宋" w:cs="仿宋"/>
          <w:b/>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0.54万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sz w:val="32"/>
          <w:szCs w:val="32"/>
        </w:rPr>
        <w:t>主要原因是本年</w:t>
      </w:r>
      <w:r>
        <w:rPr>
          <w:rFonts w:hint="eastAsia" w:ascii="仿宋" w:hAnsi="仿宋" w:eastAsia="仿宋" w:cs="仿宋"/>
          <w:sz w:val="32"/>
          <w:szCs w:val="32"/>
          <w:lang w:val="en-US" w:eastAsia="zh-CN"/>
        </w:rPr>
        <w:t>有</w:t>
      </w:r>
      <w:r>
        <w:rPr>
          <w:rFonts w:hint="eastAsia" w:ascii="仿宋" w:hAnsi="仿宋" w:eastAsia="仿宋" w:cs="仿宋"/>
          <w:sz w:val="32"/>
          <w:szCs w:val="32"/>
        </w:rPr>
        <w:t>公务用车购置及运行维护费用。</w:t>
      </w:r>
    </w:p>
    <w:p w14:paraId="57556DA9">
      <w:pPr>
        <w:spacing w:line="600" w:lineRule="exact"/>
        <w:ind w:firstLine="640" w:firstLineChars="200"/>
        <w:rPr>
          <w:rFonts w:ascii="仿宋" w:hAnsi="仿宋" w:eastAsia="仿宋" w:cs="仿宋"/>
          <w:b/>
          <w:sz w:val="32"/>
          <w:szCs w:val="32"/>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w:t>
      </w:r>
      <w:r>
        <w:rPr>
          <w:rFonts w:hint="eastAsia" w:ascii="仿宋" w:hAnsi="仿宋" w:eastAsia="仿宋" w:cs="仿宋"/>
          <w:sz w:val="32"/>
          <w:szCs w:val="32"/>
        </w:rPr>
        <w:t>单位共有公务用车1辆，其中：特种专业用车1辆。</w:t>
      </w:r>
    </w:p>
    <w:p w14:paraId="1B6F70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 w:hAnsi="仿宋" w:eastAsia="仿宋" w:cs="仿宋"/>
          <w:sz w:val="32"/>
          <w:szCs w:val="32"/>
        </w:rPr>
        <w:t>特种专业用车</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A3C5E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4366A1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p>
    <w:p w14:paraId="0F3EEA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40" w:name="_Toc15377218"/>
      <w:bookmarkStart w:id="41" w:name="_Toc15396610"/>
      <w:r>
        <w:rPr>
          <w:rFonts w:hint="eastAsia" w:ascii="仿宋_GB2312" w:hAnsi="仿宋_GB2312" w:eastAsia="仿宋_GB2312" w:cs="仿宋_GB2312"/>
          <w:color w:val="auto"/>
          <w:kern w:val="2"/>
          <w:sz w:val="32"/>
          <w:szCs w:val="32"/>
          <w:highlight w:val="none"/>
          <w:lang w:val="en-US" w:eastAsia="zh-CN" w:bidi="ar-SA"/>
        </w:rPr>
        <w:t>。</w:t>
      </w:r>
    </w:p>
    <w:p w14:paraId="485446EC">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480C0443">
      <w:pPr>
        <w:spacing w:line="600" w:lineRule="exact"/>
        <w:ind w:firstLine="640"/>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42" w:name="_Toc15377219"/>
      <w:bookmarkStart w:id="43" w:name="_Toc15396611"/>
      <w:r>
        <w:rPr>
          <w:rFonts w:hint="eastAsia" w:eastAsia="仿宋_GB2312" w:cs="Times New Roman"/>
          <w:sz w:val="32"/>
          <w:szCs w:val="32"/>
          <w:lang w:eastAsia="zh-CN"/>
        </w:rPr>
        <w:t>本单位</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政府性基金预算财政拨款</w:t>
      </w:r>
      <w:r>
        <w:rPr>
          <w:rFonts w:hint="default" w:ascii="Times New Roman" w:hAnsi="Times New Roman" w:eastAsia="仿宋_GB2312" w:cs="Times New Roman"/>
          <w:sz w:val="32"/>
          <w:szCs w:val="32"/>
          <w:lang w:eastAsia="zh-CN"/>
        </w:rPr>
        <w:t>收入，无</w:t>
      </w:r>
      <w:r>
        <w:rPr>
          <w:rFonts w:hint="default" w:ascii="Times New Roman" w:hAnsi="Times New Roman" w:eastAsia="仿宋_GB2312" w:cs="Times New Roman"/>
          <w:sz w:val="32"/>
          <w:szCs w:val="32"/>
        </w:rPr>
        <w:t>政府性基金预算财政拨款</w:t>
      </w:r>
      <w:r>
        <w:rPr>
          <w:rFonts w:hint="default" w:ascii="Times New Roman" w:hAnsi="Times New Roman" w:eastAsia="仿宋_GB2312" w:cs="Times New Roman"/>
          <w:sz w:val="32"/>
          <w:szCs w:val="32"/>
          <w:lang w:eastAsia="zh-CN"/>
        </w:rPr>
        <w:t>支出。</w:t>
      </w:r>
    </w:p>
    <w:p w14:paraId="47840A9C">
      <w:pPr>
        <w:numPr>
          <w:ilvl w:val="0"/>
          <w:numId w:val="0"/>
        </w:numPr>
        <w:spacing w:line="600" w:lineRule="exact"/>
        <w:ind w:left="630" w:leftChars="0"/>
        <w:outlineLvl w:val="1"/>
        <w:rPr>
          <w:rStyle w:val="29"/>
          <w:rFonts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62B98E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sz w:val="32"/>
          <w:szCs w:val="32"/>
          <w:lang w:eastAsia="zh-CN"/>
        </w:rPr>
        <w:t>本中心无</w:t>
      </w:r>
      <w:r>
        <w:rPr>
          <w:rFonts w:hint="default" w:ascii="Times New Roman" w:hAnsi="Times New Roman" w:eastAsia="仿宋_GB2312" w:cs="Times New Roman"/>
          <w:sz w:val="32"/>
          <w:szCs w:val="32"/>
        </w:rPr>
        <w:t>国有资本经营预算财政拨款</w:t>
      </w:r>
      <w:r>
        <w:rPr>
          <w:rFonts w:hint="default" w:ascii="Times New Roman" w:hAnsi="Times New Roman" w:eastAsia="仿宋_GB2312" w:cs="Times New Roman"/>
          <w:sz w:val="32"/>
          <w:szCs w:val="32"/>
          <w:lang w:eastAsia="zh-CN"/>
        </w:rPr>
        <w:t>收入，无</w:t>
      </w:r>
      <w:r>
        <w:rPr>
          <w:rFonts w:hint="default" w:ascii="Times New Roman" w:hAnsi="Times New Roman" w:eastAsia="仿宋_GB2312" w:cs="Times New Roman"/>
          <w:sz w:val="32"/>
          <w:szCs w:val="32"/>
        </w:rPr>
        <w:t>国有资本经营预算财政拨款</w:t>
      </w:r>
      <w:r>
        <w:rPr>
          <w:rFonts w:hint="default" w:ascii="Times New Roman" w:hAnsi="Times New Roman" w:eastAsia="仿宋_GB2312" w:cs="Times New Roman"/>
          <w:sz w:val="32"/>
          <w:szCs w:val="32"/>
          <w:lang w:eastAsia="zh-CN"/>
        </w:rPr>
        <w:t>支出。</w:t>
      </w:r>
    </w:p>
    <w:p w14:paraId="176BC1EA">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77221"/>
      <w:bookmarkStart w:id="4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54FC81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06273F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盐边县妇幼保健服务中心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1C90A3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5A855F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盐边县妇幼保健服务中心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5D7E2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1D1FD1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盐边县妇幼保健服务中心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w:t>
      </w:r>
      <w:r>
        <w:rPr>
          <w:rFonts w:hint="eastAsia" w:ascii="仿宋" w:hAnsi="仿宋" w:eastAsia="仿宋" w:cs="仿宋"/>
          <w:sz w:val="32"/>
          <w:szCs w:val="32"/>
        </w:rPr>
        <w:t>其他用车1辆，其他用车主要是用于小型救护车用于下乡督导。单价100万元以上设备（不含车辆）</w:t>
      </w:r>
      <w:r>
        <w:rPr>
          <w:rFonts w:hint="eastAsia" w:ascii="仿宋" w:hAnsi="仿宋" w:eastAsia="仿宋" w:cs="仿宋"/>
          <w:b/>
          <w:sz w:val="32"/>
          <w:szCs w:val="32"/>
        </w:rPr>
        <w:t>0</w:t>
      </w:r>
      <w:r>
        <w:rPr>
          <w:rFonts w:hint="eastAsia" w:ascii="仿宋" w:hAnsi="仿宋" w:eastAsia="仿宋" w:cs="仿宋"/>
          <w:sz w:val="32"/>
          <w:szCs w:val="32"/>
        </w:rPr>
        <w:t>台（套）。</w:t>
      </w:r>
    </w:p>
    <w:p w14:paraId="5A0121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C60F1DF">
      <w:pPr>
        <w:widowControl/>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rPr>
        <w:t>根据预算绩效管理要求，本单位在202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年度预算编制阶段，组织对医疗机构事业发展资金项目、重大公共卫生补助资金（重大传染病防控-艾滋病、乙肝、梅毒）项目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基本公共卫生中央补助资金、公共卫生特别服务岗人员经费</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个项目开展了预算事前绩效评估，对</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个项目编制了绩效目标，预算执行过程中，选取</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个项目开展绩效监控,组织对</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个项目开展绩效自评，绩效自评表详见第四部分附件。</w:t>
      </w:r>
    </w:p>
    <w:p w14:paraId="46D122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B3A6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553D0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p>
    <w:p w14:paraId="63E6FC0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C9C00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F53B33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EC251D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2E4186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06C5A4">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69CF2BAD">
      <w:pPr>
        <w:spacing w:line="600" w:lineRule="exact"/>
        <w:jc w:val="left"/>
        <w:rPr>
          <w:rFonts w:ascii="Times New Roman" w:hAnsi="Times New Roman"/>
          <w:b/>
          <w:color w:val="auto"/>
          <w:sz w:val="44"/>
          <w:szCs w:val="44"/>
          <w:highlight w:val="none"/>
        </w:rPr>
      </w:pPr>
    </w:p>
    <w:p w14:paraId="6BE1EC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F97E0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8EBCB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002E6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11E2CA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09155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87B5A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88D16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569BAA00">
      <w:pPr>
        <w:spacing w:line="560" w:lineRule="exact"/>
        <w:ind w:firstLine="640" w:firstLineChars="200"/>
        <w:rPr>
          <w:rFonts w:ascii="仿宋" w:hAnsi="仿宋" w:eastAsia="仿宋" w:cs="仿宋"/>
          <w:sz w:val="32"/>
          <w:szCs w:val="32"/>
        </w:rPr>
      </w:pPr>
      <w:r>
        <w:rPr>
          <w:rStyle w:val="17"/>
          <w:rFonts w:hint="eastAsia" w:ascii="仿宋" w:hAnsi="仿宋" w:eastAsia="仿宋" w:cs="仿宋"/>
          <w:b w:val="0"/>
          <w:sz w:val="32"/>
          <w:szCs w:val="32"/>
          <w:lang w:val="en-US" w:eastAsia="zh-CN"/>
        </w:rPr>
        <w:t>9.</w:t>
      </w:r>
      <w:r>
        <w:rPr>
          <w:rStyle w:val="17"/>
          <w:rFonts w:hint="eastAsia" w:ascii="仿宋" w:hAnsi="仿宋" w:eastAsia="仿宋" w:cs="仿宋"/>
          <w:b w:val="0"/>
          <w:sz w:val="32"/>
          <w:szCs w:val="32"/>
        </w:rPr>
        <w:t>社会保障和就业（类）行政事业单位养老支出（款）事业单位离退休（项）:</w:t>
      </w:r>
      <w:r>
        <w:rPr>
          <w:rFonts w:hint="eastAsia" w:ascii="仿宋" w:hAnsi="仿宋" w:eastAsia="仿宋" w:cs="仿宋"/>
          <w:sz w:val="32"/>
          <w:szCs w:val="32"/>
        </w:rPr>
        <w:t>指用于购买退休人员的公务员医疗保险、生活补贴支出。</w:t>
      </w:r>
    </w:p>
    <w:p w14:paraId="6B8BB398">
      <w:pPr>
        <w:spacing w:line="560" w:lineRule="exact"/>
        <w:ind w:firstLine="640" w:firstLineChars="200"/>
        <w:rPr>
          <w:rFonts w:ascii="仿宋" w:hAnsi="仿宋" w:eastAsia="仿宋" w:cs="仿宋"/>
          <w:sz w:val="32"/>
          <w:szCs w:val="32"/>
        </w:rPr>
      </w:pPr>
      <w:r>
        <w:rPr>
          <w:rStyle w:val="17"/>
          <w:rFonts w:hint="eastAsia" w:ascii="仿宋" w:hAnsi="仿宋" w:eastAsia="仿宋" w:cs="仿宋"/>
          <w:b w:val="0"/>
          <w:sz w:val="32"/>
          <w:szCs w:val="32"/>
          <w:lang w:val="en-US" w:eastAsia="zh-CN"/>
        </w:rPr>
        <w:t>10</w:t>
      </w:r>
      <w:r>
        <w:rPr>
          <w:rStyle w:val="17"/>
          <w:rFonts w:hint="eastAsia" w:ascii="仿宋" w:hAnsi="仿宋" w:eastAsia="仿宋" w:cs="仿宋"/>
          <w:b w:val="0"/>
          <w:sz w:val="32"/>
          <w:szCs w:val="32"/>
        </w:rPr>
        <w:t>.社会保障和就业（类）行政事业单位养老支出（款）机关事业单位基本养老保险缴费支出（项）:</w:t>
      </w:r>
      <w:r>
        <w:rPr>
          <w:rFonts w:hint="eastAsia" w:ascii="仿宋" w:hAnsi="仿宋" w:eastAsia="仿宋" w:cs="仿宋"/>
          <w:sz w:val="32"/>
          <w:szCs w:val="32"/>
        </w:rPr>
        <w:t>指机关事业单位实施养老保险制度由单位缴纳的基本养老保险费支出。</w:t>
      </w:r>
    </w:p>
    <w:p w14:paraId="65937CDC">
      <w:pPr>
        <w:spacing w:line="560" w:lineRule="exact"/>
        <w:ind w:firstLine="640" w:firstLineChars="200"/>
        <w:rPr>
          <w:rFonts w:ascii="仿宋" w:hAnsi="仿宋" w:eastAsia="仿宋" w:cs="仿宋"/>
          <w:sz w:val="32"/>
          <w:szCs w:val="32"/>
        </w:rPr>
      </w:pPr>
      <w:r>
        <w:rPr>
          <w:rStyle w:val="17"/>
          <w:rFonts w:hint="eastAsia" w:ascii="仿宋" w:hAnsi="仿宋" w:eastAsia="仿宋" w:cs="仿宋"/>
          <w:b w:val="0"/>
          <w:sz w:val="32"/>
          <w:szCs w:val="32"/>
        </w:rPr>
        <w:t>1</w:t>
      </w:r>
      <w:r>
        <w:rPr>
          <w:rStyle w:val="17"/>
          <w:rFonts w:hint="eastAsia" w:ascii="仿宋" w:hAnsi="仿宋" w:eastAsia="仿宋" w:cs="仿宋"/>
          <w:b w:val="0"/>
          <w:sz w:val="32"/>
          <w:szCs w:val="32"/>
          <w:lang w:val="en-US" w:eastAsia="zh-CN"/>
        </w:rPr>
        <w:t>1</w:t>
      </w:r>
      <w:r>
        <w:rPr>
          <w:rStyle w:val="17"/>
          <w:rFonts w:hint="eastAsia" w:ascii="仿宋" w:hAnsi="仿宋" w:eastAsia="仿宋" w:cs="仿宋"/>
          <w:b w:val="0"/>
          <w:sz w:val="32"/>
          <w:szCs w:val="32"/>
        </w:rPr>
        <w:t>.社会保障和就业（类）行政事业单位养老支出（款）机关事业单位职业年金缴费支出（项）:</w:t>
      </w:r>
      <w:r>
        <w:rPr>
          <w:rFonts w:hint="eastAsia" w:ascii="仿宋" w:hAnsi="仿宋" w:eastAsia="仿宋" w:cs="仿宋"/>
          <w:sz w:val="32"/>
          <w:szCs w:val="32"/>
        </w:rPr>
        <w:t>指机关事业单位实施退休人员年金纪实的职业年金支出</w:t>
      </w:r>
      <w:r>
        <w:rPr>
          <w:rStyle w:val="17"/>
          <w:rFonts w:hint="eastAsia" w:ascii="仿宋" w:hAnsi="仿宋" w:eastAsia="仿宋" w:cs="仿宋"/>
          <w:b w:val="0"/>
          <w:sz w:val="32"/>
          <w:szCs w:val="32"/>
        </w:rPr>
        <w:t>。</w:t>
      </w:r>
    </w:p>
    <w:p w14:paraId="1CD42757">
      <w:pPr>
        <w:spacing w:line="560" w:lineRule="exact"/>
        <w:ind w:firstLine="640" w:firstLineChars="200"/>
        <w:rPr>
          <w:rStyle w:val="17"/>
          <w:rFonts w:ascii="仿宋" w:hAnsi="仿宋" w:eastAsia="仿宋" w:cs="仿宋"/>
          <w:b w:val="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（类）公立医院（款）其他公立医院支出（项）:指用于医疗服务和保障能力提升的支出。</w:t>
      </w:r>
    </w:p>
    <w:p w14:paraId="570F1F17">
      <w:pPr>
        <w:spacing w:line="560" w:lineRule="exact"/>
        <w:ind w:firstLine="640" w:firstLineChars="200"/>
        <w:rPr>
          <w:rFonts w:ascii="仿宋" w:hAnsi="仿宋" w:eastAsia="仿宋" w:cs="仿宋"/>
          <w:sz w:val="32"/>
          <w:szCs w:val="32"/>
        </w:rPr>
      </w:pPr>
      <w:r>
        <w:rPr>
          <w:rStyle w:val="17"/>
          <w:rFonts w:hint="eastAsia" w:ascii="仿宋" w:hAnsi="仿宋" w:eastAsia="仿宋" w:cs="仿宋"/>
          <w:b w:val="0"/>
          <w:sz w:val="32"/>
          <w:szCs w:val="32"/>
        </w:rPr>
        <w:t>1</w:t>
      </w:r>
      <w:r>
        <w:rPr>
          <w:rStyle w:val="17"/>
          <w:rFonts w:hint="eastAsia" w:ascii="仿宋" w:hAnsi="仿宋" w:eastAsia="仿宋" w:cs="仿宋"/>
          <w:b w:val="0"/>
          <w:sz w:val="32"/>
          <w:szCs w:val="32"/>
          <w:lang w:val="en-US" w:eastAsia="zh-CN"/>
        </w:rPr>
        <w:t>3</w:t>
      </w:r>
      <w:r>
        <w:rPr>
          <w:rStyle w:val="17"/>
          <w:rFonts w:hint="eastAsia" w:ascii="仿宋" w:hAnsi="仿宋" w:eastAsia="仿宋" w:cs="仿宋"/>
          <w:b w:val="0"/>
          <w:sz w:val="32"/>
          <w:szCs w:val="32"/>
        </w:rPr>
        <w:t>.</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（类）公共卫生（款）妇幼保健机构（项）:指用于妇幼保健机构的支出。</w:t>
      </w:r>
    </w:p>
    <w:p w14:paraId="32FF835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（类）公共卫生（款）基本公共卫生服务（项）:</w:t>
      </w:r>
      <w:r>
        <w:rPr>
          <w:rFonts w:hint="eastAsia" w:ascii="仿宋" w:hAnsi="仿宋" w:eastAsia="仿宋" w:cs="仿宋"/>
          <w:sz w:val="32"/>
          <w:szCs w:val="32"/>
        </w:rPr>
        <w:t>指基本公共卫生服务支出</w:t>
      </w:r>
      <w:r>
        <w:rPr>
          <w:rStyle w:val="17"/>
          <w:rFonts w:hint="eastAsia" w:ascii="仿宋" w:hAnsi="仿宋" w:eastAsia="仿宋" w:cs="仿宋"/>
          <w:b w:val="0"/>
          <w:sz w:val="32"/>
          <w:szCs w:val="32"/>
        </w:rPr>
        <w:t>。</w:t>
      </w:r>
    </w:p>
    <w:p w14:paraId="39A3F2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Style w:val="17"/>
          <w:rFonts w:hint="eastAsia" w:ascii="仿宋" w:hAnsi="仿宋" w:eastAsia="仿宋" w:cs="仿宋"/>
          <w:b w:val="0"/>
          <w:sz w:val="32"/>
          <w:szCs w:val="32"/>
        </w:rPr>
        <w:t>.</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（类）公共卫生（款）重大公共卫生服务（项）:</w:t>
      </w:r>
      <w:r>
        <w:rPr>
          <w:rFonts w:hint="eastAsia" w:ascii="仿宋" w:hAnsi="仿宋" w:eastAsia="仿宋" w:cs="仿宋"/>
          <w:sz w:val="32"/>
          <w:szCs w:val="32"/>
        </w:rPr>
        <w:t>指重大疾病、重大传染病预防控制等重大公共卫生服务项目支出</w:t>
      </w:r>
      <w:r>
        <w:rPr>
          <w:rStyle w:val="17"/>
          <w:rFonts w:hint="eastAsia" w:ascii="仿宋" w:hAnsi="仿宋" w:eastAsia="仿宋" w:cs="仿宋"/>
          <w:b w:val="0"/>
          <w:sz w:val="32"/>
          <w:szCs w:val="32"/>
        </w:rPr>
        <w:t>。</w:t>
      </w:r>
    </w:p>
    <w:p w14:paraId="7C1C9C80">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16</w:t>
      </w:r>
      <w:r>
        <w:rPr>
          <w:rStyle w:val="17"/>
          <w:rFonts w:hint="eastAsia" w:ascii="仿宋" w:hAnsi="仿宋" w:eastAsia="仿宋" w:cs="仿宋"/>
          <w:b w:val="0"/>
          <w:sz w:val="32"/>
          <w:szCs w:val="32"/>
        </w:rPr>
        <w:t>.</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（类）行政事业单位医疗（款）事业单位医疗（项）:</w:t>
      </w:r>
      <w:r>
        <w:rPr>
          <w:rFonts w:hint="eastAsia" w:ascii="仿宋" w:hAnsi="仿宋" w:eastAsia="仿宋" w:cs="仿宋"/>
          <w:sz w:val="32"/>
          <w:szCs w:val="32"/>
        </w:rPr>
        <w:t xml:space="preserve">指财政部门安排的事业单位基本医疗保险缴费经费，未参加医疗保险的事业单位的公务员医疗经费。                           </w:t>
      </w:r>
    </w:p>
    <w:p w14:paraId="7CCCF56B">
      <w:pPr>
        <w:spacing w:line="560" w:lineRule="exact"/>
        <w:ind w:firstLine="640" w:firstLineChars="200"/>
        <w:jc w:val="left"/>
        <w:rPr>
          <w:rFonts w:ascii="仿宋" w:hAnsi="仿宋" w:eastAsia="仿宋" w:cs="仿宋"/>
          <w:sz w:val="32"/>
          <w:szCs w:val="32"/>
        </w:rPr>
      </w:pPr>
      <w:r>
        <w:rPr>
          <w:rStyle w:val="17"/>
          <w:rFonts w:hint="eastAsia" w:ascii="仿宋" w:hAnsi="仿宋" w:eastAsia="仿宋" w:cs="仿宋"/>
          <w:b w:val="0"/>
          <w:sz w:val="32"/>
          <w:szCs w:val="32"/>
        </w:rPr>
        <w:t>17 .</w:t>
      </w:r>
      <w:r>
        <w:rPr>
          <w:rFonts w:hint="eastAsia" w:ascii="仿宋" w:hAnsi="仿宋" w:eastAsia="仿宋" w:cs="仿宋"/>
          <w:sz w:val="32"/>
          <w:szCs w:val="32"/>
        </w:rPr>
        <w:t>卫生健康支出</w:t>
      </w:r>
      <w:r>
        <w:rPr>
          <w:rStyle w:val="17"/>
          <w:rFonts w:hint="eastAsia" w:ascii="仿宋" w:hAnsi="仿宋" w:eastAsia="仿宋" w:cs="仿宋"/>
          <w:b w:val="0"/>
          <w:sz w:val="32"/>
          <w:szCs w:val="32"/>
        </w:rPr>
        <w:t>（类）行政事业单位医疗（款）其他行政事业单位医疗支出（项）:指用于购买企业保险的支出。</w:t>
      </w:r>
    </w:p>
    <w:p w14:paraId="20885FFC">
      <w:pPr>
        <w:spacing w:line="560" w:lineRule="exact"/>
        <w:ind w:firstLine="640" w:firstLineChars="200"/>
        <w:rPr>
          <w:rFonts w:ascii="仿宋" w:hAnsi="仿宋" w:eastAsia="仿宋" w:cs="仿宋"/>
          <w:sz w:val="32"/>
          <w:szCs w:val="32"/>
        </w:rPr>
      </w:pPr>
      <w:r>
        <w:rPr>
          <w:rStyle w:val="17"/>
          <w:rFonts w:hint="eastAsia" w:ascii="仿宋" w:hAnsi="仿宋" w:eastAsia="仿宋" w:cs="仿宋"/>
          <w:b w:val="0"/>
          <w:color w:val="000000"/>
          <w:sz w:val="32"/>
          <w:szCs w:val="32"/>
        </w:rPr>
        <w:t>1</w:t>
      </w:r>
      <w:r>
        <w:rPr>
          <w:rStyle w:val="17"/>
          <w:rFonts w:hint="eastAsia" w:ascii="仿宋" w:hAnsi="仿宋" w:eastAsia="仿宋" w:cs="仿宋"/>
          <w:b w:val="0"/>
          <w:color w:val="000000"/>
          <w:sz w:val="32"/>
          <w:szCs w:val="32"/>
          <w:lang w:val="en-US" w:eastAsia="zh-CN"/>
        </w:rPr>
        <w:t>8</w:t>
      </w:r>
      <w:r>
        <w:rPr>
          <w:rStyle w:val="17"/>
          <w:rFonts w:hint="eastAsia" w:ascii="仿宋" w:hAnsi="仿宋" w:eastAsia="仿宋" w:cs="仿宋"/>
          <w:b w:val="0"/>
          <w:color w:val="000000"/>
          <w:sz w:val="32"/>
          <w:szCs w:val="32"/>
        </w:rPr>
        <w:t>.</w:t>
      </w:r>
      <w:r>
        <w:rPr>
          <w:rFonts w:hint="eastAsia" w:ascii="仿宋" w:hAnsi="仿宋" w:eastAsia="仿宋" w:cs="仿宋"/>
          <w:color w:val="000000"/>
          <w:sz w:val="32"/>
          <w:szCs w:val="32"/>
        </w:rPr>
        <w:t>住房保障支出（类）住房改革支出（款）住房公积金（项）</w:t>
      </w:r>
      <w:r>
        <w:rPr>
          <w:rStyle w:val="17"/>
          <w:rFonts w:hint="eastAsia" w:ascii="仿宋" w:hAnsi="仿宋" w:eastAsia="仿宋" w:cs="仿宋"/>
          <w:b w:val="0"/>
          <w:color w:val="000000"/>
          <w:sz w:val="32"/>
          <w:szCs w:val="32"/>
        </w:rPr>
        <w:t xml:space="preserve">: </w:t>
      </w:r>
      <w:r>
        <w:rPr>
          <w:rFonts w:hint="eastAsia" w:ascii="仿宋" w:hAnsi="仿宋" w:eastAsia="仿宋" w:cs="仿宋"/>
          <w:sz w:val="32"/>
          <w:szCs w:val="32"/>
        </w:rPr>
        <w:t>指行政事业单位按人力资源和社会保障部、财政部规定的基本工资和津贴补贴以及规定比例为职工缴纳的住房公积金。</w:t>
      </w:r>
    </w:p>
    <w:p w14:paraId="69EB7E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38FBF1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E71EC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06886D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BC97F4B">
      <w:pPr>
        <w:spacing w:line="600" w:lineRule="exact"/>
        <w:jc w:val="center"/>
        <w:outlineLvl w:val="0"/>
        <w:rPr>
          <w:rStyle w:val="28"/>
          <w:rFonts w:ascii="黑体" w:hAnsi="黑体" w:eastAsia="黑体"/>
          <w:b w:val="0"/>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14:paraId="7742666C">
      <w:pPr>
        <w:spacing w:line="572" w:lineRule="exact"/>
        <w:jc w:val="left"/>
        <w:outlineLvl w:val="0"/>
        <w:rPr>
          <w:rFonts w:ascii="仿宋_GB2312" w:hAnsi="仿宋_GB2312" w:eastAsia="仿宋_GB2312" w:cs="仿宋_GB2312"/>
          <w:sz w:val="32"/>
          <w:szCs w:val="32"/>
        </w:rPr>
      </w:pPr>
    </w:p>
    <w:p w14:paraId="474BD4AB">
      <w:pPr>
        <w:widowControl/>
        <w:spacing w:line="578" w:lineRule="exact"/>
        <w:contextualSpacing/>
        <w:jc w:val="center"/>
        <w:rPr>
          <w:rFonts w:hint="eastAsia" w:eastAsia="黑体" w:cs="黑体"/>
          <w:sz w:val="32"/>
          <w:szCs w:val="32"/>
          <w:lang w:eastAsia="zh-CN"/>
        </w:rPr>
      </w:pPr>
      <w:r>
        <w:rPr>
          <w:rFonts w:hint="eastAsia" w:eastAsia="黑体" w:cs="黑体"/>
          <w:sz w:val="32"/>
          <w:szCs w:val="32"/>
        </w:rPr>
        <w:t>部门预算项目支出绩效评价表（2024年度）</w:t>
      </w:r>
      <w:r>
        <w:rPr>
          <w:rFonts w:hint="eastAsia" w:eastAsia="黑体" w:cs="黑体"/>
          <w:sz w:val="32"/>
          <w:szCs w:val="32"/>
          <w:lang w:eastAsia="zh-CN"/>
        </w:rPr>
        <w:t>。</w:t>
      </w:r>
    </w:p>
    <w:p w14:paraId="5AD76868">
      <w:pPr>
        <w:pStyle w:val="8"/>
        <w:rPr>
          <w:rFonts w:hint="eastAsia" w:ascii="仿宋" w:hAnsi="仿宋" w:eastAsia="仿宋" w:cs="仿宋"/>
          <w:sz w:val="32"/>
          <w:szCs w:val="32"/>
        </w:rPr>
      </w:pPr>
    </w:p>
    <w:p w14:paraId="164085D7">
      <w:pPr>
        <w:pStyle w:val="8"/>
        <w:rPr>
          <w:rFonts w:hint="eastAsia" w:ascii="仿宋" w:hAnsi="仿宋" w:eastAsia="仿宋" w:cs="仿宋"/>
          <w:sz w:val="32"/>
          <w:szCs w:val="32"/>
        </w:rPr>
      </w:pPr>
    </w:p>
    <w:p w14:paraId="686120F0">
      <w:pPr>
        <w:pStyle w:val="8"/>
        <w:rPr>
          <w:rFonts w:hint="eastAsia" w:ascii="仿宋" w:hAnsi="仿宋" w:eastAsia="仿宋" w:cs="仿宋"/>
          <w:sz w:val="32"/>
          <w:szCs w:val="32"/>
        </w:rPr>
      </w:pPr>
    </w:p>
    <w:p w14:paraId="62B96706">
      <w:pPr>
        <w:pStyle w:val="8"/>
        <w:rPr>
          <w:rFonts w:hint="eastAsia" w:ascii="仿宋" w:hAnsi="仿宋" w:eastAsia="仿宋" w:cs="仿宋"/>
          <w:sz w:val="32"/>
          <w:szCs w:val="32"/>
        </w:rPr>
      </w:pPr>
    </w:p>
    <w:p w14:paraId="76EA70AF">
      <w:pPr>
        <w:pStyle w:val="8"/>
        <w:rPr>
          <w:rFonts w:hint="eastAsia" w:ascii="仿宋" w:hAnsi="仿宋" w:eastAsia="仿宋" w:cs="仿宋"/>
          <w:sz w:val="32"/>
          <w:szCs w:val="32"/>
        </w:rPr>
      </w:pPr>
    </w:p>
    <w:p w14:paraId="72F70E62">
      <w:pPr>
        <w:pStyle w:val="8"/>
        <w:rPr>
          <w:rFonts w:hint="eastAsia" w:ascii="仿宋" w:hAnsi="仿宋" w:eastAsia="仿宋" w:cs="仿宋"/>
          <w:sz w:val="32"/>
          <w:szCs w:val="32"/>
        </w:rPr>
      </w:pPr>
    </w:p>
    <w:p w14:paraId="0086F1D4">
      <w:pPr>
        <w:pStyle w:val="8"/>
        <w:rPr>
          <w:rFonts w:hint="eastAsia" w:ascii="仿宋" w:hAnsi="仿宋" w:eastAsia="仿宋" w:cs="仿宋"/>
          <w:sz w:val="32"/>
          <w:szCs w:val="32"/>
        </w:rPr>
      </w:pPr>
    </w:p>
    <w:p w14:paraId="63B3F232">
      <w:pPr>
        <w:pStyle w:val="8"/>
        <w:rPr>
          <w:rFonts w:hint="eastAsia" w:ascii="仿宋" w:hAnsi="仿宋" w:eastAsia="仿宋" w:cs="仿宋"/>
          <w:sz w:val="32"/>
          <w:szCs w:val="32"/>
        </w:rPr>
      </w:pPr>
    </w:p>
    <w:p w14:paraId="16740A59">
      <w:pPr>
        <w:pStyle w:val="8"/>
        <w:rPr>
          <w:rFonts w:hint="eastAsia" w:ascii="仿宋" w:hAnsi="仿宋" w:eastAsia="仿宋" w:cs="仿宋"/>
          <w:sz w:val="32"/>
          <w:szCs w:val="32"/>
        </w:rPr>
      </w:pPr>
    </w:p>
    <w:p w14:paraId="6BB6D60F">
      <w:pPr>
        <w:pStyle w:val="8"/>
        <w:rPr>
          <w:rFonts w:hint="eastAsia" w:ascii="仿宋" w:hAnsi="仿宋" w:eastAsia="仿宋" w:cs="仿宋"/>
          <w:sz w:val="32"/>
          <w:szCs w:val="32"/>
        </w:rPr>
      </w:pPr>
    </w:p>
    <w:p w14:paraId="0DD1DD48">
      <w:pPr>
        <w:pStyle w:val="8"/>
        <w:rPr>
          <w:rFonts w:hint="eastAsia" w:ascii="仿宋" w:hAnsi="仿宋" w:eastAsia="仿宋" w:cs="仿宋"/>
          <w:sz w:val="32"/>
          <w:szCs w:val="32"/>
        </w:rPr>
      </w:pPr>
    </w:p>
    <w:p w14:paraId="078C9B6E">
      <w:pPr>
        <w:pStyle w:val="8"/>
        <w:rPr>
          <w:rFonts w:hint="eastAsia" w:ascii="仿宋" w:hAnsi="仿宋" w:eastAsia="仿宋" w:cs="仿宋"/>
          <w:sz w:val="32"/>
          <w:szCs w:val="32"/>
        </w:rPr>
      </w:pPr>
    </w:p>
    <w:p w14:paraId="2B30839B">
      <w:pPr>
        <w:pStyle w:val="8"/>
        <w:rPr>
          <w:rFonts w:hint="eastAsia" w:ascii="仿宋" w:hAnsi="仿宋" w:eastAsia="仿宋" w:cs="仿宋"/>
          <w:sz w:val="32"/>
          <w:szCs w:val="32"/>
        </w:rPr>
      </w:pPr>
    </w:p>
    <w:p w14:paraId="049F442D">
      <w:pPr>
        <w:pStyle w:val="8"/>
        <w:rPr>
          <w:rFonts w:hint="eastAsia" w:ascii="仿宋" w:hAnsi="仿宋" w:eastAsia="仿宋" w:cs="仿宋"/>
          <w:sz w:val="32"/>
          <w:szCs w:val="32"/>
        </w:rPr>
      </w:pPr>
    </w:p>
    <w:p w14:paraId="66E4186E">
      <w:pPr>
        <w:pStyle w:val="8"/>
        <w:rPr>
          <w:rFonts w:hint="eastAsia" w:ascii="仿宋" w:hAnsi="仿宋" w:eastAsia="仿宋" w:cs="仿宋"/>
          <w:sz w:val="32"/>
          <w:szCs w:val="32"/>
        </w:rPr>
      </w:pPr>
    </w:p>
    <w:p w14:paraId="16CF4F2E">
      <w:pPr>
        <w:pStyle w:val="8"/>
        <w:rPr>
          <w:rFonts w:hint="eastAsia" w:ascii="仿宋" w:hAnsi="仿宋" w:eastAsia="仿宋" w:cs="仿宋"/>
          <w:sz w:val="32"/>
          <w:szCs w:val="32"/>
          <w:lang w:val="en-US" w:eastAsia="zh-CN"/>
        </w:rPr>
      </w:pPr>
    </w:p>
    <w:p w14:paraId="6F8EF81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0B63AD2">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3"/>
      <w:bookmarkStart w:id="54" w:name="_Toc15396619"/>
    </w:p>
    <w:p w14:paraId="2736568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16BC2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3958241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04A125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6331579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3A17C2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2082983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7C04F2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777F486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7FB0214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155CB1B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52E61BB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0F33D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0DFCA23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7EE696C3">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等宽微米黑">
    <w:panose1 w:val="020B0606030804020204"/>
    <w:charset w:val="86"/>
    <w:family w:val="auto"/>
    <w:pitch w:val="default"/>
    <w:sig w:usb0="E10002EF" w:usb1="6BDFFCFB" w:usb2="00800036" w:usb3="00000000" w:csb0="603E01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41DF">
    <w:pPr>
      <w:pStyle w:val="11"/>
      <w:jc w:val="center"/>
    </w:pPr>
  </w:p>
  <w:p w14:paraId="108B33DD">
    <w:pPr>
      <w:pStyle w:val="11"/>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E88C">
    <w:pPr>
      <w:pStyle w:val="11"/>
      <w:jc w:val="center"/>
    </w:pPr>
  </w:p>
  <w:p w14:paraId="509E1910">
    <w:pPr>
      <w:pStyle w:val="11"/>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EB4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555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97435">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197435">
                    <w:pPr>
                      <w:pStyle w:val="11"/>
                    </w:pPr>
                    <w:r>
                      <w:fldChar w:fldCharType="begin"/>
                    </w:r>
                    <w:r>
                      <w:instrText xml:space="preserve"> PAGE  \* MERGEFORMAT </w:instrText>
                    </w:r>
                    <w:r>
                      <w:fldChar w:fldCharType="separate"/>
                    </w:r>
                    <w:r>
                      <w:t>4</w:t>
                    </w:r>
                    <w:r>
                      <w:fldChar w:fldCharType="end"/>
                    </w:r>
                  </w:p>
                </w:txbxContent>
              </v:textbox>
            </v:shape>
          </w:pict>
        </mc:Fallback>
      </mc:AlternateContent>
    </w:r>
  </w:p>
  <w:p w14:paraId="48D9F02E">
    <w:pPr>
      <w:pStyle w:val="11"/>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44FB">
    <w:pPr>
      <w:pStyle w:val="11"/>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FCB5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2FCB5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846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EE615"/>
    <w:multiLevelType w:val="singleLevel"/>
    <w:tmpl w:val="BCCEE6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445E"/>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21C8D"/>
    <w:rsid w:val="015975B8"/>
    <w:rsid w:val="01EE5E5A"/>
    <w:rsid w:val="02704AC1"/>
    <w:rsid w:val="02FEBE30"/>
    <w:rsid w:val="03F434D0"/>
    <w:rsid w:val="04916F1E"/>
    <w:rsid w:val="04D70E27"/>
    <w:rsid w:val="060C68AF"/>
    <w:rsid w:val="061E35DE"/>
    <w:rsid w:val="066E0107"/>
    <w:rsid w:val="068B1EC9"/>
    <w:rsid w:val="06D86F7A"/>
    <w:rsid w:val="073A569E"/>
    <w:rsid w:val="07996F6E"/>
    <w:rsid w:val="07AA637F"/>
    <w:rsid w:val="07DFD8BA"/>
    <w:rsid w:val="08766BA9"/>
    <w:rsid w:val="08964B56"/>
    <w:rsid w:val="094E79BC"/>
    <w:rsid w:val="09867E8F"/>
    <w:rsid w:val="09AB4631"/>
    <w:rsid w:val="09DC194F"/>
    <w:rsid w:val="09E57B43"/>
    <w:rsid w:val="0A2032A3"/>
    <w:rsid w:val="0A45391E"/>
    <w:rsid w:val="0ACC485F"/>
    <w:rsid w:val="0AEB5587"/>
    <w:rsid w:val="0BB2614A"/>
    <w:rsid w:val="0BCE4606"/>
    <w:rsid w:val="0C0369A6"/>
    <w:rsid w:val="0C580AA0"/>
    <w:rsid w:val="0CA8290A"/>
    <w:rsid w:val="0D1150F2"/>
    <w:rsid w:val="0D35B1ED"/>
    <w:rsid w:val="0DB85C99"/>
    <w:rsid w:val="0DD67A1C"/>
    <w:rsid w:val="0E0A2972"/>
    <w:rsid w:val="0E1924B1"/>
    <w:rsid w:val="0E254B6B"/>
    <w:rsid w:val="0E7B2823"/>
    <w:rsid w:val="0EDD528C"/>
    <w:rsid w:val="0EEC3721"/>
    <w:rsid w:val="0F3A0931"/>
    <w:rsid w:val="0F814668"/>
    <w:rsid w:val="0F98263C"/>
    <w:rsid w:val="0FD146C5"/>
    <w:rsid w:val="0FED14FF"/>
    <w:rsid w:val="101860EC"/>
    <w:rsid w:val="101F47CC"/>
    <w:rsid w:val="107240FA"/>
    <w:rsid w:val="10C055FF"/>
    <w:rsid w:val="11694EBD"/>
    <w:rsid w:val="11772AA4"/>
    <w:rsid w:val="118107EC"/>
    <w:rsid w:val="118916FB"/>
    <w:rsid w:val="11941D00"/>
    <w:rsid w:val="12107727"/>
    <w:rsid w:val="12E24EE2"/>
    <w:rsid w:val="134B1331"/>
    <w:rsid w:val="13A445CA"/>
    <w:rsid w:val="13D50BC4"/>
    <w:rsid w:val="148473BF"/>
    <w:rsid w:val="14B17F78"/>
    <w:rsid w:val="14F41582"/>
    <w:rsid w:val="152534E9"/>
    <w:rsid w:val="152548A1"/>
    <w:rsid w:val="15AF1FA3"/>
    <w:rsid w:val="165E0673"/>
    <w:rsid w:val="167B4357"/>
    <w:rsid w:val="167C538B"/>
    <w:rsid w:val="16B831D5"/>
    <w:rsid w:val="16BB723D"/>
    <w:rsid w:val="175C5A0C"/>
    <w:rsid w:val="177C28D4"/>
    <w:rsid w:val="17E50567"/>
    <w:rsid w:val="180B10BC"/>
    <w:rsid w:val="1833416F"/>
    <w:rsid w:val="18354B4A"/>
    <w:rsid w:val="186504BB"/>
    <w:rsid w:val="186C7681"/>
    <w:rsid w:val="189A0008"/>
    <w:rsid w:val="18E6320F"/>
    <w:rsid w:val="19600F94"/>
    <w:rsid w:val="19727904"/>
    <w:rsid w:val="19A445FC"/>
    <w:rsid w:val="19E576EB"/>
    <w:rsid w:val="1AA92ECE"/>
    <w:rsid w:val="1AB23A71"/>
    <w:rsid w:val="1AC75042"/>
    <w:rsid w:val="1ADD03C2"/>
    <w:rsid w:val="1B043BA1"/>
    <w:rsid w:val="1BE8440E"/>
    <w:rsid w:val="1BF14125"/>
    <w:rsid w:val="1C372003"/>
    <w:rsid w:val="1C50547E"/>
    <w:rsid w:val="1CF55E97"/>
    <w:rsid w:val="1D155CEE"/>
    <w:rsid w:val="1D1638FE"/>
    <w:rsid w:val="1D266050"/>
    <w:rsid w:val="1D721295"/>
    <w:rsid w:val="1E312DEB"/>
    <w:rsid w:val="1E3173A3"/>
    <w:rsid w:val="1E4F15D7"/>
    <w:rsid w:val="1E740ACF"/>
    <w:rsid w:val="1EAC4C7B"/>
    <w:rsid w:val="1F122D30"/>
    <w:rsid w:val="1F372797"/>
    <w:rsid w:val="1F501AAA"/>
    <w:rsid w:val="1F8D23B7"/>
    <w:rsid w:val="1FA71618"/>
    <w:rsid w:val="1FEF6BCD"/>
    <w:rsid w:val="1FF35744"/>
    <w:rsid w:val="1FF6BC77"/>
    <w:rsid w:val="20296E28"/>
    <w:rsid w:val="2092466C"/>
    <w:rsid w:val="212A69C6"/>
    <w:rsid w:val="2164183D"/>
    <w:rsid w:val="216B4BF9"/>
    <w:rsid w:val="2186353C"/>
    <w:rsid w:val="21ED6649"/>
    <w:rsid w:val="227346A7"/>
    <w:rsid w:val="2279335C"/>
    <w:rsid w:val="236815BB"/>
    <w:rsid w:val="23860B96"/>
    <w:rsid w:val="23D15F87"/>
    <w:rsid w:val="240371BF"/>
    <w:rsid w:val="24294678"/>
    <w:rsid w:val="244F3473"/>
    <w:rsid w:val="24AF2DCF"/>
    <w:rsid w:val="24C97D99"/>
    <w:rsid w:val="254933EC"/>
    <w:rsid w:val="25A718F0"/>
    <w:rsid w:val="25BB59F6"/>
    <w:rsid w:val="25DC4098"/>
    <w:rsid w:val="25F0544D"/>
    <w:rsid w:val="2604539D"/>
    <w:rsid w:val="260F557C"/>
    <w:rsid w:val="261E645E"/>
    <w:rsid w:val="26487037"/>
    <w:rsid w:val="265D091C"/>
    <w:rsid w:val="26970054"/>
    <w:rsid w:val="27167136"/>
    <w:rsid w:val="274C2B57"/>
    <w:rsid w:val="27E471EC"/>
    <w:rsid w:val="281408E2"/>
    <w:rsid w:val="2852110A"/>
    <w:rsid w:val="289B1FE8"/>
    <w:rsid w:val="28BC3D0D"/>
    <w:rsid w:val="29A076EC"/>
    <w:rsid w:val="29FD04D3"/>
    <w:rsid w:val="2A165ACF"/>
    <w:rsid w:val="2AD27817"/>
    <w:rsid w:val="2BBE1B4A"/>
    <w:rsid w:val="2BFF7BC6"/>
    <w:rsid w:val="2C0C0B07"/>
    <w:rsid w:val="2C0D0EEF"/>
    <w:rsid w:val="2C7E1899"/>
    <w:rsid w:val="2C8A61B5"/>
    <w:rsid w:val="2D207CFD"/>
    <w:rsid w:val="2DD1025A"/>
    <w:rsid w:val="2DF04E50"/>
    <w:rsid w:val="2E586DFA"/>
    <w:rsid w:val="2EAF795B"/>
    <w:rsid w:val="2ECF0F45"/>
    <w:rsid w:val="2F040D46"/>
    <w:rsid w:val="2F57478F"/>
    <w:rsid w:val="2F6B035B"/>
    <w:rsid w:val="2F6D2A2C"/>
    <w:rsid w:val="2FAE5751"/>
    <w:rsid w:val="2FB1A395"/>
    <w:rsid w:val="2FD9A7D8"/>
    <w:rsid w:val="2FDBF714"/>
    <w:rsid w:val="30550CCF"/>
    <w:rsid w:val="3089437A"/>
    <w:rsid w:val="309612E7"/>
    <w:rsid w:val="30AB6865"/>
    <w:rsid w:val="30F71CA0"/>
    <w:rsid w:val="30FA1876"/>
    <w:rsid w:val="30FC114A"/>
    <w:rsid w:val="3139239E"/>
    <w:rsid w:val="31896816"/>
    <w:rsid w:val="319F7F4E"/>
    <w:rsid w:val="31E57E30"/>
    <w:rsid w:val="32026DBC"/>
    <w:rsid w:val="327B69E7"/>
    <w:rsid w:val="32BD1EF1"/>
    <w:rsid w:val="32FD564D"/>
    <w:rsid w:val="3304709D"/>
    <w:rsid w:val="33A773CB"/>
    <w:rsid w:val="34907485"/>
    <w:rsid w:val="349D6851"/>
    <w:rsid w:val="358636D8"/>
    <w:rsid w:val="36AA5135"/>
    <w:rsid w:val="36BE0DA7"/>
    <w:rsid w:val="376B6AA6"/>
    <w:rsid w:val="376D39B2"/>
    <w:rsid w:val="37E16F03"/>
    <w:rsid w:val="37F53A3B"/>
    <w:rsid w:val="389B6C89"/>
    <w:rsid w:val="38D469F0"/>
    <w:rsid w:val="38FD7510"/>
    <w:rsid w:val="39627CCD"/>
    <w:rsid w:val="397BAF1F"/>
    <w:rsid w:val="39914D8E"/>
    <w:rsid w:val="3A781144"/>
    <w:rsid w:val="3AB79AF3"/>
    <w:rsid w:val="3AE834C0"/>
    <w:rsid w:val="3B7EF35A"/>
    <w:rsid w:val="3B9FDB6C"/>
    <w:rsid w:val="3BA0301A"/>
    <w:rsid w:val="3BB6700C"/>
    <w:rsid w:val="3BED2C15"/>
    <w:rsid w:val="3BF5BC2F"/>
    <w:rsid w:val="3CEBA265"/>
    <w:rsid w:val="3D080983"/>
    <w:rsid w:val="3D98207C"/>
    <w:rsid w:val="3DEE7CF3"/>
    <w:rsid w:val="3E740A63"/>
    <w:rsid w:val="3E7762B4"/>
    <w:rsid w:val="3E78745D"/>
    <w:rsid w:val="3E7C78DB"/>
    <w:rsid w:val="3ED5122D"/>
    <w:rsid w:val="3EE17838"/>
    <w:rsid w:val="3F012022"/>
    <w:rsid w:val="3F1B7587"/>
    <w:rsid w:val="3F55381A"/>
    <w:rsid w:val="3F740A45"/>
    <w:rsid w:val="3F7F7599"/>
    <w:rsid w:val="3FF4CAE0"/>
    <w:rsid w:val="3FF7B227"/>
    <w:rsid w:val="40136C0E"/>
    <w:rsid w:val="401A339B"/>
    <w:rsid w:val="40271F5C"/>
    <w:rsid w:val="40300E10"/>
    <w:rsid w:val="403334F2"/>
    <w:rsid w:val="404C09A4"/>
    <w:rsid w:val="40672358"/>
    <w:rsid w:val="40896772"/>
    <w:rsid w:val="40D93283"/>
    <w:rsid w:val="413606A8"/>
    <w:rsid w:val="42867003"/>
    <w:rsid w:val="444255B6"/>
    <w:rsid w:val="446077EA"/>
    <w:rsid w:val="44DB7FE4"/>
    <w:rsid w:val="44DF0F43"/>
    <w:rsid w:val="44E268DA"/>
    <w:rsid w:val="450D13D7"/>
    <w:rsid w:val="45506656"/>
    <w:rsid w:val="46003033"/>
    <w:rsid w:val="468679DC"/>
    <w:rsid w:val="474D5751"/>
    <w:rsid w:val="485B3227"/>
    <w:rsid w:val="486A6C7A"/>
    <w:rsid w:val="48E532BC"/>
    <w:rsid w:val="49507E2D"/>
    <w:rsid w:val="49D22F38"/>
    <w:rsid w:val="4A627F82"/>
    <w:rsid w:val="4A9D3546"/>
    <w:rsid w:val="4B0E749A"/>
    <w:rsid w:val="4B2477C4"/>
    <w:rsid w:val="4B3E33A3"/>
    <w:rsid w:val="4B4F25DA"/>
    <w:rsid w:val="4B6C60FC"/>
    <w:rsid w:val="4B9E7576"/>
    <w:rsid w:val="4BAC42C6"/>
    <w:rsid w:val="4BBD5522"/>
    <w:rsid w:val="4BD96800"/>
    <w:rsid w:val="4BE068DB"/>
    <w:rsid w:val="4BFD2CCF"/>
    <w:rsid w:val="4C78661F"/>
    <w:rsid w:val="4C8D3147"/>
    <w:rsid w:val="4D577224"/>
    <w:rsid w:val="4D714816"/>
    <w:rsid w:val="4DAC584E"/>
    <w:rsid w:val="4DBF1CEB"/>
    <w:rsid w:val="4DF0007C"/>
    <w:rsid w:val="4E6D29C4"/>
    <w:rsid w:val="4E881E17"/>
    <w:rsid w:val="4E964534"/>
    <w:rsid w:val="4EAB630A"/>
    <w:rsid w:val="4ECE2238"/>
    <w:rsid w:val="4F6C549E"/>
    <w:rsid w:val="4F833267"/>
    <w:rsid w:val="4FE9BD67"/>
    <w:rsid w:val="4FFB052F"/>
    <w:rsid w:val="5060304C"/>
    <w:rsid w:val="506056FC"/>
    <w:rsid w:val="511C7253"/>
    <w:rsid w:val="51FD48CA"/>
    <w:rsid w:val="52706F89"/>
    <w:rsid w:val="536533E1"/>
    <w:rsid w:val="537E6D0A"/>
    <w:rsid w:val="53F377AD"/>
    <w:rsid w:val="53F74C96"/>
    <w:rsid w:val="545D78A2"/>
    <w:rsid w:val="547075D6"/>
    <w:rsid w:val="54FB33F2"/>
    <w:rsid w:val="55170BA8"/>
    <w:rsid w:val="552705DC"/>
    <w:rsid w:val="553218C9"/>
    <w:rsid w:val="567E1AA5"/>
    <w:rsid w:val="56E47B74"/>
    <w:rsid w:val="56F00450"/>
    <w:rsid w:val="57175D52"/>
    <w:rsid w:val="57B41ECF"/>
    <w:rsid w:val="57BD0C66"/>
    <w:rsid w:val="57BD3DD4"/>
    <w:rsid w:val="5873313F"/>
    <w:rsid w:val="587873A1"/>
    <w:rsid w:val="58B442C6"/>
    <w:rsid w:val="58F76517"/>
    <w:rsid w:val="59741916"/>
    <w:rsid w:val="5AE478BE"/>
    <w:rsid w:val="5AF8394B"/>
    <w:rsid w:val="5AF92295"/>
    <w:rsid w:val="5B250254"/>
    <w:rsid w:val="5B523ED9"/>
    <w:rsid w:val="5BDD79E6"/>
    <w:rsid w:val="5BF31218"/>
    <w:rsid w:val="5BF561CA"/>
    <w:rsid w:val="5BF62AB6"/>
    <w:rsid w:val="5BFF5DFC"/>
    <w:rsid w:val="5C036F81"/>
    <w:rsid w:val="5C3A03CF"/>
    <w:rsid w:val="5C4A6CF5"/>
    <w:rsid w:val="5CD71FC4"/>
    <w:rsid w:val="5D1F11B5"/>
    <w:rsid w:val="5D695134"/>
    <w:rsid w:val="5D971AA4"/>
    <w:rsid w:val="5DAE1B18"/>
    <w:rsid w:val="5DB669A1"/>
    <w:rsid w:val="5DE7D9E5"/>
    <w:rsid w:val="5DED7EE9"/>
    <w:rsid w:val="5E1E4CC2"/>
    <w:rsid w:val="5E5508DC"/>
    <w:rsid w:val="5ECEC941"/>
    <w:rsid w:val="5F893C41"/>
    <w:rsid w:val="5FBF9FF3"/>
    <w:rsid w:val="5FCD4E2C"/>
    <w:rsid w:val="5FEF394A"/>
    <w:rsid w:val="5FF67715"/>
    <w:rsid w:val="617E77D6"/>
    <w:rsid w:val="62361AD6"/>
    <w:rsid w:val="629E17B2"/>
    <w:rsid w:val="62AF1C11"/>
    <w:rsid w:val="62BF3928"/>
    <w:rsid w:val="639C3F43"/>
    <w:rsid w:val="63AE011A"/>
    <w:rsid w:val="63B3701E"/>
    <w:rsid w:val="63D90F55"/>
    <w:rsid w:val="63FA510E"/>
    <w:rsid w:val="647F5392"/>
    <w:rsid w:val="64CF20F6"/>
    <w:rsid w:val="64EE6A20"/>
    <w:rsid w:val="65102E3B"/>
    <w:rsid w:val="65271A64"/>
    <w:rsid w:val="65BE354A"/>
    <w:rsid w:val="65CD0D2C"/>
    <w:rsid w:val="65DD0843"/>
    <w:rsid w:val="65E66580"/>
    <w:rsid w:val="65ED4F2A"/>
    <w:rsid w:val="66214BD4"/>
    <w:rsid w:val="664B1D71"/>
    <w:rsid w:val="664B4E8E"/>
    <w:rsid w:val="66616FDF"/>
    <w:rsid w:val="66990C0E"/>
    <w:rsid w:val="67277B67"/>
    <w:rsid w:val="67AA3209"/>
    <w:rsid w:val="67BC2E06"/>
    <w:rsid w:val="6857006A"/>
    <w:rsid w:val="689E69AF"/>
    <w:rsid w:val="69531CE7"/>
    <w:rsid w:val="698C05B6"/>
    <w:rsid w:val="698D0931"/>
    <w:rsid w:val="6A274783"/>
    <w:rsid w:val="6A7154B1"/>
    <w:rsid w:val="6A7FE5F3"/>
    <w:rsid w:val="6AAD2EDA"/>
    <w:rsid w:val="6AF30188"/>
    <w:rsid w:val="6B053271"/>
    <w:rsid w:val="6B3D425E"/>
    <w:rsid w:val="6BD84130"/>
    <w:rsid w:val="6BDD78B3"/>
    <w:rsid w:val="6C4A05C8"/>
    <w:rsid w:val="6C8056C4"/>
    <w:rsid w:val="6C8742B8"/>
    <w:rsid w:val="6D1C60F5"/>
    <w:rsid w:val="6DBF5E93"/>
    <w:rsid w:val="6DFF077E"/>
    <w:rsid w:val="6E1F5E9D"/>
    <w:rsid w:val="6E714EF0"/>
    <w:rsid w:val="6E7C7D47"/>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C92026"/>
    <w:rsid w:val="72233669"/>
    <w:rsid w:val="72734D90"/>
    <w:rsid w:val="73160E6D"/>
    <w:rsid w:val="7332FE48"/>
    <w:rsid w:val="73AB61DA"/>
    <w:rsid w:val="73AD73D5"/>
    <w:rsid w:val="73B6EB34"/>
    <w:rsid w:val="73ED7F07"/>
    <w:rsid w:val="73FA497D"/>
    <w:rsid w:val="744731E5"/>
    <w:rsid w:val="74BBD01D"/>
    <w:rsid w:val="74BF4B10"/>
    <w:rsid w:val="74ED5379"/>
    <w:rsid w:val="74F470FA"/>
    <w:rsid w:val="75D02172"/>
    <w:rsid w:val="75DEEEC2"/>
    <w:rsid w:val="75E32345"/>
    <w:rsid w:val="766A6865"/>
    <w:rsid w:val="76E3355F"/>
    <w:rsid w:val="76F65022"/>
    <w:rsid w:val="76FF5125"/>
    <w:rsid w:val="773109EF"/>
    <w:rsid w:val="776F6FFA"/>
    <w:rsid w:val="778769C8"/>
    <w:rsid w:val="77A75DCA"/>
    <w:rsid w:val="77DC22F5"/>
    <w:rsid w:val="780600CD"/>
    <w:rsid w:val="783E271A"/>
    <w:rsid w:val="78616DE9"/>
    <w:rsid w:val="78E875D7"/>
    <w:rsid w:val="79086DAD"/>
    <w:rsid w:val="79D7FD79"/>
    <w:rsid w:val="79EE5BA4"/>
    <w:rsid w:val="7A153316"/>
    <w:rsid w:val="7A1A1C0E"/>
    <w:rsid w:val="7A29484E"/>
    <w:rsid w:val="7A894339"/>
    <w:rsid w:val="7AD284E8"/>
    <w:rsid w:val="7AFF7572"/>
    <w:rsid w:val="7B5651DF"/>
    <w:rsid w:val="7B6C7DFB"/>
    <w:rsid w:val="7BA93249"/>
    <w:rsid w:val="7BBFBED0"/>
    <w:rsid w:val="7BC3E394"/>
    <w:rsid w:val="7C1F3737"/>
    <w:rsid w:val="7CBFC87B"/>
    <w:rsid w:val="7CD97919"/>
    <w:rsid w:val="7CFE0F48"/>
    <w:rsid w:val="7D272ABC"/>
    <w:rsid w:val="7D7BD6B8"/>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收支决算变动情况图</a:t>
            </a:r>
          </a:p>
        </c:rich>
      </c:tx>
      <c:layout/>
      <c:overlay val="0"/>
      <c:spPr>
        <a:noFill/>
        <a:ln>
          <a:noFill/>
        </a:ln>
        <a:effectLst/>
      </c:spPr>
    </c:title>
    <c:autoTitleDeleted val="0"/>
    <c:plotArea>
      <c:layout>
        <c:manualLayout>
          <c:layoutTarget val="inner"/>
          <c:xMode val="edge"/>
          <c:yMode val="edge"/>
          <c:x val="0.0666344527663687"/>
          <c:y val="0.153846153846154"/>
          <c:w val="0.908359507127325"/>
          <c:h val="0.63905652358691"/>
        </c:manualLayout>
      </c:layout>
      <c:barChart>
        <c:barDir val="col"/>
        <c:grouping val="clustered"/>
        <c:varyColors val="0"/>
        <c:ser>
          <c:idx val="0"/>
          <c:order val="0"/>
          <c:tx>
            <c:strRef>
              <c:f>Sheet1!$B$1</c:f>
              <c:strCache>
                <c:ptCount val="1"/>
                <c:pt idx="0">
                  <c:v>2023年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681.14</c:v>
                </c:pt>
                <c:pt idx="1">
                  <c:v>681.14</c:v>
                </c:pt>
              </c:numCache>
            </c:numRef>
          </c:val>
        </c:ser>
        <c:ser>
          <c:idx val="1"/>
          <c:order val="1"/>
          <c:tx>
            <c:strRef>
              <c:f>Sheet1!$C$1</c:f>
              <c:strCache>
                <c:ptCount val="1"/>
                <c:pt idx="0">
                  <c:v>2024年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630.64</c:v>
                </c:pt>
                <c:pt idx="1">
                  <c:v>630.64</c:v>
                </c:pt>
              </c:numCache>
            </c:numRef>
          </c:val>
        </c:ser>
        <c:dLbls>
          <c:showLegendKey val="0"/>
          <c:showVal val="1"/>
          <c:showCatName val="0"/>
          <c:showSerName val="0"/>
          <c:showPercent val="0"/>
          <c:showBubbleSize val="0"/>
        </c:dLbls>
        <c:gapWidth val="246"/>
        <c:overlap val="-28"/>
        <c:axId val="430951539"/>
        <c:axId val="451928781"/>
      </c:barChart>
      <c:catAx>
        <c:axId val="4309515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28781"/>
        <c:crosses val="autoZero"/>
        <c:auto val="1"/>
        <c:lblAlgn val="ctr"/>
        <c:lblOffset val="100"/>
        <c:noMultiLvlLbl val="0"/>
      </c:catAx>
      <c:valAx>
        <c:axId val="45192878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9515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271bd8-a475-42c6-b4dd-5c5ea948ba0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General</c:formatCode>
                <c:ptCount val="4"/>
                <c:pt idx="0">
                  <c:v>587.78</c:v>
                </c:pt>
                <c:pt idx="1">
                  <c:v>42.86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24d425-16da-4970-9b08-7efbe9a8d6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549.75</c:v>
                </c:pt>
                <c:pt idx="1">
                  <c:v>79.99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d6b065-637b-496a-baa1-001f0b8cba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财政拨款收支决算变动情况</a:t>
            </a:r>
          </a:p>
        </c:rich>
      </c:tx>
      <c:layout>
        <c:manualLayout>
          <c:xMode val="edge"/>
          <c:yMode val="edge"/>
          <c:x val="0.322904083111863"/>
          <c:y val="0.0229494262643434"/>
        </c:manualLayout>
      </c:layout>
      <c:overlay val="0"/>
      <c:spPr>
        <a:noFill/>
        <a:ln>
          <a:noFill/>
        </a:ln>
        <a:effectLst/>
      </c:spPr>
    </c:title>
    <c:autoTitleDeleted val="0"/>
    <c:plotArea>
      <c:layout>
        <c:manualLayout>
          <c:layoutTarget val="inner"/>
          <c:xMode val="edge"/>
          <c:yMode val="edge"/>
          <c:x val="0.0650640251268422"/>
          <c:y val="0.159371015724607"/>
          <c:w val="0.908359507127325"/>
          <c:h val="0.6390565235869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681.14</c:v>
                </c:pt>
                <c:pt idx="1">
                  <c:v>681.14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587.78</c:v>
                </c:pt>
                <c:pt idx="1">
                  <c:v>587.78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89396895"/>
        <c:axId val="65170273"/>
      </c:barChart>
      <c:catAx>
        <c:axId val="89396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70273"/>
        <c:crosses val="autoZero"/>
        <c:auto val="1"/>
        <c:lblAlgn val="ctr"/>
        <c:lblOffset val="100"/>
        <c:noMultiLvlLbl val="0"/>
      </c:catAx>
      <c:valAx>
        <c:axId val="651702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3968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f4998f-a68a-4633-ac7d-bc0f0cae239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一般公共预算财政拨款支出变动情况</a:t>
            </a:r>
          </a:p>
        </c:rich>
      </c:tx>
      <c:layout>
        <c:manualLayout>
          <c:xMode val="edge"/>
          <c:yMode val="edge"/>
          <c:x val="0.0987617049844453"/>
          <c:y val="0.0227073541268464"/>
        </c:manualLayout>
      </c:layout>
      <c:overlay val="0"/>
      <c:spPr>
        <a:noFill/>
        <a:ln>
          <a:noFill/>
        </a:ln>
        <a:effectLst/>
      </c:spPr>
    </c:title>
    <c:autoTitleDeleted val="0"/>
    <c:plotArea>
      <c:layout>
        <c:manualLayout>
          <c:layoutTarget val="inner"/>
          <c:xMode val="edge"/>
          <c:yMode val="edge"/>
          <c:x val="0.0650640251268422"/>
          <c:y val="0.159371015724607"/>
          <c:w val="0.908359507127325"/>
          <c:h val="0.6390565235869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681.14</c:v>
                </c:pt>
                <c:pt idx="1">
                  <c:v>681.14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587.78</c:v>
                </c:pt>
                <c:pt idx="1">
                  <c:v>587.78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89396895"/>
        <c:axId val="65170273"/>
      </c:barChart>
      <c:catAx>
        <c:axId val="89396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70273"/>
        <c:crosses val="autoZero"/>
        <c:auto val="1"/>
        <c:lblAlgn val="ctr"/>
        <c:lblOffset val="100"/>
        <c:noMultiLvlLbl val="0"/>
      </c:catAx>
      <c:valAx>
        <c:axId val="651702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3968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72cc03-3b39-4234-b180-421457f81b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manualLayout>
          <c:xMode val="edge"/>
          <c:yMode val="edge"/>
          <c:x val="0.18119418899107"/>
          <c:y val="0.033497234173325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pt idx="3">
                  <c:v>项目支出</c:v>
                </c:pt>
              </c:strCache>
            </c:strRef>
          </c:cat>
          <c:val>
            <c:numRef>
              <c:f>Sheet1!$B$2:$B$5</c:f>
              <c:numCache>
                <c:formatCode>General</c:formatCode>
                <c:ptCount val="4"/>
                <c:pt idx="0">
                  <c:v>120.66</c:v>
                </c:pt>
                <c:pt idx="1">
                  <c:v>426.18</c:v>
                </c:pt>
                <c:pt idx="2">
                  <c:v>40.94</c:v>
                </c:pt>
                <c:pt idx="3">
                  <c:v>38.03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bcebf1-9ca3-4a71-972f-d441cf29e6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三公经费财政</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0.54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d68144-fa3b-4d7b-b543-9a23bddd2a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1320</Words>
  <Characters>1437</Characters>
  <Lines>61</Lines>
  <Paragraphs>17</Paragraphs>
  <TotalTime>7</TotalTime>
  <ScaleCrop>false</ScaleCrop>
  <LinksUpToDate>false</LinksUpToDate>
  <CharactersWithSpaces>1449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2025-10-27T10:43:11Z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eyJoZGlkIjoiYWJlNzA5NDUxMGY1MTQ2MzNhY2FjNzMyNzBmYjM1NGMiLCJ1c2VySWQiOiI0MTkxMzU0NzMifQ==</vt:lpwstr>
  </property>
</Properties>
</file>