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image/x-emf" PartName="/word/media/image1.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spacing w:before="93"/>
        <w:rPr>
          <w:rFonts w:ascii="Times New Roman" w:eastAsia="方正小标宋简体"/>
          <w:kern w:val="2"/>
          <w:sz w:val="72"/>
          <w:szCs w:val="72"/>
        </w:rPr>
      </w:pPr>
      <w:bookmarkStart w:id="0" w:name="_Toc15396475"/>
      <w:bookmarkStart w:id="1" w:name="_Toc15377425"/>
      <w:bookmarkStart w:id="2" w:name="_Toc15378441"/>
      <w:bookmarkStart w:id="3" w:name="_Toc15396597"/>
      <w:bookmarkStart w:id="4" w:name="_Toc15377193"/>
      <w:bookmarkStart w:id="5" w:name="_Toc15306267"/>
    </w:p>
    <w:p>
      <w:pPr>
        <w:pStyle w:val="8"/>
        <w:spacing w:before="93"/>
        <w:rPr>
          <w:rFonts w:ascii="Times New Roman" w:eastAsia="方正小标宋简体"/>
          <w:kern w:val="2"/>
          <w:sz w:val="72"/>
          <w:szCs w:val="72"/>
        </w:rPr>
      </w:pPr>
    </w:p>
    <w:p>
      <w:pPr>
        <w:pStyle w:val="8"/>
        <w:spacing w:before="93"/>
        <w:rPr>
          <w:rFonts w:ascii="Times New Roman" w:eastAsia="方正小标宋简体"/>
          <w:kern w:val="2"/>
          <w:sz w:val="72"/>
          <w:szCs w:val="72"/>
        </w:rPr>
      </w:pPr>
    </w:p>
    <w:p>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8"/>
        <w:spacing w:before="93"/>
        <w:jc w:val="center"/>
        <w:rPr>
          <w:rFonts w:hint="eastAsia" w:ascii="Times New Roman" w:eastAsia="方正小标宋简体"/>
          <w:kern w:val="2"/>
          <w:sz w:val="72"/>
          <w:szCs w:val="72"/>
          <w:lang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第二人民医院</w:t>
      </w:r>
    </w:p>
    <w:p>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单位决算公开编制说明</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5" w:type="first"/>
          <w:footerReference r:id="rId7" w:type="first"/>
          <w:headerReference r:id="rId4" w:type="default"/>
          <w:footerReference r:id="rId6" w:type="default"/>
          <w:pgSz w:w="11906" w:h="16838"/>
          <w:pgMar w:top="1440" w:right="1800" w:bottom="1440" w:left="1800" w:header="851" w:footer="992" w:gutter="0"/>
          <w:pgNumType w:fmt="numberInDash" w:start="1"/>
          <w:cols w:space="720"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黑体"/>
          <w:sz w:val="28"/>
          <w:szCs w:val="28"/>
        </w:rPr>
      </w:pPr>
    </w:p>
    <w:p>
      <w:pPr>
        <w:pStyle w:val="13"/>
        <w:rPr>
          <w:rFonts w:ascii="Times New Roman" w:hAnsi="Times New Roman" w:eastAsia="仿宋_GB2312" w:cs="仿宋_GB2312"/>
        </w:rPr>
      </w:pPr>
      <w:r>
        <w:rPr>
          <w:rFonts w:hint="eastAsia" w:ascii="Times New Roman" w:hAnsi="Times New Roman" w:eastAsia="仿宋_GB2312" w:cs="仿宋_GB2312"/>
        </w:rPr>
        <w:t xml:space="preserve">公开时间：2025年10月 </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 xml:space="preserve"> 日</w:t>
      </w:r>
    </w:p>
    <w:p>
      <w:pPr>
        <w:rPr>
          <w:sz w:val="28"/>
          <w:szCs w:val="28"/>
        </w:rPr>
      </w:pPr>
    </w:p>
    <w:p>
      <w:pPr>
        <w:pStyle w:val="13"/>
        <w:adjustRightInd w:val="0"/>
        <w:snapToGrid w:val="0"/>
        <w:spacing w:before="0" w:line="560" w:lineRule="exact"/>
        <w:jc w:val="left"/>
        <w:rPr>
          <w:rFonts w:hint="eastAsia"/>
          <w:b w:val="0"/>
          <w:bCs/>
          <w:sz w:val="24"/>
          <w:szCs w:val="24"/>
          <w:lang w:val="en-US" w:eastAsia="zh-CN"/>
        </w:rPr>
      </w:pPr>
      <w:r>
        <w:rPr>
          <w:rFonts w:hint="eastAsia" w:ascii="Times New Roman" w:hAnsi="Times New Roman" w:eastAsia="黑体" w:cs="黑体"/>
        </w:rPr>
        <w:t>第一部分 单位概况</w:t>
      </w:r>
      <w:r>
        <w:rPr>
          <w:b w:val="0"/>
          <w:bCs/>
          <w:sz w:val="28"/>
          <w:szCs w:val="28"/>
        </w:rPr>
        <w:tab/>
      </w:r>
      <w:r>
        <w:rPr>
          <w:rFonts w:hint="eastAsia"/>
          <w:b w:val="0"/>
          <w:bCs/>
          <w:sz w:val="28"/>
          <w:szCs w:val="28"/>
          <w:lang w:val="en-US" w:eastAsia="zh-CN"/>
        </w:rPr>
        <w:t>1</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一、主要职责</w:t>
      </w:r>
      <w:r>
        <w:rPr>
          <w:b w:val="0"/>
          <w:bCs/>
          <w:sz w:val="28"/>
          <w:szCs w:val="28"/>
        </w:rPr>
        <w:tab/>
      </w:r>
      <w:r>
        <w:rPr>
          <w:rFonts w:hint="eastAsia" w:ascii="仿宋" w:hAnsi="仿宋" w:eastAsia="仿宋" w:cs="Times New Roman"/>
          <w:b w:val="0"/>
          <w:bCs/>
          <w:kern w:val="2"/>
          <w:sz w:val="28"/>
          <w:szCs w:val="28"/>
          <w:lang w:val="en-US" w:eastAsia="zh-CN" w:bidi="ar-SA"/>
        </w:rPr>
        <w:t>1</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4"/>
          <w:szCs w:val="24"/>
          <w:lang w:val="en-US" w:eastAsia="zh-CN" w:bidi="ar-SA"/>
        </w:rPr>
      </w:pPr>
      <w:r>
        <w:rPr>
          <w:rFonts w:hint="eastAsia" w:eastAsia="仿宋_GB2312" w:cs="仿宋_GB2312"/>
          <w:sz w:val="28"/>
          <w:szCs w:val="28"/>
        </w:rPr>
        <w:t>二、机构设置</w:t>
      </w:r>
      <w:r>
        <w:rPr>
          <w:b w:val="0"/>
          <w:bCs/>
          <w:sz w:val="28"/>
          <w:szCs w:val="28"/>
        </w:rPr>
        <w:tab/>
      </w:r>
      <w:r>
        <w:rPr>
          <w:rFonts w:hint="eastAsia" w:ascii="仿宋" w:hAnsi="仿宋" w:eastAsia="仿宋" w:cs="Times New Roman"/>
          <w:b w:val="0"/>
          <w:bCs/>
          <w:kern w:val="2"/>
          <w:sz w:val="28"/>
          <w:szCs w:val="28"/>
          <w:lang w:val="en-US" w:eastAsia="zh-CN" w:bidi="ar-SA"/>
        </w:rPr>
        <w:t>1</w:t>
      </w:r>
    </w:p>
    <w:p>
      <w:pPr>
        <w:pStyle w:val="13"/>
        <w:adjustRightInd w:val="0"/>
        <w:snapToGrid w:val="0"/>
        <w:spacing w:before="0" w:line="560" w:lineRule="exact"/>
        <w:jc w:val="left"/>
        <w:rPr>
          <w:rFonts w:hint="eastAsia" w:ascii="仿宋" w:hAnsi="仿宋" w:eastAsia="仿宋" w:cs="Times New Roman"/>
          <w:b w:val="0"/>
          <w:bCs/>
          <w:kern w:val="2"/>
          <w:sz w:val="24"/>
          <w:szCs w:val="24"/>
          <w:lang w:val="en-US" w:eastAsia="zh-CN" w:bidi="ar-SA"/>
        </w:rPr>
      </w:pPr>
      <w:r>
        <w:rPr>
          <w:rFonts w:hint="eastAsia" w:ascii="Times New Roman" w:hAnsi="Times New Roman" w:eastAsia="黑体" w:cs="黑体"/>
        </w:rPr>
        <w:t>第二部分 2024年度部门决算情况说明</w:t>
      </w:r>
      <w:r>
        <w:rPr>
          <w:b w:val="0"/>
          <w:bCs/>
          <w:sz w:val="28"/>
          <w:szCs w:val="28"/>
        </w:rPr>
        <w:tab/>
      </w:r>
      <w:r>
        <w:rPr>
          <w:rFonts w:hint="eastAsia" w:ascii="仿宋" w:hAnsi="仿宋" w:eastAsia="仿宋" w:cs="Times New Roman"/>
          <w:b w:val="0"/>
          <w:bCs/>
          <w:kern w:val="2"/>
          <w:sz w:val="28"/>
          <w:szCs w:val="28"/>
          <w:lang w:val="en-US" w:eastAsia="zh-CN" w:bidi="ar-SA"/>
        </w:rPr>
        <w:t>2</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一、收入支出决算总体情况说明</w:t>
      </w:r>
      <w:r>
        <w:rPr>
          <w:b w:val="0"/>
          <w:bCs/>
          <w:sz w:val="28"/>
          <w:szCs w:val="28"/>
        </w:rPr>
        <w:tab/>
      </w:r>
      <w:r>
        <w:rPr>
          <w:rFonts w:hint="eastAsia" w:ascii="仿宋" w:hAnsi="仿宋" w:eastAsia="仿宋" w:cs="Times New Roman"/>
          <w:b w:val="0"/>
          <w:bCs/>
          <w:kern w:val="2"/>
          <w:sz w:val="28"/>
          <w:szCs w:val="28"/>
          <w:lang w:val="en-US" w:eastAsia="zh-CN" w:bidi="ar-SA"/>
        </w:rPr>
        <w:t>2</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二、收入决算情况说明</w:t>
      </w:r>
      <w:r>
        <w:rPr>
          <w:b w:val="0"/>
          <w:bCs/>
          <w:sz w:val="28"/>
          <w:szCs w:val="28"/>
        </w:rPr>
        <w:tab/>
      </w:r>
      <w:r>
        <w:rPr>
          <w:rFonts w:hint="eastAsia" w:ascii="仿宋" w:hAnsi="仿宋" w:eastAsia="仿宋" w:cs="Times New Roman"/>
          <w:b w:val="0"/>
          <w:bCs/>
          <w:kern w:val="2"/>
          <w:sz w:val="28"/>
          <w:szCs w:val="28"/>
          <w:lang w:val="en-US" w:eastAsia="zh-CN" w:bidi="ar-SA"/>
        </w:rPr>
        <w:t>2</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三、支出决算情况说明</w:t>
      </w:r>
      <w:r>
        <w:rPr>
          <w:b w:val="0"/>
          <w:bCs/>
          <w:sz w:val="28"/>
          <w:szCs w:val="28"/>
        </w:rPr>
        <w:tab/>
      </w:r>
      <w:r>
        <w:rPr>
          <w:rFonts w:hint="eastAsia" w:ascii="仿宋" w:hAnsi="仿宋" w:eastAsia="仿宋" w:cs="Times New Roman"/>
          <w:b w:val="0"/>
          <w:bCs/>
          <w:kern w:val="2"/>
          <w:sz w:val="28"/>
          <w:szCs w:val="28"/>
          <w:lang w:val="en-US" w:eastAsia="zh-CN" w:bidi="ar-SA"/>
        </w:rPr>
        <w:t>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rPr>
          <w:b w:val="0"/>
          <w:bCs/>
          <w:sz w:val="28"/>
          <w:szCs w:val="28"/>
        </w:rPr>
        <w:tab/>
      </w:r>
      <w:r>
        <w:rPr>
          <w:rFonts w:hint="eastAsia" w:ascii="仿宋" w:hAnsi="仿宋" w:eastAsia="仿宋" w:cs="Times New Roman"/>
          <w:b w:val="0"/>
          <w:bCs/>
          <w:kern w:val="2"/>
          <w:sz w:val="28"/>
          <w:szCs w:val="28"/>
          <w:lang w:val="en-US" w:eastAsia="zh-CN" w:bidi="ar-SA"/>
        </w:rPr>
        <w:t>4</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五、一般公共预算财政拨款支出决算情况说明</w:t>
      </w:r>
      <w:r>
        <w:rPr>
          <w:b w:val="0"/>
          <w:bCs/>
          <w:sz w:val="28"/>
          <w:szCs w:val="28"/>
        </w:rPr>
        <w:tab/>
      </w:r>
      <w:r>
        <w:rPr>
          <w:rFonts w:hint="eastAsia"/>
          <w:b w:val="0"/>
          <w:bCs/>
          <w:sz w:val="28"/>
          <w:szCs w:val="28"/>
          <w:lang w:val="en-US" w:eastAsia="zh-CN"/>
        </w:rPr>
        <w:t>5</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六、一般公共预算财政拨款基本支出决算情况说明</w:t>
      </w:r>
      <w:r>
        <w:rPr>
          <w:b w:val="0"/>
          <w:bCs/>
          <w:sz w:val="28"/>
          <w:szCs w:val="28"/>
        </w:rPr>
        <w:tab/>
      </w:r>
      <w:r>
        <w:rPr>
          <w:rFonts w:hint="eastAsia"/>
          <w:b w:val="0"/>
          <w:bCs/>
          <w:sz w:val="28"/>
          <w:szCs w:val="28"/>
          <w:lang w:val="en-US" w:eastAsia="zh-CN"/>
        </w:rPr>
        <w:t>8</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七、财政拨款“三公”经费支出决算情况说明</w:t>
      </w:r>
      <w:r>
        <w:rPr>
          <w:b w:val="0"/>
          <w:bCs/>
          <w:sz w:val="28"/>
          <w:szCs w:val="28"/>
        </w:rPr>
        <w:tab/>
      </w:r>
      <w:r>
        <w:rPr>
          <w:rFonts w:hint="eastAsia"/>
          <w:b w:val="0"/>
          <w:bCs/>
          <w:sz w:val="28"/>
          <w:szCs w:val="28"/>
          <w:lang w:val="en-US" w:eastAsia="zh-CN"/>
        </w:rPr>
        <w:t>9</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八、政府性基金预算支出决算情况说明</w:t>
      </w:r>
      <w:r>
        <w:rPr>
          <w:b w:val="0"/>
          <w:bCs/>
          <w:sz w:val="28"/>
          <w:szCs w:val="28"/>
        </w:rPr>
        <w:tab/>
      </w:r>
      <w:r>
        <w:rPr>
          <w:rFonts w:hint="eastAsia"/>
          <w:b w:val="0"/>
          <w:bCs/>
          <w:sz w:val="28"/>
          <w:szCs w:val="28"/>
          <w:lang w:val="en-US" w:eastAsia="zh-CN"/>
        </w:rPr>
        <w:t>10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九、国有资本经营预算支出决算情况说明</w:t>
      </w:r>
      <w:r>
        <w:rPr>
          <w:b w:val="0"/>
          <w:bCs/>
          <w:sz w:val="28"/>
          <w:szCs w:val="28"/>
        </w:rPr>
        <w:tab/>
      </w:r>
      <w:r>
        <w:rPr>
          <w:rFonts w:hint="eastAsia"/>
          <w:b w:val="0"/>
          <w:bCs/>
          <w:sz w:val="28"/>
          <w:szCs w:val="28"/>
          <w:lang w:val="en-US" w:eastAsia="zh-CN"/>
        </w:rPr>
        <w:t>10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十、其他重要事项的情况说明</w:t>
      </w:r>
      <w:r>
        <w:rPr>
          <w:b w:val="0"/>
          <w:bCs/>
          <w:sz w:val="28"/>
          <w:szCs w:val="28"/>
        </w:rPr>
        <w:tab/>
      </w:r>
      <w:r>
        <w:rPr>
          <w:rFonts w:hint="eastAsia"/>
          <w:b w:val="0"/>
          <w:bCs/>
          <w:sz w:val="28"/>
          <w:szCs w:val="28"/>
          <w:lang w:val="en-US" w:eastAsia="zh-CN"/>
        </w:rPr>
        <w:t>10</w:t>
      </w:r>
    </w:p>
    <w:p>
      <w:pPr>
        <w:pStyle w:val="13"/>
        <w:adjustRightInd w:val="0"/>
        <w:snapToGrid w:val="0"/>
        <w:spacing w:before="0" w:line="560" w:lineRule="exact"/>
        <w:jc w:val="left"/>
        <w:rPr>
          <w:rFonts w:hint="eastAsia" w:cs="Times New Roman"/>
          <w:b w:val="0"/>
          <w:bCs/>
          <w:kern w:val="2"/>
          <w:sz w:val="28"/>
          <w:szCs w:val="28"/>
          <w:lang w:val="en-US" w:eastAsia="zh-CN" w:bidi="ar-SA"/>
        </w:rPr>
      </w:pPr>
      <w:r>
        <w:rPr>
          <w:rFonts w:hint="eastAsia" w:ascii="Times New Roman" w:hAnsi="Times New Roman" w:eastAsia="黑体" w:cs="黑体"/>
        </w:rPr>
        <w:t>第三部分 名词解释</w:t>
      </w:r>
      <w:r>
        <w:rPr>
          <w:b w:val="0"/>
          <w:bCs/>
          <w:sz w:val="28"/>
          <w:szCs w:val="28"/>
        </w:rPr>
        <w:tab/>
      </w:r>
      <w:r>
        <w:rPr>
          <w:rFonts w:hint="eastAsia"/>
          <w:b w:val="0"/>
          <w:bCs/>
          <w:sz w:val="28"/>
          <w:szCs w:val="28"/>
          <w:lang w:val="en-US" w:eastAsia="zh-CN"/>
        </w:rPr>
        <w:t>12</w:t>
      </w:r>
    </w:p>
    <w:p>
      <w:pPr>
        <w:pStyle w:val="13"/>
        <w:adjustRightInd w:val="0"/>
        <w:snapToGrid w:val="0"/>
        <w:spacing w:before="0" w:line="560" w:lineRule="exact"/>
        <w:jc w:val="left"/>
        <w:rPr>
          <w:rFonts w:hint="eastAsia" w:cs="Times New Roman"/>
          <w:b w:val="0"/>
          <w:bCs/>
          <w:kern w:val="2"/>
          <w:sz w:val="28"/>
          <w:szCs w:val="28"/>
          <w:lang w:val="en-US" w:eastAsia="zh-CN" w:bidi="ar-SA"/>
        </w:rPr>
      </w:pPr>
      <w:r>
        <w:rPr>
          <w:rFonts w:hint="eastAsia" w:ascii="Times New Roman" w:hAnsi="Times New Roman" w:eastAsia="黑体" w:cs="黑体"/>
        </w:rPr>
        <w:t>第四部分 附件</w:t>
      </w:r>
      <w:r>
        <w:rPr>
          <w:b w:val="0"/>
          <w:bCs/>
          <w:sz w:val="28"/>
          <w:szCs w:val="28"/>
        </w:rPr>
        <w:tab/>
      </w:r>
      <w:r>
        <w:rPr>
          <w:rFonts w:hint="eastAsia" w:cs="Times New Roman"/>
          <w:b w:val="0"/>
          <w:bCs/>
          <w:kern w:val="2"/>
          <w:sz w:val="28"/>
          <w:szCs w:val="28"/>
          <w:lang w:val="en-US" w:eastAsia="zh-CN" w:bidi="ar-SA"/>
        </w:rPr>
        <w:t>15</w:t>
      </w:r>
    </w:p>
    <w:p>
      <w:pPr>
        <w:pStyle w:val="13"/>
        <w:adjustRightInd w:val="0"/>
        <w:snapToGrid w:val="0"/>
        <w:spacing w:before="0" w:line="560" w:lineRule="exact"/>
        <w:jc w:val="left"/>
        <w:rPr>
          <w:rFonts w:hint="eastAsia" w:ascii="仿宋" w:hAnsi="仿宋" w:eastAsia="仿宋" w:cs="Times New Roman"/>
          <w:b w:val="0"/>
          <w:bCs/>
          <w:kern w:val="2"/>
          <w:sz w:val="28"/>
          <w:szCs w:val="28"/>
          <w:lang w:val="en-US" w:eastAsia="zh-CN" w:bidi="ar-SA"/>
        </w:rPr>
      </w:pPr>
      <w:r>
        <w:rPr>
          <w:rFonts w:hint="eastAsia" w:ascii="Times New Roman" w:hAnsi="Times New Roman" w:eastAsia="黑体" w:cs="黑体"/>
        </w:rPr>
        <w:t>第五部分 附表</w:t>
      </w:r>
      <w:r>
        <w:rPr>
          <w:b w:val="0"/>
          <w:bCs/>
          <w:sz w:val="28"/>
          <w:szCs w:val="28"/>
        </w:rPr>
        <w:tab/>
      </w:r>
      <w:r>
        <w:rPr>
          <w:rFonts w:hint="eastAsia" w:cs="Times New Roman"/>
          <w:b w:val="0"/>
          <w:bCs/>
          <w:kern w:val="2"/>
          <w:sz w:val="28"/>
          <w:szCs w:val="28"/>
          <w:lang w:val="en-US" w:eastAsia="zh-CN" w:bidi="ar-SA"/>
        </w:rPr>
        <w:t>16</w:t>
      </w:r>
    </w:p>
    <w:p>
      <w:pPr>
        <w:pStyle w:val="14"/>
        <w:numPr>
          <w:ilvl w:val="0"/>
          <w:numId w:val="1"/>
        </w:numPr>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收入支出决算总表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numId w:val="0"/>
        </w:numPr>
        <w:adjustRightInd w:val="0"/>
        <w:snapToGrid w:val="0"/>
        <w:spacing w:line="560" w:lineRule="exact"/>
        <w:ind w:leftChars="200"/>
        <w:jc w:val="left"/>
        <w:rPr>
          <w:rFonts w:hint="eastAsia" w:ascii="仿宋" w:hAnsi="仿宋" w:eastAsia="仿宋" w:cs="Times New Roman"/>
          <w:b w:val="0"/>
          <w:bCs/>
          <w:kern w:val="2"/>
          <w:sz w:val="28"/>
          <w:szCs w:val="28"/>
          <w:lang w:val="en-US" w:eastAsia="zh-CN" w:bidi="ar-SA"/>
        </w:rPr>
        <w:sectPr>
          <w:footerReference r:id="rId9" w:type="first"/>
          <w:footerReference r:id="rId8" w:type="default"/>
          <w:pgSz w:w="11906" w:h="16838"/>
          <w:pgMar w:top="1440" w:right="1800" w:bottom="1440" w:left="1800" w:header="851" w:footer="992" w:gutter="0"/>
          <w:pgNumType w:fmt="numberInDash" w:start="1"/>
          <w:cols w:space="720" w:num="1"/>
          <w:titlePg/>
          <w:docGrid w:type="lines" w:linePitch="312" w:charSpace="0"/>
        </w:sectPr>
      </w:pPr>
      <w:r>
        <w:rPr>
          <w:rFonts w:hint="eastAsia" w:eastAsia="仿宋_GB2312" w:cs="仿宋_GB2312"/>
          <w:sz w:val="28"/>
          <w:szCs w:val="28"/>
          <w:lang w:val="en-US" w:eastAsia="zh-CN"/>
        </w:rPr>
        <w:t xml:space="preserve"> </w:t>
      </w:r>
      <w:r>
        <w:rPr>
          <w:rFonts w:hint="eastAsia" w:eastAsia="仿宋_GB2312" w:cs="仿宋_GB2312"/>
          <w:sz w:val="28"/>
          <w:szCs w:val="28"/>
        </w:rPr>
        <w:t>二、收入决算</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ilvl w:val="0"/>
          <w:numId w:val="2"/>
        </w:numPr>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numId w:val="0"/>
        </w:numPr>
        <w:adjustRightInd w:val="0"/>
        <w:snapToGrid w:val="0"/>
        <w:spacing w:line="560" w:lineRule="exact"/>
        <w:ind w:leftChars="200"/>
        <w:jc w:val="left"/>
        <w:rPr>
          <w:rFonts w:eastAsia="仿宋_GB2312" w:cs="仿宋_GB2312"/>
          <w:sz w:val="28"/>
          <w:szCs w:val="28"/>
          <w:lang w:val="en-US"/>
        </w:rPr>
      </w:pPr>
      <w:r>
        <w:rPr>
          <w:rFonts w:hint="eastAsia" w:eastAsia="仿宋_GB2312" w:cs="仿宋_GB2312"/>
          <w:sz w:val="28"/>
          <w:szCs w:val="28"/>
          <w:lang w:val="en-US" w:eastAsia="zh-CN"/>
        </w:rPr>
        <w:t xml:space="preserve"> </w:t>
      </w:r>
      <w:r>
        <w:rPr>
          <w:rFonts w:hint="eastAsia" w:eastAsia="仿宋_GB2312" w:cs="仿宋_GB2312"/>
          <w:sz w:val="28"/>
          <w:szCs w:val="28"/>
        </w:rPr>
        <w:t>四、财政拨款收入支出决算总表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ilvl w:val="0"/>
          <w:numId w:val="3"/>
        </w:numPr>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财政拨款支出决算明细表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numId w:val="0"/>
        </w:numPr>
        <w:adjustRightInd w:val="0"/>
        <w:snapToGrid w:val="0"/>
        <w:spacing w:line="560" w:lineRule="exact"/>
        <w:ind w:leftChars="200"/>
        <w:jc w:val="left"/>
        <w:rPr>
          <w:rFonts w:eastAsia="仿宋_GB2312" w:cs="仿宋_GB2312"/>
          <w:sz w:val="28"/>
          <w:szCs w:val="28"/>
        </w:rPr>
      </w:pPr>
      <w:r>
        <w:rPr>
          <w:rFonts w:hint="eastAsia" w:eastAsia="仿宋_GB2312" w:cs="仿宋_GB2312"/>
          <w:sz w:val="28"/>
          <w:szCs w:val="28"/>
          <w:lang w:val="en-US" w:eastAsia="zh-CN"/>
        </w:rPr>
        <w:t xml:space="preserve"> </w:t>
      </w:r>
      <w:r>
        <w:rPr>
          <w:rFonts w:hint="eastAsia" w:eastAsia="仿宋_GB2312" w:cs="仿宋_GB2312"/>
          <w:sz w:val="28"/>
          <w:szCs w:val="28"/>
        </w:rPr>
        <w:t>六、一般公共预算财政拨款支出决算表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ilvl w:val="0"/>
          <w:numId w:val="4"/>
        </w:numPr>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一般公共预算财政拨款支出决算明细表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numId w:val="0"/>
        </w:numPr>
        <w:adjustRightInd w:val="0"/>
        <w:snapToGrid w:val="0"/>
        <w:spacing w:line="560" w:lineRule="exact"/>
        <w:ind w:left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lang w:val="en-US" w:eastAsia="zh-CN"/>
        </w:rPr>
        <w:t xml:space="preserve"> </w:t>
      </w:r>
      <w:r>
        <w:rPr>
          <w:rFonts w:hint="eastAsia" w:eastAsia="仿宋_GB2312" w:cs="仿宋_GB2312"/>
          <w:sz w:val="28"/>
          <w:szCs w:val="28"/>
        </w:rPr>
        <w:t>八、一般公共预算财政拨款基本支出决算明细表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ilvl w:val="0"/>
          <w:numId w:val="5"/>
        </w:numPr>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一般公共预算财政拨款项目支出决算表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numPr>
          <w:numId w:val="0"/>
        </w:numPr>
        <w:adjustRightInd w:val="0"/>
        <w:snapToGrid w:val="0"/>
        <w:spacing w:line="560" w:lineRule="exact"/>
        <w:ind w:leftChars="200"/>
        <w:jc w:val="left"/>
        <w:rPr>
          <w:rFonts w:eastAsia="仿宋_GB2312" w:cs="仿宋_GB2312"/>
          <w:sz w:val="28"/>
          <w:szCs w:val="28"/>
          <w:lang w:val="en-US"/>
        </w:rPr>
      </w:pPr>
      <w:r>
        <w:rPr>
          <w:rFonts w:hint="eastAsia" w:eastAsia="仿宋_GB2312" w:cs="仿宋_GB2312"/>
          <w:sz w:val="28"/>
          <w:szCs w:val="28"/>
          <w:lang w:val="en-US" w:eastAsia="zh-CN"/>
        </w:rPr>
        <w:t xml:space="preserve"> </w:t>
      </w:r>
      <w:r>
        <w:rPr>
          <w:rFonts w:hint="eastAsia" w:eastAsia="仿宋_GB2312" w:cs="仿宋_GB2312"/>
          <w:sz w:val="28"/>
          <w:szCs w:val="28"/>
        </w:rPr>
        <w:t>十、政府性基金预算财政拨款收入支出决算表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十一、国有资本经营预算财政拨款收入支出决算表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pPr>
      <w:r>
        <w:rPr>
          <w:rFonts w:hint="eastAsia" w:eastAsia="仿宋_GB2312" w:cs="仿宋_GB2312"/>
          <w:sz w:val="28"/>
          <w:szCs w:val="28"/>
        </w:rPr>
        <w:t>十二、国有资本经营预算财政拨款支出决算表</w:t>
      </w:r>
      <w:r>
        <w:rPr>
          <w:b w:val="0"/>
          <w:bCs/>
          <w:sz w:val="28"/>
          <w:szCs w:val="28"/>
        </w:rPr>
        <w:tab/>
      </w:r>
      <w:r>
        <w:rPr>
          <w:rFonts w:hint="eastAsia" w:ascii="仿宋" w:hAnsi="仿宋" w:eastAsia="仿宋" w:cs="Times New Roman"/>
          <w:b w:val="0"/>
          <w:bCs/>
          <w:kern w:val="2"/>
          <w:sz w:val="28"/>
          <w:szCs w:val="28"/>
          <w:lang w:val="en-US" w:eastAsia="zh-CN" w:bidi="ar-SA"/>
        </w:rPr>
        <w:t>16</w:t>
      </w:r>
    </w:p>
    <w:p>
      <w:pPr>
        <w:pStyle w:val="14"/>
        <w:adjustRightInd w:val="0"/>
        <w:snapToGrid w:val="0"/>
        <w:spacing w:line="560" w:lineRule="exact"/>
        <w:ind w:left="0" w:leftChars="0" w:firstLine="560" w:firstLineChars="200"/>
        <w:jc w:val="left"/>
        <w:rPr>
          <w:rFonts w:hint="eastAsia" w:ascii="仿宋" w:hAnsi="仿宋" w:eastAsia="仿宋" w:cs="Times New Roman"/>
          <w:b w:val="0"/>
          <w:bCs/>
          <w:kern w:val="2"/>
          <w:sz w:val="28"/>
          <w:szCs w:val="28"/>
          <w:lang w:val="en-US" w:eastAsia="zh-CN" w:bidi="ar-SA"/>
        </w:rPr>
        <w:sectPr>
          <w:footerReference r:id="rId11" w:type="first"/>
          <w:footerReference r:id="rId10" w:type="default"/>
          <w:pgSz w:w="11906" w:h="16838"/>
          <w:pgMar w:top="1440" w:right="1800" w:bottom="1440" w:left="1800" w:header="851" w:footer="992" w:gutter="0"/>
          <w:pgNumType w:fmt="numberInDash" w:start="1"/>
          <w:cols w:space="720" w:num="1"/>
          <w:docGrid w:type="lines" w:linePitch="312" w:charSpace="0"/>
        </w:sectPr>
      </w:pPr>
      <w:r>
        <w:rPr>
          <w:rFonts w:hint="eastAsia" w:eastAsia="仿宋_GB2312" w:cs="仿宋_GB2312"/>
          <w:sz w:val="28"/>
          <w:szCs w:val="28"/>
        </w:rPr>
        <w:t>十三、财政拨款“三公”经费支出决算表</w:t>
      </w:r>
      <w:r>
        <w:rPr>
          <w:b w:val="0"/>
          <w:bCs/>
          <w:sz w:val="28"/>
          <w:szCs w:val="28"/>
        </w:rPr>
        <w:tab/>
      </w:r>
      <w:r>
        <w:rPr>
          <w:rFonts w:hint="eastAsia" w:ascii="仿宋" w:hAnsi="仿宋" w:eastAsia="仿宋" w:cs="Times New Roman"/>
          <w:b w:val="0"/>
          <w:bCs/>
          <w:kern w:val="2"/>
          <w:sz w:val="28"/>
          <w:szCs w:val="28"/>
          <w:lang w:val="en-US" w:eastAsia="zh-CN" w:bidi="ar-SA"/>
        </w:rPr>
        <w:t>1</w:t>
      </w:r>
      <w:bookmarkStart w:id="6" w:name="_Toc15396599"/>
      <w:bookmarkStart w:id="7" w:name="_Toc15377196"/>
      <w:r>
        <w:rPr>
          <w:rFonts w:hint="eastAsia" w:ascii="仿宋" w:hAnsi="仿宋" w:eastAsia="仿宋" w:cs="Times New Roman"/>
          <w:b w:val="0"/>
          <w:bCs/>
          <w:kern w:val="2"/>
          <w:sz w:val="28"/>
          <w:szCs w:val="28"/>
          <w:lang w:val="en-US" w:eastAsia="zh-CN" w:bidi="ar-SA"/>
        </w:rPr>
        <w:t>6</w:t>
      </w:r>
    </w:p>
    <w:p>
      <w:pPr>
        <w:pStyle w:val="5"/>
        <w:jc w:val="center"/>
        <w:rPr>
          <w:rStyle w:val="31"/>
          <w:rFonts w:eastAsia="方正小标宋简体" w:cs="方正小标宋简体"/>
          <w:b/>
          <w:bCs w:val="0"/>
        </w:rPr>
      </w:pPr>
      <w:r>
        <w:rPr>
          <w:rFonts w:hint="eastAsia" w:eastAsia="方正小标宋简体" w:cs="方正小标宋简体"/>
          <w:b w:val="0"/>
        </w:rPr>
        <w:t xml:space="preserve">第一部分  </w:t>
      </w:r>
      <w:r>
        <w:rPr>
          <w:rStyle w:val="31"/>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6"/>
        <w:numPr>
          <w:numId w:val="0"/>
        </w:numPr>
        <w:rPr>
          <w:rFonts w:hint="eastAsia" w:ascii="Times New Roman" w:hAnsi="Times New Roman" w:eastAsia="黑体"/>
          <w:b w:val="0"/>
        </w:rPr>
      </w:pPr>
      <w:r>
        <w:rPr>
          <w:rFonts w:hint="eastAsia" w:ascii="Times New Roman" w:hAnsi="Times New Roman" w:eastAsia="黑体"/>
          <w:b w:val="0"/>
          <w:lang w:val="en-US" w:eastAsia="zh-CN"/>
        </w:rPr>
        <w:t xml:space="preserve">    一、</w:t>
      </w:r>
      <w:r>
        <w:rPr>
          <w:rFonts w:hint="eastAsia" w:ascii="Times New Roman" w:hAnsi="Times New Roman" w:eastAsia="黑体"/>
          <w:b w:val="0"/>
        </w:rPr>
        <w:t>主要职责</w:t>
      </w:r>
    </w:p>
    <w:p>
      <w:pPr>
        <w:pStyle w:val="6"/>
        <w:numPr>
          <w:numId w:val="0"/>
        </w:numPr>
      </w:pPr>
      <w:r>
        <w:rPr>
          <w:rStyle w:val="35"/>
          <w:rFonts w:hint="eastAsia" w:ascii="黑体" w:hAnsi="黑体" w:eastAsia="黑体"/>
          <w:b w:val="0"/>
          <w:bCs w:val="0"/>
          <w:lang w:val="en-US" w:eastAsia="zh-CN"/>
        </w:rPr>
        <w:t xml:space="preserve">   </w:t>
      </w:r>
      <w:r>
        <w:rPr>
          <w:rFonts w:hint="eastAsia" w:ascii="仿宋_GB2312" w:hAnsi="仿宋_GB2312" w:eastAsia="仿宋_GB2312" w:cs="仿宋_GB2312"/>
          <w:b w:val="0"/>
          <w:bCs w:val="0"/>
          <w:kern w:val="2"/>
          <w:sz w:val="32"/>
          <w:szCs w:val="32"/>
          <w:lang w:val="en-US" w:eastAsia="zh-CN" w:bidi="ar-SA"/>
        </w:rPr>
        <w:t>盐边县第二人民医院是集医疗、公共卫生、综合临床、预防保健和健康教育为一体的国家二级乙等综合医院，是城镇职工、城乡居民、工伤及生育医疗保险定点医疗机构。承担着红格片区急诊急救工作，肩负着全镇及邻近辖区近6万人的医疗重任。</w:t>
      </w:r>
    </w:p>
    <w:p>
      <w:pPr>
        <w:numPr>
          <w:numId w:val="0"/>
        </w:numPr>
      </w:pPr>
    </w:p>
    <w:p>
      <w:pPr>
        <w:pStyle w:val="6"/>
        <w:numPr>
          <w:numId w:val="0"/>
        </w:numPr>
        <w:rPr>
          <w:rFonts w:hint="eastAsia" w:ascii="仿宋_GB2312" w:hAnsi="仿宋_GB2312" w:eastAsia="仿宋_GB2312" w:cs="仿宋_GB2312"/>
          <w:b w:val="0"/>
          <w:bCs w:val="0"/>
          <w:kern w:val="2"/>
          <w:sz w:val="32"/>
          <w:szCs w:val="32"/>
          <w:lang w:val="en-US" w:eastAsia="zh-CN" w:bidi="ar-SA"/>
        </w:rPr>
      </w:pPr>
      <w:bookmarkStart w:id="8" w:name="_Toc15377200"/>
      <w:bookmarkStart w:id="9" w:name="_Toc15396601"/>
      <w:r>
        <w:rPr>
          <w:rFonts w:hint="eastAsia" w:ascii="Times New Roman" w:hAnsi="Times New Roman" w:eastAsia="黑体"/>
          <w:b w:val="0"/>
          <w:lang w:val="en-US" w:eastAsia="zh-CN"/>
        </w:rPr>
        <w:t xml:space="preserve">    二、</w:t>
      </w:r>
      <w:r>
        <w:rPr>
          <w:rFonts w:hint="eastAsia" w:ascii="Times New Roman" w:hAnsi="Times New Roman" w:eastAsia="黑体"/>
          <w:b w:val="0"/>
        </w:rPr>
        <w:t>机</w:t>
      </w:r>
      <w:r>
        <w:rPr>
          <w:rStyle w:val="32"/>
          <w:rFonts w:hint="eastAsia" w:ascii="Times New Roman" w:hAnsi="Times New Roman" w:eastAsia="黑体"/>
          <w:b w:val="0"/>
          <w:bCs w:val="0"/>
        </w:rPr>
        <w:t>构设置</w:t>
      </w:r>
      <w:bookmarkEnd w:id="8"/>
      <w:bookmarkEnd w:id="9"/>
    </w:p>
    <w:p>
      <w:pPr>
        <w:pStyle w:val="6"/>
        <w:numPr>
          <w:numId w:val="0"/>
        </w:numPr>
        <w:rPr>
          <w:rFonts w:hint="eastAsia" w:ascii="仿宋_GB2312" w:hAnsi="仿宋_GB2312" w:eastAsia="仿宋_GB2312" w:cs="仿宋_GB2312"/>
          <w:b w:val="0"/>
          <w:bCs w:val="0"/>
          <w:kern w:val="2"/>
          <w:sz w:val="32"/>
          <w:szCs w:val="32"/>
          <w:lang w:val="en-US" w:eastAsia="zh-CN" w:bidi="ar-SA"/>
        </w:rPr>
      </w:pPr>
      <w:r>
        <w:rPr>
          <w:rStyle w:val="32"/>
          <w:rFonts w:hint="eastAsia" w:ascii="Times New Roman" w:hAnsi="Times New Roman" w:eastAsia="黑体"/>
          <w:b w:val="0"/>
          <w:bCs w:val="0"/>
          <w:lang w:val="en-US" w:eastAsia="zh-CN"/>
        </w:rPr>
        <w:t xml:space="preserve">    </w:t>
      </w:r>
      <w:r>
        <w:rPr>
          <w:rFonts w:hint="eastAsia" w:ascii="仿宋_GB2312" w:hAnsi="仿宋_GB2312" w:eastAsia="仿宋_GB2312" w:cs="仿宋_GB2312"/>
          <w:b w:val="0"/>
          <w:bCs w:val="0"/>
          <w:kern w:val="2"/>
          <w:sz w:val="32"/>
          <w:szCs w:val="32"/>
          <w:lang w:val="en-US" w:eastAsia="zh-CN" w:bidi="ar-SA"/>
        </w:rPr>
        <w:t>单位下设内儿科、外科、妇产科、急诊科、口腔科、五官科、中医科、体检科等临床服务科室8个，设特检科、放射科、检验科等医疗技术科室3个，设药剂科、收费室、手供室、公共卫生科等医疗辅助类科室5个以及行政后勤职能部门。</w:t>
      </w:r>
    </w:p>
    <w:p>
      <w:pPr>
        <w:ind w:firstLine="800" w:firstLineChars="250"/>
        <w:rPr>
          <w:rFonts w:eastAsia="仿宋_GB2312" w:cs="仿宋_GB2312"/>
          <w:sz w:val="32"/>
          <w:szCs w:val="32"/>
        </w:rPr>
      </w:pPr>
    </w:p>
    <w:p>
      <w:pPr>
        <w:pStyle w:val="2"/>
      </w:pPr>
    </w:p>
    <w:p>
      <w:pPr>
        <w:pStyle w:val="5"/>
        <w:jc w:val="center"/>
        <w:rPr>
          <w:rFonts w:hint="eastAsia"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p>
      <w:pPr>
        <w:pStyle w:val="21"/>
        <w:spacing w:line="600" w:lineRule="exact"/>
        <w:ind w:firstLine="640"/>
        <w:outlineLvl w:val="1"/>
        <w:rPr>
          <w:rStyle w:val="32"/>
          <w:rFonts w:ascii="Times New Roman" w:hAnsi="Times New Roman" w:eastAsia="黑体"/>
          <w:b w:val="0"/>
        </w:rPr>
      </w:pPr>
      <w:bookmarkStart w:id="12" w:name="_Toc15377205"/>
      <w:bookmarkStart w:id="13" w:name="_Toc15396603"/>
      <w:r>
        <w:rPr>
          <w:rFonts w:hint="eastAsia" w:eastAsia="黑体"/>
          <w:sz w:val="32"/>
          <w:szCs w:val="32"/>
        </w:rPr>
        <w:t>一、收</w:t>
      </w:r>
      <w:r>
        <w:rPr>
          <w:rStyle w:val="32"/>
          <w:rFonts w:hint="eastAsia" w:ascii="Times New Roman" w:hAnsi="Times New Roman" w:eastAsia="黑体"/>
          <w:b w:val="0"/>
        </w:rPr>
        <w:t>入支出决算总体情况说明</w:t>
      </w:r>
      <w:bookmarkEnd w:id="12"/>
      <w:bookmarkEnd w:id="13"/>
    </w:p>
    <w:p>
      <w:pPr>
        <w:pStyle w:val="21"/>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2536.74</w:t>
      </w:r>
      <w:r>
        <w:rPr>
          <w:rFonts w:hint="eastAsia" w:eastAsia="仿宋_GB2312" w:cs="仿宋_GB2312"/>
          <w:sz w:val="32"/>
          <w:szCs w:val="32"/>
        </w:rPr>
        <w:t>万元。与2023年度</w:t>
      </w:r>
      <w:r>
        <w:rPr>
          <w:rFonts w:hint="eastAsia" w:eastAsia="仿宋_GB2312" w:cs="仿宋_GB2312"/>
          <w:sz w:val="32"/>
          <w:szCs w:val="32"/>
          <w:lang w:val="en-US" w:eastAsia="zh-CN"/>
        </w:rPr>
        <w:t>2667.88万元</w:t>
      </w:r>
      <w:r>
        <w:rPr>
          <w:rFonts w:hint="eastAsia" w:eastAsia="仿宋_GB2312" w:cs="仿宋_GB2312"/>
          <w:sz w:val="32"/>
          <w:szCs w:val="32"/>
        </w:rPr>
        <w:t>相比，收入、支出总计各增加/减少</w:t>
      </w:r>
      <w:r>
        <w:rPr>
          <w:rFonts w:hint="eastAsia" w:eastAsia="仿宋_GB2312" w:cs="仿宋_GB2312"/>
          <w:sz w:val="32"/>
          <w:szCs w:val="32"/>
          <w:lang w:val="en-US" w:eastAsia="zh-CN"/>
        </w:rPr>
        <w:t>131.14</w:t>
      </w:r>
      <w:r>
        <w:rPr>
          <w:rFonts w:hint="eastAsia" w:eastAsia="仿宋_GB2312" w:cs="仿宋_GB2312"/>
          <w:sz w:val="32"/>
          <w:szCs w:val="32"/>
        </w:rPr>
        <w:t>万元，增长/下降</w:t>
      </w:r>
      <w:r>
        <w:rPr>
          <w:rFonts w:hint="eastAsia" w:eastAsia="仿宋_GB2312" w:cs="仿宋_GB2312"/>
          <w:sz w:val="32"/>
          <w:szCs w:val="32"/>
          <w:lang w:val="en-US" w:eastAsia="zh-CN"/>
        </w:rPr>
        <w:t>4.92</w:t>
      </w:r>
      <w:r>
        <w:rPr>
          <w:rFonts w:hint="eastAsia" w:eastAsia="仿宋_GB2312" w:cs="仿宋_GB2312"/>
          <w:sz w:val="32"/>
          <w:szCs w:val="32"/>
        </w:rPr>
        <w:t>%。</w:t>
      </w:r>
      <w:r>
        <w:rPr>
          <w:rFonts w:hint="eastAsia" w:eastAsia="仿宋_GB2312" w:cs="仿宋_GB2312"/>
          <w:sz w:val="32"/>
          <w:szCs w:val="32"/>
          <w:lang w:val="en-US" w:eastAsia="zh-CN"/>
        </w:rPr>
        <w:t>主要变动的原因是2024年财政拨款收入中项目拨款收入、支出减少，2023年财政项目拨中有医务人员核增一次性绩效及一线医务人员临时补助，2024年无该项目资金。</w:t>
      </w:r>
    </w:p>
    <w:p>
      <w:pPr>
        <w:pStyle w:val="21"/>
        <w:spacing w:line="600" w:lineRule="exact"/>
        <w:ind w:firstLine="640"/>
        <w:outlineLvl w:val="1"/>
        <w:rPr>
          <w:rFonts w:hint="eastAsia" w:eastAsia="仿宋_GB2312" w:cs="仿宋_GB2312"/>
          <w:sz w:val="32"/>
          <w:szCs w:val="32"/>
        </w:rPr>
      </w:pPr>
    </w:p>
    <w:p>
      <w:pPr>
        <w:spacing w:line="600" w:lineRule="exact"/>
        <w:ind w:firstLine="640" w:firstLineChars="200"/>
        <w:rPr>
          <w:rFonts w:hint="eastAsia" w:ascii="仿宋_GB2312" w:eastAsia="仿宋_GB2312"/>
          <w:sz w:val="24"/>
          <w:szCs w:val="24"/>
          <w:lang w:val="en-US" w:eastAsia="zh-CN"/>
        </w:rPr>
      </w:pPr>
      <w:r>
        <w:rPr>
          <w:rFonts w:hint="eastAsia" w:ascii="仿宋_GB2312" w:eastAsia="仿宋_GB2312"/>
          <w:sz w:val="32"/>
          <w:szCs w:val="32"/>
          <w:lang w:val="en-US" w:eastAsia="zh-CN"/>
        </w:rPr>
        <w:t xml:space="preserve">                                     </w:t>
      </w:r>
      <w:r>
        <w:rPr>
          <w:rFonts w:hint="eastAsia" w:ascii="仿宋_GB2312" w:eastAsia="仿宋_GB2312"/>
          <w:sz w:val="24"/>
          <w:szCs w:val="24"/>
          <w:lang w:val="en-US" w:eastAsia="zh-CN"/>
        </w:rPr>
        <w:t xml:space="preserve"> 单位：万元</w:t>
      </w:r>
    </w:p>
    <w:p>
      <w:pPr>
        <w:jc w:val="center"/>
        <w:rPr>
          <w:rFonts w:hint="eastAsia" w:ascii="仿宋_GB2312" w:eastAsia="仿宋_GB2312" w:cs="Times New Roman"/>
          <w:kern w:val="0"/>
          <w:sz w:val="30"/>
          <w:szCs w:val="24"/>
          <w:lang w:val="en-US" w:eastAsia="zh-CN" w:bidi="ar-SA"/>
        </w:rPr>
      </w:pPr>
      <w:r>
        <w:rPr>
          <w:rFonts w:hint="eastAsia" w:ascii="仿宋_GB2312" w:hAnsi="Times New Roman" w:eastAsia="仿宋_GB2312" w:cs="Times New Roman"/>
          <w:kern w:val="0"/>
          <w:sz w:val="30"/>
          <w:szCs w:val="24"/>
          <w:lang w:val="en-US" w:eastAsia="zh-CN" w:bidi="ar-SA"/>
        </w:rPr>
        <w:object>
          <v:shape id="Picture 1" type="#_x0000_t75" style="height:230.6pt;width:430.05pt;rotation:0f;" o:ole="t"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o:OLEObject Type="Embed" ProgID="Excel.Chart.8" ShapeID="Picture 1" DrawAspect="Content" ObjectID="_3" r:id="rId14"/>
        </w:object>
      </w:r>
      <w:r>
        <w:rPr>
          <w:rFonts w:hint="eastAsia" w:ascii="仿宋_GB2312" w:eastAsia="仿宋_GB2312" w:cs="Times New Roman"/>
          <w:kern w:val="0"/>
          <w:sz w:val="30"/>
          <w:szCs w:val="24"/>
          <w:lang w:val="en-US" w:eastAsia="zh-CN" w:bidi="ar-SA"/>
        </w:rPr>
        <w:t>（图1：收、支决算总计变动情况图）</w:t>
      </w:r>
    </w:p>
    <w:p>
      <w:pPr>
        <w:pStyle w:val="2"/>
        <w:rPr>
          <w:rFonts w:hint="eastAsia" w:ascii="仿宋_GB2312" w:hAnsi="仿宋_GB2312" w:eastAsia="仿宋_GB2312" w:cs="仿宋_GB2312"/>
          <w:sz w:val="32"/>
          <w:szCs w:val="32"/>
        </w:rPr>
      </w:pPr>
    </w:p>
    <w:p>
      <w:pPr>
        <w:pStyle w:val="21"/>
        <w:spacing w:line="600" w:lineRule="exact"/>
        <w:ind w:left="0" w:leftChars="0" w:firstLine="0" w:firstLineChars="0"/>
        <w:outlineLvl w:val="1"/>
        <w:rPr>
          <w:rFonts w:eastAsia="黑体"/>
          <w:sz w:val="32"/>
          <w:szCs w:val="32"/>
          <w:highlight w:val="none"/>
        </w:rPr>
      </w:pPr>
      <w:bookmarkStart w:id="14" w:name="_Toc15377206"/>
      <w:bookmarkStart w:id="15" w:name="_Toc15396604"/>
      <w:r>
        <w:rPr>
          <w:rFonts w:hint="eastAsia" w:eastAsia="黑体"/>
          <w:sz w:val="32"/>
          <w:szCs w:val="32"/>
          <w:highlight w:val="none"/>
          <w:lang w:val="en-US" w:eastAsia="zh-CN"/>
        </w:rPr>
        <w:t xml:space="preserve">    </w:t>
      </w:r>
      <w:r>
        <w:rPr>
          <w:rFonts w:hint="eastAsia" w:eastAsia="黑体"/>
          <w:sz w:val="32"/>
          <w:szCs w:val="32"/>
          <w:highlight w:val="none"/>
        </w:rPr>
        <w:t>二、收入决算情况说明</w:t>
      </w:r>
      <w:bookmarkEnd w:id="14"/>
      <w:bookmarkEnd w:id="15"/>
    </w:p>
    <w:p>
      <w:pPr>
        <w:pStyle w:val="21"/>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2509.02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730.41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29.11</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1776.45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70.80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w:t>
      </w:r>
    </w:p>
    <w:p>
      <w:pPr>
        <w:pStyle w:val="21"/>
        <w:spacing w:line="600" w:lineRule="exact"/>
        <w:ind w:firstLine="640"/>
        <w:jc w:val="right"/>
        <w:outlineLvl w:val="1"/>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单位：万元</w:t>
      </w:r>
    </w:p>
    <w:p>
      <w:pPr>
        <w:pStyle w:val="21"/>
        <w:spacing w:line="600" w:lineRule="exact"/>
        <w:ind w:firstLine="640"/>
        <w:jc w:val="center"/>
        <w:outlineLvl w:val="1"/>
        <w:rPr>
          <w:rFonts w:hint="eastAsia"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片 11" type="#_x0000_t75" style="position:absolute;left:0;margin-left:-6.6pt;margin-top:10.45pt;height:262pt;width:416.45pt;mso-wrap-distance-bottom:0pt;mso-wrap-distance-left:9pt;mso-wrap-distance-right:9pt;mso-wrap-distance-top:0pt;rotation:0f;z-index:251658240;" o:ole="t" fillcolor="#FFFFFF" filled="f" o:preferrelative="t" stroked="f" coordorigin="0,0" coordsize="21600,21600">
            <v:fill on="f" color2="#FFFFFF" focus="0%"/>
            <v:imagedata gain="65536f" blacklevel="0f" gamma="0" o:title="" r:id="rId17"/>
            <o:lock v:ext="edit" position="f" selection="f" grouping="f" rotation="f" cropping="f" text="f" aspectratio="t"/>
            <w10:wrap type="square"/>
          </v:shape>
          <o:OLEObject Type="Embed" ProgID="Excel.Chart.8" ShapeID="图片 11" DrawAspect="Content" ObjectID="_4" r:id="rId16"/>
        </w:pict>
      </w:r>
      <w:r>
        <w:rPr>
          <w:rFonts w:hint="eastAsia" w:eastAsia="仿宋_GB2312" w:cs="仿宋_GB2312"/>
          <w:sz w:val="32"/>
          <w:szCs w:val="32"/>
        </w:rPr>
        <w:t>（图2：收入决算结构图）</w:t>
      </w:r>
    </w:p>
    <w:p>
      <w:pPr>
        <w:pStyle w:val="2"/>
        <w:rPr>
          <w:rFonts w:hint="eastAsia" w:ascii="仿宋_GB2312" w:hAnsi="仿宋_GB2312" w:eastAsia="仿宋_GB2312" w:cs="仿宋_GB2312"/>
          <w:sz w:val="32"/>
          <w:szCs w:val="32"/>
        </w:rPr>
      </w:pPr>
    </w:p>
    <w:p>
      <w:pPr>
        <w:pStyle w:val="21"/>
        <w:spacing w:line="600" w:lineRule="exact"/>
        <w:ind w:left="0" w:leftChars="0" w:firstLine="0" w:firstLineChars="0"/>
        <w:outlineLvl w:val="1"/>
        <w:rPr>
          <w:rStyle w:val="32"/>
          <w:rFonts w:ascii="Times New Roman" w:hAnsi="Times New Roman" w:eastAsia="黑体"/>
          <w:b w:val="0"/>
        </w:rPr>
      </w:pPr>
      <w:bookmarkStart w:id="16" w:name="_Toc15396605"/>
      <w:bookmarkStart w:id="17" w:name="_Toc15377207"/>
      <w:r>
        <w:rPr>
          <w:rFonts w:hint="eastAsia" w:eastAsia="黑体"/>
          <w:sz w:val="32"/>
          <w:szCs w:val="32"/>
          <w:lang w:val="en-US" w:eastAsia="zh-CN"/>
        </w:rPr>
        <w:t xml:space="preserve">    </w:t>
      </w:r>
      <w:r>
        <w:rPr>
          <w:rFonts w:hint="eastAsia" w:eastAsia="黑体"/>
          <w:sz w:val="32"/>
          <w:szCs w:val="32"/>
        </w:rPr>
        <w:t>三、支</w:t>
      </w:r>
      <w:r>
        <w:rPr>
          <w:rStyle w:val="32"/>
          <w:rFonts w:hint="eastAsia" w:ascii="Times New Roman" w:hAnsi="Times New Roman" w:eastAsia="黑体"/>
          <w:b w:val="0"/>
        </w:rPr>
        <w:t>出决算情况说明</w:t>
      </w:r>
      <w:bookmarkEnd w:id="16"/>
      <w:bookmarkEnd w:id="17"/>
    </w:p>
    <w:p>
      <w:pPr>
        <w:pStyle w:val="21"/>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2536.74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2487.61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98.06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49.13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1"/>
        <w:spacing w:line="600" w:lineRule="exact"/>
        <w:ind w:firstLine="640"/>
        <w:jc w:val="righ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lang w:val="en-US" w:eastAsia="zh-CN"/>
        </w:rPr>
        <w:t>单位：万元</w:t>
      </w:r>
    </w:p>
    <w:p>
      <w:pPr>
        <w:pStyle w:val="21"/>
        <w:spacing w:line="600" w:lineRule="exact"/>
        <w:ind w:left="0" w:leftChars="0" w:firstLine="0" w:firstLineChars="0"/>
        <w:jc w:val="center"/>
        <w:outlineLvl w:val="1"/>
        <w:rPr>
          <w:rFonts w:hint="eastAsia" w:ascii="仿宋" w:hAnsi="仿宋" w:eastAsia="仿宋"/>
          <w:sz w:val="32"/>
          <w:szCs w:val="32"/>
        </w:rPr>
      </w:pPr>
      <w:r>
        <w:rPr>
          <w:rFonts w:hint="eastAsia" w:ascii="仿宋_GB2312" w:hAnsi="仿宋_GB2312" w:eastAsia="仿宋_GB2312" w:cs="仿宋_GB2312"/>
          <w:kern w:val="2"/>
          <w:sz w:val="24"/>
          <w:szCs w:val="24"/>
          <w:lang w:val="en-US" w:eastAsia="zh-CN" w:bidi="ar-SA"/>
        </w:rPr>
        <w:pict>
          <v:shape id="图片 14" type="#_x0000_t75" style="position:absolute;left:0;margin-left:-2.65pt;margin-top:17pt;height:215pt;width:415.55pt;mso-wrap-distance-bottom:0pt;mso-wrap-distance-left:9pt;mso-wrap-distance-right:9pt;mso-wrap-distance-top:0pt;rotation:0f;z-index:251660288;" o:ole="t" fillcolor="#FFFFFF" filled="f" o:preferrelative="t" stroked="f" coordorigin="0,0" coordsize="21600,21600">
            <v:fill on="f" color2="#FFFFFF" focus="0%"/>
            <v:imagedata gain="65536f" blacklevel="0f" gamma="0" o:title="" r:id="rId19"/>
            <o:lock v:ext="edit" position="f" selection="f" grouping="f" rotation="f" cropping="f" text="f" aspectratio="t"/>
            <w10:wrap type="square"/>
          </v:shape>
          <o:OLEObject Type="Embed" ProgID="Excel.Chart.8" ShapeID="图片 14" DrawAspect="Content" ObjectID="_5" r:id="rId18"/>
        </w:pict>
      </w:r>
      <w:bookmarkStart w:id="18" w:name="_Toc15396606"/>
      <w:bookmarkStart w:id="19" w:name="_Toc15377208"/>
      <w:r>
        <w:rPr>
          <w:rFonts w:hint="eastAsia" w:ascii="仿宋" w:hAnsi="仿宋" w:eastAsia="仿宋"/>
          <w:sz w:val="32"/>
          <w:szCs w:val="32"/>
        </w:rPr>
        <w:t>（图3：支出决算结构图）</w:t>
      </w:r>
    </w:p>
    <w:p>
      <w:pPr>
        <w:pStyle w:val="21"/>
        <w:spacing w:line="600" w:lineRule="exact"/>
        <w:ind w:left="0" w:leftChars="0" w:firstLine="0" w:firstLineChars="0"/>
        <w:jc w:val="center"/>
        <w:outlineLvl w:val="1"/>
        <w:rPr>
          <w:rFonts w:hint="eastAsia" w:ascii="仿宋" w:hAnsi="仿宋" w:eastAsia="仿宋"/>
          <w:sz w:val="32"/>
          <w:szCs w:val="32"/>
        </w:rPr>
      </w:pPr>
    </w:p>
    <w:p>
      <w:pPr>
        <w:spacing w:line="600" w:lineRule="exact"/>
        <w:ind w:firstLine="640" w:firstLineChars="200"/>
        <w:outlineLvl w:val="1"/>
        <w:rPr>
          <w:rStyle w:val="32"/>
          <w:rFonts w:ascii="Times New Roman" w:hAnsi="Times New Roman" w:eastAsia="黑体"/>
          <w:b w:val="0"/>
        </w:rPr>
      </w:pPr>
      <w:r>
        <w:rPr>
          <w:rFonts w:hint="eastAsia" w:eastAsia="黑体"/>
          <w:sz w:val="32"/>
          <w:szCs w:val="32"/>
        </w:rPr>
        <w:t>四、财</w:t>
      </w:r>
      <w:r>
        <w:rPr>
          <w:rStyle w:val="32"/>
          <w:rFonts w:hint="eastAsia" w:ascii="Times New Roman" w:hAnsi="Times New Roman" w:eastAsia="黑体"/>
          <w:b w:val="0"/>
        </w:rPr>
        <w:t>政拨款收入支出决算总体情况说明</w:t>
      </w:r>
      <w:bookmarkEnd w:id="18"/>
      <w:bookmarkEnd w:id="19"/>
    </w:p>
    <w:p>
      <w:pPr>
        <w:pStyle w:val="21"/>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730.41</w:t>
      </w:r>
      <w:r>
        <w:rPr>
          <w:rFonts w:hint="eastAsia" w:eastAsia="仿宋_GB2312" w:cs="仿宋_GB2312"/>
          <w:sz w:val="32"/>
          <w:szCs w:val="32"/>
        </w:rPr>
        <w:t>万元。与2023年度</w:t>
      </w:r>
      <w:r>
        <w:rPr>
          <w:rFonts w:hint="eastAsia" w:eastAsia="仿宋_GB2312" w:cs="仿宋_GB2312"/>
          <w:sz w:val="32"/>
          <w:szCs w:val="32"/>
          <w:lang w:val="en-US" w:eastAsia="zh-CN"/>
        </w:rPr>
        <w:t>1030.04万元</w:t>
      </w:r>
      <w:r>
        <w:rPr>
          <w:rFonts w:hint="eastAsia" w:eastAsia="仿宋_GB2312" w:cs="仿宋_GB2312"/>
          <w:sz w:val="32"/>
          <w:szCs w:val="32"/>
        </w:rPr>
        <w:t>相比，财政拨款收入总计、支出总计各增加/减少</w:t>
      </w:r>
      <w:r>
        <w:rPr>
          <w:rFonts w:hint="eastAsia" w:eastAsia="仿宋_GB2312" w:cs="仿宋_GB2312"/>
          <w:sz w:val="32"/>
          <w:szCs w:val="32"/>
          <w:lang w:val="en-US" w:eastAsia="zh-CN"/>
        </w:rPr>
        <w:t>299.63</w:t>
      </w:r>
      <w:r>
        <w:rPr>
          <w:rFonts w:hint="eastAsia" w:eastAsia="仿宋_GB2312" w:cs="仿宋_GB2312"/>
          <w:sz w:val="32"/>
          <w:szCs w:val="32"/>
        </w:rPr>
        <w:t>万元，增长/下降</w:t>
      </w:r>
      <w:r>
        <w:rPr>
          <w:rFonts w:hint="eastAsia" w:eastAsia="仿宋_GB2312" w:cs="仿宋_GB2312"/>
          <w:sz w:val="32"/>
          <w:szCs w:val="32"/>
          <w:lang w:val="en-US" w:eastAsia="zh-CN"/>
        </w:rPr>
        <w:t>29.09</w:t>
      </w:r>
      <w:r>
        <w:rPr>
          <w:rFonts w:hint="eastAsia" w:eastAsia="仿宋_GB2312" w:cs="仿宋_GB2312"/>
          <w:sz w:val="32"/>
          <w:szCs w:val="32"/>
        </w:rPr>
        <w:t>%。</w:t>
      </w:r>
      <w:r>
        <w:rPr>
          <w:rFonts w:hint="eastAsia" w:eastAsia="仿宋_GB2312" w:cs="仿宋_GB2312"/>
          <w:sz w:val="32"/>
          <w:szCs w:val="32"/>
          <w:lang w:val="en-US" w:eastAsia="zh-CN"/>
        </w:rPr>
        <w:t>主要变动的原因是2024年财政拨款项目收入、支出减少，2023年财政项目拨中有医务人员核增一次性绩效及一线医务人员临时补助，2024年无该项目资金。</w:t>
      </w:r>
    </w:p>
    <w:p>
      <w:pPr>
        <w:pStyle w:val="21"/>
        <w:spacing w:line="600" w:lineRule="exact"/>
        <w:ind w:firstLine="640"/>
        <w:outlineLvl w:val="1"/>
        <w:rPr>
          <w:rFonts w:hint="eastAsia" w:eastAsia="仿宋_GB2312" w:cs="仿宋_GB2312"/>
          <w:sz w:val="32"/>
          <w:szCs w:val="32"/>
          <w:lang w:val="en-US" w:eastAsia="zh-CN"/>
        </w:rPr>
      </w:pPr>
    </w:p>
    <w:p>
      <w:pPr>
        <w:pStyle w:val="2"/>
        <w:rPr>
          <w:rFonts w:hint="eastAsia"/>
          <w:lang w:eastAsia="zh-CN"/>
        </w:rPr>
      </w:pPr>
    </w:p>
    <w:p>
      <w:pPr>
        <w:pStyle w:val="3"/>
        <w:ind w:left="0" w:leftChars="0" w:firstLine="0" w:firstLineChars="0"/>
        <w:jc w:val="right"/>
        <w:rPr>
          <w:rFonts w:hint="eastAsia" w:ascii="仿宋" w:hAnsi="仿宋" w:eastAsia="仿宋" w:cs="Times New Roman"/>
          <w:b/>
          <w:kern w:val="0"/>
          <w:sz w:val="24"/>
          <w:szCs w:val="24"/>
          <w:lang w:val="en-US" w:eastAsia="zh-CN" w:bidi="ar-SA"/>
        </w:rPr>
      </w:pPr>
      <w:r>
        <w:rPr>
          <w:rFonts w:hint="eastAsia" w:eastAsia="仿宋_GB2312" w:cs="仿宋_GB2312"/>
          <w:sz w:val="24"/>
          <w:szCs w:val="24"/>
          <w:lang w:eastAsia="zh-CN"/>
        </w:rPr>
        <w:t>单位：万元</w:t>
      </w:r>
    </w:p>
    <w:p>
      <w:pPr>
        <w:pStyle w:val="3"/>
        <w:ind w:left="0" w:leftChars="0" w:firstLine="0" w:firstLineChars="0"/>
        <w:rPr>
          <w:rFonts w:hint="eastAsia" w:ascii="仿宋" w:hAnsi="仿宋" w:eastAsia="仿宋" w:cs="Times New Roman"/>
          <w:b/>
          <w:kern w:val="0"/>
          <w:sz w:val="32"/>
          <w:szCs w:val="32"/>
          <w:lang w:val="en-US" w:eastAsia="zh-CN" w:bidi="ar-SA"/>
        </w:rPr>
      </w:pPr>
      <w:r>
        <w:rPr>
          <w:rFonts w:hint="eastAsia" w:ascii="仿宋" w:hAnsi="仿宋" w:eastAsia="仿宋" w:cs="Times New Roman"/>
          <w:b/>
          <w:kern w:val="0"/>
          <w:sz w:val="32"/>
          <w:szCs w:val="32"/>
          <w:lang w:val="en-US" w:eastAsia="zh-CN" w:bidi="ar-SA"/>
        </w:rPr>
        <w:object>
          <v:shape id="Picture 2" type="#_x0000_t75" style="height:203.1pt;width:412.8pt;rotation:0f;" o:ole="t"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o:OLEObject Type="Embed" ProgID="Excel.Chart.8" ShapeID="Picture 2" DrawAspect="Content" ObjectID="_10" r:id="rId20"/>
        </w:object>
      </w:r>
    </w:p>
    <w:p>
      <w:pPr>
        <w:pStyle w:val="3"/>
        <w:ind w:left="0" w:leftChars="0" w:firstLine="0" w:firstLineChars="0"/>
        <w:jc w:val="center"/>
        <w:rPr>
          <w:rFonts w:hint="eastAsia" w:eastAsia="仿宋_GB2312" w:cs="仿宋_GB2312"/>
          <w:sz w:val="32"/>
          <w:szCs w:val="32"/>
          <w:lang w:val="en-US" w:eastAsia="zh-CN"/>
        </w:rPr>
      </w:pPr>
      <w:r>
        <w:rPr>
          <w:rFonts w:hint="eastAsia" w:eastAsia="仿宋_GB2312" w:cs="仿宋_GB2312"/>
          <w:sz w:val="32"/>
          <w:szCs w:val="32"/>
        </w:rPr>
        <w:t>（图4：财政拨款收、支决算总计变动情况</w:t>
      </w:r>
      <w:r>
        <w:rPr>
          <w:rFonts w:hint="eastAsia" w:eastAsia="仿宋_GB2312" w:cs="仿宋_GB2312"/>
          <w:sz w:val="32"/>
          <w:szCs w:val="32"/>
          <w:lang w:val="en-US" w:eastAsia="zh-CN"/>
        </w:rPr>
        <w:t>)</w:t>
      </w:r>
      <w:bookmarkStart w:id="20" w:name="_Toc15377209"/>
      <w:bookmarkStart w:id="21" w:name="_Toc15396607"/>
    </w:p>
    <w:p>
      <w:pPr>
        <w:pStyle w:val="3"/>
        <w:ind w:left="0" w:leftChars="0" w:firstLine="0" w:firstLineChars="0"/>
        <w:jc w:val="center"/>
        <w:rPr>
          <w:rFonts w:hint="eastAsia" w:eastAsia="仿宋_GB2312" w:cs="仿宋_GB2312"/>
          <w:sz w:val="32"/>
          <w:szCs w:val="32"/>
          <w:lang w:val="en-US" w:eastAsia="zh-CN"/>
        </w:rPr>
      </w:pPr>
    </w:p>
    <w:p>
      <w:pPr>
        <w:pStyle w:val="3"/>
        <w:ind w:left="0" w:leftChars="0" w:firstLine="0" w:firstLineChars="0"/>
        <w:jc w:val="both"/>
        <w:rPr>
          <w:rStyle w:val="32"/>
          <w:rFonts w:hint="eastAsia" w:ascii="Times New Roman" w:hAnsi="Times New Roman" w:eastAsia="黑体"/>
          <w:b w:val="0"/>
        </w:rPr>
      </w:pPr>
      <w:r>
        <w:rPr>
          <w:rFonts w:hint="eastAsia" w:eastAsia="黑体"/>
          <w:sz w:val="32"/>
          <w:szCs w:val="32"/>
          <w:lang w:val="en-US" w:eastAsia="zh-CN"/>
        </w:rPr>
        <w:t xml:space="preserve">     </w:t>
      </w:r>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20"/>
      <w:bookmarkEnd w:id="21"/>
      <w:bookmarkStart w:id="22" w:name="_Toc15377210"/>
    </w:p>
    <w:p>
      <w:pPr>
        <w:pStyle w:val="3"/>
        <w:ind w:left="0" w:leftChars="0" w:firstLine="0" w:firstLineChars="0"/>
        <w:jc w:val="both"/>
        <w:rPr>
          <w:rFonts w:eastAsia="楷体_GB2312" w:cs="楷体_GB2312"/>
          <w:b/>
          <w:sz w:val="32"/>
          <w:szCs w:val="32"/>
        </w:rPr>
      </w:pPr>
      <w:r>
        <w:rPr>
          <w:rStyle w:val="32"/>
          <w:rFonts w:hint="eastAsia" w:ascii="Times New Roman" w:eastAsia="黑体"/>
          <w:b w:val="0"/>
          <w:lang w:val="en-US" w:eastAsia="zh-CN"/>
        </w:rPr>
        <w:t xml:space="preserve">    </w:t>
      </w:r>
      <w:r>
        <w:rPr>
          <w:rFonts w:hint="eastAsia" w:eastAsia="楷体_GB2312" w:cs="楷体_GB2312"/>
          <w:b/>
          <w:sz w:val="32"/>
          <w:szCs w:val="32"/>
        </w:rPr>
        <w:t>（一）一般公共预算财政拨款支出决算总体情况</w:t>
      </w:r>
      <w:bookmarkEnd w:id="22"/>
    </w:p>
    <w:p>
      <w:pPr>
        <w:pStyle w:val="21"/>
        <w:spacing w:line="600" w:lineRule="exact"/>
        <w:ind w:firstLine="640"/>
        <w:outlineLvl w:val="1"/>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730.41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29.11</w:t>
      </w:r>
      <w:r>
        <w:rPr>
          <w:rFonts w:hint="eastAsia" w:ascii="仿宋_GB2312" w:hAnsi="仿宋_GB2312" w:eastAsia="仿宋_GB2312" w:cs="仿宋_GB2312"/>
          <w:sz w:val="32"/>
          <w:szCs w:val="32"/>
        </w:rPr>
        <w:t>%。与2023年度</w:t>
      </w:r>
      <w:r>
        <w:rPr>
          <w:rFonts w:hint="eastAsia" w:ascii="仿宋_GB2312" w:hAnsi="仿宋_GB2312" w:eastAsia="仿宋_GB2312" w:cs="仿宋_GB2312"/>
          <w:sz w:val="32"/>
          <w:szCs w:val="32"/>
          <w:lang w:val="en-US" w:eastAsia="zh-CN"/>
        </w:rPr>
        <w:t>1030.04万元相比，一般公共预算财政拨款支出减少299.63万元，同比下降29.09%；</w:t>
      </w:r>
      <w:r>
        <w:rPr>
          <w:rFonts w:hint="eastAsia" w:eastAsia="仿宋_GB2312" w:cs="仿宋_GB2312"/>
          <w:sz w:val="32"/>
          <w:szCs w:val="32"/>
          <w:lang w:val="en-US" w:eastAsia="zh-CN"/>
        </w:rPr>
        <w:t>主要变动的原因是2024年一般公共预算财政拨款支出中项目拨款支出减少，2023年财政项目拨中有医务人员核增一次性绩效及一线医务人员临时补助，2024年无该项目资金。</w:t>
      </w:r>
    </w:p>
    <w:p>
      <w:pPr>
        <w:pStyle w:val="21"/>
        <w:spacing w:line="600" w:lineRule="exact"/>
        <w:ind w:firstLine="640"/>
        <w:outlineLvl w:val="1"/>
        <w:rPr>
          <w:rFonts w:hint="eastAsia" w:eastAsia="仿宋_GB2312" w:cs="仿宋_GB2312"/>
          <w:sz w:val="32"/>
          <w:szCs w:val="32"/>
          <w:lang w:val="en-US" w:eastAsia="zh-CN"/>
        </w:rPr>
      </w:pPr>
    </w:p>
    <w:p>
      <w:pPr>
        <w:pStyle w:val="2"/>
        <w:jc w:val="center"/>
        <w:rPr>
          <w:rFonts w:hint="eastAsia"/>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单位：万元</w:t>
      </w:r>
    </w:p>
    <w:p>
      <w:pPr>
        <w:pStyle w:val="2"/>
        <w:rPr>
          <w:rFonts w:hint="eastAsia" w:ascii="仿宋_GB2312" w:hAnsi="仿宋_GB2312" w:eastAsia="仿宋_GB2312" w:cs="仿宋_GB2312"/>
          <w:sz w:val="32"/>
          <w:szCs w:val="32"/>
          <w:lang w:eastAsia="zh-CN"/>
        </w:rPr>
      </w:pPr>
      <w:r>
        <w:rPr>
          <w:rFonts w:hint="eastAsia" w:ascii="仿宋" w:hAnsi="仿宋" w:eastAsia="仿宋" w:cs="Times New Roman"/>
          <w:b/>
          <w:kern w:val="0"/>
          <w:sz w:val="32"/>
          <w:szCs w:val="32"/>
          <w:lang w:val="en-US" w:eastAsia="zh-CN" w:bidi="ar-SA"/>
        </w:rPr>
        <w:pict>
          <v:shape id="Picture 3" o:spid="_x0000_s1032" type="#_x0000_t75" style="height:231.95pt;width:410.55pt;rotation:0f;" o:ole="f" fillcolor="#FFFFFF" filled="f" o:preferrelative="t" stroked="f" coordorigin="0,0" coordsize="21600,21600">
            <v:fill on="f" color2="#FFFFFF" focus="0%"/>
            <v:imagedata gain="65536f" blacklevel="0f" gamma="0" o:title="" r:id="rId22"/>
            <o:lock v:ext="edit" position="f" selection="f" grouping="f" rotation="f" cropping="f" text="f" aspectratio="t"/>
            <w10:wrap type="none"/>
            <w10:anchorlock/>
          </v:shape>
        </w:pict>
      </w:r>
    </w:p>
    <w:p>
      <w:pPr>
        <w:spacing w:line="600" w:lineRule="exact"/>
        <w:ind w:firstLine="640"/>
        <w:jc w:val="center"/>
        <w:rPr>
          <w:rFonts w:hint="eastAsia" w:eastAsia="仿宋_GB2312" w:cs="仿宋_GB2312"/>
          <w:sz w:val="32"/>
          <w:szCs w:val="32"/>
        </w:rPr>
      </w:pPr>
      <w:r>
        <w:rPr>
          <w:rFonts w:hint="eastAsia" w:eastAsia="仿宋_GB2312" w:cs="仿宋_GB2312"/>
          <w:sz w:val="32"/>
          <w:szCs w:val="32"/>
        </w:rPr>
        <w:t>（图5：一般公共预算财政拨款支出决算变动情况）</w:t>
      </w:r>
    </w:p>
    <w:p>
      <w:pPr>
        <w:pStyle w:val="3"/>
        <w:ind w:left="0" w:leftChars="0" w:firstLine="0" w:firstLineChars="0"/>
      </w:pP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b/>
          <w:bCs/>
          <w:sz w:val="32"/>
          <w:szCs w:val="32"/>
          <w:highlight w:val="yellow"/>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730.41</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99.78</w:t>
      </w:r>
      <w:r>
        <w:rPr>
          <w:rFonts w:hint="eastAsia" w:eastAsia="仿宋_GB2312" w:cs="仿宋_GB2312"/>
          <w:sz w:val="32"/>
          <w:szCs w:val="32"/>
        </w:rPr>
        <w:t>万元，占</w:t>
      </w:r>
      <w:r>
        <w:rPr>
          <w:rFonts w:hint="eastAsia" w:eastAsia="仿宋_GB2312" w:cs="仿宋_GB2312"/>
          <w:sz w:val="32"/>
          <w:szCs w:val="32"/>
          <w:lang w:val="en-US" w:eastAsia="zh-CN"/>
        </w:rPr>
        <w:t>13.66</w:t>
      </w:r>
      <w:r>
        <w:rPr>
          <w:rFonts w:hint="eastAsia" w:eastAsia="仿宋_GB2312" w:cs="仿宋_GB2312"/>
          <w:sz w:val="32"/>
          <w:szCs w:val="32"/>
        </w:rPr>
        <w:t>%；卫生健康支</w:t>
      </w:r>
      <w:r>
        <w:rPr>
          <w:rFonts w:hint="eastAsia" w:eastAsia="仿宋_GB2312" w:cs="仿宋_GB2312"/>
          <w:sz w:val="32"/>
          <w:szCs w:val="32"/>
          <w:highlight w:val="none"/>
        </w:rPr>
        <w:t>出</w:t>
      </w:r>
      <w:r>
        <w:rPr>
          <w:rFonts w:hint="eastAsia" w:eastAsia="仿宋_GB2312" w:cs="仿宋_GB2312"/>
          <w:sz w:val="32"/>
          <w:szCs w:val="32"/>
          <w:highlight w:val="none"/>
          <w:lang w:val="en-US" w:eastAsia="zh-CN"/>
        </w:rPr>
        <w:t>573.15</w:t>
      </w:r>
      <w:r>
        <w:rPr>
          <w:rFonts w:hint="eastAsia" w:eastAsia="仿宋_GB2312" w:cs="仿宋_GB2312"/>
          <w:sz w:val="32"/>
          <w:szCs w:val="32"/>
          <w:highlight w:val="none"/>
        </w:rPr>
        <w:t>万</w:t>
      </w:r>
      <w:r>
        <w:rPr>
          <w:rFonts w:hint="eastAsia" w:eastAsia="仿宋_GB2312" w:cs="仿宋_GB2312"/>
          <w:sz w:val="32"/>
          <w:szCs w:val="32"/>
        </w:rPr>
        <w:t>元，占</w:t>
      </w:r>
      <w:r>
        <w:rPr>
          <w:rFonts w:hint="eastAsia" w:eastAsia="仿宋_GB2312" w:cs="仿宋_GB2312"/>
          <w:sz w:val="32"/>
          <w:szCs w:val="32"/>
          <w:lang w:val="en-US" w:eastAsia="zh-CN"/>
        </w:rPr>
        <w:t>78.47</w:t>
      </w:r>
      <w:r>
        <w:rPr>
          <w:rFonts w:hint="eastAsia" w:eastAsia="仿宋_GB2312" w:cs="仿宋_GB2312"/>
          <w:sz w:val="32"/>
          <w:szCs w:val="32"/>
        </w:rPr>
        <w:t>%；住房保障支出</w:t>
      </w:r>
      <w:r>
        <w:rPr>
          <w:rFonts w:hint="eastAsia" w:eastAsia="仿宋_GB2312" w:cs="仿宋_GB2312"/>
          <w:sz w:val="32"/>
          <w:szCs w:val="32"/>
          <w:lang w:val="en-US" w:eastAsia="zh-CN"/>
        </w:rPr>
        <w:t>57.47</w:t>
      </w:r>
      <w:r>
        <w:rPr>
          <w:rFonts w:hint="eastAsia" w:eastAsia="仿宋_GB2312" w:cs="仿宋_GB2312"/>
          <w:sz w:val="32"/>
          <w:szCs w:val="32"/>
        </w:rPr>
        <w:t>万元，占</w:t>
      </w:r>
      <w:r>
        <w:rPr>
          <w:rFonts w:hint="eastAsia" w:eastAsia="仿宋_GB2312" w:cs="仿宋_GB2312"/>
          <w:sz w:val="32"/>
          <w:szCs w:val="32"/>
          <w:lang w:val="en-US" w:eastAsia="zh-CN"/>
        </w:rPr>
        <w:t>7.87</w:t>
      </w:r>
      <w:r>
        <w:rPr>
          <w:rFonts w:hint="eastAsia" w:eastAsia="仿宋_GB2312" w:cs="仿宋_GB2312"/>
          <w:sz w:val="32"/>
          <w:szCs w:val="32"/>
        </w:rPr>
        <w:t>%</w:t>
      </w:r>
      <w:r>
        <w:rPr>
          <w:rFonts w:hint="eastAsia" w:eastAsia="仿宋_GB2312" w:cs="仿宋_GB2312"/>
          <w:sz w:val="32"/>
          <w:szCs w:val="32"/>
          <w:lang w:eastAsia="zh-CN"/>
        </w:rPr>
        <w:t>。</w:t>
      </w:r>
    </w:p>
    <w:p>
      <w:pPr>
        <w:pStyle w:val="3"/>
        <w:jc w:val="center"/>
        <w:rPr>
          <w:rFonts w:hint="eastAsia" w:ascii="Times New Roman" w:hAnsi="Times New Roman" w:eastAsia="仿宋_GB2312" w:cs="仿宋_GB2312"/>
          <w:kern w:val="2"/>
          <w:sz w:val="24"/>
          <w:szCs w:val="24"/>
          <w:lang w:val="en-US" w:eastAsia="zh-CN" w:bidi="ar-SA"/>
        </w:rPr>
      </w:pPr>
      <w:r>
        <w:rPr>
          <w:rFonts w:hint="eastAsia" w:ascii="Times New Roman" w:eastAsia="仿宋_GB2312" w:cs="仿宋_GB2312"/>
          <w:kern w:val="2"/>
          <w:sz w:val="24"/>
          <w:szCs w:val="24"/>
          <w:lang w:val="en-US" w:eastAsia="zh-CN" w:bidi="ar-SA"/>
        </w:rPr>
        <w:t xml:space="preserve">                                     </w:t>
      </w:r>
      <w:r>
        <w:rPr>
          <w:rFonts w:hint="eastAsia" w:ascii="Times New Roman" w:hAnsi="Times New Roman" w:eastAsia="仿宋_GB2312" w:cs="仿宋_GB2312"/>
          <w:kern w:val="2"/>
          <w:sz w:val="24"/>
          <w:szCs w:val="24"/>
          <w:lang w:val="en-US" w:eastAsia="zh-CN" w:bidi="ar-SA"/>
        </w:rPr>
        <w:t>单位：万元</w:t>
      </w:r>
    </w:p>
    <w:p>
      <w:pPr>
        <w:pStyle w:val="3"/>
        <w:rPr>
          <w:rFonts w:hint="eastAsia" w:eastAsia="仿宋_GB2312" w:cs="仿宋_GB2312"/>
          <w:b/>
          <w:bCs/>
          <w:sz w:val="32"/>
          <w:szCs w:val="32"/>
        </w:rPr>
      </w:pPr>
      <w:r>
        <w:rPr>
          <w:rFonts w:hint="eastAsia" w:ascii="Times New Roman" w:hAnsi="Times New Roman" w:eastAsia="仿宋_GB2312" w:cs="仿宋_GB2312"/>
          <w:kern w:val="2"/>
          <w:sz w:val="24"/>
          <w:szCs w:val="24"/>
          <w:lang w:val="en-US" w:eastAsia="zh-CN" w:bidi="ar-SA"/>
        </w:rPr>
        <w:pict>
          <v:shape id="图片 7" type="#_x0000_t75" style="position:absolute;left:0;margin-left:3.45pt;margin-top:13.75pt;height:172.8pt;width:425.9pt;rotation:0f;z-index:251659264;" o:ole="t" fillcolor="#FFFFFF" filled="f" o:preferrelative="t" stroked="f" coordorigin="0,0" coordsize="21600,21600">
            <v:fill on="f" color2="#FFFFFF" focus="0%"/>
            <v:imagedata gain="65536f" blacklevel="0f" gamma="0" o:title="" r:id="rId24"/>
            <o:lock v:ext="edit" position="f" selection="f" grouping="f" rotation="f" cropping="f" text="f" aspectratio="t"/>
          </v:shape>
          <o:OLEObject Type="Embed" ProgID="Excel.Chart.8" ShapeID="图片 7" DrawAspect="Content" ObjectID="_8" r:id="rId23"/>
        </w:pict>
      </w:r>
    </w:p>
    <w:p>
      <w:pPr>
        <w:spacing w:line="600" w:lineRule="exact"/>
        <w:rPr>
          <w:rFonts w:hint="eastAsia" w:eastAsia="仿宋_GB2312" w:cs="仿宋_GB2312"/>
          <w:sz w:val="32"/>
          <w:szCs w:val="32"/>
        </w:rPr>
      </w:pPr>
    </w:p>
    <w:p>
      <w:pPr>
        <w:pStyle w:val="2"/>
        <w:rPr>
          <w:rFonts w:hint="eastAsia" w:eastAsia="仿宋_GB2312" w:cs="仿宋_GB2312"/>
          <w:sz w:val="32"/>
          <w:szCs w:val="32"/>
        </w:rPr>
      </w:pPr>
    </w:p>
    <w:p>
      <w:pPr>
        <w:pStyle w:val="3"/>
        <w:rPr>
          <w:rFonts w:hint="eastAsia" w:eastAsia="仿宋_GB2312" w:cs="仿宋_GB2312"/>
          <w:sz w:val="32"/>
          <w:szCs w:val="32"/>
        </w:rPr>
      </w:pPr>
    </w:p>
    <w:p>
      <w:pPr>
        <w:pStyle w:val="3"/>
        <w:rPr>
          <w:rFonts w:hint="eastAsia" w:eastAsia="仿宋_GB2312" w:cs="仿宋_GB2312"/>
          <w:sz w:val="32"/>
          <w:szCs w:val="32"/>
        </w:rPr>
      </w:pPr>
    </w:p>
    <w:p>
      <w:pPr>
        <w:pStyle w:val="3"/>
        <w:rPr>
          <w:rFonts w:hint="eastAsia" w:eastAsia="仿宋_GB2312" w:cs="仿宋_GB2312"/>
          <w:sz w:val="32"/>
          <w:szCs w:val="32"/>
        </w:rPr>
      </w:pPr>
    </w:p>
    <w:p>
      <w:pPr>
        <w:spacing w:line="600" w:lineRule="exact"/>
        <w:jc w:val="center"/>
        <w:rPr>
          <w:rFonts w:hint="eastAsia" w:eastAsia="仿宋_GB2312" w:cs="仿宋_GB2312"/>
          <w:sz w:val="32"/>
          <w:szCs w:val="32"/>
        </w:rPr>
      </w:pPr>
      <w:r>
        <w:rPr>
          <w:rFonts w:hint="eastAsia" w:eastAsia="仿宋_GB2312" w:cs="仿宋_GB2312"/>
          <w:sz w:val="32"/>
          <w:szCs w:val="32"/>
        </w:rPr>
        <w:t>（图6：一般公共预算财政拨款支出决算结构）</w:t>
      </w:r>
    </w:p>
    <w:p>
      <w:pPr>
        <w:pStyle w:val="3"/>
        <w:ind w:left="0" w:leftChars="0" w:firstLine="0" w:firstLineChars="0"/>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hint="eastAsia"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730.41</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1.社会保障和就业（类）行政事业单位养老支出（款）事业单位离退休支出（项）:支出决算为9.51万元，完成预算100%，决算数等于预算数。</w:t>
      </w:r>
    </w:p>
    <w:p>
      <w:pPr>
        <w:pStyle w:val="8"/>
        <w:ind w:firstLine="643" w:firstLineChars="200"/>
        <w:rPr>
          <w:rFonts w:hint="eastAsia" w:ascii="Times New Roman" w:hAnsi="Times New Roman" w:eastAsia="仿宋_GB2312" w:cs="仿宋_GB2312"/>
          <w:kern w:val="2"/>
          <w:sz w:val="32"/>
          <w:szCs w:val="32"/>
          <w:lang w:val="en-US" w:eastAsia="zh-CN" w:bidi="ar-SA"/>
        </w:rPr>
      </w:pPr>
      <w:r>
        <w:rPr>
          <w:rStyle w:val="16"/>
          <w:rFonts w:hint="eastAsia" w:ascii="仿宋_GB2312" w:hAnsi="仿宋_GB2312" w:eastAsia="仿宋_GB2312" w:cs="仿宋_GB2312"/>
          <w:bCs/>
          <w:sz w:val="32"/>
          <w:szCs w:val="32"/>
          <w:highlight w:val="none"/>
          <w:lang w:val="en-US" w:eastAsia="zh-CN"/>
        </w:rPr>
        <w:t xml:space="preserve">  </w:t>
      </w:r>
      <w:r>
        <w:rPr>
          <w:rFonts w:hint="eastAsia" w:ascii="Times New Roman" w:hAnsi="Times New Roman" w:eastAsia="仿宋_GB2312" w:cs="仿宋_GB2312"/>
          <w:kern w:val="2"/>
          <w:sz w:val="32"/>
          <w:szCs w:val="32"/>
          <w:lang w:val="en-US" w:eastAsia="zh-CN" w:bidi="ar-SA"/>
        </w:rPr>
        <w:t xml:space="preserve"> 2.社会保障和就业（类）行政事业单位养老支出（款）机关事业单位基本养老保险缴费支出（项）:支出决算为61.63万元，完成预算100%，决算数等于预算数。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3.社会保障和就业（类）行政事业单位养老支出（款）机关事业单位职业年金缴费支出（项）:支出决算为28.65万元，完成预算100%，决算数等于预算数。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4.卫生健康支出（类）公立医院（款）综合医院（项）:支出决算为464.44万元，完成预算100%，决算数等于预算数。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5.卫生健康支出（类）公立医院（款）其他公立医院支出（项）:支出决算为48.28万元，完成预算100%，决算数等于预算数。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6.卫生健康支出（类）公共卫生（款）基本公共卫生服务（项）:支出决算为0.85万元，完成预算100%，决算数等于预算数。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7.卫生健康支出（类）行政事业单位医疗（款）事业单位医疗（项）:支出决算为38.11万元，完成预算100%，决算数等于预算数。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10.卫生健康支出（类）行政事业单位医疗（款）其他行政事业单位医疗（项）:支出决算为21.47万元，完成预算100%，决算数等于预算数。</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11.住房保障支出（类）住房改革支出（款）住房公积金（项）:支出决算为57.47万元，完成预算100%，决算数等于预算数。</w:t>
      </w:r>
      <w:bookmarkStart w:id="28" w:name="_Toc15396608"/>
      <w:bookmarkStart w:id="29" w:name="_Toc15377214"/>
    </w:p>
    <w:p>
      <w:pPr>
        <w:pStyle w:val="8"/>
        <w:ind w:firstLine="640" w:firstLineChars="200"/>
        <w:rPr>
          <w:rFonts w:hint="eastAsia" w:ascii="Times New Roman" w:hAnsi="Times New Roman" w:eastAsia="仿宋_GB2312" w:cs="仿宋_GB2312"/>
          <w:kern w:val="2"/>
          <w:sz w:val="32"/>
          <w:szCs w:val="32"/>
          <w:lang w:val="en-US" w:eastAsia="zh-CN" w:bidi="ar-SA"/>
        </w:rPr>
      </w:pPr>
    </w:p>
    <w:p>
      <w:pPr>
        <w:pStyle w:val="8"/>
        <w:ind w:firstLine="640" w:firstLineChars="200"/>
        <w:rPr>
          <w:rStyle w:val="32"/>
          <w:rFonts w:ascii="Times New Roman" w:hAnsi="Times New Roman"/>
        </w:rPr>
      </w:pPr>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28"/>
      <w:bookmarkEnd w:id="29"/>
      <w:r>
        <w:rPr>
          <w:rStyle w:val="32"/>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681.27</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678.98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元，主要包括：基本工资、津贴补贴、绩效工资、机关事业单位基本养老保险缴费、职业年金缴费、</w:t>
      </w:r>
      <w:r>
        <w:rPr>
          <w:rFonts w:hint="eastAsia" w:eastAsia="仿宋_GB2312" w:cs="仿宋_GB2312"/>
          <w:sz w:val="32"/>
          <w:szCs w:val="32"/>
          <w:lang w:eastAsia="zh-CN"/>
        </w:rPr>
        <w:t>职工基本医疗保险缴费、公务员医疗补助缴费、</w:t>
      </w:r>
      <w:r>
        <w:rPr>
          <w:rFonts w:hint="eastAsia" w:eastAsia="仿宋_GB2312" w:cs="仿宋_GB2312"/>
          <w:sz w:val="32"/>
          <w:szCs w:val="32"/>
        </w:rPr>
        <w:t>其他社会保障缴费、其他工资福利支出、生活补助、医疗费补助、奖励金、住房公积金、</w:t>
      </w:r>
      <w:r>
        <w:rPr>
          <w:rFonts w:hint="eastAsia" w:eastAsia="仿宋_GB2312" w:cs="仿宋_GB2312"/>
          <w:sz w:val="32"/>
          <w:szCs w:val="32"/>
          <w:lang w:eastAsia="zh-CN"/>
        </w:rPr>
        <w:t>医疗费</w:t>
      </w:r>
      <w:r>
        <w:rPr>
          <w:rFonts w:hint="eastAsia" w:eastAsia="仿宋_GB2312" w:cs="仿宋_GB2312"/>
          <w:sz w:val="32"/>
          <w:szCs w:val="32"/>
        </w:rPr>
        <w:t>等。</w:t>
      </w:r>
      <w:r>
        <w:rPr>
          <w:rFonts w:hint="eastAsia" w:eastAsia="仿宋_GB2312" w:cs="仿宋_GB2312"/>
          <w:sz w:val="32"/>
          <w:szCs w:val="32"/>
        </w:rPr>
        <w:br/>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元，主要包括：办公费、印刷费、维修（</w:t>
      </w:r>
      <w:r>
        <w:rPr>
          <w:rFonts w:hint="eastAsia" w:ascii="Times New Roman" w:hAnsi="Times New Roman" w:eastAsia="仿宋_GB2312" w:cs="仿宋_GB2312"/>
          <w:kern w:val="2"/>
          <w:sz w:val="32"/>
          <w:szCs w:val="32"/>
          <w:lang w:val="en-US" w:eastAsia="zh-CN" w:bidi="ar-SA"/>
        </w:rPr>
        <w:t>护）费、培训费、其他商品和服务支出。</w:t>
      </w:r>
    </w:p>
    <w:p>
      <w:pPr>
        <w:pStyle w:val="8"/>
        <w:ind w:firstLine="640" w:firstLineChars="200"/>
        <w:rPr>
          <w:rFonts w:hint="eastAsia" w:ascii="Times New Roman" w:hAnsi="Times New Roman" w:eastAsia="仿宋_GB2312" w:cs="仿宋_GB2312"/>
          <w:kern w:val="2"/>
          <w:sz w:val="32"/>
          <w:szCs w:val="32"/>
          <w:lang w:val="en-US" w:eastAsia="zh-CN" w:bidi="ar-SA"/>
        </w:rPr>
      </w:pPr>
    </w:p>
    <w:p>
      <w:pPr>
        <w:pStyle w:val="8"/>
        <w:ind w:firstLine="640" w:firstLineChars="200"/>
        <w:rPr>
          <w:rFonts w:hint="eastAsia" w:eastAsia="黑体"/>
          <w:sz w:val="32"/>
          <w:szCs w:val="32"/>
          <w:lang w:val="en-US" w:eastAsia="zh-CN"/>
        </w:rPr>
      </w:pPr>
      <w:bookmarkStart w:id="30" w:name="_Toc15396609"/>
      <w:bookmarkStart w:id="31" w:name="_Toc15377215"/>
      <w:r>
        <w:rPr>
          <w:rFonts w:hint="eastAsia" w:eastAsia="黑体"/>
          <w:sz w:val="32"/>
          <w:szCs w:val="32"/>
          <w:lang w:val="en-US" w:eastAsia="zh-CN"/>
        </w:rPr>
        <w:t>七、财政拨款“三公”经费支出决算情况说明</w:t>
      </w:r>
      <w:bookmarkEnd w:id="30"/>
      <w:bookmarkEnd w:id="31"/>
    </w:p>
    <w:p>
      <w:pPr>
        <w:pStyle w:val="8"/>
        <w:ind w:firstLine="643" w:firstLineChars="200"/>
        <w:rPr>
          <w:rFonts w:eastAsia="楷体_GB2312" w:cs="楷体_GB2312"/>
          <w:b/>
          <w:sz w:val="32"/>
          <w:szCs w:val="32"/>
        </w:rPr>
      </w:pPr>
      <w:bookmarkStart w:id="32" w:name="_Toc15377216"/>
      <w:r>
        <w:rPr>
          <w:rFonts w:hint="eastAsia" w:eastAsia="楷体_GB2312" w:cs="楷体_GB2312"/>
          <w:b/>
          <w:sz w:val="32"/>
          <w:szCs w:val="32"/>
          <w:lang w:val="en-US" w:eastAsia="zh-CN"/>
        </w:rPr>
        <w:t>（一）“三公”经费财政拨款支出决算总体情</w:t>
      </w:r>
      <w:r>
        <w:rPr>
          <w:rFonts w:hint="eastAsia" w:eastAsia="楷体_GB2312" w:cs="楷体_GB2312"/>
          <w:b/>
          <w:sz w:val="32"/>
          <w:szCs w:val="32"/>
        </w:rPr>
        <w:t>况说明</w:t>
      </w:r>
      <w:bookmarkEnd w:id="32"/>
    </w:p>
    <w:p>
      <w:pPr>
        <w:spacing w:line="600" w:lineRule="exact"/>
        <w:ind w:firstLine="640"/>
        <w:rPr>
          <w:rFonts w:hint="eastAsia" w:ascii="仿宋_GB2312" w:hAnsi="仿宋_GB2312"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numPr>
          <w:ilvl w:val="0"/>
          <w:numId w:val="6"/>
        </w:numPr>
        <w:spacing w:line="600" w:lineRule="exact"/>
        <w:ind w:firstLine="640"/>
        <w:rPr>
          <w:rFonts w:hint="eastAsia" w:eastAsia="仿宋_GB2312" w:cs="仿宋_GB2312"/>
          <w:sz w:val="32"/>
          <w:szCs w:val="32"/>
        </w:rPr>
      </w:pP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p>
    <w:p>
      <w:pPr>
        <w:numPr>
          <w:numId w:val="0"/>
        </w:numPr>
        <w:spacing w:line="600" w:lineRule="exact"/>
        <w:rPr>
          <w:rFonts w:eastAsia="仿宋_GB2312" w:cs="仿宋_GB2312"/>
          <w:sz w:val="32"/>
          <w:szCs w:val="32"/>
        </w:rPr>
      </w:pPr>
      <w:r>
        <w:rPr>
          <w:rFonts w:hint="eastAsia" w:eastAsia="仿宋_GB2312" w:cs="仿宋_GB2312"/>
          <w:b/>
          <w:bCs/>
          <w:sz w:val="32"/>
          <w:szCs w:val="32"/>
          <w:lang w:val="en-US" w:eastAsia="zh-CN"/>
        </w:rPr>
        <w:t xml:space="preserve">    </w:t>
      </w: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sz w:val="32"/>
          <w:szCs w:val="32"/>
          <w:lang w:val="en-US" w:eastAsia="zh-CN"/>
        </w:rPr>
        <w:t>：公务用车购置支出0万元</w:t>
      </w: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、特种专用车（救护车）</w:t>
      </w:r>
      <w:r>
        <w:rPr>
          <w:rFonts w:hint="eastAsia" w:ascii="仿宋_GB2312" w:eastAsia="仿宋_GB2312"/>
          <w:sz w:val="32"/>
          <w:szCs w:val="32"/>
          <w:lang w:val="en-US" w:eastAsia="zh-CN"/>
        </w:rPr>
        <w:t>3台</w:t>
      </w:r>
      <w:r>
        <w:rPr>
          <w:rFonts w:hint="eastAsia" w:ascii="仿宋_GB2312" w:eastAsia="仿宋_GB2312"/>
          <w:sz w:val="32"/>
          <w:szCs w:val="32"/>
        </w:rPr>
        <w:t>。</w:t>
      </w:r>
    </w:p>
    <w:p>
      <w:pPr>
        <w:spacing w:line="600" w:lineRule="exact"/>
        <w:ind w:firstLine="640"/>
        <w:rPr>
          <w:rFonts w:hint="eastAsia" w:ascii="仿宋_GB2312" w:eastAsia="仿宋_GB2312"/>
          <w:sz w:val="32"/>
          <w:szCs w:val="32"/>
        </w:rPr>
      </w:pPr>
      <w:r>
        <w:rPr>
          <w:rFonts w:hint="eastAsia" w:ascii="仿宋_GB2312" w:eastAsia="仿宋_GB2312"/>
          <w:sz w:val="32"/>
          <w:szCs w:val="32"/>
        </w:rPr>
        <w:t>公务用车运行维护费支出0万元。</w:t>
      </w:r>
    </w:p>
    <w:p>
      <w:pPr>
        <w:pStyle w:val="8"/>
        <w:ind w:firstLine="643"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国内公务接待支</w:t>
      </w:r>
      <w:r>
        <w:rPr>
          <w:rFonts w:hint="eastAsia" w:ascii="Times New Roman" w:hAnsi="Times New Roman" w:eastAsia="仿宋_GB2312" w:cs="仿宋_GB2312"/>
          <w:kern w:val="2"/>
          <w:sz w:val="32"/>
          <w:szCs w:val="32"/>
          <w:lang w:val="en-US" w:eastAsia="zh-CN" w:bidi="ar-SA"/>
        </w:rPr>
        <w:t>出0万元，外事接待支出0万元</w:t>
      </w:r>
      <w:bookmarkStart w:id="34" w:name="_Toc15377218"/>
      <w:bookmarkStart w:id="35" w:name="_Toc15396610"/>
      <w:r>
        <w:rPr>
          <w:rFonts w:hint="eastAsia" w:ascii="Times New Roman" w:hAnsi="Times New Roman" w:eastAsia="仿宋_GB2312" w:cs="仿宋_GB2312"/>
          <w:kern w:val="2"/>
          <w:sz w:val="32"/>
          <w:szCs w:val="32"/>
          <w:lang w:val="en-US" w:eastAsia="zh-CN" w:bidi="ar-SA"/>
        </w:rPr>
        <w:t>。</w:t>
      </w:r>
    </w:p>
    <w:p>
      <w:pPr>
        <w:pStyle w:val="8"/>
        <w:rPr>
          <w:rFonts w:hint="eastAsia" w:ascii="Times New Roman" w:hAnsi="Times New Roman" w:eastAsia="仿宋_GB2312" w:cs="仿宋_GB2312"/>
          <w:kern w:val="2"/>
          <w:sz w:val="32"/>
          <w:szCs w:val="32"/>
          <w:lang w:val="en-US" w:eastAsia="zh-CN" w:bidi="ar-SA"/>
        </w:rPr>
      </w:pPr>
    </w:p>
    <w:p>
      <w:pPr>
        <w:pStyle w:val="8"/>
        <w:ind w:firstLine="640" w:firstLineChars="200"/>
        <w:rPr>
          <w:rStyle w:val="32"/>
          <w:rFonts w:hint="eastAsia" w:ascii="Times New Roman" w:hAnsi="Times New Roman" w:eastAsia="黑体"/>
          <w:b w:val="0"/>
          <w:lang w:val="en-US" w:eastAsia="zh-CN" w:bidi="ar-SA"/>
        </w:rPr>
      </w:pPr>
      <w:r>
        <w:rPr>
          <w:rStyle w:val="32"/>
          <w:rFonts w:hint="eastAsia" w:ascii="Times New Roman" w:hAnsi="Times New Roman" w:eastAsia="黑体"/>
          <w:b w:val="0"/>
          <w:lang w:val="en-US" w:eastAsia="zh-CN" w:bidi="ar-SA"/>
        </w:rPr>
        <w:t>八、政府性基金预算支出决算情况说明</w:t>
      </w:r>
      <w:bookmarkEnd w:id="34"/>
      <w:bookmarkEnd w:id="35"/>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ascii="仿宋_GB2312" w:eastAsia="仿宋_GB2312"/>
          <w:sz w:val="32"/>
          <w:szCs w:val="32"/>
        </w:rPr>
        <w:t>20</w:t>
      </w:r>
      <w:r>
        <w:rPr>
          <w:rFonts w:hint="eastAsia" w:ascii="Times New Roman" w:hAnsi="Times New Roman" w:eastAsia="仿宋_GB2312" w:cs="仿宋_GB2312"/>
          <w:kern w:val="2"/>
          <w:sz w:val="32"/>
          <w:szCs w:val="32"/>
          <w:lang w:val="en-US" w:eastAsia="zh-CN" w:bidi="ar-SA"/>
        </w:rPr>
        <w:t>24年度政府性基金预算财政拨款支出0万元。</w:t>
      </w:r>
    </w:p>
    <w:p>
      <w:pPr>
        <w:pStyle w:val="8"/>
        <w:ind w:firstLine="640" w:firstLineChars="200"/>
        <w:rPr>
          <w:rFonts w:hint="eastAsia" w:ascii="Times New Roman" w:hAnsi="Times New Roman" w:eastAsia="仿宋_GB2312" w:cs="仿宋_GB2312"/>
          <w:kern w:val="2"/>
          <w:sz w:val="32"/>
          <w:szCs w:val="32"/>
          <w:lang w:val="en-US" w:eastAsia="zh-CN" w:bidi="ar-SA"/>
        </w:rPr>
      </w:pPr>
    </w:p>
    <w:p>
      <w:pPr>
        <w:pStyle w:val="8"/>
        <w:ind w:firstLine="640" w:firstLineChars="200"/>
        <w:rPr>
          <w:rStyle w:val="32"/>
          <w:rFonts w:ascii="Times New Roman" w:hAnsi="Times New Roman" w:eastAsia="黑体"/>
          <w:b w:val="0"/>
        </w:rPr>
      </w:pPr>
      <w:bookmarkStart w:id="36" w:name="_Toc15377219"/>
      <w:bookmarkStart w:id="37" w:name="_Toc15396611"/>
      <w:r>
        <w:rPr>
          <w:rStyle w:val="32"/>
          <w:rFonts w:hint="eastAsia" w:ascii="Times New Roman" w:hAnsi="Times New Roman" w:eastAsia="黑体"/>
          <w:b w:val="0"/>
          <w:lang w:val="en-US" w:eastAsia="zh-CN"/>
        </w:rPr>
        <w:t>九、国有资本经营预算支出决算</w:t>
      </w:r>
      <w:r>
        <w:rPr>
          <w:rStyle w:val="32"/>
          <w:rFonts w:hint="eastAsia" w:ascii="Times New Roman" w:hAnsi="Times New Roman" w:eastAsia="黑体"/>
          <w:b w:val="0"/>
        </w:rPr>
        <w:t>情况说明</w:t>
      </w:r>
      <w:bookmarkEnd w:id="36"/>
      <w:bookmarkEnd w:id="37"/>
    </w:p>
    <w:p>
      <w:pPr>
        <w:pStyle w:val="8"/>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sz w:val="32"/>
          <w:szCs w:val="32"/>
        </w:rPr>
        <w:t>202</w:t>
      </w:r>
      <w:r>
        <w:rPr>
          <w:rFonts w:hint="eastAsia" w:ascii="Times New Roman" w:hAnsi="Times New Roman" w:eastAsia="仿宋_GB2312" w:cs="仿宋_GB2312"/>
          <w:kern w:val="2"/>
          <w:sz w:val="32"/>
          <w:szCs w:val="32"/>
          <w:lang w:val="en-US" w:eastAsia="zh-CN" w:bidi="ar-SA"/>
        </w:rPr>
        <w:t>4年度国有资本经营预算财政拨款支出0万元。</w:t>
      </w:r>
    </w:p>
    <w:p>
      <w:pPr>
        <w:pStyle w:val="8"/>
        <w:ind w:firstLine="640" w:firstLineChars="200"/>
        <w:rPr>
          <w:rFonts w:hint="eastAsia" w:ascii="Times New Roman" w:hAnsi="Times New Roman" w:eastAsia="仿宋_GB2312" w:cs="仿宋_GB2312"/>
          <w:kern w:val="2"/>
          <w:sz w:val="32"/>
          <w:szCs w:val="32"/>
          <w:lang w:val="en-US" w:eastAsia="zh-CN" w:bidi="ar-SA"/>
        </w:rPr>
      </w:pPr>
    </w:p>
    <w:p>
      <w:pPr>
        <w:pStyle w:val="8"/>
        <w:ind w:firstLine="640" w:firstLineChars="200"/>
        <w:rPr>
          <w:rStyle w:val="32"/>
          <w:rFonts w:ascii="Times New Roman" w:hAnsi="Times New Roman" w:eastAsia="黑体"/>
          <w:b w:val="0"/>
        </w:rPr>
      </w:pPr>
      <w:bookmarkStart w:id="38" w:name="_Toc15396612"/>
      <w:bookmarkStart w:id="39" w:name="_Toc15377221"/>
      <w:r>
        <w:rPr>
          <w:rStyle w:val="32"/>
          <w:rFonts w:hint="eastAsia" w:ascii="Times New Roman" w:hAnsi="Times New Roman" w:eastAsia="黑体"/>
          <w:b w:val="0"/>
          <w:lang w:val="en-US" w:eastAsia="zh-CN"/>
        </w:rPr>
        <w:t>十、其他重要事项的情</w:t>
      </w:r>
      <w:r>
        <w:rPr>
          <w:rStyle w:val="32"/>
          <w:rFonts w:hint="eastAsia" w:ascii="Times New Roman" w:hAnsi="Times New Roman" w:eastAsia="黑体"/>
          <w:b w:val="0"/>
        </w:rPr>
        <w:t>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年度，盐边县第二人民医院机关运行经费支出0万元，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2023年决算数持平。</w:t>
      </w:r>
    </w:p>
    <w:p>
      <w:pPr>
        <w:pStyle w:val="2"/>
      </w:pP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盐边县第二人民医院</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外科开展医疗业务活动。</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2"/>
      </w:pPr>
    </w:p>
    <w:p>
      <w:pPr>
        <w:numPr>
          <w:ilvl w:val="0"/>
          <w:numId w:val="7"/>
        </w:numPr>
        <w:spacing w:line="600" w:lineRule="exact"/>
        <w:ind w:firstLine="643" w:firstLineChars="200"/>
        <w:outlineLvl w:val="2"/>
        <w:rPr>
          <w:rFonts w:hint="eastAsia" w:eastAsia="楷体_GB2312" w:cs="楷体_GB2312"/>
          <w:b/>
          <w:sz w:val="32"/>
          <w:szCs w:val="32"/>
        </w:rPr>
      </w:pPr>
      <w:bookmarkStart w:id="42" w:name="_Toc15377224"/>
      <w:r>
        <w:rPr>
          <w:rFonts w:hint="eastAsia" w:eastAsia="楷体_GB2312" w:cs="楷体_GB2312"/>
          <w:b/>
          <w:sz w:val="32"/>
          <w:szCs w:val="32"/>
        </w:rPr>
        <w:t>国有资产占有使用情况</w:t>
      </w:r>
      <w:bookmarkEnd w:id="42"/>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日，盐边县第二人民医院共有车辆3辆，其中：主要领导干部用车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eastAsia="仿宋_GB2312"/>
          <w:sz w:val="32"/>
          <w:szCs w:val="32"/>
          <w:lang w:eastAsia="zh-CN"/>
        </w:rPr>
        <w:t>特种专业技术用车（救护车）</w:t>
      </w:r>
      <w:r>
        <w:rPr>
          <w:rFonts w:hint="eastAsia" w:eastAsia="仿宋_GB2312"/>
          <w:sz w:val="32"/>
          <w:szCs w:val="32"/>
          <w:lang w:val="en-US" w:eastAsia="zh-CN"/>
        </w:rPr>
        <w:t>3辆，主要用于红格片区的急诊急救工作。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b/>
          <w:sz w:val="32"/>
          <w:szCs w:val="32"/>
          <w:lang w:val="en-US" w:eastAsia="zh-CN"/>
        </w:rPr>
        <w:t>3</w:t>
      </w:r>
      <w:r>
        <w:rPr>
          <w:rFonts w:hint="eastAsia" w:ascii="仿宋_GB2312" w:eastAsia="仿宋_GB2312"/>
          <w:sz w:val="32"/>
          <w:szCs w:val="32"/>
        </w:rPr>
        <w:t>台</w:t>
      </w:r>
      <w:r>
        <w:rPr>
          <w:rFonts w:hint="eastAsia" w:ascii="仿宋_GB2312" w:eastAsia="仿宋_GB2312"/>
          <w:sz w:val="32"/>
          <w:szCs w:val="32"/>
          <w:lang w:eastAsia="zh-CN"/>
        </w:rPr>
        <w:t>（套）。</w:t>
      </w:r>
    </w:p>
    <w:p>
      <w:pPr>
        <w:pStyle w:val="2"/>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盐边县第二人民医院</w:t>
      </w:r>
      <w:r>
        <w:rPr>
          <w:rFonts w:hint="eastAsia" w:eastAsia="仿宋_GB2312" w:cs="仿宋_GB2312"/>
          <w:sz w:val="32"/>
          <w:szCs w:val="32"/>
        </w:rPr>
        <w:t>在2024年度预算编制阶段，组织对</w:t>
      </w:r>
      <w:r>
        <w:rPr>
          <w:rFonts w:hint="eastAsia" w:eastAsia="仿宋_GB2312" w:cs="仿宋_GB2312"/>
          <w:sz w:val="32"/>
          <w:szCs w:val="32"/>
          <w:lang w:eastAsia="zh-CN"/>
        </w:rPr>
        <w:t>医疗服务与</w:t>
      </w:r>
      <w:r>
        <w:rPr>
          <w:rFonts w:hint="eastAsia" w:eastAsia="仿宋_GB2312" w:cs="仿宋_GB2312"/>
          <w:sz w:val="32"/>
          <w:szCs w:val="32"/>
          <w:lang w:val="en-US" w:eastAsia="zh-CN"/>
        </w:rPr>
        <w:t>能力提升保障资金项目、其他卫生健康支出（取消药品加成补助项目）、基本公共卫生服务补助项目</w:t>
      </w:r>
      <w:r>
        <w:rPr>
          <w:rFonts w:hint="eastAsia" w:eastAsia="仿宋_GB2312" w:cs="仿宋_GB2312"/>
          <w:sz w:val="32"/>
          <w:szCs w:val="32"/>
        </w:rPr>
        <w:t>等</w:t>
      </w:r>
      <w:r>
        <w:rPr>
          <w:rFonts w:hint="eastAsia" w:eastAsia="仿宋_GB2312" w:cs="仿宋_GB2312"/>
          <w:sz w:val="32"/>
          <w:szCs w:val="32"/>
          <w:lang w:val="en-US" w:eastAsia="zh-CN"/>
        </w:rPr>
        <w:t>16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16</w:t>
      </w:r>
      <w:r>
        <w:rPr>
          <w:rFonts w:hint="eastAsia" w:eastAsia="仿宋_GB2312" w:cs="仿宋_GB2312"/>
          <w:sz w:val="32"/>
          <w:szCs w:val="32"/>
        </w:rPr>
        <w:t>个项目开展绩效监控。</w:t>
      </w:r>
    </w:p>
    <w:p>
      <w:pPr>
        <w:spacing w:line="600" w:lineRule="exact"/>
        <w:ind w:firstLine="640"/>
        <w:rPr>
          <w:rFonts w:hint="eastAsia" w:ascii="仿宋_GB2312" w:hAnsi="Times New Roman" w:eastAsia="仿宋_GB2312" w:cs="Times New Roman"/>
          <w:b w:val="0"/>
          <w:kern w:val="2"/>
          <w:sz w:val="32"/>
          <w:szCs w:val="32"/>
          <w:lang w:val="en-US" w:eastAsia="zh-CN" w:bidi="ar-SA"/>
        </w:rPr>
      </w:pPr>
      <w:bookmarkStart w:id="61" w:name="_GoBack"/>
      <w:bookmarkEnd w:id="61"/>
      <w:r>
        <w:rPr>
          <w:rFonts w:hint="eastAsia" w:ascii="仿宋_GB2312" w:hAnsi="Times New Roman" w:eastAsia="仿宋_GB2312" w:cs="Times New Roman"/>
          <w:b w:val="0"/>
          <w:kern w:val="2"/>
          <w:sz w:val="32"/>
          <w:szCs w:val="32"/>
          <w:lang w:val="en-US" w:eastAsia="zh-CN" w:bidi="ar-SA"/>
        </w:rPr>
        <w:t>绩效自评表详见第四部分附件。</w:t>
      </w: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pStyle w:val="3"/>
        <w:ind w:left="0" w:leftChars="0" w:firstLine="0" w:firstLineChars="0"/>
      </w:pPr>
    </w:p>
    <w:p>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3</w:t>
      </w:r>
      <w:r>
        <w:rPr>
          <w:rFonts w:hint="eastAsia" w:eastAsia="仿宋_GB2312" w:cs="仿宋_GB2312"/>
          <w:sz w:val="32"/>
          <w:szCs w:val="32"/>
        </w:rPr>
        <w:t>.其他收入：指单位取得的除上述收入以外的各项收入。</w:t>
      </w:r>
      <w:r>
        <w:rPr>
          <w:rFonts w:hint="eastAsia" w:eastAsia="仿宋_GB2312" w:cs="仿宋_GB2312"/>
          <w:sz w:val="32"/>
          <w:szCs w:val="32"/>
          <w:lang w:val="en-US" w:eastAsia="zh-CN"/>
        </w:rPr>
        <w:t xml:space="preserve">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5.社会保障和就业（类）行政事业单位养老支出（款）事业单位离退休（项）：指事业单位开支的离退休经费。</w:t>
      </w:r>
    </w:p>
    <w:p>
      <w:pPr>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    6.社会保障和就业（类）行政事来单位养老支出（款）机关事业单位基本养老保险缴费支出（项）：指机关事业单位实施养老保险制度由单位缴纳的基本养老保险费支出。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7.社会保障和就业（类）行政事业单位养老支出（款）机关事业单位职业年金缴费支出（项）:指机关事业单位实施养老保险制度由单位实际缴纳的职业年金支出。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8.卫生健康支出（类）公立医院（款）综合医院（项）：指卫生健康、中医部门所属的城市综合性医院、独立门诊、教学医院、疗养院和县医院的支出。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9.卫生健康支出（类）公立医院（款）其他公立医院支出（项）：指除上述项目以外的其他用于公立医院方面的支出。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10.卫生健康支出（类）公共卫生（款）基本公共卫生服务（项）：指反映基本公共卫生服务支出。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11.卫生健康支出（类）公共卫生（款）其他公共卫生支出（项）：反映除上述项目以外的其他用于公共卫生方面的支出。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卫生健康支出（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13.卫生健康支出（类）行政事业单位医疗（款）其他行政事业单位医疗支出（项）：反映除上述项目以外的其他用于行政事业单位医疗方面的支出。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14</w:t>
      </w:r>
      <w:r>
        <w:rPr>
          <w:rFonts w:hint="eastAsia" w:ascii="仿宋_GB2312" w:hAnsi="Times New Roman" w:eastAsia="仿宋_GB2312" w:cs="Times New Roman"/>
          <w:kern w:val="2"/>
          <w:sz w:val="32"/>
          <w:szCs w:val="32"/>
          <w:lang w:val="en-US" w:eastAsia="zh-CN" w:bidi="ar-SA"/>
        </w:rPr>
        <w:t>.住房保障支出（类）住房改革支出（款）住房公积金（项）：</w:t>
      </w:r>
      <w:r>
        <w:rPr>
          <w:rFonts w:hint="eastAsia" w:ascii="仿宋_GB2312" w:eastAsia="仿宋_GB2312" w:cs="Times New Roman"/>
          <w:kern w:val="2"/>
          <w:sz w:val="32"/>
          <w:szCs w:val="32"/>
          <w:lang w:val="en-US" w:eastAsia="zh-CN" w:bidi="ar-SA"/>
        </w:rPr>
        <w:t>反映</w:t>
      </w:r>
      <w:r>
        <w:rPr>
          <w:rFonts w:hint="eastAsia" w:ascii="仿宋_GB2312" w:hAnsi="Times New Roman" w:eastAsia="仿宋_GB2312" w:cs="Times New Roman"/>
          <w:kern w:val="2"/>
          <w:sz w:val="32"/>
          <w:szCs w:val="32"/>
          <w:lang w:val="en-US" w:eastAsia="zh-CN" w:bidi="ar-SA"/>
        </w:rPr>
        <w:t>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pPr>
      <w:r>
        <w:rPr>
          <w:rFonts w:ascii="宋体"/>
          <w:b/>
          <w:sz w:val="44"/>
          <w:szCs w:val="44"/>
        </w:rPr>
        <w:br w:type="page"/>
      </w:r>
    </w:p>
    <w:p>
      <w:pPr>
        <w:spacing w:line="600" w:lineRule="exact"/>
        <w:jc w:val="center"/>
        <w:rPr>
          <w:rStyle w:val="31"/>
          <w:rFonts w:eastAsia="黑体"/>
          <w:b w:val="0"/>
        </w:rPr>
      </w:pPr>
      <w:bookmarkStart w:id="45" w:name="_Toc15396614"/>
      <w:bookmarkStart w:id="46" w:name="_Toc15377226"/>
      <w:r>
        <w:rPr>
          <w:rFonts w:hint="eastAsia" w:eastAsia="黑体"/>
          <w:sz w:val="44"/>
          <w:szCs w:val="44"/>
        </w:rPr>
        <w:t>第四部分  附件</w:t>
      </w:r>
      <w:bookmarkEnd w:id="45"/>
    </w:p>
    <w:p>
      <w:pPr>
        <w:spacing w:line="572" w:lineRule="exact"/>
        <w:jc w:val="left"/>
        <w:outlineLvl w:val="0"/>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3"/>
        <w:spacing w:line="560" w:lineRule="exact"/>
        <w:ind w:left="0" w:leftChars="0" w:firstLine="640"/>
        <w:rPr>
          <w:rFonts w:ascii="Times New Roman" w:eastAsia="仿宋_GB2312" w:cs="仿宋_GB2312"/>
          <w:kern w:val="0"/>
          <w:sz w:val="32"/>
        </w:rPr>
      </w:pPr>
    </w:p>
    <w:p>
      <w:pPr>
        <w:widowControl/>
        <w:jc w:val="center"/>
        <w:rPr>
          <w:rFonts w:hint="eastAsia" w:eastAsia="黑体"/>
          <w:sz w:val="44"/>
          <w:szCs w:val="44"/>
        </w:rPr>
      </w:pPr>
      <w:bookmarkStart w:id="47" w:name="_Toc15396618"/>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eastAsia="仿宋"/>
        </w:rPr>
      </w:pPr>
      <w:r>
        <w:rPr>
          <w:rFonts w:hint="eastAsia" w:eastAsia="黑体"/>
          <w:sz w:val="44"/>
          <w:szCs w:val="44"/>
        </w:rPr>
        <w:t>第</w:t>
      </w:r>
      <w:r>
        <w:rPr>
          <w:rStyle w:val="31"/>
          <w:rFonts w:hint="eastAsia" w:eastAsia="黑体"/>
          <w:b w:val="0"/>
        </w:rPr>
        <w:t>五部分 附表</w:t>
      </w:r>
      <w:bookmarkEnd w:id="46"/>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12"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Times New Roman"/>
        <w:kern w:val="0"/>
        <w:sz w:val="18"/>
        <w:szCs w:val="18"/>
        <w:lang w:val="en-US" w:eastAsia="zh-CN" w:bidi="ar-SA"/>
      </w:rPr>
      <w:pict>
        <v:shape id="文本框 2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rPr>
        <w:rFonts w:ascii="Calibri" w:hAnsi="Calibri" w:eastAsia="宋体" w:cs="Times New Roman"/>
        <w:kern w:val="0"/>
        <w:sz w:val="18"/>
        <w:szCs w:val="18"/>
        <w:lang w:val="en-US" w:eastAsia="zh-CN" w:bidi="ar-SA"/>
      </w:rPr>
      <w:pict>
        <v:shape id="文本框 21"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0661775">
    <w:nsid w:val="68F1910F"/>
    <w:multiLevelType w:val="singleLevel"/>
    <w:tmpl w:val="68F1910F"/>
    <w:lvl w:ilvl="0" w:tentative="1">
      <w:start w:val="9"/>
      <w:numFmt w:val="chineseCounting"/>
      <w:suff w:val="nothing"/>
      <w:lvlText w:val="%1、"/>
      <w:lvlJc w:val="left"/>
    </w:lvl>
  </w:abstractNum>
  <w:abstractNum w:abstractNumId="1760661696">
    <w:nsid w:val="68F190C0"/>
    <w:multiLevelType w:val="singleLevel"/>
    <w:tmpl w:val="68F190C0"/>
    <w:lvl w:ilvl="0" w:tentative="1">
      <w:start w:val="3"/>
      <w:numFmt w:val="chineseCounting"/>
      <w:suff w:val="nothing"/>
      <w:lvlText w:val="%1、"/>
      <w:lvlJc w:val="left"/>
    </w:lvl>
  </w:abstractNum>
  <w:abstractNum w:abstractNumId="1760661751">
    <w:nsid w:val="68F190F7"/>
    <w:multiLevelType w:val="singleLevel"/>
    <w:tmpl w:val="68F190F7"/>
    <w:lvl w:ilvl="0" w:tentative="1">
      <w:start w:val="7"/>
      <w:numFmt w:val="chineseCounting"/>
      <w:suff w:val="nothing"/>
      <w:lvlText w:val="%1、"/>
      <w:lvlJc w:val="left"/>
    </w:lvl>
  </w:abstractNum>
  <w:abstractNum w:abstractNumId="1760661723">
    <w:nsid w:val="68F190DB"/>
    <w:multiLevelType w:val="singleLevel"/>
    <w:tmpl w:val="68F190DB"/>
    <w:lvl w:ilvl="0" w:tentative="1">
      <w:start w:val="5"/>
      <w:numFmt w:val="chineseCounting"/>
      <w:suff w:val="nothing"/>
      <w:lvlText w:val="%1、"/>
      <w:lvlJc w:val="left"/>
    </w:lvl>
  </w:abstractNum>
  <w:abstractNum w:abstractNumId="1760335152">
    <w:nsid w:val="68EC9530"/>
    <w:multiLevelType w:val="singleLevel"/>
    <w:tmpl w:val="68EC9530"/>
    <w:lvl w:ilvl="0" w:tentative="1">
      <w:start w:val="1"/>
      <w:numFmt w:val="decimal"/>
      <w:suff w:val="nothing"/>
      <w:lvlText w:val="%1."/>
      <w:lvlJc w:val="left"/>
    </w:lvl>
  </w:abstractNum>
  <w:abstractNum w:abstractNumId="1760661671">
    <w:nsid w:val="68F190A7"/>
    <w:multiLevelType w:val="singleLevel"/>
    <w:tmpl w:val="68F190A7"/>
    <w:lvl w:ilvl="0" w:tentative="1">
      <w:start w:val="1"/>
      <w:numFmt w:val="chineseCounting"/>
      <w:suff w:val="nothing"/>
      <w:lvlText w:val="%1、"/>
      <w:lvlJc w:val="left"/>
    </w:lvl>
  </w:abstractNum>
  <w:abstractNum w:abstractNumId="1760337561">
    <w:nsid w:val="68EC9E99"/>
    <w:multiLevelType w:val="singleLevel"/>
    <w:tmpl w:val="68EC9E99"/>
    <w:lvl w:ilvl="0" w:tentative="1">
      <w:start w:val="3"/>
      <w:numFmt w:val="chineseCounting"/>
      <w:suff w:val="nothing"/>
      <w:lvlText w:val="（%1）"/>
      <w:lvlJc w:val="left"/>
    </w:lvl>
  </w:abstractNum>
  <w:num w:numId="1">
    <w:abstractNumId w:val="1760661671"/>
  </w:num>
  <w:num w:numId="2">
    <w:abstractNumId w:val="1760661696"/>
  </w:num>
  <w:num w:numId="3">
    <w:abstractNumId w:val="1760661723"/>
  </w:num>
  <w:num w:numId="4">
    <w:abstractNumId w:val="1760661751"/>
  </w:num>
  <w:num w:numId="5">
    <w:abstractNumId w:val="1760661775"/>
  </w:num>
  <w:num w:numId="6">
    <w:abstractNumId w:val="1760335152"/>
  </w:num>
  <w:num w:numId="7">
    <w:abstractNumId w:val="17603375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F7BAD"/>
    <w:rsid w:val="01F2533F"/>
    <w:rsid w:val="02574CE3"/>
    <w:rsid w:val="02F43C68"/>
    <w:rsid w:val="02FEBE30"/>
    <w:rsid w:val="03DE3866"/>
    <w:rsid w:val="042B1767"/>
    <w:rsid w:val="043E7102"/>
    <w:rsid w:val="04916F1E"/>
    <w:rsid w:val="05467935"/>
    <w:rsid w:val="055E4FDC"/>
    <w:rsid w:val="05C97F0E"/>
    <w:rsid w:val="061E35DE"/>
    <w:rsid w:val="066E0107"/>
    <w:rsid w:val="0747037F"/>
    <w:rsid w:val="076E27BD"/>
    <w:rsid w:val="07996F6E"/>
    <w:rsid w:val="07BE70C4"/>
    <w:rsid w:val="07DFD8BA"/>
    <w:rsid w:val="09867E8F"/>
    <w:rsid w:val="09EA50CF"/>
    <w:rsid w:val="0A164C9A"/>
    <w:rsid w:val="0A2032A3"/>
    <w:rsid w:val="0A2B13BC"/>
    <w:rsid w:val="0AD0794C"/>
    <w:rsid w:val="0B0E7430"/>
    <w:rsid w:val="0B7F09E9"/>
    <w:rsid w:val="0C610FDC"/>
    <w:rsid w:val="0CA8290A"/>
    <w:rsid w:val="0D1D4070"/>
    <w:rsid w:val="0D35B1ED"/>
    <w:rsid w:val="0D444E52"/>
    <w:rsid w:val="0D5166E6"/>
    <w:rsid w:val="0E003006"/>
    <w:rsid w:val="0E072991"/>
    <w:rsid w:val="0E254B6B"/>
    <w:rsid w:val="0E7C03D1"/>
    <w:rsid w:val="0EFE76A6"/>
    <w:rsid w:val="0F100C45"/>
    <w:rsid w:val="0F267565"/>
    <w:rsid w:val="0F8C6010"/>
    <w:rsid w:val="0F98263C"/>
    <w:rsid w:val="101860EC"/>
    <w:rsid w:val="101F47CC"/>
    <w:rsid w:val="10C055FF"/>
    <w:rsid w:val="10FD238D"/>
    <w:rsid w:val="11694EBD"/>
    <w:rsid w:val="11772AA4"/>
    <w:rsid w:val="118107EC"/>
    <w:rsid w:val="12E24EE2"/>
    <w:rsid w:val="130030B9"/>
    <w:rsid w:val="13D50BC4"/>
    <w:rsid w:val="14B17F78"/>
    <w:rsid w:val="15003E83"/>
    <w:rsid w:val="153B4F62"/>
    <w:rsid w:val="154C2C7E"/>
    <w:rsid w:val="15B33927"/>
    <w:rsid w:val="165E0673"/>
    <w:rsid w:val="16B831D5"/>
    <w:rsid w:val="16BB723D"/>
    <w:rsid w:val="177C0994"/>
    <w:rsid w:val="178A3504"/>
    <w:rsid w:val="17D11723"/>
    <w:rsid w:val="17E50567"/>
    <w:rsid w:val="186504BB"/>
    <w:rsid w:val="18656713"/>
    <w:rsid w:val="18A31A7B"/>
    <w:rsid w:val="19A32151"/>
    <w:rsid w:val="19A445FC"/>
    <w:rsid w:val="1A4F7538"/>
    <w:rsid w:val="1A710D72"/>
    <w:rsid w:val="1B1B5988"/>
    <w:rsid w:val="1BE8440E"/>
    <w:rsid w:val="1CC6347C"/>
    <w:rsid w:val="1D155CEE"/>
    <w:rsid w:val="1D1638FE"/>
    <w:rsid w:val="1E312DEB"/>
    <w:rsid w:val="1E740ACF"/>
    <w:rsid w:val="1F8232BD"/>
    <w:rsid w:val="1FF35744"/>
    <w:rsid w:val="1FF6BC77"/>
    <w:rsid w:val="203F2777"/>
    <w:rsid w:val="20510493"/>
    <w:rsid w:val="205C42A5"/>
    <w:rsid w:val="216C6661"/>
    <w:rsid w:val="2185500C"/>
    <w:rsid w:val="2186353C"/>
    <w:rsid w:val="21A223BE"/>
    <w:rsid w:val="223E69B9"/>
    <w:rsid w:val="23860B96"/>
    <w:rsid w:val="240371BF"/>
    <w:rsid w:val="244F3473"/>
    <w:rsid w:val="245473A9"/>
    <w:rsid w:val="24C97D99"/>
    <w:rsid w:val="25A718F0"/>
    <w:rsid w:val="25BB59F6"/>
    <w:rsid w:val="260F557C"/>
    <w:rsid w:val="26970054"/>
    <w:rsid w:val="27226242"/>
    <w:rsid w:val="274A6102"/>
    <w:rsid w:val="27536A11"/>
    <w:rsid w:val="27BC6441"/>
    <w:rsid w:val="281408E2"/>
    <w:rsid w:val="28A044B5"/>
    <w:rsid w:val="28FA0047"/>
    <w:rsid w:val="29626771"/>
    <w:rsid w:val="29A94967"/>
    <w:rsid w:val="29C067BD"/>
    <w:rsid w:val="29C50A14"/>
    <w:rsid w:val="29FD04D3"/>
    <w:rsid w:val="2A1C1423"/>
    <w:rsid w:val="2AD15A4E"/>
    <w:rsid w:val="2B070127"/>
    <w:rsid w:val="2B3012EB"/>
    <w:rsid w:val="2BFF7BC6"/>
    <w:rsid w:val="2C1C696A"/>
    <w:rsid w:val="2C8A61B5"/>
    <w:rsid w:val="2D064369"/>
    <w:rsid w:val="2DDF1ACE"/>
    <w:rsid w:val="2DF04E50"/>
    <w:rsid w:val="2E586DFA"/>
    <w:rsid w:val="2E691A32"/>
    <w:rsid w:val="2EAA249B"/>
    <w:rsid w:val="2EE338FA"/>
    <w:rsid w:val="2F040D46"/>
    <w:rsid w:val="2F6B035B"/>
    <w:rsid w:val="2FAE5751"/>
    <w:rsid w:val="2FB1A395"/>
    <w:rsid w:val="2FC94E71"/>
    <w:rsid w:val="2FD9A7D8"/>
    <w:rsid w:val="2FDBF714"/>
    <w:rsid w:val="307E6F1F"/>
    <w:rsid w:val="30AB6865"/>
    <w:rsid w:val="319F7F4E"/>
    <w:rsid w:val="32BD1EF1"/>
    <w:rsid w:val="3304709D"/>
    <w:rsid w:val="33660B60"/>
    <w:rsid w:val="33A773CB"/>
    <w:rsid w:val="347B2C27"/>
    <w:rsid w:val="349D6851"/>
    <w:rsid w:val="34C26C1E"/>
    <w:rsid w:val="3507608E"/>
    <w:rsid w:val="360E55BB"/>
    <w:rsid w:val="36480FDD"/>
    <w:rsid w:val="36AA5135"/>
    <w:rsid w:val="36BE0DA7"/>
    <w:rsid w:val="36FE0747"/>
    <w:rsid w:val="376B6AA6"/>
    <w:rsid w:val="376D39B2"/>
    <w:rsid w:val="379C734C"/>
    <w:rsid w:val="37E16F03"/>
    <w:rsid w:val="37EB70CB"/>
    <w:rsid w:val="37F53A3B"/>
    <w:rsid w:val="389926E7"/>
    <w:rsid w:val="389B6C89"/>
    <w:rsid w:val="38D469F0"/>
    <w:rsid w:val="38DA69D3"/>
    <w:rsid w:val="39627CCD"/>
    <w:rsid w:val="397BAF1F"/>
    <w:rsid w:val="39BA18C5"/>
    <w:rsid w:val="39DD52FC"/>
    <w:rsid w:val="3A947029"/>
    <w:rsid w:val="3AB79AF3"/>
    <w:rsid w:val="3AE834C0"/>
    <w:rsid w:val="3B364634"/>
    <w:rsid w:val="3B7EF35A"/>
    <w:rsid w:val="3B9FDB6C"/>
    <w:rsid w:val="3BF5BC2F"/>
    <w:rsid w:val="3BF868F0"/>
    <w:rsid w:val="3C242C38"/>
    <w:rsid w:val="3C7C494B"/>
    <w:rsid w:val="3CD5085D"/>
    <w:rsid w:val="3CEBA265"/>
    <w:rsid w:val="3D98207C"/>
    <w:rsid w:val="3DEE7CF3"/>
    <w:rsid w:val="3E675770"/>
    <w:rsid w:val="3E740A63"/>
    <w:rsid w:val="3E78745D"/>
    <w:rsid w:val="3EE17838"/>
    <w:rsid w:val="3EFC5C64"/>
    <w:rsid w:val="3F55381A"/>
    <w:rsid w:val="3F761188"/>
    <w:rsid w:val="3F7F7599"/>
    <w:rsid w:val="3FD47EC6"/>
    <w:rsid w:val="3FF4CAE0"/>
    <w:rsid w:val="3FF7B227"/>
    <w:rsid w:val="405A3622"/>
    <w:rsid w:val="409D5390"/>
    <w:rsid w:val="40B604B8"/>
    <w:rsid w:val="41011831"/>
    <w:rsid w:val="4220550C"/>
    <w:rsid w:val="42BA1E87"/>
    <w:rsid w:val="432D6943"/>
    <w:rsid w:val="43B655A2"/>
    <w:rsid w:val="44061EA9"/>
    <w:rsid w:val="44E268DA"/>
    <w:rsid w:val="450D13D7"/>
    <w:rsid w:val="45506656"/>
    <w:rsid w:val="45A560D2"/>
    <w:rsid w:val="45EF6B35"/>
    <w:rsid w:val="4663778A"/>
    <w:rsid w:val="4667038F"/>
    <w:rsid w:val="46FC6684"/>
    <w:rsid w:val="486A6C7A"/>
    <w:rsid w:val="49091495"/>
    <w:rsid w:val="49431DC1"/>
    <w:rsid w:val="4A627F82"/>
    <w:rsid w:val="4AE72472"/>
    <w:rsid w:val="4B0E749A"/>
    <w:rsid w:val="4B2477C4"/>
    <w:rsid w:val="4B4F25DA"/>
    <w:rsid w:val="4BD8527D"/>
    <w:rsid w:val="4BE068DB"/>
    <w:rsid w:val="4BF54BAD"/>
    <w:rsid w:val="4D577224"/>
    <w:rsid w:val="4DBF1CEB"/>
    <w:rsid w:val="4DF0007C"/>
    <w:rsid w:val="4E376061"/>
    <w:rsid w:val="4EAB630A"/>
    <w:rsid w:val="4ECE2238"/>
    <w:rsid w:val="4F3D590F"/>
    <w:rsid w:val="4F833267"/>
    <w:rsid w:val="4FB819D5"/>
    <w:rsid w:val="4FE9BD67"/>
    <w:rsid w:val="4FFB052F"/>
    <w:rsid w:val="500E23E4"/>
    <w:rsid w:val="50C17C89"/>
    <w:rsid w:val="50DF4CBB"/>
    <w:rsid w:val="511A741E"/>
    <w:rsid w:val="5203159A"/>
    <w:rsid w:val="52383FF3"/>
    <w:rsid w:val="52501699"/>
    <w:rsid w:val="52586AA6"/>
    <w:rsid w:val="52594527"/>
    <w:rsid w:val="52684B42"/>
    <w:rsid w:val="537E6D0A"/>
    <w:rsid w:val="53F74C96"/>
    <w:rsid w:val="541E510D"/>
    <w:rsid w:val="549363D0"/>
    <w:rsid w:val="55031F07"/>
    <w:rsid w:val="55170BA8"/>
    <w:rsid w:val="553218C9"/>
    <w:rsid w:val="55EC7FB8"/>
    <w:rsid w:val="565C59BC"/>
    <w:rsid w:val="567E1AA5"/>
    <w:rsid w:val="56850D7E"/>
    <w:rsid w:val="56E47B74"/>
    <w:rsid w:val="570F6AE4"/>
    <w:rsid w:val="57175D52"/>
    <w:rsid w:val="57BD3DD4"/>
    <w:rsid w:val="58456B61"/>
    <w:rsid w:val="593041B7"/>
    <w:rsid w:val="5AF92295"/>
    <w:rsid w:val="5B250254"/>
    <w:rsid w:val="5BB2427F"/>
    <w:rsid w:val="5BDD79E6"/>
    <w:rsid w:val="5BE22850"/>
    <w:rsid w:val="5BF561CA"/>
    <w:rsid w:val="5BF92475"/>
    <w:rsid w:val="5BFF5DFC"/>
    <w:rsid w:val="5C3B6762"/>
    <w:rsid w:val="5C7A0445"/>
    <w:rsid w:val="5CD71FC4"/>
    <w:rsid w:val="5D1F11B5"/>
    <w:rsid w:val="5D695134"/>
    <w:rsid w:val="5DAE1B18"/>
    <w:rsid w:val="5DB21DEA"/>
    <w:rsid w:val="5DE7D9E5"/>
    <w:rsid w:val="5ECEC941"/>
    <w:rsid w:val="5FBF9FF3"/>
    <w:rsid w:val="5FCD4E2C"/>
    <w:rsid w:val="5FEF394A"/>
    <w:rsid w:val="5FF67715"/>
    <w:rsid w:val="60DA7A74"/>
    <w:rsid w:val="62490F50"/>
    <w:rsid w:val="62BF3928"/>
    <w:rsid w:val="639B507A"/>
    <w:rsid w:val="63AF3D1A"/>
    <w:rsid w:val="63B3701E"/>
    <w:rsid w:val="644C161A"/>
    <w:rsid w:val="647F5392"/>
    <w:rsid w:val="648D643A"/>
    <w:rsid w:val="649D011F"/>
    <w:rsid w:val="65E66580"/>
    <w:rsid w:val="664B1D71"/>
    <w:rsid w:val="664B4E8E"/>
    <w:rsid w:val="66A504F5"/>
    <w:rsid w:val="67277B67"/>
    <w:rsid w:val="67AA3209"/>
    <w:rsid w:val="68F954C6"/>
    <w:rsid w:val="6941113D"/>
    <w:rsid w:val="698D0931"/>
    <w:rsid w:val="69EF7FDC"/>
    <w:rsid w:val="6A7FE5F3"/>
    <w:rsid w:val="6ACD57A4"/>
    <w:rsid w:val="6ADB565B"/>
    <w:rsid w:val="6B053271"/>
    <w:rsid w:val="6BDD78B3"/>
    <w:rsid w:val="6C4A05C8"/>
    <w:rsid w:val="6C5648C6"/>
    <w:rsid w:val="6C8742B8"/>
    <w:rsid w:val="6DBF5E93"/>
    <w:rsid w:val="6DFF077E"/>
    <w:rsid w:val="6E714EF0"/>
    <w:rsid w:val="6E7E3605"/>
    <w:rsid w:val="6E7FDCC7"/>
    <w:rsid w:val="6E992F04"/>
    <w:rsid w:val="6EC801D0"/>
    <w:rsid w:val="6ED461E0"/>
    <w:rsid w:val="6ED6A62E"/>
    <w:rsid w:val="6EE00B15"/>
    <w:rsid w:val="6F5B773E"/>
    <w:rsid w:val="6F6FB3EB"/>
    <w:rsid w:val="6F8731EA"/>
    <w:rsid w:val="6FCB457A"/>
    <w:rsid w:val="6FCE6052"/>
    <w:rsid w:val="6FD57C00"/>
    <w:rsid w:val="6FEFFFD8"/>
    <w:rsid w:val="6FF5CC65"/>
    <w:rsid w:val="6FFB47EC"/>
    <w:rsid w:val="6FFF034A"/>
    <w:rsid w:val="70484440"/>
    <w:rsid w:val="70AC5DE7"/>
    <w:rsid w:val="710C34B0"/>
    <w:rsid w:val="7118679B"/>
    <w:rsid w:val="712A28F1"/>
    <w:rsid w:val="715C0E4B"/>
    <w:rsid w:val="71992E7C"/>
    <w:rsid w:val="71F617D1"/>
    <w:rsid w:val="72233669"/>
    <w:rsid w:val="7237336F"/>
    <w:rsid w:val="7265643D"/>
    <w:rsid w:val="72734D90"/>
    <w:rsid w:val="73054CC1"/>
    <w:rsid w:val="731352DC"/>
    <w:rsid w:val="73160E6D"/>
    <w:rsid w:val="731D5BEB"/>
    <w:rsid w:val="7332FE48"/>
    <w:rsid w:val="73AB61DA"/>
    <w:rsid w:val="73AD73D5"/>
    <w:rsid w:val="73B6EB34"/>
    <w:rsid w:val="73FA497D"/>
    <w:rsid w:val="740E5173"/>
    <w:rsid w:val="744731E5"/>
    <w:rsid w:val="74A62D3F"/>
    <w:rsid w:val="74BBD01D"/>
    <w:rsid w:val="74E40DB1"/>
    <w:rsid w:val="74ED5379"/>
    <w:rsid w:val="75213D37"/>
    <w:rsid w:val="754664F5"/>
    <w:rsid w:val="75B545AA"/>
    <w:rsid w:val="75C500C8"/>
    <w:rsid w:val="75DEEEC2"/>
    <w:rsid w:val="75E32345"/>
    <w:rsid w:val="762400E1"/>
    <w:rsid w:val="76E3355F"/>
    <w:rsid w:val="76FF5125"/>
    <w:rsid w:val="77106DE5"/>
    <w:rsid w:val="776F6FFA"/>
    <w:rsid w:val="778769C8"/>
    <w:rsid w:val="77A75DCA"/>
    <w:rsid w:val="77DC22F5"/>
    <w:rsid w:val="783E271A"/>
    <w:rsid w:val="78616DE9"/>
    <w:rsid w:val="78AF20EC"/>
    <w:rsid w:val="78E875D7"/>
    <w:rsid w:val="78F14D7D"/>
    <w:rsid w:val="79086DAD"/>
    <w:rsid w:val="796C0E43"/>
    <w:rsid w:val="79731F5E"/>
    <w:rsid w:val="797C365C"/>
    <w:rsid w:val="79D7FD79"/>
    <w:rsid w:val="79EE5BA4"/>
    <w:rsid w:val="7A894339"/>
    <w:rsid w:val="7AD284E8"/>
    <w:rsid w:val="7AE21CA9"/>
    <w:rsid w:val="7AFF7572"/>
    <w:rsid w:val="7B0A53EC"/>
    <w:rsid w:val="7B6C7DFB"/>
    <w:rsid w:val="7BBFBED0"/>
    <w:rsid w:val="7BC3E394"/>
    <w:rsid w:val="7C035604"/>
    <w:rsid w:val="7C1F3737"/>
    <w:rsid w:val="7CBFC87B"/>
    <w:rsid w:val="7CFE0F48"/>
    <w:rsid w:val="7D272ABC"/>
    <w:rsid w:val="7D4D33E2"/>
    <w:rsid w:val="7D7EC23E"/>
    <w:rsid w:val="7DFA7CB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List Paragraph"/>
    <w:basedOn w:val="1"/>
    <w:qFormat/>
    <w:uiPriority w:val="34"/>
    <w:pPr>
      <w:ind w:firstLine="420" w:firstLineChars="200"/>
    </w:pPr>
  </w:style>
  <w:style w:type="paragraph" w:customStyle="1" w:styleId="22">
    <w:name w:val="TOC 标题1"/>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3">
    <w:name w:val="TOC 标题2"/>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4">
    <w:name w:val="四号正文"/>
    <w:basedOn w:val="1"/>
    <w:qFormat/>
    <w:uiPriority w:val="0"/>
    <w:pPr>
      <w:spacing w:line="360" w:lineRule="auto"/>
    </w:pPr>
    <w:rPr>
      <w:rFonts w:ascii="??" w:hAnsi="??"/>
      <w:color w:val="000000"/>
      <w:kern w:val="0"/>
      <w:sz w:val="28"/>
      <w:szCs w:val="21"/>
      <w:lang w:val="zh-CN"/>
    </w:rPr>
  </w:style>
  <w:style w:type="character" w:customStyle="1" w:styleId="25">
    <w:name w:val="Header Char"/>
    <w:basedOn w:val="15"/>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5"/>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5"/>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character" w:customStyle="1" w:styleId="31">
    <w:name w:val="标题 1 Char"/>
    <w:basedOn w:val="15"/>
    <w:link w:val="5"/>
    <w:qFormat/>
    <w:uiPriority w:val="9"/>
    <w:rPr>
      <w:rFonts w:ascii="Times New Roman" w:hAnsi="Times New Roman"/>
      <w:b/>
      <w:bCs/>
      <w:kern w:val="44"/>
      <w:sz w:val="44"/>
      <w:szCs w:val="44"/>
    </w:rPr>
  </w:style>
  <w:style w:type="character" w:customStyle="1" w:styleId="32">
    <w:name w:val="标题 2 Char"/>
    <w:basedOn w:val="15"/>
    <w:link w:val="6"/>
    <w:qFormat/>
    <w:uiPriority w:val="9"/>
    <w:rPr>
      <w:rFonts w:ascii="Cambria" w:hAnsi="Cambria" w:eastAsia="宋体" w:cs="黑体"/>
      <w:b/>
      <w:bCs/>
      <w:kern w:val="2"/>
      <w:sz w:val="32"/>
      <w:szCs w:val="32"/>
    </w:rPr>
  </w:style>
  <w:style w:type="character" w:customStyle="1" w:styleId="33">
    <w:name w:val="批注框文本 Char"/>
    <w:basedOn w:val="15"/>
    <w:link w:val="10"/>
    <w:semiHidden/>
    <w:qFormat/>
    <w:uiPriority w:val="99"/>
    <w:rPr>
      <w:rFonts w:ascii="Times New Roman" w:hAnsi="Times New Roman"/>
      <w:kern w:val="2"/>
      <w:sz w:val="18"/>
      <w:szCs w:val="18"/>
    </w:rPr>
  </w:style>
  <w:style w:type="character" w:customStyle="1" w:styleId="34">
    <w:name w:val="标题 3 Char"/>
    <w:basedOn w:val="15"/>
    <w:link w:val="7"/>
    <w:qFormat/>
    <w:uiPriority w:val="9"/>
    <w:rPr>
      <w:rFonts w:ascii="Times New Roman" w:hAnsi="Times New Roman"/>
      <w:b/>
      <w:bCs/>
      <w:kern w:val="2"/>
      <w:sz w:val="32"/>
      <w:szCs w:val="32"/>
    </w:rPr>
  </w:style>
  <w:style w:type="character" w:customStyle="1" w:styleId="35">
    <w:name w:val="标题 2 字符"/>
    <w:basedOn w:val="15"/>
    <w:link w:val="6"/>
    <w:qFormat/>
    <w:uiPriority w:val="9"/>
    <w:rPr>
      <w:rFonts w:ascii="Cambria" w:hAnsi="Cambria" w:eastAsia="宋体" w:cs="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emf"/><Relationship Id="rId23" Type="http://schemas.openxmlformats.org/officeDocument/2006/relationships/oleObject" Target="embeddings/oleObject5.bin"/><Relationship Id="rId22" Type="http://schemas.openxmlformats.org/officeDocument/2006/relationships/image" Target="media/image5.emf"/><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tyles" Target="style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2025-10-10T03:06:00Z</cp:lastPrinted>
  <dcterms:modified xsi:type="dcterms:W3CDTF">2025-10-17T07:01:14Z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04787F2533EB45DC91BCDE4AB213247F</vt:lpwstr>
  </property>
</Properties>
</file>