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8D" w:rsidRDefault="0088708D">
      <w:pPr>
        <w:pStyle w:val="a5"/>
        <w:spacing w:before="93"/>
        <w:rPr>
          <w:rFonts w:ascii="Times New Roman" w:eastAsia="方正小标宋简体"/>
          <w:kern w:val="2"/>
          <w:sz w:val="72"/>
          <w:szCs w:val="72"/>
        </w:rPr>
      </w:pPr>
      <w:bookmarkStart w:id="0" w:name="_Toc15396597"/>
      <w:bookmarkStart w:id="1" w:name="_Toc15396475"/>
      <w:bookmarkStart w:id="2" w:name="_Toc15378441"/>
      <w:bookmarkStart w:id="3" w:name="_Toc15306267"/>
      <w:bookmarkStart w:id="4" w:name="_Toc15377193"/>
      <w:bookmarkStart w:id="5" w:name="_Toc15377425"/>
    </w:p>
    <w:p w:rsidR="0088708D" w:rsidRDefault="0088708D">
      <w:pPr>
        <w:pStyle w:val="a5"/>
        <w:spacing w:before="93"/>
        <w:rPr>
          <w:rFonts w:ascii="Times New Roman" w:eastAsia="方正小标宋简体"/>
          <w:kern w:val="2"/>
          <w:sz w:val="72"/>
          <w:szCs w:val="72"/>
        </w:rPr>
      </w:pPr>
    </w:p>
    <w:p w:rsidR="0088708D" w:rsidRDefault="0088708D">
      <w:pPr>
        <w:pStyle w:val="a5"/>
        <w:spacing w:before="93"/>
        <w:rPr>
          <w:rFonts w:ascii="Times New Roman" w:eastAsia="方正小标宋简体"/>
          <w:kern w:val="2"/>
          <w:sz w:val="72"/>
          <w:szCs w:val="72"/>
        </w:rPr>
      </w:pPr>
    </w:p>
    <w:p w:rsidR="0088708D" w:rsidRDefault="00350D14">
      <w:pPr>
        <w:pStyle w:val="a5"/>
        <w:spacing w:before="93"/>
        <w:jc w:val="center"/>
        <w:rPr>
          <w:rFonts w:ascii="Times New Roman" w:eastAsia="方正小标宋简体"/>
          <w:kern w:val="2"/>
          <w:sz w:val="72"/>
          <w:szCs w:val="72"/>
        </w:rPr>
      </w:pPr>
      <w:r>
        <w:rPr>
          <w:rFonts w:ascii="Times New Roman" w:eastAsia="方正小标宋简体" w:hint="eastAsia"/>
          <w:kern w:val="2"/>
          <w:sz w:val="72"/>
          <w:szCs w:val="72"/>
        </w:rPr>
        <w:t>2024</w:t>
      </w:r>
      <w:r>
        <w:rPr>
          <w:rFonts w:ascii="Times New Roman" w:eastAsia="方正小标宋简体" w:hint="eastAsia"/>
          <w:kern w:val="2"/>
          <w:sz w:val="72"/>
          <w:szCs w:val="72"/>
        </w:rPr>
        <w:t>年度</w:t>
      </w:r>
    </w:p>
    <w:p w:rsidR="0073218C" w:rsidRDefault="00350D14">
      <w:pPr>
        <w:pStyle w:val="a5"/>
        <w:spacing w:before="93"/>
        <w:jc w:val="center"/>
        <w:rPr>
          <w:rFonts w:ascii="Times New Roman" w:eastAsia="方正小标宋简体"/>
          <w:kern w:val="2"/>
          <w:sz w:val="72"/>
          <w:szCs w:val="72"/>
        </w:rPr>
      </w:pPr>
      <w:r>
        <w:rPr>
          <w:rFonts w:ascii="Times New Roman" w:eastAsia="方正小标宋简体" w:hint="eastAsia"/>
          <w:kern w:val="2"/>
          <w:sz w:val="72"/>
          <w:szCs w:val="72"/>
        </w:rPr>
        <w:t>盐边县融媒体中心</w:t>
      </w:r>
      <w:r w:rsidR="0073218C">
        <w:rPr>
          <w:rFonts w:ascii="Times New Roman" w:eastAsia="方正小标宋简体" w:hint="eastAsia"/>
          <w:kern w:val="2"/>
          <w:sz w:val="72"/>
          <w:szCs w:val="72"/>
        </w:rPr>
        <w:t>单位</w:t>
      </w:r>
    </w:p>
    <w:p w:rsidR="0088708D" w:rsidRDefault="00350D14">
      <w:pPr>
        <w:pStyle w:val="a5"/>
        <w:spacing w:before="93"/>
        <w:jc w:val="center"/>
        <w:rPr>
          <w:rFonts w:ascii="Times New Roman" w:eastAsia="方正小标宋简体"/>
          <w:kern w:val="2"/>
          <w:sz w:val="72"/>
          <w:szCs w:val="72"/>
        </w:rPr>
      </w:pPr>
      <w:r>
        <w:rPr>
          <w:rFonts w:ascii="Times New Roman" w:eastAsia="方正小标宋简体" w:hint="eastAsia"/>
          <w:kern w:val="2"/>
          <w:sz w:val="72"/>
          <w:szCs w:val="72"/>
        </w:rPr>
        <w:t>决算公开编制说明</w:t>
      </w:r>
    </w:p>
    <w:p w:rsidR="0088708D" w:rsidRDefault="0088708D">
      <w:pPr>
        <w:spacing w:line="600" w:lineRule="exact"/>
        <w:jc w:val="center"/>
        <w:outlineLvl w:val="0"/>
        <w:rPr>
          <w:rFonts w:eastAsia="方正小标宋简体"/>
          <w:sz w:val="72"/>
          <w:szCs w:val="72"/>
        </w:rPr>
      </w:pPr>
    </w:p>
    <w:p w:rsidR="0088708D" w:rsidRDefault="0088708D">
      <w:pPr>
        <w:pStyle w:val="50"/>
        <w:rPr>
          <w:rFonts w:ascii="Times New Roman" w:hAnsi="Times New Roman"/>
        </w:rPr>
        <w:sectPr w:rsidR="0088708D">
          <w:headerReference w:type="default" r:id="rId9"/>
          <w:footerReference w:type="default" r:id="rId10"/>
          <w:headerReference w:type="first" r:id="rId11"/>
          <w:footerReference w:type="first" r:id="rId12"/>
          <w:pgSz w:w="11906" w:h="16838"/>
          <w:pgMar w:top="1440" w:right="1800" w:bottom="1440" w:left="1800" w:header="851" w:footer="992" w:gutter="0"/>
          <w:pgNumType w:fmt="numberInDash" w:start="1"/>
          <w:cols w:space="425"/>
          <w:titlePg/>
          <w:docGrid w:type="lines" w:linePitch="312"/>
        </w:sectPr>
      </w:pPr>
    </w:p>
    <w:p w:rsidR="0088708D" w:rsidRDefault="0088708D"/>
    <w:bookmarkEnd w:id="0"/>
    <w:bookmarkEnd w:id="1"/>
    <w:bookmarkEnd w:id="2"/>
    <w:bookmarkEnd w:id="3"/>
    <w:bookmarkEnd w:id="4"/>
    <w:bookmarkEnd w:id="5"/>
    <w:p w:rsidR="0088708D" w:rsidRDefault="00350D14">
      <w:pPr>
        <w:widowControl/>
        <w:jc w:val="center"/>
        <w:rPr>
          <w:rFonts w:eastAsia="黑体"/>
          <w:sz w:val="48"/>
          <w:szCs w:val="48"/>
        </w:rPr>
      </w:pPr>
      <w:r>
        <w:rPr>
          <w:rFonts w:eastAsia="黑体" w:hint="eastAsia"/>
          <w:sz w:val="48"/>
          <w:szCs w:val="48"/>
        </w:rPr>
        <w:t>目录</w:t>
      </w:r>
    </w:p>
    <w:p w:rsidR="0088708D" w:rsidRDefault="0088708D">
      <w:pPr>
        <w:widowControl/>
        <w:jc w:val="center"/>
        <w:rPr>
          <w:rFonts w:eastAsia="黑体" w:cstheme="minorBidi"/>
          <w:sz w:val="28"/>
          <w:szCs w:val="28"/>
        </w:rPr>
      </w:pPr>
    </w:p>
    <w:p w:rsidR="0088708D" w:rsidRDefault="00350D14">
      <w:pPr>
        <w:pStyle w:val="10"/>
        <w:rPr>
          <w:rFonts w:ascii="Times New Roman" w:eastAsia="仿宋_GB2312" w:hAnsi="Times New Roman" w:cs="仿宋_GB2312"/>
        </w:rPr>
      </w:pPr>
      <w:r>
        <w:rPr>
          <w:rFonts w:ascii="Times New Roman" w:eastAsia="仿宋_GB2312" w:hAnsi="Times New Roman" w:cs="仿宋_GB2312" w:hint="eastAsia"/>
        </w:rPr>
        <w:t>公开时间：</w:t>
      </w:r>
      <w:r>
        <w:rPr>
          <w:rFonts w:ascii="Times New Roman" w:eastAsia="仿宋_GB2312" w:hAnsi="Times New Roman" w:cs="仿宋_GB2312" w:hint="eastAsia"/>
        </w:rPr>
        <w:t>2025</w:t>
      </w:r>
      <w:r>
        <w:rPr>
          <w:rFonts w:ascii="Times New Roman" w:eastAsia="仿宋_GB2312" w:hAnsi="Times New Roman" w:cs="仿宋_GB2312" w:hint="eastAsia"/>
        </w:rPr>
        <w:t>年</w:t>
      </w:r>
      <w:r>
        <w:rPr>
          <w:rFonts w:ascii="Times New Roman" w:eastAsia="仿宋_GB2312" w:hAnsi="Times New Roman" w:cs="仿宋_GB2312" w:hint="eastAsia"/>
        </w:rPr>
        <w:t>10</w:t>
      </w:r>
      <w:r>
        <w:rPr>
          <w:rFonts w:ascii="Times New Roman" w:eastAsia="仿宋_GB2312" w:hAnsi="Times New Roman" w:cs="仿宋_GB2312" w:hint="eastAsia"/>
        </w:rPr>
        <w:t>月</w:t>
      </w:r>
      <w:r>
        <w:rPr>
          <w:rFonts w:ascii="Times New Roman" w:eastAsia="仿宋_GB2312" w:hAnsi="Times New Roman" w:cs="仿宋_GB2312" w:hint="eastAsia"/>
        </w:rPr>
        <w:t>28</w:t>
      </w:r>
      <w:r>
        <w:rPr>
          <w:rFonts w:ascii="Times New Roman" w:eastAsia="仿宋_GB2312" w:hAnsi="Times New Roman" w:cs="仿宋_GB2312" w:hint="eastAsia"/>
        </w:rPr>
        <w:t>日</w:t>
      </w:r>
    </w:p>
    <w:p w:rsidR="0088708D" w:rsidRDefault="0088708D">
      <w:pPr>
        <w:rPr>
          <w:sz w:val="28"/>
          <w:szCs w:val="28"/>
        </w:rPr>
      </w:pPr>
    </w:p>
    <w:p w:rsidR="0088708D" w:rsidRDefault="00350D14">
      <w:pPr>
        <w:pStyle w:val="10"/>
        <w:adjustRightInd w:val="0"/>
        <w:snapToGrid w:val="0"/>
        <w:spacing w:before="0" w:line="560" w:lineRule="exact"/>
        <w:jc w:val="left"/>
        <w:rPr>
          <w:rFonts w:ascii="Times New Roman" w:eastAsia="黑体" w:hAnsi="Times New Roman" w:cs="黑体"/>
        </w:rPr>
      </w:pPr>
      <w:r>
        <w:rPr>
          <w:rFonts w:ascii="Times New Roman" w:eastAsia="黑体" w:hAnsi="Times New Roman" w:cs="黑体" w:hint="eastAsia"/>
        </w:rPr>
        <w:t>第一部分</w:t>
      </w:r>
      <w:r>
        <w:rPr>
          <w:rFonts w:ascii="Times New Roman" w:eastAsia="黑体" w:hAnsi="Times New Roman" w:cs="黑体" w:hint="eastAsia"/>
        </w:rPr>
        <w:t xml:space="preserve"> </w:t>
      </w:r>
      <w:r>
        <w:rPr>
          <w:rFonts w:ascii="Times New Roman" w:eastAsia="黑体" w:hAnsi="Times New Roman" w:cs="黑体" w:hint="eastAsia"/>
        </w:rPr>
        <w:t>单位概况</w:t>
      </w:r>
      <w:r>
        <w:rPr>
          <w:rFonts w:ascii="宋体" w:hAnsi="宋体" w:hint="eastAsia"/>
          <w:sz w:val="24"/>
        </w:rPr>
        <w:tab/>
        <w:t>4</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一、主要职责</w:t>
      </w:r>
      <w:bookmarkStart w:id="6" w:name="OLE_LINK56"/>
      <w:bookmarkStart w:id="7" w:name="OLE_LINK57"/>
      <w:r>
        <w:rPr>
          <w:rFonts w:ascii="宋体" w:hAnsi="宋体" w:hint="eastAsia"/>
          <w:sz w:val="24"/>
        </w:rPr>
        <w:tab/>
        <w:t>4</w:t>
      </w:r>
      <w:bookmarkEnd w:id="6"/>
      <w:bookmarkEnd w:id="7"/>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二、机构设置</w:t>
      </w:r>
      <w:r>
        <w:rPr>
          <w:rFonts w:ascii="宋体" w:hAnsi="宋体" w:hint="eastAsia"/>
          <w:sz w:val="24"/>
        </w:rPr>
        <w:tab/>
        <w:t>4</w:t>
      </w:r>
    </w:p>
    <w:p w:rsidR="0088708D" w:rsidRDefault="00350D14">
      <w:pPr>
        <w:pStyle w:val="10"/>
        <w:adjustRightInd w:val="0"/>
        <w:snapToGrid w:val="0"/>
        <w:spacing w:before="0" w:line="560" w:lineRule="exact"/>
        <w:jc w:val="left"/>
        <w:rPr>
          <w:rFonts w:ascii="Times New Roman" w:eastAsia="黑体" w:hAnsi="Times New Roman" w:cs="黑体"/>
        </w:rPr>
      </w:pPr>
      <w:r>
        <w:rPr>
          <w:rFonts w:ascii="Times New Roman" w:eastAsia="黑体" w:hAnsi="Times New Roman" w:cs="黑体" w:hint="eastAsia"/>
        </w:rPr>
        <w:t>第二部分</w:t>
      </w:r>
      <w:r>
        <w:rPr>
          <w:rFonts w:ascii="Times New Roman" w:eastAsia="黑体" w:hAnsi="Times New Roman" w:cs="黑体" w:hint="eastAsia"/>
        </w:rPr>
        <w:t xml:space="preserve"> 2024</w:t>
      </w:r>
      <w:r>
        <w:rPr>
          <w:rFonts w:ascii="Times New Roman" w:eastAsia="黑体" w:hAnsi="Times New Roman" w:cs="黑体" w:hint="eastAsia"/>
        </w:rPr>
        <w:t>年度部门决算情况说明</w:t>
      </w:r>
      <w:r>
        <w:rPr>
          <w:rFonts w:ascii="宋体" w:hAnsi="宋体" w:hint="eastAsia"/>
          <w:sz w:val="24"/>
        </w:rPr>
        <w:tab/>
        <w:t>5</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一、收入支出决算总体情况说明</w:t>
      </w:r>
      <w:bookmarkStart w:id="8" w:name="OLE_LINK29"/>
      <w:bookmarkStart w:id="9" w:name="OLE_LINK32"/>
      <w:r>
        <w:rPr>
          <w:rFonts w:ascii="宋体" w:hAnsi="宋体" w:hint="eastAsia"/>
          <w:sz w:val="24"/>
        </w:rPr>
        <w:tab/>
        <w:t>5</w:t>
      </w:r>
      <w:bookmarkEnd w:id="8"/>
      <w:bookmarkEnd w:id="9"/>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二、收入决算情况说明</w:t>
      </w:r>
      <w:r>
        <w:rPr>
          <w:rFonts w:ascii="宋体" w:hAnsi="宋体" w:hint="eastAsia"/>
          <w:sz w:val="24"/>
        </w:rPr>
        <w:tab/>
        <w:t>5</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三、支出决算情况说明</w:t>
      </w:r>
      <w:r>
        <w:rPr>
          <w:rFonts w:ascii="宋体" w:hAnsi="宋体" w:hint="eastAsia"/>
          <w:sz w:val="24"/>
        </w:rPr>
        <w:tab/>
        <w:t>6</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四、财政拨款收入支出决算总体情况说明</w:t>
      </w:r>
      <w:r>
        <w:rPr>
          <w:rFonts w:ascii="宋体" w:hAnsi="宋体" w:hint="eastAsia"/>
          <w:sz w:val="24"/>
        </w:rPr>
        <w:tab/>
        <w:t>6</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五、一般公共预算财政拨款支出决算情况说明</w:t>
      </w:r>
      <w:r>
        <w:rPr>
          <w:rFonts w:ascii="宋体" w:hAnsi="宋体" w:hint="eastAsia"/>
          <w:sz w:val="24"/>
        </w:rPr>
        <w:tab/>
        <w:t>7</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六、一般公共预算财政拨款基本支出决算情况说明</w:t>
      </w:r>
      <w:r>
        <w:rPr>
          <w:rFonts w:ascii="宋体" w:hAnsi="宋体" w:hint="eastAsia"/>
          <w:sz w:val="24"/>
        </w:rPr>
        <w:tab/>
        <w:t>9</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七、财政拨款“三公”经费支出决算情况说明</w:t>
      </w:r>
      <w:r>
        <w:rPr>
          <w:rFonts w:ascii="宋体" w:hAnsi="宋体" w:hint="eastAsia"/>
          <w:sz w:val="24"/>
        </w:rPr>
        <w:tab/>
        <w:t>10</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八、政府性基金预算支出决算情况说明</w:t>
      </w:r>
      <w:r>
        <w:rPr>
          <w:rFonts w:ascii="宋体" w:hAnsi="宋体" w:hint="eastAsia"/>
          <w:sz w:val="24"/>
        </w:rPr>
        <w:tab/>
        <w:t>11</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九、国有资本经营预算支出决算情况说明</w:t>
      </w:r>
      <w:r>
        <w:rPr>
          <w:rFonts w:ascii="宋体" w:hAnsi="宋体" w:hint="eastAsia"/>
          <w:sz w:val="24"/>
        </w:rPr>
        <w:tab/>
        <w:t>11</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十、其他重要事项的情况说明</w:t>
      </w:r>
      <w:r>
        <w:rPr>
          <w:rFonts w:ascii="宋体" w:hAnsi="宋体" w:hint="eastAsia"/>
          <w:sz w:val="24"/>
        </w:rPr>
        <w:tab/>
        <w:t>11</w:t>
      </w:r>
    </w:p>
    <w:p w:rsidR="0088708D" w:rsidRDefault="00350D14">
      <w:pPr>
        <w:pStyle w:val="10"/>
        <w:adjustRightInd w:val="0"/>
        <w:snapToGrid w:val="0"/>
        <w:spacing w:before="0" w:line="560" w:lineRule="exact"/>
        <w:jc w:val="left"/>
        <w:rPr>
          <w:rFonts w:ascii="Times New Roman" w:eastAsia="黑体" w:hAnsi="Times New Roman" w:cs="黑体"/>
        </w:rPr>
      </w:pPr>
      <w:r>
        <w:rPr>
          <w:rFonts w:ascii="Times New Roman" w:eastAsia="黑体" w:hAnsi="Times New Roman" w:cs="黑体" w:hint="eastAsia"/>
        </w:rPr>
        <w:t>第三部分</w:t>
      </w:r>
      <w:r>
        <w:rPr>
          <w:rFonts w:ascii="Times New Roman" w:eastAsia="黑体" w:hAnsi="Times New Roman" w:cs="黑体" w:hint="eastAsia"/>
        </w:rPr>
        <w:t xml:space="preserve"> </w:t>
      </w:r>
      <w:r>
        <w:rPr>
          <w:rFonts w:ascii="Times New Roman" w:eastAsia="黑体" w:hAnsi="Times New Roman" w:cs="黑体" w:hint="eastAsia"/>
        </w:rPr>
        <w:t>名词解释</w:t>
      </w:r>
      <w:r>
        <w:rPr>
          <w:rFonts w:ascii="宋体" w:hAnsi="宋体" w:hint="eastAsia"/>
          <w:sz w:val="24"/>
        </w:rPr>
        <w:tab/>
        <w:t>14</w:t>
      </w:r>
    </w:p>
    <w:p w:rsidR="0088708D" w:rsidRDefault="00350D14">
      <w:pPr>
        <w:pStyle w:val="10"/>
        <w:adjustRightInd w:val="0"/>
        <w:snapToGrid w:val="0"/>
        <w:spacing w:before="0" w:line="560" w:lineRule="exact"/>
        <w:jc w:val="left"/>
        <w:rPr>
          <w:rFonts w:ascii="Times New Roman" w:eastAsia="黑体" w:hAnsi="Times New Roman" w:cs="黑体"/>
        </w:rPr>
      </w:pPr>
      <w:r>
        <w:rPr>
          <w:rFonts w:ascii="Times New Roman" w:eastAsia="黑体" w:hAnsi="Times New Roman" w:cs="黑体" w:hint="eastAsia"/>
        </w:rPr>
        <w:t>第四部分</w:t>
      </w:r>
      <w:r>
        <w:rPr>
          <w:rFonts w:ascii="Times New Roman" w:eastAsia="黑体" w:hAnsi="Times New Roman" w:cs="黑体" w:hint="eastAsia"/>
        </w:rPr>
        <w:t xml:space="preserve"> </w:t>
      </w:r>
      <w:r>
        <w:rPr>
          <w:rFonts w:ascii="Times New Roman" w:eastAsia="黑体" w:hAnsi="Times New Roman" w:cs="黑体" w:hint="eastAsia"/>
        </w:rPr>
        <w:t>附件</w:t>
      </w:r>
      <w:r>
        <w:rPr>
          <w:rFonts w:ascii="宋体" w:hAnsi="宋体" w:hint="eastAsia"/>
          <w:sz w:val="24"/>
        </w:rPr>
        <w:tab/>
        <w:t>17</w:t>
      </w:r>
    </w:p>
    <w:p w:rsidR="0088708D" w:rsidRDefault="00350D14">
      <w:pPr>
        <w:pStyle w:val="10"/>
        <w:adjustRightInd w:val="0"/>
        <w:snapToGrid w:val="0"/>
        <w:spacing w:before="0" w:line="560" w:lineRule="exact"/>
        <w:jc w:val="left"/>
        <w:rPr>
          <w:rFonts w:ascii="Times New Roman" w:eastAsia="黑体" w:hAnsi="Times New Roman" w:cs="黑体"/>
        </w:rPr>
      </w:pPr>
      <w:r>
        <w:rPr>
          <w:rFonts w:ascii="Times New Roman" w:eastAsia="黑体" w:hAnsi="Times New Roman" w:cs="黑体" w:hint="eastAsia"/>
        </w:rPr>
        <w:t>第五部分</w:t>
      </w:r>
      <w:r>
        <w:rPr>
          <w:rFonts w:ascii="Times New Roman" w:eastAsia="黑体" w:hAnsi="Times New Roman" w:cs="黑体" w:hint="eastAsia"/>
        </w:rPr>
        <w:t xml:space="preserve"> </w:t>
      </w:r>
      <w:r>
        <w:rPr>
          <w:rFonts w:ascii="Times New Roman" w:eastAsia="黑体" w:hAnsi="Times New Roman" w:cs="黑体" w:hint="eastAsia"/>
        </w:rPr>
        <w:t>附表</w:t>
      </w:r>
      <w:bookmarkStart w:id="10" w:name="OLE_LINK48"/>
      <w:r>
        <w:rPr>
          <w:rFonts w:ascii="宋体" w:hAnsi="宋体" w:hint="eastAsia"/>
          <w:sz w:val="24"/>
        </w:rPr>
        <w:tab/>
        <w:t>2</w:t>
      </w:r>
      <w:bookmarkEnd w:id="10"/>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一、收入支出决算总表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二、收入决算表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lastRenderedPageBreak/>
        <w:t>三、支出决算表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四、财政拨款收入支出决算总表</w:t>
      </w:r>
      <w:r>
        <w:rPr>
          <w:rFonts w:ascii="宋体" w:hAnsi="宋体" w:hint="eastAsia"/>
          <w:sz w:val="24"/>
        </w:rPr>
        <w:tab/>
      </w:r>
      <w:r w:rsidR="0073218C">
        <w:rPr>
          <w:rFonts w:ascii="宋体" w:hAnsi="宋体" w:hint="eastAsia"/>
          <w:sz w:val="24"/>
        </w:rPr>
        <w:t>22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五、财政拨款支出决算明细表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六、一般公共预算财政拨款支出决算表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七、一般公共预算财政拨款支出决算明细表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八、一般公共预算财政拨款基本支出决算明细表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九、一般公共预算财政拨款项目支出决算表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十、政府性基金预算财政拨款收入支出决算表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十一、国有资本经营预算财政拨款收入支出决算表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十二、国有资本经营预算财政拨款支出决算表</w:t>
      </w:r>
      <w:r>
        <w:rPr>
          <w:rFonts w:ascii="宋体" w:hAnsi="宋体" w:hint="eastAsia"/>
          <w:sz w:val="24"/>
        </w:rPr>
        <w:tab/>
        <w:t>2</w:t>
      </w:r>
      <w:r w:rsidR="0073218C">
        <w:rPr>
          <w:rFonts w:ascii="宋体" w:hAnsi="宋体" w:hint="eastAsia"/>
          <w:sz w:val="24"/>
        </w:rPr>
        <w:t>2</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十三、财政拨款“三公”经费支出决算表</w:t>
      </w:r>
      <w:r>
        <w:rPr>
          <w:rFonts w:ascii="宋体" w:hAnsi="宋体" w:hint="eastAsia"/>
          <w:sz w:val="24"/>
        </w:rPr>
        <w:tab/>
        <w:t>2</w:t>
      </w:r>
      <w:r w:rsidR="0073218C">
        <w:rPr>
          <w:rFonts w:ascii="宋体" w:hAnsi="宋体" w:hint="eastAsia"/>
          <w:sz w:val="24"/>
        </w:rPr>
        <w:t>2</w:t>
      </w:r>
    </w:p>
    <w:p w:rsidR="0088708D" w:rsidRDefault="00350D14">
      <w:pPr>
        <w:widowControl/>
        <w:spacing w:line="560" w:lineRule="exact"/>
        <w:jc w:val="left"/>
        <w:rPr>
          <w:rFonts w:eastAsia="仿宋_GB2312" w:cs="仿宋_GB2312"/>
          <w:bCs/>
          <w:kern w:val="44"/>
          <w:sz w:val="24"/>
        </w:rPr>
      </w:pPr>
      <w:bookmarkStart w:id="11" w:name="_Toc15377196"/>
      <w:bookmarkStart w:id="12" w:name="_Toc15396599"/>
      <w:r>
        <w:rPr>
          <w:rFonts w:eastAsia="仿宋_GB2312" w:cs="仿宋_GB2312" w:hint="eastAsia"/>
          <w:b/>
          <w:sz w:val="24"/>
        </w:rPr>
        <w:br w:type="page"/>
      </w:r>
    </w:p>
    <w:p w:rsidR="0088708D" w:rsidRDefault="00350D14">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单位概况</w:t>
      </w:r>
      <w:bookmarkEnd w:id="11"/>
      <w:bookmarkEnd w:id="12"/>
    </w:p>
    <w:p w:rsidR="0088708D" w:rsidRDefault="0088708D">
      <w:pPr>
        <w:widowControl/>
        <w:jc w:val="left"/>
        <w:rPr>
          <w:rFonts w:eastAsia="黑体"/>
          <w:sz w:val="32"/>
          <w:szCs w:val="32"/>
        </w:rPr>
      </w:pPr>
    </w:p>
    <w:p w:rsidR="0088708D" w:rsidRDefault="00350D14">
      <w:pPr>
        <w:pStyle w:val="2"/>
        <w:numPr>
          <w:ilvl w:val="0"/>
          <w:numId w:val="1"/>
        </w:numPr>
        <w:rPr>
          <w:rFonts w:ascii="Times New Roman" w:eastAsia="黑体" w:hAnsi="Times New Roman"/>
          <w:b w:val="0"/>
        </w:rPr>
      </w:pPr>
      <w:r>
        <w:rPr>
          <w:rFonts w:ascii="Times New Roman" w:eastAsia="黑体" w:hAnsi="Times New Roman" w:hint="eastAsia"/>
          <w:b w:val="0"/>
        </w:rPr>
        <w:t>主要职责</w:t>
      </w:r>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盐边县融媒体中心负责融媒体服务相关事务性工作。</w:t>
      </w:r>
    </w:p>
    <w:p w:rsidR="0088708D" w:rsidRDefault="00350D14">
      <w:pPr>
        <w:pStyle w:val="2"/>
        <w:numPr>
          <w:ilvl w:val="0"/>
          <w:numId w:val="1"/>
        </w:numPr>
        <w:rPr>
          <w:rStyle w:val="2Char"/>
          <w:rFonts w:ascii="Times New Roman" w:eastAsia="黑体" w:hAnsi="Times New Roman"/>
        </w:rPr>
      </w:pPr>
      <w:bookmarkStart w:id="13" w:name="_Toc15377200"/>
      <w:bookmarkStart w:id="14" w:name="_Toc15396601"/>
      <w:r>
        <w:rPr>
          <w:rFonts w:ascii="Times New Roman" w:eastAsia="黑体" w:hAnsi="Times New Roman" w:hint="eastAsia"/>
          <w:b w:val="0"/>
        </w:rPr>
        <w:t>机</w:t>
      </w:r>
      <w:r>
        <w:rPr>
          <w:rStyle w:val="2Char"/>
          <w:rFonts w:ascii="Times New Roman" w:eastAsia="黑体" w:hAnsi="Times New Roman" w:hint="eastAsia"/>
        </w:rPr>
        <w:t>构设置</w:t>
      </w:r>
      <w:bookmarkEnd w:id="13"/>
      <w:bookmarkEnd w:id="14"/>
    </w:p>
    <w:p w:rsidR="0088708D" w:rsidRDefault="00350D14">
      <w:pPr>
        <w:pStyle w:val="21"/>
        <w:adjustRightInd w:val="0"/>
        <w:snapToGrid w:val="0"/>
        <w:spacing w:line="560" w:lineRule="exact"/>
        <w:ind w:leftChars="0" w:left="0" w:firstLineChars="200" w:firstLine="560"/>
        <w:jc w:val="left"/>
        <w:rPr>
          <w:rFonts w:eastAsia="仿宋_GB2312" w:cs="仿宋_GB2312"/>
          <w:sz w:val="28"/>
          <w:szCs w:val="28"/>
        </w:rPr>
      </w:pPr>
      <w:r>
        <w:rPr>
          <w:rFonts w:eastAsia="仿宋_GB2312" w:cs="仿宋_GB2312" w:hint="eastAsia"/>
          <w:sz w:val="28"/>
          <w:szCs w:val="28"/>
        </w:rPr>
        <w:t>盐边县融媒体中心属县委直属事业单位，由县委宣传部代管，机构类别为公益一类，经费形式全额拨款。纳入预算编制范围的机构个数</w:t>
      </w:r>
      <w:r>
        <w:rPr>
          <w:rFonts w:eastAsia="仿宋_GB2312" w:cs="仿宋_GB2312" w:hint="eastAsia"/>
          <w:sz w:val="28"/>
          <w:szCs w:val="28"/>
        </w:rPr>
        <w:t>1</w:t>
      </w:r>
      <w:r>
        <w:rPr>
          <w:rFonts w:eastAsia="仿宋_GB2312" w:cs="仿宋_GB2312" w:hint="eastAsia"/>
          <w:sz w:val="28"/>
          <w:szCs w:val="28"/>
        </w:rPr>
        <w:t>个，单位内设机构</w:t>
      </w:r>
      <w:r>
        <w:rPr>
          <w:rFonts w:eastAsia="仿宋_GB2312" w:cs="仿宋_GB2312" w:hint="eastAsia"/>
          <w:sz w:val="28"/>
          <w:szCs w:val="28"/>
        </w:rPr>
        <w:t>4</w:t>
      </w:r>
      <w:r>
        <w:rPr>
          <w:rFonts w:eastAsia="仿宋_GB2312" w:cs="仿宋_GB2312" w:hint="eastAsia"/>
          <w:sz w:val="28"/>
          <w:szCs w:val="28"/>
        </w:rPr>
        <w:t>个，分别是：办公室、运维股、采编股、播发股。</w:t>
      </w:r>
      <w:bookmarkStart w:id="15" w:name="_Toc15396602"/>
      <w:bookmarkStart w:id="16" w:name="_Toc15377204"/>
    </w:p>
    <w:p w:rsidR="0088708D" w:rsidRDefault="0088708D"/>
    <w:p w:rsidR="0088708D" w:rsidRDefault="0088708D">
      <w:pPr>
        <w:pStyle w:val="a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88708D">
      <w:pPr>
        <w:pStyle w:val="20"/>
        <w:ind w:left="420"/>
      </w:pPr>
    </w:p>
    <w:p w:rsidR="0088708D" w:rsidRDefault="00350D14">
      <w:pPr>
        <w:pStyle w:val="1"/>
        <w:jc w:val="center"/>
        <w:rPr>
          <w:rFonts w:eastAsia="方正小标宋简体" w:cs="方正小标宋简体"/>
          <w:b w:val="0"/>
        </w:rPr>
      </w:pPr>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5"/>
      <w:bookmarkEnd w:id="16"/>
    </w:p>
    <w:p w:rsidR="0088708D" w:rsidRDefault="0088708D"/>
    <w:p w:rsidR="0088708D" w:rsidRDefault="00350D14">
      <w:pPr>
        <w:pStyle w:val="ac"/>
        <w:spacing w:line="600" w:lineRule="exact"/>
        <w:ind w:firstLine="640"/>
        <w:outlineLvl w:val="1"/>
        <w:rPr>
          <w:rStyle w:val="2Char"/>
          <w:rFonts w:ascii="Times New Roman" w:eastAsia="黑体" w:hAnsi="Times New Roman"/>
          <w:b w:val="0"/>
        </w:rPr>
      </w:pPr>
      <w:bookmarkStart w:id="17" w:name="_Toc15396603"/>
      <w:bookmarkStart w:id="18" w:name="_Toc15377205"/>
      <w:r>
        <w:rPr>
          <w:rFonts w:eastAsia="黑体" w:hint="eastAsia"/>
          <w:sz w:val="32"/>
          <w:szCs w:val="32"/>
        </w:rPr>
        <w:t>一、收</w:t>
      </w:r>
      <w:r>
        <w:rPr>
          <w:rStyle w:val="2Char"/>
          <w:rFonts w:ascii="Times New Roman" w:eastAsia="黑体" w:hAnsi="Times New Roman" w:hint="eastAsia"/>
          <w:b w:val="0"/>
        </w:rPr>
        <w:t>入支出决算总体情况说明</w:t>
      </w:r>
      <w:bookmarkEnd w:id="17"/>
      <w:bookmarkEnd w:id="18"/>
    </w:p>
    <w:p w:rsidR="0088708D" w:rsidRPr="0073218C" w:rsidRDefault="00350D14">
      <w:pPr>
        <w:spacing w:line="600" w:lineRule="exact"/>
        <w:ind w:firstLineChars="200" w:firstLine="640"/>
        <w:rPr>
          <w:rFonts w:ascii="仿宋_GB2312" w:eastAsia="仿宋_GB2312" w:hAnsi="仿宋_GB2312" w:cs="仿宋_GB2312"/>
          <w:sz w:val="32"/>
          <w:szCs w:val="32"/>
        </w:rPr>
      </w:pPr>
      <w:bookmarkStart w:id="19" w:name="OLE_LINK20"/>
      <w:bookmarkStart w:id="20" w:name="OLE_LINK19"/>
      <w:bookmarkStart w:id="21" w:name="OLE_LINK7"/>
      <w:bookmarkStart w:id="22" w:name="OLE_LINK9"/>
      <w:bookmarkStart w:id="23" w:name="OLE_LINK8"/>
      <w:r w:rsidRPr="0073218C">
        <w:rPr>
          <w:rFonts w:ascii="仿宋_GB2312" w:eastAsia="仿宋_GB2312" w:hAnsi="仿宋_GB2312" w:cs="仿宋_GB2312" w:hint="eastAsia"/>
          <w:sz w:val="32"/>
          <w:szCs w:val="32"/>
        </w:rPr>
        <w:t>2024年度收、支总计均为</w:t>
      </w:r>
      <w:bookmarkStart w:id="24" w:name="OLE_LINK1"/>
      <w:bookmarkStart w:id="25" w:name="OLE_LINK2"/>
      <w:r w:rsidRPr="0073218C">
        <w:rPr>
          <w:rFonts w:ascii="仿宋_GB2312" w:eastAsia="仿宋_GB2312" w:hAnsi="仿宋_GB2312" w:cs="仿宋_GB2312" w:hint="eastAsia"/>
          <w:sz w:val="32"/>
          <w:szCs w:val="32"/>
        </w:rPr>
        <w:t>629.5</w:t>
      </w:r>
      <w:bookmarkEnd w:id="24"/>
      <w:bookmarkEnd w:id="25"/>
      <w:r w:rsidRPr="0073218C">
        <w:rPr>
          <w:rFonts w:ascii="仿宋_GB2312" w:eastAsia="仿宋_GB2312" w:hAnsi="仿宋_GB2312" w:cs="仿宋_GB2312" w:hint="eastAsia"/>
          <w:sz w:val="32"/>
          <w:szCs w:val="32"/>
        </w:rPr>
        <w:t>万元。与2023年度相比，收、支总计各减少12.03万元，下降1.88</w:t>
      </w:r>
      <w:r w:rsidRPr="0073218C">
        <w:rPr>
          <w:rFonts w:ascii="仿宋_GB2312" w:eastAsia="仿宋_GB2312" w:hAnsi="仿宋_GB2312" w:cs="仿宋_GB2312"/>
          <w:sz w:val="32"/>
          <w:szCs w:val="32"/>
        </w:rPr>
        <w:t>%</w:t>
      </w:r>
      <w:bookmarkEnd w:id="19"/>
      <w:bookmarkEnd w:id="20"/>
      <w:r w:rsidRPr="0073218C">
        <w:rPr>
          <w:rFonts w:ascii="仿宋_GB2312" w:eastAsia="仿宋_GB2312" w:hAnsi="仿宋_GB2312" w:cs="仿宋_GB2312" w:hint="eastAsia"/>
          <w:sz w:val="32"/>
          <w:szCs w:val="32"/>
        </w:rPr>
        <w:t>。主要变动原因是减少人员经费支出增加项目支出。</w:t>
      </w:r>
    </w:p>
    <w:p w:rsidR="0088708D" w:rsidRDefault="00350D14">
      <w:pPr>
        <w:pStyle w:val="a0"/>
      </w:pPr>
      <w:r>
        <w:rPr>
          <w:rFonts w:eastAsia="仿宋_GB2312" w:cs="仿宋_GB2312"/>
          <w:noProof/>
          <w:sz w:val="32"/>
          <w:szCs w:val="32"/>
        </w:rPr>
        <w:drawing>
          <wp:inline distT="0" distB="0" distL="0" distR="0">
            <wp:extent cx="4800600" cy="2638425"/>
            <wp:effectExtent l="19050" t="0" r="0" b="0"/>
            <wp:docPr id="8"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图片1.png"/>
                    <pic:cNvPicPr>
                      <a:picLocks noChangeAspect="1"/>
                    </pic:cNvPicPr>
                  </pic:nvPicPr>
                  <pic:blipFill>
                    <a:blip r:embed="rId13"/>
                    <a:stretch>
                      <a:fillRect/>
                    </a:stretch>
                  </pic:blipFill>
                  <pic:spPr>
                    <a:xfrm>
                      <a:off x="0" y="0"/>
                      <a:ext cx="4807580" cy="2642261"/>
                    </a:xfrm>
                    <a:prstGeom prst="rect">
                      <a:avLst/>
                    </a:prstGeom>
                  </pic:spPr>
                </pic:pic>
              </a:graphicData>
            </a:graphic>
          </wp:inline>
        </w:drawing>
      </w:r>
    </w:p>
    <w:p w:rsidR="0088708D" w:rsidRDefault="00350D14">
      <w:pPr>
        <w:pStyle w:val="ac"/>
        <w:spacing w:line="600" w:lineRule="exact"/>
        <w:ind w:firstLine="640"/>
        <w:outlineLvl w:val="1"/>
        <w:rPr>
          <w:rFonts w:eastAsia="黑体"/>
          <w:sz w:val="32"/>
          <w:szCs w:val="32"/>
        </w:rPr>
      </w:pPr>
      <w:bookmarkStart w:id="26" w:name="_Toc15396604"/>
      <w:bookmarkStart w:id="27" w:name="_Toc15377206"/>
      <w:bookmarkEnd w:id="21"/>
      <w:bookmarkEnd w:id="22"/>
      <w:bookmarkEnd w:id="23"/>
      <w:r>
        <w:rPr>
          <w:rFonts w:eastAsia="黑体" w:hint="eastAsia"/>
          <w:sz w:val="32"/>
          <w:szCs w:val="32"/>
        </w:rPr>
        <w:t>二、收入决算情况说明</w:t>
      </w:r>
      <w:bookmarkEnd w:id="26"/>
      <w:bookmarkEnd w:id="27"/>
    </w:p>
    <w:p w:rsidR="0088708D" w:rsidRDefault="00350D14">
      <w:pPr>
        <w:pStyle w:val="ac"/>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629.5万元，其中：一般公共预算财政拨款收入629.5万元，占100%；政府性基金预算财政拨款收入0万元，占0%；国有资本经营预算财政拨款收入0万元，占0%；上级补助收入0万元，占0%；事业收入0万元，占0%；经营收入0万元，占0%；附属单位上缴收入0万元，占0%；其他收入0万元，占0%。</w:t>
      </w:r>
    </w:p>
    <w:p w:rsidR="0088708D" w:rsidRDefault="00350D14">
      <w:pPr>
        <w:rPr>
          <w:rFonts w:eastAsia="仿宋_GB2312" w:cs="仿宋_GB2312"/>
          <w:sz w:val="32"/>
          <w:szCs w:val="32"/>
        </w:rPr>
      </w:pPr>
      <w:r>
        <w:rPr>
          <w:rFonts w:eastAsia="仿宋_GB2312" w:cs="仿宋_GB2312" w:hint="eastAsia"/>
          <w:noProof/>
          <w:sz w:val="32"/>
          <w:szCs w:val="32"/>
        </w:rPr>
        <w:lastRenderedPageBreak/>
        <w:drawing>
          <wp:inline distT="0" distB="0" distL="0" distR="0">
            <wp:extent cx="4543425" cy="2303780"/>
            <wp:effectExtent l="19050" t="0" r="9525" b="0"/>
            <wp:docPr id="2" name="图片 1"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2.png"/>
                    <pic:cNvPicPr>
                      <a:picLocks noChangeAspect="1"/>
                    </pic:cNvPicPr>
                  </pic:nvPicPr>
                  <pic:blipFill>
                    <a:blip r:embed="rId14"/>
                    <a:stretch>
                      <a:fillRect/>
                    </a:stretch>
                  </pic:blipFill>
                  <pic:spPr>
                    <a:xfrm>
                      <a:off x="0" y="0"/>
                      <a:ext cx="4543425" cy="2303986"/>
                    </a:xfrm>
                    <a:prstGeom prst="rect">
                      <a:avLst/>
                    </a:prstGeom>
                  </pic:spPr>
                </pic:pic>
              </a:graphicData>
            </a:graphic>
          </wp:inline>
        </w:drawing>
      </w:r>
    </w:p>
    <w:p w:rsidR="0088708D" w:rsidRDefault="00350D14">
      <w:pPr>
        <w:pStyle w:val="ac"/>
        <w:spacing w:line="600" w:lineRule="exact"/>
        <w:ind w:firstLine="640"/>
        <w:outlineLvl w:val="1"/>
        <w:rPr>
          <w:rStyle w:val="2Char"/>
          <w:rFonts w:ascii="Times New Roman" w:eastAsia="黑体" w:hAnsi="Times New Roman"/>
          <w:b w:val="0"/>
        </w:rPr>
      </w:pPr>
      <w:bookmarkStart w:id="28" w:name="_Toc15377207"/>
      <w:bookmarkStart w:id="29" w:name="_Toc15396605"/>
      <w:r>
        <w:rPr>
          <w:rFonts w:eastAsia="黑体" w:hint="eastAsia"/>
          <w:sz w:val="32"/>
          <w:szCs w:val="32"/>
        </w:rPr>
        <w:t>三、支</w:t>
      </w:r>
      <w:r>
        <w:rPr>
          <w:rStyle w:val="2Char"/>
          <w:rFonts w:ascii="Times New Roman" w:eastAsia="黑体" w:hAnsi="Times New Roman" w:hint="eastAsia"/>
          <w:b w:val="0"/>
        </w:rPr>
        <w:t>出决算情况说明</w:t>
      </w:r>
      <w:bookmarkEnd w:id="28"/>
      <w:bookmarkEnd w:id="29"/>
    </w:p>
    <w:p w:rsidR="0088708D" w:rsidRDefault="00350D14">
      <w:pPr>
        <w:pStyle w:val="ac"/>
        <w:spacing w:line="600" w:lineRule="exact"/>
        <w:ind w:firstLine="640"/>
        <w:jc w:val="left"/>
        <w:outlineLvl w:val="1"/>
        <w:rPr>
          <w:rFonts w:eastAsia="仿宋_GB2312" w:cs="仿宋_GB2312"/>
          <w:sz w:val="32"/>
          <w:szCs w:val="32"/>
        </w:rPr>
      </w:pPr>
      <w:bookmarkStart w:id="30" w:name="OLE_LINK3"/>
      <w:bookmarkStart w:id="31" w:name="OLE_LINK4"/>
      <w:r>
        <w:rPr>
          <w:rFonts w:ascii="仿宋_GB2312" w:eastAsia="仿宋_GB2312" w:hAnsi="仿宋_GB2312" w:cs="仿宋_GB2312" w:hint="eastAsia"/>
          <w:sz w:val="32"/>
          <w:szCs w:val="32"/>
        </w:rPr>
        <w:t>2024年度本年支出合计629.5万元，其中：基本支出480.63万元，占76.5%</w:t>
      </w:r>
      <w:bookmarkEnd w:id="30"/>
      <w:bookmarkEnd w:id="31"/>
      <w:r>
        <w:rPr>
          <w:rFonts w:ascii="仿宋_GB2312" w:eastAsia="仿宋_GB2312" w:hAnsi="仿宋_GB2312" w:cs="仿宋_GB2312" w:hint="eastAsia"/>
          <w:sz w:val="32"/>
          <w:szCs w:val="32"/>
        </w:rPr>
        <w:t>；</w:t>
      </w:r>
      <w:bookmarkStart w:id="32" w:name="OLE_LINK5"/>
      <w:r>
        <w:rPr>
          <w:rFonts w:ascii="仿宋_GB2312" w:eastAsia="仿宋_GB2312" w:hAnsi="仿宋_GB2312" w:cs="仿宋_GB2312" w:hint="eastAsia"/>
          <w:sz w:val="32"/>
          <w:szCs w:val="32"/>
        </w:rPr>
        <w:t>项目支出148.87万元，占23.5%</w:t>
      </w:r>
      <w:bookmarkEnd w:id="32"/>
      <w:r>
        <w:rPr>
          <w:rFonts w:ascii="仿宋_GB2312" w:eastAsia="仿宋_GB2312" w:hAnsi="仿宋_GB2312" w:cs="仿宋_GB2312" w:hint="eastAsia"/>
          <w:sz w:val="32"/>
          <w:szCs w:val="32"/>
        </w:rPr>
        <w:t>；上缴上级支出0万元，占0%；经营支出0万元，占0%；对附属单位补助支出0万元，占0%。</w:t>
      </w:r>
    </w:p>
    <w:p w:rsidR="0088708D" w:rsidRDefault="00350D14">
      <w:pPr>
        <w:rPr>
          <w:rFonts w:eastAsia="仿宋_GB2312" w:cs="仿宋_GB2312"/>
          <w:sz w:val="32"/>
          <w:szCs w:val="32"/>
        </w:rPr>
      </w:pPr>
      <w:r>
        <w:rPr>
          <w:rFonts w:eastAsia="仿宋_GB2312" w:cs="仿宋_GB2312"/>
          <w:noProof/>
          <w:sz w:val="32"/>
          <w:szCs w:val="32"/>
        </w:rPr>
        <w:drawing>
          <wp:inline distT="0" distB="0" distL="0" distR="0">
            <wp:extent cx="4455795" cy="2247900"/>
            <wp:effectExtent l="19050" t="0" r="1600" b="0"/>
            <wp:docPr id="9" name="图片 8"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图片3.png"/>
                    <pic:cNvPicPr>
                      <a:picLocks noChangeAspect="1"/>
                    </pic:cNvPicPr>
                  </pic:nvPicPr>
                  <pic:blipFill>
                    <a:blip r:embed="rId15"/>
                    <a:stretch>
                      <a:fillRect/>
                    </a:stretch>
                  </pic:blipFill>
                  <pic:spPr>
                    <a:xfrm>
                      <a:off x="0" y="0"/>
                      <a:ext cx="4461424" cy="2250586"/>
                    </a:xfrm>
                    <a:prstGeom prst="rect">
                      <a:avLst/>
                    </a:prstGeom>
                  </pic:spPr>
                </pic:pic>
              </a:graphicData>
            </a:graphic>
          </wp:inline>
        </w:drawing>
      </w:r>
    </w:p>
    <w:p w:rsidR="0088708D" w:rsidRDefault="00350D14">
      <w:pPr>
        <w:spacing w:line="600" w:lineRule="exact"/>
        <w:ind w:firstLineChars="200" w:firstLine="640"/>
        <w:outlineLvl w:val="1"/>
        <w:rPr>
          <w:rStyle w:val="2Char"/>
          <w:rFonts w:ascii="Times New Roman" w:eastAsia="黑体" w:hAnsi="Times New Roman"/>
          <w:b w:val="0"/>
        </w:rPr>
      </w:pPr>
      <w:bookmarkStart w:id="33" w:name="_Toc15396606"/>
      <w:bookmarkStart w:id="34" w:name="_Toc15377208"/>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33"/>
      <w:bookmarkEnd w:id="34"/>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629.5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年度相比，财政拨款收入总计、支出总计各减少</w:t>
      </w:r>
      <w:r>
        <w:rPr>
          <w:rFonts w:eastAsia="仿宋_GB2312" w:cs="仿宋_GB2312" w:hint="eastAsia"/>
          <w:sz w:val="32"/>
          <w:szCs w:val="32"/>
        </w:rPr>
        <w:t>12.03</w:t>
      </w:r>
      <w:r>
        <w:rPr>
          <w:rFonts w:eastAsia="仿宋_GB2312" w:cs="仿宋_GB2312" w:hint="eastAsia"/>
          <w:sz w:val="32"/>
          <w:szCs w:val="32"/>
        </w:rPr>
        <w:t>万元，下降</w:t>
      </w:r>
      <w:r>
        <w:rPr>
          <w:rFonts w:eastAsia="仿宋_GB2312" w:cs="仿宋_GB2312" w:hint="eastAsia"/>
          <w:sz w:val="32"/>
          <w:szCs w:val="32"/>
        </w:rPr>
        <w:t>1.88%</w:t>
      </w:r>
      <w:r>
        <w:rPr>
          <w:rFonts w:eastAsia="仿宋_GB2312" w:cs="仿宋_GB2312" w:hint="eastAsia"/>
          <w:sz w:val="32"/>
          <w:szCs w:val="32"/>
        </w:rPr>
        <w:t>。主要变动原因是</w:t>
      </w:r>
      <w:bookmarkStart w:id="35" w:name="OLE_LINK21"/>
      <w:bookmarkStart w:id="36" w:name="OLE_LINK22"/>
      <w:r>
        <w:rPr>
          <w:rFonts w:eastAsia="仿宋_GB2312" w:cs="仿宋_GB2312" w:hint="eastAsia"/>
          <w:sz w:val="32"/>
          <w:szCs w:val="32"/>
        </w:rPr>
        <w:t>减少人员经费支出增加项目支出。</w:t>
      </w:r>
      <w:bookmarkEnd w:id="35"/>
      <w:bookmarkEnd w:id="36"/>
    </w:p>
    <w:p w:rsidR="0088708D" w:rsidRDefault="00350D14">
      <w:pPr>
        <w:pStyle w:val="20"/>
        <w:ind w:leftChars="0" w:left="0" w:firstLineChars="0" w:firstLine="0"/>
        <w:rPr>
          <w:rFonts w:ascii="Times New Roman"/>
          <w:sz w:val="18"/>
          <w:szCs w:val="18"/>
        </w:rPr>
      </w:pPr>
      <w:r>
        <w:rPr>
          <w:rFonts w:ascii="Times New Roman"/>
          <w:noProof/>
          <w:sz w:val="18"/>
          <w:szCs w:val="18"/>
        </w:rPr>
        <w:lastRenderedPageBreak/>
        <w:drawing>
          <wp:inline distT="0" distB="0" distL="0" distR="0">
            <wp:extent cx="5314950" cy="2771775"/>
            <wp:effectExtent l="19050" t="0" r="0" b="0"/>
            <wp:docPr id="11" name="图片 9" descr="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图片4.png"/>
                    <pic:cNvPicPr>
                      <a:picLocks noChangeAspect="1"/>
                    </pic:cNvPicPr>
                  </pic:nvPicPr>
                  <pic:blipFill>
                    <a:blip r:embed="rId16"/>
                    <a:stretch>
                      <a:fillRect/>
                    </a:stretch>
                  </pic:blipFill>
                  <pic:spPr>
                    <a:xfrm>
                      <a:off x="0" y="0"/>
                      <a:ext cx="5316175" cy="2772414"/>
                    </a:xfrm>
                    <a:prstGeom prst="rect">
                      <a:avLst/>
                    </a:prstGeom>
                  </pic:spPr>
                </pic:pic>
              </a:graphicData>
            </a:graphic>
          </wp:inline>
        </w:drawing>
      </w:r>
    </w:p>
    <w:p w:rsidR="0088708D" w:rsidRDefault="00350D14">
      <w:pPr>
        <w:spacing w:line="600" w:lineRule="exact"/>
        <w:ind w:firstLineChars="200" w:firstLine="640"/>
        <w:outlineLvl w:val="1"/>
        <w:rPr>
          <w:rStyle w:val="2Char"/>
          <w:rFonts w:ascii="Times New Roman" w:eastAsia="黑体" w:hAnsi="Times New Roman"/>
          <w:b w:val="0"/>
        </w:rPr>
      </w:pPr>
      <w:bookmarkStart w:id="37" w:name="_Toc15377209"/>
      <w:bookmarkStart w:id="38"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37"/>
      <w:bookmarkEnd w:id="38"/>
    </w:p>
    <w:p w:rsidR="0088708D" w:rsidRDefault="00350D14" w:rsidP="0073218C">
      <w:pPr>
        <w:spacing w:line="600" w:lineRule="exact"/>
        <w:ind w:firstLineChars="200" w:firstLine="640"/>
        <w:outlineLvl w:val="2"/>
        <w:rPr>
          <w:rFonts w:eastAsia="楷体_GB2312" w:cs="楷体_GB2312"/>
          <w:b/>
          <w:sz w:val="32"/>
          <w:szCs w:val="32"/>
        </w:rPr>
      </w:pPr>
      <w:bookmarkStart w:id="39" w:name="_Toc15377210"/>
      <w:r>
        <w:rPr>
          <w:rFonts w:eastAsia="楷体_GB2312" w:cs="楷体_GB2312" w:hint="eastAsia"/>
          <w:b/>
          <w:sz w:val="32"/>
          <w:szCs w:val="32"/>
        </w:rPr>
        <w:t>（一）一般公共预算财政拨款支出决算总体情况</w:t>
      </w:r>
      <w:bookmarkEnd w:id="39"/>
    </w:p>
    <w:p w:rsidR="0088708D" w:rsidRDefault="00350D14">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2024年度一般公共预算财政拨款支出629.5万元，占本年支出合计的100%。与2023年度相比，一般公共预算财政拨款支出减少12.03万元，下降1.88%。主要变动原因是</w:t>
      </w:r>
      <w:r>
        <w:rPr>
          <w:rFonts w:eastAsia="仿宋_GB2312" w:cs="仿宋_GB2312" w:hint="eastAsia"/>
          <w:sz w:val="32"/>
          <w:szCs w:val="32"/>
        </w:rPr>
        <w:t>减少人员经费支出增加项目支出。</w:t>
      </w:r>
    </w:p>
    <w:p w:rsidR="0088708D" w:rsidRDefault="00350D14">
      <w:pPr>
        <w:pStyle w:val="20"/>
        <w:ind w:leftChars="0" w:left="0" w:firstLineChars="0" w:firstLine="0"/>
        <w:rPr>
          <w:rFonts w:ascii="Times New Roman"/>
          <w:sz w:val="18"/>
          <w:szCs w:val="18"/>
        </w:rPr>
      </w:pPr>
      <w:r>
        <w:rPr>
          <w:rFonts w:ascii="Times New Roman"/>
          <w:noProof/>
          <w:sz w:val="18"/>
          <w:szCs w:val="18"/>
        </w:rPr>
        <w:drawing>
          <wp:inline distT="0" distB="0" distL="0" distR="0">
            <wp:extent cx="4456430" cy="2284095"/>
            <wp:effectExtent l="19050" t="0" r="1270" b="0"/>
            <wp:docPr id="14" name="图片 11" descr="图片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图片5.png"/>
                    <pic:cNvPicPr>
                      <a:picLocks noChangeAspect="1"/>
                    </pic:cNvPicPr>
                  </pic:nvPicPr>
                  <pic:blipFill>
                    <a:blip r:embed="rId17"/>
                    <a:stretch>
                      <a:fillRect/>
                    </a:stretch>
                  </pic:blipFill>
                  <pic:spPr>
                    <a:xfrm>
                      <a:off x="0" y="0"/>
                      <a:ext cx="4456430" cy="2284551"/>
                    </a:xfrm>
                    <a:prstGeom prst="rect">
                      <a:avLst/>
                    </a:prstGeom>
                  </pic:spPr>
                </pic:pic>
              </a:graphicData>
            </a:graphic>
          </wp:inline>
        </w:drawing>
      </w:r>
    </w:p>
    <w:p w:rsidR="0088708D" w:rsidRDefault="00350D14" w:rsidP="0073218C">
      <w:pPr>
        <w:spacing w:line="600" w:lineRule="exact"/>
        <w:ind w:firstLineChars="200" w:firstLine="640"/>
        <w:outlineLvl w:val="2"/>
        <w:rPr>
          <w:rFonts w:eastAsia="楷体_GB2312" w:cs="楷体_GB2312"/>
          <w:b/>
          <w:sz w:val="32"/>
          <w:szCs w:val="32"/>
        </w:rPr>
      </w:pPr>
      <w:bookmarkStart w:id="40" w:name="_Toc15377211"/>
      <w:r>
        <w:rPr>
          <w:rFonts w:eastAsia="楷体_GB2312" w:cs="楷体_GB2312" w:hint="eastAsia"/>
          <w:b/>
          <w:sz w:val="32"/>
          <w:szCs w:val="32"/>
        </w:rPr>
        <w:t>（二）一般公共预算财政拨款支出决算结构情况</w:t>
      </w:r>
      <w:bookmarkEnd w:id="40"/>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629.5万元</w:t>
      </w:r>
      <w:r>
        <w:rPr>
          <w:rFonts w:eastAsia="仿宋_GB2312" w:cs="仿宋_GB2312" w:hint="eastAsia"/>
          <w:sz w:val="32"/>
          <w:szCs w:val="32"/>
        </w:rPr>
        <w:t>，主要用于以下方面：</w:t>
      </w:r>
      <w:bookmarkStart w:id="41" w:name="OLE_LINK6"/>
      <w:r>
        <w:rPr>
          <w:rFonts w:eastAsia="仿宋_GB2312" w:cs="仿宋_GB2312" w:hint="eastAsia"/>
          <w:sz w:val="32"/>
          <w:szCs w:val="32"/>
        </w:rPr>
        <w:t>文化旅游体育与传媒支出</w:t>
      </w:r>
      <w:r>
        <w:rPr>
          <w:rFonts w:eastAsia="仿宋_GB2312" w:cs="仿宋_GB2312" w:hint="eastAsia"/>
          <w:sz w:val="32"/>
          <w:szCs w:val="32"/>
        </w:rPr>
        <w:t>484.63</w:t>
      </w:r>
      <w:r>
        <w:rPr>
          <w:rFonts w:eastAsia="仿宋_GB2312" w:cs="仿宋_GB2312" w:hint="eastAsia"/>
          <w:sz w:val="32"/>
          <w:szCs w:val="32"/>
        </w:rPr>
        <w:t>万元，占</w:t>
      </w:r>
      <w:r>
        <w:rPr>
          <w:rFonts w:eastAsia="仿宋_GB2312" w:cs="仿宋_GB2312" w:hint="eastAsia"/>
          <w:sz w:val="32"/>
          <w:szCs w:val="32"/>
        </w:rPr>
        <w:lastRenderedPageBreak/>
        <w:t>76.99%</w:t>
      </w:r>
      <w:bookmarkEnd w:id="41"/>
      <w:r>
        <w:rPr>
          <w:rFonts w:eastAsia="仿宋_GB2312" w:cs="仿宋_GB2312" w:hint="eastAsia"/>
          <w:sz w:val="32"/>
          <w:szCs w:val="32"/>
        </w:rPr>
        <w:t>；</w:t>
      </w:r>
      <w:bookmarkStart w:id="42" w:name="OLE_LINK10"/>
      <w:bookmarkStart w:id="43" w:name="OLE_LINK11"/>
      <w:bookmarkStart w:id="44" w:name="OLE_LINK14"/>
      <w:r>
        <w:rPr>
          <w:rFonts w:eastAsia="仿宋_GB2312" w:cs="仿宋_GB2312" w:hint="eastAsia"/>
          <w:sz w:val="32"/>
          <w:szCs w:val="32"/>
        </w:rPr>
        <w:t>社会保障和就业支出</w:t>
      </w:r>
      <w:r>
        <w:rPr>
          <w:rFonts w:eastAsia="仿宋_GB2312" w:cs="仿宋_GB2312" w:hint="eastAsia"/>
          <w:sz w:val="32"/>
          <w:szCs w:val="32"/>
        </w:rPr>
        <w:t>74.06</w:t>
      </w:r>
      <w:r>
        <w:rPr>
          <w:rFonts w:eastAsia="仿宋_GB2312" w:cs="仿宋_GB2312" w:hint="eastAsia"/>
          <w:sz w:val="32"/>
          <w:szCs w:val="32"/>
        </w:rPr>
        <w:t>万元，占</w:t>
      </w:r>
      <w:r>
        <w:rPr>
          <w:rFonts w:eastAsia="仿宋_GB2312" w:cs="仿宋_GB2312" w:hint="eastAsia"/>
          <w:sz w:val="32"/>
          <w:szCs w:val="32"/>
        </w:rPr>
        <w:t>11.76%</w:t>
      </w:r>
      <w:bookmarkEnd w:id="42"/>
      <w:bookmarkEnd w:id="43"/>
      <w:r>
        <w:rPr>
          <w:rFonts w:eastAsia="仿宋_GB2312" w:cs="仿宋_GB2312" w:hint="eastAsia"/>
          <w:sz w:val="32"/>
          <w:szCs w:val="32"/>
        </w:rPr>
        <w:t>；</w:t>
      </w:r>
      <w:bookmarkStart w:id="45" w:name="OLE_LINK12"/>
      <w:bookmarkStart w:id="46" w:name="OLE_LINK13"/>
      <w:bookmarkEnd w:id="44"/>
      <w:r>
        <w:rPr>
          <w:rFonts w:eastAsia="仿宋_GB2312" w:cs="仿宋_GB2312" w:hint="eastAsia"/>
          <w:sz w:val="32"/>
          <w:szCs w:val="32"/>
        </w:rPr>
        <w:t>卫生健康支出</w:t>
      </w:r>
      <w:bookmarkStart w:id="47" w:name="OLE_LINK15"/>
      <w:r>
        <w:rPr>
          <w:rFonts w:eastAsia="仿宋_GB2312" w:cs="仿宋_GB2312" w:hint="eastAsia"/>
          <w:sz w:val="32"/>
          <w:szCs w:val="32"/>
        </w:rPr>
        <w:t>37.3</w:t>
      </w:r>
      <w:bookmarkEnd w:id="47"/>
      <w:r>
        <w:rPr>
          <w:rFonts w:eastAsia="仿宋_GB2312" w:cs="仿宋_GB2312" w:hint="eastAsia"/>
          <w:sz w:val="32"/>
          <w:szCs w:val="32"/>
        </w:rPr>
        <w:t>3</w:t>
      </w:r>
      <w:r>
        <w:rPr>
          <w:rFonts w:eastAsia="仿宋_GB2312" w:cs="仿宋_GB2312" w:hint="eastAsia"/>
          <w:sz w:val="32"/>
          <w:szCs w:val="32"/>
        </w:rPr>
        <w:t>万元，占</w:t>
      </w:r>
      <w:r>
        <w:rPr>
          <w:rFonts w:eastAsia="仿宋_GB2312" w:cs="仿宋_GB2312" w:hint="eastAsia"/>
          <w:sz w:val="32"/>
          <w:szCs w:val="32"/>
        </w:rPr>
        <w:t>5.93%</w:t>
      </w:r>
      <w:r>
        <w:rPr>
          <w:rFonts w:eastAsia="仿宋_GB2312" w:cs="仿宋_GB2312" w:hint="eastAsia"/>
          <w:sz w:val="32"/>
          <w:szCs w:val="32"/>
        </w:rPr>
        <w:t>；</w:t>
      </w:r>
      <w:bookmarkEnd w:id="45"/>
      <w:bookmarkEnd w:id="46"/>
      <w:r>
        <w:rPr>
          <w:rFonts w:eastAsia="仿宋_GB2312" w:cs="仿宋_GB2312" w:hint="eastAsia"/>
          <w:sz w:val="32"/>
          <w:szCs w:val="32"/>
        </w:rPr>
        <w:t>住房保障支出</w:t>
      </w:r>
      <w:r>
        <w:rPr>
          <w:rFonts w:eastAsia="仿宋_GB2312" w:cs="仿宋_GB2312" w:hint="eastAsia"/>
          <w:sz w:val="32"/>
          <w:szCs w:val="32"/>
        </w:rPr>
        <w:t>33.48</w:t>
      </w:r>
      <w:r>
        <w:rPr>
          <w:rFonts w:eastAsia="仿宋_GB2312" w:cs="仿宋_GB2312" w:hint="eastAsia"/>
          <w:sz w:val="32"/>
          <w:szCs w:val="32"/>
        </w:rPr>
        <w:t>万元，占</w:t>
      </w:r>
      <w:r>
        <w:rPr>
          <w:rFonts w:eastAsia="仿宋_GB2312" w:cs="仿宋_GB2312" w:hint="eastAsia"/>
          <w:sz w:val="32"/>
          <w:szCs w:val="32"/>
        </w:rPr>
        <w:t>5.32%</w:t>
      </w:r>
      <w:r>
        <w:rPr>
          <w:rFonts w:eastAsia="仿宋_GB2312" w:cs="仿宋_GB2312" w:hint="eastAsia"/>
          <w:sz w:val="32"/>
          <w:szCs w:val="32"/>
        </w:rPr>
        <w:t>；</w:t>
      </w:r>
    </w:p>
    <w:p w:rsidR="0088708D" w:rsidRDefault="00350D14">
      <w:pPr>
        <w:pStyle w:val="20"/>
        <w:ind w:leftChars="95" w:left="199" w:firstLine="640"/>
        <w:rPr>
          <w:rFonts w:ascii="Times New Roman" w:eastAsia="仿宋_GB2312" w:cs="仿宋_GB2312"/>
          <w:sz w:val="32"/>
        </w:rPr>
      </w:pPr>
      <w:r>
        <w:rPr>
          <w:rFonts w:ascii="Times New Roman" w:eastAsia="仿宋_GB2312" w:cs="仿宋_GB2312"/>
          <w:noProof/>
          <w:sz w:val="32"/>
        </w:rPr>
        <w:drawing>
          <wp:inline distT="0" distB="0" distL="0" distR="0">
            <wp:extent cx="4610100" cy="2733675"/>
            <wp:effectExtent l="19050" t="0" r="0" b="0"/>
            <wp:docPr id="15" name="图片 14" descr="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图片6.png"/>
                    <pic:cNvPicPr>
                      <a:picLocks noChangeAspect="1"/>
                    </pic:cNvPicPr>
                  </pic:nvPicPr>
                  <pic:blipFill>
                    <a:blip r:embed="rId18"/>
                    <a:stretch>
                      <a:fillRect/>
                    </a:stretch>
                  </pic:blipFill>
                  <pic:spPr>
                    <a:xfrm>
                      <a:off x="0" y="0"/>
                      <a:ext cx="4610100" cy="2733675"/>
                    </a:xfrm>
                    <a:prstGeom prst="rect">
                      <a:avLst/>
                    </a:prstGeom>
                  </pic:spPr>
                </pic:pic>
              </a:graphicData>
            </a:graphic>
          </wp:inline>
        </w:drawing>
      </w:r>
    </w:p>
    <w:p w:rsidR="0088708D" w:rsidRDefault="00350D14" w:rsidP="0073218C">
      <w:pPr>
        <w:spacing w:line="600" w:lineRule="exact"/>
        <w:ind w:firstLineChars="200" w:firstLine="640"/>
        <w:outlineLvl w:val="2"/>
        <w:rPr>
          <w:rFonts w:eastAsia="楷体_GB2312" w:cs="楷体_GB2312"/>
          <w:b/>
          <w:sz w:val="32"/>
          <w:szCs w:val="32"/>
        </w:rPr>
      </w:pPr>
      <w:bookmarkStart w:id="48" w:name="_Toc15377212"/>
      <w:r>
        <w:rPr>
          <w:rFonts w:eastAsia="楷体_GB2312" w:cs="楷体_GB2312" w:hint="eastAsia"/>
          <w:b/>
          <w:sz w:val="32"/>
          <w:szCs w:val="32"/>
        </w:rPr>
        <w:t>（三）一般公共预算财政拨款支出决算具体情况</w:t>
      </w:r>
      <w:bookmarkEnd w:id="48"/>
    </w:p>
    <w:p w:rsidR="0088708D" w:rsidRDefault="00350D14">
      <w:pPr>
        <w:spacing w:line="600" w:lineRule="exact"/>
        <w:ind w:firstLine="640"/>
        <w:rPr>
          <w:rFonts w:eastAsia="仿宋_GB2312" w:cs="仿宋_GB2312"/>
          <w:sz w:val="32"/>
          <w:szCs w:val="32"/>
        </w:rPr>
      </w:pPr>
      <w:bookmarkStart w:id="49" w:name="OLE_LINK17"/>
      <w:bookmarkStart w:id="50" w:name="OLE_LINK16"/>
      <w:bookmarkStart w:id="51" w:name="_Toc15377444"/>
      <w:bookmarkStart w:id="52" w:name="_Toc15377213"/>
      <w:bookmarkStart w:id="53" w:name="_Toc15378460"/>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629.5</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w:t>
      </w:r>
      <w:bookmarkEnd w:id="49"/>
      <w:bookmarkEnd w:id="50"/>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51"/>
      <w:bookmarkEnd w:id="52"/>
      <w:bookmarkEnd w:id="53"/>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1.</w:t>
      </w:r>
      <w:bookmarkStart w:id="54" w:name="OLE_LINK18"/>
      <w:r>
        <w:rPr>
          <w:rFonts w:eastAsia="仿宋_GB2312" w:cs="仿宋_GB2312" w:hint="eastAsia"/>
          <w:sz w:val="32"/>
          <w:szCs w:val="32"/>
        </w:rPr>
        <w:t>文化旅游体育与传媒支出（类）广播电视（款）广播电视事务（项）：支出决算为</w:t>
      </w:r>
      <w:r>
        <w:rPr>
          <w:rFonts w:eastAsia="仿宋_GB2312" w:cs="仿宋_GB2312" w:hint="eastAsia"/>
          <w:sz w:val="32"/>
          <w:szCs w:val="32"/>
        </w:rPr>
        <w:t>348.37</w:t>
      </w:r>
      <w:r>
        <w:rPr>
          <w:rFonts w:eastAsia="仿宋_GB2312" w:cs="仿宋_GB2312" w:hint="eastAsia"/>
          <w:sz w:val="32"/>
          <w:szCs w:val="32"/>
        </w:rPr>
        <w:t>万元，完成预算</w:t>
      </w:r>
      <w:r>
        <w:rPr>
          <w:rFonts w:eastAsia="仿宋_GB2312" w:cs="仿宋_GB2312" w:hint="eastAsia"/>
          <w:sz w:val="32"/>
          <w:szCs w:val="32"/>
        </w:rPr>
        <w:t>100%</w:t>
      </w:r>
      <w:bookmarkEnd w:id="54"/>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文化旅游体育与传媒支出（类）广播电视（款）其他广播支出（项）：支出决算为</w:t>
      </w:r>
      <w:r>
        <w:rPr>
          <w:rFonts w:eastAsia="仿宋_GB2312" w:cs="仿宋_GB2312" w:hint="eastAsia"/>
          <w:sz w:val="32"/>
          <w:szCs w:val="32"/>
        </w:rPr>
        <w:t>133.80</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文化旅游体育与传媒支出（类）</w:t>
      </w:r>
      <w:bookmarkStart w:id="55" w:name="OLE_LINK23"/>
      <w:bookmarkStart w:id="56" w:name="OLE_LINK28"/>
      <w:r>
        <w:rPr>
          <w:rFonts w:eastAsia="仿宋_GB2312" w:cs="仿宋_GB2312" w:hint="eastAsia"/>
          <w:sz w:val="32"/>
          <w:szCs w:val="32"/>
        </w:rPr>
        <w:t>其他文化旅游体育与传媒支出</w:t>
      </w:r>
      <w:bookmarkEnd w:id="55"/>
      <w:bookmarkEnd w:id="56"/>
      <w:r>
        <w:rPr>
          <w:rFonts w:eastAsia="仿宋_GB2312" w:cs="仿宋_GB2312" w:hint="eastAsia"/>
          <w:sz w:val="32"/>
          <w:szCs w:val="32"/>
        </w:rPr>
        <w:t>（款）其他文化旅游体育与传媒支出（项）：支出决算为</w:t>
      </w:r>
      <w:r>
        <w:rPr>
          <w:rFonts w:eastAsia="仿宋_GB2312" w:cs="仿宋_GB2312" w:hint="eastAsia"/>
          <w:sz w:val="32"/>
          <w:szCs w:val="32"/>
        </w:rPr>
        <w:t>2.46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lastRenderedPageBreak/>
        <w:t>4.</w:t>
      </w:r>
      <w:r>
        <w:rPr>
          <w:rFonts w:eastAsia="仿宋_GB2312" w:cs="仿宋_GB2312" w:hint="eastAsia"/>
          <w:sz w:val="32"/>
          <w:szCs w:val="32"/>
        </w:rPr>
        <w:t>社会保障和就业支出（类）行政事业单位养老支出（款）事业单位离退休（项）：支出决算为</w:t>
      </w:r>
      <w:r>
        <w:rPr>
          <w:rFonts w:eastAsia="仿宋_GB2312" w:cs="仿宋_GB2312" w:hint="eastAsia"/>
          <w:sz w:val="32"/>
          <w:szCs w:val="32"/>
        </w:rPr>
        <w:t>22.84</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社会保障和就业支出（类）行政事业单位养老支出（款）机关事业单位基本养老保险缴费支出（项）：支出决算为</w:t>
      </w:r>
      <w:r>
        <w:rPr>
          <w:rFonts w:eastAsia="仿宋_GB2312" w:cs="仿宋_GB2312" w:hint="eastAsia"/>
          <w:sz w:val="32"/>
          <w:szCs w:val="32"/>
        </w:rPr>
        <w:t>42.62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社会保障和就业支出（类）行政事业单位养老支出（款）机关事业单位职业年金缴费支出（项）：支出决算为</w:t>
      </w:r>
      <w:r>
        <w:rPr>
          <w:rFonts w:eastAsia="仿宋_GB2312" w:cs="仿宋_GB2312" w:hint="eastAsia"/>
          <w:sz w:val="32"/>
          <w:szCs w:val="32"/>
        </w:rPr>
        <w:t>8.6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卫生健康支出（类）行政事业单位医疗（款）事业单位医疗（项）：支出决算为</w:t>
      </w:r>
      <w:r>
        <w:rPr>
          <w:rFonts w:eastAsia="仿宋_GB2312" w:cs="仿宋_GB2312" w:hint="eastAsia"/>
          <w:sz w:val="32"/>
          <w:szCs w:val="32"/>
        </w:rPr>
        <w:t>25.87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，决算数等于预算数</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8.</w:t>
      </w:r>
      <w:bookmarkStart w:id="57" w:name="OLE_LINK31"/>
      <w:bookmarkStart w:id="58" w:name="OLE_LINK30"/>
      <w:r>
        <w:rPr>
          <w:rFonts w:eastAsia="仿宋_GB2312" w:cs="仿宋_GB2312" w:hint="eastAsia"/>
          <w:sz w:val="32"/>
          <w:szCs w:val="32"/>
        </w:rPr>
        <w:t>卫生健康支出（类）行政事业单位医疗（款）其他行政事业单位医疗支出（项）：支出决算为</w:t>
      </w:r>
      <w:r>
        <w:rPr>
          <w:rFonts w:eastAsia="仿宋_GB2312" w:cs="仿宋_GB2312" w:hint="eastAsia"/>
          <w:sz w:val="32"/>
          <w:szCs w:val="32"/>
        </w:rPr>
        <w:t>11.46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bookmarkEnd w:id="57"/>
      <w:bookmarkEnd w:id="58"/>
      <w:r>
        <w:rPr>
          <w:rFonts w:eastAsia="仿宋_GB2312" w:cs="仿宋_GB2312" w:hint="eastAsia"/>
          <w:sz w:val="32"/>
          <w:szCs w:val="32"/>
        </w:rPr>
        <w:t>。</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9.</w:t>
      </w:r>
      <w:r>
        <w:rPr>
          <w:rFonts w:eastAsia="仿宋_GB2312" w:cs="仿宋_GB2312" w:hint="eastAsia"/>
          <w:sz w:val="32"/>
          <w:szCs w:val="32"/>
        </w:rPr>
        <w:t>住房保障支出（类）住房改革支出（款）住房公积金（项）：支出决算为</w:t>
      </w:r>
      <w:r>
        <w:rPr>
          <w:rFonts w:eastAsia="仿宋_GB2312" w:cs="仿宋_GB2312" w:hint="eastAsia"/>
          <w:sz w:val="32"/>
          <w:szCs w:val="32"/>
        </w:rPr>
        <w:t>33.48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88708D" w:rsidRDefault="00350D14">
      <w:pPr>
        <w:tabs>
          <w:tab w:val="right" w:pos="8306"/>
        </w:tabs>
        <w:spacing w:line="600" w:lineRule="exact"/>
        <w:ind w:firstLine="640"/>
        <w:outlineLvl w:val="1"/>
        <w:rPr>
          <w:rStyle w:val="2Char"/>
          <w:rFonts w:ascii="Times New Roman" w:hAnsi="Times New Roman"/>
        </w:rPr>
      </w:pPr>
      <w:bookmarkStart w:id="59" w:name="_Toc15377214"/>
      <w:bookmarkStart w:id="60" w:name="_Toc1539660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59"/>
      <w:bookmarkEnd w:id="60"/>
      <w:r>
        <w:rPr>
          <w:rStyle w:val="2Char"/>
          <w:rFonts w:ascii="Times New Roman" w:eastAsia="黑体" w:hAnsi="Times New Roman"/>
          <w:b w:val="0"/>
        </w:rPr>
        <w:tab/>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480.63万</w:t>
      </w:r>
      <w:r>
        <w:rPr>
          <w:rFonts w:eastAsia="仿宋_GB2312" w:cs="仿宋_GB2312" w:hint="eastAsia"/>
          <w:sz w:val="32"/>
          <w:szCs w:val="32"/>
        </w:rPr>
        <w:t>元，其中：</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461.12万</w:t>
      </w:r>
      <w:r>
        <w:rPr>
          <w:rFonts w:eastAsia="仿宋_GB2312" w:cs="仿宋_GB2312" w:hint="eastAsia"/>
          <w:sz w:val="32"/>
          <w:szCs w:val="32"/>
        </w:rPr>
        <w:t>元，主要包括：基本工资、津贴补贴、奖金、绩效工资、机关事业单位基本养老保险缴费、职</w:t>
      </w:r>
      <w:r>
        <w:rPr>
          <w:rFonts w:eastAsia="仿宋_GB2312" w:cs="仿宋_GB2312" w:hint="eastAsia"/>
          <w:sz w:val="32"/>
          <w:szCs w:val="32"/>
        </w:rPr>
        <w:lastRenderedPageBreak/>
        <w:t>业年金缴费、职工基本医疗保险缴费、公务员医疗补助缴费、其他社会保障缴费、住房公积金、医疗费、其他工资福利支出、生活补助、医疗费补助、奖励金等。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19.51万</w:t>
      </w:r>
      <w:r>
        <w:rPr>
          <w:rFonts w:eastAsia="仿宋_GB2312" w:cs="仿宋_GB2312" w:hint="eastAsia"/>
          <w:sz w:val="32"/>
          <w:szCs w:val="32"/>
        </w:rPr>
        <w:t>元，主要包括：办公费、水费、电费、邮电费、差旅费、维修（护）费、会议费、培训费、劳务费、委托业务费、工会经费、福利费、其他交通费、其他商品和服务支出等。</w:t>
      </w:r>
    </w:p>
    <w:p w:rsidR="0088708D" w:rsidRDefault="00350D14">
      <w:pPr>
        <w:spacing w:line="600" w:lineRule="exact"/>
        <w:ind w:firstLine="640"/>
        <w:outlineLvl w:val="1"/>
        <w:rPr>
          <w:rStyle w:val="2Char"/>
          <w:rFonts w:ascii="Times New Roman" w:eastAsia="黑体" w:hAnsi="Times New Roman"/>
          <w:b w:val="0"/>
        </w:rPr>
      </w:pPr>
      <w:bookmarkStart w:id="61" w:name="_Toc15396609"/>
      <w:bookmarkStart w:id="62"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61"/>
      <w:bookmarkEnd w:id="62"/>
    </w:p>
    <w:p w:rsidR="0088708D" w:rsidRDefault="00350D14" w:rsidP="0073218C">
      <w:pPr>
        <w:spacing w:line="600" w:lineRule="exact"/>
        <w:ind w:firstLineChars="200" w:firstLine="640"/>
        <w:outlineLvl w:val="2"/>
        <w:rPr>
          <w:rFonts w:eastAsia="楷体_GB2312" w:cs="楷体_GB2312"/>
          <w:b/>
          <w:sz w:val="32"/>
          <w:szCs w:val="32"/>
        </w:rPr>
      </w:pPr>
      <w:bookmarkStart w:id="63" w:name="_Toc15377216"/>
      <w:r>
        <w:rPr>
          <w:rFonts w:eastAsia="楷体_GB2312" w:cs="楷体_GB2312" w:hint="eastAsia"/>
          <w:b/>
          <w:sz w:val="32"/>
          <w:szCs w:val="32"/>
        </w:rPr>
        <w:t>（一）“三公”经费财政拨款支出决算总体情况说明</w:t>
      </w:r>
      <w:bookmarkEnd w:id="63"/>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0万元，完成预算0%，</w:t>
      </w:r>
      <w:r>
        <w:rPr>
          <w:rFonts w:eastAsia="仿宋_GB2312" w:cs="仿宋_GB2312" w:hint="eastAsia"/>
          <w:sz w:val="32"/>
          <w:szCs w:val="32"/>
        </w:rPr>
        <w:t>较上年度决算数持平。</w:t>
      </w:r>
    </w:p>
    <w:p w:rsidR="0088708D" w:rsidRDefault="00350D14" w:rsidP="0073218C">
      <w:pPr>
        <w:spacing w:line="600" w:lineRule="exact"/>
        <w:ind w:firstLineChars="200" w:firstLine="640"/>
        <w:outlineLvl w:val="2"/>
        <w:rPr>
          <w:rFonts w:eastAsia="楷体_GB2312" w:cs="楷体_GB2312"/>
          <w:b/>
          <w:sz w:val="32"/>
          <w:szCs w:val="32"/>
        </w:rPr>
      </w:pPr>
      <w:bookmarkStart w:id="64" w:name="_Toc15377217"/>
      <w:r>
        <w:rPr>
          <w:rFonts w:eastAsia="楷体_GB2312" w:cs="楷体_GB2312" w:hint="eastAsia"/>
          <w:b/>
          <w:sz w:val="32"/>
          <w:szCs w:val="32"/>
        </w:rPr>
        <w:t>（二）“三公”经费财政拨款支出决算具体情况说明</w:t>
      </w:r>
      <w:bookmarkEnd w:id="64"/>
    </w:p>
    <w:p w:rsidR="0088708D" w:rsidRDefault="00350D1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2024年度“三公”经费财政拨款支出决算中，因公出国（境）费支出决算0万元，占0%；公务用车购置及运行维护费支出决算0万元，占0%；公务接待费支出决算0万元，占0%。具体情况如下：</w:t>
      </w:r>
    </w:p>
    <w:p w:rsidR="0088708D" w:rsidRDefault="00350D14">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。因公出国（境）支出决算比</w:t>
      </w:r>
      <w:r>
        <w:rPr>
          <w:rFonts w:eastAsia="仿宋_GB2312" w:cs="仿宋_GB2312" w:hint="eastAsia"/>
          <w:sz w:val="32"/>
          <w:szCs w:val="32"/>
        </w:rPr>
        <w:t>2023</w:t>
      </w:r>
      <w:r>
        <w:rPr>
          <w:rFonts w:eastAsia="仿宋_GB2312" w:cs="仿宋_GB2312" w:hint="eastAsia"/>
          <w:sz w:val="32"/>
          <w:szCs w:val="32"/>
        </w:rPr>
        <w:t>年持平。</w:t>
      </w:r>
    </w:p>
    <w:p w:rsidR="0088708D" w:rsidRDefault="00350D14">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年度持平。</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w:t>
      </w:r>
      <w:r>
        <w:rPr>
          <w:rFonts w:eastAsia="仿宋_GB2312" w:cs="仿宋_GB2312" w:hint="eastAsia"/>
          <w:sz w:val="32"/>
          <w:szCs w:val="32"/>
        </w:rPr>
        <w:lastRenderedPageBreak/>
        <w:t>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辆、越野车</w:t>
      </w:r>
      <w:r>
        <w:rPr>
          <w:rFonts w:eastAsia="仿宋_GB2312" w:cs="仿宋_GB2312" w:hint="eastAsia"/>
          <w:sz w:val="32"/>
          <w:szCs w:val="32"/>
        </w:rPr>
        <w:t>0</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w:t>
      </w:r>
    </w:p>
    <w:p w:rsidR="0088708D" w:rsidRDefault="00350D14">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公务接待费支出决算与</w:t>
      </w:r>
      <w:r>
        <w:rPr>
          <w:rFonts w:eastAsia="仿宋_GB2312" w:cs="仿宋_GB2312" w:hint="eastAsia"/>
          <w:sz w:val="32"/>
          <w:szCs w:val="32"/>
        </w:rPr>
        <w:t>2023</w:t>
      </w:r>
      <w:r>
        <w:rPr>
          <w:rFonts w:eastAsia="仿宋_GB2312" w:cs="仿宋_GB2312" w:hint="eastAsia"/>
          <w:sz w:val="32"/>
          <w:szCs w:val="32"/>
        </w:rPr>
        <w:t>年度持平。其中：</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元，国内公务接</w:t>
      </w:r>
      <w:r>
        <w:rPr>
          <w:rFonts w:ascii="仿宋_GB2312" w:eastAsia="仿宋_GB2312" w:hAnsi="仿宋_GB2312" w:cs="仿宋_GB2312" w:hint="eastAsia"/>
          <w:sz w:val="32"/>
          <w:szCs w:val="32"/>
        </w:rPr>
        <w:t>待0批次，0</w:t>
      </w:r>
      <w:r>
        <w:rPr>
          <w:rFonts w:eastAsia="仿宋_GB2312" w:cs="仿宋_GB2312" w:hint="eastAsia"/>
          <w:sz w:val="32"/>
          <w:szCs w:val="32"/>
        </w:rPr>
        <w:t>人次（不包括陪同人员），共计支出</w:t>
      </w:r>
      <w:r>
        <w:rPr>
          <w:rFonts w:eastAsia="仿宋_GB2312" w:cs="仿宋_GB2312" w:hint="eastAsia"/>
          <w:sz w:val="32"/>
          <w:szCs w:val="32"/>
        </w:rPr>
        <w:t>0</w:t>
      </w:r>
      <w:r>
        <w:rPr>
          <w:rFonts w:eastAsia="仿宋_GB2312" w:cs="仿宋_GB2312" w:hint="eastAsia"/>
          <w:sz w:val="32"/>
          <w:szCs w:val="32"/>
        </w:rPr>
        <w:t>万元。</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出0万元。外事接待0批次，0人次（不包括陪同人员），共计支出0万</w:t>
      </w:r>
      <w:r>
        <w:rPr>
          <w:rFonts w:eastAsia="仿宋_GB2312" w:cs="仿宋_GB2312" w:hint="eastAsia"/>
          <w:sz w:val="32"/>
          <w:szCs w:val="32"/>
        </w:rPr>
        <w:t>元。</w:t>
      </w:r>
    </w:p>
    <w:p w:rsidR="0088708D" w:rsidRDefault="00350D14">
      <w:pPr>
        <w:spacing w:line="600" w:lineRule="exact"/>
        <w:ind w:firstLine="640"/>
        <w:outlineLvl w:val="1"/>
        <w:rPr>
          <w:rStyle w:val="2Char"/>
          <w:rFonts w:ascii="Times New Roman" w:eastAsia="黑体" w:hAnsi="Times New Roman"/>
        </w:rPr>
      </w:pPr>
      <w:bookmarkStart w:id="65" w:name="_Toc15377218"/>
      <w:bookmarkStart w:id="66"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65"/>
      <w:bookmarkEnd w:id="66"/>
    </w:p>
    <w:p w:rsidR="0088708D" w:rsidRDefault="00350D14">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2024年度政府性基金预算财政拨款支出0万元。</w:t>
      </w:r>
    </w:p>
    <w:p w:rsidR="0088708D" w:rsidRDefault="00350D14">
      <w:pPr>
        <w:spacing w:line="600" w:lineRule="exact"/>
        <w:ind w:left="630"/>
        <w:outlineLvl w:val="1"/>
        <w:rPr>
          <w:rStyle w:val="2Char"/>
          <w:rFonts w:ascii="Times New Roman" w:eastAsia="黑体" w:hAnsi="Times New Roman"/>
          <w:b w:val="0"/>
        </w:rPr>
      </w:pPr>
      <w:bookmarkStart w:id="67" w:name="_Toc15377219"/>
      <w:bookmarkStart w:id="68" w:name="_Toc15396611"/>
      <w:r>
        <w:rPr>
          <w:rStyle w:val="2Char"/>
          <w:rFonts w:ascii="Times New Roman" w:eastAsia="黑体" w:hAnsi="Times New Roman" w:hint="eastAsia"/>
          <w:b w:val="0"/>
        </w:rPr>
        <w:t>九、国有资本经营预算支出决算情况说明</w:t>
      </w:r>
      <w:bookmarkEnd w:id="67"/>
      <w:bookmarkEnd w:id="68"/>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w:t>
      </w:r>
    </w:p>
    <w:p w:rsidR="0088708D" w:rsidRDefault="00350D14">
      <w:pPr>
        <w:spacing w:line="600" w:lineRule="exact"/>
        <w:ind w:left="630"/>
        <w:outlineLvl w:val="1"/>
        <w:rPr>
          <w:rStyle w:val="2Char"/>
          <w:rFonts w:ascii="Times New Roman" w:eastAsia="黑体" w:hAnsi="Times New Roman"/>
          <w:b w:val="0"/>
        </w:rPr>
      </w:pPr>
      <w:bookmarkStart w:id="69" w:name="_Toc15377221"/>
      <w:bookmarkStart w:id="70" w:name="_Toc15396612"/>
      <w:r>
        <w:rPr>
          <w:rStyle w:val="2Char"/>
          <w:rFonts w:ascii="Times New Roman" w:eastAsia="黑体" w:hAnsi="Times New Roman" w:hint="eastAsia"/>
          <w:b w:val="0"/>
        </w:rPr>
        <w:t>十、其他重要事项的情况说明</w:t>
      </w:r>
      <w:bookmarkEnd w:id="69"/>
      <w:bookmarkEnd w:id="70"/>
    </w:p>
    <w:p w:rsidR="0088708D" w:rsidRDefault="00350D14" w:rsidP="0073218C">
      <w:pPr>
        <w:spacing w:line="600" w:lineRule="exact"/>
        <w:ind w:firstLineChars="200" w:firstLine="640"/>
        <w:outlineLvl w:val="2"/>
        <w:rPr>
          <w:rFonts w:eastAsia="楷体_GB2312" w:cs="楷体_GB2312"/>
          <w:b/>
          <w:sz w:val="32"/>
          <w:szCs w:val="32"/>
        </w:rPr>
      </w:pPr>
      <w:bookmarkStart w:id="71" w:name="_Toc15377222"/>
      <w:r>
        <w:rPr>
          <w:rFonts w:eastAsia="楷体_GB2312" w:cs="楷体_GB2312" w:hint="eastAsia"/>
          <w:b/>
          <w:sz w:val="32"/>
          <w:szCs w:val="32"/>
        </w:rPr>
        <w:t>（一）机关运行经费支出情况</w:t>
      </w:r>
      <w:bookmarkEnd w:id="71"/>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，县融媒体中心机关运行经费支出0万</w:t>
      </w:r>
      <w:r>
        <w:rPr>
          <w:rFonts w:eastAsia="仿宋_GB2312" w:cs="仿宋_GB2312" w:hint="eastAsia"/>
          <w:sz w:val="32"/>
          <w:szCs w:val="32"/>
        </w:rPr>
        <w:t>元，与</w:t>
      </w:r>
      <w:r>
        <w:rPr>
          <w:rFonts w:eastAsia="仿宋_GB2312" w:cs="仿宋_GB2312" w:hint="eastAsia"/>
          <w:sz w:val="32"/>
          <w:szCs w:val="32"/>
        </w:rPr>
        <w:t>2023</w:t>
      </w:r>
      <w:r>
        <w:rPr>
          <w:rFonts w:eastAsia="仿宋_GB2312" w:cs="仿宋_GB2312" w:hint="eastAsia"/>
          <w:sz w:val="32"/>
          <w:szCs w:val="32"/>
        </w:rPr>
        <w:t>年度决算数持平。</w:t>
      </w:r>
    </w:p>
    <w:p w:rsidR="0088708D" w:rsidRDefault="00350D14" w:rsidP="0073218C">
      <w:pPr>
        <w:spacing w:line="600" w:lineRule="exact"/>
        <w:ind w:firstLineChars="200" w:firstLine="640"/>
        <w:outlineLvl w:val="2"/>
        <w:rPr>
          <w:rFonts w:eastAsia="楷体_GB2312" w:cs="楷体_GB2312"/>
          <w:b/>
          <w:sz w:val="32"/>
          <w:szCs w:val="32"/>
        </w:rPr>
      </w:pPr>
      <w:bookmarkStart w:id="72" w:name="_Toc15377223"/>
      <w:r>
        <w:rPr>
          <w:rFonts w:eastAsia="楷体_GB2312" w:cs="楷体_GB2312" w:hint="eastAsia"/>
          <w:b/>
          <w:sz w:val="32"/>
          <w:szCs w:val="32"/>
        </w:rPr>
        <w:t>（二）政府采购支出情况</w:t>
      </w:r>
      <w:bookmarkEnd w:id="72"/>
    </w:p>
    <w:p w:rsidR="0088708D" w:rsidRDefault="00350D1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县融媒体中心政府采购支出总额99.25万元，其中：政府采购货物支出0万元、政府采购工程支出0万元、政府采购服务支出99.25万元。授予中小企业合同金额99.25万元，占政府采购支出总额的100%，其中：授予</w:t>
      </w:r>
      <w:r>
        <w:rPr>
          <w:rFonts w:ascii="仿宋_GB2312" w:eastAsia="仿宋_GB2312" w:hAnsi="仿宋_GB2312" w:cs="仿宋_GB2312" w:hint="eastAsia"/>
          <w:sz w:val="32"/>
          <w:szCs w:val="32"/>
        </w:rPr>
        <w:lastRenderedPageBreak/>
        <w:t>小微企业合同金额96.75万元，占政府采购支出总额的97.48%。</w:t>
      </w:r>
    </w:p>
    <w:p w:rsidR="0088708D" w:rsidRDefault="00350D14" w:rsidP="0073218C">
      <w:pPr>
        <w:spacing w:line="600" w:lineRule="exact"/>
        <w:ind w:firstLineChars="200" w:firstLine="640"/>
        <w:outlineLvl w:val="2"/>
        <w:rPr>
          <w:rFonts w:eastAsia="楷体_GB2312" w:cs="楷体_GB2312"/>
          <w:b/>
          <w:sz w:val="32"/>
          <w:szCs w:val="32"/>
        </w:rPr>
      </w:pPr>
      <w:bookmarkStart w:id="73" w:name="_Toc15377224"/>
      <w:r>
        <w:rPr>
          <w:rFonts w:eastAsia="楷体_GB2312" w:cs="楷体_GB2312" w:hint="eastAsia"/>
          <w:b/>
          <w:sz w:val="32"/>
          <w:szCs w:val="32"/>
        </w:rPr>
        <w:t>（三）国有资产占有使用情况</w:t>
      </w:r>
      <w:bookmarkEnd w:id="73"/>
    </w:p>
    <w:p w:rsidR="0088708D" w:rsidRDefault="00350D14">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截至2024年12月31日，盐边县</w:t>
      </w:r>
      <w:r>
        <w:rPr>
          <w:rFonts w:ascii="仿宋_GB2312" w:eastAsia="仿宋_GB2312" w:hAnsi="仿宋_GB2312" w:cs="仿宋_GB2312"/>
          <w:sz w:val="32"/>
          <w:szCs w:val="32"/>
        </w:rPr>
        <w:t>融媒体中心</w:t>
      </w:r>
      <w:r>
        <w:rPr>
          <w:rFonts w:ascii="仿宋_GB2312" w:eastAsia="仿宋_GB2312" w:hAnsi="仿宋_GB2312" w:cs="仿宋_GB2312" w:hint="eastAsia"/>
          <w:sz w:val="32"/>
          <w:szCs w:val="32"/>
        </w:rPr>
        <w:t>共有车辆0辆，其中：主要负责人用车0辆、机要通信用车0辆、应急保障用车0辆、其他用车0辆。因工作需要，县机关事务管理局派给我单位一辆采访用车。车辆费用在其他交通费中列支，主用于采访出差等所需的车辆燃料费、维修费等支出。单价100万元（含）以上设备（不含车辆）0台（套）</w:t>
      </w:r>
      <w:r>
        <w:rPr>
          <w:rFonts w:eastAsia="仿宋_GB2312" w:cs="仿宋_GB2312" w:hint="eastAsia"/>
          <w:sz w:val="32"/>
          <w:szCs w:val="32"/>
        </w:rPr>
        <w:t>。</w:t>
      </w:r>
    </w:p>
    <w:p w:rsidR="0088708D" w:rsidRDefault="00350D14" w:rsidP="0073218C">
      <w:pPr>
        <w:spacing w:line="60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根据预算绩效管理要求，融媒体中心在</w:t>
      </w:r>
      <w:r>
        <w:rPr>
          <w:rFonts w:eastAsia="仿宋_GB2312" w:cs="仿宋_GB2312" w:hint="eastAsia"/>
          <w:sz w:val="32"/>
          <w:szCs w:val="32"/>
        </w:rPr>
        <w:t>2024</w:t>
      </w:r>
      <w:r>
        <w:rPr>
          <w:rFonts w:eastAsia="仿宋_GB2312" w:cs="仿宋_GB2312" w:hint="eastAsia"/>
          <w:sz w:val="32"/>
          <w:szCs w:val="32"/>
        </w:rPr>
        <w:t>年度预算编制阶段，组织对</w:t>
      </w:r>
      <w:bookmarkStart w:id="74" w:name="OLE_LINK38"/>
      <w:bookmarkStart w:id="75" w:name="OLE_LINK37"/>
      <w:r>
        <w:rPr>
          <w:rFonts w:eastAsia="仿宋_GB2312" w:cs="仿宋_GB2312" w:hint="eastAsia"/>
          <w:sz w:val="32"/>
          <w:szCs w:val="32"/>
        </w:rPr>
        <w:t>中央补助地方公共文化服务体系建设补助资金、</w:t>
      </w:r>
      <w:r>
        <w:rPr>
          <w:rFonts w:eastAsia="仿宋_GB2312" w:cs="仿宋_GB2312"/>
          <w:sz w:val="32"/>
          <w:szCs w:val="32"/>
        </w:rPr>
        <w:t>2024</w:t>
      </w:r>
      <w:r>
        <w:rPr>
          <w:rFonts w:eastAsia="仿宋_GB2312" w:cs="仿宋_GB2312" w:hint="eastAsia"/>
          <w:sz w:val="32"/>
          <w:szCs w:val="32"/>
        </w:rPr>
        <w:t>年运行经费、连线延边直播活动经费、“盐边融媒”</w:t>
      </w:r>
      <w:r>
        <w:rPr>
          <w:rFonts w:eastAsia="仿宋_GB2312" w:cs="仿宋_GB2312"/>
          <w:sz w:val="32"/>
          <w:szCs w:val="32"/>
        </w:rPr>
        <w:t>APP</w:t>
      </w:r>
      <w:r>
        <w:rPr>
          <w:rFonts w:eastAsia="仿宋_GB2312" w:cs="仿宋_GB2312" w:hint="eastAsia"/>
          <w:sz w:val="32"/>
          <w:szCs w:val="32"/>
        </w:rPr>
        <w:t>迭代升项目</w:t>
      </w:r>
      <w:bookmarkEnd w:id="74"/>
      <w:bookmarkEnd w:id="75"/>
      <w:r>
        <w:rPr>
          <w:rFonts w:eastAsia="仿宋_GB2312" w:cs="仿宋_GB2312" w:hint="eastAsia"/>
          <w:sz w:val="32"/>
          <w:szCs w:val="32"/>
        </w:rPr>
        <w:t>等</w:t>
      </w:r>
      <w:r>
        <w:rPr>
          <w:rFonts w:eastAsia="仿宋_GB2312" w:cs="仿宋_GB2312" w:hint="eastAsia"/>
          <w:sz w:val="32"/>
          <w:szCs w:val="32"/>
        </w:rPr>
        <w:t>4</w:t>
      </w:r>
      <w:r>
        <w:rPr>
          <w:rFonts w:eastAsia="仿宋_GB2312" w:cs="仿宋_GB2312" w:hint="eastAsia"/>
          <w:sz w:val="32"/>
          <w:szCs w:val="32"/>
        </w:rPr>
        <w:t>个项目开展了预算事前绩效评估，对</w:t>
      </w:r>
      <w:r>
        <w:rPr>
          <w:rFonts w:eastAsia="仿宋_GB2312" w:cs="仿宋_GB2312" w:hint="eastAsia"/>
          <w:sz w:val="32"/>
          <w:szCs w:val="32"/>
        </w:rPr>
        <w:t>4</w:t>
      </w:r>
      <w:r>
        <w:rPr>
          <w:rFonts w:eastAsia="仿宋_GB2312" w:cs="仿宋_GB2312" w:hint="eastAsia"/>
          <w:sz w:val="32"/>
          <w:szCs w:val="32"/>
        </w:rPr>
        <w:t>个项目编制了绩效目标，预算执行过程中，选取</w:t>
      </w:r>
      <w:r>
        <w:rPr>
          <w:rFonts w:eastAsia="仿宋_GB2312" w:cs="仿宋_GB2312" w:hint="eastAsia"/>
          <w:sz w:val="32"/>
          <w:szCs w:val="32"/>
        </w:rPr>
        <w:t>4</w:t>
      </w:r>
      <w:r>
        <w:rPr>
          <w:rFonts w:eastAsia="仿宋_GB2312" w:cs="仿宋_GB2312" w:hint="eastAsia"/>
          <w:sz w:val="32"/>
          <w:szCs w:val="32"/>
        </w:rPr>
        <w:t>个项目开展绩效监控。</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国有资本经营预算、社会保险基金预算以及资本资产、债券资金等全面开展绩效自评，形成融媒体中心整体（含部门预算项目）绩效自评报告、中央补助地方公共文化服务体系建设补助资金、</w:t>
      </w:r>
      <w:r>
        <w:rPr>
          <w:rFonts w:eastAsia="仿宋_GB2312" w:cs="仿宋_GB2312"/>
          <w:sz w:val="32"/>
          <w:szCs w:val="32"/>
        </w:rPr>
        <w:t>2024</w:t>
      </w:r>
      <w:r>
        <w:rPr>
          <w:rFonts w:eastAsia="仿宋_GB2312" w:cs="仿宋_GB2312" w:hint="eastAsia"/>
          <w:sz w:val="32"/>
          <w:szCs w:val="32"/>
        </w:rPr>
        <w:t>年运行经费、连线延边直播活动经费、“盐边融媒”</w:t>
      </w:r>
      <w:r>
        <w:rPr>
          <w:rFonts w:eastAsia="仿宋_GB2312" w:cs="仿宋_GB2312"/>
          <w:sz w:val="32"/>
          <w:szCs w:val="32"/>
        </w:rPr>
        <w:t>APP</w:t>
      </w:r>
      <w:r>
        <w:rPr>
          <w:rFonts w:eastAsia="仿宋_GB2312" w:cs="仿宋_GB2312" w:hint="eastAsia"/>
          <w:sz w:val="32"/>
          <w:szCs w:val="32"/>
        </w:rPr>
        <w:t>迭代升项目等专项预算项目绩效自评报告，其中，融媒体中心（含部门预算项目）绩效自评得分为</w:t>
      </w:r>
      <w:r>
        <w:rPr>
          <w:rFonts w:eastAsia="仿宋_GB2312" w:cs="仿宋_GB2312" w:hint="eastAsia"/>
          <w:sz w:val="32"/>
          <w:szCs w:val="32"/>
        </w:rPr>
        <w:t>95</w:t>
      </w:r>
      <w:r>
        <w:rPr>
          <w:rFonts w:eastAsia="仿宋_GB2312" w:cs="仿宋_GB2312" w:hint="eastAsia"/>
          <w:sz w:val="32"/>
          <w:szCs w:val="32"/>
        </w:rPr>
        <w:t>分，绩</w:t>
      </w:r>
      <w:r>
        <w:rPr>
          <w:rFonts w:eastAsia="仿宋_GB2312" w:cs="仿宋_GB2312" w:hint="eastAsia"/>
          <w:sz w:val="32"/>
          <w:szCs w:val="32"/>
        </w:rPr>
        <w:lastRenderedPageBreak/>
        <w:t>效自评综述；中央补助地方公共文化服务体系建设补助资金专项预算项目绩效自评得分为</w:t>
      </w:r>
      <w:r>
        <w:rPr>
          <w:rFonts w:eastAsia="仿宋_GB2312" w:cs="仿宋_GB2312"/>
          <w:sz w:val="32"/>
          <w:szCs w:val="32"/>
        </w:rPr>
        <w:t>95</w:t>
      </w:r>
      <w:r>
        <w:rPr>
          <w:rFonts w:eastAsia="仿宋_GB2312" w:cs="仿宋_GB2312" w:hint="eastAsia"/>
          <w:sz w:val="32"/>
          <w:szCs w:val="32"/>
        </w:rPr>
        <w:t>分，绩效自评综述：</w:t>
      </w:r>
      <w:r>
        <w:rPr>
          <w:rFonts w:eastAsia="仿宋_GB2312" w:cs="仿宋_GB2312"/>
          <w:sz w:val="32"/>
          <w:szCs w:val="32"/>
        </w:rPr>
        <w:t>2024</w:t>
      </w:r>
      <w:r>
        <w:rPr>
          <w:rFonts w:eastAsia="仿宋_GB2312" w:cs="仿宋_GB2312" w:hint="eastAsia"/>
          <w:sz w:val="32"/>
          <w:szCs w:val="32"/>
        </w:rPr>
        <w:t>年运行经费专项预算项目绩效自评得分为</w:t>
      </w:r>
      <w:r>
        <w:rPr>
          <w:rFonts w:eastAsia="仿宋_GB2312" w:cs="仿宋_GB2312"/>
          <w:sz w:val="32"/>
          <w:szCs w:val="32"/>
        </w:rPr>
        <w:t>9</w:t>
      </w:r>
      <w:r w:rsidR="000A73A3">
        <w:rPr>
          <w:rFonts w:eastAsia="仿宋_GB2312" w:cs="仿宋_GB2312" w:hint="eastAsia"/>
          <w:sz w:val="32"/>
          <w:szCs w:val="32"/>
        </w:rPr>
        <w:t>5</w:t>
      </w:r>
      <w:r>
        <w:rPr>
          <w:rFonts w:eastAsia="仿宋_GB2312" w:cs="仿宋_GB2312" w:hint="eastAsia"/>
          <w:sz w:val="32"/>
          <w:szCs w:val="32"/>
        </w:rPr>
        <w:t>分，绩效自评综述；连线延边直播活动经费专项预算项目绩效自评得分为</w:t>
      </w:r>
      <w:r>
        <w:rPr>
          <w:rFonts w:eastAsia="仿宋_GB2312" w:cs="仿宋_GB2312"/>
          <w:sz w:val="32"/>
          <w:szCs w:val="32"/>
        </w:rPr>
        <w:t>96</w:t>
      </w:r>
      <w:r>
        <w:rPr>
          <w:rFonts w:eastAsia="仿宋_GB2312" w:cs="仿宋_GB2312" w:hint="eastAsia"/>
          <w:sz w:val="32"/>
          <w:szCs w:val="32"/>
        </w:rPr>
        <w:t>分，绩效自评综述；“盐边融媒”</w:t>
      </w:r>
      <w:r>
        <w:rPr>
          <w:rFonts w:eastAsia="仿宋_GB2312" w:cs="仿宋_GB2312"/>
          <w:sz w:val="32"/>
          <w:szCs w:val="32"/>
        </w:rPr>
        <w:t>APP</w:t>
      </w:r>
      <w:r>
        <w:rPr>
          <w:rFonts w:eastAsia="仿宋_GB2312" w:cs="仿宋_GB2312" w:hint="eastAsia"/>
          <w:sz w:val="32"/>
          <w:szCs w:val="32"/>
        </w:rPr>
        <w:t>迭代升项目专项预算项目绩效自评得分为</w:t>
      </w:r>
      <w:r>
        <w:rPr>
          <w:rFonts w:eastAsia="仿宋_GB2312" w:cs="仿宋_GB2312" w:hint="eastAsia"/>
          <w:sz w:val="32"/>
          <w:szCs w:val="32"/>
        </w:rPr>
        <w:t>9</w:t>
      </w:r>
      <w:r w:rsidR="000A73A3">
        <w:rPr>
          <w:rFonts w:eastAsia="仿宋_GB2312" w:cs="仿宋_GB2312" w:hint="eastAsia"/>
          <w:sz w:val="32"/>
          <w:szCs w:val="32"/>
        </w:rPr>
        <w:t>5</w:t>
      </w:r>
      <w:r>
        <w:rPr>
          <w:rFonts w:eastAsia="仿宋_GB2312" w:cs="仿宋_GB2312" w:hint="eastAsia"/>
          <w:sz w:val="32"/>
          <w:szCs w:val="32"/>
        </w:rPr>
        <w:t>分。绩效自评报告详见第四部分附件。</w:t>
      </w:r>
    </w:p>
    <w:p w:rsidR="0088708D" w:rsidRDefault="0088708D">
      <w:pPr>
        <w:spacing w:line="600" w:lineRule="exact"/>
        <w:ind w:firstLineChars="200" w:firstLine="420"/>
      </w:pPr>
    </w:p>
    <w:p w:rsidR="0088708D" w:rsidRDefault="0088708D">
      <w:pPr>
        <w:pStyle w:val="20"/>
        <w:ind w:leftChars="95" w:left="199"/>
      </w:pPr>
    </w:p>
    <w:p w:rsidR="0088708D" w:rsidRDefault="0088708D">
      <w:pPr>
        <w:pStyle w:val="20"/>
        <w:ind w:leftChars="95" w:left="199"/>
      </w:pPr>
    </w:p>
    <w:p w:rsidR="0088708D" w:rsidRDefault="0088708D">
      <w:pPr>
        <w:pStyle w:val="20"/>
        <w:ind w:leftChars="0" w:left="0" w:firstLineChars="0" w:firstLine="0"/>
      </w:pPr>
    </w:p>
    <w:p w:rsidR="0088708D" w:rsidRDefault="0088708D">
      <w:pPr>
        <w:pStyle w:val="20"/>
        <w:ind w:leftChars="0" w:left="0" w:firstLineChars="0" w:firstLine="0"/>
      </w:pPr>
    </w:p>
    <w:p w:rsidR="0088708D" w:rsidRDefault="0088708D">
      <w:pPr>
        <w:pStyle w:val="20"/>
        <w:ind w:leftChars="0" w:left="0" w:firstLineChars="0" w:firstLine="0"/>
      </w:pPr>
    </w:p>
    <w:p w:rsidR="0088708D" w:rsidRDefault="0088708D">
      <w:pPr>
        <w:spacing w:line="600" w:lineRule="exact"/>
        <w:jc w:val="center"/>
        <w:outlineLvl w:val="0"/>
        <w:rPr>
          <w:rFonts w:eastAsia="黑体"/>
          <w:sz w:val="44"/>
          <w:szCs w:val="44"/>
        </w:rPr>
      </w:pPr>
      <w:bookmarkStart w:id="76" w:name="_Toc15396613"/>
      <w:bookmarkStart w:id="77" w:name="_Toc15377225"/>
    </w:p>
    <w:p w:rsidR="0088708D" w:rsidRDefault="0088708D">
      <w:pPr>
        <w:spacing w:line="600" w:lineRule="exact"/>
        <w:jc w:val="center"/>
        <w:outlineLvl w:val="0"/>
        <w:rPr>
          <w:rFonts w:eastAsia="黑体"/>
          <w:sz w:val="44"/>
          <w:szCs w:val="44"/>
        </w:rPr>
      </w:pPr>
    </w:p>
    <w:p w:rsidR="0088708D" w:rsidRDefault="0088708D">
      <w:pPr>
        <w:spacing w:line="600" w:lineRule="exact"/>
        <w:jc w:val="center"/>
        <w:outlineLvl w:val="0"/>
        <w:rPr>
          <w:rFonts w:eastAsia="黑体"/>
          <w:sz w:val="44"/>
          <w:szCs w:val="44"/>
        </w:rPr>
      </w:pPr>
    </w:p>
    <w:p w:rsidR="0088708D" w:rsidRDefault="0088708D">
      <w:pPr>
        <w:spacing w:line="600" w:lineRule="exact"/>
        <w:jc w:val="center"/>
        <w:outlineLvl w:val="0"/>
        <w:rPr>
          <w:rFonts w:eastAsia="黑体"/>
          <w:sz w:val="44"/>
          <w:szCs w:val="44"/>
        </w:rPr>
      </w:pPr>
    </w:p>
    <w:p w:rsidR="0088708D" w:rsidRDefault="0088708D">
      <w:pPr>
        <w:spacing w:line="600" w:lineRule="exact"/>
        <w:jc w:val="center"/>
        <w:outlineLvl w:val="0"/>
        <w:rPr>
          <w:rFonts w:eastAsia="黑体"/>
          <w:sz w:val="44"/>
          <w:szCs w:val="44"/>
        </w:rPr>
      </w:pPr>
    </w:p>
    <w:p w:rsidR="0088708D" w:rsidRDefault="0088708D">
      <w:pPr>
        <w:spacing w:line="600" w:lineRule="exact"/>
        <w:jc w:val="center"/>
        <w:outlineLvl w:val="0"/>
        <w:rPr>
          <w:rFonts w:eastAsia="黑体"/>
          <w:sz w:val="44"/>
          <w:szCs w:val="44"/>
        </w:rPr>
      </w:pPr>
    </w:p>
    <w:p w:rsidR="0073218C" w:rsidRDefault="0073218C" w:rsidP="0073218C">
      <w:pPr>
        <w:pStyle w:val="a0"/>
      </w:pPr>
    </w:p>
    <w:p w:rsidR="0073218C" w:rsidRPr="0073218C" w:rsidRDefault="0073218C" w:rsidP="0073218C">
      <w:pPr>
        <w:pStyle w:val="20"/>
        <w:ind w:left="420"/>
      </w:pPr>
    </w:p>
    <w:p w:rsidR="0088708D" w:rsidRDefault="0088708D">
      <w:pPr>
        <w:spacing w:line="600" w:lineRule="exact"/>
        <w:jc w:val="center"/>
        <w:outlineLvl w:val="0"/>
        <w:rPr>
          <w:rFonts w:eastAsia="黑体"/>
          <w:sz w:val="44"/>
          <w:szCs w:val="44"/>
        </w:rPr>
      </w:pPr>
    </w:p>
    <w:p w:rsidR="0088708D" w:rsidRDefault="00350D14">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76"/>
      <w:bookmarkEnd w:id="77"/>
    </w:p>
    <w:p w:rsidR="0088708D" w:rsidRDefault="0088708D">
      <w:pPr>
        <w:spacing w:line="600" w:lineRule="exact"/>
        <w:jc w:val="left"/>
        <w:rPr>
          <w:b/>
          <w:sz w:val="44"/>
          <w:szCs w:val="44"/>
        </w:rPr>
      </w:pP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年初结转和结余：指以前年度尚未完成、结转到本年按有关规定继续使用的资金。</w:t>
      </w:r>
    </w:p>
    <w:p w:rsidR="0088708D" w:rsidRDefault="00350D14">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结余分配：指事业单位按照会计制度规定缴纳的所得税、提取的专用结余以及转入非财政拨款结余的金额等。</w:t>
      </w:r>
    </w:p>
    <w:p w:rsidR="0088708D" w:rsidRDefault="00350D14">
      <w:pPr>
        <w:ind w:firstLineChars="200" w:firstLine="640"/>
        <w:rPr>
          <w:rFonts w:ascii="方正楷体_GBK" w:eastAsia="方正楷体_GBK" w:cs="仿宋_GB2312"/>
          <w:sz w:val="32"/>
          <w:szCs w:val="32"/>
        </w:rPr>
      </w:pPr>
      <w:r>
        <w:rPr>
          <w:rFonts w:eastAsia="仿宋_GB2312" w:cs="仿宋_GB2312" w:hint="eastAsia"/>
          <w:sz w:val="32"/>
          <w:szCs w:val="32"/>
        </w:rPr>
        <w:t>4.</w:t>
      </w:r>
      <w:r>
        <w:rPr>
          <w:rFonts w:eastAsia="仿宋_GB2312" w:cs="仿宋_GB2312" w:hint="eastAsia"/>
          <w:sz w:val="32"/>
          <w:szCs w:val="32"/>
        </w:rPr>
        <w:t>年末结转和结余：指单位按有关规定结转到下年或以后年度继续使用的资金</w:t>
      </w:r>
      <w:r>
        <w:rPr>
          <w:rFonts w:ascii="方正楷体_GBK" w:eastAsia="方正楷体_GBK" w:cs="仿宋_GB2312" w:hint="eastAsia"/>
          <w:sz w:val="32"/>
          <w:szCs w:val="32"/>
        </w:rPr>
        <w:t>。</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5.文化旅</w:t>
      </w:r>
      <w:bookmarkStart w:id="78" w:name="OLE_LINK24"/>
      <w:r>
        <w:rPr>
          <w:rFonts w:ascii="仿宋_GB2312" w:eastAsia="仿宋_GB2312" w:hAnsi="仿宋" w:hint="eastAsia"/>
          <w:sz w:val="32"/>
          <w:szCs w:val="32"/>
        </w:rPr>
        <w:t>游体育与传媒（类）广播电视（款）广播电视事务（项）：指</w:t>
      </w:r>
      <w:r>
        <w:rPr>
          <w:rFonts w:ascii="仿宋_GB2312" w:eastAsia="仿宋_GB2312" w:hAnsi="仿宋" w:hint="eastAsia"/>
          <w:color w:val="000000"/>
          <w:sz w:val="32"/>
          <w:szCs w:val="32"/>
        </w:rPr>
        <w:t>反映广播电视台等的支</w:t>
      </w:r>
      <w:bookmarkEnd w:id="78"/>
      <w:r>
        <w:rPr>
          <w:rFonts w:ascii="仿宋_GB2312" w:eastAsia="仿宋_GB2312" w:hAnsi="仿宋" w:hint="eastAsia"/>
          <w:color w:val="000000"/>
          <w:sz w:val="32"/>
          <w:szCs w:val="32"/>
        </w:rPr>
        <w:t>出</w:t>
      </w:r>
      <w:r>
        <w:rPr>
          <w:rFonts w:ascii="仿宋_GB2312" w:eastAsia="仿宋_GB2312" w:hAnsi="仿宋" w:hint="eastAsia"/>
          <w:sz w:val="32"/>
          <w:szCs w:val="32"/>
        </w:rPr>
        <w:t>。</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6.文化旅游体育与传媒（类）其他文化旅游体育与传媒支出（款）其他文化旅游体育与传媒支出（项）：指</w:t>
      </w:r>
      <w:r>
        <w:rPr>
          <w:rFonts w:ascii="仿宋_GB2312" w:eastAsia="仿宋_GB2312" w:hAnsi="仿宋" w:hint="eastAsia"/>
          <w:color w:val="000000"/>
          <w:sz w:val="32"/>
          <w:szCs w:val="32"/>
        </w:rPr>
        <w:t>其他用于文化旅游体育与传媒方面的支出</w:t>
      </w:r>
      <w:r>
        <w:rPr>
          <w:rFonts w:ascii="仿宋_GB2312" w:eastAsia="仿宋_GB2312" w:hAnsi="仿宋" w:hint="eastAsia"/>
          <w:sz w:val="32"/>
          <w:szCs w:val="32"/>
        </w:rPr>
        <w:t>。</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7.社会保障和就业（类）行政事业单位养老支出（款）行政单位离退休（项）：指行政单位开支的离退休经费。</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8.社会保障和就业（类）行政事业单位养老支出（款）事业单位离退休（项）：指事业单位开支的离退休经费。</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9.社会保障和就业（类）行政事业单位养老支出（款）机关事业单位基本养老保险缴费支出（项）：指机关事业单位实施养老保险制度由单位缴纳的基本养老保险费支出。</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10.社会保障和就业（类）行政事业单位养老支出（款）机关事业单位职业年金缴费支出（项）：指机关事业单位实施养老保险制度由单位实际缴纳的职业年金支出。</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11.社会保障和就业（类）抚恤（款）死亡抚恤（项）：指按规定用于烈士和牺牲、病故人员家属的一次性和定期抚恤金、丧葬补助费以及烈士褒扬金。</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12.卫生健康（类）行政事业单位医疗（款）行政单位医疗（项）：指财政部门安排的行政单位基本医疗保险缴费经费，未参加医疗保险的行政单位公费医疗经费。</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13.卫生健康（类）行政事业单位医疗（款）事业单位医疗（项）：指财政部门安排的事业单位基本医疗保险缴费经费，未参加医疗保险的事业单位的公费医疗经费，按国家规定享受离休人员待遇的医疗经费。</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14.卫生健康（类）行政事业单位医疗（款）公务员医疗（项）：指财政部门安排的公务员医疗补助经费。</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15.卫生健康（类）行政事业单位医疗（款）其他行政事业单位医疗支出（项）：指其他用于行政事业单位医疗方面的支出。</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16.住房保障（类）住房改革支出（款）住房公积金（项）：指</w:t>
      </w:r>
      <w:r>
        <w:rPr>
          <w:rFonts w:ascii="仿宋_GB2312" w:eastAsia="仿宋_GB2312" w:hAnsi="仿宋" w:hint="eastAsia"/>
          <w:color w:val="000000"/>
          <w:sz w:val="32"/>
          <w:szCs w:val="32"/>
        </w:rPr>
        <w:t>行政事业单位按人力资源和社会保障部、财政部规定的基本工资和津贴补贴以及规定比例为职工缴纳的住房公积金</w:t>
      </w:r>
      <w:r>
        <w:rPr>
          <w:rFonts w:ascii="仿宋_GB2312" w:eastAsia="仿宋_GB2312" w:hAnsi="仿宋" w:hint="eastAsia"/>
          <w:sz w:val="32"/>
          <w:szCs w:val="32"/>
        </w:rPr>
        <w:t>。</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17.基本支出：指为保障机构正常运转、完成日常工作任</w:t>
      </w:r>
      <w:r>
        <w:rPr>
          <w:rFonts w:ascii="仿宋_GB2312" w:eastAsia="仿宋_GB2312" w:hAnsi="仿宋" w:hint="eastAsia"/>
          <w:sz w:val="32"/>
          <w:szCs w:val="32"/>
        </w:rPr>
        <w:lastRenderedPageBreak/>
        <w:t>务而发生的人员支出和公用支出。</w:t>
      </w:r>
    </w:p>
    <w:p w:rsidR="0088708D" w:rsidRDefault="00350D14">
      <w:pPr>
        <w:ind w:firstLineChars="200" w:firstLine="640"/>
        <w:rPr>
          <w:rFonts w:ascii="仿宋_GB2312" w:eastAsia="仿宋_GB2312" w:hAnsi="仿宋"/>
          <w:sz w:val="32"/>
          <w:szCs w:val="32"/>
        </w:rPr>
      </w:pPr>
      <w:r>
        <w:rPr>
          <w:rFonts w:ascii="仿宋_GB2312" w:eastAsia="仿宋_GB2312" w:hAnsi="仿宋" w:hint="eastAsia"/>
          <w:sz w:val="32"/>
          <w:szCs w:val="32"/>
        </w:rPr>
        <w:t>18.项目支出：指在基本支出之外为完成特定行政任务和事业发展目标所发生的支出。</w:t>
      </w:r>
    </w:p>
    <w:p w:rsidR="0088708D" w:rsidRDefault="00350D14">
      <w:pPr>
        <w:ind w:firstLineChars="200" w:firstLine="640"/>
        <w:rPr>
          <w:rFonts w:ascii="仿宋_GB2312" w:eastAsia="仿宋_GB2312" w:hAnsi="Calibri"/>
          <w:szCs w:val="21"/>
        </w:rPr>
      </w:pPr>
      <w:r>
        <w:rPr>
          <w:rFonts w:ascii="仿宋_GB2312" w:eastAsia="仿宋_GB2312" w:hAnsi="仿宋" w:hint="eastAsia"/>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w:t>
      </w:r>
      <w:bookmarkStart w:id="79" w:name="OLE_LINK25"/>
      <w:bookmarkStart w:id="80" w:name="OLE_LINK26"/>
      <w:bookmarkStart w:id="81" w:name="OLE_LINK27"/>
      <w:r>
        <w:rPr>
          <w:rFonts w:ascii="仿宋_GB2312" w:eastAsia="仿宋_GB2312" w:hAnsi="仿宋" w:hint="eastAsia"/>
          <w:sz w:val="32"/>
          <w:szCs w:val="32"/>
        </w:rPr>
        <w:t>外宾接待）支出</w:t>
      </w:r>
      <w:bookmarkEnd w:id="79"/>
      <w:bookmarkEnd w:id="80"/>
      <w:bookmarkEnd w:id="81"/>
      <w:r>
        <w:rPr>
          <w:rFonts w:ascii="仿宋_GB2312" w:eastAsia="仿宋_GB2312" w:hAnsi="仿宋" w:hint="eastAsia"/>
          <w:sz w:val="32"/>
          <w:szCs w:val="32"/>
        </w:rPr>
        <w:t>。</w:t>
      </w:r>
    </w:p>
    <w:p w:rsidR="0088708D" w:rsidRDefault="0088708D">
      <w:pPr>
        <w:spacing w:line="600" w:lineRule="exact"/>
        <w:jc w:val="center"/>
        <w:outlineLvl w:val="0"/>
        <w:rPr>
          <w:rFonts w:ascii="黑体" w:eastAsia="黑体" w:hAnsi="黑体"/>
          <w:sz w:val="44"/>
          <w:szCs w:val="44"/>
        </w:rPr>
      </w:pPr>
    </w:p>
    <w:p w:rsidR="0088708D" w:rsidRDefault="0088708D">
      <w:pPr>
        <w:spacing w:line="600" w:lineRule="exact"/>
        <w:jc w:val="center"/>
        <w:outlineLvl w:val="0"/>
        <w:rPr>
          <w:rFonts w:ascii="黑体" w:eastAsia="黑体" w:hAnsi="黑体"/>
          <w:sz w:val="44"/>
          <w:szCs w:val="44"/>
        </w:rPr>
      </w:pPr>
    </w:p>
    <w:p w:rsidR="0088708D" w:rsidRDefault="0088708D">
      <w:pPr>
        <w:pStyle w:val="20"/>
        <w:ind w:leftChars="0" w:left="0" w:firstLineChars="0" w:firstLine="0"/>
      </w:pPr>
    </w:p>
    <w:p w:rsidR="0088708D" w:rsidRDefault="0088708D">
      <w:pPr>
        <w:pStyle w:val="20"/>
        <w:ind w:leftChars="0" w:left="0" w:firstLineChars="0" w:firstLine="0"/>
      </w:pPr>
    </w:p>
    <w:p w:rsidR="0088708D" w:rsidRDefault="0088708D">
      <w:pPr>
        <w:pStyle w:val="20"/>
        <w:ind w:leftChars="0" w:left="0" w:firstLineChars="0" w:firstLine="0"/>
      </w:pPr>
    </w:p>
    <w:p w:rsidR="0073218C" w:rsidRDefault="0073218C">
      <w:pPr>
        <w:pStyle w:val="20"/>
        <w:ind w:leftChars="0" w:left="0" w:firstLineChars="0" w:firstLine="0"/>
      </w:pPr>
    </w:p>
    <w:p w:rsidR="0073218C" w:rsidRDefault="0073218C">
      <w:pPr>
        <w:pStyle w:val="20"/>
        <w:ind w:leftChars="0" w:left="0" w:firstLineChars="0" w:firstLine="0"/>
      </w:pPr>
    </w:p>
    <w:p w:rsidR="0073218C" w:rsidRDefault="0073218C">
      <w:pPr>
        <w:pStyle w:val="20"/>
        <w:ind w:leftChars="0" w:left="0" w:firstLineChars="0" w:firstLine="0"/>
      </w:pPr>
    </w:p>
    <w:p w:rsidR="0073218C" w:rsidRDefault="0073218C">
      <w:pPr>
        <w:pStyle w:val="20"/>
        <w:ind w:leftChars="0" w:left="0" w:firstLineChars="0" w:firstLine="0"/>
      </w:pPr>
    </w:p>
    <w:p w:rsidR="0088708D" w:rsidRDefault="0088708D">
      <w:pPr>
        <w:spacing w:line="600" w:lineRule="exact"/>
        <w:jc w:val="center"/>
        <w:outlineLvl w:val="0"/>
        <w:rPr>
          <w:rFonts w:ascii="黑体" w:eastAsia="黑体" w:hAnsi="黑体"/>
          <w:sz w:val="44"/>
          <w:szCs w:val="44"/>
        </w:rPr>
      </w:pPr>
    </w:p>
    <w:p w:rsidR="0088708D" w:rsidRDefault="00350D14">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rPr>
        <w:t>四部分 附件</w:t>
      </w:r>
    </w:p>
    <w:p w:rsidR="0088708D" w:rsidRDefault="00350D14">
      <w:pPr>
        <w:widowControl/>
        <w:jc w:val="center"/>
        <w:rPr>
          <w:rFonts w:eastAsia="黑体"/>
          <w:sz w:val="44"/>
          <w:szCs w:val="44"/>
        </w:rPr>
      </w:pPr>
      <w:bookmarkStart w:id="82" w:name="_Toc15396618"/>
      <w:bookmarkStart w:id="83" w:name="_Toc15377226"/>
      <w:r>
        <w:rPr>
          <w:rFonts w:eastAsia="仿宋_GB2312" w:cs="仿宋_GB2312"/>
          <w:noProof/>
          <w:sz w:val="32"/>
          <w:szCs w:val="32"/>
        </w:rPr>
        <w:drawing>
          <wp:inline distT="0" distB="0" distL="0" distR="0">
            <wp:extent cx="5274310" cy="8305800"/>
            <wp:effectExtent l="19050" t="0" r="2540" b="0"/>
            <wp:docPr id="3" name="图片 1" descr="基本支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基本支出.png"/>
                    <pic:cNvPicPr>
                      <a:picLocks noChangeAspect="1"/>
                    </pic:cNvPicPr>
                  </pic:nvPicPr>
                  <pic:blipFill>
                    <a:blip r:embed="rId19"/>
                    <a:stretch>
                      <a:fillRect/>
                    </a:stretch>
                  </pic:blipFill>
                  <pic:spPr>
                    <a:xfrm>
                      <a:off x="0" y="0"/>
                      <a:ext cx="5274310" cy="8305800"/>
                    </a:xfrm>
                    <a:prstGeom prst="rect">
                      <a:avLst/>
                    </a:prstGeom>
                  </pic:spPr>
                </pic:pic>
              </a:graphicData>
            </a:graphic>
          </wp:inline>
        </w:drawing>
      </w:r>
    </w:p>
    <w:p w:rsidR="0088708D" w:rsidRDefault="00350D14">
      <w:pPr>
        <w:widowControl/>
        <w:jc w:val="center"/>
        <w:rPr>
          <w:rFonts w:eastAsia="黑体"/>
          <w:sz w:val="44"/>
          <w:szCs w:val="44"/>
        </w:rPr>
      </w:pPr>
      <w:r>
        <w:rPr>
          <w:rFonts w:eastAsia="黑体" w:hint="eastAsia"/>
          <w:noProof/>
          <w:sz w:val="44"/>
          <w:szCs w:val="44"/>
        </w:rPr>
        <w:lastRenderedPageBreak/>
        <w:drawing>
          <wp:inline distT="0" distB="0" distL="0" distR="0">
            <wp:extent cx="5274310" cy="8582025"/>
            <wp:effectExtent l="19050" t="0" r="2540" b="0"/>
            <wp:docPr id="4" name="图片 3" descr="中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中央.png"/>
                    <pic:cNvPicPr>
                      <a:picLocks noChangeAspect="1"/>
                    </pic:cNvPicPr>
                  </pic:nvPicPr>
                  <pic:blipFill>
                    <a:blip r:embed="rId20"/>
                    <a:stretch>
                      <a:fillRect/>
                    </a:stretch>
                  </pic:blipFill>
                  <pic:spPr>
                    <a:xfrm>
                      <a:off x="0" y="0"/>
                      <a:ext cx="5274310" cy="8582025"/>
                    </a:xfrm>
                    <a:prstGeom prst="rect">
                      <a:avLst/>
                    </a:prstGeom>
                  </pic:spPr>
                </pic:pic>
              </a:graphicData>
            </a:graphic>
          </wp:inline>
        </w:drawing>
      </w:r>
    </w:p>
    <w:p w:rsidR="0088708D" w:rsidRDefault="00350D14">
      <w:pPr>
        <w:widowControl/>
        <w:jc w:val="center"/>
        <w:rPr>
          <w:rFonts w:eastAsia="黑体"/>
          <w:sz w:val="44"/>
          <w:szCs w:val="44"/>
        </w:rPr>
      </w:pPr>
      <w:r>
        <w:rPr>
          <w:rFonts w:eastAsia="黑体" w:hint="eastAsia"/>
          <w:noProof/>
          <w:sz w:val="44"/>
          <w:szCs w:val="44"/>
        </w:rPr>
        <w:lastRenderedPageBreak/>
        <w:drawing>
          <wp:inline distT="0" distB="0" distL="0" distR="0">
            <wp:extent cx="5274310" cy="8658225"/>
            <wp:effectExtent l="19050" t="0" r="2540" b="0"/>
            <wp:docPr id="5" name="图片 4" descr="运行经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运行经费.png"/>
                    <pic:cNvPicPr>
                      <a:picLocks noChangeAspect="1"/>
                    </pic:cNvPicPr>
                  </pic:nvPicPr>
                  <pic:blipFill>
                    <a:blip r:embed="rId21"/>
                    <a:stretch>
                      <a:fillRect/>
                    </a:stretch>
                  </pic:blipFill>
                  <pic:spPr>
                    <a:xfrm>
                      <a:off x="0" y="0"/>
                      <a:ext cx="5274310" cy="8658225"/>
                    </a:xfrm>
                    <a:prstGeom prst="rect">
                      <a:avLst/>
                    </a:prstGeom>
                  </pic:spPr>
                </pic:pic>
              </a:graphicData>
            </a:graphic>
          </wp:inline>
        </w:drawing>
      </w:r>
    </w:p>
    <w:p w:rsidR="0088708D" w:rsidRDefault="0088708D">
      <w:pPr>
        <w:widowControl/>
        <w:jc w:val="center"/>
        <w:rPr>
          <w:rFonts w:eastAsia="黑体"/>
          <w:sz w:val="44"/>
          <w:szCs w:val="44"/>
        </w:rPr>
      </w:pPr>
    </w:p>
    <w:p w:rsidR="0088708D" w:rsidRDefault="00350D14">
      <w:pPr>
        <w:widowControl/>
        <w:jc w:val="center"/>
        <w:rPr>
          <w:rFonts w:eastAsia="黑体"/>
          <w:sz w:val="44"/>
          <w:szCs w:val="44"/>
        </w:rPr>
      </w:pPr>
      <w:r>
        <w:rPr>
          <w:rFonts w:eastAsia="黑体" w:hint="eastAsia"/>
          <w:noProof/>
          <w:sz w:val="44"/>
          <w:szCs w:val="44"/>
        </w:rPr>
        <w:drawing>
          <wp:inline distT="0" distB="0" distL="0" distR="0">
            <wp:extent cx="5272438" cy="8267700"/>
            <wp:effectExtent l="19050" t="0" r="4412" b="0"/>
            <wp:docPr id="6" name="图片 5" descr="连线活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连线活动.png"/>
                    <pic:cNvPicPr>
                      <a:picLocks noChangeAspect="1"/>
                    </pic:cNvPicPr>
                  </pic:nvPicPr>
                  <pic:blipFill>
                    <a:blip r:embed="rId22"/>
                    <a:stretch>
                      <a:fillRect/>
                    </a:stretch>
                  </pic:blipFill>
                  <pic:spPr>
                    <a:xfrm>
                      <a:off x="0" y="0"/>
                      <a:ext cx="5274310" cy="8270636"/>
                    </a:xfrm>
                    <a:prstGeom prst="rect">
                      <a:avLst/>
                    </a:prstGeom>
                  </pic:spPr>
                </pic:pic>
              </a:graphicData>
            </a:graphic>
          </wp:inline>
        </w:drawing>
      </w:r>
    </w:p>
    <w:p w:rsidR="0088708D" w:rsidRDefault="00350D14">
      <w:pPr>
        <w:widowControl/>
        <w:jc w:val="center"/>
        <w:rPr>
          <w:rFonts w:eastAsia="黑体"/>
          <w:sz w:val="44"/>
          <w:szCs w:val="44"/>
        </w:rPr>
      </w:pPr>
      <w:r>
        <w:rPr>
          <w:rFonts w:eastAsia="黑体" w:hint="eastAsia"/>
          <w:noProof/>
          <w:sz w:val="44"/>
          <w:szCs w:val="44"/>
        </w:rPr>
        <w:lastRenderedPageBreak/>
        <w:drawing>
          <wp:inline distT="0" distB="0" distL="0" distR="0">
            <wp:extent cx="5270709" cy="8391525"/>
            <wp:effectExtent l="19050" t="0" r="6141" b="0"/>
            <wp:docPr id="7" name="图片 6" descr="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APP.png"/>
                    <pic:cNvPicPr>
                      <a:picLocks noChangeAspect="1"/>
                    </pic:cNvPicPr>
                  </pic:nvPicPr>
                  <pic:blipFill>
                    <a:blip r:embed="rId23"/>
                    <a:stretch>
                      <a:fillRect/>
                    </a:stretch>
                  </pic:blipFill>
                  <pic:spPr>
                    <a:xfrm>
                      <a:off x="0" y="0"/>
                      <a:ext cx="5274310" cy="8397259"/>
                    </a:xfrm>
                    <a:prstGeom prst="rect">
                      <a:avLst/>
                    </a:prstGeom>
                  </pic:spPr>
                </pic:pic>
              </a:graphicData>
            </a:graphic>
          </wp:inline>
        </w:drawing>
      </w:r>
    </w:p>
    <w:p w:rsidR="0088708D" w:rsidRDefault="00350D14">
      <w:pPr>
        <w:widowControl/>
        <w:ind w:firstLineChars="650" w:firstLine="2860"/>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84" w:name="_Toc15396619"/>
      <w:bookmarkEnd w:id="82"/>
      <w:bookmarkEnd w:id="83"/>
    </w:p>
    <w:p w:rsidR="0088708D" w:rsidRDefault="0088708D">
      <w:pPr>
        <w:pStyle w:val="21"/>
        <w:adjustRightInd w:val="0"/>
        <w:snapToGrid w:val="0"/>
        <w:spacing w:line="560" w:lineRule="exact"/>
        <w:jc w:val="left"/>
        <w:rPr>
          <w:rFonts w:eastAsia="仿宋_GB2312" w:cs="仿宋_GB2312"/>
          <w:sz w:val="32"/>
          <w:szCs w:val="32"/>
        </w:rPr>
      </w:pPr>
    </w:p>
    <w:p w:rsidR="0088708D" w:rsidRDefault="00350D14">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84"/>
    </w:p>
    <w:p w:rsidR="0088708D" w:rsidRDefault="00350D14">
      <w:pPr>
        <w:pStyle w:val="21"/>
        <w:adjustRightInd w:val="0"/>
        <w:snapToGrid w:val="0"/>
        <w:spacing w:line="560" w:lineRule="exact"/>
        <w:jc w:val="left"/>
        <w:rPr>
          <w:rFonts w:eastAsia="仿宋_GB2312" w:cs="仿宋_GB2312"/>
          <w:sz w:val="32"/>
          <w:szCs w:val="32"/>
        </w:rPr>
      </w:pPr>
      <w:bookmarkStart w:id="85" w:name="_Toc15396620"/>
      <w:r>
        <w:rPr>
          <w:rFonts w:eastAsia="仿宋_GB2312" w:cs="仿宋_GB2312" w:hint="eastAsia"/>
          <w:sz w:val="32"/>
          <w:szCs w:val="32"/>
        </w:rPr>
        <w:t>二、收入决算表</w:t>
      </w:r>
      <w:bookmarkEnd w:id="85"/>
    </w:p>
    <w:p w:rsidR="0088708D" w:rsidRDefault="00350D14">
      <w:pPr>
        <w:pStyle w:val="21"/>
        <w:adjustRightInd w:val="0"/>
        <w:snapToGrid w:val="0"/>
        <w:spacing w:line="560" w:lineRule="exact"/>
        <w:jc w:val="left"/>
        <w:rPr>
          <w:rFonts w:eastAsia="仿宋_GB2312" w:cs="仿宋_GB2312"/>
          <w:sz w:val="32"/>
          <w:szCs w:val="32"/>
        </w:rPr>
      </w:pPr>
      <w:bookmarkStart w:id="86" w:name="_Toc15396621"/>
      <w:r>
        <w:rPr>
          <w:rFonts w:eastAsia="仿宋_GB2312" w:cs="仿宋_GB2312" w:hint="eastAsia"/>
          <w:sz w:val="32"/>
          <w:szCs w:val="32"/>
        </w:rPr>
        <w:t>三、支出决算表</w:t>
      </w:r>
      <w:bookmarkEnd w:id="86"/>
    </w:p>
    <w:p w:rsidR="0088708D" w:rsidRDefault="00350D14">
      <w:pPr>
        <w:pStyle w:val="21"/>
        <w:adjustRightInd w:val="0"/>
        <w:snapToGrid w:val="0"/>
        <w:spacing w:line="560" w:lineRule="exact"/>
        <w:jc w:val="left"/>
        <w:rPr>
          <w:rFonts w:eastAsia="仿宋_GB2312" w:cs="仿宋_GB2312"/>
          <w:sz w:val="32"/>
          <w:szCs w:val="32"/>
        </w:rPr>
      </w:pPr>
      <w:bookmarkStart w:id="87" w:name="_Toc15396622"/>
      <w:r>
        <w:rPr>
          <w:rFonts w:eastAsia="仿宋_GB2312" w:cs="仿宋_GB2312" w:hint="eastAsia"/>
          <w:sz w:val="32"/>
          <w:szCs w:val="32"/>
        </w:rPr>
        <w:t>四、财政拨款收入支出决算总表</w:t>
      </w:r>
      <w:bookmarkEnd w:id="87"/>
    </w:p>
    <w:p w:rsidR="0088708D" w:rsidRDefault="00350D14">
      <w:pPr>
        <w:pStyle w:val="21"/>
        <w:adjustRightInd w:val="0"/>
        <w:snapToGrid w:val="0"/>
        <w:spacing w:line="560" w:lineRule="exact"/>
        <w:jc w:val="left"/>
        <w:rPr>
          <w:rFonts w:eastAsia="仿宋_GB2312" w:cs="仿宋_GB2312"/>
          <w:sz w:val="32"/>
          <w:szCs w:val="32"/>
        </w:rPr>
      </w:pPr>
      <w:bookmarkStart w:id="88" w:name="_Toc15396623"/>
      <w:r>
        <w:rPr>
          <w:rFonts w:eastAsia="仿宋_GB2312" w:cs="仿宋_GB2312" w:hint="eastAsia"/>
          <w:sz w:val="32"/>
          <w:szCs w:val="32"/>
        </w:rPr>
        <w:t>五、财政拨款支出决算明细表</w:t>
      </w:r>
      <w:bookmarkStart w:id="89" w:name="_Toc15396624"/>
      <w:bookmarkEnd w:id="88"/>
    </w:p>
    <w:p w:rsidR="0088708D" w:rsidRDefault="00350D14">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89"/>
    </w:p>
    <w:p w:rsidR="0088708D" w:rsidRDefault="00350D14">
      <w:pPr>
        <w:pStyle w:val="21"/>
        <w:adjustRightInd w:val="0"/>
        <w:snapToGrid w:val="0"/>
        <w:spacing w:line="560" w:lineRule="exact"/>
        <w:jc w:val="left"/>
        <w:rPr>
          <w:rFonts w:eastAsia="仿宋_GB2312" w:cs="仿宋_GB2312"/>
          <w:sz w:val="32"/>
          <w:szCs w:val="32"/>
        </w:rPr>
      </w:pPr>
      <w:bookmarkStart w:id="90" w:name="_Toc15396625"/>
      <w:r>
        <w:rPr>
          <w:rFonts w:eastAsia="仿宋_GB2312" w:cs="仿宋_GB2312" w:hint="eastAsia"/>
          <w:sz w:val="32"/>
          <w:szCs w:val="32"/>
        </w:rPr>
        <w:t>七、一般公共预算财政拨款支出决算明细表</w:t>
      </w:r>
      <w:bookmarkEnd w:id="90"/>
    </w:p>
    <w:p w:rsidR="0088708D" w:rsidRDefault="00350D14">
      <w:pPr>
        <w:pStyle w:val="21"/>
        <w:adjustRightInd w:val="0"/>
        <w:snapToGrid w:val="0"/>
        <w:spacing w:line="560" w:lineRule="exact"/>
        <w:jc w:val="left"/>
        <w:rPr>
          <w:rFonts w:eastAsia="仿宋_GB2312" w:cs="仿宋_GB2312"/>
          <w:sz w:val="32"/>
          <w:szCs w:val="32"/>
        </w:rPr>
      </w:pPr>
      <w:bookmarkStart w:id="91" w:name="_Toc15396626"/>
      <w:r>
        <w:rPr>
          <w:rFonts w:eastAsia="仿宋_GB2312" w:cs="仿宋_GB2312" w:hint="eastAsia"/>
          <w:sz w:val="32"/>
          <w:szCs w:val="32"/>
        </w:rPr>
        <w:t>八、一般公共预算财政拨款基本支出决算表</w:t>
      </w:r>
      <w:bookmarkEnd w:id="91"/>
    </w:p>
    <w:p w:rsidR="0088708D" w:rsidRDefault="00350D14">
      <w:pPr>
        <w:pStyle w:val="21"/>
        <w:adjustRightInd w:val="0"/>
        <w:snapToGrid w:val="0"/>
        <w:spacing w:line="560" w:lineRule="exact"/>
        <w:jc w:val="left"/>
        <w:rPr>
          <w:rFonts w:eastAsia="仿宋_GB2312" w:cs="仿宋_GB2312"/>
          <w:sz w:val="32"/>
          <w:szCs w:val="32"/>
        </w:rPr>
      </w:pPr>
      <w:bookmarkStart w:id="92" w:name="_Toc15396627"/>
      <w:r>
        <w:rPr>
          <w:rFonts w:eastAsia="仿宋_GB2312" w:cs="仿宋_GB2312" w:hint="eastAsia"/>
          <w:sz w:val="32"/>
          <w:szCs w:val="32"/>
        </w:rPr>
        <w:t>九、一般公共预算财政拨款项目支出决算表</w:t>
      </w:r>
      <w:bookmarkEnd w:id="92"/>
    </w:p>
    <w:p w:rsidR="0088708D" w:rsidRDefault="00350D14">
      <w:pPr>
        <w:pStyle w:val="21"/>
        <w:adjustRightInd w:val="0"/>
        <w:snapToGrid w:val="0"/>
        <w:spacing w:line="560" w:lineRule="exact"/>
        <w:jc w:val="left"/>
        <w:rPr>
          <w:rFonts w:eastAsia="仿宋_GB2312" w:cs="仿宋_GB2312"/>
          <w:sz w:val="32"/>
          <w:szCs w:val="32"/>
        </w:rPr>
      </w:pPr>
      <w:bookmarkStart w:id="93" w:name="_Toc15396628"/>
      <w:r>
        <w:rPr>
          <w:rFonts w:eastAsia="仿宋_GB2312" w:cs="仿宋_GB2312" w:hint="eastAsia"/>
          <w:sz w:val="32"/>
          <w:szCs w:val="32"/>
        </w:rPr>
        <w:t>十、</w:t>
      </w:r>
      <w:bookmarkEnd w:id="93"/>
      <w:r>
        <w:rPr>
          <w:rFonts w:eastAsia="仿宋_GB2312" w:cs="仿宋_GB2312" w:hint="eastAsia"/>
          <w:sz w:val="32"/>
          <w:szCs w:val="32"/>
        </w:rPr>
        <w:t>政府性基金预算财政拨款收入支出决算表</w:t>
      </w:r>
    </w:p>
    <w:p w:rsidR="0088708D" w:rsidRDefault="00350D14">
      <w:pPr>
        <w:pStyle w:val="21"/>
        <w:adjustRightInd w:val="0"/>
        <w:snapToGrid w:val="0"/>
        <w:spacing w:line="560" w:lineRule="exact"/>
        <w:jc w:val="left"/>
        <w:rPr>
          <w:rFonts w:eastAsia="仿宋_GB2312" w:cs="仿宋_GB2312"/>
          <w:sz w:val="32"/>
          <w:szCs w:val="32"/>
        </w:rPr>
      </w:pPr>
      <w:bookmarkStart w:id="94" w:name="_Toc15396629"/>
      <w:r>
        <w:rPr>
          <w:rFonts w:eastAsia="仿宋_GB2312" w:cs="仿宋_GB2312" w:hint="eastAsia"/>
          <w:sz w:val="32"/>
          <w:szCs w:val="32"/>
        </w:rPr>
        <w:t>十一、</w:t>
      </w:r>
      <w:bookmarkEnd w:id="94"/>
      <w:r>
        <w:rPr>
          <w:rFonts w:eastAsia="仿宋_GB2312" w:cs="仿宋_GB2312" w:hint="eastAsia"/>
          <w:sz w:val="32"/>
          <w:szCs w:val="32"/>
        </w:rPr>
        <w:t>国有资本经营预算财政拨款收入支出决算表</w:t>
      </w:r>
    </w:p>
    <w:p w:rsidR="0088708D" w:rsidRDefault="00350D14">
      <w:pPr>
        <w:pStyle w:val="21"/>
        <w:adjustRightInd w:val="0"/>
        <w:snapToGrid w:val="0"/>
        <w:spacing w:line="560" w:lineRule="exact"/>
        <w:jc w:val="left"/>
        <w:rPr>
          <w:rFonts w:eastAsia="仿宋_GB2312" w:cs="仿宋_GB2312"/>
          <w:sz w:val="32"/>
          <w:szCs w:val="32"/>
        </w:rPr>
      </w:pPr>
      <w:bookmarkStart w:id="95" w:name="_Toc15396630"/>
      <w:r>
        <w:rPr>
          <w:rFonts w:eastAsia="仿宋_GB2312" w:cs="仿宋_GB2312" w:hint="eastAsia"/>
          <w:sz w:val="32"/>
          <w:szCs w:val="32"/>
        </w:rPr>
        <w:t>十二、</w:t>
      </w:r>
      <w:bookmarkEnd w:id="95"/>
      <w:r>
        <w:rPr>
          <w:rFonts w:eastAsia="仿宋_GB2312" w:cs="仿宋_GB2312" w:hint="eastAsia"/>
          <w:sz w:val="32"/>
          <w:szCs w:val="32"/>
        </w:rPr>
        <w:t>国有资本经营预算财政拨款支出决算表</w:t>
      </w:r>
    </w:p>
    <w:p w:rsidR="0088708D" w:rsidRDefault="00350D14">
      <w:pPr>
        <w:pStyle w:val="21"/>
        <w:adjustRightInd w:val="0"/>
        <w:snapToGrid w:val="0"/>
        <w:spacing w:line="560" w:lineRule="exact"/>
        <w:jc w:val="left"/>
        <w:rPr>
          <w:rFonts w:eastAsia="仿宋_GB2312" w:cs="仿宋_GB2312"/>
          <w:sz w:val="32"/>
          <w:szCs w:val="32"/>
        </w:rPr>
      </w:pPr>
      <w:bookmarkStart w:id="96" w:name="_Toc15396631"/>
      <w:r>
        <w:rPr>
          <w:rFonts w:eastAsia="仿宋_GB2312" w:cs="仿宋_GB2312" w:hint="eastAsia"/>
          <w:sz w:val="32"/>
          <w:szCs w:val="32"/>
        </w:rPr>
        <w:t>十三、</w:t>
      </w:r>
      <w:bookmarkEnd w:id="96"/>
      <w:r>
        <w:rPr>
          <w:rFonts w:eastAsia="仿宋_GB2312" w:cs="仿宋_GB2312" w:hint="eastAsia"/>
          <w:sz w:val="32"/>
          <w:szCs w:val="32"/>
        </w:rPr>
        <w:t>财政拨款“三公”经费支出决算表</w:t>
      </w:r>
    </w:p>
    <w:p w:rsidR="0088708D" w:rsidRDefault="0088708D"/>
    <w:sectPr w:rsidR="0088708D" w:rsidSect="0088708D">
      <w:footerReference w:type="default" r:id="rId24"/>
      <w:footerReference w:type="first" r:id="rId25"/>
      <w:pgSz w:w="11906" w:h="16838"/>
      <w:pgMar w:top="1440" w:right="1800" w:bottom="1440" w:left="1800" w:header="851" w:footer="992" w:gutter="0"/>
      <w:pgNumType w:start="2"/>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31B" w:rsidRDefault="0089531B" w:rsidP="0088708D">
      <w:r>
        <w:separator/>
      </w:r>
    </w:p>
  </w:endnote>
  <w:endnote w:type="continuationSeparator" w:id="1">
    <w:p w:rsidR="0089531B" w:rsidRDefault="0089531B" w:rsidP="00887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D" w:rsidRDefault="0088708D">
    <w:pPr>
      <w:pStyle w:val="a7"/>
      <w:jc w:val="center"/>
    </w:pPr>
  </w:p>
  <w:p w:rsidR="0088708D" w:rsidRDefault="0088708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D" w:rsidRDefault="0088708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D" w:rsidRDefault="00D654E4">
    <w:pPr>
      <w:pStyle w:val="a7"/>
      <w:jc w:val="center"/>
    </w:pPr>
    <w:r>
      <w:pict>
        <v:shapetype id="_x0000_t202" coordsize="21600,21600" o:spt="202" path="m,l,21600r21600,l21600,xe">
          <v:stroke joinstyle="miter"/>
          <v:path gradientshapeok="t" o:connecttype="rect"/>
        </v:shapetype>
        <v:shape id="_x0000_s4098" type="#_x0000_t202" style="position:absolute;left:0;text-align:left;margin-left:208pt;margin-top:0;width:2in;height:2in;z-index:251658240;mso-wrap-style:none;mso-position-horizontal:outside;mso-position-horizontal-relative:margin" filled="f" stroked="f">
          <v:textbox style="mso-fit-shape-to-text:t" inset="0,0,0,0">
            <w:txbxContent>
              <w:p w:rsidR="0088708D" w:rsidRDefault="00350D14">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D654E4">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654E4">
                  <w:rPr>
                    <w:rFonts w:asciiTheme="minorEastAsia" w:eastAsiaTheme="minorEastAsia" w:hAnsiTheme="minorEastAsia" w:cstheme="minorEastAsia" w:hint="eastAsia"/>
                    <w:sz w:val="28"/>
                    <w:szCs w:val="28"/>
                  </w:rPr>
                  <w:fldChar w:fldCharType="separate"/>
                </w:r>
                <w:r w:rsidR="000A73A3">
                  <w:rPr>
                    <w:rFonts w:asciiTheme="minorEastAsia" w:eastAsiaTheme="minorEastAsia" w:hAnsiTheme="minorEastAsia" w:cstheme="minorEastAsia"/>
                    <w:noProof/>
                    <w:sz w:val="28"/>
                    <w:szCs w:val="28"/>
                  </w:rPr>
                  <w:t>14</w:t>
                </w:r>
                <w:r w:rsidR="00D654E4">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p w:rsidR="0088708D" w:rsidRDefault="0088708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D" w:rsidRDefault="00D654E4">
    <w:pPr>
      <w:pStyle w:val="a7"/>
    </w:pPr>
    <w:r>
      <w:pict>
        <v:shapetype id="_x0000_t202" coordsize="21600,21600" o:spt="202" path="m,l,21600r21600,l21600,xe">
          <v:stroke joinstyle="miter"/>
          <v:path gradientshapeok="t" o:connecttype="rect"/>
        </v:shapetype>
        <v:shape id="_x0000_s4097" type="#_x0000_t202" style="position:absolute;margin-left:208pt;margin-top:0;width:2in;height:2in;z-index:251659264;mso-wrap-style:none;mso-position-horizontal:outside;mso-position-horizontal-relative:margin" filled="f" stroked="f">
          <v:textbox style="mso-fit-shape-to-text:t" inset="0,0,0,0">
            <w:txbxContent>
              <w:p w:rsidR="0088708D" w:rsidRDefault="00350D14">
                <w:pPr>
                  <w:pStyle w:val="a7"/>
                </w:pPr>
                <w:r>
                  <w:rPr>
                    <w:rFonts w:asciiTheme="minorEastAsia" w:eastAsiaTheme="minorEastAsia" w:hAnsiTheme="minorEastAsia" w:cstheme="minorEastAsia" w:hint="eastAsia"/>
                    <w:sz w:val="28"/>
                    <w:szCs w:val="28"/>
                  </w:rPr>
                  <w:t xml:space="preserve">— </w:t>
                </w:r>
                <w:r w:rsidR="00D654E4">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654E4">
                  <w:rPr>
                    <w:rFonts w:asciiTheme="minorEastAsia" w:eastAsiaTheme="minorEastAsia" w:hAnsiTheme="minorEastAsia" w:cstheme="minorEastAsia" w:hint="eastAsia"/>
                    <w:sz w:val="28"/>
                    <w:szCs w:val="28"/>
                  </w:rPr>
                  <w:fldChar w:fldCharType="separate"/>
                </w:r>
                <w:r w:rsidR="000A73A3">
                  <w:rPr>
                    <w:rFonts w:asciiTheme="minorEastAsia" w:eastAsiaTheme="minorEastAsia" w:hAnsiTheme="minorEastAsia" w:cstheme="minorEastAsia"/>
                    <w:noProof/>
                    <w:sz w:val="28"/>
                    <w:szCs w:val="28"/>
                  </w:rPr>
                  <w:t>2</w:t>
                </w:r>
                <w:r w:rsidR="00D654E4">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31B" w:rsidRDefault="0089531B" w:rsidP="0088708D">
      <w:r>
        <w:separator/>
      </w:r>
    </w:p>
  </w:footnote>
  <w:footnote w:type="continuationSeparator" w:id="1">
    <w:p w:rsidR="0089531B" w:rsidRDefault="0089531B" w:rsidP="00887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D" w:rsidRDefault="0088708D">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D" w:rsidRDefault="0088708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7416"/>
    <w:multiLevelType w:val="multilevel"/>
    <w:tmpl w:val="30737416"/>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55227"/>
    <w:rsid w:val="0006487A"/>
    <w:rsid w:val="00065F8F"/>
    <w:rsid w:val="00070A43"/>
    <w:rsid w:val="000768F2"/>
    <w:rsid w:val="0009184B"/>
    <w:rsid w:val="00094236"/>
    <w:rsid w:val="0009593C"/>
    <w:rsid w:val="00097322"/>
    <w:rsid w:val="000A6A92"/>
    <w:rsid w:val="000A73A3"/>
    <w:rsid w:val="000B047F"/>
    <w:rsid w:val="000B5923"/>
    <w:rsid w:val="000B5A48"/>
    <w:rsid w:val="000B6FF3"/>
    <w:rsid w:val="000C3467"/>
    <w:rsid w:val="000C3CA6"/>
    <w:rsid w:val="000D09D4"/>
    <w:rsid w:val="000D1267"/>
    <w:rsid w:val="000D1D50"/>
    <w:rsid w:val="000D5782"/>
    <w:rsid w:val="000E441E"/>
    <w:rsid w:val="000E6613"/>
    <w:rsid w:val="000E7119"/>
    <w:rsid w:val="00114E9B"/>
    <w:rsid w:val="00142216"/>
    <w:rsid w:val="00144D6A"/>
    <w:rsid w:val="0014729F"/>
    <w:rsid w:val="00150FED"/>
    <w:rsid w:val="00157BAB"/>
    <w:rsid w:val="001654D1"/>
    <w:rsid w:val="001721BF"/>
    <w:rsid w:val="001726DA"/>
    <w:rsid w:val="00174518"/>
    <w:rsid w:val="0018106D"/>
    <w:rsid w:val="001877A7"/>
    <w:rsid w:val="00191536"/>
    <w:rsid w:val="00196687"/>
    <w:rsid w:val="001A43E3"/>
    <w:rsid w:val="001C0962"/>
    <w:rsid w:val="001C0BFB"/>
    <w:rsid w:val="001D7531"/>
    <w:rsid w:val="001E737D"/>
    <w:rsid w:val="001F0592"/>
    <w:rsid w:val="001F179F"/>
    <w:rsid w:val="001F7506"/>
    <w:rsid w:val="001F7AA3"/>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E32F6"/>
    <w:rsid w:val="002E562C"/>
    <w:rsid w:val="002F1818"/>
    <w:rsid w:val="002F567B"/>
    <w:rsid w:val="003136F4"/>
    <w:rsid w:val="003204F9"/>
    <w:rsid w:val="003216A9"/>
    <w:rsid w:val="00335A74"/>
    <w:rsid w:val="00350D14"/>
    <w:rsid w:val="0036561B"/>
    <w:rsid w:val="0037013F"/>
    <w:rsid w:val="0037413C"/>
    <w:rsid w:val="00380C92"/>
    <w:rsid w:val="00392B6C"/>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0623"/>
    <w:rsid w:val="0048263A"/>
    <w:rsid w:val="00487E5D"/>
    <w:rsid w:val="0049374F"/>
    <w:rsid w:val="004A711F"/>
    <w:rsid w:val="004B199D"/>
    <w:rsid w:val="004B4496"/>
    <w:rsid w:val="004B4690"/>
    <w:rsid w:val="004D2C59"/>
    <w:rsid w:val="004E0A2D"/>
    <w:rsid w:val="004E206B"/>
    <w:rsid w:val="004E383C"/>
    <w:rsid w:val="004E5B34"/>
    <w:rsid w:val="004E6DF7"/>
    <w:rsid w:val="004F0FBD"/>
    <w:rsid w:val="004F5174"/>
    <w:rsid w:val="00500F6E"/>
    <w:rsid w:val="00505A47"/>
    <w:rsid w:val="00512FDA"/>
    <w:rsid w:val="00514BB8"/>
    <w:rsid w:val="00520DA0"/>
    <w:rsid w:val="00544B98"/>
    <w:rsid w:val="005505A6"/>
    <w:rsid w:val="005664BB"/>
    <w:rsid w:val="00566FFA"/>
    <w:rsid w:val="0057481D"/>
    <w:rsid w:val="00580ED1"/>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56A88"/>
    <w:rsid w:val="0066343B"/>
    <w:rsid w:val="00664777"/>
    <w:rsid w:val="00672AB7"/>
    <w:rsid w:val="006748A4"/>
    <w:rsid w:val="0067595E"/>
    <w:rsid w:val="00676925"/>
    <w:rsid w:val="00681A31"/>
    <w:rsid w:val="00683E73"/>
    <w:rsid w:val="006A0156"/>
    <w:rsid w:val="006A3141"/>
    <w:rsid w:val="006A5E34"/>
    <w:rsid w:val="006B2422"/>
    <w:rsid w:val="006B2B9A"/>
    <w:rsid w:val="006C1937"/>
    <w:rsid w:val="006C63DC"/>
    <w:rsid w:val="006F020C"/>
    <w:rsid w:val="007127B7"/>
    <w:rsid w:val="00713DBB"/>
    <w:rsid w:val="0071798E"/>
    <w:rsid w:val="0073218C"/>
    <w:rsid w:val="00737D41"/>
    <w:rsid w:val="007416B6"/>
    <w:rsid w:val="00743FB4"/>
    <w:rsid w:val="00746F48"/>
    <w:rsid w:val="0075404D"/>
    <w:rsid w:val="0076182A"/>
    <w:rsid w:val="00766E98"/>
    <w:rsid w:val="00767B7E"/>
    <w:rsid w:val="007770C3"/>
    <w:rsid w:val="007832F4"/>
    <w:rsid w:val="00784D24"/>
    <w:rsid w:val="00785FBA"/>
    <w:rsid w:val="00786E4A"/>
    <w:rsid w:val="007875EB"/>
    <w:rsid w:val="0079426B"/>
    <w:rsid w:val="007A54B0"/>
    <w:rsid w:val="007B1491"/>
    <w:rsid w:val="007C6993"/>
    <w:rsid w:val="007D1682"/>
    <w:rsid w:val="007D312A"/>
    <w:rsid w:val="007D3F19"/>
    <w:rsid w:val="007E23B0"/>
    <w:rsid w:val="007E23E5"/>
    <w:rsid w:val="007E6E98"/>
    <w:rsid w:val="007F1991"/>
    <w:rsid w:val="007F2C2F"/>
    <w:rsid w:val="007F2DD0"/>
    <w:rsid w:val="007F32D1"/>
    <w:rsid w:val="007F4CD5"/>
    <w:rsid w:val="007F55FC"/>
    <w:rsid w:val="007F5665"/>
    <w:rsid w:val="00800112"/>
    <w:rsid w:val="00801D58"/>
    <w:rsid w:val="00802E67"/>
    <w:rsid w:val="008107C3"/>
    <w:rsid w:val="00813348"/>
    <w:rsid w:val="008253BB"/>
    <w:rsid w:val="008307AC"/>
    <w:rsid w:val="0083706E"/>
    <w:rsid w:val="008408F6"/>
    <w:rsid w:val="008423A5"/>
    <w:rsid w:val="00850625"/>
    <w:rsid w:val="00853718"/>
    <w:rsid w:val="00855221"/>
    <w:rsid w:val="00860645"/>
    <w:rsid w:val="008665E4"/>
    <w:rsid w:val="00871F71"/>
    <w:rsid w:val="00872FD8"/>
    <w:rsid w:val="00877044"/>
    <w:rsid w:val="008846E5"/>
    <w:rsid w:val="00885AF4"/>
    <w:rsid w:val="00886A4D"/>
    <w:rsid w:val="0088708D"/>
    <w:rsid w:val="008939CD"/>
    <w:rsid w:val="0089531B"/>
    <w:rsid w:val="008B768C"/>
    <w:rsid w:val="008C2A93"/>
    <w:rsid w:val="008C4DB1"/>
    <w:rsid w:val="008C4EAF"/>
    <w:rsid w:val="008C5176"/>
    <w:rsid w:val="008C7FD0"/>
    <w:rsid w:val="008D4259"/>
    <w:rsid w:val="008E1DE7"/>
    <w:rsid w:val="008E707C"/>
    <w:rsid w:val="008F1E4E"/>
    <w:rsid w:val="008F7702"/>
    <w:rsid w:val="00900B08"/>
    <w:rsid w:val="00900C77"/>
    <w:rsid w:val="00902155"/>
    <w:rsid w:val="00902FA3"/>
    <w:rsid w:val="00923564"/>
    <w:rsid w:val="0092392E"/>
    <w:rsid w:val="009315F9"/>
    <w:rsid w:val="00933499"/>
    <w:rsid w:val="00935C98"/>
    <w:rsid w:val="00946945"/>
    <w:rsid w:val="00951248"/>
    <w:rsid w:val="0095152F"/>
    <w:rsid w:val="00954C49"/>
    <w:rsid w:val="00955E37"/>
    <w:rsid w:val="00963722"/>
    <w:rsid w:val="0097099F"/>
    <w:rsid w:val="00971997"/>
    <w:rsid w:val="00971FFC"/>
    <w:rsid w:val="0098660A"/>
    <w:rsid w:val="00986BBE"/>
    <w:rsid w:val="009931C3"/>
    <w:rsid w:val="0099371A"/>
    <w:rsid w:val="009A3B88"/>
    <w:rsid w:val="009B2C43"/>
    <w:rsid w:val="009B4EAE"/>
    <w:rsid w:val="009B7573"/>
    <w:rsid w:val="009C22F4"/>
    <w:rsid w:val="009C2A4B"/>
    <w:rsid w:val="009C2E98"/>
    <w:rsid w:val="009D3447"/>
    <w:rsid w:val="009D4711"/>
    <w:rsid w:val="009F1185"/>
    <w:rsid w:val="009F18CD"/>
    <w:rsid w:val="009F2A13"/>
    <w:rsid w:val="009F7527"/>
    <w:rsid w:val="00A0274C"/>
    <w:rsid w:val="00A04EB0"/>
    <w:rsid w:val="00A13CC1"/>
    <w:rsid w:val="00A16847"/>
    <w:rsid w:val="00A237D8"/>
    <w:rsid w:val="00A268C4"/>
    <w:rsid w:val="00A307CD"/>
    <w:rsid w:val="00A307ED"/>
    <w:rsid w:val="00A331C8"/>
    <w:rsid w:val="00A40A00"/>
    <w:rsid w:val="00A4142F"/>
    <w:rsid w:val="00A422EB"/>
    <w:rsid w:val="00A45BB7"/>
    <w:rsid w:val="00A56DF2"/>
    <w:rsid w:val="00A56E6E"/>
    <w:rsid w:val="00A67AB5"/>
    <w:rsid w:val="00A733B2"/>
    <w:rsid w:val="00A741C2"/>
    <w:rsid w:val="00A75D66"/>
    <w:rsid w:val="00A8103C"/>
    <w:rsid w:val="00A85343"/>
    <w:rsid w:val="00A91760"/>
    <w:rsid w:val="00A93B00"/>
    <w:rsid w:val="00A93C21"/>
    <w:rsid w:val="00AB64C9"/>
    <w:rsid w:val="00AC3C6A"/>
    <w:rsid w:val="00AD5620"/>
    <w:rsid w:val="00AD656B"/>
    <w:rsid w:val="00AD7C1B"/>
    <w:rsid w:val="00AE16BA"/>
    <w:rsid w:val="00AE1EBE"/>
    <w:rsid w:val="00B03358"/>
    <w:rsid w:val="00B03C9D"/>
    <w:rsid w:val="00B060AE"/>
    <w:rsid w:val="00B10517"/>
    <w:rsid w:val="00B130BB"/>
    <w:rsid w:val="00B14E76"/>
    <w:rsid w:val="00B161B8"/>
    <w:rsid w:val="00B2048C"/>
    <w:rsid w:val="00B26481"/>
    <w:rsid w:val="00B310B9"/>
    <w:rsid w:val="00B35F3F"/>
    <w:rsid w:val="00B36CBB"/>
    <w:rsid w:val="00B402D1"/>
    <w:rsid w:val="00B425E0"/>
    <w:rsid w:val="00B440AA"/>
    <w:rsid w:val="00B44B70"/>
    <w:rsid w:val="00B53C56"/>
    <w:rsid w:val="00B57DAF"/>
    <w:rsid w:val="00B61840"/>
    <w:rsid w:val="00B67FBC"/>
    <w:rsid w:val="00B77EA6"/>
    <w:rsid w:val="00B81598"/>
    <w:rsid w:val="00B841F1"/>
    <w:rsid w:val="00B944D6"/>
    <w:rsid w:val="00B96F77"/>
    <w:rsid w:val="00BB4DF0"/>
    <w:rsid w:val="00BC289F"/>
    <w:rsid w:val="00BC2D50"/>
    <w:rsid w:val="00BC5361"/>
    <w:rsid w:val="00BC5460"/>
    <w:rsid w:val="00BC6B50"/>
    <w:rsid w:val="00BD0E25"/>
    <w:rsid w:val="00BF22D8"/>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7026"/>
    <w:rsid w:val="00CB4E70"/>
    <w:rsid w:val="00CB63EA"/>
    <w:rsid w:val="00CC09B6"/>
    <w:rsid w:val="00CC666F"/>
    <w:rsid w:val="00CD1E3F"/>
    <w:rsid w:val="00CE44F6"/>
    <w:rsid w:val="00CE49DA"/>
    <w:rsid w:val="00CE7B61"/>
    <w:rsid w:val="00CF3611"/>
    <w:rsid w:val="00D00095"/>
    <w:rsid w:val="00D114F0"/>
    <w:rsid w:val="00D15203"/>
    <w:rsid w:val="00D20620"/>
    <w:rsid w:val="00D254F7"/>
    <w:rsid w:val="00D26091"/>
    <w:rsid w:val="00D2685C"/>
    <w:rsid w:val="00D34E7C"/>
    <w:rsid w:val="00D35489"/>
    <w:rsid w:val="00D36AFE"/>
    <w:rsid w:val="00D51276"/>
    <w:rsid w:val="00D654E4"/>
    <w:rsid w:val="00D662E6"/>
    <w:rsid w:val="00D7035F"/>
    <w:rsid w:val="00D77EAD"/>
    <w:rsid w:val="00D83F7F"/>
    <w:rsid w:val="00D929DB"/>
    <w:rsid w:val="00DA634F"/>
    <w:rsid w:val="00DA65AC"/>
    <w:rsid w:val="00DB1913"/>
    <w:rsid w:val="00DB5E1D"/>
    <w:rsid w:val="00DC05E5"/>
    <w:rsid w:val="00DC410D"/>
    <w:rsid w:val="00DC5317"/>
    <w:rsid w:val="00DC5A81"/>
    <w:rsid w:val="00DC68CA"/>
    <w:rsid w:val="00DC7CBA"/>
    <w:rsid w:val="00DD73B7"/>
    <w:rsid w:val="00DF07E0"/>
    <w:rsid w:val="00DF28BC"/>
    <w:rsid w:val="00DF34B9"/>
    <w:rsid w:val="00DF6BC4"/>
    <w:rsid w:val="00E01053"/>
    <w:rsid w:val="00E07ACF"/>
    <w:rsid w:val="00E331A1"/>
    <w:rsid w:val="00E33202"/>
    <w:rsid w:val="00E336A9"/>
    <w:rsid w:val="00E472B1"/>
    <w:rsid w:val="00E50624"/>
    <w:rsid w:val="00E54633"/>
    <w:rsid w:val="00E568DF"/>
    <w:rsid w:val="00E64269"/>
    <w:rsid w:val="00E81AA3"/>
    <w:rsid w:val="00E82267"/>
    <w:rsid w:val="00E853CE"/>
    <w:rsid w:val="00E867B6"/>
    <w:rsid w:val="00E91243"/>
    <w:rsid w:val="00EA010F"/>
    <w:rsid w:val="00EC04B6"/>
    <w:rsid w:val="00EC163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5FF6"/>
    <w:rsid w:val="00F475B3"/>
    <w:rsid w:val="00F50E99"/>
    <w:rsid w:val="00F574C8"/>
    <w:rsid w:val="00F602DF"/>
    <w:rsid w:val="00F754A1"/>
    <w:rsid w:val="00F81FD9"/>
    <w:rsid w:val="00F841AA"/>
    <w:rsid w:val="00F84A94"/>
    <w:rsid w:val="00F87E96"/>
    <w:rsid w:val="00F932E6"/>
    <w:rsid w:val="00F96692"/>
    <w:rsid w:val="00FA23E8"/>
    <w:rsid w:val="00FD0041"/>
    <w:rsid w:val="00FD254C"/>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4CA4486"/>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D83FF4"/>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A31A3D"/>
    <w:rsid w:val="5BDD79E6"/>
    <w:rsid w:val="5BF561CA"/>
    <w:rsid w:val="5BFF5DFC"/>
    <w:rsid w:val="5CD71FC4"/>
    <w:rsid w:val="5D1F11B5"/>
    <w:rsid w:val="5D695134"/>
    <w:rsid w:val="5DAE1B18"/>
    <w:rsid w:val="5DE7D9E5"/>
    <w:rsid w:val="5ECEC941"/>
    <w:rsid w:val="5FBF9FF3"/>
    <w:rsid w:val="5FCD4E2C"/>
    <w:rsid w:val="5FEF394A"/>
    <w:rsid w:val="5FF67715"/>
    <w:rsid w:val="612C5D4C"/>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297457"/>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708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870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7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8708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88708D"/>
    <w:pPr>
      <w:snapToGrid w:val="0"/>
      <w:jc w:val="left"/>
    </w:pPr>
    <w:rPr>
      <w:sz w:val="18"/>
      <w:szCs w:val="18"/>
    </w:rPr>
  </w:style>
  <w:style w:type="paragraph" w:styleId="20">
    <w:name w:val="Body Text First Indent 2"/>
    <w:basedOn w:val="a4"/>
    <w:uiPriority w:val="99"/>
    <w:unhideWhenUsed/>
    <w:qFormat/>
    <w:rsid w:val="0088708D"/>
    <w:pPr>
      <w:ind w:firstLineChars="200" w:firstLine="420"/>
    </w:pPr>
  </w:style>
  <w:style w:type="paragraph" w:styleId="a4">
    <w:name w:val="Body Text Indent"/>
    <w:basedOn w:val="a"/>
    <w:next w:val="20"/>
    <w:qFormat/>
    <w:rsid w:val="0088708D"/>
    <w:pPr>
      <w:spacing w:after="120"/>
      <w:ind w:leftChars="200" w:left="200"/>
    </w:pPr>
    <w:rPr>
      <w:rFonts w:ascii="仿宋_GB2312"/>
      <w:szCs w:val="32"/>
    </w:rPr>
  </w:style>
  <w:style w:type="paragraph" w:styleId="5">
    <w:name w:val="index 5"/>
    <w:basedOn w:val="a"/>
    <w:next w:val="a"/>
    <w:uiPriority w:val="99"/>
    <w:semiHidden/>
    <w:unhideWhenUsed/>
    <w:qFormat/>
    <w:rsid w:val="0088708D"/>
    <w:pPr>
      <w:ind w:leftChars="800" w:left="800"/>
    </w:pPr>
  </w:style>
  <w:style w:type="paragraph" w:styleId="a5">
    <w:name w:val="Body Text"/>
    <w:basedOn w:val="a"/>
    <w:link w:val="Char"/>
    <w:uiPriority w:val="99"/>
    <w:qFormat/>
    <w:rsid w:val="0088708D"/>
    <w:pPr>
      <w:spacing w:beforeLines="30"/>
    </w:pPr>
    <w:rPr>
      <w:rFonts w:ascii="仿宋_GB2312" w:eastAsia="仿宋_GB2312"/>
      <w:kern w:val="0"/>
      <w:sz w:val="30"/>
    </w:rPr>
  </w:style>
  <w:style w:type="paragraph" w:styleId="30">
    <w:name w:val="toc 3"/>
    <w:basedOn w:val="a"/>
    <w:next w:val="a"/>
    <w:uiPriority w:val="39"/>
    <w:unhideWhenUsed/>
    <w:qFormat/>
    <w:rsid w:val="0088708D"/>
    <w:pPr>
      <w:tabs>
        <w:tab w:val="right" w:leader="dot" w:pos="8296"/>
      </w:tabs>
      <w:ind w:leftChars="400" w:left="840"/>
    </w:pPr>
  </w:style>
  <w:style w:type="paragraph" w:styleId="a6">
    <w:name w:val="Balloon Text"/>
    <w:basedOn w:val="a"/>
    <w:link w:val="Char0"/>
    <w:uiPriority w:val="99"/>
    <w:semiHidden/>
    <w:unhideWhenUsed/>
    <w:qFormat/>
    <w:rsid w:val="0088708D"/>
    <w:rPr>
      <w:sz w:val="18"/>
      <w:szCs w:val="18"/>
    </w:rPr>
  </w:style>
  <w:style w:type="paragraph" w:styleId="a7">
    <w:name w:val="footer"/>
    <w:basedOn w:val="a"/>
    <w:link w:val="Char1"/>
    <w:uiPriority w:val="99"/>
    <w:qFormat/>
    <w:rsid w:val="0088708D"/>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88708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8708D"/>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88708D"/>
    <w:pPr>
      <w:tabs>
        <w:tab w:val="right" w:leader="dot" w:pos="8296"/>
      </w:tabs>
      <w:ind w:leftChars="200" w:left="420"/>
    </w:pPr>
  </w:style>
  <w:style w:type="paragraph" w:styleId="a9">
    <w:name w:val="Normal (Web)"/>
    <w:basedOn w:val="a"/>
    <w:next w:val="5"/>
    <w:uiPriority w:val="99"/>
    <w:unhideWhenUsed/>
    <w:qFormat/>
    <w:rsid w:val="0088708D"/>
    <w:pPr>
      <w:spacing w:before="100" w:beforeAutospacing="1" w:after="100" w:afterAutospacing="1"/>
      <w:jc w:val="left"/>
    </w:pPr>
    <w:rPr>
      <w:kern w:val="0"/>
      <w:sz w:val="24"/>
    </w:rPr>
  </w:style>
  <w:style w:type="character" w:styleId="aa">
    <w:name w:val="Strong"/>
    <w:basedOn w:val="a1"/>
    <w:uiPriority w:val="99"/>
    <w:qFormat/>
    <w:rsid w:val="0088708D"/>
    <w:rPr>
      <w:b/>
    </w:rPr>
  </w:style>
  <w:style w:type="character" w:styleId="ab">
    <w:name w:val="Hyperlink"/>
    <w:basedOn w:val="a1"/>
    <w:uiPriority w:val="99"/>
    <w:unhideWhenUsed/>
    <w:qFormat/>
    <w:rsid w:val="0088708D"/>
    <w:rPr>
      <w:color w:val="0000FF" w:themeColor="hyperlink"/>
      <w:u w:val="single"/>
    </w:rPr>
  </w:style>
  <w:style w:type="paragraph" w:customStyle="1" w:styleId="50">
    <w:name w:val="标题 5（有编号）（绿盟科技）"/>
    <w:next w:val="a"/>
    <w:uiPriority w:val="99"/>
    <w:qFormat/>
    <w:rsid w:val="0088708D"/>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88708D"/>
    <w:rPr>
      <w:rFonts w:ascii="Times New Roman" w:hAnsi="Times New Roman"/>
      <w:sz w:val="18"/>
      <w:szCs w:val="18"/>
    </w:rPr>
  </w:style>
  <w:style w:type="character" w:customStyle="1" w:styleId="Char2">
    <w:name w:val="页眉 Char"/>
    <w:link w:val="a8"/>
    <w:uiPriority w:val="99"/>
    <w:semiHidden/>
    <w:qFormat/>
    <w:locked/>
    <w:rsid w:val="0088708D"/>
    <w:rPr>
      <w:sz w:val="18"/>
    </w:rPr>
  </w:style>
  <w:style w:type="character" w:customStyle="1" w:styleId="FooterChar">
    <w:name w:val="Footer Char"/>
    <w:basedOn w:val="a1"/>
    <w:uiPriority w:val="99"/>
    <w:semiHidden/>
    <w:qFormat/>
    <w:rsid w:val="0088708D"/>
    <w:rPr>
      <w:rFonts w:ascii="Times New Roman" w:hAnsi="Times New Roman"/>
      <w:sz w:val="18"/>
      <w:szCs w:val="18"/>
    </w:rPr>
  </w:style>
  <w:style w:type="character" w:customStyle="1" w:styleId="Char1">
    <w:name w:val="页脚 Char"/>
    <w:link w:val="a7"/>
    <w:uiPriority w:val="99"/>
    <w:qFormat/>
    <w:locked/>
    <w:rsid w:val="0088708D"/>
    <w:rPr>
      <w:sz w:val="18"/>
    </w:rPr>
  </w:style>
  <w:style w:type="character" w:customStyle="1" w:styleId="BodyTextChar">
    <w:name w:val="Body Text Char"/>
    <w:basedOn w:val="a1"/>
    <w:uiPriority w:val="99"/>
    <w:semiHidden/>
    <w:qFormat/>
    <w:rsid w:val="0088708D"/>
    <w:rPr>
      <w:rFonts w:ascii="Times New Roman" w:hAnsi="Times New Roman"/>
      <w:szCs w:val="24"/>
    </w:rPr>
  </w:style>
  <w:style w:type="character" w:customStyle="1" w:styleId="Char">
    <w:name w:val="正文文本 Char"/>
    <w:link w:val="a5"/>
    <w:uiPriority w:val="99"/>
    <w:qFormat/>
    <w:locked/>
    <w:rsid w:val="0088708D"/>
    <w:rPr>
      <w:rFonts w:ascii="仿宋_GB2312" w:eastAsia="仿宋_GB2312" w:hAnsi="Times New Roman"/>
      <w:sz w:val="24"/>
    </w:rPr>
  </w:style>
  <w:style w:type="paragraph" w:customStyle="1" w:styleId="Default">
    <w:name w:val="Default"/>
    <w:uiPriority w:val="99"/>
    <w:qFormat/>
    <w:rsid w:val="0088708D"/>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rsid w:val="0088708D"/>
    <w:pPr>
      <w:ind w:firstLineChars="200" w:firstLine="420"/>
    </w:pPr>
  </w:style>
  <w:style w:type="character" w:customStyle="1" w:styleId="1Char">
    <w:name w:val="标题 1 Char"/>
    <w:basedOn w:val="a1"/>
    <w:link w:val="1"/>
    <w:uiPriority w:val="9"/>
    <w:qFormat/>
    <w:rsid w:val="0088708D"/>
    <w:rPr>
      <w:rFonts w:ascii="Times New Roman" w:hAnsi="Times New Roman"/>
      <w:b/>
      <w:bCs/>
      <w:kern w:val="44"/>
      <w:sz w:val="44"/>
      <w:szCs w:val="44"/>
    </w:rPr>
  </w:style>
  <w:style w:type="character" w:customStyle="1" w:styleId="2Char">
    <w:name w:val="标题 2 Char"/>
    <w:basedOn w:val="a1"/>
    <w:link w:val="2"/>
    <w:uiPriority w:val="9"/>
    <w:qFormat/>
    <w:rsid w:val="0088708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8708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88708D"/>
    <w:rPr>
      <w:rFonts w:ascii="Times New Roman" w:hAnsi="Times New Roman"/>
      <w:kern w:val="2"/>
      <w:sz w:val="18"/>
      <w:szCs w:val="18"/>
    </w:rPr>
  </w:style>
  <w:style w:type="character" w:customStyle="1" w:styleId="3Char">
    <w:name w:val="标题 3 Char"/>
    <w:basedOn w:val="a1"/>
    <w:link w:val="3"/>
    <w:uiPriority w:val="9"/>
    <w:qFormat/>
    <w:rsid w:val="0088708D"/>
    <w:rPr>
      <w:rFonts w:ascii="Times New Roman" w:hAnsi="Times New Roman"/>
      <w:b/>
      <w:bCs/>
      <w:kern w:val="2"/>
      <w:sz w:val="32"/>
      <w:szCs w:val="32"/>
    </w:rPr>
  </w:style>
  <w:style w:type="paragraph" w:customStyle="1" w:styleId="TOC2">
    <w:name w:val="TOC 标题2"/>
    <w:basedOn w:val="1"/>
    <w:next w:val="a"/>
    <w:uiPriority w:val="39"/>
    <w:unhideWhenUsed/>
    <w:qFormat/>
    <w:rsid w:val="0088708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rsid w:val="0088708D"/>
    <w:pPr>
      <w:spacing w:line="360" w:lineRule="auto"/>
    </w:pPr>
    <w:rPr>
      <w:rFonts w:ascii="??" w:hAnsi="??"/>
      <w:color w:val="000000"/>
      <w:kern w:val="0"/>
      <w:sz w:val="28"/>
      <w:szCs w:val="21"/>
      <w:lang w:val="zh-CN"/>
    </w:rPr>
  </w:style>
  <w:style w:type="character" w:customStyle="1" w:styleId="15">
    <w:name w:val="15"/>
    <w:basedOn w:val="a1"/>
    <w:qFormat/>
    <w:rsid w:val="0088708D"/>
    <w:rPr>
      <w:rFonts w:ascii="Times New Roman" w:hAnsi="Times New Roman" w:cs="Times New Roman" w:hint="default"/>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8E6D25D4-95D7-4B19-BE42-3C4C91085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839</Words>
  <Characters>4783</Characters>
  <Application>Microsoft Office Word</Application>
  <DocSecurity>0</DocSecurity>
  <Lines>39</Lines>
  <Paragraphs>11</Paragraphs>
  <ScaleCrop>false</ScaleCrop>
  <Company>四川省财政厅</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ASUS</cp:lastModifiedBy>
  <cp:revision>3</cp:revision>
  <cp:lastPrinted>2025-10-10T03:06:00Z</cp:lastPrinted>
  <dcterms:created xsi:type="dcterms:W3CDTF">2025-10-16T09:10:00Z</dcterms:created>
  <dcterms:modified xsi:type="dcterms:W3CDTF">2025-10-27T01:44:00Z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