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96475"/>
      <w:bookmarkStart w:id="1" w:name="_Toc15396597"/>
      <w:bookmarkStart w:id="2" w:name="_Toc15378441"/>
      <w:bookmarkStart w:id="3" w:name="_Toc15377425"/>
      <w:bookmarkStart w:id="4" w:name="_Toc15306267"/>
      <w:bookmarkStart w:id="5" w:name="_Toc15377193"/>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uppressAutoHyphens/>
        <w:spacing w:before="0" w:beforeLines="-2147483648" w:after="140" w:line="276" w:lineRule="auto"/>
        <w:jc w:val="center"/>
        <w:rPr>
          <w:rFonts w:hint="default" w:ascii="Times New Roman" w:hAnsi="Times New Roman" w:eastAsia="方正小标宋简体" w:cs="Times New Roman"/>
          <w:kern w:val="2"/>
          <w:sz w:val="72"/>
          <w:szCs w:val="72"/>
        </w:rPr>
      </w:pPr>
      <w:r>
        <w:rPr>
          <w:rFonts w:hint="eastAsia" w:ascii="Times New Roman" w:hAnsi="Times New Roman" w:eastAsia="方正小标宋简体" w:cs="Times New Roman"/>
          <w:kern w:val="2"/>
          <w:sz w:val="72"/>
          <w:szCs w:val="72"/>
        </w:rPr>
        <w:t>2024年度</w:t>
      </w:r>
    </w:p>
    <w:p>
      <w:pPr>
        <w:pStyle w:val="6"/>
        <w:suppressAutoHyphens/>
        <w:spacing w:before="0" w:beforeLines="-2147483648" w:after="140" w:line="276" w:lineRule="auto"/>
        <w:jc w:val="center"/>
        <w:rPr>
          <w:rFonts w:hint="default" w:ascii="Times New Roman" w:hAnsi="Times New Roman" w:eastAsia="方正小标宋简体" w:cs="Times New Roman"/>
          <w:kern w:val="2"/>
          <w:sz w:val="72"/>
          <w:szCs w:val="72"/>
          <w:lang w:eastAsia="zh-CN"/>
        </w:rPr>
      </w:pPr>
      <w:r>
        <w:rPr>
          <w:rFonts w:hint="default" w:ascii="Times New Roman" w:hAnsi="Times New Roman" w:eastAsia="方正小标宋简体" w:cs="Times New Roman"/>
          <w:kern w:val="2"/>
          <w:sz w:val="72"/>
          <w:szCs w:val="72"/>
          <w:lang w:eastAsia="zh-CN"/>
        </w:rPr>
        <w:t>中共</w:t>
      </w:r>
      <w:r>
        <w:rPr>
          <w:rFonts w:hint="default" w:ascii="Times New Roman" w:hAnsi="Times New Roman" w:eastAsia="方正小标宋简体" w:cs="Times New Roman"/>
          <w:kern w:val="2"/>
          <w:sz w:val="72"/>
          <w:szCs w:val="72"/>
        </w:rPr>
        <w:t>盐边县</w:t>
      </w:r>
      <w:r>
        <w:rPr>
          <w:rFonts w:hint="default" w:ascii="Times New Roman" w:hAnsi="Times New Roman" w:eastAsia="方正小标宋简体" w:cs="Times New Roman"/>
          <w:kern w:val="2"/>
          <w:sz w:val="72"/>
          <w:szCs w:val="72"/>
          <w:lang w:eastAsia="zh-CN"/>
        </w:rPr>
        <w:t>委政法委员会</w:t>
      </w:r>
    </w:p>
    <w:p>
      <w:pPr>
        <w:pStyle w:val="6"/>
        <w:suppressAutoHyphens/>
        <w:spacing w:before="0" w:beforeLines="-2147483648" w:after="140" w:line="276" w:lineRule="auto"/>
        <w:jc w:val="center"/>
        <w:rPr>
          <w:rFonts w:hint="default" w:ascii="Times New Roman" w:hAnsi="Times New Roman" w:eastAsia="方正小标宋简体" w:cs="Times New Roman"/>
          <w:kern w:val="2"/>
          <w:sz w:val="72"/>
          <w:szCs w:val="72"/>
        </w:rPr>
      </w:pPr>
      <w:r>
        <w:rPr>
          <w:rFonts w:hint="eastAsia" w:ascii="Times New Roman" w:hAnsi="Times New Roman" w:eastAsia="方正小标宋简体" w:cs="Times New Roman"/>
          <w:kern w:val="2"/>
          <w:sz w:val="72"/>
          <w:szCs w:val="72"/>
        </w:rPr>
        <w:t>单位决算公开编制说明</w:t>
      </w:r>
    </w:p>
    <w:p>
      <w:pPr>
        <w:spacing w:line="600" w:lineRule="exact"/>
        <w:jc w:val="center"/>
        <w:outlineLvl w:val="0"/>
        <w:rPr>
          <w:rFonts w:eastAsia="方正小标宋简体"/>
          <w:sz w:val="72"/>
          <w:szCs w:val="72"/>
        </w:rPr>
      </w:pPr>
    </w:p>
    <w:p>
      <w:pPr>
        <w:pStyle w:val="2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suppressAutoHyphens/>
        <w:jc w:val="center"/>
        <w:rPr>
          <w:rFonts w:hint="default" w:ascii="Times New Roman" w:hAnsi="Times New Roman" w:eastAsia="黑体" w:cs="Times New Roman"/>
          <w:sz w:val="48"/>
          <w:szCs w:val="48"/>
        </w:rPr>
      </w:pPr>
      <w:r>
        <w:rPr>
          <w:rFonts w:hint="eastAsia" w:ascii="Times New Roman" w:hAnsi="Times New Roman" w:eastAsia="黑体" w:cs="Times New Roman"/>
          <w:sz w:val="48"/>
          <w:szCs w:val="48"/>
        </w:rPr>
        <w:t>目录</w:t>
      </w:r>
    </w:p>
    <w:p>
      <w:pPr>
        <w:widowControl/>
        <w:suppressAutoHyphens/>
        <w:jc w:val="center"/>
        <w:rPr>
          <w:rFonts w:hint="default" w:ascii="Times New Roman" w:hAnsi="Times New Roman" w:eastAsia="黑体" w:cs="Times New Roman"/>
          <w:sz w:val="48"/>
          <w:szCs w:val="48"/>
        </w:rPr>
      </w:pPr>
    </w:p>
    <w:p>
      <w:pPr>
        <w:pStyle w:val="13"/>
        <w:suppressAutoHyphens/>
        <w:rPr>
          <w:rFonts w:hint="default" w:ascii="Times New Roman" w:hAnsi="Times New Roman" w:cs="Times New Roman"/>
        </w:rPr>
      </w:pPr>
      <w:r>
        <w:rPr>
          <w:rFonts w:hint="eastAsia" w:ascii="Times New Roman" w:hAnsi="Times New Roman" w:cs="Times New Roman"/>
        </w:rPr>
        <w:t xml:space="preserve">公开时间：2025年10月 </w:t>
      </w:r>
      <w:r>
        <w:rPr>
          <w:rFonts w:hint="eastAsia" w:ascii="Times New Roman" w:hAnsi="Times New Roman" w:cs="Times New Roman"/>
          <w:lang w:val="en-US" w:eastAsia="zh-CN"/>
        </w:rPr>
        <w:t>28</w:t>
      </w:r>
      <w:r>
        <w:rPr>
          <w:rFonts w:hint="eastAsia" w:ascii="Times New Roman" w:hAnsi="Times New Roman" w:cs="Times New Roman"/>
        </w:rPr>
        <w:t>日</w:t>
      </w:r>
    </w:p>
    <w:p>
      <w:pPr>
        <w:rPr>
          <w:sz w:val="28"/>
          <w:szCs w:val="28"/>
        </w:rPr>
      </w:pPr>
    </w:p>
    <w:p>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第一部分 单位概况</w:t>
      </w:r>
    </w:p>
    <w:p>
      <w:pPr>
        <w:pStyle w:val="15"/>
        <w:adjustRightInd w:val="0"/>
        <w:snapToGrid w:val="0"/>
        <w:spacing w:line="560" w:lineRule="exact"/>
        <w:ind w:left="0" w:leftChars="0" w:firstLine="560" w:firstLineChars="200"/>
        <w:jc w:val="left"/>
        <w:rPr>
          <w:rFonts w:hint="eastAsia" w:eastAsia="宋体" w:cs="仿宋_GB2312"/>
          <w:sz w:val="28"/>
          <w:szCs w:val="28"/>
          <w:lang w:val="en-US" w:eastAsia="zh-CN"/>
        </w:rPr>
      </w:pPr>
      <w:r>
        <w:rPr>
          <w:rFonts w:hint="eastAsia" w:eastAsia="仿宋_GB2312" w:cs="仿宋_GB2312"/>
          <w:sz w:val="28"/>
          <w:szCs w:val="28"/>
        </w:rPr>
        <w:t>一、主要职责</w:t>
      </w:r>
      <w:r>
        <w:rPr>
          <w:rFonts w:hint="default" w:ascii="Times New Roman" w:hAnsi="Times New Roman" w:cs="Times New Roman"/>
          <w:b/>
          <w:bCs/>
        </w:rPr>
        <w:tab/>
      </w:r>
      <w:r>
        <w:rPr>
          <w:rFonts w:hint="eastAsia" w:ascii="Times New Roman" w:hAnsi="Times New Roman" w:cs="Times New Roman"/>
          <w:b/>
          <w:bCs/>
          <w:lang w:val="en-US" w:eastAsia="zh-CN"/>
        </w:rPr>
        <w:t>3</w:t>
      </w:r>
    </w:p>
    <w:p>
      <w:pPr>
        <w:pStyle w:val="15"/>
        <w:adjustRightInd w:val="0"/>
        <w:snapToGrid w:val="0"/>
        <w:spacing w:line="560" w:lineRule="exact"/>
        <w:ind w:left="0" w:leftChars="0" w:firstLine="560" w:firstLineChars="200"/>
        <w:jc w:val="left"/>
        <w:rPr>
          <w:rFonts w:hint="eastAsia" w:eastAsia="宋体" w:cs="仿宋_GB2312"/>
          <w:sz w:val="28"/>
          <w:szCs w:val="28"/>
          <w:lang w:val="en-US" w:eastAsia="zh-CN"/>
        </w:rPr>
      </w:pPr>
      <w:r>
        <w:rPr>
          <w:rFonts w:hint="eastAsia" w:eastAsia="仿宋_GB2312" w:cs="仿宋_GB2312"/>
          <w:sz w:val="28"/>
          <w:szCs w:val="28"/>
        </w:rPr>
        <w:t>二、机构设置</w:t>
      </w:r>
      <w:r>
        <w:rPr>
          <w:rFonts w:hint="default" w:ascii="Times New Roman" w:hAnsi="Times New Roman" w:cs="Times New Roman"/>
          <w:b/>
          <w:bCs/>
        </w:rPr>
        <w:tab/>
      </w:r>
      <w:r>
        <w:rPr>
          <w:rFonts w:hint="eastAsia" w:ascii="Times New Roman" w:hAnsi="Times New Roman" w:cs="Times New Roman"/>
          <w:b/>
          <w:bCs/>
          <w:lang w:val="en-US" w:eastAsia="zh-CN"/>
        </w:rPr>
        <w:t>4</w:t>
      </w:r>
    </w:p>
    <w:p>
      <w:pPr>
        <w:pStyle w:val="13"/>
        <w:adjustRightInd w:val="0"/>
        <w:snapToGrid w:val="0"/>
        <w:spacing w:before="0" w:line="560" w:lineRule="exact"/>
        <w:jc w:val="left"/>
        <w:rPr>
          <w:rFonts w:hint="eastAsia" w:ascii="Times New Roman" w:hAnsi="Times New Roman" w:eastAsia="仿宋" w:cs="黑体"/>
          <w:lang w:val="en-US" w:eastAsia="zh-CN"/>
        </w:rPr>
      </w:pPr>
      <w:r>
        <w:rPr>
          <w:rFonts w:hint="eastAsia" w:ascii="Times New Roman" w:hAnsi="Times New Roman" w:eastAsia="黑体" w:cs="黑体"/>
        </w:rPr>
        <w:t>第二部分 2024年度</w:t>
      </w:r>
      <w:r>
        <w:rPr>
          <w:rFonts w:hint="eastAsia" w:ascii="Times New Roman" w:hAnsi="Times New Roman" w:eastAsia="黑体" w:cs="黑体"/>
          <w:lang w:eastAsia="zh-CN"/>
        </w:rPr>
        <w:t>单位</w:t>
      </w:r>
      <w:r>
        <w:rPr>
          <w:rFonts w:hint="eastAsia" w:ascii="Times New Roman" w:hAnsi="Times New Roman" w:eastAsia="黑体" w:cs="黑体"/>
        </w:rPr>
        <w:t>决算情况说明</w:t>
      </w:r>
      <w:r>
        <w:rPr>
          <w:rFonts w:hint="default" w:ascii="Times New Roman" w:hAnsi="Times New Roman" w:cs="Times New Roman"/>
          <w:b/>
          <w:bCs/>
        </w:rPr>
        <w:tab/>
      </w:r>
      <w:r>
        <w:rPr>
          <w:rFonts w:hint="eastAsia" w:ascii="Times New Roman" w:hAnsi="Times New Roman" w:cs="Times New Roman"/>
          <w:b/>
          <w:bCs/>
          <w:lang w:val="en-US" w:eastAsia="zh-CN"/>
        </w:rPr>
        <w:t>5</w:t>
      </w:r>
    </w:p>
    <w:p>
      <w:pPr>
        <w:pStyle w:val="15"/>
        <w:adjustRightInd w:val="0"/>
        <w:snapToGrid w:val="0"/>
        <w:spacing w:line="560" w:lineRule="exact"/>
        <w:ind w:left="0" w:leftChars="0" w:firstLine="560" w:firstLineChars="200"/>
        <w:jc w:val="left"/>
        <w:rPr>
          <w:rFonts w:hint="eastAsia" w:eastAsia="宋体" w:cs="仿宋_GB2312"/>
          <w:sz w:val="28"/>
          <w:szCs w:val="28"/>
          <w:lang w:val="en-US" w:eastAsia="zh-CN"/>
        </w:rPr>
      </w:pPr>
      <w:r>
        <w:rPr>
          <w:rFonts w:hint="eastAsia" w:eastAsia="仿宋_GB2312" w:cs="仿宋_GB2312"/>
          <w:sz w:val="28"/>
          <w:szCs w:val="28"/>
        </w:rPr>
        <w:t>一、收入支出决算总体情况说明</w:t>
      </w:r>
      <w:r>
        <w:rPr>
          <w:rFonts w:hint="default" w:ascii="Times New Roman" w:hAnsi="Times New Roman" w:cs="Times New Roman"/>
          <w:b/>
          <w:bCs/>
        </w:rPr>
        <w:tab/>
      </w:r>
      <w:r>
        <w:rPr>
          <w:rFonts w:hint="eastAsia" w:ascii="Times New Roman" w:hAnsi="Times New Roman" w:cs="Times New Roman"/>
          <w:b/>
          <w:bCs/>
          <w:lang w:val="en-US" w:eastAsia="zh-CN"/>
        </w:rPr>
        <w:t>5</w:t>
      </w:r>
    </w:p>
    <w:p>
      <w:pPr>
        <w:pStyle w:val="15"/>
        <w:adjustRightInd w:val="0"/>
        <w:snapToGrid w:val="0"/>
        <w:spacing w:line="560" w:lineRule="exact"/>
        <w:ind w:left="0" w:leftChars="0" w:firstLine="560" w:firstLineChars="200"/>
        <w:jc w:val="left"/>
        <w:rPr>
          <w:rFonts w:hint="eastAsia" w:eastAsia="宋体" w:cs="仿宋_GB2312"/>
          <w:sz w:val="28"/>
          <w:szCs w:val="28"/>
          <w:lang w:val="en-US" w:eastAsia="zh-CN"/>
        </w:rPr>
      </w:pPr>
      <w:r>
        <w:rPr>
          <w:rFonts w:hint="eastAsia" w:eastAsia="仿宋_GB2312" w:cs="仿宋_GB2312"/>
          <w:sz w:val="28"/>
          <w:szCs w:val="28"/>
        </w:rPr>
        <w:t>二、收入决算情况说明</w:t>
      </w:r>
      <w:r>
        <w:rPr>
          <w:rFonts w:hint="default" w:ascii="Times New Roman" w:hAnsi="Times New Roman" w:cs="Times New Roman"/>
          <w:b/>
          <w:bCs/>
        </w:rPr>
        <w:tab/>
      </w:r>
      <w:r>
        <w:rPr>
          <w:rFonts w:hint="eastAsia" w:ascii="Times New Roman" w:hAnsi="Times New Roman" w:cs="Times New Roman"/>
          <w:b/>
          <w:bCs/>
          <w:lang w:val="en-US" w:eastAsia="zh-CN"/>
        </w:rPr>
        <w:t>5</w:t>
      </w:r>
    </w:p>
    <w:p>
      <w:pPr>
        <w:pStyle w:val="15"/>
        <w:adjustRightInd w:val="0"/>
        <w:snapToGrid w:val="0"/>
        <w:spacing w:line="560" w:lineRule="exact"/>
        <w:ind w:left="0" w:leftChars="0" w:firstLine="560" w:firstLineChars="200"/>
        <w:jc w:val="left"/>
        <w:rPr>
          <w:rFonts w:hint="eastAsia" w:eastAsia="宋体" w:cs="仿宋_GB2312"/>
          <w:sz w:val="28"/>
          <w:szCs w:val="28"/>
          <w:lang w:val="en-US" w:eastAsia="zh-CN"/>
        </w:rPr>
      </w:pPr>
      <w:r>
        <w:rPr>
          <w:rFonts w:hint="eastAsia" w:eastAsia="仿宋_GB2312" w:cs="仿宋_GB2312"/>
          <w:sz w:val="28"/>
          <w:szCs w:val="28"/>
        </w:rPr>
        <w:t>三、支出决算情况说明</w:t>
      </w:r>
      <w:r>
        <w:rPr>
          <w:rFonts w:hint="default" w:ascii="Times New Roman" w:hAnsi="Times New Roman" w:cs="Times New Roman"/>
          <w:b/>
          <w:bCs/>
        </w:rPr>
        <w:tab/>
      </w:r>
      <w:r>
        <w:rPr>
          <w:rFonts w:hint="eastAsia" w:ascii="Times New Roman" w:hAnsi="Times New Roman" w:cs="Times New Roman"/>
          <w:b/>
          <w:bCs/>
          <w:lang w:val="en-US" w:eastAsia="zh-CN"/>
        </w:rPr>
        <w:t>6</w:t>
      </w:r>
    </w:p>
    <w:p>
      <w:pPr>
        <w:pStyle w:val="15"/>
        <w:adjustRightInd w:val="0"/>
        <w:snapToGrid w:val="0"/>
        <w:spacing w:line="560" w:lineRule="exact"/>
        <w:ind w:left="0" w:leftChars="0" w:firstLine="560" w:firstLineChars="200"/>
        <w:jc w:val="left"/>
        <w:rPr>
          <w:rFonts w:hint="eastAsia" w:eastAsia="宋体" w:cs="仿宋_GB2312"/>
          <w:sz w:val="28"/>
          <w:szCs w:val="28"/>
          <w:lang w:val="en-US" w:eastAsia="zh-CN"/>
        </w:rPr>
      </w:pPr>
      <w:r>
        <w:rPr>
          <w:rFonts w:hint="eastAsia" w:eastAsia="仿宋_GB2312" w:cs="仿宋_GB2312"/>
          <w:sz w:val="28"/>
          <w:szCs w:val="28"/>
        </w:rPr>
        <w:t>四、财政拨款收入支出决算总体情况说明</w:t>
      </w:r>
      <w:r>
        <w:rPr>
          <w:rFonts w:hint="default" w:ascii="Times New Roman" w:hAnsi="Times New Roman" w:cs="Times New Roman"/>
          <w:b/>
          <w:bCs/>
        </w:rPr>
        <w:tab/>
      </w:r>
      <w:r>
        <w:rPr>
          <w:rFonts w:hint="eastAsia" w:ascii="Times New Roman" w:hAnsi="Times New Roman" w:cs="Times New Roman"/>
          <w:b/>
          <w:bCs/>
          <w:lang w:val="en-US" w:eastAsia="zh-CN"/>
        </w:rPr>
        <w:t>7</w:t>
      </w:r>
    </w:p>
    <w:p>
      <w:pPr>
        <w:pStyle w:val="15"/>
        <w:adjustRightInd w:val="0"/>
        <w:snapToGrid w:val="0"/>
        <w:spacing w:line="560" w:lineRule="exact"/>
        <w:ind w:left="0" w:leftChars="0" w:firstLine="560" w:firstLineChars="200"/>
        <w:jc w:val="left"/>
        <w:rPr>
          <w:rFonts w:hint="eastAsia" w:eastAsia="宋体" w:cs="仿宋_GB2312"/>
          <w:sz w:val="28"/>
          <w:szCs w:val="28"/>
          <w:lang w:val="en-US" w:eastAsia="zh-CN"/>
        </w:rPr>
      </w:pPr>
      <w:r>
        <w:rPr>
          <w:rFonts w:hint="eastAsia" w:eastAsia="仿宋_GB2312" w:cs="仿宋_GB2312"/>
          <w:sz w:val="28"/>
          <w:szCs w:val="28"/>
        </w:rPr>
        <w:t>五、一般公共预算财政拨款支出决算情况说明</w:t>
      </w:r>
      <w:r>
        <w:rPr>
          <w:rFonts w:hint="default" w:ascii="Times New Roman" w:hAnsi="Times New Roman" w:cs="Times New Roman"/>
          <w:b/>
          <w:bCs/>
        </w:rPr>
        <w:tab/>
      </w:r>
      <w:r>
        <w:rPr>
          <w:rFonts w:hint="eastAsia" w:ascii="Times New Roman" w:hAnsi="Times New Roman" w:cs="Times New Roman"/>
          <w:b/>
          <w:bCs/>
          <w:lang w:val="en-US" w:eastAsia="zh-CN"/>
        </w:rPr>
        <w:t>8</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六、一般公共预算财政拨款基本支出决算情况说明</w:t>
      </w:r>
      <w:r>
        <w:rPr>
          <w:rFonts w:hint="default" w:ascii="Times New Roman" w:hAnsi="Times New Roman" w:cs="Times New Roman"/>
          <w:b/>
          <w:bCs/>
        </w:rPr>
        <w:tab/>
      </w:r>
      <w:r>
        <w:rPr>
          <w:rFonts w:hint="eastAsia" w:ascii="Times New Roman" w:hAnsi="Times New Roman" w:cs="Times New Roman"/>
          <w:b/>
          <w:bCs/>
          <w:lang w:val="en-US" w:eastAsia="zh-CN"/>
        </w:rPr>
        <w:t>10</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七、财政拨款“三公”经费支出决算情况说明</w:t>
      </w:r>
      <w:r>
        <w:rPr>
          <w:rFonts w:hint="default" w:ascii="Times New Roman" w:hAnsi="Times New Roman" w:cs="Times New Roman"/>
          <w:b/>
          <w:bCs/>
        </w:rPr>
        <w:tab/>
      </w:r>
      <w:r>
        <w:rPr>
          <w:rFonts w:hint="eastAsia" w:ascii="Times New Roman" w:hAnsi="Times New Roman" w:cs="Times New Roman"/>
          <w:b/>
          <w:bCs/>
          <w:lang w:val="en-US" w:eastAsia="zh-CN"/>
        </w:rPr>
        <w:t>11</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八、政府性基金预算支出决算情况说明</w:t>
      </w:r>
      <w:r>
        <w:rPr>
          <w:rFonts w:hint="default" w:ascii="Times New Roman" w:hAnsi="Times New Roman" w:cs="Times New Roman"/>
          <w:b/>
          <w:bCs/>
        </w:rPr>
        <w:tab/>
      </w:r>
      <w:r>
        <w:rPr>
          <w:rFonts w:hint="eastAsia" w:ascii="Times New Roman" w:hAnsi="Times New Roman" w:cs="Times New Roman"/>
          <w:b/>
          <w:bCs/>
          <w:lang w:val="en-US" w:eastAsia="zh-CN"/>
        </w:rPr>
        <w:t>12</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九、国有资本经营预算支出决算情况说明</w:t>
      </w:r>
      <w:r>
        <w:rPr>
          <w:rFonts w:hint="default" w:ascii="Times New Roman" w:hAnsi="Times New Roman" w:cs="Times New Roman"/>
          <w:b/>
          <w:bCs/>
        </w:rPr>
        <w:tab/>
      </w:r>
      <w:r>
        <w:rPr>
          <w:rFonts w:hint="eastAsia" w:ascii="Times New Roman" w:hAnsi="Times New Roman" w:cs="Times New Roman"/>
          <w:b/>
          <w:bCs/>
          <w:lang w:val="en-US" w:eastAsia="zh-CN"/>
        </w:rPr>
        <w:t>12</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十、其他重要事项的情况说明</w:t>
      </w:r>
      <w:r>
        <w:rPr>
          <w:rFonts w:hint="default" w:ascii="Times New Roman" w:hAnsi="Times New Roman" w:cs="Times New Roman"/>
          <w:b/>
          <w:bCs/>
        </w:rPr>
        <w:tab/>
      </w:r>
      <w:r>
        <w:rPr>
          <w:rFonts w:hint="eastAsia" w:ascii="Times New Roman" w:hAnsi="Times New Roman" w:cs="Times New Roman"/>
          <w:b/>
          <w:bCs/>
          <w:lang w:val="en-US" w:eastAsia="zh-CN"/>
        </w:rPr>
        <w:t>13</w:t>
      </w:r>
    </w:p>
    <w:p>
      <w:pPr>
        <w:pStyle w:val="13"/>
        <w:adjustRightInd w:val="0"/>
        <w:snapToGrid w:val="0"/>
        <w:spacing w:before="0" w:line="560" w:lineRule="exact"/>
        <w:jc w:val="left"/>
        <w:rPr>
          <w:rFonts w:hint="default" w:ascii="Times New Roman" w:hAnsi="Times New Roman" w:eastAsia="仿宋" w:cs="黑体"/>
          <w:lang w:val="en-US" w:eastAsia="zh-CN"/>
        </w:rPr>
      </w:pPr>
      <w:r>
        <w:rPr>
          <w:rFonts w:hint="eastAsia" w:ascii="Times New Roman" w:hAnsi="Times New Roman" w:eastAsia="黑体" w:cs="黑体"/>
        </w:rPr>
        <w:t>第三部分 名词解释</w:t>
      </w:r>
      <w:r>
        <w:rPr>
          <w:rFonts w:hint="default" w:ascii="Times New Roman" w:hAnsi="Times New Roman" w:cs="Times New Roman"/>
          <w:b/>
          <w:bCs/>
        </w:rPr>
        <w:tab/>
      </w:r>
      <w:r>
        <w:rPr>
          <w:rFonts w:hint="eastAsia" w:ascii="Times New Roman" w:hAnsi="Times New Roman" w:cs="Times New Roman"/>
          <w:b/>
          <w:bCs/>
          <w:lang w:val="en-US" w:eastAsia="zh-CN"/>
        </w:rPr>
        <w:t>15</w:t>
      </w:r>
    </w:p>
    <w:p>
      <w:pPr>
        <w:pStyle w:val="13"/>
        <w:adjustRightInd w:val="0"/>
        <w:snapToGrid w:val="0"/>
        <w:spacing w:before="0" w:line="560" w:lineRule="exact"/>
        <w:jc w:val="left"/>
        <w:rPr>
          <w:rFonts w:hint="default" w:ascii="Times New Roman" w:hAnsi="Times New Roman" w:eastAsia="仿宋" w:cs="黑体"/>
          <w:lang w:val="en-US" w:eastAsia="zh-CN"/>
        </w:rPr>
      </w:pPr>
      <w:r>
        <w:rPr>
          <w:rFonts w:hint="eastAsia" w:ascii="Times New Roman" w:hAnsi="Times New Roman" w:eastAsia="黑体" w:cs="黑体"/>
        </w:rPr>
        <w:t>第四部分 附件</w:t>
      </w:r>
      <w:r>
        <w:rPr>
          <w:rFonts w:hint="default" w:ascii="Times New Roman" w:hAnsi="Times New Roman" w:cs="Times New Roman"/>
          <w:b/>
          <w:bCs/>
        </w:rPr>
        <w:tab/>
      </w:r>
      <w:r>
        <w:rPr>
          <w:rFonts w:hint="eastAsia" w:ascii="Times New Roman" w:hAnsi="Times New Roman" w:cs="Times New Roman"/>
          <w:b/>
          <w:bCs/>
          <w:lang w:val="en-US" w:eastAsia="zh-CN"/>
        </w:rPr>
        <w:t>18</w:t>
      </w:r>
    </w:p>
    <w:p>
      <w:pPr>
        <w:pStyle w:val="13"/>
        <w:adjustRightInd w:val="0"/>
        <w:snapToGrid w:val="0"/>
        <w:spacing w:before="0" w:line="560" w:lineRule="exact"/>
        <w:jc w:val="left"/>
        <w:rPr>
          <w:rFonts w:hint="default" w:ascii="Times New Roman" w:hAnsi="Times New Roman" w:eastAsia="仿宋" w:cs="黑体"/>
          <w:lang w:val="en-US" w:eastAsia="zh-CN"/>
        </w:rPr>
      </w:pPr>
      <w:r>
        <w:rPr>
          <w:rFonts w:hint="eastAsia" w:ascii="Times New Roman" w:hAnsi="Times New Roman" w:eastAsia="黑体" w:cs="黑体"/>
        </w:rPr>
        <w:t>第五部分 附表</w:t>
      </w:r>
      <w:r>
        <w:rPr>
          <w:rFonts w:hint="default" w:ascii="Times New Roman" w:hAnsi="Times New Roman" w:cs="Times New Roman"/>
          <w:b/>
          <w:bCs/>
        </w:rPr>
        <w:tab/>
      </w:r>
      <w:r>
        <w:rPr>
          <w:rFonts w:hint="eastAsia" w:ascii="Times New Roman" w:hAnsi="Times New Roman" w:cs="Times New Roman"/>
          <w:b/>
          <w:bCs/>
          <w:lang w:val="en-US" w:eastAsia="zh-CN"/>
        </w:rPr>
        <w:t>19</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一、收入支出决算总表</w:t>
      </w:r>
      <w:r>
        <w:rPr>
          <w:rFonts w:hint="default" w:ascii="Times New Roman" w:hAnsi="Times New Roman" w:cs="Times New Roman"/>
          <w:b/>
          <w:bCs/>
        </w:rPr>
        <w:tab/>
      </w:r>
      <w:r>
        <w:rPr>
          <w:rFonts w:hint="eastAsia" w:ascii="Times New Roman" w:hAnsi="Times New Roman" w:cs="Times New Roman"/>
          <w:b/>
          <w:bCs/>
          <w:lang w:val="en-US" w:eastAsia="zh-CN"/>
        </w:rPr>
        <w:t>19</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二、收入决算表</w:t>
      </w:r>
      <w:r>
        <w:rPr>
          <w:rFonts w:hint="default" w:ascii="Times New Roman" w:hAnsi="Times New Roman" w:cs="Times New Roman"/>
          <w:b/>
          <w:bCs/>
        </w:rPr>
        <w:tab/>
      </w:r>
      <w:r>
        <w:rPr>
          <w:rFonts w:hint="eastAsia" w:ascii="Times New Roman" w:hAnsi="Times New Roman" w:cs="Times New Roman"/>
          <w:b/>
          <w:bCs/>
          <w:lang w:val="en-US" w:eastAsia="zh-CN"/>
        </w:rPr>
        <w:t>19</w:t>
      </w:r>
    </w:p>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三、支出决算表</w:t>
      </w:r>
      <w:r>
        <w:rPr>
          <w:rFonts w:hint="default" w:ascii="Times New Roman" w:hAnsi="Times New Roman" w:cs="Times New Roman"/>
          <w:b/>
          <w:bCs/>
        </w:rPr>
        <w:tab/>
      </w:r>
      <w:r>
        <w:rPr>
          <w:rFonts w:hint="eastAsia" w:ascii="Times New Roman" w:hAnsi="Times New Roman" w:cs="Times New Roman"/>
          <w:b/>
          <w:bCs/>
          <w:lang w:val="en-US" w:eastAsia="zh-CN"/>
        </w:rPr>
        <w:t>19</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四、财政拨款收入支出决算总表</w:t>
      </w:r>
      <w:r>
        <w:rPr>
          <w:rFonts w:hint="default" w:ascii="Times New Roman" w:hAnsi="Times New Roman" w:cs="Times New Roman"/>
          <w:b/>
          <w:bCs/>
        </w:rPr>
        <w:tab/>
      </w:r>
      <w:r>
        <w:rPr>
          <w:rFonts w:hint="eastAsia" w:ascii="Times New Roman" w:hAnsi="Times New Roman" w:cs="Times New Roman"/>
          <w:b/>
          <w:bCs/>
          <w:lang w:val="en-US" w:eastAsia="zh-CN"/>
        </w:rPr>
        <w:t>19</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五、财政拨款支出决算明细表</w:t>
      </w:r>
      <w:r>
        <w:rPr>
          <w:rFonts w:hint="default" w:ascii="Times New Roman" w:hAnsi="Times New Roman" w:cs="Times New Roman"/>
          <w:b/>
          <w:bCs/>
        </w:rPr>
        <w:tab/>
      </w:r>
      <w:r>
        <w:rPr>
          <w:rFonts w:hint="eastAsia" w:ascii="Times New Roman" w:hAnsi="Times New Roman" w:cs="Times New Roman"/>
          <w:b/>
          <w:bCs/>
          <w:lang w:val="en-US" w:eastAsia="zh-CN"/>
        </w:rPr>
        <w:t>19</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六、一般公共预算财政拨款支出决算表</w:t>
      </w:r>
      <w:r>
        <w:rPr>
          <w:rFonts w:hint="default" w:ascii="Times New Roman" w:hAnsi="Times New Roman" w:cs="Times New Roman"/>
          <w:b/>
          <w:bCs/>
        </w:rPr>
        <w:tab/>
      </w:r>
      <w:r>
        <w:rPr>
          <w:rFonts w:hint="eastAsia" w:ascii="Times New Roman" w:hAnsi="Times New Roman" w:cs="Times New Roman"/>
          <w:b/>
          <w:bCs/>
          <w:lang w:val="en-US" w:eastAsia="zh-CN"/>
        </w:rPr>
        <w:t>19</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七、一般公共预算财政拨款支出决算明细表</w:t>
      </w:r>
      <w:r>
        <w:rPr>
          <w:rFonts w:hint="default" w:ascii="Times New Roman" w:hAnsi="Times New Roman" w:cs="Times New Roman"/>
          <w:b/>
          <w:bCs/>
        </w:rPr>
        <w:tab/>
      </w:r>
      <w:r>
        <w:rPr>
          <w:rFonts w:hint="eastAsia" w:ascii="Times New Roman" w:hAnsi="Times New Roman" w:cs="Times New Roman"/>
          <w:b/>
          <w:bCs/>
          <w:lang w:val="en-US" w:eastAsia="zh-CN"/>
        </w:rPr>
        <w:t>19</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八、一般公共预算财政拨款基本支出决算明细表</w:t>
      </w:r>
      <w:r>
        <w:rPr>
          <w:rFonts w:hint="default" w:ascii="Times New Roman" w:hAnsi="Times New Roman" w:cs="Times New Roman"/>
          <w:b/>
          <w:bCs/>
        </w:rPr>
        <w:tab/>
      </w:r>
      <w:r>
        <w:rPr>
          <w:rFonts w:hint="eastAsia" w:ascii="Times New Roman" w:hAnsi="Times New Roman" w:cs="Times New Roman"/>
          <w:b/>
          <w:bCs/>
          <w:lang w:val="en-US" w:eastAsia="zh-CN"/>
        </w:rPr>
        <w:t>19</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九、一般公共预算财政拨款项目支出决算表</w:t>
      </w:r>
      <w:r>
        <w:rPr>
          <w:rFonts w:hint="default" w:ascii="Times New Roman" w:hAnsi="Times New Roman" w:cs="Times New Roman"/>
          <w:b/>
          <w:bCs/>
        </w:rPr>
        <w:tab/>
      </w:r>
      <w:r>
        <w:rPr>
          <w:rFonts w:hint="eastAsia" w:ascii="Times New Roman" w:hAnsi="Times New Roman" w:cs="Times New Roman"/>
          <w:b/>
          <w:bCs/>
          <w:lang w:val="en-US" w:eastAsia="zh-CN"/>
        </w:rPr>
        <w:t>19</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十、政府性基金预算财政拨款收入支出决算表</w:t>
      </w:r>
      <w:r>
        <w:rPr>
          <w:rFonts w:hint="default" w:ascii="Times New Roman" w:hAnsi="Times New Roman" w:cs="Times New Roman"/>
          <w:b/>
          <w:bCs/>
        </w:rPr>
        <w:tab/>
      </w:r>
      <w:r>
        <w:rPr>
          <w:rFonts w:hint="eastAsia" w:ascii="Times New Roman" w:hAnsi="Times New Roman" w:cs="Times New Roman"/>
          <w:b/>
          <w:bCs/>
          <w:lang w:val="en-US" w:eastAsia="zh-CN"/>
        </w:rPr>
        <w:t>19</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十一、国有资本经营预算财政拨款收入支出决算表</w:t>
      </w:r>
      <w:r>
        <w:rPr>
          <w:rFonts w:hint="default" w:ascii="Times New Roman" w:hAnsi="Times New Roman" w:cs="Times New Roman"/>
          <w:b/>
          <w:bCs/>
        </w:rPr>
        <w:tab/>
      </w:r>
      <w:r>
        <w:rPr>
          <w:rFonts w:hint="eastAsia" w:ascii="Times New Roman" w:hAnsi="Times New Roman" w:cs="Times New Roman"/>
          <w:b/>
          <w:bCs/>
          <w:lang w:val="en-US" w:eastAsia="zh-CN"/>
        </w:rPr>
        <w:t>19</w:t>
      </w:r>
    </w:p>
    <w:p>
      <w:pPr>
        <w:pStyle w:val="15"/>
        <w:adjustRightInd w:val="0"/>
        <w:snapToGrid w:val="0"/>
        <w:spacing w:line="560" w:lineRule="exact"/>
        <w:ind w:left="0" w:leftChars="0" w:firstLine="560" w:firstLineChars="200"/>
        <w:jc w:val="left"/>
        <w:rPr>
          <w:rFonts w:hint="default" w:eastAsia="宋体" w:cs="仿宋_GB2312"/>
          <w:sz w:val="28"/>
          <w:szCs w:val="28"/>
          <w:lang w:val="en-US" w:eastAsia="zh-CN"/>
        </w:rPr>
      </w:pPr>
      <w:r>
        <w:rPr>
          <w:rFonts w:hint="eastAsia" w:eastAsia="仿宋_GB2312" w:cs="仿宋_GB2312"/>
          <w:sz w:val="28"/>
          <w:szCs w:val="28"/>
        </w:rPr>
        <w:t>十二、国有资本经营预算财政拨款支出决算表</w:t>
      </w:r>
      <w:r>
        <w:rPr>
          <w:rFonts w:hint="default" w:ascii="Times New Roman" w:hAnsi="Times New Roman" w:cs="Times New Roman"/>
          <w:b/>
          <w:bCs/>
        </w:rPr>
        <w:tab/>
      </w:r>
      <w:r>
        <w:rPr>
          <w:rFonts w:hint="eastAsia" w:ascii="Times New Roman" w:hAnsi="Times New Roman" w:cs="Times New Roman"/>
          <w:b/>
          <w:bCs/>
          <w:lang w:val="en-US" w:eastAsia="zh-CN"/>
        </w:rPr>
        <w:t>19</w:t>
      </w:r>
    </w:p>
    <w:p>
      <w:pPr>
        <w:pStyle w:val="15"/>
        <w:adjustRightInd w:val="0"/>
        <w:snapToGrid w:val="0"/>
        <w:spacing w:line="560" w:lineRule="exact"/>
        <w:ind w:left="0" w:leftChars="0" w:firstLine="560" w:firstLineChars="200"/>
        <w:jc w:val="left"/>
        <w:rPr>
          <w:rFonts w:eastAsia="仿宋_GB2312" w:cs="仿宋_GB2312"/>
          <w:bCs/>
          <w:kern w:val="44"/>
          <w:sz w:val="24"/>
        </w:rPr>
      </w:pPr>
      <w:r>
        <w:rPr>
          <w:rFonts w:hint="eastAsia" w:eastAsia="仿宋_GB2312" w:cs="仿宋_GB2312"/>
          <w:sz w:val="28"/>
          <w:szCs w:val="28"/>
        </w:rPr>
        <w:t>十三、财政拨款“三公”经费支出决算表</w:t>
      </w:r>
      <w:bookmarkStart w:id="6" w:name="_Toc15396599"/>
      <w:bookmarkStart w:id="7" w:name="_Toc15377196"/>
      <w:r>
        <w:rPr>
          <w:rFonts w:hint="default" w:ascii="Times New Roman" w:hAnsi="Times New Roman" w:cs="Times New Roman"/>
          <w:b/>
          <w:bCs/>
        </w:rPr>
        <w:tab/>
      </w:r>
      <w:r>
        <w:rPr>
          <w:rFonts w:hint="eastAsia" w:ascii="Times New Roman" w:hAnsi="Times New Roman" w:cs="Times New Roman"/>
          <w:b/>
          <w:bCs/>
          <w:lang w:val="en-US" w:eastAsia="zh-CN"/>
        </w:rPr>
        <w:t>19</w:t>
      </w:r>
      <w:r>
        <w:rPr>
          <w:rFonts w:hint="eastAsia" w:eastAsia="仿宋_GB2312" w:cs="仿宋_GB2312"/>
          <w:b/>
          <w:sz w:val="24"/>
        </w:rPr>
        <w:br w:type="page"/>
      </w:r>
    </w:p>
    <w:p>
      <w:pPr>
        <w:pStyle w:val="3"/>
        <w:jc w:val="center"/>
        <w:rPr>
          <w:rStyle w:val="31"/>
          <w:rFonts w:eastAsia="方正小标宋简体" w:cs="方正小标宋简体"/>
          <w:b/>
          <w:bCs w:val="0"/>
        </w:rPr>
      </w:pPr>
      <w:r>
        <w:rPr>
          <w:rFonts w:hint="eastAsia" w:eastAsia="方正小标宋简体" w:cs="方正小标宋简体"/>
          <w:b w:val="0"/>
        </w:rPr>
        <w:t xml:space="preserve">第一部分  </w:t>
      </w:r>
      <w:r>
        <w:rPr>
          <w:rStyle w:val="31"/>
          <w:rFonts w:hint="eastAsia" w:eastAsia="方正小标宋简体" w:cs="方正小标宋简体"/>
          <w:b w:val="0"/>
          <w:bCs w:val="0"/>
        </w:rPr>
        <w:t>单位概况</w:t>
      </w:r>
      <w:bookmarkEnd w:id="6"/>
      <w:bookmarkEnd w:id="7"/>
    </w:p>
    <w:p>
      <w:pPr>
        <w:widowControl/>
        <w:jc w:val="left"/>
        <w:rPr>
          <w:rFonts w:eastAsia="黑体"/>
          <w:sz w:val="32"/>
          <w:szCs w:val="32"/>
        </w:rPr>
      </w:pPr>
    </w:p>
    <w:p>
      <w:pPr>
        <w:pStyle w:val="4"/>
        <w:numPr>
          <w:ilvl w:val="0"/>
          <w:numId w:val="1"/>
        </w:numPr>
        <w:rPr>
          <w:rFonts w:hint="eastAsia" w:ascii="Times New Roman" w:hAnsi="Times New Roman" w:eastAsia="黑体"/>
          <w:b w:val="0"/>
        </w:rPr>
      </w:pPr>
      <w:r>
        <w:rPr>
          <w:rFonts w:hint="eastAsia" w:ascii="Times New Roman" w:hAnsi="Times New Roman" w:eastAsia="黑体"/>
          <w:b w:val="0"/>
        </w:rPr>
        <w:t>主要职责</w:t>
      </w:r>
    </w:p>
    <w:p>
      <w:pPr>
        <w:pageBreakBefore w:val="0"/>
        <w:widowControl w:val="0"/>
        <w:suppressAutoHyphens/>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1.根据党中央的路线、方针、政策和县委的部署，统一政法各部门的思想和行动，确保政法部门的执法活动坚持正确的政治方向。</w:t>
      </w:r>
    </w:p>
    <w:p>
      <w:pPr>
        <w:suppressAutoHyphens/>
        <w:spacing w:line="600" w:lineRule="exact"/>
        <w:ind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2.研究制定贯彻落实党中央、省委、市委和县委关于政法工作的方针、政策和维护社会稳定工作</w:t>
      </w:r>
      <w:bookmarkStart w:id="65" w:name="_GoBack"/>
      <w:bookmarkEnd w:id="65"/>
      <w:r>
        <w:rPr>
          <w:rFonts w:hint="default" w:ascii="Times New Roman" w:hAnsi="Times New Roman" w:eastAsia="方正仿宋_GBK" w:cs="Times New Roman"/>
          <w:sz w:val="33"/>
          <w:szCs w:val="33"/>
          <w:lang w:val="zh-CN"/>
        </w:rPr>
        <w:t>的指示措施，及时向县委提出意见和建议，对一定时期内的政法工作、社会治安综合治理工作、社会稳定工作作出全局性的部署，并督促检查，抓好贯彻落实。</w:t>
      </w:r>
    </w:p>
    <w:p>
      <w:pPr>
        <w:suppressAutoHyphens/>
        <w:spacing w:line="600" w:lineRule="exact"/>
        <w:ind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3.加强对政法工作的督查。指导全县政法系统网络安全和智能化建设工作。</w:t>
      </w:r>
    </w:p>
    <w:p>
      <w:pPr>
        <w:suppressAutoHyphens/>
        <w:spacing w:line="600" w:lineRule="exact"/>
        <w:ind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4.组织推动政法工作的调查研究，推动政法工作改革。</w:t>
      </w:r>
    </w:p>
    <w:p>
      <w:pPr>
        <w:suppressAutoHyphens/>
        <w:spacing w:line="600" w:lineRule="exact"/>
        <w:ind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5.监督检查政法部门执行宪法、法律、法规和公正司法情况，研究制定严格执法、维护司法公正的具体措施。监督和支持政法各部门依法行使职权，指导和协调政法部门密切配合，研究和协调重大、疑难案件，推进严格执法、公正司法。</w:t>
      </w:r>
    </w:p>
    <w:p>
      <w:pPr>
        <w:suppressAutoHyphens/>
        <w:spacing w:line="600" w:lineRule="exact"/>
        <w:ind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6.指导推动政法系统党的建设和政法队伍建设，研究加强全县政法队伍建设的措施，协助县委、县委组织部考察、管理政法部门领导班子和领导干部，协助县委、县纪委监察机关做好监督检查和审查调查工作。代管盐边县法学会。</w:t>
      </w:r>
    </w:p>
    <w:p>
      <w:pPr>
        <w:suppressAutoHyphens/>
        <w:spacing w:line="600" w:lineRule="exact"/>
        <w:ind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7.承担全县社会治安综合治理工作的调查分析、组织协调和监督检查，协调推动各项综治工作措施的落实。</w:t>
      </w:r>
    </w:p>
    <w:p>
      <w:pPr>
        <w:suppressAutoHyphens/>
        <w:spacing w:line="600" w:lineRule="exact"/>
        <w:ind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8.指导全县维护社会稳定工作。协调推动相关部门做好反邪教工作。</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9.完成县委政法委三定规定中明确的其他工作职责。</w:t>
      </w:r>
    </w:p>
    <w:p>
      <w:pPr>
        <w:keepNext w:val="0"/>
        <w:keepLines w:val="0"/>
        <w:pageBreakBefore w:val="0"/>
        <w:widowControl w:val="0"/>
        <w:suppressAutoHyphens/>
        <w:kinsoku/>
        <w:wordWrap/>
        <w:overflowPunct/>
        <w:topLinePunct w:val="0"/>
        <w:autoSpaceDE/>
        <w:autoSpaceDN/>
        <w:bidi w:val="0"/>
        <w:adjustRightInd/>
        <w:snapToGrid w:val="0"/>
        <w:spacing w:line="240" w:lineRule="auto"/>
        <w:ind w:firstLine="660" w:firstLineChars="200"/>
        <w:textAlignment w:val="auto"/>
      </w:pPr>
      <w:r>
        <w:rPr>
          <w:rFonts w:hint="default" w:ascii="Times New Roman" w:hAnsi="Times New Roman" w:eastAsia="方正仿宋_GBK" w:cs="Times New Roman"/>
          <w:sz w:val="33"/>
          <w:szCs w:val="33"/>
          <w:lang w:val="zh-CN"/>
        </w:rPr>
        <w:t>10.完成县委交办的其他任务。</w:t>
      </w:r>
    </w:p>
    <w:p>
      <w:pPr>
        <w:pStyle w:val="4"/>
        <w:rPr>
          <w:rStyle w:val="32"/>
          <w:rFonts w:hint="eastAsia" w:ascii="Times New Roman" w:hAnsi="Times New Roman" w:eastAsia="黑体"/>
          <w:b w:val="0"/>
          <w:bCs w:val="0"/>
          <w:color w:val="0D0D0D" w:themeColor="text1" w:themeTint="F2"/>
          <w:lang w:eastAsia="zh-CN"/>
          <w14:textFill>
            <w14:solidFill>
              <w14:schemeClr w14:val="tx1">
                <w14:lumMod w14:val="95000"/>
                <w14:lumOff w14:val="5000"/>
              </w14:schemeClr>
            </w14:solidFill>
          </w14:textFill>
        </w:rPr>
      </w:pPr>
      <w:bookmarkStart w:id="8" w:name="_Toc15377200"/>
      <w:bookmarkStart w:id="9" w:name="_Toc15396601"/>
      <w:r>
        <w:rPr>
          <w:rFonts w:hint="eastAsia" w:ascii="Times New Roman" w:hAnsi="Times New Roman" w:eastAsia="黑体"/>
          <w:b w:val="0"/>
          <w:color w:val="0D0D0D" w:themeColor="text1" w:themeTint="F2"/>
          <w14:textFill>
            <w14:solidFill>
              <w14:schemeClr w14:val="tx1">
                <w14:lumMod w14:val="95000"/>
                <w14:lumOff w14:val="5000"/>
              </w14:schemeClr>
            </w14:solidFill>
          </w14:textFill>
        </w:rPr>
        <w:t>二、</w:t>
      </w:r>
      <w:r>
        <w:rPr>
          <w:rFonts w:hint="eastAsia" w:ascii="Times New Roman" w:hAnsi="Times New Roman" w:eastAsia="黑体"/>
          <w:b w:val="0"/>
          <w:color w:val="0D0D0D" w:themeColor="text1" w:themeTint="F2"/>
          <w:lang w:eastAsia="zh-CN"/>
          <w14:textFill>
            <w14:solidFill>
              <w14:schemeClr w14:val="tx1">
                <w14:lumMod w14:val="95000"/>
                <w14:lumOff w14:val="5000"/>
              </w14:schemeClr>
            </w14:solidFill>
          </w14:textFill>
        </w:rPr>
        <w:t>内设</w:t>
      </w:r>
      <w:bookmarkEnd w:id="8"/>
      <w:bookmarkEnd w:id="9"/>
      <w:r>
        <w:rPr>
          <w:rStyle w:val="32"/>
          <w:rFonts w:hint="eastAsia" w:ascii="Times New Roman" w:hAnsi="Times New Roman" w:eastAsia="黑体"/>
          <w:b w:val="0"/>
          <w:bCs w:val="0"/>
          <w:color w:val="0D0D0D" w:themeColor="text1" w:themeTint="F2"/>
          <w:lang w:eastAsia="zh-CN"/>
          <w14:textFill>
            <w14:solidFill>
              <w14:schemeClr w14:val="tx1">
                <w14:lumMod w14:val="95000"/>
                <w14:lumOff w14:val="5000"/>
              </w14:schemeClr>
            </w14:solidFill>
          </w14:textFill>
        </w:rPr>
        <w:t>机构设置</w:t>
      </w:r>
    </w:p>
    <w:p>
      <w:pPr>
        <w:pageBreakBefore w:val="0"/>
        <w:widowControl w:val="0"/>
        <w:suppressAutoHyphens/>
        <w:kinsoku/>
        <w:wordWrap/>
        <w:overflowPunct/>
        <w:topLinePunct w:val="0"/>
        <w:autoSpaceDE/>
        <w:autoSpaceDN/>
        <w:bidi w:val="0"/>
        <w:adjustRightInd/>
        <w:snapToGrid w:val="0"/>
        <w:spacing w:line="240" w:lineRule="auto"/>
        <w:ind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中共盐边县委政法委员会</w:t>
      </w:r>
      <w:r>
        <w:rPr>
          <w:rFonts w:hint="eastAsia" w:eastAsia="方正仿宋_GBK" w:cs="Times New Roman"/>
          <w:sz w:val="33"/>
          <w:szCs w:val="33"/>
          <w:lang w:val="zh-CN"/>
        </w:rPr>
        <w:t>内设办公室等四个股（室）。</w:t>
      </w:r>
    </w:p>
    <w:p>
      <w:pPr>
        <w:rPr>
          <w:rFonts w:eastAsia="黑体"/>
        </w:rPr>
      </w:pPr>
    </w:p>
    <w:p>
      <w:pPr>
        <w:ind w:firstLine="800" w:firstLineChars="250"/>
        <w:rPr>
          <w:rFonts w:eastAsia="仿宋_GB2312" w:cs="仿宋_GB2312"/>
          <w:sz w:val="32"/>
          <w:szCs w:val="32"/>
        </w:rPr>
      </w:pPr>
    </w:p>
    <w:p>
      <w:pPr>
        <w:pStyle w:val="14"/>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3"/>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w:t>
      </w:r>
      <w:r>
        <w:rPr>
          <w:rFonts w:hint="eastAsia" w:eastAsia="方正小标宋简体" w:cs="方正小标宋简体"/>
          <w:b w:val="0"/>
          <w:lang w:eastAsia="zh-CN"/>
        </w:rPr>
        <w:t>单位</w:t>
      </w:r>
      <w:r>
        <w:rPr>
          <w:rFonts w:hint="eastAsia" w:eastAsia="方正小标宋简体" w:cs="方正小标宋简体"/>
          <w:b w:val="0"/>
        </w:rPr>
        <w:t>决算情况说明</w:t>
      </w:r>
      <w:bookmarkEnd w:id="10"/>
      <w:bookmarkEnd w:id="11"/>
    </w:p>
    <w:p/>
    <w:p>
      <w:pPr>
        <w:pStyle w:val="30"/>
        <w:spacing w:line="600" w:lineRule="exact"/>
        <w:ind w:firstLine="640"/>
        <w:outlineLvl w:val="1"/>
        <w:rPr>
          <w:rStyle w:val="32"/>
          <w:rFonts w:ascii="Times New Roman" w:hAnsi="Times New Roman" w:eastAsia="黑体"/>
          <w:b w:val="0"/>
        </w:rPr>
      </w:pPr>
      <w:bookmarkStart w:id="12" w:name="_Toc15377205"/>
      <w:bookmarkStart w:id="13" w:name="_Toc15396603"/>
      <w:r>
        <w:rPr>
          <w:rFonts w:hint="eastAsia" w:eastAsia="黑体"/>
          <w:sz w:val="32"/>
          <w:szCs w:val="32"/>
        </w:rPr>
        <w:t>一、收</w:t>
      </w:r>
      <w:r>
        <w:rPr>
          <w:rStyle w:val="32"/>
          <w:rFonts w:hint="eastAsia" w:ascii="Times New Roman" w:hAnsi="Times New Roman" w:eastAsia="黑体"/>
          <w:b w:val="0"/>
        </w:rPr>
        <w:t>入支出决算总体情况说明</w:t>
      </w:r>
      <w:bookmarkEnd w:id="12"/>
      <w:bookmarkEnd w:id="13"/>
    </w:p>
    <w:p>
      <w:pPr>
        <w:pStyle w:val="30"/>
        <w:spacing w:line="600" w:lineRule="exact"/>
        <w:ind w:firstLine="640"/>
        <w:outlineLvl w:val="1"/>
        <w:rPr>
          <w:rFonts w:hint="default"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517.66</w:t>
      </w:r>
      <w:r>
        <w:rPr>
          <w:rFonts w:hint="eastAsia" w:eastAsia="仿宋_GB2312" w:cs="仿宋_GB2312"/>
          <w:sz w:val="32"/>
          <w:szCs w:val="32"/>
        </w:rPr>
        <w:t>万元。与2023年度相比，收入、支出总计各减少</w:t>
      </w:r>
      <w:r>
        <w:rPr>
          <w:rFonts w:hint="eastAsia" w:eastAsia="仿宋_GB2312" w:cs="仿宋_GB2312"/>
          <w:sz w:val="32"/>
          <w:szCs w:val="32"/>
          <w:lang w:val="en-US" w:eastAsia="zh-CN"/>
        </w:rPr>
        <w:t>52.89</w:t>
      </w:r>
      <w:r>
        <w:rPr>
          <w:rFonts w:hint="eastAsia" w:eastAsia="仿宋_GB2312" w:cs="仿宋_GB2312"/>
          <w:sz w:val="32"/>
          <w:szCs w:val="32"/>
        </w:rPr>
        <w:t>万元，下降</w:t>
      </w:r>
      <w:r>
        <w:rPr>
          <w:rFonts w:hint="eastAsia" w:eastAsia="仿宋_GB2312" w:cs="仿宋_GB2312"/>
          <w:sz w:val="32"/>
          <w:szCs w:val="32"/>
          <w:lang w:val="en-US" w:eastAsia="zh-CN"/>
        </w:rPr>
        <w:t>9.27</w:t>
      </w:r>
      <w:r>
        <w:rPr>
          <w:rFonts w:hint="eastAsia" w:eastAsia="仿宋_GB2312" w:cs="仿宋_GB2312"/>
          <w:sz w:val="32"/>
          <w:szCs w:val="32"/>
        </w:rPr>
        <w:t>%。主要变动原因</w:t>
      </w:r>
      <w:r>
        <w:rPr>
          <w:rFonts w:hint="eastAsia" w:eastAsia="仿宋_GB2312" w:cs="仿宋_GB2312"/>
          <w:sz w:val="32"/>
          <w:szCs w:val="32"/>
          <w:lang w:val="en-US" w:eastAsia="zh-CN"/>
        </w:rPr>
        <w:t>是2024年公务员减少5人，基本支出中人员经费部分较上年减少，所以收入、支出总计整体减少。</w:t>
      </w:r>
    </w:p>
    <w:p>
      <w:pPr>
        <w:ind w:firstLine="420" w:firstLineChars="200"/>
        <w:rPr>
          <w:rFonts w:eastAsia="仿宋_GB2312" w:cs="仿宋_GB2312"/>
          <w:sz w:val="32"/>
          <w:szCs w:val="32"/>
        </w:rPr>
      </w:pPr>
      <w:r>
        <w:drawing>
          <wp:inline distT="0" distB="0" distL="114300" distR="114300">
            <wp:extent cx="5271135" cy="3058160"/>
            <wp:effectExtent l="4445" t="4445" r="20320" b="23495"/>
            <wp:docPr id="245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0"/>
        <w:spacing w:line="600" w:lineRule="exact"/>
        <w:ind w:firstLine="64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pPr>
        <w:pStyle w:val="30"/>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517.66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517.66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ind w:firstLine="525" w:firstLineChars="250"/>
      </w:pPr>
      <w:r>
        <w:drawing>
          <wp:inline distT="0" distB="0" distL="114300" distR="114300">
            <wp:extent cx="5269865" cy="3344545"/>
            <wp:effectExtent l="4445" t="4445" r="21590" b="22860"/>
            <wp:docPr id="24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0"/>
        <w:spacing w:line="600" w:lineRule="exact"/>
        <w:ind w:firstLine="640"/>
        <w:outlineLvl w:val="1"/>
        <w:rPr>
          <w:rStyle w:val="32"/>
          <w:rFonts w:ascii="Times New Roman" w:hAnsi="Times New Roman" w:eastAsia="黑体"/>
          <w:b w:val="0"/>
        </w:rPr>
      </w:pPr>
      <w:bookmarkStart w:id="16" w:name="_Toc15377207"/>
      <w:bookmarkStart w:id="17" w:name="_Toc15396605"/>
      <w:r>
        <w:rPr>
          <w:rFonts w:hint="eastAsia" w:eastAsia="黑体"/>
          <w:sz w:val="32"/>
          <w:szCs w:val="32"/>
        </w:rPr>
        <w:t>三、支</w:t>
      </w:r>
      <w:r>
        <w:rPr>
          <w:rStyle w:val="32"/>
          <w:rFonts w:hint="eastAsia" w:ascii="Times New Roman" w:hAnsi="Times New Roman" w:eastAsia="黑体"/>
          <w:b w:val="0"/>
        </w:rPr>
        <w:t>出决算情况说明</w:t>
      </w:r>
      <w:bookmarkEnd w:id="16"/>
      <w:bookmarkEnd w:id="17"/>
    </w:p>
    <w:p>
      <w:pPr>
        <w:pStyle w:val="30"/>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517.66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431.19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83.30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86.48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16.70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ind w:firstLine="525" w:firstLineChars="250"/>
        <w:rPr>
          <w:rFonts w:eastAsia="仿宋_GB2312" w:cs="仿宋_GB2312"/>
          <w:sz w:val="32"/>
          <w:szCs w:val="32"/>
        </w:rPr>
      </w:pPr>
      <w:r>
        <w:drawing>
          <wp:inline distT="0" distB="0" distL="114300" distR="114300">
            <wp:extent cx="4964430" cy="2924175"/>
            <wp:effectExtent l="4445" t="4445" r="22225" b="5080"/>
            <wp:docPr id="245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32"/>
          <w:rFonts w:ascii="Times New Roman" w:hAnsi="Times New Roman" w:eastAsia="黑体"/>
          <w:b w:val="0"/>
        </w:rPr>
      </w:pPr>
      <w:bookmarkStart w:id="18" w:name="_Toc15396606"/>
      <w:bookmarkStart w:id="19" w:name="_Toc15377208"/>
      <w:r>
        <w:rPr>
          <w:rFonts w:hint="eastAsia" w:eastAsia="黑体"/>
          <w:sz w:val="32"/>
          <w:szCs w:val="32"/>
        </w:rPr>
        <w:t>四、财</w:t>
      </w:r>
      <w:r>
        <w:rPr>
          <w:rStyle w:val="32"/>
          <w:rFonts w:hint="eastAsia" w:ascii="Times New Roman" w:hAnsi="Times New Roman" w:eastAsia="黑体"/>
          <w:b w:val="0"/>
        </w:rPr>
        <w:t>政拨款收入支出决算总体情况说明</w:t>
      </w:r>
      <w:bookmarkEnd w:id="18"/>
      <w:bookmarkEnd w:id="19"/>
    </w:p>
    <w:p>
      <w:pPr>
        <w:pStyle w:val="30"/>
        <w:spacing w:line="600" w:lineRule="exact"/>
        <w:ind w:firstLine="640"/>
        <w:outlineLvl w:val="1"/>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517.66</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52.89</w:t>
      </w:r>
      <w:r>
        <w:rPr>
          <w:rFonts w:hint="eastAsia" w:eastAsia="仿宋_GB2312" w:cs="仿宋_GB2312"/>
          <w:sz w:val="32"/>
          <w:szCs w:val="32"/>
        </w:rPr>
        <w:t>万元，下降</w:t>
      </w:r>
      <w:r>
        <w:rPr>
          <w:rFonts w:hint="eastAsia" w:eastAsia="仿宋_GB2312" w:cs="仿宋_GB2312"/>
          <w:sz w:val="32"/>
          <w:szCs w:val="32"/>
          <w:lang w:val="en-US" w:eastAsia="zh-CN"/>
        </w:rPr>
        <w:t>9.27</w:t>
      </w:r>
      <w:r>
        <w:rPr>
          <w:rFonts w:hint="eastAsia" w:eastAsia="仿宋_GB2312" w:cs="仿宋_GB2312"/>
          <w:sz w:val="32"/>
          <w:szCs w:val="32"/>
        </w:rPr>
        <w:t>%。主要变动原因</w:t>
      </w:r>
      <w:r>
        <w:rPr>
          <w:rFonts w:hint="eastAsia" w:eastAsia="仿宋_GB2312" w:cs="仿宋_GB2312"/>
          <w:sz w:val="32"/>
          <w:szCs w:val="32"/>
          <w:lang w:val="en-US" w:eastAsia="zh-CN"/>
        </w:rPr>
        <w:t>是2024年公务员减少5人，基本支出中人员经费部分较上年减少，所以收入、支出总计整体减少。</w:t>
      </w:r>
    </w:p>
    <w:p>
      <w:pPr>
        <w:spacing w:line="600" w:lineRule="exact"/>
        <w:ind w:firstLine="640"/>
      </w:pPr>
    </w:p>
    <w:p>
      <w:pPr>
        <w:pStyle w:val="2"/>
        <w:ind w:left="0" w:leftChars="0" w:firstLine="0" w:firstLineChars="0"/>
      </w:pPr>
    </w:p>
    <w:p>
      <w:pPr>
        <w:pStyle w:val="2"/>
      </w:pPr>
    </w:p>
    <w:p>
      <w:pPr>
        <w:pStyle w:val="2"/>
      </w:pPr>
    </w:p>
    <w:p>
      <w:pPr>
        <w:pStyle w:val="2"/>
      </w:pPr>
    </w:p>
    <w:p>
      <w:pPr>
        <w:pStyle w:val="2"/>
      </w:pPr>
    </w:p>
    <w:p>
      <w:pPr>
        <w:pStyle w:val="2"/>
      </w:pPr>
    </w:p>
    <w:p>
      <w:pPr>
        <w:pStyle w:val="2"/>
      </w:pPr>
      <w:r>
        <w:drawing>
          <wp:anchor distT="0" distB="0" distL="114300" distR="114300" simplePos="0" relativeHeight="251658240" behindDoc="0" locked="0" layoutInCell="1" allowOverlap="1">
            <wp:simplePos x="0" y="0"/>
            <wp:positionH relativeFrom="column">
              <wp:posOffset>410845</wp:posOffset>
            </wp:positionH>
            <wp:positionV relativeFrom="paragraph">
              <wp:posOffset>-2473325</wp:posOffset>
            </wp:positionV>
            <wp:extent cx="5269230" cy="3067050"/>
            <wp:effectExtent l="4445" t="4445" r="22225" b="14605"/>
            <wp:wrapSquare wrapText="bothSides"/>
            <wp:docPr id="246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ind w:left="0" w:leftChars="0" w:firstLine="0" w:firstLineChars="0"/>
      </w:pPr>
    </w:p>
    <w:p>
      <w:pPr>
        <w:spacing w:line="600" w:lineRule="exact"/>
        <w:ind w:firstLine="640" w:firstLineChars="200"/>
        <w:outlineLvl w:val="1"/>
        <w:rPr>
          <w:rStyle w:val="32"/>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32"/>
          <w:rFonts w:hint="eastAsia" w:ascii="Times New Roman" w:hAnsi="Times New Roman" w:eastAsia="黑体"/>
          <w:b w:val="0"/>
        </w:rPr>
        <w:t>般公共预算财政拨款支出决算情况说明</w:t>
      </w:r>
      <w:bookmarkEnd w:id="20"/>
      <w:bookmarkEnd w:id="21"/>
    </w:p>
    <w:p>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pStyle w:val="30"/>
        <w:spacing w:line="600" w:lineRule="exact"/>
        <w:ind w:firstLine="640"/>
        <w:outlineLvl w:val="1"/>
        <w:rPr>
          <w:rFonts w:eastAsia="仿宋_GB2312" w:cs="仿宋_GB2312"/>
          <w:sz w:val="32"/>
          <w:szCs w:val="32"/>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517.66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%。与2023年度相比，一般公共预算财政拨款支出减少</w:t>
      </w:r>
      <w:r>
        <w:rPr>
          <w:rFonts w:hint="eastAsia" w:ascii="仿宋_GB2312" w:hAnsi="仿宋_GB2312" w:eastAsia="仿宋_GB2312" w:cs="仿宋_GB2312"/>
          <w:sz w:val="32"/>
          <w:szCs w:val="32"/>
          <w:lang w:val="en-US" w:eastAsia="zh-CN"/>
        </w:rPr>
        <w:t>52.89</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9.27</w:t>
      </w:r>
      <w:r>
        <w:rPr>
          <w:rFonts w:hint="eastAsia" w:ascii="仿宋_GB2312" w:hAnsi="仿宋_GB2312" w:eastAsia="仿宋_GB2312" w:cs="仿宋_GB2312"/>
          <w:sz w:val="32"/>
          <w:szCs w:val="32"/>
        </w:rPr>
        <w:t>%。</w:t>
      </w:r>
      <w:r>
        <w:rPr>
          <w:rFonts w:hint="eastAsia" w:eastAsia="仿宋_GB2312" w:cs="仿宋_GB2312"/>
          <w:sz w:val="32"/>
          <w:szCs w:val="32"/>
        </w:rPr>
        <w:t>主要变动原因</w:t>
      </w:r>
      <w:r>
        <w:rPr>
          <w:rFonts w:hint="eastAsia" w:eastAsia="仿宋_GB2312" w:cs="仿宋_GB2312"/>
          <w:sz w:val="32"/>
          <w:szCs w:val="32"/>
          <w:lang w:val="en-US" w:eastAsia="zh-CN"/>
        </w:rPr>
        <w:t>是2024年公务员减少5人，基本支出中人员经费部分较上年减少。</w:t>
      </w:r>
    </w:p>
    <w:p>
      <w:pPr>
        <w:spacing w:line="600" w:lineRule="exact"/>
        <w:ind w:firstLine="640"/>
      </w:pPr>
    </w:p>
    <w:p>
      <w:pPr>
        <w:pStyle w:val="2"/>
      </w:pPr>
    </w:p>
    <w:p>
      <w:pPr>
        <w:pStyle w:val="2"/>
        <w:ind w:left="0" w:leftChars="0" w:firstLine="0" w:firstLineChars="0"/>
      </w:pPr>
      <w:r>
        <w:drawing>
          <wp:anchor distT="0" distB="0" distL="114300" distR="114300" simplePos="0" relativeHeight="251659264" behindDoc="1" locked="0" layoutInCell="1" allowOverlap="1">
            <wp:simplePos x="0" y="0"/>
            <wp:positionH relativeFrom="column">
              <wp:posOffset>420370</wp:posOffset>
            </wp:positionH>
            <wp:positionV relativeFrom="paragraph">
              <wp:posOffset>-481330</wp:posOffset>
            </wp:positionV>
            <wp:extent cx="5271135" cy="2699385"/>
            <wp:effectExtent l="4445" t="4445" r="20320" b="20320"/>
            <wp:wrapTight wrapText="bothSides">
              <wp:wrapPolygon>
                <wp:start x="-18" y="-36"/>
                <wp:lineTo x="-18" y="21458"/>
                <wp:lineTo x="21527" y="21458"/>
                <wp:lineTo x="21527" y="-36"/>
                <wp:lineTo x="-18" y="-36"/>
              </wp:wrapPolygon>
            </wp:wrapTight>
            <wp:docPr id="245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517.66</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363.09</w:t>
      </w:r>
      <w:r>
        <w:rPr>
          <w:rFonts w:hint="eastAsia" w:eastAsia="仿宋_GB2312" w:cs="仿宋_GB2312"/>
          <w:sz w:val="32"/>
          <w:szCs w:val="32"/>
        </w:rPr>
        <w:t>万元，占</w:t>
      </w:r>
      <w:r>
        <w:rPr>
          <w:rFonts w:hint="eastAsia" w:eastAsia="仿宋_GB2312" w:cs="仿宋_GB2312"/>
          <w:sz w:val="32"/>
          <w:szCs w:val="32"/>
          <w:lang w:val="en-US" w:eastAsia="zh-CN"/>
        </w:rPr>
        <w:t>70.14</w:t>
      </w:r>
      <w:r>
        <w:rPr>
          <w:rFonts w:hint="eastAsia" w:eastAsia="仿宋_GB2312" w:cs="仿宋_GB2312"/>
          <w:sz w:val="32"/>
          <w:szCs w:val="32"/>
        </w:rPr>
        <w:t>%；社会保障和就业支出</w:t>
      </w:r>
      <w:r>
        <w:rPr>
          <w:rFonts w:hint="eastAsia" w:eastAsia="仿宋_GB2312" w:cs="仿宋_GB2312"/>
          <w:sz w:val="32"/>
          <w:szCs w:val="32"/>
          <w:lang w:val="en-US" w:eastAsia="zh-CN"/>
        </w:rPr>
        <w:t>44.77</w:t>
      </w:r>
      <w:r>
        <w:rPr>
          <w:rFonts w:hint="eastAsia" w:eastAsia="仿宋_GB2312" w:cs="仿宋_GB2312"/>
          <w:sz w:val="32"/>
          <w:szCs w:val="32"/>
        </w:rPr>
        <w:t>万元，占</w:t>
      </w:r>
      <w:r>
        <w:rPr>
          <w:rFonts w:hint="eastAsia" w:eastAsia="仿宋_GB2312" w:cs="仿宋_GB2312"/>
          <w:sz w:val="32"/>
          <w:szCs w:val="32"/>
          <w:lang w:val="en-US" w:eastAsia="zh-CN"/>
        </w:rPr>
        <w:t>8.65</w:t>
      </w:r>
      <w:r>
        <w:rPr>
          <w:rFonts w:hint="eastAsia" w:eastAsia="仿宋_GB2312" w:cs="仿宋_GB2312"/>
          <w:sz w:val="32"/>
          <w:szCs w:val="32"/>
        </w:rPr>
        <w:t>%；卫生健康支出</w:t>
      </w:r>
      <w:r>
        <w:rPr>
          <w:rFonts w:hint="eastAsia" w:eastAsia="仿宋_GB2312" w:cs="仿宋_GB2312"/>
          <w:sz w:val="32"/>
          <w:szCs w:val="32"/>
          <w:lang w:val="en-US" w:eastAsia="zh-CN"/>
        </w:rPr>
        <w:t>30.40</w:t>
      </w:r>
      <w:r>
        <w:rPr>
          <w:rFonts w:hint="eastAsia" w:eastAsia="仿宋_GB2312" w:cs="仿宋_GB2312"/>
          <w:sz w:val="32"/>
          <w:szCs w:val="32"/>
        </w:rPr>
        <w:t>万元，占</w:t>
      </w:r>
      <w:r>
        <w:rPr>
          <w:rFonts w:hint="eastAsia" w:eastAsia="仿宋_GB2312" w:cs="仿宋_GB2312"/>
          <w:sz w:val="32"/>
          <w:szCs w:val="32"/>
          <w:lang w:val="en-US" w:eastAsia="zh-CN"/>
        </w:rPr>
        <w:t>5.87</w:t>
      </w:r>
      <w:r>
        <w:rPr>
          <w:rFonts w:hint="eastAsia" w:eastAsia="仿宋_GB2312" w:cs="仿宋_GB2312"/>
          <w:sz w:val="32"/>
          <w:szCs w:val="32"/>
        </w:rPr>
        <w:t>%；住房保障支出</w:t>
      </w:r>
      <w:r>
        <w:rPr>
          <w:rFonts w:hint="eastAsia" w:eastAsia="仿宋_GB2312" w:cs="仿宋_GB2312"/>
          <w:sz w:val="32"/>
          <w:szCs w:val="32"/>
          <w:lang w:val="en-US" w:eastAsia="zh-CN"/>
        </w:rPr>
        <w:t>30.94</w:t>
      </w:r>
      <w:r>
        <w:rPr>
          <w:rFonts w:hint="eastAsia" w:eastAsia="仿宋_GB2312" w:cs="仿宋_GB2312"/>
          <w:sz w:val="32"/>
          <w:szCs w:val="32"/>
        </w:rPr>
        <w:t>万元，占</w:t>
      </w:r>
      <w:r>
        <w:rPr>
          <w:rFonts w:hint="eastAsia" w:eastAsia="仿宋_GB2312" w:cs="仿宋_GB2312"/>
          <w:sz w:val="32"/>
          <w:szCs w:val="32"/>
          <w:lang w:val="en-US" w:eastAsia="zh-CN"/>
        </w:rPr>
        <w:t>5.98</w:t>
      </w:r>
      <w:r>
        <w:rPr>
          <w:rFonts w:hint="eastAsia" w:eastAsia="仿宋_GB2312" w:cs="仿宋_GB2312"/>
          <w:sz w:val="32"/>
          <w:szCs w:val="32"/>
        </w:rPr>
        <w:t>%；</w:t>
      </w:r>
      <w:r>
        <w:rPr>
          <w:rFonts w:hint="eastAsia" w:eastAsia="仿宋_GB2312" w:cs="仿宋_GB2312"/>
          <w:sz w:val="32"/>
          <w:szCs w:val="32"/>
          <w:lang w:val="en-US" w:eastAsia="zh-CN"/>
        </w:rPr>
        <w:t>公共安全支出48.47万元，占9.36%。</w:t>
      </w:r>
    </w:p>
    <w:p>
      <w:pPr>
        <w:spacing w:line="600" w:lineRule="exact"/>
        <w:ind w:firstLine="420" w:firstLineChars="200"/>
        <w:outlineLvl w:val="2"/>
      </w:pPr>
      <w:bookmarkStart w:id="24" w:name="_Toc15377212"/>
      <w:r>
        <w:drawing>
          <wp:anchor distT="0" distB="0" distL="114300" distR="114300" simplePos="0" relativeHeight="251660288" behindDoc="1" locked="0" layoutInCell="1" allowOverlap="1">
            <wp:simplePos x="0" y="0"/>
            <wp:positionH relativeFrom="column">
              <wp:posOffset>90170</wp:posOffset>
            </wp:positionH>
            <wp:positionV relativeFrom="paragraph">
              <wp:posOffset>177800</wp:posOffset>
            </wp:positionV>
            <wp:extent cx="5268595" cy="3536315"/>
            <wp:effectExtent l="4445" t="4445" r="22860" b="21590"/>
            <wp:wrapTight wrapText="bothSides">
              <wp:wrapPolygon>
                <wp:start x="-18" y="-27"/>
                <wp:lineTo x="-18" y="21499"/>
                <wp:lineTo x="21538" y="21499"/>
                <wp:lineTo x="21538" y="-27"/>
                <wp:lineTo x="-18" y="-27"/>
              </wp:wrapPolygon>
            </wp:wrapTight>
            <wp:docPr id="245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8460"/>
      <w:bookmarkStart w:id="26" w:name="_Toc15377213"/>
      <w:bookmarkStart w:id="27"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517.66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spacing w:line="600" w:lineRule="exact"/>
        <w:ind w:firstLine="643" w:firstLineChars="200"/>
        <w:rPr>
          <w:rStyle w:val="20"/>
          <w:rFonts w:ascii="仿宋_GB2312" w:eastAsia="仿宋_GB2312"/>
          <w:color w:val="000000"/>
          <w:sz w:val="32"/>
          <w:szCs w:val="32"/>
        </w:rPr>
      </w:pPr>
      <w:r>
        <w:rPr>
          <w:rStyle w:val="20"/>
          <w:rFonts w:ascii="仿宋_GB2312" w:eastAsia="仿宋_GB2312" w:cs="仿宋_GB2312"/>
          <w:color w:val="000000"/>
          <w:sz w:val="32"/>
          <w:szCs w:val="32"/>
        </w:rPr>
        <w:t>1.</w:t>
      </w:r>
      <w:r>
        <w:rPr>
          <w:rStyle w:val="20"/>
          <w:rFonts w:hint="eastAsia" w:ascii="仿宋_GB2312" w:eastAsia="仿宋_GB2312" w:cs="仿宋_GB2312"/>
          <w:color w:val="000000"/>
          <w:sz w:val="32"/>
          <w:szCs w:val="32"/>
        </w:rPr>
        <w:t>一般公共服务（类）其他共产党事务支出（款）</w:t>
      </w:r>
    </w:p>
    <w:p>
      <w:pPr>
        <w:spacing w:line="600" w:lineRule="exact"/>
        <w:ind w:firstLine="643" w:firstLineChars="200"/>
        <w:rPr>
          <w:rStyle w:val="20"/>
          <w:rFonts w:ascii="仿宋_GB2312" w:eastAsia="仿宋_GB2312"/>
          <w:b w:val="0"/>
          <w:bCs w:val="0"/>
          <w:color w:val="000000"/>
          <w:sz w:val="32"/>
          <w:szCs w:val="32"/>
        </w:rPr>
      </w:pPr>
      <w:r>
        <w:rPr>
          <w:rStyle w:val="20"/>
          <w:rFonts w:hint="eastAsia" w:ascii="仿宋_GB2312" w:eastAsia="仿宋_GB2312" w:cs="仿宋_GB2312"/>
          <w:color w:val="000000"/>
          <w:sz w:val="32"/>
          <w:szCs w:val="32"/>
        </w:rPr>
        <w:t>①、行政运行</w:t>
      </w:r>
      <w:r>
        <w:rPr>
          <w:rStyle w:val="20"/>
          <w:rFonts w:ascii="仿宋_GB2312" w:eastAsia="仿宋_GB2312" w:cs="仿宋_GB2312"/>
          <w:color w:val="000000"/>
          <w:sz w:val="32"/>
          <w:szCs w:val="32"/>
        </w:rPr>
        <w:t>:</w:t>
      </w:r>
      <w:r>
        <w:rPr>
          <w:rStyle w:val="20"/>
          <w:rFonts w:ascii="仿宋_GB2312" w:eastAsia="仿宋_GB2312" w:cs="仿宋_GB2312"/>
          <w:b w:val="0"/>
          <w:bCs w:val="0"/>
          <w:color w:val="000000"/>
          <w:sz w:val="32"/>
          <w:szCs w:val="32"/>
        </w:rPr>
        <w:t xml:space="preserve"> </w:t>
      </w:r>
      <w:r>
        <w:rPr>
          <w:rFonts w:hint="eastAsia" w:ascii="方正仿宋_GBK" w:hAnsi="方正仿宋_GBK" w:eastAsia="方正仿宋_GBK" w:cs="方正仿宋_GBK"/>
          <w:kern w:val="2"/>
          <w:sz w:val="33"/>
          <w:szCs w:val="33"/>
          <w:lang w:val="en-US" w:eastAsia="zh-CN" w:bidi="ar-SA"/>
        </w:rPr>
        <w:t>支出决算为247.65万元，完成预算100%。</w:t>
      </w:r>
    </w:p>
    <w:p>
      <w:pPr>
        <w:spacing w:line="600" w:lineRule="exact"/>
        <w:ind w:firstLine="643" w:firstLineChars="200"/>
        <w:rPr>
          <w:rFonts w:hint="eastAsia" w:ascii="方正仿宋_GBK" w:hAnsi="方正仿宋_GBK" w:eastAsia="方正仿宋_GBK" w:cs="方正仿宋_GBK"/>
          <w:kern w:val="2"/>
          <w:sz w:val="33"/>
          <w:szCs w:val="33"/>
          <w:lang w:val="en-US" w:eastAsia="zh-CN" w:bidi="ar-SA"/>
        </w:rPr>
      </w:pPr>
      <w:r>
        <w:rPr>
          <w:rStyle w:val="20"/>
          <w:rFonts w:hint="eastAsia" w:ascii="仿宋_GB2312" w:eastAsia="仿宋_GB2312" w:cs="仿宋_GB2312"/>
          <w:color w:val="000000"/>
          <w:sz w:val="32"/>
          <w:szCs w:val="32"/>
        </w:rPr>
        <w:t>②、其他共产党事务支出：</w:t>
      </w:r>
      <w:r>
        <w:rPr>
          <w:rFonts w:hint="eastAsia" w:ascii="方正仿宋_GBK" w:hAnsi="方正仿宋_GBK" w:eastAsia="方正仿宋_GBK" w:cs="方正仿宋_GBK"/>
          <w:kern w:val="2"/>
          <w:sz w:val="33"/>
          <w:szCs w:val="33"/>
          <w:lang w:val="en-US" w:eastAsia="zh-CN" w:bidi="ar-SA"/>
        </w:rPr>
        <w:t>支出决算为38.01万元，完成预算100%。</w:t>
      </w:r>
    </w:p>
    <w:p>
      <w:pPr>
        <w:spacing w:line="600" w:lineRule="exact"/>
        <w:ind w:firstLine="643" w:firstLineChars="200"/>
        <w:rPr>
          <w:rStyle w:val="20"/>
          <w:rFonts w:hint="eastAsia" w:ascii="仿宋_GB2312" w:eastAsia="仿宋_GB2312" w:cs="仿宋_GB2312"/>
          <w:b w:val="0"/>
          <w:bCs w:val="0"/>
          <w:color w:val="000000"/>
          <w:sz w:val="32"/>
          <w:szCs w:val="32"/>
        </w:rPr>
      </w:pPr>
      <w:r>
        <w:rPr>
          <w:rStyle w:val="20"/>
          <w:rFonts w:hint="eastAsia" w:ascii="仿宋_GB2312" w:eastAsia="仿宋_GB2312" w:cs="仿宋_GB2312"/>
          <w:color w:val="000000"/>
          <w:sz w:val="32"/>
          <w:szCs w:val="32"/>
        </w:rPr>
        <w:sym w:font="Wingdings" w:char="F083"/>
      </w:r>
      <w:r>
        <w:rPr>
          <w:rStyle w:val="20"/>
          <w:rFonts w:hint="eastAsia" w:ascii="仿宋_GB2312" w:eastAsia="仿宋_GB2312" w:cs="仿宋_GB2312"/>
          <w:color w:val="000000"/>
          <w:sz w:val="32"/>
          <w:szCs w:val="32"/>
        </w:rPr>
        <w:t>、</w:t>
      </w:r>
      <w:r>
        <w:rPr>
          <w:rStyle w:val="20"/>
          <w:rFonts w:hint="eastAsia" w:ascii="仿宋_GB2312" w:eastAsia="仿宋_GB2312" w:cs="仿宋_GB2312"/>
          <w:color w:val="000000"/>
          <w:sz w:val="32"/>
          <w:szCs w:val="32"/>
          <w:lang w:eastAsia="zh-CN"/>
        </w:rPr>
        <w:t>事业运行</w:t>
      </w:r>
      <w:r>
        <w:rPr>
          <w:rStyle w:val="20"/>
          <w:rFonts w:hint="eastAsia" w:ascii="仿宋_GB2312" w:eastAsia="仿宋_GB2312" w:cs="仿宋_GB2312"/>
          <w:color w:val="000000"/>
          <w:sz w:val="32"/>
          <w:szCs w:val="32"/>
        </w:rPr>
        <w:t>：</w:t>
      </w:r>
      <w:r>
        <w:rPr>
          <w:rFonts w:hint="eastAsia" w:ascii="方正仿宋_GBK" w:hAnsi="方正仿宋_GBK" w:eastAsia="方正仿宋_GBK" w:cs="方正仿宋_GBK"/>
          <w:kern w:val="2"/>
          <w:sz w:val="33"/>
          <w:szCs w:val="33"/>
          <w:lang w:val="en-US" w:eastAsia="zh-CN" w:bidi="ar-SA"/>
        </w:rPr>
        <w:t>支出决算为77.43万元，完成预算100%。</w:t>
      </w:r>
    </w:p>
    <w:p>
      <w:pPr>
        <w:spacing w:line="600" w:lineRule="exact"/>
        <w:ind w:firstLine="643" w:firstLineChars="200"/>
        <w:rPr>
          <w:rStyle w:val="20"/>
          <w:rFonts w:ascii="仿宋_GB2312" w:eastAsia="仿宋_GB2312"/>
          <w:color w:val="000000"/>
          <w:sz w:val="32"/>
          <w:szCs w:val="32"/>
        </w:rPr>
      </w:pPr>
      <w:r>
        <w:rPr>
          <w:rStyle w:val="20"/>
          <w:rFonts w:ascii="仿宋_GB2312" w:eastAsia="仿宋_GB2312" w:cs="仿宋_GB2312"/>
          <w:color w:val="000000"/>
          <w:sz w:val="32"/>
          <w:szCs w:val="32"/>
        </w:rPr>
        <w:t>2.</w:t>
      </w:r>
      <w:r>
        <w:rPr>
          <w:rStyle w:val="20"/>
          <w:rFonts w:hint="eastAsia" w:ascii="仿宋_GB2312" w:eastAsia="仿宋_GB2312" w:cs="仿宋_GB2312"/>
          <w:color w:val="000000"/>
          <w:sz w:val="32"/>
          <w:szCs w:val="32"/>
        </w:rPr>
        <w:t>社会保障和就业（类）行政事业单位离退休（款）</w:t>
      </w:r>
      <w:r>
        <w:rPr>
          <w:rStyle w:val="20"/>
          <w:rFonts w:ascii="仿宋_GB2312" w:eastAsia="仿宋_GB2312" w:cs="仿宋_GB2312"/>
          <w:color w:val="000000"/>
          <w:sz w:val="32"/>
          <w:szCs w:val="32"/>
        </w:rPr>
        <w:t xml:space="preserve">  </w:t>
      </w:r>
    </w:p>
    <w:p>
      <w:pPr>
        <w:spacing w:line="600" w:lineRule="exact"/>
        <w:ind w:firstLine="643" w:firstLineChars="200"/>
        <w:rPr>
          <w:rFonts w:hint="eastAsia" w:ascii="方正仿宋_GBK" w:hAnsi="方正仿宋_GBK" w:eastAsia="方正仿宋_GBK" w:cs="方正仿宋_GBK"/>
          <w:sz w:val="33"/>
          <w:szCs w:val="33"/>
          <w:lang w:val="en-US" w:eastAsia="zh-CN"/>
        </w:rPr>
      </w:pPr>
      <w:r>
        <w:rPr>
          <w:rStyle w:val="20"/>
          <w:rFonts w:hint="eastAsia" w:ascii="仿宋_GB2312" w:eastAsia="仿宋_GB2312" w:cs="仿宋_GB2312"/>
          <w:color w:val="000000"/>
          <w:sz w:val="32"/>
          <w:szCs w:val="32"/>
        </w:rPr>
        <w:t>①、行政单位离退休</w:t>
      </w:r>
      <w:r>
        <w:rPr>
          <w:rStyle w:val="20"/>
          <w:rFonts w:ascii="仿宋_GB2312" w:eastAsia="仿宋_GB2312" w:cs="仿宋_GB2312"/>
          <w:color w:val="000000"/>
          <w:sz w:val="32"/>
          <w:szCs w:val="32"/>
        </w:rPr>
        <w:t>:</w:t>
      </w:r>
      <w:r>
        <w:rPr>
          <w:rStyle w:val="20"/>
          <w:rFonts w:ascii="仿宋_GB2312" w:eastAsia="仿宋_GB2312" w:cs="仿宋_GB2312"/>
          <w:b w:val="0"/>
          <w:bCs w:val="0"/>
          <w:color w:val="000000"/>
          <w:sz w:val="32"/>
          <w:szCs w:val="32"/>
        </w:rPr>
        <w:t xml:space="preserve"> </w:t>
      </w:r>
      <w:r>
        <w:rPr>
          <w:rFonts w:hint="eastAsia" w:ascii="方正仿宋_GBK" w:hAnsi="方正仿宋_GBK" w:eastAsia="方正仿宋_GBK" w:cs="方正仿宋_GBK"/>
          <w:sz w:val="33"/>
          <w:szCs w:val="33"/>
          <w:lang w:val="en-US" w:eastAsia="zh-CN"/>
        </w:rPr>
        <w:t>支出决算为5.07万元，完成预算100%。</w:t>
      </w:r>
    </w:p>
    <w:p>
      <w:pPr>
        <w:spacing w:line="600" w:lineRule="exact"/>
        <w:ind w:firstLine="643" w:firstLineChars="200"/>
        <w:rPr>
          <w:rFonts w:hint="eastAsia" w:ascii="方正仿宋_GBK" w:hAnsi="方正仿宋_GBK" w:eastAsia="方正仿宋_GBK" w:cs="方正仿宋_GBK"/>
          <w:sz w:val="33"/>
          <w:szCs w:val="33"/>
          <w:lang w:val="en-US" w:eastAsia="zh-CN"/>
        </w:rPr>
      </w:pPr>
      <w:r>
        <w:rPr>
          <w:rFonts w:hint="eastAsia" w:ascii="仿宋_GB2312" w:eastAsia="仿宋_GB2312" w:cs="仿宋_GB2312"/>
          <w:b/>
          <w:bCs/>
          <w:color w:val="000000"/>
          <w:sz w:val="32"/>
          <w:szCs w:val="32"/>
        </w:rPr>
        <w:t>②、机关事业单位基本养老保险缴费支出：</w:t>
      </w:r>
      <w:r>
        <w:rPr>
          <w:rFonts w:hint="eastAsia" w:ascii="方正仿宋_GBK" w:hAnsi="方正仿宋_GBK" w:eastAsia="方正仿宋_GBK" w:cs="方正仿宋_GBK"/>
          <w:sz w:val="33"/>
          <w:szCs w:val="33"/>
          <w:lang w:val="en-US" w:eastAsia="zh-CN"/>
        </w:rPr>
        <w:t>支出决算为31.62万元，完成预算100%。</w:t>
      </w:r>
    </w:p>
    <w:p>
      <w:pPr>
        <w:spacing w:line="600" w:lineRule="exact"/>
        <w:ind w:firstLine="643" w:firstLineChars="200"/>
        <w:rPr>
          <w:rFonts w:hint="eastAsia" w:ascii="方正仿宋_GBK" w:hAnsi="方正仿宋_GBK" w:eastAsia="方正仿宋_GBK" w:cs="方正仿宋_GBK"/>
          <w:sz w:val="33"/>
          <w:szCs w:val="33"/>
          <w:lang w:val="en-US" w:eastAsia="zh-CN"/>
        </w:rPr>
      </w:pPr>
      <w:r>
        <w:rPr>
          <w:rStyle w:val="20"/>
          <w:rFonts w:hint="default" w:ascii="Calibri" w:hAnsi="Calibri" w:eastAsia="仿宋_GB2312" w:cs="Calibri"/>
          <w:b/>
          <w:bCs/>
          <w:color w:val="000000"/>
          <w:sz w:val="32"/>
          <w:szCs w:val="32"/>
          <w:lang w:eastAsia="zh-CN"/>
        </w:rPr>
        <w:t>③</w:t>
      </w:r>
      <w:r>
        <w:rPr>
          <w:rStyle w:val="20"/>
          <w:rFonts w:hint="eastAsia" w:ascii="仿宋_GB2312" w:eastAsia="仿宋_GB2312" w:cs="仿宋_GB2312"/>
          <w:b w:val="0"/>
          <w:bCs w:val="0"/>
          <w:color w:val="000000"/>
          <w:sz w:val="32"/>
          <w:szCs w:val="32"/>
          <w:lang w:eastAsia="zh-CN"/>
        </w:rPr>
        <w:t>、</w:t>
      </w:r>
      <w:r>
        <w:rPr>
          <w:rStyle w:val="20"/>
          <w:rFonts w:hint="eastAsia" w:ascii="仿宋_GB2312" w:eastAsia="仿宋_GB2312" w:cs="仿宋_GB2312"/>
          <w:b/>
          <w:bCs/>
          <w:color w:val="000000"/>
          <w:sz w:val="32"/>
          <w:szCs w:val="32"/>
          <w:lang w:eastAsia="zh-CN"/>
        </w:rPr>
        <w:t>机关事业单位职业年金缴费支出：</w:t>
      </w:r>
      <w:r>
        <w:rPr>
          <w:rFonts w:hint="eastAsia" w:ascii="方正仿宋_GBK" w:hAnsi="方正仿宋_GBK" w:eastAsia="方正仿宋_GBK" w:cs="方正仿宋_GBK"/>
          <w:sz w:val="33"/>
          <w:szCs w:val="33"/>
          <w:lang w:val="en-US" w:eastAsia="zh-CN"/>
        </w:rPr>
        <w:t>支出决算为8.07万元，完成预算100%。</w:t>
      </w:r>
    </w:p>
    <w:p>
      <w:pPr>
        <w:spacing w:line="600" w:lineRule="exact"/>
        <w:ind w:firstLine="643" w:firstLineChars="200"/>
        <w:rPr>
          <w:rStyle w:val="20"/>
          <w:rFonts w:hint="eastAsia" w:ascii="仿宋_GB2312" w:eastAsia="仿宋_GB2312" w:cs="仿宋_GB2312"/>
          <w:b w:val="0"/>
          <w:bCs w:val="0"/>
          <w:color w:val="000000"/>
          <w:sz w:val="32"/>
          <w:szCs w:val="32"/>
        </w:rPr>
      </w:pPr>
      <w:r>
        <w:rPr>
          <w:rStyle w:val="20"/>
          <w:rFonts w:hint="eastAsia" w:ascii="仿宋_GB2312" w:eastAsia="仿宋_GB2312" w:cs="仿宋_GB2312"/>
          <w:color w:val="000000"/>
          <w:sz w:val="32"/>
          <w:szCs w:val="32"/>
          <w:lang w:val="en-US" w:eastAsia="zh-CN"/>
        </w:rPr>
        <w:t>3.</w:t>
      </w:r>
      <w:r>
        <w:rPr>
          <w:rStyle w:val="20"/>
          <w:rFonts w:hint="eastAsia" w:ascii="仿宋_GB2312" w:eastAsia="仿宋_GB2312" w:cs="仿宋_GB2312"/>
          <w:color w:val="000000"/>
          <w:sz w:val="32"/>
          <w:szCs w:val="32"/>
        </w:rPr>
        <w:t>住房保障支出（类）住房改革支出（款）住房公积金（项）：</w:t>
      </w:r>
      <w:r>
        <w:rPr>
          <w:rFonts w:hint="eastAsia" w:ascii="方正仿宋_GBK" w:hAnsi="方正仿宋_GBK" w:eastAsia="方正仿宋_GBK" w:cs="方正仿宋_GBK"/>
          <w:sz w:val="33"/>
          <w:szCs w:val="33"/>
          <w:lang w:val="en-US" w:eastAsia="zh-CN"/>
        </w:rPr>
        <w:t>支出决算为30.94万元，完成预算100%。</w:t>
      </w:r>
    </w:p>
    <w:p>
      <w:pPr>
        <w:spacing w:line="560" w:lineRule="exact"/>
        <w:ind w:firstLine="643" w:firstLineChars="200"/>
        <w:rPr>
          <w:rFonts w:hint="eastAsia" w:eastAsia="仿宋_GB2312"/>
          <w:b/>
          <w:sz w:val="32"/>
          <w:szCs w:val="32"/>
          <w:lang w:eastAsia="zh-CN"/>
        </w:rPr>
      </w:pPr>
      <w:r>
        <w:rPr>
          <w:rFonts w:hint="eastAsia" w:eastAsia="仿宋_GB2312"/>
          <w:b/>
          <w:sz w:val="32"/>
          <w:szCs w:val="32"/>
          <w:lang w:val="en-US" w:eastAsia="zh-CN"/>
        </w:rPr>
        <w:t>4</w:t>
      </w:r>
      <w:r>
        <w:rPr>
          <w:rFonts w:eastAsia="仿宋_GB2312"/>
          <w:b/>
          <w:sz w:val="32"/>
          <w:szCs w:val="32"/>
        </w:rPr>
        <w:t>.卫生健康支出（类）</w:t>
      </w:r>
      <w:r>
        <w:rPr>
          <w:rFonts w:hint="eastAsia" w:eastAsia="仿宋_GB2312"/>
          <w:b/>
          <w:sz w:val="32"/>
          <w:szCs w:val="32"/>
          <w:lang w:eastAsia="zh-CN"/>
        </w:rPr>
        <w:t>行政事业单位医疗</w:t>
      </w:r>
      <w:r>
        <w:rPr>
          <w:rFonts w:eastAsia="仿宋_GB2312"/>
          <w:b/>
          <w:sz w:val="32"/>
          <w:szCs w:val="32"/>
        </w:rPr>
        <w:t>（款）</w:t>
      </w:r>
      <w:r>
        <w:rPr>
          <w:rFonts w:hint="eastAsia" w:eastAsia="仿宋_GB2312"/>
          <w:b/>
          <w:sz w:val="32"/>
          <w:szCs w:val="32"/>
          <w:lang w:eastAsia="zh-CN"/>
        </w:rPr>
        <w:t>：</w:t>
      </w:r>
    </w:p>
    <w:p>
      <w:pPr>
        <w:spacing w:line="600" w:lineRule="exact"/>
        <w:ind w:firstLine="645"/>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sym w:font="Wingdings" w:char="F081"/>
      </w:r>
      <w:r>
        <w:rPr>
          <w:rFonts w:hint="eastAsia" w:ascii="方正仿宋_GBK" w:hAnsi="方正仿宋_GBK" w:eastAsia="方正仿宋_GBK" w:cs="方正仿宋_GBK"/>
          <w:sz w:val="33"/>
          <w:szCs w:val="33"/>
          <w:lang w:val="en-US" w:eastAsia="zh-CN"/>
        </w:rPr>
        <w:t>行政单位医疗：支出决算为12.83万元，完成预算100%，决算数等于预算数。</w:t>
      </w:r>
    </w:p>
    <w:p>
      <w:pPr>
        <w:spacing w:line="600" w:lineRule="exact"/>
        <w:ind w:firstLine="645"/>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sym w:font="Wingdings" w:char="F082"/>
      </w:r>
      <w:r>
        <w:rPr>
          <w:rFonts w:hint="eastAsia" w:ascii="方正仿宋_GBK" w:hAnsi="方正仿宋_GBK" w:eastAsia="方正仿宋_GBK" w:cs="方正仿宋_GBK"/>
          <w:sz w:val="33"/>
          <w:szCs w:val="33"/>
          <w:lang w:val="en-US" w:eastAsia="zh-CN"/>
        </w:rPr>
        <w:t>事业单位医疗：支出决算为5.37万元，完成预算100%，决算数等于预算数。</w:t>
      </w:r>
    </w:p>
    <w:p>
      <w:pPr>
        <w:spacing w:line="600" w:lineRule="exact"/>
        <w:ind w:firstLine="645"/>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sym w:font="Wingdings" w:char="F083"/>
      </w:r>
      <w:r>
        <w:rPr>
          <w:rFonts w:hint="eastAsia" w:ascii="方正仿宋_GBK" w:hAnsi="方正仿宋_GBK" w:eastAsia="方正仿宋_GBK" w:cs="方正仿宋_GBK"/>
          <w:sz w:val="33"/>
          <w:szCs w:val="33"/>
          <w:lang w:val="en-US" w:eastAsia="zh-CN"/>
        </w:rPr>
        <w:t>公务员医疗补助：支出决算为1.22万元，完成预算100%，决算数等于预算数。</w:t>
      </w:r>
    </w:p>
    <w:p>
      <w:pPr>
        <w:spacing w:line="600" w:lineRule="exact"/>
        <w:ind w:firstLine="645"/>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④其他行政事业单位医疗支出：支出决算为10.98万元，完成预算100%，决算数等于预算数。</w:t>
      </w:r>
    </w:p>
    <w:p>
      <w:pPr>
        <w:pStyle w:val="16"/>
        <w:ind w:firstLine="643" w:firstLineChars="200"/>
        <w:jc w:val="both"/>
      </w:pPr>
      <w:r>
        <w:rPr>
          <w:rStyle w:val="20"/>
          <w:rFonts w:hint="eastAsia" w:ascii="仿宋_GB2312" w:eastAsia="仿宋_GB2312" w:cs="仿宋_GB2312"/>
          <w:b/>
          <w:bCs/>
          <w:color w:val="000000"/>
          <w:sz w:val="32"/>
          <w:szCs w:val="32"/>
          <w:lang w:val="en-US" w:eastAsia="zh-CN"/>
        </w:rPr>
        <w:t>5.</w:t>
      </w:r>
      <w:r>
        <w:rPr>
          <w:rStyle w:val="20"/>
          <w:rFonts w:hint="eastAsia" w:ascii="仿宋_GB2312" w:eastAsia="仿宋_GB2312" w:cs="仿宋_GB2312"/>
          <w:b/>
          <w:bCs/>
          <w:color w:val="000000"/>
          <w:sz w:val="32"/>
          <w:szCs w:val="32"/>
          <w:lang w:eastAsia="zh-CN"/>
        </w:rPr>
        <w:t>公共安全支出</w:t>
      </w:r>
      <w:r>
        <w:rPr>
          <w:rStyle w:val="20"/>
          <w:rFonts w:hint="eastAsia" w:ascii="仿宋_GB2312" w:eastAsia="仿宋_GB2312" w:cs="仿宋_GB2312"/>
          <w:b/>
          <w:bCs/>
          <w:color w:val="000000"/>
          <w:sz w:val="32"/>
          <w:szCs w:val="32"/>
        </w:rPr>
        <w:t>（类）</w:t>
      </w:r>
      <w:r>
        <w:rPr>
          <w:rStyle w:val="20"/>
          <w:rFonts w:hint="eastAsia" w:ascii="仿宋_GB2312" w:eastAsia="仿宋_GB2312" w:cs="仿宋_GB2312"/>
          <w:b/>
          <w:bCs/>
          <w:color w:val="000000"/>
          <w:sz w:val="32"/>
          <w:szCs w:val="32"/>
          <w:lang w:eastAsia="zh-CN"/>
        </w:rPr>
        <w:t>其他公共安全支出</w:t>
      </w:r>
      <w:r>
        <w:rPr>
          <w:rStyle w:val="20"/>
          <w:rFonts w:hint="eastAsia" w:ascii="仿宋_GB2312" w:eastAsia="仿宋_GB2312" w:cs="仿宋_GB2312"/>
          <w:b/>
          <w:bCs/>
          <w:color w:val="000000"/>
          <w:sz w:val="32"/>
          <w:szCs w:val="32"/>
        </w:rPr>
        <w:t>（款）</w:t>
      </w:r>
      <w:r>
        <w:rPr>
          <w:rStyle w:val="20"/>
          <w:rFonts w:hint="eastAsia" w:ascii="仿宋_GB2312" w:eastAsia="仿宋_GB2312" w:cs="仿宋_GB2312"/>
          <w:b/>
          <w:bCs/>
          <w:color w:val="000000"/>
          <w:sz w:val="32"/>
          <w:szCs w:val="32"/>
          <w:lang w:eastAsia="zh-CN"/>
        </w:rPr>
        <w:t>其他公共安全支出（项）：</w:t>
      </w:r>
      <w:r>
        <w:rPr>
          <w:rStyle w:val="20"/>
          <w:rFonts w:hint="eastAsia" w:ascii="仿宋_GB2312" w:eastAsia="仿宋_GB2312" w:cs="仿宋_GB2312"/>
          <w:b w:val="0"/>
          <w:bCs w:val="0"/>
          <w:color w:val="000000"/>
          <w:sz w:val="32"/>
          <w:szCs w:val="32"/>
        </w:rPr>
        <w:t>支出决算为</w:t>
      </w:r>
      <w:r>
        <w:rPr>
          <w:rStyle w:val="20"/>
          <w:rFonts w:hint="eastAsia" w:ascii="仿宋_GB2312" w:eastAsia="仿宋_GB2312" w:cs="仿宋_GB2312"/>
          <w:b w:val="0"/>
          <w:bCs w:val="0"/>
          <w:color w:val="000000"/>
          <w:sz w:val="32"/>
          <w:szCs w:val="32"/>
          <w:lang w:val="en-US" w:eastAsia="zh-CN"/>
        </w:rPr>
        <w:t>48.47</w:t>
      </w:r>
      <w:r>
        <w:rPr>
          <w:rStyle w:val="20"/>
          <w:rFonts w:hint="eastAsia" w:ascii="仿宋_GB2312" w:eastAsia="仿宋_GB2312" w:cs="仿宋_GB2312"/>
          <w:b w:val="0"/>
          <w:bCs w:val="0"/>
          <w:color w:val="000000"/>
          <w:sz w:val="32"/>
          <w:szCs w:val="32"/>
        </w:rPr>
        <w:t>万元，完成预算</w:t>
      </w:r>
      <w:r>
        <w:rPr>
          <w:rStyle w:val="20"/>
          <w:rFonts w:ascii="仿宋_GB2312" w:eastAsia="仿宋_GB2312" w:cs="仿宋_GB2312"/>
          <w:b w:val="0"/>
          <w:bCs w:val="0"/>
          <w:color w:val="000000"/>
          <w:sz w:val="32"/>
          <w:szCs w:val="32"/>
        </w:rPr>
        <w:t>100%</w:t>
      </w:r>
      <w:r>
        <w:rPr>
          <w:rStyle w:val="20"/>
          <w:rFonts w:hint="eastAsia" w:ascii="仿宋_GB2312" w:eastAsia="仿宋_GB2312" w:cs="仿宋_GB2312"/>
          <w:b w:val="0"/>
          <w:bCs w:val="0"/>
          <w:color w:val="000000"/>
          <w:sz w:val="32"/>
          <w:szCs w:val="32"/>
        </w:rPr>
        <w:t>。</w:t>
      </w:r>
    </w:p>
    <w:p>
      <w:pPr>
        <w:tabs>
          <w:tab w:val="right" w:pos="8306"/>
        </w:tabs>
        <w:spacing w:line="600" w:lineRule="exact"/>
        <w:ind w:firstLine="640"/>
        <w:outlineLvl w:val="1"/>
        <w:rPr>
          <w:rStyle w:val="32"/>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32"/>
          <w:rFonts w:hint="eastAsia" w:ascii="Times New Roman" w:hAnsi="Times New Roman" w:eastAsia="黑体"/>
          <w:b w:val="0"/>
        </w:rPr>
        <w:t>般公共预算财政拨款基本支出决算情况说明</w:t>
      </w:r>
      <w:bookmarkEnd w:id="28"/>
      <w:bookmarkEnd w:id="29"/>
      <w:r>
        <w:rPr>
          <w:rStyle w:val="32"/>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431.19</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ascii="方正仿宋_GBK" w:hAnsi="方正仿宋_GBK" w:eastAsia="方正仿宋_GBK" w:cs="方正仿宋_GBK"/>
          <w:sz w:val="33"/>
          <w:szCs w:val="33"/>
          <w:lang w:val="en-US" w:eastAsia="zh-CN"/>
        </w:rPr>
        <w:t>人员经费384.37万元，主要包括：基本工资、津贴补贴、奖金、绩效工资、机关事业单位基本养老保险缴费、职业年金缴费、职工基本医疗保险缴费、公务员医疗补助缴费、其他社会保障缴费、其他工资福利支出、医疗费、生活补助、医疗费补助、奖励金、住房公积金等。</w:t>
      </w:r>
      <w:r>
        <w:rPr>
          <w:rFonts w:ascii="仿宋" w:hAnsi="仿宋" w:eastAsia="仿宋"/>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46.81</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元，主要包括：办公费、印刷费、水费、邮电费、差旅费、维修（护）费、劳务费、委托业务费、工会经费、福利费、其他交通费、其他商品和服务支出。</w:t>
      </w:r>
    </w:p>
    <w:p>
      <w:pPr>
        <w:spacing w:line="600" w:lineRule="exact"/>
        <w:ind w:firstLine="640"/>
        <w:outlineLvl w:val="1"/>
        <w:rPr>
          <w:rStyle w:val="32"/>
          <w:rFonts w:ascii="Times New Roman" w:hAnsi="Times New Roman" w:eastAsia="黑体"/>
          <w:b w:val="0"/>
        </w:rPr>
      </w:pPr>
      <w:bookmarkStart w:id="30" w:name="_Toc15377215"/>
      <w:bookmarkStart w:id="31" w:name="_Toc15396609"/>
      <w:r>
        <w:rPr>
          <w:rFonts w:hint="eastAsia" w:eastAsia="黑体"/>
          <w:sz w:val="32"/>
          <w:szCs w:val="32"/>
        </w:rPr>
        <w:t>七、</w:t>
      </w:r>
      <w:r>
        <w:rPr>
          <w:rStyle w:val="32"/>
          <w:rFonts w:hint="eastAsia" w:ascii="Times New Roman" w:hAnsi="Times New Roman" w:eastAsia="黑体"/>
          <w:b w:val="0"/>
        </w:rPr>
        <w:t>财政拨款</w:t>
      </w:r>
      <w:r>
        <w:rPr>
          <w:rStyle w:val="32"/>
          <w:rFonts w:hint="eastAsia" w:ascii="Times New Roman" w:hAnsi="Times New Roman" w:eastAsia="黑体"/>
        </w:rPr>
        <w:t>“</w:t>
      </w:r>
      <w:r>
        <w:rPr>
          <w:rStyle w:val="32"/>
          <w:rFonts w:hint="eastAsia" w:ascii="Times New Roman" w:hAnsi="Times New Roman" w:eastAsia="黑体"/>
          <w:b w:val="0"/>
        </w:rPr>
        <w:t>三公”经费支出决算情况说明</w:t>
      </w:r>
      <w:bookmarkEnd w:id="30"/>
      <w:bookmarkEnd w:id="31"/>
    </w:p>
    <w:p>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。决算数</w:t>
      </w:r>
      <w:r>
        <w:rPr>
          <w:rFonts w:hint="eastAsia" w:eastAsia="仿宋_GB2312" w:cs="仿宋_GB2312"/>
          <w:sz w:val="32"/>
          <w:szCs w:val="32"/>
          <w:lang w:val="en-US" w:eastAsia="zh-CN"/>
        </w:rPr>
        <w:t>与</w:t>
      </w:r>
      <w:r>
        <w:rPr>
          <w:rFonts w:hint="eastAsia" w:eastAsia="仿宋_GB2312" w:cs="仿宋_GB2312"/>
          <w:sz w:val="32"/>
          <w:szCs w:val="32"/>
        </w:rPr>
        <w:t>预算数持平</w:t>
      </w:r>
      <w:r>
        <w:rPr>
          <w:rFonts w:hint="eastAsia" w:eastAsia="仿宋_GB2312" w:cs="仿宋_GB2312"/>
          <w:sz w:val="32"/>
          <w:szCs w:val="32"/>
          <w:lang w:eastAsia="zh-CN"/>
        </w:rPr>
        <w:t>。</w:t>
      </w:r>
    </w:p>
    <w:p>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r>
        <w:drawing>
          <wp:anchor distT="0" distB="0" distL="114300" distR="114300" simplePos="0" relativeHeight="251661312" behindDoc="0" locked="0" layoutInCell="1" allowOverlap="1">
            <wp:simplePos x="0" y="0"/>
            <wp:positionH relativeFrom="column">
              <wp:posOffset>410845</wp:posOffset>
            </wp:positionH>
            <wp:positionV relativeFrom="paragraph">
              <wp:posOffset>-2453005</wp:posOffset>
            </wp:positionV>
            <wp:extent cx="5268595" cy="2740660"/>
            <wp:effectExtent l="4445" t="4445" r="22860" b="17145"/>
            <wp:wrapSquare wrapText="bothSides"/>
            <wp:docPr id="246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。因公出国（境）支出决算比2023年</w:t>
      </w:r>
      <w:r>
        <w:rPr>
          <w:rFonts w:hint="eastAsia" w:eastAsia="仿宋_GB2312" w:cs="仿宋_GB2312"/>
          <w:sz w:val="32"/>
          <w:szCs w:val="32"/>
          <w:lang w:val="en-US" w:eastAsia="zh-CN"/>
        </w:rPr>
        <w:t>无</w:t>
      </w:r>
      <w:r>
        <w:rPr>
          <w:rFonts w:hint="eastAsia" w:ascii="方正仿宋_GBK" w:hAnsi="方正仿宋_GBK" w:eastAsia="方正仿宋_GBK" w:cs="方正仿宋_GBK"/>
          <w:sz w:val="33"/>
          <w:szCs w:val="33"/>
          <w:lang w:val="en-US" w:eastAsia="zh-CN"/>
        </w:rPr>
        <w:t>无变动。主要原因是我单位无因公出国（境）支出。</w:t>
      </w:r>
    </w:p>
    <w:p>
      <w:pPr>
        <w:spacing w:line="600" w:lineRule="exact"/>
        <w:ind w:firstLine="640"/>
        <w:rPr>
          <w:rFonts w:ascii="仿宋_GB2312" w:eastAsia="仿宋_GB2312"/>
          <w:b/>
          <w:bCs/>
          <w:color w:val="000000"/>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w:t>
      </w:r>
      <w:r>
        <w:rPr>
          <w:rFonts w:hint="eastAsia" w:ascii="方正仿宋_GBK" w:hAnsi="方正仿宋_GBK" w:eastAsia="方正仿宋_GBK" w:cs="方正仿宋_GBK"/>
          <w:sz w:val="33"/>
          <w:szCs w:val="33"/>
          <w:lang w:val="en-US" w:eastAsia="zh-CN"/>
        </w:rPr>
        <w:t>无变动。主要原因是我单位无公务用车购置及运行维护费支出。</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w:t>
      </w:r>
      <w:r>
        <w:rPr>
          <w:rFonts w:hint="eastAsia" w:eastAsia="仿宋_GB2312" w:cs="仿宋_GB2312"/>
          <w:sz w:val="32"/>
          <w:szCs w:val="32"/>
          <w:lang w:val="en-US" w:eastAsia="zh-CN"/>
        </w:rPr>
        <w:t>0</w:t>
      </w:r>
      <w:r>
        <w:rPr>
          <w:rFonts w:hint="eastAsia" w:eastAsia="仿宋_GB2312" w:cs="仿宋_GB2312"/>
          <w:sz w:val="32"/>
          <w:szCs w:val="32"/>
        </w:rPr>
        <w:t>。截至2024年12月31日，单位共有公务用车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r>
        <w:rPr>
          <w:rFonts w:hint="eastAsia" w:eastAsia="仿宋_GB2312" w:cs="仿宋_GB2312"/>
          <w:sz w:val="32"/>
          <w:szCs w:val="32"/>
          <w:lang w:eastAsia="zh-CN"/>
        </w:rPr>
        <w:t>。</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公务接待费支出决算比2023年度</w:t>
      </w:r>
      <w:r>
        <w:rPr>
          <w:rFonts w:hint="eastAsia" w:eastAsia="仿宋_GB2312" w:cs="仿宋_GB2312"/>
          <w:sz w:val="32"/>
          <w:szCs w:val="32"/>
          <w:lang w:val="en-US" w:eastAsia="zh-CN"/>
        </w:rPr>
        <w:t>无变动</w:t>
      </w:r>
      <w:r>
        <w:rPr>
          <w:rFonts w:hint="eastAsia" w:eastAsia="仿宋_GB2312" w:cs="仿宋_GB2312"/>
          <w:sz w:val="32"/>
          <w:szCs w:val="32"/>
        </w:rPr>
        <w:t>，增长/下降**%。主要原因是</w:t>
      </w:r>
      <w:r>
        <w:rPr>
          <w:rFonts w:hint="eastAsia" w:eastAsia="仿宋_GB2312" w:cs="仿宋_GB2312"/>
          <w:sz w:val="32"/>
          <w:szCs w:val="32"/>
          <w:lang w:val="en-US" w:eastAsia="zh-CN"/>
        </w:rPr>
        <w:t>我单位无公务接待费支出</w:t>
      </w: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w:t>
      </w:r>
      <w:r>
        <w:rPr>
          <w:rFonts w:hint="eastAsia" w:eastAsia="仿宋_GB2312" w:cs="仿宋_GB2312"/>
          <w:sz w:val="32"/>
          <w:szCs w:val="32"/>
        </w:rPr>
        <w:t>万元。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34" w:name="_Toc15396610"/>
      <w:bookmarkStart w:id="35" w:name="_Toc15377218"/>
    </w:p>
    <w:p>
      <w:pPr>
        <w:spacing w:line="600" w:lineRule="exact"/>
        <w:ind w:firstLine="640"/>
        <w:outlineLvl w:val="1"/>
        <w:rPr>
          <w:rStyle w:val="32"/>
          <w:rFonts w:ascii="Times New Roman" w:hAnsi="Times New Roman" w:eastAsia="黑体"/>
        </w:rPr>
      </w:pPr>
      <w:r>
        <w:rPr>
          <w:rFonts w:hint="eastAsia" w:eastAsia="黑体"/>
          <w:sz w:val="32"/>
          <w:szCs w:val="32"/>
        </w:rPr>
        <w:t>八、</w:t>
      </w:r>
      <w:r>
        <w:rPr>
          <w:rStyle w:val="32"/>
          <w:rFonts w:hint="eastAsia" w:ascii="Times New Roman" w:hAnsi="Times New Roman" w:eastAsia="黑体"/>
          <w:b w:val="0"/>
        </w:rPr>
        <w:t>政府性基金预算支出决算情况说明</w:t>
      </w:r>
      <w:bookmarkEnd w:id="34"/>
      <w:bookmarkEnd w:id="35"/>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left="630"/>
        <w:outlineLvl w:val="1"/>
        <w:rPr>
          <w:rStyle w:val="32"/>
          <w:rFonts w:ascii="Times New Roman" w:hAnsi="Times New Roman" w:eastAsia="黑体"/>
          <w:b w:val="0"/>
        </w:rPr>
      </w:pPr>
      <w:bookmarkStart w:id="36" w:name="_Toc15377219"/>
      <w:bookmarkStart w:id="37" w:name="_Toc15396611"/>
      <w:r>
        <w:rPr>
          <w:rStyle w:val="32"/>
          <w:rFonts w:hint="eastAsia" w:ascii="Times New Roman" w:hAnsi="Times New Roman" w:eastAsia="黑体"/>
          <w:b w:val="0"/>
        </w:rPr>
        <w:t>九、国有资本经营预算支出决算情况说明</w:t>
      </w:r>
      <w:bookmarkEnd w:id="36"/>
      <w:bookmarkEnd w:id="37"/>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left="630"/>
        <w:outlineLvl w:val="1"/>
        <w:rPr>
          <w:rStyle w:val="32"/>
          <w:rFonts w:ascii="Times New Roman" w:hAnsi="Times New Roman" w:eastAsia="黑体"/>
          <w:b w:val="0"/>
        </w:rPr>
      </w:pPr>
      <w:bookmarkStart w:id="38" w:name="_Toc15396612"/>
      <w:bookmarkStart w:id="39" w:name="_Toc15377221"/>
      <w:r>
        <w:rPr>
          <w:rStyle w:val="32"/>
          <w:rFonts w:hint="eastAsia" w:ascii="Times New Roman" w:hAnsi="Times New Roman" w:eastAsia="黑体"/>
          <w:b w:val="0"/>
        </w:rPr>
        <w:t>十、其他重要事项的情况说明</w:t>
      </w:r>
      <w:bookmarkEnd w:id="38"/>
      <w:bookmarkEnd w:id="39"/>
    </w:p>
    <w:p>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方正仿宋_GBK" w:hAnsi="方正仿宋_GBK" w:eastAsia="方正仿宋_GBK" w:cs="方正仿宋_GBK"/>
          <w:sz w:val="33"/>
          <w:szCs w:val="33"/>
          <w:lang w:val="en-US" w:eastAsia="zh-CN"/>
        </w:rPr>
        <w:t>中共盐边县委政法委员会</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46.81</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12.33</w:t>
      </w:r>
      <w:r>
        <w:rPr>
          <w:rFonts w:hint="eastAsia" w:eastAsia="仿宋_GB2312" w:cs="仿宋_GB2312"/>
          <w:sz w:val="32"/>
          <w:szCs w:val="32"/>
        </w:rPr>
        <w:t>万元，增长</w:t>
      </w:r>
      <w:r>
        <w:rPr>
          <w:rFonts w:hint="eastAsia" w:eastAsia="仿宋_GB2312" w:cs="仿宋_GB2312"/>
          <w:sz w:val="32"/>
          <w:szCs w:val="32"/>
          <w:lang w:val="en-US" w:eastAsia="zh-CN"/>
        </w:rPr>
        <w:t>35.76</w:t>
      </w:r>
      <w:r>
        <w:rPr>
          <w:rFonts w:hint="eastAsia" w:eastAsia="仿宋_GB2312" w:cs="仿宋_GB2312"/>
          <w:sz w:val="32"/>
          <w:szCs w:val="32"/>
        </w:rPr>
        <w:t>%。主要原因是</w:t>
      </w:r>
      <w:r>
        <w:rPr>
          <w:rFonts w:hint="eastAsia" w:eastAsia="仿宋_GB2312" w:cs="仿宋_GB2312"/>
          <w:sz w:val="32"/>
          <w:szCs w:val="32"/>
          <w:lang w:val="en-US" w:eastAsia="zh-CN"/>
        </w:rPr>
        <w:t>辅警人员增加，劳务费支出增多，所以机关运行经费支出较上年增加。</w:t>
      </w:r>
    </w:p>
    <w:p>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方正仿宋_GBK" w:hAnsi="方正仿宋_GBK" w:eastAsia="方正仿宋_GBK" w:cs="方正仿宋_GBK"/>
          <w:sz w:val="33"/>
          <w:szCs w:val="33"/>
          <w:lang w:val="en-US" w:eastAsia="zh-CN"/>
        </w:rPr>
        <w:t>中共盐边县委政法委员会</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办公设备购置</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方正仿宋_GBK" w:hAnsi="方正仿宋_GBK" w:eastAsia="方正仿宋_GBK" w:cs="方正仿宋_GBK"/>
          <w:sz w:val="33"/>
          <w:szCs w:val="33"/>
          <w:lang w:val="en-US" w:eastAsia="zh-CN"/>
        </w:rPr>
        <w:t>中共盐边县委政法委员会</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方正仿宋_GBK" w:hAnsi="方正仿宋_GBK" w:eastAsia="方正仿宋_GBK" w:cs="方正仿宋_GBK"/>
          <w:sz w:val="33"/>
          <w:szCs w:val="33"/>
          <w:lang w:val="en-US" w:eastAsia="zh-CN"/>
        </w:rPr>
        <w:t>中共盐边县委政法委员会</w:t>
      </w:r>
      <w:r>
        <w:rPr>
          <w:rFonts w:hint="eastAsia" w:eastAsia="仿宋_GB2312" w:cs="仿宋_GB2312"/>
          <w:sz w:val="32"/>
          <w:szCs w:val="32"/>
        </w:rPr>
        <w:t>在2024年度预算编制阶段，组织对</w:t>
      </w:r>
      <w:r>
        <w:rPr>
          <w:rFonts w:hint="eastAsia" w:eastAsia="仿宋_GB2312" w:cs="仿宋_GB2312"/>
          <w:sz w:val="32"/>
          <w:szCs w:val="32"/>
          <w:lang w:eastAsia="zh-CN"/>
        </w:rPr>
        <w:t>“</w:t>
      </w:r>
      <w:r>
        <w:rPr>
          <w:rFonts w:hint="eastAsia" w:eastAsia="仿宋_GB2312" w:cs="仿宋_GB2312"/>
          <w:sz w:val="32"/>
          <w:szCs w:val="32"/>
        </w:rPr>
        <w:t>扫黑除恶专项经费</w:t>
      </w:r>
      <w:r>
        <w:rPr>
          <w:rFonts w:hint="eastAsia" w:eastAsia="仿宋_GB2312" w:cs="仿宋_GB2312"/>
          <w:sz w:val="32"/>
          <w:szCs w:val="32"/>
          <w:lang w:eastAsia="zh-CN"/>
        </w:rPr>
        <w:t>”、“春节前走访慰问大笮卫士”、“维稳专项工作经费”、“创建省级平安建设先进县经费”、“2024年通用办公设备采购”、“社会治安综合治理工作日常运行经费”</w:t>
      </w:r>
      <w:r>
        <w:rPr>
          <w:rFonts w:hint="eastAsia" w:eastAsia="仿宋_GB2312" w:cs="仿宋_GB2312"/>
          <w:sz w:val="32"/>
          <w:szCs w:val="32"/>
        </w:rPr>
        <w:t>等</w:t>
      </w:r>
      <w:r>
        <w:rPr>
          <w:rFonts w:hint="eastAsia" w:eastAsia="仿宋_GB2312" w:cs="仿宋_GB2312"/>
          <w:sz w:val="32"/>
          <w:szCs w:val="32"/>
          <w:lang w:val="en-US" w:eastAsia="zh-CN"/>
        </w:rPr>
        <w:t>6</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6</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6</w:t>
      </w:r>
      <w:r>
        <w:rPr>
          <w:rFonts w:hint="eastAsia" w:eastAsia="仿宋_GB2312" w:cs="仿宋_GB2312"/>
          <w:sz w:val="32"/>
          <w:szCs w:val="32"/>
        </w:rPr>
        <w:t>个项目开展绩效监控。</w:t>
      </w:r>
    </w:p>
    <w:p>
      <w:pPr>
        <w:spacing w:line="600" w:lineRule="exact"/>
        <w:rPr>
          <w:rFonts w:eastAsia="仿宋_GB2312" w:cs="仿宋_GB2312"/>
          <w:sz w:val="32"/>
          <w:szCs w:val="32"/>
        </w:rPr>
      </w:pPr>
    </w:p>
    <w:p>
      <w:pPr>
        <w:pStyle w:val="22"/>
        <w:rPr>
          <w:rFonts w:eastAsia="仿宋_GB2312" w:cs="仿宋_GB2312"/>
          <w:sz w:val="32"/>
          <w:szCs w:val="32"/>
        </w:rPr>
      </w:pPr>
    </w:p>
    <w:p>
      <w:pPr>
        <w:rPr>
          <w:rFonts w:eastAsia="仿宋_GB2312" w:cs="仿宋_GB2312"/>
          <w:sz w:val="32"/>
          <w:szCs w:val="32"/>
        </w:rPr>
      </w:pPr>
    </w:p>
    <w:p>
      <w:pPr>
        <w:pStyle w:val="22"/>
        <w:rPr>
          <w:rFonts w:eastAsia="仿宋_GB2312" w:cs="仿宋_GB2312"/>
          <w:sz w:val="32"/>
          <w:szCs w:val="32"/>
        </w:rPr>
      </w:pPr>
    </w:p>
    <w:p>
      <w:pPr>
        <w:rPr>
          <w:rFonts w:eastAsia="仿宋_GB2312" w:cs="仿宋_GB2312"/>
          <w:sz w:val="32"/>
          <w:szCs w:val="32"/>
        </w:rPr>
      </w:pPr>
    </w:p>
    <w:p>
      <w:pPr>
        <w:pStyle w:val="22"/>
        <w:rPr>
          <w:rFonts w:eastAsia="仿宋_GB2312" w:cs="仿宋_GB2312"/>
          <w:sz w:val="32"/>
          <w:szCs w:val="32"/>
        </w:rPr>
      </w:pPr>
    </w:p>
    <w:p>
      <w:pPr>
        <w:rPr>
          <w:rFonts w:eastAsia="仿宋_GB2312" w:cs="仿宋_GB2312"/>
          <w:sz w:val="32"/>
          <w:szCs w:val="32"/>
        </w:rPr>
      </w:pPr>
    </w:p>
    <w:p>
      <w:pPr>
        <w:pStyle w:val="22"/>
        <w:rPr>
          <w:rFonts w:eastAsia="仿宋_GB2312" w:cs="仿宋_GB2312"/>
          <w:sz w:val="32"/>
          <w:szCs w:val="32"/>
        </w:rPr>
      </w:pPr>
    </w:p>
    <w:p>
      <w:pPr>
        <w:rPr>
          <w:rFonts w:eastAsia="仿宋_GB2312" w:cs="仿宋_GB2312"/>
          <w:sz w:val="32"/>
          <w:szCs w:val="32"/>
        </w:rPr>
      </w:pPr>
    </w:p>
    <w:p>
      <w:pPr>
        <w:pStyle w:val="22"/>
      </w:pPr>
    </w:p>
    <w:p>
      <w:pPr>
        <w:spacing w:line="600" w:lineRule="exact"/>
        <w:ind w:firstLine="640"/>
        <w:rPr>
          <w:rFonts w:eastAsia="仿宋_GB2312" w:cs="仿宋_GB2312"/>
          <w:sz w:val="32"/>
          <w:szCs w:val="32"/>
        </w:rPr>
      </w:pPr>
    </w:p>
    <w:p>
      <w:pPr>
        <w:pStyle w:val="14"/>
      </w:pPr>
    </w:p>
    <w:p>
      <w:pPr>
        <w:pStyle w:val="8"/>
        <w:ind w:left="420"/>
      </w:pPr>
    </w:p>
    <w:p>
      <w:pPr>
        <w:pStyle w:val="8"/>
        <w:ind w:left="420"/>
      </w:pPr>
    </w:p>
    <w:p>
      <w:pPr>
        <w:pStyle w:val="8"/>
        <w:ind w:left="420"/>
      </w:pPr>
    </w:p>
    <w:p>
      <w:pPr>
        <w:pStyle w:val="8"/>
        <w:ind w:left="420"/>
      </w:pPr>
    </w:p>
    <w:p>
      <w:pPr>
        <w:pStyle w:val="8"/>
        <w:ind w:left="420"/>
      </w:pPr>
    </w:p>
    <w:p>
      <w:pPr>
        <w:spacing w:line="600" w:lineRule="exact"/>
        <w:jc w:val="center"/>
        <w:outlineLvl w:val="0"/>
        <w:rPr>
          <w:rFonts w:eastAsia="黑体"/>
          <w:sz w:val="44"/>
          <w:szCs w:val="44"/>
        </w:rPr>
      </w:pPr>
      <w:bookmarkStart w:id="43" w:name="_Toc15396613"/>
      <w:bookmarkStart w:id="44" w:name="_Toc15377225"/>
      <w:r>
        <w:rPr>
          <w:rFonts w:hint="eastAsia" w:eastAsia="黑体"/>
          <w:sz w:val="44"/>
          <w:szCs w:val="44"/>
        </w:rPr>
        <w:t>第三部分  名词解释</w:t>
      </w:r>
      <w:bookmarkEnd w:id="43"/>
      <w:bookmarkEnd w:id="44"/>
    </w:p>
    <w:p>
      <w:pPr>
        <w:spacing w:line="600" w:lineRule="exact"/>
        <w:jc w:val="left"/>
        <w:rPr>
          <w:b/>
          <w:sz w:val="44"/>
          <w:szCs w:val="44"/>
        </w:rPr>
      </w:pPr>
    </w:p>
    <w:p>
      <w:pPr>
        <w:pStyle w:val="29"/>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bookmarkStart w:id="45" w:name="_Toc15377226"/>
      <w:r>
        <w:rPr>
          <w:rFonts w:hint="eastAsia" w:ascii="方正仿宋_GBK" w:hAnsi="方正仿宋_GBK" w:eastAsia="方正仿宋_GBK" w:cs="方正仿宋_GBK"/>
          <w:color w:val="auto"/>
          <w:kern w:val="2"/>
          <w:sz w:val="33"/>
          <w:szCs w:val="33"/>
          <w:lang w:val="en-US" w:eastAsia="zh-CN" w:bidi="ar-SA"/>
        </w:rPr>
        <w:t>1.财政拨款收入：指单位从同级财政部门取得的财政预算资金。</w:t>
      </w:r>
    </w:p>
    <w:p>
      <w:pPr>
        <w:spacing w:line="600" w:lineRule="exact"/>
        <w:ind w:firstLine="660" w:firstLineChars="200"/>
        <w:outlineLvl w:val="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2.一般公共服务（类）其他共产党事务支出（款）</w:t>
      </w:r>
    </w:p>
    <w:p>
      <w:pPr>
        <w:widowControl/>
        <w:shd w:val="clear" w:color="auto" w:fill="FFFFFF"/>
        <w:spacing w:line="600" w:lineRule="atLeast"/>
        <w:ind w:firstLine="660" w:firstLineChars="200"/>
        <w:jc w:val="left"/>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①、行政运行: 指行政单位（包括实行公务员管理的事业单位）的基本支出。</w:t>
      </w:r>
    </w:p>
    <w:p>
      <w:pPr>
        <w:widowControl/>
        <w:shd w:val="clear" w:color="auto" w:fill="FFFFFF"/>
        <w:spacing w:line="600" w:lineRule="atLeast"/>
        <w:ind w:firstLine="660" w:firstLineChars="200"/>
        <w:jc w:val="left"/>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②、其他共产党事务支出：指其他用于中国共产党事务的支出。</w:t>
      </w:r>
    </w:p>
    <w:p>
      <w:pPr>
        <w:spacing w:line="60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sym w:font="Wingdings" w:char="F083"/>
      </w:r>
      <w:r>
        <w:rPr>
          <w:rFonts w:hint="eastAsia" w:ascii="方正仿宋_GBK" w:hAnsi="方正仿宋_GBK" w:eastAsia="方正仿宋_GBK" w:cs="方正仿宋_GBK"/>
          <w:color w:val="auto"/>
          <w:kern w:val="2"/>
          <w:sz w:val="33"/>
          <w:szCs w:val="33"/>
          <w:lang w:val="en-US" w:eastAsia="zh-CN" w:bidi="ar-SA"/>
        </w:rPr>
        <w:t>、事业运行：指事业单位的基本支出。不包括行政单位（包括实行公务员管理的事业单位）后勤服务中心、医务室等附属事业单位。</w:t>
      </w:r>
    </w:p>
    <w:p>
      <w:pPr>
        <w:spacing w:line="60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 xml:space="preserve">3.社会保障和就业（类）行政事业单位养老支出（款）  </w:t>
      </w:r>
    </w:p>
    <w:p>
      <w:pPr>
        <w:spacing w:line="60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①、行政单位离退休: 指行政单位（包括实行公务员管理的事业单位）开支的离退休支出。</w:t>
      </w:r>
    </w:p>
    <w:p>
      <w:pPr>
        <w:spacing w:line="60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②、机关事业单位基本养老保险缴费支出：指机关事业单位实施养老保险制度有单位缴纳的基本养老保险费支出。</w:t>
      </w:r>
    </w:p>
    <w:p>
      <w:pPr>
        <w:pStyle w:val="2"/>
        <w:rPr>
          <w:rFonts w:hint="eastAsia" w:ascii="方正仿宋_GBK" w:hAnsi="方正仿宋_GBK" w:eastAsia="方正仿宋_GBK" w:cs="方正仿宋_GBK"/>
          <w:color w:val="auto"/>
          <w:kern w:val="2"/>
          <w:sz w:val="33"/>
          <w:szCs w:val="33"/>
          <w:lang w:val="en-US" w:eastAsia="zh-CN" w:bidi="ar-SA"/>
        </w:rPr>
      </w:pPr>
      <w:r>
        <w:rPr>
          <w:rFonts w:hint="default" w:ascii="方正仿宋_GBK" w:hAnsi="方正仿宋_GBK" w:eastAsia="方正仿宋_GBK" w:cs="方正仿宋_GBK"/>
          <w:color w:val="auto"/>
          <w:kern w:val="2"/>
          <w:sz w:val="33"/>
          <w:szCs w:val="33"/>
          <w:lang w:val="en-US" w:eastAsia="zh-CN" w:bidi="ar-SA"/>
        </w:rPr>
        <w:t>③</w:t>
      </w:r>
      <w:r>
        <w:rPr>
          <w:rFonts w:hint="eastAsia" w:ascii="方正仿宋_GBK" w:hAnsi="方正仿宋_GBK" w:eastAsia="方正仿宋_GBK" w:cs="方正仿宋_GBK"/>
          <w:color w:val="auto"/>
          <w:kern w:val="2"/>
          <w:sz w:val="33"/>
          <w:szCs w:val="33"/>
          <w:lang w:val="en-US" w:eastAsia="zh-CN" w:bidi="ar-SA"/>
        </w:rPr>
        <w:t xml:space="preserve">、机关事业单位职业年金缴费支出：指机关事业单位实施养老保险制度由单位实际缴纳的职业年金支出。       </w:t>
      </w:r>
    </w:p>
    <w:p>
      <w:pPr>
        <w:spacing w:line="60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4、住房保障支出（类）住房改革支出（款）住房公积金（项）：指行政事业单位按人力资源和社会保障部、财政部规定的基本工资和津贴补贴以及规定比例为职工缴纳的住房公积金。</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5、卫生健康支出（类）行政事业单位医疗（款）</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sym w:font="Wingdings" w:char="F081"/>
      </w:r>
      <w:r>
        <w:rPr>
          <w:rFonts w:hint="eastAsia" w:ascii="方正仿宋_GBK" w:hAnsi="方正仿宋_GBK" w:eastAsia="方正仿宋_GBK" w:cs="方正仿宋_GBK"/>
          <w:color w:val="auto"/>
          <w:kern w:val="2"/>
          <w:sz w:val="33"/>
          <w:szCs w:val="33"/>
          <w:lang w:val="en-US" w:eastAsia="zh-CN" w:bidi="ar-SA"/>
        </w:rPr>
        <w:t>行政单位医疗：指财政部门安排的行政单位（包括实行公务员管理的事业单位，下同）基本医疗保险缴费经费，未参加医疗保险的行政单位的公费医疗经费，按国家规定享受离休人员、红军老战士待遇人员的医疗经费。</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sym w:font="Wingdings" w:char="F082"/>
      </w:r>
      <w:r>
        <w:rPr>
          <w:rFonts w:hint="eastAsia" w:ascii="方正仿宋_GBK" w:hAnsi="方正仿宋_GBK" w:eastAsia="方正仿宋_GBK" w:cs="方正仿宋_GBK"/>
          <w:color w:val="auto"/>
          <w:kern w:val="2"/>
          <w:sz w:val="33"/>
          <w:szCs w:val="33"/>
          <w:lang w:val="en-US" w:eastAsia="zh-CN" w:bidi="ar-SA"/>
        </w:rPr>
        <w:t>事业单位医疗：指财政部门安排的事业单位基本医疗保险缴费经费，未参加医疗保险的事业单位的公费医疗经费，按国家规定享受离休人员医疗经费。</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sym w:font="Wingdings" w:char="F083"/>
      </w:r>
      <w:r>
        <w:rPr>
          <w:rFonts w:hint="eastAsia" w:ascii="方正仿宋_GBK" w:hAnsi="方正仿宋_GBK" w:eastAsia="方正仿宋_GBK" w:cs="方正仿宋_GBK"/>
          <w:color w:val="auto"/>
          <w:kern w:val="2"/>
          <w:sz w:val="33"/>
          <w:szCs w:val="33"/>
          <w:lang w:val="en-US" w:eastAsia="zh-CN" w:bidi="ar-SA"/>
        </w:rPr>
        <w:t>公务员医疗补助：指财政部门安排的公务员医疗补助经费。</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sym w:font="Wingdings" w:char="0084"/>
      </w:r>
      <w:r>
        <w:rPr>
          <w:rFonts w:hint="eastAsia" w:ascii="方正仿宋_GBK" w:hAnsi="方正仿宋_GBK" w:eastAsia="方正仿宋_GBK" w:cs="方正仿宋_GBK"/>
          <w:color w:val="auto"/>
          <w:kern w:val="2"/>
          <w:sz w:val="33"/>
          <w:szCs w:val="33"/>
          <w:lang w:val="en-US" w:eastAsia="zh-CN" w:bidi="ar-SA"/>
        </w:rPr>
        <w:t>其他行政事业单位医疗支出：指除上述项目以外的其他用于行政事业单位医疗方面的支出。</w:t>
      </w:r>
    </w:p>
    <w:p>
      <w:pPr>
        <w:spacing w:line="600" w:lineRule="exact"/>
        <w:ind w:firstLine="660" w:firstLineChars="200"/>
        <w:rPr>
          <w:rFonts w:hint="eastAsia"/>
          <w:lang w:val="en-US" w:eastAsia="zh-CN"/>
        </w:rPr>
      </w:pPr>
      <w:r>
        <w:rPr>
          <w:rFonts w:hint="eastAsia" w:ascii="方正仿宋_GBK" w:hAnsi="方正仿宋_GBK" w:eastAsia="方正仿宋_GBK" w:cs="方正仿宋_GBK"/>
          <w:color w:val="auto"/>
          <w:kern w:val="2"/>
          <w:sz w:val="33"/>
          <w:szCs w:val="33"/>
          <w:lang w:val="en-US" w:eastAsia="zh-CN" w:bidi="ar-SA"/>
        </w:rPr>
        <w:t>6、</w:t>
      </w:r>
      <w:r>
        <w:rPr>
          <w:rStyle w:val="20"/>
          <w:rFonts w:hint="eastAsia" w:ascii="仿宋_GB2312" w:eastAsia="仿宋_GB2312"/>
          <w:b w:val="0"/>
          <w:color w:val="000000"/>
          <w:sz w:val="32"/>
          <w:szCs w:val="32"/>
        </w:rPr>
        <w:t>公共安全支出（类）</w:t>
      </w:r>
      <w:r>
        <w:rPr>
          <w:rStyle w:val="20"/>
          <w:rFonts w:hint="eastAsia" w:ascii="仿宋_GB2312" w:eastAsia="仿宋_GB2312"/>
          <w:b w:val="0"/>
          <w:color w:val="000000"/>
          <w:sz w:val="32"/>
          <w:szCs w:val="32"/>
          <w:lang w:eastAsia="zh-CN"/>
        </w:rPr>
        <w:t>其他</w:t>
      </w:r>
      <w:r>
        <w:rPr>
          <w:rStyle w:val="20"/>
          <w:rFonts w:hint="eastAsia" w:ascii="仿宋_GB2312" w:eastAsia="仿宋_GB2312"/>
          <w:b w:val="0"/>
          <w:color w:val="000000"/>
          <w:sz w:val="32"/>
          <w:szCs w:val="32"/>
        </w:rPr>
        <w:t>公共安全支出（款）</w:t>
      </w:r>
      <w:r>
        <w:rPr>
          <w:rStyle w:val="20"/>
          <w:rFonts w:hint="eastAsia" w:ascii="仿宋_GB2312" w:eastAsia="仿宋_GB2312"/>
          <w:b w:val="0"/>
          <w:color w:val="000000"/>
          <w:sz w:val="32"/>
          <w:szCs w:val="32"/>
          <w:lang w:eastAsia="zh-CN"/>
        </w:rPr>
        <w:t>其他</w:t>
      </w:r>
      <w:r>
        <w:rPr>
          <w:rStyle w:val="20"/>
          <w:rFonts w:hint="eastAsia" w:ascii="仿宋_GB2312" w:eastAsia="仿宋_GB2312"/>
          <w:b w:val="0"/>
          <w:color w:val="000000"/>
          <w:sz w:val="32"/>
          <w:szCs w:val="32"/>
        </w:rPr>
        <w:t>公共安全支出</w:t>
      </w:r>
      <w:r>
        <w:rPr>
          <w:rStyle w:val="20"/>
          <w:rFonts w:hint="eastAsia" w:ascii="仿宋_GB2312" w:eastAsia="仿宋_GB2312"/>
          <w:b w:val="0"/>
          <w:color w:val="000000"/>
          <w:sz w:val="32"/>
          <w:szCs w:val="32"/>
          <w:lang w:eastAsia="zh-CN"/>
        </w:rPr>
        <w:t>（项）：反映除上述项目以外其他用于</w:t>
      </w:r>
      <w:r>
        <w:rPr>
          <w:rStyle w:val="20"/>
          <w:rFonts w:hint="eastAsia" w:ascii="仿宋_GB2312" w:eastAsia="仿宋_GB2312"/>
          <w:b w:val="0"/>
          <w:color w:val="000000"/>
          <w:sz w:val="32"/>
          <w:szCs w:val="32"/>
        </w:rPr>
        <w:t>公共安全支出</w:t>
      </w:r>
      <w:r>
        <w:rPr>
          <w:rStyle w:val="20"/>
          <w:rFonts w:hint="eastAsia" w:ascii="仿宋_GB2312" w:eastAsia="仿宋_GB2312"/>
          <w:b w:val="0"/>
          <w:color w:val="000000"/>
          <w:sz w:val="32"/>
          <w:szCs w:val="32"/>
          <w:lang w:eastAsia="zh-CN"/>
        </w:rPr>
        <w:t>方面的支出</w:t>
      </w:r>
      <w:r>
        <w:rPr>
          <w:rStyle w:val="20"/>
          <w:rFonts w:hint="eastAsia" w:ascii="仿宋_GB2312" w:eastAsia="仿宋_GB2312"/>
          <w:b w:val="0"/>
          <w:color w:val="000000"/>
          <w:sz w:val="32"/>
          <w:szCs w:val="32"/>
        </w:rPr>
        <w:t>。</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bookmarkStart w:id="46" w:name="_Toc14863_WPSOffice_Level2"/>
      <w:r>
        <w:rPr>
          <w:rFonts w:hint="eastAsia" w:ascii="方正仿宋_GBK" w:hAnsi="方正仿宋_GBK" w:eastAsia="方正仿宋_GBK" w:cs="方正仿宋_GBK"/>
          <w:color w:val="auto"/>
          <w:kern w:val="2"/>
          <w:sz w:val="33"/>
          <w:szCs w:val="33"/>
          <w:lang w:val="en-US" w:eastAsia="zh-CN" w:bidi="ar-SA"/>
        </w:rPr>
        <w:t>7、基本支出</w:t>
      </w:r>
      <w:bookmarkEnd w:id="46"/>
      <w:r>
        <w:rPr>
          <w:rFonts w:hint="eastAsia" w:ascii="方正仿宋_GBK" w:hAnsi="方正仿宋_GBK" w:eastAsia="方正仿宋_GBK" w:cs="方正仿宋_GBK"/>
          <w:color w:val="auto"/>
          <w:kern w:val="2"/>
          <w:sz w:val="33"/>
          <w:szCs w:val="33"/>
          <w:lang w:val="en-US" w:eastAsia="zh-CN" w:bidi="ar-SA"/>
        </w:rPr>
        <w:t>：指为保障机构正常运转、完成日常工作任务而发生的人员支出和公用支出。</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bookmarkStart w:id="47" w:name="_Toc9320_WPSOffice_Level2"/>
      <w:r>
        <w:rPr>
          <w:rFonts w:hint="eastAsia" w:ascii="方正仿宋_GBK" w:hAnsi="方正仿宋_GBK" w:eastAsia="方正仿宋_GBK" w:cs="方正仿宋_GBK"/>
          <w:color w:val="auto"/>
          <w:kern w:val="2"/>
          <w:sz w:val="33"/>
          <w:szCs w:val="33"/>
          <w:lang w:val="en-US" w:eastAsia="zh-CN" w:bidi="ar-SA"/>
        </w:rPr>
        <w:t>8、项目支出</w:t>
      </w:r>
      <w:bookmarkEnd w:id="47"/>
      <w:r>
        <w:rPr>
          <w:rFonts w:hint="eastAsia" w:ascii="方正仿宋_GBK" w:hAnsi="方正仿宋_GBK" w:eastAsia="方正仿宋_GBK" w:cs="方正仿宋_GBK"/>
          <w:color w:val="auto"/>
          <w:kern w:val="2"/>
          <w:sz w:val="33"/>
          <w:szCs w:val="33"/>
          <w:lang w:val="en-US" w:eastAsia="zh-CN" w:bidi="ar-SA"/>
        </w:rPr>
        <w:t xml:space="preserve">：指在基本支出之外为完成特定行政任务和事业发展目标所发生的支出。 </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bookmarkStart w:id="48" w:name="_Toc14517_WPSOffice_Level2"/>
      <w:r>
        <w:rPr>
          <w:rFonts w:hint="eastAsia" w:ascii="方正仿宋_GBK" w:hAnsi="方正仿宋_GBK" w:eastAsia="方正仿宋_GBK" w:cs="方正仿宋_GBK"/>
          <w:color w:val="auto"/>
          <w:kern w:val="2"/>
          <w:sz w:val="33"/>
          <w:szCs w:val="33"/>
          <w:lang w:val="en-US" w:eastAsia="zh-CN" w:bidi="ar-SA"/>
        </w:rPr>
        <w:t>9、“三公”经费</w:t>
      </w:r>
      <w:bookmarkEnd w:id="48"/>
      <w:r>
        <w:rPr>
          <w:rFonts w:hint="eastAsia" w:ascii="方正仿宋_GBK" w:hAnsi="方正仿宋_GBK" w:eastAsia="方正仿宋_GBK" w:cs="方正仿宋_GBK"/>
          <w:color w:val="auto"/>
          <w:kern w:val="2"/>
          <w:sz w:val="33"/>
          <w:szCs w:val="33"/>
          <w:lang w:val="en-US"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按规定保留的公务用车燃料费、维修费、过路过桥费、保险费、安全奖励费用等支出；公务接待费反映单位按规定开支的各类公务接待（含外宾接待）支出。</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bookmarkStart w:id="49" w:name="_Toc29043_WPSOffice_Level2"/>
      <w:r>
        <w:rPr>
          <w:rFonts w:hint="eastAsia" w:ascii="方正仿宋_GBK" w:hAnsi="方正仿宋_GBK" w:eastAsia="方正仿宋_GBK" w:cs="方正仿宋_GBK"/>
          <w:color w:val="auto"/>
          <w:kern w:val="2"/>
          <w:sz w:val="33"/>
          <w:szCs w:val="33"/>
          <w:lang w:val="en-US" w:eastAsia="zh-CN" w:bidi="ar-SA"/>
        </w:rPr>
        <w:t>10、机关运行经费</w:t>
      </w:r>
      <w:bookmarkEnd w:id="49"/>
      <w:r>
        <w:rPr>
          <w:rFonts w:hint="eastAsia" w:ascii="方正仿宋_GBK" w:hAnsi="方正仿宋_GBK" w:eastAsia="方正仿宋_GBK" w:cs="方正仿宋_GBK"/>
          <w:color w:val="auto"/>
          <w:kern w:val="2"/>
          <w:sz w:val="33"/>
          <w:szCs w:val="33"/>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1"/>
          <w:rFonts w:eastAsia="黑体"/>
          <w:b w:val="0"/>
        </w:rPr>
      </w:pPr>
      <w:r>
        <w:rPr>
          <w:rFonts w:hint="eastAsia" w:eastAsia="仿宋_GB2312" w:cs="仿宋_GB2312"/>
          <w:sz w:val="32"/>
          <w:szCs w:val="32"/>
        </w:rPr>
        <w:br w:type="page"/>
      </w:r>
      <w:bookmarkStart w:id="50" w:name="_Toc15396614"/>
      <w:r>
        <w:rPr>
          <w:rFonts w:hint="eastAsia" w:eastAsia="黑体"/>
          <w:sz w:val="44"/>
          <w:szCs w:val="44"/>
        </w:rPr>
        <w:t>第四部分  附件</w:t>
      </w:r>
      <w:bookmarkEnd w:id="50"/>
    </w:p>
    <w:p>
      <w:pPr>
        <w:spacing w:line="572" w:lineRule="exact"/>
        <w:jc w:val="left"/>
        <w:outlineLvl w:val="0"/>
        <w:rPr>
          <w:rFonts w:eastAsia="黑体" w:cs="黑体"/>
          <w:sz w:val="32"/>
          <w:szCs w:val="32"/>
        </w:rPr>
      </w:pPr>
    </w:p>
    <w:p>
      <w:pPr>
        <w:widowControl/>
        <w:spacing w:line="578" w:lineRule="exact"/>
        <w:contextualSpacing/>
        <w:jc w:val="center"/>
      </w:pPr>
      <w:r>
        <w:rPr>
          <w:rFonts w:hint="eastAsia" w:eastAsia="黑体" w:cs="黑体"/>
          <w:sz w:val="32"/>
          <w:szCs w:val="32"/>
        </w:rPr>
        <w:t>部门预算项目支出绩效评价表（2024年度）</w:t>
      </w:r>
    </w:p>
    <w:p>
      <w:pPr>
        <w:spacing w:line="578" w:lineRule="exact"/>
        <w:rPr>
          <w:rFonts w:eastAsia="仿宋_GB2312" w:cs="仿宋_GB2312"/>
          <w:kern w:val="0"/>
          <w:sz w:val="32"/>
          <w:szCs w:val="32"/>
        </w:rPr>
      </w:pPr>
      <w:bookmarkStart w:id="51" w:name="_Toc15396618"/>
      <w:r>
        <w:rPr>
          <w:rFonts w:hint="eastAsia" w:eastAsia="仿宋_GB2312" w:cs="仿宋_GB2312"/>
          <w:kern w:val="0"/>
          <w:sz w:val="32"/>
          <w:szCs w:val="32"/>
        </w:rPr>
        <w:br w:type="page"/>
      </w:r>
    </w:p>
    <w:p>
      <w:pPr>
        <w:widowControl/>
        <w:jc w:val="center"/>
        <w:rPr>
          <w:rFonts w:eastAsia="仿宋"/>
        </w:rPr>
      </w:pPr>
      <w:r>
        <w:rPr>
          <w:rFonts w:hint="eastAsia" w:eastAsia="黑体"/>
          <w:sz w:val="44"/>
          <w:szCs w:val="44"/>
        </w:rPr>
        <w:t>第</w:t>
      </w:r>
      <w:r>
        <w:rPr>
          <w:rStyle w:val="31"/>
          <w:rFonts w:hint="eastAsia" w:eastAsia="黑体"/>
          <w:b w:val="0"/>
        </w:rPr>
        <w:t>五部分 附表</w:t>
      </w:r>
      <w:bookmarkEnd w:id="45"/>
      <w:bookmarkEnd w:id="51"/>
      <w:bookmarkStart w:id="52" w:name="_Toc15396619"/>
    </w:p>
    <w:p>
      <w:pPr>
        <w:pStyle w:val="15"/>
        <w:adjustRightInd w:val="0"/>
        <w:snapToGrid w:val="0"/>
        <w:spacing w:line="560" w:lineRule="exact"/>
        <w:jc w:val="left"/>
        <w:rPr>
          <w:rFonts w:eastAsia="仿宋_GB2312" w:cs="仿宋_GB2312"/>
          <w:sz w:val="32"/>
          <w:szCs w:val="32"/>
        </w:rPr>
      </w:pPr>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2"/>
    </w:p>
    <w:p>
      <w:pPr>
        <w:pStyle w:val="15"/>
        <w:adjustRightInd w:val="0"/>
        <w:snapToGrid w:val="0"/>
        <w:spacing w:line="560" w:lineRule="exact"/>
        <w:jc w:val="left"/>
        <w:rPr>
          <w:rFonts w:eastAsia="仿宋_GB2312" w:cs="仿宋_GB2312"/>
          <w:sz w:val="32"/>
          <w:szCs w:val="32"/>
        </w:rPr>
      </w:pPr>
      <w:bookmarkStart w:id="53" w:name="_Toc15396620"/>
      <w:r>
        <w:rPr>
          <w:rFonts w:hint="eastAsia" w:eastAsia="仿宋_GB2312" w:cs="仿宋_GB2312"/>
          <w:sz w:val="32"/>
          <w:szCs w:val="32"/>
        </w:rPr>
        <w:t>二、收入决算表</w:t>
      </w:r>
      <w:bookmarkEnd w:id="53"/>
    </w:p>
    <w:p>
      <w:pPr>
        <w:pStyle w:val="15"/>
        <w:adjustRightInd w:val="0"/>
        <w:snapToGrid w:val="0"/>
        <w:spacing w:line="560" w:lineRule="exact"/>
        <w:jc w:val="left"/>
        <w:rPr>
          <w:rFonts w:eastAsia="仿宋_GB2312" w:cs="仿宋_GB2312"/>
          <w:sz w:val="32"/>
          <w:szCs w:val="32"/>
        </w:rPr>
      </w:pPr>
      <w:bookmarkStart w:id="54" w:name="_Toc15396621"/>
      <w:r>
        <w:rPr>
          <w:rFonts w:hint="eastAsia" w:eastAsia="仿宋_GB2312" w:cs="仿宋_GB2312"/>
          <w:sz w:val="32"/>
          <w:szCs w:val="32"/>
        </w:rPr>
        <w:t>三、支出决算表</w:t>
      </w:r>
      <w:bookmarkEnd w:id="54"/>
    </w:p>
    <w:p>
      <w:pPr>
        <w:pStyle w:val="15"/>
        <w:adjustRightInd w:val="0"/>
        <w:snapToGrid w:val="0"/>
        <w:spacing w:line="560" w:lineRule="exact"/>
        <w:jc w:val="left"/>
        <w:rPr>
          <w:rFonts w:eastAsia="仿宋_GB2312" w:cs="仿宋_GB2312"/>
          <w:sz w:val="32"/>
          <w:szCs w:val="32"/>
        </w:rPr>
      </w:pPr>
      <w:bookmarkStart w:id="55" w:name="_Toc15396622"/>
      <w:r>
        <w:rPr>
          <w:rFonts w:hint="eastAsia" w:eastAsia="仿宋_GB2312" w:cs="仿宋_GB2312"/>
          <w:sz w:val="32"/>
          <w:szCs w:val="32"/>
        </w:rPr>
        <w:t>四、财政拨款收入支出决算总表</w:t>
      </w:r>
      <w:bookmarkEnd w:id="55"/>
    </w:p>
    <w:p>
      <w:pPr>
        <w:pStyle w:val="15"/>
        <w:adjustRightInd w:val="0"/>
        <w:snapToGrid w:val="0"/>
        <w:spacing w:line="560" w:lineRule="exact"/>
        <w:jc w:val="left"/>
        <w:rPr>
          <w:rFonts w:eastAsia="仿宋_GB2312" w:cs="仿宋_GB2312"/>
          <w:sz w:val="32"/>
          <w:szCs w:val="32"/>
        </w:rPr>
      </w:pPr>
      <w:bookmarkStart w:id="56" w:name="_Toc15396623"/>
      <w:r>
        <w:rPr>
          <w:rFonts w:hint="eastAsia" w:eastAsia="仿宋_GB2312" w:cs="仿宋_GB2312"/>
          <w:sz w:val="32"/>
          <w:szCs w:val="32"/>
        </w:rPr>
        <w:t>五、财政拨款支出决算明细表</w:t>
      </w:r>
      <w:bookmarkEnd w:id="56"/>
      <w:bookmarkStart w:id="57"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7"/>
    </w:p>
    <w:p>
      <w:pPr>
        <w:pStyle w:val="15"/>
        <w:adjustRightInd w:val="0"/>
        <w:snapToGrid w:val="0"/>
        <w:spacing w:line="560" w:lineRule="exact"/>
        <w:jc w:val="left"/>
        <w:rPr>
          <w:rFonts w:eastAsia="仿宋_GB2312" w:cs="仿宋_GB2312"/>
          <w:sz w:val="32"/>
          <w:szCs w:val="32"/>
        </w:rPr>
      </w:pPr>
      <w:bookmarkStart w:id="58" w:name="_Toc15396625"/>
      <w:r>
        <w:rPr>
          <w:rFonts w:hint="eastAsia" w:eastAsia="仿宋_GB2312" w:cs="仿宋_GB2312"/>
          <w:sz w:val="32"/>
          <w:szCs w:val="32"/>
        </w:rPr>
        <w:t>七、一般公共预算财政拨款支出决算明细表</w:t>
      </w:r>
      <w:bookmarkEnd w:id="58"/>
    </w:p>
    <w:p>
      <w:pPr>
        <w:pStyle w:val="15"/>
        <w:adjustRightInd w:val="0"/>
        <w:snapToGrid w:val="0"/>
        <w:spacing w:line="560" w:lineRule="exact"/>
        <w:jc w:val="left"/>
        <w:rPr>
          <w:rFonts w:eastAsia="仿宋_GB2312" w:cs="仿宋_GB2312"/>
          <w:sz w:val="32"/>
          <w:szCs w:val="32"/>
        </w:rPr>
      </w:pPr>
      <w:bookmarkStart w:id="59" w:name="_Toc15396626"/>
      <w:r>
        <w:rPr>
          <w:rFonts w:hint="eastAsia" w:eastAsia="仿宋_GB2312" w:cs="仿宋_GB2312"/>
          <w:sz w:val="32"/>
          <w:szCs w:val="32"/>
        </w:rPr>
        <w:t>八、一般公共预算财政拨款基本支出决算表</w:t>
      </w:r>
      <w:bookmarkEnd w:id="59"/>
    </w:p>
    <w:p>
      <w:pPr>
        <w:pStyle w:val="15"/>
        <w:adjustRightInd w:val="0"/>
        <w:snapToGrid w:val="0"/>
        <w:spacing w:line="560" w:lineRule="exact"/>
        <w:jc w:val="left"/>
        <w:rPr>
          <w:rFonts w:eastAsia="仿宋_GB2312" w:cs="仿宋_GB2312"/>
          <w:sz w:val="32"/>
          <w:szCs w:val="32"/>
        </w:rPr>
      </w:pPr>
      <w:bookmarkStart w:id="60" w:name="_Toc15396627"/>
      <w:r>
        <w:rPr>
          <w:rFonts w:hint="eastAsia" w:eastAsia="仿宋_GB2312" w:cs="仿宋_GB2312"/>
          <w:sz w:val="32"/>
          <w:szCs w:val="32"/>
        </w:rPr>
        <w:t>九、一般公共预算财政拨款项目支出决算表</w:t>
      </w:r>
      <w:bookmarkEnd w:id="60"/>
    </w:p>
    <w:p>
      <w:pPr>
        <w:pStyle w:val="15"/>
        <w:adjustRightInd w:val="0"/>
        <w:snapToGrid w:val="0"/>
        <w:spacing w:line="560" w:lineRule="exact"/>
        <w:jc w:val="left"/>
        <w:rPr>
          <w:rFonts w:eastAsia="仿宋_GB2312" w:cs="仿宋_GB2312"/>
          <w:sz w:val="32"/>
          <w:szCs w:val="32"/>
        </w:rPr>
      </w:pPr>
      <w:bookmarkStart w:id="61" w:name="_Toc15396628"/>
      <w:r>
        <w:rPr>
          <w:rFonts w:hint="eastAsia" w:eastAsia="仿宋_GB2312" w:cs="仿宋_GB2312"/>
          <w:sz w:val="32"/>
          <w:szCs w:val="32"/>
        </w:rPr>
        <w:t>十、</w:t>
      </w:r>
      <w:bookmarkEnd w:id="61"/>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62" w:name="_Toc15396629"/>
      <w:r>
        <w:rPr>
          <w:rFonts w:hint="eastAsia" w:eastAsia="仿宋_GB2312" w:cs="仿宋_GB2312"/>
          <w:sz w:val="32"/>
          <w:szCs w:val="32"/>
        </w:rPr>
        <w:t>十一、</w:t>
      </w:r>
      <w:bookmarkEnd w:id="62"/>
      <w:r>
        <w:rPr>
          <w:rFonts w:hint="eastAsia" w:eastAsia="仿宋_GB2312" w:cs="仿宋_GB2312"/>
          <w:sz w:val="32"/>
          <w:szCs w:val="32"/>
        </w:rPr>
        <w:t>国有资本经营预算财政拨款收入支出决算表</w:t>
      </w:r>
    </w:p>
    <w:p>
      <w:pPr>
        <w:pStyle w:val="15"/>
        <w:adjustRightInd w:val="0"/>
        <w:snapToGrid w:val="0"/>
        <w:spacing w:line="560" w:lineRule="exact"/>
        <w:jc w:val="left"/>
        <w:rPr>
          <w:rFonts w:eastAsia="仿宋_GB2312" w:cs="仿宋_GB2312"/>
          <w:sz w:val="32"/>
          <w:szCs w:val="32"/>
        </w:rPr>
      </w:pPr>
      <w:bookmarkStart w:id="63" w:name="_Toc15396630"/>
      <w:r>
        <w:rPr>
          <w:rFonts w:hint="eastAsia" w:eastAsia="仿宋_GB2312" w:cs="仿宋_GB2312"/>
          <w:sz w:val="32"/>
          <w:szCs w:val="32"/>
        </w:rPr>
        <w:t>十二、</w:t>
      </w:r>
      <w:bookmarkEnd w:id="63"/>
      <w:r>
        <w:rPr>
          <w:rFonts w:hint="eastAsia" w:eastAsia="仿宋_GB2312" w:cs="仿宋_GB2312"/>
          <w:sz w:val="32"/>
          <w:szCs w:val="32"/>
        </w:rPr>
        <w:t>国有资本经营预算财政拨款支出决算表</w:t>
      </w:r>
    </w:p>
    <w:p>
      <w:pPr>
        <w:pStyle w:val="15"/>
        <w:adjustRightInd w:val="0"/>
        <w:snapToGrid w:val="0"/>
        <w:spacing w:line="560" w:lineRule="exact"/>
        <w:jc w:val="left"/>
        <w:rPr>
          <w:rFonts w:eastAsia="仿宋_GB2312" w:cs="仿宋_GB2312"/>
          <w:sz w:val="32"/>
          <w:szCs w:val="32"/>
        </w:rPr>
      </w:pPr>
      <w:bookmarkStart w:id="64" w:name="_Toc15396631"/>
      <w:r>
        <w:rPr>
          <w:rFonts w:hint="eastAsia" w:eastAsia="仿宋_GB2312" w:cs="仿宋_GB2312"/>
          <w:sz w:val="32"/>
          <w:szCs w:val="32"/>
        </w:rPr>
        <w:t>十三、</w:t>
      </w:r>
      <w:bookmarkEnd w:id="64"/>
      <w:r>
        <w:rPr>
          <w:rFonts w:hint="eastAsia" w:eastAsia="仿宋_GB2312" w:cs="仿宋_GB2312"/>
          <w:sz w:val="32"/>
          <w:szCs w:val="32"/>
        </w:rPr>
        <w:t>财政拨款“三公”经费支出决算表</w:t>
      </w:r>
    </w:p>
    <w:p/>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173DC"/>
    <w:multiLevelType w:val="singleLevel"/>
    <w:tmpl w:val="718173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1B25697"/>
    <w:rsid w:val="23860B96"/>
    <w:rsid w:val="240371BF"/>
    <w:rsid w:val="244F3473"/>
    <w:rsid w:val="24C97D99"/>
    <w:rsid w:val="25A718F0"/>
    <w:rsid w:val="25BB59F6"/>
    <w:rsid w:val="260F557C"/>
    <w:rsid w:val="26970054"/>
    <w:rsid w:val="281408E2"/>
    <w:rsid w:val="29FD04D3"/>
    <w:rsid w:val="2A4A0727"/>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78D4E50"/>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A83371"/>
    <w:rsid w:val="567E1AA5"/>
    <w:rsid w:val="56E47B74"/>
    <w:rsid w:val="57175D52"/>
    <w:rsid w:val="57BD3DD4"/>
    <w:rsid w:val="57D97A42"/>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7BD69F6"/>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A861A6"/>
    <w:rsid w:val="74BBD01D"/>
    <w:rsid w:val="74ED5379"/>
    <w:rsid w:val="75AF5307"/>
    <w:rsid w:val="75DEEEC2"/>
    <w:rsid w:val="75E32345"/>
    <w:rsid w:val="76E3355F"/>
    <w:rsid w:val="76FF5125"/>
    <w:rsid w:val="776F6FFA"/>
    <w:rsid w:val="778769C8"/>
    <w:rsid w:val="77A75DCA"/>
    <w:rsid w:val="77DC22F5"/>
    <w:rsid w:val="783E271A"/>
    <w:rsid w:val="78616DE9"/>
    <w:rsid w:val="78E875D7"/>
    <w:rsid w:val="79086DAD"/>
    <w:rsid w:val="79731F5E"/>
    <w:rsid w:val="79883182"/>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link w:val="19"/>
    <w:semiHidden/>
    <w:unhideWhenUsed/>
    <w:qFormat/>
    <w:uiPriority w:val="1"/>
    <w:rPr>
      <w:rFonts w:ascii="Verdana" w:hAnsi="Verdana" w:eastAsia="仿宋_GB2312" w:cs="Verdana"/>
      <w:kern w:val="0"/>
      <w:sz w:val="24"/>
      <w:szCs w:val="24"/>
      <w:lang w:eastAsia="en-US"/>
    </w:rPr>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hint="default" w:eastAsia="Times New Roman"/>
      <w:sz w:val="32"/>
      <w:szCs w:val="32"/>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qFormat/>
    <w:uiPriority w:val="0"/>
    <w:pPr>
      <w:spacing w:line="240" w:lineRule="atLeast"/>
      <w:jc w:val="center"/>
    </w:pPr>
    <w:rPr>
      <w:rFonts w:ascii="Cambria" w:hAnsi="Cambria" w:eastAsia="宋体"/>
      <w:b/>
      <w:bCs/>
      <w:szCs w:val="32"/>
    </w:rPr>
  </w:style>
  <w:style w:type="paragraph" w:customStyle="1" w:styleId="19">
    <w:name w:val="_Style 4"/>
    <w:basedOn w:val="1"/>
    <w:link w:val="18"/>
    <w:qFormat/>
    <w:uiPriority w:val="0"/>
    <w:pPr>
      <w:widowControl/>
      <w:spacing w:after="160" w:line="240" w:lineRule="exact"/>
      <w:jc w:val="left"/>
    </w:pPr>
    <w:rPr>
      <w:rFonts w:ascii="Verdana" w:hAnsi="Verdana" w:eastAsia="仿宋_GB2312" w:cs="Verdana"/>
      <w:kern w:val="0"/>
      <w:sz w:val="24"/>
      <w:szCs w:val="24"/>
      <w:lang w:eastAsia="en-US"/>
    </w:rPr>
  </w:style>
  <w:style w:type="character" w:styleId="20">
    <w:name w:val="Strong"/>
    <w:basedOn w:val="18"/>
    <w:qFormat/>
    <w:uiPriority w:val="99"/>
    <w:rPr>
      <w:b/>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3"/>
    <w:qFormat/>
    <w:uiPriority w:val="9"/>
    <w:rPr>
      <w:rFonts w:ascii="Times New Roman" w:hAnsi="Times New Roman"/>
      <w:b/>
      <w:bCs/>
      <w:kern w:val="44"/>
      <w:sz w:val="44"/>
      <w:szCs w:val="44"/>
    </w:rPr>
  </w:style>
  <w:style w:type="character" w:customStyle="1" w:styleId="32">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0"/>
    <w:semiHidden/>
    <w:qFormat/>
    <w:uiPriority w:val="99"/>
    <w:rPr>
      <w:rFonts w:ascii="Times New Roman" w:hAnsi="Times New Roman"/>
      <w:kern w:val="2"/>
      <w:sz w:val="18"/>
      <w:szCs w:val="18"/>
    </w:rPr>
  </w:style>
  <w:style w:type="character" w:customStyle="1" w:styleId="35">
    <w:name w:val="标题 3 Char"/>
    <w:basedOn w:val="18"/>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图1   收入、支出决算总计变动情况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[2021决算公开图表.xls]Sheet1!$A$58</c:f>
              <c:strCache>
                <c:ptCount val="1"/>
                <c:pt idx="0">
                  <c:v>收入、支出总计</c:v>
                </c:pt>
              </c:strCache>
            </c:strRef>
          </c:tx>
          <c:spPr>
            <a:solidFill>
              <a:srgbClr val="9999FF"/>
            </a:solidFill>
            <a:ln w="12700">
              <a:solidFill>
                <a:srgbClr val="000000">
                  <a:alpha val="100000"/>
                </a:srgbClr>
              </a:solidFill>
              <a:prstDash val="solid"/>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[2021决算公开图表.xls]Sheet1!$B$58:$C$58</c:f>
              <c:numCache>
                <c:formatCode>General</c:formatCode>
                <c:ptCount val="2"/>
                <c:pt idx="0">
                  <c:v>2024</c:v>
                </c:pt>
                <c:pt idx="1">
                  <c:v>2023</c:v>
                </c:pt>
              </c:numCache>
            </c:numRef>
          </c:cat>
          <c:val>
            <c:numRef>
              <c:f>[2021决算公开图表.xls]Sheet1!$B$59:$C$59</c:f>
              <c:numCache>
                <c:formatCode>General</c:formatCode>
                <c:ptCount val="2"/>
                <c:pt idx="0">
                  <c:v>517.66</c:v>
                </c:pt>
                <c:pt idx="1">
                  <c:v>570.55</c:v>
                </c:pt>
              </c:numCache>
            </c:numRef>
          </c:val>
        </c:ser>
        <c:dLbls>
          <c:showLegendKey val="0"/>
          <c:showVal val="0"/>
          <c:showCatName val="0"/>
          <c:showSerName val="0"/>
          <c:showPercent val="0"/>
          <c:showBubbleSize val="0"/>
        </c:dLbls>
        <c:gapWidth val="150"/>
        <c:overlap val="0"/>
        <c:axId val="667332664"/>
        <c:axId val="575980716"/>
      </c:barChart>
      <c:catAx>
        <c:axId val="667332664"/>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575980716"/>
        <c:crosses val="autoZero"/>
        <c:auto val="1"/>
        <c:lblAlgn val="ctr"/>
        <c:lblOffset val="100"/>
        <c:noMultiLvlLbl val="0"/>
      </c:catAx>
      <c:valAx>
        <c:axId val="575980716"/>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667332664"/>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8295"/>
          <c:y val="0.49025"/>
          <c:w val="0.141843971631206"/>
          <c:h val="0.138951825090437"/>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图2    收入决算结构图</a:t>
            </a:r>
            <a:endParaRPr sz="16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Pt>
            <c:idx val="3"/>
            <c:bubble3D val="0"/>
            <c:explosion val="0"/>
            <c:spPr>
              <a:solidFill>
                <a:srgbClr val="CCFFFF"/>
              </a:solidFill>
              <a:ln w="12700">
                <a:solidFill>
                  <a:srgbClr val="000000">
                    <a:alpha val="100000"/>
                  </a:srgbClr>
                </a:solidFill>
                <a:prstDash val="solid"/>
              </a:ln>
              <a:effectLst/>
            </c:spPr>
          </c:dPt>
          <c:dPt>
            <c:idx val="4"/>
            <c:bubble3D val="0"/>
            <c:explosion val="0"/>
            <c:spPr>
              <a:solidFill>
                <a:srgbClr val="660066"/>
              </a:solidFill>
              <a:ln w="12700">
                <a:solidFill>
                  <a:srgbClr val="000000">
                    <a:alpha val="100000"/>
                  </a:srgbClr>
                </a:solidFill>
                <a:prstDash val="solid"/>
              </a:ln>
              <a:effectLst/>
            </c:spPr>
          </c:dPt>
          <c:dPt>
            <c:idx val="5"/>
            <c:bubble3D val="0"/>
            <c:explosion val="0"/>
            <c:spPr>
              <a:solidFill>
                <a:srgbClr val="FF8080"/>
              </a:solidFill>
              <a:ln w="12700">
                <a:solidFill>
                  <a:srgbClr val="000000">
                    <a:alpha val="100000"/>
                  </a:srgbClr>
                </a:solidFill>
                <a:prstDash val="solid"/>
              </a:ln>
              <a:effectLst/>
            </c:spPr>
          </c:dPt>
          <c:dLbls>
            <c:dLbl>
              <c:idx val="0"/>
              <c:layout>
                <c:manualLayout>
                  <c:x val="0.130433933132968"/>
                  <c:y val="-0.180059994497519"/>
                </c:manualLayout>
              </c:layout>
              <c:tx>
                <c:rich>
                  <a:bodyPr rot="0" spcFirstLastPara="0" vertOverflow="ellipsis" vert="horz" wrap="square" lIns="38100" tIns="19050" rIns="38100" bIns="19050" anchor="ctr" anchorCtr="1"/>
                  <a:lstStyle/>
                  <a:p>
                    <a:pPr algn="ctr" defTabSz="914400">
                      <a:defRPr lang="zh-CN" sz="1000" b="0" i="0" u="none" strike="noStrike" kern="1200" baseline="0">
                        <a:solidFill>
                          <a:srgbClr val="000000">
                            <a:alpha val="100000"/>
                          </a:srgbClr>
                        </a:solidFill>
                        <a:latin typeface="+mn-lt"/>
                        <a:ea typeface="+mn-ea"/>
                        <a:cs typeface="+mn-cs"/>
                      </a:defRPr>
                    </a:pPr>
                    <a:r>
                      <a:rPr altLang="en-US" sz="1200" b="0" i="0" u="none" strike="noStrike" baseline="0">
                        <a:solidFill>
                          <a:srgbClr val="000000"/>
                        </a:solidFill>
                        <a:latin typeface="宋体" panose="02010600030101010101" charset="-122"/>
                        <a:ea typeface="宋体" panose="02010600030101010101" charset="-122"/>
                        <a:cs typeface="宋体" panose="02010600030101010101" charset="-122"/>
                      </a:rPr>
                      <a:t>一般公共预算财政拨款收入</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a:p>
                    <a:pPr algn="ctr" defTabSz="914400">
                      <a:defRPr lang="zh-CN" sz="1000" b="0" i="0" u="none" strike="noStrike" kern="1200" baseline="0">
                        <a:solidFill>
                          <a:srgbClr val="000000">
                            <a:alpha val="100000"/>
                          </a:srgbClr>
                        </a:solidFill>
                        <a:latin typeface="+mn-lt"/>
                        <a:ea typeface="+mn-ea"/>
                        <a:cs typeface="+mn-cs"/>
                      </a:defRPr>
                    </a:pP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517.66</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100</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000000">
                          <a:alpha val="100000"/>
                        </a:srgbClr>
                      </a:solidFill>
                      <a:latin typeface="+mn-lt"/>
                      <a:ea typeface="+mn-ea"/>
                      <a:cs typeface="+mn-cs"/>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1"/>
              <c:layout>
                <c:manualLayout>
                  <c:x val="-0.218138362123409"/>
                  <c:y val="0.25216435826135"/>
                </c:manualLayout>
              </c:layout>
              <c:tx>
                <c:rich>
                  <a:bodyPr rot="0" spcFirstLastPara="0" vertOverflow="ellipsis" vert="horz" wrap="square" lIns="38100" tIns="19050" rIns="38100" bIns="19050" anchor="ctr" anchorCtr="1"/>
                  <a:lstStyle/>
                  <a:p>
                    <a:pPr algn="ctr" defTabSz="914400">
                      <a:defRPr lang="zh-CN" sz="1000" b="0" i="0" u="none" strike="noStrike" kern="1200" baseline="0">
                        <a:solidFill>
                          <a:srgbClr val="000000">
                            <a:alpha val="100000"/>
                          </a:srgbClr>
                        </a:solidFill>
                        <a:latin typeface="+mn-lt"/>
                        <a:ea typeface="+mn-ea"/>
                        <a:cs typeface="+mn-cs"/>
                      </a:defRPr>
                    </a:pPr>
                    <a:r>
                      <a:rPr altLang="en-US" sz="1200" b="0" i="0" u="none" strike="noStrike" baseline="0">
                        <a:solidFill>
                          <a:srgbClr val="000000"/>
                        </a:solidFill>
                        <a:latin typeface="宋体" panose="02010600030101010101" charset="-122"/>
                        <a:ea typeface="宋体" panose="02010600030101010101" charset="-122"/>
                        <a:cs typeface="宋体" panose="02010600030101010101" charset="-122"/>
                      </a:rPr>
                      <a:t>政府性基金预算财政拨款收入</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a:p>
                    <a:pPr algn="ctr" defTabSz="914400">
                      <a:defRPr lang="zh-CN" sz="1000" b="0" i="0" u="none" strike="noStrike" kern="1200" baseline="0">
                        <a:solidFill>
                          <a:srgbClr val="000000">
                            <a:alpha val="100000"/>
                          </a:srgbClr>
                        </a:solidFill>
                        <a:latin typeface="+mn-lt"/>
                        <a:ea typeface="+mn-ea"/>
                        <a:cs typeface="+mn-cs"/>
                      </a:defRPr>
                    </a:pP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0</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0</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000000">
                          <a:alpha val="100000"/>
                        </a:srgbClr>
                      </a:solidFill>
                      <a:latin typeface="+mn-lt"/>
                      <a:ea typeface="+mn-ea"/>
                      <a:cs typeface="+mn-cs"/>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2"/>
              <c:layout>
                <c:manualLayout>
                  <c:x val="0.105189340813464"/>
                  <c:y val="0.17183194828905"/>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国有资本经营预算财政拨款收入</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0, 0%</a:t>
                    </a:r>
                    <a:endPara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0.220835210157743"/>
                  <c:y val="0.396108956604434"/>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事业收入</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0, 0%</a:t>
                    </a:r>
                    <a:endPara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208212489260128"/>
                  <c:y val="0.5817045244714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附属单位上缴收入0, 0%</a:t>
                    </a:r>
                    <a:endPara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5"/>
              <c:layout>
                <c:manualLayout>
                  <c:x val="0.165651580890562"/>
                  <c:y val="0.324086795939614"/>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其他收入</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0, 0%</a:t>
                    </a:r>
                    <a:endPara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[2021决算公开图表.xls]Sheet1!$C$3:$C$8</c:f>
              <c:numCache>
                <c:formatCode>General</c:formatCode>
                <c:ptCount val="6"/>
                <c:pt idx="0">
                  <c:v>517.66</c:v>
                </c:pt>
                <c:pt idx="1">
                  <c:v>0</c:v>
                </c:pt>
                <c:pt idx="2">
                  <c:v>0</c:v>
                </c:pt>
                <c:pt idx="3">
                  <c:v>0</c:v>
                </c:pt>
                <c:pt idx="4">
                  <c:v>0</c:v>
                </c:pt>
                <c:pt idx="5">
                  <c:v>0</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Pt>
            <c:idx val="3"/>
            <c:bubble3D val="0"/>
            <c:explosion val="0"/>
            <c:spPr>
              <a:solidFill>
                <a:srgbClr val="CCFFFF"/>
              </a:solidFill>
              <a:ln w="12700">
                <a:solidFill>
                  <a:srgbClr val="000000"/>
                </a:solidFill>
                <a:prstDash val="solid"/>
              </a:ln>
              <a:effectLst/>
            </c:spPr>
          </c:dPt>
          <c:dPt>
            <c:idx val="4"/>
            <c:bubble3D val="0"/>
            <c:explosion val="0"/>
            <c:spPr>
              <a:solidFill>
                <a:srgbClr val="660066"/>
              </a:solidFill>
              <a:ln w="12700">
                <a:solidFill>
                  <a:srgbClr val="000000"/>
                </a:solidFill>
                <a:prstDash val="solid"/>
              </a:ln>
              <a:effectLst/>
            </c:spPr>
          </c:dPt>
          <c:dPt>
            <c:idx val="5"/>
            <c:bubble3D val="0"/>
            <c:explosion val="0"/>
            <c:spPr>
              <a:solidFill>
                <a:srgbClr val="FF8080"/>
              </a:solidFill>
              <a:ln w="12700">
                <a:solidFill>
                  <a:srgbClr val="000000"/>
                </a:solidFill>
                <a:prstDash val="solid"/>
              </a:ln>
              <a:effectLst/>
            </c:spPr>
          </c:dPt>
          <c:dLbls>
            <c:delete val="1"/>
          </c:dLbls>
          <c:cat>
            <c:strRef>
              <c:f>[2021决算公开图表.xls]Sheet1!$B$3:$B$8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[2021决算公开图表.xls]Sheet1!$D$3:$D$8</c:f>
              <c:numCache>
                <c:formatCode>0.00%</c:formatCode>
                <c:ptCount val="6"/>
                <c:pt idx="0">
                  <c:v>1</c:v>
                </c:pt>
                <c:pt idx="1">
                  <c:v>0</c:v>
                </c:pt>
                <c:pt idx="2" c:formatCode="0%">
                  <c:v>0</c:v>
                </c:pt>
                <c:pt idx="3" c:formatCode="0%">
                  <c:v>0</c:v>
                </c:pt>
                <c:pt idx="4" c:formatCode="0%">
                  <c:v>0</c:v>
                </c:pt>
                <c:pt idx="5"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1768887817809"/>
          <c:y val="0.12549838617809"/>
          <c:w val="0.265212676226051"/>
          <c:h val="0.681792291627112"/>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图3    支出决算结构图</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Pt>
            <c:idx val="3"/>
            <c:bubble3D val="0"/>
            <c:explosion val="0"/>
            <c:spPr>
              <a:solidFill>
                <a:srgbClr val="CCFFFF"/>
              </a:solidFill>
              <a:ln w="12700">
                <a:solidFill>
                  <a:srgbClr val="000000">
                    <a:alpha val="100000"/>
                  </a:srgbClr>
                </a:solidFill>
                <a:prstDash val="solid"/>
              </a:ln>
              <a:effectLst/>
            </c:spPr>
          </c:dPt>
          <c:dPt>
            <c:idx val="4"/>
            <c:bubble3D val="0"/>
            <c:explosion val="0"/>
            <c:spPr>
              <a:solidFill>
                <a:srgbClr val="660066"/>
              </a:solidFill>
              <a:ln w="12700">
                <a:solidFill>
                  <a:srgbClr val="000000">
                    <a:alpha val="100000"/>
                  </a:srgbClr>
                </a:solidFill>
                <a:prstDash val="solid"/>
              </a:ln>
              <a:effectLst/>
            </c:spPr>
          </c:dPt>
          <c:dLbls>
            <c:dLbl>
              <c:idx val="0"/>
              <c:layout>
                <c:manualLayout>
                  <c:x val="-0.0822873082287308"/>
                  <c:y val="-0.24104174362763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基本支出,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431.19,83.30</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37701713993349"/>
                      <c:h val="0.170668636867381"/>
                    </c:manualLayout>
                  </c15:layout>
                </c:ext>
              </c:extLst>
            </c:dLbl>
            <c:dLbl>
              <c:idx val="1"/>
              <c:layout>
                <c:manualLayout>
                  <c:x val="-0.102937620498869"/>
                  <c:y val="0.119163803308909"/>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项目支出</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86.48,16.70%</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46655410590944"/>
                      <c:h val="0.170668636867381"/>
                    </c:manualLayout>
                  </c15:layout>
                </c:ext>
              </c:extLst>
            </c:dLbl>
            <c:dLbl>
              <c:idx val="2"/>
              <c:layout>
                <c:manualLayout>
                  <c:x val="-0.33999749531978"/>
                  <c:y val="0.526724048759712"/>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164574616457462"/>
                  <c:y val="0.0969708164019209"/>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110181311018131"/>
                  <c:y val="0.32415958625785"/>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[2021决算公开图表.xls]Sheet1!$B$34:$B$38</c:f>
              <c:strCache>
                <c:ptCount val="5"/>
                <c:pt idx="0">
                  <c:v>基本支出</c:v>
                </c:pt>
                <c:pt idx="1">
                  <c:v>项目支出</c:v>
                </c:pt>
                <c:pt idx="2">
                  <c:v>上缴上级支出</c:v>
                </c:pt>
                <c:pt idx="3">
                  <c:v>经营支出</c:v>
                </c:pt>
                <c:pt idx="4">
                  <c:v>对附属单位补助支出</c:v>
                </c:pt>
              </c:strCache>
            </c:strRef>
          </c:cat>
          <c:val>
            <c:numRef>
              <c:f>[2021决算公开图表.xls]Sheet1!$C$34:$C$38</c:f>
              <c:numCache>
                <c:formatCode>General</c:formatCode>
                <c:ptCount val="5"/>
                <c:pt idx="0">
                  <c:v>431.19</c:v>
                </c:pt>
                <c:pt idx="1">
                  <c:v>86.48</c:v>
                </c:pt>
                <c:pt idx="2">
                  <c:v>0</c:v>
                </c:pt>
                <c:pt idx="3">
                  <c:v>0</c:v>
                </c:pt>
                <c:pt idx="4">
                  <c:v>0</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Pt>
            <c:idx val="3"/>
            <c:bubble3D val="0"/>
            <c:explosion val="0"/>
            <c:spPr>
              <a:solidFill>
                <a:srgbClr val="CCFFFF"/>
              </a:solidFill>
              <a:ln w="12700">
                <a:solidFill>
                  <a:srgbClr val="000000"/>
                </a:solidFill>
                <a:prstDash val="solid"/>
              </a:ln>
              <a:effectLst/>
            </c:spPr>
          </c:dPt>
          <c:dPt>
            <c:idx val="4"/>
            <c:bubble3D val="0"/>
            <c:explosion val="0"/>
            <c:spPr>
              <a:solidFill>
                <a:srgbClr val="660066"/>
              </a:solidFill>
              <a:ln w="12700">
                <a:solidFill>
                  <a:srgbClr val="000000"/>
                </a:solidFill>
                <a:prstDash val="solid"/>
              </a:ln>
              <a:effectLst/>
            </c:spPr>
          </c:dPt>
          <c:dLbls>
            <c:delete val="1"/>
          </c:dLbls>
          <c:cat>
            <c:strRef>
              <c:f>[2021决算公开图表.xls]Sheet1!$B$34:$B$38</c:f>
              <c:strCache>
                <c:ptCount val="5"/>
                <c:pt idx="0">
                  <c:v>基本支出</c:v>
                </c:pt>
                <c:pt idx="1">
                  <c:v>项目支出</c:v>
                </c:pt>
                <c:pt idx="2">
                  <c:v>上缴上级支出</c:v>
                </c:pt>
                <c:pt idx="3">
                  <c:v>经营支出</c:v>
                </c:pt>
                <c:pt idx="4">
                  <c:v>对附属单位补助支出</c:v>
                </c:pt>
              </c:strCache>
            </c:strRef>
          </c:cat>
          <c:val>
            <c:numRef>
              <c:f>[2021决算公开图表.xls]Sheet1!$D$34:$D$38</c:f>
              <c:numCache>
                <c:formatCode>0.00%</c:formatCode>
                <c:ptCount val="5"/>
                <c:pt idx="0">
                  <c:v>0.833</c:v>
                </c:pt>
                <c:pt idx="1">
                  <c:v>0.167</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0376055257099"/>
          <c:y val="0.130033247137052"/>
          <c:w val="0.242133537989256"/>
          <c:h val="0.714813446619874"/>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图4    财政拨款收、支总计决算变动情况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[2021决算公开图表.xls]Sheet1!$A$168</c:f>
              <c:strCache>
                <c:ptCount val="1"/>
                <c:pt idx="0">
                  <c:v>财政拨款收入、支出总计</c:v>
                </c:pt>
              </c:strCache>
            </c:strRef>
          </c:tx>
          <c:spPr>
            <a:solidFill>
              <a:srgbClr val="9999FF"/>
            </a:solidFill>
            <a:ln w="12700">
              <a:solidFill>
                <a:srgbClr val="000000">
                  <a:alpha val="100000"/>
                </a:srgbClr>
              </a:solidFill>
              <a:prstDash val="solid"/>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[2021决算公开图表.xls]Sheet1!$B$167:$C$167</c:f>
              <c:strCache>
                <c:ptCount val="2"/>
                <c:pt idx="0">
                  <c:v>2024年</c:v>
                </c:pt>
                <c:pt idx="1">
                  <c:v>2023年</c:v>
                </c:pt>
              </c:strCache>
            </c:strRef>
          </c:cat>
          <c:val>
            <c:numRef>
              <c:f>[2021决算公开图表.xls]Sheet1!$B$168:$C$168</c:f>
              <c:numCache>
                <c:formatCode>General</c:formatCode>
                <c:ptCount val="2"/>
                <c:pt idx="0">
                  <c:v>517.66</c:v>
                </c:pt>
                <c:pt idx="1">
                  <c:v>570.55</c:v>
                </c:pt>
              </c:numCache>
            </c:numRef>
          </c:val>
        </c:ser>
        <c:dLbls>
          <c:showLegendKey val="0"/>
          <c:showVal val="0"/>
          <c:showCatName val="0"/>
          <c:showSerName val="0"/>
          <c:showPercent val="0"/>
          <c:showBubbleSize val="0"/>
        </c:dLbls>
        <c:gapWidth val="150"/>
        <c:overlap val="0"/>
        <c:axId val="935926470"/>
        <c:axId val="278720902"/>
      </c:barChart>
      <c:catAx>
        <c:axId val="935926470"/>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278720902"/>
        <c:crosses val="autoZero"/>
        <c:auto val="1"/>
        <c:lblAlgn val="ctr"/>
        <c:lblOffset val="100"/>
        <c:noMultiLvlLbl val="0"/>
      </c:catAx>
      <c:valAx>
        <c:axId val="278720902"/>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935926470"/>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834"/>
          <c:y val="0.4735"/>
          <c:w val="0.163069544364508"/>
          <c:h val="0.195220470505879"/>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图5      一般公共预算财政拨款支出决算变动情况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[2021决算公开图表.xls]Sheet1!$B$84:$C$84</c:f>
              <c:strCache>
                <c:ptCount val="2"/>
                <c:pt idx="0">
                  <c:v>2024年</c:v>
                </c:pt>
                <c:pt idx="1">
                  <c:v>2023年</c:v>
                </c:pt>
              </c:strCache>
            </c:strRef>
          </c:cat>
          <c:val>
            <c:numRef>
              <c:f>[2021决算公开图表.xls]Sheet1!$B$85:$C$85</c:f>
              <c:numCache>
                <c:formatCode>General</c:formatCode>
                <c:ptCount val="2"/>
                <c:pt idx="0">
                  <c:v>517.66</c:v>
                </c:pt>
                <c:pt idx="1">
                  <c:v>570.55</c:v>
                </c:pt>
              </c:numCache>
            </c:numRef>
          </c:val>
        </c:ser>
        <c:dLbls>
          <c:showLegendKey val="0"/>
          <c:showVal val="0"/>
          <c:showCatName val="0"/>
          <c:showSerName val="0"/>
          <c:showPercent val="0"/>
          <c:showBubbleSize val="0"/>
        </c:dLbls>
        <c:gapWidth val="150"/>
        <c:overlap val="0"/>
        <c:axId val="426054408"/>
        <c:axId val="924487752"/>
      </c:barChart>
      <c:catAx>
        <c:axId val="426054408"/>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924487752"/>
        <c:crosses val="autoZero"/>
        <c:auto val="1"/>
        <c:lblAlgn val="ctr"/>
        <c:lblOffset val="100"/>
        <c:noMultiLvlLbl val="0"/>
      </c:catAx>
      <c:valAx>
        <c:axId val="924487752"/>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426054408"/>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87495482471991"/>
          <c:y val="0.269348388614444"/>
          <c:w val="0.198530297554512"/>
          <c:h val="0.47635850388144"/>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图6    一般公共预算财政拨款支出决算结构</a:t>
            </a:r>
            <a:endParaRPr sz="1425"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925479618915"/>
          <c:y val="0.0179802217560683"/>
        </c:manualLayout>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Pt>
            <c:idx val="3"/>
            <c:bubble3D val="0"/>
            <c:explosion val="0"/>
            <c:spPr>
              <a:solidFill>
                <a:srgbClr val="CCFFFF"/>
              </a:solidFill>
              <a:ln w="12700">
                <a:solidFill>
                  <a:srgbClr val="000000">
                    <a:alpha val="100000"/>
                  </a:srgbClr>
                </a:solidFill>
                <a:prstDash val="solid"/>
              </a:ln>
              <a:effectLst/>
            </c:spPr>
          </c:dPt>
          <c:dPt>
            <c:idx val="4"/>
            <c:bubble3D val="0"/>
            <c:explosion val="0"/>
            <c:spPr>
              <a:solidFill>
                <a:schemeClr val="accent2"/>
              </a:solidFill>
              <a:ln w="12700">
                <a:solidFill>
                  <a:srgbClr val="000000">
                    <a:alpha val="100000"/>
                  </a:srgbClr>
                </a:solidFill>
                <a:prstDash val="solid"/>
              </a:ln>
              <a:effectLst/>
            </c:spPr>
          </c:dPt>
          <c:dLbls>
            <c:dLbl>
              <c:idx val="0"/>
              <c:layout>
                <c:manualLayout>
                  <c:x val="-0.111878453038674"/>
                  <c:y val="-0.24655604257983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一般公共服务支出,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363.09</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70.14</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0552486187845304"/>
                  <c:y val="0.0966436919388673"/>
                </c:manualLayout>
              </c:layout>
              <c:tx>
                <c:rich>
                  <a:bodyPr rot="0" spcFirstLastPara="0" vertOverflow="ellipsis" horzOverflow="overflow"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社会保障和就业支出, </a:t>
                    </a:r>
                    <a:r>
                      <a:rPr lang="en-US" altLang="zh-CN"/>
                      <a:t>44.77</a:t>
                    </a:r>
                    <a:r>
                      <a:t>, </a:t>
                    </a:r>
                    <a:r>
                      <a:rPr lang="en-US" altLang="zh-CN"/>
                      <a:t>8.65</a:t>
                    </a:r>
                    <a:r>
                      <a:t>%</a:t>
                    </a:r>
                    <a:endPar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205801104972376"/>
                  <c:y val="0.0179802217560683"/>
                </c:manualLayout>
              </c:layout>
              <c:tx>
                <c:rich>
                  <a:bodyPr rot="0" spcFirstLastPara="0" vertOverflow="ellipsis" horzOverflow="overflow"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住房保障支出, </a:t>
                    </a:r>
                    <a:r>
                      <a:rPr lang="en-US" altLang="zh-CN"/>
                      <a:t>30.94</a:t>
                    </a:r>
                    <a:r>
                      <a:t>, </a:t>
                    </a:r>
                    <a:r>
                      <a:rPr lang="en-US" altLang="zh-CN"/>
                      <a:t>5.98</a:t>
                    </a:r>
                    <a:r>
                      <a:t>%</a:t>
                    </a:r>
                    <a:endPar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00276243093922652"/>
                  <c:y val="0.00899011087803416"/>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164372203675361"/>
                  <c:y val="0.0313639198527243"/>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卫生健康支出, 30.4, </a:t>
                    </a:r>
                    <a:r>
                      <a:rPr lang="en-US" altLang="zh-CN"/>
                      <a:t>5.87</a:t>
                    </a:r>
                    <a:r>
                      <a:t>%</a:t>
                    </a:r>
                  </a:p>
                </c:rich>
              </c:tx>
              <c:numFmt formatCode="0.00%"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25"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[2021决算公开图表.xls]Sheet1!$A$110:$A$114</c:f>
              <c:strCache>
                <c:ptCount val="5"/>
                <c:pt idx="0">
                  <c:v>一般公共服务支出</c:v>
                </c:pt>
                <c:pt idx="1">
                  <c:v>社会保障和就业支出</c:v>
                </c:pt>
                <c:pt idx="2">
                  <c:v>住房保障支出</c:v>
                </c:pt>
                <c:pt idx="3">
                  <c:v>公共安全支出</c:v>
                </c:pt>
                <c:pt idx="4">
                  <c:v>卫生健康支出</c:v>
                </c:pt>
              </c:strCache>
            </c:strRef>
          </c:cat>
          <c:val>
            <c:numRef>
              <c:f>[2021决算公开图表.xls]Sheet1!$B$110:$B$114</c:f>
              <c:numCache>
                <c:formatCode>General</c:formatCode>
                <c:ptCount val="5"/>
                <c:pt idx="0">
                  <c:v>363.09</c:v>
                </c:pt>
                <c:pt idx="1">
                  <c:v>44.77</c:v>
                </c:pt>
                <c:pt idx="2">
                  <c:v>30.94</c:v>
                </c:pt>
                <c:pt idx="3">
                  <c:v>48.47</c:v>
                </c:pt>
                <c:pt idx="4">
                  <c:v>30.4</c:v>
                </c:pt>
              </c:numCache>
            </c:numRef>
          </c:val>
        </c:ser>
        <c:ser>
          <c:idx val="1"/>
          <c:order val="1"/>
          <c:explosion val="0"/>
          <c:dPt>
            <c:idx val="0"/>
            <c:bubble3D val="0"/>
          </c:dPt>
          <c:dPt>
            <c:idx val="1"/>
            <c:bubble3D val="0"/>
          </c:dPt>
          <c:dPt>
            <c:idx val="2"/>
            <c:bubble3D val="0"/>
          </c:dPt>
          <c:dPt>
            <c:idx val="3"/>
            <c:bubble3D val="0"/>
          </c:dPt>
          <c:dPt>
            <c:idx val="4"/>
            <c:bubble3D val="0"/>
          </c:dPt>
          <c:dLbls>
            <c:delete val="1"/>
          </c:dLbls>
          <c:cat>
            <c:strRef>
              <c:f>[2021决算公开图表.xls]Sheet1!$A$110:$A$114</c:f>
              <c:strCache>
                <c:ptCount val="5"/>
                <c:pt idx="0">
                  <c:v>一般公共服务支出</c:v>
                </c:pt>
                <c:pt idx="1">
                  <c:v>社会保障和就业支出</c:v>
                </c:pt>
                <c:pt idx="2">
                  <c:v>住房保障支出</c:v>
                </c:pt>
                <c:pt idx="3">
                  <c:v>公共安全支出</c:v>
                </c:pt>
                <c:pt idx="4">
                  <c:v>卫生健康支出</c:v>
                </c:pt>
              </c:strCache>
            </c:strRef>
          </c:cat>
          <c:val>
            <c:numRef>
              <c:f>[2021决算公开图表.xls]Sheet1!$C$110:$C$114</c:f>
              <c:numCache>
                <c:formatCode>0.00%</c:formatCode>
                <c:ptCount val="5"/>
                <c:pt idx="0">
                  <c:v>0.7014</c:v>
                </c:pt>
                <c:pt idx="1">
                  <c:v>0.0865</c:v>
                </c:pt>
                <c:pt idx="2">
                  <c:v>0.0598</c:v>
                </c:pt>
                <c:pt idx="3">
                  <c:v>0.0936</c:v>
                </c:pt>
                <c:pt idx="4">
                  <c:v>0.0587</c:v>
                </c:pt>
              </c:numCache>
            </c:numRef>
          </c:val>
        </c:ser>
        <c:ser>
          <c:idx val="2"/>
          <c:order val="2"/>
          <c:tx>
            <c:strRef>
              <c:f>[2021决算公开图表.xls]Sheet1!$A$113</c:f>
              <c:strCache>
                <c:ptCount val="1"/>
                <c:pt idx="0">
                  <c:v>公共安全支出</c:v>
                </c:pt>
              </c:strCache>
            </c:strRef>
          </c:tx>
          <c:explosion val="0"/>
          <c:dPt>
            <c:idx val="0"/>
            <c:bubble3D val="0"/>
          </c:dPt>
          <c:dLbls>
            <c:delete val="1"/>
          </c:dLbls>
          <c:cat>
            <c:strRef>
              <c:f>[2021决算公开图表.xls]Sheet1!$A$110:$A$114</c:f>
              <c:strCache>
                <c:ptCount val="5"/>
                <c:pt idx="0">
                  <c:v>一般公共服务支出</c:v>
                </c:pt>
                <c:pt idx="1">
                  <c:v>社会保障和就业支出</c:v>
                </c:pt>
                <c:pt idx="2">
                  <c:v>住房保障支出</c:v>
                </c:pt>
                <c:pt idx="3">
                  <c:v>公共安全支出</c:v>
                </c:pt>
                <c:pt idx="4">
                  <c:v>卫生健康支出</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Arial" panose="020B0604020202020204" pitchFamily="2" charset="0"/>
                <a:ea typeface="Arial" panose="020B0604020202020204" pitchFamily="2" charset="0"/>
                <a:cs typeface="Arial" panose="020B0604020202020204" pitchFamily="2" charset="0"/>
              </a:rPr>
              <a:t>7</a:t>
            </a:r>
            <a:r>
              <a:rPr sz="1400" b="0" i="0" u="none" strike="noStrike" baseline="0">
                <a:solidFill>
                  <a:srgbClr val="000000"/>
                </a:solidFill>
                <a:latin typeface="宋体" panose="02010600030101010101" charset="-122"/>
                <a:ea typeface="宋体" panose="02010600030101010101" charset="-122"/>
                <a:cs typeface="宋体" panose="02010600030101010101" charset="-122"/>
              </a:rPr>
              <a:t>  “三公”经费财政拨款支出结构</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67368596216539"/>
          <c:y val="0.0221606648199446"/>
        </c:manualLayout>
      </c:layout>
      <c:overlay val="0"/>
    </c:title>
    <c:autoTitleDeleted val="0"/>
    <c:plotArea>
      <c:layout>
        <c:manualLayout>
          <c:layoutTarget val="inner"/>
          <c:xMode val="edge"/>
          <c:yMode val="edge"/>
          <c:x val="0.140199807877041"/>
          <c:y val="0.192609418282548"/>
          <c:w val="0.37473967339097"/>
          <c:h val="0.720413665743306"/>
        </c:manualLayout>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Lbls>
            <c:dLbl>
              <c:idx val="0"/>
              <c:layout>
                <c:manualLayout>
                  <c:x val="-0.177624168462366"/>
                  <c:y val="0.528739933096974"/>
                </c:manualLayout>
              </c:layout>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335519111672715"/>
                      <c:h val="0.155469309584384"/>
                    </c:manualLayout>
                  </c15:layout>
                </c:ext>
              </c:extLst>
            </c:dLbl>
            <c:dLbl>
              <c:idx val="1"/>
              <c:layout>
                <c:manualLayout>
                  <c:x val="-0.15850144092219"/>
                  <c:y val="0.220052446906563"/>
                </c:manualLayout>
              </c:layout>
              <c:dLblPos val="bestFit"/>
              <c:showLegendKey val="1"/>
              <c:showVal val="1"/>
              <c:showCatName val="1"/>
              <c:showSerName val="0"/>
              <c:showPercent val="1"/>
              <c:showBubbleSize val="0"/>
              <c:extLst>
                <c:ext xmlns:c15="http://schemas.microsoft.com/office/drawing/2012/chart" uri="{CE6537A1-D6FC-4f65-9D91-7224C49458BB}">
                  <c15:layout>
                    <c:manualLayout>
                      <c:w val="0.308971201400643"/>
                      <c:h val="0.2415881724212"/>
                    </c:manualLayout>
                  </c15:layout>
                </c:ext>
              </c:extLst>
            </c:dLbl>
            <c:dLbl>
              <c:idx val="2"/>
              <c:layout>
                <c:manualLayout>
                  <c:x val="0.134005763688761"/>
                  <c:y val="0.260387811634349"/>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[2021决算公开图表.xls]Sheet1!$B$137:$B$139</c:f>
              <c:strCache>
                <c:ptCount val="3"/>
                <c:pt idx="0">
                  <c:v>因公出国（境）费支出</c:v>
                </c:pt>
                <c:pt idx="1">
                  <c:v>公务用车购置及运行维护费支出</c:v>
                </c:pt>
                <c:pt idx="2">
                  <c:v>公务接待费支出</c:v>
                </c:pt>
              </c:strCache>
            </c:strRef>
          </c:cat>
          <c:val>
            <c:numRef>
              <c:f>[2021决算公开图表.xls]Sheet1!$C$137:$C$139</c:f>
              <c:numCache>
                <c:formatCode>General</c:formatCode>
                <c:ptCount val="3"/>
                <c:pt idx="0">
                  <c:v>0</c:v>
                </c:pt>
                <c:pt idx="1">
                  <c:v>0</c:v>
                </c:pt>
                <c:pt idx="2">
                  <c:v>0</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Lbls>
            <c:delete val="1"/>
          </c:dLbls>
          <c:cat>
            <c:strRef>
              <c:f>[2021决算公开图表.xls]Sheet1!$B$137:$B$139</c:f>
              <c:strCache>
                <c:ptCount val="3"/>
                <c:pt idx="0">
                  <c:v>因公出国（境）费支出</c:v>
                </c:pt>
                <c:pt idx="1">
                  <c:v>公务用车购置及运行维护费支出</c:v>
                </c:pt>
                <c:pt idx="2">
                  <c:v>公务接待费支出</c:v>
                </c:pt>
              </c:strCache>
            </c:strRef>
          </c:cat>
          <c:val>
            <c:numRef>
              <c:f>[2021决算公开图表.xls]Sheet1!$D$137:$D$139</c:f>
              <c:numCache>
                <c:formatCode>0%</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552353506244"/>
          <c:y val="0.313019390581717"/>
          <c:w val="0.336215177713737"/>
          <c:h val="0.501385041551247"/>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927</Words>
  <Characters>5290</Characters>
  <Lines>44</Lines>
  <Paragraphs>12</Paragraphs>
  <TotalTime>12</TotalTime>
  <ScaleCrop>false</ScaleCrop>
  <LinksUpToDate>false</LinksUpToDate>
  <CharactersWithSpaces>6205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赖光美</cp:lastModifiedBy>
  <cp:lastPrinted>2025-10-27T10:01:03Z</cp:lastPrinted>
  <dcterms:modified xsi:type="dcterms:W3CDTF">2025-10-27T10:03:04Z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04787F2533EB45DC91BCDE4AB213247F</vt:lpwstr>
  </property>
</Properties>
</file>