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93"/>
        <w:rPr>
          <w:rFonts w:ascii="Times New Roman" w:eastAsia="方正小标宋简体"/>
          <w:kern w:val="2"/>
          <w:sz w:val="72"/>
          <w:szCs w:val="72"/>
        </w:rPr>
      </w:pPr>
      <w:bookmarkStart w:id="0" w:name="_Toc15377193"/>
      <w:bookmarkStart w:id="1" w:name="_Toc15378441"/>
      <w:bookmarkStart w:id="2" w:name="_Toc15306267"/>
      <w:bookmarkStart w:id="3" w:name="_Toc15377425"/>
      <w:bookmarkStart w:id="4" w:name="_Toc15396475"/>
      <w:bookmarkStart w:id="5" w:name="_Toc15396597"/>
    </w:p>
    <w:p>
      <w:pPr>
        <w:pStyle w:val="7"/>
        <w:spacing w:before="93"/>
        <w:rPr>
          <w:rFonts w:ascii="Times New Roman" w:eastAsia="方正小标宋简体"/>
          <w:kern w:val="2"/>
          <w:sz w:val="72"/>
          <w:szCs w:val="72"/>
        </w:rPr>
      </w:pPr>
    </w:p>
    <w:p>
      <w:pPr>
        <w:pStyle w:val="7"/>
        <w:spacing w:before="93"/>
        <w:rPr>
          <w:rFonts w:ascii="Times New Roman" w:eastAsia="方正小标宋简体"/>
          <w:kern w:val="2"/>
          <w:sz w:val="72"/>
          <w:szCs w:val="72"/>
        </w:rPr>
      </w:pPr>
    </w:p>
    <w:p>
      <w:pPr>
        <w:suppressAutoHyphens/>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pPr>
        <w:suppressAutoHyphens/>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eastAsia="zh-CN"/>
        </w:rPr>
        <w:t>中共</w:t>
      </w:r>
      <w:r>
        <w:rPr>
          <w:rFonts w:hint="eastAsia" w:ascii="方正小标宋简体" w:hAnsi="方正小标宋简体" w:eastAsia="方正小标宋简体" w:cs="方正小标宋简体"/>
          <w:sz w:val="72"/>
          <w:szCs w:val="72"/>
        </w:rPr>
        <w:t>盐边县</w:t>
      </w:r>
      <w:r>
        <w:rPr>
          <w:rFonts w:hint="eastAsia" w:ascii="方正小标宋简体" w:hAnsi="方正小标宋简体" w:eastAsia="方正小标宋简体" w:cs="方正小标宋简体"/>
          <w:sz w:val="72"/>
          <w:szCs w:val="72"/>
          <w:lang w:eastAsia="zh-CN"/>
        </w:rPr>
        <w:t>委政法委员会</w:t>
      </w:r>
    </w:p>
    <w:p>
      <w:pPr>
        <w:suppressAutoHyphens/>
        <w:adjustRightInd w:val="0"/>
        <w:snapToGrid w:val="0"/>
        <w:spacing w:line="360" w:lineRule="auto"/>
        <w:jc w:val="center"/>
        <w:outlineLvl w:val="0"/>
        <w:rPr>
          <w:rFonts w:ascii="Times New Roman" w:eastAsia="方正小标宋简体"/>
          <w:kern w:val="2"/>
          <w:sz w:val="72"/>
          <w:szCs w:val="72"/>
        </w:rPr>
      </w:pPr>
      <w:r>
        <w:rPr>
          <w:rFonts w:hint="eastAsia" w:ascii="方正小标宋简体" w:hAnsi="方正小标宋简体" w:eastAsia="方正小标宋简体" w:cs="方正小标宋简体"/>
          <w:sz w:val="72"/>
          <w:szCs w:val="72"/>
        </w:rPr>
        <w:t>部门决算公开编制说明</w:t>
      </w:r>
    </w:p>
    <w:p>
      <w:pPr>
        <w:spacing w:line="600" w:lineRule="exact"/>
        <w:jc w:val="center"/>
        <w:outlineLvl w:val="0"/>
        <w:rPr>
          <w:rFonts w:eastAsia="方正小标宋简体"/>
          <w:sz w:val="72"/>
          <w:szCs w:val="72"/>
        </w:rPr>
      </w:pPr>
    </w:p>
    <w:p>
      <w:pPr>
        <w:pStyle w:val="25"/>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5"/>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p>
      <w:pPr>
        <w:pStyle w:val="15"/>
        <w:adjustRightInd w:val="0"/>
        <w:snapToGrid w:val="0"/>
        <w:spacing w:before="0" w:line="56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第一部分 部门概况</w:t>
      </w:r>
      <w:r>
        <w:rPr>
          <w:rFonts w:ascii="Times New Roman" w:hAnsi="Times New Roman"/>
          <w:b/>
          <w:bCs/>
        </w:rPr>
        <w:tab/>
      </w:r>
      <w:r>
        <w:rPr>
          <w:rFonts w:hint="eastAsia" w:ascii="Times New Roman" w:hAnsi="Times New Roman"/>
          <w:b/>
          <w:bCs/>
          <w:lang w:val="en-US" w:eastAsia="zh-CN"/>
        </w:rPr>
        <w:t>3</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一、部门职责</w:t>
      </w:r>
      <w:r>
        <w:rPr>
          <w:rFonts w:ascii="Times New Roman" w:hAnsi="Times New Roman"/>
          <w:b/>
          <w:bCs/>
        </w:rPr>
        <w:tab/>
      </w:r>
      <w:r>
        <w:rPr>
          <w:rFonts w:hint="eastAsia" w:ascii="Times New Roman" w:hAnsi="Times New Roman"/>
          <w:b/>
          <w:bCs/>
          <w:lang w:val="en-US" w:eastAsia="zh-CN"/>
        </w:rPr>
        <w:t>3</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二、机构设置</w:t>
      </w:r>
      <w:r>
        <w:rPr>
          <w:rFonts w:ascii="Times New Roman" w:hAnsi="Times New Roman"/>
          <w:b/>
          <w:bCs/>
        </w:rPr>
        <w:tab/>
      </w:r>
      <w:r>
        <w:rPr>
          <w:rFonts w:hint="eastAsia" w:ascii="Times New Roman" w:hAnsi="Times New Roman"/>
          <w:b/>
          <w:bCs/>
          <w:lang w:val="en-US" w:eastAsia="zh-CN"/>
        </w:rPr>
        <w:t>4</w:t>
      </w:r>
    </w:p>
    <w:p>
      <w:pPr>
        <w:pStyle w:val="15"/>
        <w:adjustRightInd w:val="0"/>
        <w:snapToGrid w:val="0"/>
        <w:spacing w:before="0" w:line="560" w:lineRule="exact"/>
        <w:jc w:val="left"/>
        <w:rPr>
          <w:rFonts w:hint="eastAsia" w:ascii="Times New Roman" w:hAnsi="Times New Roman" w:eastAsia="仿宋" w:cs="黑体"/>
          <w:sz w:val="32"/>
          <w:szCs w:val="32"/>
          <w:lang w:val="en-US" w:eastAsia="zh-CN"/>
        </w:rPr>
      </w:pPr>
      <w:r>
        <w:rPr>
          <w:rFonts w:hint="eastAsia" w:ascii="Times New Roman" w:hAnsi="Times New Roman" w:eastAsia="黑体" w:cs="黑体"/>
          <w:sz w:val="32"/>
          <w:szCs w:val="32"/>
        </w:rPr>
        <w:t>第二部分 2024年度部门决算情况说明</w:t>
      </w:r>
      <w:r>
        <w:rPr>
          <w:rFonts w:ascii="Times New Roman" w:hAnsi="Times New Roman"/>
          <w:b/>
          <w:bCs/>
        </w:rPr>
        <w:tab/>
      </w:r>
      <w:r>
        <w:rPr>
          <w:rFonts w:hint="eastAsia" w:ascii="Times New Roman" w:hAnsi="Times New Roman"/>
          <w:b/>
          <w:bCs/>
          <w:lang w:val="en-US" w:eastAsia="zh-CN"/>
        </w:rPr>
        <w:t>5</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一、收入支出决算总体情况说明</w:t>
      </w:r>
      <w:r>
        <w:rPr>
          <w:rFonts w:ascii="Times New Roman" w:hAnsi="Times New Roman"/>
          <w:b/>
          <w:bCs/>
        </w:rPr>
        <w:tab/>
      </w:r>
      <w:r>
        <w:rPr>
          <w:rFonts w:hint="eastAsia" w:ascii="Times New Roman" w:hAnsi="Times New Roman"/>
          <w:b/>
          <w:bCs/>
          <w:lang w:val="en-US" w:eastAsia="zh-CN"/>
        </w:rPr>
        <w:t>5</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二、收入决算情况说明</w:t>
      </w:r>
      <w:r>
        <w:rPr>
          <w:rFonts w:ascii="Times New Roman" w:hAnsi="Times New Roman"/>
          <w:b/>
          <w:bCs/>
        </w:rPr>
        <w:tab/>
      </w:r>
      <w:r>
        <w:rPr>
          <w:rFonts w:hint="eastAsia" w:ascii="Times New Roman" w:hAnsi="Times New Roman"/>
          <w:b/>
          <w:bCs/>
          <w:lang w:val="en-US" w:eastAsia="zh-CN"/>
        </w:rPr>
        <w:t>5</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三、支出决算情况说明</w:t>
      </w:r>
      <w:r>
        <w:rPr>
          <w:rFonts w:ascii="Times New Roman" w:hAnsi="Times New Roman"/>
          <w:b/>
          <w:bCs/>
        </w:rPr>
        <w:tab/>
      </w:r>
      <w:r>
        <w:rPr>
          <w:rFonts w:hint="eastAsia" w:ascii="Times New Roman" w:hAnsi="Times New Roman"/>
          <w:b/>
          <w:bCs/>
          <w:lang w:val="en-US" w:eastAsia="zh-CN"/>
        </w:rPr>
        <w:t>6</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四、财政拨款收入支出决算总体情况说明</w:t>
      </w:r>
      <w:r>
        <w:rPr>
          <w:rFonts w:ascii="Times New Roman" w:hAnsi="Times New Roman"/>
          <w:b/>
          <w:bCs/>
        </w:rPr>
        <w:tab/>
      </w:r>
      <w:r>
        <w:rPr>
          <w:rFonts w:hint="eastAsia" w:ascii="Times New Roman" w:hAnsi="Times New Roman"/>
          <w:b/>
          <w:bCs/>
          <w:lang w:val="en-US" w:eastAsia="zh-CN"/>
        </w:rPr>
        <w:t>6</w:t>
      </w:r>
    </w:p>
    <w:p>
      <w:pPr>
        <w:pStyle w:val="17"/>
        <w:adjustRightInd w:val="0"/>
        <w:snapToGrid w:val="0"/>
        <w:spacing w:line="560" w:lineRule="exact"/>
        <w:ind w:left="0" w:leftChars="0" w:firstLine="640" w:firstLineChars="200"/>
        <w:jc w:val="left"/>
        <w:rPr>
          <w:rFonts w:hint="eastAsia" w:eastAsia="宋体" w:cs="仿宋_GB2312"/>
          <w:sz w:val="32"/>
          <w:szCs w:val="32"/>
          <w:lang w:val="en-US" w:eastAsia="zh-CN"/>
        </w:rPr>
      </w:pPr>
      <w:r>
        <w:rPr>
          <w:rFonts w:hint="eastAsia" w:eastAsia="仿宋_GB2312" w:cs="仿宋_GB2312"/>
          <w:sz w:val="32"/>
          <w:szCs w:val="32"/>
        </w:rPr>
        <w:t>五、一般公共预算财政拨款支出决算情况说明</w:t>
      </w:r>
      <w:r>
        <w:rPr>
          <w:rFonts w:ascii="Times New Roman" w:hAnsi="Times New Roman"/>
          <w:b/>
          <w:bCs/>
        </w:rPr>
        <w:tab/>
      </w:r>
      <w:r>
        <w:rPr>
          <w:rFonts w:hint="eastAsia" w:ascii="Times New Roman" w:hAnsi="Times New Roman"/>
          <w:b/>
          <w:bCs/>
          <w:lang w:val="en-US" w:eastAsia="zh-CN"/>
        </w:rPr>
        <w:t>7</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六、一般公共预算财政拨款基本支出决算情况说明</w:t>
      </w:r>
      <w:r>
        <w:rPr>
          <w:rFonts w:ascii="Times New Roman" w:hAnsi="Times New Roman"/>
          <w:b/>
          <w:bCs/>
        </w:rPr>
        <w:tab/>
      </w:r>
      <w:r>
        <w:rPr>
          <w:rFonts w:hint="eastAsia" w:ascii="Times New Roman" w:hAnsi="Times New Roman"/>
          <w:b/>
          <w:bCs/>
          <w:lang w:val="en-US" w:eastAsia="zh-CN"/>
        </w:rPr>
        <w:t>10</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七、财政拨款“三公”经费支出决算情况说明</w:t>
      </w:r>
      <w:r>
        <w:rPr>
          <w:rFonts w:ascii="Times New Roman" w:hAnsi="Times New Roman"/>
          <w:b/>
          <w:bCs/>
        </w:rPr>
        <w:tab/>
      </w:r>
      <w:r>
        <w:rPr>
          <w:rFonts w:hint="eastAsia" w:ascii="Times New Roman" w:hAnsi="Times New Roman"/>
          <w:b/>
          <w:bCs/>
          <w:lang w:val="en-US" w:eastAsia="zh-CN"/>
        </w:rPr>
        <w:t>10</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八、政府性基金预算支出决算情况说明</w:t>
      </w:r>
      <w:r>
        <w:rPr>
          <w:rFonts w:ascii="Times New Roman" w:hAnsi="Times New Roman"/>
          <w:b/>
          <w:bCs/>
        </w:rPr>
        <w:tab/>
      </w:r>
      <w:r>
        <w:rPr>
          <w:rFonts w:hint="eastAsia" w:ascii="Times New Roman" w:hAnsi="Times New Roman"/>
          <w:b/>
          <w:bCs/>
          <w:lang w:val="en-US" w:eastAsia="zh-CN"/>
        </w:rPr>
        <w:t>12</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九、国有资本经营预算支出决算情况说明</w:t>
      </w:r>
      <w:r>
        <w:rPr>
          <w:rFonts w:ascii="Times New Roman" w:hAnsi="Times New Roman"/>
          <w:b/>
          <w:bCs/>
        </w:rPr>
        <w:tab/>
      </w:r>
      <w:r>
        <w:rPr>
          <w:rFonts w:hint="eastAsia" w:ascii="Times New Roman" w:hAnsi="Times New Roman"/>
          <w:b/>
          <w:bCs/>
          <w:lang w:val="en-US" w:eastAsia="zh-CN"/>
        </w:rPr>
        <w:t>12</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十、其他重要事项的情况说明</w:t>
      </w:r>
      <w:r>
        <w:rPr>
          <w:rFonts w:ascii="Times New Roman" w:hAnsi="Times New Roman"/>
          <w:b/>
          <w:bCs/>
        </w:rPr>
        <w:tab/>
      </w:r>
      <w:r>
        <w:rPr>
          <w:rFonts w:hint="eastAsia" w:ascii="Times New Roman" w:hAnsi="Times New Roman"/>
          <w:b/>
          <w:bCs/>
          <w:lang w:val="en-US" w:eastAsia="zh-CN"/>
        </w:rPr>
        <w:t>12</w:t>
      </w:r>
    </w:p>
    <w:p>
      <w:pPr>
        <w:pStyle w:val="15"/>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第三部分 名词解释</w:t>
      </w:r>
      <w:r>
        <w:rPr>
          <w:rFonts w:ascii="Times New Roman" w:hAnsi="Times New Roman"/>
          <w:b/>
          <w:bCs/>
        </w:rPr>
        <w:tab/>
      </w:r>
      <w:r>
        <w:rPr>
          <w:rFonts w:hint="eastAsia" w:ascii="Times New Roman" w:hAnsi="Times New Roman"/>
          <w:b/>
          <w:bCs/>
          <w:lang w:val="en-US" w:eastAsia="zh-CN"/>
        </w:rPr>
        <w:t>14</w:t>
      </w:r>
    </w:p>
    <w:p>
      <w:pPr>
        <w:pStyle w:val="15"/>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第四部分 附件</w:t>
      </w:r>
      <w:r>
        <w:rPr>
          <w:rFonts w:ascii="Times New Roman" w:hAnsi="Times New Roman"/>
          <w:b/>
          <w:bCs/>
        </w:rPr>
        <w:tab/>
      </w:r>
      <w:r>
        <w:rPr>
          <w:rFonts w:hint="eastAsia" w:ascii="Times New Roman" w:hAnsi="Times New Roman"/>
          <w:b/>
          <w:bCs/>
          <w:lang w:val="en-US" w:eastAsia="zh-CN"/>
        </w:rPr>
        <w:t>17</w:t>
      </w:r>
    </w:p>
    <w:p>
      <w:pPr>
        <w:pStyle w:val="15"/>
        <w:adjustRightInd w:val="0"/>
        <w:snapToGrid w:val="0"/>
        <w:spacing w:before="0" w:line="560" w:lineRule="exact"/>
        <w:jc w:val="left"/>
        <w:rPr>
          <w:rFonts w:hint="default" w:ascii="Times New Roman" w:hAnsi="Times New Roman" w:eastAsia="仿宋"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一、收入支出决算总表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二、收入决算表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三、支出决算表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0" w:firstLineChars="0"/>
        <w:jc w:val="left"/>
        <w:rPr>
          <w:rFonts w:hint="eastAsia" w:eastAsia="仿宋_GB2312" w:cs="仿宋_GB2312"/>
          <w:sz w:val="32"/>
          <w:szCs w:val="32"/>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四、财政拨款收入支出决算总表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五、财政拨款支出决算明细表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六、一般公共预算财政拨款支出决算表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七、一般公共预算财政拨款支出决算明细表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八、一般公共预算财政拨款基本支出决算明细表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九、一般公共预算财政拨款项目支出决算表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十、政府性基金预算财政拨款收入支出决算表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十一、国有资本经营预算财政拨款收入支出决算表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十二、国有资本经营预算财政拨款支出决算表</w:t>
      </w:r>
      <w:r>
        <w:rPr>
          <w:rFonts w:ascii="Times New Roman" w:hAnsi="Times New Roman"/>
          <w:b/>
          <w:bCs/>
        </w:rPr>
        <w:tab/>
      </w:r>
      <w:r>
        <w:rPr>
          <w:rFonts w:hint="eastAsia" w:ascii="Times New Roman" w:hAnsi="Times New Roman"/>
          <w:b/>
          <w:bCs/>
          <w:lang w:val="en-US" w:eastAsia="zh-CN"/>
        </w:rPr>
        <w:t>24</w:t>
      </w:r>
    </w:p>
    <w:p>
      <w:pPr>
        <w:pStyle w:val="17"/>
        <w:adjustRightInd w:val="0"/>
        <w:snapToGrid w:val="0"/>
        <w:spacing w:line="560" w:lineRule="exact"/>
        <w:ind w:left="0" w:leftChars="0" w:firstLine="640" w:firstLineChars="200"/>
        <w:jc w:val="left"/>
        <w:rPr>
          <w:rFonts w:hint="default" w:eastAsia="宋体" w:cs="仿宋_GB2312"/>
          <w:sz w:val="32"/>
          <w:szCs w:val="32"/>
          <w:lang w:val="en-US" w:eastAsia="zh-CN"/>
        </w:rPr>
      </w:pPr>
      <w:r>
        <w:rPr>
          <w:rFonts w:hint="eastAsia" w:eastAsia="仿宋_GB2312" w:cs="仿宋_GB2312"/>
          <w:sz w:val="32"/>
          <w:szCs w:val="32"/>
        </w:rPr>
        <w:t>十三、财政拨款“三公”经费支出决算表</w:t>
      </w:r>
      <w:r>
        <w:rPr>
          <w:rFonts w:ascii="Times New Roman" w:hAnsi="Times New Roman"/>
          <w:b/>
          <w:bCs/>
        </w:rPr>
        <w:tab/>
      </w:r>
      <w:r>
        <w:rPr>
          <w:rFonts w:hint="eastAsia" w:ascii="Times New Roman" w:hAnsi="Times New Roman"/>
          <w:b/>
          <w:bCs/>
          <w:lang w:val="en-US" w:eastAsia="zh-CN"/>
        </w:rPr>
        <w:t>24</w:t>
      </w:r>
      <w:bookmarkStart w:id="70" w:name="_GoBack"/>
      <w:bookmarkEnd w:id="70"/>
    </w:p>
    <w:p>
      <w:pPr>
        <w:widowControl/>
        <w:spacing w:line="560" w:lineRule="exact"/>
        <w:jc w:val="left"/>
        <w:rPr>
          <w:rFonts w:eastAsia="仿宋_GB2312" w:cs="仿宋_GB2312"/>
          <w:bCs/>
          <w:kern w:val="44"/>
          <w:sz w:val="32"/>
          <w:szCs w:val="32"/>
        </w:rPr>
      </w:pPr>
      <w:bookmarkStart w:id="6" w:name="_Toc15396599"/>
      <w:bookmarkStart w:id="7" w:name="_Toc15377196"/>
      <w:r>
        <w:rPr>
          <w:rFonts w:hint="eastAsia" w:eastAsia="仿宋_GB2312" w:cs="仿宋_GB2312"/>
          <w:b/>
          <w:sz w:val="32"/>
          <w:szCs w:val="32"/>
        </w:rPr>
        <w:br w:type="page"/>
      </w:r>
    </w:p>
    <w:p>
      <w:pPr>
        <w:pStyle w:val="3"/>
        <w:jc w:val="center"/>
        <w:rPr>
          <w:rStyle w:val="34"/>
          <w:rFonts w:eastAsia="方正小标宋简体" w:cs="方正小标宋简体"/>
          <w:b/>
          <w:bCs w:val="0"/>
        </w:rPr>
      </w:pPr>
      <w:r>
        <w:rPr>
          <w:rFonts w:hint="eastAsia" w:eastAsia="方正小标宋简体" w:cs="方正小标宋简体"/>
          <w:b w:val="0"/>
        </w:rPr>
        <w:t xml:space="preserve">第一部分  </w:t>
      </w:r>
      <w:r>
        <w:rPr>
          <w:rStyle w:val="34"/>
          <w:rFonts w:hint="eastAsia" w:eastAsia="方正小标宋简体" w:cs="方正小标宋简体"/>
          <w:b w:val="0"/>
          <w:bCs w:val="0"/>
        </w:rPr>
        <w:t>部门概况</w:t>
      </w:r>
      <w:bookmarkEnd w:id="6"/>
      <w:bookmarkEnd w:id="7"/>
    </w:p>
    <w:p>
      <w:pPr>
        <w:widowControl/>
        <w:jc w:val="left"/>
        <w:rPr>
          <w:rFonts w:eastAsia="黑体"/>
          <w:sz w:val="32"/>
          <w:szCs w:val="32"/>
        </w:rPr>
      </w:pPr>
    </w:p>
    <w:p>
      <w:pPr>
        <w:pStyle w:val="4"/>
        <w:numPr>
          <w:ilvl w:val="0"/>
          <w:numId w:val="1"/>
        </w:numPr>
        <w:rPr>
          <w:rFonts w:hint="eastAsia" w:ascii="Times New Roman" w:hAnsi="Times New Roman" w:eastAsia="黑体"/>
          <w:b w:val="0"/>
        </w:rPr>
      </w:pPr>
      <w:r>
        <w:rPr>
          <w:rFonts w:hint="eastAsia" w:ascii="Times New Roman" w:hAnsi="Times New Roman" w:eastAsia="黑体"/>
          <w:b w:val="0"/>
        </w:rPr>
        <w:t>部门职责</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eastAsia="方正仿宋_GBK"/>
          <w:sz w:val="33"/>
          <w:szCs w:val="33"/>
          <w:lang w:val="zh-CN"/>
        </w:rPr>
      </w:pPr>
      <w:r>
        <w:rPr>
          <w:rFonts w:eastAsia="方正仿宋_GBK"/>
          <w:sz w:val="33"/>
          <w:szCs w:val="33"/>
          <w:lang w:val="zh-CN"/>
        </w:rPr>
        <w:t>1.根据党中央的路线、方针、政策和县委的部署，统一政法各部门的思想和行动，确保政法部门的执法活动坚持正确的政治方向。</w:t>
      </w:r>
    </w:p>
    <w:p>
      <w:pPr>
        <w:keepNext w:val="0"/>
        <w:keepLines w:val="0"/>
        <w:pageBreakBefore w:val="0"/>
        <w:kinsoku/>
        <w:wordWrap/>
        <w:overflowPunct/>
        <w:topLinePunct w:val="0"/>
        <w:autoSpaceDE/>
        <w:autoSpaceDN/>
        <w:bidi w:val="0"/>
        <w:spacing w:line="576" w:lineRule="exact"/>
        <w:ind w:firstLine="660" w:firstLineChars="200"/>
        <w:textAlignment w:val="auto"/>
        <w:rPr>
          <w:rFonts w:eastAsia="方正仿宋_GBK"/>
          <w:sz w:val="33"/>
          <w:szCs w:val="33"/>
          <w:lang w:val="zh-CN"/>
        </w:rPr>
      </w:pPr>
      <w:r>
        <w:rPr>
          <w:rFonts w:eastAsia="方正仿宋_GBK"/>
          <w:sz w:val="33"/>
          <w:szCs w:val="33"/>
          <w:lang w:val="zh-CN"/>
        </w:rPr>
        <w:t>2.研究制定贯彻落实党中央、省委、市委和县委关于政法工作的方针、政策和维护社会稳定工作的指示措施，及时向县委提出意见和建议，对一定时期内的政法工作、社会治安综合治理工作、社会稳定工作作出全局性的部署，并督促检查，抓好贯彻落实。</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3.加强对政法工作的督查。指导全县政法系统网络安全和智能化建设工作。</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4.组织推动政法工作的调查研究，推动政法工作改革。</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5.监督检查政法部门执行宪法、法律、法规和公正司法情况，研究制定严格执法、维护司法公正的具体措施。监督和支持政法各部门依法行使职权，指导和协调政法部门密切配合，研究和协调重大、疑难案件，推进严格执法、公正司法。</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6.指导推动政法系统党的建设和政法队伍建设，研究加强全县政法队伍建设的措施，协助县委、县委组织部考察、管理政法部门领导班子和领导干部，协助县委、县纪委监察机关做好监督检查和审查调查工作。代管盐边县法学会。</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7.承担全县社会治安综合治理工作的调查分析、组织协调和监督检查，协调推动各项综治工作措施的落实。</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8.指导全县维护社会稳定工作。协调推动相关部门做好反邪教工作。</w:t>
      </w:r>
    </w:p>
    <w:p>
      <w:pPr>
        <w:keepNext w:val="0"/>
        <w:keepLines w:val="0"/>
        <w:pageBreakBefore w:val="0"/>
        <w:kinsoku/>
        <w:wordWrap/>
        <w:overflowPunct/>
        <w:topLinePunct w:val="0"/>
        <w:autoSpaceDE/>
        <w:autoSpaceDN/>
        <w:bidi w:val="0"/>
        <w:spacing w:line="576" w:lineRule="exact"/>
        <w:ind w:firstLine="640"/>
        <w:textAlignment w:val="auto"/>
        <w:rPr>
          <w:rFonts w:eastAsia="方正仿宋_GBK"/>
          <w:sz w:val="33"/>
          <w:szCs w:val="33"/>
          <w:lang w:val="zh-CN"/>
        </w:rPr>
      </w:pPr>
      <w:r>
        <w:rPr>
          <w:rFonts w:eastAsia="方正仿宋_GBK"/>
          <w:sz w:val="33"/>
          <w:szCs w:val="33"/>
          <w:lang w:val="zh-CN"/>
        </w:rPr>
        <w:t>9.完成县委政法委三定规定中明确的其他工作职责。</w:t>
      </w:r>
    </w:p>
    <w:p>
      <w:pPr>
        <w:keepNext w:val="0"/>
        <w:keepLines w:val="0"/>
        <w:pageBreakBefore w:val="0"/>
        <w:kinsoku/>
        <w:wordWrap/>
        <w:overflowPunct/>
        <w:topLinePunct w:val="0"/>
        <w:autoSpaceDE/>
        <w:autoSpaceDN/>
        <w:bidi w:val="0"/>
        <w:spacing w:line="576" w:lineRule="exact"/>
        <w:ind w:firstLine="640"/>
        <w:textAlignment w:val="auto"/>
      </w:pPr>
      <w:r>
        <w:rPr>
          <w:rFonts w:eastAsia="方正仿宋_GBK"/>
          <w:sz w:val="33"/>
          <w:szCs w:val="33"/>
          <w:lang w:val="zh-CN"/>
        </w:rPr>
        <w:t>10.完成县委交办的其他任务。</w:t>
      </w:r>
    </w:p>
    <w:p>
      <w:pPr>
        <w:pStyle w:val="4"/>
        <w:rPr>
          <w:rStyle w:val="35"/>
          <w:rFonts w:ascii="Times New Roman" w:hAnsi="Times New Roman"/>
          <w:b w:val="0"/>
          <w:bCs w:val="0"/>
        </w:rPr>
      </w:pPr>
      <w:bookmarkStart w:id="8" w:name="_Toc15377200"/>
      <w:bookmarkStart w:id="9" w:name="_Toc15396601"/>
      <w:r>
        <w:rPr>
          <w:rFonts w:hint="eastAsia" w:ascii="Times New Roman" w:hAnsi="Times New Roman" w:eastAsia="黑体"/>
          <w:b w:val="0"/>
        </w:rPr>
        <w:t>二、机</w:t>
      </w:r>
      <w:r>
        <w:rPr>
          <w:rStyle w:val="35"/>
          <w:rFonts w:hint="eastAsia" w:ascii="Times New Roman" w:hAnsi="Times New Roman" w:eastAsia="黑体"/>
          <w:b w:val="0"/>
          <w:bCs w:val="0"/>
        </w:rPr>
        <w:t>构设置</w:t>
      </w:r>
      <w:bookmarkEnd w:id="8"/>
      <w:bookmarkEnd w:id="9"/>
    </w:p>
    <w:p>
      <w:pPr>
        <w:keepNext w:val="0"/>
        <w:keepLines w:val="0"/>
        <w:pageBreakBefore w:val="0"/>
        <w:widowControl w:val="0"/>
        <w:kinsoku/>
        <w:wordWrap/>
        <w:overflowPunct/>
        <w:topLinePunct w:val="0"/>
        <w:autoSpaceDE/>
        <w:autoSpaceDN/>
        <w:bidi w:val="0"/>
        <w:spacing w:line="560" w:lineRule="exact"/>
        <w:ind w:firstLine="660" w:firstLineChars="200"/>
        <w:textAlignment w:val="auto"/>
        <w:rPr>
          <w:rFonts w:eastAsia="方正仿宋_GBK"/>
          <w:sz w:val="33"/>
          <w:szCs w:val="33"/>
          <w:lang w:val="zh-CN"/>
        </w:rPr>
      </w:pPr>
      <w:r>
        <w:rPr>
          <w:rFonts w:eastAsia="方正仿宋_GBK"/>
          <w:sz w:val="33"/>
          <w:szCs w:val="33"/>
          <w:lang w:val="zh-CN"/>
        </w:rPr>
        <w:t>中共盐边县委政法委员会下属非独立核算单位</w:t>
      </w:r>
      <w:r>
        <w:rPr>
          <w:rFonts w:eastAsia="方正仿宋_GBK"/>
          <w:sz w:val="33"/>
          <w:szCs w:val="33"/>
        </w:rPr>
        <w:t>1</w:t>
      </w:r>
      <w:r>
        <w:rPr>
          <w:rFonts w:eastAsia="方正仿宋_GBK"/>
          <w:sz w:val="33"/>
          <w:szCs w:val="33"/>
          <w:lang w:val="zh-CN"/>
        </w:rPr>
        <w:t>个，其中</w:t>
      </w:r>
      <w:r>
        <w:rPr>
          <w:rFonts w:hint="eastAsia" w:eastAsia="方正仿宋_GBK"/>
          <w:sz w:val="33"/>
          <w:szCs w:val="33"/>
          <w:lang w:val="zh-CN"/>
        </w:rPr>
        <w:t>：</w:t>
      </w:r>
      <w:r>
        <w:rPr>
          <w:rFonts w:eastAsia="方正仿宋_GBK"/>
          <w:sz w:val="33"/>
          <w:szCs w:val="33"/>
          <w:lang w:val="zh-CN"/>
        </w:rPr>
        <w:t>其他事业单位</w:t>
      </w:r>
      <w:r>
        <w:rPr>
          <w:rFonts w:eastAsia="方正仿宋_GBK"/>
          <w:sz w:val="33"/>
          <w:szCs w:val="33"/>
        </w:rPr>
        <w:t>1</w:t>
      </w:r>
      <w:r>
        <w:rPr>
          <w:rFonts w:eastAsia="方正仿宋_GBK"/>
          <w:sz w:val="33"/>
          <w:szCs w:val="33"/>
          <w:lang w:val="zh-CN"/>
        </w:rPr>
        <w:t>个。</w:t>
      </w:r>
    </w:p>
    <w:p>
      <w:pPr>
        <w:pStyle w:val="7"/>
        <w:keepNext w:val="0"/>
        <w:keepLines w:val="0"/>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rPr>
          <w:rFonts w:ascii="仿宋" w:hAnsi="仿宋" w:eastAsia="仿宋"/>
          <w:sz w:val="32"/>
          <w:szCs w:val="32"/>
        </w:rPr>
      </w:pPr>
      <w:r>
        <w:rPr>
          <w:rFonts w:hint="eastAsia" w:ascii="仿宋" w:hAnsi="仿宋" w:eastAsia="仿宋"/>
          <w:sz w:val="32"/>
          <w:szCs w:val="32"/>
        </w:rPr>
        <w:t>纳入</w:t>
      </w:r>
      <w:r>
        <w:rPr>
          <w:rFonts w:eastAsia="方正仿宋_GBK"/>
          <w:sz w:val="33"/>
          <w:szCs w:val="33"/>
          <w:lang w:val="zh-CN"/>
        </w:rPr>
        <w:t>中共盐边县委政法委员会</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年度部门决算编制范围的二级预算单位包括：</w:t>
      </w:r>
    </w:p>
    <w:p>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93" w:line="560" w:lineRule="exact"/>
        <w:ind w:left="672" w:leftChars="0"/>
        <w:textAlignment w:val="auto"/>
        <w:outlineLvl w:val="2"/>
        <w:rPr>
          <w:rFonts w:ascii="仿宋" w:hAnsi="仿宋" w:eastAsia="仿宋"/>
          <w:sz w:val="32"/>
          <w:szCs w:val="32"/>
        </w:rPr>
      </w:pPr>
      <w:bookmarkStart w:id="10" w:name="_Toc15378450"/>
      <w:bookmarkStart w:id="11" w:name="_Toc15377434"/>
      <w:bookmarkStart w:id="12" w:name="_Toc15306277"/>
      <w:bookmarkStart w:id="13" w:name="_Toc15377203"/>
      <w:r>
        <w:rPr>
          <w:rFonts w:hint="eastAsia" w:eastAsia="方正仿宋_GBK"/>
          <w:sz w:val="33"/>
          <w:szCs w:val="33"/>
          <w:lang w:val="en-US" w:eastAsia="zh-CN"/>
        </w:rPr>
        <w:t>1.</w:t>
      </w:r>
      <w:r>
        <w:rPr>
          <w:rFonts w:eastAsia="方正仿宋_GBK"/>
          <w:sz w:val="33"/>
          <w:szCs w:val="33"/>
          <w:lang w:val="zh-CN"/>
        </w:rPr>
        <w:t>盐边县社会治安综合治理中心。</w:t>
      </w:r>
      <w:bookmarkEnd w:id="10"/>
      <w:bookmarkEnd w:id="11"/>
      <w:bookmarkEnd w:id="12"/>
      <w:bookmarkEnd w:id="13"/>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14" w:name="_Toc15377204"/>
      <w:bookmarkStart w:id="15" w:name="_Toc15396602"/>
      <w:r>
        <w:rPr>
          <w:rFonts w:hint="eastAsia" w:eastAsia="方正小标宋简体" w:cs="方正小标宋简体"/>
          <w:b w:val="0"/>
        </w:rPr>
        <w:t>第二部分  2024年度部门决算情况说明</w:t>
      </w:r>
      <w:bookmarkEnd w:id="14"/>
      <w:bookmarkEnd w:id="15"/>
    </w:p>
    <w:p/>
    <w:p>
      <w:pPr>
        <w:pStyle w:val="33"/>
        <w:spacing w:line="600" w:lineRule="exact"/>
        <w:ind w:firstLine="640"/>
        <w:outlineLvl w:val="1"/>
        <w:rPr>
          <w:rStyle w:val="35"/>
          <w:rFonts w:ascii="Times New Roman" w:hAnsi="Times New Roman" w:eastAsia="黑体"/>
          <w:b w:val="0"/>
        </w:rPr>
      </w:pPr>
      <w:bookmarkStart w:id="16" w:name="_Toc15396603"/>
      <w:bookmarkStart w:id="17" w:name="_Toc15377205"/>
      <w:r>
        <w:rPr>
          <w:rFonts w:hint="eastAsia" w:eastAsia="黑体"/>
          <w:sz w:val="32"/>
          <w:szCs w:val="32"/>
        </w:rPr>
        <w:t>一、收</w:t>
      </w:r>
      <w:r>
        <w:rPr>
          <w:rStyle w:val="35"/>
          <w:rFonts w:hint="eastAsia" w:ascii="Times New Roman" w:hAnsi="Times New Roman" w:eastAsia="黑体"/>
          <w:b w:val="0"/>
        </w:rPr>
        <w:t>入支出决算总体情况说明</w:t>
      </w:r>
      <w:bookmarkEnd w:id="16"/>
      <w:bookmarkEnd w:id="17"/>
    </w:p>
    <w:p>
      <w:pPr>
        <w:pStyle w:val="33"/>
        <w:spacing w:line="600" w:lineRule="exact"/>
        <w:ind w:firstLine="640"/>
        <w:outlineLvl w:val="1"/>
        <w:rPr>
          <w:rFonts w:hint="default" w:eastAsia="仿宋_GB2312" w:cs="仿宋_GB2312"/>
          <w:sz w:val="32"/>
          <w:szCs w:val="32"/>
          <w:lang w:val="en-US"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517.66</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52.89</w:t>
      </w:r>
      <w:r>
        <w:rPr>
          <w:rFonts w:hint="eastAsia" w:eastAsia="仿宋_GB2312" w:cs="仿宋_GB2312"/>
          <w:sz w:val="32"/>
          <w:szCs w:val="32"/>
        </w:rPr>
        <w:t>万元，下降</w:t>
      </w:r>
      <w:r>
        <w:rPr>
          <w:rFonts w:hint="eastAsia" w:eastAsia="仿宋_GB2312" w:cs="仿宋_GB2312"/>
          <w:sz w:val="32"/>
          <w:szCs w:val="32"/>
          <w:lang w:val="en-US" w:eastAsia="zh-CN"/>
        </w:rPr>
        <w:t>9.27</w:t>
      </w:r>
      <w:r>
        <w:rPr>
          <w:rFonts w:hint="eastAsia" w:eastAsia="仿宋_GB2312" w:cs="仿宋_GB2312"/>
          <w:sz w:val="32"/>
          <w:szCs w:val="32"/>
        </w:rPr>
        <w:t>%。主要变动原因</w:t>
      </w:r>
      <w:r>
        <w:rPr>
          <w:rFonts w:hint="eastAsia" w:eastAsia="仿宋_GB2312" w:cs="仿宋_GB2312"/>
          <w:sz w:val="32"/>
          <w:szCs w:val="32"/>
          <w:lang w:val="en-US" w:eastAsia="zh-CN"/>
        </w:rPr>
        <w:t>是2024年公务员减少5人，基本支出中人员经费部分较上年减少，所以收入、支出总计整体减少。</w:t>
      </w:r>
    </w:p>
    <w:p>
      <w:pPr>
        <w:ind w:firstLine="420" w:firstLineChars="200"/>
        <w:rPr>
          <w:rFonts w:eastAsia="仿宋_GB2312" w:cs="仿宋_GB2312"/>
          <w:sz w:val="32"/>
          <w:szCs w:val="32"/>
        </w:rPr>
      </w:pPr>
      <w:r>
        <w:drawing>
          <wp:inline distT="0" distB="0" distL="114300" distR="114300">
            <wp:extent cx="5271135" cy="3058160"/>
            <wp:effectExtent l="4445" t="4445" r="20320" b="23495"/>
            <wp:docPr id="245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3"/>
        <w:spacing w:line="600" w:lineRule="exact"/>
        <w:ind w:firstLine="640"/>
        <w:outlineLvl w:val="1"/>
        <w:rPr>
          <w:rFonts w:eastAsia="黑体"/>
          <w:sz w:val="32"/>
          <w:szCs w:val="32"/>
        </w:rPr>
      </w:pPr>
      <w:bookmarkStart w:id="18" w:name="_Toc15377206"/>
      <w:bookmarkStart w:id="19" w:name="_Toc15396604"/>
      <w:r>
        <w:rPr>
          <w:rFonts w:hint="eastAsia" w:eastAsia="黑体"/>
          <w:sz w:val="32"/>
          <w:szCs w:val="32"/>
        </w:rPr>
        <w:t>二、收入决算情况说明</w:t>
      </w:r>
      <w:bookmarkEnd w:id="18"/>
      <w:bookmarkEnd w:id="19"/>
    </w:p>
    <w:p>
      <w:pPr>
        <w:pStyle w:val="33"/>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525" w:firstLineChars="250"/>
      </w:pPr>
      <w:r>
        <w:drawing>
          <wp:inline distT="0" distB="0" distL="114300" distR="114300">
            <wp:extent cx="5269865" cy="3344545"/>
            <wp:effectExtent l="4445" t="4445" r="21590" b="22860"/>
            <wp:docPr id="245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3"/>
        <w:spacing w:line="600" w:lineRule="exact"/>
        <w:ind w:firstLine="640"/>
        <w:outlineLvl w:val="1"/>
        <w:rPr>
          <w:rStyle w:val="35"/>
          <w:rFonts w:ascii="Times New Roman" w:hAnsi="Times New Roman" w:eastAsia="黑体"/>
          <w:b w:val="0"/>
        </w:rPr>
      </w:pPr>
      <w:bookmarkStart w:id="20" w:name="_Toc15377207"/>
      <w:bookmarkStart w:id="21" w:name="_Toc15396605"/>
      <w:r>
        <w:rPr>
          <w:rFonts w:hint="eastAsia" w:eastAsia="黑体"/>
          <w:sz w:val="32"/>
          <w:szCs w:val="32"/>
        </w:rPr>
        <w:t>三、支</w:t>
      </w:r>
      <w:r>
        <w:rPr>
          <w:rStyle w:val="35"/>
          <w:rFonts w:hint="eastAsia" w:ascii="Times New Roman" w:hAnsi="Times New Roman" w:eastAsia="黑体"/>
          <w:b w:val="0"/>
        </w:rPr>
        <w:t>出决算情况说明</w:t>
      </w:r>
      <w:bookmarkEnd w:id="20"/>
      <w:bookmarkEnd w:id="21"/>
    </w:p>
    <w:p>
      <w:pPr>
        <w:pStyle w:val="33"/>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431.19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83.30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86.48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16.70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ind w:firstLine="525" w:firstLineChars="250"/>
        <w:rPr>
          <w:rFonts w:eastAsia="仿宋_GB2312" w:cs="仿宋_GB2312"/>
          <w:sz w:val="32"/>
          <w:szCs w:val="32"/>
        </w:rPr>
      </w:pPr>
      <w:r>
        <w:drawing>
          <wp:inline distT="0" distB="0" distL="114300" distR="114300">
            <wp:extent cx="4964430" cy="2924175"/>
            <wp:effectExtent l="4445" t="4445" r="22225" b="5080"/>
            <wp:docPr id="245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5"/>
          <w:rFonts w:ascii="Times New Roman" w:hAnsi="Times New Roman" w:eastAsia="黑体"/>
          <w:b w:val="0"/>
        </w:rPr>
      </w:pPr>
      <w:bookmarkStart w:id="22" w:name="_Toc15377208"/>
      <w:bookmarkStart w:id="23" w:name="_Toc15396606"/>
      <w:r>
        <w:rPr>
          <w:rFonts w:hint="eastAsia" w:eastAsia="黑体"/>
          <w:sz w:val="32"/>
          <w:szCs w:val="32"/>
        </w:rPr>
        <w:t>四、财</w:t>
      </w:r>
      <w:r>
        <w:rPr>
          <w:rStyle w:val="35"/>
          <w:rFonts w:hint="eastAsia" w:ascii="Times New Roman" w:hAnsi="Times New Roman" w:eastAsia="黑体"/>
          <w:b w:val="0"/>
        </w:rPr>
        <w:t>政拨款收入支出决算总体情况说明</w:t>
      </w:r>
      <w:bookmarkEnd w:id="22"/>
      <w:bookmarkEnd w:id="23"/>
    </w:p>
    <w:p>
      <w:pPr>
        <w:pStyle w:val="33"/>
        <w:spacing w:line="600" w:lineRule="exact"/>
        <w:ind w:firstLine="640"/>
        <w:outlineLvl w:val="1"/>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517.66</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52.89</w:t>
      </w:r>
      <w:r>
        <w:rPr>
          <w:rFonts w:hint="eastAsia" w:eastAsia="仿宋_GB2312" w:cs="仿宋_GB2312"/>
          <w:sz w:val="32"/>
          <w:szCs w:val="32"/>
        </w:rPr>
        <w:t>万元，下降</w:t>
      </w:r>
      <w:r>
        <w:rPr>
          <w:rFonts w:hint="eastAsia" w:eastAsia="仿宋_GB2312" w:cs="仿宋_GB2312"/>
          <w:sz w:val="32"/>
          <w:szCs w:val="32"/>
          <w:lang w:val="en-US" w:eastAsia="zh-CN"/>
        </w:rPr>
        <w:t>9.27</w:t>
      </w:r>
      <w:r>
        <w:rPr>
          <w:rFonts w:hint="eastAsia" w:eastAsia="仿宋_GB2312" w:cs="仿宋_GB2312"/>
          <w:sz w:val="32"/>
          <w:szCs w:val="32"/>
        </w:rPr>
        <w:t>%。主要变动原因</w:t>
      </w:r>
      <w:r>
        <w:rPr>
          <w:rFonts w:hint="eastAsia" w:eastAsia="仿宋_GB2312" w:cs="仿宋_GB2312"/>
          <w:sz w:val="32"/>
          <w:szCs w:val="32"/>
          <w:lang w:val="en-US" w:eastAsia="zh-CN"/>
        </w:rPr>
        <w:t>是2024年公务员减少5人，基本支出中人员经费部分较上年减少，所以收入、支出总计整体减少。</w:t>
      </w:r>
    </w:p>
    <w:p>
      <w:pPr>
        <w:spacing w:line="600" w:lineRule="exact"/>
        <w:ind w:firstLine="640"/>
      </w:pPr>
    </w:p>
    <w:p>
      <w:pPr>
        <w:pStyle w:val="2"/>
        <w:ind w:left="0" w:leftChars="0" w:firstLine="0" w:firstLineChars="0"/>
      </w:pPr>
    </w:p>
    <w:p>
      <w:pPr>
        <w:pStyle w:val="2"/>
      </w:pPr>
    </w:p>
    <w:p>
      <w:pPr>
        <w:pStyle w:val="2"/>
      </w:pPr>
    </w:p>
    <w:p>
      <w:pPr>
        <w:pStyle w:val="2"/>
      </w:pPr>
    </w:p>
    <w:p>
      <w:pPr>
        <w:pStyle w:val="2"/>
      </w:pPr>
    </w:p>
    <w:p>
      <w:pPr>
        <w:pStyle w:val="2"/>
      </w:pPr>
    </w:p>
    <w:p>
      <w:pPr>
        <w:pStyle w:val="2"/>
      </w:pPr>
      <w:r>
        <w:drawing>
          <wp:anchor distT="0" distB="0" distL="114300" distR="114300" simplePos="0" relativeHeight="251658240" behindDoc="0" locked="0" layoutInCell="1" allowOverlap="1">
            <wp:simplePos x="0" y="0"/>
            <wp:positionH relativeFrom="column">
              <wp:posOffset>410845</wp:posOffset>
            </wp:positionH>
            <wp:positionV relativeFrom="paragraph">
              <wp:posOffset>-2473325</wp:posOffset>
            </wp:positionV>
            <wp:extent cx="5269230" cy="3067050"/>
            <wp:effectExtent l="4445" t="4445" r="22225" b="14605"/>
            <wp:wrapSquare wrapText="bothSides"/>
            <wp:docPr id="246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ind w:left="0" w:leftChars="0" w:firstLine="0" w:firstLineChars="0"/>
      </w:pPr>
    </w:p>
    <w:p>
      <w:pPr>
        <w:spacing w:line="600" w:lineRule="exact"/>
        <w:ind w:firstLine="640" w:firstLineChars="200"/>
        <w:outlineLvl w:val="1"/>
        <w:rPr>
          <w:rStyle w:val="35"/>
          <w:rFonts w:ascii="Times New Roman" w:hAnsi="Times New Roman" w:eastAsia="黑体"/>
          <w:b w:val="0"/>
        </w:rPr>
      </w:pPr>
      <w:bookmarkStart w:id="24" w:name="_Toc15377209"/>
      <w:bookmarkStart w:id="25" w:name="_Toc15396607"/>
      <w:r>
        <w:rPr>
          <w:rFonts w:hint="eastAsia" w:eastAsia="黑体"/>
          <w:sz w:val="32"/>
          <w:szCs w:val="32"/>
        </w:rPr>
        <w:t>五、</w:t>
      </w:r>
      <w:r>
        <w:rPr>
          <w:rFonts w:hint="eastAsia" w:eastAsia="黑体"/>
          <w:b/>
          <w:sz w:val="32"/>
          <w:szCs w:val="32"/>
        </w:rPr>
        <w:t>一</w:t>
      </w:r>
      <w:r>
        <w:rPr>
          <w:rStyle w:val="35"/>
          <w:rFonts w:hint="eastAsia" w:ascii="Times New Roman" w:hAnsi="Times New Roman" w:eastAsia="黑体"/>
          <w:b w:val="0"/>
        </w:rPr>
        <w:t>般公共预算财政拨款支出决算情况说明</w:t>
      </w:r>
      <w:bookmarkEnd w:id="24"/>
      <w:bookmarkEnd w:id="25"/>
    </w:p>
    <w:p>
      <w:pPr>
        <w:spacing w:line="600" w:lineRule="exact"/>
        <w:ind w:firstLine="643" w:firstLineChars="200"/>
        <w:outlineLvl w:val="2"/>
        <w:rPr>
          <w:rFonts w:eastAsia="楷体_GB2312" w:cs="楷体_GB2312"/>
          <w:b/>
          <w:sz w:val="32"/>
          <w:szCs w:val="32"/>
        </w:rPr>
      </w:pPr>
      <w:bookmarkStart w:id="26" w:name="_Toc15377210"/>
      <w:r>
        <w:rPr>
          <w:rFonts w:hint="eastAsia" w:eastAsia="楷体_GB2312" w:cs="楷体_GB2312"/>
          <w:b/>
          <w:sz w:val="32"/>
          <w:szCs w:val="32"/>
        </w:rPr>
        <w:t>（一）一般公共预算财政拨款支出决算总体情况</w:t>
      </w:r>
      <w:bookmarkEnd w:id="26"/>
    </w:p>
    <w:p>
      <w:pPr>
        <w:pStyle w:val="33"/>
        <w:spacing w:line="600" w:lineRule="exact"/>
        <w:ind w:firstLine="640"/>
        <w:outlineLvl w:val="1"/>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52.89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9.27</w:t>
      </w:r>
      <w:r>
        <w:rPr>
          <w:rFonts w:hint="eastAsia" w:ascii="仿宋_GB2312" w:hAnsi="仿宋_GB2312" w:eastAsia="仿宋_GB2312" w:cs="仿宋_GB2312"/>
          <w:sz w:val="32"/>
          <w:szCs w:val="32"/>
        </w:rPr>
        <w:t>%。</w:t>
      </w:r>
      <w:r>
        <w:rPr>
          <w:rFonts w:hint="eastAsia" w:eastAsia="仿宋_GB2312" w:cs="仿宋_GB2312"/>
          <w:sz w:val="32"/>
          <w:szCs w:val="32"/>
        </w:rPr>
        <w:t>主要变动原因</w:t>
      </w:r>
      <w:r>
        <w:rPr>
          <w:rFonts w:hint="eastAsia" w:eastAsia="仿宋_GB2312" w:cs="仿宋_GB2312"/>
          <w:sz w:val="32"/>
          <w:szCs w:val="32"/>
          <w:lang w:val="en-US" w:eastAsia="zh-CN"/>
        </w:rPr>
        <w:t>是2024年公务员减少5人，基本支出中人员经费部分较上年减少。</w:t>
      </w:r>
    </w:p>
    <w:p>
      <w:pPr>
        <w:spacing w:line="600" w:lineRule="exact"/>
        <w:ind w:firstLine="640"/>
      </w:pPr>
    </w:p>
    <w:p>
      <w:pPr>
        <w:pStyle w:val="2"/>
      </w:pPr>
    </w:p>
    <w:p>
      <w:pPr>
        <w:pStyle w:val="2"/>
        <w:ind w:left="0" w:leftChars="0" w:firstLine="0" w:firstLineChars="0"/>
      </w:pPr>
      <w:r>
        <w:drawing>
          <wp:anchor distT="0" distB="0" distL="114300" distR="114300" simplePos="0" relativeHeight="251659264" behindDoc="1" locked="0" layoutInCell="1" allowOverlap="1">
            <wp:simplePos x="0" y="0"/>
            <wp:positionH relativeFrom="column">
              <wp:posOffset>420370</wp:posOffset>
            </wp:positionH>
            <wp:positionV relativeFrom="paragraph">
              <wp:posOffset>-481330</wp:posOffset>
            </wp:positionV>
            <wp:extent cx="5271135" cy="2699385"/>
            <wp:effectExtent l="4445" t="4445" r="20320" b="20320"/>
            <wp:wrapTight wrapText="bothSides">
              <wp:wrapPolygon>
                <wp:start x="-18" y="-36"/>
                <wp:lineTo x="-18" y="21458"/>
                <wp:lineTo x="21527" y="21458"/>
                <wp:lineTo x="21527" y="-36"/>
                <wp:lineTo x="-18" y="-36"/>
              </wp:wrapPolygon>
            </wp:wrapTight>
            <wp:docPr id="245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3" w:firstLineChars="200"/>
        <w:outlineLvl w:val="2"/>
        <w:rPr>
          <w:rFonts w:eastAsia="楷体_GB2312" w:cs="楷体_GB2312"/>
          <w:b/>
          <w:sz w:val="32"/>
          <w:szCs w:val="32"/>
        </w:rPr>
      </w:pPr>
      <w:bookmarkStart w:id="27" w:name="_Toc15377211"/>
      <w:r>
        <w:rPr>
          <w:rFonts w:hint="eastAsia" w:eastAsia="楷体_GB2312" w:cs="楷体_GB2312"/>
          <w:b/>
          <w:sz w:val="32"/>
          <w:szCs w:val="32"/>
        </w:rPr>
        <w:t>（二）一般公共预算财政拨款支出决算结构情况</w:t>
      </w:r>
      <w:bookmarkEnd w:id="27"/>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517.66</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363.09</w:t>
      </w:r>
      <w:r>
        <w:rPr>
          <w:rFonts w:hint="eastAsia" w:eastAsia="仿宋_GB2312" w:cs="仿宋_GB2312"/>
          <w:sz w:val="32"/>
          <w:szCs w:val="32"/>
        </w:rPr>
        <w:t>万元，占</w:t>
      </w:r>
      <w:r>
        <w:rPr>
          <w:rFonts w:hint="eastAsia" w:eastAsia="仿宋_GB2312" w:cs="仿宋_GB2312"/>
          <w:sz w:val="32"/>
          <w:szCs w:val="32"/>
          <w:lang w:val="en-US" w:eastAsia="zh-CN"/>
        </w:rPr>
        <w:t>70.14</w:t>
      </w:r>
      <w:r>
        <w:rPr>
          <w:rFonts w:hint="eastAsia" w:eastAsia="仿宋_GB2312" w:cs="仿宋_GB2312"/>
          <w:sz w:val="32"/>
          <w:szCs w:val="32"/>
        </w:rPr>
        <w:t>%；社会保障和就业支出</w:t>
      </w:r>
      <w:r>
        <w:rPr>
          <w:rFonts w:hint="eastAsia" w:eastAsia="仿宋_GB2312" w:cs="仿宋_GB2312"/>
          <w:sz w:val="32"/>
          <w:szCs w:val="32"/>
          <w:lang w:val="en-US" w:eastAsia="zh-CN"/>
        </w:rPr>
        <w:t>44.77</w:t>
      </w:r>
      <w:r>
        <w:rPr>
          <w:rFonts w:hint="eastAsia" w:eastAsia="仿宋_GB2312" w:cs="仿宋_GB2312"/>
          <w:sz w:val="32"/>
          <w:szCs w:val="32"/>
        </w:rPr>
        <w:t>万元，占</w:t>
      </w:r>
      <w:r>
        <w:rPr>
          <w:rFonts w:hint="eastAsia" w:eastAsia="仿宋_GB2312" w:cs="仿宋_GB2312"/>
          <w:sz w:val="32"/>
          <w:szCs w:val="32"/>
          <w:lang w:val="en-US" w:eastAsia="zh-CN"/>
        </w:rPr>
        <w:t>8.65</w:t>
      </w:r>
      <w:r>
        <w:rPr>
          <w:rFonts w:hint="eastAsia" w:eastAsia="仿宋_GB2312" w:cs="仿宋_GB2312"/>
          <w:sz w:val="32"/>
          <w:szCs w:val="32"/>
        </w:rPr>
        <w:t>%；卫生健康支出</w:t>
      </w:r>
      <w:r>
        <w:rPr>
          <w:rFonts w:hint="eastAsia" w:eastAsia="仿宋_GB2312" w:cs="仿宋_GB2312"/>
          <w:sz w:val="32"/>
          <w:szCs w:val="32"/>
          <w:lang w:val="en-US" w:eastAsia="zh-CN"/>
        </w:rPr>
        <w:t>30.40</w:t>
      </w:r>
      <w:r>
        <w:rPr>
          <w:rFonts w:hint="eastAsia" w:eastAsia="仿宋_GB2312" w:cs="仿宋_GB2312"/>
          <w:sz w:val="32"/>
          <w:szCs w:val="32"/>
        </w:rPr>
        <w:t>万元，占</w:t>
      </w:r>
      <w:r>
        <w:rPr>
          <w:rFonts w:hint="eastAsia" w:eastAsia="仿宋_GB2312" w:cs="仿宋_GB2312"/>
          <w:sz w:val="32"/>
          <w:szCs w:val="32"/>
          <w:lang w:val="en-US" w:eastAsia="zh-CN"/>
        </w:rPr>
        <w:t>5.87</w:t>
      </w:r>
      <w:r>
        <w:rPr>
          <w:rFonts w:hint="eastAsia" w:eastAsia="仿宋_GB2312" w:cs="仿宋_GB2312"/>
          <w:sz w:val="32"/>
          <w:szCs w:val="32"/>
        </w:rPr>
        <w:t>%；住房保障支出</w:t>
      </w:r>
      <w:r>
        <w:rPr>
          <w:rFonts w:hint="eastAsia" w:eastAsia="仿宋_GB2312" w:cs="仿宋_GB2312"/>
          <w:sz w:val="32"/>
          <w:szCs w:val="32"/>
          <w:lang w:val="en-US" w:eastAsia="zh-CN"/>
        </w:rPr>
        <w:t>30.94</w:t>
      </w:r>
      <w:r>
        <w:rPr>
          <w:rFonts w:hint="eastAsia" w:eastAsia="仿宋_GB2312" w:cs="仿宋_GB2312"/>
          <w:sz w:val="32"/>
          <w:szCs w:val="32"/>
        </w:rPr>
        <w:t>万元，占</w:t>
      </w:r>
      <w:r>
        <w:rPr>
          <w:rFonts w:hint="eastAsia" w:eastAsia="仿宋_GB2312" w:cs="仿宋_GB2312"/>
          <w:sz w:val="32"/>
          <w:szCs w:val="32"/>
          <w:lang w:val="en-US" w:eastAsia="zh-CN"/>
        </w:rPr>
        <w:t>5.98</w:t>
      </w:r>
      <w:r>
        <w:rPr>
          <w:rFonts w:hint="eastAsia" w:eastAsia="仿宋_GB2312" w:cs="仿宋_GB2312"/>
          <w:sz w:val="32"/>
          <w:szCs w:val="32"/>
        </w:rPr>
        <w:t>%；</w:t>
      </w:r>
      <w:r>
        <w:rPr>
          <w:rFonts w:hint="eastAsia" w:eastAsia="仿宋_GB2312" w:cs="仿宋_GB2312"/>
          <w:sz w:val="32"/>
          <w:szCs w:val="32"/>
          <w:lang w:val="en-US" w:eastAsia="zh-CN"/>
        </w:rPr>
        <w:t>公共安全支出48.47万元，占9.36%。</w:t>
      </w:r>
    </w:p>
    <w:p>
      <w:pPr>
        <w:spacing w:line="600" w:lineRule="exact"/>
        <w:ind w:firstLine="420" w:firstLineChars="200"/>
        <w:outlineLvl w:val="2"/>
      </w:pPr>
      <w:bookmarkStart w:id="28" w:name="_Toc15377212"/>
      <w:r>
        <w:drawing>
          <wp:anchor distT="0" distB="0" distL="114300" distR="114300" simplePos="0" relativeHeight="251660288" behindDoc="1" locked="0" layoutInCell="1" allowOverlap="1">
            <wp:simplePos x="0" y="0"/>
            <wp:positionH relativeFrom="column">
              <wp:posOffset>90170</wp:posOffset>
            </wp:positionH>
            <wp:positionV relativeFrom="paragraph">
              <wp:posOffset>177800</wp:posOffset>
            </wp:positionV>
            <wp:extent cx="5268595" cy="3536315"/>
            <wp:effectExtent l="4445" t="4445" r="22860" b="21590"/>
            <wp:wrapTight wrapText="bothSides">
              <wp:wrapPolygon>
                <wp:start x="-18" y="-27"/>
                <wp:lineTo x="-18" y="21499"/>
                <wp:lineTo x="21538" y="21499"/>
                <wp:lineTo x="21538" y="-27"/>
                <wp:lineTo x="-18" y="-27"/>
              </wp:wrapPolygon>
            </wp:wrapTight>
            <wp:docPr id="245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28"/>
    </w:p>
    <w:p>
      <w:pPr>
        <w:spacing w:line="600" w:lineRule="exact"/>
        <w:ind w:firstLine="640"/>
        <w:rPr>
          <w:rFonts w:eastAsia="仿宋_GB2312" w:cs="仿宋_GB2312"/>
          <w:sz w:val="32"/>
          <w:szCs w:val="32"/>
        </w:rPr>
      </w:pPr>
      <w:bookmarkStart w:id="29" w:name="_Toc15377213"/>
      <w:bookmarkStart w:id="30" w:name="_Toc15377444"/>
      <w:bookmarkStart w:id="31"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517.66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9"/>
      <w:bookmarkEnd w:id="30"/>
      <w:bookmarkEnd w:id="31"/>
    </w:p>
    <w:p>
      <w:pPr>
        <w:spacing w:line="600" w:lineRule="exact"/>
        <w:ind w:firstLine="643" w:firstLineChars="200"/>
        <w:rPr>
          <w:rStyle w:val="23"/>
          <w:rFonts w:ascii="仿宋_GB2312" w:eastAsia="仿宋_GB2312"/>
          <w:color w:val="000000"/>
          <w:sz w:val="32"/>
          <w:szCs w:val="32"/>
        </w:rPr>
      </w:pPr>
      <w:r>
        <w:rPr>
          <w:rStyle w:val="23"/>
          <w:rFonts w:ascii="仿宋_GB2312" w:eastAsia="仿宋_GB2312" w:cs="仿宋_GB2312"/>
          <w:color w:val="000000"/>
          <w:sz w:val="32"/>
          <w:szCs w:val="32"/>
        </w:rPr>
        <w:t>1.</w:t>
      </w:r>
      <w:r>
        <w:rPr>
          <w:rStyle w:val="23"/>
          <w:rFonts w:hint="eastAsia" w:ascii="仿宋_GB2312" w:eastAsia="仿宋_GB2312" w:cs="仿宋_GB2312"/>
          <w:color w:val="000000"/>
          <w:sz w:val="32"/>
          <w:szCs w:val="32"/>
        </w:rPr>
        <w:t>一般公共服务（类）其他共产党事务支出（款）</w:t>
      </w:r>
    </w:p>
    <w:p>
      <w:pPr>
        <w:spacing w:line="600" w:lineRule="exact"/>
        <w:ind w:firstLine="643" w:firstLineChars="200"/>
        <w:rPr>
          <w:rStyle w:val="23"/>
          <w:rFonts w:ascii="仿宋_GB2312" w:eastAsia="仿宋_GB2312"/>
          <w:b w:val="0"/>
          <w:bCs w:val="0"/>
          <w:color w:val="000000"/>
          <w:sz w:val="32"/>
          <w:szCs w:val="32"/>
        </w:rPr>
      </w:pPr>
      <w:r>
        <w:rPr>
          <w:rStyle w:val="23"/>
          <w:rFonts w:hint="eastAsia" w:ascii="仿宋_GB2312" w:eastAsia="仿宋_GB2312" w:cs="仿宋_GB2312"/>
          <w:color w:val="000000"/>
          <w:sz w:val="32"/>
          <w:szCs w:val="32"/>
        </w:rPr>
        <w:t>①、行政运行</w:t>
      </w:r>
      <w:r>
        <w:rPr>
          <w:rStyle w:val="23"/>
          <w:rFonts w:ascii="仿宋_GB2312" w:eastAsia="仿宋_GB2312" w:cs="仿宋_GB2312"/>
          <w:color w:val="000000"/>
          <w:sz w:val="32"/>
          <w:szCs w:val="32"/>
        </w:rPr>
        <w:t>:</w:t>
      </w:r>
      <w:r>
        <w:rPr>
          <w:rStyle w:val="23"/>
          <w:rFonts w:ascii="仿宋_GB2312" w:eastAsia="仿宋_GB2312" w:cs="仿宋_GB2312"/>
          <w:b w:val="0"/>
          <w:bCs w:val="0"/>
          <w:color w:val="000000"/>
          <w:sz w:val="32"/>
          <w:szCs w:val="32"/>
        </w:rPr>
        <w:t xml:space="preserve"> </w:t>
      </w:r>
      <w:r>
        <w:rPr>
          <w:rFonts w:hint="eastAsia" w:ascii="方正仿宋_GBK" w:hAnsi="方正仿宋_GBK" w:eastAsia="方正仿宋_GBK" w:cs="方正仿宋_GBK"/>
          <w:kern w:val="2"/>
          <w:sz w:val="33"/>
          <w:szCs w:val="33"/>
          <w:lang w:val="en-US" w:eastAsia="zh-CN" w:bidi="ar-SA"/>
        </w:rPr>
        <w:t>支出决算为247.65万元，完成预算100%。</w:t>
      </w:r>
    </w:p>
    <w:p>
      <w:pPr>
        <w:spacing w:line="600" w:lineRule="exact"/>
        <w:ind w:firstLine="643" w:firstLineChars="200"/>
        <w:rPr>
          <w:rFonts w:hint="eastAsia" w:ascii="方正仿宋_GBK" w:hAnsi="方正仿宋_GBK" w:eastAsia="方正仿宋_GBK" w:cs="方正仿宋_GBK"/>
          <w:kern w:val="2"/>
          <w:sz w:val="33"/>
          <w:szCs w:val="33"/>
          <w:lang w:val="en-US" w:eastAsia="zh-CN" w:bidi="ar-SA"/>
        </w:rPr>
      </w:pPr>
      <w:r>
        <w:rPr>
          <w:rStyle w:val="23"/>
          <w:rFonts w:hint="eastAsia" w:ascii="仿宋_GB2312" w:eastAsia="仿宋_GB2312" w:cs="仿宋_GB2312"/>
          <w:color w:val="000000"/>
          <w:sz w:val="32"/>
          <w:szCs w:val="32"/>
        </w:rPr>
        <w:t>②、其他共产党事务支出：</w:t>
      </w:r>
      <w:r>
        <w:rPr>
          <w:rFonts w:hint="eastAsia" w:ascii="方正仿宋_GBK" w:hAnsi="方正仿宋_GBK" w:eastAsia="方正仿宋_GBK" w:cs="方正仿宋_GBK"/>
          <w:kern w:val="2"/>
          <w:sz w:val="33"/>
          <w:szCs w:val="33"/>
          <w:lang w:val="en-US" w:eastAsia="zh-CN" w:bidi="ar-SA"/>
        </w:rPr>
        <w:t>支出决算为38.01万元，完成预算100%。</w:t>
      </w:r>
    </w:p>
    <w:p>
      <w:pPr>
        <w:spacing w:line="600" w:lineRule="exact"/>
        <w:ind w:firstLine="643" w:firstLineChars="200"/>
        <w:rPr>
          <w:rStyle w:val="23"/>
          <w:rFonts w:hint="eastAsia" w:ascii="仿宋_GB2312" w:eastAsia="仿宋_GB2312" w:cs="仿宋_GB2312"/>
          <w:b w:val="0"/>
          <w:bCs w:val="0"/>
          <w:color w:val="000000"/>
          <w:sz w:val="32"/>
          <w:szCs w:val="32"/>
        </w:rPr>
      </w:pPr>
      <w:r>
        <w:rPr>
          <w:rStyle w:val="23"/>
          <w:rFonts w:hint="eastAsia" w:ascii="仿宋_GB2312" w:eastAsia="仿宋_GB2312" w:cs="仿宋_GB2312"/>
          <w:color w:val="000000"/>
          <w:sz w:val="32"/>
          <w:szCs w:val="32"/>
        </w:rPr>
        <w:sym w:font="Wingdings" w:char="F083"/>
      </w:r>
      <w:r>
        <w:rPr>
          <w:rStyle w:val="23"/>
          <w:rFonts w:hint="eastAsia" w:ascii="仿宋_GB2312" w:eastAsia="仿宋_GB2312" w:cs="仿宋_GB2312"/>
          <w:color w:val="000000"/>
          <w:sz w:val="32"/>
          <w:szCs w:val="32"/>
        </w:rPr>
        <w:t>、</w:t>
      </w:r>
      <w:r>
        <w:rPr>
          <w:rStyle w:val="23"/>
          <w:rFonts w:hint="eastAsia" w:ascii="仿宋_GB2312" w:eastAsia="仿宋_GB2312" w:cs="仿宋_GB2312"/>
          <w:color w:val="000000"/>
          <w:sz w:val="32"/>
          <w:szCs w:val="32"/>
          <w:lang w:eastAsia="zh-CN"/>
        </w:rPr>
        <w:t>事业运行</w:t>
      </w:r>
      <w:r>
        <w:rPr>
          <w:rStyle w:val="23"/>
          <w:rFonts w:hint="eastAsia" w:ascii="仿宋_GB2312" w:eastAsia="仿宋_GB2312" w:cs="仿宋_GB2312"/>
          <w:color w:val="000000"/>
          <w:sz w:val="32"/>
          <w:szCs w:val="32"/>
        </w:rPr>
        <w:t>：</w:t>
      </w:r>
      <w:r>
        <w:rPr>
          <w:rFonts w:hint="eastAsia" w:ascii="方正仿宋_GBK" w:hAnsi="方正仿宋_GBK" w:eastAsia="方正仿宋_GBK" w:cs="方正仿宋_GBK"/>
          <w:kern w:val="2"/>
          <w:sz w:val="33"/>
          <w:szCs w:val="33"/>
          <w:lang w:val="en-US" w:eastAsia="zh-CN" w:bidi="ar-SA"/>
        </w:rPr>
        <w:t>支出决算为77.43万元，完成预算100%。</w:t>
      </w:r>
    </w:p>
    <w:p>
      <w:pPr>
        <w:spacing w:line="600" w:lineRule="exact"/>
        <w:ind w:firstLine="643" w:firstLineChars="200"/>
        <w:rPr>
          <w:rStyle w:val="23"/>
          <w:rFonts w:ascii="仿宋_GB2312" w:eastAsia="仿宋_GB2312"/>
          <w:color w:val="000000"/>
          <w:sz w:val="32"/>
          <w:szCs w:val="32"/>
        </w:rPr>
      </w:pPr>
      <w:r>
        <w:rPr>
          <w:rStyle w:val="23"/>
          <w:rFonts w:ascii="仿宋_GB2312" w:eastAsia="仿宋_GB2312" w:cs="仿宋_GB2312"/>
          <w:color w:val="000000"/>
          <w:sz w:val="32"/>
          <w:szCs w:val="32"/>
        </w:rPr>
        <w:t>2.</w:t>
      </w:r>
      <w:r>
        <w:rPr>
          <w:rStyle w:val="23"/>
          <w:rFonts w:hint="eastAsia" w:ascii="仿宋_GB2312" w:eastAsia="仿宋_GB2312" w:cs="仿宋_GB2312"/>
          <w:color w:val="000000"/>
          <w:sz w:val="32"/>
          <w:szCs w:val="32"/>
        </w:rPr>
        <w:t>社会保障和就业（类）行政事业单位离退休（款）</w:t>
      </w:r>
      <w:r>
        <w:rPr>
          <w:rStyle w:val="23"/>
          <w:rFonts w:ascii="仿宋_GB2312" w:eastAsia="仿宋_GB2312" w:cs="仿宋_GB2312"/>
          <w:color w:val="000000"/>
          <w:sz w:val="32"/>
          <w:szCs w:val="32"/>
        </w:rPr>
        <w:t xml:space="preserve">  </w:t>
      </w:r>
    </w:p>
    <w:p>
      <w:pPr>
        <w:spacing w:line="600" w:lineRule="exact"/>
        <w:ind w:firstLine="643" w:firstLineChars="200"/>
        <w:rPr>
          <w:rFonts w:hint="eastAsia" w:ascii="方正仿宋_GBK" w:hAnsi="方正仿宋_GBK" w:eastAsia="方正仿宋_GBK" w:cs="方正仿宋_GBK"/>
          <w:sz w:val="33"/>
          <w:szCs w:val="33"/>
          <w:lang w:val="en-US" w:eastAsia="zh-CN"/>
        </w:rPr>
      </w:pPr>
      <w:r>
        <w:rPr>
          <w:rStyle w:val="23"/>
          <w:rFonts w:hint="eastAsia" w:ascii="仿宋_GB2312" w:eastAsia="仿宋_GB2312" w:cs="仿宋_GB2312"/>
          <w:color w:val="000000"/>
          <w:sz w:val="32"/>
          <w:szCs w:val="32"/>
        </w:rPr>
        <w:t>①、行政单位离退休</w:t>
      </w:r>
      <w:r>
        <w:rPr>
          <w:rStyle w:val="23"/>
          <w:rFonts w:ascii="仿宋_GB2312" w:eastAsia="仿宋_GB2312" w:cs="仿宋_GB2312"/>
          <w:color w:val="000000"/>
          <w:sz w:val="32"/>
          <w:szCs w:val="32"/>
        </w:rPr>
        <w:t>:</w:t>
      </w:r>
      <w:r>
        <w:rPr>
          <w:rStyle w:val="23"/>
          <w:rFonts w:ascii="仿宋_GB2312" w:eastAsia="仿宋_GB2312" w:cs="仿宋_GB2312"/>
          <w:b w:val="0"/>
          <w:bCs w:val="0"/>
          <w:color w:val="000000"/>
          <w:sz w:val="32"/>
          <w:szCs w:val="32"/>
        </w:rPr>
        <w:t xml:space="preserve"> </w:t>
      </w:r>
      <w:r>
        <w:rPr>
          <w:rFonts w:hint="eastAsia" w:ascii="方正仿宋_GBK" w:hAnsi="方正仿宋_GBK" w:eastAsia="方正仿宋_GBK" w:cs="方正仿宋_GBK"/>
          <w:sz w:val="33"/>
          <w:szCs w:val="33"/>
          <w:lang w:val="en-US" w:eastAsia="zh-CN"/>
        </w:rPr>
        <w:t>支出决算为5.07万元，完成预算100%。</w:t>
      </w:r>
    </w:p>
    <w:p>
      <w:pPr>
        <w:spacing w:line="600" w:lineRule="exact"/>
        <w:ind w:firstLine="643" w:firstLineChars="200"/>
        <w:rPr>
          <w:rFonts w:hint="eastAsia" w:ascii="方正仿宋_GBK" w:hAnsi="方正仿宋_GBK" w:eastAsia="方正仿宋_GBK" w:cs="方正仿宋_GBK"/>
          <w:sz w:val="33"/>
          <w:szCs w:val="33"/>
          <w:lang w:val="en-US" w:eastAsia="zh-CN"/>
        </w:rPr>
      </w:pPr>
      <w:r>
        <w:rPr>
          <w:rFonts w:hint="eastAsia" w:ascii="仿宋_GB2312" w:eastAsia="仿宋_GB2312" w:cs="仿宋_GB2312"/>
          <w:b/>
          <w:bCs/>
          <w:color w:val="000000"/>
          <w:sz w:val="32"/>
          <w:szCs w:val="32"/>
        </w:rPr>
        <w:t>②、机关事业单位基本养老保险缴费支出：</w:t>
      </w:r>
      <w:r>
        <w:rPr>
          <w:rFonts w:hint="eastAsia" w:ascii="方正仿宋_GBK" w:hAnsi="方正仿宋_GBK" w:eastAsia="方正仿宋_GBK" w:cs="方正仿宋_GBK"/>
          <w:sz w:val="33"/>
          <w:szCs w:val="33"/>
          <w:lang w:val="en-US" w:eastAsia="zh-CN"/>
        </w:rPr>
        <w:t>支出决算为31.62万元，完成预算100%。</w:t>
      </w:r>
    </w:p>
    <w:p>
      <w:pPr>
        <w:spacing w:line="600" w:lineRule="exact"/>
        <w:ind w:firstLine="643" w:firstLineChars="200"/>
        <w:rPr>
          <w:rFonts w:hint="eastAsia" w:ascii="方正仿宋_GBK" w:hAnsi="方正仿宋_GBK" w:eastAsia="方正仿宋_GBK" w:cs="方正仿宋_GBK"/>
          <w:sz w:val="33"/>
          <w:szCs w:val="33"/>
          <w:lang w:val="en-US" w:eastAsia="zh-CN"/>
        </w:rPr>
      </w:pPr>
      <w:r>
        <w:rPr>
          <w:rStyle w:val="23"/>
          <w:rFonts w:hint="default" w:ascii="Calibri" w:hAnsi="Calibri" w:eastAsia="仿宋_GB2312" w:cs="Calibri"/>
          <w:b/>
          <w:bCs/>
          <w:color w:val="000000"/>
          <w:sz w:val="32"/>
          <w:szCs w:val="32"/>
          <w:lang w:eastAsia="zh-CN"/>
        </w:rPr>
        <w:t>③</w:t>
      </w:r>
      <w:r>
        <w:rPr>
          <w:rStyle w:val="23"/>
          <w:rFonts w:hint="eastAsia" w:ascii="仿宋_GB2312" w:eastAsia="仿宋_GB2312" w:cs="仿宋_GB2312"/>
          <w:b w:val="0"/>
          <w:bCs w:val="0"/>
          <w:color w:val="000000"/>
          <w:sz w:val="32"/>
          <w:szCs w:val="32"/>
          <w:lang w:eastAsia="zh-CN"/>
        </w:rPr>
        <w:t>、</w:t>
      </w:r>
      <w:r>
        <w:rPr>
          <w:rStyle w:val="23"/>
          <w:rFonts w:hint="eastAsia" w:ascii="仿宋_GB2312" w:eastAsia="仿宋_GB2312" w:cs="仿宋_GB2312"/>
          <w:b/>
          <w:bCs/>
          <w:color w:val="000000"/>
          <w:sz w:val="32"/>
          <w:szCs w:val="32"/>
          <w:lang w:eastAsia="zh-CN"/>
        </w:rPr>
        <w:t>机关事业单位职业年金缴费支出：</w:t>
      </w:r>
      <w:r>
        <w:rPr>
          <w:rFonts w:hint="eastAsia" w:ascii="方正仿宋_GBK" w:hAnsi="方正仿宋_GBK" w:eastAsia="方正仿宋_GBK" w:cs="方正仿宋_GBK"/>
          <w:sz w:val="33"/>
          <w:szCs w:val="33"/>
          <w:lang w:val="en-US" w:eastAsia="zh-CN"/>
        </w:rPr>
        <w:t>支出决算为8.07万元，完成预算100%。</w:t>
      </w:r>
    </w:p>
    <w:p>
      <w:pPr>
        <w:spacing w:line="600" w:lineRule="exact"/>
        <w:ind w:firstLine="643" w:firstLineChars="200"/>
        <w:rPr>
          <w:rStyle w:val="23"/>
          <w:rFonts w:hint="eastAsia" w:ascii="仿宋_GB2312" w:eastAsia="仿宋_GB2312" w:cs="仿宋_GB2312"/>
          <w:b w:val="0"/>
          <w:bCs w:val="0"/>
          <w:color w:val="000000"/>
          <w:sz w:val="32"/>
          <w:szCs w:val="32"/>
        </w:rPr>
      </w:pPr>
      <w:r>
        <w:rPr>
          <w:rStyle w:val="23"/>
          <w:rFonts w:hint="eastAsia" w:ascii="仿宋_GB2312" w:eastAsia="仿宋_GB2312" w:cs="仿宋_GB2312"/>
          <w:color w:val="000000"/>
          <w:sz w:val="32"/>
          <w:szCs w:val="32"/>
          <w:lang w:val="en-US" w:eastAsia="zh-CN"/>
        </w:rPr>
        <w:t>3.</w:t>
      </w:r>
      <w:r>
        <w:rPr>
          <w:rStyle w:val="23"/>
          <w:rFonts w:hint="eastAsia" w:ascii="仿宋_GB2312" w:eastAsia="仿宋_GB2312" w:cs="仿宋_GB2312"/>
          <w:color w:val="000000"/>
          <w:sz w:val="32"/>
          <w:szCs w:val="32"/>
        </w:rPr>
        <w:t>住房保障支出（类）住房改革支出（款）住房公积金（项）：</w:t>
      </w:r>
      <w:r>
        <w:rPr>
          <w:rFonts w:hint="eastAsia" w:ascii="方正仿宋_GBK" w:hAnsi="方正仿宋_GBK" w:eastAsia="方正仿宋_GBK" w:cs="方正仿宋_GBK"/>
          <w:sz w:val="33"/>
          <w:szCs w:val="33"/>
          <w:lang w:val="en-US" w:eastAsia="zh-CN"/>
        </w:rPr>
        <w:t>支出决算为30.94万元，完成预算100%。</w:t>
      </w:r>
    </w:p>
    <w:p>
      <w:pPr>
        <w:spacing w:line="560" w:lineRule="exact"/>
        <w:ind w:firstLine="643" w:firstLineChars="200"/>
        <w:rPr>
          <w:rFonts w:hint="eastAsia" w:eastAsia="仿宋_GB2312"/>
          <w:b/>
          <w:sz w:val="32"/>
          <w:szCs w:val="32"/>
          <w:lang w:eastAsia="zh-CN"/>
        </w:rPr>
      </w:pPr>
      <w:r>
        <w:rPr>
          <w:rFonts w:hint="eastAsia" w:eastAsia="仿宋_GB2312"/>
          <w:b/>
          <w:sz w:val="32"/>
          <w:szCs w:val="32"/>
          <w:lang w:val="en-US" w:eastAsia="zh-CN"/>
        </w:rPr>
        <w:t>4</w:t>
      </w:r>
      <w:r>
        <w:rPr>
          <w:rFonts w:eastAsia="仿宋_GB2312"/>
          <w:b/>
          <w:sz w:val="32"/>
          <w:szCs w:val="32"/>
        </w:rPr>
        <w:t>.卫生健康支出（类）</w:t>
      </w:r>
      <w:r>
        <w:rPr>
          <w:rFonts w:hint="eastAsia" w:eastAsia="仿宋_GB2312"/>
          <w:b/>
          <w:sz w:val="32"/>
          <w:szCs w:val="32"/>
          <w:lang w:eastAsia="zh-CN"/>
        </w:rPr>
        <w:t>行政事业单位医疗</w:t>
      </w:r>
      <w:r>
        <w:rPr>
          <w:rFonts w:eastAsia="仿宋_GB2312"/>
          <w:b/>
          <w:sz w:val="32"/>
          <w:szCs w:val="32"/>
        </w:rPr>
        <w:t>（款）</w:t>
      </w:r>
      <w:r>
        <w:rPr>
          <w:rFonts w:hint="eastAsia" w:eastAsia="仿宋_GB2312"/>
          <w:b/>
          <w:sz w:val="32"/>
          <w:szCs w:val="32"/>
          <w:lang w:eastAsia="zh-CN"/>
        </w:rPr>
        <w:t>：</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sym w:font="Wingdings" w:char="F081"/>
      </w:r>
      <w:r>
        <w:rPr>
          <w:rFonts w:hint="eastAsia" w:ascii="方正仿宋_GBK" w:hAnsi="方正仿宋_GBK" w:eastAsia="方正仿宋_GBK" w:cs="方正仿宋_GBK"/>
          <w:sz w:val="33"/>
          <w:szCs w:val="33"/>
          <w:lang w:val="en-US" w:eastAsia="zh-CN"/>
        </w:rPr>
        <w:t>行政单位医疗：支出决算为12.83万元，完成预算100%，决算数等于预算数。</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sym w:font="Wingdings" w:char="F082"/>
      </w:r>
      <w:r>
        <w:rPr>
          <w:rFonts w:hint="eastAsia" w:ascii="方正仿宋_GBK" w:hAnsi="方正仿宋_GBK" w:eastAsia="方正仿宋_GBK" w:cs="方正仿宋_GBK"/>
          <w:sz w:val="33"/>
          <w:szCs w:val="33"/>
          <w:lang w:val="en-US" w:eastAsia="zh-CN"/>
        </w:rPr>
        <w:t>事业单位医疗：支出决算为5.37万元，完成预算100%，决算数等于预算数。</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sym w:font="Wingdings" w:char="F083"/>
      </w:r>
      <w:r>
        <w:rPr>
          <w:rFonts w:hint="eastAsia" w:ascii="方正仿宋_GBK" w:hAnsi="方正仿宋_GBK" w:eastAsia="方正仿宋_GBK" w:cs="方正仿宋_GBK"/>
          <w:sz w:val="33"/>
          <w:szCs w:val="33"/>
          <w:lang w:val="en-US" w:eastAsia="zh-CN"/>
        </w:rPr>
        <w:t>公务员医疗补助：支出决算为1.22万元，完成预算100%，决算数等于预算数。</w:t>
      </w:r>
    </w:p>
    <w:p>
      <w:pPr>
        <w:spacing w:line="600" w:lineRule="exact"/>
        <w:ind w:firstLine="645"/>
        <w:rPr>
          <w:rFonts w:hint="eastAsia" w:ascii="方正仿宋_GBK" w:hAnsi="方正仿宋_GBK" w:eastAsia="方正仿宋_GBK" w:cs="方正仿宋_GBK"/>
          <w:sz w:val="33"/>
          <w:szCs w:val="33"/>
          <w:lang w:val="en-US" w:eastAsia="zh-CN"/>
        </w:rPr>
      </w:pPr>
      <w:r>
        <w:rPr>
          <w:rFonts w:hint="eastAsia" w:ascii="方正仿宋_GBK" w:hAnsi="方正仿宋_GBK" w:eastAsia="方正仿宋_GBK" w:cs="方正仿宋_GBK"/>
          <w:sz w:val="33"/>
          <w:szCs w:val="33"/>
          <w:lang w:val="en-US" w:eastAsia="zh-CN"/>
        </w:rPr>
        <w:t>④其他行政事业单位医疗支出：支出决算为10.98万元，完成预算100%，决算数等于预算数。</w:t>
      </w:r>
    </w:p>
    <w:p>
      <w:pPr>
        <w:pStyle w:val="19"/>
        <w:ind w:firstLine="643" w:firstLineChars="200"/>
        <w:jc w:val="both"/>
      </w:pPr>
      <w:r>
        <w:rPr>
          <w:rStyle w:val="23"/>
          <w:rFonts w:hint="eastAsia" w:ascii="仿宋_GB2312" w:eastAsia="仿宋_GB2312" w:cs="仿宋_GB2312"/>
          <w:b/>
          <w:bCs/>
          <w:color w:val="000000"/>
          <w:sz w:val="32"/>
          <w:szCs w:val="32"/>
          <w:lang w:val="en-US" w:eastAsia="zh-CN"/>
        </w:rPr>
        <w:t>5.</w:t>
      </w:r>
      <w:r>
        <w:rPr>
          <w:rStyle w:val="23"/>
          <w:rFonts w:hint="eastAsia" w:ascii="仿宋_GB2312" w:eastAsia="仿宋_GB2312" w:cs="仿宋_GB2312"/>
          <w:b/>
          <w:bCs/>
          <w:color w:val="000000"/>
          <w:sz w:val="32"/>
          <w:szCs w:val="32"/>
          <w:lang w:eastAsia="zh-CN"/>
        </w:rPr>
        <w:t>公共安全支出</w:t>
      </w:r>
      <w:r>
        <w:rPr>
          <w:rStyle w:val="23"/>
          <w:rFonts w:hint="eastAsia" w:ascii="仿宋_GB2312" w:eastAsia="仿宋_GB2312" w:cs="仿宋_GB2312"/>
          <w:b/>
          <w:bCs/>
          <w:color w:val="000000"/>
          <w:sz w:val="32"/>
          <w:szCs w:val="32"/>
        </w:rPr>
        <w:t>（类）</w:t>
      </w:r>
      <w:r>
        <w:rPr>
          <w:rStyle w:val="23"/>
          <w:rFonts w:hint="eastAsia" w:ascii="仿宋_GB2312" w:eastAsia="仿宋_GB2312" w:cs="仿宋_GB2312"/>
          <w:b/>
          <w:bCs/>
          <w:color w:val="000000"/>
          <w:sz w:val="32"/>
          <w:szCs w:val="32"/>
          <w:lang w:eastAsia="zh-CN"/>
        </w:rPr>
        <w:t>其他公共安全支出</w:t>
      </w:r>
      <w:r>
        <w:rPr>
          <w:rStyle w:val="23"/>
          <w:rFonts w:hint="eastAsia" w:ascii="仿宋_GB2312" w:eastAsia="仿宋_GB2312" w:cs="仿宋_GB2312"/>
          <w:b/>
          <w:bCs/>
          <w:color w:val="000000"/>
          <w:sz w:val="32"/>
          <w:szCs w:val="32"/>
        </w:rPr>
        <w:t>（款）</w:t>
      </w:r>
      <w:r>
        <w:rPr>
          <w:rStyle w:val="23"/>
          <w:rFonts w:hint="eastAsia" w:ascii="仿宋_GB2312" w:eastAsia="仿宋_GB2312" w:cs="仿宋_GB2312"/>
          <w:b/>
          <w:bCs/>
          <w:color w:val="000000"/>
          <w:sz w:val="32"/>
          <w:szCs w:val="32"/>
          <w:lang w:eastAsia="zh-CN"/>
        </w:rPr>
        <w:t>其他公共安全支出（项）：</w:t>
      </w:r>
      <w:r>
        <w:rPr>
          <w:rStyle w:val="23"/>
          <w:rFonts w:hint="eastAsia" w:ascii="仿宋_GB2312" w:eastAsia="仿宋_GB2312" w:cs="仿宋_GB2312"/>
          <w:b w:val="0"/>
          <w:bCs w:val="0"/>
          <w:color w:val="000000"/>
          <w:sz w:val="32"/>
          <w:szCs w:val="32"/>
        </w:rPr>
        <w:t>支出决算为</w:t>
      </w:r>
      <w:r>
        <w:rPr>
          <w:rStyle w:val="23"/>
          <w:rFonts w:hint="eastAsia" w:ascii="仿宋_GB2312" w:eastAsia="仿宋_GB2312" w:cs="仿宋_GB2312"/>
          <w:b w:val="0"/>
          <w:bCs w:val="0"/>
          <w:color w:val="000000"/>
          <w:sz w:val="32"/>
          <w:szCs w:val="32"/>
          <w:lang w:val="en-US" w:eastAsia="zh-CN"/>
        </w:rPr>
        <w:t>48.47</w:t>
      </w:r>
      <w:r>
        <w:rPr>
          <w:rStyle w:val="23"/>
          <w:rFonts w:hint="eastAsia" w:ascii="仿宋_GB2312" w:eastAsia="仿宋_GB2312" w:cs="仿宋_GB2312"/>
          <w:b w:val="0"/>
          <w:bCs w:val="0"/>
          <w:color w:val="000000"/>
          <w:sz w:val="32"/>
          <w:szCs w:val="32"/>
        </w:rPr>
        <w:t>万元，完成预算</w:t>
      </w:r>
      <w:r>
        <w:rPr>
          <w:rStyle w:val="23"/>
          <w:rFonts w:ascii="仿宋_GB2312" w:eastAsia="仿宋_GB2312" w:cs="仿宋_GB2312"/>
          <w:b w:val="0"/>
          <w:bCs w:val="0"/>
          <w:color w:val="000000"/>
          <w:sz w:val="32"/>
          <w:szCs w:val="32"/>
        </w:rPr>
        <w:t>100%</w:t>
      </w:r>
      <w:r>
        <w:rPr>
          <w:rStyle w:val="23"/>
          <w:rFonts w:hint="eastAsia" w:ascii="仿宋_GB2312" w:eastAsia="仿宋_GB2312" w:cs="仿宋_GB2312"/>
          <w:b w:val="0"/>
          <w:bCs w:val="0"/>
          <w:color w:val="000000"/>
          <w:sz w:val="32"/>
          <w:szCs w:val="32"/>
        </w:rPr>
        <w:t>。</w:t>
      </w:r>
    </w:p>
    <w:p>
      <w:pPr>
        <w:tabs>
          <w:tab w:val="right" w:pos="8306"/>
        </w:tabs>
        <w:spacing w:line="600" w:lineRule="exact"/>
        <w:ind w:firstLine="640"/>
        <w:outlineLvl w:val="1"/>
        <w:rPr>
          <w:rStyle w:val="35"/>
          <w:rFonts w:ascii="Times New Roman" w:hAnsi="Times New Roman"/>
        </w:rPr>
      </w:pPr>
      <w:bookmarkStart w:id="32" w:name="_Toc15396608"/>
      <w:bookmarkStart w:id="33" w:name="_Toc15377214"/>
      <w:r>
        <w:rPr>
          <w:rFonts w:hint="eastAsia" w:eastAsia="黑体"/>
          <w:sz w:val="32"/>
          <w:szCs w:val="32"/>
        </w:rPr>
        <w:t>六</w:t>
      </w:r>
      <w:r>
        <w:rPr>
          <w:rFonts w:hint="eastAsia" w:eastAsia="黑体"/>
          <w:b/>
          <w:sz w:val="32"/>
          <w:szCs w:val="32"/>
        </w:rPr>
        <w:t>、一</w:t>
      </w:r>
      <w:r>
        <w:rPr>
          <w:rStyle w:val="35"/>
          <w:rFonts w:hint="eastAsia" w:ascii="Times New Roman" w:hAnsi="Times New Roman" w:eastAsia="黑体"/>
          <w:b w:val="0"/>
        </w:rPr>
        <w:t>般公共预算财政拨款基本支出决算情况说明</w:t>
      </w:r>
      <w:bookmarkEnd w:id="32"/>
      <w:bookmarkEnd w:id="33"/>
      <w:r>
        <w:rPr>
          <w:rStyle w:val="35"/>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431.19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ascii="方正仿宋_GBK" w:hAnsi="方正仿宋_GBK" w:eastAsia="方正仿宋_GBK" w:cs="方正仿宋_GBK"/>
          <w:sz w:val="33"/>
          <w:szCs w:val="33"/>
          <w:lang w:val="en-US" w:eastAsia="zh-CN"/>
        </w:rPr>
        <w:t>人员经费384.37万元，主要包括：基本工资、津贴补贴、奖金、绩效工资、机关事业单位基本养老保险缴费、职业年金缴费、职工基本医疗保险缴费、公务员医疗补助缴费、其他社会保障缴费、其他工资福利支出、医疗费、生活补助、医疗费补助、奖励金、住房公积金等。</w:t>
      </w:r>
      <w:r>
        <w:rPr>
          <w:rFonts w:ascii="仿宋" w:hAnsi="仿宋" w:eastAsia="仿宋"/>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46.81</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元，主要包括：办公费、印刷费、水费、邮电费、差旅费、维修（护）费、劳务费、委托业务费、工会经费、福利费、其他交通费、其他商品和服务支出。</w:t>
      </w:r>
    </w:p>
    <w:p>
      <w:pPr>
        <w:spacing w:line="600" w:lineRule="exact"/>
        <w:ind w:firstLine="640"/>
        <w:outlineLvl w:val="1"/>
        <w:rPr>
          <w:rStyle w:val="35"/>
          <w:rFonts w:ascii="Times New Roman" w:hAnsi="Times New Roman" w:eastAsia="黑体"/>
          <w:b w:val="0"/>
        </w:rPr>
      </w:pPr>
      <w:bookmarkStart w:id="34" w:name="_Toc15377215"/>
      <w:bookmarkStart w:id="35" w:name="_Toc15396609"/>
      <w:r>
        <w:rPr>
          <w:rFonts w:hint="eastAsia" w:eastAsia="黑体"/>
          <w:sz w:val="32"/>
          <w:szCs w:val="32"/>
        </w:rPr>
        <w:t>七、</w:t>
      </w:r>
      <w:r>
        <w:rPr>
          <w:rStyle w:val="35"/>
          <w:rFonts w:hint="eastAsia" w:ascii="Times New Roman" w:hAnsi="Times New Roman" w:eastAsia="黑体"/>
          <w:b w:val="0"/>
        </w:rPr>
        <w:t>财政拨款</w:t>
      </w:r>
      <w:r>
        <w:rPr>
          <w:rStyle w:val="35"/>
          <w:rFonts w:hint="eastAsia" w:ascii="Times New Roman" w:hAnsi="Times New Roman" w:eastAsia="黑体"/>
        </w:rPr>
        <w:t>“</w:t>
      </w:r>
      <w:r>
        <w:rPr>
          <w:rStyle w:val="35"/>
          <w:rFonts w:hint="eastAsia" w:ascii="Times New Roman" w:hAnsi="Times New Roman" w:eastAsia="黑体"/>
          <w:b w:val="0"/>
        </w:rPr>
        <w:t>三公”经费支出决算情况说明</w:t>
      </w:r>
      <w:bookmarkEnd w:id="34"/>
      <w:bookmarkEnd w:id="35"/>
    </w:p>
    <w:p>
      <w:pPr>
        <w:spacing w:line="600" w:lineRule="exact"/>
        <w:ind w:firstLine="643" w:firstLineChars="200"/>
        <w:outlineLvl w:val="2"/>
        <w:rPr>
          <w:rFonts w:eastAsia="楷体_GB2312" w:cs="楷体_GB2312"/>
          <w:b/>
          <w:sz w:val="32"/>
          <w:szCs w:val="32"/>
        </w:rPr>
      </w:pPr>
      <w:bookmarkStart w:id="36" w:name="_Toc15377216"/>
      <w:r>
        <w:rPr>
          <w:rFonts w:hint="eastAsia" w:eastAsia="楷体_GB2312" w:cs="楷体_GB2312"/>
          <w:b/>
          <w:sz w:val="32"/>
          <w:szCs w:val="32"/>
        </w:rPr>
        <w:t>（一）“三公”经费财政拨款支出决算总体情况说明</w:t>
      </w:r>
      <w:bookmarkEnd w:id="36"/>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。决算数</w:t>
      </w:r>
      <w:r>
        <w:rPr>
          <w:rFonts w:hint="eastAsia" w:eastAsia="仿宋_GB2312" w:cs="仿宋_GB2312"/>
          <w:sz w:val="32"/>
          <w:szCs w:val="32"/>
          <w:lang w:val="en-US" w:eastAsia="zh-CN"/>
        </w:rPr>
        <w:t>与</w:t>
      </w:r>
      <w:r>
        <w:rPr>
          <w:rFonts w:hint="eastAsia" w:eastAsia="仿宋_GB2312" w:cs="仿宋_GB2312"/>
          <w:sz w:val="32"/>
          <w:szCs w:val="32"/>
        </w:rPr>
        <w:t>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7" w:name="_Toc15377217"/>
      <w:r>
        <w:rPr>
          <w:rFonts w:hint="eastAsia" w:eastAsia="楷体_GB2312" w:cs="楷体_GB2312"/>
          <w:b/>
          <w:sz w:val="32"/>
          <w:szCs w:val="32"/>
        </w:rPr>
        <w:t>（二）“三公”经费财政拨款支出决算具体情况说明</w:t>
      </w:r>
      <w:bookmarkEnd w:id="37"/>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p>
    <w:p>
      <w:pPr>
        <w:spacing w:line="600" w:lineRule="exact"/>
        <w:ind w:firstLine="640"/>
      </w:pPr>
      <w:r>
        <w:drawing>
          <wp:anchor distT="0" distB="0" distL="114300" distR="114300" simplePos="0" relativeHeight="251661312" behindDoc="0" locked="0" layoutInCell="1" allowOverlap="1">
            <wp:simplePos x="0" y="0"/>
            <wp:positionH relativeFrom="column">
              <wp:posOffset>410845</wp:posOffset>
            </wp:positionH>
            <wp:positionV relativeFrom="paragraph">
              <wp:posOffset>-2453005</wp:posOffset>
            </wp:positionV>
            <wp:extent cx="5268595" cy="2740660"/>
            <wp:effectExtent l="4445" t="4445" r="22860" b="17145"/>
            <wp:wrapSquare wrapText="bothSides"/>
            <wp:docPr id="246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。因公出国（境）支出决算比2023年</w:t>
      </w:r>
      <w:r>
        <w:rPr>
          <w:rFonts w:hint="eastAsia" w:eastAsia="仿宋_GB2312" w:cs="仿宋_GB2312"/>
          <w:sz w:val="32"/>
          <w:szCs w:val="32"/>
          <w:lang w:val="en-US" w:eastAsia="zh-CN"/>
        </w:rPr>
        <w:t>无</w:t>
      </w:r>
      <w:r>
        <w:rPr>
          <w:rFonts w:hint="eastAsia" w:ascii="方正仿宋_GBK" w:hAnsi="方正仿宋_GBK" w:eastAsia="方正仿宋_GBK" w:cs="方正仿宋_GBK"/>
          <w:sz w:val="33"/>
          <w:szCs w:val="33"/>
          <w:lang w:val="en-US" w:eastAsia="zh-CN"/>
        </w:rPr>
        <w:t>无变动。主要原因是我单位无因公出国（境）支出。</w:t>
      </w:r>
    </w:p>
    <w:p>
      <w:pPr>
        <w:spacing w:line="600" w:lineRule="exact"/>
        <w:ind w:firstLine="640"/>
        <w:rPr>
          <w:rFonts w:ascii="仿宋_GB2312" w:eastAsia="仿宋_GB2312"/>
          <w:b/>
          <w:bCs/>
          <w:color w:val="000000"/>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ascii="方正仿宋_GBK" w:hAnsi="方正仿宋_GBK" w:eastAsia="方正仿宋_GBK" w:cs="方正仿宋_GBK"/>
          <w:sz w:val="33"/>
          <w:szCs w:val="33"/>
          <w:lang w:val="en-US" w:eastAsia="zh-CN"/>
        </w:rPr>
        <w:t>无变动。主要原因是我单位无公务用车购置及运行维护费支出。</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val="en-US" w:eastAsia="zh-CN"/>
        </w:rPr>
        <w:t>0</w:t>
      </w:r>
      <w:r>
        <w:rPr>
          <w:rFonts w:hint="eastAsia" w:eastAsia="仿宋_GB2312" w:cs="仿宋_GB2312"/>
          <w:sz w:val="32"/>
          <w:szCs w:val="32"/>
        </w:rPr>
        <w:t>。截至2024年12月31日，单位共有公务用车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0</w:t>
      </w:r>
      <w:r>
        <w:rPr>
          <w:rFonts w:hint="eastAsia" w:eastAsia="仿宋_GB2312" w:cs="仿宋_GB2312"/>
          <w:b/>
          <w:bCs/>
          <w:sz w:val="32"/>
          <w:szCs w:val="32"/>
        </w:rPr>
        <w:t>%。</w:t>
      </w:r>
      <w:r>
        <w:rPr>
          <w:rFonts w:hint="eastAsia" w:eastAsia="仿宋_GB2312" w:cs="仿宋_GB2312"/>
          <w:sz w:val="32"/>
          <w:szCs w:val="32"/>
        </w:rPr>
        <w:t>公务接待费支出决算比2023年度</w:t>
      </w:r>
      <w:r>
        <w:rPr>
          <w:rFonts w:hint="eastAsia" w:eastAsia="仿宋_GB2312" w:cs="仿宋_GB2312"/>
          <w:sz w:val="32"/>
          <w:szCs w:val="32"/>
          <w:lang w:val="en-US" w:eastAsia="zh-CN"/>
        </w:rPr>
        <w:t>无变动</w:t>
      </w:r>
      <w:r>
        <w:rPr>
          <w:rFonts w:hint="eastAsia" w:eastAsia="仿宋_GB2312" w:cs="仿宋_GB2312"/>
          <w:sz w:val="32"/>
          <w:szCs w:val="32"/>
        </w:rPr>
        <w:t>，增长/下降**%。主要原因是</w:t>
      </w:r>
      <w:r>
        <w:rPr>
          <w:rFonts w:hint="eastAsia" w:eastAsia="仿宋_GB2312" w:cs="仿宋_GB2312"/>
          <w:sz w:val="32"/>
          <w:szCs w:val="32"/>
          <w:lang w:val="en-US" w:eastAsia="zh-CN"/>
        </w:rPr>
        <w:t>我单位无公务接待费支出</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bookmarkStart w:id="38" w:name="_Toc15377218"/>
      <w:bookmarkStart w:id="39" w:name="_Toc15396610"/>
    </w:p>
    <w:p>
      <w:pPr>
        <w:spacing w:line="600" w:lineRule="exact"/>
        <w:ind w:firstLine="640"/>
        <w:outlineLvl w:val="1"/>
        <w:rPr>
          <w:rStyle w:val="35"/>
          <w:rFonts w:ascii="Times New Roman" w:hAnsi="Times New Roman" w:eastAsia="黑体"/>
        </w:rPr>
      </w:pPr>
      <w:r>
        <w:rPr>
          <w:rFonts w:hint="eastAsia" w:eastAsia="黑体"/>
          <w:sz w:val="32"/>
          <w:szCs w:val="32"/>
        </w:rPr>
        <w:t>八、</w:t>
      </w:r>
      <w:r>
        <w:rPr>
          <w:rStyle w:val="35"/>
          <w:rFonts w:hint="eastAsia" w:ascii="Times New Roman" w:hAnsi="Times New Roman" w:eastAsia="黑体"/>
          <w:b w:val="0"/>
        </w:rPr>
        <w:t>政府性基金预算支出决算情况说明</w:t>
      </w:r>
      <w:bookmarkEnd w:id="38"/>
      <w:bookmarkEnd w:id="39"/>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5"/>
          <w:rFonts w:ascii="Times New Roman" w:hAnsi="Times New Roman" w:eastAsia="黑体"/>
          <w:b w:val="0"/>
        </w:rPr>
      </w:pPr>
      <w:bookmarkStart w:id="40" w:name="_Toc15396611"/>
      <w:bookmarkStart w:id="41" w:name="_Toc15377219"/>
      <w:r>
        <w:rPr>
          <w:rStyle w:val="35"/>
          <w:rFonts w:hint="eastAsia" w:ascii="Times New Roman" w:hAnsi="Times New Roman" w:eastAsia="黑体"/>
          <w:b w:val="0"/>
        </w:rPr>
        <w:t>九、国有资本经营预算支出决算情况说明</w:t>
      </w:r>
      <w:bookmarkEnd w:id="40"/>
      <w:bookmarkEnd w:id="41"/>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left="630"/>
        <w:outlineLvl w:val="1"/>
        <w:rPr>
          <w:rStyle w:val="35"/>
          <w:rFonts w:ascii="Times New Roman" w:hAnsi="Times New Roman" w:eastAsia="黑体"/>
          <w:b w:val="0"/>
        </w:rPr>
      </w:pPr>
      <w:bookmarkStart w:id="42" w:name="_Toc15377221"/>
      <w:bookmarkStart w:id="43" w:name="_Toc15396612"/>
      <w:r>
        <w:rPr>
          <w:rStyle w:val="35"/>
          <w:rFonts w:hint="eastAsia" w:ascii="Times New Roman" w:hAnsi="Times New Roman" w:eastAsia="黑体"/>
          <w:b w:val="0"/>
        </w:rPr>
        <w:t>十、其他重要事项的情况说明</w:t>
      </w:r>
      <w:bookmarkEnd w:id="42"/>
      <w:bookmarkEnd w:id="43"/>
    </w:p>
    <w:p>
      <w:pPr>
        <w:spacing w:line="600" w:lineRule="exact"/>
        <w:ind w:firstLine="643" w:firstLineChars="200"/>
        <w:outlineLvl w:val="2"/>
        <w:rPr>
          <w:rFonts w:eastAsia="楷体_GB2312" w:cs="楷体_GB2312"/>
          <w:b/>
          <w:sz w:val="32"/>
          <w:szCs w:val="32"/>
        </w:rPr>
      </w:pPr>
      <w:bookmarkStart w:id="44" w:name="_Toc15377222"/>
      <w:r>
        <w:rPr>
          <w:rFonts w:hint="eastAsia" w:eastAsia="楷体_GB2312" w:cs="楷体_GB2312"/>
          <w:b/>
          <w:sz w:val="32"/>
          <w:szCs w:val="32"/>
        </w:rPr>
        <w:t>（一）机关运行经费支出情况</w:t>
      </w:r>
      <w:bookmarkEnd w:id="44"/>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方正仿宋_GBK" w:hAnsi="方正仿宋_GBK" w:eastAsia="方正仿宋_GBK" w:cs="方正仿宋_GBK"/>
          <w:sz w:val="33"/>
          <w:szCs w:val="33"/>
          <w:lang w:val="en-US" w:eastAsia="zh-CN"/>
        </w:rPr>
        <w:t>中共盐边县委政法委员会</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46.81</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12.33</w:t>
      </w:r>
      <w:r>
        <w:rPr>
          <w:rFonts w:hint="eastAsia" w:eastAsia="仿宋_GB2312" w:cs="仿宋_GB2312"/>
          <w:sz w:val="32"/>
          <w:szCs w:val="32"/>
        </w:rPr>
        <w:t>万元，增长</w:t>
      </w:r>
      <w:r>
        <w:rPr>
          <w:rFonts w:hint="eastAsia" w:eastAsia="仿宋_GB2312" w:cs="仿宋_GB2312"/>
          <w:sz w:val="32"/>
          <w:szCs w:val="32"/>
          <w:lang w:val="en-US" w:eastAsia="zh-CN"/>
        </w:rPr>
        <w:t>35.76</w:t>
      </w:r>
      <w:r>
        <w:rPr>
          <w:rFonts w:hint="eastAsia" w:eastAsia="仿宋_GB2312" w:cs="仿宋_GB2312"/>
          <w:sz w:val="32"/>
          <w:szCs w:val="32"/>
        </w:rPr>
        <w:t>%。主要原因是</w:t>
      </w:r>
      <w:r>
        <w:rPr>
          <w:rFonts w:hint="eastAsia" w:eastAsia="仿宋_GB2312" w:cs="仿宋_GB2312"/>
          <w:sz w:val="32"/>
          <w:szCs w:val="32"/>
          <w:lang w:val="en-US" w:eastAsia="zh-CN"/>
        </w:rPr>
        <w:t>辅警人员增加，劳务费支出增多，所以机关运行经费支出较上年增加。</w:t>
      </w:r>
    </w:p>
    <w:p>
      <w:pPr>
        <w:spacing w:line="600" w:lineRule="exact"/>
        <w:ind w:firstLine="643" w:firstLineChars="200"/>
        <w:outlineLvl w:val="2"/>
        <w:rPr>
          <w:rFonts w:eastAsia="楷体_GB2312" w:cs="楷体_GB2312"/>
          <w:b/>
          <w:sz w:val="32"/>
          <w:szCs w:val="32"/>
        </w:rPr>
      </w:pPr>
      <w:bookmarkStart w:id="45" w:name="_Toc15377223"/>
      <w:r>
        <w:rPr>
          <w:rFonts w:hint="eastAsia" w:eastAsia="楷体_GB2312" w:cs="楷体_GB2312"/>
          <w:b/>
          <w:sz w:val="32"/>
          <w:szCs w:val="32"/>
        </w:rPr>
        <w:t>（二）政府采购支出情况</w:t>
      </w:r>
      <w:bookmarkEnd w:id="4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方正仿宋_GBK" w:hAnsi="方正仿宋_GBK" w:eastAsia="方正仿宋_GBK" w:cs="方正仿宋_GBK"/>
          <w:sz w:val="33"/>
          <w:szCs w:val="33"/>
          <w:lang w:val="en-US" w:eastAsia="zh-CN"/>
        </w:rPr>
        <w:t>中共盐边县委政法委员会</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办公设备购置</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46" w:name="_Toc15377224"/>
      <w:r>
        <w:rPr>
          <w:rFonts w:hint="eastAsia" w:eastAsia="楷体_GB2312" w:cs="楷体_GB2312"/>
          <w:b/>
          <w:sz w:val="32"/>
          <w:szCs w:val="32"/>
        </w:rPr>
        <w:t>（三）国有资产占有使用情况</w:t>
      </w:r>
      <w:bookmarkEnd w:id="46"/>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方正仿宋_GBK" w:hAnsi="方正仿宋_GBK" w:eastAsia="方正仿宋_GBK" w:cs="方正仿宋_GBK"/>
          <w:sz w:val="33"/>
          <w:szCs w:val="33"/>
          <w:lang w:val="en-US" w:eastAsia="zh-CN"/>
        </w:rPr>
        <w:t>中共盐边县委政法委员会</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方正仿宋_GBK" w:hAnsi="方正仿宋_GBK" w:eastAsia="方正仿宋_GBK" w:cs="方正仿宋_GBK"/>
          <w:sz w:val="33"/>
          <w:szCs w:val="33"/>
          <w:lang w:val="en-US" w:eastAsia="zh-CN"/>
        </w:rPr>
        <w:t>中共盐边县委政法委员会</w:t>
      </w:r>
      <w:r>
        <w:rPr>
          <w:rFonts w:hint="eastAsia" w:eastAsia="仿宋_GB2312" w:cs="仿宋_GB2312"/>
          <w:sz w:val="32"/>
          <w:szCs w:val="32"/>
        </w:rPr>
        <w:t>在2024年度预算编制阶段，组织对</w:t>
      </w:r>
      <w:r>
        <w:rPr>
          <w:rFonts w:hint="eastAsia" w:eastAsia="仿宋_GB2312" w:cs="仿宋_GB2312"/>
          <w:sz w:val="32"/>
          <w:szCs w:val="32"/>
          <w:lang w:eastAsia="zh-CN"/>
        </w:rPr>
        <w:t>“</w:t>
      </w:r>
      <w:r>
        <w:rPr>
          <w:rFonts w:hint="eastAsia" w:eastAsia="仿宋_GB2312" w:cs="仿宋_GB2312"/>
          <w:sz w:val="32"/>
          <w:szCs w:val="32"/>
        </w:rPr>
        <w:t>扫黑除恶专项经费</w:t>
      </w:r>
      <w:r>
        <w:rPr>
          <w:rFonts w:hint="eastAsia" w:eastAsia="仿宋_GB2312" w:cs="仿宋_GB2312"/>
          <w:sz w:val="32"/>
          <w:szCs w:val="32"/>
          <w:lang w:eastAsia="zh-CN"/>
        </w:rPr>
        <w:t>”、“春节前走访慰问大笮卫士”、“维稳专项工作经费”、“创建省级平安建设先进县经费”、“2024年通用办公设备采购”、“社会治安综合治理工作日常运行经费”</w:t>
      </w:r>
      <w:r>
        <w:rPr>
          <w:rFonts w:hint="eastAsia" w:eastAsia="仿宋_GB2312" w:cs="仿宋_GB2312"/>
          <w:sz w:val="32"/>
          <w:szCs w:val="32"/>
        </w:rPr>
        <w:t>等</w:t>
      </w:r>
      <w:r>
        <w:rPr>
          <w:rFonts w:hint="eastAsia" w:eastAsia="仿宋_GB2312" w:cs="仿宋_GB2312"/>
          <w:sz w:val="32"/>
          <w:szCs w:val="32"/>
          <w:lang w:val="en-US" w:eastAsia="zh-CN"/>
        </w:rPr>
        <w:t>6</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6</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6</w:t>
      </w:r>
      <w:r>
        <w:rPr>
          <w:rFonts w:hint="eastAsia" w:eastAsia="仿宋_GB2312" w:cs="仿宋_GB2312"/>
          <w:sz w:val="32"/>
          <w:szCs w:val="32"/>
        </w:rPr>
        <w:t>个项目开展绩效监控。</w:t>
      </w:r>
    </w:p>
    <w:p>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ascii="方正仿宋_GBK" w:hAnsi="方正仿宋_GBK" w:eastAsia="方正仿宋_GBK" w:cs="方正仿宋_GBK"/>
          <w:sz w:val="33"/>
          <w:szCs w:val="33"/>
          <w:lang w:val="en-US" w:eastAsia="zh-CN"/>
        </w:rPr>
        <w:t>中共盐边县委政法委员会</w:t>
      </w:r>
      <w:r>
        <w:rPr>
          <w:rFonts w:hint="eastAsia" w:eastAsia="仿宋_GB2312" w:cs="仿宋_GB2312"/>
          <w:sz w:val="32"/>
          <w:szCs w:val="32"/>
        </w:rPr>
        <w:t>部门整体（含部门预算项目）绩效自评报告</w:t>
      </w:r>
      <w:r>
        <w:rPr>
          <w:rFonts w:hint="eastAsia" w:eastAsia="仿宋_GB2312" w:cs="仿宋_GB2312"/>
          <w:sz w:val="32"/>
          <w:szCs w:val="32"/>
          <w:lang w:eastAsia="zh-CN"/>
        </w:rPr>
        <w:t>，</w:t>
      </w:r>
      <w:r>
        <w:rPr>
          <w:rFonts w:hint="eastAsia" w:eastAsia="仿宋_GB2312" w:cs="仿宋_GB2312"/>
          <w:sz w:val="32"/>
          <w:szCs w:val="32"/>
        </w:rPr>
        <w:t>其中，</w:t>
      </w:r>
      <w:r>
        <w:rPr>
          <w:rFonts w:hint="eastAsia" w:ascii="方正仿宋_GBK" w:hAnsi="方正仿宋_GBK" w:eastAsia="方正仿宋_GBK" w:cs="方正仿宋_GBK"/>
          <w:sz w:val="33"/>
          <w:szCs w:val="33"/>
          <w:lang w:val="en-US" w:eastAsia="zh-CN"/>
        </w:rPr>
        <w:t>中共盐边县委政法委员会</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92</w:t>
      </w:r>
      <w:r>
        <w:rPr>
          <w:rFonts w:hint="eastAsia" w:eastAsia="仿宋_GB2312" w:cs="仿宋_GB2312"/>
          <w:sz w:val="32"/>
          <w:szCs w:val="32"/>
        </w:rPr>
        <w:t>分，绩效自评报告详见附件。</w:t>
      </w:r>
    </w:p>
    <w:p>
      <w:pPr>
        <w:spacing w:line="600" w:lineRule="exact"/>
        <w:ind w:firstLine="640"/>
        <w:rPr>
          <w:rFonts w:eastAsia="仿宋_GB2312" w:cs="仿宋_GB2312"/>
          <w:sz w:val="32"/>
          <w:szCs w:val="32"/>
        </w:rPr>
      </w:pPr>
    </w:p>
    <w:p>
      <w:pPr>
        <w:pStyle w:val="16"/>
      </w:pPr>
    </w:p>
    <w:p>
      <w:pPr>
        <w:pStyle w:val="9"/>
        <w:ind w:left="420"/>
      </w:pPr>
    </w:p>
    <w:p>
      <w:pPr>
        <w:pStyle w:val="9"/>
        <w:ind w:left="420"/>
      </w:pPr>
    </w:p>
    <w:p>
      <w:pPr>
        <w:pStyle w:val="9"/>
        <w:ind w:left="420"/>
      </w:pPr>
    </w:p>
    <w:p>
      <w:pPr>
        <w:pStyle w:val="9"/>
        <w:ind w:left="420"/>
      </w:pPr>
    </w:p>
    <w:p>
      <w:pPr>
        <w:pStyle w:val="9"/>
        <w:ind w:left="420"/>
      </w:pPr>
    </w:p>
    <w:p>
      <w:pPr>
        <w:spacing w:line="600" w:lineRule="exact"/>
        <w:jc w:val="center"/>
        <w:outlineLvl w:val="0"/>
        <w:rPr>
          <w:rFonts w:eastAsia="黑体"/>
          <w:sz w:val="44"/>
          <w:szCs w:val="44"/>
        </w:rPr>
      </w:pPr>
      <w:bookmarkStart w:id="47" w:name="_Toc15377225"/>
      <w:bookmarkStart w:id="48" w:name="_Toc15396613"/>
      <w:r>
        <w:rPr>
          <w:rFonts w:hint="eastAsia" w:eastAsia="黑体"/>
          <w:sz w:val="44"/>
          <w:szCs w:val="44"/>
        </w:rPr>
        <w:t>第三部分  名词解释</w:t>
      </w:r>
      <w:bookmarkEnd w:id="47"/>
      <w:bookmarkEnd w:id="48"/>
    </w:p>
    <w:p>
      <w:pPr>
        <w:spacing w:line="600" w:lineRule="exact"/>
        <w:jc w:val="left"/>
        <w:rPr>
          <w:b/>
          <w:sz w:val="44"/>
          <w:szCs w:val="44"/>
        </w:rPr>
      </w:pPr>
    </w:p>
    <w:p>
      <w:pPr>
        <w:pStyle w:val="32"/>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49" w:name="_Toc15377226"/>
      <w:r>
        <w:rPr>
          <w:rFonts w:hint="eastAsia" w:ascii="方正仿宋_GBK" w:hAnsi="方正仿宋_GBK" w:eastAsia="方正仿宋_GBK" w:cs="方正仿宋_GBK"/>
          <w:color w:val="auto"/>
          <w:kern w:val="2"/>
          <w:sz w:val="33"/>
          <w:szCs w:val="33"/>
          <w:lang w:val="en-US" w:eastAsia="zh-CN" w:bidi="ar-SA"/>
        </w:rPr>
        <w:t>1.财政拨款收入：指单位从同级财政部门取得的财政预算资金。</w:t>
      </w:r>
    </w:p>
    <w:p>
      <w:pPr>
        <w:spacing w:line="600" w:lineRule="exact"/>
        <w:ind w:firstLine="660" w:firstLineChars="200"/>
        <w:outlineLvl w:val="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2.一般公共服务（类）其他共产党事务支出（款）</w:t>
      </w:r>
    </w:p>
    <w:p>
      <w:pPr>
        <w:widowControl/>
        <w:shd w:val="clear" w:color="auto" w:fill="FFFFFF"/>
        <w:spacing w:line="600" w:lineRule="atLeast"/>
        <w:ind w:firstLine="660" w:firstLineChars="200"/>
        <w:jc w:val="left"/>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①、行政运行: 指行政单位（包括实行公务员管理的事业单位）的基本支出。</w:t>
      </w:r>
    </w:p>
    <w:p>
      <w:pPr>
        <w:widowControl/>
        <w:shd w:val="clear" w:color="auto" w:fill="FFFFFF"/>
        <w:spacing w:line="600" w:lineRule="atLeast"/>
        <w:ind w:firstLine="660" w:firstLineChars="200"/>
        <w:jc w:val="left"/>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②、其他共产党事务支出：指其他用于中国共产党事务的支出。</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3"/>
      </w:r>
      <w:r>
        <w:rPr>
          <w:rFonts w:hint="eastAsia" w:ascii="方正仿宋_GBK" w:hAnsi="方正仿宋_GBK" w:eastAsia="方正仿宋_GBK" w:cs="方正仿宋_GBK"/>
          <w:color w:val="auto"/>
          <w:kern w:val="2"/>
          <w:sz w:val="33"/>
          <w:szCs w:val="33"/>
          <w:lang w:val="en-US" w:eastAsia="zh-CN" w:bidi="ar-SA"/>
        </w:rPr>
        <w:t>、事业运行：指事业单位的基本支出。不包括行政单位（包括实行公务员管理的事业单位）后勤服务中心、医务室等附属事业单位。</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 xml:space="preserve">3.社会保障和就业（类）行政事业单位养老支出（款）  </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①、行政单位离退休: 指行政单位（包括实行公务员管理的事业单位）开支的离退休支出。</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②、机关事业单位基本养老保险缴费支出：指机关事业单位实施养老保险制度有单位缴纳的基本养老保险费支出。</w:t>
      </w:r>
    </w:p>
    <w:p>
      <w:pPr>
        <w:pStyle w:val="2"/>
        <w:rPr>
          <w:rFonts w:hint="eastAsia" w:ascii="方正仿宋_GBK" w:hAnsi="方正仿宋_GBK" w:eastAsia="方正仿宋_GBK" w:cs="方正仿宋_GBK"/>
          <w:color w:val="auto"/>
          <w:kern w:val="2"/>
          <w:sz w:val="33"/>
          <w:szCs w:val="33"/>
          <w:lang w:val="en-US" w:eastAsia="zh-CN" w:bidi="ar-SA"/>
        </w:rPr>
      </w:pPr>
      <w:r>
        <w:rPr>
          <w:rFonts w:hint="default" w:ascii="方正仿宋_GBK" w:hAnsi="方正仿宋_GBK" w:eastAsia="方正仿宋_GBK" w:cs="方正仿宋_GBK"/>
          <w:color w:val="auto"/>
          <w:kern w:val="2"/>
          <w:sz w:val="33"/>
          <w:szCs w:val="33"/>
          <w:lang w:val="en-US" w:eastAsia="zh-CN" w:bidi="ar-SA"/>
        </w:rPr>
        <w:t>③</w:t>
      </w:r>
      <w:r>
        <w:rPr>
          <w:rFonts w:hint="eastAsia" w:ascii="方正仿宋_GBK" w:hAnsi="方正仿宋_GBK" w:eastAsia="方正仿宋_GBK" w:cs="方正仿宋_GBK"/>
          <w:color w:val="auto"/>
          <w:kern w:val="2"/>
          <w:sz w:val="33"/>
          <w:szCs w:val="33"/>
          <w:lang w:val="en-US" w:eastAsia="zh-CN" w:bidi="ar-SA"/>
        </w:rPr>
        <w:t xml:space="preserve">、机关事业单位职业年金缴费支出：指机关事业单位实施养老保险制度由单位实际缴纳的职业年金支出。       </w:t>
      </w:r>
    </w:p>
    <w:p>
      <w:pPr>
        <w:spacing w:line="60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4、住房保障支出（类）住房改革支出（款）住房公积金（项）：指行政事业单位按人力资源和社会保障部、财政部规定的基本工资和津贴补贴以及规定比例为职工缴纳的住房公积金。</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t>5、卫生健康支出（类）行政事业单位医疗（款）</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1"/>
      </w:r>
      <w:r>
        <w:rPr>
          <w:rFonts w:hint="eastAsia" w:ascii="方正仿宋_GBK" w:hAnsi="方正仿宋_GBK" w:eastAsia="方正仿宋_GBK" w:cs="方正仿宋_GBK"/>
          <w:color w:val="auto"/>
          <w:kern w:val="2"/>
          <w:sz w:val="33"/>
          <w:szCs w:val="33"/>
          <w:lang w:val="en-US" w:eastAsia="zh-CN" w:bidi="ar-SA"/>
        </w:rPr>
        <w:t>行政单位医疗：指财政部门安排的行政单位（包括实行公务员管理的事业单位，下同）基本医疗保险缴费经费，未参加医疗保险的行政单位的公费医疗经费，按国家规定享受离休人员、红军老战士待遇人员的医疗经费。</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2"/>
      </w:r>
      <w:r>
        <w:rPr>
          <w:rFonts w:hint="eastAsia" w:ascii="方正仿宋_GBK" w:hAnsi="方正仿宋_GBK" w:eastAsia="方正仿宋_GBK" w:cs="方正仿宋_GBK"/>
          <w:color w:val="auto"/>
          <w:kern w:val="2"/>
          <w:sz w:val="33"/>
          <w:szCs w:val="33"/>
          <w:lang w:val="en-US" w:eastAsia="zh-CN" w:bidi="ar-SA"/>
        </w:rPr>
        <w:t>事业单位医疗：指财政部门安排的事业单位基本医疗保险缴费经费，未参加医疗保险的事业单位的公费医疗经费，按国家规定享受离休人员医疗经费。</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F083"/>
      </w:r>
      <w:r>
        <w:rPr>
          <w:rFonts w:hint="eastAsia" w:ascii="方正仿宋_GBK" w:hAnsi="方正仿宋_GBK" w:eastAsia="方正仿宋_GBK" w:cs="方正仿宋_GBK"/>
          <w:color w:val="auto"/>
          <w:kern w:val="2"/>
          <w:sz w:val="33"/>
          <w:szCs w:val="33"/>
          <w:lang w:val="en-US" w:eastAsia="zh-CN" w:bidi="ar-SA"/>
        </w:rPr>
        <w:t>公务员医疗补助：指财政部门安排的公务员医疗补助经费。</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r>
        <w:rPr>
          <w:rFonts w:hint="eastAsia" w:ascii="方正仿宋_GBK" w:hAnsi="方正仿宋_GBK" w:eastAsia="方正仿宋_GBK" w:cs="方正仿宋_GBK"/>
          <w:color w:val="auto"/>
          <w:kern w:val="2"/>
          <w:sz w:val="33"/>
          <w:szCs w:val="33"/>
          <w:lang w:val="en-US" w:eastAsia="zh-CN" w:bidi="ar-SA"/>
        </w:rPr>
        <w:sym w:font="Wingdings" w:char="0084"/>
      </w:r>
      <w:r>
        <w:rPr>
          <w:rFonts w:hint="eastAsia" w:ascii="方正仿宋_GBK" w:hAnsi="方正仿宋_GBK" w:eastAsia="方正仿宋_GBK" w:cs="方正仿宋_GBK"/>
          <w:color w:val="auto"/>
          <w:kern w:val="2"/>
          <w:sz w:val="33"/>
          <w:szCs w:val="33"/>
          <w:lang w:val="en-US" w:eastAsia="zh-CN" w:bidi="ar-SA"/>
        </w:rPr>
        <w:t>其他行政事业单位医疗支出：指除上述项目以外的其他用于行政事业单位医疗方面的支出。</w:t>
      </w:r>
    </w:p>
    <w:p>
      <w:pPr>
        <w:spacing w:line="600" w:lineRule="exact"/>
        <w:ind w:firstLine="660" w:firstLineChars="200"/>
        <w:rPr>
          <w:rFonts w:hint="eastAsia"/>
          <w:lang w:val="en-US" w:eastAsia="zh-CN"/>
        </w:rPr>
      </w:pPr>
      <w:r>
        <w:rPr>
          <w:rFonts w:hint="eastAsia" w:ascii="方正仿宋_GBK" w:hAnsi="方正仿宋_GBK" w:eastAsia="方正仿宋_GBK" w:cs="方正仿宋_GBK"/>
          <w:color w:val="auto"/>
          <w:kern w:val="2"/>
          <w:sz w:val="33"/>
          <w:szCs w:val="33"/>
          <w:lang w:val="en-US" w:eastAsia="zh-CN" w:bidi="ar-SA"/>
        </w:rPr>
        <w:t>6、</w:t>
      </w:r>
      <w:r>
        <w:rPr>
          <w:rStyle w:val="23"/>
          <w:rFonts w:hint="eastAsia" w:ascii="仿宋_GB2312" w:eastAsia="仿宋_GB2312"/>
          <w:b w:val="0"/>
          <w:color w:val="000000"/>
          <w:sz w:val="32"/>
          <w:szCs w:val="32"/>
        </w:rPr>
        <w:t>公共安全支出（类）</w:t>
      </w:r>
      <w:r>
        <w:rPr>
          <w:rStyle w:val="23"/>
          <w:rFonts w:hint="eastAsia" w:ascii="仿宋_GB2312" w:eastAsia="仿宋_GB2312"/>
          <w:b w:val="0"/>
          <w:color w:val="000000"/>
          <w:sz w:val="32"/>
          <w:szCs w:val="32"/>
          <w:lang w:eastAsia="zh-CN"/>
        </w:rPr>
        <w:t>其他</w:t>
      </w:r>
      <w:r>
        <w:rPr>
          <w:rStyle w:val="23"/>
          <w:rFonts w:hint="eastAsia" w:ascii="仿宋_GB2312" w:eastAsia="仿宋_GB2312"/>
          <w:b w:val="0"/>
          <w:color w:val="000000"/>
          <w:sz w:val="32"/>
          <w:szCs w:val="32"/>
        </w:rPr>
        <w:t>公共安全支出（款）</w:t>
      </w:r>
      <w:r>
        <w:rPr>
          <w:rStyle w:val="23"/>
          <w:rFonts w:hint="eastAsia" w:ascii="仿宋_GB2312" w:eastAsia="仿宋_GB2312"/>
          <w:b w:val="0"/>
          <w:color w:val="000000"/>
          <w:sz w:val="32"/>
          <w:szCs w:val="32"/>
          <w:lang w:eastAsia="zh-CN"/>
        </w:rPr>
        <w:t>其他</w:t>
      </w:r>
      <w:r>
        <w:rPr>
          <w:rStyle w:val="23"/>
          <w:rFonts w:hint="eastAsia" w:ascii="仿宋_GB2312" w:eastAsia="仿宋_GB2312"/>
          <w:b w:val="0"/>
          <w:color w:val="000000"/>
          <w:sz w:val="32"/>
          <w:szCs w:val="32"/>
        </w:rPr>
        <w:t>公共安全支出</w:t>
      </w:r>
      <w:r>
        <w:rPr>
          <w:rStyle w:val="23"/>
          <w:rFonts w:hint="eastAsia" w:ascii="仿宋_GB2312" w:eastAsia="仿宋_GB2312"/>
          <w:b w:val="0"/>
          <w:color w:val="000000"/>
          <w:sz w:val="32"/>
          <w:szCs w:val="32"/>
          <w:lang w:eastAsia="zh-CN"/>
        </w:rPr>
        <w:t>（项）：反映除上述项目以外其他用于</w:t>
      </w:r>
      <w:r>
        <w:rPr>
          <w:rStyle w:val="23"/>
          <w:rFonts w:hint="eastAsia" w:ascii="仿宋_GB2312" w:eastAsia="仿宋_GB2312"/>
          <w:b w:val="0"/>
          <w:color w:val="000000"/>
          <w:sz w:val="32"/>
          <w:szCs w:val="32"/>
        </w:rPr>
        <w:t>公共安全支出</w:t>
      </w:r>
      <w:r>
        <w:rPr>
          <w:rStyle w:val="23"/>
          <w:rFonts w:hint="eastAsia" w:ascii="仿宋_GB2312" w:eastAsia="仿宋_GB2312"/>
          <w:b w:val="0"/>
          <w:color w:val="000000"/>
          <w:sz w:val="32"/>
          <w:szCs w:val="32"/>
          <w:lang w:eastAsia="zh-CN"/>
        </w:rPr>
        <w:t>方面的支出</w:t>
      </w:r>
      <w:r>
        <w:rPr>
          <w:rStyle w:val="23"/>
          <w:rFonts w:hint="eastAsia" w:ascii="仿宋_GB2312" w:eastAsia="仿宋_GB2312"/>
          <w:b w:val="0"/>
          <w:color w:val="000000"/>
          <w:sz w:val="32"/>
          <w:szCs w:val="32"/>
        </w:rPr>
        <w:t>。</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50" w:name="_Toc14863_WPSOffice_Level2"/>
      <w:r>
        <w:rPr>
          <w:rFonts w:hint="eastAsia" w:ascii="方正仿宋_GBK" w:hAnsi="方正仿宋_GBK" w:eastAsia="方正仿宋_GBK" w:cs="方正仿宋_GBK"/>
          <w:color w:val="auto"/>
          <w:kern w:val="2"/>
          <w:sz w:val="33"/>
          <w:szCs w:val="33"/>
          <w:lang w:val="en-US" w:eastAsia="zh-CN" w:bidi="ar-SA"/>
        </w:rPr>
        <w:t>7、基本支出</w:t>
      </w:r>
      <w:bookmarkEnd w:id="50"/>
      <w:r>
        <w:rPr>
          <w:rFonts w:hint="eastAsia" w:ascii="方正仿宋_GBK" w:hAnsi="方正仿宋_GBK" w:eastAsia="方正仿宋_GBK" w:cs="方正仿宋_GBK"/>
          <w:color w:val="auto"/>
          <w:kern w:val="2"/>
          <w:sz w:val="33"/>
          <w:szCs w:val="33"/>
          <w:lang w:val="en-US" w:eastAsia="zh-CN" w:bidi="ar-SA"/>
        </w:rPr>
        <w:t>：指为保障机构正常运转、完成日常工作任务而发生的人员支出和公用支出。</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51" w:name="_Toc9320_WPSOffice_Level2"/>
      <w:r>
        <w:rPr>
          <w:rFonts w:hint="eastAsia" w:ascii="方正仿宋_GBK" w:hAnsi="方正仿宋_GBK" w:eastAsia="方正仿宋_GBK" w:cs="方正仿宋_GBK"/>
          <w:color w:val="auto"/>
          <w:kern w:val="2"/>
          <w:sz w:val="33"/>
          <w:szCs w:val="33"/>
          <w:lang w:val="en-US" w:eastAsia="zh-CN" w:bidi="ar-SA"/>
        </w:rPr>
        <w:t>8、项目支出</w:t>
      </w:r>
      <w:bookmarkEnd w:id="51"/>
      <w:r>
        <w:rPr>
          <w:rFonts w:hint="eastAsia" w:ascii="方正仿宋_GBK" w:hAnsi="方正仿宋_GBK" w:eastAsia="方正仿宋_GBK" w:cs="方正仿宋_GBK"/>
          <w:color w:val="auto"/>
          <w:kern w:val="2"/>
          <w:sz w:val="33"/>
          <w:szCs w:val="33"/>
          <w:lang w:val="en-US" w:eastAsia="zh-CN" w:bidi="ar-SA"/>
        </w:rPr>
        <w:t xml:space="preserve">：指在基本支出之外为完成特定行政任务和事业发展目标所发生的支出。 </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52" w:name="_Toc14517_WPSOffice_Level2"/>
      <w:r>
        <w:rPr>
          <w:rFonts w:hint="eastAsia" w:ascii="方正仿宋_GBK" w:hAnsi="方正仿宋_GBK" w:eastAsia="方正仿宋_GBK" w:cs="方正仿宋_GBK"/>
          <w:color w:val="auto"/>
          <w:kern w:val="2"/>
          <w:sz w:val="33"/>
          <w:szCs w:val="33"/>
          <w:lang w:val="en-US" w:eastAsia="zh-CN" w:bidi="ar-SA"/>
        </w:rPr>
        <w:t>9、“三公”经费</w:t>
      </w:r>
      <w:bookmarkEnd w:id="52"/>
      <w:r>
        <w:rPr>
          <w:rFonts w:hint="eastAsia" w:ascii="方正仿宋_GBK" w:hAnsi="方正仿宋_GBK" w:eastAsia="方正仿宋_GBK" w:cs="方正仿宋_GBK"/>
          <w:color w:val="auto"/>
          <w:kern w:val="2"/>
          <w:sz w:val="33"/>
          <w:szCs w:val="33"/>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路过桥费、保险费、安全奖励费用等支出；公务接待费反映单位按规定开支的各类公务接待（含外宾接待）支出。</w:t>
      </w:r>
    </w:p>
    <w:p>
      <w:pPr>
        <w:spacing w:line="560" w:lineRule="exact"/>
        <w:ind w:firstLine="660" w:firstLineChars="200"/>
        <w:rPr>
          <w:rFonts w:hint="eastAsia" w:ascii="方正仿宋_GBK" w:hAnsi="方正仿宋_GBK" w:eastAsia="方正仿宋_GBK" w:cs="方正仿宋_GBK"/>
          <w:color w:val="auto"/>
          <w:kern w:val="2"/>
          <w:sz w:val="33"/>
          <w:szCs w:val="33"/>
          <w:lang w:val="en-US" w:eastAsia="zh-CN" w:bidi="ar-SA"/>
        </w:rPr>
      </w:pPr>
      <w:bookmarkStart w:id="53" w:name="_Toc29043_WPSOffice_Level2"/>
      <w:r>
        <w:rPr>
          <w:rFonts w:hint="eastAsia" w:ascii="方正仿宋_GBK" w:hAnsi="方正仿宋_GBK" w:eastAsia="方正仿宋_GBK" w:cs="方正仿宋_GBK"/>
          <w:color w:val="auto"/>
          <w:kern w:val="2"/>
          <w:sz w:val="33"/>
          <w:szCs w:val="33"/>
          <w:lang w:val="en-US" w:eastAsia="zh-CN" w:bidi="ar-SA"/>
        </w:rPr>
        <w:t>10、机关运行经费</w:t>
      </w:r>
      <w:bookmarkEnd w:id="53"/>
      <w:r>
        <w:rPr>
          <w:rFonts w:hint="eastAsia" w:ascii="方正仿宋_GBK" w:hAnsi="方正仿宋_GBK" w:eastAsia="方正仿宋_GBK" w:cs="方正仿宋_GBK"/>
          <w:color w:val="auto"/>
          <w:kern w:val="2"/>
          <w:sz w:val="33"/>
          <w:szCs w:val="33"/>
          <w:lang w:val="en-US"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黑体" w:hAnsi="黑体" w:eastAsia="黑体"/>
          <w:sz w:val="44"/>
          <w:szCs w:val="44"/>
        </w:rPr>
      </w:pPr>
    </w:p>
    <w:p>
      <w:pPr>
        <w:spacing w:line="600" w:lineRule="exact"/>
        <w:jc w:val="center"/>
        <w:rPr>
          <w:rStyle w:val="34"/>
          <w:rFonts w:eastAsia="黑体"/>
          <w:b w:val="0"/>
        </w:rPr>
      </w:pPr>
      <w:r>
        <w:rPr>
          <w:rFonts w:hint="eastAsia" w:eastAsia="仿宋_GB2312" w:cs="仿宋_GB2312"/>
          <w:sz w:val="32"/>
          <w:szCs w:val="32"/>
        </w:rPr>
        <w:br w:type="page"/>
      </w:r>
      <w:bookmarkStart w:id="54" w:name="_Toc15396614"/>
      <w:r>
        <w:rPr>
          <w:rFonts w:hint="eastAsia" w:eastAsia="黑体"/>
          <w:sz w:val="44"/>
          <w:szCs w:val="44"/>
        </w:rPr>
        <w:t>第四部分  附件</w:t>
      </w:r>
      <w:bookmarkEnd w:id="54"/>
    </w:p>
    <w:p>
      <w:pPr>
        <w:spacing w:line="572" w:lineRule="exact"/>
        <w:jc w:val="left"/>
        <w:outlineLvl w:val="0"/>
        <w:rPr>
          <w:rFonts w:eastAsia="黑体" w:cs="黑体"/>
          <w:sz w:val="32"/>
          <w:szCs w:val="32"/>
        </w:rPr>
      </w:pPr>
    </w:p>
    <w:p>
      <w:pPr>
        <w:spacing w:line="572" w:lineRule="exact"/>
        <w:jc w:val="left"/>
        <w:outlineLvl w:val="0"/>
        <w:rPr>
          <w:rFonts w:eastAsia="黑体" w:cs="方正小标宋简体"/>
          <w:sz w:val="44"/>
          <w:szCs w:val="44"/>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hint="eastAsia" w:ascii="方正小标宋简体" w:hAnsi="方正小标宋简体" w:eastAsia="方正小标宋简体" w:cs="方正小标宋简体"/>
          <w:b w:val="0"/>
          <w:bCs w:val="0"/>
          <w:sz w:val="44"/>
          <w:szCs w:val="44"/>
          <w:lang w:val="zh-CN"/>
        </w:rPr>
      </w:pPr>
      <w:r>
        <w:rPr>
          <w:rFonts w:hint="eastAsia" w:ascii="方正小标宋简体" w:hAnsi="方正小标宋简体" w:eastAsia="方正小标宋简体" w:cs="方正小标宋简体"/>
          <w:b w:val="0"/>
          <w:bCs w:val="0"/>
          <w:sz w:val="44"/>
          <w:szCs w:val="44"/>
          <w:lang w:val="zh-CN"/>
        </w:rPr>
        <w:t>中共盐边县委政法委员会</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keepNext w:val="0"/>
        <w:keepLines w:val="0"/>
        <w:pageBreakBefore w:val="0"/>
        <w:widowControl w:val="0"/>
        <w:kinsoku/>
        <w:wordWrap/>
        <w:overflowPunct/>
        <w:topLinePunct w:val="0"/>
        <w:autoSpaceDE/>
        <w:autoSpaceDN/>
        <w:bidi w:val="0"/>
        <w:adjustRightInd w:val="0"/>
        <w:snapToGrid/>
        <w:spacing w:line="240" w:lineRule="auto"/>
        <w:ind w:left="0" w:right="0" w:firstLine="640" w:firstLineChars="200"/>
        <w:jc w:val="both"/>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bidi="ar-SA"/>
        </w:rPr>
        <w:t>为深入贯彻落实党中央、国务院和省委、省政府关于全面实施预算绩效管理的决策部署和</w:t>
      </w:r>
      <w:bookmarkStart w:id="55" w:name="OLE_LINK1"/>
      <w:r>
        <w:rPr>
          <w:rFonts w:hint="default" w:ascii="Times New Roman" w:hAnsi="Times New Roman" w:eastAsia="方正仿宋_GBK" w:cs="Times New Roman"/>
          <w:color w:val="000000"/>
          <w:kern w:val="0"/>
          <w:sz w:val="32"/>
          <w:szCs w:val="32"/>
          <w:lang w:val="en-US" w:eastAsia="zh-CN" w:bidi="ar-SA"/>
        </w:rPr>
        <w:t>《</w:t>
      </w:r>
      <w:bookmarkEnd w:id="55"/>
      <w:r>
        <w:rPr>
          <w:rFonts w:hint="default" w:ascii="Times New Roman" w:hAnsi="Times New Roman" w:eastAsia="方正仿宋_GBK" w:cs="Times New Roman"/>
          <w:color w:val="000000"/>
          <w:kern w:val="0"/>
          <w:sz w:val="32"/>
          <w:szCs w:val="32"/>
          <w:lang w:val="en-US" w:eastAsia="zh-CN" w:bidi="ar-SA"/>
        </w:rPr>
        <w:t>中共四川省委办公厅四川省人民政府办公厅关于深入实施预算绩效管理的通知》（川委厅〔2022〕5 号）《盐边县财政局关于开展预算绩效自评工作的通知》(盐边财绩〔2025〕2 号)工作要求，着力提升财政资源配置效率和资金使用效益，根据工作安排，</w:t>
      </w:r>
      <w:r>
        <w:rPr>
          <w:rFonts w:hint="default" w:ascii="Times New Roman" w:hAnsi="Times New Roman" w:eastAsia="方正仿宋_GBK" w:cs="Times New Roman"/>
          <w:color w:val="000000"/>
          <w:kern w:val="0"/>
          <w:sz w:val="32"/>
          <w:szCs w:val="32"/>
          <w:lang w:val="en-US" w:eastAsia="zh-CN"/>
        </w:rPr>
        <w:t>结合我委的实际情况，通过自查收入支出情况、账表一致情况，对相关资料进行收集整理、分析汇总，现将县委政法委2024年预算整体绩效评价结果报告如下。</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一、部门（单位）基本情况</w:t>
      </w:r>
    </w:p>
    <w:p>
      <w:pPr>
        <w:keepNext w:val="0"/>
        <w:keepLines w:val="0"/>
        <w:pageBreakBefore w:val="0"/>
        <w:kinsoku/>
        <w:wordWrap/>
        <w:overflowPunct/>
        <w:topLinePunct w:val="0"/>
        <w:autoSpaceDE/>
        <w:autoSpaceDN/>
        <w:bidi w:val="0"/>
        <w:spacing w:line="240" w:lineRule="auto"/>
        <w:ind w:left="0" w:right="0" w:firstLine="643" w:firstLineChars="200"/>
        <w:jc w:val="both"/>
        <w:textAlignment w:val="auto"/>
        <w:rPr>
          <w:rFonts w:hint="eastAsia" w:ascii="方正楷体_GBK" w:hAnsi="方正楷体_GBK" w:eastAsia="方正楷体_GBK" w:cs="方正楷体_GBK"/>
          <w:b/>
          <w:bCs/>
          <w:color w:val="000000"/>
          <w:kern w:val="0"/>
          <w:sz w:val="32"/>
          <w:szCs w:val="32"/>
          <w:shd w:val="clear" w:color="auto" w:fill="FFFFFF"/>
          <w:lang w:val="zh-CN"/>
        </w:rPr>
      </w:pPr>
      <w:r>
        <w:rPr>
          <w:rFonts w:hint="eastAsia" w:ascii="方正楷体_GBK" w:hAnsi="方正楷体_GBK" w:eastAsia="方正楷体_GBK" w:cs="方正楷体_GBK"/>
          <w:b/>
          <w:bCs/>
          <w:sz w:val="32"/>
          <w:szCs w:val="32"/>
          <w:lang w:val="zh-CN"/>
        </w:rPr>
        <w:t>（一）机构组成</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中共盐边县委政法委员会下属非独立核算单位</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个，其中其他事业单位</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zh-CN"/>
        </w:rPr>
        <w:t>个。主要包括：盐边县社会治安综合治理中心。</w:t>
      </w:r>
    </w:p>
    <w:p>
      <w:pPr>
        <w:keepNext w:val="0"/>
        <w:keepLines w:val="0"/>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sz w:val="32"/>
          <w:szCs w:val="32"/>
          <w:lang w:val="zh-CN"/>
        </w:rPr>
      </w:pPr>
      <w:r>
        <w:rPr>
          <w:rFonts w:hint="default" w:ascii="方正楷体_GBK" w:hAnsi="方正楷体_GBK" w:eastAsia="方正楷体_GBK" w:cs="方正楷体_GBK"/>
          <w:b/>
          <w:bCs/>
          <w:sz w:val="32"/>
          <w:szCs w:val="32"/>
          <w:lang w:val="zh-CN"/>
        </w:rPr>
        <w:t>（二）机构职能</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1.根据党中央的路线、方针、政策和县委的部署，统一政法各部门的思想和行动，确保政法部门的执法活动坚持正确的政治方向。</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研究制定贯彻落实党中央、省委、市委和县委关于政法工作的方针、政策和维护社会稳定工作的指示措施，及时向县委提出意见和建议，对一定时期内的政法工作、社会治安综合治理工作、社会稳定工作作出全局性的部署，并督促检查，抓好贯彻落实。</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3.加强对政法工作的督查。指导全县政法系统网络安全和智能化建设工作。</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4.组织推动政法工作的调查研究，推动政法工作改革。</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监督检查政法部门执行宪法、法律、法规和公正司法情况，研究制定严格执法、维护司法公正的具体措施。监督和支持政法各部门依法行使职权，指导和协调政法部门密切配合，研究和协调重大、疑难案件，推进严格执法、公正司法。</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6.指导推动政法系统党的建设和政法队伍建设，研究加强全县政法队伍建设的措施，协助县委、县委组织部考察、管理政法部门领导班子和领导干部，协助县委、县纪委监察机关做好监督检查和审查调查工作。代管盐边县法学会。</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7.承担全县社会治安综合治理工作的调查分析、组织协调和监督检查，协调推动各项综治工作措施的落实。</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8.指导全县维护社会稳定工作。协调推动相关部门做好反邪教工作。</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9.完成县委政法委三定规定中明确的其他工作职责。</w:t>
      </w:r>
    </w:p>
    <w:p>
      <w:pPr>
        <w:keepNext w:val="0"/>
        <w:keepLines w:val="0"/>
        <w:pageBreakBefore w:val="0"/>
        <w:widowControl w:val="0"/>
        <w:kinsoku/>
        <w:wordWrap/>
        <w:overflowPunct/>
        <w:topLinePunct w:val="0"/>
        <w:autoSpaceDE/>
        <w:autoSpaceDN/>
        <w:bidi w:val="0"/>
        <w:adjustRightInd/>
        <w:snapToGrid/>
        <w:spacing w:line="240" w:lineRule="auto"/>
        <w:ind w:left="0" w:right="0" w:firstLine="640"/>
        <w:jc w:val="both"/>
        <w:textAlignment w:val="auto"/>
        <w:rPr>
          <w:rFonts w:hint="default" w:ascii="Times New Roman" w:hAnsi="Times New Roman" w:eastAsia="方正仿宋_GBK" w:cs="Times New Roman"/>
          <w:b w:val="0"/>
          <w:kern w:val="2"/>
          <w:sz w:val="32"/>
          <w:szCs w:val="32"/>
          <w:lang w:val="zh-CN" w:eastAsia="zh-CN" w:bidi="ar-SA"/>
        </w:rPr>
      </w:pPr>
      <w:r>
        <w:rPr>
          <w:rFonts w:hint="default" w:ascii="Times New Roman" w:hAnsi="Times New Roman" w:eastAsia="方正仿宋_GBK" w:cs="Times New Roman"/>
          <w:b w:val="0"/>
          <w:kern w:val="2"/>
          <w:sz w:val="32"/>
          <w:szCs w:val="32"/>
          <w:lang w:val="zh-CN" w:eastAsia="zh-CN" w:bidi="ar-SA"/>
        </w:rPr>
        <w:t>10.完成县委交办的其他任务。</w:t>
      </w:r>
    </w:p>
    <w:p>
      <w:pPr>
        <w:pStyle w:val="6"/>
        <w:keepNext w:val="0"/>
        <w:keepLines w:val="0"/>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（三）人员概况</w:t>
      </w:r>
    </w:p>
    <w:p>
      <w:pPr>
        <w:pStyle w:val="6"/>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年末在职人员</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zh-CN"/>
        </w:rPr>
        <w:t>人，其中行政在编人员</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zh-CN"/>
        </w:rPr>
        <w:t>人，行政工勤人员</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zh-CN"/>
        </w:rPr>
        <w:t>人，事业在编人员</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zh-CN"/>
        </w:rPr>
        <w:t>人</w:t>
      </w:r>
      <w:r>
        <w:rPr>
          <w:rFonts w:hint="default"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rPr>
        <w:t>退休人员</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人。</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二、部门资金收支情况</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（一）收入情况</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kern w:val="2"/>
          <w:sz w:val="32"/>
          <w:szCs w:val="32"/>
          <w:lang w:val="en-US" w:eastAsia="zh-CN" w:bidi="ar-SA"/>
        </w:rPr>
        <w:t>2024</w:t>
      </w:r>
      <w:r>
        <w:rPr>
          <w:rFonts w:hint="default" w:ascii="Times New Roman" w:hAnsi="Times New Roman" w:eastAsia="方正仿宋_GBK" w:cs="Times New Roman"/>
          <w:color w:val="auto"/>
          <w:sz w:val="32"/>
          <w:szCs w:val="32"/>
          <w:lang w:val="zh-CN"/>
        </w:rPr>
        <w:t>年年初部门预算</w:t>
      </w:r>
      <w:r>
        <w:rPr>
          <w:rFonts w:hint="default" w:ascii="Times New Roman" w:hAnsi="Times New Roman" w:eastAsia="方正仿宋_GBK" w:cs="Times New Roman"/>
          <w:color w:val="0C0C0C"/>
          <w:sz w:val="32"/>
          <w:szCs w:val="32"/>
          <w:lang w:val="zh-CN"/>
        </w:rPr>
        <w:t>安排收入为</w:t>
      </w:r>
      <w:r>
        <w:rPr>
          <w:rFonts w:hint="default" w:ascii="Times New Roman" w:hAnsi="Times New Roman" w:eastAsia="方正仿宋_GBK" w:cs="Times New Roman"/>
          <w:color w:val="0C0C0C"/>
          <w:sz w:val="32"/>
          <w:szCs w:val="32"/>
          <w:lang w:val="en-US" w:eastAsia="zh-CN"/>
        </w:rPr>
        <w:t>483.56</w:t>
      </w:r>
      <w:r>
        <w:rPr>
          <w:rFonts w:hint="default" w:ascii="Times New Roman" w:hAnsi="Times New Roman" w:eastAsia="方正仿宋_GBK" w:cs="Times New Roman"/>
          <w:color w:val="0C0C0C"/>
          <w:sz w:val="32"/>
          <w:szCs w:val="32"/>
          <w:lang w:val="zh-CN"/>
        </w:rPr>
        <w:t>万元。当年调增及调减后实际预算下达收入</w:t>
      </w:r>
      <w:r>
        <w:rPr>
          <w:rFonts w:hint="default" w:ascii="Times New Roman" w:hAnsi="Times New Roman" w:eastAsia="方正仿宋_GBK" w:cs="Times New Roman"/>
          <w:color w:val="0C0C0C"/>
          <w:sz w:val="32"/>
          <w:szCs w:val="32"/>
          <w:lang w:val="en-US" w:eastAsia="zh-CN"/>
        </w:rPr>
        <w:t>517.66</w:t>
      </w:r>
      <w:r>
        <w:rPr>
          <w:rFonts w:hint="default" w:ascii="Times New Roman" w:hAnsi="Times New Roman" w:eastAsia="方正仿宋_GBK" w:cs="Times New Roman"/>
          <w:color w:val="0C0C0C"/>
          <w:sz w:val="32"/>
          <w:szCs w:val="32"/>
          <w:lang w:val="zh-CN"/>
        </w:rPr>
        <w:t>万元</w:t>
      </w:r>
      <w:r>
        <w:rPr>
          <w:rFonts w:hint="default" w:ascii="Times New Roman" w:hAnsi="Times New Roman" w:eastAsia="方正仿宋_GBK" w:cs="Times New Roman"/>
          <w:color w:val="auto"/>
          <w:sz w:val="32"/>
          <w:szCs w:val="32"/>
          <w:lang w:val="zh-CN"/>
        </w:rPr>
        <w:t>。</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（二）支出情况</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方正黑体_GBK" w:hAnsi="方正黑体_GBK" w:eastAsia="方正黑体_GBK" w:cs="方正黑体_GBK"/>
          <w:sz w:val="32"/>
          <w:szCs w:val="32"/>
        </w:rPr>
      </w:pPr>
      <w:r>
        <w:rPr>
          <w:rFonts w:hint="default" w:ascii="Times New Roman" w:hAnsi="Times New Roman" w:eastAsia="方正仿宋_GBK" w:cs="Times New Roman"/>
          <w:color w:val="000000"/>
          <w:sz w:val="32"/>
          <w:szCs w:val="32"/>
          <w:shd w:val="clear" w:color="auto" w:fill="FFFFFF"/>
        </w:rPr>
        <w:t>1.部门预算基本支出情况</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C0C0C"/>
          <w:sz w:val="32"/>
          <w:szCs w:val="32"/>
        </w:rPr>
        <w:t>202</w:t>
      </w:r>
      <w:r>
        <w:rPr>
          <w:rFonts w:hint="default" w:ascii="Times New Roman" w:hAnsi="Times New Roman" w:eastAsia="方正仿宋_GBK" w:cs="Times New Roman"/>
          <w:color w:val="0C0C0C"/>
          <w:sz w:val="32"/>
          <w:szCs w:val="32"/>
          <w:lang w:val="en-US" w:eastAsia="zh-CN"/>
        </w:rPr>
        <w:t>4</w:t>
      </w:r>
      <w:r>
        <w:rPr>
          <w:rFonts w:hint="default" w:ascii="Times New Roman" w:hAnsi="Times New Roman" w:eastAsia="方正仿宋_GBK" w:cs="Times New Roman"/>
          <w:color w:val="0C0C0C"/>
          <w:sz w:val="32"/>
          <w:szCs w:val="32"/>
        </w:rPr>
        <w:t>年年初部门预算安排基本支出为</w:t>
      </w:r>
      <w:r>
        <w:rPr>
          <w:rFonts w:hint="default" w:ascii="Times New Roman" w:hAnsi="Times New Roman" w:eastAsia="方正仿宋_GBK" w:cs="Times New Roman"/>
          <w:color w:val="0C0C0C"/>
          <w:sz w:val="32"/>
          <w:szCs w:val="32"/>
          <w:lang w:val="en-US" w:eastAsia="zh-CN"/>
        </w:rPr>
        <w:t>413.16</w:t>
      </w:r>
      <w:r>
        <w:rPr>
          <w:rFonts w:hint="default" w:ascii="Times New Roman" w:hAnsi="Times New Roman" w:eastAsia="方正仿宋_GBK" w:cs="Times New Roman"/>
          <w:color w:val="0C0C0C"/>
          <w:sz w:val="32"/>
          <w:szCs w:val="32"/>
        </w:rPr>
        <w:t>万元。其中：工资福利支出</w:t>
      </w:r>
      <w:r>
        <w:rPr>
          <w:rFonts w:hint="default" w:ascii="Times New Roman" w:hAnsi="Times New Roman" w:eastAsia="方正仿宋_GBK" w:cs="Times New Roman"/>
          <w:color w:val="0C0C0C"/>
          <w:sz w:val="32"/>
          <w:szCs w:val="32"/>
          <w:lang w:val="en-US" w:eastAsia="zh-CN"/>
        </w:rPr>
        <w:t>374.59</w:t>
      </w:r>
      <w:r>
        <w:rPr>
          <w:rFonts w:hint="default" w:ascii="Times New Roman" w:hAnsi="Times New Roman" w:eastAsia="方正仿宋_GBK" w:cs="Times New Roman"/>
          <w:color w:val="0C0C0C"/>
          <w:sz w:val="32"/>
          <w:szCs w:val="32"/>
        </w:rPr>
        <w:t>万元，日常公用支出</w:t>
      </w:r>
      <w:r>
        <w:rPr>
          <w:rFonts w:hint="default" w:ascii="Times New Roman" w:hAnsi="Times New Roman" w:eastAsia="方正仿宋_GBK" w:cs="Times New Roman"/>
          <w:color w:val="0C0C0C"/>
          <w:sz w:val="32"/>
          <w:szCs w:val="32"/>
          <w:lang w:val="en-US" w:eastAsia="zh-CN"/>
        </w:rPr>
        <w:t>38.57</w:t>
      </w:r>
      <w:r>
        <w:rPr>
          <w:rFonts w:hint="default" w:ascii="Times New Roman" w:hAnsi="Times New Roman" w:eastAsia="方正仿宋_GBK" w:cs="Times New Roman"/>
          <w:color w:val="0C0C0C"/>
          <w:sz w:val="32"/>
          <w:szCs w:val="32"/>
        </w:rPr>
        <w:t>万元。当年调增及调减后实际预算下达基本支出</w:t>
      </w:r>
      <w:r>
        <w:rPr>
          <w:rFonts w:hint="default" w:ascii="Times New Roman" w:hAnsi="Times New Roman" w:eastAsia="方正仿宋_GBK" w:cs="Times New Roman"/>
          <w:color w:val="0C0C0C"/>
          <w:sz w:val="32"/>
          <w:szCs w:val="32"/>
          <w:lang w:val="en-US" w:eastAsia="zh-CN"/>
        </w:rPr>
        <w:t>431.19</w:t>
      </w:r>
      <w:r>
        <w:rPr>
          <w:rFonts w:hint="default" w:ascii="Times New Roman" w:hAnsi="Times New Roman" w:eastAsia="方正仿宋_GBK" w:cs="Times New Roman"/>
          <w:color w:val="0C0C0C"/>
          <w:sz w:val="32"/>
          <w:szCs w:val="32"/>
        </w:rPr>
        <w:t>万</w:t>
      </w:r>
      <w:r>
        <w:rPr>
          <w:rFonts w:hint="default" w:ascii="Times New Roman" w:hAnsi="Times New Roman" w:eastAsia="方正仿宋_GBK" w:cs="Times New Roman"/>
          <w:color w:val="auto"/>
          <w:sz w:val="32"/>
          <w:szCs w:val="32"/>
        </w:rPr>
        <w:t>元。</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基本支出中的工资福利、对个人和家庭补助支出主要用于职工基本工资、绩效工资、津贴补贴、养老保险等各类保险缴费、在职及退休人员目标奖奖金、住房公积金等。日常公用支出主要用于办公费、水电费、邮电费、差旅费、工会经费、其他交通费等方面。</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2.部门预算项目安排及支出情况</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0C0C0C"/>
          <w:sz w:val="32"/>
          <w:szCs w:val="32"/>
        </w:rPr>
        <w:t>202</w:t>
      </w:r>
      <w:r>
        <w:rPr>
          <w:rFonts w:hint="default" w:ascii="Times New Roman" w:hAnsi="Times New Roman" w:eastAsia="方正仿宋_GBK" w:cs="Times New Roman"/>
          <w:color w:val="0C0C0C"/>
          <w:sz w:val="32"/>
          <w:szCs w:val="32"/>
          <w:lang w:val="en-US" w:eastAsia="zh-CN"/>
        </w:rPr>
        <w:t>4</w:t>
      </w:r>
      <w:r>
        <w:rPr>
          <w:rFonts w:hint="default" w:ascii="Times New Roman" w:hAnsi="Times New Roman" w:eastAsia="方正仿宋_GBK" w:cs="Times New Roman"/>
          <w:color w:val="0C0C0C"/>
          <w:sz w:val="32"/>
          <w:szCs w:val="32"/>
        </w:rPr>
        <w:t>年年初部门预算安排项目支出为</w:t>
      </w:r>
      <w:r>
        <w:rPr>
          <w:rFonts w:hint="default" w:ascii="Times New Roman" w:hAnsi="Times New Roman" w:eastAsia="方正仿宋_GBK" w:cs="Times New Roman"/>
          <w:color w:val="0C0C0C"/>
          <w:sz w:val="32"/>
          <w:szCs w:val="32"/>
          <w:lang w:val="en-US" w:eastAsia="zh-CN"/>
        </w:rPr>
        <w:t>70.4</w:t>
      </w:r>
      <w:r>
        <w:rPr>
          <w:rFonts w:hint="default" w:ascii="Times New Roman" w:hAnsi="Times New Roman" w:eastAsia="方正仿宋_GBK" w:cs="Times New Roman"/>
          <w:color w:val="0C0C0C"/>
          <w:sz w:val="32"/>
          <w:szCs w:val="32"/>
        </w:rPr>
        <w:t>万元；202</w:t>
      </w:r>
      <w:r>
        <w:rPr>
          <w:rFonts w:hint="default" w:ascii="Times New Roman" w:hAnsi="Times New Roman" w:eastAsia="方正仿宋_GBK" w:cs="Times New Roman"/>
          <w:color w:val="0C0C0C"/>
          <w:sz w:val="32"/>
          <w:szCs w:val="32"/>
          <w:lang w:val="en-US" w:eastAsia="zh-CN"/>
        </w:rPr>
        <w:t>4</w:t>
      </w:r>
      <w:r>
        <w:rPr>
          <w:rFonts w:hint="default" w:ascii="Times New Roman" w:hAnsi="Times New Roman" w:eastAsia="方正仿宋_GBK" w:cs="Times New Roman"/>
          <w:color w:val="0C0C0C"/>
          <w:sz w:val="32"/>
          <w:szCs w:val="32"/>
        </w:rPr>
        <w:t>年调增及调减后实际预算下达项目支出</w:t>
      </w:r>
      <w:r>
        <w:rPr>
          <w:rFonts w:hint="default" w:ascii="Times New Roman" w:hAnsi="Times New Roman" w:eastAsia="方正仿宋_GBK" w:cs="Times New Roman"/>
          <w:color w:val="0C0C0C"/>
          <w:sz w:val="32"/>
          <w:szCs w:val="32"/>
          <w:lang w:val="en-US" w:eastAsia="zh-CN"/>
        </w:rPr>
        <w:t>86.48</w:t>
      </w:r>
      <w:r>
        <w:rPr>
          <w:rFonts w:hint="default" w:ascii="Times New Roman" w:hAnsi="Times New Roman" w:eastAsia="方正仿宋_GBK" w:cs="Times New Roman"/>
          <w:color w:val="0C0C0C"/>
          <w:sz w:val="32"/>
          <w:szCs w:val="32"/>
        </w:rPr>
        <w:t>万</w:t>
      </w:r>
      <w:r>
        <w:rPr>
          <w:rFonts w:hint="default" w:ascii="Times New Roman" w:hAnsi="Times New Roman" w:eastAsia="方正仿宋_GBK" w:cs="Times New Roman"/>
          <w:color w:val="auto"/>
          <w:sz w:val="32"/>
          <w:szCs w:val="32"/>
        </w:rPr>
        <w:t>元。</w:t>
      </w:r>
    </w:p>
    <w:p>
      <w:pPr>
        <w:keepNext w:val="0"/>
        <w:keepLines w:val="0"/>
        <w:pageBreakBefore w:val="0"/>
        <w:kinsoku/>
        <w:wordWrap/>
        <w:overflowPunct/>
        <w:topLinePunct w:val="0"/>
        <w:autoSpaceDE/>
        <w:autoSpaceDN/>
        <w:bidi w:val="0"/>
        <w:spacing w:line="240" w:lineRule="auto"/>
        <w:ind w:left="0" w:right="0" w:firstLine="64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lang w:val="zh-CN"/>
        </w:rPr>
        <w:t>项目支出主要政法委专网正常运行的网络维护、</w:t>
      </w:r>
      <w:r>
        <w:rPr>
          <w:rFonts w:hint="default" w:ascii="Times New Roman" w:hAnsi="Times New Roman" w:eastAsia="方正仿宋_GBK" w:cs="Times New Roman"/>
          <w:sz w:val="32"/>
          <w:szCs w:val="32"/>
          <w:lang w:val="en-US" w:eastAsia="zh-CN"/>
        </w:rPr>
        <w:t>维稳工作、扫黑除恶</w:t>
      </w:r>
      <w:r>
        <w:rPr>
          <w:rFonts w:hint="default" w:ascii="Times New Roman" w:hAnsi="Times New Roman" w:eastAsia="方正仿宋_GBK" w:cs="Times New Roman"/>
          <w:sz w:val="32"/>
          <w:szCs w:val="32"/>
          <w:lang w:val="zh-CN"/>
        </w:rPr>
        <w:t>等方面支出。</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（三）结余分配和结转结余情况</w:t>
      </w:r>
    </w:p>
    <w:p>
      <w:pPr>
        <w:pStyle w:val="11"/>
        <w:keepNext w:val="0"/>
        <w:keepLines w:val="0"/>
        <w:pageBreakBefore w:val="0"/>
        <w:kinsoku/>
        <w:wordWrap/>
        <w:overflowPunct/>
        <w:topLinePunct w:val="0"/>
        <w:autoSpaceDE/>
        <w:autoSpaceDN/>
        <w:bidi w:val="0"/>
        <w:spacing w:line="240" w:lineRule="auto"/>
        <w:ind w:left="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无结转结余。</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三、部门预算绩效分析</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（一）部门预算总体绩效分析</w:t>
      </w:r>
    </w:p>
    <w:p>
      <w:pPr>
        <w:pageBreakBefore w:val="0"/>
        <w:widowControl/>
        <w:kinsoku/>
        <w:wordWrap/>
        <w:overflowPunct/>
        <w:topLinePunct w:val="0"/>
        <w:autoSpaceDE/>
        <w:autoSpaceDN/>
        <w:bidi w:val="0"/>
        <w:adjustRightInd w:val="0"/>
        <w:snapToGrid w:val="0"/>
        <w:spacing w:line="240" w:lineRule="auto"/>
        <w:ind w:left="0"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lang w:eastAsia="zh-CN"/>
        </w:rPr>
        <w:t>县</w:t>
      </w:r>
      <w:r>
        <w:rPr>
          <w:rFonts w:hint="default" w:ascii="Times New Roman" w:hAnsi="Times New Roman" w:eastAsia="方正仿宋_GBK" w:cs="Times New Roman"/>
          <w:color w:val="333333"/>
          <w:sz w:val="32"/>
          <w:szCs w:val="32"/>
          <w:shd w:val="clear" w:color="auto" w:fill="FFFFFF"/>
        </w:rPr>
        <w:t>委政法委部门整体绩效目标年度总体目标是坚持统筹好发展和安全总要求，紧扣推动高质量发展主题，更加注重系统观念、法治思维、强基导向，重点围绕加强政法系统党的政治建设、维护国家安全社会稳定、推进扫黑除恶常态化、推进政法领域全面深化改革等方面，奋力推动政法工作高质量发展，努力建设更高水平的平安</w:t>
      </w:r>
      <w:r>
        <w:rPr>
          <w:rFonts w:hint="default" w:ascii="Times New Roman" w:hAnsi="Times New Roman" w:eastAsia="方正仿宋_GBK" w:cs="Times New Roman"/>
          <w:color w:val="333333"/>
          <w:sz w:val="32"/>
          <w:szCs w:val="32"/>
          <w:shd w:val="clear" w:color="auto" w:fill="FFFFFF"/>
          <w:lang w:eastAsia="zh-CN"/>
        </w:rPr>
        <w:t>盐边</w:t>
      </w:r>
      <w:r>
        <w:rPr>
          <w:rFonts w:hint="default" w:ascii="Times New Roman" w:hAnsi="Times New Roman" w:eastAsia="方正仿宋_GBK" w:cs="Times New Roman"/>
          <w:color w:val="333333"/>
          <w:sz w:val="32"/>
          <w:szCs w:val="32"/>
          <w:shd w:val="clear" w:color="auto" w:fill="FFFFFF"/>
        </w:rPr>
        <w:t>、法治</w:t>
      </w:r>
      <w:r>
        <w:rPr>
          <w:rFonts w:hint="default" w:ascii="Times New Roman" w:hAnsi="Times New Roman" w:eastAsia="方正仿宋_GBK" w:cs="Times New Roman"/>
          <w:color w:val="333333"/>
          <w:sz w:val="32"/>
          <w:szCs w:val="32"/>
          <w:shd w:val="clear" w:color="auto" w:fill="FFFFFF"/>
          <w:lang w:eastAsia="zh-CN"/>
        </w:rPr>
        <w:t>盐边</w:t>
      </w:r>
      <w:r>
        <w:rPr>
          <w:rFonts w:hint="default" w:ascii="Times New Roman" w:hAnsi="Times New Roman" w:eastAsia="方正仿宋_GBK" w:cs="Times New Roman"/>
          <w:color w:val="333333"/>
          <w:sz w:val="32"/>
          <w:szCs w:val="32"/>
          <w:shd w:val="clear" w:color="auto" w:fill="FFFFFF"/>
        </w:rPr>
        <w:t>。202</w:t>
      </w:r>
      <w:r>
        <w:rPr>
          <w:rFonts w:hint="default" w:ascii="Times New Roman" w:hAnsi="Times New Roman" w:eastAsia="方正仿宋_GBK" w:cs="Times New Roman"/>
          <w:color w:val="333333"/>
          <w:sz w:val="32"/>
          <w:szCs w:val="32"/>
          <w:shd w:val="clear" w:color="auto" w:fill="FFFFFF"/>
          <w:lang w:val="en-US" w:eastAsia="zh-CN"/>
        </w:rPr>
        <w:t>4</w:t>
      </w:r>
      <w:r>
        <w:rPr>
          <w:rFonts w:hint="default" w:ascii="Times New Roman" w:hAnsi="Times New Roman" w:eastAsia="方正仿宋_GBK" w:cs="Times New Roman"/>
          <w:color w:val="333333"/>
          <w:sz w:val="32"/>
          <w:szCs w:val="32"/>
          <w:shd w:val="clear" w:color="auto" w:fill="FFFFFF"/>
        </w:rPr>
        <w:t xml:space="preserve">年部门绩效目标共设置 </w:t>
      </w:r>
      <w:r>
        <w:rPr>
          <w:rFonts w:hint="default" w:ascii="Times New Roman" w:hAnsi="Times New Roman" w:eastAsia="方正仿宋_GBK" w:cs="Times New Roman"/>
          <w:color w:val="333333"/>
          <w:sz w:val="32"/>
          <w:szCs w:val="32"/>
          <w:shd w:val="clear" w:color="auto" w:fill="FFFFFF"/>
          <w:lang w:val="en-US" w:eastAsia="zh-CN"/>
        </w:rPr>
        <w:t>42</w:t>
      </w:r>
      <w:r>
        <w:rPr>
          <w:rFonts w:hint="default" w:ascii="Times New Roman" w:hAnsi="Times New Roman" w:eastAsia="方正仿宋_GBK" w:cs="Times New Roman"/>
          <w:color w:val="333333"/>
          <w:sz w:val="32"/>
          <w:szCs w:val="32"/>
          <w:shd w:val="clear" w:color="auto" w:fill="FFFFFF"/>
        </w:rPr>
        <w:t xml:space="preserve">个指标，其中：数量指标 </w:t>
      </w:r>
      <w:r>
        <w:rPr>
          <w:rFonts w:hint="default" w:ascii="Times New Roman" w:hAnsi="Times New Roman" w:eastAsia="方正仿宋_GBK" w:cs="Times New Roman"/>
          <w:color w:val="333333"/>
          <w:sz w:val="32"/>
          <w:szCs w:val="32"/>
          <w:shd w:val="clear" w:color="auto" w:fill="FFFFFF"/>
          <w:lang w:val="en-US" w:eastAsia="zh-CN"/>
        </w:rPr>
        <w:t>7</w:t>
      </w:r>
      <w:r>
        <w:rPr>
          <w:rFonts w:hint="default" w:ascii="Times New Roman" w:hAnsi="Times New Roman" w:eastAsia="方正仿宋_GBK" w:cs="Times New Roman"/>
          <w:color w:val="333333"/>
          <w:sz w:val="32"/>
          <w:szCs w:val="32"/>
          <w:shd w:val="clear" w:color="auto" w:fill="FFFFFF"/>
        </w:rPr>
        <w:t>个、质量指标</w:t>
      </w:r>
      <w:r>
        <w:rPr>
          <w:rFonts w:hint="default" w:ascii="Times New Roman" w:hAnsi="Times New Roman" w:eastAsia="方正仿宋_GBK" w:cs="Times New Roman"/>
          <w:color w:val="333333"/>
          <w:sz w:val="32"/>
          <w:szCs w:val="32"/>
          <w:shd w:val="clear" w:color="auto" w:fill="FFFFFF"/>
          <w:lang w:val="en-US" w:eastAsia="zh-CN"/>
        </w:rPr>
        <w:t>7</w:t>
      </w:r>
      <w:r>
        <w:rPr>
          <w:rFonts w:hint="default" w:ascii="Times New Roman" w:hAnsi="Times New Roman" w:eastAsia="方正仿宋_GBK" w:cs="Times New Roman"/>
          <w:color w:val="333333"/>
          <w:sz w:val="32"/>
          <w:szCs w:val="32"/>
          <w:shd w:val="clear" w:color="auto" w:fill="FFFFFF"/>
        </w:rPr>
        <w:t xml:space="preserve"> 个，时效指标</w:t>
      </w:r>
      <w:r>
        <w:rPr>
          <w:rFonts w:hint="default" w:ascii="Times New Roman" w:hAnsi="Times New Roman" w:eastAsia="方正仿宋_GBK" w:cs="Times New Roman"/>
          <w:color w:val="333333"/>
          <w:sz w:val="32"/>
          <w:szCs w:val="32"/>
          <w:shd w:val="clear" w:color="auto" w:fill="FFFFFF"/>
          <w:lang w:val="en-US" w:eastAsia="zh-CN"/>
        </w:rPr>
        <w:t>7</w:t>
      </w:r>
      <w:r>
        <w:rPr>
          <w:rFonts w:hint="default" w:ascii="Times New Roman" w:hAnsi="Times New Roman" w:eastAsia="方正仿宋_GBK" w:cs="Times New Roman"/>
          <w:color w:val="333333"/>
          <w:sz w:val="32"/>
          <w:szCs w:val="32"/>
          <w:shd w:val="clear" w:color="auto" w:fill="FFFFFF"/>
        </w:rPr>
        <w:t>个，效益指标</w:t>
      </w:r>
      <w:r>
        <w:rPr>
          <w:rFonts w:hint="default" w:ascii="Times New Roman" w:hAnsi="Times New Roman" w:eastAsia="方正仿宋_GBK" w:cs="Times New Roman"/>
          <w:color w:val="333333"/>
          <w:sz w:val="32"/>
          <w:szCs w:val="32"/>
          <w:shd w:val="clear" w:color="auto" w:fill="FFFFFF"/>
          <w:lang w:val="en-US" w:eastAsia="zh-CN"/>
        </w:rPr>
        <w:t>7</w:t>
      </w:r>
      <w:r>
        <w:rPr>
          <w:rFonts w:hint="default" w:ascii="Times New Roman" w:hAnsi="Times New Roman" w:eastAsia="方正仿宋_GBK" w:cs="Times New Roman"/>
          <w:color w:val="333333"/>
          <w:sz w:val="32"/>
          <w:szCs w:val="32"/>
          <w:shd w:val="clear" w:color="auto" w:fill="FFFFFF"/>
        </w:rPr>
        <w:t xml:space="preserve"> 个，满意度指标</w:t>
      </w:r>
      <w:r>
        <w:rPr>
          <w:rFonts w:hint="default" w:ascii="Times New Roman" w:hAnsi="Times New Roman" w:eastAsia="方正仿宋_GBK" w:cs="Times New Roman"/>
          <w:color w:val="333333"/>
          <w:sz w:val="32"/>
          <w:szCs w:val="32"/>
          <w:shd w:val="clear" w:color="auto" w:fill="FFFFFF"/>
          <w:lang w:val="en-US" w:eastAsia="zh-CN"/>
        </w:rPr>
        <w:t>7</w:t>
      </w:r>
      <w:r>
        <w:rPr>
          <w:rFonts w:hint="default" w:ascii="Times New Roman" w:hAnsi="Times New Roman" w:eastAsia="方正仿宋_GBK" w:cs="Times New Roman"/>
          <w:color w:val="333333"/>
          <w:sz w:val="32"/>
          <w:szCs w:val="32"/>
          <w:shd w:val="clear" w:color="auto" w:fill="FFFFFF"/>
        </w:rPr>
        <w:t xml:space="preserve">个，成本指标 </w:t>
      </w:r>
      <w:r>
        <w:rPr>
          <w:rFonts w:hint="default" w:ascii="Times New Roman" w:hAnsi="Times New Roman" w:eastAsia="方正仿宋_GBK" w:cs="Times New Roman"/>
          <w:color w:val="333333"/>
          <w:sz w:val="32"/>
          <w:szCs w:val="32"/>
          <w:shd w:val="clear" w:color="auto" w:fill="FFFFFF"/>
          <w:lang w:val="en-US" w:eastAsia="zh-CN"/>
        </w:rPr>
        <w:t>7</w:t>
      </w:r>
      <w:r>
        <w:rPr>
          <w:rFonts w:hint="default" w:ascii="Times New Roman" w:hAnsi="Times New Roman" w:eastAsia="方正仿宋_GBK" w:cs="Times New Roman"/>
          <w:color w:val="333333"/>
          <w:sz w:val="32"/>
          <w:szCs w:val="32"/>
          <w:shd w:val="clear" w:color="auto" w:fill="FFFFFF"/>
        </w:rPr>
        <w:t>个。</w:t>
      </w:r>
    </w:p>
    <w:p>
      <w:pPr>
        <w:pageBreakBefore w:val="0"/>
        <w:kinsoku/>
        <w:wordWrap/>
        <w:overflowPunct/>
        <w:topLinePunct w:val="0"/>
        <w:autoSpaceDE/>
        <w:autoSpaceDN/>
        <w:bidi w:val="0"/>
        <w:spacing w:line="240" w:lineRule="auto"/>
        <w:ind w:left="0" w:right="0" w:firstLine="640" w:firstLineChars="200"/>
        <w:jc w:val="both"/>
        <w:textAlignment w:val="auto"/>
        <w:rPr>
          <w:rFonts w:hint="eastAsia" w:ascii="方正仿宋_GBK" w:hAnsi="方正仿宋_GBK" w:eastAsia="方正仿宋_GBK" w:cs="方正仿宋_GBK"/>
          <w:b w:val="0"/>
          <w:bCs w:val="0"/>
          <w:kern w:val="0"/>
          <w:sz w:val="32"/>
          <w:szCs w:val="32"/>
          <w:shd w:val="clear" w:color="auto" w:fill="FFFFFF"/>
          <w:lang w:val="zh-CN"/>
        </w:rPr>
      </w:pPr>
      <w:r>
        <w:rPr>
          <w:rFonts w:hint="eastAsia" w:ascii="方正仿宋_GBK" w:hAnsi="方正仿宋_GBK" w:eastAsia="方正仿宋_GBK" w:cs="方正仿宋_GBK"/>
          <w:b w:val="0"/>
          <w:bCs w:val="0"/>
          <w:kern w:val="0"/>
          <w:sz w:val="32"/>
          <w:szCs w:val="32"/>
          <w:shd w:val="clear" w:color="auto" w:fill="FFFFFF"/>
          <w:lang w:val="zh-CN"/>
        </w:rPr>
        <w:t>1.履职效能</w:t>
      </w:r>
    </w:p>
    <w:p>
      <w:pPr>
        <w:pageBreakBefore w:val="0"/>
        <w:widowControl/>
        <w:kinsoku/>
        <w:wordWrap/>
        <w:overflowPunct/>
        <w:topLinePunct w:val="0"/>
        <w:autoSpaceDE/>
        <w:autoSpaceDN/>
        <w:bidi w:val="0"/>
        <w:adjustRightInd w:val="0"/>
        <w:snapToGrid w:val="0"/>
        <w:spacing w:line="240" w:lineRule="auto"/>
        <w:ind w:left="0" w:right="0" w:firstLine="640" w:firstLineChars="200"/>
        <w:contextualSpacing/>
        <w:jc w:val="both"/>
        <w:textAlignment w:val="auto"/>
        <w:rPr>
          <w:rFonts w:hint="default" w:ascii="Times New Roman" w:hAnsi="Times New Roman" w:eastAsia="方正仿宋_GBK" w:cs="Times New Roman"/>
          <w:color w:val="333333"/>
          <w:sz w:val="32"/>
          <w:szCs w:val="32"/>
          <w:shd w:val="clear" w:color="auto" w:fill="FFFFFF"/>
        </w:rPr>
      </w:pPr>
      <w:r>
        <w:rPr>
          <w:rFonts w:hint="default" w:ascii="Times New Roman" w:hAnsi="Times New Roman" w:eastAsia="方正仿宋_GBK" w:cs="Times New Roman"/>
          <w:color w:val="333333"/>
          <w:sz w:val="32"/>
          <w:szCs w:val="32"/>
          <w:shd w:val="clear" w:color="auto" w:fill="FFFFFF"/>
        </w:rPr>
        <w:t>按照绩效目标设置不包括涉密内容要求，选定 3 个核心职能目标为非涉密工作内容，指标完成率 100%。</w:t>
      </w:r>
    </w:p>
    <w:p>
      <w:pPr>
        <w:pageBreakBefore w:val="0"/>
        <w:widowControl/>
        <w:kinsoku/>
        <w:wordWrap/>
        <w:overflowPunct/>
        <w:topLinePunct w:val="0"/>
        <w:autoSpaceDE/>
        <w:autoSpaceDN/>
        <w:bidi w:val="0"/>
        <w:adjustRightInd w:val="0"/>
        <w:snapToGrid w:val="0"/>
        <w:spacing w:line="240" w:lineRule="auto"/>
        <w:ind w:left="0" w:right="0" w:firstLine="640" w:firstLineChars="200"/>
        <w:contextualSpacing/>
        <w:jc w:val="both"/>
        <w:textAlignment w:val="auto"/>
        <w:rPr>
          <w:rFonts w:hint="default" w:ascii="Times New Roman" w:hAnsi="Times New Roman" w:eastAsia="方正仿宋_GBK" w:cs="Times New Roman"/>
          <w:b w:val="0"/>
          <w:bCs w:val="0"/>
          <w:kern w:val="0"/>
          <w:sz w:val="32"/>
          <w:szCs w:val="32"/>
          <w:shd w:val="clear" w:color="auto" w:fill="FFFFFF"/>
          <w:lang w:val="zh-CN"/>
        </w:rPr>
      </w:pPr>
      <w:r>
        <w:rPr>
          <w:rFonts w:hint="default" w:ascii="Times New Roman" w:hAnsi="Times New Roman" w:eastAsia="方正仿宋_GBK" w:cs="Times New Roman"/>
          <w:b w:val="0"/>
          <w:bCs w:val="0"/>
          <w:kern w:val="0"/>
          <w:sz w:val="32"/>
          <w:szCs w:val="32"/>
          <w:shd w:val="clear" w:color="auto" w:fill="FFFFFF"/>
          <w:lang w:val="zh-CN"/>
        </w:rPr>
        <w:t>2.预算管理</w:t>
      </w:r>
    </w:p>
    <w:p>
      <w:pPr>
        <w:pStyle w:val="18"/>
        <w:pageBreakBefore w:val="0"/>
        <w:shd w:val="clear" w:color="auto" w:fill="FFFFFF"/>
        <w:kinsoku/>
        <w:wordWrap/>
        <w:overflowPunct/>
        <w:topLinePunct w:val="0"/>
        <w:autoSpaceDE/>
        <w:autoSpaceDN/>
        <w:bidi w:val="0"/>
        <w:spacing w:before="0" w:beforeAutospacing="0" w:after="0" w:afterAutospacing="0" w:line="240" w:lineRule="auto"/>
        <w:ind w:left="0" w:right="0" w:firstLine="640" w:firstLineChars="200"/>
        <w:jc w:val="both"/>
        <w:textAlignment w:val="auto"/>
        <w:rPr>
          <w:rFonts w:hint="default" w:ascii="Times New Roman" w:hAnsi="Times New Roman" w:eastAsia="方正仿宋_GBK" w:cs="Times New Roman"/>
          <w:color w:val="0C0C0C"/>
          <w:kern w:val="2"/>
          <w:sz w:val="32"/>
          <w:szCs w:val="32"/>
          <w:shd w:val="clear" w:color="auto" w:fill="FFFFFF"/>
        </w:rPr>
      </w:pPr>
      <w:r>
        <w:rPr>
          <w:rFonts w:hint="default" w:ascii="Times New Roman" w:hAnsi="Times New Roman" w:eastAsia="方正仿宋_GBK" w:cs="Times New Roman"/>
          <w:color w:val="333333"/>
          <w:kern w:val="2"/>
          <w:sz w:val="32"/>
          <w:szCs w:val="32"/>
          <w:shd w:val="clear" w:color="auto" w:fill="FFFFFF"/>
        </w:rPr>
        <w:t>（</w:t>
      </w:r>
      <w:r>
        <w:rPr>
          <w:rFonts w:hint="default" w:ascii="Times New Roman" w:hAnsi="Times New Roman" w:eastAsia="方正仿宋_GBK" w:cs="Times New Roman"/>
          <w:color w:val="0C0C0C"/>
          <w:kern w:val="2"/>
          <w:sz w:val="32"/>
          <w:szCs w:val="32"/>
          <w:shd w:val="clear" w:color="auto" w:fill="FFFFFF"/>
        </w:rPr>
        <w:t>1）预算编制质量。20</w:t>
      </w:r>
      <w:r>
        <w:rPr>
          <w:rFonts w:hint="default" w:ascii="Times New Roman" w:hAnsi="Times New Roman" w:eastAsia="方正仿宋_GBK" w:cs="Times New Roman"/>
          <w:color w:val="0C0C0C"/>
          <w:kern w:val="2"/>
          <w:sz w:val="32"/>
          <w:szCs w:val="32"/>
          <w:shd w:val="clear" w:color="auto" w:fill="FFFFFF"/>
          <w:lang w:val="en-US" w:eastAsia="zh-CN"/>
        </w:rPr>
        <w:t>24</w:t>
      </w:r>
      <w:r>
        <w:rPr>
          <w:rFonts w:hint="default" w:ascii="Times New Roman" w:hAnsi="Times New Roman" w:eastAsia="方正仿宋_GBK" w:cs="Times New Roman"/>
          <w:color w:val="0C0C0C"/>
          <w:kern w:val="2"/>
          <w:sz w:val="32"/>
          <w:szCs w:val="32"/>
          <w:shd w:val="clear" w:color="auto" w:fill="FFFFFF"/>
        </w:rPr>
        <w:t>年度，</w:t>
      </w:r>
      <w:r>
        <w:rPr>
          <w:rFonts w:hint="default" w:ascii="Times New Roman" w:hAnsi="Times New Roman" w:eastAsia="方正仿宋_GBK" w:cs="Times New Roman"/>
          <w:color w:val="0C0C0C"/>
          <w:kern w:val="2"/>
          <w:sz w:val="32"/>
          <w:szCs w:val="32"/>
          <w:shd w:val="clear" w:color="auto" w:fill="FFFFFF"/>
          <w:lang w:eastAsia="zh-CN"/>
        </w:rPr>
        <w:t>县</w:t>
      </w:r>
      <w:r>
        <w:rPr>
          <w:rFonts w:hint="default" w:ascii="Times New Roman" w:hAnsi="Times New Roman" w:eastAsia="方正仿宋_GBK" w:cs="Times New Roman"/>
          <w:color w:val="0C0C0C"/>
          <w:kern w:val="2"/>
          <w:sz w:val="32"/>
          <w:szCs w:val="32"/>
          <w:shd w:val="clear" w:color="auto" w:fill="FFFFFF"/>
        </w:rPr>
        <w:t>委政法委财政拨款年初预算483.56万元、实际执行</w:t>
      </w:r>
      <w:r>
        <w:rPr>
          <w:rFonts w:hint="default" w:ascii="Times New Roman" w:hAnsi="Times New Roman" w:eastAsia="方正仿宋_GBK" w:cs="Times New Roman"/>
          <w:color w:val="0C0C0C"/>
          <w:kern w:val="2"/>
          <w:sz w:val="32"/>
          <w:szCs w:val="32"/>
          <w:shd w:val="clear" w:color="auto" w:fill="FFFFFF"/>
          <w:lang w:val="en-US" w:eastAsia="zh-CN"/>
        </w:rPr>
        <w:t xml:space="preserve">517.66 </w:t>
      </w:r>
      <w:r>
        <w:rPr>
          <w:rFonts w:hint="default" w:ascii="Times New Roman" w:hAnsi="Times New Roman" w:eastAsia="方正仿宋_GBK" w:cs="Times New Roman"/>
          <w:color w:val="0C0C0C"/>
          <w:kern w:val="2"/>
          <w:sz w:val="32"/>
          <w:szCs w:val="32"/>
          <w:shd w:val="clear" w:color="auto" w:fill="FFFFFF"/>
        </w:rPr>
        <w:t>万元，</w:t>
      </w:r>
      <w:r>
        <w:rPr>
          <w:rFonts w:hint="default" w:ascii="Times New Roman" w:hAnsi="Times New Roman" w:eastAsia="方正仿宋_GBK" w:cs="Times New Roman"/>
          <w:color w:val="0C0C0C"/>
          <w:kern w:val="2"/>
          <w:sz w:val="32"/>
          <w:szCs w:val="32"/>
          <w:shd w:val="clear" w:color="auto" w:fill="FFFFFF"/>
          <w:lang w:val="en-US" w:eastAsia="zh-CN"/>
        </w:rPr>
        <w:t>增加34.10万元</w:t>
      </w:r>
      <w:r>
        <w:rPr>
          <w:rFonts w:hint="default" w:ascii="Times New Roman" w:hAnsi="Times New Roman" w:eastAsia="方正仿宋_GBK" w:cs="Times New Roman"/>
          <w:color w:val="0C0C0C"/>
          <w:kern w:val="2"/>
          <w:sz w:val="32"/>
          <w:szCs w:val="32"/>
          <w:shd w:val="clear" w:color="auto" w:fill="FFFFFF"/>
        </w:rPr>
        <w:t>均为中途追加资金。</w:t>
      </w:r>
    </w:p>
    <w:p>
      <w:pPr>
        <w:pStyle w:val="18"/>
        <w:pageBreakBefore w:val="0"/>
        <w:shd w:val="clear" w:color="auto" w:fill="FFFFFF"/>
        <w:kinsoku/>
        <w:wordWrap/>
        <w:overflowPunct/>
        <w:topLinePunct w:val="0"/>
        <w:autoSpaceDE/>
        <w:autoSpaceDN/>
        <w:bidi w:val="0"/>
        <w:spacing w:before="0" w:beforeAutospacing="0" w:after="0" w:afterAutospacing="0" w:line="240" w:lineRule="auto"/>
        <w:ind w:left="0" w:right="0" w:firstLine="320" w:firstLineChars="100"/>
        <w:jc w:val="both"/>
        <w:textAlignment w:val="auto"/>
        <w:rPr>
          <w:rFonts w:hint="default" w:ascii="Times New Roman" w:hAnsi="Times New Roman" w:eastAsia="方正仿宋_GBK" w:cs="Times New Roman"/>
          <w:color w:val="333333"/>
          <w:kern w:val="2"/>
          <w:sz w:val="32"/>
          <w:szCs w:val="32"/>
          <w:shd w:val="clear" w:color="auto" w:fill="FFFFFF"/>
        </w:rPr>
      </w:pPr>
      <w:r>
        <w:rPr>
          <w:rFonts w:hint="default" w:ascii="Times New Roman" w:hAnsi="Times New Roman" w:eastAsia="方正仿宋_GBK" w:cs="Times New Roman"/>
          <w:color w:val="333333"/>
          <w:kern w:val="2"/>
          <w:sz w:val="32"/>
          <w:szCs w:val="32"/>
          <w:shd w:val="clear" w:color="auto" w:fill="FFFFFF"/>
        </w:rPr>
        <w:t>（2）单位收入统筹。</w:t>
      </w:r>
      <w:r>
        <w:rPr>
          <w:rFonts w:hint="default" w:ascii="Times New Roman" w:hAnsi="Times New Roman" w:eastAsia="方正仿宋_GBK" w:cs="Times New Roman"/>
          <w:color w:val="333333"/>
          <w:kern w:val="2"/>
          <w:sz w:val="32"/>
          <w:szCs w:val="32"/>
          <w:shd w:val="clear" w:color="auto" w:fill="FFFFFF"/>
          <w:lang w:eastAsia="zh-CN"/>
        </w:rPr>
        <w:t>县</w:t>
      </w:r>
      <w:r>
        <w:rPr>
          <w:rFonts w:hint="default" w:ascii="Times New Roman" w:hAnsi="Times New Roman" w:eastAsia="方正仿宋_GBK" w:cs="Times New Roman"/>
          <w:color w:val="333333"/>
          <w:kern w:val="2"/>
          <w:sz w:val="32"/>
          <w:szCs w:val="32"/>
          <w:shd w:val="clear" w:color="auto" w:fill="FFFFFF"/>
        </w:rPr>
        <w:t>委政法委属于财政全额保障预算单位，202</w:t>
      </w:r>
      <w:r>
        <w:rPr>
          <w:rFonts w:hint="default" w:ascii="Times New Roman" w:hAnsi="Times New Roman" w:eastAsia="方正仿宋_GBK" w:cs="Times New Roman"/>
          <w:color w:val="333333"/>
          <w:kern w:val="2"/>
          <w:sz w:val="32"/>
          <w:szCs w:val="32"/>
          <w:shd w:val="clear" w:color="auto" w:fill="FFFFFF"/>
          <w:lang w:val="en-US" w:eastAsia="zh-CN"/>
        </w:rPr>
        <w:t>4</w:t>
      </w:r>
      <w:r>
        <w:rPr>
          <w:rFonts w:hint="default" w:ascii="Times New Roman" w:hAnsi="Times New Roman" w:eastAsia="方正仿宋_GBK" w:cs="Times New Roman"/>
          <w:color w:val="333333"/>
          <w:kern w:val="2"/>
          <w:sz w:val="32"/>
          <w:szCs w:val="32"/>
          <w:shd w:val="clear" w:color="auto" w:fill="FFFFFF"/>
        </w:rPr>
        <w:t>年度无自有收入预算和支持。</w:t>
      </w:r>
    </w:p>
    <w:p>
      <w:pPr>
        <w:pStyle w:val="18"/>
        <w:pageBreakBefore w:val="0"/>
        <w:shd w:val="clear" w:color="auto" w:fill="FFFFFF"/>
        <w:kinsoku/>
        <w:wordWrap/>
        <w:overflowPunct/>
        <w:topLinePunct w:val="0"/>
        <w:autoSpaceDE/>
        <w:autoSpaceDN/>
        <w:bidi w:val="0"/>
        <w:spacing w:before="0" w:beforeAutospacing="0" w:after="0" w:afterAutospacing="0" w:line="240" w:lineRule="auto"/>
        <w:ind w:left="0" w:right="0" w:firstLine="480"/>
        <w:jc w:val="both"/>
        <w:textAlignment w:val="auto"/>
        <w:rPr>
          <w:rFonts w:hint="default" w:ascii="Times New Roman" w:hAnsi="Times New Roman" w:eastAsia="方正仿宋_GBK" w:cs="Times New Roman"/>
          <w:color w:val="0C0C0C"/>
          <w:kern w:val="2"/>
          <w:sz w:val="32"/>
          <w:szCs w:val="32"/>
          <w:shd w:val="clear" w:color="auto" w:fill="FFFFFF"/>
        </w:rPr>
      </w:pPr>
      <w:r>
        <w:rPr>
          <w:rFonts w:hint="default" w:ascii="Times New Roman" w:hAnsi="Times New Roman" w:eastAsia="方正仿宋_GBK" w:cs="Times New Roman"/>
          <w:color w:val="0C0C0C"/>
          <w:kern w:val="2"/>
          <w:sz w:val="32"/>
          <w:szCs w:val="32"/>
          <w:shd w:val="clear" w:color="auto" w:fill="FFFFFF"/>
        </w:rPr>
        <w:t>（3）支出执行进度。1-</w:t>
      </w:r>
      <w:r>
        <w:rPr>
          <w:rFonts w:hint="default" w:ascii="Times New Roman" w:hAnsi="Times New Roman" w:eastAsia="方正仿宋_GBK" w:cs="Times New Roman"/>
          <w:color w:val="0C0C0C"/>
          <w:kern w:val="2"/>
          <w:sz w:val="32"/>
          <w:szCs w:val="32"/>
          <w:shd w:val="clear" w:color="auto" w:fill="FFFFFF"/>
          <w:lang w:val="en-US" w:eastAsia="zh-CN"/>
        </w:rPr>
        <w:t>12</w:t>
      </w:r>
      <w:r>
        <w:rPr>
          <w:rFonts w:hint="default" w:ascii="Times New Roman" w:hAnsi="Times New Roman" w:eastAsia="方正仿宋_GBK" w:cs="Times New Roman"/>
          <w:color w:val="0C0C0C"/>
          <w:kern w:val="2"/>
          <w:sz w:val="32"/>
          <w:szCs w:val="32"/>
          <w:shd w:val="clear" w:color="auto" w:fill="FFFFFF"/>
        </w:rPr>
        <w:t>月部门预算</w:t>
      </w:r>
      <w:r>
        <w:rPr>
          <w:rFonts w:hint="default" w:ascii="Times New Roman" w:hAnsi="Times New Roman" w:eastAsia="方正仿宋_GBK" w:cs="Times New Roman"/>
          <w:color w:val="0C0C0C"/>
          <w:kern w:val="2"/>
          <w:sz w:val="32"/>
          <w:szCs w:val="32"/>
          <w:shd w:val="clear" w:color="auto" w:fill="FFFFFF"/>
          <w:lang w:val="en-US" w:eastAsia="zh-CN"/>
        </w:rPr>
        <w:t>517.66</w:t>
      </w:r>
      <w:r>
        <w:rPr>
          <w:rFonts w:hint="default" w:ascii="Times New Roman" w:hAnsi="Times New Roman" w:eastAsia="方正仿宋_GBK" w:cs="Times New Roman"/>
          <w:color w:val="0C0C0C"/>
          <w:kern w:val="2"/>
          <w:sz w:val="32"/>
          <w:szCs w:val="32"/>
          <w:shd w:val="clear" w:color="auto" w:fill="FFFFFF"/>
        </w:rPr>
        <w:t>万元，支出数</w:t>
      </w:r>
      <w:r>
        <w:rPr>
          <w:rFonts w:hint="default" w:ascii="Times New Roman" w:hAnsi="Times New Roman" w:eastAsia="方正仿宋_GBK" w:cs="Times New Roman"/>
          <w:color w:val="0C0C0C"/>
          <w:kern w:val="2"/>
          <w:sz w:val="32"/>
          <w:szCs w:val="32"/>
          <w:shd w:val="clear" w:color="auto" w:fill="FFFFFF"/>
          <w:lang w:val="en-US" w:eastAsia="zh-CN"/>
        </w:rPr>
        <w:t>517.66</w:t>
      </w:r>
      <w:r>
        <w:rPr>
          <w:rFonts w:hint="default" w:ascii="Times New Roman" w:hAnsi="Times New Roman" w:eastAsia="方正仿宋_GBK" w:cs="Times New Roman"/>
          <w:color w:val="0C0C0C"/>
          <w:kern w:val="2"/>
          <w:sz w:val="32"/>
          <w:szCs w:val="32"/>
          <w:shd w:val="clear" w:color="auto" w:fill="FFFFFF"/>
        </w:rPr>
        <w:t>万元，执行率</w:t>
      </w:r>
      <w:r>
        <w:rPr>
          <w:rFonts w:hint="default" w:ascii="Times New Roman" w:hAnsi="Times New Roman" w:eastAsia="方正仿宋_GBK" w:cs="Times New Roman"/>
          <w:color w:val="0C0C0C"/>
          <w:kern w:val="2"/>
          <w:sz w:val="32"/>
          <w:szCs w:val="32"/>
          <w:shd w:val="clear" w:color="auto" w:fill="FFFFFF"/>
          <w:lang w:val="en-US" w:eastAsia="zh-CN"/>
        </w:rPr>
        <w:t>100</w:t>
      </w:r>
      <w:r>
        <w:rPr>
          <w:rFonts w:hint="default" w:ascii="Times New Roman" w:hAnsi="Times New Roman" w:eastAsia="方正仿宋_GBK" w:cs="Times New Roman"/>
          <w:color w:val="0C0C0C"/>
          <w:kern w:val="2"/>
          <w:sz w:val="32"/>
          <w:szCs w:val="32"/>
          <w:shd w:val="clear" w:color="auto" w:fill="FFFFFF"/>
        </w:rPr>
        <w:t>%。</w:t>
      </w:r>
    </w:p>
    <w:p>
      <w:pPr>
        <w:pStyle w:val="18"/>
        <w:pageBreakBefore w:val="0"/>
        <w:shd w:val="clear" w:color="auto" w:fill="FFFFFF"/>
        <w:kinsoku/>
        <w:wordWrap/>
        <w:overflowPunct/>
        <w:topLinePunct w:val="0"/>
        <w:autoSpaceDE/>
        <w:autoSpaceDN/>
        <w:bidi w:val="0"/>
        <w:spacing w:before="0" w:beforeAutospacing="0" w:after="0" w:afterAutospacing="0" w:line="240" w:lineRule="auto"/>
        <w:ind w:left="0" w:right="0" w:firstLine="480"/>
        <w:jc w:val="both"/>
        <w:textAlignment w:val="auto"/>
        <w:rPr>
          <w:rFonts w:hint="default" w:ascii="Times New Roman" w:hAnsi="Times New Roman" w:eastAsia="方正仿宋_GBK" w:cs="Times New Roman"/>
          <w:color w:val="0C0C0C"/>
          <w:kern w:val="2"/>
          <w:sz w:val="32"/>
          <w:szCs w:val="32"/>
          <w:shd w:val="clear" w:color="auto" w:fill="FFFFFF"/>
        </w:rPr>
      </w:pPr>
      <w:r>
        <w:rPr>
          <w:rFonts w:hint="default" w:ascii="Times New Roman" w:hAnsi="Times New Roman" w:eastAsia="方正仿宋_GBK" w:cs="Times New Roman"/>
          <w:color w:val="333333"/>
          <w:kern w:val="2"/>
          <w:sz w:val="32"/>
          <w:szCs w:val="32"/>
          <w:shd w:val="clear" w:color="auto" w:fill="FFFFFF"/>
        </w:rPr>
        <w:t>（</w:t>
      </w:r>
      <w:r>
        <w:rPr>
          <w:rFonts w:hint="default" w:ascii="Times New Roman" w:hAnsi="Times New Roman" w:eastAsia="方正仿宋_GBK" w:cs="Times New Roman"/>
          <w:color w:val="0C0C0C"/>
          <w:kern w:val="2"/>
          <w:sz w:val="32"/>
          <w:szCs w:val="32"/>
          <w:shd w:val="clear" w:color="auto" w:fill="FFFFFF"/>
        </w:rPr>
        <w:t>4）预算年终结余。202</w:t>
      </w:r>
      <w:r>
        <w:rPr>
          <w:rFonts w:hint="default" w:ascii="Times New Roman" w:hAnsi="Times New Roman" w:eastAsia="方正仿宋_GBK" w:cs="Times New Roman"/>
          <w:color w:val="0C0C0C"/>
          <w:kern w:val="2"/>
          <w:sz w:val="32"/>
          <w:szCs w:val="32"/>
          <w:shd w:val="clear" w:color="auto" w:fill="FFFFFF"/>
          <w:lang w:val="en-US" w:eastAsia="zh-CN"/>
        </w:rPr>
        <w:t>4</w:t>
      </w:r>
      <w:r>
        <w:rPr>
          <w:rFonts w:hint="default" w:ascii="Times New Roman" w:hAnsi="Times New Roman" w:eastAsia="方正仿宋_GBK" w:cs="Times New Roman"/>
          <w:color w:val="0C0C0C"/>
          <w:kern w:val="2"/>
          <w:sz w:val="32"/>
          <w:szCs w:val="32"/>
          <w:shd w:val="clear" w:color="auto" w:fill="FFFFFF"/>
        </w:rPr>
        <w:t>年度，</w:t>
      </w:r>
      <w:r>
        <w:rPr>
          <w:rFonts w:hint="default" w:ascii="Times New Roman" w:hAnsi="Times New Roman" w:eastAsia="方正仿宋_GBK" w:cs="Times New Roman"/>
          <w:color w:val="0C0C0C"/>
          <w:kern w:val="2"/>
          <w:sz w:val="32"/>
          <w:szCs w:val="32"/>
          <w:shd w:val="clear" w:color="auto" w:fill="FFFFFF"/>
          <w:lang w:eastAsia="zh-CN"/>
        </w:rPr>
        <w:t>县</w:t>
      </w:r>
      <w:r>
        <w:rPr>
          <w:rFonts w:hint="default" w:ascii="Times New Roman" w:hAnsi="Times New Roman" w:eastAsia="方正仿宋_GBK" w:cs="Times New Roman"/>
          <w:color w:val="0C0C0C"/>
          <w:kern w:val="2"/>
          <w:sz w:val="32"/>
          <w:szCs w:val="32"/>
          <w:shd w:val="clear" w:color="auto" w:fill="FFFFFF"/>
        </w:rPr>
        <w:t>委政法委全年预算</w:t>
      </w:r>
      <w:r>
        <w:rPr>
          <w:rFonts w:hint="default" w:ascii="Times New Roman" w:hAnsi="Times New Roman" w:eastAsia="方正仿宋_GBK" w:cs="Times New Roman"/>
          <w:color w:val="0C0C0C"/>
          <w:kern w:val="2"/>
          <w:sz w:val="32"/>
          <w:szCs w:val="32"/>
          <w:shd w:val="clear" w:color="auto" w:fill="FFFFFF"/>
          <w:lang w:val="en-US" w:eastAsia="zh-CN"/>
        </w:rPr>
        <w:t>517.66</w:t>
      </w:r>
      <w:r>
        <w:rPr>
          <w:rFonts w:hint="default" w:ascii="Times New Roman" w:hAnsi="Times New Roman" w:eastAsia="方正仿宋_GBK" w:cs="Times New Roman"/>
          <w:color w:val="0C0C0C"/>
          <w:kern w:val="2"/>
          <w:sz w:val="32"/>
          <w:szCs w:val="32"/>
          <w:shd w:val="clear" w:color="auto" w:fill="FFFFFF"/>
        </w:rPr>
        <w:t>万元，决算支出</w:t>
      </w:r>
      <w:r>
        <w:rPr>
          <w:rFonts w:hint="default" w:ascii="Times New Roman" w:hAnsi="Times New Roman" w:eastAsia="方正仿宋_GBK" w:cs="Times New Roman"/>
          <w:color w:val="0C0C0C"/>
          <w:kern w:val="2"/>
          <w:sz w:val="32"/>
          <w:szCs w:val="32"/>
          <w:shd w:val="clear" w:color="auto" w:fill="FFFFFF"/>
          <w:lang w:val="en-US" w:eastAsia="zh-CN"/>
        </w:rPr>
        <w:t>517.66</w:t>
      </w:r>
      <w:r>
        <w:rPr>
          <w:rFonts w:hint="default" w:ascii="Times New Roman" w:hAnsi="Times New Roman" w:eastAsia="方正仿宋_GBK" w:cs="Times New Roman"/>
          <w:color w:val="0C0C0C"/>
          <w:kern w:val="2"/>
          <w:sz w:val="32"/>
          <w:szCs w:val="32"/>
          <w:shd w:val="clear" w:color="auto" w:fill="FFFFFF"/>
        </w:rPr>
        <w:t>万元，部门整体预算结余率为0。</w:t>
      </w:r>
    </w:p>
    <w:p>
      <w:pPr>
        <w:pStyle w:val="18"/>
        <w:pageBreakBefore w:val="0"/>
        <w:shd w:val="clear" w:color="auto" w:fill="FFFFFF"/>
        <w:kinsoku/>
        <w:wordWrap/>
        <w:overflowPunct/>
        <w:topLinePunct w:val="0"/>
        <w:autoSpaceDE/>
        <w:autoSpaceDN/>
        <w:bidi w:val="0"/>
        <w:spacing w:before="0" w:beforeAutospacing="0" w:after="0" w:afterAutospacing="0" w:line="240" w:lineRule="auto"/>
        <w:ind w:left="0" w:right="0" w:firstLine="320" w:firstLineChars="100"/>
        <w:jc w:val="both"/>
        <w:textAlignment w:val="auto"/>
        <w:rPr>
          <w:rFonts w:hint="default" w:ascii="Times New Roman" w:hAnsi="Times New Roman" w:eastAsia="方正仿宋_GBK" w:cs="Times New Roman"/>
          <w:color w:val="0C0C0C"/>
          <w:kern w:val="2"/>
          <w:sz w:val="32"/>
          <w:szCs w:val="32"/>
          <w:shd w:val="clear" w:color="auto" w:fill="FFFFFF"/>
        </w:rPr>
      </w:pPr>
      <w:r>
        <w:rPr>
          <w:rFonts w:hint="default" w:ascii="Times New Roman" w:hAnsi="Times New Roman" w:eastAsia="方正仿宋_GBK" w:cs="Times New Roman"/>
          <w:color w:val="0C0C0C"/>
          <w:kern w:val="2"/>
          <w:sz w:val="32"/>
          <w:szCs w:val="32"/>
          <w:shd w:val="clear" w:color="auto" w:fill="FFFFFF"/>
        </w:rPr>
        <w:t>（5）严控一般性支出。202</w:t>
      </w:r>
      <w:r>
        <w:rPr>
          <w:rFonts w:hint="default" w:ascii="Times New Roman" w:hAnsi="Times New Roman" w:eastAsia="方正仿宋_GBK" w:cs="Times New Roman"/>
          <w:color w:val="0C0C0C"/>
          <w:kern w:val="2"/>
          <w:sz w:val="32"/>
          <w:szCs w:val="32"/>
          <w:shd w:val="clear" w:color="auto" w:fill="FFFFFF"/>
          <w:lang w:val="en-US" w:eastAsia="zh-CN"/>
        </w:rPr>
        <w:t>3</w:t>
      </w:r>
      <w:r>
        <w:rPr>
          <w:rFonts w:hint="default" w:ascii="Times New Roman" w:hAnsi="Times New Roman" w:eastAsia="方正仿宋_GBK" w:cs="Times New Roman"/>
          <w:color w:val="0C0C0C"/>
          <w:kern w:val="2"/>
          <w:sz w:val="32"/>
          <w:szCs w:val="32"/>
          <w:shd w:val="clear" w:color="auto" w:fill="FFFFFF"/>
        </w:rPr>
        <w:t>年</w:t>
      </w:r>
      <w:r>
        <w:rPr>
          <w:rFonts w:hint="default" w:ascii="Times New Roman" w:hAnsi="Times New Roman" w:eastAsia="方正仿宋_GBK" w:cs="Times New Roman"/>
          <w:color w:val="0C0C0C"/>
          <w:kern w:val="2"/>
          <w:sz w:val="32"/>
          <w:szCs w:val="32"/>
          <w:shd w:val="clear" w:color="auto" w:fill="FFFFFF"/>
          <w:lang w:eastAsia="zh-CN"/>
        </w:rPr>
        <w:t>县</w:t>
      </w:r>
      <w:r>
        <w:rPr>
          <w:rFonts w:hint="default" w:ascii="Times New Roman" w:hAnsi="Times New Roman" w:eastAsia="方正仿宋_GBK" w:cs="Times New Roman"/>
          <w:color w:val="0C0C0C"/>
          <w:kern w:val="2"/>
          <w:sz w:val="32"/>
          <w:szCs w:val="32"/>
          <w:shd w:val="clear" w:color="auto" w:fill="FFFFFF"/>
        </w:rPr>
        <w:t>委政法委财政拨款</w:t>
      </w:r>
      <w:r>
        <w:rPr>
          <w:rFonts w:hint="default" w:ascii="Times New Roman" w:hAnsi="Times New Roman" w:eastAsia="方正仿宋_GBK" w:cs="Times New Roman"/>
          <w:color w:val="0C0C0C"/>
          <w:kern w:val="2"/>
          <w:sz w:val="32"/>
          <w:szCs w:val="32"/>
          <w:shd w:val="clear" w:color="auto" w:fill="FFFFFF"/>
          <w:lang w:val="en-US" w:eastAsia="zh-CN"/>
        </w:rPr>
        <w:t>决</w:t>
      </w:r>
      <w:r>
        <w:rPr>
          <w:rFonts w:hint="default" w:ascii="Times New Roman" w:hAnsi="Times New Roman" w:eastAsia="方正仿宋_GBK" w:cs="Times New Roman"/>
          <w:color w:val="0C0C0C"/>
          <w:kern w:val="2"/>
          <w:sz w:val="32"/>
          <w:szCs w:val="32"/>
          <w:shd w:val="clear" w:color="auto" w:fill="FFFFFF"/>
        </w:rPr>
        <w:t>算</w:t>
      </w:r>
      <w:r>
        <w:rPr>
          <w:rFonts w:hint="default" w:ascii="Times New Roman" w:hAnsi="Times New Roman" w:eastAsia="方正仿宋_GBK" w:cs="Times New Roman"/>
          <w:color w:val="0C0C0C"/>
          <w:kern w:val="2"/>
          <w:sz w:val="32"/>
          <w:szCs w:val="32"/>
          <w:shd w:val="clear" w:color="auto" w:fill="FFFFFF"/>
          <w:lang w:val="en-US" w:eastAsia="zh-CN"/>
        </w:rPr>
        <w:t>数570.55</w:t>
      </w:r>
      <w:r>
        <w:rPr>
          <w:rFonts w:hint="default" w:ascii="Times New Roman" w:hAnsi="Times New Roman" w:eastAsia="方正仿宋_GBK" w:cs="Times New Roman"/>
          <w:color w:val="0C0C0C"/>
          <w:kern w:val="2"/>
          <w:sz w:val="32"/>
          <w:szCs w:val="32"/>
          <w:shd w:val="clear" w:color="auto" w:fill="FFFFFF"/>
        </w:rPr>
        <w:t>万元，202</w:t>
      </w:r>
      <w:r>
        <w:rPr>
          <w:rFonts w:hint="default" w:ascii="Times New Roman" w:hAnsi="Times New Roman" w:eastAsia="方正仿宋_GBK" w:cs="Times New Roman"/>
          <w:color w:val="0C0C0C"/>
          <w:kern w:val="2"/>
          <w:sz w:val="32"/>
          <w:szCs w:val="32"/>
          <w:shd w:val="clear" w:color="auto" w:fill="FFFFFF"/>
          <w:lang w:val="en-US" w:eastAsia="zh-CN"/>
        </w:rPr>
        <w:t>4</w:t>
      </w:r>
      <w:r>
        <w:rPr>
          <w:rFonts w:hint="default" w:ascii="Times New Roman" w:hAnsi="Times New Roman" w:eastAsia="方正仿宋_GBK" w:cs="Times New Roman"/>
          <w:color w:val="0C0C0C"/>
          <w:kern w:val="2"/>
          <w:sz w:val="32"/>
          <w:szCs w:val="32"/>
          <w:shd w:val="clear" w:color="auto" w:fill="FFFFFF"/>
        </w:rPr>
        <w:t>年度，</w:t>
      </w:r>
      <w:r>
        <w:rPr>
          <w:rFonts w:hint="default" w:ascii="Times New Roman" w:hAnsi="Times New Roman" w:eastAsia="方正仿宋_GBK" w:cs="Times New Roman"/>
          <w:color w:val="0C0C0C"/>
          <w:kern w:val="2"/>
          <w:sz w:val="32"/>
          <w:szCs w:val="32"/>
          <w:shd w:val="clear" w:color="auto" w:fill="FFFFFF"/>
          <w:lang w:val="en-US" w:eastAsia="zh-CN"/>
        </w:rPr>
        <w:t>县</w:t>
      </w:r>
      <w:r>
        <w:rPr>
          <w:rFonts w:hint="default" w:ascii="Times New Roman" w:hAnsi="Times New Roman" w:eastAsia="方正仿宋_GBK" w:cs="Times New Roman"/>
          <w:color w:val="0C0C0C"/>
          <w:kern w:val="2"/>
          <w:sz w:val="32"/>
          <w:szCs w:val="32"/>
          <w:shd w:val="clear" w:color="auto" w:fill="FFFFFF"/>
        </w:rPr>
        <w:t>委政法委财政拨款</w:t>
      </w:r>
      <w:r>
        <w:rPr>
          <w:rFonts w:hint="default" w:ascii="Times New Roman" w:hAnsi="Times New Roman" w:eastAsia="方正仿宋_GBK" w:cs="Times New Roman"/>
          <w:color w:val="0C0C0C"/>
          <w:kern w:val="2"/>
          <w:sz w:val="32"/>
          <w:szCs w:val="32"/>
          <w:shd w:val="clear" w:color="auto" w:fill="FFFFFF"/>
          <w:lang w:val="en-US" w:eastAsia="zh-CN"/>
        </w:rPr>
        <w:t>决算数517.66</w:t>
      </w:r>
      <w:r>
        <w:rPr>
          <w:rFonts w:hint="default" w:ascii="Times New Roman" w:hAnsi="Times New Roman" w:eastAsia="方正仿宋_GBK" w:cs="Times New Roman"/>
          <w:color w:val="0C0C0C"/>
          <w:kern w:val="2"/>
          <w:sz w:val="32"/>
          <w:szCs w:val="32"/>
          <w:shd w:val="clear" w:color="auto" w:fill="FFFFFF"/>
        </w:rPr>
        <w:t>万元，与上年相比，压减</w:t>
      </w:r>
      <w:r>
        <w:rPr>
          <w:rFonts w:hint="default" w:ascii="Times New Roman" w:hAnsi="Times New Roman" w:eastAsia="方正仿宋_GBK" w:cs="Times New Roman"/>
          <w:color w:val="0C0C0C"/>
          <w:kern w:val="2"/>
          <w:sz w:val="32"/>
          <w:szCs w:val="32"/>
          <w:shd w:val="clear" w:color="auto" w:fill="FFFFFF"/>
          <w:lang w:val="en-US" w:eastAsia="zh-CN"/>
        </w:rPr>
        <w:t>52.89</w:t>
      </w:r>
      <w:r>
        <w:rPr>
          <w:rFonts w:hint="default" w:ascii="Times New Roman" w:hAnsi="Times New Roman" w:eastAsia="方正仿宋_GBK" w:cs="Times New Roman"/>
          <w:color w:val="0C0C0C"/>
          <w:kern w:val="2"/>
          <w:sz w:val="32"/>
          <w:szCs w:val="32"/>
          <w:shd w:val="clear" w:color="auto" w:fill="FFFFFF"/>
        </w:rPr>
        <w:t>万元，压减率为</w:t>
      </w:r>
      <w:r>
        <w:rPr>
          <w:rFonts w:hint="default" w:ascii="Times New Roman" w:hAnsi="Times New Roman" w:eastAsia="方正仿宋_GBK" w:cs="Times New Roman"/>
          <w:color w:val="0C0C0C"/>
          <w:kern w:val="2"/>
          <w:sz w:val="32"/>
          <w:szCs w:val="32"/>
          <w:shd w:val="clear" w:color="auto" w:fill="FFFFFF"/>
          <w:lang w:val="en-US" w:eastAsia="zh-CN"/>
        </w:rPr>
        <w:t>9.27</w:t>
      </w:r>
      <w:r>
        <w:rPr>
          <w:rFonts w:hint="default" w:ascii="Times New Roman" w:hAnsi="Times New Roman" w:eastAsia="方正仿宋_GBK" w:cs="Times New Roman"/>
          <w:color w:val="0C0C0C"/>
          <w:kern w:val="2"/>
          <w:sz w:val="32"/>
          <w:szCs w:val="32"/>
          <w:shd w:val="clear" w:color="auto" w:fill="FFFFFF"/>
        </w:rPr>
        <w:t>%。</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3.财务管理。</w:t>
      </w:r>
      <w:r>
        <w:rPr>
          <w:rFonts w:hint="default" w:ascii="Times New Roman" w:hAnsi="Times New Roman" w:eastAsia="方正仿宋_GBK" w:cs="Times New Roman"/>
          <w:sz w:val="32"/>
          <w:szCs w:val="32"/>
          <w:lang w:eastAsia="zh-CN"/>
        </w:rPr>
        <w:t>我</w:t>
      </w:r>
      <w:r>
        <w:rPr>
          <w:rFonts w:hint="default" w:ascii="Times New Roman" w:hAnsi="Times New Roman" w:eastAsia="方正仿宋_GBK" w:cs="Times New Roman"/>
          <w:sz w:val="32"/>
          <w:szCs w:val="32"/>
        </w:rPr>
        <w:t>单位严格按照《财政总预算会计制度》和本单位财务管理制度执行，资金支付均采用“一支笔”审批制度；严格按照预算规定的支出用途使用资金；会计核算按权责发生制的确认原则按新行政单位会计制度执行。部门决算的组织、编报按程序进行并且审核已通过。</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4.资产管理。</w:t>
      </w:r>
      <w:r>
        <w:rPr>
          <w:rFonts w:hint="default" w:ascii="Times New Roman" w:hAnsi="Times New Roman" w:eastAsia="方正仿宋_GBK" w:cs="Times New Roman"/>
          <w:sz w:val="32"/>
          <w:szCs w:val="32"/>
          <w:lang w:eastAsia="zh-CN"/>
        </w:rPr>
        <w:t>我单位</w:t>
      </w:r>
      <w:r>
        <w:rPr>
          <w:rFonts w:hint="default" w:ascii="Times New Roman" w:hAnsi="Times New Roman" w:eastAsia="方正仿宋_GBK" w:cs="Times New Roman"/>
          <w:sz w:val="32"/>
          <w:szCs w:val="32"/>
        </w:rPr>
        <w:t>按照规定对单位资产的账卡管理、清查登记、统计报告及日常监督检查，单位处置资产时严格审批程序，并将资产处置费上缴财政。接受财政部门的指导和监督。</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5.采购管理。</w:t>
      </w:r>
      <w:r>
        <w:rPr>
          <w:rFonts w:hint="default" w:ascii="Times New Roman" w:hAnsi="Times New Roman" w:eastAsia="方正仿宋_GBK" w:cs="Times New Roman"/>
          <w:color w:val="0C0C0C"/>
          <w:sz w:val="32"/>
          <w:szCs w:val="32"/>
          <w:lang w:eastAsia="zh-CN"/>
        </w:rPr>
        <w:t>我单位</w:t>
      </w:r>
      <w:r>
        <w:rPr>
          <w:rFonts w:hint="default" w:ascii="Times New Roman" w:hAnsi="Times New Roman" w:eastAsia="方正仿宋_GBK" w:cs="Times New Roman"/>
          <w:color w:val="0C0C0C"/>
          <w:sz w:val="32"/>
          <w:szCs w:val="32"/>
        </w:rPr>
        <w:t>根据实际需求明确采购项目、预算及时间安排，并经领导审批后根据采购金额和性质选择采购方式。2024年采购服务支出</w:t>
      </w:r>
      <w:r>
        <w:rPr>
          <w:rFonts w:hint="default" w:ascii="Times New Roman" w:hAnsi="Times New Roman" w:eastAsia="方正仿宋_GBK" w:cs="Times New Roman"/>
          <w:color w:val="0C0C0C"/>
          <w:sz w:val="32"/>
          <w:szCs w:val="32"/>
          <w:lang w:val="en-US" w:eastAsia="zh-CN"/>
        </w:rPr>
        <w:t>13286</w:t>
      </w:r>
      <w:r>
        <w:rPr>
          <w:rFonts w:hint="default" w:ascii="Times New Roman" w:hAnsi="Times New Roman" w:eastAsia="方正仿宋_GBK" w:cs="Times New Roman"/>
          <w:color w:val="0C0C0C"/>
          <w:sz w:val="32"/>
          <w:szCs w:val="32"/>
        </w:rPr>
        <w:t>元</w:t>
      </w:r>
      <w:r>
        <w:rPr>
          <w:rFonts w:hint="default" w:ascii="Times New Roman" w:hAnsi="Times New Roman" w:eastAsia="方正仿宋_GBK" w:cs="Times New Roman"/>
          <w:sz w:val="32"/>
          <w:szCs w:val="32"/>
        </w:rPr>
        <w:t>，其中授予小微企业合同金额0万元。</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（二）部门预算项目绩效分析</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color w:val="0C0C0C"/>
          <w:sz w:val="32"/>
          <w:szCs w:val="32"/>
          <w:u w:val="none"/>
        </w:rPr>
      </w:pPr>
      <w:r>
        <w:rPr>
          <w:rFonts w:hint="default" w:ascii="Times New Roman" w:hAnsi="Times New Roman" w:eastAsia="方正仿宋_GBK" w:cs="Times New Roman"/>
          <w:color w:val="0C0C0C"/>
          <w:sz w:val="32"/>
          <w:szCs w:val="32"/>
          <w:u w:val="none"/>
        </w:rPr>
        <w:t>常年项目绩效分析。该类项目总数</w:t>
      </w:r>
      <w:r>
        <w:rPr>
          <w:rFonts w:hint="default" w:ascii="Times New Roman" w:hAnsi="Times New Roman" w:eastAsia="方正仿宋_GBK" w:cs="Times New Roman"/>
          <w:color w:val="0C0C0C"/>
          <w:sz w:val="32"/>
          <w:szCs w:val="32"/>
          <w:u w:val="none"/>
          <w:lang w:val="en-US" w:eastAsia="zh-CN"/>
        </w:rPr>
        <w:t>4</w:t>
      </w:r>
      <w:r>
        <w:rPr>
          <w:rFonts w:hint="default" w:ascii="Times New Roman" w:hAnsi="Times New Roman" w:eastAsia="方正仿宋_GBK" w:cs="Times New Roman"/>
          <w:color w:val="0C0C0C"/>
          <w:sz w:val="32"/>
          <w:szCs w:val="32"/>
          <w:u w:val="none"/>
        </w:rPr>
        <w:t>个，涉及预算总金额</w:t>
      </w:r>
      <w:r>
        <w:rPr>
          <w:rFonts w:hint="default" w:ascii="Times New Roman" w:hAnsi="Times New Roman" w:eastAsia="方正仿宋_GBK" w:cs="Times New Roman"/>
          <w:color w:val="0C0C0C"/>
          <w:sz w:val="32"/>
          <w:szCs w:val="32"/>
          <w:u w:val="none"/>
          <w:lang w:val="en-US" w:eastAsia="zh-CN"/>
        </w:rPr>
        <w:t>70.4</w:t>
      </w:r>
      <w:r>
        <w:rPr>
          <w:rFonts w:hint="default" w:ascii="Times New Roman" w:hAnsi="Times New Roman" w:eastAsia="方正仿宋_GBK" w:cs="Times New Roman"/>
          <w:color w:val="0C0C0C"/>
          <w:sz w:val="32"/>
          <w:szCs w:val="32"/>
          <w:u w:val="none"/>
        </w:rPr>
        <w:t>万元，1—12月预算执行总体进度为</w:t>
      </w:r>
      <w:r>
        <w:rPr>
          <w:rFonts w:hint="default" w:ascii="Times New Roman" w:hAnsi="Times New Roman" w:eastAsia="方正仿宋_GBK" w:cs="Times New Roman"/>
          <w:color w:val="0C0C0C"/>
          <w:sz w:val="32"/>
          <w:szCs w:val="32"/>
          <w:u w:val="none"/>
          <w:lang w:val="en-US" w:eastAsia="zh-CN"/>
        </w:rPr>
        <w:t>100</w:t>
      </w:r>
      <w:r>
        <w:rPr>
          <w:rFonts w:hint="default" w:ascii="Times New Roman" w:hAnsi="Times New Roman" w:eastAsia="方正仿宋_GBK" w:cs="Times New Roman"/>
          <w:color w:val="0C0C0C"/>
          <w:sz w:val="32"/>
          <w:szCs w:val="32"/>
          <w:u w:val="none"/>
        </w:rPr>
        <w:t>%，其中：预算结余率大于10%的项目共计</w:t>
      </w:r>
      <w:r>
        <w:rPr>
          <w:rFonts w:hint="default" w:ascii="Times New Roman" w:hAnsi="Times New Roman" w:eastAsia="方正仿宋_GBK" w:cs="Times New Roman"/>
          <w:color w:val="0C0C0C"/>
          <w:sz w:val="32"/>
          <w:szCs w:val="32"/>
          <w:u w:val="none"/>
          <w:lang w:val="en-US" w:eastAsia="zh-CN"/>
        </w:rPr>
        <w:t>0</w:t>
      </w:r>
      <w:r>
        <w:rPr>
          <w:rFonts w:hint="default" w:ascii="Times New Roman" w:hAnsi="Times New Roman" w:eastAsia="方正仿宋_GBK" w:cs="Times New Roman"/>
          <w:color w:val="0C0C0C"/>
          <w:sz w:val="32"/>
          <w:szCs w:val="32"/>
          <w:u w:val="none"/>
        </w:rPr>
        <w:t>个。</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color w:val="0C0C0C"/>
          <w:sz w:val="32"/>
          <w:szCs w:val="32"/>
          <w:u w:val="none"/>
        </w:rPr>
      </w:pPr>
      <w:r>
        <w:rPr>
          <w:rFonts w:hint="default" w:ascii="Times New Roman" w:hAnsi="Times New Roman" w:eastAsia="方正仿宋_GBK" w:cs="Times New Roman"/>
          <w:color w:val="0C0C0C"/>
          <w:sz w:val="32"/>
          <w:szCs w:val="32"/>
          <w:u w:val="none"/>
        </w:rPr>
        <w:t>阶段（含一次性）项目绩效分析。该类项目总数</w:t>
      </w:r>
      <w:r>
        <w:rPr>
          <w:rFonts w:hint="default" w:ascii="Times New Roman" w:hAnsi="Times New Roman" w:eastAsia="方正仿宋_GBK" w:cs="Times New Roman"/>
          <w:color w:val="0C0C0C"/>
          <w:sz w:val="32"/>
          <w:szCs w:val="32"/>
          <w:u w:val="none"/>
          <w:lang w:val="en-US" w:eastAsia="zh-CN"/>
        </w:rPr>
        <w:t>2</w:t>
      </w:r>
      <w:r>
        <w:rPr>
          <w:rFonts w:hint="default" w:ascii="Times New Roman" w:hAnsi="Times New Roman" w:eastAsia="方正仿宋_GBK" w:cs="Times New Roman"/>
          <w:color w:val="0C0C0C"/>
          <w:sz w:val="32"/>
          <w:szCs w:val="32"/>
          <w:u w:val="none"/>
        </w:rPr>
        <w:t xml:space="preserve"> 个，涉及预算总金额 </w:t>
      </w:r>
      <w:r>
        <w:rPr>
          <w:rFonts w:hint="default" w:ascii="Times New Roman" w:hAnsi="Times New Roman" w:eastAsia="方正仿宋_GBK" w:cs="Times New Roman"/>
          <w:color w:val="0C0C0C"/>
          <w:sz w:val="32"/>
          <w:szCs w:val="32"/>
          <w:u w:val="none"/>
          <w:lang w:val="en-US" w:eastAsia="zh-CN"/>
        </w:rPr>
        <w:t>49.8</w:t>
      </w:r>
      <w:r>
        <w:rPr>
          <w:rFonts w:hint="default" w:ascii="Times New Roman" w:hAnsi="Times New Roman" w:eastAsia="方正仿宋_GBK" w:cs="Times New Roman"/>
          <w:color w:val="0C0C0C"/>
          <w:sz w:val="32"/>
          <w:szCs w:val="32"/>
          <w:u w:val="none"/>
        </w:rPr>
        <w:t>万元，1—12月预算执行总体进度为</w:t>
      </w:r>
      <w:r>
        <w:rPr>
          <w:rFonts w:hint="default" w:ascii="Times New Roman" w:hAnsi="Times New Roman" w:eastAsia="方正仿宋_GBK" w:cs="Times New Roman"/>
          <w:color w:val="0C0C0C"/>
          <w:sz w:val="32"/>
          <w:szCs w:val="32"/>
          <w:u w:val="none"/>
          <w:lang w:val="en-US" w:eastAsia="zh-CN"/>
        </w:rPr>
        <w:t>100</w:t>
      </w:r>
      <w:r>
        <w:rPr>
          <w:rFonts w:hint="default" w:ascii="Times New Roman" w:hAnsi="Times New Roman" w:eastAsia="方正仿宋_GBK" w:cs="Times New Roman"/>
          <w:color w:val="0C0C0C"/>
          <w:sz w:val="32"/>
          <w:szCs w:val="32"/>
          <w:u w:val="none"/>
        </w:rPr>
        <w:t>%，其中：预算结余率大于10%的项目共计</w:t>
      </w:r>
      <w:r>
        <w:rPr>
          <w:rFonts w:hint="default" w:ascii="Times New Roman" w:hAnsi="Times New Roman" w:eastAsia="方正仿宋_GBK" w:cs="Times New Roman"/>
          <w:color w:val="0C0C0C"/>
          <w:sz w:val="32"/>
          <w:szCs w:val="32"/>
          <w:u w:val="none"/>
          <w:lang w:val="en-US" w:eastAsia="zh-CN"/>
        </w:rPr>
        <w:t>0</w:t>
      </w:r>
      <w:r>
        <w:rPr>
          <w:rFonts w:hint="default" w:ascii="Times New Roman" w:hAnsi="Times New Roman" w:eastAsia="方正仿宋_GBK" w:cs="Times New Roman"/>
          <w:color w:val="0C0C0C"/>
          <w:sz w:val="32"/>
          <w:szCs w:val="32"/>
          <w:u w:val="none"/>
        </w:rPr>
        <w:t>个。</w:t>
      </w:r>
    </w:p>
    <w:p>
      <w:pPr>
        <w:pageBreakBefore w:val="0"/>
        <w:numPr>
          <w:ilvl w:val="0"/>
          <w:numId w:val="2"/>
        </w:numPr>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绩效结果应用情况</w:t>
      </w:r>
    </w:p>
    <w:p>
      <w:pPr>
        <w:pageBreakBefore w:val="0"/>
        <w:numPr>
          <w:ilvl w:val="0"/>
          <w:numId w:val="0"/>
        </w:numPr>
        <w:kinsoku/>
        <w:wordWrap/>
        <w:overflowPunct/>
        <w:topLinePunct w:val="0"/>
        <w:autoSpaceDE/>
        <w:autoSpaceDN/>
        <w:bidi w:val="0"/>
        <w:spacing w:line="240" w:lineRule="auto"/>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根据年初绩效目标，参照经费管理使用要求和相应项目实施方案要求进行收支管理，做到专款专用，投入到位，发挥效益。</w:t>
      </w:r>
    </w:p>
    <w:p>
      <w:pPr>
        <w:keepNext w:val="0"/>
        <w:keepLines w:val="0"/>
        <w:pageBreakBefore w:val="0"/>
        <w:kinsoku/>
        <w:wordWrap/>
        <w:overflowPunct/>
        <w:topLinePunct w:val="0"/>
        <w:autoSpaceDE/>
        <w:autoSpaceDN/>
        <w:bidi w:val="0"/>
        <w:spacing w:line="240" w:lineRule="auto"/>
        <w:ind w:left="0" w:right="0"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四、评价结论及建议</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（一）评价结论</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我单位根据盐边县财政局《关于开展2024年度预算绩效自评工作的通知》（盐边财绩【2025】2号文件精神，围绕预算编制、预算执行、支出绩效三个方面对202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年度预算绩效进行了认真自评，完成较好，自评得分9</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分。</w:t>
      </w:r>
    </w:p>
    <w:p>
      <w:pPr>
        <w:pageBreakBefore w:val="0"/>
        <w:numPr>
          <w:ilvl w:val="0"/>
          <w:numId w:val="3"/>
        </w:numPr>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存在问题</w:t>
      </w:r>
    </w:p>
    <w:p>
      <w:pPr>
        <w:pageBreakBefore w:val="0"/>
        <w:numPr>
          <w:ilvl w:val="0"/>
          <w:numId w:val="0"/>
        </w:numPr>
        <w:kinsoku/>
        <w:wordWrap/>
        <w:overflowPunct/>
        <w:topLinePunct w:val="0"/>
        <w:autoSpaceDE/>
        <w:autoSpaceDN/>
        <w:bidi w:val="0"/>
        <w:spacing w:line="240" w:lineRule="auto"/>
        <w:ind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项目的经济社会效益指标、可持续影响力指标难以量化评估。</w:t>
      </w:r>
    </w:p>
    <w:p>
      <w:pPr>
        <w:pageBreakBefore w:val="0"/>
        <w:kinsoku/>
        <w:wordWrap/>
        <w:overflowPunct/>
        <w:topLinePunct w:val="0"/>
        <w:autoSpaceDE/>
        <w:autoSpaceDN/>
        <w:bidi w:val="0"/>
        <w:spacing w:line="240" w:lineRule="auto"/>
        <w:ind w:left="0" w:right="0" w:firstLine="643" w:firstLineChars="200"/>
        <w:jc w:val="both"/>
        <w:textAlignment w:val="auto"/>
        <w:rPr>
          <w:rFonts w:hint="default" w:ascii="方正楷体_GBK" w:hAnsi="方正楷体_GBK" w:eastAsia="方正楷体_GBK" w:cs="方正楷体_GBK"/>
          <w:b/>
          <w:bCs/>
          <w:kern w:val="2"/>
          <w:sz w:val="32"/>
          <w:szCs w:val="32"/>
          <w:lang w:val="zh-CN" w:eastAsia="zh-CN" w:bidi="ar-SA"/>
        </w:rPr>
      </w:pPr>
      <w:r>
        <w:rPr>
          <w:rFonts w:hint="default" w:ascii="方正楷体_GBK" w:hAnsi="方正楷体_GBK" w:eastAsia="方正楷体_GBK" w:cs="方正楷体_GBK"/>
          <w:b/>
          <w:bCs/>
          <w:kern w:val="2"/>
          <w:sz w:val="32"/>
          <w:szCs w:val="32"/>
          <w:lang w:val="zh-CN" w:eastAsia="zh-CN" w:bidi="ar-SA"/>
        </w:rPr>
        <w:t>（三）改进建议</w:t>
      </w:r>
    </w:p>
    <w:p>
      <w:pPr>
        <w:pageBreakBefore w:val="0"/>
        <w:kinsoku/>
        <w:wordWrap/>
        <w:overflowPunct/>
        <w:topLinePunct w:val="0"/>
        <w:autoSpaceDE/>
        <w:autoSpaceDN/>
        <w:bidi w:val="0"/>
        <w:spacing w:line="240" w:lineRule="auto"/>
        <w:ind w:left="0"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无</w:t>
      </w:r>
    </w:p>
    <w:p>
      <w:pPr>
        <w:pStyle w:val="9"/>
        <w:spacing w:line="560" w:lineRule="exact"/>
        <w:ind w:left="0" w:leftChars="0" w:firstLine="640"/>
        <w:rPr>
          <w:rFonts w:ascii="Times New Roman"/>
          <w:sz w:val="32"/>
          <w:highlight w:val="yellow"/>
          <w:lang w:val="zh-CN"/>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7"/>
        <w:spacing w:before="93"/>
        <w:rPr>
          <w:rFonts w:ascii="Times New Roman" w:cs="宋体"/>
          <w:sz w:val="32"/>
          <w:szCs w:val="32"/>
          <w:highlight w:val="yellow"/>
          <w:shd w:val="clear" w:color="auto" w:fill="FFFFFF"/>
          <w:lang w:val="zh-CN"/>
        </w:rPr>
      </w:pPr>
    </w:p>
    <w:p>
      <w:pPr>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40"/>
        <w:spacing w:line="578" w:lineRule="exact"/>
        <w:jc w:val="center"/>
        <w:rPr>
          <w:rFonts w:ascii="Times New Roman" w:hAnsi="Times New Roman" w:eastAsia="方正小标宋简体" w:cs="方正小标宋简体"/>
          <w:color w:val="auto"/>
          <w:kern w:val="2"/>
          <w:sz w:val="44"/>
          <w:szCs w:val="44"/>
          <w:lang w:val="en-US"/>
        </w:rPr>
      </w:pPr>
    </w:p>
    <w:p>
      <w:pPr>
        <w:pStyle w:val="40"/>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40"/>
        <w:spacing w:line="578" w:lineRule="exact"/>
        <w:ind w:firstLine="640"/>
        <w:jc w:val="center"/>
        <w:rPr>
          <w:rFonts w:ascii="仿宋_GB2312" w:hAnsi="仿宋_GB2312" w:eastAsia="仿宋_GB2312" w:cs="仿宋_GB2312"/>
          <w:color w:val="auto"/>
          <w:kern w:val="2"/>
          <w:sz w:val="32"/>
          <w:szCs w:val="32"/>
        </w:rPr>
      </w:pPr>
    </w:p>
    <w:p>
      <w:pPr>
        <w:spacing w:line="578" w:lineRule="exact"/>
        <w:ind w:firstLine="640"/>
        <w:jc w:val="center"/>
        <w:rPr>
          <w:rFonts w:hint="eastAsia" w:eastAsia="仿宋_GB2312" w:cs="仿宋_GB2312"/>
          <w:kern w:val="0"/>
          <w:sz w:val="32"/>
          <w:szCs w:val="32"/>
          <w:lang w:eastAsia="zh-CN"/>
        </w:rPr>
      </w:pP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我单位无专项预算项目绩效评价</w:t>
      </w:r>
      <w:r>
        <w:rPr>
          <w:rFonts w:hint="eastAsia" w:eastAsia="仿宋_GB2312" w:cs="仿宋_GB2312"/>
          <w:kern w:val="0"/>
          <w:sz w:val="32"/>
          <w:szCs w:val="32"/>
          <w:lang w:eastAsia="zh-CN"/>
        </w:rPr>
        <w:t>）</w:t>
      </w:r>
    </w:p>
    <w:p>
      <w:pPr>
        <w:spacing w:line="578" w:lineRule="exact"/>
        <w:ind w:firstLine="640"/>
        <w:rPr>
          <w:rFonts w:eastAsia="仿宋_GB2312" w:cs="仿宋_GB2312"/>
          <w:kern w:val="0"/>
          <w:sz w:val="32"/>
          <w:szCs w:val="32"/>
        </w:rPr>
      </w:pPr>
      <w:bookmarkStart w:id="56"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34"/>
          <w:rFonts w:hint="eastAsia" w:eastAsia="黑体"/>
          <w:b w:val="0"/>
        </w:rPr>
        <w:t>五部分 附表</w:t>
      </w:r>
      <w:bookmarkEnd w:id="49"/>
      <w:bookmarkEnd w:id="56"/>
      <w:bookmarkStart w:id="57" w:name="_Toc15396619"/>
    </w:p>
    <w:p>
      <w:pPr>
        <w:pStyle w:val="17"/>
        <w:adjustRightInd w:val="0"/>
        <w:snapToGrid w:val="0"/>
        <w:spacing w:line="560" w:lineRule="exact"/>
        <w:jc w:val="left"/>
        <w:rPr>
          <w:rFonts w:eastAsia="仿宋_GB2312" w:cs="仿宋_GB2312"/>
          <w:sz w:val="32"/>
          <w:szCs w:val="32"/>
        </w:rPr>
      </w:pPr>
    </w:p>
    <w:p>
      <w:pPr>
        <w:pStyle w:val="17"/>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7"/>
    </w:p>
    <w:p>
      <w:pPr>
        <w:pStyle w:val="17"/>
        <w:adjustRightInd w:val="0"/>
        <w:snapToGrid w:val="0"/>
        <w:spacing w:line="560" w:lineRule="exact"/>
        <w:jc w:val="left"/>
        <w:rPr>
          <w:rFonts w:eastAsia="仿宋_GB2312" w:cs="仿宋_GB2312"/>
          <w:sz w:val="32"/>
          <w:szCs w:val="32"/>
        </w:rPr>
      </w:pPr>
      <w:bookmarkStart w:id="58" w:name="_Toc15396620"/>
      <w:r>
        <w:rPr>
          <w:rFonts w:hint="eastAsia" w:eastAsia="仿宋_GB2312" w:cs="仿宋_GB2312"/>
          <w:sz w:val="32"/>
          <w:szCs w:val="32"/>
        </w:rPr>
        <w:t>二、收入决算表</w:t>
      </w:r>
      <w:bookmarkEnd w:id="58"/>
    </w:p>
    <w:p>
      <w:pPr>
        <w:pStyle w:val="17"/>
        <w:adjustRightInd w:val="0"/>
        <w:snapToGrid w:val="0"/>
        <w:spacing w:line="560" w:lineRule="exact"/>
        <w:jc w:val="left"/>
        <w:rPr>
          <w:rFonts w:eastAsia="仿宋_GB2312" w:cs="仿宋_GB2312"/>
          <w:sz w:val="32"/>
          <w:szCs w:val="32"/>
        </w:rPr>
      </w:pPr>
      <w:bookmarkStart w:id="59" w:name="_Toc15396621"/>
      <w:r>
        <w:rPr>
          <w:rFonts w:hint="eastAsia" w:eastAsia="仿宋_GB2312" w:cs="仿宋_GB2312"/>
          <w:sz w:val="32"/>
          <w:szCs w:val="32"/>
        </w:rPr>
        <w:t>三、支出决算表</w:t>
      </w:r>
      <w:bookmarkEnd w:id="59"/>
    </w:p>
    <w:p>
      <w:pPr>
        <w:pStyle w:val="17"/>
        <w:adjustRightInd w:val="0"/>
        <w:snapToGrid w:val="0"/>
        <w:spacing w:line="560" w:lineRule="exact"/>
        <w:jc w:val="left"/>
        <w:rPr>
          <w:rFonts w:eastAsia="仿宋_GB2312" w:cs="仿宋_GB2312"/>
          <w:sz w:val="32"/>
          <w:szCs w:val="32"/>
        </w:rPr>
      </w:pPr>
      <w:bookmarkStart w:id="60" w:name="_Toc15396622"/>
      <w:r>
        <w:rPr>
          <w:rFonts w:hint="eastAsia" w:eastAsia="仿宋_GB2312" w:cs="仿宋_GB2312"/>
          <w:sz w:val="32"/>
          <w:szCs w:val="32"/>
        </w:rPr>
        <w:t>四、财政拨款收入支出决算总表</w:t>
      </w:r>
      <w:bookmarkEnd w:id="60"/>
    </w:p>
    <w:p>
      <w:pPr>
        <w:pStyle w:val="17"/>
        <w:adjustRightInd w:val="0"/>
        <w:snapToGrid w:val="0"/>
        <w:spacing w:line="560" w:lineRule="exact"/>
        <w:jc w:val="left"/>
        <w:rPr>
          <w:rFonts w:eastAsia="仿宋_GB2312" w:cs="仿宋_GB2312"/>
          <w:sz w:val="32"/>
          <w:szCs w:val="32"/>
        </w:rPr>
      </w:pPr>
      <w:bookmarkStart w:id="61" w:name="_Toc15396623"/>
      <w:r>
        <w:rPr>
          <w:rFonts w:hint="eastAsia" w:eastAsia="仿宋_GB2312" w:cs="仿宋_GB2312"/>
          <w:sz w:val="32"/>
          <w:szCs w:val="32"/>
        </w:rPr>
        <w:t>五、财政拨款支出决算明细表</w:t>
      </w:r>
      <w:bookmarkEnd w:id="61"/>
      <w:bookmarkStart w:id="62" w:name="_Toc15396624"/>
    </w:p>
    <w:p>
      <w:pPr>
        <w:pStyle w:val="17"/>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2"/>
    </w:p>
    <w:p>
      <w:pPr>
        <w:pStyle w:val="17"/>
        <w:adjustRightInd w:val="0"/>
        <w:snapToGrid w:val="0"/>
        <w:spacing w:line="560" w:lineRule="exact"/>
        <w:jc w:val="left"/>
        <w:rPr>
          <w:rFonts w:eastAsia="仿宋_GB2312" w:cs="仿宋_GB2312"/>
          <w:sz w:val="32"/>
          <w:szCs w:val="32"/>
        </w:rPr>
      </w:pPr>
      <w:bookmarkStart w:id="63" w:name="_Toc15396625"/>
      <w:r>
        <w:rPr>
          <w:rFonts w:hint="eastAsia" w:eastAsia="仿宋_GB2312" w:cs="仿宋_GB2312"/>
          <w:sz w:val="32"/>
          <w:szCs w:val="32"/>
        </w:rPr>
        <w:t>七、一般公共预算财政拨款支出决算明细表</w:t>
      </w:r>
      <w:bookmarkEnd w:id="63"/>
    </w:p>
    <w:p>
      <w:pPr>
        <w:pStyle w:val="17"/>
        <w:adjustRightInd w:val="0"/>
        <w:snapToGrid w:val="0"/>
        <w:spacing w:line="560" w:lineRule="exact"/>
        <w:jc w:val="left"/>
        <w:rPr>
          <w:rFonts w:eastAsia="仿宋_GB2312" w:cs="仿宋_GB2312"/>
          <w:sz w:val="32"/>
          <w:szCs w:val="32"/>
        </w:rPr>
      </w:pPr>
      <w:bookmarkStart w:id="64" w:name="_Toc15396626"/>
      <w:r>
        <w:rPr>
          <w:rFonts w:hint="eastAsia" w:eastAsia="仿宋_GB2312" w:cs="仿宋_GB2312"/>
          <w:sz w:val="32"/>
          <w:szCs w:val="32"/>
        </w:rPr>
        <w:t>八、一般公共预算财政拨款基本支出决算表</w:t>
      </w:r>
      <w:bookmarkEnd w:id="64"/>
    </w:p>
    <w:p>
      <w:pPr>
        <w:pStyle w:val="17"/>
        <w:adjustRightInd w:val="0"/>
        <w:snapToGrid w:val="0"/>
        <w:spacing w:line="560" w:lineRule="exact"/>
        <w:jc w:val="left"/>
        <w:rPr>
          <w:rFonts w:eastAsia="仿宋_GB2312" w:cs="仿宋_GB2312"/>
          <w:sz w:val="32"/>
          <w:szCs w:val="32"/>
        </w:rPr>
      </w:pPr>
      <w:bookmarkStart w:id="65" w:name="_Toc15396627"/>
      <w:r>
        <w:rPr>
          <w:rFonts w:hint="eastAsia" w:eastAsia="仿宋_GB2312" w:cs="仿宋_GB2312"/>
          <w:sz w:val="32"/>
          <w:szCs w:val="32"/>
        </w:rPr>
        <w:t>九、一般公共预算财政拨款项目支出决算表</w:t>
      </w:r>
      <w:bookmarkEnd w:id="65"/>
    </w:p>
    <w:p>
      <w:pPr>
        <w:pStyle w:val="17"/>
        <w:adjustRightInd w:val="0"/>
        <w:snapToGrid w:val="0"/>
        <w:spacing w:line="560" w:lineRule="exact"/>
        <w:jc w:val="left"/>
        <w:rPr>
          <w:rFonts w:eastAsia="仿宋_GB2312" w:cs="仿宋_GB2312"/>
          <w:sz w:val="32"/>
          <w:szCs w:val="32"/>
        </w:rPr>
      </w:pPr>
      <w:bookmarkStart w:id="66" w:name="_Toc15396628"/>
      <w:r>
        <w:rPr>
          <w:rFonts w:hint="eastAsia" w:eastAsia="仿宋_GB2312" w:cs="仿宋_GB2312"/>
          <w:sz w:val="32"/>
          <w:szCs w:val="32"/>
        </w:rPr>
        <w:t>十、</w:t>
      </w:r>
      <w:bookmarkEnd w:id="66"/>
      <w:r>
        <w:rPr>
          <w:rFonts w:hint="eastAsia" w:eastAsia="仿宋_GB2312" w:cs="仿宋_GB2312"/>
          <w:sz w:val="32"/>
          <w:szCs w:val="32"/>
        </w:rPr>
        <w:t>政府性基金预算财政拨款收入支出决算表</w:t>
      </w:r>
    </w:p>
    <w:p>
      <w:pPr>
        <w:pStyle w:val="17"/>
        <w:adjustRightInd w:val="0"/>
        <w:snapToGrid w:val="0"/>
        <w:spacing w:line="560" w:lineRule="exact"/>
        <w:jc w:val="left"/>
        <w:rPr>
          <w:rFonts w:eastAsia="仿宋_GB2312" w:cs="仿宋_GB2312"/>
          <w:sz w:val="32"/>
          <w:szCs w:val="32"/>
        </w:rPr>
      </w:pPr>
      <w:bookmarkStart w:id="67" w:name="_Toc15396629"/>
      <w:r>
        <w:rPr>
          <w:rFonts w:hint="eastAsia" w:eastAsia="仿宋_GB2312" w:cs="仿宋_GB2312"/>
          <w:sz w:val="32"/>
          <w:szCs w:val="32"/>
        </w:rPr>
        <w:t>十一、</w:t>
      </w:r>
      <w:bookmarkEnd w:id="67"/>
      <w:r>
        <w:rPr>
          <w:rFonts w:hint="eastAsia" w:eastAsia="仿宋_GB2312" w:cs="仿宋_GB2312"/>
          <w:sz w:val="32"/>
          <w:szCs w:val="32"/>
        </w:rPr>
        <w:t>国有资本经营预算财政拨款收入支出决算表</w:t>
      </w:r>
    </w:p>
    <w:p>
      <w:pPr>
        <w:pStyle w:val="17"/>
        <w:adjustRightInd w:val="0"/>
        <w:snapToGrid w:val="0"/>
        <w:spacing w:line="560" w:lineRule="exact"/>
        <w:jc w:val="left"/>
        <w:rPr>
          <w:rFonts w:eastAsia="仿宋_GB2312" w:cs="仿宋_GB2312"/>
          <w:sz w:val="32"/>
          <w:szCs w:val="32"/>
        </w:rPr>
      </w:pPr>
      <w:bookmarkStart w:id="68" w:name="_Toc15396630"/>
      <w:r>
        <w:rPr>
          <w:rFonts w:hint="eastAsia" w:eastAsia="仿宋_GB2312" w:cs="仿宋_GB2312"/>
          <w:sz w:val="32"/>
          <w:szCs w:val="32"/>
        </w:rPr>
        <w:t>十二、</w:t>
      </w:r>
      <w:bookmarkEnd w:id="68"/>
      <w:r>
        <w:rPr>
          <w:rFonts w:hint="eastAsia" w:eastAsia="仿宋_GB2312" w:cs="仿宋_GB2312"/>
          <w:sz w:val="32"/>
          <w:szCs w:val="32"/>
        </w:rPr>
        <w:t>国有资本经营预算财政拨款支出决算表</w:t>
      </w:r>
    </w:p>
    <w:p>
      <w:pPr>
        <w:pStyle w:val="17"/>
        <w:adjustRightInd w:val="0"/>
        <w:snapToGrid w:val="0"/>
        <w:spacing w:line="560" w:lineRule="exact"/>
        <w:jc w:val="left"/>
        <w:rPr>
          <w:rFonts w:eastAsia="仿宋_GB2312" w:cs="仿宋_GB2312"/>
          <w:sz w:val="32"/>
          <w:szCs w:val="32"/>
        </w:rPr>
      </w:pPr>
      <w:bookmarkStart w:id="69" w:name="_Toc15396631"/>
      <w:r>
        <w:rPr>
          <w:rFonts w:hint="eastAsia" w:eastAsia="仿宋_GB2312" w:cs="仿宋_GB2312"/>
          <w:sz w:val="32"/>
          <w:szCs w:val="32"/>
        </w:rPr>
        <w:t>十三、</w:t>
      </w:r>
      <w:bookmarkEnd w:id="69"/>
      <w:r>
        <w:rPr>
          <w:rFonts w:hint="eastAsia" w:eastAsia="仿宋_GB2312" w:cs="仿宋_GB2312"/>
          <w:sz w:val="32"/>
          <w:szCs w:val="32"/>
        </w:rPr>
        <w:t>财政拨款“三公”经费支出决算表</w:t>
      </w:r>
    </w:p>
    <w:p/>
    <w:sectPr>
      <w:footerReference r:id="rId8" w:type="first"/>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3J9b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cNyfWwQIAANYFAAAOAAAAAAAA&#10;AAEAIAAAAB8BAABkcnMvZTJvRG9jLnhtbFBLBQYAAAAABgAGAFkBAABSBg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237A11"/>
    <w:multiLevelType w:val="singleLevel"/>
    <w:tmpl w:val="B2237A11"/>
    <w:lvl w:ilvl="0" w:tentative="0">
      <w:start w:val="2"/>
      <w:numFmt w:val="chineseCounting"/>
      <w:suff w:val="nothing"/>
      <w:lvlText w:val="（%1）"/>
      <w:lvlJc w:val="left"/>
      <w:rPr>
        <w:rFonts w:hint="eastAsia"/>
      </w:rPr>
    </w:lvl>
  </w:abstractNum>
  <w:abstractNum w:abstractNumId="1">
    <w:nsid w:val="056147B4"/>
    <w:multiLevelType w:val="singleLevel"/>
    <w:tmpl w:val="056147B4"/>
    <w:lvl w:ilvl="0" w:tentative="0">
      <w:start w:val="1"/>
      <w:numFmt w:val="chineseCounting"/>
      <w:suff w:val="nothing"/>
      <w:lvlText w:val="%1、"/>
      <w:lvlJc w:val="left"/>
      <w:rPr>
        <w:rFonts w:hint="eastAsia"/>
      </w:rPr>
    </w:lvl>
  </w:abstractNum>
  <w:abstractNum w:abstractNumId="2">
    <w:nsid w:val="1BC690BF"/>
    <w:multiLevelType w:val="singleLevel"/>
    <w:tmpl w:val="1BC690B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E5A5CDE"/>
    <w:rsid w:val="2EEB4B9D"/>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6C95148"/>
    <w:rsid w:val="486A6C7A"/>
    <w:rsid w:val="48B37624"/>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1F3504"/>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CF4AAA"/>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1">
    <w:name w:val="Default Paragraph Font"/>
    <w:link w:val="22"/>
    <w:semiHidden/>
    <w:unhideWhenUsed/>
    <w:qFormat/>
    <w:uiPriority w:val="1"/>
    <w:rPr>
      <w:rFonts w:ascii="Verdana" w:hAnsi="Verdana" w:eastAsia="仿宋_GB2312" w:cs="Verdana"/>
      <w:kern w:val="0"/>
      <w:sz w:val="24"/>
      <w:szCs w:val="24"/>
      <w:lang w:eastAsia="en-US"/>
    </w:rPr>
  </w:style>
  <w:style w:type="table" w:default="1" w:styleId="20">
    <w:name w:val="Normal Table"/>
    <w:semiHidden/>
    <w:unhideWhenUsed/>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640" w:firstLineChars="200"/>
    </w:pPr>
    <w:rPr>
      <w:rFonts w:hint="default" w:eastAsia="Times New Roman"/>
      <w:sz w:val="32"/>
      <w:szCs w:val="32"/>
    </w:rPr>
  </w:style>
  <w:style w:type="paragraph" w:styleId="6">
    <w:name w:val="Salutation"/>
    <w:basedOn w:val="1"/>
    <w:next w:val="1"/>
    <w:qFormat/>
    <w:uiPriority w:val="0"/>
  </w:style>
  <w:style w:type="paragraph" w:styleId="7">
    <w:name w:val="Body Text"/>
    <w:basedOn w:val="1"/>
    <w:link w:val="31"/>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rPr>
  </w:style>
  <w:style w:type="paragraph" w:styleId="12">
    <w:name w:val="Balloon Text"/>
    <w:basedOn w:val="1"/>
    <w:link w:val="37"/>
    <w:semiHidden/>
    <w:unhideWhenUsed/>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9"/>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Title"/>
    <w:basedOn w:val="1"/>
    <w:qFormat/>
    <w:uiPriority w:val="0"/>
    <w:pPr>
      <w:spacing w:line="240" w:lineRule="atLeast"/>
      <w:jc w:val="center"/>
    </w:pPr>
    <w:rPr>
      <w:rFonts w:ascii="Cambria" w:hAnsi="Cambria" w:eastAsia="宋体"/>
      <w:b/>
      <w:bCs/>
      <w:szCs w:val="32"/>
    </w:rPr>
  </w:style>
  <w:style w:type="paragraph" w:customStyle="1" w:styleId="22">
    <w:name w:val="_Style 4"/>
    <w:basedOn w:val="1"/>
    <w:link w:val="21"/>
    <w:qFormat/>
    <w:uiPriority w:val="0"/>
    <w:pPr>
      <w:widowControl/>
      <w:spacing w:after="160" w:line="240" w:lineRule="exact"/>
      <w:jc w:val="left"/>
    </w:pPr>
    <w:rPr>
      <w:rFonts w:ascii="Verdana" w:hAnsi="Verdana" w:eastAsia="仿宋_GB2312" w:cs="Verdana"/>
      <w:kern w:val="0"/>
      <w:sz w:val="24"/>
      <w:szCs w:val="24"/>
      <w:lang w:eastAsia="en-US"/>
    </w:rPr>
  </w:style>
  <w:style w:type="character" w:styleId="23">
    <w:name w:val="Strong"/>
    <w:basedOn w:val="21"/>
    <w:qFormat/>
    <w:uiPriority w:val="99"/>
    <w:rPr>
      <w:b/>
    </w:rPr>
  </w:style>
  <w:style w:type="character" w:styleId="24">
    <w:name w:val="Hyperlink"/>
    <w:basedOn w:val="21"/>
    <w:unhideWhenUsed/>
    <w:qFormat/>
    <w:uiPriority w:val="99"/>
    <w:rPr>
      <w:color w:val="0000FF" w:themeColor="hyperlink"/>
      <w:u w:val="single"/>
      <w14:textFill>
        <w14:solidFill>
          <w14:schemeClr w14:val="hlink"/>
        </w14:solidFill>
      </w14:textFill>
    </w:rPr>
  </w:style>
  <w:style w:type="paragraph" w:customStyle="1" w:styleId="2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6">
    <w:name w:val="Header Char"/>
    <w:basedOn w:val="21"/>
    <w:semiHidden/>
    <w:qFormat/>
    <w:uiPriority w:val="99"/>
    <w:rPr>
      <w:rFonts w:ascii="Times New Roman" w:hAnsi="Times New Roman"/>
      <w:sz w:val="18"/>
      <w:szCs w:val="18"/>
    </w:rPr>
  </w:style>
  <w:style w:type="character" w:customStyle="1" w:styleId="27">
    <w:name w:val="页眉 Char"/>
    <w:link w:val="14"/>
    <w:semiHidden/>
    <w:qFormat/>
    <w:locked/>
    <w:uiPriority w:val="99"/>
    <w:rPr>
      <w:sz w:val="18"/>
    </w:rPr>
  </w:style>
  <w:style w:type="character" w:customStyle="1" w:styleId="28">
    <w:name w:val="Footer Char"/>
    <w:basedOn w:val="21"/>
    <w:semiHidden/>
    <w:qFormat/>
    <w:uiPriority w:val="99"/>
    <w:rPr>
      <w:rFonts w:ascii="Times New Roman" w:hAnsi="Times New Roman"/>
      <w:sz w:val="18"/>
      <w:szCs w:val="18"/>
    </w:rPr>
  </w:style>
  <w:style w:type="character" w:customStyle="1" w:styleId="29">
    <w:name w:val="页脚 Char"/>
    <w:link w:val="13"/>
    <w:qFormat/>
    <w:locked/>
    <w:uiPriority w:val="99"/>
    <w:rPr>
      <w:sz w:val="18"/>
    </w:rPr>
  </w:style>
  <w:style w:type="character" w:customStyle="1" w:styleId="30">
    <w:name w:val="Body Text Char"/>
    <w:basedOn w:val="21"/>
    <w:semiHidden/>
    <w:qFormat/>
    <w:uiPriority w:val="99"/>
    <w:rPr>
      <w:rFonts w:ascii="Times New Roman" w:hAnsi="Times New Roman"/>
      <w:szCs w:val="24"/>
    </w:rPr>
  </w:style>
  <w:style w:type="character" w:customStyle="1" w:styleId="31">
    <w:name w:val="正文文本 Char"/>
    <w:link w:val="7"/>
    <w:qFormat/>
    <w:locked/>
    <w:uiPriority w:val="99"/>
    <w:rPr>
      <w:rFonts w:ascii="仿宋_GB2312" w:hAnsi="Times New Roman" w:eastAsia="仿宋_GB2312"/>
      <w:sz w:val="24"/>
    </w:rPr>
  </w:style>
  <w:style w:type="paragraph" w:customStyle="1" w:styleId="3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标题 1 Char"/>
    <w:basedOn w:val="21"/>
    <w:link w:val="3"/>
    <w:qFormat/>
    <w:uiPriority w:val="9"/>
    <w:rPr>
      <w:rFonts w:ascii="Times New Roman" w:hAnsi="Times New Roman"/>
      <w:b/>
      <w:bCs/>
      <w:kern w:val="44"/>
      <w:sz w:val="44"/>
      <w:szCs w:val="44"/>
    </w:rPr>
  </w:style>
  <w:style w:type="character" w:customStyle="1" w:styleId="35">
    <w:name w:val="标题 2 Char"/>
    <w:basedOn w:val="21"/>
    <w:link w:val="4"/>
    <w:qFormat/>
    <w:uiPriority w:val="9"/>
    <w:rPr>
      <w:rFonts w:asciiTheme="majorHAnsi" w:hAnsiTheme="majorHAnsi" w:eastAsiaTheme="majorEastAsia" w:cstheme="majorBidi"/>
      <w:b/>
      <w:bCs/>
      <w:kern w:val="2"/>
      <w:sz w:val="32"/>
      <w:szCs w:val="32"/>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1"/>
    <w:link w:val="12"/>
    <w:semiHidden/>
    <w:qFormat/>
    <w:uiPriority w:val="99"/>
    <w:rPr>
      <w:rFonts w:ascii="Times New Roman" w:hAnsi="Times New Roman"/>
      <w:kern w:val="2"/>
      <w:sz w:val="18"/>
      <w:szCs w:val="18"/>
    </w:rPr>
  </w:style>
  <w:style w:type="character" w:customStyle="1" w:styleId="38">
    <w:name w:val="标题 3 Char"/>
    <w:basedOn w:val="21"/>
    <w:link w:val="5"/>
    <w:qFormat/>
    <w:uiPriority w:val="9"/>
    <w:rPr>
      <w:rFonts w:ascii="Times New Roman" w:hAnsi="Times New Roman"/>
      <w:b/>
      <w:bCs/>
      <w:kern w:val="2"/>
      <w:sz w:val="32"/>
      <w:szCs w:val="32"/>
    </w:rPr>
  </w:style>
  <w:style w:type="paragraph" w:customStyle="1" w:styleId="3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0">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2025&#24180;&#24037;&#20316;\2024&#24180;&#20915;&#31639;&#20844;&#24320;\ZFW\2021&#20915;&#31639;&#20844;&#24320;&#22270;&#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图1   收入、支出决算总计变动情况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[2021决算公开图表.xls]Sheet1!$B$58:$C$58</c:f>
              <c:numCache>
                <c:formatCode>General</c:formatCode>
                <c:ptCount val="2"/>
                <c:pt idx="0">
                  <c:v>2024</c:v>
                </c:pt>
                <c:pt idx="1">
                  <c:v>2023</c:v>
                </c:pt>
              </c:numCache>
            </c:numRef>
          </c:cat>
          <c:val>
            <c:numRef>
              <c:f>[2021决算公开图表.xls]Sheet1!$B$59:$C$59</c:f>
              <c:numCache>
                <c:formatCode>General</c:formatCode>
                <c:ptCount val="2"/>
                <c:pt idx="0">
                  <c:v>517.66</c:v>
                </c:pt>
                <c:pt idx="1">
                  <c:v>570.55</c:v>
                </c:pt>
              </c:numCache>
            </c:numRef>
          </c:val>
        </c:ser>
        <c:dLbls>
          <c:showLegendKey val="0"/>
          <c:showVal val="0"/>
          <c:showCatName val="0"/>
          <c:showSerName val="0"/>
          <c:showPercent val="0"/>
          <c:showBubbleSize val="0"/>
        </c:dLbls>
        <c:gapWidth val="150"/>
        <c:overlap val="0"/>
        <c:axId val="667332664"/>
        <c:axId val="575980716"/>
      </c:barChart>
      <c:catAx>
        <c:axId val="667332664"/>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575980716"/>
        <c:crosses val="autoZero"/>
        <c:auto val="1"/>
        <c:lblAlgn val="ctr"/>
        <c:lblOffset val="100"/>
        <c:noMultiLvlLbl val="0"/>
      </c:catAx>
      <c:valAx>
        <c:axId val="57598071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667332664"/>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295"/>
          <c:y val="0.49025"/>
          <c:w val="0.141843971631206"/>
          <c:h val="0.13895182509043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图2    收入决算结构图</a:t>
            </a:r>
            <a:endParaRPr sz="16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Pt>
            <c:idx val="5"/>
            <c:bubble3D val="0"/>
            <c:explosion val="0"/>
            <c:spPr>
              <a:solidFill>
                <a:srgbClr val="FF8080"/>
              </a:solidFill>
              <a:ln w="12700">
                <a:solidFill>
                  <a:srgbClr val="000000">
                    <a:alpha val="100000"/>
                  </a:srgbClr>
                </a:solidFill>
                <a:prstDash val="solid"/>
              </a:ln>
              <a:effectLst/>
            </c:spPr>
          </c:dPt>
          <c:dLbls>
            <c:dLbl>
              <c:idx val="0"/>
              <c:layout>
                <c:manualLayout>
                  <c:x val="0.130433933132968"/>
                  <c:y val="-0.180059994497519"/>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altLang="en-US" sz="1200" b="0" i="0" u="none" strike="noStrike" baseline="0">
                        <a:solidFill>
                          <a:srgbClr val="000000"/>
                        </a:solidFill>
                        <a:latin typeface="宋体" panose="02010600030101010101" charset="-122"/>
                        <a:ea typeface="宋体" panose="02010600030101010101" charset="-122"/>
                        <a:cs typeface="宋体" panose="02010600030101010101" charset="-122"/>
                      </a:rPr>
                      <a:t>一般公共预算财政拨款收入</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a:p>
                    <a:pPr algn="ctr" defTabSz="914400">
                      <a:defRPr lang="zh-CN" sz="1000" b="0" i="0" u="none" strike="noStrike" kern="1200" baseline="0">
                        <a:solidFill>
                          <a:srgbClr val="000000">
                            <a:alpha val="100000"/>
                          </a:srgbClr>
                        </a:solidFill>
                        <a:latin typeface="+mn-lt"/>
                        <a:ea typeface="+mn-ea"/>
                        <a:cs typeface="+mn-cs"/>
                      </a:defRPr>
                    </a:pP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517.66</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100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1"/>
              <c:layout>
                <c:manualLayout>
                  <c:x val="-0.218138362123409"/>
                  <c:y val="0.25216435826135"/>
                </c:manualLayout>
              </c:layout>
              <c:tx>
                <c:rich>
                  <a:bodyPr rot="0" spcFirstLastPara="0" vertOverflow="ellipsis" vert="horz" wrap="square" lIns="38100" tIns="19050" rIns="38100" bIns="19050" anchor="ctr" anchorCtr="1"/>
                  <a:lstStyle/>
                  <a:p>
                    <a:pPr algn="ctr" defTabSz="914400">
                      <a:defRPr lang="zh-CN" sz="1000" b="0" i="0" u="none" strike="noStrike" kern="1200" baseline="0">
                        <a:solidFill>
                          <a:srgbClr val="000000">
                            <a:alpha val="100000"/>
                          </a:srgbClr>
                        </a:solidFill>
                        <a:latin typeface="+mn-lt"/>
                        <a:ea typeface="+mn-ea"/>
                        <a:cs typeface="+mn-cs"/>
                      </a:defRPr>
                    </a:pPr>
                    <a:r>
                      <a:rPr altLang="en-US" sz="1200" b="0" i="0" u="none" strike="noStrike" baseline="0">
                        <a:solidFill>
                          <a:srgbClr val="000000"/>
                        </a:solidFill>
                        <a:latin typeface="宋体" panose="02010600030101010101" charset="-122"/>
                        <a:ea typeface="宋体" panose="02010600030101010101" charset="-122"/>
                        <a:cs typeface="宋体" panose="02010600030101010101" charset="-122"/>
                      </a:rPr>
                      <a:t>政府性基金预算财政拨款收入</a:t>
                    </a:r>
                    <a:endParaRPr altLang="en-US" sz="1200" b="0" i="0" u="none" strike="noStrike" baseline="0">
                      <a:solidFill>
                        <a:srgbClr val="000000"/>
                      </a:solidFill>
                      <a:latin typeface="宋体" panose="02010600030101010101" charset="-122"/>
                      <a:ea typeface="宋体" panose="02010600030101010101" charset="-122"/>
                      <a:cs typeface="宋体" panose="02010600030101010101" charset="-122"/>
                    </a:endParaRPr>
                  </a:p>
                  <a:p>
                    <a:pPr algn="ctr" defTabSz="914400">
                      <a:defRPr lang="zh-CN" sz="1000" b="0" i="0" u="none" strike="noStrike" kern="1200" baseline="0">
                        <a:solidFill>
                          <a:srgbClr val="000000">
                            <a:alpha val="100000"/>
                          </a:srgbClr>
                        </a:solidFill>
                        <a:latin typeface="+mn-lt"/>
                        <a:ea typeface="+mn-ea"/>
                        <a:cs typeface="+mn-cs"/>
                      </a:defRPr>
                    </a:pP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cap="none" normalizeH="0" baseline="0">
                      <a:solidFill>
                        <a:srgbClr val="000000"/>
                      </a:solidFill>
                      <a:effectLst/>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lgn="ctr">
                    <a:defRPr lang="zh-CN" sz="1000" b="0" i="0" u="none" strike="noStrike" kern="1200" baseline="0">
                      <a:solidFill>
                        <a:srgbClr val="000000">
                          <a:alpha val="100000"/>
                        </a:srgbClr>
                      </a:solidFill>
                      <a:latin typeface="+mn-lt"/>
                      <a:ea typeface="+mn-ea"/>
                      <a:cs typeface="+mn-cs"/>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105189340813464"/>
                  <c:y val="0.17183194828905"/>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国有资本经营预算财政拨款收入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3"/>
              <c:layout>
                <c:manualLayout>
                  <c:x val="-0.220835210157743"/>
                  <c:y val="0.39610895660443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事业收入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4"/>
              <c:layout>
                <c:manualLayout>
                  <c:x val="-0.208212489260128"/>
                  <c:y val="0.5817045244714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附属单位上缴收入0,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dLbl>
              <c:idx val="5"/>
              <c:layout>
                <c:manualLayout>
                  <c:x val="0.165651580890562"/>
                  <c:y val="0.324086795939614"/>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其他收入</a:t>
                    </a:r>
                  </a:p>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0, 0%</a:t>
                    </a:r>
                    <a:endPara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[2021决算公开图表.xls]Sheet1!$C$3:$C$8</c:f>
              <c:numCache>
                <c:formatCode>General</c:formatCode>
                <c:ptCount val="6"/>
                <c:pt idx="0">
                  <c:v>517.66</c:v>
                </c:pt>
                <c:pt idx="1">
                  <c:v>0</c:v>
                </c:pt>
                <c:pt idx="2">
                  <c:v>0</c:v>
                </c:pt>
                <c:pt idx="3">
                  <c:v>0</c:v>
                </c:pt>
                <c:pt idx="4">
                  <c:v>0</c:v>
                </c:pt>
                <c:pt idx="5">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Pt>
            <c:idx val="5"/>
            <c:bubble3D val="0"/>
            <c:explosion val="0"/>
            <c:spPr>
              <a:solidFill>
                <a:srgbClr val="FF8080"/>
              </a:solidFill>
              <a:ln w="12700">
                <a:solidFill>
                  <a:srgbClr val="000000"/>
                </a:solidFill>
                <a:prstDash val="solid"/>
              </a:ln>
              <a:effectLst/>
            </c:spPr>
          </c:dPt>
          <c:dLbls>
            <c:delete val="1"/>
          </c:dLbls>
          <c:cat>
            <c:strRef>
              <c:f>[2021决算公开图表.xls]Sheet1!$B$3:$B$8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[2021决算公开图表.xls]Sheet1!$D$3:$D$8</c:f>
              <c:numCache>
                <c:formatCode>0.00%</c:formatCode>
                <c:ptCount val="6"/>
                <c:pt idx="0">
                  <c:v>1</c:v>
                </c:pt>
                <c:pt idx="1">
                  <c:v>0</c:v>
                </c:pt>
                <c:pt idx="2" c:formatCode="0%">
                  <c:v>0</c:v>
                </c:pt>
                <c:pt idx="3" c:formatCode="0%">
                  <c:v>0</c:v>
                </c:pt>
                <c:pt idx="4" c:formatCode="0%">
                  <c:v>0</c:v>
                </c:pt>
                <c:pt idx="5" c:formatCode="0%">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81768887817809"/>
          <c:y val="0.12549838617809"/>
          <c:w val="0.265212676226051"/>
          <c:h val="0.681792291627112"/>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图3    支出决算结构图</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rgbClr val="660066"/>
              </a:solidFill>
              <a:ln w="12700">
                <a:solidFill>
                  <a:srgbClr val="000000">
                    <a:alpha val="100000"/>
                  </a:srgbClr>
                </a:solidFill>
                <a:prstDash val="solid"/>
              </a:ln>
              <a:effectLst/>
            </c:spPr>
          </c:dPt>
          <c:dLbls>
            <c:dLbl>
              <c:idx val="0"/>
              <c:layout>
                <c:manualLayout>
                  <c:x val="-0.0822873082287308"/>
                  <c:y val="-0.241041743627632"/>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基本支出,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431.19,83.30</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37701713993349"/>
                      <c:h val="0.170668636867381"/>
                    </c:manualLayout>
                  </c15:layout>
                </c:ext>
              </c:extLst>
            </c:dLbl>
            <c:dLbl>
              <c:idx val="1"/>
              <c:layout>
                <c:manualLayout>
                  <c:x val="-0.102937620498869"/>
                  <c:y val="0.119163803308909"/>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项目支出</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86.48,16.70%</a:t>
                    </a:r>
                    <a:endPar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246655410590944"/>
                      <c:h val="0.170668636867381"/>
                    </c:manualLayout>
                  </c15:layout>
                </c:ext>
              </c:extLst>
            </c:dLbl>
            <c:dLbl>
              <c:idx val="2"/>
              <c:layout>
                <c:manualLayout>
                  <c:x val="-0.33999749531978"/>
                  <c:y val="0.526724048759712"/>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164574616457462"/>
                  <c:y val="0.0969708164019209"/>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10181311018131"/>
                  <c:y val="0.32415958625785"/>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[2021决算公开图表.xls]Sheet1!$C$34:$C$38</c:f>
              <c:numCache>
                <c:formatCode>General</c:formatCode>
                <c:ptCount val="5"/>
                <c:pt idx="0">
                  <c:v>431.19</c:v>
                </c:pt>
                <c:pt idx="1">
                  <c:v>86.48</c:v>
                </c:pt>
                <c:pt idx="2">
                  <c:v>0</c:v>
                </c:pt>
                <c:pt idx="3">
                  <c:v>0</c:v>
                </c:pt>
                <c:pt idx="4">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Pt>
            <c:idx val="3"/>
            <c:bubble3D val="0"/>
            <c:explosion val="0"/>
            <c:spPr>
              <a:solidFill>
                <a:srgbClr val="CCFFFF"/>
              </a:solidFill>
              <a:ln w="12700">
                <a:solidFill>
                  <a:srgbClr val="000000"/>
                </a:solidFill>
                <a:prstDash val="solid"/>
              </a:ln>
              <a:effectLst/>
            </c:spPr>
          </c:dPt>
          <c:dPt>
            <c:idx val="4"/>
            <c:bubble3D val="0"/>
            <c:explosion val="0"/>
            <c:spPr>
              <a:solidFill>
                <a:srgbClr val="660066"/>
              </a:solidFill>
              <a:ln w="12700">
                <a:solidFill>
                  <a:srgbClr val="000000"/>
                </a:solidFill>
                <a:prstDash val="solid"/>
              </a:ln>
              <a:effectLst/>
            </c:spPr>
          </c:dPt>
          <c:dLbls>
            <c:delete val="1"/>
          </c:dLbls>
          <c:cat>
            <c:strRef>
              <c:f>[2021决算公开图表.xls]Sheet1!$B$34:$B$38</c:f>
              <c:strCache>
                <c:ptCount val="5"/>
                <c:pt idx="0">
                  <c:v>基本支出</c:v>
                </c:pt>
                <c:pt idx="1">
                  <c:v>项目支出</c:v>
                </c:pt>
                <c:pt idx="2">
                  <c:v>上缴上级支出</c:v>
                </c:pt>
                <c:pt idx="3">
                  <c:v>经营支出</c:v>
                </c:pt>
                <c:pt idx="4">
                  <c:v>对附属单位补助支出</c:v>
                </c:pt>
              </c:strCache>
            </c:strRef>
          </c:cat>
          <c:val>
            <c:numRef>
              <c:f>[2021决算公开图表.xls]Sheet1!$D$34:$D$38</c:f>
              <c:numCache>
                <c:formatCode>0.00%</c:formatCode>
                <c:ptCount val="5"/>
                <c:pt idx="0">
                  <c:v>0.833</c:v>
                </c:pt>
                <c:pt idx="1">
                  <c:v>0.167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0376055257099"/>
          <c:y val="0.130033247137052"/>
          <c:w val="0.242133537989256"/>
          <c:h val="0.71481344661987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图4    财政拨款收、支总计决算变动情况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[2021决算公开图表.xls]Sheet1!$B$167:$C$167</c:f>
              <c:strCache>
                <c:ptCount val="2"/>
                <c:pt idx="0">
                  <c:v>2024年</c:v>
                </c:pt>
                <c:pt idx="1">
                  <c:v>2023年</c:v>
                </c:pt>
              </c:strCache>
            </c:strRef>
          </c:cat>
          <c:val>
            <c:numRef>
              <c:f>[2021决算公开图表.xls]Sheet1!$B$168:$C$168</c:f>
              <c:numCache>
                <c:formatCode>General</c:formatCode>
                <c:ptCount val="2"/>
                <c:pt idx="0">
                  <c:v>517.66</c:v>
                </c:pt>
                <c:pt idx="1">
                  <c:v>570.55</c:v>
                </c:pt>
              </c:numCache>
            </c:numRef>
          </c:val>
        </c:ser>
        <c:dLbls>
          <c:showLegendKey val="0"/>
          <c:showVal val="0"/>
          <c:showCatName val="0"/>
          <c:showSerName val="0"/>
          <c:showPercent val="0"/>
          <c:showBubbleSize val="0"/>
        </c:dLbls>
        <c:gapWidth val="150"/>
        <c:overlap val="0"/>
        <c:axId val="935926470"/>
        <c:axId val="278720902"/>
      </c:barChart>
      <c:catAx>
        <c:axId val="935926470"/>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278720902"/>
        <c:crosses val="autoZero"/>
        <c:auto val="1"/>
        <c:lblAlgn val="ctr"/>
        <c:lblOffset val="100"/>
        <c:noMultiLvlLbl val="0"/>
      </c:catAx>
      <c:valAx>
        <c:axId val="278720902"/>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935926470"/>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834"/>
          <c:y val="0.4735"/>
          <c:w val="0.163069544364508"/>
          <c:h val="0.195220470505879"/>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图5      一般公共预算财政拨款支出决算变动情况</a:t>
            </a:r>
            <a:endParaRPr sz="14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overlay val="0"/>
      <c:spPr>
        <a:noFill/>
        <a:ln w="3175">
          <a:noFill/>
        </a:ln>
      </c:spPr>
    </c:title>
    <c:autoTitleDeleted val="0"/>
    <c:plotArea>
      <c:layout/>
      <c:barChart>
        <c:barDir val="col"/>
        <c:grouping val="clustered"/>
        <c:varyColors val="0"/>
        <c:ser>
          <c:idx val="0"/>
          <c:order val="0"/>
          <c:tx>
            <c:strRef>
              <c:f>[2021决算公开图表.xls]Sheet1!$A$85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numFmt formatCode="General" sourceLinked="1"/>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[2021决算公开图表.xls]Sheet1!$B$84:$C$84</c:f>
              <c:strCache>
                <c:ptCount val="2"/>
                <c:pt idx="0">
                  <c:v>2024年</c:v>
                </c:pt>
                <c:pt idx="1">
                  <c:v>2023年</c:v>
                </c:pt>
              </c:strCache>
            </c:strRef>
          </c:cat>
          <c:val>
            <c:numRef>
              <c:f>[2021决算公开图表.xls]Sheet1!$B$85:$C$85</c:f>
              <c:numCache>
                <c:formatCode>General</c:formatCode>
                <c:ptCount val="2"/>
                <c:pt idx="0">
                  <c:v>517.66</c:v>
                </c:pt>
                <c:pt idx="1">
                  <c:v>570.55</c:v>
                </c:pt>
              </c:numCache>
            </c:numRef>
          </c:val>
        </c:ser>
        <c:dLbls>
          <c:showLegendKey val="0"/>
          <c:showVal val="0"/>
          <c:showCatName val="0"/>
          <c:showSerName val="0"/>
          <c:showPercent val="0"/>
          <c:showBubbleSize val="0"/>
        </c:dLbls>
        <c:gapWidth val="150"/>
        <c:overlap val="0"/>
        <c:axId val="426054408"/>
        <c:axId val="924487752"/>
      </c:barChart>
      <c:catAx>
        <c:axId val="426054408"/>
        <c:scaling>
          <c:orientation val="minMax"/>
        </c:scaling>
        <c:delete val="0"/>
        <c:axPos val="b"/>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924487752"/>
        <c:crosses val="autoZero"/>
        <c:auto val="1"/>
        <c:lblAlgn val="ctr"/>
        <c:lblOffset val="100"/>
        <c:noMultiLvlLbl val="0"/>
      </c:catAx>
      <c:valAx>
        <c:axId val="924487752"/>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noFill/>
          <a:ln w="3175" cap="flat" cmpd="sng" algn="ctr">
            <a:solidFill>
              <a:srgbClr val="000000"/>
            </a:solidFill>
            <a:prstDash val="solid"/>
            <a:round/>
          </a:ln>
          <a:effectLst/>
        </c:spPr>
        <c:txPr>
          <a:bodyPr rot="-6000000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crossAx val="42605440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87495482471991"/>
          <c:y val="0.269348388614444"/>
          <c:w val="0.198530297554512"/>
          <c:h val="0.47635850388144"/>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25"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t>图6    一般公共预算财政拨款支出决算结构</a:t>
            </a:r>
            <a:endParaRPr sz="1425"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3925479618915"/>
          <c:y val="0.0179802217560683"/>
        </c:manualLayout>
      </c:layout>
      <c:overlay val="0"/>
      <c:spPr>
        <a:noFill/>
        <a:ln w="3175">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Pt>
            <c:idx val="3"/>
            <c:bubble3D val="0"/>
            <c:explosion val="0"/>
            <c:spPr>
              <a:solidFill>
                <a:srgbClr val="CCFFFF"/>
              </a:solidFill>
              <a:ln w="12700">
                <a:solidFill>
                  <a:srgbClr val="000000">
                    <a:alpha val="100000"/>
                  </a:srgbClr>
                </a:solidFill>
                <a:prstDash val="solid"/>
              </a:ln>
              <a:effectLst/>
            </c:spPr>
          </c:dPt>
          <c:dPt>
            <c:idx val="4"/>
            <c:bubble3D val="0"/>
            <c:explosion val="0"/>
            <c:spPr>
              <a:solidFill>
                <a:schemeClr val="accent2"/>
              </a:solidFill>
              <a:ln w="12700">
                <a:solidFill>
                  <a:srgbClr val="000000">
                    <a:alpha val="100000"/>
                  </a:srgbClr>
                </a:solidFill>
                <a:prstDash val="solid"/>
              </a:ln>
              <a:effectLst/>
            </c:spPr>
          </c:dPt>
          <c:dLbls>
            <c:dLbl>
              <c:idx val="0"/>
              <c:layout>
                <c:manualLayout>
                  <c:x val="-0.111878453038674"/>
                  <c:y val="-0.246556042579837"/>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rPr sz="1200" b="0" i="0" u="none" strike="noStrike" baseline="0">
                        <a:solidFill>
                          <a:srgbClr val="000000"/>
                        </a:solidFill>
                        <a:latin typeface="宋体" panose="02010600030101010101" charset="-122"/>
                        <a:ea typeface="宋体" panose="02010600030101010101" charset="-122"/>
                        <a:cs typeface="宋体" panose="02010600030101010101" charset="-122"/>
                      </a:rPr>
                      <a:t>一般公共服务支出,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363.09</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 </a:t>
                    </a:r>
                    <a:r>
                      <a:rPr lang="en-US" altLang="zh-CN" sz="1200" b="0" i="0" u="none" strike="noStrike" baseline="0">
                        <a:solidFill>
                          <a:srgbClr val="000000"/>
                        </a:solidFill>
                        <a:latin typeface="宋体" panose="02010600030101010101" charset="-122"/>
                        <a:ea typeface="宋体" panose="02010600030101010101" charset="-122"/>
                        <a:cs typeface="宋体" panose="02010600030101010101" charset="-122"/>
                      </a:rPr>
                      <a:t>70.14</a:t>
                    </a:r>
                    <a:r>
                      <a:rPr sz="1200" b="0" i="0" u="none" strike="noStrike" baseline="0">
                        <a:solidFill>
                          <a:srgbClr val="000000"/>
                        </a:solidFill>
                        <a:latin typeface="宋体" panose="02010600030101010101" charset="-122"/>
                        <a:ea typeface="宋体" panose="02010600030101010101" charset="-122"/>
                        <a:cs typeface="宋体" panose="02010600030101010101" charset="-122"/>
                      </a:rPr>
                      <a:t>%</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552486187845304"/>
                  <c:y val="0.0966436919388673"/>
                </c:manualLayout>
              </c:layout>
              <c:tx>
                <c:rich>
                  <a:bodyPr rot="0" spcFirstLastPara="0" vertOverflow="ellipsis" horzOverflow="overflow"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社会保障和就业支出, </a:t>
                    </a:r>
                    <a:r>
                      <a:rPr lang="en-US" altLang="zh-CN"/>
                      <a:t>44.77</a:t>
                    </a:r>
                    <a:r>
                      <a:t>, </a:t>
                    </a:r>
                    <a:r>
                      <a:rPr lang="en-US" altLang="zh-CN"/>
                      <a:t>8.65</a:t>
                    </a:r>
                    <a:r>
                      <a:t>%</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205801104972376"/>
                  <c:y val="0.0179802217560683"/>
                </c:manualLayout>
              </c:layout>
              <c:tx>
                <c:rich>
                  <a:bodyPr rot="0" spcFirstLastPara="0" vertOverflow="ellipsis" horzOverflow="overflow"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住房保障支出, </a:t>
                    </a:r>
                    <a:r>
                      <a:rPr lang="en-US" altLang="zh-CN"/>
                      <a:t>30.94</a:t>
                    </a:r>
                    <a:r>
                      <a:t>, </a:t>
                    </a:r>
                    <a:r>
                      <a:rPr lang="en-US" altLang="zh-CN"/>
                      <a:t>5.98</a:t>
                    </a:r>
                    <a:r>
                      <a:t>%</a:t>
                    </a:r>
                    <a:endParaRPr sz="12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endParaRPr>
                  </a:p>
                </c:rich>
              </c:tx>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3"/>
              <c:layout>
                <c:manualLayout>
                  <c:x val="-0.00276243093922652"/>
                  <c:y val="0.00899011087803416"/>
                </c:manualLayout>
              </c:layout>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dLbl>
              <c:idx val="4"/>
              <c:layout>
                <c:manualLayout>
                  <c:x val="0.164372203675361"/>
                  <c:y val="0.0313639198527243"/>
                </c:manualLayout>
              </c:layout>
              <c:tx>
                <c:rich>
                  <a:bodyPr rot="0" spcFirstLastPara="0" vertOverflow="ellipsis" vert="horz" wrap="square" lIns="38100" tIns="19050" rIns="38100" bIns="19050" anchor="ctr" anchorCtr="1"/>
                  <a:lstStyle/>
                  <a:p>
                    <a:pPr defTabSz="914400">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r>
                      <a:t>卫生健康支出, 30.4, </a:t>
                    </a:r>
                    <a:r>
                      <a:rPr lang="en-US" altLang="zh-CN"/>
                      <a:t>5.87</a:t>
                    </a:r>
                    <a:r>
                      <a:t>%</a:t>
                    </a:r>
                  </a:p>
                </c:rich>
              </c:tx>
              <c:numFmt formatCode="0.00%" sourceLinked="1"/>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horzOverflow="overflow" vert="horz" wrap="square" lIns="38100" tIns="19050" rIns="38100" bIns="19050" anchor="ctr" anchorCtr="1"/>
              <a:lstStyle/>
              <a:p>
                <a:pPr>
                  <a:defRPr lang="zh-CN" sz="1025"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[2021决算公开图表.xls]Sheet1!$A$110:$A$114</c:f>
              <c:strCache>
                <c:ptCount val="5"/>
                <c:pt idx="0">
                  <c:v>一般公共服务支出</c:v>
                </c:pt>
                <c:pt idx="1">
                  <c:v>社会保障和就业支出</c:v>
                </c:pt>
                <c:pt idx="2">
                  <c:v>住房保障支出</c:v>
                </c:pt>
                <c:pt idx="3">
                  <c:v>公共安全支出</c:v>
                </c:pt>
                <c:pt idx="4">
                  <c:v>卫生健康支出</c:v>
                </c:pt>
              </c:strCache>
            </c:strRef>
          </c:cat>
          <c:val>
            <c:numRef>
              <c:f>[2021决算公开图表.xls]Sheet1!$B$110:$B$114</c:f>
              <c:numCache>
                <c:formatCode>General</c:formatCode>
                <c:ptCount val="5"/>
                <c:pt idx="0">
                  <c:v>363.09</c:v>
                </c:pt>
                <c:pt idx="1">
                  <c:v>44.77</c:v>
                </c:pt>
                <c:pt idx="2">
                  <c:v>30.94</c:v>
                </c:pt>
                <c:pt idx="3">
                  <c:v>48.47</c:v>
                </c:pt>
                <c:pt idx="4">
                  <c:v>30.4</c:v>
                </c:pt>
              </c:numCache>
            </c:numRef>
          </c:val>
        </c:ser>
        <c:ser>
          <c:idx val="1"/>
          <c:order val="1"/>
          <c:explosion val="0"/>
          <c:dPt>
            <c:idx val="0"/>
            <c:bubble3D val="0"/>
          </c:dPt>
          <c:dPt>
            <c:idx val="1"/>
            <c:bubble3D val="0"/>
          </c:dPt>
          <c:dPt>
            <c:idx val="2"/>
            <c:bubble3D val="0"/>
          </c:dPt>
          <c:dPt>
            <c:idx val="3"/>
            <c:bubble3D val="0"/>
          </c:dPt>
          <c:dPt>
            <c:idx val="4"/>
            <c:bubble3D val="0"/>
          </c:dPt>
          <c:dLbls>
            <c:delete val="1"/>
          </c:dLbls>
          <c:cat>
            <c:strRef>
              <c:f>[2021决算公开图表.xls]Sheet1!$A$110:$A$114</c:f>
              <c:strCache>
                <c:ptCount val="5"/>
                <c:pt idx="0">
                  <c:v>一般公共服务支出</c:v>
                </c:pt>
                <c:pt idx="1">
                  <c:v>社会保障和就业支出</c:v>
                </c:pt>
                <c:pt idx="2">
                  <c:v>住房保障支出</c:v>
                </c:pt>
                <c:pt idx="3">
                  <c:v>公共安全支出</c:v>
                </c:pt>
                <c:pt idx="4">
                  <c:v>卫生健康支出</c:v>
                </c:pt>
              </c:strCache>
            </c:strRef>
          </c:cat>
          <c:val>
            <c:numRef>
              <c:f>[2021决算公开图表.xls]Sheet1!$C$110:$C$114</c:f>
              <c:numCache>
                <c:formatCode>0.00%</c:formatCode>
                <c:ptCount val="5"/>
                <c:pt idx="0">
                  <c:v>0.7014</c:v>
                </c:pt>
                <c:pt idx="1">
                  <c:v>0.0865</c:v>
                </c:pt>
                <c:pt idx="2">
                  <c:v>0.0598</c:v>
                </c:pt>
                <c:pt idx="3">
                  <c:v>0.0936</c:v>
                </c:pt>
                <c:pt idx="4">
                  <c:v>0.0587</c:v>
                </c:pt>
              </c:numCache>
            </c:numRef>
          </c:val>
        </c:ser>
        <c:ser>
          <c:idx val="2"/>
          <c:order val="2"/>
          <c:tx>
            <c:strRef>
              <c:f>[2021决算公开图表.xls]Sheet1!$A$113</c:f>
              <c:strCache>
                <c:ptCount val="1"/>
                <c:pt idx="0">
                  <c:v>公共安全支出</c:v>
                </c:pt>
              </c:strCache>
            </c:strRef>
          </c:tx>
          <c:explosion val="0"/>
          <c:dPt>
            <c:idx val="0"/>
            <c:bubble3D val="0"/>
          </c:dPt>
          <c:dLbls>
            <c:delete val="1"/>
          </c:dLbls>
          <c:cat>
            <c:strRef>
              <c:f>[2021决算公开图表.xls]Sheet1!$A$110:$A$114</c:f>
              <c:strCache>
                <c:ptCount val="5"/>
                <c:pt idx="0">
                  <c:v>一般公共服务支出</c:v>
                </c:pt>
                <c:pt idx="1">
                  <c:v>社会保障和就业支出</c:v>
                </c:pt>
                <c:pt idx="2">
                  <c:v>住房保障支出</c:v>
                </c:pt>
                <c:pt idx="3">
                  <c:v>公共安全支出</c:v>
                </c:pt>
                <c:pt idx="4">
                  <c:v>卫生健康支出</c:v>
                </c:pt>
              </c:strCache>
            </c:strRef>
          </c:cat>
          <c:val>
            <c:numRef>
              <c:f>{1}</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r>
              <a:rPr sz="1400" b="0" i="0" u="none" strike="noStrike" baseline="0">
                <a:solidFill>
                  <a:srgbClr val="000000"/>
                </a:solidFill>
                <a:latin typeface="宋体" panose="02010600030101010101" charset="-122"/>
                <a:ea typeface="宋体" panose="02010600030101010101" charset="-122"/>
                <a:cs typeface="宋体" panose="02010600030101010101" charset="-122"/>
              </a:rPr>
              <a:t>图</a:t>
            </a:r>
            <a:r>
              <a:rPr lang="en-US" altLang="zh-CN" sz="1400" b="0" i="0" u="none" strike="noStrike" baseline="0">
                <a:solidFill>
                  <a:srgbClr val="333333"/>
                </a:solidFill>
                <a:latin typeface="Arial" panose="020B0604020202020204" pitchFamily="2" charset="0"/>
                <a:ea typeface="Arial" panose="020B0604020202020204" pitchFamily="2" charset="0"/>
                <a:cs typeface="Arial" panose="020B0604020202020204" pitchFamily="2" charset="0"/>
              </a:rPr>
              <a:t>7</a:t>
            </a:r>
            <a:r>
              <a:rPr sz="1400" b="0" i="0" u="none" strike="noStrike" baseline="0">
                <a:solidFill>
                  <a:srgbClr val="000000"/>
                </a:solidFill>
                <a:latin typeface="宋体" panose="02010600030101010101" charset="-122"/>
                <a:ea typeface="宋体" panose="02010600030101010101" charset="-122"/>
                <a:cs typeface="宋体" panose="02010600030101010101" charset="-122"/>
              </a:rPr>
              <a:t>  “三公”经费财政拨款支出结构</a:t>
            </a:r>
            <a:endParaRPr sz="12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manualLayout>
          <c:xMode val="edge"/>
          <c:yMode val="edge"/>
          <c:x val="0.267368596216539"/>
          <c:y val="0.0221606648199446"/>
        </c:manualLayout>
      </c:layout>
      <c:overlay val="0"/>
    </c:title>
    <c:autoTitleDeleted val="0"/>
    <c:plotArea>
      <c:layout>
        <c:manualLayout>
          <c:layoutTarget val="inner"/>
          <c:xMode val="edge"/>
          <c:yMode val="edge"/>
          <c:x val="0.140199807877041"/>
          <c:y val="0.192609418282548"/>
          <c:w val="0.37473967339097"/>
          <c:h val="0.720413665743306"/>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explosion val="0"/>
            <c:spPr>
              <a:solidFill>
                <a:srgbClr val="9999FF"/>
              </a:solidFill>
              <a:ln w="12700">
                <a:solidFill>
                  <a:srgbClr val="000000">
                    <a:alpha val="100000"/>
                  </a:srgbClr>
                </a:solidFill>
                <a:prstDash val="solid"/>
              </a:ln>
              <a:effectLst/>
            </c:spPr>
          </c:dPt>
          <c:dPt>
            <c:idx val="1"/>
            <c:bubble3D val="0"/>
            <c:explosion val="0"/>
            <c:spPr>
              <a:solidFill>
                <a:srgbClr val="993366"/>
              </a:solidFill>
              <a:ln w="12700">
                <a:solidFill>
                  <a:srgbClr val="000000">
                    <a:alpha val="100000"/>
                  </a:srgbClr>
                </a:solidFill>
                <a:prstDash val="solid"/>
              </a:ln>
              <a:effectLst/>
            </c:spPr>
          </c:dPt>
          <c:dPt>
            <c:idx val="2"/>
            <c:bubble3D val="0"/>
            <c:explosion val="0"/>
            <c:spPr>
              <a:solidFill>
                <a:srgbClr val="FFFFCC"/>
              </a:solidFill>
              <a:ln w="12700">
                <a:solidFill>
                  <a:srgbClr val="000000">
                    <a:alpha val="100000"/>
                  </a:srgbClr>
                </a:solidFill>
                <a:prstDash val="solid"/>
              </a:ln>
              <a:effectLst/>
            </c:spPr>
          </c:dPt>
          <c:dLbls>
            <c:dLbl>
              <c:idx val="0"/>
              <c:layout>
                <c:manualLayout>
                  <c:x val="-0.177624168462366"/>
                  <c:y val="0.528739933096974"/>
                </c:manualLayout>
              </c:layout>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extLst>
                <c:ext xmlns:c15="http://schemas.microsoft.com/office/drawing/2012/chart" uri="{CE6537A1-D6FC-4f65-9D91-7224C49458BB}">
                  <c15:layout>
                    <c:manualLayout>
                      <c:w val="0.335519111672715"/>
                      <c:h val="0.155469309584384"/>
                    </c:manualLayout>
                  </c15:layout>
                </c:ext>
              </c:extLst>
            </c:dLbl>
            <c:dLbl>
              <c:idx val="1"/>
              <c:layout>
                <c:manualLayout>
                  <c:x val="-0.15850144092219"/>
                  <c:y val="0.220052446906563"/>
                </c:manualLayout>
              </c:layout>
              <c:dLblPos val="bestFit"/>
              <c:showLegendKey val="1"/>
              <c:showVal val="1"/>
              <c:showCatName val="1"/>
              <c:showSerName val="0"/>
              <c:showPercent val="1"/>
              <c:showBubbleSize val="0"/>
              <c:extLst>
                <c:ext xmlns:c15="http://schemas.microsoft.com/office/drawing/2012/chart" uri="{CE6537A1-D6FC-4f65-9D91-7224C49458BB}">
                  <c15:layout>
                    <c:manualLayout>
                      <c:w val="0.308971201400643"/>
                      <c:h val="0.2415881724212"/>
                    </c:manualLayout>
                  </c15:layout>
                </c:ext>
              </c:extLst>
            </c:dLbl>
            <c:dLbl>
              <c:idx val="2"/>
              <c:layout>
                <c:manualLayout>
                  <c:x val="0.134005763688761"/>
                  <c:y val="0.260387811634349"/>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horzOverflow="overflow" vert="horz" wrap="square" lIns="38100" tIns="19050" rIns="38100" bIns="19050"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[2021决算公开图表.xls]Sheet1!$B$137:$B$139</c:f>
              <c:strCache>
                <c:ptCount val="3"/>
                <c:pt idx="0">
                  <c:v>因公出国（境）费支出</c:v>
                </c:pt>
                <c:pt idx="1">
                  <c:v>公务用车购置及运行维护费支出</c:v>
                </c:pt>
                <c:pt idx="2">
                  <c:v>公务接待费支出</c:v>
                </c:pt>
              </c:strCache>
            </c:strRef>
          </c:cat>
          <c:val>
            <c:numRef>
              <c:f>[2021决算公开图表.xls]Sheet1!$C$137:$C$139</c:f>
              <c:numCache>
                <c:formatCode>General</c:formatCode>
                <c:ptCount val="3"/>
                <c:pt idx="0">
                  <c:v>0</c:v>
                </c:pt>
                <c:pt idx="1">
                  <c:v>0</c:v>
                </c:pt>
                <c:pt idx="2">
                  <c:v>0</c:v>
                </c:pt>
              </c:numCache>
            </c:numRef>
          </c:val>
        </c:ser>
        <c:ser>
          <c:idx val="1"/>
          <c:order val="1"/>
          <c:spPr>
            <a:solidFill>
              <a:srgbClr val="993366"/>
            </a:solidFill>
            <a:ln w="12700">
              <a:solidFill>
                <a:srgbClr val="000000"/>
              </a:solidFill>
              <a:prstDash val="solid"/>
            </a:ln>
            <a:effectLst/>
          </c:spPr>
          <c:explosion val="0"/>
          <c:dPt>
            <c:idx val="0"/>
            <c:bubble3D val="0"/>
            <c:explosion val="0"/>
            <c:spPr>
              <a:solidFill>
                <a:srgbClr val="9999FF"/>
              </a:solidFill>
              <a:ln w="12700">
                <a:solidFill>
                  <a:srgbClr val="000000"/>
                </a:solidFill>
                <a:prstDash val="solid"/>
              </a:ln>
              <a:effectLst/>
            </c:spPr>
          </c:dPt>
          <c:dPt>
            <c:idx val="1"/>
            <c:bubble3D val="0"/>
            <c:explosion val="0"/>
            <c:spPr>
              <a:solidFill>
                <a:srgbClr val="993366"/>
              </a:solidFill>
              <a:ln w="12700">
                <a:solidFill>
                  <a:srgbClr val="000000"/>
                </a:solidFill>
                <a:prstDash val="solid"/>
              </a:ln>
              <a:effectLst/>
            </c:spPr>
          </c:dPt>
          <c:dPt>
            <c:idx val="2"/>
            <c:bubble3D val="0"/>
            <c:explosion val="0"/>
            <c:spPr>
              <a:solidFill>
                <a:srgbClr val="FFFFCC"/>
              </a:solidFill>
              <a:ln w="12700">
                <a:solidFill>
                  <a:srgbClr val="000000"/>
                </a:solidFill>
                <a:prstDash val="solid"/>
              </a:ln>
              <a:effectLst/>
            </c:spPr>
          </c:dPt>
          <c:dLbls>
            <c:delete val="1"/>
          </c:dLbls>
          <c:cat>
            <c:strRef>
              <c:f>[2021决算公开图表.xls]Sheet1!$B$137:$B$139</c:f>
              <c:strCache>
                <c:ptCount val="3"/>
                <c:pt idx="0">
                  <c:v>因公出国（境）费支出</c:v>
                </c:pt>
                <c:pt idx="1">
                  <c:v>公务用车购置及运行维护费支出</c:v>
                </c:pt>
                <c:pt idx="2">
                  <c:v>公务接待费支出</c:v>
                </c:pt>
              </c:strCache>
            </c:strRef>
          </c:cat>
          <c:val>
            <c:numRef>
              <c:f>[2021决算公开图表.xls]Sheet1!$D$137:$D$139</c:f>
              <c:numCache>
                <c:formatCode>0%</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5552353506244"/>
          <c:y val="0.313019390581717"/>
          <c:w val="0.336215177713737"/>
          <c:h val="0.501385041551247"/>
        </c:manualLayout>
      </c:layout>
      <c:overlay val="0"/>
      <c:spPr>
        <a:solidFill>
          <a:srgbClr val="FFFFFF"/>
        </a:solidFill>
        <a:ln>
          <a:solidFill>
            <a:srgbClr val="000000"/>
          </a:solidFill>
        </a:ln>
        <a:effectLst/>
      </c:spPr>
      <c:txPr>
        <a:bodyPr rot="0" spcFirstLastPara="0" vertOverflow="ellipsis" horzOverflow="overflow" vert="horz" wrap="square" anchor="ctr" anchorCtr="1"/>
        <a:lstStyle/>
        <a:p>
          <a:pPr>
            <a:defRPr lang="zh-CN" sz="1200" b="0" i="0" u="none" strike="noStrike" kern="1200" baseline="0">
              <a:solidFill>
                <a:schemeClr val="tx1"/>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rgbClr val="000000">
          <a:alpha val="100000"/>
        </a:srgbClr>
      </a:solidFill>
      <a:prstDash val="solid"/>
      <a:round/>
    </a:ln>
    <a:effectLst/>
  </c:spPr>
  <c:txPr>
    <a:bodyPr rot="0" spcFirstLastPara="0" vertOverflow="ellipsis" horzOverflow="overflow" vert="horz" wrap="square" anchor="ctr" anchorCtr="1"/>
    <a:lstStyle/>
    <a:p>
      <a:pPr>
        <a:defRPr lang="zh-CN" sz="1200" b="0" i="0" u="none" strike="noStrike">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9</TotalTime>
  <ScaleCrop>false</ScaleCrop>
  <LinksUpToDate>false</LinksUpToDate>
  <CharactersWithSpaces>8880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赖光美</cp:lastModifiedBy>
  <cp:lastPrinted>2025-10-27T08:10:49Z</cp:lastPrinted>
  <dcterms:modified xsi:type="dcterms:W3CDTF">2025-10-27T08:19:09Z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04787F2533EB45DC91BCDE4AB213247F</vt:lpwstr>
  </property>
</Properties>
</file>