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93"/>
        <w:rPr>
          <w:rFonts w:hint="default" w:ascii="Times New Roman" w:hAnsi="Times New Roman" w:eastAsia="方正小标宋简体" w:cs="Times New Roman"/>
          <w:kern w:val="2"/>
          <w:sz w:val="72"/>
          <w:szCs w:val="72"/>
        </w:rPr>
      </w:pPr>
      <w:bookmarkStart w:id="0" w:name="_Toc15396475"/>
      <w:bookmarkStart w:id="1" w:name="_Toc15377425"/>
      <w:bookmarkStart w:id="2" w:name="_Toc15378441"/>
      <w:bookmarkStart w:id="3" w:name="_Toc15396597"/>
      <w:bookmarkStart w:id="4" w:name="_Toc15306267"/>
      <w:bookmarkStart w:id="5" w:name="_Toc15377193"/>
    </w:p>
    <w:p>
      <w:pPr>
        <w:pStyle w:val="8"/>
        <w:spacing w:before="93"/>
        <w:rPr>
          <w:rFonts w:hint="default" w:ascii="Times New Roman" w:hAnsi="Times New Roman" w:eastAsia="方正小标宋简体" w:cs="Times New Roman"/>
          <w:kern w:val="2"/>
          <w:sz w:val="72"/>
          <w:szCs w:val="72"/>
        </w:rPr>
      </w:pPr>
    </w:p>
    <w:p>
      <w:pPr>
        <w:pStyle w:val="8"/>
        <w:spacing w:before="93"/>
        <w:rPr>
          <w:rFonts w:hint="default" w:ascii="Times New Roman" w:hAnsi="Times New Roman" w:eastAsia="方正小标宋简体" w:cs="Times New Roman"/>
          <w:kern w:val="2"/>
          <w:sz w:val="72"/>
          <w:szCs w:val="72"/>
        </w:rPr>
      </w:pPr>
    </w:p>
    <w:p>
      <w:pPr>
        <w:pStyle w:val="8"/>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pPr>
        <w:pStyle w:val="8"/>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lang w:eastAsia="zh-CN"/>
        </w:rPr>
        <w:t>中国共产党盐边县纪律检查委员会</w:t>
      </w:r>
      <w:r>
        <w:rPr>
          <w:rFonts w:hint="default" w:ascii="Times New Roman" w:hAnsi="Times New Roman" w:eastAsia="方正小标宋简体" w:cs="Times New Roman"/>
          <w:kern w:val="2"/>
          <w:sz w:val="72"/>
          <w:szCs w:val="72"/>
        </w:rPr>
        <w:t>单位决算</w:t>
      </w:r>
    </w:p>
    <w:p>
      <w:pPr>
        <w:pStyle w:val="8"/>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公开编制说明</w:t>
      </w:r>
    </w:p>
    <w:p>
      <w:pPr>
        <w:spacing w:line="600" w:lineRule="exact"/>
        <w:jc w:val="center"/>
        <w:outlineLvl w:val="0"/>
        <w:rPr>
          <w:rFonts w:hint="default" w:ascii="Times New Roman" w:hAnsi="Times New Roman" w:eastAsia="方正小标宋简体" w:cs="Times New Roman"/>
          <w:sz w:val="72"/>
          <w:szCs w:val="72"/>
        </w:rPr>
      </w:pPr>
    </w:p>
    <w:p>
      <w:pPr>
        <w:pStyle w:val="21"/>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3"/>
        <w:rPr>
          <w:rFonts w:hint="default" w:ascii="Times New Roman" w:hAnsi="Times New Roman" w:eastAsia="仿宋_GB2312" w:cs="Times New Roman"/>
        </w:rPr>
      </w:pPr>
      <w:r>
        <w:rPr>
          <w:rFonts w:hint="default" w:ascii="Times New Roman" w:hAnsi="Times New Roman" w:eastAsia="仿宋_GB2312" w:cs="Times New Roman"/>
        </w:rPr>
        <w:t>公开时间：2025年10月</w:t>
      </w:r>
      <w:r>
        <w:rPr>
          <w:rFonts w:hint="default" w:ascii="Times New Roman" w:hAnsi="Times New Roman" w:eastAsia="仿宋_GB2312" w:cs="Times New Roman"/>
          <w:lang w:val="en-US" w:eastAsia="zh-CN"/>
        </w:rPr>
        <w:t>28</w:t>
      </w:r>
      <w:r>
        <w:rPr>
          <w:rFonts w:hint="default" w:ascii="Times New Roman" w:hAnsi="Times New Roman" w:eastAsia="仿宋_GB2312" w:cs="Times New Roman"/>
        </w:rPr>
        <w:t>日</w:t>
      </w:r>
    </w:p>
    <w:p>
      <w:pPr>
        <w:outlineLvl w:val="1"/>
        <w:rPr>
          <w:rFonts w:hint="default" w:ascii="Times New Roman" w:hAnsi="Times New Roman" w:cs="Times New Roman"/>
          <w:sz w:val="28"/>
          <w:szCs w:val="28"/>
        </w:rPr>
      </w:pP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bookmarkStart w:id="6" w:name="_Toc15377196"/>
      <w:bookmarkStart w:id="7" w:name="_Toc15396599"/>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TOC \o "1-2" \u </w:instrText>
      </w:r>
      <w:r>
        <w:rPr>
          <w:rFonts w:hint="default" w:ascii="Times New Roman" w:hAnsi="Times New Roman" w:eastAsia="仿宋_GB2312" w:cs="Times New Roman"/>
        </w:rPr>
        <w:fldChar w:fldCharType="separate"/>
      </w:r>
      <w:r>
        <w:rPr>
          <w:rFonts w:hint="default" w:ascii="Times New Roman" w:hAnsi="Times New Roman" w:eastAsia="黑体" w:cs="Times New Roman"/>
        </w:rPr>
        <w:t>第一部分  单位概况</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_Toc16548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3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left="0" w:leftChars="0"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lang w:eastAsia="zh-CN"/>
        </w:rPr>
        <w:t>一、</w:t>
      </w:r>
      <w:r>
        <w:rPr>
          <w:rFonts w:hint="default" w:ascii="Times New Roman" w:hAnsi="Times New Roman" w:eastAsia="仿宋_GB2312" w:cs="Times New Roman"/>
        </w:rPr>
        <w:t>主要职责</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_Toc1503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3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left="0" w:leftChars="0"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二、机构设置</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_Toc24800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3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黑体" w:cs="Times New Roman"/>
        </w:rPr>
        <w:t>第二部分  2024年度部门决算情况说明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_Toc24376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4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一、收入支出决算总体情况说明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_Toc5380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4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二、收入决算情况说明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_Toc18596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4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三、支出决算情况说明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_Toc25375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4</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四、财政拨款收入支出决算总体情况说明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_Toc9878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5</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left="630" w:leftChars="300"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rPr>
        <w:t>五、一般公共预算财政拨款支出决算情况说明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_Toc31520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5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left="630" w:leftChars="300"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rPr>
        <w:t>六、一般公共预算财政拨款基本支出决算情况说明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_Toc24870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8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left="630" w:leftChars="300"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rPr>
        <w:t>七、财政拨款“三公”经费支出决算情况说明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_Toc20238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9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left="630" w:leftChars="300"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rPr>
        <w:t>八、政府性基金预算支出决算情况说明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_Toc8975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10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left="630" w:leftChars="300"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rPr>
        <w:t>九、 国有资本经营预算支出决算情况说明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_Toc21834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11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left="630" w:leftChars="300"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rPr>
        <w:t>十、其他重要事项的情况说明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_Toc10967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11</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黑体" w:cs="Times New Roman"/>
        </w:rPr>
      </w:pPr>
      <w:r>
        <w:rPr>
          <w:rFonts w:hint="default" w:ascii="Times New Roman" w:hAnsi="Times New Roman" w:eastAsia="黑体" w:cs="Times New Roman"/>
        </w:rPr>
        <w:t>第三部分  名词解释</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_Toc2031 </w:instrText>
      </w:r>
      <w:r>
        <w:rPr>
          <w:rFonts w:hint="default" w:ascii="Times New Roman" w:hAnsi="Times New Roman" w:eastAsia="黑体" w:cs="Times New Roman"/>
        </w:rPr>
        <w:fldChar w:fldCharType="separate"/>
      </w:r>
      <w:r>
        <w:rPr>
          <w:rFonts w:hint="default" w:ascii="Times New Roman" w:hAnsi="Times New Roman" w:eastAsia="黑体" w:cs="Times New Roman"/>
        </w:rPr>
        <w:t xml:space="preserve"> 13</w:t>
      </w:r>
      <w:r>
        <w:rPr>
          <w:rFonts w:hint="default" w:ascii="Times New Roman" w:hAnsi="Times New Roman" w:eastAsia="黑体"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黑体" w:cs="Times New Roman"/>
        </w:rPr>
        <w:t>第四部分  附件</w:t>
      </w:r>
      <w:r>
        <w:rPr>
          <w:rFonts w:hint="default" w:ascii="Times New Roman" w:hAnsi="Times New Roman" w:eastAsia="黑体"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_Toc31806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17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黑体" w:cs="Times New Roman"/>
        </w:rPr>
        <w:t>第五部分 附表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_Toc11587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18</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left="0" w:leftChars="0"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一、收入支出决算总表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_Toc7754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18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left="0" w:leftChars="0"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二、收入决算表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_Toc29982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18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三、支出决算表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_Toc4184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18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四、财政拨款收入支出决算总表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_Toc18233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18</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五、财政拨款支出决算明细表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_Toc4573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18</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六、一般公共预算财政拨款支出决算表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_Toc2378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18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七、一般公共预算财政拨款支出决算明细表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_Toc28006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18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八、一般公共预算财政拨款基本支出决算表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_Toc12440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18</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九、一般公共预算财政拨款项目支出决算表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_Toc27748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18 </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十、政府性基金预算财政拨款收入支出决算表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_Toc27911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18</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十一、国有资本经营预算财政拨款收入支出决算表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_Toc17019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18</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十二、国有资本经营预算财政拨款支出决算表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_Toc8629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 xml:space="preserve"> 18</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十三、财政拨款“三公”经费支出决算表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_Toc29748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18</w:t>
      </w:r>
      <w:r>
        <w:rPr>
          <w:rFonts w:hint="default" w:ascii="Times New Roman" w:hAnsi="Times New Roman" w:eastAsia="仿宋_GB2312" w:cs="Times New Roman"/>
        </w:rPr>
        <w:fldChar w:fldCharType="end"/>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ind w:right="0" w:rightChars="0" w:firstLine="0" w:firstLineChars="0"/>
        <w:jc w:val="left"/>
        <w:textAlignment w:val="auto"/>
        <w:outlineLvl w:val="1"/>
        <w:rPr>
          <w:rFonts w:hint="eastAsia" w:ascii="仿宋_GB2312" w:hAnsi="仿宋_GB2312" w:eastAsia="仿宋_GB2312" w:cs="仿宋_GB2312"/>
        </w:rPr>
      </w:pPr>
      <w:r>
        <w:rPr>
          <w:rFonts w:hint="default" w:ascii="Times New Roman" w:hAnsi="Times New Roman" w:eastAsia="仿宋_GB2312" w:cs="Times New Roman"/>
        </w:rPr>
        <w:fldChar w:fldCharType="end"/>
      </w:r>
    </w:p>
    <w:p>
      <w:pPr>
        <w:pStyle w:val="5"/>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rPr>
      </w:pPr>
      <w:bookmarkStart w:id="8" w:name="_Toc16548"/>
    </w:p>
    <w:p>
      <w:pPr>
        <w:pStyle w:val="5"/>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Style w:val="30"/>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 xml:space="preserve">第一部分  </w:t>
      </w:r>
      <w:r>
        <w:rPr>
          <w:rStyle w:val="30"/>
          <w:rFonts w:hint="eastAsia" w:ascii="方正小标宋_GBK" w:hAnsi="方正小标宋_GBK" w:eastAsia="方正小标宋_GBK" w:cs="方正小标宋_GBK"/>
          <w:b w:val="0"/>
          <w:bCs/>
        </w:rPr>
        <w:t>单位概况</w:t>
      </w:r>
      <w:bookmarkEnd w:id="6"/>
      <w:bookmarkEnd w:id="7"/>
      <w:bookmarkEnd w:id="8"/>
    </w:p>
    <w:p>
      <w:pPr>
        <w:pStyle w:val="6"/>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rPr>
          <w:rFonts w:hint="eastAsia" w:ascii="方正黑体_GBK" w:hAnsi="方正黑体_GBK" w:eastAsia="方正黑体_GBK" w:cs="方正黑体_GBK"/>
          <w:b w:val="0"/>
          <w:lang w:eastAsia="zh-CN"/>
        </w:rPr>
      </w:pPr>
      <w:bookmarkStart w:id="9" w:name="_Toc1503"/>
    </w:p>
    <w:p>
      <w:pPr>
        <w:pStyle w:val="6"/>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1"/>
        <w:rPr>
          <w:rFonts w:hint="eastAsia" w:ascii="方正黑体_GBK" w:hAnsi="方正黑体_GBK" w:eastAsia="方正黑体_GBK" w:cs="方正黑体_GBK"/>
          <w:b w:val="0"/>
        </w:rPr>
      </w:pPr>
      <w:r>
        <w:rPr>
          <w:rFonts w:hint="eastAsia" w:ascii="方正黑体_GBK" w:hAnsi="方正黑体_GBK" w:eastAsia="方正黑体_GBK" w:cs="方正黑体_GBK"/>
          <w:b w:val="0"/>
          <w:lang w:eastAsia="zh-CN"/>
        </w:rPr>
        <w:t>一、</w:t>
      </w:r>
      <w:r>
        <w:rPr>
          <w:rFonts w:hint="eastAsia" w:ascii="方正黑体_GBK" w:hAnsi="方正黑体_GBK" w:eastAsia="方正黑体_GBK" w:cs="方正黑体_GBK"/>
          <w:b w:val="0"/>
        </w:rPr>
        <w:t>主要职责</w:t>
      </w:r>
      <w:bookmarkEnd w:id="9"/>
    </w:p>
    <w:p>
      <w:pPr>
        <w:pStyle w:val="6"/>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rPr>
          <w:rFonts w:hint="eastAsia" w:ascii="方正仿宋_GBK" w:hAnsi="方正仿宋_GBK" w:eastAsia="方正仿宋_GBK" w:cs="方正仿宋_GBK"/>
          <w:b w:val="0"/>
        </w:rPr>
      </w:pPr>
      <w:r>
        <w:rPr>
          <w:rFonts w:hint="default" w:ascii="方正黑体_GBK" w:hAnsi="方正黑体_GBK" w:eastAsia="方正黑体_GBK" w:cs="方正黑体_GBK"/>
          <w:b w:val="0"/>
          <w:lang w:val="en-US" w:eastAsia="zh-CN"/>
        </w:rPr>
        <w:t xml:space="preserve">  </w:t>
      </w:r>
      <w:r>
        <w:rPr>
          <w:rFonts w:hint="eastAsia" w:ascii="方正仿宋_GBK" w:hAnsi="方正仿宋_GBK" w:eastAsia="方正仿宋_GBK" w:cs="方正仿宋_GBK"/>
          <w:b w:val="0"/>
          <w:lang w:val="en-US" w:eastAsia="zh-CN"/>
        </w:rPr>
        <w:t xml:space="preserve"> </w:t>
      </w:r>
      <w:bookmarkStart w:id="10" w:name="_Toc613"/>
      <w:r>
        <w:rPr>
          <w:rFonts w:hint="eastAsia" w:ascii="方正仿宋_GBK" w:hAnsi="方正仿宋_GBK" w:eastAsia="方正仿宋_GBK" w:cs="方正仿宋_GBK"/>
          <w:b w:val="0"/>
        </w:rPr>
        <w:t>盐边县纪委</w:t>
      </w:r>
      <w:r>
        <w:rPr>
          <w:rFonts w:hint="eastAsia" w:ascii="方正仿宋_GBK" w:hAnsi="方正仿宋_GBK" w:eastAsia="方正仿宋_GBK" w:cs="方正仿宋_GBK"/>
          <w:b w:val="0"/>
          <w:lang w:eastAsia="zh-CN"/>
        </w:rPr>
        <w:t>监委</w:t>
      </w:r>
      <w:r>
        <w:rPr>
          <w:rFonts w:hint="eastAsia" w:ascii="方正仿宋_GBK" w:hAnsi="方正仿宋_GBK" w:eastAsia="方正仿宋_GBK" w:cs="方正仿宋_GBK"/>
          <w:b w:val="0"/>
        </w:rPr>
        <w:t>履行党的纪律检查和</w:t>
      </w:r>
      <w:r>
        <w:rPr>
          <w:rFonts w:hint="eastAsia" w:ascii="方正仿宋_GBK" w:hAnsi="方正仿宋_GBK" w:eastAsia="方正仿宋_GBK" w:cs="方正仿宋_GBK"/>
          <w:b w:val="0"/>
          <w:lang w:val="en-US" w:eastAsia="zh-CN"/>
        </w:rPr>
        <w:t>国家</w:t>
      </w:r>
      <w:r>
        <w:rPr>
          <w:rFonts w:hint="eastAsia" w:ascii="方正仿宋_GBK" w:hAnsi="方正仿宋_GBK" w:eastAsia="方正仿宋_GBK" w:cs="方正仿宋_GBK"/>
          <w:b w:val="0"/>
        </w:rPr>
        <w:t>监察两</w:t>
      </w:r>
      <w:r>
        <w:rPr>
          <w:rFonts w:hint="eastAsia" w:ascii="方正仿宋_GBK" w:hAnsi="方正仿宋_GBK" w:eastAsia="方正仿宋_GBK" w:cs="方正仿宋_GBK"/>
          <w:b w:val="0"/>
          <w:lang w:val="en-US" w:eastAsia="zh-CN"/>
        </w:rPr>
        <w:t>项职责</w:t>
      </w:r>
      <w:r>
        <w:rPr>
          <w:rFonts w:hint="eastAsia" w:ascii="方正仿宋_GBK" w:hAnsi="方正仿宋_GBK" w:eastAsia="方正仿宋_GBK" w:cs="方正仿宋_GBK"/>
          <w:b w:val="0"/>
        </w:rPr>
        <w:t>。主要职责</w:t>
      </w:r>
      <w:r>
        <w:rPr>
          <w:rFonts w:hint="eastAsia" w:ascii="方正仿宋_GBK" w:hAnsi="方正仿宋_GBK" w:eastAsia="方正仿宋_GBK" w:cs="方正仿宋_GBK"/>
          <w:b w:val="0"/>
          <w:lang w:val="en-US" w:eastAsia="zh-CN"/>
        </w:rPr>
        <w:t>包括</w:t>
      </w:r>
      <w:r>
        <w:rPr>
          <w:rFonts w:hint="eastAsia" w:ascii="方正仿宋_GBK" w:hAnsi="方正仿宋_GBK" w:eastAsia="方正仿宋_GBK" w:cs="方正仿宋_GBK"/>
          <w:b w:val="0"/>
        </w:rPr>
        <w:t>：</w:t>
      </w:r>
      <w:r>
        <w:rPr>
          <w:rFonts w:hint="eastAsia" w:ascii="方正仿宋_GBK" w:hAnsi="方正仿宋_GBK" w:eastAsia="方正仿宋_GBK" w:cs="方正仿宋_GBK"/>
          <w:b w:val="0"/>
          <w:lang w:val="en-US" w:eastAsia="zh-CN"/>
        </w:rPr>
        <w:t>负责党的纪律检查工作；依照党的章程和其他党内法规履行监督、执纪、问责职责；负责全县监察工作；依照法律规定履行监督、调查、处置职责；负责组织协调全面从严治党、党风廉政建设和反腐败工作情况；根据干部管理权限负责纪检监察系统领导班子建设、干部队伍建设和组织建设的综合规划、政策研究、制度建设和业务指导；完成县委和市纪委监委交办的其他任务</w:t>
      </w:r>
      <w:r>
        <w:rPr>
          <w:rFonts w:hint="eastAsia" w:ascii="方正仿宋_GBK" w:hAnsi="方正仿宋_GBK" w:eastAsia="方正仿宋_GBK" w:cs="方正仿宋_GBK"/>
          <w:b w:val="0"/>
        </w:rPr>
        <w:t>。</w:t>
      </w:r>
      <w:bookmarkEnd w:id="10"/>
    </w:p>
    <w:p>
      <w:pPr>
        <w:pStyle w:val="6"/>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1"/>
        <w:rPr>
          <w:rStyle w:val="31"/>
          <w:rFonts w:hint="eastAsia" w:ascii="方正黑体_GBK" w:hAnsi="方正黑体_GBK" w:eastAsia="方正黑体_GBK" w:cs="方正黑体_GBK"/>
          <w:b w:val="0"/>
          <w:bCs w:val="0"/>
        </w:rPr>
      </w:pPr>
      <w:bookmarkStart w:id="11" w:name="_Toc15396601"/>
      <w:bookmarkStart w:id="12" w:name="_Toc15377200"/>
      <w:bookmarkStart w:id="13" w:name="_Toc24800"/>
      <w:r>
        <w:rPr>
          <w:rFonts w:hint="eastAsia" w:ascii="方正黑体_GBK" w:hAnsi="方正黑体_GBK" w:eastAsia="方正黑体_GBK" w:cs="方正黑体_GBK"/>
          <w:b w:val="0"/>
        </w:rPr>
        <w:t>二、机</w:t>
      </w:r>
      <w:r>
        <w:rPr>
          <w:rStyle w:val="31"/>
          <w:rFonts w:hint="eastAsia" w:ascii="方正黑体_GBK" w:hAnsi="方正黑体_GBK" w:eastAsia="方正黑体_GBK" w:cs="方正黑体_GBK"/>
          <w:b w:val="0"/>
          <w:bCs w:val="0"/>
        </w:rPr>
        <w:t>构设置</w:t>
      </w:r>
      <w:bookmarkEnd w:id="11"/>
      <w:bookmarkEnd w:id="12"/>
      <w:bookmarkEnd w:id="13"/>
    </w:p>
    <w:p>
      <w:pPr>
        <w:pageBreakBefore w:val="0"/>
        <w:widowControl w:val="0"/>
        <w:kinsoku/>
        <w:wordWrap/>
        <w:overflowPunct/>
        <w:topLinePunct w:val="0"/>
        <w:autoSpaceDE/>
        <w:autoSpaceDN/>
        <w:bidi w:val="0"/>
        <w:adjustRightInd/>
        <w:snapToGrid/>
        <w:spacing w:line="560" w:lineRule="exact"/>
        <w:ind w:left="0" w:leftChars="0" w:right="0" w:rightChars="0" w:firstLine="68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黑体" w:cs="Times New Roman"/>
          <w:lang w:val="en-US" w:eastAsia="zh-CN"/>
        </w:rPr>
        <w:t xml:space="preserve">  </w:t>
      </w:r>
      <w:r>
        <w:rPr>
          <w:rFonts w:hint="default" w:ascii="Times New Roman" w:hAnsi="Times New Roman" w:eastAsia="方正仿宋_GBK" w:cs="Times New Roman"/>
          <w:b w:val="0"/>
          <w:bCs/>
          <w:color w:val="000000"/>
          <w:sz w:val="32"/>
          <w:szCs w:val="32"/>
          <w:highlight w:val="none"/>
        </w:rPr>
        <w:t>202</w:t>
      </w:r>
      <w:r>
        <w:rPr>
          <w:rFonts w:hint="default" w:ascii="Times New Roman" w:hAnsi="Times New Roman" w:eastAsia="方正仿宋_GBK" w:cs="Times New Roman"/>
          <w:b w:val="0"/>
          <w:bCs/>
          <w:color w:val="000000"/>
          <w:sz w:val="32"/>
          <w:szCs w:val="32"/>
          <w:highlight w:val="none"/>
          <w:lang w:val="en-US" w:eastAsia="zh-CN"/>
        </w:rPr>
        <w:t>4</w:t>
      </w:r>
      <w:r>
        <w:rPr>
          <w:rFonts w:hint="default" w:ascii="Times New Roman" w:hAnsi="Times New Roman" w:eastAsia="方正仿宋_GBK" w:cs="Times New Roman"/>
          <w:b w:val="0"/>
          <w:bCs/>
          <w:color w:val="000000"/>
          <w:sz w:val="32"/>
          <w:szCs w:val="32"/>
          <w:highlight w:val="none"/>
        </w:rPr>
        <w:t>年末，</w:t>
      </w:r>
      <w:r>
        <w:rPr>
          <w:rFonts w:hint="default" w:ascii="Times New Roman" w:hAnsi="Times New Roman" w:eastAsia="方正仿宋_GBK" w:cs="Times New Roman"/>
          <w:b w:val="0"/>
          <w:bCs/>
          <w:color w:val="000000"/>
          <w:sz w:val="32"/>
          <w:szCs w:val="32"/>
          <w:highlight w:val="none"/>
          <w:lang w:eastAsia="zh-CN"/>
        </w:rPr>
        <w:t>盐边</w:t>
      </w:r>
      <w:r>
        <w:rPr>
          <w:rFonts w:hint="default" w:ascii="Times New Roman" w:hAnsi="Times New Roman" w:eastAsia="方正仿宋_GBK" w:cs="Times New Roman"/>
          <w:b w:val="0"/>
          <w:bCs/>
          <w:color w:val="000000"/>
          <w:sz w:val="32"/>
          <w:szCs w:val="32"/>
          <w:highlight w:val="none"/>
        </w:rPr>
        <w:t>县纪委监委实有内设科室</w:t>
      </w:r>
      <w:r>
        <w:rPr>
          <w:rFonts w:hint="default" w:ascii="Times New Roman" w:hAnsi="Times New Roman" w:eastAsia="方正仿宋_GBK" w:cs="Times New Roman"/>
          <w:b w:val="0"/>
          <w:bCs/>
          <w:color w:val="000000"/>
          <w:sz w:val="32"/>
          <w:szCs w:val="32"/>
          <w:highlight w:val="none"/>
          <w:lang w:val="en-US" w:eastAsia="zh-CN"/>
        </w:rPr>
        <w:t>13</w:t>
      </w:r>
      <w:r>
        <w:rPr>
          <w:rFonts w:hint="default" w:ascii="Times New Roman" w:hAnsi="Times New Roman" w:eastAsia="方正仿宋_GBK" w:cs="Times New Roman"/>
          <w:b w:val="0"/>
          <w:bCs/>
          <w:color w:val="000000"/>
          <w:sz w:val="32"/>
          <w:szCs w:val="32"/>
          <w:highlight w:val="none"/>
        </w:rPr>
        <w:t>个，另外中共盐边县委巡察工作领导小组办公室列入县委工作机关序列</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lang w:val="en-US" w:eastAsia="zh-CN"/>
        </w:rPr>
        <w:t>设在县纪委。</w:t>
      </w:r>
    </w:p>
    <w:p>
      <w:pPr>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黑体" w:cs="Times New Roman"/>
          <w:lang w:val="en-US" w:eastAsia="zh-CN"/>
        </w:rPr>
      </w:pPr>
    </w:p>
    <w:p>
      <w:pPr>
        <w:pageBreakBefore w:val="0"/>
        <w:kinsoku/>
        <w:wordWrap/>
        <w:overflowPunct/>
        <w:topLinePunct w:val="0"/>
        <w:autoSpaceDE/>
        <w:autoSpaceDN/>
        <w:bidi w:val="0"/>
        <w:spacing w:line="560" w:lineRule="exact"/>
        <w:ind w:right="0" w:rightChars="0" w:firstLine="800" w:firstLineChars="250"/>
        <w:textAlignment w:val="auto"/>
        <w:rPr>
          <w:rFonts w:hint="default" w:ascii="Times New Roman" w:hAnsi="Times New Roman" w:eastAsia="仿宋_GB2312" w:cs="Times New Roman"/>
          <w:sz w:val="32"/>
          <w:szCs w:val="32"/>
        </w:rPr>
      </w:pPr>
    </w:p>
    <w:p>
      <w:pPr>
        <w:pStyle w:val="2"/>
        <w:pageBreakBefore w:val="0"/>
        <w:kinsoku/>
        <w:wordWrap/>
        <w:overflowPunct/>
        <w:topLinePunct w:val="0"/>
        <w:autoSpaceDE/>
        <w:autoSpaceDN/>
        <w:bidi w:val="0"/>
        <w:spacing w:line="560" w:lineRule="exact"/>
        <w:ind w:right="0" w:rightChars="0"/>
        <w:textAlignment w:val="auto"/>
        <w:rPr>
          <w:rFonts w:hint="default" w:ascii="Times New Roman" w:hAnsi="Times New Roman" w:cs="Times New Roman"/>
        </w:rPr>
      </w:pPr>
    </w:p>
    <w:p>
      <w:pPr>
        <w:pStyle w:val="3"/>
        <w:pageBreakBefore w:val="0"/>
        <w:kinsoku/>
        <w:wordWrap/>
        <w:overflowPunct/>
        <w:topLinePunct w:val="0"/>
        <w:autoSpaceDE/>
        <w:autoSpaceDN/>
        <w:bidi w:val="0"/>
        <w:spacing w:after="0" w:line="560" w:lineRule="exact"/>
        <w:ind w:left="420" w:right="0" w:rightChars="0"/>
        <w:textAlignment w:val="auto"/>
        <w:rPr>
          <w:rFonts w:hint="default" w:ascii="Times New Roman" w:hAnsi="Times New Roman" w:cs="Times New Roman"/>
        </w:rPr>
      </w:pPr>
    </w:p>
    <w:p>
      <w:pPr>
        <w:pStyle w:val="3"/>
        <w:pageBreakBefore w:val="0"/>
        <w:kinsoku/>
        <w:wordWrap/>
        <w:overflowPunct/>
        <w:topLinePunct w:val="0"/>
        <w:autoSpaceDE/>
        <w:autoSpaceDN/>
        <w:bidi w:val="0"/>
        <w:spacing w:after="0" w:line="560" w:lineRule="exact"/>
        <w:ind w:left="420" w:right="0" w:rightChars="0"/>
        <w:textAlignment w:val="auto"/>
        <w:rPr>
          <w:rFonts w:hint="default" w:ascii="Times New Roman" w:hAnsi="Times New Roman" w:cs="Times New Roman"/>
        </w:rPr>
      </w:pPr>
    </w:p>
    <w:p>
      <w:pPr>
        <w:pStyle w:val="3"/>
        <w:pageBreakBefore w:val="0"/>
        <w:kinsoku/>
        <w:wordWrap/>
        <w:overflowPunct/>
        <w:topLinePunct w:val="0"/>
        <w:autoSpaceDE/>
        <w:autoSpaceDN/>
        <w:bidi w:val="0"/>
        <w:spacing w:after="0" w:line="560" w:lineRule="exact"/>
        <w:ind w:left="420" w:right="0" w:rightChars="0"/>
        <w:textAlignment w:val="auto"/>
        <w:rPr>
          <w:rFonts w:hint="default" w:ascii="Times New Roman" w:hAnsi="Times New Roman" w:cs="Times New Roman"/>
        </w:rPr>
      </w:pPr>
    </w:p>
    <w:p>
      <w:pPr>
        <w:pStyle w:val="3"/>
        <w:pageBreakBefore w:val="0"/>
        <w:kinsoku/>
        <w:wordWrap/>
        <w:overflowPunct/>
        <w:topLinePunct w:val="0"/>
        <w:autoSpaceDE/>
        <w:autoSpaceDN/>
        <w:bidi w:val="0"/>
        <w:spacing w:after="0" w:line="560" w:lineRule="exact"/>
        <w:ind w:left="420" w:right="0" w:rightChars="0"/>
        <w:textAlignment w:val="auto"/>
        <w:rPr>
          <w:rFonts w:hint="default" w:ascii="Times New Roman" w:hAnsi="Times New Roman" w:cs="Times New Roman"/>
        </w:rPr>
      </w:pPr>
    </w:p>
    <w:p>
      <w:pPr>
        <w:pStyle w:val="3"/>
        <w:pageBreakBefore w:val="0"/>
        <w:kinsoku/>
        <w:wordWrap/>
        <w:overflowPunct/>
        <w:topLinePunct w:val="0"/>
        <w:autoSpaceDE/>
        <w:autoSpaceDN/>
        <w:bidi w:val="0"/>
        <w:spacing w:after="0" w:line="560" w:lineRule="exact"/>
        <w:ind w:left="420" w:right="0" w:rightChars="0"/>
        <w:textAlignment w:val="auto"/>
        <w:rPr>
          <w:rFonts w:hint="default" w:ascii="Times New Roman" w:hAnsi="Times New Roman" w:cs="Times New Roman"/>
        </w:rPr>
      </w:pPr>
    </w:p>
    <w:p>
      <w:pPr>
        <w:pStyle w:val="5"/>
        <w:keepNext/>
        <w:keepLines/>
        <w:pageBreakBefore w:val="0"/>
        <w:widowControl w:val="0"/>
        <w:kinsoku/>
        <w:wordWrap/>
        <w:overflowPunct/>
        <w:topLinePunct w:val="0"/>
        <w:autoSpaceDE/>
        <w:autoSpaceDN/>
        <w:bidi w:val="0"/>
        <w:adjustRightInd/>
        <w:snapToGrid/>
        <w:spacing w:before="340" w:after="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rPr>
      </w:pPr>
      <w:bookmarkStart w:id="14" w:name="_Toc15396602"/>
      <w:bookmarkStart w:id="15" w:name="_Toc15377204"/>
      <w:bookmarkStart w:id="16" w:name="_Toc24376"/>
      <w:r>
        <w:rPr>
          <w:rFonts w:hint="eastAsia" w:ascii="方正小标宋_GBK" w:hAnsi="方正小标宋_GBK" w:eastAsia="方正小标宋_GBK" w:cs="方正小标宋_GBK"/>
          <w:b w:val="0"/>
          <w:bCs/>
        </w:rPr>
        <w:t>第二部分  2024年度</w:t>
      </w:r>
      <w:r>
        <w:rPr>
          <w:rFonts w:hint="eastAsia" w:ascii="方正小标宋_GBK" w:hAnsi="方正小标宋_GBK" w:eastAsia="方正小标宋_GBK" w:cs="方正小标宋_GBK"/>
          <w:b w:val="0"/>
          <w:bCs/>
          <w:lang w:eastAsia="zh-CN"/>
        </w:rPr>
        <w:t>单位</w:t>
      </w:r>
      <w:bookmarkStart w:id="110" w:name="_GoBack"/>
      <w:bookmarkEnd w:id="110"/>
      <w:r>
        <w:rPr>
          <w:rFonts w:hint="eastAsia" w:ascii="方正小标宋_GBK" w:hAnsi="方正小标宋_GBK" w:eastAsia="方正小标宋_GBK" w:cs="方正小标宋_GBK"/>
          <w:b w:val="0"/>
          <w:bCs/>
        </w:rPr>
        <w:t>决算情况说明</w:t>
      </w:r>
      <w:bookmarkEnd w:id="14"/>
      <w:bookmarkEnd w:id="15"/>
      <w:bookmarkEnd w:id="16"/>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方正黑体_GBK" w:hAnsi="方正黑体_GBK" w:eastAsia="方正黑体_GBK" w:cs="方正黑体_GBK"/>
          <w:sz w:val="32"/>
          <w:szCs w:val="32"/>
        </w:rPr>
      </w:pPr>
      <w:bookmarkStart w:id="17" w:name="_Toc5380"/>
      <w:bookmarkStart w:id="18" w:name="_Toc15377205"/>
      <w:bookmarkStart w:id="19" w:name="_Toc15396603"/>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Style w:val="31"/>
          <w:rFonts w:hint="eastAsia" w:ascii="方正黑体_GBK" w:hAnsi="方正黑体_GBK" w:eastAsia="方正黑体_GBK" w:cs="方正黑体_GBK"/>
          <w:b w:val="0"/>
        </w:rPr>
      </w:pPr>
      <w:r>
        <w:rPr>
          <w:rFonts w:hint="eastAsia" w:ascii="方正黑体_GBK" w:hAnsi="方正黑体_GBK" w:eastAsia="方正黑体_GBK" w:cs="方正黑体_GBK"/>
          <w:sz w:val="32"/>
          <w:szCs w:val="32"/>
        </w:rPr>
        <w:t>一、收</w:t>
      </w:r>
      <w:r>
        <w:rPr>
          <w:rStyle w:val="31"/>
          <w:rFonts w:hint="eastAsia" w:ascii="方正黑体_GBK" w:hAnsi="方正黑体_GBK" w:eastAsia="方正黑体_GBK" w:cs="方正黑体_GBK"/>
          <w:b w:val="0"/>
        </w:rPr>
        <w:t>入支出决算总体情况说明</w:t>
      </w:r>
      <w:bookmarkEnd w:id="17"/>
      <w:bookmarkEnd w:id="18"/>
      <w:bookmarkEnd w:id="19"/>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仿宋_GBK" w:cs="Times New Roman"/>
          <w:bCs/>
          <w:color w:val="000000"/>
          <w:sz w:val="32"/>
          <w:szCs w:val="32"/>
          <w:lang w:eastAsia="zh-CN"/>
        </w:rPr>
      </w:pPr>
      <w:bookmarkStart w:id="20" w:name="_Toc9880"/>
      <w:r>
        <w:rPr>
          <w:rFonts w:hint="default" w:ascii="Times New Roman" w:hAnsi="Times New Roman" w:eastAsia="方正仿宋_GBK" w:cs="Times New Roman"/>
          <w:sz w:val="32"/>
          <w:szCs w:val="32"/>
        </w:rPr>
        <w:t>2024年度收入、支出总计均为</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万元。与2023年度相比，收入、支出总计各增加</w:t>
      </w:r>
      <w:r>
        <w:rPr>
          <w:rFonts w:hint="default" w:ascii="Times New Roman" w:hAnsi="Times New Roman" w:eastAsia="方正仿宋_GBK" w:cs="Times New Roman"/>
          <w:sz w:val="32"/>
          <w:szCs w:val="32"/>
          <w:lang w:val="en-US" w:eastAsia="zh-CN"/>
        </w:rPr>
        <w:t>12.51</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0.77</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bCs/>
          <w:color w:val="000000"/>
          <w:sz w:val="32"/>
          <w:szCs w:val="32"/>
        </w:rPr>
        <w:t>202</w:t>
      </w:r>
      <w:r>
        <w:rPr>
          <w:rFonts w:hint="default" w:ascii="Times New Roman" w:hAnsi="Times New Roman" w:eastAsia="方正仿宋_GBK" w:cs="Times New Roman"/>
          <w:bCs/>
          <w:color w:val="000000"/>
          <w:sz w:val="32"/>
          <w:szCs w:val="32"/>
          <w:lang w:val="en-US" w:eastAsia="zh-CN"/>
        </w:rPr>
        <w:t>4</w:t>
      </w:r>
      <w:r>
        <w:rPr>
          <w:rFonts w:hint="default" w:ascii="Times New Roman" w:hAnsi="Times New Roman" w:eastAsia="方正仿宋_GBK" w:cs="Times New Roman"/>
          <w:bCs/>
          <w:color w:val="000000"/>
          <w:sz w:val="32"/>
          <w:szCs w:val="32"/>
        </w:rPr>
        <w:t>年一般公共预算财政拨款收入</w:t>
      </w:r>
      <w:r>
        <w:rPr>
          <w:rFonts w:hint="default" w:ascii="Times New Roman" w:hAnsi="Times New Roman" w:eastAsia="方正仿宋_GBK" w:cs="Times New Roman"/>
          <w:bCs/>
          <w:color w:val="000000"/>
          <w:sz w:val="32"/>
          <w:szCs w:val="32"/>
          <w:lang w:eastAsia="zh-CN"/>
        </w:rPr>
        <w:t>增加。</w:t>
      </w:r>
      <w:bookmarkEnd w:id="20"/>
    </w:p>
    <w:p>
      <w:pPr>
        <w:pageBreakBefore w:val="0"/>
        <w:kinsoku/>
        <w:wordWrap/>
        <w:overflowPunct/>
        <w:topLinePunct w:val="0"/>
        <w:autoSpaceDE/>
        <w:autoSpaceDN/>
        <w:bidi w:val="0"/>
        <w:spacing w:line="56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28"/>
          <w:szCs w:val="28"/>
        </w:rPr>
        <w:t>图1：收</w:t>
      </w:r>
      <w:r>
        <w:rPr>
          <w:rFonts w:hint="eastAsia" w:ascii="方正仿宋_GBK" w:hAnsi="方正仿宋_GBK" w:eastAsia="方正仿宋_GBK" w:cs="方正仿宋_GBK"/>
          <w:b/>
          <w:sz w:val="28"/>
          <w:szCs w:val="28"/>
          <w:lang w:eastAsia="zh-CN"/>
        </w:rPr>
        <w:t>入</w:t>
      </w:r>
      <w:r>
        <w:rPr>
          <w:rFonts w:hint="eastAsia" w:ascii="方正仿宋_GBK" w:hAnsi="方正仿宋_GBK" w:eastAsia="方正仿宋_GBK" w:cs="方正仿宋_GBK"/>
          <w:b/>
          <w:sz w:val="28"/>
          <w:szCs w:val="28"/>
        </w:rPr>
        <w:t>、支</w:t>
      </w:r>
      <w:r>
        <w:rPr>
          <w:rFonts w:hint="eastAsia" w:ascii="方正仿宋_GBK" w:hAnsi="方正仿宋_GBK" w:eastAsia="方正仿宋_GBK" w:cs="方正仿宋_GBK"/>
          <w:b/>
          <w:sz w:val="28"/>
          <w:szCs w:val="28"/>
          <w:lang w:eastAsia="zh-CN"/>
        </w:rPr>
        <w:t>出</w:t>
      </w:r>
      <w:r>
        <w:rPr>
          <w:rFonts w:hint="eastAsia" w:ascii="方正仿宋_GBK" w:hAnsi="方正仿宋_GBK" w:eastAsia="方正仿宋_GBK" w:cs="方正仿宋_GBK"/>
          <w:b/>
          <w:sz w:val="28"/>
          <w:szCs w:val="28"/>
        </w:rPr>
        <w:t>决算总计变动情况图</w:t>
      </w:r>
    </w:p>
    <w:p>
      <w:pPr>
        <w:pStyle w:val="21"/>
        <w:pageBreakBefore w:val="0"/>
        <w:kinsoku/>
        <w:wordWrap/>
        <w:overflowPunct/>
        <w:topLinePunct w:val="0"/>
        <w:autoSpaceDE/>
        <w:autoSpaceDN/>
        <w:bidi w:val="0"/>
        <w:spacing w:after="0" w:line="560" w:lineRule="exact"/>
        <w:ind w:right="0" w:rightChars="0"/>
        <w:textAlignment w:val="auto"/>
        <w:rPr>
          <w:rFonts w:hint="default" w:ascii="Times New Roman" w:hAnsi="Times New Roman" w:eastAsia="仿宋_GB2312" w:cs="Times New Roman"/>
          <w:lang w:val="en-US" w:eastAsia="zh-CN"/>
        </w:rPr>
      </w:pPr>
      <w:r>
        <w:rPr>
          <w:rFonts w:hint="default" w:ascii="Times New Roman" w:hAnsi="Times New Roman" w:eastAsia="仿宋" w:cs="Times New Roman"/>
          <w:sz w:val="32"/>
          <w:szCs w:val="32"/>
        </w:rPr>
        <w:drawing>
          <wp:anchor distT="0" distB="0" distL="114300" distR="114300" simplePos="0" relativeHeight="251660288" behindDoc="1" locked="0" layoutInCell="1" allowOverlap="1">
            <wp:simplePos x="0" y="0"/>
            <wp:positionH relativeFrom="column">
              <wp:posOffset>392430</wp:posOffset>
            </wp:positionH>
            <wp:positionV relativeFrom="paragraph">
              <wp:posOffset>194310</wp:posOffset>
            </wp:positionV>
            <wp:extent cx="4554855" cy="1741170"/>
            <wp:effectExtent l="4445" t="5080" r="12700" b="44450"/>
            <wp:wrapTight wrapText="bothSides">
              <wp:wrapPolygon>
                <wp:start x="-21" y="-63"/>
                <wp:lineTo x="-21" y="21521"/>
                <wp:lineTo x="21540" y="21521"/>
                <wp:lineTo x="21540" y="-63"/>
                <wp:lineTo x="-21" y="-63"/>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_GB2312" w:cs="Times New Roman"/>
          <w:sz w:val="32"/>
          <w:szCs w:val="32"/>
          <w:lang w:val="en-US" w:eastAsia="zh-CN"/>
        </w:rPr>
        <w:t xml:space="preserve">                       </w:t>
      </w:r>
    </w:p>
    <w:p>
      <w:pPr>
        <w:pageBreakBefore w:val="0"/>
        <w:kinsoku/>
        <w:wordWrap/>
        <w:overflowPunct/>
        <w:topLinePunct w:val="0"/>
        <w:autoSpaceDE/>
        <w:autoSpaceDN/>
        <w:bidi w:val="0"/>
        <w:spacing w:line="560" w:lineRule="exact"/>
        <w:ind w:right="0" w:rightChars="0" w:firstLine="640" w:firstLineChars="200"/>
        <w:textAlignment w:val="auto"/>
        <w:rPr>
          <w:rFonts w:hint="default" w:ascii="Times New Roman" w:hAnsi="Times New Roman" w:eastAsia="仿宋_GB2312" w:cs="Times New Roman"/>
          <w:sz w:val="32"/>
          <w:szCs w:val="32"/>
        </w:rPr>
      </w:pPr>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1"/>
        <w:rPr>
          <w:rFonts w:hint="eastAsia" w:ascii="方正黑体_GBK" w:hAnsi="方正黑体_GBK" w:eastAsia="方正黑体_GBK" w:cs="方正黑体_GBK"/>
          <w:sz w:val="32"/>
          <w:szCs w:val="32"/>
        </w:rPr>
      </w:pPr>
      <w:bookmarkStart w:id="21" w:name="_Toc15396604"/>
      <w:bookmarkStart w:id="22" w:name="_Toc15377206"/>
      <w:bookmarkStart w:id="23" w:name="_Toc18596"/>
      <w:r>
        <w:rPr>
          <w:rFonts w:hint="eastAsia" w:ascii="方正黑体_GBK" w:hAnsi="方正黑体_GBK" w:eastAsia="方正黑体_GBK" w:cs="方正黑体_GBK"/>
          <w:sz w:val="32"/>
          <w:szCs w:val="32"/>
        </w:rPr>
        <w:t>二、收入决算情况说明</w:t>
      </w:r>
      <w:bookmarkEnd w:id="21"/>
      <w:bookmarkEnd w:id="22"/>
      <w:bookmarkEnd w:id="23"/>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1"/>
        <w:rPr>
          <w:rFonts w:hint="default" w:ascii="Times New Roman" w:hAnsi="Times New Roman" w:eastAsia="方正仿宋_GBK" w:cs="Times New Roman"/>
          <w:sz w:val="32"/>
          <w:szCs w:val="32"/>
        </w:rPr>
      </w:pPr>
      <w:bookmarkStart w:id="24" w:name="_Toc20249"/>
      <w:r>
        <w:rPr>
          <w:rFonts w:hint="default" w:ascii="Times New Roman" w:hAnsi="Times New Roman" w:eastAsia="方正仿宋_GBK" w:cs="Times New Roman"/>
          <w:sz w:val="32"/>
          <w:szCs w:val="32"/>
        </w:rPr>
        <w:t>2024年度本年收入合计</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万元，其中：一般公共预算财政拨款收入</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%；政府性基金预算财政拨款收入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%；国有资本经营预算财政拨款收入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%；上级补助收入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%；事业收入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%；经营收入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%；附属单位上缴收入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%；其他收入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bookmarkEnd w:id="24"/>
    </w:p>
    <w:p>
      <w:pPr>
        <w:pStyle w:val="21"/>
        <w:pageBreakBefore w:val="0"/>
        <w:kinsoku/>
        <w:wordWrap/>
        <w:overflowPunct/>
        <w:topLinePunct w:val="0"/>
        <w:autoSpaceDE/>
        <w:autoSpaceDN/>
        <w:bidi w:val="0"/>
        <w:spacing w:before="0" w:after="0" w:line="560" w:lineRule="exact"/>
        <w:ind w:right="0" w:rightChars="0"/>
        <w:jc w:val="center"/>
        <w:textAlignment w:val="auto"/>
        <w:rPr>
          <w:rStyle w:val="31"/>
          <w:rFonts w:hint="eastAsia" w:ascii="方正仿宋_GBK" w:hAnsi="方正仿宋_GBK" w:eastAsia="方正仿宋_GBK" w:cs="方正仿宋_GBK"/>
          <w:b w:val="0"/>
          <w:sz w:val="28"/>
          <w:szCs w:val="28"/>
        </w:rPr>
      </w:pPr>
      <w:r>
        <w:rPr>
          <w:rFonts w:hint="eastAsia" w:ascii="方正仿宋_GBK" w:hAnsi="方正仿宋_GBK" w:eastAsia="方正仿宋_GBK" w:cs="方正仿宋_GBK"/>
          <w:sz w:val="28"/>
          <w:szCs w:val="28"/>
        </w:rPr>
        <w:t>图2：收入决算结构图</w:t>
      </w:r>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方正黑体_GBK" w:hAnsi="方正黑体_GBK" w:eastAsia="方正黑体_GBK" w:cs="方正黑体_GBK"/>
          <w:sz w:val="32"/>
          <w:szCs w:val="32"/>
        </w:rPr>
      </w:pPr>
      <w:bookmarkStart w:id="25" w:name="_Toc25375"/>
      <w:bookmarkStart w:id="26" w:name="_Toc15377207"/>
      <w:bookmarkStart w:id="27" w:name="_Toc15396605"/>
      <w:r>
        <w:rPr>
          <w:rStyle w:val="31"/>
          <w:rFonts w:hint="eastAsia" w:ascii="方正黑体_GBK" w:hAnsi="方正黑体_GBK" w:eastAsia="方正黑体_GBK" w:cs="方正黑体_GBK"/>
          <w:b w:val="0"/>
        </w:rPr>
        <w:drawing>
          <wp:anchor distT="0" distB="0" distL="114300" distR="114300" simplePos="0" relativeHeight="251668480" behindDoc="1" locked="0" layoutInCell="1" allowOverlap="1">
            <wp:simplePos x="0" y="0"/>
            <wp:positionH relativeFrom="column">
              <wp:posOffset>93345</wp:posOffset>
            </wp:positionH>
            <wp:positionV relativeFrom="paragraph">
              <wp:posOffset>193040</wp:posOffset>
            </wp:positionV>
            <wp:extent cx="4946650" cy="1386840"/>
            <wp:effectExtent l="4445" t="4445" r="14605" b="5715"/>
            <wp:wrapTight wrapText="bothSides">
              <wp:wrapPolygon>
                <wp:start x="-19" y="-69"/>
                <wp:lineTo x="-19" y="21491"/>
                <wp:lineTo x="21553" y="21491"/>
                <wp:lineTo x="21553" y="-69"/>
                <wp:lineTo x="-19" y="-69"/>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Style w:val="31"/>
          <w:rFonts w:hint="eastAsia" w:ascii="方正黑体_GBK" w:hAnsi="方正黑体_GBK" w:eastAsia="方正黑体_GBK" w:cs="方正黑体_GBK"/>
          <w:b w:val="0"/>
        </w:rPr>
      </w:pPr>
      <w:r>
        <w:rPr>
          <w:rFonts w:hint="eastAsia" w:ascii="方正黑体_GBK" w:hAnsi="方正黑体_GBK" w:eastAsia="方正黑体_GBK" w:cs="方正黑体_GBK"/>
          <w:sz w:val="32"/>
          <w:szCs w:val="32"/>
        </w:rPr>
        <w:t>三、支</w:t>
      </w:r>
      <w:r>
        <w:rPr>
          <w:rStyle w:val="31"/>
          <w:rFonts w:hint="eastAsia" w:ascii="方正黑体_GBK" w:hAnsi="方正黑体_GBK" w:eastAsia="方正黑体_GBK" w:cs="方正黑体_GBK"/>
          <w:b w:val="0"/>
        </w:rPr>
        <w:t>出决算情况说明</w:t>
      </w:r>
      <w:bookmarkEnd w:id="25"/>
      <w:bookmarkEnd w:id="26"/>
      <w:bookmarkEnd w:id="27"/>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sz w:val="32"/>
          <w:szCs w:val="32"/>
        </w:rPr>
      </w:pPr>
      <w:bookmarkStart w:id="28" w:name="_Toc10578"/>
      <w:r>
        <w:rPr>
          <w:rFonts w:hint="default" w:ascii="Times New Roman" w:hAnsi="Times New Roman" w:eastAsia="仿宋_GB2312" w:cs="Times New Roman"/>
          <w:sz w:val="32"/>
          <w:szCs w:val="32"/>
        </w:rPr>
        <w:t>2024年度本年支出合计</w:t>
      </w:r>
      <w:r>
        <w:rPr>
          <w:rFonts w:hint="eastAsia" w:eastAsia="仿宋_GB2312" w:cs="Times New Roman"/>
          <w:sz w:val="32"/>
          <w:szCs w:val="32"/>
          <w:lang w:val="en-US" w:eastAsia="zh-CN"/>
        </w:rPr>
        <w:t>1646.53</w:t>
      </w:r>
      <w:r>
        <w:rPr>
          <w:rFonts w:hint="default" w:ascii="Times New Roman" w:hAnsi="Times New Roman" w:eastAsia="仿宋_GB2312" w:cs="Times New Roman"/>
          <w:sz w:val="32"/>
          <w:szCs w:val="32"/>
        </w:rPr>
        <w:t>万元，其中：基本支出</w:t>
      </w:r>
      <w:r>
        <w:rPr>
          <w:rFonts w:hint="eastAsia" w:eastAsia="仿宋_GB2312" w:cs="Times New Roman"/>
          <w:sz w:val="32"/>
          <w:szCs w:val="32"/>
          <w:lang w:val="en-US" w:eastAsia="zh-CN"/>
        </w:rPr>
        <w:t>1120.37</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68.04</w:t>
      </w:r>
      <w:r>
        <w:rPr>
          <w:rFonts w:hint="default" w:ascii="Times New Roman" w:hAnsi="Times New Roman" w:eastAsia="仿宋_GB2312" w:cs="Times New Roman"/>
          <w:sz w:val="32"/>
          <w:szCs w:val="32"/>
        </w:rPr>
        <w:t>%；项目支出</w:t>
      </w:r>
      <w:r>
        <w:rPr>
          <w:rFonts w:hint="eastAsia" w:eastAsia="仿宋_GB2312" w:cs="Times New Roman"/>
          <w:sz w:val="32"/>
          <w:szCs w:val="32"/>
          <w:lang w:val="en-US" w:eastAsia="zh-CN"/>
        </w:rPr>
        <w:t>526.16</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31.96</w:t>
      </w:r>
      <w:r>
        <w:rPr>
          <w:rFonts w:hint="default" w:ascii="Times New Roman" w:hAnsi="Times New Roman" w:eastAsia="仿宋_GB2312" w:cs="Times New Roman"/>
          <w:sz w:val="32"/>
          <w:szCs w:val="32"/>
        </w:rPr>
        <w:t>%；上缴上级支出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w:t>
      </w:r>
      <w:bookmarkEnd w:id="28"/>
    </w:p>
    <w:p>
      <w:pPr>
        <w:pageBreakBefore w:val="0"/>
        <w:kinsoku/>
        <w:wordWrap/>
        <w:overflowPunct/>
        <w:topLinePunct w:val="0"/>
        <w:autoSpaceDE/>
        <w:autoSpaceDN/>
        <w:bidi w:val="0"/>
        <w:spacing w:line="560" w:lineRule="exact"/>
        <w:ind w:right="0" w:rightChars="0" w:firstLine="800" w:firstLineChars="250"/>
        <w:textAlignment w:val="auto"/>
        <w:rPr>
          <w:rFonts w:hint="eastAsia" w:ascii="方正仿宋_GBK" w:hAnsi="方正仿宋_GBK" w:eastAsia="方正仿宋_GBK" w:cs="方正仿宋_GBK"/>
          <w:b/>
          <w:kern w:val="2"/>
          <w:sz w:val="28"/>
          <w:szCs w:val="28"/>
          <w:lang w:val="en-US" w:eastAsia="zh-CN" w:bidi="ar-SA"/>
        </w:rPr>
      </w:pPr>
      <w:r>
        <w:rPr>
          <w:rFonts w:hint="eastAsia" w:eastAsia="仿宋_GB2312" w:cs="Times New Roman"/>
          <w:sz w:val="32"/>
          <w:szCs w:val="32"/>
          <w:lang w:val="en-US" w:eastAsia="zh-CN"/>
        </w:rPr>
        <w:t xml:space="preserve">          </w:t>
      </w:r>
      <w:r>
        <w:rPr>
          <w:rFonts w:hint="eastAsia" w:ascii="方正仿宋_GBK" w:hAnsi="方正仿宋_GBK" w:eastAsia="方正仿宋_GBK" w:cs="方正仿宋_GBK"/>
          <w:b/>
          <w:kern w:val="2"/>
          <w:sz w:val="28"/>
          <w:szCs w:val="28"/>
          <w:lang w:val="en-US" w:eastAsia="zh-CN" w:bidi="ar-SA"/>
        </w:rPr>
        <w:t xml:space="preserve">  图3：支出决算结构图</w:t>
      </w:r>
    </w:p>
    <w:p>
      <w:pPr>
        <w:pStyle w:val="21"/>
        <w:pageBreakBefore w:val="0"/>
        <w:widowControl w:val="0"/>
        <w:kinsoku/>
        <w:wordWrap/>
        <w:overflowPunct/>
        <w:topLinePunct w:val="0"/>
        <w:autoSpaceDE/>
        <w:autoSpaceDN/>
        <w:bidi w:val="0"/>
        <w:adjustRightInd/>
        <w:snapToGrid/>
        <w:spacing w:before="0" w:after="0" w:line="560" w:lineRule="exact"/>
        <w:ind w:left="0" w:leftChars="0" w:right="0" w:rightChars="0"/>
        <w:textAlignment w:val="auto"/>
        <w:rPr>
          <w:rStyle w:val="31"/>
          <w:rFonts w:hint="eastAsia" w:ascii="方正黑体_GBK" w:hAnsi="方正黑体_GBK" w:eastAsia="方正黑体_GBK" w:cs="方正黑体_GBK"/>
          <w:b w:val="0"/>
        </w:rPr>
      </w:pPr>
      <w:r>
        <w:rPr>
          <w:rFonts w:eastAsia="仿宋"/>
          <w:sz w:val="32"/>
          <w:szCs w:val="32"/>
        </w:rPr>
        <w:drawing>
          <wp:anchor distT="0" distB="0" distL="114300" distR="114300" simplePos="0" relativeHeight="251673600" behindDoc="1" locked="0" layoutInCell="1" allowOverlap="1">
            <wp:simplePos x="0" y="0"/>
            <wp:positionH relativeFrom="column">
              <wp:posOffset>169545</wp:posOffset>
            </wp:positionH>
            <wp:positionV relativeFrom="paragraph">
              <wp:posOffset>104140</wp:posOffset>
            </wp:positionV>
            <wp:extent cx="5080000" cy="1753870"/>
            <wp:effectExtent l="4445" t="4445" r="8255" b="57785"/>
            <wp:wrapTight wrapText="bothSides">
              <wp:wrapPolygon>
                <wp:start x="-19" y="-55"/>
                <wp:lineTo x="-19" y="21530"/>
                <wp:lineTo x="21581" y="21530"/>
                <wp:lineTo x="21581" y="-55"/>
                <wp:lineTo x="-19" y="-55"/>
              </wp:wrapPolygon>
            </wp:wrapTight>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29" w:name="_Toc15377208"/>
      <w:bookmarkStart w:id="30" w:name="_Toc15396606"/>
      <w:bookmarkStart w:id="31" w:name="_Toc9878"/>
      <w:r>
        <w:rPr>
          <w:rFonts w:hint="eastAsia" w:eastAsia="仿宋"/>
          <w:sz w:val="32"/>
          <w:szCs w:val="32"/>
          <w:lang w:val="en-US" w:eastAsia="zh-CN"/>
        </w:rPr>
        <w:t xml:space="preserve">    </w:t>
      </w:r>
      <w:r>
        <w:rPr>
          <w:rFonts w:hint="eastAsia" w:ascii="方正黑体_GBK" w:hAnsi="方正黑体_GBK" w:eastAsia="方正黑体_GBK" w:cs="方正黑体_GBK"/>
          <w:b w:val="0"/>
          <w:bCs/>
          <w:sz w:val="32"/>
          <w:szCs w:val="32"/>
        </w:rPr>
        <w:t>四、财</w:t>
      </w:r>
      <w:r>
        <w:rPr>
          <w:rStyle w:val="31"/>
          <w:rFonts w:hint="eastAsia" w:ascii="方正黑体_GBK" w:hAnsi="方正黑体_GBK" w:eastAsia="方正黑体_GBK" w:cs="方正黑体_GBK"/>
          <w:b w:val="0"/>
        </w:rPr>
        <w:t>政拨款收入支出决算总体情况说明</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w:t>
      </w:r>
      <w:r>
        <w:rPr>
          <w:rFonts w:hint="eastAsia" w:eastAsia="仿宋_GB2312" w:cs="Times New Roman"/>
          <w:sz w:val="32"/>
          <w:szCs w:val="32"/>
          <w:lang w:val="en-US" w:eastAsia="zh-CN"/>
        </w:rPr>
        <w:t>1646.53</w:t>
      </w:r>
      <w:r>
        <w:rPr>
          <w:rFonts w:hint="default" w:ascii="Times New Roman" w:hAnsi="Times New Roman" w:eastAsia="仿宋_GB2312" w:cs="Times New Roman"/>
          <w:sz w:val="32"/>
          <w:szCs w:val="32"/>
        </w:rPr>
        <w:t>万元。与2023年度相比，财政拨款收入总计、支出总计各增加</w:t>
      </w:r>
      <w:r>
        <w:rPr>
          <w:rFonts w:hint="default" w:ascii="Times New Roman" w:hAnsi="Times New Roman" w:eastAsia="仿宋_GB2312" w:cs="Times New Roman"/>
          <w:sz w:val="32"/>
          <w:szCs w:val="32"/>
          <w:lang w:val="en-US" w:eastAsia="zh-CN"/>
        </w:rPr>
        <w:t>12.51</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0.77</w:t>
      </w:r>
      <w:r>
        <w:rPr>
          <w:rFonts w:hint="default" w:ascii="Times New Roman" w:hAnsi="Times New Roman" w:eastAsia="仿宋_GB2312" w:cs="Times New Roman"/>
          <w:sz w:val="32"/>
          <w:szCs w:val="32"/>
        </w:rPr>
        <w:t>%。主要变动原因是</w:t>
      </w:r>
      <w:r>
        <w:rPr>
          <w:rFonts w:hint="default" w:ascii="Times New Roman" w:hAnsi="Times New Roman" w:eastAsia="方正仿宋_GBK" w:cs="Times New Roman"/>
          <w:bCs/>
          <w:color w:val="000000"/>
          <w:sz w:val="33"/>
          <w:szCs w:val="33"/>
        </w:rPr>
        <w:t>一般公共预算财政拨款收入</w:t>
      </w:r>
      <w:r>
        <w:rPr>
          <w:rFonts w:hint="default" w:ascii="Times New Roman" w:hAnsi="Times New Roman" w:eastAsia="方正仿宋_GBK" w:cs="Times New Roman"/>
          <w:bCs/>
          <w:color w:val="000000"/>
          <w:sz w:val="33"/>
          <w:szCs w:val="33"/>
          <w:lang w:eastAsia="zh-CN"/>
        </w:rPr>
        <w:t>增加</w:t>
      </w:r>
      <w:r>
        <w:rPr>
          <w:rFonts w:hint="eastAsia" w:eastAsia="方正仿宋_GBK" w:cs="Times New Roman"/>
          <w:bCs/>
          <w:color w:val="000000"/>
          <w:sz w:val="33"/>
          <w:szCs w:val="33"/>
          <w:lang w:eastAsia="zh-CN"/>
        </w:rPr>
        <w:t>。</w:t>
      </w:r>
    </w:p>
    <w:p>
      <w:pPr>
        <w:pageBreakBefore w:val="0"/>
        <w:kinsoku/>
        <w:wordWrap/>
        <w:overflowPunct/>
        <w:topLinePunct w:val="0"/>
        <w:autoSpaceDE/>
        <w:autoSpaceDN/>
        <w:bidi w:val="0"/>
        <w:spacing w:line="560" w:lineRule="exact"/>
        <w:ind w:right="0" w:rightChars="0" w:firstLine="640" w:firstLineChars="200"/>
        <w:textAlignment w:val="auto"/>
        <w:rPr>
          <w:rFonts w:hint="eastAsia" w:ascii="方正仿宋_GBK" w:hAnsi="方正仿宋_GBK" w:eastAsia="方正仿宋_GBK" w:cs="方正仿宋_GBK"/>
          <w:b/>
          <w:kern w:val="2"/>
          <w:sz w:val="28"/>
          <w:szCs w:val="28"/>
          <w:lang w:val="en-US" w:eastAsia="zh-CN" w:bidi="ar-SA"/>
        </w:rPr>
      </w:pPr>
      <w:r>
        <w:rPr>
          <w:rFonts w:hint="eastAsia" w:eastAsia="仿宋_GB2312" w:cs="Times New Roman"/>
          <w:sz w:val="32"/>
          <w:szCs w:val="32"/>
          <w:lang w:val="en-US" w:eastAsia="zh-CN"/>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b/>
          <w:kern w:val="2"/>
          <w:sz w:val="28"/>
          <w:szCs w:val="28"/>
          <w:lang w:val="en-US" w:eastAsia="zh-CN" w:bidi="ar-SA"/>
        </w:rPr>
        <w:t>图4：财政拨款收入、支出决算总计变动情况</w:t>
      </w:r>
    </w:p>
    <w:p>
      <w:pPr>
        <w:pageBreakBefore w:val="0"/>
        <w:kinsoku/>
        <w:wordWrap/>
        <w:overflowPunct/>
        <w:topLinePunct w:val="0"/>
        <w:autoSpaceDE/>
        <w:autoSpaceDN/>
        <w:bidi w:val="0"/>
        <w:spacing w:line="560" w:lineRule="exact"/>
        <w:ind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drawing>
          <wp:anchor distT="0" distB="0" distL="114300" distR="114300" simplePos="0" relativeHeight="251676672" behindDoc="1" locked="0" layoutInCell="1" allowOverlap="1">
            <wp:simplePos x="0" y="0"/>
            <wp:positionH relativeFrom="column">
              <wp:posOffset>259080</wp:posOffset>
            </wp:positionH>
            <wp:positionV relativeFrom="paragraph">
              <wp:posOffset>131445</wp:posOffset>
            </wp:positionV>
            <wp:extent cx="4738370" cy="1815465"/>
            <wp:effectExtent l="4445" t="4445" r="6985" b="8890"/>
            <wp:wrapTight wrapText="bothSides">
              <wp:wrapPolygon>
                <wp:start x="-20" y="-53"/>
                <wp:lineTo x="-20" y="21555"/>
                <wp:lineTo x="21574" y="21555"/>
                <wp:lineTo x="21574" y="-53"/>
                <wp:lineTo x="-20" y="-53"/>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Style w:val="31"/>
          <w:rFonts w:hint="eastAsia" w:ascii="方正黑体_GBK" w:hAnsi="方正黑体_GBK" w:eastAsia="方正黑体_GBK" w:cs="方正黑体_GBK"/>
          <w:b w:val="0"/>
        </w:rPr>
      </w:pPr>
      <w:bookmarkStart w:id="32" w:name="_Toc31520"/>
      <w:bookmarkStart w:id="33" w:name="_Toc15377209"/>
      <w:bookmarkStart w:id="34" w:name="_Toc15396607"/>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b/>
          <w:sz w:val="32"/>
          <w:szCs w:val="32"/>
        </w:rPr>
        <w:t>一</w:t>
      </w:r>
      <w:r>
        <w:rPr>
          <w:rStyle w:val="31"/>
          <w:rFonts w:hint="eastAsia" w:ascii="方正黑体_GBK" w:hAnsi="方正黑体_GBK" w:eastAsia="方正黑体_GBK" w:cs="方正黑体_GBK"/>
          <w:b w:val="0"/>
        </w:rPr>
        <w:t>般公共预算财政拨款支出决算情况说明</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sz w:val="32"/>
          <w:szCs w:val="32"/>
        </w:rPr>
      </w:pPr>
      <w:bookmarkStart w:id="35" w:name="_Toc15377210"/>
      <w:r>
        <w:rPr>
          <w:rFonts w:hint="default" w:ascii="Times New Roman" w:hAnsi="Times New Roman" w:eastAsia="楷体_GB2312" w:cs="Times New Roman"/>
          <w:b/>
          <w:sz w:val="32"/>
          <w:szCs w:val="32"/>
        </w:rPr>
        <w:t>（一）一般公共预算财政拨款支出决算总体情况</w:t>
      </w:r>
      <w:bookmarkEnd w:id="3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2024年度一般公共预算财政拨款支出</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%。与2023年度相比，一般公共预算财政拨款支出增加</w:t>
      </w:r>
      <w:r>
        <w:rPr>
          <w:rFonts w:hint="default" w:ascii="Times New Roman" w:hAnsi="Times New Roman" w:eastAsia="方正仿宋_GBK" w:cs="Times New Roman"/>
          <w:sz w:val="32"/>
          <w:szCs w:val="32"/>
          <w:lang w:val="en-US" w:eastAsia="zh-CN"/>
        </w:rPr>
        <w:t>12.51</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0.77</w:t>
      </w:r>
      <w:r>
        <w:rPr>
          <w:rFonts w:hint="default" w:ascii="Times New Roman" w:hAnsi="Times New Roman" w:eastAsia="方正仿宋_GBK" w:cs="Times New Roman"/>
          <w:sz w:val="32"/>
          <w:szCs w:val="32"/>
        </w:rPr>
        <w:t>%。主要变动原因是本年度查办大案要案数量增加，办案所需的差旅费、人员</w:t>
      </w:r>
      <w:r>
        <w:rPr>
          <w:rFonts w:hint="default" w:ascii="Times New Roman" w:hAnsi="Times New Roman" w:eastAsia="方正仿宋_GBK" w:cs="Times New Roman"/>
          <w:sz w:val="32"/>
          <w:szCs w:val="32"/>
          <w:lang w:eastAsia="zh-CN"/>
        </w:rPr>
        <w:t>公杂费</w:t>
      </w:r>
      <w:r>
        <w:rPr>
          <w:rFonts w:hint="default" w:ascii="Times New Roman" w:hAnsi="Times New Roman" w:eastAsia="方正仿宋_GBK" w:cs="Times New Roman"/>
          <w:sz w:val="32"/>
          <w:szCs w:val="32"/>
        </w:rPr>
        <w:t>等开支也相应增加，再加</w:t>
      </w:r>
      <w:r>
        <w:rPr>
          <w:rFonts w:hint="default" w:ascii="Times New Roman" w:hAnsi="Times New Roman" w:eastAsia="方正仿宋_GBK" w:cs="Times New Roman"/>
          <w:sz w:val="32"/>
          <w:szCs w:val="32"/>
          <w:lang w:eastAsia="zh-CN"/>
        </w:rPr>
        <w:t>上</w:t>
      </w:r>
      <w:r>
        <w:rPr>
          <w:rFonts w:hint="default" w:ascii="Times New Roman" w:hAnsi="Times New Roman" w:eastAsia="方正仿宋_GBK" w:cs="Times New Roman"/>
          <w:sz w:val="32"/>
          <w:szCs w:val="32"/>
          <w:lang w:val="en-US" w:eastAsia="zh-CN"/>
        </w:rPr>
        <w:t>纪检监察干部队伍教育整顿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阳光纪检”项目竞技拉练盐边现场会暨“以案促改”经验交流座谈会</w:t>
      </w:r>
      <w:r>
        <w:rPr>
          <w:rFonts w:hint="default" w:ascii="Times New Roman" w:hAnsi="Times New Roman" w:eastAsia="方正仿宋_GBK" w:cs="Times New Roman"/>
          <w:sz w:val="32"/>
          <w:szCs w:val="32"/>
          <w:lang w:eastAsia="zh-CN"/>
        </w:rPr>
        <w:t>、全省“有事找纪检”等专项经费，</w:t>
      </w:r>
      <w:r>
        <w:rPr>
          <w:rFonts w:hint="default" w:ascii="Times New Roman" w:hAnsi="Times New Roman" w:eastAsia="方正仿宋_GBK" w:cs="Times New Roman"/>
          <w:sz w:val="32"/>
          <w:szCs w:val="32"/>
        </w:rPr>
        <w:t>本年度相比上年度的</w:t>
      </w:r>
      <w:r>
        <w:rPr>
          <w:rFonts w:hint="default" w:ascii="Times New Roman" w:hAnsi="Times New Roman" w:eastAsia="方正仿宋_GBK" w:cs="Times New Roman"/>
          <w:sz w:val="32"/>
          <w:szCs w:val="32"/>
          <w:lang w:eastAsia="zh-CN"/>
        </w:rPr>
        <w:t>一般公共预算财政拨款</w:t>
      </w:r>
      <w:r>
        <w:rPr>
          <w:rFonts w:hint="default" w:ascii="Times New Roman" w:hAnsi="Times New Roman" w:eastAsia="方正仿宋_GBK" w:cs="Times New Roman"/>
          <w:sz w:val="32"/>
          <w:szCs w:val="32"/>
        </w:rPr>
        <w:t>支出有所上升。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方正仿宋_GBK" w:hAnsi="方正仿宋_GBK" w:eastAsia="方正仿宋_GBK" w:cs="方正仿宋_GBK"/>
          <w:b/>
          <w:kern w:val="2"/>
          <w:sz w:val="28"/>
          <w:szCs w:val="28"/>
          <w:lang w:val="en-US" w:eastAsia="zh-CN" w:bidi="ar-SA"/>
        </w:rPr>
      </w:pPr>
      <w:r>
        <w:rPr>
          <w:rFonts w:hint="eastAsia" w:eastAsia="仿宋_GB2312" w:cs="Times New Roman"/>
          <w:sz w:val="32"/>
          <w:szCs w:val="32"/>
          <w:lang w:val="en-US" w:eastAsia="zh-CN"/>
        </w:rPr>
        <w:t xml:space="preserve">    </w:t>
      </w:r>
      <w:r>
        <w:rPr>
          <w:rFonts w:hint="eastAsia" w:ascii="方正仿宋_GBK" w:hAnsi="方正仿宋_GBK" w:eastAsia="方正仿宋_GBK" w:cs="方正仿宋_GBK"/>
          <w:b/>
          <w:kern w:val="2"/>
          <w:sz w:val="28"/>
          <w:szCs w:val="28"/>
          <w:lang w:val="en-US" w:eastAsia="zh-CN" w:bidi="ar-SA"/>
        </w:rPr>
        <w:t>图5：一般公共预算财政拨款支出决算变动情况</w:t>
      </w:r>
      <w:bookmarkStart w:id="36" w:name="_Toc15377211"/>
    </w:p>
    <w:p>
      <w:pPr>
        <w:pageBreakBefore w:val="0"/>
        <w:kinsoku/>
        <w:wordWrap/>
        <w:overflowPunct/>
        <w:topLinePunct w:val="0"/>
        <w:autoSpaceDE/>
        <w:autoSpaceDN/>
        <w:bidi w:val="0"/>
        <w:spacing w:line="560" w:lineRule="exact"/>
        <w:ind w:right="0" w:rightChars="0"/>
        <w:textAlignment w:val="auto"/>
        <w:rPr>
          <w:rFonts w:hint="default" w:ascii="仿宋_GB2312" w:hAnsi="仿宋_GB2312" w:eastAsia="仿宋_GB2312" w:cs="仿宋_GB2312"/>
          <w:b/>
          <w:kern w:val="2"/>
          <w:sz w:val="28"/>
          <w:szCs w:val="28"/>
          <w:lang w:val="en-US" w:eastAsia="zh-CN" w:bidi="ar-SA"/>
        </w:rPr>
      </w:pPr>
      <w:r>
        <w:rPr>
          <w:rFonts w:hint="default" w:ascii="Times New Roman" w:hAnsi="Times New Roman" w:eastAsia="仿宋" w:cs="Times New Roman"/>
          <w:sz w:val="32"/>
          <w:szCs w:val="32"/>
        </w:rPr>
        <w:drawing>
          <wp:anchor distT="0" distB="0" distL="114300" distR="114300" simplePos="0" relativeHeight="251696128" behindDoc="1" locked="0" layoutInCell="1" allowOverlap="1">
            <wp:simplePos x="0" y="0"/>
            <wp:positionH relativeFrom="column">
              <wp:posOffset>360045</wp:posOffset>
            </wp:positionH>
            <wp:positionV relativeFrom="paragraph">
              <wp:posOffset>131445</wp:posOffset>
            </wp:positionV>
            <wp:extent cx="4738370" cy="2159000"/>
            <wp:effectExtent l="4445" t="4445" r="6985" b="8255"/>
            <wp:wrapTight wrapText="bothSides">
              <wp:wrapPolygon>
                <wp:start x="-20" y="-44"/>
                <wp:lineTo x="-20" y="21556"/>
                <wp:lineTo x="21574" y="21556"/>
                <wp:lineTo x="21574" y="-44"/>
                <wp:lineTo x="-20" y="-44"/>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（二）一般公共预算财政拨款支出决算结构情况</w:t>
      </w:r>
      <w:bookmarkEnd w:id="3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2024年度一般公共预算财政拨款支出</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万元，主要用于以下方面：一般公共服务支出</w:t>
      </w:r>
      <w:r>
        <w:rPr>
          <w:rFonts w:hint="default" w:ascii="Times New Roman" w:hAnsi="Times New Roman" w:eastAsia="方正仿宋_GBK" w:cs="Times New Roman"/>
          <w:sz w:val="32"/>
          <w:szCs w:val="32"/>
          <w:lang w:val="en-US" w:eastAsia="zh-CN"/>
        </w:rPr>
        <w:t>1356.29</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82.37</w:t>
      </w:r>
      <w:r>
        <w:rPr>
          <w:rFonts w:hint="default" w:ascii="Times New Roman" w:hAnsi="Times New Roman" w:eastAsia="方正仿宋_GBK" w:cs="Times New Roman"/>
          <w:sz w:val="32"/>
          <w:szCs w:val="32"/>
        </w:rPr>
        <w:t>%；社会保障和就业支出120.84万元，占</w:t>
      </w:r>
      <w:r>
        <w:rPr>
          <w:rFonts w:hint="default" w:ascii="Times New Roman" w:hAnsi="Times New Roman" w:eastAsia="方正仿宋_GBK" w:cs="Times New Roman"/>
          <w:sz w:val="32"/>
          <w:szCs w:val="32"/>
          <w:lang w:val="en-US" w:eastAsia="zh-CN"/>
        </w:rPr>
        <w:t>7.34</w:t>
      </w:r>
      <w:r>
        <w:rPr>
          <w:rFonts w:hint="default" w:ascii="Times New Roman" w:hAnsi="Times New Roman" w:eastAsia="方正仿宋_GBK" w:cs="Times New Roman"/>
          <w:sz w:val="32"/>
          <w:szCs w:val="32"/>
        </w:rPr>
        <w:t>%；卫生健康支出85.19万元，占</w:t>
      </w:r>
      <w:r>
        <w:rPr>
          <w:rFonts w:hint="default" w:ascii="Times New Roman" w:hAnsi="Times New Roman" w:eastAsia="方正仿宋_GBK" w:cs="Times New Roman"/>
          <w:sz w:val="32"/>
          <w:szCs w:val="32"/>
          <w:lang w:val="en-US" w:eastAsia="zh-CN"/>
        </w:rPr>
        <w:t>5.17</w:t>
      </w:r>
      <w:r>
        <w:rPr>
          <w:rFonts w:hint="default" w:ascii="Times New Roman" w:hAnsi="Times New Roman" w:eastAsia="方正仿宋_GBK" w:cs="Times New Roman"/>
          <w:sz w:val="32"/>
          <w:szCs w:val="32"/>
        </w:rPr>
        <w:t>%；住房保障支出84.21万元，占</w:t>
      </w:r>
      <w:r>
        <w:rPr>
          <w:rFonts w:hint="default" w:ascii="Times New Roman" w:hAnsi="Times New Roman" w:eastAsia="方正仿宋_GBK" w:cs="Times New Roman"/>
          <w:sz w:val="32"/>
          <w:szCs w:val="32"/>
          <w:lang w:val="en-US" w:eastAsia="zh-CN"/>
        </w:rPr>
        <w:t>5.12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p>
    <w:p>
      <w:pPr>
        <w:pageBreakBefore w:val="0"/>
        <w:kinsoku/>
        <w:wordWrap/>
        <w:overflowPunct/>
        <w:topLinePunct w:val="0"/>
        <w:autoSpaceDE/>
        <w:autoSpaceDN/>
        <w:bidi w:val="0"/>
        <w:spacing w:line="560" w:lineRule="exact"/>
        <w:ind w:right="0" w:rightChars="0" w:firstLine="640"/>
        <w:textAlignment w:val="auto"/>
        <w:rPr>
          <w:rFonts w:hint="eastAsia" w:ascii="方正仿宋_GBK" w:hAnsi="方正仿宋_GBK" w:eastAsia="方正仿宋_GBK" w:cs="方正仿宋_GBK"/>
          <w:sz w:val="28"/>
          <w:szCs w:val="28"/>
        </w:rPr>
      </w:pPr>
      <w:r>
        <w:rPr>
          <w:rFonts w:hint="eastAsia" w:eastAsia="仿宋_GB2312" w:cs="Times New Roman"/>
          <w:sz w:val="32"/>
          <w:szCs w:val="32"/>
          <w:lang w:val="en-US" w:eastAsia="zh-CN"/>
        </w:rPr>
        <w:t xml:space="preserve">    </w:t>
      </w:r>
      <w:r>
        <w:rPr>
          <w:rFonts w:hint="eastAsia" w:ascii="方正仿宋_GBK" w:hAnsi="方正仿宋_GBK" w:eastAsia="方正仿宋_GBK" w:cs="方正仿宋_GBK"/>
          <w:b/>
          <w:kern w:val="2"/>
          <w:sz w:val="28"/>
          <w:szCs w:val="28"/>
          <w:lang w:val="en-US" w:eastAsia="zh-CN" w:bidi="ar-SA"/>
        </w:rPr>
        <w:t>图6：一般公共预算财政拨款支出决算结构</w:t>
      </w: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drawing>
          <wp:anchor distT="0" distB="0" distL="114300" distR="114300" simplePos="0" relativeHeight="251704320" behindDoc="1" locked="0" layoutInCell="1" allowOverlap="1">
            <wp:simplePos x="0" y="0"/>
            <wp:positionH relativeFrom="column">
              <wp:posOffset>252730</wp:posOffset>
            </wp:positionH>
            <wp:positionV relativeFrom="paragraph">
              <wp:posOffset>201295</wp:posOffset>
            </wp:positionV>
            <wp:extent cx="5080000" cy="1939290"/>
            <wp:effectExtent l="4445" t="4445" r="8255" b="50165"/>
            <wp:wrapThrough wrapText="bothSides">
              <wp:wrapPolygon>
                <wp:start x="-19" y="-50"/>
                <wp:lineTo x="-19" y="21451"/>
                <wp:lineTo x="21581" y="21451"/>
                <wp:lineTo x="21581" y="-50"/>
                <wp:lineTo x="-19" y="-50"/>
              </wp:wrapPolygon>
            </wp:wrapThrough>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bookmarkStart w:id="37" w:name="_Toc15377212"/>
      <w:r>
        <w:rPr>
          <w:rFonts w:hint="eastAsia" w:ascii="Times New Roman" w:hAnsi="Times New Roman" w:eastAsia="楷体_GB2312" w:cs="Times New Roman"/>
          <w:b/>
          <w:kern w:val="2"/>
          <w:sz w:val="32"/>
          <w:szCs w:val="32"/>
          <w:lang w:val="en-US" w:eastAsia="zh-CN" w:bidi="ar-SA"/>
        </w:rPr>
        <w:t>（三）一般公共预算财政拨款支出决算具体情况</w:t>
      </w:r>
      <w:bookmarkEnd w:id="3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方正仿宋_GBK" w:cs="Times New Roman"/>
          <w:sz w:val="32"/>
          <w:szCs w:val="32"/>
        </w:rPr>
      </w:pPr>
      <w:bookmarkStart w:id="38" w:name="_Toc15377213"/>
      <w:bookmarkStart w:id="39" w:name="_Toc15377444"/>
      <w:bookmarkStart w:id="40" w:name="_Toc15378460"/>
      <w:r>
        <w:rPr>
          <w:rFonts w:hint="default" w:ascii="Times New Roman" w:hAnsi="Times New Roman" w:eastAsia="方正仿宋_GBK" w:cs="Times New Roman"/>
          <w:sz w:val="32"/>
          <w:szCs w:val="32"/>
        </w:rPr>
        <w:t>2024年度一般公共预算财政拨款支出决算数为</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%。其中：</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41" w:name="_Toc9393"/>
      <w:r>
        <w:rPr>
          <w:rFonts w:hint="default" w:ascii="Times New Roman" w:hAnsi="Times New Roman" w:eastAsia="方正仿宋_GBK" w:cs="Times New Roman"/>
          <w:b w:val="0"/>
          <w:bCs/>
          <w:color w:val="000000"/>
          <w:sz w:val="32"/>
          <w:szCs w:val="32"/>
        </w:rPr>
        <w:t>1.一般公共服务</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（类）纪检监察事务（款）行政运行（项）: </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742.19</w:t>
      </w:r>
      <w:r>
        <w:rPr>
          <w:rFonts w:hint="default" w:ascii="Times New Roman" w:hAnsi="Times New Roman" w:eastAsia="方正仿宋_GBK" w:cs="Times New Roman"/>
          <w:bCs/>
          <w:color w:val="000000"/>
          <w:sz w:val="32"/>
          <w:szCs w:val="32"/>
        </w:rPr>
        <w:t>万元，完成预算100%。</w:t>
      </w:r>
      <w:bookmarkEnd w:id="4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42" w:name="_Toc19934"/>
      <w:r>
        <w:rPr>
          <w:rFonts w:hint="default" w:ascii="Times New Roman" w:hAnsi="Times New Roman" w:eastAsia="方正仿宋_GBK" w:cs="Times New Roman"/>
          <w:b w:val="0"/>
          <w:bCs/>
          <w:color w:val="000000"/>
          <w:sz w:val="32"/>
          <w:szCs w:val="32"/>
        </w:rPr>
        <w:t>2.一般公共服务</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（类）纪检监察事务（款）大案要案查处（项）: </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270</w:t>
      </w:r>
      <w:r>
        <w:rPr>
          <w:rFonts w:hint="default" w:ascii="Times New Roman" w:hAnsi="Times New Roman" w:eastAsia="方正仿宋_GBK" w:cs="Times New Roman"/>
          <w:bCs/>
          <w:color w:val="000000"/>
          <w:sz w:val="32"/>
          <w:szCs w:val="32"/>
        </w:rPr>
        <w:t>万元，完成预算100%。</w:t>
      </w:r>
      <w:bookmarkEnd w:id="4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43" w:name="_Toc20071"/>
      <w:r>
        <w:rPr>
          <w:rFonts w:hint="default" w:ascii="Times New Roman" w:hAnsi="Times New Roman" w:eastAsia="方正仿宋_GBK" w:cs="Times New Roman"/>
          <w:b w:val="0"/>
          <w:bCs/>
          <w:color w:val="000000"/>
          <w:sz w:val="32"/>
          <w:szCs w:val="32"/>
        </w:rPr>
        <w:t>3.一般公共服务</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（类）纪检监察事务（款）巡视工作（项）: </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58.08</w:t>
      </w:r>
      <w:r>
        <w:rPr>
          <w:rFonts w:hint="default" w:ascii="Times New Roman" w:hAnsi="Times New Roman" w:eastAsia="方正仿宋_GBK" w:cs="Times New Roman"/>
          <w:bCs/>
          <w:color w:val="000000"/>
          <w:sz w:val="32"/>
          <w:szCs w:val="32"/>
        </w:rPr>
        <w:t>万元，完成预算100%。</w:t>
      </w:r>
      <w:bookmarkEnd w:id="4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44" w:name="_Toc20362"/>
      <w:r>
        <w:rPr>
          <w:rFonts w:hint="default" w:ascii="Times New Roman" w:hAnsi="Times New Roman" w:eastAsia="方正仿宋_GBK" w:cs="Times New Roman"/>
          <w:b w:val="0"/>
          <w:bCs/>
          <w:color w:val="000000"/>
          <w:sz w:val="32"/>
          <w:szCs w:val="32"/>
        </w:rPr>
        <w:t>4.一般公共服务</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（类）纪检监察事务（款）事业运行（项）: </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87.94</w:t>
      </w:r>
      <w:r>
        <w:rPr>
          <w:rFonts w:hint="default" w:ascii="Times New Roman" w:hAnsi="Times New Roman" w:eastAsia="方正仿宋_GBK" w:cs="Times New Roman"/>
          <w:bCs/>
          <w:color w:val="000000"/>
          <w:sz w:val="32"/>
          <w:szCs w:val="32"/>
        </w:rPr>
        <w:t>万元，完成预算100%。</w:t>
      </w:r>
      <w:bookmarkEnd w:id="4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1"/>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　</w:t>
      </w:r>
      <w:r>
        <w:rPr>
          <w:rFonts w:hint="default" w:ascii="Times New Roman" w:hAnsi="Times New Roman" w:eastAsia="方正仿宋_GBK" w:cs="Times New Roman"/>
          <w:b w:val="0"/>
          <w:bCs/>
          <w:color w:val="000000"/>
          <w:sz w:val="32"/>
          <w:szCs w:val="32"/>
        </w:rPr>
        <w:t>　</w:t>
      </w:r>
      <w:bookmarkStart w:id="45" w:name="_Toc7961"/>
      <w:r>
        <w:rPr>
          <w:rFonts w:hint="default" w:ascii="Times New Roman" w:hAnsi="Times New Roman" w:eastAsia="方正仿宋_GBK" w:cs="Times New Roman"/>
          <w:b w:val="0"/>
          <w:bCs/>
          <w:color w:val="000000"/>
          <w:sz w:val="32"/>
          <w:szCs w:val="32"/>
        </w:rPr>
        <w:t>5.一般公共服务</w:t>
      </w:r>
      <w:r>
        <w:rPr>
          <w:rFonts w:hint="eastAsia"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（类）纪检监察事务（款）其他纪检监察事务支出（项）:</w:t>
      </w:r>
      <w:r>
        <w:rPr>
          <w:rFonts w:hint="default" w:ascii="Times New Roman" w:hAnsi="Times New Roman" w:eastAsia="方正仿宋_GBK" w:cs="Times New Roman"/>
          <w:b/>
          <w:color w:val="000000"/>
          <w:sz w:val="32"/>
          <w:szCs w:val="32"/>
        </w:rPr>
        <w:t xml:space="preserve"> </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198.09</w:t>
      </w:r>
      <w:r>
        <w:rPr>
          <w:rFonts w:hint="default" w:ascii="Times New Roman" w:hAnsi="Times New Roman" w:eastAsia="方正仿宋_GBK" w:cs="Times New Roman"/>
          <w:bCs/>
          <w:color w:val="000000"/>
          <w:sz w:val="32"/>
          <w:szCs w:val="32"/>
        </w:rPr>
        <w:t>万元，完成预算100%。</w:t>
      </w:r>
      <w:bookmarkEnd w:id="4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46" w:name="_Toc26098"/>
      <w:r>
        <w:rPr>
          <w:rFonts w:hint="default" w:ascii="Times New Roman" w:hAnsi="Times New Roman" w:eastAsia="方正仿宋_GBK" w:cs="Times New Roman"/>
          <w:b w:val="0"/>
          <w:bCs/>
          <w:color w:val="000000"/>
          <w:sz w:val="32"/>
          <w:szCs w:val="32"/>
          <w:lang w:val="en-US" w:eastAsia="zh-CN"/>
        </w:rPr>
        <w:t>6</w:t>
      </w:r>
      <w:r>
        <w:rPr>
          <w:rFonts w:hint="default" w:ascii="Times New Roman" w:hAnsi="Times New Roman" w:eastAsia="方正仿宋_GBK" w:cs="Times New Roman"/>
          <w:b w:val="0"/>
          <w:bCs/>
          <w:color w:val="000000"/>
          <w:sz w:val="32"/>
          <w:szCs w:val="32"/>
        </w:rPr>
        <w:t>.社会保障和就业</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（类）行政事业单位养老支出（款）行政单位离退休（项）:</w:t>
      </w:r>
      <w:r>
        <w:rPr>
          <w:rFonts w:hint="default" w:ascii="Times New Roman" w:hAnsi="Times New Roman" w:eastAsia="方正仿宋_GBK" w:cs="Times New Roman"/>
          <w:bCs/>
          <w:color w:val="000000"/>
          <w:sz w:val="32"/>
          <w:szCs w:val="32"/>
        </w:rPr>
        <w:t xml:space="preserve"> 支出决算为</w:t>
      </w:r>
      <w:r>
        <w:rPr>
          <w:rFonts w:hint="default" w:ascii="Times New Roman" w:hAnsi="Times New Roman" w:eastAsia="方正仿宋_GBK" w:cs="Times New Roman"/>
          <w:bCs/>
          <w:color w:val="000000"/>
          <w:sz w:val="32"/>
          <w:szCs w:val="32"/>
          <w:lang w:val="en-US" w:eastAsia="zh-CN"/>
        </w:rPr>
        <w:t>18.56</w:t>
      </w:r>
      <w:r>
        <w:rPr>
          <w:rFonts w:hint="default" w:ascii="Times New Roman" w:hAnsi="Times New Roman" w:eastAsia="方正仿宋_GBK" w:cs="Times New Roman"/>
          <w:bCs/>
          <w:color w:val="000000"/>
          <w:sz w:val="32"/>
          <w:szCs w:val="32"/>
        </w:rPr>
        <w:t>万元，完成预算100%。</w:t>
      </w:r>
      <w:bookmarkEnd w:id="4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47" w:name="_Toc9608"/>
      <w:r>
        <w:rPr>
          <w:rFonts w:hint="default" w:ascii="Times New Roman" w:hAnsi="Times New Roman" w:eastAsia="方正仿宋_GBK" w:cs="Times New Roman"/>
          <w:b w:val="0"/>
          <w:bCs/>
          <w:color w:val="000000"/>
          <w:sz w:val="32"/>
          <w:szCs w:val="32"/>
          <w:lang w:val="en-US" w:eastAsia="zh-CN"/>
        </w:rPr>
        <w:t>7</w:t>
      </w:r>
      <w:r>
        <w:rPr>
          <w:rFonts w:hint="default" w:ascii="Times New Roman" w:hAnsi="Times New Roman" w:eastAsia="方正仿宋_GBK" w:cs="Times New Roman"/>
          <w:b w:val="0"/>
          <w:bCs/>
          <w:color w:val="000000"/>
          <w:sz w:val="32"/>
          <w:szCs w:val="32"/>
        </w:rPr>
        <w:t>.社会保障和就业</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（类）行政事业单位养老支出（款）机关事业单位基本养老保险缴费支出（项）: </w:t>
      </w:r>
      <w:r>
        <w:rPr>
          <w:rFonts w:hint="default" w:ascii="Times New Roman" w:hAnsi="Times New Roman" w:eastAsia="方正仿宋_GBK" w:cs="Times New Roman"/>
          <w:bCs/>
          <w:color w:val="000000"/>
          <w:sz w:val="32"/>
          <w:szCs w:val="32"/>
        </w:rPr>
        <w:t>支出决算为97.2</w:t>
      </w:r>
      <w:r>
        <w:rPr>
          <w:rFonts w:hint="default" w:ascii="Times New Roman" w:hAnsi="Times New Roman"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万元，完成预算100%。</w:t>
      </w:r>
      <w:bookmarkEnd w:id="4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48" w:name="_Toc19543"/>
      <w:r>
        <w:rPr>
          <w:rFonts w:hint="default" w:ascii="Times New Roman" w:hAnsi="Times New Roman" w:eastAsia="方正仿宋_GBK" w:cs="Times New Roman"/>
          <w:b w:val="0"/>
          <w:bCs/>
          <w:color w:val="000000"/>
          <w:sz w:val="32"/>
          <w:szCs w:val="32"/>
          <w:lang w:val="en-US" w:eastAsia="zh-CN"/>
        </w:rPr>
        <w:t>8</w:t>
      </w:r>
      <w:r>
        <w:rPr>
          <w:rFonts w:hint="default" w:ascii="Times New Roman" w:hAnsi="Times New Roman" w:eastAsia="方正仿宋_GBK" w:cs="Times New Roman"/>
          <w:b w:val="0"/>
          <w:bCs/>
          <w:color w:val="000000"/>
          <w:sz w:val="32"/>
          <w:szCs w:val="32"/>
        </w:rPr>
        <w:t>.社会保障和就业</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（类）行政事业单位养老支出（款）机关事业单位职业年金缴费支出（项）: </w:t>
      </w:r>
      <w:r>
        <w:rPr>
          <w:rFonts w:hint="default" w:ascii="Times New Roman" w:hAnsi="Times New Roman" w:eastAsia="方正仿宋_GBK" w:cs="Times New Roman"/>
          <w:bCs/>
          <w:color w:val="000000"/>
          <w:sz w:val="32"/>
          <w:szCs w:val="32"/>
        </w:rPr>
        <w:t>支出决算为2</w:t>
      </w:r>
      <w:r>
        <w:rPr>
          <w:rFonts w:hint="default" w:ascii="Times New Roman" w:hAnsi="Times New Roman" w:eastAsia="方正仿宋_GBK" w:cs="Times New Roman"/>
          <w:bCs/>
          <w:color w:val="000000"/>
          <w:sz w:val="32"/>
          <w:szCs w:val="32"/>
          <w:lang w:val="en-US" w:eastAsia="zh-CN"/>
        </w:rPr>
        <w:t>.37</w:t>
      </w:r>
      <w:r>
        <w:rPr>
          <w:rFonts w:hint="default" w:ascii="Times New Roman" w:hAnsi="Times New Roman" w:eastAsia="方正仿宋_GBK" w:cs="Times New Roman"/>
          <w:bCs/>
          <w:color w:val="000000"/>
          <w:sz w:val="32"/>
          <w:szCs w:val="32"/>
        </w:rPr>
        <w:t>万元，完成预算100%。</w:t>
      </w:r>
      <w:bookmarkEnd w:id="48"/>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1"/>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val="en-US" w:eastAsia="zh-CN"/>
        </w:rPr>
        <w:t xml:space="preserve">   </w:t>
      </w:r>
      <w:r>
        <w:rPr>
          <w:rFonts w:hint="default" w:ascii="Times New Roman" w:hAnsi="Times New Roman" w:eastAsia="方正仿宋_GBK" w:cs="Times New Roman"/>
          <w:bCs/>
          <w:color w:val="000000"/>
          <w:sz w:val="32"/>
          <w:szCs w:val="32"/>
          <w:lang w:val="en-US" w:eastAsia="zh-CN"/>
        </w:rPr>
        <w:t xml:space="preserve"> </w:t>
      </w:r>
      <w:bookmarkStart w:id="49" w:name="_Toc358"/>
      <w:r>
        <w:rPr>
          <w:rFonts w:hint="default" w:ascii="Times New Roman" w:hAnsi="Times New Roman" w:eastAsia="方正仿宋_GBK" w:cs="Times New Roman"/>
          <w:bCs/>
          <w:color w:val="000000"/>
          <w:sz w:val="32"/>
          <w:szCs w:val="32"/>
          <w:lang w:val="en-US" w:eastAsia="zh-CN"/>
        </w:rPr>
        <w:t>9.</w:t>
      </w:r>
      <w:r>
        <w:rPr>
          <w:rFonts w:hint="default" w:ascii="Times New Roman" w:hAnsi="Times New Roman" w:eastAsia="方正仿宋_GBK" w:cs="Times New Roman"/>
          <w:b w:val="0"/>
          <w:bCs/>
          <w:color w:val="000000"/>
          <w:sz w:val="32"/>
          <w:szCs w:val="32"/>
        </w:rPr>
        <w:t>社会保障和就业</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w:t>
      </w:r>
      <w:r>
        <w:rPr>
          <w:rFonts w:hint="default" w:ascii="Times New Roman" w:hAnsi="Times New Roman" w:eastAsia="方正仿宋_GBK" w:cs="Times New Roman"/>
          <w:b w:val="0"/>
          <w:bCs/>
          <w:color w:val="000000"/>
          <w:sz w:val="32"/>
          <w:szCs w:val="32"/>
          <w:lang w:eastAsia="zh-CN"/>
        </w:rPr>
        <w:t>抚恤</w:t>
      </w:r>
      <w:r>
        <w:rPr>
          <w:rFonts w:hint="default" w:ascii="Times New Roman" w:hAnsi="Times New Roman" w:eastAsia="方正仿宋_GBK" w:cs="Times New Roman"/>
          <w:b w:val="0"/>
          <w:bCs/>
          <w:color w:val="000000"/>
          <w:sz w:val="32"/>
          <w:szCs w:val="32"/>
        </w:rPr>
        <w:t>（款）</w:t>
      </w:r>
      <w:r>
        <w:rPr>
          <w:rFonts w:hint="default" w:ascii="Times New Roman" w:hAnsi="Times New Roman" w:eastAsia="方正仿宋_GBK" w:cs="Times New Roman"/>
          <w:b w:val="0"/>
          <w:bCs/>
          <w:color w:val="000000"/>
          <w:sz w:val="32"/>
          <w:szCs w:val="32"/>
          <w:lang w:eastAsia="zh-CN"/>
        </w:rPr>
        <w:t>伤残抚恤</w:t>
      </w:r>
      <w:r>
        <w:rPr>
          <w:rFonts w:hint="default" w:ascii="Times New Roman" w:hAnsi="Times New Roman" w:eastAsia="方正仿宋_GBK" w:cs="Times New Roman"/>
          <w:b w:val="0"/>
          <w:bCs/>
          <w:color w:val="000000"/>
          <w:sz w:val="32"/>
          <w:szCs w:val="32"/>
        </w:rPr>
        <w:t xml:space="preserve">（项）: </w:t>
      </w:r>
      <w:r>
        <w:rPr>
          <w:rFonts w:hint="default" w:ascii="Times New Roman" w:hAnsi="Times New Roman" w:eastAsia="方正仿宋_GBK" w:cs="Times New Roman"/>
          <w:bCs/>
          <w:color w:val="000000"/>
          <w:sz w:val="32"/>
          <w:szCs w:val="32"/>
        </w:rPr>
        <w:t>支出决算为2</w:t>
      </w:r>
      <w:r>
        <w:rPr>
          <w:rFonts w:hint="default" w:ascii="Times New Roman" w:hAnsi="Times New Roman" w:eastAsia="方正仿宋_GBK" w:cs="Times New Roman"/>
          <w:bCs/>
          <w:color w:val="000000"/>
          <w:sz w:val="32"/>
          <w:szCs w:val="32"/>
          <w:lang w:val="en-US" w:eastAsia="zh-CN"/>
        </w:rPr>
        <w:t>.66</w:t>
      </w:r>
      <w:r>
        <w:rPr>
          <w:rFonts w:hint="default" w:ascii="Times New Roman" w:hAnsi="Times New Roman" w:eastAsia="方正仿宋_GBK" w:cs="Times New Roman"/>
          <w:bCs/>
          <w:color w:val="000000"/>
          <w:sz w:val="32"/>
          <w:szCs w:val="32"/>
        </w:rPr>
        <w:t>万元，完成预算100%。</w:t>
      </w:r>
      <w:bookmarkEnd w:id="4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50" w:name="_Toc5937"/>
      <w:r>
        <w:rPr>
          <w:rFonts w:hint="default" w:ascii="Times New Roman" w:hAnsi="Times New Roman" w:eastAsia="方正仿宋_GBK" w:cs="Times New Roman"/>
          <w:b w:val="0"/>
          <w:bCs/>
          <w:color w:val="000000"/>
          <w:sz w:val="32"/>
          <w:szCs w:val="32"/>
          <w:lang w:val="en-US" w:eastAsia="zh-CN"/>
        </w:rPr>
        <w:t>10</w:t>
      </w:r>
      <w:r>
        <w:rPr>
          <w:rFonts w:hint="default" w:ascii="Times New Roman" w:hAnsi="Times New Roman" w:eastAsia="方正仿宋_GBK" w:cs="Times New Roman"/>
          <w:b w:val="0"/>
          <w:bCs/>
          <w:color w:val="000000"/>
          <w:sz w:val="32"/>
          <w:szCs w:val="32"/>
        </w:rPr>
        <w:t>.卫生健康</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（类）行政事业单位医疗（款）行政单位医疗（项）:</w:t>
      </w:r>
      <w:r>
        <w:rPr>
          <w:rFonts w:hint="default" w:ascii="Times New Roman" w:hAnsi="Times New Roman" w:eastAsia="方正仿宋_GBK" w:cs="Times New Roman"/>
          <w:bCs/>
          <w:color w:val="000000"/>
          <w:sz w:val="32"/>
          <w:szCs w:val="32"/>
        </w:rPr>
        <w:t>支出决算为4</w:t>
      </w:r>
      <w:r>
        <w:rPr>
          <w:rFonts w:hint="default" w:ascii="Times New Roman" w:hAnsi="Times New Roman" w:eastAsia="方正仿宋_GBK" w:cs="Times New Roman"/>
          <w:bCs/>
          <w:color w:val="000000"/>
          <w:sz w:val="32"/>
          <w:szCs w:val="32"/>
          <w:lang w:val="en-US" w:eastAsia="zh-CN"/>
        </w:rPr>
        <w:t>8.39</w:t>
      </w:r>
      <w:r>
        <w:rPr>
          <w:rFonts w:hint="default" w:ascii="Times New Roman" w:hAnsi="Times New Roman" w:eastAsia="方正仿宋_GBK" w:cs="Times New Roman"/>
          <w:bCs/>
          <w:color w:val="000000"/>
          <w:sz w:val="32"/>
          <w:szCs w:val="32"/>
        </w:rPr>
        <w:t>万元，完成预算100%。</w:t>
      </w:r>
      <w:bookmarkEnd w:id="5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51" w:name="_Toc25242"/>
      <w:r>
        <w:rPr>
          <w:rFonts w:hint="default" w:ascii="Times New Roman" w:hAnsi="Times New Roman" w:eastAsia="方正仿宋_GBK" w:cs="Times New Roman"/>
          <w:b w:val="0"/>
          <w:bCs/>
          <w:color w:val="000000"/>
          <w:sz w:val="32"/>
          <w:szCs w:val="32"/>
        </w:rPr>
        <w:t>11.卫生健康</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（类）行政事业单位医疗（款）事业单位医疗（项）:</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5.99</w:t>
      </w:r>
      <w:r>
        <w:rPr>
          <w:rFonts w:hint="default" w:ascii="Times New Roman" w:hAnsi="Times New Roman" w:eastAsia="方正仿宋_GBK" w:cs="Times New Roman"/>
          <w:bCs/>
          <w:color w:val="000000"/>
          <w:sz w:val="32"/>
          <w:szCs w:val="32"/>
        </w:rPr>
        <w:t>万元，完成预算100%。</w:t>
      </w:r>
      <w:bookmarkEnd w:id="5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52" w:name="_Toc5873"/>
      <w:r>
        <w:rPr>
          <w:rFonts w:hint="default" w:ascii="Times New Roman" w:hAnsi="Times New Roman" w:eastAsia="方正仿宋_GBK" w:cs="Times New Roman"/>
          <w:b w:val="0"/>
          <w:bCs/>
          <w:color w:val="000000"/>
          <w:sz w:val="32"/>
          <w:szCs w:val="32"/>
        </w:rPr>
        <w:t>12.卫生健康</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（类）行政事业单位医疗（款）公务员医疗补助（项）:</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.48万元，完成预算100%。</w:t>
      </w:r>
      <w:bookmarkEnd w:id="5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53" w:name="_Toc16234"/>
      <w:r>
        <w:rPr>
          <w:rFonts w:hint="default" w:ascii="Times New Roman" w:hAnsi="Times New Roman" w:eastAsia="方正仿宋_GBK" w:cs="Times New Roman"/>
          <w:b w:val="0"/>
          <w:bCs/>
          <w:color w:val="000000"/>
          <w:sz w:val="32"/>
          <w:szCs w:val="32"/>
        </w:rPr>
        <w:t>13.卫生健康</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（类）行政事业单位医疗（款）其他行政事业单位医疗支出（项）:</w:t>
      </w:r>
      <w:r>
        <w:rPr>
          <w:rFonts w:hint="default" w:ascii="Times New Roman" w:hAnsi="Times New Roman" w:eastAsia="方正仿宋_GBK" w:cs="Times New Roman"/>
          <w:bCs/>
          <w:color w:val="000000"/>
          <w:sz w:val="32"/>
          <w:szCs w:val="32"/>
        </w:rPr>
        <w:t>支出决算为25.</w:t>
      </w:r>
      <w:r>
        <w:rPr>
          <w:rFonts w:hint="default" w:ascii="Times New Roman" w:hAnsi="Times New Roman" w:eastAsia="方正仿宋_GBK" w:cs="Times New Roman"/>
          <w:bCs/>
          <w:color w:val="000000"/>
          <w:sz w:val="32"/>
          <w:szCs w:val="32"/>
          <w:lang w:val="en-US" w:eastAsia="zh-CN"/>
        </w:rPr>
        <w:t>33</w:t>
      </w:r>
      <w:r>
        <w:rPr>
          <w:rFonts w:hint="default" w:ascii="Times New Roman" w:hAnsi="Times New Roman" w:eastAsia="方正仿宋_GBK" w:cs="Times New Roman"/>
          <w:bCs/>
          <w:color w:val="000000"/>
          <w:sz w:val="32"/>
          <w:szCs w:val="32"/>
        </w:rPr>
        <w:t>万元，完成预算100%。</w:t>
      </w:r>
      <w:bookmarkEnd w:id="5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1"/>
        <w:rPr>
          <w:rFonts w:hint="default" w:ascii="Times New Roman" w:hAnsi="Times New Roman" w:eastAsia="方正仿宋_GBK" w:cs="Times New Roman"/>
          <w:bCs/>
          <w:color w:val="000000"/>
          <w:sz w:val="32"/>
          <w:szCs w:val="32"/>
        </w:rPr>
      </w:pPr>
      <w:bookmarkStart w:id="54" w:name="_Toc6644"/>
      <w:r>
        <w:rPr>
          <w:rFonts w:hint="default" w:ascii="Times New Roman" w:hAnsi="Times New Roman" w:eastAsia="方正仿宋_GBK" w:cs="Times New Roman"/>
          <w:b w:val="0"/>
          <w:bCs/>
          <w:color w:val="000000"/>
          <w:sz w:val="32"/>
          <w:szCs w:val="32"/>
        </w:rPr>
        <w:t>14.住房保障</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（类）住房改革支出（款）住房公积金（项）:</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84.21</w:t>
      </w:r>
      <w:r>
        <w:rPr>
          <w:rFonts w:hint="default" w:ascii="Times New Roman" w:hAnsi="Times New Roman" w:eastAsia="方正仿宋_GBK" w:cs="Times New Roman"/>
          <w:bCs/>
          <w:color w:val="000000"/>
          <w:sz w:val="32"/>
          <w:szCs w:val="32"/>
        </w:rPr>
        <w:t>万元，完成预算100%。</w:t>
      </w:r>
      <w:bookmarkEnd w:id="54"/>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1"/>
        <w:rPr>
          <w:rStyle w:val="31"/>
          <w:rFonts w:hint="default" w:ascii="Times New Roman" w:hAnsi="Times New Roman" w:cs="Times New Roman"/>
        </w:rPr>
      </w:pPr>
      <w:bookmarkStart w:id="55" w:name="_Toc15377214"/>
      <w:bookmarkStart w:id="56" w:name="_Toc15396608"/>
      <w:bookmarkStart w:id="57" w:name="_Toc24870"/>
      <w:r>
        <w:rPr>
          <w:rFonts w:hint="eastAsia" w:ascii="方正黑体_GBK" w:hAnsi="方正黑体_GBK" w:eastAsia="方正黑体_GBK" w:cs="方正黑体_GBK"/>
          <w:sz w:val="32"/>
          <w:szCs w:val="32"/>
        </w:rPr>
        <w:t>六</w:t>
      </w:r>
      <w:r>
        <w:rPr>
          <w:rFonts w:hint="eastAsia" w:ascii="方正黑体_GBK" w:hAnsi="方正黑体_GBK" w:eastAsia="方正黑体_GBK" w:cs="方正黑体_GBK"/>
          <w:b/>
          <w:sz w:val="32"/>
          <w:szCs w:val="32"/>
        </w:rPr>
        <w:t>、一</w:t>
      </w:r>
      <w:r>
        <w:rPr>
          <w:rStyle w:val="31"/>
          <w:rFonts w:hint="eastAsia" w:ascii="方正黑体_GBK" w:hAnsi="方正黑体_GBK" w:eastAsia="方正黑体_GBK" w:cs="方正黑体_GBK"/>
          <w:b w:val="0"/>
        </w:rPr>
        <w:t>般公共预算财政拨款基本支出决算情况说明</w:t>
      </w:r>
      <w:bookmarkEnd w:id="55"/>
      <w:bookmarkEnd w:id="56"/>
      <w:bookmarkEnd w:id="57"/>
      <w:r>
        <w:rPr>
          <w:rStyle w:val="31"/>
          <w:rFonts w:hint="default" w:ascii="Times New Roman" w:hAnsi="Times New Roman" w:eastAsia="黑体" w:cs="Times New Roman"/>
          <w:b w:val="0"/>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w:t>
      </w:r>
      <w:r>
        <w:rPr>
          <w:rFonts w:hint="eastAsia" w:eastAsia="仿宋_GB2312" w:cs="Times New Roman"/>
          <w:sz w:val="32"/>
          <w:szCs w:val="32"/>
          <w:lang w:val="en-US" w:eastAsia="zh-CN"/>
        </w:rPr>
        <w:t>1120.36</w:t>
      </w:r>
      <w:r>
        <w:rPr>
          <w:rFonts w:hint="default" w:ascii="Times New Roman" w:hAnsi="Times New Roman" w:eastAsia="仿宋_GB2312"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eastAsia="方正仿宋_GBK"/>
          <w:bCs/>
          <w:color w:val="000000"/>
          <w:sz w:val="33"/>
          <w:szCs w:val="33"/>
        </w:rPr>
      </w:pPr>
      <w:r>
        <w:rPr>
          <w:rFonts w:hint="default" w:ascii="Times New Roman" w:hAnsi="Times New Roman" w:eastAsia="仿宋_GB2312" w:cs="Times New Roman"/>
          <w:sz w:val="32"/>
          <w:szCs w:val="32"/>
        </w:rPr>
        <w:t>人员经费</w:t>
      </w:r>
      <w:r>
        <w:rPr>
          <w:rFonts w:hint="eastAsia" w:eastAsia="仿宋_GB2312" w:cs="Times New Roman"/>
          <w:sz w:val="32"/>
          <w:szCs w:val="32"/>
          <w:lang w:val="en-US" w:eastAsia="zh-CN"/>
        </w:rPr>
        <w:t>1022.63</w:t>
      </w:r>
      <w:r>
        <w:rPr>
          <w:rFonts w:hint="default" w:ascii="Times New Roman" w:hAnsi="Times New Roman" w:eastAsia="仿宋_GB2312" w:cs="Times New Roman"/>
          <w:sz w:val="32"/>
          <w:szCs w:val="32"/>
        </w:rPr>
        <w:t>万元，主要包括：</w:t>
      </w:r>
      <w:r>
        <w:rPr>
          <w:rFonts w:hint="eastAsia" w:eastAsia="方正仿宋_GBK"/>
          <w:bCs/>
          <w:color w:val="000000"/>
          <w:sz w:val="33"/>
          <w:szCs w:val="33"/>
        </w:rPr>
        <w:t>基本工资、津贴补贴、奖金、绩效工资、机关事业单位基本养老保险缴费、职业年金缴费、职工基本医疗保险缴费、公务员医疗补助缴费、其他社会保障缴费、住房公积金、医疗费、其他工资福利支出、</w:t>
      </w:r>
      <w:r>
        <w:rPr>
          <w:rFonts w:hint="eastAsia" w:eastAsia="方正仿宋_GBK"/>
          <w:bCs/>
          <w:color w:val="000000"/>
          <w:sz w:val="33"/>
          <w:szCs w:val="33"/>
          <w:lang w:eastAsia="zh-CN"/>
        </w:rPr>
        <w:t>抚恤金、</w:t>
      </w:r>
      <w:r>
        <w:rPr>
          <w:rFonts w:hint="eastAsia" w:eastAsia="方正仿宋_GBK"/>
          <w:bCs/>
          <w:color w:val="000000"/>
          <w:sz w:val="33"/>
          <w:szCs w:val="33"/>
        </w:rPr>
        <w:t>生活补助、医疗费补助、奖励金。</w:t>
      </w:r>
      <w:r>
        <w:rPr>
          <w:rFonts w:hint="eastAsia" w:eastAsia="方正仿宋_GBK"/>
          <w:bCs/>
          <w:color w:val="000000"/>
          <w:sz w:val="33"/>
          <w:szCs w:val="33"/>
        </w:rPr>
        <w:br w:type="textWrapping"/>
      </w:r>
      <w:r>
        <w:rPr>
          <w:rFonts w:hint="default" w:ascii="Times New Roman" w:hAnsi="Times New Roman" w:eastAsia="仿宋_GB2312" w:cs="Times New Roman"/>
          <w:sz w:val="32"/>
          <w:szCs w:val="32"/>
        </w:rPr>
        <w:t>　　公用经费</w:t>
      </w:r>
      <w:r>
        <w:rPr>
          <w:rFonts w:hint="eastAsia" w:eastAsia="仿宋_GB2312" w:cs="Times New Roman"/>
          <w:sz w:val="32"/>
          <w:szCs w:val="32"/>
          <w:lang w:val="en-US" w:eastAsia="zh-CN"/>
        </w:rPr>
        <w:t>97.73</w:t>
      </w:r>
      <w:r>
        <w:rPr>
          <w:rFonts w:hint="default" w:ascii="Times New Roman" w:hAnsi="Times New Roman" w:eastAsia="仿宋_GB2312" w:cs="Times New Roman"/>
          <w:sz w:val="32"/>
          <w:szCs w:val="32"/>
        </w:rPr>
        <w:t>万元，主要包括：</w:t>
      </w:r>
      <w:r>
        <w:rPr>
          <w:rFonts w:hint="eastAsia" w:eastAsia="方正仿宋_GBK"/>
          <w:bCs/>
          <w:color w:val="000000"/>
          <w:sz w:val="33"/>
          <w:szCs w:val="33"/>
        </w:rPr>
        <w:t>办公费、水费、电费、邮电费、差旅费、维修（护）费、</w:t>
      </w:r>
      <w:r>
        <w:rPr>
          <w:rFonts w:hint="eastAsia" w:eastAsia="方正仿宋_GBK"/>
          <w:bCs/>
          <w:color w:val="000000"/>
          <w:sz w:val="33"/>
          <w:szCs w:val="33"/>
          <w:lang w:eastAsia="zh-CN"/>
        </w:rPr>
        <w:t>租赁费、</w:t>
      </w:r>
      <w:r>
        <w:rPr>
          <w:rFonts w:hint="eastAsia" w:eastAsia="方正仿宋_GBK"/>
          <w:bCs/>
          <w:color w:val="000000"/>
          <w:sz w:val="33"/>
          <w:szCs w:val="33"/>
        </w:rPr>
        <w:t>会议费、培训费、委托业务费、工会经费、福利费、公务用车运行维护费、其他交通费、其他商品和服务支出。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1"/>
        <w:rPr>
          <w:rStyle w:val="31"/>
          <w:rFonts w:hint="eastAsia" w:ascii="方正黑体_GBK" w:hAnsi="方正黑体_GBK" w:eastAsia="方正黑体_GBK" w:cs="方正黑体_GBK"/>
          <w:b w:val="0"/>
        </w:rPr>
      </w:pPr>
      <w:bookmarkStart w:id="58" w:name="_Toc20238"/>
      <w:bookmarkStart w:id="59" w:name="_Toc15377215"/>
      <w:bookmarkStart w:id="60" w:name="_Toc15396609"/>
      <w:r>
        <w:rPr>
          <w:rFonts w:hint="eastAsia" w:ascii="方正黑体_GBK" w:hAnsi="方正黑体_GBK" w:eastAsia="方正黑体_GBK" w:cs="方正黑体_GBK"/>
          <w:sz w:val="32"/>
          <w:szCs w:val="32"/>
        </w:rPr>
        <w:t>七、</w:t>
      </w:r>
      <w:r>
        <w:rPr>
          <w:rStyle w:val="31"/>
          <w:rFonts w:hint="eastAsia" w:ascii="方正黑体_GBK" w:hAnsi="方正黑体_GBK" w:eastAsia="方正黑体_GBK" w:cs="方正黑体_GBK"/>
          <w:b w:val="0"/>
        </w:rPr>
        <w:t>财政拨款</w:t>
      </w:r>
      <w:r>
        <w:rPr>
          <w:rStyle w:val="31"/>
          <w:rFonts w:hint="eastAsia" w:ascii="方正黑体_GBK" w:hAnsi="方正黑体_GBK" w:eastAsia="方正黑体_GBK" w:cs="方正黑体_GBK"/>
        </w:rPr>
        <w:t>“</w:t>
      </w:r>
      <w:r>
        <w:rPr>
          <w:rStyle w:val="31"/>
          <w:rFonts w:hint="eastAsia" w:ascii="方正黑体_GBK" w:hAnsi="方正黑体_GBK" w:eastAsia="方正黑体_GBK" w:cs="方正黑体_GBK"/>
          <w:b w:val="0"/>
        </w:rPr>
        <w:t>三公”经费支出决算情况说明</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sz w:val="32"/>
          <w:szCs w:val="32"/>
        </w:rPr>
      </w:pPr>
      <w:bookmarkStart w:id="61" w:name="_Toc15377216"/>
      <w:r>
        <w:rPr>
          <w:rFonts w:hint="default" w:ascii="Times New Roman" w:hAnsi="Times New Roman" w:eastAsia="楷体_GB2312" w:cs="Times New Roman"/>
          <w:b/>
          <w:sz w:val="32"/>
          <w:szCs w:val="32"/>
        </w:rPr>
        <w:t>（一）“三公”经费财政拨款支出决算总体情况说明</w:t>
      </w:r>
      <w:bookmarkEnd w:id="6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2024年度“三公”经费财政拨款支出决算为</w:t>
      </w:r>
      <w:r>
        <w:rPr>
          <w:rFonts w:hint="eastAsia" w:eastAsia="仿宋_GB2312" w:cs="Times New Roman"/>
          <w:sz w:val="32"/>
          <w:szCs w:val="32"/>
          <w:lang w:val="en-US" w:eastAsia="zh-CN"/>
        </w:rPr>
        <w:t>4.04</w:t>
      </w:r>
      <w:r>
        <w:rPr>
          <w:rFonts w:hint="default" w:ascii="Times New Roman" w:hAnsi="Times New Roman" w:eastAsia="仿宋_GB2312" w:cs="Times New Roman"/>
          <w:sz w:val="32"/>
          <w:szCs w:val="32"/>
        </w:rPr>
        <w:t>万元，完成预算</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%，较上年度减少</w:t>
      </w:r>
      <w:r>
        <w:rPr>
          <w:rFonts w:hint="eastAsia" w:eastAsia="仿宋_GB2312" w:cs="Times New Roman"/>
          <w:sz w:val="32"/>
          <w:szCs w:val="32"/>
          <w:lang w:val="en-US" w:eastAsia="zh-CN"/>
        </w:rPr>
        <w:t>1.91</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32.10</w:t>
      </w:r>
      <w:r>
        <w:rPr>
          <w:rFonts w:hint="default" w:ascii="Times New Roman" w:hAnsi="Times New Roman" w:eastAsia="仿宋_GB2312" w:cs="Times New Roman"/>
          <w:sz w:val="32"/>
          <w:szCs w:val="32"/>
        </w:rPr>
        <w:t>%。决算与预算数持平</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sz w:val="32"/>
          <w:szCs w:val="32"/>
        </w:rPr>
      </w:pPr>
      <w:bookmarkStart w:id="62" w:name="_Toc15377217"/>
      <w:r>
        <w:rPr>
          <w:rFonts w:hint="default" w:ascii="Times New Roman" w:hAnsi="Times New Roman" w:eastAsia="楷体_GB2312" w:cs="Times New Roman"/>
          <w:b/>
          <w:sz w:val="32"/>
          <w:szCs w:val="32"/>
        </w:rPr>
        <w:t>（二）“三公”经费财政拨款支出决算具体情况说明</w:t>
      </w:r>
      <w:bookmarkEnd w:id="6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eastAsia" w:eastAsia="仿宋_GB2312" w:cs="Times New Roman"/>
          <w:sz w:val="32"/>
          <w:szCs w:val="32"/>
          <w:lang w:val="en-US" w:eastAsia="zh-CN"/>
        </w:rPr>
        <w:t>4.04</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%；公务接待费支出决算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p>
      <w:pPr>
        <w:pageBreakBefore w:val="0"/>
        <w:kinsoku/>
        <w:wordWrap/>
        <w:overflowPunct/>
        <w:topLinePunct w:val="0"/>
        <w:autoSpaceDE/>
        <w:autoSpaceDN/>
        <w:bidi w:val="0"/>
        <w:spacing w:line="560" w:lineRule="exact"/>
        <w:ind w:right="0" w:rightChars="0" w:firstLine="640"/>
        <w:textAlignment w:val="auto"/>
        <w:rPr>
          <w:rFonts w:hint="default" w:ascii="仿宋_GB2312" w:hAnsi="仿宋_GB2312" w:eastAsia="仿宋_GB2312" w:cs="仿宋_GB2312"/>
          <w:b/>
          <w:kern w:val="2"/>
          <w:sz w:val="28"/>
          <w:szCs w:val="28"/>
          <w:lang w:val="en-US" w:eastAsia="zh-CN" w:bidi="ar-SA"/>
        </w:rPr>
      </w:pPr>
      <w:r>
        <w:rPr>
          <w:rFonts w:hint="eastAsia" w:eastAsia="仿宋_GB2312" w:cs="Times New Roman"/>
          <w:sz w:val="32"/>
          <w:szCs w:val="32"/>
          <w:lang w:val="en-US" w:eastAsia="zh-CN"/>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b/>
          <w:kern w:val="2"/>
          <w:sz w:val="28"/>
          <w:szCs w:val="28"/>
          <w:lang w:val="en-US" w:eastAsia="zh-CN" w:bidi="ar-SA"/>
        </w:rPr>
        <w:t xml:space="preserve"> 图7：“三公”经费财政拨款支出结构</w:t>
      </w:r>
    </w:p>
    <w:p>
      <w:pPr>
        <w:pStyle w:val="19"/>
        <w:pageBreakBefore w:val="0"/>
        <w:kinsoku/>
        <w:wordWrap/>
        <w:overflowPunct/>
        <w:topLinePunct w:val="0"/>
        <w:autoSpaceDE/>
        <w:autoSpaceDN/>
        <w:bidi w:val="0"/>
        <w:spacing w:line="560" w:lineRule="exact"/>
        <w:ind w:right="0" w:rightChars="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drawing>
          <wp:anchor distT="0" distB="0" distL="114300" distR="114300" simplePos="0" relativeHeight="251713536" behindDoc="1" locked="0" layoutInCell="1" allowOverlap="1">
            <wp:simplePos x="0" y="0"/>
            <wp:positionH relativeFrom="column">
              <wp:posOffset>220980</wp:posOffset>
            </wp:positionH>
            <wp:positionV relativeFrom="paragraph">
              <wp:posOffset>194945</wp:posOffset>
            </wp:positionV>
            <wp:extent cx="5274310" cy="2074545"/>
            <wp:effectExtent l="4445" t="4445" r="17145" b="16510"/>
            <wp:wrapTight wrapText="bothSides">
              <wp:wrapPolygon>
                <wp:start x="-18" y="-46"/>
                <wp:lineTo x="-18" y="21507"/>
                <wp:lineTo x="21566" y="21507"/>
                <wp:lineTo x="21566" y="-46"/>
                <wp:lineTo x="-18" y="-46"/>
              </wp:wrapPolygon>
            </wp:wrapTight>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1.因公出国（境）经费支出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全年安排因公出国（境）团组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次，出国（境）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b w:val="0"/>
          <w:bCs/>
          <w:color w:val="000000"/>
          <w:sz w:val="32"/>
          <w:szCs w:val="32"/>
        </w:rPr>
        <w:t>因公出国（境）支出决算和202</w:t>
      </w: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rPr>
        <w:t>年持平</w:t>
      </w:r>
      <w:r>
        <w:rPr>
          <w:rFonts w:hint="default" w:ascii="Times New Roman" w:hAnsi="Times New Roman" w:eastAsia="方正仿宋_GBK" w:cs="Times New Roman"/>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2.公务用车购置及运行维护费支出</w:t>
      </w:r>
      <w:r>
        <w:rPr>
          <w:rFonts w:hint="default" w:ascii="Times New Roman" w:hAnsi="Times New Roman" w:eastAsia="方正仿宋_GBK" w:cs="Times New Roman"/>
          <w:b/>
          <w:bCs/>
          <w:sz w:val="32"/>
          <w:szCs w:val="32"/>
          <w:lang w:val="en-US" w:eastAsia="zh-CN"/>
        </w:rPr>
        <w:t>4.04</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公务用车购置及运行维护费支出决算比2023年度</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1.91</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32.10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我单位厉行节约，公务用车运行维护费减少幅度大。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其中：公务用车购置支出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万元。全年按规定更新购置公务用车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辆，其中：轿车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万元，越野车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万元，载客汽车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万元。截至2024年12月31日，单位共有公务用车</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辆，其中：轿车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辆、越野车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辆、载客汽车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Cs/>
          <w:color w:val="000000"/>
          <w:sz w:val="32"/>
          <w:szCs w:val="32"/>
        </w:rPr>
        <w:t>执法执勤用车</w:t>
      </w:r>
      <w:r>
        <w:rPr>
          <w:rFonts w:hint="default" w:ascii="Times New Roman" w:hAnsi="Times New Roman" w:eastAsia="方正仿宋_GBK" w:cs="Times New Roman"/>
          <w:bCs/>
          <w:color w:val="000000"/>
          <w:sz w:val="32"/>
          <w:szCs w:val="32"/>
          <w:lang w:val="en-US" w:eastAsia="zh-CN"/>
        </w:rPr>
        <w:t>3</w:t>
      </w:r>
      <w:r>
        <w:rPr>
          <w:rFonts w:hint="default" w:ascii="Times New Roman" w:hAnsi="Times New Roman" w:eastAsia="方正仿宋_GBK" w:cs="Times New Roman"/>
          <w:bCs/>
          <w:color w:val="000000"/>
          <w:sz w:val="32"/>
          <w:szCs w:val="32"/>
        </w:rPr>
        <w:t>辆</w:t>
      </w:r>
      <w:r>
        <w:rPr>
          <w:rFonts w:hint="default" w:ascii="Times New Roman" w:hAnsi="Times New Roman" w:eastAsia="方正仿宋_GBK" w:cs="Times New Roman"/>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sz w:val="32"/>
          <w:szCs w:val="32"/>
        </w:rPr>
        <w:t>公务用车运行维护费支出</w:t>
      </w:r>
      <w:r>
        <w:rPr>
          <w:rFonts w:hint="default" w:ascii="Times New Roman" w:hAnsi="Times New Roman" w:eastAsia="方正仿宋_GBK" w:cs="Times New Roman"/>
          <w:sz w:val="32"/>
          <w:szCs w:val="32"/>
          <w:lang w:val="en-US" w:eastAsia="zh-CN"/>
        </w:rPr>
        <w:t>4.04</w:t>
      </w:r>
      <w:r>
        <w:rPr>
          <w:rFonts w:hint="default" w:ascii="Times New Roman" w:hAnsi="Times New Roman" w:eastAsia="方正仿宋_GBK" w:cs="Times New Roman"/>
          <w:sz w:val="32"/>
          <w:szCs w:val="32"/>
        </w:rPr>
        <w:t>万元。主要用于</w:t>
      </w:r>
      <w:r>
        <w:rPr>
          <w:rFonts w:hint="default" w:ascii="Times New Roman" w:hAnsi="Times New Roman" w:eastAsia="方正仿宋_GBK" w:cs="Times New Roman"/>
          <w:bCs/>
          <w:color w:val="000000"/>
          <w:sz w:val="32"/>
          <w:szCs w:val="32"/>
          <w:lang w:eastAsia="zh-CN"/>
        </w:rPr>
        <w:t>执法执勤</w:t>
      </w:r>
      <w:r>
        <w:rPr>
          <w:rFonts w:hint="default" w:ascii="Times New Roman" w:hAnsi="Times New Roman" w:eastAsia="方正仿宋_GBK" w:cs="Times New Roman"/>
          <w:bCs/>
          <w:color w:val="000000"/>
          <w:sz w:val="32"/>
          <w:szCs w:val="32"/>
        </w:rPr>
        <w:t>车辆发生的公务用车燃料费、维修费、过路过桥费、保险费、安全奖励费用等支出。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3.公务接待费支出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Cs/>
          <w:color w:val="000000"/>
          <w:sz w:val="32"/>
          <w:szCs w:val="32"/>
        </w:rPr>
        <w:t>公务接待费支出决算和202</w:t>
      </w:r>
      <w:r>
        <w:rPr>
          <w:rFonts w:hint="default" w:ascii="Times New Roman" w:hAnsi="Times New Roman" w:eastAsia="方正仿宋_GBK" w:cs="Times New Roman"/>
          <w:bCs/>
          <w:color w:val="000000"/>
          <w:sz w:val="32"/>
          <w:szCs w:val="32"/>
          <w:lang w:val="en-US" w:eastAsia="zh-CN"/>
        </w:rPr>
        <w:t>3</w:t>
      </w:r>
      <w:r>
        <w:rPr>
          <w:rFonts w:hint="default" w:ascii="Times New Roman" w:hAnsi="Times New Roman" w:eastAsia="方正仿宋_GBK" w:cs="Times New Roman"/>
          <w:bCs/>
          <w:color w:val="000000"/>
          <w:sz w:val="32"/>
          <w:szCs w:val="32"/>
        </w:rPr>
        <w:t>年度持平。</w:t>
      </w:r>
      <w:r>
        <w:rPr>
          <w:rFonts w:hint="default" w:ascii="Times New Roman" w:hAnsi="Times New Roman" w:eastAsia="方正仿宋_GBK" w:cs="Times New Roman"/>
          <w:sz w:val="32"/>
          <w:szCs w:val="32"/>
        </w:rPr>
        <w:t>其中：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国内公务接待支出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万元。国内公务接待</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批次，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人次（不包括陪同人员），共计支出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外事接待支出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万元。外事接待</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批次，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人次（不包括陪同人员），共计支出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1"/>
        <w:rPr>
          <w:rStyle w:val="31"/>
          <w:rFonts w:hint="default" w:ascii="Times New Roman" w:hAnsi="Times New Roman" w:eastAsia="方正黑体_GBK" w:cs="Times New Roman"/>
          <w:sz w:val="32"/>
          <w:szCs w:val="32"/>
        </w:rPr>
      </w:pPr>
      <w:bookmarkStart w:id="63" w:name="_Toc15377218"/>
      <w:bookmarkStart w:id="64" w:name="_Toc15396610"/>
      <w:bookmarkStart w:id="65" w:name="_Toc8975"/>
      <w:r>
        <w:rPr>
          <w:rFonts w:hint="default" w:ascii="Times New Roman" w:hAnsi="Times New Roman" w:eastAsia="方正黑体_GBK" w:cs="Times New Roman"/>
          <w:sz w:val="32"/>
          <w:szCs w:val="32"/>
        </w:rPr>
        <w:t>八、</w:t>
      </w:r>
      <w:r>
        <w:rPr>
          <w:rStyle w:val="31"/>
          <w:rFonts w:hint="default" w:ascii="Times New Roman" w:hAnsi="Times New Roman" w:eastAsia="方正黑体_GBK" w:cs="Times New Roman"/>
          <w:b w:val="0"/>
          <w:sz w:val="32"/>
          <w:szCs w:val="32"/>
        </w:rPr>
        <w:t>政府性基金预算支出决算情况说明</w:t>
      </w:r>
      <w:bookmarkEnd w:id="63"/>
      <w:bookmarkEnd w:id="64"/>
      <w:bookmarkEnd w:id="6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2024年度政府性基金预算财政拨款支出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%。与2023年度相比，政府性基金预算财政拨</w:t>
      </w:r>
      <w:r>
        <w:rPr>
          <w:rFonts w:hint="default" w:ascii="Times New Roman" w:hAnsi="Times New Roman" w:eastAsia="仿宋_GB2312" w:cs="Times New Roman"/>
          <w:sz w:val="32"/>
          <w:szCs w:val="32"/>
        </w:rPr>
        <w:t>款支出</w:t>
      </w:r>
      <w:r>
        <w:rPr>
          <w:rFonts w:hint="eastAsia" w:eastAsia="仿宋_GB2312" w:cs="Times New Roman"/>
          <w:sz w:val="32"/>
          <w:szCs w:val="32"/>
          <w:lang w:eastAsia="zh-CN"/>
        </w:rPr>
        <w:t>持平。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right="0" w:rightChars="0" w:firstLine="0" w:firstLineChars="0"/>
        <w:jc w:val="both"/>
        <w:textAlignment w:val="auto"/>
        <w:outlineLvl w:val="1"/>
        <w:rPr>
          <w:rStyle w:val="31"/>
          <w:rFonts w:hint="eastAsia" w:ascii="方正黑体_GBK" w:hAnsi="方正黑体_GBK" w:eastAsia="方正黑体_GBK" w:cs="方正黑体_GBK"/>
          <w:b w:val="0"/>
        </w:rPr>
      </w:pPr>
      <w:bookmarkStart w:id="66" w:name="_Toc15396611"/>
      <w:bookmarkStart w:id="67" w:name="_Toc15377219"/>
      <w:bookmarkStart w:id="68" w:name="_Toc21834"/>
      <w:r>
        <w:rPr>
          <w:rStyle w:val="31"/>
          <w:rFonts w:hint="eastAsia" w:ascii="方正黑体_GBK" w:hAnsi="方正黑体_GBK" w:eastAsia="方正黑体_GBK" w:cs="方正黑体_GBK"/>
          <w:b w:val="0"/>
        </w:rPr>
        <w:t>国有资本经营预算支出决算情况说明</w:t>
      </w:r>
      <w:bookmarkEnd w:id="66"/>
      <w:bookmarkEnd w:id="67"/>
      <w:bookmarkEnd w:id="6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bookmarkStart w:id="69" w:name="_Toc23950"/>
      <w:r>
        <w:rPr>
          <w:rFonts w:hint="default" w:ascii="Times New Roman" w:hAnsi="Times New Roman" w:eastAsia="方正仿宋_GBK" w:cs="Times New Roman"/>
          <w:sz w:val="32"/>
          <w:szCs w:val="32"/>
        </w:rPr>
        <w:t>2024年度国有资本经营预算财政拨款支出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%。与2023年度相比，国有资本经营预算财政拨款支出</w:t>
      </w:r>
      <w:bookmarkStart w:id="70" w:name="_Toc15377221"/>
      <w:bookmarkStart w:id="71" w:name="_Toc15396612"/>
      <w:r>
        <w:rPr>
          <w:rFonts w:hint="default" w:ascii="Times New Roman" w:hAnsi="Times New Roman" w:eastAsia="方正仿宋_GBK" w:cs="Times New Roman"/>
          <w:sz w:val="32"/>
          <w:szCs w:val="32"/>
          <w:lang w:eastAsia="zh-CN"/>
        </w:rPr>
        <w:t>持平。</w:t>
      </w:r>
      <w:bookmarkEnd w:id="69"/>
    </w:p>
    <w:p>
      <w:pPr>
        <w:keepNext w:val="0"/>
        <w:keepLines w:val="0"/>
        <w:pageBreakBefore w:val="0"/>
        <w:widowControl w:val="0"/>
        <w:kinsoku/>
        <w:wordWrap/>
        <w:overflowPunct/>
        <w:topLinePunct w:val="0"/>
        <w:autoSpaceDE/>
        <w:autoSpaceDN/>
        <w:bidi w:val="0"/>
        <w:adjustRightInd/>
        <w:snapToGrid/>
        <w:spacing w:line="560" w:lineRule="exact"/>
        <w:ind w:left="630" w:leftChars="0" w:right="0" w:rightChars="0" w:firstLine="0" w:firstLineChars="0"/>
        <w:jc w:val="both"/>
        <w:textAlignment w:val="auto"/>
        <w:outlineLvl w:val="1"/>
        <w:rPr>
          <w:rStyle w:val="31"/>
          <w:rFonts w:hint="eastAsia" w:ascii="方正黑体_GBK" w:hAnsi="方正黑体_GBK" w:eastAsia="方正黑体_GBK" w:cs="方正黑体_GBK"/>
          <w:b w:val="0"/>
        </w:rPr>
      </w:pPr>
      <w:bookmarkStart w:id="72" w:name="_Toc10967"/>
      <w:r>
        <w:rPr>
          <w:rStyle w:val="31"/>
          <w:rFonts w:hint="eastAsia" w:ascii="方正黑体_GBK" w:hAnsi="方正黑体_GBK" w:eastAsia="方正黑体_GBK" w:cs="方正黑体_GBK"/>
          <w:b w:val="0"/>
        </w:rPr>
        <w:t>十、其他重要事项的情况说明</w:t>
      </w:r>
      <w:bookmarkEnd w:id="70"/>
      <w:bookmarkEnd w:id="71"/>
      <w:bookmarkEnd w:id="7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default" w:ascii="Times New Roman" w:hAnsi="Times New Roman" w:eastAsia="楷体_GB2312" w:cs="Times New Roman"/>
          <w:b/>
          <w:sz w:val="32"/>
          <w:szCs w:val="32"/>
        </w:rPr>
      </w:pPr>
      <w:bookmarkStart w:id="73" w:name="_Toc15377222"/>
      <w:r>
        <w:rPr>
          <w:rFonts w:hint="default" w:ascii="Times New Roman" w:hAnsi="Times New Roman" w:eastAsia="楷体_GB2312" w:cs="Times New Roman"/>
          <w:b/>
          <w:sz w:val="32"/>
          <w:szCs w:val="32"/>
        </w:rPr>
        <w:t>（一）机关运行经费支出情况</w:t>
      </w:r>
      <w:bookmarkEnd w:id="73"/>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default" w:ascii="Times New Roman" w:hAnsi="Times New Roman" w:eastAsia="方正仿宋_GBK" w:cs="Times New Roman"/>
          <w:sz w:val="32"/>
          <w:szCs w:val="32"/>
          <w:lang w:eastAsia="zh-CN"/>
        </w:rPr>
        <w:t>中国共产党盐边县纪律检查委员会</w:t>
      </w:r>
      <w:r>
        <w:rPr>
          <w:rFonts w:hint="default" w:ascii="Times New Roman" w:hAnsi="Times New Roman" w:eastAsia="方正仿宋_GBK" w:cs="Times New Roman"/>
          <w:sz w:val="32"/>
          <w:szCs w:val="32"/>
        </w:rPr>
        <w:t>机关运行经费支出</w:t>
      </w:r>
      <w:r>
        <w:rPr>
          <w:rFonts w:hint="default" w:ascii="Times New Roman" w:hAnsi="Times New Roman" w:eastAsia="方正仿宋_GBK" w:cs="Times New Roman"/>
          <w:sz w:val="32"/>
          <w:szCs w:val="32"/>
          <w:lang w:val="en-US" w:eastAsia="zh-CN"/>
        </w:rPr>
        <w:t>97.73</w:t>
      </w:r>
      <w:r>
        <w:rPr>
          <w:rFonts w:hint="default" w:ascii="Times New Roman" w:hAnsi="Times New Roman" w:eastAsia="方正仿宋_GBK" w:cs="Times New Roman"/>
          <w:sz w:val="32"/>
          <w:szCs w:val="32"/>
        </w:rPr>
        <w:t>万元，比2023年度减少</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1.01</w:t>
      </w:r>
      <w:r>
        <w:rPr>
          <w:rFonts w:hint="default" w:ascii="Times New Roman" w:hAnsi="Times New Roman" w:eastAsia="方正仿宋_GBK" w:cs="Times New Roman"/>
          <w:sz w:val="32"/>
          <w:szCs w:val="32"/>
        </w:rPr>
        <w:t>%。主要原因是落实过紧日子要求，厉行节约，从严控制和压缩相关经费支出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2"/>
        <w:rPr>
          <w:rFonts w:hint="default" w:ascii="Times New Roman" w:hAnsi="Times New Roman" w:eastAsia="楷体_GB2312" w:cs="Times New Roman"/>
          <w:b/>
          <w:sz w:val="32"/>
          <w:szCs w:val="32"/>
        </w:rPr>
      </w:pPr>
      <w:bookmarkStart w:id="74" w:name="_Toc15377223"/>
      <w:r>
        <w:rPr>
          <w:rFonts w:hint="default" w:ascii="Times New Roman" w:hAnsi="Times New Roman" w:eastAsia="楷体_GB2312" w:cs="Times New Roman"/>
          <w:b/>
          <w:sz w:val="32"/>
          <w:szCs w:val="32"/>
        </w:rPr>
        <w:t>（二）政府采购支出情况</w:t>
      </w:r>
      <w:bookmarkEnd w:id="74"/>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default" w:ascii="Times New Roman" w:hAnsi="Times New Roman" w:eastAsia="方正仿宋_GBK" w:cs="Times New Roman"/>
          <w:sz w:val="32"/>
          <w:szCs w:val="32"/>
          <w:lang w:eastAsia="zh-CN"/>
        </w:rPr>
        <w:t>中国共产党盐边县纪律检查委员会</w:t>
      </w:r>
      <w:r>
        <w:rPr>
          <w:rFonts w:hint="default" w:ascii="Times New Roman" w:hAnsi="Times New Roman" w:eastAsia="方正仿宋_GBK" w:cs="Times New Roman"/>
          <w:sz w:val="32"/>
          <w:szCs w:val="32"/>
        </w:rPr>
        <w:t>采购支出总额</w:t>
      </w:r>
      <w:r>
        <w:rPr>
          <w:rFonts w:hint="default" w:ascii="Times New Roman" w:hAnsi="Times New Roman" w:eastAsia="方正仿宋_GBK" w:cs="Times New Roman"/>
          <w:sz w:val="32"/>
          <w:szCs w:val="32"/>
          <w:lang w:val="en-US" w:eastAsia="zh-CN"/>
        </w:rPr>
        <w:t>25.69</w:t>
      </w:r>
      <w:r>
        <w:rPr>
          <w:rFonts w:hint="default" w:ascii="Times New Roman" w:hAnsi="Times New Roman" w:eastAsia="方正仿宋_GBK" w:cs="Times New Roman"/>
          <w:sz w:val="32"/>
          <w:szCs w:val="32"/>
        </w:rPr>
        <w:t>万元，其中：政府采购货物支出</w:t>
      </w:r>
      <w:r>
        <w:rPr>
          <w:rFonts w:hint="default" w:ascii="Times New Roman" w:hAnsi="Times New Roman" w:eastAsia="方正仿宋_GBK" w:cs="Times New Roman"/>
          <w:sz w:val="32"/>
          <w:szCs w:val="32"/>
          <w:lang w:val="en-US" w:eastAsia="zh-CN"/>
        </w:rPr>
        <w:t>23.70</w:t>
      </w:r>
      <w:r>
        <w:rPr>
          <w:rFonts w:hint="default" w:ascii="Times New Roman" w:hAnsi="Times New Roman" w:eastAsia="方正仿宋_GBK" w:cs="Times New Roman"/>
          <w:sz w:val="32"/>
          <w:szCs w:val="32"/>
        </w:rPr>
        <w:t>万元、政府采购工程支出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万元、政府采购服务支出</w:t>
      </w:r>
      <w:r>
        <w:rPr>
          <w:rFonts w:hint="default" w:ascii="Times New Roman" w:hAnsi="Times New Roman" w:eastAsia="方正仿宋_GBK" w:cs="Times New Roman"/>
          <w:sz w:val="32"/>
          <w:szCs w:val="32"/>
          <w:lang w:val="en-US" w:eastAsia="zh-CN"/>
        </w:rPr>
        <w:t>1.99</w:t>
      </w:r>
      <w:r>
        <w:rPr>
          <w:rFonts w:hint="default" w:ascii="Times New Roman" w:hAnsi="Times New Roman" w:eastAsia="方正仿宋_GBK" w:cs="Times New Roman"/>
          <w:sz w:val="32"/>
          <w:szCs w:val="32"/>
        </w:rPr>
        <w:t>万元。主要用于</w:t>
      </w:r>
      <w:r>
        <w:rPr>
          <w:rFonts w:hint="default" w:ascii="Times New Roman" w:hAnsi="Times New Roman" w:eastAsia="方正仿宋_GBK" w:cs="Times New Roman"/>
          <w:sz w:val="32"/>
          <w:szCs w:val="32"/>
          <w:lang w:eastAsia="zh-CN"/>
        </w:rPr>
        <w:t>办公设备采购，购买公务用车加油、添加燃料服务和公务用车财产保险服务</w:t>
      </w:r>
      <w:r>
        <w:rPr>
          <w:rFonts w:hint="default" w:ascii="Times New Roman" w:hAnsi="Times New Roman" w:eastAsia="方正仿宋_GBK" w:cs="Times New Roman"/>
          <w:sz w:val="32"/>
          <w:szCs w:val="32"/>
        </w:rPr>
        <w:t>。授予中小企业合同金额</w:t>
      </w:r>
      <w:r>
        <w:rPr>
          <w:rFonts w:hint="default" w:ascii="Times New Roman" w:hAnsi="Times New Roman" w:eastAsia="方正仿宋_GBK" w:cs="Times New Roman"/>
          <w:sz w:val="32"/>
          <w:szCs w:val="32"/>
          <w:lang w:val="en-US" w:eastAsia="zh-CN"/>
        </w:rPr>
        <w:t>23.70</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92.25</w:t>
      </w:r>
      <w:r>
        <w:rPr>
          <w:rFonts w:hint="default" w:ascii="Times New Roman" w:hAnsi="Times New Roman" w:eastAsia="方正仿宋_GBK" w:cs="Times New Roman"/>
          <w:sz w:val="32"/>
          <w:szCs w:val="32"/>
        </w:rPr>
        <w:t>%，其中：授予小微企业合同金额</w:t>
      </w:r>
      <w:r>
        <w:rPr>
          <w:rFonts w:hint="default" w:ascii="Times New Roman" w:hAnsi="Times New Roman" w:eastAsia="方正仿宋_GBK" w:cs="Times New Roman"/>
          <w:sz w:val="32"/>
          <w:szCs w:val="32"/>
          <w:lang w:val="en-US" w:eastAsia="zh-CN"/>
        </w:rPr>
        <w:t>23.70</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92.25</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2"/>
        <w:rPr>
          <w:rFonts w:hint="default" w:ascii="Times New Roman" w:hAnsi="Times New Roman" w:eastAsia="楷体_GB2312" w:cs="Times New Roman"/>
          <w:b/>
          <w:sz w:val="32"/>
          <w:szCs w:val="32"/>
        </w:rPr>
      </w:pPr>
      <w:bookmarkStart w:id="75" w:name="_Toc15377224"/>
      <w:r>
        <w:rPr>
          <w:rFonts w:hint="default" w:ascii="Times New Roman" w:hAnsi="Times New Roman" w:eastAsia="楷体_GB2312" w:cs="Times New Roman"/>
          <w:b/>
          <w:sz w:val="32"/>
          <w:szCs w:val="32"/>
        </w:rPr>
        <w:t>（三）国有资产占有使用情况</w:t>
      </w:r>
      <w:bookmarkEnd w:id="75"/>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w:t>
      </w:r>
      <w:r>
        <w:rPr>
          <w:rFonts w:hint="default" w:ascii="Times New Roman" w:hAnsi="Times New Roman" w:eastAsia="方正仿宋_GBK" w:cs="Times New Roman"/>
          <w:sz w:val="32"/>
          <w:szCs w:val="32"/>
          <w:lang w:eastAsia="zh-CN"/>
        </w:rPr>
        <w:t>中国共产党盐边县纪律检查委员会</w:t>
      </w:r>
      <w:r>
        <w:rPr>
          <w:rFonts w:hint="default" w:ascii="Times New Roman" w:hAnsi="Times New Roman" w:eastAsia="方正仿宋_GBK" w:cs="Times New Roman"/>
          <w:sz w:val="32"/>
          <w:szCs w:val="32"/>
        </w:rPr>
        <w:t>共有车辆</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辆，其中：主要负责人用车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辆、机要通信用车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辆、其他用车</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辆，其他用车主要是用于</w:t>
      </w:r>
      <w:r>
        <w:rPr>
          <w:rFonts w:hint="default" w:ascii="Times New Roman" w:hAnsi="Times New Roman" w:eastAsia="方正仿宋_GBK" w:cs="Times New Roman"/>
          <w:bCs/>
          <w:color w:val="000000"/>
          <w:sz w:val="32"/>
          <w:szCs w:val="32"/>
        </w:rPr>
        <w:t>执法执勤，案件办理</w:t>
      </w:r>
      <w:r>
        <w:rPr>
          <w:rFonts w:hint="default" w:ascii="Times New Roman" w:hAnsi="Times New Roman" w:eastAsia="方正仿宋_GBK" w:cs="Times New Roman"/>
          <w:sz w:val="32"/>
          <w:szCs w:val="32"/>
        </w:rPr>
        <w:t>。单价100万元（含）以上设备（不含车辆）</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台（套）。</w:t>
      </w:r>
    </w:p>
    <w:p>
      <w:pPr>
        <w:keepNext w:val="0"/>
        <w:keepLines w:val="0"/>
        <w:pageBreakBefore w:val="0"/>
        <w:widowControl w:val="0"/>
        <w:kinsoku/>
        <w:wordWrap/>
        <w:overflowPunct/>
        <w:topLinePunct w:val="0"/>
        <w:autoSpaceDE/>
        <w:autoSpaceDN/>
        <w:bidi w:val="0"/>
        <w:adjustRightInd/>
        <w:spacing w:line="560" w:lineRule="exact"/>
        <w:ind w:right="0" w:rightChars="0" w:firstLine="643"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rPr>
        <w:t>在2024年度预算编制阶段，组织对</w:t>
      </w:r>
      <w:r>
        <w:rPr>
          <w:rFonts w:hint="default" w:ascii="Times New Roman" w:hAnsi="Times New Roman" w:eastAsia="方正仿宋_GBK" w:cs="Times New Roman"/>
          <w:sz w:val="32"/>
          <w:szCs w:val="32"/>
          <w:lang w:eastAsia="zh-CN"/>
        </w:rPr>
        <w:t>派驻纪检组集中办公所需设施设备专项经费</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个项目开展了预算事前绩效评估，对</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个项目编制了绩效目标，预算执行过程中，</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个项目开展绩效监控。</w:t>
      </w:r>
    </w:p>
    <w:p>
      <w:pPr>
        <w:keepNext w:val="0"/>
        <w:keepLines w:val="0"/>
        <w:pageBreakBefore w:val="0"/>
        <w:widowControl w:val="0"/>
        <w:kinsoku/>
        <w:wordWrap/>
        <w:overflowPunct/>
        <w:topLinePunct w:val="0"/>
        <w:autoSpaceDE/>
        <w:autoSpaceDN/>
        <w:bidi w:val="0"/>
        <w:adjustRightInd/>
        <w:spacing w:line="560" w:lineRule="exact"/>
        <w:ind w:right="0" w:rightChars="0" w:firstLine="64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right="0" w:rightChars="0" w:firstLine="64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pacing w:after="0" w:line="560" w:lineRule="exact"/>
        <w:ind w:left="420" w:right="0" w:rightChars="0"/>
        <w:textAlignment w:val="auto"/>
        <w:rPr>
          <w:rFonts w:hint="default" w:ascii="Times New Roman" w:hAnsi="Times New Roman" w:cs="Times New Roman"/>
        </w:rPr>
      </w:pPr>
    </w:p>
    <w:p>
      <w:pPr>
        <w:pStyle w:val="3"/>
        <w:pageBreakBefore w:val="0"/>
        <w:kinsoku/>
        <w:wordWrap/>
        <w:overflowPunct/>
        <w:topLinePunct w:val="0"/>
        <w:autoSpaceDE/>
        <w:autoSpaceDN/>
        <w:bidi w:val="0"/>
        <w:spacing w:after="0" w:line="560" w:lineRule="exact"/>
        <w:ind w:left="420" w:right="0" w:rightChars="0"/>
        <w:textAlignment w:val="auto"/>
        <w:rPr>
          <w:rFonts w:hint="default" w:ascii="Times New Roman" w:hAnsi="Times New Roman" w:cs="Times New Roman"/>
        </w:rPr>
      </w:pPr>
    </w:p>
    <w:p>
      <w:pPr>
        <w:pStyle w:val="3"/>
        <w:pageBreakBefore w:val="0"/>
        <w:kinsoku/>
        <w:wordWrap/>
        <w:overflowPunct/>
        <w:topLinePunct w:val="0"/>
        <w:autoSpaceDE/>
        <w:autoSpaceDN/>
        <w:bidi w:val="0"/>
        <w:spacing w:after="0" w:line="560" w:lineRule="exact"/>
        <w:ind w:left="420" w:right="0" w:rightChars="0"/>
        <w:textAlignment w:val="auto"/>
        <w:rPr>
          <w:rFonts w:hint="default" w:ascii="Times New Roman" w:hAnsi="Times New Roman" w:cs="Times New Roman"/>
        </w:rPr>
      </w:pPr>
    </w:p>
    <w:p>
      <w:pPr>
        <w:pStyle w:val="3"/>
        <w:pageBreakBefore w:val="0"/>
        <w:kinsoku/>
        <w:wordWrap/>
        <w:overflowPunct/>
        <w:topLinePunct w:val="0"/>
        <w:autoSpaceDE/>
        <w:autoSpaceDN/>
        <w:bidi w:val="0"/>
        <w:spacing w:after="0" w:line="560" w:lineRule="exact"/>
        <w:ind w:left="420" w:right="0" w:rightChars="0"/>
        <w:textAlignment w:val="auto"/>
        <w:rPr>
          <w:rFonts w:hint="default" w:ascii="Times New Roman" w:hAnsi="Times New Roman" w:cs="Times New Roman"/>
        </w:rPr>
      </w:pPr>
    </w:p>
    <w:p>
      <w:pPr>
        <w:pStyle w:val="3"/>
        <w:pageBreakBefore w:val="0"/>
        <w:kinsoku/>
        <w:wordWrap/>
        <w:overflowPunct/>
        <w:topLinePunct w:val="0"/>
        <w:autoSpaceDE/>
        <w:autoSpaceDN/>
        <w:bidi w:val="0"/>
        <w:spacing w:after="0" w:line="560" w:lineRule="exact"/>
        <w:ind w:left="420" w:right="0" w:rightChars="0"/>
        <w:textAlignment w:val="auto"/>
        <w:rPr>
          <w:rFonts w:hint="default" w:ascii="Times New Roman" w:hAnsi="Times New Roman" w:cs="Times New Roman"/>
        </w:rPr>
      </w:pPr>
    </w:p>
    <w:p>
      <w:pPr>
        <w:pageBreakBefore w:val="0"/>
        <w:kinsoku/>
        <w:wordWrap/>
        <w:overflowPunct/>
        <w:topLinePunct w:val="0"/>
        <w:autoSpaceDE/>
        <w:autoSpaceDN/>
        <w:bidi w:val="0"/>
        <w:spacing w:line="560" w:lineRule="exact"/>
        <w:ind w:right="0" w:rightChars="0"/>
        <w:jc w:val="center"/>
        <w:textAlignment w:val="auto"/>
        <w:outlineLvl w:val="0"/>
        <w:rPr>
          <w:rFonts w:hint="default" w:ascii="Times New Roman" w:hAnsi="Times New Roman" w:eastAsia="黑体" w:cs="Times New Roman"/>
          <w:sz w:val="44"/>
          <w:szCs w:val="44"/>
        </w:rPr>
      </w:pPr>
      <w:bookmarkStart w:id="76" w:name="_Toc15377225"/>
      <w:bookmarkStart w:id="77" w:name="_Toc15396613"/>
    </w:p>
    <w:p>
      <w:pPr>
        <w:pageBreakBefore w:val="0"/>
        <w:kinsoku/>
        <w:wordWrap/>
        <w:overflowPunct/>
        <w:topLinePunct w:val="0"/>
        <w:autoSpaceDE/>
        <w:autoSpaceDN/>
        <w:bidi w:val="0"/>
        <w:spacing w:line="560" w:lineRule="exact"/>
        <w:ind w:right="0" w:rightChars="0"/>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ind w:right="0" w:rightChars="0"/>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ind w:right="0" w:rightChars="0"/>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ind w:right="0" w:rightChars="0"/>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ind w:right="0" w:rightChars="0"/>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ind w:right="0" w:rightChars="0"/>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ind w:right="0" w:rightChars="0"/>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ind w:right="0" w:rightChars="0"/>
        <w:jc w:val="center"/>
        <w:textAlignment w:val="auto"/>
        <w:outlineLvl w:val="0"/>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rPr>
      </w:pPr>
      <w:bookmarkStart w:id="78" w:name="_Toc203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第三部分  名词解释</w:t>
      </w:r>
      <w:bookmarkEnd w:id="76"/>
      <w:bookmarkEnd w:id="77"/>
      <w:bookmarkEnd w:id="78"/>
    </w:p>
    <w:p>
      <w:pPr>
        <w:pageBreakBefore w:val="0"/>
        <w:kinsoku/>
        <w:wordWrap/>
        <w:overflowPunct/>
        <w:topLinePunct w:val="0"/>
        <w:autoSpaceDE/>
        <w:autoSpaceDN/>
        <w:bidi w:val="0"/>
        <w:spacing w:line="560" w:lineRule="exact"/>
        <w:ind w:right="0" w:rightChars="0"/>
        <w:jc w:val="left"/>
        <w:textAlignment w:val="auto"/>
        <w:rPr>
          <w:rFonts w:hint="default" w:ascii="Times New Roman" w:hAnsi="Times New Roman" w:cs="Times New Roman"/>
          <w:b/>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1.财政拨款收入：指单位从同级财政部门取得的财政预算资金。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2.事业收入：指事业单位开展专业业务活动及辅助活动取得的收入。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3.经营收入：指事业单位在专业业务活动及其辅助活动之外开展非独立核算经营活动取得的收入。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4.其他收入：指单位取得的除上述收入以外的各项收入。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5.使用非财政拨款结余（含专用结余）：指事业单位使用以前年度积累的非财政拨款结余弥补当年收支差额的金额。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6.年初结转和结余：指以前年度尚未完成、结转到本年按有关规定继续使用的资金。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7.结余分配：指事业单位按照会计制度规定缴纳的所得税、提取的专用结余以及转入非财政拨款结余的金额等。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8.年末结转和结余：指单位按有关规定结转到下年或以后年度继续使用的资金。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9.一般公共服务</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（类）纪检监察事务（款）行政运行（项）: 指行政单位（包括实行公务员管理的事业单位）的基本支出。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10.一般公共服务</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（类）纪检监察事务（款）大案要案查处（项）:指查处大要（专）案的支出。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11.一般公共服务</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（类）纪检监察事务（款）巡视工作（项）: 指中央和地方巡视机构的专项业务支出。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Style w:val="16"/>
          <w:rFonts w:hint="default" w:ascii="Times New Roman" w:hAnsi="Times New Roman" w:eastAsia="方正仿宋_GBK" w:cs="Times New Roman"/>
          <w:b w:val="0"/>
          <w:bCs/>
          <w:sz w:val="32"/>
          <w:szCs w:val="32"/>
        </w:rPr>
      </w:pPr>
      <w:r>
        <w:rPr>
          <w:rFonts w:hint="default" w:ascii="Times New Roman" w:hAnsi="Times New Roman" w:eastAsia="方正仿宋_GBK" w:cs="Times New Roman"/>
          <w:kern w:val="0"/>
          <w:sz w:val="32"/>
          <w:szCs w:val="32"/>
        </w:rPr>
        <w:t>12.一般公共服务</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（类）纪检监察事务（款）事业运行（项）:指事业单位的基本支出，不包括行政单位（包括实行公务员管理的事业单位）后勤服务中心、医务室等附属事业单位。</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13.一般公共服务</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（类）纪检监察事务（款）其他纪检监察事务支出（项）: 指除行政运行、一般行政管理事务、机关服务、公务员事务、事业运行以外其他用于纪检监察事务方面的支出。</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1</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.社会保障和就业</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（类）行政事业单位养老支出（款）行政单位离退休（项）: 指行政单位（包括实行公务员管理的事业单位）开支的离退休经费。</w:t>
      </w:r>
    </w:p>
    <w:p>
      <w:pPr>
        <w:pStyle w:val="8"/>
        <w:keepNext w:val="0"/>
        <w:keepLines w:val="0"/>
        <w:pageBreakBefore w:val="0"/>
        <w:kinsoku/>
        <w:wordWrap/>
        <w:overflowPunct/>
        <w:topLinePunct w:val="0"/>
        <w:autoSpaceDE/>
        <w:autoSpaceDN/>
        <w:bidi w:val="0"/>
        <w:adjustRightInd/>
        <w:snapToGrid/>
        <w:spacing w:before="93"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.社会保障和就业</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（类）行政事业单位养老支出（款）机关事业单位基本养老保险缴费支出（项）: 指机关事业单位实施养老保险制度由单位缴纳的基本养老保险费支出。</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.社会保障和就业</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（类）行政事业单位养老支出（款）机关事业单位职业年金缴费支出（项）: 指机关事业单位实施养老保险制度由单位实际缴纳的职业年金支出。</w:t>
      </w:r>
    </w:p>
    <w:p>
      <w:pPr>
        <w:pStyle w:val="19"/>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 xml:space="preserve">    17.社会保障和就业支出（类）抚恤（款）伤残抚恤（项）：指按规定用于伤残人员的抚恤金和按规定开支的各种伤残补助费。</w:t>
      </w:r>
    </w:p>
    <w:p>
      <w:pPr>
        <w:pStyle w:val="8"/>
        <w:keepNext w:val="0"/>
        <w:keepLines w:val="0"/>
        <w:pageBreakBefore w:val="0"/>
        <w:kinsoku/>
        <w:wordWrap/>
        <w:overflowPunct/>
        <w:topLinePunct w:val="0"/>
        <w:autoSpaceDE/>
        <w:autoSpaceDN/>
        <w:bidi w:val="0"/>
        <w:adjustRightInd/>
        <w:snapToGrid/>
        <w:spacing w:before="93"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18.卫生健康</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19.卫生健康</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（类）行政事业单位医疗（款）事业单位医疗（项）:指财政部门安排的事业单位基本医疗保险缴费经费，未参加医疗保险的事业单位的公费医疗经费，按国家规定享受离休人员待遇的医疗经费。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20.卫生健康</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（类）行政事业单位医疗（款）公务员医疗补助（项）:指财政部门安排的公务员医疗补助经费。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21.卫生健康</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（类）行政事业单位医疗（款）其他行政事业单位医疗支出（项）:指除行政单位医疗、事业单位医疗、公务员医疗补助的其他用于行政事业单位医疗方面的支出。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22.住房保障</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（类）住房改革支出（款）住房公积金（项）:指行政事业单位按人力资源和社会保障部、财政部规定的基本工资和津贴补贴以及规定比例为职工缴纳的住房公积金。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.基本支出：指为保障机构正常运转、完成日常工作任务而发生的人员支出和公用支出。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 xml:space="preserve">.项目支出：指在基本支出之外为完成特定行政任务和事业发展目标所发生的支出。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.经营支出：指事业单位在专业业务活动及其辅助活动之外开展非独立核算经营活动发生的支出。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bookmarkStart w:id="79" w:name="_Toc15396614"/>
      <w:bookmarkStart w:id="80" w:name="_Toc15377226"/>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p>
    <w:p>
      <w:pPr>
        <w:pageBreakBefore w:val="0"/>
        <w:kinsoku/>
        <w:wordWrap/>
        <w:overflowPunct/>
        <w:topLinePunct w:val="0"/>
        <w:autoSpaceDE/>
        <w:autoSpaceDN/>
        <w:bidi w:val="0"/>
        <w:spacing w:line="560" w:lineRule="exact"/>
        <w:ind w:right="0" w:rightChars="0"/>
        <w:jc w:val="center"/>
        <w:textAlignment w:val="auto"/>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ind w:right="0" w:rightChars="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rPr>
      </w:pPr>
      <w:bookmarkStart w:id="81" w:name="_Toc3180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Style w:val="30"/>
          <w:rFonts w:hint="eastAsia" w:ascii="方正小标宋_GBK" w:hAnsi="方正小标宋_GBK" w:eastAsia="方正小标宋_GBK" w:cs="方正小标宋_GBK"/>
          <w:b w:val="0"/>
        </w:rPr>
      </w:pPr>
      <w:r>
        <w:rPr>
          <w:rFonts w:hint="eastAsia" w:ascii="方正小标宋_GBK" w:hAnsi="方正小标宋_GBK" w:eastAsia="方正小标宋_GBK" w:cs="方正小标宋_GBK"/>
          <w:sz w:val="44"/>
          <w:szCs w:val="44"/>
        </w:rPr>
        <w:t>第四部分  附件</w:t>
      </w:r>
      <w:bookmarkEnd w:id="79"/>
      <w:bookmarkEnd w:id="81"/>
    </w:p>
    <w:p>
      <w:pPr>
        <w:pageBreakBefore w:val="0"/>
        <w:kinsoku/>
        <w:wordWrap/>
        <w:overflowPunct/>
        <w:topLinePunct w:val="0"/>
        <w:autoSpaceDE/>
        <w:autoSpaceDN/>
        <w:bidi w:val="0"/>
        <w:spacing w:line="560" w:lineRule="exact"/>
        <w:ind w:right="0" w:rightChars="0"/>
        <w:jc w:val="left"/>
        <w:textAlignment w:val="auto"/>
        <w:outlineLvl w:val="0"/>
        <w:rPr>
          <w:rFonts w:hint="default"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contextualSpacing/>
        <w:jc w:val="center"/>
        <w:textAlignment w:val="auto"/>
        <w:outlineLvl w:val="9"/>
        <w:rPr>
          <w:rFonts w:hint="default" w:ascii="Times New Roman" w:hAnsi="Times New Roman" w:eastAsia="方正小标宋_GBK" w:cs="Times New Roman"/>
        </w:rPr>
      </w:pPr>
      <w:r>
        <w:rPr>
          <w:rFonts w:hint="default" w:ascii="Times New Roman" w:hAnsi="Times New Roman" w:eastAsia="方正小标宋_GBK" w:cs="Times New Roman"/>
          <w:sz w:val="32"/>
          <w:szCs w:val="32"/>
        </w:rPr>
        <w:t>部门预算项目支出绩效评价表（2024年度）</w:t>
      </w:r>
    </w:p>
    <w:p>
      <w:pPr>
        <w:pStyle w:val="3"/>
        <w:pageBreakBefore w:val="0"/>
        <w:kinsoku/>
        <w:wordWrap/>
        <w:overflowPunct/>
        <w:topLinePunct w:val="0"/>
        <w:autoSpaceDE/>
        <w:autoSpaceDN/>
        <w:bidi w:val="0"/>
        <w:spacing w:after="0" w:line="560" w:lineRule="exact"/>
        <w:ind w:left="0" w:leftChars="0" w:right="0" w:rightChars="0" w:firstLine="640"/>
        <w:textAlignment w:val="auto"/>
        <w:rPr>
          <w:rFonts w:hint="default" w:ascii="Times New Roman" w:hAnsi="Times New Roman" w:eastAsia="仿宋_GB2312" w:cs="Times New Roman"/>
          <w:kern w:val="0"/>
          <w:sz w:val="32"/>
        </w:rPr>
      </w:pPr>
    </w:p>
    <w:p>
      <w:pPr>
        <w:pageBreakBefore w:val="0"/>
        <w:kinsoku/>
        <w:wordWrap/>
        <w:overflowPunct/>
        <w:topLinePunct w:val="0"/>
        <w:autoSpaceDE/>
        <w:autoSpaceDN/>
        <w:bidi w:val="0"/>
        <w:spacing w:line="560" w:lineRule="exact"/>
        <w:ind w:right="0" w:rightChars="0" w:firstLine="640"/>
        <w:textAlignment w:val="auto"/>
        <w:rPr>
          <w:rFonts w:hint="default" w:ascii="Times New Roman" w:hAnsi="Times New Roman" w:eastAsia="仿宋_GB2312" w:cs="Times New Roman"/>
          <w:kern w:val="0"/>
          <w:sz w:val="32"/>
          <w:szCs w:val="32"/>
        </w:rPr>
      </w:pPr>
      <w:bookmarkStart w:id="82" w:name="_Toc15396618"/>
      <w:r>
        <w:rPr>
          <w:rFonts w:hint="default" w:ascii="Times New Roman" w:hAnsi="Times New Roman" w:eastAsia="仿宋_GB2312" w:cs="Times New Roman"/>
          <w:kern w:val="0"/>
          <w:sz w:val="32"/>
          <w:szCs w:val="32"/>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rPr>
      </w:pPr>
      <w:bookmarkStart w:id="83" w:name="_Toc11587"/>
      <w:r>
        <w:rPr>
          <w:rFonts w:hint="eastAsia" w:ascii="方正小标宋_GBK" w:hAnsi="方正小标宋_GBK" w:eastAsia="方正小标宋_GBK" w:cs="方正小标宋_GBK"/>
          <w:sz w:val="44"/>
          <w:szCs w:val="44"/>
        </w:rPr>
        <w:t>第</w:t>
      </w:r>
      <w:r>
        <w:rPr>
          <w:rStyle w:val="30"/>
          <w:rFonts w:hint="eastAsia" w:ascii="方正小标宋_GBK" w:hAnsi="方正小标宋_GBK" w:eastAsia="方正小标宋_GBK" w:cs="方正小标宋_GBK"/>
          <w:b w:val="0"/>
          <w:sz w:val="44"/>
          <w:szCs w:val="44"/>
        </w:rPr>
        <w:t>五部分 附表</w:t>
      </w:r>
      <w:bookmarkEnd w:id="80"/>
      <w:bookmarkEnd w:id="82"/>
      <w:bookmarkEnd w:id="83"/>
      <w:bookmarkStart w:id="84" w:name="_Toc15396619"/>
    </w:p>
    <w:p>
      <w:pPr>
        <w:pStyle w:val="14"/>
        <w:pageBreakBefore w:val="0"/>
        <w:kinsoku/>
        <w:wordWrap/>
        <w:overflowPunct/>
        <w:topLinePunct w:val="0"/>
        <w:autoSpaceDE/>
        <w:autoSpaceDN/>
        <w:bidi w:val="0"/>
        <w:adjustRightInd w:val="0"/>
        <w:snapToGrid w:val="0"/>
        <w:spacing w:line="560" w:lineRule="exact"/>
        <w:ind w:right="0" w:rightChars="0"/>
        <w:jc w:val="left"/>
        <w:textAlignment w:val="auto"/>
        <w:rPr>
          <w:rFonts w:hint="eastAsia" w:ascii="方正黑体_GBK" w:hAnsi="方正黑体_GBK" w:eastAsia="方正黑体_GBK" w:cs="方正黑体_GBK"/>
          <w:sz w:val="44"/>
          <w:szCs w:val="44"/>
        </w:rPr>
      </w:pPr>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85" w:name="_Toc7754"/>
      <w:r>
        <w:rPr>
          <w:rFonts w:hint="eastAsia" w:ascii="方正仿宋_GBK" w:hAnsi="方正仿宋_GBK" w:eastAsia="方正仿宋_GBK" w:cs="方正仿宋_GBK"/>
          <w:sz w:val="32"/>
          <w:szCs w:val="32"/>
        </w:rPr>
        <w:t>一、收入支出决算总表</w:t>
      </w:r>
      <w:bookmarkEnd w:id="84"/>
      <w:bookmarkEnd w:id="85"/>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86" w:name="_Toc15396620"/>
      <w:bookmarkStart w:id="87" w:name="_Toc29982"/>
      <w:r>
        <w:rPr>
          <w:rFonts w:hint="eastAsia" w:ascii="方正仿宋_GBK" w:hAnsi="方正仿宋_GBK" w:eastAsia="方正仿宋_GBK" w:cs="方正仿宋_GBK"/>
          <w:sz w:val="32"/>
          <w:szCs w:val="32"/>
        </w:rPr>
        <w:t>二、收入决算表</w:t>
      </w:r>
      <w:bookmarkEnd w:id="86"/>
      <w:bookmarkEnd w:id="87"/>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88" w:name="_Toc4184"/>
      <w:bookmarkStart w:id="89" w:name="_Toc15396621"/>
      <w:r>
        <w:rPr>
          <w:rFonts w:hint="eastAsia" w:ascii="方正仿宋_GBK" w:hAnsi="方正仿宋_GBK" w:eastAsia="方正仿宋_GBK" w:cs="方正仿宋_GBK"/>
          <w:sz w:val="32"/>
          <w:szCs w:val="32"/>
        </w:rPr>
        <w:t>三、支出决算表</w:t>
      </w:r>
      <w:bookmarkEnd w:id="88"/>
      <w:bookmarkEnd w:id="89"/>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90" w:name="_Toc18233"/>
      <w:bookmarkStart w:id="91" w:name="_Toc15396622"/>
      <w:r>
        <w:rPr>
          <w:rFonts w:hint="eastAsia" w:ascii="方正仿宋_GBK" w:hAnsi="方正仿宋_GBK" w:eastAsia="方正仿宋_GBK" w:cs="方正仿宋_GBK"/>
          <w:sz w:val="32"/>
          <w:szCs w:val="32"/>
        </w:rPr>
        <w:t>四、财政拨款收入支出决算总表</w:t>
      </w:r>
      <w:bookmarkEnd w:id="90"/>
      <w:bookmarkEnd w:id="91"/>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92" w:name="_Toc15396623"/>
      <w:bookmarkStart w:id="93" w:name="_Toc4573"/>
      <w:r>
        <w:rPr>
          <w:rFonts w:hint="eastAsia" w:ascii="方正仿宋_GBK" w:hAnsi="方正仿宋_GBK" w:eastAsia="方正仿宋_GBK" w:cs="方正仿宋_GBK"/>
          <w:sz w:val="32"/>
          <w:szCs w:val="32"/>
        </w:rPr>
        <w:t>五、财政拨款支出决算明细表</w:t>
      </w:r>
      <w:bookmarkEnd w:id="92"/>
      <w:bookmarkEnd w:id="93"/>
      <w:bookmarkStart w:id="94" w:name="_Toc15396624"/>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95" w:name="_Toc2378"/>
      <w:r>
        <w:rPr>
          <w:rFonts w:hint="eastAsia" w:ascii="方正仿宋_GBK" w:hAnsi="方正仿宋_GBK" w:eastAsia="方正仿宋_GBK" w:cs="方正仿宋_GBK"/>
          <w:sz w:val="32"/>
          <w:szCs w:val="32"/>
        </w:rPr>
        <w:t>六、一般公共预算财政拨款支出决算表</w:t>
      </w:r>
      <w:bookmarkEnd w:id="94"/>
      <w:bookmarkEnd w:id="95"/>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96" w:name="_Toc28006"/>
      <w:bookmarkStart w:id="97" w:name="_Toc15396625"/>
      <w:r>
        <w:rPr>
          <w:rFonts w:hint="eastAsia" w:ascii="方正仿宋_GBK" w:hAnsi="方正仿宋_GBK" w:eastAsia="方正仿宋_GBK" w:cs="方正仿宋_GBK"/>
          <w:sz w:val="32"/>
          <w:szCs w:val="32"/>
        </w:rPr>
        <w:t>七、一般公共预算财政拨款支出决算明细表</w:t>
      </w:r>
      <w:bookmarkEnd w:id="96"/>
      <w:bookmarkEnd w:id="97"/>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98" w:name="_Toc15396626"/>
      <w:bookmarkStart w:id="99" w:name="_Toc12440"/>
      <w:r>
        <w:rPr>
          <w:rFonts w:hint="eastAsia" w:ascii="方正仿宋_GBK" w:hAnsi="方正仿宋_GBK" w:eastAsia="方正仿宋_GBK" w:cs="方正仿宋_GBK"/>
          <w:sz w:val="32"/>
          <w:szCs w:val="32"/>
        </w:rPr>
        <w:t>八、一般公共预算财政拨款基本支出决算表</w:t>
      </w:r>
      <w:bookmarkEnd w:id="98"/>
      <w:bookmarkEnd w:id="99"/>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100" w:name="_Toc27748"/>
      <w:bookmarkStart w:id="101" w:name="_Toc15396627"/>
      <w:r>
        <w:rPr>
          <w:rFonts w:hint="eastAsia" w:ascii="方正仿宋_GBK" w:hAnsi="方正仿宋_GBK" w:eastAsia="方正仿宋_GBK" w:cs="方正仿宋_GBK"/>
          <w:sz w:val="32"/>
          <w:szCs w:val="32"/>
        </w:rPr>
        <w:t>九、一般公共预算财政拨款项目支出决算表</w:t>
      </w:r>
      <w:bookmarkEnd w:id="100"/>
      <w:bookmarkEnd w:id="101"/>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102" w:name="_Toc15396628"/>
      <w:bookmarkStart w:id="103" w:name="_Toc27911"/>
      <w:r>
        <w:rPr>
          <w:rFonts w:hint="eastAsia" w:ascii="方正仿宋_GBK" w:hAnsi="方正仿宋_GBK" w:eastAsia="方正仿宋_GBK" w:cs="方正仿宋_GBK"/>
          <w:sz w:val="32"/>
          <w:szCs w:val="32"/>
        </w:rPr>
        <w:t>十、</w:t>
      </w:r>
      <w:bookmarkEnd w:id="102"/>
      <w:r>
        <w:rPr>
          <w:rFonts w:hint="eastAsia" w:ascii="方正仿宋_GBK" w:hAnsi="方正仿宋_GBK" w:eastAsia="方正仿宋_GBK" w:cs="方正仿宋_GBK"/>
          <w:sz w:val="32"/>
          <w:szCs w:val="32"/>
        </w:rPr>
        <w:t>政府性基金预算财政拨款收入支出决算表</w:t>
      </w:r>
      <w:bookmarkEnd w:id="103"/>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104" w:name="_Toc15396629"/>
      <w:bookmarkStart w:id="105" w:name="_Toc17019"/>
      <w:r>
        <w:rPr>
          <w:rFonts w:hint="eastAsia" w:ascii="方正仿宋_GBK" w:hAnsi="方正仿宋_GBK" w:eastAsia="方正仿宋_GBK" w:cs="方正仿宋_GBK"/>
          <w:sz w:val="32"/>
          <w:szCs w:val="32"/>
        </w:rPr>
        <w:t>十一、</w:t>
      </w:r>
      <w:bookmarkEnd w:id="104"/>
      <w:r>
        <w:rPr>
          <w:rFonts w:hint="eastAsia" w:ascii="方正仿宋_GBK" w:hAnsi="方正仿宋_GBK" w:eastAsia="方正仿宋_GBK" w:cs="方正仿宋_GBK"/>
          <w:sz w:val="32"/>
          <w:szCs w:val="32"/>
        </w:rPr>
        <w:t>国有资本经营预算财政拨款收入支出决算表</w:t>
      </w:r>
      <w:bookmarkEnd w:id="105"/>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106" w:name="_Toc15396630"/>
      <w:bookmarkStart w:id="107" w:name="_Toc8629"/>
      <w:r>
        <w:rPr>
          <w:rFonts w:hint="eastAsia" w:ascii="方正仿宋_GBK" w:hAnsi="方正仿宋_GBK" w:eastAsia="方正仿宋_GBK" w:cs="方正仿宋_GBK"/>
          <w:sz w:val="32"/>
          <w:szCs w:val="32"/>
        </w:rPr>
        <w:t>十二、</w:t>
      </w:r>
      <w:bookmarkEnd w:id="106"/>
      <w:r>
        <w:rPr>
          <w:rFonts w:hint="eastAsia" w:ascii="方正仿宋_GBK" w:hAnsi="方正仿宋_GBK" w:eastAsia="方正仿宋_GBK" w:cs="方正仿宋_GBK"/>
          <w:sz w:val="32"/>
          <w:szCs w:val="32"/>
        </w:rPr>
        <w:t>国有资本经营预算财政拨款支出决算表</w:t>
      </w:r>
      <w:bookmarkEnd w:id="107"/>
    </w:p>
    <w:p>
      <w:pPr>
        <w:pStyle w:val="14"/>
        <w:keepNext w:val="0"/>
        <w:keepLines w:val="0"/>
        <w:pageBreakBefore w:val="0"/>
        <w:widowControl w:val="0"/>
        <w:kinsoku/>
        <w:wordWrap/>
        <w:overflowPunct/>
        <w:topLinePunct w:val="0"/>
        <w:autoSpaceDE/>
        <w:autoSpaceDN/>
        <w:bidi w:val="0"/>
        <w:adjustRightInd w:val="0"/>
        <w:snapToGrid w:val="0"/>
        <w:spacing w:line="560" w:lineRule="exact"/>
        <w:ind w:left="420" w:leftChars="200" w:right="0" w:rightChars="0" w:firstLine="0" w:firstLineChars="0"/>
        <w:jc w:val="left"/>
        <w:textAlignment w:val="auto"/>
        <w:outlineLvl w:val="1"/>
        <w:rPr>
          <w:rFonts w:hint="eastAsia" w:ascii="方正仿宋_GBK" w:hAnsi="方正仿宋_GBK" w:eastAsia="方正仿宋_GBK" w:cs="方正仿宋_GBK"/>
          <w:sz w:val="32"/>
          <w:szCs w:val="32"/>
        </w:rPr>
      </w:pPr>
      <w:bookmarkStart w:id="108" w:name="_Toc15396631"/>
      <w:bookmarkStart w:id="109" w:name="_Toc29748"/>
      <w:r>
        <w:rPr>
          <w:rFonts w:hint="eastAsia" w:ascii="方正仿宋_GBK" w:hAnsi="方正仿宋_GBK" w:eastAsia="方正仿宋_GBK" w:cs="方正仿宋_GBK"/>
          <w:sz w:val="32"/>
          <w:szCs w:val="32"/>
        </w:rPr>
        <w:t>十三、</w:t>
      </w:r>
      <w:bookmarkEnd w:id="108"/>
      <w:r>
        <w:rPr>
          <w:rFonts w:hint="eastAsia" w:ascii="方正仿宋_GBK" w:hAnsi="方正仿宋_GBK" w:eastAsia="方正仿宋_GBK" w:cs="方正仿宋_GBK"/>
          <w:sz w:val="32"/>
          <w:szCs w:val="32"/>
        </w:rPr>
        <w:t>财政拨款“三公”经费支出决算表</w:t>
      </w:r>
      <w:bookmarkEnd w:id="109"/>
    </w:p>
    <w:p>
      <w:pPr>
        <w:pageBreakBefore w:val="0"/>
        <w:kinsoku/>
        <w:wordWrap/>
        <w:overflowPunct/>
        <w:topLinePunct w:val="0"/>
        <w:autoSpaceDE/>
        <w:autoSpaceDN/>
        <w:bidi w:val="0"/>
        <w:spacing w:line="560" w:lineRule="exact"/>
        <w:ind w:right="0" w:rightChars="0"/>
        <w:textAlignment w:val="auto"/>
        <w:rPr>
          <w:rFonts w:hint="eastAsia" w:ascii="方正仿宋_GBK" w:hAnsi="方正仿宋_GBK" w:eastAsia="方正仿宋_GBK" w:cs="方正仿宋_GBK"/>
          <w:sz w:val="32"/>
          <w:szCs w:val="32"/>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仿宋简体">
    <w:altName w:val="Arial Unicode MS"/>
    <w:panose1 w:val="03000509000000000000"/>
    <w:charset w:val="86"/>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Arial Narrow">
    <w:panose1 w:val="020B0606020202030204"/>
    <w:charset w:val="00"/>
    <w:family w:val="auto"/>
    <w:pitch w:val="default"/>
    <w:sig w:usb0="00000287" w:usb1="00000800" w:usb2="00000000" w:usb3="00000000" w:csb0="2000009F" w:csb1="DFD70000"/>
  </w:font>
  <w:font w:name="Bahnschrift SemiBold">
    <w:panose1 w:val="020B0502040204020203"/>
    <w:charset w:val="00"/>
    <w:family w:val="auto"/>
    <w:pitch w:val="default"/>
    <w:sig w:usb0="A00002C7" w:usb1="00000002" w:usb2="00000000" w:usb3="00000000" w:csb0="2000019F" w:csb1="00000000"/>
  </w:font>
  <w:font w:name="Bahnschrift SemiBold Condensed">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 w:name="Baskerville Old Face">
    <w:panose1 w:val="02020602080505020303"/>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andara Light">
    <w:panose1 w:val="020E0502030303020204"/>
    <w:charset w:val="00"/>
    <w:family w:val="auto"/>
    <w:pitch w:val="default"/>
    <w:sig w:usb0="A00002FF" w:usb1="00000002" w:usb2="00000000" w:usb3="00000000" w:csb0="0000019F" w:csb1="00000000"/>
  </w:font>
  <w:font w:name="Centaur">
    <w:panose1 w:val="02030504050205020304"/>
    <w:charset w:val="00"/>
    <w:family w:val="auto"/>
    <w:pitch w:val="default"/>
    <w:sig w:usb0="00000003"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00006FF" w:usb1="0000FCFF" w:usb2="00000001" w:usb3="00000000" w:csb0="6000019F" w:csb1="DFD70000"/>
  </w:font>
  <w:font w:name="Helvetica Neue">
    <w:altName w:val="Times New Roman"/>
    <w:panose1 w:val="00000000000000000000"/>
    <w:charset w:val="00"/>
    <w:family w:val="auto"/>
    <w:pitch w:val="default"/>
    <w:sig w:usb0="00000000" w:usb1="00000000" w:usb2="00000000" w:usb3="00000000" w:csb0="00000001"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oto Sans Syriac Eastern">
    <w:altName w:val="宋体"/>
    <w:panose1 w:val="02040503050306020203"/>
    <w:charset w:val="86"/>
    <w:family w:val="auto"/>
    <w:pitch w:val="default"/>
    <w:sig w:usb0="00000000" w:usb1="00000000" w:usb2="00000080" w:usb3="00000000" w:csb0="203E0161" w:csb1="D7FF0000"/>
  </w:font>
  <w:font w:name="Sylfaen">
    <w:panose1 w:val="010A0502050306030303"/>
    <w:charset w:val="00"/>
    <w:family w:val="auto"/>
    <w:pitch w:val="default"/>
    <w:sig w:usb0="04000687" w:usb1="00000000" w:usb2="00000000" w:usb3="00000000" w:csb0="2000009F" w:csb1="00000000"/>
  </w:font>
  <w:font w:name="Tw Cen MT">
    <w:panose1 w:val="020B0602020104020603"/>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20F39"/>
    <w:multiLevelType w:val="singleLevel"/>
    <w:tmpl w:val="68F20F39"/>
    <w:lvl w:ilvl="0" w:tentative="0">
      <w:start w:val="9"/>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4C24"/>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014A"/>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57E5"/>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B5C4D"/>
    <w:rsid w:val="01E87130"/>
    <w:rsid w:val="02FEBE30"/>
    <w:rsid w:val="036E240E"/>
    <w:rsid w:val="03B94BA2"/>
    <w:rsid w:val="04087CFF"/>
    <w:rsid w:val="04916F1E"/>
    <w:rsid w:val="04A2736D"/>
    <w:rsid w:val="04CD2810"/>
    <w:rsid w:val="04D20FAD"/>
    <w:rsid w:val="04EF60F8"/>
    <w:rsid w:val="061E35DE"/>
    <w:rsid w:val="06605390"/>
    <w:rsid w:val="066E0107"/>
    <w:rsid w:val="0682146B"/>
    <w:rsid w:val="06CA3385"/>
    <w:rsid w:val="070F6717"/>
    <w:rsid w:val="073B493E"/>
    <w:rsid w:val="07996F6E"/>
    <w:rsid w:val="07B25ABB"/>
    <w:rsid w:val="07D907F6"/>
    <w:rsid w:val="07DFD8BA"/>
    <w:rsid w:val="07FC3326"/>
    <w:rsid w:val="08634970"/>
    <w:rsid w:val="088E6E8C"/>
    <w:rsid w:val="088F6F42"/>
    <w:rsid w:val="09867E8F"/>
    <w:rsid w:val="09DC54DF"/>
    <w:rsid w:val="0A2032A3"/>
    <w:rsid w:val="0A4C4466"/>
    <w:rsid w:val="0A7E13C1"/>
    <w:rsid w:val="0B5366B3"/>
    <w:rsid w:val="0BBE74B4"/>
    <w:rsid w:val="0C74333B"/>
    <w:rsid w:val="0CA8290A"/>
    <w:rsid w:val="0CC422E6"/>
    <w:rsid w:val="0D35B1ED"/>
    <w:rsid w:val="0D3D0DA3"/>
    <w:rsid w:val="0D6E2417"/>
    <w:rsid w:val="0D8215A4"/>
    <w:rsid w:val="0E0B12C8"/>
    <w:rsid w:val="0E254B6B"/>
    <w:rsid w:val="0E382D3C"/>
    <w:rsid w:val="0EC6364D"/>
    <w:rsid w:val="0EDE27FF"/>
    <w:rsid w:val="0F5A557A"/>
    <w:rsid w:val="0F6A4896"/>
    <w:rsid w:val="0F98263C"/>
    <w:rsid w:val="0FC60657"/>
    <w:rsid w:val="0FD05E30"/>
    <w:rsid w:val="101860EC"/>
    <w:rsid w:val="101F47CC"/>
    <w:rsid w:val="10C055FF"/>
    <w:rsid w:val="1132124A"/>
    <w:rsid w:val="11694EBD"/>
    <w:rsid w:val="11772AA4"/>
    <w:rsid w:val="118107EC"/>
    <w:rsid w:val="11EB5624"/>
    <w:rsid w:val="124F7D65"/>
    <w:rsid w:val="126757BF"/>
    <w:rsid w:val="12E24EE2"/>
    <w:rsid w:val="13D50BC4"/>
    <w:rsid w:val="13E4546A"/>
    <w:rsid w:val="14156D9F"/>
    <w:rsid w:val="14B17F78"/>
    <w:rsid w:val="14CF5CAA"/>
    <w:rsid w:val="14F50677"/>
    <w:rsid w:val="151C0224"/>
    <w:rsid w:val="15D955EB"/>
    <w:rsid w:val="165E0673"/>
    <w:rsid w:val="16B831D5"/>
    <w:rsid w:val="16BB723D"/>
    <w:rsid w:val="172D3469"/>
    <w:rsid w:val="179D51A1"/>
    <w:rsid w:val="17E50567"/>
    <w:rsid w:val="186504BB"/>
    <w:rsid w:val="1990369F"/>
    <w:rsid w:val="19A445FC"/>
    <w:rsid w:val="1A361DE6"/>
    <w:rsid w:val="1A9B1EA6"/>
    <w:rsid w:val="1B6C01ED"/>
    <w:rsid w:val="1BAF2E86"/>
    <w:rsid w:val="1BE4461A"/>
    <w:rsid w:val="1BE8440E"/>
    <w:rsid w:val="1C67770D"/>
    <w:rsid w:val="1CC6347C"/>
    <w:rsid w:val="1CDF2500"/>
    <w:rsid w:val="1D063007"/>
    <w:rsid w:val="1D155CEE"/>
    <w:rsid w:val="1D1638FE"/>
    <w:rsid w:val="1D5B41EF"/>
    <w:rsid w:val="1E312DEB"/>
    <w:rsid w:val="1E740ACF"/>
    <w:rsid w:val="1F244B39"/>
    <w:rsid w:val="1F7151B1"/>
    <w:rsid w:val="1F970D4B"/>
    <w:rsid w:val="1FA8302A"/>
    <w:rsid w:val="1FDA0C64"/>
    <w:rsid w:val="1FF35744"/>
    <w:rsid w:val="1FF6BC77"/>
    <w:rsid w:val="200178C2"/>
    <w:rsid w:val="20467789"/>
    <w:rsid w:val="209F3D4F"/>
    <w:rsid w:val="20C8412C"/>
    <w:rsid w:val="20CF53D7"/>
    <w:rsid w:val="2186353C"/>
    <w:rsid w:val="23120812"/>
    <w:rsid w:val="23221B2D"/>
    <w:rsid w:val="23860B96"/>
    <w:rsid w:val="23AA27BE"/>
    <w:rsid w:val="23F2624B"/>
    <w:rsid w:val="240371BF"/>
    <w:rsid w:val="24411A91"/>
    <w:rsid w:val="244F3473"/>
    <w:rsid w:val="24507AF4"/>
    <w:rsid w:val="24761FFA"/>
    <w:rsid w:val="24764CF9"/>
    <w:rsid w:val="24C97D99"/>
    <w:rsid w:val="25A718F0"/>
    <w:rsid w:val="25BB59F6"/>
    <w:rsid w:val="260F557C"/>
    <w:rsid w:val="26182519"/>
    <w:rsid w:val="2645581C"/>
    <w:rsid w:val="26970054"/>
    <w:rsid w:val="279A602B"/>
    <w:rsid w:val="27A35E38"/>
    <w:rsid w:val="27B106F9"/>
    <w:rsid w:val="27ED3D0F"/>
    <w:rsid w:val="280C1279"/>
    <w:rsid w:val="281408E2"/>
    <w:rsid w:val="287E4928"/>
    <w:rsid w:val="293871DF"/>
    <w:rsid w:val="29904EC7"/>
    <w:rsid w:val="29FD04D3"/>
    <w:rsid w:val="2A155831"/>
    <w:rsid w:val="2AF260D2"/>
    <w:rsid w:val="2B17620A"/>
    <w:rsid w:val="2BF73D67"/>
    <w:rsid w:val="2BFF7BC6"/>
    <w:rsid w:val="2C8A61B5"/>
    <w:rsid w:val="2D494642"/>
    <w:rsid w:val="2D7406F0"/>
    <w:rsid w:val="2DA61C59"/>
    <w:rsid w:val="2DE9365B"/>
    <w:rsid w:val="2DF04E50"/>
    <w:rsid w:val="2E586DFA"/>
    <w:rsid w:val="2EC60A28"/>
    <w:rsid w:val="2F040D46"/>
    <w:rsid w:val="2F6B035B"/>
    <w:rsid w:val="2FAC2C9D"/>
    <w:rsid w:val="2FAE5751"/>
    <w:rsid w:val="2FB1A395"/>
    <w:rsid w:val="2FD9A7D8"/>
    <w:rsid w:val="2FDBF714"/>
    <w:rsid w:val="30883E99"/>
    <w:rsid w:val="30AB6865"/>
    <w:rsid w:val="31004FF6"/>
    <w:rsid w:val="3137757B"/>
    <w:rsid w:val="315D3379"/>
    <w:rsid w:val="319F7F4E"/>
    <w:rsid w:val="31CD1C1E"/>
    <w:rsid w:val="31E93050"/>
    <w:rsid w:val="32134DBE"/>
    <w:rsid w:val="32BD1EF1"/>
    <w:rsid w:val="3304709D"/>
    <w:rsid w:val="334D4A33"/>
    <w:rsid w:val="33586460"/>
    <w:rsid w:val="338B4006"/>
    <w:rsid w:val="33A773CB"/>
    <w:rsid w:val="33F14D78"/>
    <w:rsid w:val="346E6CCA"/>
    <w:rsid w:val="349D6851"/>
    <w:rsid w:val="359D12B9"/>
    <w:rsid w:val="36775861"/>
    <w:rsid w:val="36AA5135"/>
    <w:rsid w:val="36BE0DA7"/>
    <w:rsid w:val="371467E3"/>
    <w:rsid w:val="371D565B"/>
    <w:rsid w:val="376B6AA6"/>
    <w:rsid w:val="376D39B2"/>
    <w:rsid w:val="37E16F03"/>
    <w:rsid w:val="37F53A3B"/>
    <w:rsid w:val="382829CB"/>
    <w:rsid w:val="389B6C89"/>
    <w:rsid w:val="38D469F0"/>
    <w:rsid w:val="390E2731"/>
    <w:rsid w:val="396067B8"/>
    <w:rsid w:val="39627CCD"/>
    <w:rsid w:val="397BAF1F"/>
    <w:rsid w:val="398F2662"/>
    <w:rsid w:val="39C450D0"/>
    <w:rsid w:val="3A2A5CF4"/>
    <w:rsid w:val="3AB79AF3"/>
    <w:rsid w:val="3AE834C0"/>
    <w:rsid w:val="3B675268"/>
    <w:rsid w:val="3B7EF35A"/>
    <w:rsid w:val="3B810E91"/>
    <w:rsid w:val="3B9FDB6C"/>
    <w:rsid w:val="3BB50CBC"/>
    <w:rsid w:val="3BBB7A7A"/>
    <w:rsid w:val="3BC34B1D"/>
    <w:rsid w:val="3BF5BC2F"/>
    <w:rsid w:val="3CCE4C08"/>
    <w:rsid w:val="3CE301DC"/>
    <w:rsid w:val="3CEBA265"/>
    <w:rsid w:val="3D98207C"/>
    <w:rsid w:val="3DBE551E"/>
    <w:rsid w:val="3DED173F"/>
    <w:rsid w:val="3DEE7CF3"/>
    <w:rsid w:val="3E740A63"/>
    <w:rsid w:val="3E781C39"/>
    <w:rsid w:val="3E78745D"/>
    <w:rsid w:val="3EE17838"/>
    <w:rsid w:val="3F312524"/>
    <w:rsid w:val="3F327622"/>
    <w:rsid w:val="3F55381A"/>
    <w:rsid w:val="3F7B70DE"/>
    <w:rsid w:val="3F7F7599"/>
    <w:rsid w:val="3FA83133"/>
    <w:rsid w:val="3FB22C1B"/>
    <w:rsid w:val="3FCA443E"/>
    <w:rsid w:val="3FF4CAE0"/>
    <w:rsid w:val="3FF7B227"/>
    <w:rsid w:val="40033C30"/>
    <w:rsid w:val="40E51839"/>
    <w:rsid w:val="41385AA7"/>
    <w:rsid w:val="41450E01"/>
    <w:rsid w:val="418B7295"/>
    <w:rsid w:val="42F928F3"/>
    <w:rsid w:val="4300512A"/>
    <w:rsid w:val="43BD04DD"/>
    <w:rsid w:val="447A7A5C"/>
    <w:rsid w:val="44E268DA"/>
    <w:rsid w:val="44FD715F"/>
    <w:rsid w:val="450D13D7"/>
    <w:rsid w:val="45506656"/>
    <w:rsid w:val="4674293B"/>
    <w:rsid w:val="46DB78EF"/>
    <w:rsid w:val="46E2438E"/>
    <w:rsid w:val="47284930"/>
    <w:rsid w:val="47481485"/>
    <w:rsid w:val="47A5378B"/>
    <w:rsid w:val="486A6C7A"/>
    <w:rsid w:val="48D556C3"/>
    <w:rsid w:val="499E55F1"/>
    <w:rsid w:val="49DC4869"/>
    <w:rsid w:val="49E4433A"/>
    <w:rsid w:val="4A51265C"/>
    <w:rsid w:val="4A627F82"/>
    <w:rsid w:val="4AD5456C"/>
    <w:rsid w:val="4ADA3B5B"/>
    <w:rsid w:val="4B0E749A"/>
    <w:rsid w:val="4B2477C4"/>
    <w:rsid w:val="4B3A1818"/>
    <w:rsid w:val="4B4F25DA"/>
    <w:rsid w:val="4BBD65C4"/>
    <w:rsid w:val="4BE068DB"/>
    <w:rsid w:val="4C0B1A14"/>
    <w:rsid w:val="4D377BEC"/>
    <w:rsid w:val="4D577224"/>
    <w:rsid w:val="4D7F7E59"/>
    <w:rsid w:val="4D8C5303"/>
    <w:rsid w:val="4DBF1CEB"/>
    <w:rsid w:val="4DDF67E8"/>
    <w:rsid w:val="4DED1743"/>
    <w:rsid w:val="4DF0007C"/>
    <w:rsid w:val="4E2742D5"/>
    <w:rsid w:val="4EAB630A"/>
    <w:rsid w:val="4ECE2238"/>
    <w:rsid w:val="4EEA6A60"/>
    <w:rsid w:val="4F833267"/>
    <w:rsid w:val="4F8A6B70"/>
    <w:rsid w:val="4FE9BD67"/>
    <w:rsid w:val="4FFB052F"/>
    <w:rsid w:val="50AF704B"/>
    <w:rsid w:val="50D42BBD"/>
    <w:rsid w:val="513232B1"/>
    <w:rsid w:val="51610EBF"/>
    <w:rsid w:val="51936CB5"/>
    <w:rsid w:val="51E83CAF"/>
    <w:rsid w:val="52870D81"/>
    <w:rsid w:val="533E1CAC"/>
    <w:rsid w:val="537E6D0A"/>
    <w:rsid w:val="53923DFD"/>
    <w:rsid w:val="53F74C96"/>
    <w:rsid w:val="55117DCC"/>
    <w:rsid w:val="55170BA8"/>
    <w:rsid w:val="553218C9"/>
    <w:rsid w:val="55D10F4F"/>
    <w:rsid w:val="566C5BFB"/>
    <w:rsid w:val="567E1AA5"/>
    <w:rsid w:val="56DD6807"/>
    <w:rsid w:val="56E47B74"/>
    <w:rsid w:val="57175D52"/>
    <w:rsid w:val="57BD3DD4"/>
    <w:rsid w:val="57FB727C"/>
    <w:rsid w:val="58CB20A1"/>
    <w:rsid w:val="59B610C0"/>
    <w:rsid w:val="5A847FF7"/>
    <w:rsid w:val="5AC911D2"/>
    <w:rsid w:val="5ACC1DEF"/>
    <w:rsid w:val="5AF92295"/>
    <w:rsid w:val="5B250254"/>
    <w:rsid w:val="5B4700BF"/>
    <w:rsid w:val="5BAD719F"/>
    <w:rsid w:val="5BDD79E6"/>
    <w:rsid w:val="5BF561CA"/>
    <w:rsid w:val="5BFF5DFC"/>
    <w:rsid w:val="5CD26B4B"/>
    <w:rsid w:val="5CD71FC4"/>
    <w:rsid w:val="5D1F11B5"/>
    <w:rsid w:val="5D4A641B"/>
    <w:rsid w:val="5D4C769F"/>
    <w:rsid w:val="5D695134"/>
    <w:rsid w:val="5DAE1B18"/>
    <w:rsid w:val="5DE7D9E5"/>
    <w:rsid w:val="5ECEC941"/>
    <w:rsid w:val="5F172FE2"/>
    <w:rsid w:val="5F404E95"/>
    <w:rsid w:val="5FB120BE"/>
    <w:rsid w:val="5FBF9FF3"/>
    <w:rsid w:val="5FC916A9"/>
    <w:rsid w:val="5FCD4E2C"/>
    <w:rsid w:val="5FEF394A"/>
    <w:rsid w:val="5FF67715"/>
    <w:rsid w:val="600F3429"/>
    <w:rsid w:val="60160DA8"/>
    <w:rsid w:val="607934EB"/>
    <w:rsid w:val="613F0079"/>
    <w:rsid w:val="615510F7"/>
    <w:rsid w:val="61DF22A7"/>
    <w:rsid w:val="622113FB"/>
    <w:rsid w:val="622D425E"/>
    <w:rsid w:val="62A6187E"/>
    <w:rsid w:val="62A8722B"/>
    <w:rsid w:val="62BF3928"/>
    <w:rsid w:val="62FF65F3"/>
    <w:rsid w:val="631F534E"/>
    <w:rsid w:val="63664B94"/>
    <w:rsid w:val="63734E56"/>
    <w:rsid w:val="63B3701E"/>
    <w:rsid w:val="647F5392"/>
    <w:rsid w:val="64A81F97"/>
    <w:rsid w:val="64B96733"/>
    <w:rsid w:val="658A3F6B"/>
    <w:rsid w:val="65D802B8"/>
    <w:rsid w:val="65E66580"/>
    <w:rsid w:val="664430D7"/>
    <w:rsid w:val="664B1D71"/>
    <w:rsid w:val="664B4E8E"/>
    <w:rsid w:val="66AE5D62"/>
    <w:rsid w:val="66C837E3"/>
    <w:rsid w:val="671A27CA"/>
    <w:rsid w:val="67277B67"/>
    <w:rsid w:val="672E075C"/>
    <w:rsid w:val="672F4A85"/>
    <w:rsid w:val="678A3F25"/>
    <w:rsid w:val="67AA3209"/>
    <w:rsid w:val="67DE6037"/>
    <w:rsid w:val="67E42E47"/>
    <w:rsid w:val="684F1157"/>
    <w:rsid w:val="68BB4AF7"/>
    <w:rsid w:val="68C4131E"/>
    <w:rsid w:val="698D0931"/>
    <w:rsid w:val="69C06143"/>
    <w:rsid w:val="6A1D2D8B"/>
    <w:rsid w:val="6A715FB3"/>
    <w:rsid w:val="6A7FE5F3"/>
    <w:rsid w:val="6AE504D8"/>
    <w:rsid w:val="6B053271"/>
    <w:rsid w:val="6B6E7F46"/>
    <w:rsid w:val="6BDD78B3"/>
    <w:rsid w:val="6C4A05C8"/>
    <w:rsid w:val="6C5648C6"/>
    <w:rsid w:val="6C5D53BD"/>
    <w:rsid w:val="6C751138"/>
    <w:rsid w:val="6C8742B8"/>
    <w:rsid w:val="6CC237C0"/>
    <w:rsid w:val="6CE457DC"/>
    <w:rsid w:val="6CFF63C2"/>
    <w:rsid w:val="6D34499D"/>
    <w:rsid w:val="6DBF5E93"/>
    <w:rsid w:val="6DFF077E"/>
    <w:rsid w:val="6E714EF0"/>
    <w:rsid w:val="6E7E3605"/>
    <w:rsid w:val="6E7FDCC7"/>
    <w:rsid w:val="6ED6A62E"/>
    <w:rsid w:val="6EE00B15"/>
    <w:rsid w:val="6EFE40B2"/>
    <w:rsid w:val="6F507F4A"/>
    <w:rsid w:val="6F5727BF"/>
    <w:rsid w:val="6F5A6091"/>
    <w:rsid w:val="6F660090"/>
    <w:rsid w:val="6F6FB3EB"/>
    <w:rsid w:val="6F7134A4"/>
    <w:rsid w:val="6F8731EA"/>
    <w:rsid w:val="6FA67DE9"/>
    <w:rsid w:val="6FCE6052"/>
    <w:rsid w:val="6FD57C00"/>
    <w:rsid w:val="6FEFFFD8"/>
    <w:rsid w:val="6FF5CC65"/>
    <w:rsid w:val="6FFB47EC"/>
    <w:rsid w:val="6FFF034A"/>
    <w:rsid w:val="70484440"/>
    <w:rsid w:val="712A28F1"/>
    <w:rsid w:val="715C0E4B"/>
    <w:rsid w:val="71992E7C"/>
    <w:rsid w:val="71B908B1"/>
    <w:rsid w:val="72233669"/>
    <w:rsid w:val="7250787A"/>
    <w:rsid w:val="72734D90"/>
    <w:rsid w:val="72E74B8D"/>
    <w:rsid w:val="73160E6D"/>
    <w:rsid w:val="7332FE48"/>
    <w:rsid w:val="7353199F"/>
    <w:rsid w:val="73AB61DA"/>
    <w:rsid w:val="73AD73D5"/>
    <w:rsid w:val="73B6EB34"/>
    <w:rsid w:val="73FA497D"/>
    <w:rsid w:val="743649C8"/>
    <w:rsid w:val="744731E5"/>
    <w:rsid w:val="746264F2"/>
    <w:rsid w:val="74BBD01D"/>
    <w:rsid w:val="74ED5379"/>
    <w:rsid w:val="751F79A1"/>
    <w:rsid w:val="7594743C"/>
    <w:rsid w:val="75DEEEC2"/>
    <w:rsid w:val="75E32345"/>
    <w:rsid w:val="766F1D85"/>
    <w:rsid w:val="76BC7333"/>
    <w:rsid w:val="76C93715"/>
    <w:rsid w:val="76E3355F"/>
    <w:rsid w:val="76FF5125"/>
    <w:rsid w:val="7721605A"/>
    <w:rsid w:val="773E2D0C"/>
    <w:rsid w:val="776F6FFA"/>
    <w:rsid w:val="777363B3"/>
    <w:rsid w:val="778769C8"/>
    <w:rsid w:val="77A75DCA"/>
    <w:rsid w:val="77DC22F5"/>
    <w:rsid w:val="783E271A"/>
    <w:rsid w:val="78616DE9"/>
    <w:rsid w:val="78E875D7"/>
    <w:rsid w:val="79086DAD"/>
    <w:rsid w:val="79707BC1"/>
    <w:rsid w:val="79731F5E"/>
    <w:rsid w:val="79AE6600"/>
    <w:rsid w:val="79D7FD79"/>
    <w:rsid w:val="79EE5BA4"/>
    <w:rsid w:val="7A560981"/>
    <w:rsid w:val="7A894339"/>
    <w:rsid w:val="7A920264"/>
    <w:rsid w:val="7AD284E8"/>
    <w:rsid w:val="7AFF7572"/>
    <w:rsid w:val="7B421DB4"/>
    <w:rsid w:val="7B4512DC"/>
    <w:rsid w:val="7B6C7DFB"/>
    <w:rsid w:val="7B8532C1"/>
    <w:rsid w:val="7B916748"/>
    <w:rsid w:val="7BBFBED0"/>
    <w:rsid w:val="7BC3E394"/>
    <w:rsid w:val="7C1F3737"/>
    <w:rsid w:val="7C22431A"/>
    <w:rsid w:val="7C5F19A7"/>
    <w:rsid w:val="7CBFC87B"/>
    <w:rsid w:val="7CF66CA4"/>
    <w:rsid w:val="7CFE0F48"/>
    <w:rsid w:val="7D272ABC"/>
    <w:rsid w:val="7D560B48"/>
    <w:rsid w:val="7D7EC23E"/>
    <w:rsid w:val="7D8D3709"/>
    <w:rsid w:val="7DB30147"/>
    <w:rsid w:val="7DDA4298"/>
    <w:rsid w:val="7E187601"/>
    <w:rsid w:val="7E8ADEBF"/>
    <w:rsid w:val="7E930B02"/>
    <w:rsid w:val="7EEF11D3"/>
    <w:rsid w:val="7EEF54C2"/>
    <w:rsid w:val="7EFE4840"/>
    <w:rsid w:val="7F0971A6"/>
    <w:rsid w:val="7F190A88"/>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正文-公1"/>
    <w:basedOn w:val="20"/>
    <w:next w:val="1"/>
    <w:qFormat/>
    <w:uiPriority w:val="0"/>
    <w:pPr>
      <w:ind w:firstLine="200" w:firstLine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Times New Roman" w:hAnsi="Times New Roman" w:eastAsia="宋体" w:cs="Times New Roman"/>
      <w:kern w:val="2"/>
      <w:sz w:val="21"/>
      <w:szCs w:val="22"/>
      <w:lang w:val="en-US" w:eastAsia="zh-CN"/>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5"/>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5"/>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5"/>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List Paragraph"/>
    <w:basedOn w:val="1"/>
    <w:qFormat/>
    <w:uiPriority w:val="34"/>
    <w:pPr>
      <w:ind w:firstLine="420" w:firstLineChars="200"/>
    </w:pPr>
  </w:style>
  <w:style w:type="character" w:customStyle="1" w:styleId="30">
    <w:name w:val="标题 1 Char"/>
    <w:basedOn w:val="15"/>
    <w:link w:val="5"/>
    <w:qFormat/>
    <w:uiPriority w:val="9"/>
    <w:rPr>
      <w:rFonts w:ascii="Times New Roman" w:hAnsi="Times New Roman"/>
      <w:b/>
      <w:bCs/>
      <w:kern w:val="44"/>
      <w:sz w:val="44"/>
      <w:szCs w:val="44"/>
    </w:rPr>
  </w:style>
  <w:style w:type="character" w:customStyle="1" w:styleId="31">
    <w:name w:val="标题 2 Char"/>
    <w:basedOn w:val="15"/>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5"/>
    <w:link w:val="10"/>
    <w:semiHidden/>
    <w:qFormat/>
    <w:uiPriority w:val="99"/>
    <w:rPr>
      <w:rFonts w:ascii="Times New Roman" w:hAnsi="Times New Roman"/>
      <w:kern w:val="2"/>
      <w:sz w:val="18"/>
      <w:szCs w:val="18"/>
    </w:rPr>
  </w:style>
  <w:style w:type="character" w:customStyle="1" w:styleId="34">
    <w:name w:val="标题 3 Char"/>
    <w:basedOn w:val="15"/>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500"/>
              <a:t>收入、支出决算总计变动情况图（万元）</a:t>
            </a:r>
            <a:endParaRPr sz="1500"/>
          </a:p>
        </c:rich>
      </c:tx>
      <c:layout>
        <c:manualLayout>
          <c:xMode val="edge"/>
          <c:yMode val="edge"/>
          <c:x val="0.186960301276148"/>
          <c:y val="0.0661505981703026"/>
        </c:manualLayout>
      </c:layout>
      <c:overlay val="0"/>
      <c:spPr>
        <a:noFill/>
        <a:ln>
          <a:noFill/>
        </a:ln>
        <a:effectLst/>
      </c:spPr>
    </c:title>
    <c:autoTitleDeleted val="0"/>
    <c:plotArea>
      <c:layout>
        <c:manualLayout>
          <c:layoutTarget val="inner"/>
          <c:xMode val="edge"/>
          <c:yMode val="edge"/>
          <c:x val="0.105528679753369"/>
          <c:y val="0.296783749396974"/>
          <c:w val="0.890524471147828"/>
          <c:h val="0.522498446239901"/>
        </c:manualLayout>
      </c:layout>
      <c:barChart>
        <c:barDir val="col"/>
        <c:grouping val="stack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2024年收入、支出总计</c:v>
                </c:pt>
                <c:pt idx="1">
                  <c:v>2023年收入、支出总计</c:v>
                </c:pt>
              </c:strCache>
            </c:strRef>
          </c:cat>
          <c:val>
            <c:numRef>
              <c:f>Sheet1!$B$1:$B$2</c:f>
              <c:numCache>
                <c:formatCode>General</c:formatCode>
                <c:ptCount val="2"/>
                <c:pt idx="0">
                  <c:v>1646.53</c:v>
                </c:pt>
                <c:pt idx="1">
                  <c:v>1634.02</c:v>
                </c:pt>
              </c:numCache>
            </c:numRef>
          </c:val>
        </c:ser>
        <c:dLbls>
          <c:showLegendKey val="0"/>
          <c:showVal val="1"/>
          <c:showCatName val="0"/>
          <c:showSerName val="0"/>
          <c:showPercent val="0"/>
          <c:showBubbleSize val="0"/>
        </c:dLbls>
        <c:gapWidth val="150"/>
        <c:overlap val="100"/>
        <c:axId val="156190976"/>
        <c:axId val="156229632"/>
      </c:barChart>
      <c:catAx>
        <c:axId val="156190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229632"/>
        <c:crosses val="autoZero"/>
        <c:auto val="1"/>
        <c:lblAlgn val="ctr"/>
        <c:lblOffset val="100"/>
        <c:noMultiLvlLbl val="0"/>
      </c:catAx>
      <c:valAx>
        <c:axId val="15622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90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0.6804</c:v>
                </c:pt>
                <c:pt idx="1">
                  <c:v>0.3196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500"/>
              <a:t>财政拨款收入、支出决算总计变动情况图（万元）</a:t>
            </a:r>
            <a:endParaRPr sz="1500"/>
          </a:p>
        </c:rich>
      </c:tx>
      <c:layout>
        <c:manualLayout>
          <c:xMode val="edge"/>
          <c:yMode val="edge"/>
          <c:x val="0.189694541394481"/>
          <c:y val="0.0698079040487741"/>
        </c:manualLayout>
      </c:layout>
      <c:overlay val="0"/>
      <c:spPr>
        <a:noFill/>
        <a:ln>
          <a:noFill/>
        </a:ln>
        <a:effectLst/>
      </c:spPr>
    </c:title>
    <c:autoTitleDeleted val="0"/>
    <c:plotArea>
      <c:layout>
        <c:manualLayout>
          <c:layoutTarget val="inner"/>
          <c:xMode val="edge"/>
          <c:yMode val="edge"/>
          <c:x val="0.0997167110632413"/>
          <c:y val="0.349452018156384"/>
          <c:w val="0.890524471147828"/>
          <c:h val="0.522498446239901"/>
        </c:manualLayout>
      </c:layout>
      <c:barChart>
        <c:barDir val="col"/>
        <c:grouping val="stack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2024年财政拨款收入、支出总计</c:v>
                </c:pt>
                <c:pt idx="1">
                  <c:v>2023年财政拨款收入、支出总计</c:v>
                </c:pt>
              </c:strCache>
            </c:strRef>
          </c:cat>
          <c:val>
            <c:numRef>
              <c:f>Sheet1!$B$1:$B$2</c:f>
              <c:numCache>
                <c:formatCode>General</c:formatCode>
                <c:ptCount val="2"/>
                <c:pt idx="0">
                  <c:v>1646.53</c:v>
                </c:pt>
                <c:pt idx="1">
                  <c:v>1634.02</c:v>
                </c:pt>
              </c:numCache>
            </c:numRef>
          </c:val>
        </c:ser>
        <c:dLbls>
          <c:showLegendKey val="0"/>
          <c:showVal val="1"/>
          <c:showCatName val="0"/>
          <c:showSerName val="0"/>
          <c:showPercent val="0"/>
          <c:showBubbleSize val="0"/>
        </c:dLbls>
        <c:gapWidth val="150"/>
        <c:overlap val="100"/>
        <c:axId val="156190976"/>
        <c:axId val="156229632"/>
      </c:barChart>
      <c:catAx>
        <c:axId val="156190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229632"/>
        <c:crosses val="autoZero"/>
        <c:auto val="1"/>
        <c:lblAlgn val="ctr"/>
        <c:lblOffset val="100"/>
        <c:noMultiLvlLbl val="0"/>
      </c:catAx>
      <c:valAx>
        <c:axId val="15622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90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500"/>
              <a:t>一般公共预算财政拨款支出决算变动情况图（万元）</a:t>
            </a:r>
            <a:endParaRPr sz="1500"/>
          </a:p>
        </c:rich>
      </c:tx>
      <c:layout>
        <c:manualLayout>
          <c:xMode val="edge"/>
          <c:yMode val="edge"/>
          <c:x val="0.14145010290614"/>
          <c:y val="0.0727490805193623"/>
        </c:manualLayout>
      </c:layout>
      <c:overlay val="0"/>
      <c:spPr>
        <a:noFill/>
        <a:ln>
          <a:noFill/>
        </a:ln>
        <a:effectLst/>
      </c:spPr>
    </c:title>
    <c:autoTitleDeleted val="0"/>
    <c:plotArea>
      <c:layout>
        <c:manualLayout>
          <c:layoutTarget val="inner"/>
          <c:xMode val="edge"/>
          <c:yMode val="edge"/>
          <c:x val="0.0997167110632413"/>
          <c:y val="0.349452018156384"/>
          <c:w val="0.890524471147828"/>
          <c:h val="0.522498446239901"/>
        </c:manualLayout>
      </c:layout>
      <c:barChart>
        <c:barDir val="col"/>
        <c:grouping val="stack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2024年一般公共预算财政拨款支出</c:v>
                </c:pt>
                <c:pt idx="1">
                  <c:v>2023年一般公共预算财政拨款支出</c:v>
                </c:pt>
              </c:strCache>
            </c:strRef>
          </c:cat>
          <c:val>
            <c:numRef>
              <c:f>Sheet1!$B$1:$B$2</c:f>
              <c:numCache>
                <c:formatCode>General</c:formatCode>
                <c:ptCount val="2"/>
                <c:pt idx="0">
                  <c:v>1646.53</c:v>
                </c:pt>
                <c:pt idx="1">
                  <c:v>1634.02</c:v>
                </c:pt>
              </c:numCache>
            </c:numRef>
          </c:val>
        </c:ser>
        <c:dLbls>
          <c:showLegendKey val="0"/>
          <c:showVal val="1"/>
          <c:showCatName val="0"/>
          <c:showSerName val="0"/>
          <c:showPercent val="0"/>
          <c:showBubbleSize val="0"/>
        </c:dLbls>
        <c:gapWidth val="150"/>
        <c:overlap val="100"/>
        <c:axId val="156190976"/>
        <c:axId val="156229632"/>
      </c:barChart>
      <c:catAx>
        <c:axId val="156190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229632"/>
        <c:crosses val="autoZero"/>
        <c:auto val="1"/>
        <c:lblAlgn val="ctr"/>
        <c:lblOffset val="100"/>
        <c:noMultiLvlLbl val="0"/>
      </c:catAx>
      <c:valAx>
        <c:axId val="15622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90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21675"/>
          <c:y val="0.0532906231799651"/>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3"/>
              <c:layout>
                <c:manualLayout>
                  <c:x val="0.0186430147919914"/>
                  <c:y val="-0.01564365557890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0.8237</c:v>
                </c:pt>
                <c:pt idx="1">
                  <c:v>0.0734</c:v>
                </c:pt>
                <c:pt idx="2">
                  <c:v>0.0517</c:v>
                </c:pt>
                <c:pt idx="3">
                  <c:v>0.0512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“三公”经费财政拨款支出结构</a:t>
            </a:r>
            <a:endParaRPr lang="zh-CN" altLang="en-US"/>
          </a:p>
        </c:rich>
      </c:tx>
      <c:layout>
        <c:manualLayout>
          <c:xMode val="edge"/>
          <c:yMode val="edge"/>
          <c:x val="0.188297616181074"/>
          <c:y val="0.0165825467672058"/>
        </c:manualLayout>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dLbl>
              <c:idx val="0"/>
              <c:layout>
                <c:manualLayout>
                  <c:x val="-0.203125716918421"/>
                  <c:y val="0.2049857829620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231839994236213"/>
                  <c:y val="0.39588696459568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241993739465447"/>
                  <c:y val="0.075120192307692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因公出国（境）费支出</c:v>
                </c:pt>
                <c:pt idx="1">
                  <c:v>公务用车购置费</c:v>
                </c:pt>
                <c:pt idx="2">
                  <c:v>公务接待费支出</c:v>
                </c:pt>
                <c:pt idx="3">
                  <c:v>公务用车运行维护费支出</c:v>
                </c:pt>
              </c:strCache>
            </c:strRef>
          </c:cat>
          <c:val>
            <c:numRef>
              <c:f>Sheet1!$B$2:$B$5</c:f>
              <c:numCache>
                <c:formatCode>General</c:formatCode>
                <c:ptCount val="4"/>
                <c:pt idx="0">
                  <c:v>0</c:v>
                </c:pt>
                <c:pt idx="1">
                  <c:v>0</c:v>
                </c:pt>
                <c:pt idx="2">
                  <c:v>0</c:v>
                </c:pt>
                <c:pt idx="3" c:formatCode="0%">
                  <c:v>1</c:v>
                </c:pt>
              </c:numCache>
            </c:numRef>
          </c:val>
        </c:ser>
        <c:dLbls>
          <c:showLegendKey val="0"/>
          <c:showVal val="1"/>
          <c:showCatName val="1"/>
          <c:showSerName val="0"/>
          <c:showPercent val="0"/>
          <c:showBubbleSize val="0"/>
          <c:showLeaderLines val="1"/>
        </c:dLbls>
        <c:firstSliceAng val="0"/>
      </c:pieChart>
    </c:plotArea>
    <c:legend>
      <c:legendPos val="r"/>
      <c:layout>
        <c:manualLayout>
          <c:xMode val="edge"/>
          <c:yMode val="edge"/>
          <c:x val="0.661931134119913"/>
          <c:y val="0.41887019230769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927</Words>
  <Characters>5290</Characters>
  <Lines>44</Lines>
  <Paragraphs>12</Paragraphs>
  <ScaleCrop>false</ScaleCrop>
  <LinksUpToDate>false</LinksUpToDate>
  <CharactersWithSpaces>6205</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PC</cp:lastModifiedBy>
  <cp:lastPrinted>2025-10-10T03:06:00Z</cp:lastPrinted>
  <dcterms:modified xsi:type="dcterms:W3CDTF">2025-10-27T01:22:19Z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y fmtid="{D5CDD505-2E9C-101B-9397-08002B2CF9AE}" pid="3" name="ICV">
    <vt:lpwstr>04787F2533EB45DC91BCDE4AB213247F</vt:lpwstr>
  </property>
</Properties>
</file>