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77425"/>
      <w:bookmarkStart w:id="1" w:name="_Toc15396597"/>
      <w:bookmarkStart w:id="2" w:name="_Toc15306267"/>
      <w:bookmarkStart w:id="3" w:name="_Toc15378441"/>
      <w:bookmarkStart w:id="4" w:name="_Toc15377193"/>
      <w:bookmarkStart w:id="5" w:name="_Toc15396475"/>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2"/>
        <w:spacing w:before="93"/>
        <w:jc w:val="center"/>
        <w:rPr>
          <w:rFonts w:ascii="Times New Roman" w:eastAsia="方正小标宋简体"/>
          <w:kern w:val="2"/>
          <w:sz w:val="72"/>
          <w:szCs w:val="72"/>
        </w:rPr>
      </w:pPr>
      <w:r>
        <w:rPr>
          <w:rFonts w:hint="default" w:ascii="Times New Roman" w:hAnsi="Times New Roman" w:eastAsia="方正小标宋简体" w:cs="Times New Roman"/>
          <w:kern w:val="2"/>
          <w:sz w:val="72"/>
          <w:szCs w:val="72"/>
          <w:lang w:eastAsia="zh-CN"/>
        </w:rPr>
        <w:t>中国共产党盐边县纪律检查委员会</w:t>
      </w:r>
      <w:r>
        <w:rPr>
          <w:rFonts w:hint="eastAsia" w:ascii="Times New Roman" w:eastAsia="方正小标宋简体"/>
          <w:kern w:val="2"/>
          <w:sz w:val="72"/>
          <w:szCs w:val="72"/>
        </w:rPr>
        <w:t>部门决算</w:t>
      </w: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spacing w:line="600" w:lineRule="exact"/>
        <w:jc w:val="center"/>
        <w:outlineLvl w:val="0"/>
        <w:rPr>
          <w:rFonts w:eastAsia="方正小标宋简体"/>
          <w:sz w:val="72"/>
          <w:szCs w:val="72"/>
        </w:rPr>
      </w:pPr>
    </w:p>
    <w:p>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pPr>
        <w:outlineLvl w:val="1"/>
      </w:pPr>
    </w:p>
    <w:p>
      <w:pPr>
        <w:pStyle w:val="12"/>
        <w:keepNext w:val="0"/>
        <w:keepLines w:val="0"/>
        <w:pageBreakBefore w:val="0"/>
        <w:widowControl w:val="0"/>
        <w:tabs>
          <w:tab w:val="right" w:leader="dot" w:pos="8306"/>
          <w:tab w:val="clear" w:pos="8296"/>
        </w:tabs>
        <w:kinsoku/>
        <w:wordWrap/>
        <w:overflowPunct/>
        <w:topLinePunct w:val="0"/>
        <w:autoSpaceDE/>
        <w:autoSpaceDN/>
        <w:bidi w:val="0"/>
        <w:spacing w:before="0"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TOC \o "1-2" \h \u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 HYPERLINK \l _Toc24979 </w:instrText>
      </w:r>
      <w:r>
        <w:rPr>
          <w:rFonts w:hint="default" w:ascii="Times New Roman" w:hAnsi="Times New Roman" w:eastAsia="方正黑体_GBK" w:cs="Times New Roman"/>
          <w:sz w:val="28"/>
          <w:szCs w:val="28"/>
        </w:rPr>
        <w:fldChar w:fldCharType="separate"/>
      </w:r>
      <w:r>
        <w:rPr>
          <w:rFonts w:hint="default" w:ascii="Times New Roman" w:hAnsi="Times New Roman" w:eastAsia="方正黑体_GBK" w:cs="Times New Roman"/>
          <w:b w:val="0"/>
          <w:sz w:val="28"/>
          <w:szCs w:val="28"/>
        </w:rPr>
        <w:t xml:space="preserve">第一部分  </w:t>
      </w:r>
      <w:r>
        <w:rPr>
          <w:rFonts w:hint="default" w:ascii="Times New Roman" w:hAnsi="Times New Roman" w:eastAsia="方正黑体_GBK" w:cs="Times New Roman"/>
          <w:b w:val="0"/>
          <w:bCs w:val="0"/>
          <w:sz w:val="28"/>
          <w:szCs w:val="28"/>
        </w:rPr>
        <w:t>部门概况</w:t>
      </w:r>
      <w:r>
        <w:rPr>
          <w:rFonts w:hint="default" w:ascii="Times New Roman" w:hAnsi="Times New Roman" w:eastAsia="方正黑体_GBK" w:cs="Times New Roman"/>
          <w:sz w:val="28"/>
          <w:szCs w:val="28"/>
        </w:rPr>
        <w:tab/>
      </w:r>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 PAGEREF _Toc24979 </w:instrText>
      </w:r>
      <w:r>
        <w:rPr>
          <w:rFonts w:hint="default" w:ascii="Times New Roman" w:hAnsi="Times New Roman" w:eastAsia="方正黑体_GBK" w:cs="Times New Roman"/>
          <w:sz w:val="28"/>
          <w:szCs w:val="28"/>
        </w:rPr>
        <w:fldChar w:fldCharType="separate"/>
      </w:r>
      <w:r>
        <w:rPr>
          <w:rFonts w:hint="default" w:ascii="Times New Roman" w:hAnsi="Times New Roman" w:eastAsia="方正黑体_GBK" w:cs="Times New Roman"/>
          <w:sz w:val="28"/>
          <w:szCs w:val="28"/>
        </w:rPr>
        <w:t xml:space="preserve"> 3 </w:t>
      </w:r>
      <w:r>
        <w:rPr>
          <w:rFonts w:hint="default" w:ascii="Times New Roman" w:hAnsi="Times New Roman" w:eastAsia="方正黑体_GBK" w:cs="Times New Roman"/>
          <w:sz w:val="28"/>
          <w:szCs w:val="28"/>
        </w:rPr>
        <w:fldChar w:fldCharType="end"/>
      </w:r>
      <w:r>
        <w:rPr>
          <w:rFonts w:hint="default" w:ascii="Times New Roman" w:hAnsi="Times New Roman" w:eastAsia="方正黑体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_Toc14055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b w:val="0"/>
          <w:sz w:val="28"/>
          <w:szCs w:val="28"/>
        </w:rPr>
        <w:t>一、部门职责</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_Toc14055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_Toc294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b w:val="0"/>
          <w:sz w:val="28"/>
          <w:szCs w:val="28"/>
        </w:rPr>
        <w:t>二、机</w:t>
      </w:r>
      <w:r>
        <w:rPr>
          <w:rFonts w:hint="default" w:ascii="Times New Roman" w:hAnsi="Times New Roman" w:eastAsia="方正仿宋_GBK" w:cs="Times New Roman"/>
          <w:b w:val="0"/>
          <w:bCs w:val="0"/>
          <w:sz w:val="28"/>
          <w:szCs w:val="28"/>
        </w:rPr>
        <w:t>构设置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_Toc294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3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before="0"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 HYPERLINK \l _Toc1834 </w:instrText>
      </w:r>
      <w:r>
        <w:rPr>
          <w:rFonts w:hint="default" w:ascii="Times New Roman" w:hAnsi="Times New Roman" w:eastAsia="方正黑体_GBK" w:cs="Times New Roman"/>
          <w:sz w:val="28"/>
          <w:szCs w:val="28"/>
        </w:rPr>
        <w:fldChar w:fldCharType="separate"/>
      </w:r>
      <w:r>
        <w:rPr>
          <w:rFonts w:hint="default" w:ascii="Times New Roman" w:hAnsi="Times New Roman" w:eastAsia="方正黑体_GBK" w:cs="Times New Roman"/>
          <w:b w:val="0"/>
          <w:sz w:val="28"/>
          <w:szCs w:val="28"/>
        </w:rPr>
        <w:t>第二部分  2024年度部门决算情况说明</w:t>
      </w:r>
      <w:r>
        <w:rPr>
          <w:rFonts w:hint="default" w:ascii="Times New Roman" w:hAnsi="Times New Roman" w:eastAsia="方正黑体_GBK" w:cs="Times New Roman"/>
          <w:sz w:val="28"/>
          <w:szCs w:val="28"/>
        </w:rPr>
        <w:tab/>
      </w:r>
      <w:r>
        <w:rPr>
          <w:rFonts w:hint="default" w:ascii="Times New Roman" w:hAnsi="Times New Roman" w:eastAsia="方正仿宋_GBK" w:cs="Times New Roman"/>
          <w:kern w:val="2"/>
          <w:sz w:val="28"/>
          <w:szCs w:val="28"/>
          <w:lang w:val="en-US" w:eastAsia="zh-CN" w:bidi="ar-SA"/>
        </w:rPr>
        <w:fldChar w:fldCharType="begin"/>
      </w:r>
      <w:r>
        <w:rPr>
          <w:rFonts w:hint="default" w:ascii="Times New Roman" w:hAnsi="Times New Roman" w:eastAsia="方正仿宋_GBK" w:cs="Times New Roman"/>
          <w:kern w:val="2"/>
          <w:sz w:val="28"/>
          <w:szCs w:val="28"/>
          <w:lang w:val="en-US" w:eastAsia="zh-CN" w:bidi="ar-SA"/>
        </w:rPr>
        <w:instrText xml:space="preserve"> PAGEREF _Toc1834 </w:instrText>
      </w:r>
      <w:r>
        <w:rPr>
          <w:rFonts w:hint="default" w:ascii="Times New Roman" w:hAnsi="Times New Roman" w:eastAsia="方正仿宋_GBK" w:cs="Times New Roman"/>
          <w:kern w:val="2"/>
          <w:sz w:val="28"/>
          <w:szCs w:val="28"/>
          <w:lang w:val="en-US" w:eastAsia="zh-CN" w:bidi="ar-SA"/>
        </w:rPr>
        <w:fldChar w:fldCharType="separate"/>
      </w:r>
      <w:r>
        <w:rPr>
          <w:rFonts w:hint="default" w:ascii="Times New Roman" w:hAnsi="Times New Roman" w:eastAsia="方正仿宋_GBK" w:cs="Times New Roman"/>
          <w:kern w:val="2"/>
          <w:sz w:val="28"/>
          <w:szCs w:val="28"/>
          <w:lang w:val="en-US" w:eastAsia="zh-CN" w:bidi="ar-SA"/>
        </w:rPr>
        <w:t xml:space="preserve"> 4 </w:t>
      </w:r>
      <w:r>
        <w:rPr>
          <w:rFonts w:hint="default" w:ascii="Times New Roman" w:hAnsi="Times New Roman" w:eastAsia="方正仿宋_GBK" w:cs="Times New Roman"/>
          <w:kern w:val="2"/>
          <w:sz w:val="28"/>
          <w:szCs w:val="28"/>
          <w:lang w:val="en-US" w:eastAsia="zh-CN" w:bidi="ar-SA"/>
        </w:rPr>
        <w:fldChar w:fldCharType="end"/>
      </w:r>
      <w:r>
        <w:rPr>
          <w:rFonts w:hint="default" w:ascii="Times New Roman" w:hAnsi="Times New Roman" w:eastAsia="方正黑体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_Toc15496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一、收</w:t>
      </w:r>
      <w:r>
        <w:rPr>
          <w:rFonts w:hint="default" w:ascii="Times New Roman" w:hAnsi="Times New Roman" w:eastAsia="方正仿宋_GBK" w:cs="Times New Roman"/>
          <w:b w:val="0"/>
          <w:sz w:val="28"/>
          <w:szCs w:val="28"/>
        </w:rPr>
        <w:t>入支出决算总体情况说明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_Toc15496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4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_Toc9502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二、收入决算情况说明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_Toc9502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4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_Toc16745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三、支</w:t>
      </w:r>
      <w:r>
        <w:rPr>
          <w:rFonts w:hint="default" w:ascii="Times New Roman" w:hAnsi="Times New Roman" w:eastAsia="方正仿宋_GBK" w:cs="Times New Roman"/>
          <w:b w:val="0"/>
          <w:sz w:val="28"/>
          <w:szCs w:val="28"/>
        </w:rPr>
        <w:t>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_Toc16745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_Toc26174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四、财</w:t>
      </w:r>
      <w:r>
        <w:rPr>
          <w:rFonts w:hint="default" w:ascii="Times New Roman" w:hAnsi="Times New Roman" w:eastAsia="方正仿宋_GBK" w:cs="Times New Roman"/>
          <w:b w:val="0"/>
          <w:sz w:val="28"/>
          <w:szCs w:val="28"/>
        </w:rPr>
        <w:t>政拨款收入支出决算总体情况说明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_Toc26174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_Toc24290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五、</w:t>
      </w:r>
      <w:r>
        <w:rPr>
          <w:rFonts w:hint="default" w:ascii="Times New Roman" w:hAnsi="Times New Roman" w:eastAsia="方正仿宋_GBK" w:cs="Times New Roman"/>
          <w:b/>
          <w:sz w:val="28"/>
          <w:szCs w:val="28"/>
        </w:rPr>
        <w:t>一</w:t>
      </w:r>
      <w:r>
        <w:rPr>
          <w:rFonts w:hint="default" w:ascii="Times New Roman" w:hAnsi="Times New Roman" w:eastAsia="方正仿宋_GBK" w:cs="Times New Roman"/>
          <w:b w:val="0"/>
          <w:sz w:val="28"/>
          <w:szCs w:val="28"/>
        </w:rPr>
        <w:t>般公共预算财政拨款支出决算情况说明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_Toc24290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_Toc25022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六</w:t>
      </w:r>
      <w:r>
        <w:rPr>
          <w:rFonts w:hint="default" w:ascii="Times New Roman" w:hAnsi="Times New Roman" w:eastAsia="方正仿宋_GBK" w:cs="Times New Roman"/>
          <w:b/>
          <w:sz w:val="28"/>
          <w:szCs w:val="28"/>
        </w:rPr>
        <w:t>、一</w:t>
      </w:r>
      <w:r>
        <w:rPr>
          <w:rFonts w:hint="default" w:ascii="Times New Roman" w:hAnsi="Times New Roman" w:eastAsia="方正仿宋_GBK" w:cs="Times New Roman"/>
          <w:b w:val="0"/>
          <w:sz w:val="28"/>
          <w:szCs w:val="28"/>
        </w:rPr>
        <w:t>般公共预算财政拨款基本支出决算情况说明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_Toc25022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9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_Toc27716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七、</w:t>
      </w:r>
      <w:r>
        <w:rPr>
          <w:rFonts w:hint="default" w:ascii="Times New Roman" w:hAnsi="Times New Roman" w:eastAsia="方正仿宋_GBK" w:cs="Times New Roman"/>
          <w:b w:val="0"/>
          <w:sz w:val="28"/>
          <w:szCs w:val="28"/>
        </w:rPr>
        <w:t>财政拨款</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b w:val="0"/>
          <w:sz w:val="28"/>
          <w:szCs w:val="28"/>
        </w:rPr>
        <w:t>三公”经费支出决算情况说明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_Toc27716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9</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_Toc18198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八、</w:t>
      </w:r>
      <w:r>
        <w:rPr>
          <w:rFonts w:hint="default" w:ascii="Times New Roman" w:hAnsi="Times New Roman" w:eastAsia="方正仿宋_GBK" w:cs="Times New Roman"/>
          <w:b w:val="0"/>
          <w:sz w:val="28"/>
          <w:szCs w:val="28"/>
        </w:rPr>
        <w:t>政府性基金预算支出决算情况说明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_Toc18198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_Toc27745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b w:val="0"/>
          <w:sz w:val="28"/>
          <w:szCs w:val="28"/>
        </w:rPr>
        <w:t>九、国有资本经营预算支出决算情况说明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_Toc27745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11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_Toc11369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b w:val="0"/>
          <w:sz w:val="28"/>
          <w:szCs w:val="28"/>
        </w:rPr>
        <w:t>十、其他重要事项的情况说明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_Toc11369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11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before="0"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 HYPERLINK \l _Toc10504 </w:instrText>
      </w:r>
      <w:r>
        <w:rPr>
          <w:rFonts w:hint="default" w:ascii="Times New Roman" w:hAnsi="Times New Roman" w:eastAsia="方正黑体_GBK" w:cs="Times New Roman"/>
          <w:sz w:val="28"/>
          <w:szCs w:val="28"/>
        </w:rPr>
        <w:fldChar w:fldCharType="separate"/>
      </w:r>
      <w:r>
        <w:rPr>
          <w:rFonts w:hint="default" w:ascii="Times New Roman" w:hAnsi="Times New Roman" w:eastAsia="方正黑体_GBK" w:cs="Times New Roman"/>
          <w:sz w:val="28"/>
          <w:szCs w:val="28"/>
        </w:rPr>
        <w:t>第三部分  名词解释</w:t>
      </w:r>
      <w:r>
        <w:rPr>
          <w:rFonts w:hint="default" w:ascii="Times New Roman" w:hAnsi="Times New Roman" w:eastAsia="方正黑体_GBK" w:cs="Times New Roman"/>
          <w:sz w:val="28"/>
          <w:szCs w:val="28"/>
        </w:rPr>
        <w:tab/>
      </w:r>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 PAGEREF _Toc10504 </w:instrText>
      </w:r>
      <w:r>
        <w:rPr>
          <w:rFonts w:hint="default" w:ascii="Times New Roman" w:hAnsi="Times New Roman" w:eastAsia="方正黑体_GBK" w:cs="Times New Roman"/>
          <w:sz w:val="28"/>
          <w:szCs w:val="28"/>
        </w:rPr>
        <w:fldChar w:fldCharType="separate"/>
      </w:r>
      <w:r>
        <w:rPr>
          <w:rFonts w:hint="default" w:ascii="Times New Roman" w:hAnsi="Times New Roman" w:eastAsia="方正黑体_GBK" w:cs="Times New Roman"/>
          <w:sz w:val="28"/>
          <w:szCs w:val="28"/>
        </w:rPr>
        <w:t xml:space="preserve"> 13</w:t>
      </w:r>
      <w:r>
        <w:rPr>
          <w:rFonts w:hint="default" w:ascii="Times New Roman" w:hAnsi="Times New Roman" w:eastAsia="方正黑体_GBK" w:cs="Times New Roman"/>
          <w:sz w:val="28"/>
          <w:szCs w:val="28"/>
        </w:rPr>
        <w:fldChar w:fldCharType="end"/>
      </w:r>
      <w:r>
        <w:rPr>
          <w:rFonts w:hint="default" w:ascii="Times New Roman" w:hAnsi="Times New Roman" w:eastAsia="方正黑体_GBK" w:cs="Times New Roman"/>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before="0"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 HYPERLINK \l _Toc22455 </w:instrText>
      </w:r>
      <w:r>
        <w:rPr>
          <w:rFonts w:hint="default" w:ascii="Times New Roman" w:hAnsi="Times New Roman" w:eastAsia="方正黑体_GBK" w:cs="Times New Roman"/>
          <w:sz w:val="28"/>
          <w:szCs w:val="28"/>
        </w:rPr>
        <w:fldChar w:fldCharType="separate"/>
      </w:r>
      <w:r>
        <w:rPr>
          <w:rFonts w:hint="default" w:ascii="Times New Roman" w:hAnsi="Times New Roman" w:eastAsia="方正黑体_GBK" w:cs="Times New Roman"/>
          <w:sz w:val="28"/>
          <w:szCs w:val="28"/>
        </w:rPr>
        <w:t>第四部分  附件</w:t>
      </w:r>
      <w:r>
        <w:rPr>
          <w:rFonts w:hint="default" w:ascii="Times New Roman" w:hAnsi="Times New Roman" w:eastAsia="方正黑体_GBK" w:cs="Times New Roman"/>
          <w:sz w:val="28"/>
          <w:szCs w:val="28"/>
        </w:rPr>
        <w:tab/>
      </w:r>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 PAGEREF _Toc22455 </w:instrText>
      </w:r>
      <w:r>
        <w:rPr>
          <w:rFonts w:hint="default" w:ascii="Times New Roman" w:hAnsi="Times New Roman" w:eastAsia="方正黑体_GBK" w:cs="Times New Roman"/>
          <w:sz w:val="28"/>
          <w:szCs w:val="28"/>
        </w:rPr>
        <w:fldChar w:fldCharType="separate"/>
      </w:r>
      <w:r>
        <w:rPr>
          <w:rFonts w:hint="default" w:ascii="Times New Roman" w:hAnsi="Times New Roman" w:eastAsia="方正黑体_GBK" w:cs="Times New Roman"/>
          <w:sz w:val="28"/>
          <w:szCs w:val="28"/>
        </w:rPr>
        <w:t xml:space="preserve">17 </w:t>
      </w:r>
      <w:r>
        <w:rPr>
          <w:rFonts w:hint="default" w:ascii="Times New Roman" w:hAnsi="Times New Roman" w:eastAsia="方正黑体_GBK" w:cs="Times New Roman"/>
          <w:sz w:val="28"/>
          <w:szCs w:val="28"/>
        </w:rPr>
        <w:fldChar w:fldCharType="end"/>
      </w:r>
      <w:r>
        <w:rPr>
          <w:rFonts w:hint="default" w:ascii="Times New Roman" w:hAnsi="Times New Roman" w:eastAsia="方正黑体_GBK" w:cs="Times New Roman"/>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before="0" w:line="560" w:lineRule="exact"/>
        <w:ind w:right="0" w:rightChars="0"/>
        <w:textAlignment w:val="auto"/>
        <w:outlineLvl w:val="9"/>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 HYPERLINK \l _Toc21624 </w:instrText>
      </w:r>
      <w:r>
        <w:rPr>
          <w:rFonts w:hint="default" w:ascii="Times New Roman" w:hAnsi="Times New Roman" w:eastAsia="方正黑体_GBK" w:cs="Times New Roman"/>
          <w:sz w:val="28"/>
          <w:szCs w:val="28"/>
        </w:rPr>
        <w:fldChar w:fldCharType="separate"/>
      </w:r>
      <w:r>
        <w:rPr>
          <w:rFonts w:hint="default" w:ascii="Times New Roman" w:hAnsi="Times New Roman" w:eastAsia="方正黑体_GBK" w:cs="Times New Roman"/>
          <w:sz w:val="28"/>
          <w:szCs w:val="28"/>
        </w:rPr>
        <w:t>第</w:t>
      </w:r>
      <w:r>
        <w:rPr>
          <w:rFonts w:hint="default" w:ascii="Times New Roman" w:hAnsi="Times New Roman" w:eastAsia="方正黑体_GBK" w:cs="Times New Roman"/>
          <w:b w:val="0"/>
          <w:sz w:val="28"/>
          <w:szCs w:val="28"/>
        </w:rPr>
        <w:t>五部分 附表</w:t>
      </w:r>
      <w:r>
        <w:rPr>
          <w:rFonts w:hint="default" w:ascii="Times New Roman" w:hAnsi="Times New Roman" w:eastAsia="方正黑体_GBK" w:cs="Times New Roman"/>
          <w:sz w:val="28"/>
          <w:szCs w:val="28"/>
        </w:rPr>
        <w:tab/>
      </w:r>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 PAGEREF _Toc21624 </w:instrText>
      </w:r>
      <w:r>
        <w:rPr>
          <w:rFonts w:hint="default" w:ascii="Times New Roman" w:hAnsi="Times New Roman" w:eastAsia="方正黑体_GBK" w:cs="Times New Roman"/>
          <w:sz w:val="28"/>
          <w:szCs w:val="28"/>
        </w:rPr>
        <w:fldChar w:fldCharType="separate"/>
      </w:r>
      <w:r>
        <w:rPr>
          <w:rFonts w:hint="default" w:ascii="Times New Roman" w:hAnsi="Times New Roman" w:eastAsia="方正黑体_GBK" w:cs="Times New Roman"/>
          <w:sz w:val="28"/>
          <w:szCs w:val="28"/>
        </w:rPr>
        <w:t xml:space="preserve"> 25 </w:t>
      </w:r>
      <w:r>
        <w:rPr>
          <w:rFonts w:hint="default" w:ascii="Times New Roman" w:hAnsi="Times New Roman" w:eastAsia="方正黑体_GBK" w:cs="Times New Roman"/>
          <w:sz w:val="28"/>
          <w:szCs w:val="28"/>
        </w:rPr>
        <w:fldChar w:fldCharType="end"/>
      </w:r>
      <w:r>
        <w:rPr>
          <w:rFonts w:hint="default" w:ascii="Times New Roman" w:hAnsi="Times New Roman" w:eastAsia="方正黑体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_Toc29851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一、收入支出决算总表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_Toc29851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_Toc27392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二、收入决算表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_Toc27392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_Toc11863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三、支出决算表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_Toc11863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_Toc12271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四、财政拨款收入支出决算总表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_Toc12271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_Toc19133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五、财政拨款支出决算明细表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_Toc19133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25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_Toc21568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六、一般公共预算财政拨款支出决算表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_Toc21568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_Toc16352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七、一般公共预算财政拨款支出决算明细表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_Toc16352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_Toc25269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八、一般公共预算财政拨款基本支出决算表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_Toc25269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_Toc3726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九、一般公共预算财政拨款项目支出决算表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_Toc3726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_Toc15786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十、政府性基金预算财政拨款收入支出决算表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_Toc15786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_Toc2383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十一、国有资本经营预算财政拨款收入支出决算表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_Toc2383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_Toc2210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十二、国有资本经营预算财政拨款支出决算表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_Toc2210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\l _Toc23632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十三、财政拨款“三公”经费支出决算表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_Toc23632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xml:space="preserve"> 25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end"/>
      </w:r>
    </w:p>
    <w:p>
      <w:pPr>
        <w:widowControl/>
        <w:spacing w:line="560" w:lineRule="exact"/>
        <w:jc w:val="left"/>
        <w:rPr>
          <w:rFonts w:hint="default" w:ascii="Times New Roman" w:hAnsi="Times New Roman" w:eastAsia="方正仿宋_GBK" w:cs="Times New Roman"/>
          <w:bCs/>
          <w:kern w:val="44"/>
          <w:sz w:val="28"/>
          <w:szCs w:val="28"/>
        </w:rPr>
      </w:pPr>
      <w:bookmarkStart w:id="6" w:name="_Toc15377196"/>
      <w:bookmarkStart w:id="7" w:name="_Toc15396599"/>
      <w:r>
        <w:rPr>
          <w:rFonts w:hint="default" w:ascii="Times New Roman" w:hAnsi="Times New Roman" w:eastAsia="方正仿宋_GBK" w:cs="Times New Roman"/>
          <w:b/>
          <w:sz w:val="28"/>
          <w:szCs w:val="28"/>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0"/>
        <w:rPr>
          <w:rStyle w:val="29"/>
          <w:rFonts w:hint="default" w:ascii="Times New Roman" w:hAnsi="Times New Roman" w:eastAsia="方正小标宋_GBK" w:cs="Times New Roman"/>
          <w:b w:val="0"/>
          <w:bCs w:val="0"/>
        </w:rPr>
      </w:pPr>
      <w:bookmarkStart w:id="8" w:name="_Toc24979"/>
      <w:bookmarkStart w:id="9" w:name="_Toc23982"/>
      <w:r>
        <w:rPr>
          <w:rFonts w:hint="default" w:ascii="Times New Roman" w:hAnsi="Times New Roman" w:eastAsia="方正小标宋_GBK" w:cs="Times New Roman"/>
          <w:b w:val="0"/>
        </w:rPr>
        <w:t xml:space="preserve">第一部分  </w:t>
      </w:r>
      <w:r>
        <w:rPr>
          <w:rStyle w:val="29"/>
          <w:rFonts w:hint="default" w:ascii="Times New Roman" w:hAnsi="Times New Roman" w:eastAsia="方正小标宋_GBK" w:cs="Times New Roman"/>
          <w:b w:val="0"/>
          <w:bCs w:val="0"/>
        </w:rPr>
        <w:t>部门概况</w:t>
      </w:r>
      <w:bookmarkEnd w:id="6"/>
      <w:bookmarkEnd w:id="7"/>
      <w:bookmarkEnd w:id="8"/>
      <w:bookmarkEnd w:id="9"/>
    </w:p>
    <w:p>
      <w:pPr>
        <w:rPr>
          <w:rFonts w:hint="default" w:ascii="Times New Roman" w:hAnsi="Times New Roman" w:cs="Times New Roman"/>
        </w:rPr>
      </w:pP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rPr>
      </w:pPr>
      <w:bookmarkStart w:id="10" w:name="_Toc12475"/>
      <w:bookmarkStart w:id="11" w:name="_Toc14055"/>
      <w:r>
        <w:rPr>
          <w:rFonts w:hint="default" w:ascii="Times New Roman" w:hAnsi="Times New Roman" w:eastAsia="方正黑体_GBK" w:cs="Times New Roman"/>
          <w:b w:val="0"/>
        </w:rPr>
        <w:t>部门职责</w:t>
      </w:r>
      <w:bookmarkEnd w:id="10"/>
      <w:bookmarkEnd w:id="11"/>
    </w:p>
    <w:p>
      <w:pPr>
        <w:keepNext/>
        <w:keepLines/>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b w:val="0"/>
          <w:bCs/>
          <w:color w:val="000000"/>
          <w:sz w:val="32"/>
          <w:szCs w:val="32"/>
          <w:highlight w:val="none"/>
        </w:rPr>
      </w:pPr>
      <w:r>
        <w:rPr>
          <w:rFonts w:hint="default" w:ascii="Times New Roman" w:hAnsi="Times New Roman" w:cs="Times New Roman"/>
          <w:lang w:val="en-US" w:eastAsia="zh-CN"/>
        </w:rPr>
        <w:t xml:space="preserve">    </w:t>
      </w:r>
      <w:bookmarkStart w:id="12" w:name="_Toc613"/>
      <w:r>
        <w:rPr>
          <w:rFonts w:hint="default" w:ascii="Times New Roman" w:hAnsi="Times New Roman" w:eastAsia="方正仿宋_GBK" w:cs="Times New Roman"/>
          <w:b w:val="0"/>
          <w:bCs/>
          <w:color w:val="000000"/>
          <w:sz w:val="32"/>
          <w:szCs w:val="32"/>
          <w:highlight w:val="none"/>
        </w:rPr>
        <w:t>盐边县纪委</w:t>
      </w:r>
      <w:r>
        <w:rPr>
          <w:rFonts w:hint="default" w:ascii="Times New Roman" w:hAnsi="Times New Roman" w:eastAsia="方正仿宋_GBK" w:cs="Times New Roman"/>
          <w:b w:val="0"/>
          <w:bCs/>
          <w:color w:val="000000"/>
          <w:sz w:val="32"/>
          <w:szCs w:val="32"/>
          <w:highlight w:val="none"/>
          <w:lang w:eastAsia="zh-CN"/>
        </w:rPr>
        <w:t>监委</w:t>
      </w:r>
      <w:r>
        <w:rPr>
          <w:rFonts w:hint="default" w:ascii="Times New Roman" w:hAnsi="Times New Roman" w:eastAsia="方正仿宋_GBK" w:cs="Times New Roman"/>
          <w:b w:val="0"/>
          <w:bCs/>
          <w:color w:val="000000"/>
          <w:sz w:val="32"/>
          <w:szCs w:val="32"/>
          <w:highlight w:val="none"/>
        </w:rPr>
        <w:t>履行党的纪律检查和</w:t>
      </w:r>
      <w:r>
        <w:rPr>
          <w:rFonts w:hint="default" w:ascii="Times New Roman" w:hAnsi="Times New Roman" w:eastAsia="方正仿宋_GBK" w:cs="Times New Roman"/>
          <w:b w:val="0"/>
          <w:bCs/>
          <w:color w:val="000000"/>
          <w:sz w:val="32"/>
          <w:szCs w:val="32"/>
          <w:highlight w:val="none"/>
          <w:lang w:val="en-US" w:eastAsia="zh-CN"/>
        </w:rPr>
        <w:t>国家</w:t>
      </w:r>
      <w:r>
        <w:rPr>
          <w:rFonts w:hint="default" w:ascii="Times New Roman" w:hAnsi="Times New Roman" w:eastAsia="方正仿宋_GBK" w:cs="Times New Roman"/>
          <w:b w:val="0"/>
          <w:bCs/>
          <w:color w:val="000000"/>
          <w:sz w:val="32"/>
          <w:szCs w:val="32"/>
          <w:highlight w:val="none"/>
        </w:rPr>
        <w:t>监察两</w:t>
      </w:r>
      <w:r>
        <w:rPr>
          <w:rFonts w:hint="default" w:ascii="Times New Roman" w:hAnsi="Times New Roman" w:eastAsia="方正仿宋_GBK" w:cs="Times New Roman"/>
          <w:b w:val="0"/>
          <w:bCs/>
          <w:color w:val="000000"/>
          <w:sz w:val="32"/>
          <w:szCs w:val="32"/>
          <w:highlight w:val="none"/>
          <w:lang w:val="en-US" w:eastAsia="zh-CN"/>
        </w:rPr>
        <w:t>项职责</w:t>
      </w:r>
      <w:r>
        <w:rPr>
          <w:rFonts w:hint="default" w:ascii="Times New Roman" w:hAnsi="Times New Roman" w:eastAsia="方正仿宋_GBK" w:cs="Times New Roman"/>
          <w:b w:val="0"/>
          <w:bCs/>
          <w:color w:val="000000"/>
          <w:sz w:val="32"/>
          <w:szCs w:val="32"/>
          <w:highlight w:val="none"/>
        </w:rPr>
        <w:t>。主要职责</w:t>
      </w:r>
      <w:r>
        <w:rPr>
          <w:rFonts w:hint="default" w:ascii="Times New Roman" w:hAnsi="Times New Roman" w:eastAsia="方正仿宋_GBK" w:cs="Times New Roman"/>
          <w:b w:val="0"/>
          <w:bCs/>
          <w:color w:val="000000"/>
          <w:sz w:val="32"/>
          <w:szCs w:val="32"/>
          <w:highlight w:val="none"/>
          <w:lang w:val="en-US" w:eastAsia="zh-CN"/>
        </w:rPr>
        <w:t>包括</w:t>
      </w:r>
      <w:r>
        <w:rPr>
          <w:rFonts w:hint="default" w:ascii="Times New Roman" w:hAnsi="Times New Roman" w:eastAsia="方正仿宋_GBK" w:cs="Times New Roman"/>
          <w:b w:val="0"/>
          <w:bCs/>
          <w:color w:val="000000"/>
          <w:sz w:val="32"/>
          <w:szCs w:val="32"/>
          <w:highlight w:val="none"/>
        </w:rPr>
        <w:t>：</w:t>
      </w:r>
      <w:r>
        <w:rPr>
          <w:rFonts w:hint="default" w:ascii="Times New Roman" w:hAnsi="Times New Roman" w:eastAsia="方正仿宋_GBK" w:cs="Times New Roman"/>
          <w:b w:val="0"/>
          <w:bCs/>
          <w:color w:val="000000"/>
          <w:sz w:val="32"/>
          <w:szCs w:val="32"/>
          <w:highlight w:val="none"/>
          <w:lang w:val="en-US" w:eastAsia="zh-CN"/>
        </w:rPr>
        <w:t>负责党的纪律检查工作；依照党的章程和其他党内法规履行监督、执纪、问责职责；负责全县监察工作；依照法律规定履行监督、调查、处置职责；负责组织协调全面从严治党、党风廉政建设和反腐败工作情况；根据干部管理权限负责纪检监察系统领导班子建设、干部队伍建设和组织建设的综合规划、政策研究、制度建设和业务指导；完成县委和市纪委监委交办的其他任务</w:t>
      </w:r>
      <w:r>
        <w:rPr>
          <w:rFonts w:hint="default" w:ascii="Times New Roman" w:hAnsi="Times New Roman" w:eastAsia="方正仿宋_GBK" w:cs="Times New Roman"/>
          <w:b w:val="0"/>
          <w:bCs/>
          <w:color w:val="000000"/>
          <w:sz w:val="32"/>
          <w:szCs w:val="32"/>
          <w:highlight w:val="none"/>
        </w:rPr>
        <w:t>。</w:t>
      </w:r>
      <w:bookmarkEnd w:id="12"/>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1"/>
        <w:rPr>
          <w:rStyle w:val="30"/>
          <w:rFonts w:hint="default" w:ascii="Times New Roman" w:hAnsi="Times New Roman" w:cs="Times New Roman"/>
          <w:b w:val="0"/>
          <w:bCs w:val="0"/>
        </w:rPr>
      </w:pPr>
      <w:bookmarkStart w:id="13" w:name="_Toc15396601"/>
      <w:bookmarkStart w:id="14" w:name="_Toc15377200"/>
      <w:r>
        <w:rPr>
          <w:rFonts w:hint="default" w:ascii="Times New Roman" w:hAnsi="Times New Roman" w:eastAsia="黑体" w:cs="Times New Roman"/>
          <w:b w:val="0"/>
          <w:lang w:val="en-US" w:eastAsia="zh-CN"/>
        </w:rPr>
        <w:t xml:space="preserve">    </w:t>
      </w:r>
      <w:bookmarkStart w:id="15" w:name="_Toc294"/>
      <w:bookmarkStart w:id="16" w:name="_Toc12184"/>
      <w:r>
        <w:rPr>
          <w:rFonts w:hint="default" w:ascii="Times New Roman" w:hAnsi="Times New Roman" w:eastAsia="黑体" w:cs="Times New Roman"/>
          <w:b w:val="0"/>
        </w:rPr>
        <w:t>二、机</w:t>
      </w:r>
      <w:r>
        <w:rPr>
          <w:rStyle w:val="30"/>
          <w:rFonts w:hint="default" w:ascii="Times New Roman" w:hAnsi="Times New Roman" w:eastAsia="黑体" w:cs="Times New Roman"/>
          <w:b w:val="0"/>
          <w:bCs w:val="0"/>
        </w:rPr>
        <w:t>构设置</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 w:cs="Times New Roman"/>
          <w:sz w:val="32"/>
          <w:szCs w:val="32"/>
        </w:rPr>
      </w:pPr>
      <w:bookmarkStart w:id="17" w:name="_Toc15377434"/>
      <w:bookmarkStart w:id="18" w:name="_Toc15377203"/>
      <w:bookmarkStart w:id="19" w:name="_Toc15306277"/>
      <w:bookmarkStart w:id="20" w:name="_Toc15378450"/>
      <w:r>
        <w:rPr>
          <w:rFonts w:hint="default" w:ascii="Times New Roman" w:hAnsi="Times New Roman" w:eastAsia="方正仿宋_GBK" w:cs="Times New Roman"/>
          <w:b w:val="0"/>
          <w:bCs/>
          <w:color w:val="000000"/>
          <w:sz w:val="33"/>
          <w:szCs w:val="33"/>
          <w:lang w:val="en-US" w:eastAsia="zh-CN"/>
        </w:rPr>
        <w:t xml:space="preserve">    </w:t>
      </w:r>
      <w:r>
        <w:rPr>
          <w:rFonts w:hint="default" w:ascii="Times New Roman" w:hAnsi="Times New Roman" w:eastAsia="方正仿宋_GBK" w:cs="Times New Roman"/>
          <w:b w:val="0"/>
          <w:bCs/>
          <w:color w:val="000000"/>
          <w:sz w:val="33"/>
          <w:szCs w:val="33"/>
        </w:rPr>
        <w:t>中国共产党盐边县纪律检查委员会下属二级预算单位</w:t>
      </w:r>
      <w:r>
        <w:rPr>
          <w:rFonts w:hint="default" w:ascii="Times New Roman" w:hAnsi="Times New Roman" w:eastAsia="方正仿宋_GBK" w:cs="Times New Roman"/>
          <w:b w:val="0"/>
          <w:bCs/>
          <w:color w:val="000000"/>
          <w:sz w:val="33"/>
          <w:szCs w:val="33"/>
          <w:lang w:val="en-US" w:eastAsia="zh-CN"/>
        </w:rPr>
        <w:t>0</w:t>
      </w:r>
      <w:r>
        <w:rPr>
          <w:rFonts w:hint="default" w:ascii="Times New Roman" w:hAnsi="Times New Roman" w:eastAsia="方正仿宋_GBK" w:cs="Times New Roman"/>
          <w:b w:val="0"/>
          <w:bCs/>
          <w:color w:val="000000"/>
          <w:sz w:val="33"/>
          <w:szCs w:val="33"/>
        </w:rPr>
        <w:t>个，其中行政单位</w:t>
      </w:r>
      <w:r>
        <w:rPr>
          <w:rFonts w:hint="default" w:ascii="Times New Roman" w:hAnsi="Times New Roman" w:eastAsia="方正仿宋_GBK" w:cs="Times New Roman"/>
          <w:b w:val="0"/>
          <w:bCs/>
          <w:color w:val="000000"/>
          <w:sz w:val="33"/>
          <w:szCs w:val="33"/>
          <w:lang w:val="en-US" w:eastAsia="zh-CN"/>
        </w:rPr>
        <w:t>0</w:t>
      </w:r>
      <w:r>
        <w:rPr>
          <w:rFonts w:hint="default" w:ascii="Times New Roman" w:hAnsi="Times New Roman" w:eastAsia="方正仿宋_GBK" w:cs="Times New Roman"/>
          <w:b w:val="0"/>
          <w:bCs/>
          <w:color w:val="000000"/>
          <w:sz w:val="33"/>
          <w:szCs w:val="33"/>
        </w:rPr>
        <w:t>个，参照公务员法管理的事业单位</w:t>
      </w:r>
      <w:r>
        <w:rPr>
          <w:rFonts w:hint="default" w:ascii="Times New Roman" w:hAnsi="Times New Roman" w:eastAsia="方正仿宋_GBK" w:cs="Times New Roman"/>
          <w:b w:val="0"/>
          <w:bCs/>
          <w:color w:val="000000"/>
          <w:sz w:val="33"/>
          <w:szCs w:val="33"/>
          <w:lang w:val="en-US" w:eastAsia="zh-CN"/>
        </w:rPr>
        <w:t>0</w:t>
      </w:r>
      <w:r>
        <w:rPr>
          <w:rFonts w:hint="default" w:ascii="Times New Roman" w:hAnsi="Times New Roman" w:eastAsia="方正仿宋_GBK" w:cs="Times New Roman"/>
          <w:b w:val="0"/>
          <w:bCs/>
          <w:color w:val="000000"/>
          <w:sz w:val="33"/>
          <w:szCs w:val="33"/>
        </w:rPr>
        <w:t>个，其他事业单位</w:t>
      </w:r>
      <w:r>
        <w:rPr>
          <w:rFonts w:hint="default" w:ascii="Times New Roman" w:hAnsi="Times New Roman" w:eastAsia="方正仿宋_GBK" w:cs="Times New Roman"/>
          <w:b w:val="0"/>
          <w:bCs/>
          <w:color w:val="000000"/>
          <w:sz w:val="33"/>
          <w:szCs w:val="33"/>
          <w:lang w:val="en-US" w:eastAsia="zh-CN"/>
        </w:rPr>
        <w:t>0</w:t>
      </w:r>
      <w:r>
        <w:rPr>
          <w:rFonts w:hint="default" w:ascii="Times New Roman" w:hAnsi="Times New Roman" w:eastAsia="方正仿宋_GBK" w:cs="Times New Roman"/>
          <w:b w:val="0"/>
          <w:bCs/>
          <w:color w:val="000000"/>
          <w:sz w:val="33"/>
          <w:szCs w:val="33"/>
        </w:rPr>
        <w:t>个。</w:t>
      </w:r>
    </w:p>
    <w:bookmarkEnd w:id="17"/>
    <w:bookmarkEnd w:id="18"/>
    <w:bookmarkEnd w:id="19"/>
    <w:bookmarkEnd w:id="20"/>
    <w:p>
      <w:pPr>
        <w:pStyle w:val="3"/>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default" w:ascii="Times New Roman" w:hAnsi="Times New Roman" w:eastAsia="方正小标宋简体" w:cs="Times New Roman"/>
          <w:b w:val="0"/>
        </w:rPr>
      </w:pPr>
      <w:bookmarkStart w:id="21" w:name="_Toc15377204"/>
      <w:bookmarkStart w:id="22" w:name="_Toc15396602"/>
    </w:p>
    <w:p>
      <w:pPr>
        <w:pageBreakBefore w:val="0"/>
        <w:kinsoku/>
        <w:wordWrap/>
        <w:overflowPunct/>
        <w:topLinePunct w:val="0"/>
        <w:bidi w:val="0"/>
        <w:spacing w:line="560" w:lineRule="exact"/>
        <w:ind w:right="0" w:rightChars="0"/>
        <w:textAlignment w:val="auto"/>
        <w:rPr>
          <w:rFonts w:hint="default" w:ascii="Times New Roman" w:hAnsi="Times New Roman" w:eastAsia="方正小标宋简体" w:cs="Times New Roman"/>
          <w:b w:val="0"/>
        </w:rPr>
      </w:pPr>
    </w:p>
    <w:p>
      <w:pPr>
        <w:pStyle w:val="2"/>
        <w:pageBreakBefore w:val="0"/>
        <w:kinsoku/>
        <w:wordWrap/>
        <w:overflowPunct/>
        <w:topLinePunct w:val="0"/>
        <w:bidi w:val="0"/>
        <w:spacing w:beforeLines="0" w:line="560" w:lineRule="exact"/>
        <w:ind w:right="0" w:rightChars="0"/>
        <w:textAlignment w:val="auto"/>
        <w:rPr>
          <w:rFonts w:hint="eastAsia" w:eastAsia="方正小标宋简体" w:cs="方正小标宋简体"/>
          <w:b w:val="0"/>
        </w:rPr>
      </w:pPr>
    </w:p>
    <w:p>
      <w:pPr>
        <w:pStyle w:val="2"/>
        <w:pageBreakBefore w:val="0"/>
        <w:kinsoku/>
        <w:wordWrap/>
        <w:overflowPunct/>
        <w:topLinePunct w:val="0"/>
        <w:bidi w:val="0"/>
        <w:spacing w:beforeLines="0" w:line="560" w:lineRule="exact"/>
        <w:ind w:right="0" w:rightChars="0"/>
        <w:textAlignment w:val="auto"/>
        <w:rPr>
          <w:rFonts w:hint="eastAsia" w:eastAsia="方正小标宋简体" w:cs="方正小标宋简体"/>
          <w:b w:val="0"/>
        </w:rPr>
      </w:pPr>
    </w:p>
    <w:p>
      <w:pPr>
        <w:pStyle w:val="2"/>
        <w:pageBreakBefore w:val="0"/>
        <w:kinsoku/>
        <w:wordWrap/>
        <w:overflowPunct/>
        <w:topLinePunct w:val="0"/>
        <w:bidi w:val="0"/>
        <w:spacing w:beforeLines="0" w:line="560" w:lineRule="exact"/>
        <w:ind w:right="0" w:rightChars="0"/>
        <w:textAlignment w:val="auto"/>
        <w:rPr>
          <w:rFonts w:hint="eastAsia"/>
        </w:rPr>
      </w:pPr>
    </w:p>
    <w:p>
      <w:pPr>
        <w:pStyle w:val="2"/>
        <w:pageBreakBefore w:val="0"/>
        <w:kinsoku/>
        <w:wordWrap/>
        <w:overflowPunct/>
        <w:topLinePunct w:val="0"/>
        <w:bidi w:val="0"/>
        <w:spacing w:beforeLines="0" w:line="560" w:lineRule="exact"/>
        <w:ind w:right="0" w:rightChars="0"/>
        <w:textAlignment w:val="auto"/>
        <w:rPr>
          <w:rFonts w:hint="eastAsia"/>
        </w:rPr>
      </w:pPr>
    </w:p>
    <w:p>
      <w:pPr>
        <w:pStyle w:val="2"/>
        <w:pageBreakBefore w:val="0"/>
        <w:kinsoku/>
        <w:wordWrap/>
        <w:overflowPunct/>
        <w:topLinePunct w:val="0"/>
        <w:bidi w:val="0"/>
        <w:spacing w:beforeLines="0" w:line="560" w:lineRule="exact"/>
        <w:ind w:right="0" w:rightChars="0"/>
        <w:textAlignment w:val="auto"/>
        <w:rPr>
          <w:rFonts w:hint="eastAsia"/>
        </w:rPr>
      </w:pPr>
    </w:p>
    <w:p>
      <w:pPr>
        <w:pStyle w:val="2"/>
        <w:pageBreakBefore w:val="0"/>
        <w:kinsoku/>
        <w:wordWrap/>
        <w:overflowPunct/>
        <w:topLinePunct w:val="0"/>
        <w:bidi w:val="0"/>
        <w:spacing w:beforeLines="0" w:line="560" w:lineRule="exact"/>
        <w:ind w:right="0" w:rightChars="0"/>
        <w:textAlignment w:val="auto"/>
        <w:rPr>
          <w:rFonts w:hint="eastAsia"/>
        </w:rPr>
      </w:pPr>
    </w:p>
    <w:p>
      <w:pPr>
        <w:pStyle w:val="3"/>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rPr>
      </w:pPr>
      <w:bookmarkStart w:id="23" w:name="_Toc29931"/>
      <w:bookmarkStart w:id="24" w:name="_Toc1834"/>
      <w:r>
        <w:rPr>
          <w:rFonts w:hint="eastAsia" w:ascii="方正小标宋_GBK" w:hAnsi="方正小标宋_GBK" w:eastAsia="方正小标宋_GBK" w:cs="方正小标宋_GBK"/>
          <w:b w:val="0"/>
        </w:rPr>
        <w:t>第二部分  2024年度部门决算情况说明</w:t>
      </w:r>
      <w:bookmarkEnd w:id="21"/>
      <w:bookmarkEnd w:id="22"/>
      <w:bookmarkEnd w:id="23"/>
      <w:bookmarkEnd w:id="24"/>
    </w:p>
    <w:p>
      <w:pPr>
        <w:pageBreakBefore w:val="0"/>
        <w:widowControl w:val="0"/>
        <w:kinsoku/>
        <w:wordWrap/>
        <w:overflowPunct/>
        <w:topLinePunct w:val="0"/>
        <w:autoSpaceDE/>
        <w:autoSpaceDN/>
        <w:bidi w:val="0"/>
        <w:adjustRightInd/>
        <w:spacing w:line="560" w:lineRule="exact"/>
        <w:ind w:right="0" w:rightChars="0"/>
        <w:textAlignment w:val="auto"/>
      </w:pP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Style w:val="30"/>
          <w:rFonts w:hint="eastAsia" w:ascii="方正黑体_GBK" w:hAnsi="方正黑体_GBK" w:eastAsia="方正黑体_GBK" w:cs="方正黑体_GBK"/>
          <w:b w:val="0"/>
        </w:rPr>
      </w:pPr>
      <w:bookmarkStart w:id="25" w:name="_Toc8544"/>
      <w:bookmarkStart w:id="26" w:name="_Toc15496"/>
      <w:bookmarkStart w:id="27" w:name="_Toc15396603"/>
      <w:bookmarkStart w:id="28" w:name="_Toc15377205"/>
      <w:r>
        <w:rPr>
          <w:rFonts w:hint="eastAsia" w:ascii="方正黑体_GBK" w:hAnsi="方正黑体_GBK" w:eastAsia="方正黑体_GBK" w:cs="方正黑体_GBK"/>
          <w:sz w:val="32"/>
          <w:szCs w:val="32"/>
        </w:rPr>
        <w:t>一、收</w:t>
      </w:r>
      <w:r>
        <w:rPr>
          <w:rStyle w:val="30"/>
          <w:rFonts w:hint="eastAsia" w:ascii="方正黑体_GBK" w:hAnsi="方正黑体_GBK" w:eastAsia="方正黑体_GBK" w:cs="方正黑体_GBK"/>
          <w:b w:val="0"/>
        </w:rPr>
        <w:t>入支出决算总体情况说明</w:t>
      </w:r>
      <w:bookmarkEnd w:id="25"/>
      <w:bookmarkEnd w:id="26"/>
      <w:bookmarkEnd w:id="27"/>
      <w:bookmarkEnd w:id="28"/>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Cs/>
          <w:color w:val="000000"/>
          <w:sz w:val="33"/>
          <w:szCs w:val="33"/>
          <w:lang w:eastAsia="zh-CN"/>
        </w:rPr>
      </w:pPr>
      <w:bookmarkStart w:id="29" w:name="_Toc9880"/>
      <w:r>
        <w:rPr>
          <w:rFonts w:hint="default" w:ascii="Times New Roman" w:hAnsi="Times New Roman" w:eastAsia="方正仿宋_GBK" w:cs="Times New Roman"/>
          <w:sz w:val="32"/>
          <w:szCs w:val="32"/>
        </w:rPr>
        <w:t>2024年度收入、支出总计均为</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万元。与2023年度相比，收入、支出总计各增加</w:t>
      </w:r>
      <w:r>
        <w:rPr>
          <w:rFonts w:hint="default" w:ascii="Times New Roman" w:hAnsi="Times New Roman" w:eastAsia="方正仿宋_GBK" w:cs="Times New Roman"/>
          <w:sz w:val="32"/>
          <w:szCs w:val="32"/>
          <w:lang w:val="en-US" w:eastAsia="zh-CN"/>
        </w:rPr>
        <w:t>12.51</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0.77</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bCs/>
          <w:color w:val="000000"/>
          <w:sz w:val="32"/>
          <w:szCs w:val="32"/>
        </w:rPr>
        <w:t>202</w:t>
      </w:r>
      <w:r>
        <w:rPr>
          <w:rFonts w:hint="default" w:ascii="Times New Roman" w:hAnsi="Times New Roman"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rPr>
        <w:t>年一般公共预算财政拨款收入</w:t>
      </w:r>
      <w:r>
        <w:rPr>
          <w:rFonts w:hint="default" w:ascii="Times New Roman" w:hAnsi="Times New Roman" w:eastAsia="方正仿宋_GBK" w:cs="Times New Roman"/>
          <w:bCs/>
          <w:color w:val="000000"/>
          <w:sz w:val="32"/>
          <w:szCs w:val="32"/>
          <w:lang w:eastAsia="zh-CN"/>
        </w:rPr>
        <w:t>增加。</w:t>
      </w:r>
      <w:bookmarkEnd w:id="29"/>
    </w:p>
    <w:p>
      <w:pPr>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28"/>
          <w:szCs w:val="28"/>
        </w:rPr>
        <w:t>图1：收</w:t>
      </w:r>
      <w:r>
        <w:rPr>
          <w:rFonts w:hint="eastAsia" w:ascii="方正仿宋_GBK" w:hAnsi="方正仿宋_GBK" w:eastAsia="方正仿宋_GBK" w:cs="方正仿宋_GBK"/>
          <w:b/>
          <w:sz w:val="28"/>
          <w:szCs w:val="28"/>
          <w:lang w:eastAsia="zh-CN"/>
        </w:rPr>
        <w:t>入</w:t>
      </w:r>
      <w:r>
        <w:rPr>
          <w:rFonts w:hint="eastAsia" w:ascii="方正仿宋_GBK" w:hAnsi="方正仿宋_GBK" w:eastAsia="方正仿宋_GBK" w:cs="方正仿宋_GBK"/>
          <w:b/>
          <w:sz w:val="28"/>
          <w:szCs w:val="28"/>
        </w:rPr>
        <w:t>、支</w:t>
      </w:r>
      <w:r>
        <w:rPr>
          <w:rFonts w:hint="eastAsia" w:ascii="方正仿宋_GBK" w:hAnsi="方正仿宋_GBK" w:eastAsia="方正仿宋_GBK" w:cs="方正仿宋_GBK"/>
          <w:b/>
          <w:sz w:val="28"/>
          <w:szCs w:val="28"/>
          <w:lang w:eastAsia="zh-CN"/>
        </w:rPr>
        <w:t>出</w:t>
      </w:r>
      <w:r>
        <w:rPr>
          <w:rFonts w:hint="eastAsia" w:ascii="方正仿宋_GBK" w:hAnsi="方正仿宋_GBK" w:eastAsia="方正仿宋_GBK" w:cs="方正仿宋_GBK"/>
          <w:b/>
          <w:sz w:val="28"/>
          <w:szCs w:val="28"/>
        </w:rPr>
        <w:t>决算总计变动情况图</w:t>
      </w:r>
    </w:p>
    <w:p>
      <w:pPr>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eastAsia="仿宋_GB2312" w:cs="仿宋_GB2312"/>
          <w:sz w:val="32"/>
          <w:szCs w:val="32"/>
        </w:rPr>
      </w:pPr>
      <w:r>
        <w:rPr>
          <w:rFonts w:hint="default" w:ascii="Times New Roman" w:hAnsi="Times New Roman" w:eastAsia="仿宋" w:cs="Times New Roman"/>
          <w:sz w:val="32"/>
          <w:szCs w:val="32"/>
        </w:rPr>
        <w:drawing>
          <wp:anchor distT="0" distB="0" distL="114300" distR="114300" simplePos="0" relativeHeight="251660288" behindDoc="1" locked="0" layoutInCell="1" allowOverlap="1">
            <wp:simplePos x="0" y="0"/>
            <wp:positionH relativeFrom="column">
              <wp:posOffset>436880</wp:posOffset>
            </wp:positionH>
            <wp:positionV relativeFrom="paragraph">
              <wp:posOffset>189865</wp:posOffset>
            </wp:positionV>
            <wp:extent cx="4554855" cy="1595120"/>
            <wp:effectExtent l="5080" t="5080" r="12065" b="38100"/>
            <wp:wrapTight wrapText="bothSides">
              <wp:wrapPolygon>
                <wp:start x="-24" y="-69"/>
                <wp:lineTo x="-24" y="21428"/>
                <wp:lineTo x="21537" y="21428"/>
                <wp:lineTo x="21537" y="-69"/>
                <wp:lineTo x="-24" y="-69"/>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13"/>
        <w:pageBreakBefore w:val="0"/>
        <w:widowControl w:val="0"/>
        <w:kinsoku/>
        <w:wordWrap/>
        <w:overflowPunct/>
        <w:topLinePunct w:val="0"/>
        <w:autoSpaceDE/>
        <w:autoSpaceDN/>
        <w:bidi w:val="0"/>
        <w:adjustRightInd/>
        <w:spacing w:line="560" w:lineRule="exact"/>
        <w:ind w:right="0" w:rightChars="0"/>
        <w:textAlignment w:val="auto"/>
        <w:rPr>
          <w:rFonts w:eastAsia="仿宋_GB2312" w:cs="仿宋_GB2312"/>
          <w:sz w:val="32"/>
          <w:szCs w:val="32"/>
        </w:rPr>
      </w:pPr>
    </w:p>
    <w:p>
      <w:pPr>
        <w:pStyle w:val="7"/>
        <w:pageBreakBefore w:val="0"/>
        <w:widowControl w:val="0"/>
        <w:kinsoku/>
        <w:wordWrap/>
        <w:overflowPunct/>
        <w:topLinePunct w:val="0"/>
        <w:autoSpaceDE/>
        <w:autoSpaceDN/>
        <w:bidi w:val="0"/>
        <w:adjustRightInd/>
        <w:spacing w:after="0" w:line="560" w:lineRule="exact"/>
        <w:ind w:right="0" w:rightChars="0"/>
        <w:textAlignment w:val="auto"/>
        <w:rPr>
          <w:rFonts w:eastAsia="仿宋_GB2312" w:cs="仿宋_GB2312"/>
          <w:sz w:val="32"/>
          <w:szCs w:val="32"/>
        </w:rPr>
      </w:pPr>
    </w:p>
    <w:p>
      <w:pPr>
        <w:pStyle w:val="7"/>
        <w:pageBreakBefore w:val="0"/>
        <w:widowControl w:val="0"/>
        <w:kinsoku/>
        <w:wordWrap/>
        <w:overflowPunct/>
        <w:topLinePunct w:val="0"/>
        <w:autoSpaceDE/>
        <w:autoSpaceDN/>
        <w:bidi w:val="0"/>
        <w:adjustRightInd/>
        <w:spacing w:after="0" w:line="560" w:lineRule="exact"/>
        <w:ind w:right="0" w:rightChars="0"/>
        <w:textAlignment w:val="auto"/>
        <w:rPr>
          <w:rFonts w:eastAsia="仿宋_GB2312" w:cs="仿宋_GB2312"/>
          <w:sz w:val="32"/>
          <w:szCs w:val="32"/>
        </w:rPr>
      </w:pPr>
    </w:p>
    <w:p>
      <w:pPr>
        <w:pStyle w:val="7"/>
        <w:pageBreakBefore w:val="0"/>
        <w:widowControl w:val="0"/>
        <w:kinsoku/>
        <w:wordWrap/>
        <w:overflowPunct/>
        <w:topLinePunct w:val="0"/>
        <w:autoSpaceDE/>
        <w:autoSpaceDN/>
        <w:bidi w:val="0"/>
        <w:adjustRightInd/>
        <w:spacing w:after="0" w:line="560" w:lineRule="exact"/>
        <w:ind w:right="0" w:rightChars="0"/>
        <w:textAlignment w:val="auto"/>
        <w:rPr>
          <w:rFonts w:eastAsia="仿宋_GB2312" w:cs="仿宋_GB2312"/>
          <w:sz w:val="32"/>
          <w:szCs w:val="32"/>
        </w:rPr>
      </w:pP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方正黑体_GBK" w:hAnsi="方正黑体_GBK" w:eastAsia="方正黑体_GBK" w:cs="方正黑体_GBK"/>
          <w:sz w:val="32"/>
          <w:szCs w:val="32"/>
        </w:rPr>
      </w:pPr>
      <w:bookmarkStart w:id="30" w:name="_Toc8228"/>
      <w:bookmarkStart w:id="31" w:name="_Toc15396604"/>
      <w:bookmarkStart w:id="32" w:name="_Toc9502"/>
      <w:bookmarkStart w:id="33" w:name="_Toc15377206"/>
      <w:r>
        <w:rPr>
          <w:rFonts w:hint="eastAsia" w:ascii="方正黑体_GBK" w:hAnsi="方正黑体_GBK" w:eastAsia="方正黑体_GBK" w:cs="方正黑体_GBK"/>
          <w:sz w:val="32"/>
          <w:szCs w:val="32"/>
        </w:rPr>
        <w:t>二、收入决算情况说明</w:t>
      </w:r>
      <w:bookmarkEnd w:id="30"/>
      <w:bookmarkEnd w:id="31"/>
      <w:bookmarkEnd w:id="32"/>
      <w:bookmarkEnd w:id="33"/>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bookmarkStart w:id="34" w:name="_Toc20249"/>
      <w:r>
        <w:rPr>
          <w:rFonts w:hint="default" w:ascii="Times New Roman" w:hAnsi="Times New Roman" w:eastAsia="方正仿宋_GBK" w:cs="Times New Roman"/>
          <w:sz w:val="32"/>
          <w:szCs w:val="32"/>
        </w:rPr>
        <w:t>2024年度本年收入合计</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万元，其中：一般公共预算财政拨款收入</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%；政府性基金预算财政拨款收入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%；国有资本经营预算财政拨款收入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%；上级补助收入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%；事业收入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%；经营收入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%；附属单位上缴收入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%；其他收入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bookmarkEnd w:id="34"/>
    </w:p>
    <w:p>
      <w:pPr>
        <w:pStyle w:val="2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Style w:val="30"/>
          <w:rFonts w:hint="eastAsia" w:ascii="方正仿宋_GBK" w:hAnsi="方正仿宋_GBK" w:eastAsia="方正仿宋_GBK" w:cs="方正仿宋_GBK"/>
          <w:b w:val="0"/>
        </w:rPr>
      </w:pPr>
      <w:r>
        <w:rPr>
          <w:rFonts w:hint="eastAsia" w:ascii="方正仿宋_GBK" w:hAnsi="方正仿宋_GBK" w:eastAsia="方正仿宋_GBK" w:cs="方正仿宋_GBK"/>
          <w:sz w:val="28"/>
        </w:rPr>
        <w:t>图2：收入决算结构图</w:t>
      </w:r>
    </w:p>
    <w:p>
      <w:pPr>
        <w:pageBreakBefore w:val="0"/>
        <w:widowControl w:val="0"/>
        <w:kinsoku/>
        <w:wordWrap/>
        <w:overflowPunct/>
        <w:topLinePunct w:val="0"/>
        <w:autoSpaceDE/>
        <w:autoSpaceDN/>
        <w:bidi w:val="0"/>
        <w:adjustRightInd/>
        <w:snapToGrid/>
        <w:spacing w:line="560" w:lineRule="exact"/>
        <w:ind w:right="0" w:rightChars="0"/>
        <w:textAlignment w:val="auto"/>
        <w:rPr>
          <w:rStyle w:val="30"/>
          <w:rFonts w:hint="eastAsia" w:ascii="方正黑体_GBK" w:hAnsi="方正黑体_GBK" w:eastAsia="方正黑体_GBK" w:cs="方正黑体_GBK"/>
          <w:b w:val="0"/>
        </w:rPr>
      </w:pPr>
      <w:r>
        <w:rPr>
          <w:rStyle w:val="30"/>
          <w:rFonts w:hint="eastAsia" w:ascii="黑体" w:hAnsi="黑体" w:eastAsia="黑体"/>
          <w:b w:val="0"/>
        </w:rPr>
        <w:drawing>
          <wp:anchor distT="0" distB="0" distL="114300" distR="114300" simplePos="0" relativeHeight="251671552" behindDoc="1" locked="0" layoutInCell="1" allowOverlap="1">
            <wp:simplePos x="0" y="0"/>
            <wp:positionH relativeFrom="column">
              <wp:posOffset>214630</wp:posOffset>
            </wp:positionH>
            <wp:positionV relativeFrom="paragraph">
              <wp:posOffset>128905</wp:posOffset>
            </wp:positionV>
            <wp:extent cx="4946650" cy="1715770"/>
            <wp:effectExtent l="5080" t="4445" r="13970" b="6985"/>
            <wp:wrapTight wrapText="bothSides">
              <wp:wrapPolygon>
                <wp:start x="-22" y="-56"/>
                <wp:lineTo x="-22" y="21528"/>
                <wp:lineTo x="21550" y="21528"/>
                <wp:lineTo x="21550" y="-56"/>
                <wp:lineTo x="-22" y="-56"/>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35" w:name="_Toc15396605"/>
      <w:bookmarkStart w:id="36" w:name="_Toc15377207"/>
      <w:bookmarkStart w:id="37" w:name="_Toc31022"/>
      <w:bookmarkStart w:id="38" w:name="_Toc16745"/>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三、支</w:t>
      </w:r>
      <w:r>
        <w:rPr>
          <w:rStyle w:val="30"/>
          <w:rFonts w:hint="eastAsia" w:ascii="方正黑体_GBK" w:hAnsi="方正黑体_GBK" w:eastAsia="方正黑体_GBK" w:cs="方正黑体_GBK"/>
          <w:b w:val="0"/>
        </w:rPr>
        <w:t>出决算情况说明</w:t>
      </w:r>
      <w:bookmarkEnd w:id="35"/>
      <w:bookmarkEnd w:id="36"/>
      <w:bookmarkEnd w:id="37"/>
      <w:bookmarkEnd w:id="38"/>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bookmarkStart w:id="39" w:name="_Toc10578"/>
      <w:r>
        <w:rPr>
          <w:rFonts w:hint="default" w:ascii="Times New Roman" w:hAnsi="Times New Roman" w:eastAsia="方正仿宋_GBK" w:cs="Times New Roman"/>
          <w:sz w:val="32"/>
          <w:szCs w:val="32"/>
        </w:rPr>
        <w:t>2024年度本年支出合计</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万元，其中：基本支出</w:t>
      </w:r>
      <w:r>
        <w:rPr>
          <w:rFonts w:hint="default" w:ascii="Times New Roman" w:hAnsi="Times New Roman" w:eastAsia="方正仿宋_GBK" w:cs="Times New Roman"/>
          <w:sz w:val="32"/>
          <w:szCs w:val="32"/>
          <w:lang w:val="en-US" w:eastAsia="zh-CN"/>
        </w:rPr>
        <w:t>1120.37</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68.04</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val="en-US" w:eastAsia="zh-CN"/>
        </w:rPr>
        <w:t>526.16</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31.96</w:t>
      </w:r>
      <w:r>
        <w:rPr>
          <w:rFonts w:hint="default" w:ascii="Times New Roman" w:hAnsi="Times New Roman" w:eastAsia="方正仿宋_GBK" w:cs="Times New Roman"/>
          <w:sz w:val="32"/>
          <w:szCs w:val="32"/>
        </w:rPr>
        <w:t>%；上缴上级支出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%；经营支出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%；对附属单位补助支出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bookmarkEnd w:id="39"/>
    </w:p>
    <w:p>
      <w:pPr>
        <w:pageBreakBefore w:val="0"/>
        <w:widowControl w:val="0"/>
        <w:kinsoku/>
        <w:wordWrap/>
        <w:overflowPunct/>
        <w:topLinePunct w:val="0"/>
        <w:autoSpaceDE/>
        <w:autoSpaceDN/>
        <w:bidi w:val="0"/>
        <w:adjustRightInd/>
        <w:snapToGrid/>
        <w:spacing w:line="560" w:lineRule="exact"/>
        <w:ind w:left="0" w:leftChars="0" w:right="0" w:rightChars="0" w:firstLine="800" w:firstLineChars="250"/>
        <w:jc w:val="center"/>
        <w:textAlignment w:val="auto"/>
        <w:rPr>
          <w:rFonts w:hint="default" w:ascii="仿宋_GB2312" w:hAnsi="仿宋_GB2312" w:eastAsia="仿宋_GB2312" w:cs="仿宋_GB2312"/>
          <w:b/>
          <w:kern w:val="2"/>
          <w:sz w:val="28"/>
          <w:szCs w:val="28"/>
          <w:lang w:val="en-US" w:eastAsia="zh-CN" w:bidi="ar-SA"/>
        </w:rPr>
      </w:pPr>
      <w:r>
        <w:rPr>
          <w:rFonts w:hint="default" w:ascii="仿宋_GB2312" w:hAnsi="仿宋_GB2312" w:eastAsia="仿宋_GB2312" w:cs="仿宋_GB2312"/>
          <w:b/>
          <w:kern w:val="2"/>
          <w:sz w:val="28"/>
          <w:szCs w:val="28"/>
          <w:lang w:val="en-US" w:eastAsia="zh-CN" w:bidi="ar-SA"/>
        </w:rPr>
        <w:t>图3：支出决算结构图</w:t>
      </w:r>
    </w:p>
    <w:p>
      <w:pPr>
        <w:pStyle w:val="2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b/>
          <w:kern w:val="2"/>
          <w:sz w:val="28"/>
          <w:szCs w:val="28"/>
          <w:lang w:val="en-US" w:eastAsia="zh-CN" w:bidi="ar-SA"/>
        </w:rPr>
      </w:pPr>
      <w:r>
        <w:rPr>
          <w:rFonts w:eastAsia="仿宋"/>
          <w:sz w:val="32"/>
          <w:szCs w:val="32"/>
        </w:rPr>
        <w:drawing>
          <wp:anchor distT="0" distB="0" distL="114300" distR="114300" simplePos="0" relativeHeight="251687936" behindDoc="1" locked="0" layoutInCell="1" allowOverlap="1">
            <wp:simplePos x="0" y="0"/>
            <wp:positionH relativeFrom="column">
              <wp:posOffset>385445</wp:posOffset>
            </wp:positionH>
            <wp:positionV relativeFrom="paragraph">
              <wp:posOffset>154940</wp:posOffset>
            </wp:positionV>
            <wp:extent cx="5080000" cy="1740535"/>
            <wp:effectExtent l="4445" t="4445" r="8255" b="45720"/>
            <wp:wrapTight wrapText="bothSides">
              <wp:wrapPolygon>
                <wp:start x="-19" y="-55"/>
                <wp:lineTo x="-19" y="21537"/>
                <wp:lineTo x="21581" y="21537"/>
                <wp:lineTo x="21581" y="-55"/>
                <wp:lineTo x="-19" y="-55"/>
              </wp:wrapPolygon>
            </wp:wrapTight>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Style w:val="30"/>
          <w:rFonts w:hint="eastAsia" w:ascii="方正黑体_GBK" w:hAnsi="方正黑体_GBK" w:eastAsia="方正黑体_GBK" w:cs="方正黑体_GBK"/>
          <w:b w:val="0"/>
        </w:rPr>
      </w:pPr>
      <w:bookmarkStart w:id="40" w:name="_Toc26174"/>
      <w:bookmarkStart w:id="41" w:name="_Toc15377208"/>
      <w:bookmarkStart w:id="42" w:name="_Toc29473"/>
      <w:bookmarkStart w:id="43" w:name="_Toc15396606"/>
      <w:r>
        <w:rPr>
          <w:rFonts w:hint="eastAsia" w:ascii="方正黑体_GBK" w:hAnsi="方正黑体_GBK" w:eastAsia="方正黑体_GBK" w:cs="方正黑体_GBK"/>
          <w:sz w:val="32"/>
          <w:szCs w:val="32"/>
        </w:rPr>
        <w:t>四、财</w:t>
      </w:r>
      <w:r>
        <w:rPr>
          <w:rStyle w:val="30"/>
          <w:rFonts w:hint="eastAsia" w:ascii="方正黑体_GBK" w:hAnsi="方正黑体_GBK" w:eastAsia="方正黑体_GBK" w:cs="方正黑体_GBK"/>
          <w:b w:val="0"/>
        </w:rPr>
        <w:t>政拨款收入支出决算总体情况说明</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2024年度财政拨款收入、支出总计均为</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万元。与2023年度相比，财政拨款收入总计、支出总计各增加</w:t>
      </w:r>
      <w:r>
        <w:rPr>
          <w:rFonts w:hint="default" w:ascii="Times New Roman" w:hAnsi="Times New Roman" w:eastAsia="方正仿宋_GBK" w:cs="Times New Roman"/>
          <w:sz w:val="32"/>
          <w:szCs w:val="32"/>
          <w:lang w:val="en-US" w:eastAsia="zh-CN"/>
        </w:rPr>
        <w:t>12.51</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0.77</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bCs/>
          <w:color w:val="000000"/>
          <w:sz w:val="33"/>
          <w:szCs w:val="33"/>
        </w:rPr>
        <w:t>一般公共预算财政拨款收入</w:t>
      </w:r>
      <w:r>
        <w:rPr>
          <w:rFonts w:hint="default" w:ascii="Times New Roman" w:hAnsi="Times New Roman" w:eastAsia="方正仿宋_GBK" w:cs="Times New Roman"/>
          <w:bCs/>
          <w:color w:val="000000"/>
          <w:sz w:val="33"/>
          <w:szCs w:val="33"/>
          <w:lang w:eastAsia="zh-CN"/>
        </w:rPr>
        <w:t>增加。</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eastAsia="仿宋_GB2312" w:cs="Times New Roman"/>
          <w:sz w:val="32"/>
          <w:szCs w:val="32"/>
          <w:lang w:val="en-US" w:eastAsia="zh-CN"/>
        </w:rPr>
        <w:t xml:space="preserve">     </w:t>
      </w:r>
      <w:r>
        <w:rPr>
          <w:rFonts w:hint="eastAsia" w:ascii="方正仿宋_GBK" w:hAnsi="方正仿宋_GBK" w:eastAsia="方正仿宋_GBK" w:cs="方正仿宋_GBK"/>
          <w:b/>
          <w:kern w:val="2"/>
          <w:sz w:val="28"/>
          <w:szCs w:val="28"/>
          <w:lang w:val="en-US" w:eastAsia="zh-CN" w:bidi="ar-SA"/>
        </w:rPr>
        <w:t>图4：财政拨款收入、支出决算总计变动情况</w:t>
      </w:r>
    </w:p>
    <w:p>
      <w:pPr>
        <w:pStyle w:val="13"/>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eastAsia="仿宋_GB2312" w:cs="仿宋_GB2312"/>
          <w:sz w:val="32"/>
          <w:szCs w:val="32"/>
        </w:rPr>
      </w:pPr>
      <w:r>
        <w:rPr>
          <w:rFonts w:hint="default" w:ascii="Times New Roman" w:hAnsi="Times New Roman" w:eastAsia="仿宋" w:cs="Times New Roman"/>
          <w:sz w:val="32"/>
          <w:szCs w:val="32"/>
        </w:rPr>
        <w:drawing>
          <wp:anchor distT="0" distB="0" distL="114300" distR="114300" simplePos="0" relativeHeight="251707392" behindDoc="1" locked="0" layoutInCell="1" allowOverlap="1">
            <wp:simplePos x="0" y="0"/>
            <wp:positionH relativeFrom="column">
              <wp:posOffset>252095</wp:posOffset>
            </wp:positionH>
            <wp:positionV relativeFrom="paragraph">
              <wp:posOffset>163195</wp:posOffset>
            </wp:positionV>
            <wp:extent cx="4738370" cy="2159000"/>
            <wp:effectExtent l="4445" t="4445" r="6985" b="8255"/>
            <wp:wrapTight wrapText="bothSides">
              <wp:wrapPolygon>
                <wp:start x="-20" y="-44"/>
                <wp:lineTo x="-20" y="21556"/>
                <wp:lineTo x="21574" y="21556"/>
                <wp:lineTo x="21574" y="-44"/>
                <wp:lineTo x="-20" y="-44"/>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7"/>
        <w:keepNext w:val="0"/>
        <w:keepLines w:val="0"/>
        <w:pageBreakBefore w:val="0"/>
        <w:widowControl w:val="0"/>
        <w:kinsoku/>
        <w:wordWrap/>
        <w:overflowPunct/>
        <w:topLinePunct w:val="0"/>
        <w:autoSpaceDE/>
        <w:autoSpaceDN/>
        <w:bidi w:val="0"/>
        <w:adjustRightInd/>
        <w:spacing w:after="0" w:line="560" w:lineRule="exact"/>
        <w:ind w:right="0" w:rightChars="0"/>
        <w:textAlignment w:val="auto"/>
        <w:rPr>
          <w:rFonts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pacing w:after="0" w:line="560" w:lineRule="exact"/>
        <w:ind w:right="0" w:rightChars="0"/>
        <w:textAlignment w:val="auto"/>
        <w:rPr>
          <w:rFonts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pacing w:after="0" w:line="560" w:lineRule="exact"/>
        <w:ind w:right="0" w:rightChars="0"/>
        <w:textAlignment w:val="auto"/>
        <w:rPr>
          <w:rFonts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eastAsia="黑体"/>
          <w:sz w:val="32"/>
          <w:szCs w:val="32"/>
        </w:rPr>
      </w:pPr>
      <w:bookmarkStart w:id="44" w:name="_Toc15396607"/>
      <w:bookmarkStart w:id="45" w:name="_Toc1537720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eastAsia="黑体"/>
          <w:sz w:val="32"/>
          <w:szCs w:val="32"/>
        </w:rPr>
      </w:pPr>
      <w:bookmarkStart w:id="46" w:name="_Toc24290"/>
      <w:bookmarkStart w:id="47" w:name="_Toc141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Style w:val="30"/>
          <w:rFonts w:hint="eastAsia" w:ascii="方正黑体_GBK" w:hAnsi="方正黑体_GBK" w:eastAsia="方正黑体_GBK" w:cs="方正黑体_GBK"/>
          <w:b w:val="0"/>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b/>
          <w:sz w:val="32"/>
          <w:szCs w:val="32"/>
        </w:rPr>
        <w:t>一</w:t>
      </w:r>
      <w:r>
        <w:rPr>
          <w:rStyle w:val="30"/>
          <w:rFonts w:hint="eastAsia" w:ascii="方正黑体_GBK" w:hAnsi="方正黑体_GBK" w:eastAsia="方正黑体_GBK" w:cs="方正黑体_GBK"/>
          <w:b w:val="0"/>
        </w:rPr>
        <w:t>般公共预算财政拨款支出决算情况说明</w:t>
      </w:r>
      <w:bookmarkEnd w:id="44"/>
      <w:bookmarkEnd w:id="45"/>
      <w:bookmarkEnd w:id="46"/>
      <w:bookmarkEnd w:id="47"/>
    </w:p>
    <w:p>
      <w:pPr>
        <w:keepNext w:val="0"/>
        <w:keepLines w:val="0"/>
        <w:pageBreakBefore w:val="0"/>
        <w:widowControl w:val="0"/>
        <w:kinsoku/>
        <w:wordWrap/>
        <w:overflowPunct/>
        <w:topLinePunct w:val="0"/>
        <w:autoSpaceDE/>
        <w:autoSpaceDN/>
        <w:bidi w:val="0"/>
        <w:adjustRightInd/>
        <w:spacing w:line="560" w:lineRule="exact"/>
        <w:ind w:right="0" w:rightChars="0" w:firstLine="643" w:firstLineChars="200"/>
        <w:textAlignment w:val="auto"/>
        <w:outlineLvl w:val="2"/>
        <w:rPr>
          <w:rFonts w:eastAsia="楷体_GB2312" w:cs="楷体_GB2312"/>
          <w:b/>
          <w:sz w:val="32"/>
          <w:szCs w:val="32"/>
        </w:rPr>
      </w:pPr>
      <w:bookmarkStart w:id="48" w:name="_Toc15377210"/>
      <w:r>
        <w:rPr>
          <w:rFonts w:hint="eastAsia" w:eastAsia="楷体_GB2312" w:cs="楷体_GB2312"/>
          <w:b/>
          <w:sz w:val="32"/>
          <w:szCs w:val="32"/>
        </w:rPr>
        <w:t>（一）一般公共预算财政拨款支出决算总体情况</w:t>
      </w:r>
      <w:bookmarkEnd w:id="4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2024年度一般公共预算财政拨款支出</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%。与2023年度相比，一般公共预算财政拨款支出增加</w:t>
      </w:r>
      <w:r>
        <w:rPr>
          <w:rFonts w:hint="default" w:ascii="Times New Roman" w:hAnsi="Times New Roman" w:eastAsia="方正仿宋_GBK" w:cs="Times New Roman"/>
          <w:sz w:val="32"/>
          <w:szCs w:val="32"/>
          <w:lang w:val="en-US" w:eastAsia="zh-CN"/>
        </w:rPr>
        <w:t>12.51</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0.77</w:t>
      </w:r>
      <w:r>
        <w:rPr>
          <w:rFonts w:hint="default" w:ascii="Times New Roman" w:hAnsi="Times New Roman" w:eastAsia="方正仿宋_GBK" w:cs="Times New Roman"/>
          <w:sz w:val="32"/>
          <w:szCs w:val="32"/>
        </w:rPr>
        <w:t>%。主要变动原因是本年度查办大案要案数量增加，办案所需的差旅费、人员</w:t>
      </w:r>
      <w:r>
        <w:rPr>
          <w:rFonts w:hint="default" w:ascii="Times New Roman" w:hAnsi="Times New Roman" w:eastAsia="方正仿宋_GBK" w:cs="Times New Roman"/>
          <w:sz w:val="32"/>
          <w:szCs w:val="32"/>
          <w:lang w:eastAsia="zh-CN"/>
        </w:rPr>
        <w:t>公杂费</w:t>
      </w:r>
      <w:r>
        <w:rPr>
          <w:rFonts w:hint="default" w:ascii="Times New Roman" w:hAnsi="Times New Roman" w:eastAsia="方正仿宋_GBK" w:cs="Times New Roman"/>
          <w:sz w:val="32"/>
          <w:szCs w:val="32"/>
        </w:rPr>
        <w:t>等开支也相应增加，再加</w:t>
      </w:r>
      <w:r>
        <w:rPr>
          <w:rFonts w:hint="default" w:ascii="Times New Roman" w:hAnsi="Times New Roman" w:eastAsia="方正仿宋_GBK" w:cs="Times New Roman"/>
          <w:sz w:val="32"/>
          <w:szCs w:val="32"/>
          <w:lang w:eastAsia="zh-CN"/>
        </w:rPr>
        <w:t>上</w:t>
      </w:r>
      <w:r>
        <w:rPr>
          <w:rFonts w:hint="default" w:ascii="Times New Roman" w:hAnsi="Times New Roman" w:eastAsia="方正仿宋_GBK" w:cs="Times New Roman"/>
          <w:sz w:val="32"/>
          <w:szCs w:val="32"/>
          <w:lang w:val="en-US" w:eastAsia="zh-CN"/>
        </w:rPr>
        <w:t>纪检监察干部队伍教育整顿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阳光纪检”项目竞技拉练盐边现场会暨“以案促改”经验交流座谈会</w:t>
      </w:r>
      <w:r>
        <w:rPr>
          <w:rFonts w:hint="default" w:ascii="Times New Roman" w:hAnsi="Times New Roman" w:eastAsia="方正仿宋_GBK" w:cs="Times New Roman"/>
          <w:sz w:val="32"/>
          <w:szCs w:val="32"/>
          <w:lang w:eastAsia="zh-CN"/>
        </w:rPr>
        <w:t>、全省“有事找纪检”等专项经费，</w:t>
      </w:r>
      <w:r>
        <w:rPr>
          <w:rFonts w:hint="default" w:ascii="Times New Roman" w:hAnsi="Times New Roman" w:eastAsia="方正仿宋_GBK" w:cs="Times New Roman"/>
          <w:sz w:val="32"/>
          <w:szCs w:val="32"/>
        </w:rPr>
        <w:t>本年度相比上年度的</w:t>
      </w:r>
      <w:r>
        <w:rPr>
          <w:rFonts w:hint="default" w:ascii="Times New Roman" w:hAnsi="Times New Roman" w:eastAsia="方正仿宋_GBK" w:cs="Times New Roman"/>
          <w:sz w:val="32"/>
          <w:szCs w:val="32"/>
          <w:lang w:eastAsia="zh-CN"/>
        </w:rPr>
        <w:t>一般公共预算财政拨款</w:t>
      </w:r>
      <w:r>
        <w:rPr>
          <w:rFonts w:hint="default" w:ascii="Times New Roman" w:hAnsi="Times New Roman" w:eastAsia="方正仿宋_GBK" w:cs="Times New Roman"/>
          <w:sz w:val="32"/>
          <w:szCs w:val="32"/>
        </w:rPr>
        <w:t>支出有所上升。</w:t>
      </w:r>
    </w:p>
    <w:p>
      <w:pPr>
        <w:keepNext w:val="0"/>
        <w:keepLines w:val="0"/>
        <w:pageBreakBefore w:val="0"/>
        <w:widowControl w:val="0"/>
        <w:kinsoku/>
        <w:wordWrap/>
        <w:overflowPunct/>
        <w:topLinePunct w:val="0"/>
        <w:autoSpaceDE/>
        <w:autoSpaceDN/>
        <w:bidi w:val="0"/>
        <w:adjustRightInd/>
        <w:spacing w:line="560" w:lineRule="exact"/>
        <w:ind w:right="0" w:rightChars="0" w:firstLine="643" w:firstLineChars="200"/>
        <w:textAlignment w:val="auto"/>
        <w:outlineLvl w:val="2"/>
        <w:rPr>
          <w:rFonts w:hint="eastAsia" w:ascii="方正仿宋_GBK" w:hAnsi="方正仿宋_GBK" w:eastAsia="方正仿宋_GBK" w:cs="方正仿宋_GBK"/>
          <w:b/>
          <w:kern w:val="2"/>
          <w:sz w:val="28"/>
          <w:szCs w:val="28"/>
          <w:lang w:val="en-US" w:eastAsia="zh-CN" w:bidi="ar-SA"/>
        </w:rPr>
      </w:pPr>
      <w:r>
        <w:rPr>
          <w:rFonts w:hint="eastAsia" w:eastAsia="仿宋_GB2312" w:cs="Times New Roman"/>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kern w:val="2"/>
          <w:sz w:val="28"/>
          <w:szCs w:val="28"/>
          <w:lang w:val="en-US" w:eastAsia="zh-CN" w:bidi="ar-SA"/>
        </w:rPr>
        <w:t>图5：一般公共预算财政拨款支出决算变动情况</w:t>
      </w:r>
    </w:p>
    <w:p>
      <w:pPr>
        <w:pStyle w:val="36"/>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default" w:ascii="仿宋_GB2312" w:hAnsi="仿宋_GB2312" w:eastAsia="仿宋_GB2312" w:cs="仿宋_GB2312"/>
          <w:b/>
          <w:kern w:val="2"/>
          <w:sz w:val="28"/>
          <w:szCs w:val="28"/>
          <w:lang w:val="en-US" w:eastAsia="zh-CN" w:bidi="ar-SA"/>
        </w:rPr>
      </w:pPr>
      <w:r>
        <w:rPr>
          <w:rFonts w:hint="default" w:ascii="Times New Roman" w:hAnsi="Times New Roman" w:eastAsia="仿宋" w:cs="Times New Roman"/>
          <w:sz w:val="32"/>
          <w:szCs w:val="32"/>
        </w:rPr>
        <w:drawing>
          <wp:anchor distT="0" distB="0" distL="114300" distR="114300" simplePos="0" relativeHeight="251746304" behindDoc="1" locked="0" layoutInCell="1" allowOverlap="1">
            <wp:simplePos x="0" y="0"/>
            <wp:positionH relativeFrom="column">
              <wp:posOffset>252095</wp:posOffset>
            </wp:positionH>
            <wp:positionV relativeFrom="paragraph">
              <wp:posOffset>163830</wp:posOffset>
            </wp:positionV>
            <wp:extent cx="4738370" cy="1822450"/>
            <wp:effectExtent l="5080" t="4445" r="6350" b="52705"/>
            <wp:wrapTight wrapText="bothSides">
              <wp:wrapPolygon>
                <wp:start x="-23" y="-53"/>
                <wp:lineTo x="-23" y="21472"/>
                <wp:lineTo x="21571" y="21472"/>
                <wp:lineTo x="21571" y="-53"/>
                <wp:lineTo x="-23" y="-53"/>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2"/>
        <w:rPr>
          <w:rFonts w:eastAsia="楷体_GB2312" w:cs="楷体_GB2312"/>
          <w:b/>
          <w:sz w:val="32"/>
          <w:szCs w:val="32"/>
        </w:rPr>
      </w:pPr>
      <w:bookmarkStart w:id="49" w:name="_Toc15377211"/>
      <w:r>
        <w:rPr>
          <w:rFonts w:hint="eastAsia" w:eastAsia="楷体_GB2312" w:cs="楷体_GB2312"/>
          <w:b/>
          <w:sz w:val="32"/>
          <w:szCs w:val="32"/>
        </w:rPr>
        <w:t>（二）一般公共预算财政拨款支出决算结构情况</w:t>
      </w:r>
      <w:bookmarkEnd w:id="4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2024年度一般公共预算财政拨款支出</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万元，主要用于以下方面：一般公共服务支出</w:t>
      </w:r>
      <w:r>
        <w:rPr>
          <w:rFonts w:hint="default" w:ascii="Times New Roman" w:hAnsi="Times New Roman" w:eastAsia="方正仿宋_GBK" w:cs="Times New Roman"/>
          <w:sz w:val="32"/>
          <w:szCs w:val="32"/>
          <w:lang w:val="en-US" w:eastAsia="zh-CN"/>
        </w:rPr>
        <w:t>1356.29</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82.37</w:t>
      </w:r>
      <w:r>
        <w:rPr>
          <w:rFonts w:hint="default" w:ascii="Times New Roman" w:hAnsi="Times New Roman" w:eastAsia="方正仿宋_GBK" w:cs="Times New Roman"/>
          <w:sz w:val="32"/>
          <w:szCs w:val="32"/>
        </w:rPr>
        <w:t>%；社会保障和就业支出120.84万元，占</w:t>
      </w:r>
      <w:r>
        <w:rPr>
          <w:rFonts w:hint="default" w:ascii="Times New Roman" w:hAnsi="Times New Roman" w:eastAsia="方正仿宋_GBK" w:cs="Times New Roman"/>
          <w:sz w:val="32"/>
          <w:szCs w:val="32"/>
          <w:lang w:val="en-US" w:eastAsia="zh-CN"/>
        </w:rPr>
        <w:t>7.34</w:t>
      </w:r>
      <w:r>
        <w:rPr>
          <w:rFonts w:hint="default" w:ascii="Times New Roman" w:hAnsi="Times New Roman" w:eastAsia="方正仿宋_GBK" w:cs="Times New Roman"/>
          <w:sz w:val="32"/>
          <w:szCs w:val="32"/>
        </w:rPr>
        <w:t>%；卫生健康支出85.19万元，占</w:t>
      </w:r>
      <w:r>
        <w:rPr>
          <w:rFonts w:hint="default" w:ascii="Times New Roman" w:hAnsi="Times New Roman" w:eastAsia="方正仿宋_GBK" w:cs="Times New Roman"/>
          <w:sz w:val="32"/>
          <w:szCs w:val="32"/>
          <w:lang w:val="en-US" w:eastAsia="zh-CN"/>
        </w:rPr>
        <w:t>5.17</w:t>
      </w:r>
      <w:r>
        <w:rPr>
          <w:rFonts w:hint="default" w:ascii="Times New Roman" w:hAnsi="Times New Roman" w:eastAsia="方正仿宋_GBK" w:cs="Times New Roman"/>
          <w:sz w:val="32"/>
          <w:szCs w:val="32"/>
        </w:rPr>
        <w:t>%；住房保障支出84.21万元，占</w:t>
      </w:r>
      <w:r>
        <w:rPr>
          <w:rFonts w:hint="default" w:ascii="Times New Roman" w:hAnsi="Times New Roman" w:eastAsia="方正仿宋_GBK" w:cs="Times New Roman"/>
          <w:sz w:val="32"/>
          <w:szCs w:val="32"/>
          <w:lang w:val="en-US" w:eastAsia="zh-CN"/>
        </w:rPr>
        <w:t>5.12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方正仿宋_GBK" w:hAnsi="方正仿宋_GBK" w:eastAsia="方正仿宋_GBK" w:cs="方正仿宋_GBK"/>
          <w:sz w:val="32"/>
          <w:szCs w:val="32"/>
        </w:rPr>
      </w:pPr>
      <w:r>
        <w:rPr>
          <w:rFonts w:hint="eastAsia" w:eastAsia="仿宋_GB2312" w:cs="Times New Roman"/>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kern w:val="2"/>
          <w:sz w:val="28"/>
          <w:szCs w:val="28"/>
          <w:lang w:val="en-US" w:eastAsia="zh-CN" w:bidi="ar-SA"/>
        </w:rPr>
        <w:t>图6：一般公共预算财政拨款支出决算结构</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sz w:val="32"/>
          <w:szCs w:val="32"/>
        </w:rPr>
      </w:pPr>
      <w:r>
        <w:rPr>
          <w:rFonts w:ascii="方正楷体_GBK" w:hAnsi="方正楷体_GBK" w:eastAsia="方正楷体_GBK" w:cs="方正楷体_GBK"/>
          <w:bCs/>
          <w:sz w:val="32"/>
          <w:szCs w:val="32"/>
        </w:rPr>
        <w:drawing>
          <wp:anchor distT="0" distB="0" distL="114300" distR="114300" simplePos="0" relativeHeight="251793408" behindDoc="1" locked="0" layoutInCell="1" allowOverlap="1">
            <wp:simplePos x="0" y="0"/>
            <wp:positionH relativeFrom="column">
              <wp:posOffset>265430</wp:posOffset>
            </wp:positionH>
            <wp:positionV relativeFrom="paragraph">
              <wp:posOffset>201295</wp:posOffset>
            </wp:positionV>
            <wp:extent cx="5080000" cy="1933575"/>
            <wp:effectExtent l="4445" t="4445" r="8255" b="43180"/>
            <wp:wrapTight wrapText="bothSides">
              <wp:wrapPolygon>
                <wp:start x="-19" y="-50"/>
                <wp:lineTo x="-19" y="21515"/>
                <wp:lineTo x="21581" y="21515"/>
                <wp:lineTo x="21581" y="-50"/>
                <wp:lineTo x="-19" y="-50"/>
              </wp:wrapPolygon>
            </wp:wrapTight>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eastAsia="楷体_GB2312" w:cs="Times New Roman"/>
          <w:b/>
          <w:sz w:val="32"/>
          <w:szCs w:val="32"/>
          <w:lang w:eastAsia="zh-CN"/>
        </w:rPr>
        <w:t>（</w:t>
      </w:r>
      <w:r>
        <w:rPr>
          <w:rFonts w:hint="default" w:ascii="Times New Roman" w:hAnsi="Times New Roman" w:eastAsia="楷体_GB2312" w:cs="Times New Roman"/>
          <w:b/>
          <w:sz w:val="32"/>
          <w:szCs w:val="32"/>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2024年度一般公共预算财政拨款支出决算数为</w:t>
      </w:r>
      <w:r>
        <w:rPr>
          <w:rFonts w:hint="default" w:ascii="Times New Roman" w:hAnsi="Times New Roman" w:eastAsia="方正仿宋_GBK" w:cs="Times New Roman"/>
          <w:sz w:val="32"/>
          <w:szCs w:val="32"/>
          <w:lang w:val="en-US" w:eastAsia="zh-CN"/>
        </w:rPr>
        <w:t>1646.53</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%。其中：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50" w:name="_Toc9393"/>
      <w:r>
        <w:rPr>
          <w:rFonts w:hint="default" w:ascii="Times New Roman" w:hAnsi="Times New Roman" w:eastAsia="方正仿宋_GBK" w:cs="Times New Roman"/>
          <w:b w:val="0"/>
          <w:bCs/>
          <w:color w:val="000000"/>
          <w:sz w:val="32"/>
          <w:szCs w:val="32"/>
        </w:rPr>
        <w:t>1.一般公共服务</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（类）纪检监察事务（款）行政运行（项）: </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742.19</w:t>
      </w:r>
      <w:r>
        <w:rPr>
          <w:rFonts w:hint="default" w:ascii="Times New Roman" w:hAnsi="Times New Roman" w:eastAsia="方正仿宋_GBK" w:cs="Times New Roman"/>
          <w:bCs/>
          <w:color w:val="000000"/>
          <w:sz w:val="32"/>
          <w:szCs w:val="32"/>
        </w:rPr>
        <w:t>万元，完成预算100%。</w:t>
      </w:r>
      <w:bookmarkEnd w:id="5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51" w:name="_Toc19934"/>
      <w:r>
        <w:rPr>
          <w:rFonts w:hint="default" w:ascii="Times New Roman" w:hAnsi="Times New Roman" w:eastAsia="方正仿宋_GBK" w:cs="Times New Roman"/>
          <w:b w:val="0"/>
          <w:bCs/>
          <w:color w:val="000000"/>
          <w:sz w:val="32"/>
          <w:szCs w:val="32"/>
        </w:rPr>
        <w:t>2.一般公共服务</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（类）纪检监察事务（款）大案要案查处（项）: </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270</w:t>
      </w:r>
      <w:r>
        <w:rPr>
          <w:rFonts w:hint="default" w:ascii="Times New Roman" w:hAnsi="Times New Roman" w:eastAsia="方正仿宋_GBK" w:cs="Times New Roman"/>
          <w:bCs/>
          <w:color w:val="000000"/>
          <w:sz w:val="32"/>
          <w:szCs w:val="32"/>
        </w:rPr>
        <w:t>万元，完成预算100%。</w:t>
      </w:r>
      <w:bookmarkEnd w:id="5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52" w:name="_Toc20071"/>
      <w:r>
        <w:rPr>
          <w:rFonts w:hint="default" w:ascii="Times New Roman" w:hAnsi="Times New Roman" w:eastAsia="方正仿宋_GBK" w:cs="Times New Roman"/>
          <w:b w:val="0"/>
          <w:bCs/>
          <w:color w:val="000000"/>
          <w:sz w:val="32"/>
          <w:szCs w:val="32"/>
        </w:rPr>
        <w:t>3.一般公共服务</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（类）纪检监察事务（款）巡视工作（项）: </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58.08</w:t>
      </w:r>
      <w:r>
        <w:rPr>
          <w:rFonts w:hint="default" w:ascii="Times New Roman" w:hAnsi="Times New Roman" w:eastAsia="方正仿宋_GBK" w:cs="Times New Roman"/>
          <w:bCs/>
          <w:color w:val="000000"/>
          <w:sz w:val="32"/>
          <w:szCs w:val="32"/>
        </w:rPr>
        <w:t>万元，完成预算100%。</w:t>
      </w:r>
      <w:bookmarkEnd w:id="5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53" w:name="_Toc20362"/>
      <w:r>
        <w:rPr>
          <w:rFonts w:hint="default" w:ascii="Times New Roman" w:hAnsi="Times New Roman" w:eastAsia="方正仿宋_GBK" w:cs="Times New Roman"/>
          <w:b w:val="0"/>
          <w:bCs/>
          <w:color w:val="000000"/>
          <w:sz w:val="32"/>
          <w:szCs w:val="32"/>
        </w:rPr>
        <w:t>4.一般公共服务</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（类）纪检监察事务（款）事业运行（项）: </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87.94</w:t>
      </w:r>
      <w:r>
        <w:rPr>
          <w:rFonts w:hint="default" w:ascii="Times New Roman" w:hAnsi="Times New Roman" w:eastAsia="方正仿宋_GBK" w:cs="Times New Roman"/>
          <w:bCs/>
          <w:color w:val="000000"/>
          <w:sz w:val="32"/>
          <w:szCs w:val="32"/>
        </w:rPr>
        <w:t>万元，完成预算100%。</w:t>
      </w:r>
      <w:bookmarkEnd w:id="5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w:t>
      </w:r>
      <w:r>
        <w:rPr>
          <w:rFonts w:hint="default" w:ascii="Times New Roman" w:hAnsi="Times New Roman" w:eastAsia="方正仿宋_GBK" w:cs="Times New Roman"/>
          <w:b w:val="0"/>
          <w:bCs/>
          <w:color w:val="000000"/>
          <w:sz w:val="32"/>
          <w:szCs w:val="32"/>
        </w:rPr>
        <w:t>　</w:t>
      </w:r>
      <w:bookmarkStart w:id="54" w:name="_Toc7961"/>
      <w:r>
        <w:rPr>
          <w:rFonts w:hint="default" w:ascii="Times New Roman" w:hAnsi="Times New Roman" w:eastAsia="方正仿宋_GBK" w:cs="Times New Roman"/>
          <w:b w:val="0"/>
          <w:bCs/>
          <w:color w:val="000000"/>
          <w:sz w:val="32"/>
          <w:szCs w:val="32"/>
        </w:rPr>
        <w:t>5.一般公共服务</w:t>
      </w:r>
      <w:r>
        <w:rPr>
          <w:rFonts w:hint="eastAsia"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（类）纪检监察事务（款）其他纪检监察事务支出（项）:</w:t>
      </w:r>
      <w:r>
        <w:rPr>
          <w:rFonts w:hint="default" w:ascii="Times New Roman" w:hAnsi="Times New Roman" w:eastAsia="方正仿宋_GBK" w:cs="Times New Roman"/>
          <w:b/>
          <w:color w:val="000000"/>
          <w:sz w:val="32"/>
          <w:szCs w:val="32"/>
        </w:rPr>
        <w:t xml:space="preserve"> </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198.09</w:t>
      </w:r>
      <w:r>
        <w:rPr>
          <w:rFonts w:hint="default" w:ascii="Times New Roman" w:hAnsi="Times New Roman" w:eastAsia="方正仿宋_GBK" w:cs="Times New Roman"/>
          <w:bCs/>
          <w:color w:val="000000"/>
          <w:sz w:val="32"/>
          <w:szCs w:val="32"/>
        </w:rPr>
        <w:t>万元，完成预算100%。</w:t>
      </w:r>
      <w:bookmarkEnd w:id="5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55" w:name="_Toc18506"/>
      <w:bookmarkStart w:id="56" w:name="_Toc26098"/>
      <w:r>
        <w:rPr>
          <w:rFonts w:hint="default" w:ascii="Times New Roman" w:hAnsi="Times New Roman" w:eastAsia="方正仿宋_GBK" w:cs="Times New Roman"/>
          <w:b w:val="0"/>
          <w:bCs/>
          <w:color w:val="000000"/>
          <w:sz w:val="32"/>
          <w:szCs w:val="32"/>
          <w:lang w:val="en-US" w:eastAsia="zh-CN"/>
        </w:rPr>
        <w:t>6</w:t>
      </w:r>
      <w:r>
        <w:rPr>
          <w:rFonts w:hint="default" w:ascii="Times New Roman" w:hAnsi="Times New Roman" w:eastAsia="方正仿宋_GBK" w:cs="Times New Roman"/>
          <w:b w:val="0"/>
          <w:bCs/>
          <w:color w:val="000000"/>
          <w:sz w:val="32"/>
          <w:szCs w:val="32"/>
        </w:rPr>
        <w:t>.社会保障和就业</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（类）行政事业单位养老支出（款）行政单位离退休（项）:</w:t>
      </w:r>
      <w:r>
        <w:rPr>
          <w:rFonts w:hint="default" w:ascii="Times New Roman" w:hAnsi="Times New Roman" w:eastAsia="方正仿宋_GBK" w:cs="Times New Roman"/>
          <w:bCs/>
          <w:color w:val="000000"/>
          <w:sz w:val="32"/>
          <w:szCs w:val="32"/>
        </w:rPr>
        <w:t xml:space="preserve"> 支出决算为</w:t>
      </w:r>
      <w:r>
        <w:rPr>
          <w:rFonts w:hint="default" w:ascii="Times New Roman" w:hAnsi="Times New Roman" w:eastAsia="方正仿宋_GBK" w:cs="Times New Roman"/>
          <w:bCs/>
          <w:color w:val="000000"/>
          <w:sz w:val="32"/>
          <w:szCs w:val="32"/>
          <w:lang w:val="en-US" w:eastAsia="zh-CN"/>
        </w:rPr>
        <w:t>18.56</w:t>
      </w:r>
      <w:r>
        <w:rPr>
          <w:rFonts w:hint="default" w:ascii="Times New Roman" w:hAnsi="Times New Roman" w:eastAsia="方正仿宋_GBK" w:cs="Times New Roman"/>
          <w:bCs/>
          <w:color w:val="000000"/>
          <w:sz w:val="32"/>
          <w:szCs w:val="32"/>
        </w:rPr>
        <w:t>万元，完成预算100%。</w:t>
      </w:r>
      <w:bookmarkEnd w:id="55"/>
      <w:bookmarkEnd w:id="5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57" w:name="_Toc25108"/>
      <w:bookmarkStart w:id="58" w:name="_Toc9608"/>
      <w:r>
        <w:rPr>
          <w:rFonts w:hint="default" w:ascii="Times New Roman" w:hAnsi="Times New Roman" w:eastAsia="方正仿宋_GBK" w:cs="Times New Roman"/>
          <w:b w:val="0"/>
          <w:bCs/>
          <w:color w:val="000000"/>
          <w:sz w:val="32"/>
          <w:szCs w:val="32"/>
          <w:lang w:val="en-US" w:eastAsia="zh-CN"/>
        </w:rPr>
        <w:t>7</w:t>
      </w:r>
      <w:r>
        <w:rPr>
          <w:rFonts w:hint="default" w:ascii="Times New Roman" w:hAnsi="Times New Roman" w:eastAsia="方正仿宋_GBK" w:cs="Times New Roman"/>
          <w:b w:val="0"/>
          <w:bCs/>
          <w:color w:val="000000"/>
          <w:sz w:val="32"/>
          <w:szCs w:val="32"/>
        </w:rPr>
        <w:t>.社会保障和就业</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（类）行政事业单位养老支出（款）机关事业单位基本养老保险缴费支出（项）: </w:t>
      </w:r>
      <w:r>
        <w:rPr>
          <w:rFonts w:hint="default" w:ascii="Times New Roman" w:hAnsi="Times New Roman" w:eastAsia="方正仿宋_GBK" w:cs="Times New Roman"/>
          <w:bCs/>
          <w:color w:val="000000"/>
          <w:sz w:val="32"/>
          <w:szCs w:val="32"/>
        </w:rPr>
        <w:t>支出决算为97.2</w:t>
      </w:r>
      <w:r>
        <w:rPr>
          <w:rFonts w:hint="default"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万元，完成预算100%。</w:t>
      </w:r>
      <w:bookmarkEnd w:id="57"/>
      <w:bookmarkEnd w:id="5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59" w:name="_Toc16035"/>
      <w:bookmarkStart w:id="60" w:name="_Toc19543"/>
      <w:r>
        <w:rPr>
          <w:rFonts w:hint="default" w:ascii="Times New Roman" w:hAnsi="Times New Roman" w:eastAsia="方正仿宋_GBK" w:cs="Times New Roman"/>
          <w:b w:val="0"/>
          <w:bCs/>
          <w:color w:val="000000"/>
          <w:sz w:val="32"/>
          <w:szCs w:val="32"/>
          <w:lang w:val="en-US" w:eastAsia="zh-CN"/>
        </w:rPr>
        <w:t>8</w:t>
      </w:r>
      <w:r>
        <w:rPr>
          <w:rFonts w:hint="default" w:ascii="Times New Roman" w:hAnsi="Times New Roman" w:eastAsia="方正仿宋_GBK" w:cs="Times New Roman"/>
          <w:b w:val="0"/>
          <w:bCs/>
          <w:color w:val="000000"/>
          <w:sz w:val="32"/>
          <w:szCs w:val="32"/>
        </w:rPr>
        <w:t>.社会保障和就业</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 xml:space="preserve">（类）行政事业单位养老支出（款）机关事业单位职业年金缴费支出（项）: </w:t>
      </w:r>
      <w:r>
        <w:rPr>
          <w:rFonts w:hint="default" w:ascii="Times New Roman" w:hAnsi="Times New Roman" w:eastAsia="方正仿宋_GBK" w:cs="Times New Roman"/>
          <w:bCs/>
          <w:color w:val="000000"/>
          <w:sz w:val="32"/>
          <w:szCs w:val="32"/>
        </w:rPr>
        <w:t>支出决算为2</w:t>
      </w:r>
      <w:r>
        <w:rPr>
          <w:rFonts w:hint="default" w:ascii="Times New Roman" w:hAnsi="Times New Roman" w:eastAsia="方正仿宋_GBK" w:cs="Times New Roman"/>
          <w:bCs/>
          <w:color w:val="000000"/>
          <w:sz w:val="32"/>
          <w:szCs w:val="32"/>
          <w:lang w:val="en-US" w:eastAsia="zh-CN"/>
        </w:rPr>
        <w:t>.37</w:t>
      </w:r>
      <w:r>
        <w:rPr>
          <w:rFonts w:hint="default" w:ascii="Times New Roman" w:hAnsi="Times New Roman" w:eastAsia="方正仿宋_GBK" w:cs="Times New Roman"/>
          <w:bCs/>
          <w:color w:val="000000"/>
          <w:sz w:val="32"/>
          <w:szCs w:val="32"/>
        </w:rPr>
        <w:t>万元，完成预算100%。</w:t>
      </w:r>
      <w:bookmarkEnd w:id="59"/>
      <w:bookmarkEnd w:id="6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 xml:space="preserve"> </w:t>
      </w:r>
      <w:bookmarkStart w:id="61" w:name="_Toc358"/>
      <w:bookmarkStart w:id="62" w:name="_Toc31391"/>
      <w:r>
        <w:rPr>
          <w:rFonts w:hint="default" w:ascii="Times New Roman" w:hAnsi="Times New Roman" w:eastAsia="方正仿宋_GBK" w:cs="Times New Roman"/>
          <w:bCs/>
          <w:color w:val="000000"/>
          <w:sz w:val="32"/>
          <w:szCs w:val="32"/>
          <w:lang w:val="en-US" w:eastAsia="zh-CN"/>
        </w:rPr>
        <w:t>9.</w:t>
      </w:r>
      <w:r>
        <w:rPr>
          <w:rFonts w:hint="default" w:ascii="Times New Roman" w:hAnsi="Times New Roman" w:eastAsia="方正仿宋_GBK" w:cs="Times New Roman"/>
          <w:b w:val="0"/>
          <w:bCs/>
          <w:color w:val="000000"/>
          <w:sz w:val="32"/>
          <w:szCs w:val="32"/>
        </w:rPr>
        <w:t>社会保障和就业</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w:t>
      </w:r>
      <w:r>
        <w:rPr>
          <w:rFonts w:hint="default" w:ascii="Times New Roman" w:hAnsi="Times New Roman" w:eastAsia="方正仿宋_GBK" w:cs="Times New Roman"/>
          <w:b w:val="0"/>
          <w:bCs/>
          <w:color w:val="000000"/>
          <w:sz w:val="32"/>
          <w:szCs w:val="32"/>
          <w:lang w:eastAsia="zh-CN"/>
        </w:rPr>
        <w:t>抚恤</w:t>
      </w:r>
      <w:r>
        <w:rPr>
          <w:rFonts w:hint="default" w:ascii="Times New Roman" w:hAnsi="Times New Roman" w:eastAsia="方正仿宋_GBK" w:cs="Times New Roman"/>
          <w:b w:val="0"/>
          <w:bCs/>
          <w:color w:val="000000"/>
          <w:sz w:val="32"/>
          <w:szCs w:val="32"/>
        </w:rPr>
        <w:t>（款）</w:t>
      </w:r>
      <w:r>
        <w:rPr>
          <w:rFonts w:hint="default" w:ascii="Times New Roman" w:hAnsi="Times New Roman" w:eastAsia="方正仿宋_GBK" w:cs="Times New Roman"/>
          <w:b w:val="0"/>
          <w:bCs/>
          <w:color w:val="000000"/>
          <w:sz w:val="32"/>
          <w:szCs w:val="32"/>
          <w:lang w:eastAsia="zh-CN"/>
        </w:rPr>
        <w:t>伤残抚恤</w:t>
      </w:r>
      <w:r>
        <w:rPr>
          <w:rFonts w:hint="default" w:ascii="Times New Roman" w:hAnsi="Times New Roman" w:eastAsia="方正仿宋_GBK" w:cs="Times New Roman"/>
          <w:b w:val="0"/>
          <w:bCs/>
          <w:color w:val="000000"/>
          <w:sz w:val="32"/>
          <w:szCs w:val="32"/>
        </w:rPr>
        <w:t xml:space="preserve">（项）: </w:t>
      </w:r>
      <w:r>
        <w:rPr>
          <w:rFonts w:hint="default" w:ascii="Times New Roman" w:hAnsi="Times New Roman" w:eastAsia="方正仿宋_GBK" w:cs="Times New Roman"/>
          <w:bCs/>
          <w:color w:val="000000"/>
          <w:sz w:val="32"/>
          <w:szCs w:val="32"/>
        </w:rPr>
        <w:t>支出决算为2</w:t>
      </w:r>
      <w:r>
        <w:rPr>
          <w:rFonts w:hint="default" w:ascii="Times New Roman" w:hAnsi="Times New Roman" w:eastAsia="方正仿宋_GBK" w:cs="Times New Roman"/>
          <w:bCs/>
          <w:color w:val="000000"/>
          <w:sz w:val="32"/>
          <w:szCs w:val="32"/>
          <w:lang w:val="en-US" w:eastAsia="zh-CN"/>
        </w:rPr>
        <w:t>.66</w:t>
      </w:r>
      <w:r>
        <w:rPr>
          <w:rFonts w:hint="default" w:ascii="Times New Roman" w:hAnsi="Times New Roman" w:eastAsia="方正仿宋_GBK" w:cs="Times New Roman"/>
          <w:bCs/>
          <w:color w:val="000000"/>
          <w:sz w:val="32"/>
          <w:szCs w:val="32"/>
        </w:rPr>
        <w:t>万元，完成预算100%。</w:t>
      </w:r>
      <w:bookmarkEnd w:id="61"/>
      <w:bookmarkEnd w:id="6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63" w:name="_Toc5937"/>
      <w:bookmarkStart w:id="64" w:name="_Toc9058"/>
      <w:r>
        <w:rPr>
          <w:rFonts w:hint="default" w:ascii="Times New Roman" w:hAnsi="Times New Roman" w:eastAsia="方正仿宋_GBK" w:cs="Times New Roman"/>
          <w:b w:val="0"/>
          <w:bCs/>
          <w:color w:val="000000"/>
          <w:sz w:val="32"/>
          <w:szCs w:val="32"/>
          <w:lang w:val="en-US" w:eastAsia="zh-CN"/>
        </w:rPr>
        <w:t>10</w:t>
      </w:r>
      <w:r>
        <w:rPr>
          <w:rFonts w:hint="default" w:ascii="Times New Roman" w:hAnsi="Times New Roman" w:eastAsia="方正仿宋_GBK" w:cs="Times New Roman"/>
          <w:b w:val="0"/>
          <w:bCs/>
          <w:color w:val="000000"/>
          <w:sz w:val="32"/>
          <w:szCs w:val="32"/>
        </w:rPr>
        <w:t>.卫生健康</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（类）行政事业单位医疗（款）行政单位医疗（项）:</w:t>
      </w:r>
      <w:r>
        <w:rPr>
          <w:rFonts w:hint="default" w:ascii="Times New Roman" w:hAnsi="Times New Roman" w:eastAsia="方正仿宋_GBK" w:cs="Times New Roman"/>
          <w:bCs/>
          <w:color w:val="000000"/>
          <w:sz w:val="32"/>
          <w:szCs w:val="32"/>
        </w:rPr>
        <w:t>支出决算为4</w:t>
      </w:r>
      <w:r>
        <w:rPr>
          <w:rFonts w:hint="default" w:ascii="Times New Roman" w:hAnsi="Times New Roman" w:eastAsia="方正仿宋_GBK" w:cs="Times New Roman"/>
          <w:bCs/>
          <w:color w:val="000000"/>
          <w:sz w:val="32"/>
          <w:szCs w:val="32"/>
          <w:lang w:val="en-US" w:eastAsia="zh-CN"/>
        </w:rPr>
        <w:t>8.39</w:t>
      </w:r>
      <w:r>
        <w:rPr>
          <w:rFonts w:hint="default" w:ascii="Times New Roman" w:hAnsi="Times New Roman" w:eastAsia="方正仿宋_GBK" w:cs="Times New Roman"/>
          <w:bCs/>
          <w:color w:val="000000"/>
          <w:sz w:val="32"/>
          <w:szCs w:val="32"/>
        </w:rPr>
        <w:t>万元，完成预算100%。</w:t>
      </w:r>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65" w:name="_Toc24037"/>
      <w:bookmarkStart w:id="66" w:name="_Toc25242"/>
      <w:r>
        <w:rPr>
          <w:rFonts w:hint="default" w:ascii="Times New Roman" w:hAnsi="Times New Roman" w:eastAsia="方正仿宋_GBK" w:cs="Times New Roman"/>
          <w:b w:val="0"/>
          <w:bCs/>
          <w:color w:val="000000"/>
          <w:sz w:val="32"/>
          <w:szCs w:val="32"/>
        </w:rPr>
        <w:t>11.卫生健康</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（类）行政事业单位医疗（款）事业单位医疗（项）:</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5.99</w:t>
      </w:r>
      <w:r>
        <w:rPr>
          <w:rFonts w:hint="default" w:ascii="Times New Roman" w:hAnsi="Times New Roman" w:eastAsia="方正仿宋_GBK" w:cs="Times New Roman"/>
          <w:bCs/>
          <w:color w:val="000000"/>
          <w:sz w:val="32"/>
          <w:szCs w:val="32"/>
        </w:rPr>
        <w:t>万元，完成预算100%。</w:t>
      </w:r>
      <w:bookmarkEnd w:id="65"/>
      <w:bookmarkEnd w:id="6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67" w:name="_Toc5873"/>
      <w:bookmarkStart w:id="68" w:name="_Toc28452"/>
      <w:r>
        <w:rPr>
          <w:rFonts w:hint="default" w:ascii="Times New Roman" w:hAnsi="Times New Roman" w:eastAsia="方正仿宋_GBK" w:cs="Times New Roman"/>
          <w:b w:val="0"/>
          <w:bCs/>
          <w:color w:val="000000"/>
          <w:sz w:val="32"/>
          <w:szCs w:val="32"/>
        </w:rPr>
        <w:t>12.卫生健康</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（类）行政事业单位医疗（款）公务员医疗补助（项）:</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.48万元，完成预算100%。</w:t>
      </w:r>
      <w:bookmarkEnd w:id="67"/>
      <w:bookmarkEnd w:id="6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69" w:name="_Toc7046"/>
      <w:bookmarkStart w:id="70" w:name="_Toc16234"/>
      <w:r>
        <w:rPr>
          <w:rFonts w:hint="default" w:ascii="Times New Roman" w:hAnsi="Times New Roman" w:eastAsia="方正仿宋_GBK" w:cs="Times New Roman"/>
          <w:b w:val="0"/>
          <w:bCs/>
          <w:color w:val="000000"/>
          <w:sz w:val="32"/>
          <w:szCs w:val="32"/>
        </w:rPr>
        <w:t>13.卫生健康</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（类）行政事业单位医疗（款）其他行政事业单位医疗支出（项）:</w:t>
      </w:r>
      <w:r>
        <w:rPr>
          <w:rFonts w:hint="default" w:ascii="Times New Roman" w:hAnsi="Times New Roman" w:eastAsia="方正仿宋_GBK" w:cs="Times New Roman"/>
          <w:bCs/>
          <w:color w:val="000000"/>
          <w:sz w:val="32"/>
          <w:szCs w:val="32"/>
        </w:rPr>
        <w:t>支出决算为25.</w:t>
      </w:r>
      <w:r>
        <w:rPr>
          <w:rFonts w:hint="default" w:ascii="Times New Roman" w:hAnsi="Times New Roman" w:eastAsia="方正仿宋_GBK" w:cs="Times New Roman"/>
          <w:bCs/>
          <w:color w:val="000000"/>
          <w:sz w:val="32"/>
          <w:szCs w:val="32"/>
          <w:lang w:val="en-US" w:eastAsia="zh-CN"/>
        </w:rPr>
        <w:t>33</w:t>
      </w:r>
      <w:r>
        <w:rPr>
          <w:rFonts w:hint="default" w:ascii="Times New Roman" w:hAnsi="Times New Roman" w:eastAsia="方正仿宋_GBK" w:cs="Times New Roman"/>
          <w:bCs/>
          <w:color w:val="000000"/>
          <w:sz w:val="32"/>
          <w:szCs w:val="32"/>
        </w:rPr>
        <w:t>万元，完成预算100%。</w:t>
      </w:r>
      <w:bookmarkEnd w:id="69"/>
      <w:bookmarkEnd w:id="7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both"/>
        <w:textAlignment w:val="auto"/>
        <w:outlineLvl w:val="9"/>
        <w:rPr>
          <w:rFonts w:hint="default" w:ascii="Times New Roman" w:hAnsi="Times New Roman" w:eastAsia="方正仿宋_GBK" w:cs="Times New Roman"/>
          <w:bCs/>
          <w:color w:val="000000"/>
          <w:sz w:val="32"/>
          <w:szCs w:val="32"/>
        </w:rPr>
      </w:pPr>
      <w:bookmarkStart w:id="71" w:name="_Toc20148"/>
      <w:bookmarkStart w:id="72" w:name="_Toc6644"/>
      <w:r>
        <w:rPr>
          <w:rFonts w:hint="default" w:ascii="Times New Roman" w:hAnsi="Times New Roman" w:eastAsia="方正仿宋_GBK" w:cs="Times New Roman"/>
          <w:b w:val="0"/>
          <w:bCs/>
          <w:color w:val="000000"/>
          <w:sz w:val="32"/>
          <w:szCs w:val="32"/>
        </w:rPr>
        <w:t>14.住房保障</w:t>
      </w:r>
      <w:r>
        <w:rPr>
          <w:rFonts w:hint="default" w:ascii="Times New Roman" w:hAnsi="Times New Roman" w:eastAsia="方正仿宋_GBK" w:cs="Times New Roman"/>
          <w:b w:val="0"/>
          <w:bCs/>
          <w:color w:val="000000"/>
          <w:sz w:val="32"/>
          <w:szCs w:val="32"/>
          <w:lang w:eastAsia="zh-CN"/>
        </w:rPr>
        <w:t>支出</w:t>
      </w:r>
      <w:r>
        <w:rPr>
          <w:rFonts w:hint="default" w:ascii="Times New Roman" w:hAnsi="Times New Roman" w:eastAsia="方正仿宋_GBK" w:cs="Times New Roman"/>
          <w:b w:val="0"/>
          <w:bCs/>
          <w:color w:val="000000"/>
          <w:sz w:val="32"/>
          <w:szCs w:val="32"/>
        </w:rPr>
        <w:t>（类）住房改革支出（款）住房公积金（项）:</w:t>
      </w:r>
      <w:r>
        <w:rPr>
          <w:rFonts w:hint="default" w:ascii="Times New Roman" w:hAnsi="Times New Roman" w:eastAsia="方正仿宋_GBK" w:cs="Times New Roman"/>
          <w:bCs/>
          <w:color w:val="000000"/>
          <w:sz w:val="32"/>
          <w:szCs w:val="32"/>
        </w:rPr>
        <w:t>支出决算为</w:t>
      </w:r>
      <w:r>
        <w:rPr>
          <w:rFonts w:hint="default" w:ascii="Times New Roman" w:hAnsi="Times New Roman" w:eastAsia="方正仿宋_GBK" w:cs="Times New Roman"/>
          <w:bCs/>
          <w:color w:val="000000"/>
          <w:sz w:val="32"/>
          <w:szCs w:val="32"/>
          <w:lang w:val="en-US" w:eastAsia="zh-CN"/>
        </w:rPr>
        <w:t>84.21</w:t>
      </w:r>
      <w:r>
        <w:rPr>
          <w:rFonts w:hint="default" w:ascii="Times New Roman" w:hAnsi="Times New Roman" w:eastAsia="方正仿宋_GBK" w:cs="Times New Roman"/>
          <w:bCs/>
          <w:color w:val="000000"/>
          <w:sz w:val="32"/>
          <w:szCs w:val="32"/>
        </w:rPr>
        <w:t>万元，完成预算100%。</w:t>
      </w:r>
      <w:bookmarkEnd w:id="71"/>
      <w:bookmarkEnd w:id="72"/>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1"/>
        <w:rPr>
          <w:rStyle w:val="30"/>
          <w:rFonts w:ascii="Times New Roman" w:hAnsi="Times New Roman"/>
        </w:rPr>
      </w:pPr>
      <w:bookmarkStart w:id="73" w:name="_Toc16923"/>
      <w:bookmarkStart w:id="74" w:name="_Toc15377214"/>
      <w:bookmarkStart w:id="75" w:name="_Toc25022"/>
      <w:bookmarkStart w:id="76" w:name="_Toc15396608"/>
      <w:r>
        <w:rPr>
          <w:rFonts w:hint="eastAsia" w:ascii="方正黑体_GBK" w:hAnsi="方正黑体_GBK" w:eastAsia="方正黑体_GBK" w:cs="方正黑体_GBK"/>
          <w:sz w:val="32"/>
          <w:szCs w:val="32"/>
        </w:rPr>
        <w:t>六</w:t>
      </w:r>
      <w:r>
        <w:rPr>
          <w:rFonts w:hint="eastAsia" w:ascii="方正黑体_GBK" w:hAnsi="方正黑体_GBK" w:eastAsia="方正黑体_GBK" w:cs="方正黑体_GBK"/>
          <w:b/>
          <w:sz w:val="32"/>
          <w:szCs w:val="32"/>
        </w:rPr>
        <w:t>、一</w:t>
      </w:r>
      <w:r>
        <w:rPr>
          <w:rStyle w:val="30"/>
          <w:rFonts w:hint="eastAsia" w:ascii="方正黑体_GBK" w:hAnsi="方正黑体_GBK" w:eastAsia="方正黑体_GBK" w:cs="方正黑体_GBK"/>
          <w:b w:val="0"/>
        </w:rPr>
        <w:t>般公共预算财政拨款基本支出决算情况说明</w:t>
      </w:r>
      <w:bookmarkEnd w:id="73"/>
      <w:bookmarkEnd w:id="74"/>
      <w:bookmarkEnd w:id="75"/>
      <w:bookmarkEnd w:id="76"/>
      <w:r>
        <w:rPr>
          <w:rStyle w:val="30"/>
          <w:rFonts w:ascii="Times New Roman" w:hAnsi="Times New Roman" w:eastAsia="黑体"/>
          <w:b w:val="0"/>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w:t>
      </w:r>
      <w:r>
        <w:rPr>
          <w:rFonts w:hint="default" w:ascii="Times New Roman" w:hAnsi="Times New Roman" w:eastAsia="方正仿宋_GBK" w:cs="Times New Roman"/>
          <w:sz w:val="32"/>
          <w:szCs w:val="32"/>
          <w:lang w:val="en-US" w:eastAsia="zh-CN"/>
        </w:rPr>
        <w:t>1120.36</w:t>
      </w:r>
      <w:r>
        <w:rPr>
          <w:rFonts w:hint="default" w:ascii="Times New Roman" w:hAnsi="Times New Roman" w:eastAsia="方正仿宋_GBK"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sz w:val="32"/>
          <w:szCs w:val="32"/>
        </w:rPr>
        <w:t>人员经费</w:t>
      </w:r>
      <w:r>
        <w:rPr>
          <w:rFonts w:hint="default" w:ascii="Times New Roman" w:hAnsi="Times New Roman" w:eastAsia="方正仿宋_GBK" w:cs="Times New Roman"/>
          <w:sz w:val="32"/>
          <w:szCs w:val="32"/>
          <w:lang w:val="en-US" w:eastAsia="zh-CN"/>
        </w:rPr>
        <w:t>1022.63</w:t>
      </w:r>
      <w:r>
        <w:rPr>
          <w:rFonts w:hint="default" w:ascii="Times New Roman" w:hAnsi="Times New Roman" w:eastAsia="方正仿宋_GBK" w:cs="Times New Roman"/>
          <w:sz w:val="32"/>
          <w:szCs w:val="32"/>
        </w:rPr>
        <w:t>万元，主要包括：</w:t>
      </w:r>
      <w:r>
        <w:rPr>
          <w:rFonts w:hint="default" w:ascii="Times New Roman" w:hAnsi="Times New Roman" w:eastAsia="方正仿宋_GBK" w:cs="Times New Roman"/>
          <w:bCs/>
          <w:color w:val="000000"/>
          <w:sz w:val="32"/>
          <w:szCs w:val="32"/>
        </w:rPr>
        <w:t>基本工资、津贴补贴、奖金、绩效工资、机关事业单位基本养老保险缴费、职业年金缴费、职工基本医疗保险缴费、公务员医疗补助缴费、其他社会保障缴费、住房公积金、医疗费、其他工资福利支出、</w:t>
      </w:r>
      <w:r>
        <w:rPr>
          <w:rFonts w:hint="default" w:ascii="Times New Roman" w:hAnsi="Times New Roman" w:eastAsia="方正仿宋_GBK" w:cs="Times New Roman"/>
          <w:bCs/>
          <w:color w:val="000000"/>
          <w:sz w:val="32"/>
          <w:szCs w:val="32"/>
          <w:lang w:eastAsia="zh-CN"/>
        </w:rPr>
        <w:t>抚恤金、</w:t>
      </w:r>
      <w:r>
        <w:rPr>
          <w:rFonts w:hint="default" w:ascii="Times New Roman" w:hAnsi="Times New Roman" w:eastAsia="方正仿宋_GBK" w:cs="Times New Roman"/>
          <w:bCs/>
          <w:color w:val="000000"/>
          <w:sz w:val="32"/>
          <w:szCs w:val="32"/>
        </w:rPr>
        <w:t>生活补助、医疗费补助、奖励金。</w:t>
      </w:r>
      <w:r>
        <w:rPr>
          <w:rFonts w:hint="default" w:ascii="Times New Roman" w:hAnsi="Times New Roman" w:eastAsia="方正仿宋_GBK" w:cs="Times New Roman"/>
          <w:bCs/>
          <w:color w:val="000000"/>
          <w:sz w:val="32"/>
          <w:szCs w:val="32"/>
        </w:rPr>
        <w:br w:type="textWrapping"/>
      </w:r>
      <w:r>
        <w:rPr>
          <w:rFonts w:hint="default" w:ascii="Times New Roman" w:hAnsi="Times New Roman" w:eastAsia="方正仿宋_GBK" w:cs="Times New Roman"/>
          <w:sz w:val="32"/>
          <w:szCs w:val="32"/>
        </w:rPr>
        <w:t>　</w:t>
      </w:r>
      <w:bookmarkStart w:id="152" w:name="_GoBack"/>
      <w:r>
        <w:rPr>
          <w:rFonts w:hint="default" w:ascii="Times New Roman" w:hAnsi="Times New Roman" w:eastAsia="方正仿宋_GBK" w:cs="Times New Roman"/>
          <w:sz w:val="32"/>
          <w:szCs w:val="32"/>
        </w:rPr>
        <w:t>　公用经费</w:t>
      </w:r>
      <w:r>
        <w:rPr>
          <w:rFonts w:hint="default" w:ascii="Times New Roman" w:hAnsi="Times New Roman" w:eastAsia="方正仿宋_GBK" w:cs="Times New Roman"/>
          <w:sz w:val="32"/>
          <w:szCs w:val="32"/>
          <w:lang w:val="en-US" w:eastAsia="zh-CN"/>
        </w:rPr>
        <w:t>97.73</w:t>
      </w:r>
      <w:r>
        <w:rPr>
          <w:rFonts w:hint="default" w:ascii="Times New Roman" w:hAnsi="Times New Roman" w:eastAsia="方正仿宋_GBK" w:cs="Times New Roman"/>
          <w:sz w:val="32"/>
          <w:szCs w:val="32"/>
        </w:rPr>
        <w:t>万元，主要包括：</w:t>
      </w:r>
      <w:r>
        <w:rPr>
          <w:rFonts w:hint="default" w:ascii="Times New Roman" w:hAnsi="Times New Roman" w:eastAsia="方正仿宋_GBK" w:cs="Times New Roman"/>
          <w:bCs/>
          <w:color w:val="000000"/>
          <w:sz w:val="32"/>
          <w:szCs w:val="32"/>
        </w:rPr>
        <w:t>办公费、水费、电费、邮电费、差旅费、维修（护）费、</w:t>
      </w:r>
      <w:r>
        <w:rPr>
          <w:rFonts w:hint="default" w:ascii="Times New Roman" w:hAnsi="Times New Roman" w:eastAsia="方正仿宋_GBK" w:cs="Times New Roman"/>
          <w:bCs/>
          <w:color w:val="000000"/>
          <w:sz w:val="32"/>
          <w:szCs w:val="32"/>
          <w:lang w:eastAsia="zh-CN"/>
        </w:rPr>
        <w:t>租赁费、</w:t>
      </w:r>
      <w:r>
        <w:rPr>
          <w:rFonts w:hint="default" w:ascii="Times New Roman" w:hAnsi="Times New Roman" w:eastAsia="方正仿宋_GBK" w:cs="Times New Roman"/>
          <w:bCs/>
          <w:color w:val="000000"/>
          <w:sz w:val="32"/>
          <w:szCs w:val="32"/>
        </w:rPr>
        <w:t>会议费、培训费、委托业务费、工会经费、福利费、公务用车运行维护费、其他交通费、其他商品和服务支出。</w:t>
      </w:r>
    </w:p>
    <w:bookmarkEnd w:id="152"/>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1"/>
        <w:rPr>
          <w:rStyle w:val="30"/>
          <w:rFonts w:hint="eastAsia" w:ascii="方正黑体_GBK" w:hAnsi="方正黑体_GBK" w:eastAsia="方正黑体_GBK" w:cs="方正黑体_GBK"/>
          <w:b w:val="0"/>
        </w:rPr>
      </w:pPr>
      <w:bookmarkStart w:id="77" w:name="_Toc27716"/>
      <w:bookmarkStart w:id="78" w:name="_Toc15396609"/>
      <w:bookmarkStart w:id="79" w:name="_Toc15377215"/>
      <w:bookmarkStart w:id="80" w:name="_Toc24384"/>
      <w:r>
        <w:rPr>
          <w:rFonts w:hint="eastAsia" w:ascii="方正黑体_GBK" w:hAnsi="方正黑体_GBK" w:eastAsia="方正黑体_GBK" w:cs="方正黑体_GBK"/>
          <w:sz w:val="32"/>
          <w:szCs w:val="32"/>
        </w:rPr>
        <w:t>七、</w:t>
      </w:r>
      <w:r>
        <w:rPr>
          <w:rStyle w:val="30"/>
          <w:rFonts w:hint="eastAsia" w:ascii="方正黑体_GBK" w:hAnsi="方正黑体_GBK" w:eastAsia="方正黑体_GBK" w:cs="方正黑体_GBK"/>
          <w:b w:val="0"/>
        </w:rPr>
        <w:t>财政拨款</w:t>
      </w:r>
      <w:r>
        <w:rPr>
          <w:rStyle w:val="30"/>
          <w:rFonts w:hint="eastAsia" w:ascii="方正黑体_GBK" w:hAnsi="方正黑体_GBK" w:eastAsia="方正黑体_GBK" w:cs="方正黑体_GBK"/>
        </w:rPr>
        <w:t>“</w:t>
      </w:r>
      <w:r>
        <w:rPr>
          <w:rStyle w:val="30"/>
          <w:rFonts w:hint="eastAsia" w:ascii="方正黑体_GBK" w:hAnsi="方正黑体_GBK" w:eastAsia="方正黑体_GBK" w:cs="方正黑体_GBK"/>
          <w:b w:val="0"/>
        </w:rPr>
        <w:t>三公”经费支出决算情况说明</w:t>
      </w:r>
      <w:bookmarkEnd w:id="77"/>
      <w:bookmarkEnd w:id="78"/>
      <w:bookmarkEnd w:id="79"/>
      <w:bookmarkEnd w:id="8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2"/>
        <w:rPr>
          <w:rFonts w:eastAsia="楷体_GB2312" w:cs="楷体_GB2312"/>
          <w:b/>
          <w:sz w:val="32"/>
          <w:szCs w:val="32"/>
        </w:rPr>
      </w:pPr>
      <w:bookmarkStart w:id="81" w:name="_Toc15377216"/>
      <w:r>
        <w:rPr>
          <w:rFonts w:hint="eastAsia" w:eastAsia="楷体_GB2312" w:cs="楷体_GB2312"/>
          <w:b/>
          <w:sz w:val="32"/>
          <w:szCs w:val="32"/>
        </w:rPr>
        <w:t>（一）“三公”经费财政拨款支出决算总体情况说明</w:t>
      </w:r>
      <w:bookmarkEnd w:id="8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2024年度“三公”经费财政拨款支出决算为</w:t>
      </w:r>
      <w:r>
        <w:rPr>
          <w:rFonts w:hint="default" w:ascii="Times New Roman" w:hAnsi="Times New Roman" w:eastAsia="方正仿宋_GBK" w:cs="Times New Roman"/>
          <w:sz w:val="32"/>
          <w:szCs w:val="32"/>
          <w:lang w:val="en-US" w:eastAsia="zh-CN"/>
        </w:rPr>
        <w:t>4.04</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%，较上年度减少</w:t>
      </w:r>
      <w:r>
        <w:rPr>
          <w:rFonts w:hint="default" w:ascii="Times New Roman" w:hAnsi="Times New Roman" w:eastAsia="方正仿宋_GBK" w:cs="Times New Roman"/>
          <w:sz w:val="32"/>
          <w:szCs w:val="32"/>
          <w:lang w:val="en-US" w:eastAsia="zh-CN"/>
        </w:rPr>
        <w:t>1.91</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32.10</w:t>
      </w:r>
      <w:r>
        <w:rPr>
          <w:rFonts w:hint="default" w:ascii="Times New Roman" w:hAnsi="Times New Roman" w:eastAsia="方正仿宋_GBK" w:cs="Times New Roman"/>
          <w:sz w:val="32"/>
          <w:szCs w:val="32"/>
        </w:rPr>
        <w:t>%。决算与预算数持平</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2"/>
        <w:rPr>
          <w:rFonts w:eastAsia="楷体_GB2312" w:cs="楷体_GB2312"/>
          <w:b/>
          <w:sz w:val="32"/>
          <w:szCs w:val="32"/>
        </w:rPr>
      </w:pPr>
      <w:bookmarkStart w:id="82" w:name="_Toc15377217"/>
      <w:r>
        <w:rPr>
          <w:rFonts w:hint="eastAsia" w:eastAsia="楷体_GB2312" w:cs="楷体_GB2312"/>
          <w:b/>
          <w:sz w:val="32"/>
          <w:szCs w:val="32"/>
        </w:rPr>
        <w:t>（二）“三公”经费财政拨款支出决算具体情况说明</w:t>
      </w:r>
      <w:bookmarkEnd w:id="8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4.04</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%。具体情况如下：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kern w:val="2"/>
          <w:sz w:val="28"/>
          <w:szCs w:val="28"/>
          <w:lang w:val="en-US" w:eastAsia="zh-CN" w:bidi="ar-SA"/>
        </w:rPr>
      </w:pPr>
      <w:r>
        <w:rPr>
          <w:rFonts w:hint="eastAsia" w:eastAsia="仿宋_GB2312" w:cs="Times New Roman"/>
          <w:sz w:val="32"/>
          <w:szCs w:val="32"/>
          <w:lang w:val="en-US" w:eastAsia="zh-CN"/>
        </w:rPr>
        <w:t xml:space="preserve"> </w:t>
      </w:r>
      <w:r>
        <w:rPr>
          <w:rFonts w:hint="eastAsia" w:ascii="仿宋_GB2312" w:hAnsi="仿宋_GB2312" w:eastAsia="仿宋_GB2312" w:cs="仿宋_GB2312"/>
          <w:b/>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b/>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方正仿宋_GBK" w:hAnsi="方正仿宋_GBK" w:eastAsia="方正仿宋_GBK" w:cs="方正仿宋_GBK"/>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 xml:space="preserve">      </w:t>
      </w:r>
      <w:r>
        <w:rPr>
          <w:rFonts w:hint="eastAsia" w:ascii="方正仿宋_GBK" w:hAnsi="方正仿宋_GBK" w:eastAsia="方正仿宋_GBK" w:cs="方正仿宋_GBK"/>
          <w:b/>
          <w:kern w:val="2"/>
          <w:sz w:val="28"/>
          <w:szCs w:val="28"/>
          <w:lang w:val="en-US" w:eastAsia="zh-CN" w:bidi="ar-SA"/>
        </w:rPr>
        <w:t>图7：“三公”经费财政拨款支出结构</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方正仿宋_GBK" w:hAnsi="方正仿宋_GBK" w:eastAsia="方正仿宋_GBK" w:cs="方正仿宋_GBK"/>
          <w:sz w:val="32"/>
          <w:szCs w:val="32"/>
        </w:rPr>
      </w:pPr>
      <w:r>
        <w:rPr>
          <w:rFonts w:eastAsia="仿宋_GB2312"/>
          <w:bCs/>
          <w:sz w:val="32"/>
          <w:szCs w:val="32"/>
        </w:rPr>
        <w:drawing>
          <wp:anchor distT="0" distB="0" distL="114300" distR="114300" simplePos="0" relativeHeight="251849728" behindDoc="1" locked="0" layoutInCell="1" allowOverlap="1">
            <wp:simplePos x="0" y="0"/>
            <wp:positionH relativeFrom="column">
              <wp:posOffset>17780</wp:posOffset>
            </wp:positionH>
            <wp:positionV relativeFrom="paragraph">
              <wp:posOffset>137795</wp:posOffset>
            </wp:positionV>
            <wp:extent cx="5274310" cy="1978660"/>
            <wp:effectExtent l="5080" t="4445" r="16510" b="48895"/>
            <wp:wrapTight wrapText="bothSides">
              <wp:wrapPolygon>
                <wp:start x="-21" y="-49"/>
                <wp:lineTo x="-21" y="21579"/>
                <wp:lineTo x="21564" y="21579"/>
                <wp:lineTo x="21564" y="-49"/>
                <wp:lineTo x="-21" y="-49"/>
              </wp:wrapPolygon>
            </wp:wrapTight>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方正仿宋_GBK" w:hAnsi="方正仿宋_GBK" w:eastAsia="方正仿宋_GBK" w:cs="方正仿宋_GBK"/>
          <w:b/>
          <w:bCs/>
          <w:sz w:val="32"/>
          <w:szCs w:val="32"/>
        </w:rPr>
        <w:t>1.因公出国（境）经费支出</w:t>
      </w:r>
      <w:r>
        <w:rPr>
          <w:rFonts w:hint="eastAsia" w:ascii="方正仿宋_GBK" w:hAnsi="方正仿宋_GBK" w:eastAsia="方正仿宋_GBK" w:cs="方正仿宋_GBK"/>
          <w:b/>
          <w:bCs/>
          <w:sz w:val="32"/>
          <w:szCs w:val="32"/>
          <w:lang w:val="en-US" w:eastAsia="zh-CN"/>
        </w:rPr>
        <w:t>0</w:t>
      </w:r>
      <w:r>
        <w:rPr>
          <w:rFonts w:hint="eastAsia" w:ascii="方正仿宋_GBK" w:hAnsi="方正仿宋_GBK" w:eastAsia="方正仿宋_GBK" w:cs="方正仿宋_GBK"/>
          <w:b/>
          <w:bCs/>
          <w:sz w:val="32"/>
          <w:szCs w:val="32"/>
        </w:rPr>
        <w:t>万元，完成预算</w:t>
      </w:r>
      <w:r>
        <w:rPr>
          <w:rFonts w:hint="eastAsia" w:ascii="方正仿宋_GBK" w:hAnsi="方正仿宋_GBK" w:eastAsia="方正仿宋_GBK" w:cs="方正仿宋_GBK"/>
          <w:b/>
          <w:bCs/>
          <w:sz w:val="32"/>
          <w:szCs w:val="32"/>
          <w:lang w:val="en-US" w:eastAsia="zh-CN"/>
        </w:rPr>
        <w:t>100</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全年安排因公出国（境）团组</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次，出国（境）</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b w:val="0"/>
          <w:bCs/>
          <w:color w:val="000000"/>
          <w:sz w:val="32"/>
          <w:szCs w:val="32"/>
        </w:rPr>
        <w:t>因公出国（境）支出决算和202</w:t>
      </w:r>
      <w:r>
        <w:rPr>
          <w:rFonts w:hint="eastAsia" w:ascii="方正仿宋_GBK" w:hAnsi="方正仿宋_GBK" w:eastAsia="方正仿宋_GBK" w:cs="方正仿宋_GBK"/>
          <w:b w:val="0"/>
          <w:bCs/>
          <w:color w:val="000000"/>
          <w:sz w:val="32"/>
          <w:szCs w:val="32"/>
          <w:lang w:val="en-US" w:eastAsia="zh-CN"/>
        </w:rPr>
        <w:t>3</w:t>
      </w:r>
      <w:r>
        <w:rPr>
          <w:rFonts w:hint="eastAsia" w:ascii="方正仿宋_GBK" w:hAnsi="方正仿宋_GBK" w:eastAsia="方正仿宋_GBK" w:cs="方正仿宋_GBK"/>
          <w:b w:val="0"/>
          <w:bCs/>
          <w:color w:val="000000"/>
          <w:sz w:val="32"/>
          <w:szCs w:val="32"/>
        </w:rPr>
        <w:t>年持平</w:t>
      </w:r>
      <w:r>
        <w:rPr>
          <w:rFonts w:hint="eastAsia" w:ascii="方正仿宋_GBK" w:hAnsi="方正仿宋_GBK" w:eastAsia="方正仿宋_GBK" w:cs="方正仿宋_GBK"/>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2.公务用车购置及运行维护费支出</w:t>
      </w:r>
      <w:r>
        <w:rPr>
          <w:rFonts w:hint="default" w:ascii="Times New Roman" w:hAnsi="Times New Roman" w:eastAsia="方正仿宋_GBK" w:cs="Times New Roman"/>
          <w:b/>
          <w:bCs/>
          <w:sz w:val="32"/>
          <w:szCs w:val="32"/>
          <w:lang w:val="en-US" w:eastAsia="zh-CN"/>
        </w:rPr>
        <w:t>4.04</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公务用车购置及运行维护费支出决算比2023年度</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1.91</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32.10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我单位厉行节约，公务用车运行维护费减少幅度大。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其中：公务用车购置支出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万元。全年按规定更新购置公务用车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辆，其中：轿车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万元，越野车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万元，载客汽车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万元。截至2024年12月31日，单位共有公务用车</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辆，其中：轿车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辆、越野车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辆、载客汽车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Cs/>
          <w:color w:val="000000"/>
          <w:sz w:val="32"/>
          <w:szCs w:val="32"/>
        </w:rPr>
        <w:t>执法执勤用车</w:t>
      </w:r>
      <w:r>
        <w:rPr>
          <w:rFonts w:hint="default" w:ascii="Times New Roman" w:hAnsi="Times New Roman" w:eastAsia="方正仿宋_GBK" w:cs="Times New Roman"/>
          <w:bCs/>
          <w:color w:val="000000"/>
          <w:sz w:val="32"/>
          <w:szCs w:val="32"/>
          <w:lang w:val="en-US" w:eastAsia="zh-CN"/>
        </w:rPr>
        <w:t>3</w:t>
      </w:r>
      <w:r>
        <w:rPr>
          <w:rFonts w:hint="default" w:ascii="Times New Roman" w:hAnsi="Times New Roman" w:eastAsia="方正仿宋_GBK" w:cs="Times New Roman"/>
          <w:bCs/>
          <w:color w:val="000000"/>
          <w:sz w:val="32"/>
          <w:szCs w:val="32"/>
        </w:rPr>
        <w:t>辆</w:t>
      </w:r>
      <w:r>
        <w:rPr>
          <w:rFonts w:hint="default" w:ascii="Times New Roman" w:hAnsi="Times New Roman" w:eastAsia="方正仿宋_GBK" w:cs="Times New Roman"/>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sz w:val="32"/>
          <w:szCs w:val="32"/>
        </w:rPr>
        <w:t>公务用车运行维护费支出</w:t>
      </w:r>
      <w:r>
        <w:rPr>
          <w:rFonts w:hint="default" w:ascii="Times New Roman" w:hAnsi="Times New Roman" w:eastAsia="方正仿宋_GBK" w:cs="Times New Roman"/>
          <w:sz w:val="32"/>
          <w:szCs w:val="32"/>
          <w:lang w:val="en-US" w:eastAsia="zh-CN"/>
        </w:rPr>
        <w:t>4.04</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bCs/>
          <w:color w:val="000000"/>
          <w:sz w:val="32"/>
          <w:szCs w:val="32"/>
          <w:lang w:eastAsia="zh-CN"/>
        </w:rPr>
        <w:t>执法执勤</w:t>
      </w:r>
      <w:r>
        <w:rPr>
          <w:rFonts w:hint="default" w:ascii="Times New Roman" w:hAnsi="Times New Roman" w:eastAsia="方正仿宋_GBK" w:cs="Times New Roman"/>
          <w:bCs/>
          <w:color w:val="000000"/>
          <w:sz w:val="32"/>
          <w:szCs w:val="32"/>
        </w:rPr>
        <w:t>车辆发生的公务用车燃料费、维修费、过路过桥费、保险费、安全奖励费用等支出。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方正仿宋_GBK" w:cs="Times New Roman"/>
          <w:sz w:val="32"/>
          <w:szCs w:val="32"/>
        </w:rPr>
      </w:pPr>
      <w:bookmarkStart w:id="83" w:name="_Toc15377218"/>
      <w:bookmarkStart w:id="84" w:name="_Toc15396610"/>
      <w:r>
        <w:rPr>
          <w:rFonts w:hint="default" w:ascii="Times New Roman" w:hAnsi="Times New Roman" w:eastAsia="方正仿宋_GBK" w:cs="Times New Roman"/>
          <w:b/>
          <w:bCs/>
          <w:sz w:val="32"/>
          <w:szCs w:val="32"/>
        </w:rPr>
        <w:t>3.公务接待费支出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Cs/>
          <w:color w:val="000000"/>
          <w:sz w:val="32"/>
          <w:szCs w:val="32"/>
        </w:rPr>
        <w:t>公务接待费支出决算和202</w:t>
      </w:r>
      <w:r>
        <w:rPr>
          <w:rFonts w:hint="default" w:ascii="Times New Roman" w:hAnsi="Times New Roman" w:eastAsia="方正仿宋_GBK" w:cs="Times New Roman"/>
          <w:bCs/>
          <w:color w:val="000000"/>
          <w:sz w:val="32"/>
          <w:szCs w:val="32"/>
          <w:lang w:val="en-US" w:eastAsia="zh-CN"/>
        </w:rPr>
        <w:t>3</w:t>
      </w:r>
      <w:r>
        <w:rPr>
          <w:rFonts w:hint="default" w:ascii="Times New Roman" w:hAnsi="Times New Roman" w:eastAsia="方正仿宋_GBK" w:cs="Times New Roman"/>
          <w:bCs/>
          <w:color w:val="000000"/>
          <w:sz w:val="32"/>
          <w:szCs w:val="32"/>
        </w:rPr>
        <w:t>年度持平。</w:t>
      </w:r>
      <w:r>
        <w:rPr>
          <w:rFonts w:hint="default" w:ascii="Times New Roman" w:hAnsi="Times New Roman" w:eastAsia="方正仿宋_GBK" w:cs="Times New Roman"/>
          <w:sz w:val="32"/>
          <w:szCs w:val="32"/>
        </w:rPr>
        <w:t>其中：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国内公务接待支出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万元。国内公务接待</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批次，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人次（不包括陪同人员），共计支出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外事接待支出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万元。外事接待</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批次，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人次（不包括陪同人员），共计支出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1"/>
        <w:rPr>
          <w:rStyle w:val="30"/>
          <w:rFonts w:hint="eastAsia" w:ascii="方正黑体_GBK" w:hAnsi="方正黑体_GBK" w:eastAsia="方正黑体_GBK" w:cs="方正黑体_GBK"/>
        </w:rPr>
      </w:pPr>
      <w:bookmarkStart w:id="85" w:name="_Toc1843"/>
      <w:bookmarkStart w:id="86" w:name="_Toc18198"/>
      <w:r>
        <w:rPr>
          <w:rFonts w:hint="eastAsia" w:ascii="方正黑体_GBK" w:hAnsi="方正黑体_GBK" w:eastAsia="方正黑体_GBK" w:cs="方正黑体_GBK"/>
          <w:sz w:val="32"/>
          <w:szCs w:val="32"/>
        </w:rPr>
        <w:t>八、</w:t>
      </w:r>
      <w:r>
        <w:rPr>
          <w:rStyle w:val="30"/>
          <w:rFonts w:hint="eastAsia" w:ascii="方正黑体_GBK" w:hAnsi="方正黑体_GBK" w:eastAsia="方正黑体_GBK" w:cs="方正黑体_GBK"/>
          <w:b w:val="0"/>
        </w:rPr>
        <w:t>政府性基金预算支出决算情况说明</w:t>
      </w:r>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%。与2023年度相比，政府性基金预算财政拨款支出</w:t>
      </w:r>
      <w:r>
        <w:rPr>
          <w:rFonts w:hint="default" w:ascii="Times New Roman" w:hAnsi="Times New Roman" w:eastAsia="方正仿宋_GBK"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560" w:lineRule="exact"/>
        <w:ind w:left="630" w:leftChars="0" w:right="0" w:rightChars="0" w:firstLine="0" w:firstLineChars="0"/>
        <w:jc w:val="both"/>
        <w:textAlignment w:val="auto"/>
        <w:outlineLvl w:val="1"/>
        <w:rPr>
          <w:rStyle w:val="30"/>
          <w:rFonts w:hint="eastAsia" w:ascii="方正黑体_GBK" w:hAnsi="方正黑体_GBK" w:eastAsia="方正黑体_GBK" w:cs="方正黑体_GBK"/>
          <w:b w:val="0"/>
        </w:rPr>
      </w:pPr>
      <w:bookmarkStart w:id="87" w:name="_Toc15377219"/>
      <w:bookmarkStart w:id="88" w:name="_Toc15396611"/>
      <w:bookmarkStart w:id="89" w:name="_Toc27745"/>
      <w:bookmarkStart w:id="90" w:name="_Toc8423"/>
      <w:r>
        <w:rPr>
          <w:rStyle w:val="30"/>
          <w:rFonts w:hint="eastAsia" w:ascii="方正黑体_GBK" w:hAnsi="方正黑体_GBK" w:eastAsia="方正黑体_GBK" w:cs="方正黑体_GBK"/>
          <w:b w:val="0"/>
        </w:rPr>
        <w:t>九、国有资本经营预算支出决算情况说明</w:t>
      </w:r>
      <w:bookmarkEnd w:id="87"/>
      <w:bookmarkEnd w:id="88"/>
      <w:bookmarkEnd w:id="89"/>
      <w:bookmarkEnd w:id="9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bookmarkStart w:id="91" w:name="_Toc23950"/>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2024年度国有资本经营预算财政拨款支出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%。与2023年度相比，国有资本经营预算财政拨款支出</w:t>
      </w:r>
      <w:r>
        <w:rPr>
          <w:rFonts w:hint="default" w:ascii="Times New Roman" w:hAnsi="Times New Roman" w:eastAsia="方正仿宋_GBK" w:cs="Times New Roman"/>
          <w:sz w:val="32"/>
          <w:szCs w:val="32"/>
          <w:lang w:eastAsia="zh-CN"/>
        </w:rPr>
        <w:t>持平。</w:t>
      </w:r>
      <w:bookmarkEnd w:id="91"/>
    </w:p>
    <w:p>
      <w:pPr>
        <w:keepNext w:val="0"/>
        <w:keepLines w:val="0"/>
        <w:pageBreakBefore w:val="0"/>
        <w:widowControl w:val="0"/>
        <w:kinsoku/>
        <w:wordWrap/>
        <w:overflowPunct/>
        <w:topLinePunct w:val="0"/>
        <w:autoSpaceDE/>
        <w:autoSpaceDN/>
        <w:bidi w:val="0"/>
        <w:adjustRightInd/>
        <w:snapToGrid/>
        <w:spacing w:line="560" w:lineRule="exact"/>
        <w:ind w:left="630" w:leftChars="0" w:right="0" w:rightChars="0" w:firstLine="0" w:firstLineChars="0"/>
        <w:jc w:val="both"/>
        <w:textAlignment w:val="auto"/>
        <w:outlineLvl w:val="1"/>
        <w:rPr>
          <w:rStyle w:val="30"/>
          <w:rFonts w:hint="eastAsia" w:ascii="方正黑体_GBK" w:hAnsi="方正黑体_GBK" w:eastAsia="方正黑体_GBK" w:cs="方正黑体_GBK"/>
          <w:b w:val="0"/>
        </w:rPr>
      </w:pPr>
      <w:bookmarkStart w:id="92" w:name="_Toc12301"/>
      <w:bookmarkStart w:id="93" w:name="_Toc11369"/>
      <w:bookmarkStart w:id="94" w:name="_Toc15396612"/>
      <w:bookmarkStart w:id="95" w:name="_Toc15377221"/>
      <w:r>
        <w:rPr>
          <w:rStyle w:val="30"/>
          <w:rFonts w:hint="eastAsia" w:ascii="方正黑体_GBK" w:hAnsi="方正黑体_GBK" w:eastAsia="方正黑体_GBK" w:cs="方正黑体_GBK"/>
          <w:b w:val="0"/>
        </w:rPr>
        <w:t>十、其他重要事项的情况说明</w:t>
      </w:r>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2"/>
        <w:rPr>
          <w:rFonts w:eastAsia="楷体_GB2312" w:cs="楷体_GB2312"/>
          <w:b/>
          <w:sz w:val="32"/>
          <w:szCs w:val="32"/>
        </w:rPr>
      </w:pPr>
      <w:bookmarkStart w:id="96" w:name="_Toc15377222"/>
      <w:r>
        <w:rPr>
          <w:rFonts w:hint="eastAsia" w:eastAsia="楷体_GB2312" w:cs="楷体_GB2312"/>
          <w:b/>
          <w:sz w:val="32"/>
          <w:szCs w:val="32"/>
        </w:rPr>
        <w:t>（一）机关运行经费支出情况</w:t>
      </w:r>
      <w:bookmarkEnd w:id="9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eastAsia="zh-CN"/>
        </w:rPr>
        <w:t>中国共产党盐边县纪律检查委员会</w:t>
      </w:r>
      <w:r>
        <w:rPr>
          <w:rFonts w:hint="default" w:ascii="Times New Roman" w:hAnsi="Times New Roman" w:eastAsia="方正仿宋_GBK" w:cs="Times New Roman"/>
          <w:sz w:val="32"/>
          <w:szCs w:val="32"/>
        </w:rPr>
        <w:t>机关运行经费支出</w:t>
      </w:r>
      <w:r>
        <w:rPr>
          <w:rFonts w:hint="default" w:ascii="Times New Roman" w:hAnsi="Times New Roman" w:eastAsia="方正仿宋_GBK" w:cs="Times New Roman"/>
          <w:sz w:val="32"/>
          <w:szCs w:val="32"/>
          <w:lang w:val="en-US" w:eastAsia="zh-CN"/>
        </w:rPr>
        <w:t>97.73</w:t>
      </w:r>
      <w:r>
        <w:rPr>
          <w:rFonts w:hint="default" w:ascii="Times New Roman" w:hAnsi="Times New Roman" w:eastAsia="方正仿宋_GBK" w:cs="Times New Roman"/>
          <w:sz w:val="32"/>
          <w:szCs w:val="32"/>
        </w:rPr>
        <w:t>万元，比2023年度减少</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1.01</w:t>
      </w:r>
      <w:r>
        <w:rPr>
          <w:rFonts w:hint="default" w:ascii="Times New Roman" w:hAnsi="Times New Roman" w:eastAsia="方正仿宋_GBK" w:cs="Times New Roman"/>
          <w:sz w:val="32"/>
          <w:szCs w:val="32"/>
        </w:rPr>
        <w:t>%。主要原因是落实过紧日子要求，厉行节约，从严控制和压缩相关经费支出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2"/>
        <w:rPr>
          <w:rFonts w:eastAsia="楷体_GB2312" w:cs="楷体_GB2312"/>
          <w:b/>
          <w:sz w:val="32"/>
          <w:szCs w:val="32"/>
        </w:rPr>
      </w:pPr>
      <w:bookmarkStart w:id="97" w:name="_Toc15377223"/>
      <w:r>
        <w:rPr>
          <w:rFonts w:hint="eastAsia" w:eastAsia="楷体_GB2312" w:cs="楷体_GB2312"/>
          <w:b/>
          <w:sz w:val="32"/>
          <w:szCs w:val="32"/>
        </w:rPr>
        <w:t>（二）政府采购支出情况</w:t>
      </w:r>
      <w:bookmarkEnd w:id="9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eastAsia="zh-CN"/>
        </w:rPr>
        <w:t>中国共产党盐边县纪律检查委员会</w:t>
      </w:r>
      <w:r>
        <w:rPr>
          <w:rFonts w:hint="default" w:ascii="Times New Roman" w:hAnsi="Times New Roman" w:eastAsia="方正仿宋_GBK" w:cs="Times New Roman"/>
          <w:sz w:val="32"/>
          <w:szCs w:val="32"/>
        </w:rPr>
        <w:t>采购支出总额</w:t>
      </w:r>
      <w:r>
        <w:rPr>
          <w:rFonts w:hint="default" w:ascii="Times New Roman" w:hAnsi="Times New Roman" w:eastAsia="方正仿宋_GBK" w:cs="Times New Roman"/>
          <w:sz w:val="32"/>
          <w:szCs w:val="32"/>
          <w:lang w:val="en-US" w:eastAsia="zh-CN"/>
        </w:rPr>
        <w:t>25.69</w:t>
      </w:r>
      <w:r>
        <w:rPr>
          <w:rFonts w:hint="default" w:ascii="Times New Roman" w:hAnsi="Times New Roman" w:eastAsia="方正仿宋_GBK" w:cs="Times New Roman"/>
          <w:sz w:val="32"/>
          <w:szCs w:val="32"/>
        </w:rPr>
        <w:t>万元，其中：政府采购货物支出</w:t>
      </w:r>
      <w:r>
        <w:rPr>
          <w:rFonts w:hint="default" w:ascii="Times New Roman" w:hAnsi="Times New Roman" w:eastAsia="方正仿宋_GBK" w:cs="Times New Roman"/>
          <w:sz w:val="32"/>
          <w:szCs w:val="32"/>
          <w:lang w:val="en-US" w:eastAsia="zh-CN"/>
        </w:rPr>
        <w:t>23.70</w:t>
      </w:r>
      <w:r>
        <w:rPr>
          <w:rFonts w:hint="default" w:ascii="Times New Roman" w:hAnsi="Times New Roman" w:eastAsia="方正仿宋_GBK" w:cs="Times New Roman"/>
          <w:sz w:val="32"/>
          <w:szCs w:val="32"/>
        </w:rPr>
        <w:t>万元、政府采购工程支出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万元、政府采购服务支出</w:t>
      </w:r>
      <w:r>
        <w:rPr>
          <w:rFonts w:hint="default" w:ascii="Times New Roman" w:hAnsi="Times New Roman" w:eastAsia="方正仿宋_GBK" w:cs="Times New Roman"/>
          <w:sz w:val="32"/>
          <w:szCs w:val="32"/>
          <w:lang w:val="en-US" w:eastAsia="zh-CN"/>
        </w:rPr>
        <w:t>1.99</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sz w:val="32"/>
          <w:szCs w:val="32"/>
          <w:lang w:eastAsia="zh-CN"/>
        </w:rPr>
        <w:t>办公设备采购，购买公务用车加油、添加燃料服务和公务用车财产保险服务</w:t>
      </w:r>
      <w:r>
        <w:rPr>
          <w:rFonts w:hint="default" w:ascii="Times New Roman" w:hAnsi="Times New Roman" w:eastAsia="方正仿宋_GBK" w:cs="Times New Roman"/>
          <w:sz w:val="32"/>
          <w:szCs w:val="32"/>
        </w:rPr>
        <w:t>。授予中小企业合同金额</w:t>
      </w:r>
      <w:r>
        <w:rPr>
          <w:rFonts w:hint="default" w:ascii="Times New Roman" w:hAnsi="Times New Roman" w:eastAsia="方正仿宋_GBK" w:cs="Times New Roman"/>
          <w:sz w:val="32"/>
          <w:szCs w:val="32"/>
          <w:lang w:val="en-US" w:eastAsia="zh-CN"/>
        </w:rPr>
        <w:t>23.70</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92.25</w:t>
      </w:r>
      <w:r>
        <w:rPr>
          <w:rFonts w:hint="default" w:ascii="Times New Roman" w:hAnsi="Times New Roman" w:eastAsia="方正仿宋_GBK" w:cs="Times New Roman"/>
          <w:sz w:val="32"/>
          <w:szCs w:val="32"/>
        </w:rPr>
        <w:t>%，其中：授予小微企业合同金额</w:t>
      </w:r>
      <w:r>
        <w:rPr>
          <w:rFonts w:hint="default" w:ascii="Times New Roman" w:hAnsi="Times New Roman" w:eastAsia="方正仿宋_GBK" w:cs="Times New Roman"/>
          <w:sz w:val="32"/>
          <w:szCs w:val="32"/>
          <w:lang w:val="en-US" w:eastAsia="zh-CN"/>
        </w:rPr>
        <w:t>23.70</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92.25</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2"/>
        <w:rPr>
          <w:rFonts w:eastAsia="楷体_GB2312" w:cs="楷体_GB2312"/>
          <w:b/>
          <w:sz w:val="32"/>
          <w:szCs w:val="32"/>
        </w:rPr>
      </w:pPr>
      <w:bookmarkStart w:id="98" w:name="_Toc15377224"/>
      <w:r>
        <w:rPr>
          <w:rFonts w:hint="eastAsia" w:eastAsia="楷体_GB2312" w:cs="楷体_GB2312"/>
          <w:b/>
          <w:sz w:val="32"/>
          <w:szCs w:val="32"/>
        </w:rPr>
        <w:t>（三）国有资产占有使用情况</w:t>
      </w:r>
      <w:bookmarkEnd w:id="9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截至2024年12月31日，</w:t>
      </w:r>
      <w:r>
        <w:rPr>
          <w:rFonts w:hint="default" w:ascii="Times New Roman" w:hAnsi="Times New Roman" w:eastAsia="方正仿宋_GBK" w:cs="Times New Roman"/>
          <w:sz w:val="32"/>
          <w:szCs w:val="32"/>
          <w:lang w:eastAsia="zh-CN"/>
        </w:rPr>
        <w:t>中国共产党盐边县纪律检查委员会</w:t>
      </w:r>
      <w:r>
        <w:rPr>
          <w:rFonts w:hint="default" w:ascii="Times New Roman" w:hAnsi="Times New Roman" w:eastAsia="方正仿宋_GBK" w:cs="Times New Roman"/>
          <w:sz w:val="32"/>
          <w:szCs w:val="32"/>
        </w:rPr>
        <w:t>共有车辆</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辆，其中：主要负责人用车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辆、机要通信用车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辆、其他用车</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辆，其他用车</w:t>
      </w:r>
      <w:r>
        <w:rPr>
          <w:rFonts w:hint="default" w:ascii="Times New Roman" w:hAnsi="Times New Roman" w:eastAsia="仿宋_GB2312" w:cs="Times New Roman"/>
          <w:sz w:val="32"/>
          <w:szCs w:val="32"/>
        </w:rPr>
        <w:t>主要是用于</w:t>
      </w:r>
      <w:r>
        <w:rPr>
          <w:rFonts w:hint="eastAsia" w:eastAsia="方正仿宋_GBK"/>
          <w:bCs/>
          <w:color w:val="000000"/>
          <w:sz w:val="33"/>
          <w:szCs w:val="33"/>
        </w:rPr>
        <w:t>执法执勤，案件办理</w:t>
      </w:r>
      <w:r>
        <w:rPr>
          <w:rFonts w:hint="default" w:ascii="Times New Roman" w:hAnsi="Times New Roman" w:eastAsia="仿宋_GB2312" w:cs="Times New Roman"/>
          <w:sz w:val="32"/>
          <w:szCs w:val="32"/>
        </w:rPr>
        <w:t>。单价100万元（含）以上设备（不含车辆）</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台（套）。</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textAlignment w:val="auto"/>
        <w:outlineLvl w:val="2"/>
        <w:rPr>
          <w:rFonts w:eastAsia="楷体_GB2312" w:cs="楷体_GB2312"/>
          <w:b/>
          <w:sz w:val="32"/>
          <w:szCs w:val="32"/>
        </w:rPr>
      </w:pPr>
      <w:r>
        <w:rPr>
          <w:rFonts w:hint="eastAsia" w:eastAsia="楷体_GB2312" w:cs="楷体_GB2312"/>
          <w:b/>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eastAsia="zh-CN"/>
        </w:rPr>
        <w:t>本部门</w:t>
      </w:r>
      <w:r>
        <w:rPr>
          <w:rFonts w:hint="default" w:ascii="Times New Roman" w:hAnsi="Times New Roman" w:eastAsia="方正仿宋_GBK" w:cs="Times New Roman"/>
          <w:sz w:val="32"/>
          <w:szCs w:val="32"/>
        </w:rPr>
        <w:t>在2024年度预算编制阶段，组织对</w:t>
      </w:r>
      <w:r>
        <w:rPr>
          <w:rFonts w:hint="default" w:ascii="Times New Roman" w:hAnsi="Times New Roman" w:eastAsia="方正仿宋_GBK" w:cs="Times New Roman"/>
          <w:sz w:val="32"/>
          <w:szCs w:val="32"/>
          <w:lang w:eastAsia="zh-CN"/>
        </w:rPr>
        <w:t>派驻纪检组集中办公所需设施设备专项经费</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个项目开展了预算事前绩效评估，对</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个项目编制了绩效目标，预算执行过程中，</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个项目开展绩效监控。</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组织对2024年度一般公共预算、政府性基金预算、国有资本经营预算、社会保险基金预算以及资本资产、债券资金等全面开展绩效自评，形成</w:t>
      </w:r>
      <w:r>
        <w:rPr>
          <w:rFonts w:hint="default" w:ascii="Times New Roman" w:hAnsi="Times New Roman" w:eastAsia="方正仿宋_GBK" w:cs="Times New Roman"/>
          <w:sz w:val="32"/>
          <w:szCs w:val="32"/>
          <w:lang w:eastAsia="zh-CN"/>
        </w:rPr>
        <w:t>中共盐边县纪律检查委员会</w:t>
      </w:r>
      <w:r>
        <w:rPr>
          <w:rFonts w:hint="default" w:ascii="Times New Roman" w:hAnsi="Times New Roman" w:eastAsia="方正仿宋_GBK" w:cs="Times New Roman"/>
          <w:sz w:val="32"/>
          <w:szCs w:val="32"/>
        </w:rPr>
        <w:t>部门整体（含部门预算项目）绩效自评报告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中共盐边县纪律检查委员会</w:t>
      </w:r>
      <w:r>
        <w:rPr>
          <w:rFonts w:hint="default" w:ascii="Times New Roman" w:hAnsi="Times New Roman" w:eastAsia="方正仿宋_GBK" w:cs="Times New Roman"/>
          <w:sz w:val="32"/>
          <w:szCs w:val="32"/>
        </w:rPr>
        <w:t>部门整体（含部门预算项目）绩效自评得分为</w:t>
      </w:r>
      <w:r>
        <w:rPr>
          <w:rFonts w:hint="default" w:ascii="Times New Roman" w:hAnsi="Times New Roman" w:eastAsia="方正仿宋_GBK" w:cs="Times New Roman"/>
          <w:sz w:val="32"/>
          <w:szCs w:val="32"/>
          <w:lang w:val="en-US" w:eastAsia="zh-CN"/>
        </w:rPr>
        <w:t>95</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支出使用科学合理，依据充分，管理较为规范，完成效果好，实施后达到了预期目的，经评价为</w:t>
      </w:r>
      <w:r>
        <w:rPr>
          <w:rFonts w:hint="default" w:ascii="Times New Roman" w:hAnsi="Times New Roman" w:eastAsia="方正仿宋_GBK" w:cs="Times New Roman"/>
          <w:sz w:val="32"/>
          <w:szCs w:val="32"/>
          <w:lang w:eastAsia="zh-CN"/>
        </w:rPr>
        <w:t>优</w:t>
      </w:r>
      <w:r>
        <w:rPr>
          <w:rFonts w:hint="default" w:ascii="Times New Roman" w:hAnsi="Times New Roman" w:eastAsia="方正仿宋_GBK" w:cs="Times New Roman"/>
          <w:sz w:val="32"/>
          <w:szCs w:val="32"/>
        </w:rPr>
        <w:t>；绩效自评报告详见附件。</w:t>
      </w:r>
    </w:p>
    <w:p>
      <w:pPr>
        <w:pStyle w:val="13"/>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rPr>
          <w:rFonts w:hint="default" w:ascii="Times New Roman" w:hAnsi="Times New Roman" w:eastAsia="方正仿宋_GBK" w:cs="Times New Roman"/>
          <w:sz w:val="32"/>
          <w:szCs w:val="32"/>
        </w:rPr>
      </w:pPr>
    </w:p>
    <w:p>
      <w:pPr>
        <w:pStyle w:val="7"/>
        <w:pageBreakBefore w:val="0"/>
        <w:kinsoku/>
        <w:wordWrap/>
        <w:overflowPunct/>
        <w:topLinePunct w:val="0"/>
        <w:bidi w:val="0"/>
        <w:spacing w:after="0" w:line="560" w:lineRule="exact"/>
        <w:ind w:right="0" w:rightChars="0"/>
        <w:textAlignment w:val="auto"/>
      </w:pPr>
    </w:p>
    <w:p>
      <w:pPr>
        <w:pageBreakBefore w:val="0"/>
        <w:kinsoku/>
        <w:wordWrap/>
        <w:overflowPunct/>
        <w:topLinePunct w:val="0"/>
        <w:bidi w:val="0"/>
        <w:spacing w:line="560" w:lineRule="exact"/>
        <w:ind w:right="0" w:rightChars="0" w:firstLine="640"/>
        <w:textAlignment w:val="auto"/>
        <w:rPr>
          <w:rFonts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bCs/>
          <w:sz w:val="44"/>
          <w:szCs w:val="44"/>
        </w:rPr>
      </w:pPr>
      <w:bookmarkStart w:id="99" w:name="_Toc15396613"/>
      <w:bookmarkStart w:id="100" w:name="_Toc15377225"/>
      <w:bookmarkStart w:id="101" w:name="_Toc10504"/>
      <w:bookmarkStart w:id="102" w:name="_Toc31497"/>
      <w:r>
        <w:rPr>
          <w:rFonts w:hint="eastAsia" w:ascii="方正小标宋_GBK" w:hAnsi="方正小标宋_GBK" w:eastAsia="方正小标宋_GBK" w:cs="方正小标宋_GBK"/>
          <w:b/>
          <w:bCs/>
          <w:sz w:val="44"/>
          <w:szCs w:val="44"/>
        </w:rPr>
        <w:t>第三部分  名词解释</w:t>
      </w:r>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0"/>
        <w:rPr>
          <w:rFonts w:hint="default" w:ascii="Times New Roman" w:hAnsi="Times New Roman" w:eastAsia="方正仿宋_GBK" w:cs="Times New Roman"/>
          <w:b/>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bookmarkStart w:id="103" w:name="_Toc15396614"/>
      <w:bookmarkStart w:id="104" w:name="_Toc15377226"/>
      <w:r>
        <w:rPr>
          <w:rFonts w:hint="default" w:ascii="Times New Roman" w:hAnsi="Times New Roman" w:eastAsia="方正仿宋_GBK" w:cs="Times New Roman"/>
          <w:sz w:val="32"/>
          <w:szCs w:val="32"/>
        </w:rPr>
        <w:t>1.财政拨款收入：指单位从同级财政部门取得的财政预算资金。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2.事业收入：指事业单位开展专业业务活动及辅助活动取得的收入。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3.经营收入：指事业单位在专业业务活动及其辅助活动之外开展非独立核算经营活动取得的收入。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4.其他收入：指单位取得的除上述收入以外的各项收入。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5.使用非财政拨款结余（含专用结余）：指事业单位使用以前年度积累的非财政拨款结余弥补当年收支差额的金额。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6.年初结转和结余：指以前年度尚未完成、结转到本年按有关规定继续使用的资金。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7.结余分配：指事业单位按照会计制度规定缴纳的所得税、提取的专用结余以及转入非财政拨款结余的金额等。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8.年末结转和结余：指单位按有关规定结转到下年或以后年度继续使用的资金。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9.一般公共服务</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（类）纪检监察事务（款）行政运行（项）: 指行政单位（包括实行公务员管理的事业单位）的基本支出。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10.一般公共服务</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（类）纪检监察事务（款）大案要案查处（项）:指查处大要（专）案的支出。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11.一般公共服务</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（类）纪检监察事务（款）巡视工作（项）: 指中央和地方巡视机构的专项业务支出。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Style w:val="17"/>
          <w:rFonts w:hint="default" w:ascii="Times New Roman" w:hAnsi="Times New Roman" w:eastAsia="方正仿宋_GBK" w:cs="Times New Roman"/>
          <w:b w:val="0"/>
          <w:bCs/>
          <w:sz w:val="32"/>
          <w:szCs w:val="32"/>
        </w:rPr>
      </w:pPr>
      <w:r>
        <w:rPr>
          <w:rFonts w:hint="default" w:ascii="Times New Roman" w:hAnsi="Times New Roman" w:eastAsia="方正仿宋_GBK" w:cs="Times New Roman"/>
          <w:kern w:val="0"/>
          <w:sz w:val="32"/>
          <w:szCs w:val="32"/>
        </w:rPr>
        <w:t>12.一般公共服务</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（类）纪检监察事务（款）事业运行（项）:指事业单位的基本支出，不包括行政单位（包括实行公务员管理的事业单位）后勤服务中心、医务室等附属事业单位。</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13.一般公共服务</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（类）纪检监察事务（款）其他纪检监察事务支出（项）: 指除行政运行、一般行政管理事务、机关服务、公务员事务、事业运行以外其他用于纪检监察事务方面的支出。</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1</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.社会保障和就业</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（类）行政事业单位养老支出（款）行政单位离退休（项）: 指行政单位（包括实行公务员管理的事业单位）开支的离退休经费。</w:t>
      </w:r>
    </w:p>
    <w:p>
      <w:pPr>
        <w:pStyle w:val="2"/>
        <w:keepNext w:val="0"/>
        <w:keepLines w:val="0"/>
        <w:pageBreakBefore w:val="0"/>
        <w:kinsoku/>
        <w:wordWrap/>
        <w:overflowPunct/>
        <w:topLinePunct w:val="0"/>
        <w:autoSpaceDE/>
        <w:autoSpaceDN/>
        <w:bidi w:val="0"/>
        <w:adjustRightInd/>
        <w:snapToGrid/>
        <w:spacing w:beforeLines="0" w:line="560" w:lineRule="exact"/>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.社会保障和就业</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（类）行政事业单位养老支出（款）机关事业单位基本养老保险缴费支出（项）: 指机关事业单位实施养老保险制度由单位缴纳的基本养老保险费支出。</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.社会保障和就业</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（类）行政事业单位养老支出（款）机关事业单位职业年金缴费支出（项）: 指机关事业单位实施养老保险制度由单位实际缴纳的职业年金支出。</w:t>
      </w:r>
    </w:p>
    <w:p>
      <w:pPr>
        <w:pStyle w:val="36"/>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 xml:space="preserve">    17.社会保障和就业支出（类）抚恤（款）伤残抚恤（项）：指按规定用于伤残人员的抚恤金和按规定开支的各种伤残补助费。</w:t>
      </w:r>
    </w:p>
    <w:p>
      <w:pPr>
        <w:pStyle w:val="2"/>
        <w:keepNext w:val="0"/>
        <w:keepLines w:val="0"/>
        <w:pageBreakBefore w:val="0"/>
        <w:kinsoku/>
        <w:wordWrap/>
        <w:overflowPunct/>
        <w:topLinePunct w:val="0"/>
        <w:autoSpaceDE/>
        <w:autoSpaceDN/>
        <w:bidi w:val="0"/>
        <w:adjustRightInd/>
        <w:snapToGrid/>
        <w:spacing w:beforeLines="0" w:line="560" w:lineRule="exact"/>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18.卫生健康</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19.卫生健康</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（类）行政事业单位医疗（款）事业单位医疗（项）:指财政部门安排的事业单位基本医疗保险缴费经费，未参加医疗保险的事业单位的公费医疗经费，按国家规定享受离休人员待遇的医疗经费。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20.卫生健康</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（类）行政事业单位医疗（款）公务员医疗补助（项）:指财政部门安排的公务员医疗补助经费。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21.卫生健康</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（类）行政事业单位医疗（款）其他行政事业单位医疗支出（项）:指除行政单位医疗、事业单位医疗、公务员医疗补助的其他用于行政事业单位医疗方面的支出。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22.住房保障</w:t>
      </w:r>
      <w:r>
        <w:rPr>
          <w:rFonts w:hint="default" w:ascii="Times New Roman" w:hAnsi="Times New Roman" w:eastAsia="方正仿宋_GBK" w:cs="Times New Roman"/>
          <w:kern w:val="0"/>
          <w:sz w:val="32"/>
          <w:szCs w:val="32"/>
          <w:lang w:eastAsia="zh-CN"/>
        </w:rPr>
        <w:t>支出</w:t>
      </w:r>
      <w:r>
        <w:rPr>
          <w:rFonts w:hint="default" w:ascii="Times New Roman" w:hAnsi="Times New Roman" w:eastAsia="方正仿宋_GBK" w:cs="Times New Roman"/>
          <w:kern w:val="0"/>
          <w:sz w:val="32"/>
          <w:szCs w:val="32"/>
        </w:rPr>
        <w:t>（类）住房改革支出（款）住房公积金（项）:指行政事业单位按人力资源和社会保障部、财政部规定的基本工资和津贴补贴以及规定比例为职工缴纳的住房公积金。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.基本支出：指为保障机构正常运转、完成日常工作任务而发生的人员支出和公用支出。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.经营支出：指事业单位在专业业务活动及其辅助活动之外开展非独立核算经营活动发生的支出。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sz w:val="44"/>
          <w:szCs w:val="44"/>
        </w:rPr>
      </w:pPr>
    </w:p>
    <w:p>
      <w:pPr>
        <w:pageBreakBefore w:val="0"/>
        <w:kinsoku/>
        <w:wordWrap/>
        <w:overflowPunct/>
        <w:topLinePunct w:val="0"/>
        <w:bidi w:val="0"/>
        <w:spacing w:line="560" w:lineRule="exact"/>
        <w:ind w:right="0" w:rightChars="0"/>
        <w:jc w:val="center"/>
        <w:textAlignment w:val="auto"/>
        <w:rPr>
          <w:rFonts w:hint="eastAsia" w:eastAsia="黑体"/>
          <w:sz w:val="44"/>
          <w:szCs w:val="44"/>
        </w:rPr>
      </w:pPr>
    </w:p>
    <w:p>
      <w:pPr>
        <w:pageBreakBefore w:val="0"/>
        <w:kinsoku/>
        <w:wordWrap/>
        <w:overflowPunct/>
        <w:topLinePunct w:val="0"/>
        <w:bidi w:val="0"/>
        <w:spacing w:line="560" w:lineRule="exact"/>
        <w:ind w:right="0" w:rightChars="0"/>
        <w:jc w:val="center"/>
        <w:textAlignment w:val="auto"/>
        <w:rPr>
          <w:rFonts w:hint="eastAsia" w:eastAsia="黑体"/>
          <w:sz w:val="44"/>
          <w:szCs w:val="44"/>
        </w:rPr>
      </w:pPr>
    </w:p>
    <w:p>
      <w:pPr>
        <w:pStyle w:val="2"/>
        <w:rPr>
          <w:rFonts w:hint="eastAsia" w:eastAsia="黑体"/>
          <w:sz w:val="44"/>
          <w:szCs w:val="44"/>
        </w:rPr>
      </w:pPr>
    </w:p>
    <w:p>
      <w:pPr>
        <w:pStyle w:val="2"/>
        <w:rPr>
          <w:rFonts w:hint="eastAsia" w:eastAsia="黑体"/>
          <w:sz w:val="44"/>
          <w:szCs w:val="44"/>
        </w:rPr>
      </w:pPr>
    </w:p>
    <w:p>
      <w:pPr>
        <w:pStyle w:val="2"/>
        <w:rPr>
          <w:rFonts w:hint="eastAsia" w:eastAsia="黑体"/>
          <w:sz w:val="44"/>
          <w:szCs w:val="44"/>
        </w:rPr>
      </w:pPr>
    </w:p>
    <w:p>
      <w:pPr>
        <w:pStyle w:val="2"/>
        <w:rPr>
          <w:rFonts w:hint="eastAsia" w:eastAsia="黑体"/>
          <w:sz w:val="44"/>
          <w:szCs w:val="44"/>
        </w:rPr>
      </w:pPr>
    </w:p>
    <w:p>
      <w:pPr>
        <w:pStyle w:val="2"/>
        <w:rPr>
          <w:rFonts w:hint="eastAsia" w:eastAsia="黑体"/>
          <w:sz w:val="44"/>
          <w:szCs w:val="44"/>
        </w:rPr>
      </w:pPr>
    </w:p>
    <w:p>
      <w:pPr>
        <w:pStyle w:val="2"/>
        <w:rPr>
          <w:rFonts w:hint="eastAsia" w:eastAsia="黑体"/>
          <w:sz w:val="44"/>
          <w:szCs w:val="44"/>
        </w:rPr>
      </w:pPr>
    </w:p>
    <w:p>
      <w:pPr>
        <w:pStyle w:val="2"/>
        <w:rPr>
          <w:rFonts w:hint="eastAsia"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Style w:val="29"/>
          <w:rFonts w:hint="eastAsia" w:ascii="方正小标宋_GBK" w:hAnsi="方正小标宋_GBK" w:eastAsia="方正小标宋_GBK" w:cs="方正小标宋_GBK"/>
          <w:b w:val="0"/>
        </w:rPr>
      </w:pPr>
      <w:bookmarkStart w:id="105" w:name="_Toc18754"/>
      <w:bookmarkStart w:id="106" w:name="_Toc22455"/>
      <w:r>
        <w:rPr>
          <w:rFonts w:hint="eastAsia" w:ascii="方正小标宋_GBK" w:hAnsi="方正小标宋_GBK" w:eastAsia="方正小标宋_GBK" w:cs="方正小标宋_GBK"/>
          <w:sz w:val="44"/>
          <w:szCs w:val="44"/>
        </w:rPr>
        <w:t>第四部分  附件</w:t>
      </w:r>
      <w:bookmarkEnd w:id="103"/>
      <w:bookmarkEnd w:id="105"/>
      <w:bookmarkEnd w:id="106"/>
    </w:p>
    <w:p>
      <w:pPr>
        <w:pageBreakBefore w:val="0"/>
        <w:kinsoku/>
        <w:wordWrap/>
        <w:overflowPunct/>
        <w:topLinePunct w:val="0"/>
        <w:bidi w:val="0"/>
        <w:spacing w:line="560" w:lineRule="exact"/>
        <w:ind w:right="0" w:rightChars="0"/>
        <w:jc w:val="left"/>
        <w:textAlignment w:val="auto"/>
        <w:outlineLvl w:val="0"/>
        <w:rPr>
          <w:rFonts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eastAsia="黑体" w:cs="黑体"/>
          <w:sz w:val="32"/>
          <w:szCs w:val="32"/>
        </w:rPr>
      </w:pPr>
      <w:bookmarkStart w:id="107" w:name="_Toc3577"/>
      <w:bookmarkStart w:id="108" w:name="_Toc18365"/>
      <w:r>
        <w:rPr>
          <w:rFonts w:hint="eastAsia" w:eastAsia="黑体" w:cs="黑体"/>
          <w:sz w:val="32"/>
          <w:szCs w:val="32"/>
        </w:rPr>
        <w:t>附件1</w:t>
      </w:r>
      <w:bookmarkEnd w:id="107"/>
      <w:bookmarkEnd w:id="108"/>
    </w:p>
    <w:p>
      <w:pPr>
        <w:pStyle w:val="2"/>
        <w:keepNext w:val="0"/>
        <w:keepLines w:val="0"/>
        <w:pageBreakBefore w:val="0"/>
        <w:kinsoku/>
        <w:wordWrap/>
        <w:overflowPunct/>
        <w:topLinePunct w:val="0"/>
        <w:autoSpaceDE/>
        <w:autoSpaceDN/>
        <w:bidi w:val="0"/>
        <w:spacing w:beforeLines="0" w:line="560" w:lineRule="exact"/>
        <w:ind w:left="0" w:leftChars="0" w:right="0" w:rightChars="0"/>
        <w:textAlignment w:val="auto"/>
        <w:outlineLvl w:val="9"/>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202</w:t>
      </w:r>
      <w:r>
        <w:rPr>
          <w:rFonts w:hint="eastAsia" w:ascii="方正小标宋_GBK" w:hAnsi="方正小标宋_GBK" w:eastAsia="方正小标宋_GBK" w:cs="方正小标宋_GBK"/>
          <w:b w:val="0"/>
          <w:bCs/>
          <w:sz w:val="44"/>
          <w:szCs w:val="44"/>
          <w:lang w:val="en-US" w:eastAsia="zh-CN"/>
        </w:rPr>
        <w:t>4</w:t>
      </w:r>
      <w:r>
        <w:rPr>
          <w:rFonts w:hint="eastAsia" w:ascii="方正小标宋_GBK" w:hAnsi="方正小标宋_GBK" w:eastAsia="方正小标宋_GBK" w:cs="方正小标宋_GBK"/>
          <w:b w:val="0"/>
          <w:bCs/>
          <w:sz w:val="44"/>
          <w:szCs w:val="44"/>
        </w:rPr>
        <w:t>年中共盐边县纪</w:t>
      </w:r>
      <w:r>
        <w:rPr>
          <w:rFonts w:hint="eastAsia" w:ascii="方正小标宋_GBK" w:hAnsi="方正小标宋_GBK" w:eastAsia="方正小标宋_GBK" w:cs="方正小标宋_GBK"/>
          <w:b w:val="0"/>
          <w:bCs/>
          <w:sz w:val="44"/>
          <w:szCs w:val="44"/>
          <w:lang w:eastAsia="zh-CN"/>
        </w:rPr>
        <w:t>律检查委员会</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9"/>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val="0"/>
          <w:bCs/>
          <w:sz w:val="44"/>
          <w:szCs w:val="44"/>
        </w:rPr>
        <w:t>部门预算绩效评价报告</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480" w:firstLineChars="200"/>
        <w:contextualSpacing/>
        <w:jc w:val="left"/>
        <w:textAlignment w:val="auto"/>
        <w:outlineLvl w:val="9"/>
        <w:rPr>
          <w:rFonts w:eastAsia="黑体"/>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contextualSpacing/>
        <w:jc w:val="left"/>
        <w:textAlignment w:val="auto"/>
        <w:outlineLvl w:val="9"/>
        <w:rPr>
          <w:rFonts w:hint="eastAsia" w:ascii="方正黑体_GBK" w:hAnsi="方正黑体_GBK" w:eastAsia="方正黑体_GBK" w:cs="方正黑体_GBK"/>
          <w:kern w:val="0"/>
          <w:sz w:val="32"/>
          <w:szCs w:val="32"/>
          <w:shd w:val="clear" w:color="auto" w:fill="FFFFFF"/>
          <w:lang w:val="zh-CN"/>
        </w:rPr>
      </w:pPr>
      <w:r>
        <w:rPr>
          <w:rFonts w:hint="eastAsia" w:eastAsia="黑体"/>
          <w:kern w:val="0"/>
          <w:sz w:val="32"/>
          <w:szCs w:val="32"/>
          <w:shd w:val="clear" w:color="auto" w:fill="FFFFFF"/>
          <w:lang w:val="zh-CN"/>
        </w:rPr>
        <w:t>一、</w:t>
      </w:r>
      <w:r>
        <w:rPr>
          <w:rFonts w:hint="eastAsia" w:ascii="方正黑体_GBK" w:hAnsi="方正黑体_GBK" w:eastAsia="方正黑体_GBK" w:cs="方正黑体_GBK"/>
          <w:kern w:val="0"/>
          <w:sz w:val="32"/>
          <w:szCs w:val="32"/>
          <w:shd w:val="clear" w:color="auto" w:fill="FFFFFF"/>
          <w:lang w:val="zh-CN"/>
        </w:rPr>
        <w:t>部门基本情况</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contextualSpacing/>
        <w:jc w:val="left"/>
        <w:textAlignment w:val="auto"/>
        <w:outlineLvl w:val="9"/>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color w:val="000000"/>
          <w:sz w:val="32"/>
          <w:szCs w:val="32"/>
          <w:highlight w:val="none"/>
        </w:rPr>
        <w:t>202</w:t>
      </w:r>
      <w:r>
        <w:rPr>
          <w:rFonts w:hint="default" w:ascii="Times New Roman" w:hAnsi="Times New Roman" w:eastAsia="方正仿宋_GBK" w:cs="Times New Roman"/>
          <w:b w:val="0"/>
          <w:bCs/>
          <w:color w:val="000000"/>
          <w:sz w:val="32"/>
          <w:szCs w:val="32"/>
          <w:highlight w:val="none"/>
          <w:lang w:val="en-US" w:eastAsia="zh-CN"/>
        </w:rPr>
        <w:t>4</w:t>
      </w:r>
      <w:r>
        <w:rPr>
          <w:rFonts w:hint="default" w:ascii="Times New Roman" w:hAnsi="Times New Roman" w:eastAsia="方正仿宋_GBK" w:cs="Times New Roman"/>
          <w:b w:val="0"/>
          <w:bCs/>
          <w:color w:val="000000"/>
          <w:sz w:val="32"/>
          <w:szCs w:val="32"/>
          <w:highlight w:val="none"/>
        </w:rPr>
        <w:t>年末，</w:t>
      </w:r>
      <w:r>
        <w:rPr>
          <w:rFonts w:hint="default" w:ascii="Times New Roman" w:hAnsi="Times New Roman" w:eastAsia="方正仿宋_GBK" w:cs="Times New Roman"/>
          <w:b w:val="0"/>
          <w:bCs/>
          <w:color w:val="000000"/>
          <w:sz w:val="32"/>
          <w:szCs w:val="32"/>
          <w:highlight w:val="none"/>
          <w:lang w:eastAsia="zh-CN"/>
        </w:rPr>
        <w:t>盐边</w:t>
      </w:r>
      <w:r>
        <w:rPr>
          <w:rFonts w:hint="default" w:ascii="Times New Roman" w:hAnsi="Times New Roman" w:eastAsia="方正仿宋_GBK" w:cs="Times New Roman"/>
          <w:b w:val="0"/>
          <w:bCs/>
          <w:color w:val="000000"/>
          <w:sz w:val="32"/>
          <w:szCs w:val="32"/>
          <w:highlight w:val="none"/>
        </w:rPr>
        <w:t>县纪委监委实有内设科室</w:t>
      </w:r>
      <w:r>
        <w:rPr>
          <w:rFonts w:hint="default" w:ascii="Times New Roman" w:hAnsi="Times New Roman" w:eastAsia="方正仿宋_GBK" w:cs="Times New Roman"/>
          <w:b w:val="0"/>
          <w:bCs/>
          <w:color w:val="000000"/>
          <w:sz w:val="32"/>
          <w:szCs w:val="32"/>
          <w:highlight w:val="none"/>
          <w:lang w:val="en-US" w:eastAsia="zh-CN"/>
        </w:rPr>
        <w:t>13</w:t>
      </w:r>
      <w:r>
        <w:rPr>
          <w:rFonts w:hint="default" w:ascii="Times New Roman" w:hAnsi="Times New Roman" w:eastAsia="方正仿宋_GBK" w:cs="Times New Roman"/>
          <w:b w:val="0"/>
          <w:bCs/>
          <w:color w:val="000000"/>
          <w:sz w:val="32"/>
          <w:szCs w:val="32"/>
          <w:highlight w:val="none"/>
        </w:rPr>
        <w:t>个，</w:t>
      </w:r>
      <w:r>
        <w:rPr>
          <w:rFonts w:hint="default" w:ascii="Times New Roman" w:hAnsi="Times New Roman" w:eastAsia="方正仿宋_GBK" w:cs="Times New Roman"/>
          <w:b w:val="0"/>
          <w:bCs/>
          <w:color w:val="000000"/>
          <w:sz w:val="32"/>
          <w:szCs w:val="32"/>
          <w:highlight w:val="none"/>
          <w:lang w:eastAsia="zh-CN"/>
        </w:rPr>
        <w:t>下属非独立核算事业单位</w:t>
      </w:r>
      <w:r>
        <w:rPr>
          <w:rFonts w:hint="default" w:ascii="Times New Roman" w:hAnsi="Times New Roman" w:eastAsia="方正仿宋_GBK" w:cs="Times New Roman"/>
          <w:b w:val="0"/>
          <w:bCs/>
          <w:color w:val="000000"/>
          <w:sz w:val="32"/>
          <w:szCs w:val="32"/>
          <w:highlight w:val="none"/>
          <w:lang w:val="en-US" w:eastAsia="zh-CN"/>
        </w:rPr>
        <w:t>1个（盐边县纪检监察教育培训与信息中心），</w:t>
      </w:r>
      <w:r>
        <w:rPr>
          <w:rFonts w:hint="default" w:ascii="Times New Roman" w:hAnsi="Times New Roman" w:eastAsia="方正仿宋_GBK" w:cs="Times New Roman"/>
          <w:b w:val="0"/>
          <w:bCs/>
          <w:color w:val="000000"/>
          <w:sz w:val="32"/>
          <w:szCs w:val="32"/>
          <w:highlight w:val="none"/>
        </w:rPr>
        <w:t>另外中共盐边县委巡察工作领导小组办公室列入县委工作机关序列</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lang w:val="en-US" w:eastAsia="zh-CN"/>
        </w:rPr>
        <w:t>设在县纪委。</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contextualSpacing/>
        <w:jc w:val="left"/>
        <w:textAlignment w:val="auto"/>
        <w:outlineLvl w:val="9"/>
        <w:rPr>
          <w:rFonts w:hint="eastAsia" w:eastAsia="楷体_GB2312" w:cs="楷体_GB2312"/>
          <w:b/>
          <w:sz w:val="32"/>
          <w:szCs w:val="32"/>
          <w:lang w:val="zh-CN"/>
        </w:rPr>
      </w:pPr>
      <w:r>
        <w:rPr>
          <w:rFonts w:eastAsia="楷体_GB2312" w:cs="楷体_GB2312"/>
          <w:b/>
          <w:sz w:val="32"/>
          <w:szCs w:val="32"/>
          <w:lang w:val="zh-CN"/>
        </w:rPr>
        <w:t>机构职能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b w:val="0"/>
          <w:bCs/>
          <w:color w:val="000000"/>
          <w:sz w:val="32"/>
          <w:szCs w:val="32"/>
          <w:highlight w:val="none"/>
        </w:rPr>
      </w:pPr>
      <w:r>
        <w:rPr>
          <w:rFonts w:hint="eastAsia"/>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val="0"/>
          <w:bCs/>
          <w:color w:val="000000"/>
          <w:sz w:val="32"/>
          <w:szCs w:val="32"/>
          <w:highlight w:val="none"/>
        </w:rPr>
        <w:t>盐边县纪委</w:t>
      </w:r>
      <w:r>
        <w:rPr>
          <w:rFonts w:hint="default" w:ascii="Times New Roman" w:hAnsi="Times New Roman" w:eastAsia="方正仿宋_GBK" w:cs="Times New Roman"/>
          <w:b w:val="0"/>
          <w:bCs/>
          <w:color w:val="000000"/>
          <w:sz w:val="32"/>
          <w:szCs w:val="32"/>
          <w:highlight w:val="none"/>
          <w:lang w:eastAsia="zh-CN"/>
        </w:rPr>
        <w:t>监委</w:t>
      </w:r>
      <w:r>
        <w:rPr>
          <w:rFonts w:hint="default" w:ascii="Times New Roman" w:hAnsi="Times New Roman" w:eastAsia="方正仿宋_GBK" w:cs="Times New Roman"/>
          <w:b w:val="0"/>
          <w:bCs/>
          <w:color w:val="000000"/>
          <w:sz w:val="32"/>
          <w:szCs w:val="32"/>
          <w:highlight w:val="none"/>
        </w:rPr>
        <w:t>履行党的纪律检查和</w:t>
      </w:r>
      <w:r>
        <w:rPr>
          <w:rFonts w:hint="default" w:ascii="Times New Roman" w:hAnsi="Times New Roman" w:eastAsia="方正仿宋_GBK" w:cs="Times New Roman"/>
          <w:b w:val="0"/>
          <w:bCs/>
          <w:color w:val="000000"/>
          <w:sz w:val="32"/>
          <w:szCs w:val="32"/>
          <w:highlight w:val="none"/>
          <w:lang w:val="en-US" w:eastAsia="zh-CN"/>
        </w:rPr>
        <w:t>国家</w:t>
      </w:r>
      <w:r>
        <w:rPr>
          <w:rFonts w:hint="default" w:ascii="Times New Roman" w:hAnsi="Times New Roman" w:eastAsia="方正仿宋_GBK" w:cs="Times New Roman"/>
          <w:b w:val="0"/>
          <w:bCs/>
          <w:color w:val="000000"/>
          <w:sz w:val="32"/>
          <w:szCs w:val="32"/>
          <w:highlight w:val="none"/>
        </w:rPr>
        <w:t>监察两</w:t>
      </w:r>
      <w:r>
        <w:rPr>
          <w:rFonts w:hint="default" w:ascii="Times New Roman" w:hAnsi="Times New Roman" w:eastAsia="方正仿宋_GBK" w:cs="Times New Roman"/>
          <w:b w:val="0"/>
          <w:bCs/>
          <w:color w:val="000000"/>
          <w:sz w:val="32"/>
          <w:szCs w:val="32"/>
          <w:highlight w:val="none"/>
          <w:lang w:val="en-US" w:eastAsia="zh-CN"/>
        </w:rPr>
        <w:t>项职责</w:t>
      </w:r>
      <w:r>
        <w:rPr>
          <w:rFonts w:hint="default" w:ascii="Times New Roman" w:hAnsi="Times New Roman" w:eastAsia="方正仿宋_GBK" w:cs="Times New Roman"/>
          <w:b w:val="0"/>
          <w:bCs/>
          <w:color w:val="000000"/>
          <w:sz w:val="32"/>
          <w:szCs w:val="32"/>
          <w:highlight w:val="none"/>
        </w:rPr>
        <w:t>。主要职责</w:t>
      </w:r>
      <w:r>
        <w:rPr>
          <w:rFonts w:hint="default" w:ascii="Times New Roman" w:hAnsi="Times New Roman" w:eastAsia="方正仿宋_GBK" w:cs="Times New Roman"/>
          <w:b w:val="0"/>
          <w:bCs/>
          <w:color w:val="000000"/>
          <w:sz w:val="32"/>
          <w:szCs w:val="32"/>
          <w:highlight w:val="none"/>
          <w:lang w:val="en-US" w:eastAsia="zh-CN"/>
        </w:rPr>
        <w:t>包括</w:t>
      </w:r>
      <w:r>
        <w:rPr>
          <w:rFonts w:hint="default" w:ascii="Times New Roman" w:hAnsi="Times New Roman" w:eastAsia="方正仿宋_GBK" w:cs="Times New Roman"/>
          <w:b w:val="0"/>
          <w:bCs/>
          <w:color w:val="000000"/>
          <w:sz w:val="32"/>
          <w:szCs w:val="32"/>
          <w:highlight w:val="none"/>
        </w:rPr>
        <w:t>：</w:t>
      </w:r>
      <w:r>
        <w:rPr>
          <w:rFonts w:hint="default" w:ascii="Times New Roman" w:hAnsi="Times New Roman" w:eastAsia="方正仿宋_GBK" w:cs="Times New Roman"/>
          <w:b w:val="0"/>
          <w:bCs/>
          <w:color w:val="000000"/>
          <w:sz w:val="32"/>
          <w:szCs w:val="32"/>
          <w:highlight w:val="none"/>
          <w:lang w:val="en-US" w:eastAsia="zh-CN"/>
        </w:rPr>
        <w:t>负责党的纪律检查工作；依照党的章程和其他党内法规履行监督、执纪、问责职责；负责全县监察工作；依照法律规定履行监督、调查、处置职责；负责组织协调全面从严治党、党风廉政建设和反腐败工作情况；根据干部管理权限负责纪检监察系统领导班子建设、干部队伍建设和组织建设的综合规划、政策研究、制度建设和业务指导；完成县委和市纪委监委交办的其他任务</w:t>
      </w:r>
      <w:r>
        <w:rPr>
          <w:rFonts w:hint="default" w:ascii="Times New Roman" w:hAnsi="Times New Roman" w:eastAsia="方正仿宋_GBK" w:cs="Times New Roman"/>
          <w:b w:val="0"/>
          <w:bCs/>
          <w:color w:val="000000"/>
          <w:sz w:val="32"/>
          <w:szCs w:val="32"/>
          <w:highlight w:val="none"/>
        </w:rPr>
        <w:t>。</w:t>
      </w:r>
    </w:p>
    <w:p>
      <w:pPr>
        <w:keepNext w:val="0"/>
        <w:keepLines w:val="0"/>
        <w:pageBreakBefore w:val="0"/>
        <w:numPr>
          <w:ilvl w:val="0"/>
          <w:numId w:val="2"/>
        </w:numPr>
        <w:kinsoku/>
        <w:wordWrap/>
        <w:overflowPunct/>
        <w:topLinePunct w:val="0"/>
        <w:autoSpaceDE/>
        <w:autoSpaceDN/>
        <w:bidi w:val="0"/>
        <w:spacing w:line="560" w:lineRule="exact"/>
        <w:ind w:left="0" w:leftChars="0" w:right="0" w:rightChars="0" w:firstLine="643" w:firstLineChars="200"/>
        <w:textAlignment w:val="auto"/>
        <w:outlineLvl w:val="9"/>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人员概况</w:t>
      </w:r>
    </w:p>
    <w:p>
      <w:pPr>
        <w:keepNext w:val="0"/>
        <w:keepLines w:val="0"/>
        <w:pageBreakBefore w:val="0"/>
        <w:kinsoku/>
        <w:wordWrap/>
        <w:overflowPunct/>
        <w:topLinePunct w:val="0"/>
        <w:autoSpaceDE/>
        <w:autoSpaceDN/>
        <w:bidi w:val="0"/>
        <w:adjustRightInd/>
        <w:spacing w:line="560" w:lineRule="exact"/>
        <w:ind w:left="0" w:leftChars="0" w:right="0" w:rightChars="0" w:firstLine="680" w:firstLineChars="200"/>
        <w:textAlignment w:val="auto"/>
        <w:outlineLvl w:val="9"/>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lang w:eastAsia="zh-CN"/>
        </w:rPr>
        <w:t>截止</w:t>
      </w:r>
      <w:r>
        <w:rPr>
          <w:rFonts w:hint="default" w:ascii="Times New Roman" w:hAnsi="Times New Roman" w:eastAsia="方正仿宋_GBK" w:cs="Times New Roman"/>
          <w:b w:val="0"/>
          <w:bCs/>
          <w:color w:val="000000"/>
          <w:sz w:val="32"/>
          <w:szCs w:val="32"/>
          <w:highlight w:val="none"/>
          <w:lang w:val="en-US" w:eastAsia="zh-CN"/>
        </w:rPr>
        <w:t>2024年末，盐边县纪委监委公务员编制68人，参公编制6人，事业编制10人，机关工勤编制2人。</w:t>
      </w:r>
    </w:p>
    <w:p>
      <w:pPr>
        <w:keepNext w:val="0"/>
        <w:keepLines w:val="0"/>
        <w:pageBreakBefore w:val="0"/>
        <w:kinsoku/>
        <w:wordWrap/>
        <w:overflowPunct/>
        <w:topLinePunct w:val="0"/>
        <w:autoSpaceDE/>
        <w:autoSpaceDN/>
        <w:bidi w:val="0"/>
        <w:adjustRightInd/>
        <w:spacing w:line="560" w:lineRule="exact"/>
        <w:ind w:left="0" w:leftChars="0" w:right="0" w:rightChars="0" w:firstLine="680" w:firstLineChars="200"/>
        <w:textAlignment w:val="auto"/>
        <w:outlineLvl w:val="9"/>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rPr>
        <w:t>202</w:t>
      </w:r>
      <w:r>
        <w:rPr>
          <w:rFonts w:hint="default" w:ascii="Times New Roman" w:hAnsi="Times New Roman" w:eastAsia="方正仿宋_GBK" w:cs="Times New Roman"/>
          <w:b w:val="0"/>
          <w:bCs/>
          <w:color w:val="000000"/>
          <w:sz w:val="32"/>
          <w:szCs w:val="32"/>
          <w:highlight w:val="none"/>
          <w:lang w:val="en-US" w:eastAsia="zh-CN"/>
        </w:rPr>
        <w:t>4</w:t>
      </w:r>
      <w:r>
        <w:rPr>
          <w:rFonts w:hint="default" w:ascii="Times New Roman" w:hAnsi="Times New Roman" w:eastAsia="方正仿宋_GBK" w:cs="Times New Roman"/>
          <w:b w:val="0"/>
          <w:bCs/>
          <w:color w:val="000000"/>
          <w:sz w:val="32"/>
          <w:szCs w:val="32"/>
          <w:highlight w:val="none"/>
        </w:rPr>
        <w:t>年度</w:t>
      </w:r>
      <w:r>
        <w:rPr>
          <w:rFonts w:hint="default" w:ascii="Times New Roman" w:hAnsi="Times New Roman" w:eastAsia="方正仿宋_GBK" w:cs="Times New Roman"/>
          <w:b w:val="0"/>
          <w:bCs/>
          <w:color w:val="000000"/>
          <w:sz w:val="32"/>
          <w:szCs w:val="32"/>
          <w:highlight w:val="none"/>
          <w:lang w:val="en-US" w:eastAsia="zh-CN"/>
        </w:rPr>
        <w:t>10月，根据《盐边县纪委监委派驻机构集中办公工作方案的通知》（盐边纪发【2024】3号），派驻机构到纪委监委机关集中办公，人事工资关系、目标绩效考核、党组织群团关系统一管理，工作经费统一预算，办公场所运行、设施设备、人员车辆使用和福利待遇统一保障。因而在2024年12月末，单位实有人数由2023年末的44人增至77人，</w:t>
      </w:r>
      <w:r>
        <w:rPr>
          <w:rFonts w:hint="default" w:ascii="Times New Roman" w:hAnsi="Times New Roman" w:eastAsia="方正仿宋_GBK" w:cs="Times New Roman"/>
          <w:b w:val="0"/>
          <w:bCs/>
          <w:color w:val="000000"/>
          <w:sz w:val="32"/>
          <w:szCs w:val="32"/>
          <w:highlight w:val="none"/>
        </w:rPr>
        <w:t>其中行政人员</w:t>
      </w:r>
      <w:r>
        <w:rPr>
          <w:rFonts w:hint="default" w:ascii="Times New Roman" w:hAnsi="Times New Roman" w:eastAsia="方正仿宋_GBK" w:cs="Times New Roman"/>
          <w:b w:val="0"/>
          <w:bCs/>
          <w:color w:val="000000"/>
          <w:sz w:val="32"/>
          <w:szCs w:val="32"/>
          <w:highlight w:val="none"/>
          <w:lang w:val="en-US" w:eastAsia="zh-CN"/>
        </w:rPr>
        <w:t>70</w:t>
      </w:r>
      <w:r>
        <w:rPr>
          <w:rFonts w:hint="default" w:ascii="Times New Roman" w:hAnsi="Times New Roman" w:eastAsia="方正仿宋_GBK" w:cs="Times New Roman"/>
          <w:b w:val="0"/>
          <w:bCs/>
          <w:color w:val="000000"/>
          <w:sz w:val="32"/>
          <w:szCs w:val="32"/>
          <w:highlight w:val="none"/>
        </w:rPr>
        <w:t>人</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事业人员</w:t>
      </w:r>
      <w:r>
        <w:rPr>
          <w:rFonts w:hint="default" w:ascii="Times New Roman" w:hAnsi="Times New Roman" w:eastAsia="方正仿宋_GBK" w:cs="Times New Roman"/>
          <w:b w:val="0"/>
          <w:bCs/>
          <w:color w:val="000000"/>
          <w:sz w:val="32"/>
          <w:szCs w:val="32"/>
          <w:highlight w:val="none"/>
          <w:lang w:val="en-US" w:eastAsia="zh-CN"/>
        </w:rPr>
        <w:t>7</w:t>
      </w:r>
      <w:r>
        <w:rPr>
          <w:rFonts w:hint="default" w:ascii="Times New Roman" w:hAnsi="Times New Roman" w:eastAsia="方正仿宋_GBK" w:cs="Times New Roman"/>
          <w:b w:val="0"/>
          <w:bCs/>
          <w:color w:val="000000"/>
          <w:sz w:val="32"/>
          <w:szCs w:val="32"/>
          <w:highlight w:val="none"/>
        </w:rPr>
        <w:t>人</w:t>
      </w:r>
      <w:r>
        <w:rPr>
          <w:rFonts w:hint="default" w:ascii="Times New Roman" w:hAnsi="Times New Roman" w:eastAsia="方正仿宋_GBK" w:cs="Times New Roman"/>
          <w:b w:val="0"/>
          <w:bCs/>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contextualSpacing/>
        <w:jc w:val="left"/>
        <w:textAlignment w:val="auto"/>
        <w:outlineLvl w:val="9"/>
        <w:rPr>
          <w:rFonts w:hint="eastAsia" w:ascii="方正黑体_GBK" w:hAnsi="方正黑体_GBK" w:eastAsia="方正黑体_GBK" w:cs="方正黑体_GBK"/>
          <w:kern w:val="0"/>
          <w:sz w:val="32"/>
          <w:szCs w:val="32"/>
          <w:shd w:val="clear" w:color="auto" w:fill="FFFFFF"/>
          <w:lang w:val="zh-CN"/>
        </w:rPr>
      </w:pPr>
      <w:r>
        <w:rPr>
          <w:rFonts w:hint="eastAsia" w:ascii="方正黑体_GBK" w:hAnsi="方正黑体_GBK" w:eastAsia="方正黑体_GBK" w:cs="方正黑体_GBK"/>
          <w:kern w:val="0"/>
          <w:sz w:val="32"/>
          <w:szCs w:val="32"/>
          <w:shd w:val="clear" w:color="auto" w:fill="FFFFFF"/>
          <w:lang w:val="zh-CN"/>
        </w:rPr>
        <w:t>二、部门资金收支情况</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contextualSpacing/>
        <w:jc w:val="left"/>
        <w:textAlignment w:val="auto"/>
        <w:outlineLvl w:val="9"/>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（一）收入情况</w:t>
      </w:r>
    </w:p>
    <w:p>
      <w:pPr>
        <w:pStyle w:val="36"/>
        <w:keepNext w:val="0"/>
        <w:keepLines w:val="0"/>
        <w:pageBreakBefore w:val="0"/>
        <w:kinsoku/>
        <w:wordWrap/>
        <w:overflowPunct/>
        <w:topLinePunct w:val="0"/>
        <w:autoSpaceDE/>
        <w:autoSpaceDN/>
        <w:bidi w:val="0"/>
        <w:adjustRightInd/>
        <w:spacing w:line="560" w:lineRule="exact"/>
        <w:ind w:left="0" w:leftChars="0" w:right="0" w:rightChars="0" w:firstLine="0" w:firstLineChars="0"/>
        <w:textAlignment w:val="auto"/>
        <w:outlineLvl w:val="9"/>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楷体_GB2312" w:cs="Times New Roman"/>
          <w:b/>
          <w:bCs/>
          <w:kern w:val="0"/>
          <w:sz w:val="32"/>
          <w:szCs w:val="32"/>
          <w:shd w:val="clear" w:color="auto" w:fill="FFFFFF"/>
          <w:lang w:val="en-US" w:eastAsia="zh-CN"/>
        </w:rPr>
        <w:t xml:space="preserve">    </w:t>
      </w:r>
      <w:r>
        <w:rPr>
          <w:rFonts w:hint="default" w:ascii="Times New Roman" w:hAnsi="Times New Roman" w:eastAsia="方正仿宋_GBK" w:cs="Times New Roman"/>
          <w:b/>
          <w:bCs/>
          <w:kern w:val="0"/>
          <w:sz w:val="32"/>
          <w:szCs w:val="32"/>
          <w:shd w:val="clear" w:color="auto" w:fill="FFFFFF"/>
          <w:lang w:val="en-US" w:eastAsia="zh-CN"/>
        </w:rPr>
        <w:t xml:space="preserve"> </w:t>
      </w:r>
      <w:r>
        <w:rPr>
          <w:rFonts w:hint="default" w:ascii="Times New Roman" w:hAnsi="Times New Roman" w:eastAsia="方正仿宋_GBK" w:cs="Times New Roman"/>
          <w:b w:val="0"/>
          <w:bCs/>
          <w:color w:val="000000"/>
          <w:kern w:val="2"/>
          <w:sz w:val="32"/>
          <w:szCs w:val="32"/>
          <w:highlight w:val="none"/>
          <w:lang w:val="en-US" w:eastAsia="zh-CN" w:bidi="ar-SA"/>
        </w:rPr>
        <w:t>盐边县纪委监委2024年年初预算收入为1222.21万元，决算报表收入为1646.53万元，其中财政拨款收入为1646.53万元。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contextualSpacing/>
        <w:jc w:val="left"/>
        <w:textAlignment w:val="auto"/>
        <w:outlineLvl w:val="9"/>
        <w:rPr>
          <w:rFonts w:hint="default" w:ascii="Times New Roman" w:hAnsi="Times New Roman" w:eastAsia="仿宋_GB2312" w:cs="Times New Roman"/>
          <w:kern w:val="0"/>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en-US" w:eastAsia="zh-CN"/>
        </w:rPr>
        <w:t xml:space="preserve">     （二）</w:t>
      </w:r>
      <w:r>
        <w:rPr>
          <w:rFonts w:hint="default" w:ascii="Times New Roman" w:hAnsi="Times New Roman" w:eastAsia="楷体_GB2312" w:cs="Times New Roman"/>
          <w:b/>
          <w:bCs/>
          <w:kern w:val="0"/>
          <w:sz w:val="32"/>
          <w:szCs w:val="32"/>
          <w:shd w:val="clear" w:color="auto" w:fill="FFFFFF"/>
          <w:lang w:val="zh-CN"/>
        </w:rPr>
        <w:t>支出情况</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textAlignment w:val="auto"/>
        <w:outlineLvl w:val="9"/>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 xml:space="preserve">     盐边县纪委监委2024年年初预算支出为1222.21万元，决算报表支出为1646.53万元，主要用于以下方面：</w:t>
      </w:r>
    </w:p>
    <w:p>
      <w:pPr>
        <w:pStyle w:val="36"/>
        <w:keepNext w:val="0"/>
        <w:keepLines w:val="0"/>
        <w:pageBreakBefore w:val="0"/>
        <w:kinsoku/>
        <w:wordWrap/>
        <w:overflowPunct/>
        <w:topLinePunct w:val="0"/>
        <w:autoSpaceDE/>
        <w:autoSpaceDN/>
        <w:bidi w:val="0"/>
        <w:adjustRightInd/>
        <w:spacing w:line="560" w:lineRule="exact"/>
        <w:ind w:left="0" w:leftChars="0" w:right="0" w:rightChars="0" w:firstLine="0" w:firstLineChars="0"/>
        <w:textAlignment w:val="auto"/>
        <w:outlineLvl w:val="9"/>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 xml:space="preserve">   </w:t>
      </w:r>
      <w:r>
        <w:rPr>
          <w:rFonts w:hint="default" w:ascii="Times New Roman" w:hAnsi="Times New Roman" w:eastAsia="方正仿宋_GBK" w:cs="Times New Roman"/>
          <w:b/>
          <w:bCs w:val="0"/>
          <w:color w:val="000000"/>
          <w:kern w:val="2"/>
          <w:sz w:val="32"/>
          <w:szCs w:val="32"/>
          <w:highlight w:val="none"/>
          <w:lang w:val="en-US" w:eastAsia="zh-CN" w:bidi="ar-SA"/>
        </w:rPr>
        <w:t xml:space="preserve"> 1.基本支出情况。</w:t>
      </w:r>
      <w:r>
        <w:rPr>
          <w:rFonts w:hint="default" w:ascii="Times New Roman" w:hAnsi="Times New Roman" w:eastAsia="方正仿宋_GBK" w:cs="Times New Roman"/>
          <w:b w:val="0"/>
          <w:bCs/>
          <w:color w:val="000000"/>
          <w:kern w:val="2"/>
          <w:sz w:val="32"/>
          <w:szCs w:val="32"/>
          <w:highlight w:val="none"/>
          <w:lang w:val="en-US" w:eastAsia="zh-CN" w:bidi="ar-SA"/>
        </w:rPr>
        <w:t>2024年盐边县纪委监委基本支出1120.37万元，占总支出的68.04%。主要包括工资福利支出、商品和服务支出、对个人和家庭的补助。基本支出保障了单位职工工资发放，单位的各项运转开支，以及退休人员、伤残人员的各项补助，资金发放准确率100%，执行率100%，人员满意度100%。</w:t>
      </w:r>
    </w:p>
    <w:p>
      <w:pPr>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0"/>
        <w:contextualSpacing/>
        <w:jc w:val="lef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bCs w:val="0"/>
          <w:color w:val="000000"/>
          <w:kern w:val="2"/>
          <w:sz w:val="32"/>
          <w:szCs w:val="32"/>
          <w:highlight w:val="none"/>
          <w:lang w:val="en-US" w:eastAsia="zh-CN" w:bidi="ar-SA"/>
        </w:rPr>
        <w:t>2.项目支出情况。</w:t>
      </w:r>
      <w:r>
        <w:rPr>
          <w:rFonts w:hint="default" w:ascii="Times New Roman" w:hAnsi="Times New Roman" w:eastAsia="方正仿宋_GBK" w:cs="Times New Roman"/>
          <w:b w:val="0"/>
          <w:bCs/>
          <w:color w:val="000000"/>
          <w:kern w:val="2"/>
          <w:sz w:val="32"/>
          <w:szCs w:val="32"/>
          <w:highlight w:val="none"/>
          <w:lang w:val="en-US" w:eastAsia="zh-CN" w:bidi="ar-SA"/>
        </w:rPr>
        <w:t>2024年盐边县纪委监委项目支出526.1</w:t>
      </w:r>
      <w:r>
        <w:rPr>
          <w:rFonts w:hint="eastAsia" w:eastAsia="方正仿宋_GBK" w:cs="Times New Roman"/>
          <w:b w:val="0"/>
          <w:bCs/>
          <w:color w:val="000000"/>
          <w:kern w:val="2"/>
          <w:sz w:val="32"/>
          <w:szCs w:val="32"/>
          <w:highlight w:val="none"/>
          <w:lang w:val="en-US" w:eastAsia="zh-CN" w:bidi="ar-SA"/>
        </w:rPr>
        <w:t>6</w:t>
      </w:r>
      <w:r>
        <w:rPr>
          <w:rFonts w:hint="default" w:ascii="Times New Roman" w:hAnsi="Times New Roman" w:eastAsia="方正仿宋_GBK" w:cs="Times New Roman"/>
          <w:b w:val="0"/>
          <w:bCs/>
          <w:color w:val="000000"/>
          <w:kern w:val="2"/>
          <w:sz w:val="32"/>
          <w:szCs w:val="32"/>
          <w:highlight w:val="none"/>
          <w:lang w:val="en-US" w:eastAsia="zh-CN" w:bidi="ar-SA"/>
        </w:rPr>
        <w:t>万元，占总支出的31.96%。项目经费主要用于纪委办案、巡察、党风廉政建设和反腐败宣传教育等开支，推动作风建设常态化、长效化，巩固全县的政治生态，群众满意度达到90%。</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0" w:firstLineChars="0"/>
        <w:contextualSpacing/>
        <w:jc w:val="left"/>
        <w:textAlignment w:val="auto"/>
        <w:outlineLvl w:val="9"/>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（三）结余分配和结转结余情况</w:t>
      </w:r>
    </w:p>
    <w:p>
      <w:pPr>
        <w:pStyle w:val="20"/>
        <w:pageBreakBefore w:val="0"/>
        <w:kinsoku/>
        <w:wordWrap/>
        <w:overflowPunct/>
        <w:topLinePunct w:val="0"/>
        <w:autoSpaceDE/>
        <w:autoSpaceDN/>
        <w:bidi w:val="0"/>
        <w:spacing w:before="0" w:after="0" w:line="560" w:lineRule="exact"/>
        <w:ind w:left="0" w:leftChars="0" w:right="0" w:rightChars="0"/>
        <w:textAlignment w:val="auto"/>
        <w:rPr>
          <w:rFonts w:hint="default" w:ascii="Times New Roman" w:hAnsi="Times New Roman" w:eastAsia="方正仿宋_GBK" w:cs="Times New Roman"/>
          <w:lang w:val="en-US" w:eastAsia="zh-CN"/>
        </w:rPr>
      </w:pPr>
      <w:r>
        <w:rPr>
          <w:rFonts w:hint="default" w:ascii="Times New Roman" w:hAnsi="Times New Roman" w:eastAsia="楷体_GB2312" w:cs="Times New Roman"/>
          <w:b/>
          <w:bCs/>
          <w:kern w:val="0"/>
          <w:sz w:val="32"/>
          <w:szCs w:val="32"/>
          <w:shd w:val="clear" w:color="auto" w:fill="FFFFFF"/>
          <w:lang w:val="en-US" w:eastAsia="zh-CN"/>
        </w:rPr>
        <w:t xml:space="preserve">    </w:t>
      </w:r>
      <w:r>
        <w:rPr>
          <w:rFonts w:hint="default" w:ascii="Times New Roman" w:hAnsi="Times New Roman" w:eastAsia="方正仿宋_GBK" w:cs="Times New Roman"/>
          <w:b w:val="0"/>
          <w:bCs/>
          <w:color w:val="000000"/>
          <w:kern w:val="2"/>
          <w:sz w:val="32"/>
          <w:szCs w:val="32"/>
          <w:highlight w:val="none"/>
          <w:lang w:val="en-US" w:eastAsia="zh-CN" w:bidi="ar-SA"/>
        </w:rPr>
        <w:t xml:space="preserve"> 盐边县纪委监委2024年决算报表结转结余资金为0。</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contextualSpacing/>
        <w:jc w:val="left"/>
        <w:textAlignment w:val="auto"/>
        <w:rPr>
          <w:rFonts w:hint="default" w:ascii="Times New Roman" w:hAnsi="Times New Roman" w:eastAsia="方正黑体_GBK" w:cs="Times New Roman"/>
          <w:kern w:val="0"/>
          <w:sz w:val="32"/>
          <w:szCs w:val="32"/>
          <w:shd w:val="clear" w:color="auto" w:fill="FFFFFF"/>
          <w:lang w:val="zh-CN"/>
        </w:rPr>
      </w:pPr>
      <w:r>
        <w:rPr>
          <w:rFonts w:hint="default" w:ascii="Times New Roman" w:hAnsi="Times New Roman" w:eastAsia="方正黑体_GBK" w:cs="Times New Roman"/>
          <w:kern w:val="0"/>
          <w:sz w:val="32"/>
          <w:szCs w:val="32"/>
          <w:shd w:val="clear" w:color="auto" w:fill="FFFFFF"/>
          <w:lang w:val="zh-CN"/>
        </w:rPr>
        <w:t>三、部门预算绩效分析</w:t>
      </w:r>
    </w:p>
    <w:p>
      <w:pPr>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0"/>
        <w:contextualSpacing/>
        <w:jc w:val="left"/>
        <w:textAlignment w:val="auto"/>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en-US" w:eastAsia="zh-CN"/>
        </w:rPr>
        <w:t xml:space="preserve"> </w:t>
      </w:r>
      <w:r>
        <w:rPr>
          <w:rFonts w:hint="default" w:ascii="Times New Roman" w:hAnsi="Times New Roman" w:eastAsia="方正仿宋_GBK" w:cs="Times New Roman"/>
          <w:b/>
          <w:bCs/>
          <w:kern w:val="0"/>
          <w:sz w:val="32"/>
          <w:szCs w:val="32"/>
          <w:shd w:val="clear" w:color="auto" w:fill="FFFFFF"/>
          <w:lang w:val="zh-CN"/>
        </w:rPr>
        <w:t>1.履职效能</w:t>
      </w:r>
    </w:p>
    <w:p>
      <w:pPr>
        <w:pageBreakBefore w:val="0"/>
        <w:numPr>
          <w:ilvl w:val="0"/>
          <w:numId w:val="3"/>
        </w:numPr>
        <w:kinsoku/>
        <w:wordWrap/>
        <w:overflowPunct/>
        <w:topLinePunct w:val="0"/>
        <w:autoSpaceDE/>
        <w:autoSpaceDN/>
        <w:bidi w:val="0"/>
        <w:adjustRightInd/>
        <w:spacing w:line="560" w:lineRule="exact"/>
        <w:ind w:left="0" w:leftChars="0" w:right="0" w:rightChars="0" w:firstLine="680"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sz w:val="32"/>
          <w:szCs w:val="32"/>
          <w:lang w:val="en-US" w:eastAsia="zh-CN"/>
        </w:rPr>
        <w:t>盐边县纪委监委办案方面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b w:val="0"/>
          <w:bCs/>
          <w:color w:val="000000"/>
          <w:kern w:val="2"/>
          <w:sz w:val="32"/>
          <w:szCs w:val="32"/>
          <w:highlight w:val="none"/>
          <w:lang w:val="en-US" w:eastAsia="zh-CN" w:bidi="ar-SA"/>
        </w:rPr>
        <w:t xml:space="preserve">  坚持办案引领，立案数同比增长87.96%，形成了强有力的震慑，全面提升群众社会满意度，营造了风清气正的政治生态，清新型政商关系，社会发展健康有序。</w:t>
      </w:r>
    </w:p>
    <w:p>
      <w:pPr>
        <w:pStyle w:val="20"/>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jc w:val="left"/>
        <w:textAlignment w:val="auto"/>
        <w:outlineLvl w:val="4"/>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 xml:space="preserve">    </w:t>
      </w:r>
      <w:r>
        <w:rPr>
          <w:rFonts w:hint="default" w:ascii="Times New Roman" w:hAnsi="Times New Roman" w:eastAsia="方正仿宋_GBK" w:cs="Times New Roman"/>
          <w:b/>
          <w:bCs/>
          <w:kern w:val="2"/>
          <w:sz w:val="32"/>
          <w:szCs w:val="24"/>
          <w:lang w:val="en-US" w:eastAsia="zh-CN" w:bidi="ar-SA"/>
        </w:rPr>
        <w:t>（2）2024年党风廉政建设和反腐败宣传教育方面</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lang w:val="en-US" w:eastAsia="zh-CN" w:bidi="ar-SA"/>
        </w:rPr>
        <w:t xml:space="preserve"> </w:t>
      </w:r>
      <w:r>
        <w:rPr>
          <w:rFonts w:hint="default" w:ascii="Times New Roman" w:hAnsi="Times New Roman" w:eastAsia="方正仿宋_GBK" w:cs="Times New Roman"/>
          <w:b w:val="0"/>
          <w:kern w:val="2"/>
          <w:sz w:val="32"/>
          <w:szCs w:val="32"/>
          <w:lang w:val="en-US" w:eastAsia="zh-CN" w:bidi="ar-SA"/>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val="0"/>
          <w:bCs/>
          <w:color w:val="000000"/>
          <w:kern w:val="2"/>
          <w:sz w:val="32"/>
          <w:szCs w:val="32"/>
          <w:highlight w:val="none"/>
          <w:lang w:val="en-US" w:eastAsia="zh-CN" w:bidi="ar-SA"/>
        </w:rPr>
        <w:t>为进一步聚焦唱响主旋律，传递正能量，做强廉政文化品牌，为纪检监察系统宣传工作贡献盐边力量，提高群众对县党委政府工作的知晓度，提高群众参与社会评价的积极性。盐边县纪委监委在中央级核心媒体（人民日报）上稿1条，在中央纪委国家监委自有媒体（中央纪委国家监委网站、中国纪纪检监察报）上稿2条，在省级核心媒体（四川日报）上稿2条；拍摄制作《祸患积于忽微》《案鉴》等多部警示教育片；组织创作“一起学条例”普规普纪短视频《上位》、组织拍摄“清风育廉”国资国企领域清廉微视频《涵养时代新风 建设清廉国企》等多个廉洁短视频，推动崇尚廉洁的新风正气不断充盈。</w:t>
      </w:r>
    </w:p>
    <w:p>
      <w:pPr>
        <w:pStyle w:val="27"/>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textAlignment w:val="auto"/>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 xml:space="preserve">   </w:t>
      </w:r>
      <w:r>
        <w:rPr>
          <w:rFonts w:hint="default" w:ascii="Times New Roman" w:hAnsi="Times New Roman" w:eastAsia="方正仿宋_GBK" w:cs="Times New Roman"/>
          <w:b/>
          <w:bCs/>
          <w:kern w:val="2"/>
          <w:sz w:val="32"/>
          <w:szCs w:val="24"/>
          <w:lang w:val="en-US" w:eastAsia="zh-CN" w:bidi="ar-SA"/>
        </w:rPr>
        <w:t>（3）纪检监察干部队伍教育整顿方面</w:t>
      </w:r>
    </w:p>
    <w:p>
      <w:pPr>
        <w:pStyle w:val="27"/>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80" w:firstLineChars="200"/>
        <w:textAlignment w:val="auto"/>
        <w:outlineLvl w:val="9"/>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为打造忠诚干净担当、敢于善于斗争的盐边纪检监察铁军，开展好纪检监察干部能力素质和业务水平提升。</w:t>
      </w:r>
    </w:p>
    <w:p>
      <w:pPr>
        <w:pStyle w:val="27"/>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80" w:firstLineChars="200"/>
        <w:textAlignment w:val="auto"/>
        <w:outlineLvl w:val="9"/>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强化政治培训，围绕学习贯彻党的二十届三中全会和中央、省、市纪委全会精神，举办“阳光纪检·笮风清涟”大讲堂6期480人次参训。强化专业培训，依托攀枝花纪检监察学院举办“盐边县纪检监察干部综合素质提升培训班”，以强化思想淬炼、专业训练、审调业务培训为重点，面向县乡两级纪检监察干部开展了为期5天的封闭式培训。强化提升培训，选派16名干部参加省、市纪委监委组织的各项业务培训，在培训中积极向市级部门、其他县区学习基层监督、案件查办、信息化建设等先进经验，互学互鉴共促提升。</w:t>
      </w:r>
    </w:p>
    <w:p>
      <w:pPr>
        <w:keepNext w:val="0"/>
        <w:keepLines w:val="0"/>
        <w:pageBreakBefore w:val="0"/>
        <w:widowControl w:val="0"/>
        <w:numPr>
          <w:ilvl w:val="0"/>
          <w:numId w:val="4"/>
        </w:numPr>
        <w:kinsoku/>
        <w:wordWrap/>
        <w:overflowPunct/>
        <w:topLinePunct w:val="0"/>
        <w:bidi w:val="0"/>
        <w:adjustRightInd/>
        <w:spacing w:line="560" w:lineRule="exact"/>
        <w:ind w:left="0" w:leftChars="0" w:right="0" w:rightChars="0" w:firstLine="680" w:firstLineChars="200"/>
        <w:textAlignment w:val="auto"/>
        <w:outlineLvl w:val="9"/>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bCs/>
          <w:kern w:val="2"/>
          <w:sz w:val="32"/>
          <w:szCs w:val="24"/>
          <w:lang w:val="en-US" w:eastAsia="zh-CN" w:bidi="ar-SA"/>
        </w:rPr>
        <w:t>预算管理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盐边县纪委监委严格按照要求编制年初部门预算，预决算差异度34.72%。为了增强财政透明度，预决算相关情况每年都在盐边县人民政府网站公开。2024年“三公”经费支出为4.04万元，比2023年减少1.91万元，同比减少32.</w:t>
      </w:r>
      <w:r>
        <w:rPr>
          <w:rFonts w:hint="eastAsia" w:eastAsia="方正仿宋_GBK" w:cs="Times New Roman"/>
          <w:b w:val="0"/>
          <w:bCs/>
          <w:color w:val="000000"/>
          <w:kern w:val="2"/>
          <w:sz w:val="32"/>
          <w:szCs w:val="32"/>
          <w:highlight w:val="none"/>
          <w:lang w:val="en-US" w:eastAsia="zh-CN" w:bidi="ar-SA"/>
        </w:rPr>
        <w:t>10</w:t>
      </w:r>
      <w:r>
        <w:rPr>
          <w:rFonts w:hint="default" w:ascii="Times New Roman" w:hAnsi="Times New Roman" w:eastAsia="方正仿宋_GBK" w:cs="Times New Roman"/>
          <w:b w:val="0"/>
          <w:bCs/>
          <w:color w:val="000000"/>
          <w:kern w:val="2"/>
          <w:sz w:val="32"/>
          <w:szCs w:val="32"/>
          <w:highlight w:val="none"/>
          <w:lang w:val="en-US" w:eastAsia="zh-CN" w:bidi="ar-SA"/>
        </w:rPr>
        <w:t>%。部门1至6月预算支出进度为46.4%，1至10月预算支出进度为75.3%。2024年盐边县纪委监委年终预算结余为0。盐边县纪委监委在预算执行中严控“三公”经费、会议、培训、差旅、办节办展、办公设备购置、信息网络及软件购置更新、课题经费等8项一般性支出，严格优化资源配置，提高资金使用效率，规范津贴补贴，杜绝违规发放福利，对支出项目进行事前评估、事中监控、事后评价，及时对支出进行调整。</w:t>
      </w:r>
      <w:r>
        <w:rPr>
          <w:rFonts w:hint="default" w:ascii="Times New Roman" w:hAnsi="Times New Roman" w:eastAsia="方正仿宋_GBK" w:cs="Times New Roman"/>
          <w:b w:val="0"/>
          <w:kern w:val="2"/>
          <w:sz w:val="32"/>
          <w:szCs w:val="24"/>
          <w:lang w:val="en-US" w:eastAsia="zh-CN" w:bidi="ar-SA"/>
        </w:rPr>
        <w:t xml:space="preserve">     </w:t>
      </w:r>
    </w:p>
    <w:p>
      <w:pPr>
        <w:keepNext w:val="0"/>
        <w:keepLines w:val="0"/>
        <w:pageBreakBefore w:val="0"/>
        <w:widowControl w:val="0"/>
        <w:numPr>
          <w:ilvl w:val="0"/>
          <w:numId w:val="4"/>
        </w:numPr>
        <w:kinsoku/>
        <w:wordWrap/>
        <w:overflowPunct/>
        <w:topLinePunct w:val="0"/>
        <w:bidi w:val="0"/>
        <w:adjustRightInd/>
        <w:spacing w:line="560" w:lineRule="exact"/>
        <w:ind w:left="0" w:leftChars="0" w:right="0" w:rightChars="0" w:firstLine="680" w:firstLineChars="200"/>
        <w:textAlignment w:val="auto"/>
        <w:outlineLvl w:val="9"/>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bCs/>
          <w:kern w:val="2"/>
          <w:sz w:val="32"/>
          <w:szCs w:val="24"/>
          <w:lang w:val="en-US" w:eastAsia="zh-CN" w:bidi="ar-SA"/>
        </w:rPr>
        <w:t>财务管理</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盐边县纪委监委已制定内部财务管理制度等制度机制，财务管理制度得到落实；合理设置财务工作岗位，明确职责权限，并严格实行不相容岗位分离制度；部门资金严格按照财务管理制度规定执行。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 xml:space="preserve">  </w:t>
      </w:r>
      <w:r>
        <w:rPr>
          <w:rFonts w:hint="default" w:ascii="Times New Roman" w:hAnsi="Times New Roman" w:eastAsia="方正仿宋_GBK" w:cs="Times New Roman"/>
          <w:b/>
          <w:bCs/>
          <w:kern w:val="2"/>
          <w:sz w:val="32"/>
          <w:szCs w:val="24"/>
          <w:lang w:val="en-US" w:eastAsia="zh-CN" w:bidi="ar-SA"/>
        </w:rPr>
        <w:t xml:space="preserve">  4.资产管理</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盐边县纪委监委严格按照财政部门相关要求进行资产管理，按单位职能和标准配置资产，明确资产使用、保管、监督责任主体，建立资产台账，做到账实相符，并定期检查资产状态，做到保存完整，延长使用寿命，资产处置严格按财政部门要求办理，处置收益按“收支两条线”上缴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 xml:space="preserve">    盐边县纪委监委没有闲置资产，无盘活情况。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 xml:space="preserve">   </w:t>
      </w:r>
      <w:r>
        <w:rPr>
          <w:rFonts w:hint="default" w:ascii="Times New Roman" w:hAnsi="Times New Roman" w:eastAsia="方正仿宋_GBK" w:cs="Times New Roman"/>
          <w:b/>
          <w:bCs/>
          <w:kern w:val="2"/>
          <w:sz w:val="32"/>
          <w:szCs w:val="24"/>
          <w:lang w:val="en-US" w:eastAsia="zh-CN" w:bidi="ar-SA"/>
        </w:rPr>
        <w:t xml:space="preserve">  5.采购管理</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 xml:space="preserve">     2024年盐边县纪委监委采购方面基本上都是授予中小企业采购合同，面向中小企业采购率达到92.25%。盐边县纪委监委采购项目资金支付比例为100%。</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80" w:firstLineChars="200"/>
        <w:jc w:val="both"/>
        <w:textAlignment w:val="auto"/>
        <w:outlineLvl w:val="9"/>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部门预算项目绩效分析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b w:val="0"/>
          <w:kern w:val="2"/>
          <w:sz w:val="32"/>
          <w:szCs w:val="24"/>
          <w:lang w:val="en-US" w:eastAsia="zh-CN" w:bidi="ar-SA"/>
        </w:rPr>
      </w:pPr>
      <w:r>
        <w:rPr>
          <w:rFonts w:hint="eastAsia" w:eastAsia="方正仿宋_GBK" w:cs="Times New Roman"/>
          <w:b w:val="0"/>
          <w:kern w:val="2"/>
          <w:sz w:val="32"/>
          <w:szCs w:val="24"/>
          <w:lang w:val="en-US" w:eastAsia="zh-CN" w:bidi="ar-SA"/>
        </w:rPr>
        <w:t xml:space="preserve">    </w:t>
      </w:r>
      <w:r>
        <w:rPr>
          <w:rFonts w:hint="default" w:ascii="Times New Roman" w:hAnsi="Times New Roman" w:eastAsia="方正仿宋_GBK" w:cs="Times New Roman"/>
          <w:b w:val="0"/>
          <w:kern w:val="2"/>
          <w:sz w:val="32"/>
          <w:szCs w:val="24"/>
          <w:lang w:val="en-US" w:eastAsia="zh-CN" w:bidi="ar-SA"/>
        </w:rPr>
        <w:t xml:space="preserve"> 常年项目绩效分析。该类项目总数9个，涉及预算总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金额446.2</w:t>
      </w:r>
      <w:r>
        <w:rPr>
          <w:rFonts w:hint="eastAsia" w:ascii="Times New Roman" w:hAnsi="Times New Roman" w:eastAsia="方正仿宋_GBK" w:cs="Times New Roman"/>
          <w:b w:val="0"/>
          <w:kern w:val="2"/>
          <w:sz w:val="32"/>
          <w:szCs w:val="24"/>
          <w:lang w:val="en-US" w:eastAsia="zh-CN" w:bidi="ar-SA"/>
        </w:rPr>
        <w:t>7</w:t>
      </w:r>
      <w:r>
        <w:rPr>
          <w:rFonts w:hint="default" w:ascii="Times New Roman" w:hAnsi="Times New Roman" w:eastAsia="方正仿宋_GBK" w:cs="Times New Roman"/>
          <w:b w:val="0"/>
          <w:kern w:val="2"/>
          <w:sz w:val="32"/>
          <w:szCs w:val="24"/>
          <w:lang w:val="en-US" w:eastAsia="zh-CN" w:bidi="ar-SA"/>
        </w:rPr>
        <w:t>万元，1-12月预算执行总体进度为100 %，其中：预算结余率大于10%的项目共计0个。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0" w:firstLineChars="200"/>
        <w:jc w:val="both"/>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阶段（含一次性）项目绩效分析。该类项目总数7个，涉及预算总金额79.9万元，1-12月预算执行总体进度为100%，其中：预算结余率大于10%的项目共计0个。</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80" w:firstLineChars="200"/>
        <w:jc w:val="both"/>
        <w:textAlignment w:val="auto"/>
        <w:outlineLvl w:val="9"/>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bCs/>
          <w:kern w:val="2"/>
          <w:sz w:val="32"/>
          <w:szCs w:val="24"/>
          <w:lang w:val="en-US" w:eastAsia="zh-CN" w:bidi="ar-SA"/>
        </w:rPr>
        <w:t>项目决策</w:t>
      </w:r>
    </w:p>
    <w:p>
      <w:pPr>
        <w:pStyle w:val="36"/>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 xml:space="preserve">    16个项目均按相应的评估程序和方法进行评估论证，按规定履行申报程序；绩效目标与计划期内的任务量、预算安排的资金量匹配，绩效目标设置科学合理、规范完整、量化细化，与预算匹配；部门预算项目在规定时间完成项目入库。</w:t>
      </w:r>
    </w:p>
    <w:p>
      <w:pPr>
        <w:keepNext w:val="0"/>
        <w:keepLines w:val="0"/>
        <w:pageBreakBefore w:val="0"/>
        <w:numPr>
          <w:ilvl w:val="0"/>
          <w:numId w:val="6"/>
        </w:numPr>
        <w:kinsoku/>
        <w:wordWrap/>
        <w:overflowPunct/>
        <w:topLinePunct w:val="0"/>
        <w:autoSpaceDE/>
        <w:autoSpaceDN/>
        <w:bidi w:val="0"/>
        <w:adjustRightInd/>
        <w:spacing w:line="560" w:lineRule="exact"/>
        <w:ind w:left="0" w:leftChars="0" w:right="0" w:rightChars="0" w:firstLine="680" w:firstLineChars="200"/>
        <w:textAlignment w:val="auto"/>
        <w:outlineLvl w:val="9"/>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bCs/>
          <w:kern w:val="2"/>
          <w:sz w:val="32"/>
          <w:szCs w:val="24"/>
          <w:lang w:val="en-US" w:eastAsia="zh-CN" w:bidi="ar-SA"/>
        </w:rPr>
        <w:t>项目执行</w:t>
      </w:r>
    </w:p>
    <w:p>
      <w:pPr>
        <w:pStyle w:val="36"/>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 xml:space="preserve">    16个项目实际列支内容与绩效目标设置方向相符，采取对应调整措施，项目预算执行情况较好。</w:t>
      </w:r>
    </w:p>
    <w:p>
      <w:pPr>
        <w:keepNext w:val="0"/>
        <w:keepLines w:val="0"/>
        <w:pageBreakBefore w:val="0"/>
        <w:numPr>
          <w:ilvl w:val="0"/>
          <w:numId w:val="6"/>
        </w:numPr>
        <w:kinsoku/>
        <w:wordWrap/>
        <w:overflowPunct/>
        <w:topLinePunct w:val="0"/>
        <w:autoSpaceDE/>
        <w:autoSpaceDN/>
        <w:bidi w:val="0"/>
        <w:adjustRightInd/>
        <w:spacing w:line="560" w:lineRule="exact"/>
        <w:ind w:left="0" w:leftChars="0" w:right="0" w:rightChars="0" w:firstLine="680" w:firstLineChars="200"/>
        <w:textAlignment w:val="auto"/>
        <w:outlineLvl w:val="9"/>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bCs/>
          <w:kern w:val="2"/>
          <w:sz w:val="32"/>
          <w:szCs w:val="24"/>
          <w:lang w:val="en-US" w:eastAsia="zh-CN" w:bidi="ar-SA"/>
        </w:rPr>
        <w:t>目标实现</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 xml:space="preserve">    16个项目绩效目标各分项指标完成情况较好，偏离度低，实现效果较好，产出效益较高，满意度较高。</w:t>
      </w:r>
    </w:p>
    <w:p>
      <w:pPr>
        <w:keepNext w:val="0"/>
        <w:keepLines w:val="0"/>
        <w:pageBreakBefore w:val="0"/>
        <w:numPr>
          <w:ilvl w:val="0"/>
          <w:numId w:val="7"/>
        </w:numPr>
        <w:kinsoku/>
        <w:wordWrap/>
        <w:overflowPunct/>
        <w:topLinePunct w:val="0"/>
        <w:autoSpaceDE/>
        <w:autoSpaceDN/>
        <w:bidi w:val="0"/>
        <w:snapToGrid w:val="0"/>
        <w:spacing w:line="560" w:lineRule="exact"/>
        <w:ind w:left="0" w:leftChars="0" w:right="0" w:rightChars="0" w:firstLine="643" w:firstLineChars="200"/>
        <w:textAlignment w:val="auto"/>
        <w:outlineLvl w:val="9"/>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绩效结果应用情况</w:t>
      </w:r>
    </w:p>
    <w:p>
      <w:pPr>
        <w:pStyle w:val="36"/>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 xml:space="preserve">    盐边县纪委监委按照年初制定的绩效目标，对目标任务完成情况逐条进行分析评价，将评价结果与2025年预算安排挂钩，并按照信息公开规定对绩效评价结果进行公开，对指出的问题及时进行整改。</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contextualSpacing/>
        <w:jc w:val="left"/>
        <w:textAlignment w:val="auto"/>
        <w:outlineLvl w:val="9"/>
        <w:rPr>
          <w:rFonts w:hint="default" w:ascii="Times New Roman" w:hAnsi="Times New Roman" w:eastAsia="方正黑体_GBK" w:cs="Times New Roman"/>
          <w:kern w:val="0"/>
          <w:sz w:val="32"/>
          <w:szCs w:val="32"/>
          <w:shd w:val="clear" w:color="auto" w:fill="FFFFFF"/>
          <w:lang w:val="zh-CN"/>
        </w:rPr>
      </w:pPr>
      <w:r>
        <w:rPr>
          <w:rFonts w:hint="default" w:ascii="Times New Roman" w:hAnsi="Times New Roman" w:eastAsia="方正黑体_GBK" w:cs="Times New Roman"/>
          <w:kern w:val="0"/>
          <w:sz w:val="32"/>
          <w:szCs w:val="32"/>
          <w:shd w:val="clear" w:color="auto" w:fill="FFFFFF"/>
          <w:lang w:val="zh-CN"/>
        </w:rPr>
        <w:t>四、评价结论及建议</w:t>
      </w:r>
    </w:p>
    <w:p>
      <w:pPr>
        <w:keepNext w:val="0"/>
        <w:keepLines w:val="0"/>
        <w:pageBreakBefore w:val="0"/>
        <w:numPr>
          <w:ilvl w:val="0"/>
          <w:numId w:val="0"/>
        </w:numPr>
        <w:kinsoku/>
        <w:wordWrap/>
        <w:overflowPunct/>
        <w:topLinePunct w:val="0"/>
        <w:autoSpaceDE/>
        <w:autoSpaceDN/>
        <w:bidi w:val="0"/>
        <w:snapToGrid w:val="0"/>
        <w:spacing w:line="560" w:lineRule="exact"/>
        <w:ind w:left="0" w:leftChars="0" w:right="0" w:rightChars="0"/>
        <w:textAlignment w:val="auto"/>
        <w:outlineLvl w:val="9"/>
        <w:rPr>
          <w:rFonts w:hint="default" w:ascii="Times New Roman" w:hAnsi="Times New Roman" w:eastAsia="楷体_GB2312" w:cs="Times New Roman"/>
          <w:b/>
          <w:bCs/>
          <w:kern w:val="0"/>
          <w:sz w:val="32"/>
          <w:szCs w:val="32"/>
          <w:shd w:val="clear" w:color="auto" w:fill="FFFFFF"/>
          <w:lang w:val="zh-CN"/>
        </w:rPr>
      </w:pPr>
      <w:bookmarkStart w:id="109" w:name="_Hlk110546638"/>
      <w:r>
        <w:rPr>
          <w:rFonts w:hint="default" w:ascii="Times New Roman" w:hAnsi="Times New Roman" w:eastAsia="楷体_GB2312" w:cs="Times New Roman"/>
          <w:b/>
          <w:bCs/>
          <w:kern w:val="0"/>
          <w:sz w:val="32"/>
          <w:szCs w:val="32"/>
          <w:shd w:val="clear" w:color="auto" w:fill="FFFFFF"/>
          <w:lang w:val="en-US" w:eastAsia="zh-CN"/>
        </w:rPr>
        <w:t xml:space="preserve">    </w:t>
      </w:r>
      <w:r>
        <w:rPr>
          <w:rFonts w:hint="default" w:ascii="Times New Roman" w:hAnsi="Times New Roman" w:eastAsia="楷体_GB2312" w:cs="Times New Roman"/>
          <w:b/>
          <w:bCs/>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盐边县纪委监委围绕年初预算编制、年末决算编制、预算执行情况、年度总体目标完成情况、各项绩效目标完成情况等方面对我单位预算整体绩效开展了自评工作。总体来看，资金执行情况较好，符合专款专用的要求，不存在挪用、截留、故意拖欠的情况发生，同时资金的使用过程中厉行节俭，尽可能的提升了资金使用效率。各项绩效指标达到年初预算要求，社会效益发挥良好，群众满意度有所上升。经综合评价，盐边县纪委监委2024年度部门预算整体绩效评价得分为95分。</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textAlignment w:val="auto"/>
        <w:outlineLvl w:val="9"/>
        <w:rPr>
          <w:rFonts w:hint="eastAsia" w:eastAsia="楷体_GB2312"/>
          <w:b/>
          <w:bCs/>
          <w:kern w:val="0"/>
          <w:sz w:val="32"/>
          <w:szCs w:val="32"/>
          <w:shd w:val="clear" w:color="auto" w:fill="FFFFFF"/>
          <w:lang w:val="en-US" w:eastAsia="zh-CN"/>
        </w:rPr>
      </w:pPr>
      <w:r>
        <w:rPr>
          <w:rFonts w:hint="eastAsia" w:ascii="Times New Roman" w:eastAsia="方正楷体_GBK" w:cs="Times New Roman"/>
          <w:b/>
          <w:lang w:val="en-US" w:eastAsia="zh-CN"/>
        </w:rPr>
        <w:t xml:space="preserve">   </w:t>
      </w:r>
      <w:r>
        <w:rPr>
          <w:rFonts w:hint="eastAsia" w:eastAsia="方正楷体_GBK" w:cs="Times New Roman"/>
          <w:b/>
          <w:lang w:val="en-US" w:eastAsia="zh-CN"/>
        </w:rPr>
        <w:t xml:space="preserve">  </w:t>
      </w:r>
      <w:r>
        <w:rPr>
          <w:rFonts w:hint="eastAsia" w:ascii="Times New Roman" w:eastAsia="方正楷体_GBK" w:cs="Times New Roman"/>
          <w:b/>
          <w:lang w:val="en-US" w:eastAsia="zh-CN"/>
        </w:rPr>
        <w:t xml:space="preserve"> </w:t>
      </w:r>
      <w:r>
        <w:rPr>
          <w:rFonts w:hint="eastAsia" w:eastAsia="楷体_GB2312"/>
          <w:b/>
          <w:bCs/>
          <w:kern w:val="0"/>
          <w:sz w:val="32"/>
          <w:szCs w:val="32"/>
          <w:shd w:val="clear" w:color="auto" w:fill="FFFFFF"/>
          <w:lang w:val="en-US" w:eastAsia="zh-CN"/>
        </w:rPr>
        <w:t>(二）存在问题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leftChars="0" w:right="0" w:rightChars="0" w:firstLine="562"/>
        <w:jc w:val="both"/>
        <w:textAlignment w:val="auto"/>
        <w:outlineLvl w:val="9"/>
        <w:rPr>
          <w:rFonts w:hint="default" w:ascii="Times New Roman" w:hAnsi="Times New Roman" w:eastAsia="方正仿宋_GBK" w:cs="Times New Roman"/>
          <w:b w:val="0"/>
          <w:kern w:val="2"/>
          <w:sz w:val="32"/>
          <w:szCs w:val="24"/>
          <w:lang w:val="zh-CN" w:eastAsia="zh-CN" w:bidi="ar-SA"/>
        </w:rPr>
      </w:pPr>
      <w:r>
        <w:rPr>
          <w:rFonts w:hint="default" w:ascii="Times New Roman" w:hAnsi="Times New Roman" w:eastAsia="方正仿宋_GBK" w:cs="Times New Roman"/>
          <w:b w:val="0"/>
          <w:kern w:val="2"/>
          <w:sz w:val="32"/>
          <w:szCs w:val="24"/>
          <w:lang w:val="en-US" w:eastAsia="zh-CN" w:bidi="ar-SA"/>
        </w:rPr>
        <w:t xml:space="preserve"> </w:t>
      </w:r>
      <w:r>
        <w:rPr>
          <w:rFonts w:hint="default" w:ascii="Times New Roman" w:hAnsi="Times New Roman" w:eastAsia="方正仿宋_GBK" w:cs="Times New Roman"/>
          <w:b w:val="0"/>
          <w:kern w:val="2"/>
          <w:sz w:val="32"/>
          <w:szCs w:val="24"/>
          <w:lang w:val="zh-CN" w:eastAsia="zh-CN" w:bidi="ar-SA"/>
        </w:rPr>
        <w:t>1.预算编制准确性有待提高。部分项目预算编制前瞻性不足，导致部分项目未实现支出或实际支出执行有偏差。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leftChars="0" w:right="0" w:rightChars="0" w:firstLine="562"/>
        <w:jc w:val="both"/>
        <w:textAlignment w:val="auto"/>
        <w:outlineLvl w:val="9"/>
        <w:rPr>
          <w:rFonts w:hint="default" w:ascii="Times New Roman" w:hAnsi="Times New Roman" w:eastAsia="方正仿宋_GBK" w:cs="Times New Roman"/>
          <w:b w:val="0"/>
          <w:kern w:val="2"/>
          <w:sz w:val="32"/>
          <w:szCs w:val="24"/>
          <w:lang w:val="zh-CN" w:eastAsia="zh-CN" w:bidi="ar-SA"/>
        </w:rPr>
      </w:pPr>
      <w:r>
        <w:rPr>
          <w:rFonts w:hint="default" w:ascii="Times New Roman" w:hAnsi="Times New Roman" w:eastAsia="方正仿宋_GBK" w:cs="Times New Roman"/>
          <w:b w:val="0"/>
          <w:kern w:val="2"/>
          <w:sz w:val="32"/>
          <w:szCs w:val="24"/>
          <w:lang w:val="en-US" w:eastAsia="zh-CN" w:bidi="ar-SA"/>
        </w:rPr>
        <w:t xml:space="preserve"> </w:t>
      </w:r>
      <w:r>
        <w:rPr>
          <w:rFonts w:hint="default" w:ascii="Times New Roman" w:hAnsi="Times New Roman" w:eastAsia="方正仿宋_GBK" w:cs="Times New Roman"/>
          <w:b w:val="0"/>
          <w:kern w:val="2"/>
          <w:sz w:val="32"/>
          <w:szCs w:val="24"/>
          <w:lang w:val="zh-CN" w:eastAsia="zh-CN" w:bidi="ar-SA"/>
        </w:rPr>
        <w:t>2.绩效工作力量较薄弱。绩效评价工作对专业性要求很高，相关人员绩效管理专业知识不足。</w:t>
      </w:r>
    </w:p>
    <w:p>
      <w:pPr>
        <w:keepNext w:val="0"/>
        <w:keepLines w:val="0"/>
        <w:pageBreakBefore w:val="0"/>
        <w:kinsoku/>
        <w:wordWrap/>
        <w:overflowPunct/>
        <w:topLinePunct w:val="0"/>
        <w:autoSpaceDE/>
        <w:autoSpaceDN/>
        <w:bidi w:val="0"/>
        <w:adjustRightInd/>
        <w:spacing w:line="560" w:lineRule="exact"/>
        <w:ind w:left="0" w:leftChars="0" w:right="0" w:rightChars="0"/>
        <w:textAlignment w:val="auto"/>
        <w:outlineLvl w:val="9"/>
        <w:rPr>
          <w:rFonts w:hint="default" w:eastAsia="楷体_GB2312"/>
          <w:b/>
          <w:bCs/>
          <w:kern w:val="0"/>
          <w:sz w:val="32"/>
          <w:szCs w:val="32"/>
          <w:shd w:val="clear" w:color="auto" w:fill="FFFFFF"/>
          <w:lang w:val="en-US" w:eastAsia="zh-CN"/>
        </w:rPr>
      </w:pPr>
      <w:r>
        <w:rPr>
          <w:rFonts w:hint="default" w:ascii="Times New Roman" w:hAnsi="Times New Roman" w:eastAsia="方正楷体_GBK" w:cs="Times New Roman"/>
          <w:b/>
          <w:lang w:val="en-US" w:eastAsia="zh-CN"/>
        </w:rPr>
        <w:t xml:space="preserve"> </w:t>
      </w:r>
      <w:r>
        <w:rPr>
          <w:rFonts w:hint="default" w:eastAsia="楷体_GB2312"/>
          <w:b/>
          <w:bCs/>
          <w:kern w:val="0"/>
          <w:sz w:val="32"/>
          <w:szCs w:val="32"/>
          <w:shd w:val="clear" w:color="auto" w:fill="FFFFFF"/>
          <w:lang w:val="en-US" w:eastAsia="zh-CN"/>
        </w:rPr>
        <w:t xml:space="preserve"> </w:t>
      </w:r>
      <w:r>
        <w:rPr>
          <w:rFonts w:hint="eastAsia" w:eastAsia="楷体_GB2312"/>
          <w:b/>
          <w:bCs/>
          <w:kern w:val="0"/>
          <w:sz w:val="32"/>
          <w:szCs w:val="32"/>
          <w:shd w:val="clear" w:color="auto" w:fill="FFFFFF"/>
          <w:lang w:val="en-US" w:eastAsia="zh-CN"/>
        </w:rPr>
        <w:t xml:space="preserve">  </w:t>
      </w:r>
      <w:r>
        <w:rPr>
          <w:rFonts w:hint="default" w:eastAsia="楷体_GB2312"/>
          <w:b/>
          <w:bCs/>
          <w:kern w:val="0"/>
          <w:sz w:val="32"/>
          <w:szCs w:val="32"/>
          <w:shd w:val="clear" w:color="auto" w:fill="FFFFFF"/>
          <w:lang w:val="en-US" w:eastAsia="zh-CN"/>
        </w:rPr>
        <w:t>（三）改进建议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leftChars="0" w:right="0" w:rightChars="0" w:firstLine="562"/>
        <w:jc w:val="both"/>
        <w:textAlignment w:val="auto"/>
        <w:outlineLvl w:val="9"/>
        <w:rPr>
          <w:rFonts w:hint="default" w:ascii="Times New Roman" w:hAnsi="Times New Roman" w:eastAsia="方正仿宋_GBK" w:cs="Times New Roman"/>
          <w:b w:val="0"/>
          <w:kern w:val="2"/>
          <w:sz w:val="32"/>
          <w:szCs w:val="24"/>
          <w:lang w:val="zh-CN" w:eastAsia="zh-CN" w:bidi="ar-SA"/>
        </w:rPr>
      </w:pPr>
      <w:r>
        <w:rPr>
          <w:rFonts w:hint="default" w:ascii="Times New Roman" w:hAnsi="Times New Roman" w:eastAsia="方正仿宋_GBK" w:cs="Times New Roman"/>
          <w:b w:val="0"/>
          <w:kern w:val="2"/>
          <w:sz w:val="32"/>
          <w:szCs w:val="24"/>
          <w:lang w:val="en-US" w:eastAsia="zh-CN" w:bidi="ar-SA"/>
        </w:rPr>
        <w:t xml:space="preserve"> </w:t>
      </w:r>
      <w:r>
        <w:rPr>
          <w:rFonts w:hint="default" w:ascii="Times New Roman" w:hAnsi="Times New Roman" w:eastAsia="方正仿宋_GBK" w:cs="Times New Roman"/>
          <w:b w:val="0"/>
          <w:kern w:val="2"/>
          <w:sz w:val="32"/>
          <w:szCs w:val="24"/>
          <w:lang w:val="zh-CN" w:eastAsia="zh-CN" w:bidi="ar-SA"/>
        </w:rPr>
        <w:t>1.细化预算编制工作，认真做好预算的编制。加强学习相关理论知识，加强单位内部机构业务负责人员的预算管理能力，严格按照《预算法》要求进行预算编制。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leftChars="0" w:right="0" w:rightChars="0" w:firstLine="562"/>
        <w:jc w:val="both"/>
        <w:textAlignment w:val="auto"/>
        <w:outlineLvl w:val="9"/>
        <w:rPr>
          <w:rFonts w:hint="default" w:ascii="Times New Roman" w:hAnsi="Times New Roman" w:eastAsia="方正仿宋_GBK" w:cs="Times New Roman"/>
          <w:b w:val="0"/>
          <w:kern w:val="2"/>
          <w:sz w:val="32"/>
          <w:szCs w:val="24"/>
          <w:lang w:val="zh-CN" w:eastAsia="zh-CN" w:bidi="ar-SA"/>
        </w:rPr>
      </w:pPr>
      <w:r>
        <w:rPr>
          <w:rFonts w:hint="default" w:ascii="Times New Roman" w:hAnsi="Times New Roman" w:eastAsia="方正仿宋_GBK" w:cs="Times New Roman"/>
          <w:b w:val="0"/>
          <w:kern w:val="2"/>
          <w:sz w:val="32"/>
          <w:szCs w:val="24"/>
          <w:lang w:val="en-US" w:eastAsia="zh-CN" w:bidi="ar-SA"/>
        </w:rPr>
        <w:t xml:space="preserve"> </w:t>
      </w:r>
      <w:r>
        <w:rPr>
          <w:rFonts w:hint="default" w:ascii="Times New Roman" w:hAnsi="Times New Roman" w:eastAsia="方正仿宋_GBK" w:cs="Times New Roman"/>
          <w:b w:val="0"/>
          <w:kern w:val="2"/>
          <w:sz w:val="32"/>
          <w:szCs w:val="24"/>
          <w:lang w:val="zh-CN" w:eastAsia="zh-CN" w:bidi="ar-SA"/>
        </w:rPr>
        <w:t>2.健全绩效体系，提高管理水平。按照全面实施预算管理的总体要求，结合行业部门特点，建立健全绩效目标指标设置、绩效监控、绩效评价、结果应用全过程的绩效管理实施办法。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leftChars="0" w:right="0" w:rightChars="0" w:firstLine="562"/>
        <w:jc w:val="both"/>
        <w:textAlignment w:val="auto"/>
        <w:outlineLvl w:val="9"/>
        <w:rPr>
          <w:rFonts w:hint="default" w:ascii="Times New Roman" w:hAnsi="Times New Roman" w:eastAsia="方正仿宋_GBK" w:cs="Times New Roman"/>
          <w:b w:val="0"/>
          <w:kern w:val="2"/>
          <w:sz w:val="32"/>
          <w:szCs w:val="24"/>
          <w:lang w:val="zh-CN" w:eastAsia="zh-CN" w:bidi="ar-SA"/>
        </w:rPr>
      </w:pPr>
      <w:r>
        <w:rPr>
          <w:rFonts w:hint="eastAsia" w:ascii="Times New Roman" w:cs="Times New Roman"/>
          <w:b w:val="0"/>
          <w:kern w:val="2"/>
          <w:sz w:val="32"/>
          <w:szCs w:val="24"/>
          <w:lang w:val="en-US" w:eastAsia="zh-CN" w:bidi="ar-SA"/>
        </w:rPr>
        <w:t xml:space="preserve"> </w:t>
      </w:r>
      <w:r>
        <w:rPr>
          <w:rFonts w:hint="default" w:ascii="Times New Roman" w:hAnsi="Times New Roman" w:eastAsia="方正仿宋_GBK" w:cs="Times New Roman"/>
          <w:b w:val="0"/>
          <w:kern w:val="2"/>
          <w:sz w:val="32"/>
          <w:szCs w:val="24"/>
          <w:lang w:val="zh-CN" w:eastAsia="zh-CN" w:bidi="ar-SA"/>
        </w:rPr>
        <w:t>3.加强绩效管理业务培训。建议加强对绩效管理人员进行专业业务培训，提高预算绩效目标编制质量，切实提高预算收支管理水平，提升单位财务人员业务水平，适应工作需要。</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contextualSpacing/>
        <w:jc w:val="left"/>
        <w:textAlignment w:val="auto"/>
        <w:outlineLvl w:val="9"/>
        <w:rPr>
          <w:rFonts w:eastAsia="仿宋_GB2312"/>
          <w:sz w:val="32"/>
          <w:szCs w:val="32"/>
          <w:lang w:val="en" w:bidi="ar"/>
        </w:rPr>
      </w:pPr>
    </w:p>
    <w:bookmarkEnd w:id="109"/>
    <w:p>
      <w:pPr>
        <w:pStyle w:val="7"/>
        <w:keepNext w:val="0"/>
        <w:keepLines w:val="0"/>
        <w:pageBreakBefore w:val="0"/>
        <w:kinsoku/>
        <w:wordWrap/>
        <w:overflowPunct/>
        <w:topLinePunct w:val="0"/>
        <w:autoSpaceDE/>
        <w:autoSpaceDN/>
        <w:bidi w:val="0"/>
        <w:spacing w:after="0" w:line="560" w:lineRule="exact"/>
        <w:ind w:left="0" w:leftChars="0" w:right="0" w:rightChars="0" w:firstLine="640"/>
        <w:textAlignment w:val="auto"/>
        <w:outlineLvl w:val="9"/>
        <w:rPr>
          <w:rFonts w:hint="default" w:ascii="Times New Roman" w:hAnsi="Times New Roman" w:eastAsia="方正仿宋_GBK" w:cs="Times New Roman"/>
          <w:sz w:val="32"/>
          <w:lang w:val="zh-CN" w:bidi="ar"/>
        </w:rPr>
      </w:pPr>
      <w:r>
        <w:rPr>
          <w:rFonts w:hint="default" w:ascii="Times New Roman" w:hAnsi="Times New Roman" w:eastAsia="方正仿宋_GBK" w:cs="Times New Roman"/>
          <w:sz w:val="32"/>
          <w:lang w:val="zh-CN" w:bidi="ar"/>
        </w:rPr>
        <w:t>附表：</w:t>
      </w:r>
      <w:r>
        <w:rPr>
          <w:rFonts w:hint="default" w:ascii="Times New Roman" w:hAnsi="Times New Roman" w:eastAsia="方正仿宋_GBK" w:cs="Times New Roman"/>
          <w:sz w:val="32"/>
          <w:lang w:bidi="ar"/>
        </w:rPr>
        <w:t>部门预算项目支出绩效自评表（2024年度）</w:t>
      </w:r>
    </w:p>
    <w:p>
      <w:pPr>
        <w:pageBreakBefore w:val="0"/>
        <w:kinsoku/>
        <w:wordWrap/>
        <w:overflowPunct/>
        <w:topLinePunct w:val="0"/>
        <w:bidi w:val="0"/>
        <w:spacing w:line="560" w:lineRule="exact"/>
        <w:ind w:right="0" w:rightChars="0"/>
        <w:textAlignment w:val="auto"/>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pStyle w:val="2"/>
        <w:pageBreakBefore w:val="0"/>
        <w:kinsoku/>
        <w:wordWrap/>
        <w:overflowPunct/>
        <w:topLinePunct w:val="0"/>
        <w:bidi w:val="0"/>
        <w:spacing w:beforeLines="0" w:line="560" w:lineRule="exact"/>
        <w:ind w:right="0" w:rightChars="0"/>
        <w:textAlignment w:val="auto"/>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pPr>
        <w:pStyle w:val="35"/>
        <w:pageBreakBefore w:val="0"/>
        <w:kinsoku/>
        <w:wordWrap/>
        <w:overflowPunct/>
        <w:topLinePunct w:val="0"/>
        <w:bidi w:val="0"/>
        <w:spacing w:line="560" w:lineRule="exact"/>
        <w:ind w:right="0" w:rightChars="0"/>
        <w:jc w:val="center"/>
        <w:textAlignment w:val="auto"/>
        <w:rPr>
          <w:rFonts w:hint="eastAsia" w:ascii="方正小标宋_GBK" w:hAnsi="方正小标宋_GBK" w:eastAsia="方正小标宋_GBK" w:cs="方正小标宋_GBK"/>
          <w:color w:val="auto"/>
          <w:kern w:val="2"/>
          <w:sz w:val="44"/>
          <w:szCs w:val="44"/>
          <w:lang w:val="en-US" w:eastAsia="zh-CN"/>
        </w:rPr>
      </w:pPr>
      <w:r>
        <w:rPr>
          <w:rFonts w:hint="eastAsia" w:ascii="方正小标宋_GBK" w:hAnsi="方正小标宋_GBK" w:eastAsia="方正小标宋_GBK" w:cs="方正小标宋_GBK"/>
          <w:color w:val="auto"/>
          <w:kern w:val="2"/>
          <w:sz w:val="44"/>
          <w:szCs w:val="44"/>
          <w:lang w:val="en-US" w:eastAsia="zh-CN"/>
        </w:rPr>
        <w:t>中共盐边县纪律检查委员会</w:t>
      </w:r>
    </w:p>
    <w:p>
      <w:pPr>
        <w:pStyle w:val="35"/>
        <w:pageBreakBefore w:val="0"/>
        <w:kinsoku/>
        <w:wordWrap/>
        <w:overflowPunct/>
        <w:topLinePunct w:val="0"/>
        <w:bidi w:val="0"/>
        <w:spacing w:line="560" w:lineRule="exact"/>
        <w:ind w:right="0" w:rightChars="0"/>
        <w:jc w:val="center"/>
        <w:textAlignment w:val="auto"/>
        <w:rPr>
          <w:rFonts w:hint="eastAsia" w:ascii="方正小标宋_GBK" w:hAnsi="方正小标宋_GBK" w:eastAsia="方正小标宋_GBK" w:cs="方正小标宋_GBK"/>
          <w:color w:val="auto"/>
          <w:kern w:val="2"/>
          <w:sz w:val="44"/>
          <w:szCs w:val="44"/>
          <w:lang w:val="en-US"/>
        </w:rPr>
      </w:pPr>
      <w:r>
        <w:rPr>
          <w:rFonts w:hint="eastAsia" w:ascii="方正小标宋_GBK" w:hAnsi="方正小标宋_GBK" w:eastAsia="方正小标宋_GBK" w:cs="方正小标宋_GBK"/>
          <w:color w:val="auto"/>
          <w:kern w:val="2"/>
          <w:sz w:val="44"/>
          <w:szCs w:val="44"/>
          <w:lang w:val="en-US"/>
        </w:rPr>
        <w:t>预算项目绩效评价报告</w:t>
      </w:r>
    </w:p>
    <w:p>
      <w:pPr>
        <w:pStyle w:val="35"/>
        <w:pageBreakBefore w:val="0"/>
        <w:kinsoku/>
        <w:wordWrap/>
        <w:overflowPunct/>
        <w:topLinePunct w:val="0"/>
        <w:bidi w:val="0"/>
        <w:spacing w:line="560" w:lineRule="exact"/>
        <w:ind w:right="0" w:rightChars="0" w:firstLine="640"/>
        <w:jc w:val="both"/>
        <w:textAlignment w:val="auto"/>
        <w:rPr>
          <w:rFonts w:hint="eastAsia" w:ascii="方正仿宋_GBK" w:hAnsi="方正仿宋_GBK" w:eastAsia="方正仿宋_GBK" w:cs="方正仿宋_GBK"/>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lang w:eastAsia="zh-CN"/>
        </w:rPr>
        <w:t>（无专项预算项目）</w:t>
      </w: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bookmarkStart w:id="110" w:name="_Toc15396618"/>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Style w:val="2"/>
        <w:pageBreakBefore w:val="0"/>
        <w:kinsoku/>
        <w:wordWrap/>
        <w:overflowPunct/>
        <w:topLinePunct w:val="0"/>
        <w:bidi w:val="0"/>
        <w:spacing w:line="560" w:lineRule="exact"/>
        <w:ind w:right="0" w:rightChars="0"/>
        <w:textAlignment w:val="auto"/>
        <w:rPr>
          <w:rFonts w:hint="eastAsia" w:eastAsia="黑体"/>
          <w:sz w:val="44"/>
          <w:szCs w:val="44"/>
        </w:rPr>
      </w:pPr>
    </w:p>
    <w:p>
      <w:pPr>
        <w:pStyle w:val="2"/>
        <w:pageBreakBefore w:val="0"/>
        <w:kinsoku/>
        <w:wordWrap/>
        <w:overflowPunct/>
        <w:topLinePunct w:val="0"/>
        <w:bidi w:val="0"/>
        <w:spacing w:line="560" w:lineRule="exact"/>
        <w:ind w:right="0" w:rightChars="0"/>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pageBreakBefore w:val="0"/>
        <w:widowControl/>
        <w:kinsoku/>
        <w:wordWrap/>
        <w:overflowPunct/>
        <w:topLinePunct w:val="0"/>
        <w:bidi w:val="0"/>
        <w:spacing w:line="560" w:lineRule="exact"/>
        <w:ind w:right="0" w:rightChars="0"/>
        <w:jc w:val="center"/>
        <w:textAlignment w:val="auto"/>
        <w:rPr>
          <w:rFonts w:hint="eastAsia" w:eastAsia="黑体"/>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rPr>
      </w:pPr>
      <w:bookmarkStart w:id="111" w:name="_Toc27850"/>
      <w:bookmarkStart w:id="112" w:name="_Toc21624"/>
      <w:r>
        <w:rPr>
          <w:rFonts w:hint="eastAsia" w:ascii="方正小标宋_GBK" w:hAnsi="方正小标宋_GBK" w:eastAsia="方正小标宋_GBK" w:cs="方正小标宋_GBK"/>
          <w:sz w:val="44"/>
          <w:szCs w:val="44"/>
        </w:rPr>
        <w:t>第</w:t>
      </w:r>
      <w:r>
        <w:rPr>
          <w:rStyle w:val="29"/>
          <w:rFonts w:hint="eastAsia" w:ascii="方正小标宋_GBK" w:hAnsi="方正小标宋_GBK" w:eastAsia="方正小标宋_GBK" w:cs="方正小标宋_GBK"/>
          <w:b w:val="0"/>
          <w:sz w:val="44"/>
          <w:szCs w:val="44"/>
        </w:rPr>
        <w:t>五部分 附表</w:t>
      </w:r>
      <w:bookmarkEnd w:id="104"/>
      <w:bookmarkEnd w:id="110"/>
      <w:bookmarkEnd w:id="111"/>
      <w:bookmarkEnd w:id="112"/>
      <w:bookmarkStart w:id="113" w:name="_Toc15396619"/>
    </w:p>
    <w:p>
      <w:pPr>
        <w:pStyle w:val="14"/>
        <w:pageBreakBefore w:val="0"/>
        <w:kinsoku/>
        <w:wordWrap/>
        <w:overflowPunct/>
        <w:topLinePunct w:val="0"/>
        <w:bidi w:val="0"/>
        <w:adjustRightInd w:val="0"/>
        <w:snapToGrid w:val="0"/>
        <w:spacing w:line="560" w:lineRule="exact"/>
        <w:ind w:right="0" w:rightChars="0"/>
        <w:jc w:val="left"/>
        <w:textAlignment w:val="auto"/>
        <w:rPr>
          <w:rFonts w:eastAsia="仿宋_GB2312" w:cs="仿宋_GB2312"/>
          <w:sz w:val="32"/>
          <w:szCs w:val="32"/>
        </w:r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14" w:name="_Toc18521"/>
      <w:bookmarkStart w:id="115" w:name="_Toc29851"/>
      <w:r>
        <w:rPr>
          <w:rFonts w:hint="eastAsia" w:ascii="方正仿宋_GBK" w:hAnsi="方正仿宋_GBK" w:eastAsia="方正仿宋_GBK" w:cs="方正仿宋_GBK"/>
          <w:sz w:val="32"/>
          <w:szCs w:val="32"/>
        </w:rPr>
        <w:t>一、收入支出决算总表</w:t>
      </w:r>
      <w:bookmarkEnd w:id="113"/>
      <w:bookmarkEnd w:id="114"/>
      <w:bookmarkEnd w:id="115"/>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16" w:name="_Toc15396620"/>
      <w:bookmarkStart w:id="117" w:name="_Toc4340"/>
      <w:bookmarkStart w:id="118" w:name="_Toc27392"/>
      <w:r>
        <w:rPr>
          <w:rFonts w:hint="eastAsia" w:ascii="方正仿宋_GBK" w:hAnsi="方正仿宋_GBK" w:eastAsia="方正仿宋_GBK" w:cs="方正仿宋_GBK"/>
          <w:sz w:val="32"/>
          <w:szCs w:val="32"/>
        </w:rPr>
        <w:t>二、收入决算表</w:t>
      </w:r>
      <w:bookmarkEnd w:id="116"/>
      <w:bookmarkEnd w:id="117"/>
      <w:bookmarkEnd w:id="118"/>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19" w:name="_Toc15396621"/>
      <w:bookmarkStart w:id="120" w:name="_Toc11863"/>
      <w:bookmarkStart w:id="121" w:name="_Toc13053"/>
      <w:r>
        <w:rPr>
          <w:rFonts w:hint="eastAsia" w:ascii="方正仿宋_GBK" w:hAnsi="方正仿宋_GBK" w:eastAsia="方正仿宋_GBK" w:cs="方正仿宋_GBK"/>
          <w:sz w:val="32"/>
          <w:szCs w:val="32"/>
        </w:rPr>
        <w:t>三、支出决算表</w:t>
      </w:r>
      <w:bookmarkEnd w:id="119"/>
      <w:bookmarkEnd w:id="120"/>
      <w:bookmarkEnd w:id="121"/>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22" w:name="_Toc15396622"/>
      <w:bookmarkStart w:id="123" w:name="_Toc28744"/>
      <w:bookmarkStart w:id="124" w:name="_Toc12271"/>
      <w:r>
        <w:rPr>
          <w:rFonts w:hint="eastAsia" w:ascii="方正仿宋_GBK" w:hAnsi="方正仿宋_GBK" w:eastAsia="方正仿宋_GBK" w:cs="方正仿宋_GBK"/>
          <w:sz w:val="32"/>
          <w:szCs w:val="32"/>
        </w:rPr>
        <w:t>四、财政拨款收入支出决算总表</w:t>
      </w:r>
      <w:bookmarkEnd w:id="122"/>
      <w:bookmarkEnd w:id="123"/>
      <w:bookmarkEnd w:id="124"/>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25" w:name="_Toc15396623"/>
      <w:bookmarkStart w:id="126" w:name="_Toc19133"/>
      <w:bookmarkStart w:id="127" w:name="_Toc18791"/>
      <w:r>
        <w:rPr>
          <w:rFonts w:hint="eastAsia" w:ascii="方正仿宋_GBK" w:hAnsi="方正仿宋_GBK" w:eastAsia="方正仿宋_GBK" w:cs="方正仿宋_GBK"/>
          <w:sz w:val="32"/>
          <w:szCs w:val="32"/>
        </w:rPr>
        <w:t>五、财政拨款支出决算明细表</w:t>
      </w:r>
      <w:bookmarkEnd w:id="125"/>
      <w:bookmarkEnd w:id="126"/>
      <w:bookmarkEnd w:id="127"/>
      <w:bookmarkStart w:id="128" w:name="_Toc15396624"/>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29" w:name="_Toc21568"/>
      <w:bookmarkStart w:id="130" w:name="_Toc22903"/>
      <w:r>
        <w:rPr>
          <w:rFonts w:hint="eastAsia" w:ascii="方正仿宋_GBK" w:hAnsi="方正仿宋_GBK" w:eastAsia="方正仿宋_GBK" w:cs="方正仿宋_GBK"/>
          <w:sz w:val="32"/>
          <w:szCs w:val="32"/>
        </w:rPr>
        <w:t>六、一般公共预算财政拨款支出决算表</w:t>
      </w:r>
      <w:bookmarkEnd w:id="128"/>
      <w:bookmarkEnd w:id="129"/>
      <w:bookmarkEnd w:id="130"/>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31" w:name="_Toc15396625"/>
      <w:bookmarkStart w:id="132" w:name="_Toc16352"/>
      <w:bookmarkStart w:id="133" w:name="_Toc11184"/>
      <w:r>
        <w:rPr>
          <w:rFonts w:hint="eastAsia" w:ascii="方正仿宋_GBK" w:hAnsi="方正仿宋_GBK" w:eastAsia="方正仿宋_GBK" w:cs="方正仿宋_GBK"/>
          <w:sz w:val="32"/>
          <w:szCs w:val="32"/>
        </w:rPr>
        <w:t>七、一般公共预算财政拨款支出决算明细表</w:t>
      </w:r>
      <w:bookmarkEnd w:id="131"/>
      <w:bookmarkEnd w:id="132"/>
      <w:bookmarkEnd w:id="133"/>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34" w:name="_Toc15396626"/>
      <w:bookmarkStart w:id="135" w:name="_Toc28606"/>
      <w:bookmarkStart w:id="136" w:name="_Toc25269"/>
      <w:r>
        <w:rPr>
          <w:rFonts w:hint="eastAsia" w:ascii="方正仿宋_GBK" w:hAnsi="方正仿宋_GBK" w:eastAsia="方正仿宋_GBK" w:cs="方正仿宋_GBK"/>
          <w:sz w:val="32"/>
          <w:szCs w:val="32"/>
        </w:rPr>
        <w:t>八、一般公共预算财政拨款基本支出决算表</w:t>
      </w:r>
      <w:bookmarkEnd w:id="134"/>
      <w:bookmarkEnd w:id="135"/>
      <w:bookmarkEnd w:id="136"/>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37" w:name="_Toc3726"/>
      <w:bookmarkStart w:id="138" w:name="_Toc28057"/>
      <w:bookmarkStart w:id="139" w:name="_Toc15396627"/>
      <w:r>
        <w:rPr>
          <w:rFonts w:hint="eastAsia" w:ascii="方正仿宋_GBK" w:hAnsi="方正仿宋_GBK" w:eastAsia="方正仿宋_GBK" w:cs="方正仿宋_GBK"/>
          <w:sz w:val="32"/>
          <w:szCs w:val="32"/>
        </w:rPr>
        <w:t>九、一般公共预算财政拨款项目支出决算表</w:t>
      </w:r>
      <w:bookmarkEnd w:id="137"/>
      <w:bookmarkEnd w:id="138"/>
      <w:bookmarkEnd w:id="139"/>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40" w:name="_Toc15396628"/>
      <w:bookmarkStart w:id="141" w:name="_Toc26471"/>
      <w:bookmarkStart w:id="142" w:name="_Toc15786"/>
      <w:r>
        <w:rPr>
          <w:rFonts w:hint="eastAsia" w:ascii="方正仿宋_GBK" w:hAnsi="方正仿宋_GBK" w:eastAsia="方正仿宋_GBK" w:cs="方正仿宋_GBK"/>
          <w:sz w:val="32"/>
          <w:szCs w:val="32"/>
        </w:rPr>
        <w:t>十、</w:t>
      </w:r>
      <w:bookmarkEnd w:id="140"/>
      <w:r>
        <w:rPr>
          <w:rFonts w:hint="eastAsia" w:ascii="方正仿宋_GBK" w:hAnsi="方正仿宋_GBK" w:eastAsia="方正仿宋_GBK" w:cs="方正仿宋_GBK"/>
          <w:sz w:val="32"/>
          <w:szCs w:val="32"/>
        </w:rPr>
        <w:t>政府性基金预算财政拨款收入支出决算表</w:t>
      </w:r>
      <w:bookmarkEnd w:id="141"/>
      <w:bookmarkEnd w:id="142"/>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43" w:name="_Toc15396629"/>
      <w:bookmarkStart w:id="144" w:name="_Toc2383"/>
      <w:bookmarkStart w:id="145" w:name="_Toc27535"/>
      <w:r>
        <w:rPr>
          <w:rFonts w:hint="eastAsia" w:ascii="方正仿宋_GBK" w:hAnsi="方正仿宋_GBK" w:eastAsia="方正仿宋_GBK" w:cs="方正仿宋_GBK"/>
          <w:sz w:val="32"/>
          <w:szCs w:val="32"/>
        </w:rPr>
        <w:t>十一、</w:t>
      </w:r>
      <w:bookmarkEnd w:id="143"/>
      <w:r>
        <w:rPr>
          <w:rFonts w:hint="eastAsia" w:ascii="方正仿宋_GBK" w:hAnsi="方正仿宋_GBK" w:eastAsia="方正仿宋_GBK" w:cs="方正仿宋_GBK"/>
          <w:sz w:val="32"/>
          <w:szCs w:val="32"/>
        </w:rPr>
        <w:t>国有资本经营预算财政拨款收入支出决算表</w:t>
      </w:r>
      <w:bookmarkEnd w:id="144"/>
      <w:bookmarkEnd w:id="145"/>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46" w:name="_Toc15396630"/>
      <w:bookmarkStart w:id="147" w:name="_Toc2210"/>
      <w:bookmarkStart w:id="148" w:name="_Toc26446"/>
      <w:r>
        <w:rPr>
          <w:rFonts w:hint="eastAsia" w:ascii="方正仿宋_GBK" w:hAnsi="方正仿宋_GBK" w:eastAsia="方正仿宋_GBK" w:cs="方正仿宋_GBK"/>
          <w:sz w:val="32"/>
          <w:szCs w:val="32"/>
        </w:rPr>
        <w:t>十二、</w:t>
      </w:r>
      <w:bookmarkEnd w:id="146"/>
      <w:r>
        <w:rPr>
          <w:rFonts w:hint="eastAsia" w:ascii="方正仿宋_GBK" w:hAnsi="方正仿宋_GBK" w:eastAsia="方正仿宋_GBK" w:cs="方正仿宋_GBK"/>
          <w:sz w:val="32"/>
          <w:szCs w:val="32"/>
        </w:rPr>
        <w:t>国有资本经营预算财政拨款支出决算表</w:t>
      </w:r>
      <w:bookmarkEnd w:id="147"/>
      <w:bookmarkEnd w:id="148"/>
    </w:p>
    <w:p>
      <w:pPr>
        <w:pStyle w:val="14"/>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left"/>
        <w:textAlignment w:val="auto"/>
        <w:outlineLvl w:val="1"/>
        <w:rPr>
          <w:rFonts w:hint="eastAsia" w:ascii="方正仿宋_GBK" w:hAnsi="方正仿宋_GBK" w:eastAsia="方正仿宋_GBK" w:cs="方正仿宋_GBK"/>
          <w:sz w:val="32"/>
          <w:szCs w:val="32"/>
        </w:rPr>
      </w:pPr>
      <w:bookmarkStart w:id="149" w:name="_Toc15396631"/>
      <w:bookmarkStart w:id="150" w:name="_Toc23632"/>
      <w:bookmarkStart w:id="151" w:name="_Toc1177"/>
      <w:r>
        <w:rPr>
          <w:rFonts w:hint="eastAsia" w:ascii="方正仿宋_GBK" w:hAnsi="方正仿宋_GBK" w:eastAsia="方正仿宋_GBK" w:cs="方正仿宋_GBK"/>
          <w:sz w:val="32"/>
          <w:szCs w:val="32"/>
        </w:rPr>
        <w:t>十三、</w:t>
      </w:r>
      <w:bookmarkEnd w:id="149"/>
      <w:r>
        <w:rPr>
          <w:rFonts w:hint="eastAsia" w:ascii="方正仿宋_GBK" w:hAnsi="方正仿宋_GBK" w:eastAsia="方正仿宋_GBK" w:cs="方正仿宋_GBK"/>
          <w:sz w:val="32"/>
          <w:szCs w:val="32"/>
        </w:rPr>
        <w:t>财政拨款“三公”经费支出决算表</w:t>
      </w:r>
      <w:bookmarkEnd w:id="150"/>
      <w:bookmarkEnd w:id="151"/>
    </w:p>
    <w:p>
      <w:pPr>
        <w:keepNext w:val="0"/>
        <w:keepLines w:val="0"/>
        <w:pageBreakBefore w:val="0"/>
        <w:widowControl w:val="0"/>
        <w:kinsoku/>
        <w:wordWrap/>
        <w:overflowPunct/>
        <w:topLinePunct w:val="0"/>
        <w:autoSpaceDE/>
        <w:autoSpaceDN/>
        <w:bidi w:val="0"/>
        <w:spacing w:line="560" w:lineRule="exact"/>
        <w:ind w:right="0" w:rightChars="0" w:firstLine="0" w:firstLineChars="0"/>
        <w:textAlignment w:val="auto"/>
        <w:outlineLvl w:val="1"/>
        <w:rPr>
          <w:rFonts w:hint="eastAsia" w:ascii="方正仿宋_GBK" w:hAnsi="方正仿宋_GBK" w:eastAsia="方正仿宋_GBK" w:cs="方正仿宋_GBK"/>
          <w:sz w:val="32"/>
          <w:szCs w:val="32"/>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仿宋简体">
    <w:altName w:val="Arial Unicode MS"/>
    <w:panose1 w:val="03000509000000000000"/>
    <w:charset w:val="86"/>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Arial Narrow">
    <w:panose1 w:val="020B0606020202030204"/>
    <w:charset w:val="00"/>
    <w:family w:val="auto"/>
    <w:pitch w:val="default"/>
    <w:sig w:usb0="00000287" w:usb1="00000800" w:usb2="00000000" w:usb3="00000000" w:csb0="2000009F" w:csb1="DFD70000"/>
  </w:font>
  <w:font w:name="Bahnschrift SemiBol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entaur">
    <w:panose1 w:val="02030504050205020304"/>
    <w:charset w:val="00"/>
    <w:family w:val="auto"/>
    <w:pitch w:val="default"/>
    <w:sig w:usb0="00000003"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00006FF" w:usb1="0000FCFF" w:usb2="00000001" w:usb3="00000000" w:csb0="6000019F" w:csb1="DFD70000"/>
  </w:font>
  <w:font w:name="Helvetica Neue">
    <w:altName w:val="Times New Roman"/>
    <w:panose1 w:val="00000000000000000000"/>
    <w:charset w:val="00"/>
    <w:family w:val="auto"/>
    <w:pitch w:val="default"/>
    <w:sig w:usb0="00000000" w:usb1="00000000" w:usb2="00000000" w:usb3="00000000" w:csb0="00000001"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oto Sans Syriac Eastern">
    <w:altName w:val="宋体"/>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6A948"/>
    <w:multiLevelType w:val="singleLevel"/>
    <w:tmpl w:val="6826A948"/>
    <w:lvl w:ilvl="0" w:tentative="0">
      <w:start w:val="2"/>
      <w:numFmt w:val="decimal"/>
      <w:suff w:val="nothing"/>
      <w:lvlText w:val="%1."/>
      <w:lvlJc w:val="left"/>
    </w:lvl>
  </w:abstractNum>
  <w:abstractNum w:abstractNumId="1">
    <w:nsid w:val="6826F661"/>
    <w:multiLevelType w:val="singleLevel"/>
    <w:tmpl w:val="6826F661"/>
    <w:lvl w:ilvl="0" w:tentative="0">
      <w:start w:val="1"/>
      <w:numFmt w:val="decimal"/>
      <w:suff w:val="nothing"/>
      <w:lvlText w:val="%1."/>
      <w:lvlJc w:val="left"/>
    </w:lvl>
  </w:abstractNum>
  <w:abstractNum w:abstractNumId="2">
    <w:nsid w:val="682EE766"/>
    <w:multiLevelType w:val="singleLevel"/>
    <w:tmpl w:val="682EE766"/>
    <w:lvl w:ilvl="0" w:tentative="0">
      <w:start w:val="1"/>
      <w:numFmt w:val="decimal"/>
      <w:suff w:val="nothing"/>
      <w:lvlText w:val="（%1）"/>
      <w:lvlJc w:val="left"/>
    </w:lvl>
  </w:abstractNum>
  <w:abstractNum w:abstractNumId="3">
    <w:nsid w:val="68F5FBD8"/>
    <w:multiLevelType w:val="singleLevel"/>
    <w:tmpl w:val="68F5FBD8"/>
    <w:lvl w:ilvl="0" w:tentative="0">
      <w:start w:val="1"/>
      <w:numFmt w:val="chineseCounting"/>
      <w:suff w:val="nothing"/>
      <w:lvlText w:val="%1、"/>
      <w:lvlJc w:val="left"/>
    </w:lvl>
  </w:abstractNum>
  <w:abstractNum w:abstractNumId="4">
    <w:nsid w:val="68F60AF1"/>
    <w:multiLevelType w:val="singleLevel"/>
    <w:tmpl w:val="68F60AF1"/>
    <w:lvl w:ilvl="0" w:tentative="0">
      <w:start w:val="2"/>
      <w:numFmt w:val="chineseCounting"/>
      <w:suff w:val="nothing"/>
      <w:lvlText w:val="（%1）"/>
      <w:lvlJc w:val="left"/>
    </w:lvl>
  </w:abstractNum>
  <w:abstractNum w:abstractNumId="5">
    <w:nsid w:val="68F60F10"/>
    <w:multiLevelType w:val="singleLevel"/>
    <w:tmpl w:val="68F60F10"/>
    <w:lvl w:ilvl="0" w:tentative="0">
      <w:start w:val="2"/>
      <w:numFmt w:val="chineseCounting"/>
      <w:suff w:val="nothing"/>
      <w:lvlText w:val="（%1）"/>
      <w:lvlJc w:val="left"/>
    </w:lvl>
  </w:abstractNum>
  <w:abstractNum w:abstractNumId="6">
    <w:nsid w:val="68F60F42"/>
    <w:multiLevelType w:val="singleLevel"/>
    <w:tmpl w:val="68F60F42"/>
    <w:lvl w:ilvl="0" w:tentative="0">
      <w:start w:val="3"/>
      <w:numFmt w:val="chineseCounting"/>
      <w:suff w:val="nothing"/>
      <w:lvlText w:val="（%1）"/>
      <w:lvlJc w:val="left"/>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0A10"/>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B3FC7"/>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EF31B4"/>
    <w:rsid w:val="022238B0"/>
    <w:rsid w:val="02426558"/>
    <w:rsid w:val="02E41636"/>
    <w:rsid w:val="02FEBE30"/>
    <w:rsid w:val="037A3DE2"/>
    <w:rsid w:val="04916F1E"/>
    <w:rsid w:val="04A64D0B"/>
    <w:rsid w:val="04E5030C"/>
    <w:rsid w:val="061E35DE"/>
    <w:rsid w:val="066E0107"/>
    <w:rsid w:val="07554C78"/>
    <w:rsid w:val="07996F6E"/>
    <w:rsid w:val="07DFD8BA"/>
    <w:rsid w:val="07E868C8"/>
    <w:rsid w:val="08E008A6"/>
    <w:rsid w:val="09002A75"/>
    <w:rsid w:val="09867E8F"/>
    <w:rsid w:val="099718C4"/>
    <w:rsid w:val="0A2032A3"/>
    <w:rsid w:val="0AB01898"/>
    <w:rsid w:val="0CA675A1"/>
    <w:rsid w:val="0CA8290A"/>
    <w:rsid w:val="0CDA1074"/>
    <w:rsid w:val="0D2C0032"/>
    <w:rsid w:val="0D35B1ED"/>
    <w:rsid w:val="0D610DF9"/>
    <w:rsid w:val="0E196326"/>
    <w:rsid w:val="0E1A3E59"/>
    <w:rsid w:val="0E254B6B"/>
    <w:rsid w:val="0E372C96"/>
    <w:rsid w:val="0E6E457E"/>
    <w:rsid w:val="0F98263C"/>
    <w:rsid w:val="101860EC"/>
    <w:rsid w:val="101F47CC"/>
    <w:rsid w:val="105D2BC8"/>
    <w:rsid w:val="10C055FF"/>
    <w:rsid w:val="115B66B2"/>
    <w:rsid w:val="11694EBD"/>
    <w:rsid w:val="11772AA4"/>
    <w:rsid w:val="118107EC"/>
    <w:rsid w:val="11FB0A03"/>
    <w:rsid w:val="12243B39"/>
    <w:rsid w:val="12361053"/>
    <w:rsid w:val="12E24EE2"/>
    <w:rsid w:val="13003940"/>
    <w:rsid w:val="130A0AF7"/>
    <w:rsid w:val="13AF10DB"/>
    <w:rsid w:val="13D50BC4"/>
    <w:rsid w:val="14000201"/>
    <w:rsid w:val="14360D62"/>
    <w:rsid w:val="14B17F78"/>
    <w:rsid w:val="16086964"/>
    <w:rsid w:val="163F00F7"/>
    <w:rsid w:val="165E0673"/>
    <w:rsid w:val="16B6258A"/>
    <w:rsid w:val="16B831D5"/>
    <w:rsid w:val="16BB723D"/>
    <w:rsid w:val="17E50567"/>
    <w:rsid w:val="18063B97"/>
    <w:rsid w:val="186504BB"/>
    <w:rsid w:val="18A26488"/>
    <w:rsid w:val="1998764C"/>
    <w:rsid w:val="19A445FC"/>
    <w:rsid w:val="19DD75EC"/>
    <w:rsid w:val="1B70008C"/>
    <w:rsid w:val="1BAD4F97"/>
    <w:rsid w:val="1BE8440E"/>
    <w:rsid w:val="1C5A1DB6"/>
    <w:rsid w:val="1CAF7F16"/>
    <w:rsid w:val="1CC6347C"/>
    <w:rsid w:val="1CF242DD"/>
    <w:rsid w:val="1D155CEE"/>
    <w:rsid w:val="1D1638FE"/>
    <w:rsid w:val="1DB07EE1"/>
    <w:rsid w:val="1E312DEB"/>
    <w:rsid w:val="1E615199"/>
    <w:rsid w:val="1E666DF6"/>
    <w:rsid w:val="1E7366D1"/>
    <w:rsid w:val="1E740ACF"/>
    <w:rsid w:val="1F695860"/>
    <w:rsid w:val="1FAD02FF"/>
    <w:rsid w:val="1FD740CD"/>
    <w:rsid w:val="1FF35744"/>
    <w:rsid w:val="1FF6BC77"/>
    <w:rsid w:val="201461DB"/>
    <w:rsid w:val="20776887"/>
    <w:rsid w:val="20F63EC2"/>
    <w:rsid w:val="2186353C"/>
    <w:rsid w:val="21AC3E3B"/>
    <w:rsid w:val="21E4399A"/>
    <w:rsid w:val="23860B96"/>
    <w:rsid w:val="240371BF"/>
    <w:rsid w:val="240467C9"/>
    <w:rsid w:val="244F3473"/>
    <w:rsid w:val="24997D11"/>
    <w:rsid w:val="24C97D99"/>
    <w:rsid w:val="25167C1C"/>
    <w:rsid w:val="25404C8D"/>
    <w:rsid w:val="25A718F0"/>
    <w:rsid w:val="25BB59F6"/>
    <w:rsid w:val="260F557C"/>
    <w:rsid w:val="26970054"/>
    <w:rsid w:val="27842832"/>
    <w:rsid w:val="27FB4761"/>
    <w:rsid w:val="28003CC8"/>
    <w:rsid w:val="281408E2"/>
    <w:rsid w:val="28AD0DE6"/>
    <w:rsid w:val="28C63CF4"/>
    <w:rsid w:val="28D6546D"/>
    <w:rsid w:val="29AA598A"/>
    <w:rsid w:val="29CC2D8D"/>
    <w:rsid w:val="29FD04D3"/>
    <w:rsid w:val="2B6A673A"/>
    <w:rsid w:val="2BEB1339"/>
    <w:rsid w:val="2BFF7BC6"/>
    <w:rsid w:val="2C0515FF"/>
    <w:rsid w:val="2C3855A8"/>
    <w:rsid w:val="2C5414E5"/>
    <w:rsid w:val="2C6E77BA"/>
    <w:rsid w:val="2C8A61B5"/>
    <w:rsid w:val="2DB757A8"/>
    <w:rsid w:val="2DF04E50"/>
    <w:rsid w:val="2E586DFA"/>
    <w:rsid w:val="2E6A1F1F"/>
    <w:rsid w:val="2F040D46"/>
    <w:rsid w:val="2F0D68E1"/>
    <w:rsid w:val="2F6B035B"/>
    <w:rsid w:val="2FAE5751"/>
    <w:rsid w:val="2FB1A395"/>
    <w:rsid w:val="2FD9A7D8"/>
    <w:rsid w:val="2FDBF714"/>
    <w:rsid w:val="2FE850DA"/>
    <w:rsid w:val="30564287"/>
    <w:rsid w:val="30AB6865"/>
    <w:rsid w:val="30B24F11"/>
    <w:rsid w:val="30B542C1"/>
    <w:rsid w:val="319F7F4E"/>
    <w:rsid w:val="327F0F19"/>
    <w:rsid w:val="32BD1EF1"/>
    <w:rsid w:val="3304709D"/>
    <w:rsid w:val="33A773CB"/>
    <w:rsid w:val="34786A25"/>
    <w:rsid w:val="349D6851"/>
    <w:rsid w:val="363354D3"/>
    <w:rsid w:val="363661F4"/>
    <w:rsid w:val="36AA5135"/>
    <w:rsid w:val="36BE0DA7"/>
    <w:rsid w:val="371F1301"/>
    <w:rsid w:val="376B6AA6"/>
    <w:rsid w:val="376D39B2"/>
    <w:rsid w:val="37801D67"/>
    <w:rsid w:val="37E16F03"/>
    <w:rsid w:val="37F53A3B"/>
    <w:rsid w:val="37FC0173"/>
    <w:rsid w:val="382E312F"/>
    <w:rsid w:val="389B6C89"/>
    <w:rsid w:val="38D469F0"/>
    <w:rsid w:val="39627CCD"/>
    <w:rsid w:val="397BAF1F"/>
    <w:rsid w:val="39E95A7E"/>
    <w:rsid w:val="3A843AB1"/>
    <w:rsid w:val="3AB79AF3"/>
    <w:rsid w:val="3AE834C0"/>
    <w:rsid w:val="3B570317"/>
    <w:rsid w:val="3B7EF35A"/>
    <w:rsid w:val="3B7F2762"/>
    <w:rsid w:val="3B834750"/>
    <w:rsid w:val="3B9FDB6C"/>
    <w:rsid w:val="3BC61DF9"/>
    <w:rsid w:val="3BF5BC2F"/>
    <w:rsid w:val="3CEBA265"/>
    <w:rsid w:val="3D4E1B03"/>
    <w:rsid w:val="3D98207C"/>
    <w:rsid w:val="3DAA6649"/>
    <w:rsid w:val="3DEE7CF3"/>
    <w:rsid w:val="3DFD10F7"/>
    <w:rsid w:val="3E740A63"/>
    <w:rsid w:val="3E78745D"/>
    <w:rsid w:val="3EBB2B4E"/>
    <w:rsid w:val="3EE17838"/>
    <w:rsid w:val="3F2D73E3"/>
    <w:rsid w:val="3F55381A"/>
    <w:rsid w:val="3F7F7599"/>
    <w:rsid w:val="3FF4CAE0"/>
    <w:rsid w:val="3FF7B227"/>
    <w:rsid w:val="42796ECF"/>
    <w:rsid w:val="42E363B6"/>
    <w:rsid w:val="43232FE1"/>
    <w:rsid w:val="43CB25F4"/>
    <w:rsid w:val="43CC351F"/>
    <w:rsid w:val="448348D1"/>
    <w:rsid w:val="44E268DA"/>
    <w:rsid w:val="44FD0535"/>
    <w:rsid w:val="450D13D7"/>
    <w:rsid w:val="45506656"/>
    <w:rsid w:val="459F76CA"/>
    <w:rsid w:val="461204D2"/>
    <w:rsid w:val="46F159EF"/>
    <w:rsid w:val="478D2483"/>
    <w:rsid w:val="47F15177"/>
    <w:rsid w:val="481E36BA"/>
    <w:rsid w:val="48427D0B"/>
    <w:rsid w:val="486A6C7A"/>
    <w:rsid w:val="48CF34F8"/>
    <w:rsid w:val="48E82C43"/>
    <w:rsid w:val="49063CDF"/>
    <w:rsid w:val="49916F44"/>
    <w:rsid w:val="4A0D526C"/>
    <w:rsid w:val="4A627F82"/>
    <w:rsid w:val="4B0E749A"/>
    <w:rsid w:val="4B2477C4"/>
    <w:rsid w:val="4B4F25DA"/>
    <w:rsid w:val="4BD61E5E"/>
    <w:rsid w:val="4BE068DB"/>
    <w:rsid w:val="4C43229B"/>
    <w:rsid w:val="4C443323"/>
    <w:rsid w:val="4D2C5136"/>
    <w:rsid w:val="4D577224"/>
    <w:rsid w:val="4DB67A11"/>
    <w:rsid w:val="4DBF1CEB"/>
    <w:rsid w:val="4DF0007C"/>
    <w:rsid w:val="4E2F2B1A"/>
    <w:rsid w:val="4EAB630A"/>
    <w:rsid w:val="4EBA3038"/>
    <w:rsid w:val="4ECE2238"/>
    <w:rsid w:val="4F0132A9"/>
    <w:rsid w:val="4F833267"/>
    <w:rsid w:val="4FD16800"/>
    <w:rsid w:val="4FE9BD67"/>
    <w:rsid w:val="4FFB052F"/>
    <w:rsid w:val="502126BF"/>
    <w:rsid w:val="50255B49"/>
    <w:rsid w:val="50381A66"/>
    <w:rsid w:val="50F74584"/>
    <w:rsid w:val="520C65B3"/>
    <w:rsid w:val="52296AE9"/>
    <w:rsid w:val="526D21B8"/>
    <w:rsid w:val="53056844"/>
    <w:rsid w:val="537E6D0A"/>
    <w:rsid w:val="539A4EB8"/>
    <w:rsid w:val="53F74C96"/>
    <w:rsid w:val="545501AC"/>
    <w:rsid w:val="54912D10"/>
    <w:rsid w:val="54A952FF"/>
    <w:rsid w:val="55170BA8"/>
    <w:rsid w:val="553218C9"/>
    <w:rsid w:val="55827420"/>
    <w:rsid w:val="55B7608C"/>
    <w:rsid w:val="55FE2690"/>
    <w:rsid w:val="567E1AA5"/>
    <w:rsid w:val="56E4677C"/>
    <w:rsid w:val="56E47B74"/>
    <w:rsid w:val="57175D52"/>
    <w:rsid w:val="578E5956"/>
    <w:rsid w:val="57BD3DD4"/>
    <w:rsid w:val="587425D9"/>
    <w:rsid w:val="58A203C1"/>
    <w:rsid w:val="59915089"/>
    <w:rsid w:val="59FF7644"/>
    <w:rsid w:val="5A12074E"/>
    <w:rsid w:val="5AF92295"/>
    <w:rsid w:val="5B250254"/>
    <w:rsid w:val="5BDD79E6"/>
    <w:rsid w:val="5BF561CA"/>
    <w:rsid w:val="5BFF5DFC"/>
    <w:rsid w:val="5CD71FC4"/>
    <w:rsid w:val="5CFD12C0"/>
    <w:rsid w:val="5D1F11B5"/>
    <w:rsid w:val="5D695134"/>
    <w:rsid w:val="5D715F59"/>
    <w:rsid w:val="5DAE1B18"/>
    <w:rsid w:val="5DE7D9E5"/>
    <w:rsid w:val="5E393B34"/>
    <w:rsid w:val="5EAE4EEB"/>
    <w:rsid w:val="5EC95D4D"/>
    <w:rsid w:val="5ECEC941"/>
    <w:rsid w:val="5F9D6F36"/>
    <w:rsid w:val="5FBF9FF3"/>
    <w:rsid w:val="5FCD4E2C"/>
    <w:rsid w:val="5FEF394A"/>
    <w:rsid w:val="5FF67715"/>
    <w:rsid w:val="6003504E"/>
    <w:rsid w:val="60F36D87"/>
    <w:rsid w:val="60F371D3"/>
    <w:rsid w:val="6140637F"/>
    <w:rsid w:val="61D307FE"/>
    <w:rsid w:val="627F49B3"/>
    <w:rsid w:val="62BF3928"/>
    <w:rsid w:val="62D66974"/>
    <w:rsid w:val="63B3701E"/>
    <w:rsid w:val="647F5392"/>
    <w:rsid w:val="65287C80"/>
    <w:rsid w:val="654F626D"/>
    <w:rsid w:val="659613FE"/>
    <w:rsid w:val="65E66580"/>
    <w:rsid w:val="663D6865"/>
    <w:rsid w:val="664B1D71"/>
    <w:rsid w:val="664B4E8E"/>
    <w:rsid w:val="66C8006D"/>
    <w:rsid w:val="67277B67"/>
    <w:rsid w:val="679B69A2"/>
    <w:rsid w:val="67AA3209"/>
    <w:rsid w:val="6857493B"/>
    <w:rsid w:val="698D0931"/>
    <w:rsid w:val="69EA0E31"/>
    <w:rsid w:val="6A7FE5F3"/>
    <w:rsid w:val="6A976E6C"/>
    <w:rsid w:val="6AA03DC7"/>
    <w:rsid w:val="6AE101E1"/>
    <w:rsid w:val="6B053271"/>
    <w:rsid w:val="6B1464CE"/>
    <w:rsid w:val="6B2A0BA0"/>
    <w:rsid w:val="6BDD78B3"/>
    <w:rsid w:val="6BE66EAC"/>
    <w:rsid w:val="6C4A05C8"/>
    <w:rsid w:val="6C8742B8"/>
    <w:rsid w:val="6C96173B"/>
    <w:rsid w:val="6D0A23BA"/>
    <w:rsid w:val="6D88381C"/>
    <w:rsid w:val="6DBF5E93"/>
    <w:rsid w:val="6DFF077E"/>
    <w:rsid w:val="6E2B25E6"/>
    <w:rsid w:val="6E714EF0"/>
    <w:rsid w:val="6E7D28B5"/>
    <w:rsid w:val="6E7E3605"/>
    <w:rsid w:val="6E7FDCC7"/>
    <w:rsid w:val="6EA270CE"/>
    <w:rsid w:val="6ED6A62E"/>
    <w:rsid w:val="6EE00B15"/>
    <w:rsid w:val="6F6B095F"/>
    <w:rsid w:val="6F6FB3EB"/>
    <w:rsid w:val="6F8731EA"/>
    <w:rsid w:val="6FB64DA1"/>
    <w:rsid w:val="6FCE6052"/>
    <w:rsid w:val="6FD57C00"/>
    <w:rsid w:val="6FEFFFD8"/>
    <w:rsid w:val="6FF5CC65"/>
    <w:rsid w:val="6FFB47EC"/>
    <w:rsid w:val="6FFF034A"/>
    <w:rsid w:val="70484440"/>
    <w:rsid w:val="706C7567"/>
    <w:rsid w:val="712A28F1"/>
    <w:rsid w:val="715C0E4B"/>
    <w:rsid w:val="71634955"/>
    <w:rsid w:val="71992E7C"/>
    <w:rsid w:val="72233669"/>
    <w:rsid w:val="72734D90"/>
    <w:rsid w:val="72946C14"/>
    <w:rsid w:val="72A81C4F"/>
    <w:rsid w:val="73160E6D"/>
    <w:rsid w:val="7332FE48"/>
    <w:rsid w:val="73AB61DA"/>
    <w:rsid w:val="73AD73D5"/>
    <w:rsid w:val="73B6EB34"/>
    <w:rsid w:val="73FA497D"/>
    <w:rsid w:val="744731E5"/>
    <w:rsid w:val="74BBD01D"/>
    <w:rsid w:val="74ED5379"/>
    <w:rsid w:val="75942C99"/>
    <w:rsid w:val="75DEEEC2"/>
    <w:rsid w:val="75E32345"/>
    <w:rsid w:val="76D42923"/>
    <w:rsid w:val="76D7088B"/>
    <w:rsid w:val="76E3355F"/>
    <w:rsid w:val="76FF5125"/>
    <w:rsid w:val="77393741"/>
    <w:rsid w:val="776F6FFA"/>
    <w:rsid w:val="778769C8"/>
    <w:rsid w:val="779144C3"/>
    <w:rsid w:val="77A75DCA"/>
    <w:rsid w:val="77DC22F5"/>
    <w:rsid w:val="783E271A"/>
    <w:rsid w:val="78616DE9"/>
    <w:rsid w:val="78E875D7"/>
    <w:rsid w:val="79086DAD"/>
    <w:rsid w:val="79116C3B"/>
    <w:rsid w:val="798A65C9"/>
    <w:rsid w:val="79D7FD79"/>
    <w:rsid w:val="79EE5BA4"/>
    <w:rsid w:val="7A894339"/>
    <w:rsid w:val="7AD284E8"/>
    <w:rsid w:val="7AFF7572"/>
    <w:rsid w:val="7B680265"/>
    <w:rsid w:val="7B6C7DFB"/>
    <w:rsid w:val="7BBFBED0"/>
    <w:rsid w:val="7BC3E394"/>
    <w:rsid w:val="7C1F3737"/>
    <w:rsid w:val="7C6B5D20"/>
    <w:rsid w:val="7C8728CF"/>
    <w:rsid w:val="7C986ABF"/>
    <w:rsid w:val="7CBFC87B"/>
    <w:rsid w:val="7CFB36C5"/>
    <w:rsid w:val="7CFE0F48"/>
    <w:rsid w:val="7D272ABC"/>
    <w:rsid w:val="7D7EC23E"/>
    <w:rsid w:val="7D9C4081"/>
    <w:rsid w:val="7E05108C"/>
    <w:rsid w:val="7E3004EC"/>
    <w:rsid w:val="7E5E549B"/>
    <w:rsid w:val="7E8ADEBF"/>
    <w:rsid w:val="7EEF11D3"/>
    <w:rsid w:val="7EFE4840"/>
    <w:rsid w:val="7F0971A6"/>
    <w:rsid w:val="7F15577A"/>
    <w:rsid w:val="7F1D62E7"/>
    <w:rsid w:val="7F3F679B"/>
    <w:rsid w:val="7F4FC4EF"/>
    <w:rsid w:val="7F5E4D54"/>
    <w:rsid w:val="7F6E0135"/>
    <w:rsid w:val="7F79F205"/>
    <w:rsid w:val="7FA30C79"/>
    <w:rsid w:val="7FA79C44"/>
    <w:rsid w:val="7FAF8ABF"/>
    <w:rsid w:val="7FB7269E"/>
    <w:rsid w:val="7FC96657"/>
    <w:rsid w:val="7FD51553"/>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spacing w:before="100" w:beforeAutospacing="1" w:after="100" w:afterAutospacing="1"/>
      <w:jc w:val="left"/>
    </w:pPr>
    <w:rPr>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List Paragraph"/>
    <w:basedOn w:val="1"/>
    <w:qFormat/>
    <w:uiPriority w:val="34"/>
    <w:pPr>
      <w:ind w:firstLine="420" w:firstLineChars="200"/>
    </w:pPr>
  </w:style>
  <w:style w:type="character" w:customStyle="1" w:styleId="29">
    <w:name w:val="标题 1 Char"/>
    <w:basedOn w:val="16"/>
    <w:link w:val="3"/>
    <w:qFormat/>
    <w:uiPriority w:val="9"/>
    <w:rPr>
      <w:rFonts w:ascii="Times New Roman" w:hAnsi="Times New Roman"/>
      <w:b/>
      <w:bCs/>
      <w:kern w:val="44"/>
      <w:sz w:val="44"/>
      <w:szCs w:val="44"/>
    </w:rPr>
  </w:style>
  <w:style w:type="character" w:customStyle="1" w:styleId="30">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character" w:customStyle="1" w:styleId="33">
    <w:name w:val="标题 3 Char"/>
    <w:basedOn w:val="16"/>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公1"/>
    <w:basedOn w:val="37"/>
    <w:next w:val="1"/>
    <w:qFormat/>
    <w:uiPriority w:val="0"/>
    <w:pPr>
      <w:ind w:firstLine="200" w:firstLineChars="200"/>
    </w:p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500"/>
              <a:t>收入、支出决算总计变动情况图（万元）</a:t>
            </a:r>
            <a:endParaRPr sz="1500"/>
          </a:p>
        </c:rich>
      </c:tx>
      <c:layout>
        <c:manualLayout>
          <c:xMode val="edge"/>
          <c:yMode val="edge"/>
          <c:x val="0.186960301276148"/>
          <c:y val="0.0661505981703026"/>
        </c:manualLayout>
      </c:layout>
      <c:overlay val="0"/>
      <c:spPr>
        <a:noFill/>
        <a:ln>
          <a:noFill/>
        </a:ln>
        <a:effectLst/>
      </c:spPr>
    </c:title>
    <c:autoTitleDeleted val="0"/>
    <c:plotArea>
      <c:layout>
        <c:manualLayout>
          <c:layoutTarget val="inner"/>
          <c:xMode val="edge"/>
          <c:yMode val="edge"/>
          <c:x val="0.105528679753369"/>
          <c:y val="0.296783749396974"/>
          <c:w val="0.890524471147828"/>
          <c:h val="0.522498446239901"/>
        </c:manualLayout>
      </c:layout>
      <c:barChart>
        <c:barDir val="col"/>
        <c:grouping val="stack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2024年收入、支出总计</c:v>
                </c:pt>
                <c:pt idx="1">
                  <c:v>2023年收入、支出总计</c:v>
                </c:pt>
              </c:strCache>
            </c:strRef>
          </c:cat>
          <c:val>
            <c:numRef>
              <c:f>Sheet1!$B$1:$B$2</c:f>
              <c:numCache>
                <c:formatCode>General</c:formatCode>
                <c:ptCount val="2"/>
                <c:pt idx="0">
                  <c:v>1646.53</c:v>
                </c:pt>
                <c:pt idx="1">
                  <c:v>1634.02</c:v>
                </c:pt>
              </c:numCache>
            </c:numRef>
          </c:val>
        </c:ser>
        <c:dLbls>
          <c:showLegendKey val="0"/>
          <c:showVal val="1"/>
          <c:showCatName val="0"/>
          <c:showSerName val="0"/>
          <c:showPercent val="0"/>
          <c:showBubbleSize val="0"/>
        </c:dLbls>
        <c:gapWidth val="150"/>
        <c:overlap val="100"/>
        <c:axId val="156190976"/>
        <c:axId val="156229632"/>
      </c:barChart>
      <c:catAx>
        <c:axId val="156190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229632"/>
        <c:crosses val="autoZero"/>
        <c:auto val="1"/>
        <c:lblAlgn val="ctr"/>
        <c:lblOffset val="100"/>
        <c:noMultiLvlLbl val="0"/>
      </c:catAx>
      <c:valAx>
        <c:axId val="15622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90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0.6804</c:v>
                </c:pt>
                <c:pt idx="1">
                  <c:v>0.3196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500"/>
              <a:t>财政拨款收入、支出决算总计变动情况图（万元）</a:t>
            </a:r>
            <a:endParaRPr sz="1500"/>
          </a:p>
        </c:rich>
      </c:tx>
      <c:layout>
        <c:manualLayout>
          <c:xMode val="edge"/>
          <c:yMode val="edge"/>
          <c:x val="0.189694541394481"/>
          <c:y val="0.0727490805193623"/>
        </c:manualLayout>
      </c:layout>
      <c:overlay val="0"/>
      <c:spPr>
        <a:noFill/>
        <a:ln>
          <a:noFill/>
        </a:ln>
        <a:effectLst/>
      </c:spPr>
    </c:title>
    <c:autoTitleDeleted val="0"/>
    <c:plotArea>
      <c:layout>
        <c:manualLayout>
          <c:layoutTarget val="inner"/>
          <c:xMode val="edge"/>
          <c:yMode val="edge"/>
          <c:x val="0.105455158978144"/>
          <c:y val="0.35585449493657"/>
          <c:w val="0.890524471147828"/>
          <c:h val="0.522498446239901"/>
        </c:manualLayout>
      </c:layout>
      <c:barChart>
        <c:barDir val="col"/>
        <c:grouping val="stack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2024年财政拨款收入、支出总计</c:v>
                </c:pt>
                <c:pt idx="1">
                  <c:v>2023年财政拨款收入、支出总计</c:v>
                </c:pt>
              </c:strCache>
            </c:strRef>
          </c:cat>
          <c:val>
            <c:numRef>
              <c:f>Sheet1!$B$1:$B$2</c:f>
              <c:numCache>
                <c:formatCode>General</c:formatCode>
                <c:ptCount val="2"/>
                <c:pt idx="0">
                  <c:v>1646.53</c:v>
                </c:pt>
                <c:pt idx="1">
                  <c:v>1634.02</c:v>
                </c:pt>
              </c:numCache>
            </c:numRef>
          </c:val>
        </c:ser>
        <c:dLbls>
          <c:showLegendKey val="0"/>
          <c:showVal val="1"/>
          <c:showCatName val="0"/>
          <c:showSerName val="0"/>
          <c:showPercent val="0"/>
          <c:showBubbleSize val="0"/>
        </c:dLbls>
        <c:gapWidth val="150"/>
        <c:overlap val="100"/>
        <c:axId val="156190976"/>
        <c:axId val="156229632"/>
      </c:barChart>
      <c:catAx>
        <c:axId val="156190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229632"/>
        <c:crosses val="autoZero"/>
        <c:auto val="1"/>
        <c:lblAlgn val="ctr"/>
        <c:lblOffset val="100"/>
        <c:noMultiLvlLbl val="0"/>
      </c:catAx>
      <c:valAx>
        <c:axId val="15622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90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500"/>
              <a:t>一般公共预算财政拨款支出决算变动情况图（万元）</a:t>
            </a:r>
            <a:endParaRPr sz="1500"/>
          </a:p>
        </c:rich>
      </c:tx>
      <c:layout>
        <c:manualLayout>
          <c:xMode val="edge"/>
          <c:yMode val="edge"/>
          <c:x val="0.134749486449426"/>
          <c:y val="0.0735294117647059"/>
        </c:manualLayout>
      </c:layout>
      <c:overlay val="0"/>
      <c:spPr>
        <a:noFill/>
        <a:ln>
          <a:noFill/>
        </a:ln>
        <a:effectLst/>
      </c:spPr>
    </c:title>
    <c:autoTitleDeleted val="0"/>
    <c:plotArea>
      <c:layout>
        <c:manualLayout>
          <c:layoutTarget val="inner"/>
          <c:xMode val="edge"/>
          <c:yMode val="edge"/>
          <c:x val="0.0997167110632413"/>
          <c:y val="0.349452018156384"/>
          <c:w val="0.890524471147828"/>
          <c:h val="0.522498446239901"/>
        </c:manualLayout>
      </c:layout>
      <c:barChart>
        <c:barDir val="col"/>
        <c:grouping val="stack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2024年一般公共预算财政拨款支出</c:v>
                </c:pt>
                <c:pt idx="1">
                  <c:v>2023年一般公共预算财政拨款支出</c:v>
                </c:pt>
              </c:strCache>
            </c:strRef>
          </c:cat>
          <c:val>
            <c:numRef>
              <c:f>Sheet1!$B$1:$B$2</c:f>
              <c:numCache>
                <c:formatCode>General</c:formatCode>
                <c:ptCount val="2"/>
                <c:pt idx="0">
                  <c:v>1646.53</c:v>
                </c:pt>
                <c:pt idx="1">
                  <c:v>1634.02</c:v>
                </c:pt>
              </c:numCache>
            </c:numRef>
          </c:val>
        </c:ser>
        <c:dLbls>
          <c:showLegendKey val="0"/>
          <c:showVal val="1"/>
          <c:showCatName val="0"/>
          <c:showSerName val="0"/>
          <c:showPercent val="0"/>
          <c:showBubbleSize val="0"/>
        </c:dLbls>
        <c:gapWidth val="150"/>
        <c:overlap val="100"/>
        <c:axId val="156190976"/>
        <c:axId val="156229632"/>
      </c:barChart>
      <c:catAx>
        <c:axId val="156190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229632"/>
        <c:crosses val="autoZero"/>
        <c:auto val="1"/>
        <c:lblAlgn val="ctr"/>
        <c:lblOffset val="100"/>
        <c:noMultiLvlLbl val="0"/>
      </c:catAx>
      <c:valAx>
        <c:axId val="15622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90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21675"/>
          <c:y val="0.0532906231799651"/>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3"/>
              <c:layout>
                <c:manualLayout>
                  <c:x val="0.0186430147919914"/>
                  <c:y val="-0.01564365557890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0.8237</c:v>
                </c:pt>
                <c:pt idx="1">
                  <c:v>0.0734</c:v>
                </c:pt>
                <c:pt idx="2">
                  <c:v>0.0517</c:v>
                </c:pt>
                <c:pt idx="3">
                  <c:v>0.0512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“三公”经费财政拨款支出结构</a:t>
            </a:r>
            <a:endParaRPr lang="zh-CN" altLang="en-US"/>
          </a:p>
        </c:rich>
      </c:tx>
      <c:layout>
        <c:manualLayout>
          <c:xMode val="edge"/>
          <c:yMode val="edge"/>
          <c:x val="0.188297616181074"/>
          <c:y val="0.0165825467672058"/>
        </c:manualLayout>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Lbl>
              <c:idx val="0"/>
              <c:layout>
                <c:manualLayout>
                  <c:x val="-0.203125716918421"/>
                  <c:y val="0.2049857829620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231839994236213"/>
                  <c:y val="0.39588696459568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241993739465447"/>
                  <c:y val="0.075120192307692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因公出国（境）费支出</c:v>
                </c:pt>
                <c:pt idx="1">
                  <c:v>公务用车购置费</c:v>
                </c:pt>
                <c:pt idx="2">
                  <c:v>公务接待费支出</c:v>
                </c:pt>
                <c:pt idx="3">
                  <c:v>公务用车运行维护费支出</c:v>
                </c:pt>
              </c:strCache>
            </c:strRef>
          </c:cat>
          <c:val>
            <c:numRef>
              <c:f>Sheet1!$B$2:$B$5</c:f>
              <c:numCache>
                <c:formatCode>General</c:formatCode>
                <c:ptCount val="4"/>
                <c:pt idx="0">
                  <c:v>0</c:v>
                </c:pt>
                <c:pt idx="1">
                  <c:v>0</c:v>
                </c:pt>
                <c:pt idx="2">
                  <c:v>0</c:v>
                </c:pt>
                <c:pt idx="3" c:formatCode="0%">
                  <c:v>1</c:v>
                </c:pt>
              </c:numCache>
            </c:numRef>
          </c:val>
        </c:ser>
        <c:dLbls>
          <c:showLegendKey val="0"/>
          <c:showVal val="1"/>
          <c:showCatName val="1"/>
          <c:showSerName val="0"/>
          <c:showPercent val="0"/>
          <c:showBubbleSize val="0"/>
          <c:showLeaderLines val="1"/>
        </c:dLbls>
        <c:firstSliceAng val="0"/>
      </c:pieChart>
    </c:plotArea>
    <c:legend>
      <c:legendPos val="r"/>
      <c:layout>
        <c:manualLayout>
          <c:xMode val="edge"/>
          <c:yMode val="edge"/>
          <c:x val="0.661931134119913"/>
          <c:y val="0.41887019230769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1327</Words>
  <Characters>7570</Characters>
  <Lines>63</Lines>
  <Paragraphs>17</Paragraphs>
  <ScaleCrop>false</ScaleCrop>
  <LinksUpToDate>false</LinksUpToDate>
  <CharactersWithSpaces>8880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PC</cp:lastModifiedBy>
  <cp:lastPrinted>2025-08-06T17:34:00Z</cp:lastPrinted>
  <dcterms:modified xsi:type="dcterms:W3CDTF">2025-10-24T07:54:17Z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y fmtid="{D5CDD505-2E9C-101B-9397-08002B2CF9AE}" pid="3" name="ICV">
    <vt:lpwstr>04787F2533EB45DC91BCDE4AB213247F</vt:lpwstr>
  </property>
</Properties>
</file>