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0392E">
      <w:pPr>
        <w:pStyle w:val="8"/>
        <w:spacing w:before="93"/>
        <w:rPr>
          <w:rFonts w:ascii="Times New Roman" w:eastAsia="方正小标宋简体"/>
          <w:kern w:val="2"/>
          <w:sz w:val="72"/>
          <w:szCs w:val="72"/>
        </w:rPr>
      </w:pPr>
      <w:bookmarkStart w:id="0" w:name="_Toc15377425"/>
      <w:bookmarkStart w:id="1" w:name="_Toc15306267"/>
      <w:bookmarkStart w:id="2" w:name="_Toc15378441"/>
      <w:bookmarkStart w:id="3" w:name="_Toc15377193"/>
      <w:bookmarkStart w:id="4" w:name="_Toc15396597"/>
      <w:bookmarkStart w:id="5" w:name="_Toc15396475"/>
    </w:p>
    <w:p w14:paraId="02F861AD">
      <w:pPr>
        <w:pStyle w:val="8"/>
        <w:spacing w:before="93"/>
        <w:rPr>
          <w:rFonts w:ascii="Times New Roman" w:eastAsia="方正小标宋简体"/>
          <w:kern w:val="2"/>
          <w:sz w:val="72"/>
          <w:szCs w:val="72"/>
        </w:rPr>
      </w:pPr>
    </w:p>
    <w:p w14:paraId="62F7C889">
      <w:pPr>
        <w:pStyle w:val="8"/>
        <w:spacing w:before="93"/>
        <w:rPr>
          <w:rFonts w:ascii="Times New Roman" w:eastAsia="方正小标宋简体"/>
          <w:kern w:val="2"/>
          <w:sz w:val="72"/>
          <w:szCs w:val="72"/>
        </w:rPr>
      </w:pPr>
    </w:p>
    <w:p w14:paraId="5902EF53">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1AD50C55">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盐边县经济信息化和科学技术局单位决算</w:t>
      </w:r>
    </w:p>
    <w:p w14:paraId="38068937">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78B91AA0">
      <w:pPr>
        <w:spacing w:line="600" w:lineRule="exact"/>
        <w:jc w:val="center"/>
        <w:outlineLvl w:val="0"/>
        <w:rPr>
          <w:rFonts w:eastAsia="方正小标宋简体"/>
          <w:sz w:val="72"/>
          <w:szCs w:val="72"/>
        </w:rPr>
      </w:pPr>
    </w:p>
    <w:p w14:paraId="58DC7601">
      <w:pPr>
        <w:pStyle w:val="26"/>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p w14:paraId="1BD1931C"/>
    <w:bookmarkEnd w:id="0"/>
    <w:bookmarkEnd w:id="1"/>
    <w:bookmarkEnd w:id="2"/>
    <w:bookmarkEnd w:id="3"/>
    <w:bookmarkEnd w:id="4"/>
    <w:bookmarkEnd w:id="5"/>
    <w:p w14:paraId="03C5D3E0">
      <w:pPr>
        <w:widowControl/>
        <w:jc w:val="center"/>
        <w:rPr>
          <w:rFonts w:eastAsia="黑体"/>
          <w:sz w:val="48"/>
          <w:szCs w:val="48"/>
        </w:rPr>
      </w:pPr>
      <w:r>
        <w:rPr>
          <w:rFonts w:hint="eastAsia" w:eastAsia="黑体"/>
          <w:sz w:val="48"/>
          <w:szCs w:val="48"/>
        </w:rPr>
        <w:t>目录</w:t>
      </w:r>
    </w:p>
    <w:p w14:paraId="2A29E026">
      <w:pPr>
        <w:widowControl/>
        <w:jc w:val="center"/>
        <w:rPr>
          <w:rFonts w:eastAsia="黑体" w:cstheme="minorBidi"/>
          <w:sz w:val="28"/>
          <w:szCs w:val="28"/>
        </w:rPr>
      </w:pPr>
    </w:p>
    <w:p w14:paraId="582579F2">
      <w:pPr>
        <w:pStyle w:val="13"/>
        <w:rPr>
          <w:rFonts w:ascii="Times New Roman" w:hAnsi="Times New Roman" w:eastAsia="仿宋_GB2312" w:cs="仿宋_GB2312"/>
        </w:rPr>
      </w:pPr>
      <w:r>
        <w:rPr>
          <w:rFonts w:hint="eastAsia" w:ascii="Times New Roman" w:hAnsi="Times New Roman" w:eastAsia="仿宋_GB2312" w:cs="仿宋_GB2312"/>
        </w:rPr>
        <w:t>公开时间：2025年10月24日</w:t>
      </w:r>
    </w:p>
    <w:p w14:paraId="122DFED6">
      <w:pPr>
        <w:rPr>
          <w:sz w:val="28"/>
          <w:szCs w:val="28"/>
        </w:rPr>
      </w:pPr>
    </w:p>
    <w:p w14:paraId="2B988CAE">
      <w:pPr>
        <w:pStyle w:val="13"/>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第一部分 单位概况</w:t>
      </w:r>
      <w:r>
        <w:rPr>
          <w:rFonts w:hint="eastAsia" w:ascii="黑体" w:hAnsi="黑体" w:eastAsia="黑体"/>
          <w:sz w:val="32"/>
          <w:szCs w:val="32"/>
        </w:rPr>
        <w:tab/>
      </w:r>
      <w:r>
        <w:rPr>
          <w:rFonts w:hint="eastAsia" w:ascii="黑体" w:hAnsi="黑体" w:eastAsia="黑体"/>
          <w:sz w:val="32"/>
          <w:szCs w:val="32"/>
        </w:rPr>
        <w:t>3</w:t>
      </w:r>
    </w:p>
    <w:p w14:paraId="6E46F8C9">
      <w:pPr>
        <w:pStyle w:val="13"/>
        <w:adjustRightInd w:val="0"/>
        <w:snapToGrid w:val="0"/>
        <w:spacing w:before="0" w:line="560" w:lineRule="exact"/>
        <w:ind w:firstLine="560" w:firstLineChars="200"/>
        <w:jc w:val="left"/>
        <w:rPr>
          <w:rFonts w:eastAsia="仿宋_GB2312" w:cs="仿宋_GB2312"/>
        </w:rPr>
      </w:pPr>
      <w:r>
        <w:rPr>
          <w:rFonts w:hint="eastAsia" w:eastAsia="仿宋_GB2312" w:cs="仿宋_GB2312"/>
        </w:rPr>
        <w:t>一、主要职责</w:t>
      </w:r>
      <w:r>
        <w:rPr>
          <w:rFonts w:hint="eastAsia" w:ascii="黑体" w:hAnsi="黑体" w:eastAsia="黑体"/>
          <w:sz w:val="32"/>
          <w:szCs w:val="32"/>
        </w:rPr>
        <w:tab/>
      </w:r>
      <w:r>
        <w:rPr>
          <w:rFonts w:hint="eastAsia" w:ascii="黑体" w:hAnsi="黑体" w:eastAsia="黑体"/>
          <w:sz w:val="32"/>
          <w:szCs w:val="32"/>
        </w:rPr>
        <w:t>3</w:t>
      </w:r>
    </w:p>
    <w:p w14:paraId="375F64AE">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二、机构设置</w:t>
      </w:r>
      <w:r>
        <w:rPr>
          <w:rFonts w:hint="eastAsia" w:ascii="黑体" w:hAnsi="黑体" w:eastAsia="黑体"/>
          <w:sz w:val="32"/>
          <w:szCs w:val="32"/>
        </w:rPr>
        <w:tab/>
      </w:r>
      <w:r>
        <w:rPr>
          <w:rFonts w:hint="eastAsia" w:ascii="黑体" w:hAnsi="黑体" w:eastAsia="黑体"/>
          <w:sz w:val="32"/>
          <w:szCs w:val="32"/>
        </w:rPr>
        <w:t>8</w:t>
      </w:r>
    </w:p>
    <w:p w14:paraId="7D3D28A9">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第二部分 2024年度部门决算情况说明</w:t>
      </w:r>
      <w:r>
        <w:rPr>
          <w:rFonts w:hint="eastAsia" w:ascii="黑体" w:hAnsi="黑体" w:eastAsia="黑体"/>
          <w:sz w:val="32"/>
          <w:szCs w:val="32"/>
        </w:rPr>
        <w:tab/>
      </w:r>
      <w:r>
        <w:rPr>
          <w:rFonts w:hint="eastAsia" w:ascii="黑体" w:hAnsi="黑体" w:eastAsia="黑体"/>
          <w:sz w:val="32"/>
          <w:szCs w:val="32"/>
          <w:lang w:val="en-US" w:eastAsia="zh-CN"/>
        </w:rPr>
        <w:t>9</w:t>
      </w:r>
    </w:p>
    <w:p w14:paraId="6580C40F">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一、收入支出决算总体情况说明</w:t>
      </w:r>
      <w:r>
        <w:rPr>
          <w:rFonts w:hint="eastAsia" w:ascii="黑体" w:hAnsi="黑体" w:eastAsia="黑体"/>
          <w:sz w:val="32"/>
          <w:szCs w:val="32"/>
        </w:rPr>
        <w:tab/>
      </w:r>
      <w:r>
        <w:rPr>
          <w:rFonts w:hint="eastAsia" w:ascii="黑体" w:hAnsi="黑体" w:eastAsia="黑体"/>
          <w:sz w:val="32"/>
          <w:szCs w:val="32"/>
          <w:lang w:val="en-US" w:eastAsia="zh-CN"/>
        </w:rPr>
        <w:t>9</w:t>
      </w:r>
    </w:p>
    <w:p w14:paraId="7BB22067">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二、收入决算情况说明</w:t>
      </w:r>
      <w:r>
        <w:rPr>
          <w:rFonts w:hint="eastAsia" w:ascii="黑体" w:hAnsi="黑体" w:eastAsia="黑体"/>
          <w:sz w:val="32"/>
          <w:szCs w:val="32"/>
        </w:rPr>
        <w:tab/>
      </w:r>
      <w:r>
        <w:rPr>
          <w:rFonts w:hint="eastAsia" w:ascii="黑体" w:hAnsi="黑体" w:eastAsia="黑体"/>
          <w:sz w:val="32"/>
          <w:szCs w:val="32"/>
          <w:lang w:val="en-US" w:eastAsia="zh-CN"/>
        </w:rPr>
        <w:t>9</w:t>
      </w:r>
    </w:p>
    <w:p w14:paraId="5DE0E19C">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三、支出决算情况说明</w:t>
      </w:r>
      <w:r>
        <w:rPr>
          <w:rFonts w:hint="eastAsia" w:ascii="黑体" w:hAnsi="黑体" w:eastAsia="黑体"/>
          <w:sz w:val="32"/>
          <w:szCs w:val="32"/>
        </w:rPr>
        <w:tab/>
      </w:r>
      <w:r>
        <w:rPr>
          <w:rFonts w:hint="eastAsia" w:ascii="黑体" w:hAnsi="黑体" w:eastAsia="黑体"/>
          <w:sz w:val="32"/>
          <w:szCs w:val="32"/>
        </w:rPr>
        <w:t>1</w:t>
      </w:r>
      <w:r>
        <w:rPr>
          <w:rFonts w:hint="eastAsia" w:ascii="黑体" w:hAnsi="黑体" w:eastAsia="黑体"/>
          <w:sz w:val="32"/>
          <w:szCs w:val="32"/>
          <w:lang w:val="en-US" w:eastAsia="zh-CN"/>
        </w:rPr>
        <w:t>0</w:t>
      </w:r>
    </w:p>
    <w:p w14:paraId="3C0DB787">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四、财政拨款收入支出决算总体情况说明</w:t>
      </w:r>
      <w:r>
        <w:rPr>
          <w:rFonts w:hint="eastAsia" w:ascii="黑体" w:hAnsi="黑体" w:eastAsia="黑体"/>
          <w:sz w:val="32"/>
          <w:szCs w:val="32"/>
        </w:rPr>
        <w:tab/>
      </w:r>
      <w:r>
        <w:rPr>
          <w:rFonts w:hint="eastAsia" w:ascii="黑体" w:hAnsi="黑体" w:eastAsia="黑体"/>
          <w:sz w:val="32"/>
          <w:szCs w:val="32"/>
        </w:rPr>
        <w:t>1</w:t>
      </w:r>
      <w:r>
        <w:rPr>
          <w:rFonts w:hint="eastAsia" w:ascii="黑体" w:hAnsi="黑体" w:eastAsia="黑体"/>
          <w:sz w:val="32"/>
          <w:szCs w:val="32"/>
          <w:lang w:val="en-US" w:eastAsia="zh-CN"/>
        </w:rPr>
        <w:t>0</w:t>
      </w:r>
    </w:p>
    <w:p w14:paraId="1F023F68">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五、一般公共预算财政拨款支出决算情况说明</w:t>
      </w:r>
      <w:r>
        <w:rPr>
          <w:rFonts w:hint="eastAsia" w:ascii="黑体" w:hAnsi="黑体" w:eastAsia="黑体"/>
          <w:sz w:val="32"/>
          <w:szCs w:val="32"/>
        </w:rPr>
        <w:tab/>
      </w:r>
      <w:r>
        <w:rPr>
          <w:rFonts w:hint="eastAsia" w:ascii="黑体" w:hAnsi="黑体" w:eastAsia="黑体"/>
          <w:sz w:val="32"/>
          <w:szCs w:val="32"/>
        </w:rPr>
        <w:t>1</w:t>
      </w:r>
      <w:r>
        <w:rPr>
          <w:rFonts w:hint="eastAsia" w:ascii="黑体" w:hAnsi="黑体" w:eastAsia="黑体"/>
          <w:sz w:val="32"/>
          <w:szCs w:val="32"/>
          <w:lang w:val="en-US" w:eastAsia="zh-CN"/>
        </w:rPr>
        <w:t>1</w:t>
      </w:r>
    </w:p>
    <w:p w14:paraId="728E2002">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六、一般公共预算财政拨款基本支出决算情况说明</w:t>
      </w:r>
      <w:r>
        <w:rPr>
          <w:rFonts w:hint="eastAsia" w:ascii="黑体" w:hAnsi="黑体" w:eastAsia="黑体"/>
          <w:sz w:val="32"/>
          <w:szCs w:val="32"/>
        </w:rPr>
        <w:tab/>
      </w:r>
      <w:r>
        <w:rPr>
          <w:rFonts w:hint="eastAsia" w:ascii="黑体" w:hAnsi="黑体" w:eastAsia="黑体"/>
          <w:sz w:val="32"/>
          <w:szCs w:val="32"/>
        </w:rPr>
        <w:t>1</w:t>
      </w:r>
      <w:r>
        <w:rPr>
          <w:rFonts w:hint="eastAsia" w:ascii="黑体" w:hAnsi="黑体" w:eastAsia="黑体"/>
          <w:sz w:val="32"/>
          <w:szCs w:val="32"/>
          <w:lang w:val="en-US" w:eastAsia="zh-CN"/>
        </w:rPr>
        <w:t>5</w:t>
      </w:r>
    </w:p>
    <w:p w14:paraId="13A1804B">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七、财政拨款“三公”经费支出决算情况说明</w:t>
      </w:r>
      <w:r>
        <w:rPr>
          <w:rFonts w:hint="eastAsia" w:ascii="黑体" w:hAnsi="黑体" w:eastAsia="黑体"/>
          <w:sz w:val="32"/>
          <w:szCs w:val="32"/>
        </w:rPr>
        <w:tab/>
      </w:r>
      <w:r>
        <w:rPr>
          <w:rFonts w:hint="eastAsia" w:ascii="黑体" w:hAnsi="黑体" w:eastAsia="黑体"/>
          <w:sz w:val="32"/>
          <w:szCs w:val="32"/>
        </w:rPr>
        <w:t>1</w:t>
      </w:r>
      <w:r>
        <w:rPr>
          <w:rFonts w:hint="eastAsia" w:ascii="黑体" w:hAnsi="黑体" w:eastAsia="黑体"/>
          <w:sz w:val="32"/>
          <w:szCs w:val="32"/>
          <w:lang w:val="en-US" w:eastAsia="zh-CN"/>
        </w:rPr>
        <w:t>5</w:t>
      </w:r>
    </w:p>
    <w:p w14:paraId="250F5E62">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八、政府性基金预算支出决算情况说明</w:t>
      </w:r>
      <w:r>
        <w:rPr>
          <w:rFonts w:hint="eastAsia" w:ascii="黑体" w:hAnsi="黑体" w:eastAsia="黑体"/>
          <w:sz w:val="32"/>
          <w:szCs w:val="32"/>
        </w:rPr>
        <w:tab/>
      </w:r>
      <w:r>
        <w:rPr>
          <w:rFonts w:hint="eastAsia" w:ascii="黑体" w:hAnsi="黑体" w:eastAsia="黑体"/>
          <w:sz w:val="32"/>
          <w:szCs w:val="32"/>
        </w:rPr>
        <w:t>1</w:t>
      </w:r>
      <w:r>
        <w:rPr>
          <w:rFonts w:hint="eastAsia" w:ascii="黑体" w:hAnsi="黑体" w:eastAsia="黑体"/>
          <w:sz w:val="32"/>
          <w:szCs w:val="32"/>
          <w:lang w:val="en-US" w:eastAsia="zh-CN"/>
        </w:rPr>
        <w:t>7</w:t>
      </w:r>
    </w:p>
    <w:p w14:paraId="24E3CD1E">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九、国有资本经营预算支出决算情况说明</w:t>
      </w:r>
      <w:r>
        <w:rPr>
          <w:rFonts w:hint="eastAsia" w:ascii="黑体" w:hAnsi="黑体" w:eastAsia="黑体"/>
          <w:sz w:val="32"/>
          <w:szCs w:val="32"/>
        </w:rPr>
        <w:tab/>
      </w:r>
      <w:r>
        <w:rPr>
          <w:rFonts w:hint="eastAsia" w:ascii="黑体" w:hAnsi="黑体" w:eastAsia="黑体"/>
          <w:sz w:val="32"/>
          <w:szCs w:val="32"/>
        </w:rPr>
        <w:t>1</w:t>
      </w:r>
      <w:r>
        <w:rPr>
          <w:rFonts w:hint="eastAsia" w:ascii="黑体" w:hAnsi="黑体" w:eastAsia="黑体"/>
          <w:sz w:val="32"/>
          <w:szCs w:val="32"/>
          <w:lang w:val="en-US" w:eastAsia="zh-CN"/>
        </w:rPr>
        <w:t>7</w:t>
      </w:r>
    </w:p>
    <w:p w14:paraId="05FBF49D">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十、其他重要事项的情况说明</w:t>
      </w:r>
      <w:r>
        <w:rPr>
          <w:rFonts w:hint="eastAsia" w:ascii="黑体" w:hAnsi="黑体" w:eastAsia="黑体"/>
          <w:sz w:val="32"/>
          <w:szCs w:val="32"/>
        </w:rPr>
        <w:tab/>
      </w:r>
      <w:r>
        <w:rPr>
          <w:rFonts w:hint="eastAsia" w:ascii="黑体" w:hAnsi="黑体" w:eastAsia="黑体"/>
          <w:sz w:val="32"/>
          <w:szCs w:val="32"/>
        </w:rPr>
        <w:t>1</w:t>
      </w:r>
      <w:r>
        <w:rPr>
          <w:rFonts w:hint="eastAsia" w:ascii="黑体" w:hAnsi="黑体" w:eastAsia="黑体"/>
          <w:sz w:val="32"/>
          <w:szCs w:val="32"/>
          <w:lang w:val="en-US" w:eastAsia="zh-CN"/>
        </w:rPr>
        <w:t>7</w:t>
      </w:r>
    </w:p>
    <w:p w14:paraId="2919630E">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第三部分 名词解释</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2</w:t>
      </w:r>
    </w:p>
    <w:p w14:paraId="233A2989">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第四部分 附件</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7</w:t>
      </w:r>
    </w:p>
    <w:p w14:paraId="5B160824">
      <w:pPr>
        <w:pStyle w:val="13"/>
        <w:adjustRightInd w:val="0"/>
        <w:snapToGrid w:val="0"/>
        <w:spacing w:before="0" w:line="560" w:lineRule="exact"/>
        <w:jc w:val="left"/>
        <w:rPr>
          <w:rFonts w:hint="eastAsia" w:ascii="Times New Roman" w:hAnsi="Times New Roman" w:eastAsia="黑体" w:cs="黑体"/>
          <w:lang w:eastAsia="zh-CN"/>
        </w:rPr>
      </w:pPr>
      <w:r>
        <w:rPr>
          <w:rFonts w:hint="eastAsia" w:ascii="Times New Roman" w:hAnsi="Times New Roman" w:eastAsia="黑体" w:cs="黑体"/>
        </w:rPr>
        <w:t>第五部分 附表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36BD973B">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一、收入支出决算总表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2311A66D">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二、收入决算表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3A0B01B2">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三、支出决算表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1483EBD6">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四、财政拨款收入支出决算总表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14B86E71">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五、财政拨款支出决算明细表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4577BB97">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六、一般公共预算财政拨款支出决算表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66E7D2D8">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七、一般公共预算财政拨款支出决算明细表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6218FD88">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八、一般公共预算财政拨款基本支出决算明细表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081185C7">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九、一般公共预算财政拨款项目支出决算表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0D0F2A95">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十、政府性基金预算财政拨款收入支出决算表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41FA517A">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十一、国有资本经营预算财政拨款收入支出决算表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721A47E8">
      <w:pPr>
        <w:pStyle w:val="14"/>
        <w:adjustRightInd w:val="0"/>
        <w:snapToGrid w:val="0"/>
        <w:spacing w:line="560" w:lineRule="exact"/>
        <w:ind w:left="0" w:leftChars="0" w:firstLine="560" w:firstLineChars="200"/>
        <w:jc w:val="left"/>
        <w:rPr>
          <w:rFonts w:hint="eastAsia" w:eastAsia="黑体" w:cs="仿宋_GB2312"/>
          <w:sz w:val="28"/>
          <w:szCs w:val="28"/>
          <w:lang w:eastAsia="zh-CN"/>
        </w:rPr>
      </w:pPr>
      <w:r>
        <w:rPr>
          <w:rFonts w:hint="eastAsia" w:eastAsia="仿宋_GB2312" w:cs="仿宋_GB2312"/>
          <w:sz w:val="28"/>
          <w:szCs w:val="28"/>
        </w:rPr>
        <w:t>十二、国有资本经营预算财政拨款支出决算表</w:t>
      </w:r>
      <w:r>
        <w:rPr>
          <w:rFonts w:hint="eastAsia" w:ascii="黑体" w:hAnsi="黑体" w:eastAsia="黑体"/>
          <w:sz w:val="32"/>
          <w:szCs w:val="32"/>
        </w:rPr>
        <w:tab/>
      </w:r>
      <w:r>
        <w:rPr>
          <w:rFonts w:hint="eastAsia" w:ascii="黑体" w:hAnsi="黑体" w:eastAsia="黑体"/>
          <w:sz w:val="32"/>
          <w:szCs w:val="32"/>
        </w:rPr>
        <w:t>2</w:t>
      </w:r>
      <w:r>
        <w:rPr>
          <w:rFonts w:hint="eastAsia" w:ascii="黑体" w:hAnsi="黑体" w:eastAsia="黑体"/>
          <w:sz w:val="32"/>
          <w:szCs w:val="32"/>
          <w:lang w:val="en-US" w:eastAsia="zh-CN"/>
        </w:rPr>
        <w:t>8</w:t>
      </w:r>
    </w:p>
    <w:p w14:paraId="23E5774E">
      <w:pPr>
        <w:pStyle w:val="14"/>
        <w:adjustRightInd w:val="0"/>
        <w:snapToGrid w:val="0"/>
        <w:spacing w:line="560" w:lineRule="exact"/>
        <w:ind w:left="0" w:leftChars="0" w:firstLine="560" w:firstLineChars="200"/>
        <w:jc w:val="left"/>
        <w:rPr>
          <w:rFonts w:eastAsia="仿宋_GB2312" w:cs="仿宋_GB2312"/>
          <w:bCs/>
          <w:kern w:val="44"/>
          <w:sz w:val="24"/>
        </w:rPr>
      </w:pPr>
      <w:r>
        <w:rPr>
          <w:rFonts w:hint="eastAsia" w:eastAsia="仿宋_GB2312" w:cs="仿宋_GB2312"/>
          <w:sz w:val="28"/>
          <w:szCs w:val="28"/>
        </w:rPr>
        <w:t>十三、财政拨款“三公”经费支出决算表</w:t>
      </w:r>
      <w:r>
        <w:rPr>
          <w:rFonts w:hint="eastAsia" w:ascii="黑体" w:hAnsi="黑体" w:eastAsia="黑体"/>
          <w:sz w:val="32"/>
          <w:szCs w:val="32"/>
        </w:rPr>
        <w:tab/>
      </w:r>
      <w:bookmarkStart w:id="6" w:name="_Toc15377196"/>
      <w:bookmarkStart w:id="7" w:name="_Toc15396599"/>
      <w:r>
        <w:rPr>
          <w:rFonts w:hint="eastAsia" w:ascii="黑体" w:hAnsi="黑体" w:eastAsia="黑体"/>
          <w:sz w:val="32"/>
          <w:szCs w:val="32"/>
        </w:rPr>
        <w:t>2</w:t>
      </w:r>
      <w:r>
        <w:rPr>
          <w:rFonts w:hint="eastAsia" w:ascii="黑体" w:hAnsi="黑体" w:eastAsia="黑体"/>
          <w:sz w:val="32"/>
          <w:szCs w:val="32"/>
          <w:lang w:val="en-US" w:eastAsia="zh-CN"/>
        </w:rPr>
        <w:t>8</w:t>
      </w:r>
      <w:bookmarkStart w:id="63" w:name="_GoBack"/>
      <w:bookmarkEnd w:id="63"/>
      <w:r>
        <w:rPr>
          <w:rFonts w:hint="eastAsia" w:eastAsia="仿宋_GB2312" w:cs="仿宋_GB2312"/>
          <w:b/>
          <w:sz w:val="24"/>
        </w:rPr>
        <w:br w:type="page"/>
      </w:r>
    </w:p>
    <w:p w14:paraId="7557162A">
      <w:pPr>
        <w:pStyle w:val="5"/>
        <w:jc w:val="center"/>
        <w:rPr>
          <w:rStyle w:val="19"/>
          <w:rFonts w:eastAsia="方正小标宋简体" w:cs="方正小标宋简体"/>
          <w:b/>
          <w:bCs w:val="0"/>
        </w:rPr>
      </w:pPr>
      <w:r>
        <w:rPr>
          <w:rFonts w:hint="eastAsia" w:eastAsia="方正小标宋简体" w:cs="方正小标宋简体"/>
          <w:b w:val="0"/>
        </w:rPr>
        <w:t xml:space="preserve">第一部分  </w:t>
      </w:r>
      <w:r>
        <w:rPr>
          <w:rStyle w:val="19"/>
          <w:rFonts w:hint="eastAsia" w:eastAsia="方正小标宋简体" w:cs="方正小标宋简体"/>
          <w:b w:val="0"/>
          <w:bCs w:val="0"/>
        </w:rPr>
        <w:t>单位概况</w:t>
      </w:r>
      <w:bookmarkEnd w:id="6"/>
      <w:bookmarkEnd w:id="7"/>
    </w:p>
    <w:p w14:paraId="46B57214">
      <w:pPr>
        <w:pStyle w:val="6"/>
        <w:ind w:firstLine="640" w:firstLineChars="200"/>
        <w:rPr>
          <w:rFonts w:ascii="Times New Roman" w:hAnsi="Times New Roman" w:eastAsia="黑体"/>
          <w:b w:val="0"/>
        </w:rPr>
      </w:pPr>
      <w:bookmarkStart w:id="8" w:name="_Toc15396600"/>
      <w:bookmarkStart w:id="9" w:name="_Toc15377197"/>
      <w:r>
        <w:rPr>
          <w:rFonts w:hint="eastAsia" w:ascii="Times New Roman" w:hAnsi="Times New Roman" w:eastAsia="黑体"/>
          <w:b w:val="0"/>
        </w:rPr>
        <w:t>一、</w:t>
      </w:r>
      <w:bookmarkEnd w:id="8"/>
      <w:bookmarkEnd w:id="9"/>
      <w:r>
        <w:rPr>
          <w:rFonts w:hint="eastAsia" w:ascii="Times New Roman" w:hAnsi="Times New Roman" w:eastAsia="黑体"/>
          <w:b w:val="0"/>
        </w:rPr>
        <w:t>主要职责</w:t>
      </w:r>
    </w:p>
    <w:p w14:paraId="0C950764">
      <w:pPr>
        <w:ind w:firstLine="640" w:firstLineChars="200"/>
        <w:rPr>
          <w:rFonts w:eastAsia="仿宋_GB2312" w:cs="仿宋_GB2312"/>
          <w:sz w:val="32"/>
          <w:szCs w:val="32"/>
        </w:rPr>
      </w:pPr>
      <w:r>
        <w:rPr>
          <w:rFonts w:hint="eastAsia" w:eastAsia="仿宋_GB2312" w:cs="仿宋_GB2312"/>
          <w:sz w:val="32"/>
          <w:szCs w:val="32"/>
        </w:rPr>
        <w:t>一是贯彻实施国家、省、市有关工业经济、信息化、无线电管理的法律、法规和方针政策，组织实施国家西部大开发战略等有关工业经济的政策措施，拟订我县工业经济、信息化和无线电管理的政策措施并组织实施。负责推进全县工业结构调整，牵头推动信息化和工业化融合、工业化与城镇化联动。负责工业领域、信息化领域、无线电管理领域的行政执法和执法监督检查工作。</w:t>
      </w:r>
    </w:p>
    <w:p w14:paraId="13A5C897">
      <w:pPr>
        <w:ind w:firstLine="640" w:firstLineChars="200"/>
        <w:rPr>
          <w:rFonts w:eastAsia="仿宋_GB2312" w:cs="仿宋_GB2312"/>
          <w:sz w:val="32"/>
          <w:szCs w:val="32"/>
        </w:rPr>
      </w:pPr>
      <w:r>
        <w:rPr>
          <w:rFonts w:hint="eastAsia" w:eastAsia="仿宋_GB2312" w:cs="仿宋_GB2312"/>
          <w:sz w:val="32"/>
          <w:szCs w:val="32"/>
        </w:rPr>
        <w:t>二是拟订全县创新驱动发展战略以及科技发展、引进国外智力规划和政策措施并组织实施。起草有关科技发展政策措施并组织实施。</w:t>
      </w:r>
    </w:p>
    <w:p w14:paraId="6C95C0C5">
      <w:pPr>
        <w:ind w:firstLine="640" w:firstLineChars="200"/>
        <w:rPr>
          <w:rFonts w:eastAsia="仿宋_GB2312" w:cs="仿宋_GB2312"/>
          <w:sz w:val="32"/>
          <w:szCs w:val="32"/>
        </w:rPr>
      </w:pPr>
      <w:r>
        <w:rPr>
          <w:rFonts w:hint="eastAsia" w:eastAsia="仿宋_GB2312" w:cs="仿宋_GB2312"/>
          <w:sz w:val="32"/>
          <w:szCs w:val="32"/>
        </w:rPr>
        <w:t>三是组织拟订新型工业化发展战略和重大政策，协调解决新型工业化进程中的重大问题，组织实施工业强县战略。参与拟订国民经济和社会发展规划，组织制定并牵头实施工业（不含能源，下同）、信息化相关行业的发展规划、年度计划和产业政策，贯彻执行工业领域、信息化领域行业技术规范与行业标准，指导行业质量管理工作。</w:t>
      </w:r>
    </w:p>
    <w:p w14:paraId="1D3B1D0C">
      <w:pPr>
        <w:ind w:firstLine="640" w:firstLineChars="200"/>
        <w:rPr>
          <w:rFonts w:eastAsia="仿宋_GB2312" w:cs="仿宋_GB2312"/>
          <w:sz w:val="32"/>
          <w:szCs w:val="32"/>
        </w:rPr>
      </w:pPr>
      <w:r>
        <w:rPr>
          <w:rFonts w:hint="eastAsia" w:eastAsia="仿宋_GB2312" w:cs="仿宋_GB2312"/>
          <w:sz w:val="32"/>
          <w:szCs w:val="32"/>
        </w:rPr>
        <w:t>四是统筹推进全县科技创新体系建设和科技体制改革，会同有关部门健全技术创新激励机制。优化科研体系建设，指导科研机构改革发展，推动企业科技创新能力建设，承担推进军民融合发展相关工作；推进全县重大科技决策咨询制度建设。组织拟订全县推进创新创业、促进科技金融结合、科技招商的政策措施并组织实施。</w:t>
      </w:r>
    </w:p>
    <w:p w14:paraId="68EB51E0">
      <w:pPr>
        <w:ind w:firstLine="640" w:firstLineChars="200"/>
        <w:rPr>
          <w:rFonts w:eastAsia="仿宋_GB2312" w:cs="仿宋_GB2312"/>
          <w:sz w:val="32"/>
          <w:szCs w:val="32"/>
        </w:rPr>
      </w:pPr>
      <w:r>
        <w:rPr>
          <w:rFonts w:hint="eastAsia" w:eastAsia="仿宋_GB2312" w:cs="仿宋_GB2312"/>
          <w:sz w:val="32"/>
          <w:szCs w:val="32"/>
        </w:rPr>
        <w:t>五是牵头建立全县科研项目资金协调、实施、评估、监管机制。</w:t>
      </w:r>
    </w:p>
    <w:p w14:paraId="1E2A72B0">
      <w:pPr>
        <w:ind w:firstLine="640" w:firstLineChars="200"/>
        <w:rPr>
          <w:rFonts w:eastAsia="仿宋_GB2312" w:cs="仿宋_GB2312"/>
          <w:sz w:val="32"/>
          <w:szCs w:val="32"/>
        </w:rPr>
      </w:pPr>
      <w:r>
        <w:rPr>
          <w:rFonts w:hint="eastAsia" w:eastAsia="仿宋_GB2312" w:cs="仿宋_GB2312"/>
          <w:sz w:val="32"/>
          <w:szCs w:val="32"/>
        </w:rPr>
        <w:t>六是监测、分析全县工业经济运行态势和质量，建立全县工业经济运行预警机制，拟订中、近期工业经济运行目标、政策并组织实施，协调解决经济运行中的重大问题。负责对电力、煤炭、成品油、天然气等要素的综合调控、紧急调度和铁路运输协调工作，负责县级医药储备的监督管理。承办工业经济目标责任考核。</w:t>
      </w:r>
    </w:p>
    <w:p w14:paraId="75404F1F">
      <w:pPr>
        <w:ind w:firstLine="640" w:firstLineChars="200"/>
        <w:rPr>
          <w:rFonts w:eastAsia="仿宋_GB2312" w:cs="仿宋_GB2312"/>
          <w:sz w:val="32"/>
          <w:szCs w:val="32"/>
        </w:rPr>
      </w:pPr>
      <w:r>
        <w:rPr>
          <w:rFonts w:hint="eastAsia" w:eastAsia="仿宋_GB2312" w:cs="仿宋_GB2312"/>
          <w:sz w:val="32"/>
          <w:szCs w:val="32"/>
        </w:rPr>
        <w:t>七是牵头实施全县企业技术改造推进工作，制定并实施全县企业技术改造投资规划和政策，制定并发布全县企业技术改造投资项目引导目录。提出全县工业和信息化固定资产投资规模的意见，按照规定权限审批、核准、备案、转报全县企业技术改造项目并组织实施。组织实施全县工业重大产业化项目。</w:t>
      </w:r>
    </w:p>
    <w:p w14:paraId="5123787D">
      <w:pPr>
        <w:ind w:firstLine="640" w:firstLineChars="200"/>
        <w:rPr>
          <w:rFonts w:eastAsia="仿宋_GB2312" w:cs="仿宋_GB2312"/>
          <w:sz w:val="32"/>
          <w:szCs w:val="32"/>
        </w:rPr>
      </w:pPr>
      <w:r>
        <w:rPr>
          <w:rFonts w:hint="eastAsia" w:eastAsia="仿宋_GB2312" w:cs="仿宋_GB2312"/>
          <w:sz w:val="32"/>
          <w:szCs w:val="32"/>
        </w:rPr>
        <w:t>八是制定全县企业技术创新体系建设，制定鼓励企业技术创新的政策措施，指导企业技术创新、技术引进、重大装备国产化和重大技术装备研制，编制下达全县企业技术创新项目计划并组织实施，组织企业技术中心申报、认定和建设管理工作。</w:t>
      </w:r>
    </w:p>
    <w:p w14:paraId="7E260386">
      <w:pPr>
        <w:ind w:firstLine="640" w:firstLineChars="200"/>
        <w:rPr>
          <w:rFonts w:eastAsia="仿宋_GB2312" w:cs="仿宋_GB2312"/>
          <w:sz w:val="32"/>
          <w:szCs w:val="32"/>
        </w:rPr>
      </w:pPr>
      <w:r>
        <w:rPr>
          <w:rFonts w:hint="eastAsia" w:eastAsia="仿宋_GB2312" w:cs="仿宋_GB2312"/>
          <w:sz w:val="32"/>
          <w:szCs w:val="32"/>
        </w:rPr>
        <w:t>九是指导全县产业园区建设发展。</w:t>
      </w:r>
    </w:p>
    <w:p w14:paraId="1E535879">
      <w:pPr>
        <w:ind w:firstLine="640" w:firstLineChars="200"/>
        <w:rPr>
          <w:rFonts w:eastAsia="仿宋_GB2312" w:cs="仿宋_GB2312"/>
          <w:sz w:val="32"/>
          <w:szCs w:val="32"/>
        </w:rPr>
      </w:pPr>
      <w:r>
        <w:rPr>
          <w:rFonts w:hint="eastAsia" w:eastAsia="仿宋_GB2312" w:cs="仿宋_GB2312"/>
          <w:sz w:val="32"/>
          <w:szCs w:val="32"/>
        </w:rPr>
        <w:t>十是负责全县工业和信息化领域的节能降耗、清洁生产和资源节约与综合利用工作，推进工业化与生态环境协调发展；组织实施工业循环经济重大示范项目和节能降耗、清洁生产及资源节约与综合利用的新产品、新技术、新工艺、新设备、新材料的推广应用。</w:t>
      </w:r>
    </w:p>
    <w:p w14:paraId="4BF41D67">
      <w:pPr>
        <w:ind w:firstLine="640" w:firstLineChars="200"/>
        <w:rPr>
          <w:rFonts w:eastAsia="仿宋_GB2312" w:cs="仿宋_GB2312"/>
          <w:sz w:val="32"/>
          <w:szCs w:val="32"/>
        </w:rPr>
      </w:pPr>
      <w:r>
        <w:rPr>
          <w:rFonts w:hint="eastAsia" w:eastAsia="仿宋_GB2312" w:cs="仿宋_GB2312"/>
          <w:sz w:val="32"/>
          <w:szCs w:val="32"/>
        </w:rPr>
        <w:t>十一是负责推进企业信用制度建设，负责中小企业信用担保和融资体系建设并实施行业监管。负责制定全县工业发展资金等财政专项资金使用计划；负责企业技术改造、技术创新、生产运行等涉及财政、信贷、税收、保险等方面的协调工作，指导工业企业融资工作。</w:t>
      </w:r>
    </w:p>
    <w:p w14:paraId="72E80632">
      <w:pPr>
        <w:ind w:firstLine="640" w:firstLineChars="200"/>
        <w:rPr>
          <w:rFonts w:eastAsia="仿宋_GB2312" w:cs="仿宋_GB2312"/>
          <w:sz w:val="32"/>
          <w:szCs w:val="32"/>
        </w:rPr>
      </w:pPr>
      <w:r>
        <w:rPr>
          <w:rFonts w:hint="eastAsia" w:eastAsia="仿宋_GB2312" w:cs="仿宋_GB2312"/>
          <w:sz w:val="32"/>
          <w:szCs w:val="32"/>
        </w:rPr>
        <w:t>十二是牵头对国家、省、市重大工业经济、中小企业发展鼓励支持和科技政策实施情况进行督查。拟订促进全县中小企业发展的政策措施，负责推进全县中小企业服务体系建设。指导企业建立现代企业制度、改组改造、兼并重组，指导企业经营管理人员、专业技术人员培训，负责全县大企业大集团和龙头骨干企业的培育工作。负责全县企业治乱减负工作。</w:t>
      </w:r>
    </w:p>
    <w:p w14:paraId="3BA2D460">
      <w:pPr>
        <w:ind w:firstLine="640" w:firstLineChars="200"/>
        <w:rPr>
          <w:rFonts w:eastAsia="仿宋_GB2312" w:cs="仿宋_GB2312"/>
          <w:sz w:val="32"/>
          <w:szCs w:val="32"/>
        </w:rPr>
      </w:pPr>
      <w:r>
        <w:rPr>
          <w:rFonts w:hint="eastAsia" w:eastAsia="仿宋_GB2312" w:cs="仿宋_GB2312"/>
          <w:sz w:val="32"/>
          <w:szCs w:val="32"/>
        </w:rPr>
        <w:t>十三是负责对全县工业行业实施行业管理，制定并组织实施相关政策措施，拟订新材料、工业节能环保、机械制造、太阳能、生物医药等战略性新兴产业发展规划、年度计划、政策措施并组织实施。拟订加快农产品加工业发展的政策措施，参与推进农业产业化龙头企业建设，参与推进农业现代化和新农村建设。指导工业、信息化和无线电领域的社会中介组织发展。</w:t>
      </w:r>
    </w:p>
    <w:p w14:paraId="495E4462">
      <w:pPr>
        <w:ind w:firstLine="640" w:firstLineChars="200"/>
        <w:rPr>
          <w:rFonts w:eastAsia="仿宋_GB2312" w:cs="仿宋_GB2312"/>
          <w:sz w:val="32"/>
          <w:szCs w:val="32"/>
        </w:rPr>
      </w:pPr>
      <w:r>
        <w:rPr>
          <w:rFonts w:hint="eastAsia" w:eastAsia="仿宋_GB2312" w:cs="仿宋_GB2312"/>
          <w:sz w:val="32"/>
          <w:szCs w:val="32"/>
        </w:rPr>
        <w:t>十四是牵头推进全县信息化工作，制定并组织实施相关政策，指导电子政务、企业信息化、电子商务和物联网发展，推动跨行业、跨部门面向社会服务网络的互联互通和信息资源共享。负责全县信息基础设施建设规划、协调和管理，协调电信市场涉及社会公共利益的重大事项。参与协调全县信息安全保障体系建设，参与处理网络与信息安全重大事件。</w:t>
      </w:r>
    </w:p>
    <w:p w14:paraId="026628A5">
      <w:pPr>
        <w:ind w:firstLine="640" w:firstLineChars="200"/>
        <w:rPr>
          <w:rFonts w:eastAsia="仿宋_GB2312" w:cs="仿宋_GB2312"/>
          <w:sz w:val="32"/>
          <w:szCs w:val="32"/>
        </w:rPr>
      </w:pPr>
      <w:r>
        <w:rPr>
          <w:rFonts w:hint="eastAsia" w:eastAsia="仿宋_GB2312" w:cs="仿宋_GB2312"/>
          <w:sz w:val="32"/>
          <w:szCs w:val="32"/>
        </w:rPr>
        <w:t>十五是贯彻执行国家、省、市无线电管理的方针、政策，贯彻执行市无线电管理的具体办法；协调处理无线电管理方面的事务。</w:t>
      </w:r>
    </w:p>
    <w:p w14:paraId="16D37377">
      <w:pPr>
        <w:ind w:firstLine="640" w:firstLineChars="200"/>
        <w:rPr>
          <w:rFonts w:eastAsia="仿宋_GB2312" w:cs="仿宋_GB2312"/>
          <w:sz w:val="32"/>
          <w:szCs w:val="32"/>
        </w:rPr>
      </w:pPr>
      <w:r>
        <w:rPr>
          <w:rFonts w:hint="eastAsia" w:eastAsia="仿宋_GB2312" w:cs="仿宋_GB2312"/>
          <w:sz w:val="32"/>
          <w:szCs w:val="32"/>
        </w:rPr>
        <w:t>十六是负责研究制定并推动全县非公有制经济发展规划和政策措施，制定财政专项资金使用计划。指导全县非公有制企业产业结构、产品结构、组织结构、布局结构等优化调整，引导和推进非公有制企业建立现代企业制度，指导非公有制企业科技进步、技术创新、技术改造，为非公有制企业提供政务服务，负责非公有制经济发展目标责任考核。</w:t>
      </w:r>
    </w:p>
    <w:p w14:paraId="0E021E57">
      <w:pPr>
        <w:ind w:firstLine="640" w:firstLineChars="200"/>
        <w:rPr>
          <w:rFonts w:eastAsia="仿宋_GB2312" w:cs="仿宋_GB2312"/>
          <w:sz w:val="32"/>
          <w:szCs w:val="32"/>
        </w:rPr>
      </w:pPr>
      <w:r>
        <w:rPr>
          <w:rFonts w:hint="eastAsia" w:eastAsia="仿宋_GB2312" w:cs="仿宋_GB2312"/>
          <w:sz w:val="32"/>
          <w:szCs w:val="32"/>
        </w:rPr>
        <w:t>十七是会同有关部门提出工业和信息化领域对外开放和利用外资的政策建议，参与区域经济合作和承接产业转移工作。指导工业和信息化企业开展对外交流与合作、国际化经营、境外投资及兼并重组。</w:t>
      </w:r>
    </w:p>
    <w:p w14:paraId="3FDF1325">
      <w:pPr>
        <w:ind w:firstLine="640" w:firstLineChars="200"/>
        <w:rPr>
          <w:rFonts w:eastAsia="仿宋_GB2312" w:cs="仿宋_GB2312"/>
          <w:sz w:val="32"/>
          <w:szCs w:val="32"/>
        </w:rPr>
      </w:pPr>
      <w:r>
        <w:rPr>
          <w:rFonts w:hint="eastAsia" w:eastAsia="仿宋_GB2312" w:cs="仿宋_GB2312"/>
          <w:sz w:val="32"/>
          <w:szCs w:val="32"/>
        </w:rPr>
        <w:t>十八是负责全县盐业行业管理。</w:t>
      </w:r>
    </w:p>
    <w:p w14:paraId="6FC13548">
      <w:pPr>
        <w:ind w:firstLine="640" w:firstLineChars="200"/>
        <w:rPr>
          <w:rFonts w:eastAsia="仿宋_GB2312" w:cs="仿宋_GB2312"/>
          <w:sz w:val="32"/>
          <w:szCs w:val="32"/>
        </w:rPr>
      </w:pPr>
      <w:r>
        <w:rPr>
          <w:rFonts w:hint="eastAsia" w:eastAsia="仿宋_GB2312" w:cs="仿宋_GB2312"/>
          <w:sz w:val="32"/>
          <w:szCs w:val="32"/>
        </w:rPr>
        <w:t>十九是组织协调全县重大基础研究和应用基础研究。</w:t>
      </w:r>
    </w:p>
    <w:p w14:paraId="113FDB8F">
      <w:pPr>
        <w:ind w:firstLine="640" w:firstLineChars="200"/>
        <w:rPr>
          <w:rFonts w:eastAsia="仿宋_GB2312" w:cs="仿宋_GB2312"/>
          <w:sz w:val="32"/>
          <w:szCs w:val="32"/>
        </w:rPr>
      </w:pPr>
      <w:r>
        <w:rPr>
          <w:rFonts w:hint="eastAsia" w:eastAsia="仿宋_GB2312" w:cs="仿宋_GB2312"/>
          <w:sz w:val="32"/>
          <w:szCs w:val="32"/>
        </w:rPr>
        <w:t>二十是拟订推进攀西国家战略资源创新开发试验区建设发展的科技支撑计划并组织实施。编制全县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科学技术奖等科技评奖的申报、审核、推荐工作。</w:t>
      </w:r>
    </w:p>
    <w:p w14:paraId="413238B0">
      <w:pPr>
        <w:ind w:firstLine="640" w:firstLineChars="200"/>
        <w:rPr>
          <w:rFonts w:eastAsia="仿宋_GB2312" w:cs="仿宋_GB2312"/>
          <w:sz w:val="32"/>
          <w:szCs w:val="32"/>
        </w:rPr>
      </w:pPr>
      <w:r>
        <w:rPr>
          <w:rFonts w:hint="eastAsia" w:eastAsia="仿宋_GB2312" w:cs="仿宋_GB2312"/>
          <w:sz w:val="32"/>
          <w:szCs w:val="32"/>
        </w:rPr>
        <w:t>二十一是组织拟订高新技术发展及产业化的规划和政策措施并组织实施。指导高新技术企业、创新型企业申报和创新平台建设，负责县级创新平台认定管理工作。组织开展科技型中小企业评价的初审工作。</w:t>
      </w:r>
    </w:p>
    <w:p w14:paraId="675CC538">
      <w:pPr>
        <w:ind w:firstLine="640" w:firstLineChars="200"/>
        <w:rPr>
          <w:rFonts w:eastAsia="仿宋_GB2312" w:cs="仿宋_GB2312"/>
          <w:sz w:val="32"/>
          <w:szCs w:val="32"/>
        </w:rPr>
      </w:pPr>
      <w:r>
        <w:rPr>
          <w:rFonts w:hint="eastAsia" w:eastAsia="仿宋_GB2312" w:cs="仿宋_GB2312"/>
          <w:sz w:val="32"/>
          <w:szCs w:val="32"/>
        </w:rPr>
        <w:t>二十二是组织拟订科技促进农业农村和社会发展的规划、政策、措施，指导现代农业示范基地建设，推进科技服务民生工作。拟订科学普及、科学传播规划和政策措施并组织实施。</w:t>
      </w:r>
    </w:p>
    <w:p w14:paraId="7415E35A">
      <w:pPr>
        <w:ind w:firstLine="640" w:firstLineChars="200"/>
        <w:rPr>
          <w:rFonts w:eastAsia="仿宋_GB2312" w:cs="仿宋_GB2312"/>
          <w:sz w:val="32"/>
          <w:szCs w:val="32"/>
        </w:rPr>
      </w:pPr>
      <w:r>
        <w:rPr>
          <w:rFonts w:hint="eastAsia" w:eastAsia="仿宋_GB2312" w:cs="仿宋_GB2312"/>
          <w:sz w:val="32"/>
          <w:szCs w:val="32"/>
        </w:rPr>
        <w:t>二十三是牵头全县技术转移体系建设，拟订科技成果转移转化和促进产学研结合的相关政策措施并组织实施。指导科技服务业、技术市场和科技中介组织发展。</w:t>
      </w:r>
    </w:p>
    <w:p w14:paraId="172FD092">
      <w:pPr>
        <w:ind w:firstLine="640" w:firstLineChars="200"/>
        <w:rPr>
          <w:rFonts w:eastAsia="仿宋_GB2312" w:cs="仿宋_GB2312"/>
          <w:sz w:val="32"/>
          <w:szCs w:val="32"/>
        </w:rPr>
      </w:pPr>
      <w:r>
        <w:rPr>
          <w:rFonts w:hint="eastAsia" w:eastAsia="仿宋_GB2312" w:cs="仿宋_GB2312"/>
          <w:sz w:val="32"/>
          <w:szCs w:val="32"/>
        </w:rPr>
        <w:t>二十四是统筹区域科技创新体系建设，指导区域创新发展、科技资源合理布局和协同创新能力建设，推动高新技术园区建设。</w:t>
      </w:r>
    </w:p>
    <w:p w14:paraId="1534BF29">
      <w:pPr>
        <w:ind w:firstLine="640" w:firstLineChars="200"/>
        <w:rPr>
          <w:rFonts w:eastAsia="仿宋_GB2312" w:cs="仿宋_GB2312"/>
          <w:sz w:val="32"/>
          <w:szCs w:val="32"/>
        </w:rPr>
      </w:pPr>
      <w:r>
        <w:rPr>
          <w:rFonts w:hint="eastAsia" w:eastAsia="仿宋_GB2312" w:cs="仿宋_GB2312"/>
          <w:sz w:val="32"/>
          <w:szCs w:val="32"/>
        </w:rPr>
        <w:t>二十五是会同有关部门拟订科技人才队伍建设规划和政策，建立健全科技人才评价和激励机制，组织实施科技人才计划，推动高端科技创新人才队伍建设。</w:t>
      </w:r>
    </w:p>
    <w:p w14:paraId="15ED1BB8">
      <w:pPr>
        <w:ind w:firstLine="640" w:firstLineChars="200"/>
        <w:rPr>
          <w:rFonts w:eastAsia="仿宋_GB2312" w:cs="仿宋_GB2312"/>
          <w:sz w:val="32"/>
          <w:szCs w:val="32"/>
        </w:rPr>
      </w:pPr>
      <w:r>
        <w:rPr>
          <w:rFonts w:hint="eastAsia" w:eastAsia="仿宋_GB2312" w:cs="仿宋_GB2312"/>
          <w:sz w:val="32"/>
          <w:szCs w:val="32"/>
        </w:rPr>
        <w:t>二十六是负责科技监督评价体系建设和相关科技评估管理，指导科技评价机制改革，统筹科研诚信建设。组织实施全县创新调查和科技报告制度，指导全县科技保密相关工作。</w:t>
      </w:r>
    </w:p>
    <w:p w14:paraId="358141F6">
      <w:pPr>
        <w:ind w:firstLine="640" w:firstLineChars="200"/>
        <w:rPr>
          <w:rFonts w:eastAsia="仿宋_GB2312" w:cs="仿宋_GB2312"/>
          <w:sz w:val="32"/>
          <w:szCs w:val="32"/>
        </w:rPr>
      </w:pPr>
      <w:r>
        <w:rPr>
          <w:rFonts w:hint="eastAsia" w:eastAsia="仿宋_GB2312" w:cs="仿宋_GB2312"/>
          <w:sz w:val="32"/>
          <w:szCs w:val="32"/>
        </w:rPr>
        <w:t>二十七是负责全县工业、信息化、无线电管理、非公有制经济、工业循环经济等权限内有关行政审批事项的初审、转报、审批。</w:t>
      </w:r>
    </w:p>
    <w:p w14:paraId="375E3F70">
      <w:pPr>
        <w:ind w:firstLine="640" w:firstLineChars="200"/>
        <w:rPr>
          <w:rFonts w:eastAsia="仿宋_GB2312" w:cs="仿宋_GB2312"/>
          <w:sz w:val="32"/>
          <w:szCs w:val="32"/>
        </w:rPr>
      </w:pPr>
      <w:r>
        <w:rPr>
          <w:rFonts w:hint="eastAsia" w:eastAsia="仿宋_GB2312" w:cs="仿宋_GB2312"/>
          <w:sz w:val="32"/>
          <w:szCs w:val="32"/>
        </w:rPr>
        <w:t>二十八是拟订科技对外交流与创新能力开放合作的规划和政策措施，组织开展对外科技合作与科技人才交流。负责有关科技博览展会参展推广的组织协调工作。</w:t>
      </w:r>
    </w:p>
    <w:p w14:paraId="56C495CA">
      <w:pPr>
        <w:ind w:firstLine="640" w:firstLineChars="200"/>
        <w:rPr>
          <w:rFonts w:eastAsia="仿宋_GB2312" w:cs="仿宋_GB2312"/>
          <w:sz w:val="32"/>
          <w:szCs w:val="32"/>
        </w:rPr>
      </w:pPr>
      <w:r>
        <w:rPr>
          <w:rFonts w:hint="eastAsia" w:eastAsia="仿宋_GB2312" w:cs="仿宋_GB2312"/>
          <w:sz w:val="32"/>
          <w:szCs w:val="32"/>
        </w:rPr>
        <w:t>二十九是负责引进国外智力工作。拟订全县重点引进外国专家总体规划、计划并组织实施，建立外国顶尖专家、团队吸引集聚机制和重点外国专家联系服务机制。拟订出国（境）培训总体规划、政策和年度计划并监督实施。</w:t>
      </w:r>
    </w:p>
    <w:p w14:paraId="78DDA2F7">
      <w:pPr>
        <w:ind w:firstLine="640" w:firstLineChars="200"/>
        <w:rPr>
          <w:rFonts w:eastAsia="仿宋_GB2312" w:cs="仿宋_GB2312"/>
          <w:sz w:val="32"/>
          <w:szCs w:val="32"/>
        </w:rPr>
      </w:pPr>
      <w:r>
        <w:rPr>
          <w:rFonts w:hint="eastAsia" w:eastAsia="仿宋_GB2312" w:cs="仿宋_GB2312"/>
          <w:sz w:val="32"/>
          <w:szCs w:val="32"/>
        </w:rPr>
        <w:t>三十是负责职责范围内安全生产和职业健康、生态环境保护、审批服务便民化等工作。</w:t>
      </w:r>
    </w:p>
    <w:p w14:paraId="423C28DE">
      <w:pPr>
        <w:ind w:firstLine="640" w:firstLineChars="200"/>
      </w:pPr>
      <w:r>
        <w:rPr>
          <w:rFonts w:hint="eastAsia" w:eastAsia="仿宋_GB2312" w:cs="仿宋_GB2312"/>
          <w:sz w:val="32"/>
          <w:szCs w:val="32"/>
        </w:rPr>
        <w:t>三十一是完成县委、县政府交办的其他任务。</w:t>
      </w:r>
    </w:p>
    <w:p w14:paraId="5CF95C3D">
      <w:pPr>
        <w:pStyle w:val="6"/>
        <w:ind w:firstLine="640" w:firstLineChars="200"/>
        <w:rPr>
          <w:rStyle w:val="20"/>
          <w:rFonts w:ascii="Times New Roman" w:hAnsi="Times New Roman" w:eastAsia="黑体"/>
          <w:b w:val="0"/>
          <w:bCs w:val="0"/>
        </w:rPr>
      </w:pPr>
      <w:bookmarkStart w:id="10" w:name="_Toc15396601"/>
      <w:bookmarkStart w:id="11" w:name="_Toc15377200"/>
      <w:r>
        <w:rPr>
          <w:rFonts w:hint="eastAsia" w:ascii="Times New Roman" w:hAnsi="Times New Roman" w:eastAsia="黑体"/>
          <w:b w:val="0"/>
        </w:rPr>
        <w:t>二、机</w:t>
      </w:r>
      <w:r>
        <w:rPr>
          <w:rStyle w:val="20"/>
          <w:rFonts w:hint="eastAsia" w:ascii="Times New Roman" w:hAnsi="Times New Roman" w:eastAsia="黑体"/>
          <w:b w:val="0"/>
          <w:bCs w:val="0"/>
        </w:rPr>
        <w:t>构设置</w:t>
      </w:r>
      <w:bookmarkEnd w:id="10"/>
      <w:bookmarkEnd w:id="11"/>
    </w:p>
    <w:p w14:paraId="2D66B7E1">
      <w:pPr>
        <w:ind w:firstLine="640" w:firstLineChars="200"/>
        <w:rPr>
          <w:rFonts w:eastAsia="黑体"/>
        </w:rPr>
      </w:pPr>
      <w:r>
        <w:rPr>
          <w:rFonts w:hint="eastAsia" w:eastAsia="仿宋_GB2312" w:cs="仿宋_GB2312"/>
          <w:sz w:val="32"/>
          <w:szCs w:val="32"/>
        </w:rPr>
        <w:t>盐边县经济信息化和科学技术局（与盐边县科学技术协会合署办公）内设六股一室，包括办公室（行政审批股）、新能源与新材料股、监督管理与资源综合利用股、经济运行与企业发展股、项目股（县委军民融合办公室秘书股）、要素保障和信息化股、科技股。</w:t>
      </w:r>
    </w:p>
    <w:p w14:paraId="6DBF576E">
      <w:pPr>
        <w:pStyle w:val="2"/>
      </w:pPr>
    </w:p>
    <w:p w14:paraId="2C4F58BA">
      <w:pPr>
        <w:pStyle w:val="5"/>
        <w:jc w:val="center"/>
        <w:rPr>
          <w:rFonts w:eastAsia="方正小标宋简体" w:cs="方正小标宋简体"/>
          <w:b w:val="0"/>
        </w:rPr>
      </w:pPr>
      <w:bookmarkStart w:id="12" w:name="_Toc15396602"/>
      <w:bookmarkStart w:id="13" w:name="_Toc15377204"/>
    </w:p>
    <w:p w14:paraId="7780F7EB">
      <w:pPr>
        <w:pStyle w:val="5"/>
        <w:jc w:val="center"/>
        <w:rPr>
          <w:rFonts w:eastAsia="方正小标宋简体" w:cs="方正小标宋简体"/>
          <w:b w:val="0"/>
        </w:rPr>
      </w:pPr>
      <w:r>
        <w:rPr>
          <w:rFonts w:hint="eastAsia" w:eastAsia="方正小标宋简体" w:cs="方正小标宋简体"/>
          <w:b w:val="0"/>
        </w:rPr>
        <w:t>第二部分  2024年度部门决算情况说明</w:t>
      </w:r>
      <w:bookmarkEnd w:id="12"/>
      <w:bookmarkEnd w:id="13"/>
    </w:p>
    <w:p w14:paraId="263E5BE6">
      <w:pPr>
        <w:pStyle w:val="31"/>
        <w:spacing w:line="600" w:lineRule="exact"/>
        <w:ind w:firstLine="640"/>
        <w:outlineLvl w:val="1"/>
        <w:rPr>
          <w:rStyle w:val="20"/>
          <w:rFonts w:ascii="Times New Roman" w:hAnsi="Times New Roman" w:eastAsia="黑体"/>
          <w:b w:val="0"/>
        </w:rPr>
      </w:pPr>
      <w:bookmarkStart w:id="14" w:name="_Toc15396603"/>
      <w:bookmarkStart w:id="15" w:name="_Toc15377205"/>
      <w:r>
        <w:rPr>
          <w:rFonts w:hint="eastAsia" w:eastAsia="黑体"/>
          <w:sz w:val="32"/>
          <w:szCs w:val="32"/>
        </w:rPr>
        <w:t>一、收</w:t>
      </w:r>
      <w:r>
        <w:rPr>
          <w:rStyle w:val="20"/>
          <w:rFonts w:hint="eastAsia" w:ascii="Times New Roman" w:hAnsi="Times New Roman" w:eastAsia="黑体"/>
          <w:b w:val="0"/>
        </w:rPr>
        <w:t>入支出决算总体情况说明</w:t>
      </w:r>
      <w:bookmarkEnd w:id="14"/>
      <w:bookmarkEnd w:id="15"/>
    </w:p>
    <w:p w14:paraId="3D9B72E1">
      <w:pPr>
        <w:spacing w:line="600" w:lineRule="exact"/>
        <w:ind w:firstLine="640"/>
        <w:rPr>
          <w:rFonts w:eastAsia="仿宋_GB2312" w:cs="仿宋_GB2312"/>
          <w:sz w:val="32"/>
          <w:szCs w:val="32"/>
        </w:rPr>
      </w:pPr>
      <w:bookmarkStart w:id="16" w:name="_Toc15377206"/>
      <w:bookmarkStart w:id="17" w:name="_Toc15396604"/>
      <w:r>
        <w:rPr>
          <w:rFonts w:hint="eastAsia" w:eastAsia="仿宋_GB2312" w:cs="仿宋_GB2312"/>
          <w:sz w:val="32"/>
          <w:szCs w:val="32"/>
        </w:rPr>
        <w:t>2024年度收入总计2172.74万元，支出总计为1941.09万元，与2023年度相比，收入、支出总计各减少1183.19万元、1414.84万元，分别下降35.26%、42.16%。收入变动的主要原因是：1.一般公共预算财政拨款收入较上年减少1563.55万元，其中：项目收入较上年减少1498.69万元。2.非同级财政拨款收入较上年增加380.36万元，均为项目资金。支出变动的主要原因是：1.因人员减少，基本支出较上年减少64.86万元。2. 因为23年部分项目为一次性项目，项目支出较上年减少1349.98万元。3.部分项目跨年度实施资金结转较上年增加231.65万元。</w:t>
      </w:r>
    </w:p>
    <w:p w14:paraId="34A23530">
      <w:pPr>
        <w:snapToGrid w:val="0"/>
        <w:spacing w:line="520" w:lineRule="exact"/>
        <w:ind w:firstLine="640" w:firstLineChars="200"/>
        <w:rPr>
          <w:rFonts w:ascii="仿宋_GB2312" w:hAnsi="仿宋" w:eastAsia="仿宋_GB2312"/>
          <w:sz w:val="32"/>
          <w:szCs w:val="32"/>
        </w:rPr>
      </w:pPr>
    </w:p>
    <w:p w14:paraId="471D01DD">
      <w:pPr>
        <w:ind w:firstLine="420" w:firstLineChars="200"/>
      </w:pPr>
      <w:r>
        <w:drawing>
          <wp:inline distT="0" distB="0" distL="0" distR="0">
            <wp:extent cx="3733800" cy="1819275"/>
            <wp:effectExtent l="19050" t="0" r="19050" b="0"/>
            <wp:docPr id="1" name="对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B69C88">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3B620687">
      <w:pPr>
        <w:pStyle w:val="31"/>
        <w:spacing w:line="600" w:lineRule="exact"/>
        <w:ind w:firstLine="640"/>
        <w:outlineLvl w:val="1"/>
        <w:rPr>
          <w:rFonts w:eastAsia="黑体"/>
          <w:sz w:val="32"/>
          <w:szCs w:val="32"/>
        </w:rPr>
      </w:pPr>
      <w:r>
        <w:rPr>
          <w:rFonts w:hint="eastAsia" w:eastAsia="黑体"/>
          <w:sz w:val="32"/>
          <w:szCs w:val="32"/>
        </w:rPr>
        <w:t>二、收入决算情况说明</w:t>
      </w:r>
      <w:bookmarkEnd w:id="16"/>
      <w:bookmarkEnd w:id="17"/>
    </w:p>
    <w:p w14:paraId="62151CDD">
      <w:pPr>
        <w:spacing w:line="600" w:lineRule="exact"/>
        <w:ind w:firstLine="640"/>
        <w:rPr>
          <w:rFonts w:eastAsia="仿宋_GB2312" w:cs="仿宋_GB2312"/>
          <w:sz w:val="32"/>
          <w:szCs w:val="32"/>
        </w:rPr>
      </w:pPr>
      <w:bookmarkStart w:id="18" w:name="_Toc15377207"/>
      <w:bookmarkStart w:id="19" w:name="_Toc15396605"/>
      <w:r>
        <w:rPr>
          <w:rFonts w:hint="eastAsia" w:eastAsia="仿宋_GB2312" w:cs="仿宋_GB2312"/>
          <w:sz w:val="32"/>
          <w:szCs w:val="32"/>
        </w:rPr>
        <w:t>2024年度本年收入合计2172.74万元，其中：一般公共预算财政拨款收入1217.48万元，占56.03%；其他收入955.26万元，占43.97%。</w:t>
      </w:r>
    </w:p>
    <w:p w14:paraId="7035ECCB">
      <w:pPr>
        <w:pStyle w:val="26"/>
        <w:keepNext w:val="0"/>
        <w:keepLines w:val="0"/>
      </w:pPr>
      <w:r>
        <w:drawing>
          <wp:inline distT="0" distB="0" distL="0" distR="0">
            <wp:extent cx="2733675" cy="1828800"/>
            <wp:effectExtent l="0" t="0" r="0" b="0"/>
            <wp:docPr id="2"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eastAsia"/>
        </w:rPr>
        <w:t xml:space="preserve"> </w:t>
      </w:r>
    </w:p>
    <w:p w14:paraId="39533284">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5C3800BE">
      <w:pPr>
        <w:pStyle w:val="31"/>
        <w:spacing w:line="600" w:lineRule="exact"/>
        <w:ind w:firstLine="640"/>
        <w:outlineLvl w:val="1"/>
        <w:rPr>
          <w:rStyle w:val="20"/>
          <w:rFonts w:ascii="Times New Roman" w:hAnsi="Times New Roman" w:eastAsia="黑体"/>
          <w:b w:val="0"/>
        </w:rPr>
      </w:pPr>
      <w:r>
        <w:rPr>
          <w:rFonts w:hint="eastAsia" w:eastAsia="黑体"/>
          <w:sz w:val="32"/>
          <w:szCs w:val="32"/>
        </w:rPr>
        <w:t>三、支</w:t>
      </w:r>
      <w:r>
        <w:rPr>
          <w:rStyle w:val="20"/>
          <w:rFonts w:hint="eastAsia" w:ascii="Times New Roman" w:hAnsi="Times New Roman" w:eastAsia="黑体"/>
          <w:b w:val="0"/>
        </w:rPr>
        <w:t>出决算情况说明</w:t>
      </w:r>
      <w:bookmarkEnd w:id="18"/>
      <w:bookmarkEnd w:id="19"/>
    </w:p>
    <w:p w14:paraId="6C85D789">
      <w:pPr>
        <w:spacing w:line="600" w:lineRule="exact"/>
        <w:ind w:firstLine="640"/>
        <w:rPr>
          <w:rFonts w:eastAsia="仿宋_GB2312" w:cs="仿宋_GB2312"/>
          <w:sz w:val="32"/>
          <w:szCs w:val="32"/>
        </w:rPr>
      </w:pPr>
      <w:r>
        <w:rPr>
          <w:rFonts w:hint="eastAsia" w:eastAsia="仿宋_GB2312" w:cs="仿宋_GB2312"/>
          <w:sz w:val="32"/>
          <w:szCs w:val="32"/>
        </w:rPr>
        <w:t>2024年度本年支出合计1941.09万元，其中：基本支出853.78万元，占43.98%；项目支出1087.31万元，占56.02%。</w:t>
      </w:r>
    </w:p>
    <w:p w14:paraId="781A594A">
      <w:pPr>
        <w:pStyle w:val="31"/>
        <w:spacing w:line="600" w:lineRule="exact"/>
        <w:ind w:firstLine="640"/>
        <w:jc w:val="left"/>
        <w:outlineLvl w:val="1"/>
        <w:rPr>
          <w:rFonts w:eastAsia="仿宋_GB2312" w:cs="仿宋_GB2312"/>
          <w:sz w:val="32"/>
          <w:szCs w:val="32"/>
        </w:rPr>
      </w:pPr>
    </w:p>
    <w:p w14:paraId="58435379">
      <w:pPr>
        <w:pStyle w:val="31"/>
        <w:spacing w:line="600" w:lineRule="exact"/>
        <w:ind w:firstLine="640"/>
        <w:jc w:val="left"/>
        <w:outlineLvl w:val="1"/>
        <w:rPr>
          <w:rFonts w:eastAsia="仿宋_GB2312" w:cs="仿宋_GB2312"/>
          <w:sz w:val="32"/>
          <w:szCs w:val="32"/>
        </w:rPr>
      </w:pPr>
    </w:p>
    <w:p w14:paraId="5B48ADA5">
      <w:pPr>
        <w:pStyle w:val="31"/>
        <w:spacing w:line="600" w:lineRule="exact"/>
        <w:ind w:firstLine="640"/>
        <w:jc w:val="left"/>
        <w:outlineLvl w:val="1"/>
        <w:rPr>
          <w:rFonts w:eastAsia="仿宋_GB2312" w:cs="仿宋_GB2312"/>
          <w:sz w:val="32"/>
          <w:szCs w:val="32"/>
        </w:rPr>
      </w:pPr>
    </w:p>
    <w:p w14:paraId="58619CC3">
      <w:pPr>
        <w:pStyle w:val="31"/>
        <w:spacing w:line="600" w:lineRule="exact"/>
        <w:ind w:firstLine="640"/>
        <w:jc w:val="left"/>
        <w:outlineLvl w:val="1"/>
        <w:rPr>
          <w:rFonts w:eastAsia="仿宋_GB2312" w:cs="仿宋_GB2312"/>
          <w:sz w:val="32"/>
          <w:szCs w:val="32"/>
        </w:rPr>
      </w:pPr>
    </w:p>
    <w:p w14:paraId="5AF4A8D9">
      <w:pPr>
        <w:pStyle w:val="31"/>
        <w:spacing w:line="600" w:lineRule="exact"/>
        <w:jc w:val="left"/>
        <w:outlineLvl w:val="1"/>
        <w:rPr>
          <w:rFonts w:eastAsia="仿宋_GB2312" w:cs="仿宋_GB2312"/>
          <w:sz w:val="32"/>
          <w:szCs w:val="32"/>
        </w:rPr>
      </w:pPr>
      <w:r>
        <w:drawing>
          <wp:anchor distT="0" distB="0" distL="114300" distR="114300" simplePos="0" relativeHeight="251659264" behindDoc="0" locked="0" layoutInCell="1" allowOverlap="1">
            <wp:simplePos x="0" y="0"/>
            <wp:positionH relativeFrom="column">
              <wp:posOffset>266700</wp:posOffset>
            </wp:positionH>
            <wp:positionV relativeFrom="paragraph">
              <wp:posOffset>-1522730</wp:posOffset>
            </wp:positionV>
            <wp:extent cx="2733675" cy="1828800"/>
            <wp:effectExtent l="0" t="0" r="0" b="0"/>
            <wp:wrapNone/>
            <wp:docPr id="19"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E2D7F22">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30C25EE6">
      <w:pPr>
        <w:spacing w:line="600" w:lineRule="exact"/>
        <w:ind w:firstLine="640" w:firstLineChars="200"/>
        <w:outlineLvl w:val="1"/>
        <w:rPr>
          <w:rStyle w:val="20"/>
          <w:rFonts w:ascii="Times New Roman" w:hAnsi="Times New Roman" w:eastAsia="黑体"/>
          <w:b w:val="0"/>
        </w:rPr>
      </w:pPr>
      <w:bookmarkStart w:id="20" w:name="_Toc15377208"/>
      <w:bookmarkStart w:id="21" w:name="_Toc15396606"/>
      <w:r>
        <w:rPr>
          <w:rFonts w:hint="eastAsia" w:eastAsia="黑体"/>
          <w:sz w:val="32"/>
          <w:szCs w:val="32"/>
        </w:rPr>
        <w:t>四、财</w:t>
      </w:r>
      <w:r>
        <w:rPr>
          <w:rStyle w:val="20"/>
          <w:rFonts w:hint="eastAsia" w:ascii="Times New Roman" w:hAnsi="Times New Roman" w:eastAsia="黑体"/>
          <w:b w:val="0"/>
        </w:rPr>
        <w:t>政拨款收入支出决算总体情况说明</w:t>
      </w:r>
      <w:bookmarkEnd w:id="20"/>
      <w:bookmarkEnd w:id="21"/>
    </w:p>
    <w:p w14:paraId="7A099F08">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1217.48万元。与2023年度相比，财政拨款收入总计、支出总计各减少1563.55万元，下降56.22%。主要变动原因是：1.因人员减少，基本支出较上年减少64.86万元。2.因23年部分项目为一次性项目。项目支出较上年减少1498.69万元。</w:t>
      </w:r>
    </w:p>
    <w:p w14:paraId="56701CD2">
      <w:pPr>
        <w:pStyle w:val="26"/>
        <w:keepNext w:val="0"/>
        <w:keepLines w:val="0"/>
      </w:pPr>
      <w:r>
        <w:drawing>
          <wp:inline distT="0" distB="0" distL="0" distR="0">
            <wp:extent cx="2743200" cy="1743075"/>
            <wp:effectExtent l="0" t="0" r="0" b="0"/>
            <wp:docPr id="22" name="对象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9F197C"/>
    <w:p w14:paraId="07995C72">
      <w:pPr>
        <w:spacing w:line="600" w:lineRule="exact"/>
        <w:ind w:firstLine="640"/>
        <w:rPr>
          <w:rFonts w:eastAsia="仿宋_GB2312" w:cs="仿宋_GB2312"/>
          <w:sz w:val="32"/>
          <w:szCs w:val="32"/>
        </w:rPr>
      </w:pPr>
      <w:r>
        <w:rPr>
          <w:rFonts w:hint="eastAsia" w:eastAsia="仿宋_GB2312" w:cs="仿宋_GB2312"/>
          <w:sz w:val="32"/>
          <w:szCs w:val="32"/>
        </w:rPr>
        <w:t>（图4：财政拨款收、支决算总计变动情况）（柱状图）</w:t>
      </w:r>
    </w:p>
    <w:p w14:paraId="20287703">
      <w:pPr>
        <w:spacing w:line="600" w:lineRule="exact"/>
        <w:ind w:firstLine="640" w:firstLineChars="200"/>
        <w:outlineLvl w:val="1"/>
        <w:rPr>
          <w:rStyle w:val="20"/>
          <w:rFonts w:ascii="Times New Roman" w:hAnsi="Times New Roman" w:eastAsia="黑体"/>
          <w:b w:val="0"/>
        </w:rPr>
      </w:pPr>
      <w:bookmarkStart w:id="22" w:name="_Toc15377209"/>
      <w:bookmarkStart w:id="23" w:name="_Toc15396607"/>
      <w:r>
        <w:rPr>
          <w:rFonts w:hint="eastAsia" w:eastAsia="黑体"/>
          <w:sz w:val="32"/>
          <w:szCs w:val="32"/>
        </w:rPr>
        <w:t>五、</w:t>
      </w:r>
      <w:r>
        <w:rPr>
          <w:rFonts w:hint="eastAsia" w:eastAsia="黑体"/>
          <w:b/>
          <w:sz w:val="32"/>
          <w:szCs w:val="32"/>
        </w:rPr>
        <w:t>一</w:t>
      </w:r>
      <w:r>
        <w:rPr>
          <w:rStyle w:val="20"/>
          <w:rFonts w:hint="eastAsia" w:ascii="Times New Roman" w:hAnsi="Times New Roman" w:eastAsia="黑体"/>
          <w:b w:val="0"/>
        </w:rPr>
        <w:t>般公共预算财政拨款支出决算情况说明</w:t>
      </w:r>
      <w:bookmarkEnd w:id="22"/>
      <w:bookmarkEnd w:id="23"/>
    </w:p>
    <w:p w14:paraId="5EE8648E">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05211230">
      <w:pPr>
        <w:spacing w:line="600" w:lineRule="exact"/>
        <w:ind w:firstLine="640"/>
        <w:rPr>
          <w:rFonts w:eastAsia="仿宋_GB2312" w:cs="仿宋_GB2312"/>
          <w:sz w:val="32"/>
          <w:szCs w:val="32"/>
        </w:rPr>
      </w:pPr>
      <w:bookmarkStart w:id="25" w:name="_Toc15377211"/>
      <w:r>
        <w:rPr>
          <w:rFonts w:hint="eastAsia" w:eastAsia="仿宋_GB2312" w:cs="仿宋_GB2312"/>
          <w:sz w:val="32"/>
          <w:szCs w:val="32"/>
        </w:rPr>
        <w:t>2024年度一般公共预算财政拨款支出1217.48万元，占本年支出合计的62.72%。与2023年度相比，一般公共预算财政拨款支出减少1563.55万元，下降56.22%。主要变动原因是：1.因人员减少，基本支出较上年减少64.86万元。2.因23年部分项目为一次性项目。项目支出较上年减少1498.69万元。</w:t>
      </w:r>
    </w:p>
    <w:p w14:paraId="70597FAE">
      <w:r>
        <w:drawing>
          <wp:inline distT="0" distB="0" distL="0" distR="0">
            <wp:extent cx="2743200" cy="1743075"/>
            <wp:effectExtent l="0" t="0" r="0" b="0"/>
            <wp:docPr id="3" name="对象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D4FF58">
      <w:pPr>
        <w:spacing w:line="600" w:lineRule="exact"/>
        <w:rPr>
          <w:rFonts w:eastAsia="仿宋_GB2312" w:cs="仿宋_GB2312"/>
          <w:sz w:val="32"/>
          <w:szCs w:val="32"/>
        </w:rPr>
      </w:pPr>
      <w:r>
        <w:rPr>
          <w:rFonts w:hint="eastAsia" w:eastAsia="仿宋_GB2312" w:cs="仿宋_GB2312"/>
          <w:sz w:val="32"/>
          <w:szCs w:val="32"/>
        </w:rPr>
        <w:t>（图5：一般公共预算财政拨款支出决算变动情况）（柱状图）</w:t>
      </w:r>
    </w:p>
    <w:p w14:paraId="13C527AF">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5"/>
    </w:p>
    <w:p w14:paraId="24A92247">
      <w:pPr>
        <w:spacing w:line="600" w:lineRule="exact"/>
        <w:ind w:firstLine="640"/>
      </w:pPr>
      <w:r>
        <w:rPr>
          <w:rFonts w:hint="eastAsia" w:eastAsia="仿宋_GB2312" w:cs="仿宋_GB2312"/>
          <w:sz w:val="32"/>
          <w:szCs w:val="32"/>
        </w:rPr>
        <w:t>2024年度一般公共预算财政拨款支出1217.48万元，主要用于以下方面：一般公共服务支出3万元，占0.25%；科学技术支出836.37万元，占68.7</w:t>
      </w:r>
      <w:r>
        <w:rPr>
          <w:rFonts w:eastAsia="仿宋_GB2312" w:cs="仿宋_GB2312"/>
          <w:sz w:val="32"/>
          <w:szCs w:val="32"/>
        </w:rPr>
        <w:t>%</w:t>
      </w:r>
      <w:r>
        <w:rPr>
          <w:rFonts w:hint="eastAsia" w:eastAsia="仿宋_GB2312" w:cs="仿宋_GB2312"/>
          <w:sz w:val="32"/>
          <w:szCs w:val="32"/>
        </w:rPr>
        <w:t>；社会保障和就业支出248.14万元，占20.38</w:t>
      </w:r>
      <w:r>
        <w:rPr>
          <w:rFonts w:eastAsia="仿宋_GB2312" w:cs="仿宋_GB2312"/>
          <w:sz w:val="32"/>
          <w:szCs w:val="32"/>
        </w:rPr>
        <w:t>%</w:t>
      </w:r>
      <w:r>
        <w:rPr>
          <w:rFonts w:hint="eastAsia" w:eastAsia="仿宋_GB2312" w:cs="仿宋_GB2312"/>
          <w:sz w:val="32"/>
          <w:szCs w:val="32"/>
        </w:rPr>
        <w:t>；卫生健康支出54.76万元，占4.5</w:t>
      </w:r>
      <w:r>
        <w:rPr>
          <w:rFonts w:eastAsia="仿宋_GB2312" w:cs="仿宋_GB2312"/>
          <w:sz w:val="32"/>
          <w:szCs w:val="32"/>
        </w:rPr>
        <w:t>%</w:t>
      </w:r>
      <w:r>
        <w:rPr>
          <w:rFonts w:hint="eastAsia" w:eastAsia="仿宋_GB2312" w:cs="仿宋_GB2312"/>
          <w:sz w:val="32"/>
          <w:szCs w:val="32"/>
        </w:rPr>
        <w:t>；城乡社区支出24.56万元，占2.01</w:t>
      </w:r>
      <w:r>
        <w:rPr>
          <w:rFonts w:eastAsia="仿宋_GB2312" w:cs="仿宋_GB2312"/>
          <w:sz w:val="32"/>
          <w:szCs w:val="32"/>
        </w:rPr>
        <w:t>%</w:t>
      </w:r>
      <w:r>
        <w:rPr>
          <w:rFonts w:hint="eastAsia" w:eastAsia="仿宋_GB2312" w:cs="仿宋_GB2312"/>
          <w:sz w:val="32"/>
          <w:szCs w:val="32"/>
        </w:rPr>
        <w:t>；住房保障支出50.65万元，占4.16</w:t>
      </w:r>
      <w:r>
        <w:rPr>
          <w:rFonts w:eastAsia="仿宋_GB2312" w:cs="仿宋_GB2312"/>
          <w:sz w:val="32"/>
          <w:szCs w:val="32"/>
        </w:rPr>
        <w:t>%</w:t>
      </w:r>
      <w:r>
        <w:rPr>
          <w:rFonts w:hint="eastAsia" w:eastAsia="仿宋_GB2312" w:cs="仿宋_GB2312"/>
          <w:sz w:val="32"/>
          <w:szCs w:val="32"/>
        </w:rPr>
        <w:t>。</w:t>
      </w:r>
    </w:p>
    <w:p w14:paraId="2947D21D">
      <w:pPr>
        <w:rPr>
          <w:b/>
        </w:rPr>
      </w:pPr>
      <w:r>
        <w:drawing>
          <wp:inline distT="0" distB="0" distL="0" distR="0">
            <wp:extent cx="3486150" cy="2085975"/>
            <wp:effectExtent l="0" t="0" r="0" b="0"/>
            <wp:docPr id="34" name="对象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AE50E5">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27F564CA">
      <w:pPr>
        <w:spacing w:line="600" w:lineRule="exact"/>
        <w:ind w:firstLine="643" w:firstLineChars="200"/>
        <w:outlineLvl w:val="2"/>
        <w:rPr>
          <w:rFonts w:eastAsia="楷体_GB2312" w:cs="楷体_GB2312"/>
          <w:b/>
          <w:sz w:val="32"/>
          <w:szCs w:val="32"/>
        </w:rPr>
      </w:pPr>
      <w:bookmarkStart w:id="26" w:name="_Toc15377212"/>
      <w:r>
        <w:rPr>
          <w:rFonts w:hint="eastAsia" w:eastAsia="楷体_GB2312" w:cs="楷体_GB2312"/>
          <w:b/>
          <w:sz w:val="32"/>
          <w:szCs w:val="32"/>
        </w:rPr>
        <w:t>（三）一般公共预算财政拨款支出决算具体情况</w:t>
      </w:r>
      <w:bookmarkEnd w:id="26"/>
    </w:p>
    <w:p w14:paraId="35072BC1">
      <w:pPr>
        <w:spacing w:line="600" w:lineRule="exact"/>
        <w:ind w:firstLine="640"/>
        <w:rPr>
          <w:rFonts w:eastAsia="仿宋_GB2312" w:cs="仿宋_GB2312"/>
          <w:sz w:val="32"/>
          <w:szCs w:val="32"/>
        </w:rPr>
      </w:pPr>
      <w:bookmarkStart w:id="27" w:name="_Toc15378460"/>
      <w:bookmarkStart w:id="28" w:name="_Toc15377444"/>
      <w:bookmarkStart w:id="29" w:name="_Toc15377213"/>
      <w:bookmarkStart w:id="30" w:name="_Toc15396608"/>
      <w:bookmarkStart w:id="31" w:name="_Toc15377214"/>
      <w:r>
        <w:rPr>
          <w:rFonts w:hint="eastAsia" w:eastAsia="仿宋_GB2312" w:cs="仿宋_GB2312"/>
          <w:sz w:val="32"/>
          <w:szCs w:val="32"/>
        </w:rPr>
        <w:t>2024年度一般公共预算财政拨款支出决算数为1217.48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27"/>
      <w:bookmarkEnd w:id="28"/>
      <w:bookmarkEnd w:id="29"/>
    </w:p>
    <w:p w14:paraId="0F7B7748">
      <w:pPr>
        <w:spacing w:line="600" w:lineRule="exact"/>
        <w:ind w:firstLine="640"/>
        <w:rPr>
          <w:rFonts w:eastAsia="仿宋_GB2312" w:cs="仿宋_GB2312"/>
          <w:sz w:val="32"/>
          <w:szCs w:val="32"/>
        </w:rPr>
      </w:pPr>
      <w:r>
        <w:rPr>
          <w:rFonts w:hint="eastAsia" w:eastAsia="仿宋_GB2312" w:cs="仿宋_GB2312"/>
          <w:sz w:val="32"/>
          <w:szCs w:val="32"/>
        </w:rPr>
        <w:t>1.一般公共服务（类）宣传事务（款）一般行政管理事务项）：支出决算为3万元，完成预算3%，决算数等于预算数。</w:t>
      </w:r>
    </w:p>
    <w:p w14:paraId="092D8067">
      <w:pPr>
        <w:spacing w:line="600" w:lineRule="exact"/>
        <w:ind w:firstLine="640"/>
        <w:rPr>
          <w:rFonts w:eastAsia="仿宋_GB2312" w:cs="仿宋_GB2312"/>
          <w:sz w:val="32"/>
          <w:szCs w:val="32"/>
        </w:rPr>
      </w:pPr>
      <w:r>
        <w:rPr>
          <w:rFonts w:hint="eastAsia" w:eastAsia="仿宋_GB2312" w:cs="仿宋_GB2312"/>
          <w:sz w:val="32"/>
          <w:szCs w:val="32"/>
        </w:rPr>
        <w:t>2.科学技术支出（类）科学技术管理事务（款）行政运行（项）: 支出决算为347.58万元，完成预算100%，决算数等于预算数。</w:t>
      </w:r>
    </w:p>
    <w:p w14:paraId="00906657">
      <w:pPr>
        <w:spacing w:line="600" w:lineRule="exact"/>
        <w:ind w:firstLine="640"/>
        <w:rPr>
          <w:rFonts w:eastAsia="仿宋_GB2312" w:cs="仿宋_GB2312"/>
          <w:sz w:val="32"/>
          <w:szCs w:val="32"/>
        </w:rPr>
      </w:pPr>
      <w:r>
        <w:rPr>
          <w:rFonts w:hint="eastAsia" w:eastAsia="仿宋_GB2312" w:cs="仿宋_GB2312"/>
          <w:sz w:val="32"/>
          <w:szCs w:val="32"/>
        </w:rPr>
        <w:t>3.科学技术支出（类）科学技术管理事务（款）一般行政管理事务（项）: 支出决算为17.06万元，完成预算100%，决算数等于预算数。</w:t>
      </w:r>
    </w:p>
    <w:p w14:paraId="3CA5DA30">
      <w:pPr>
        <w:spacing w:line="600" w:lineRule="exact"/>
        <w:ind w:firstLine="640"/>
        <w:rPr>
          <w:rFonts w:eastAsia="仿宋_GB2312" w:cs="仿宋_GB2312"/>
          <w:sz w:val="32"/>
          <w:szCs w:val="32"/>
        </w:rPr>
      </w:pPr>
      <w:r>
        <w:rPr>
          <w:rFonts w:hint="eastAsia" w:eastAsia="仿宋_GB2312" w:cs="仿宋_GB2312"/>
          <w:sz w:val="32"/>
          <w:szCs w:val="32"/>
        </w:rPr>
        <w:t>4.科学技术支出（类）科学技术管理事务（款）其他科学技术管理事务支出（项）: 支出决算为157.54万元，完成预算100%，决算数等于预算数。</w:t>
      </w:r>
    </w:p>
    <w:p w14:paraId="6E319F26">
      <w:pPr>
        <w:spacing w:line="600" w:lineRule="exact"/>
        <w:ind w:firstLine="640"/>
        <w:rPr>
          <w:rFonts w:eastAsia="仿宋_GB2312" w:cs="仿宋_GB2312"/>
          <w:sz w:val="32"/>
          <w:szCs w:val="32"/>
        </w:rPr>
      </w:pPr>
      <w:r>
        <w:rPr>
          <w:rFonts w:hint="eastAsia" w:eastAsia="仿宋_GB2312" w:cs="仿宋_GB2312"/>
          <w:sz w:val="32"/>
          <w:szCs w:val="32"/>
        </w:rPr>
        <w:t>5.科学技术支出（类）技术研究与开发（款）科技成果转化与扩散（项）: 支出决算为17.68万元，完成预算100%，决算数等于预算数。</w:t>
      </w:r>
    </w:p>
    <w:p w14:paraId="1FF0257A">
      <w:pPr>
        <w:spacing w:line="600" w:lineRule="exact"/>
        <w:ind w:firstLine="640"/>
        <w:rPr>
          <w:rFonts w:eastAsia="仿宋_GB2312" w:cs="仿宋_GB2312"/>
          <w:sz w:val="32"/>
          <w:szCs w:val="32"/>
        </w:rPr>
      </w:pPr>
      <w:r>
        <w:rPr>
          <w:rFonts w:hint="eastAsia" w:eastAsia="仿宋_GB2312" w:cs="仿宋_GB2312"/>
          <w:sz w:val="32"/>
          <w:szCs w:val="32"/>
        </w:rPr>
        <w:t>6.科学技术支出（类）科学技术普及（款）机构运行（项）: 支出决算为152.65万元，完成预算100%，决算数等于预算数。</w:t>
      </w:r>
    </w:p>
    <w:p w14:paraId="33D7D852">
      <w:pPr>
        <w:spacing w:line="600" w:lineRule="exact"/>
        <w:ind w:firstLine="640"/>
        <w:rPr>
          <w:rFonts w:eastAsia="仿宋_GB2312" w:cs="仿宋_GB2312"/>
          <w:sz w:val="32"/>
          <w:szCs w:val="32"/>
        </w:rPr>
      </w:pPr>
      <w:r>
        <w:rPr>
          <w:rFonts w:hint="eastAsia" w:eastAsia="仿宋_GB2312" w:cs="仿宋_GB2312"/>
          <w:sz w:val="32"/>
          <w:szCs w:val="32"/>
        </w:rPr>
        <w:t>7.科学技术支出（类）科学技术普及（款）科技馆站（项）: 支出决算为19.55万元，完成预算100%，决算数等于预算数。</w:t>
      </w:r>
    </w:p>
    <w:p w14:paraId="778D66E4">
      <w:pPr>
        <w:spacing w:line="600" w:lineRule="exact"/>
        <w:ind w:firstLine="640"/>
        <w:rPr>
          <w:rFonts w:eastAsia="仿宋_GB2312" w:cs="仿宋_GB2312"/>
          <w:sz w:val="32"/>
          <w:szCs w:val="32"/>
        </w:rPr>
      </w:pPr>
      <w:r>
        <w:rPr>
          <w:rFonts w:hint="eastAsia" w:eastAsia="仿宋_GB2312" w:cs="仿宋_GB2312"/>
          <w:sz w:val="32"/>
          <w:szCs w:val="32"/>
        </w:rPr>
        <w:t>8.科学技术支出（类）科学技术普及（款）其他科学技术普及支出（项）: 支出决算为73.91万元，完成预算100%，决算数等于预算数。</w:t>
      </w:r>
    </w:p>
    <w:p w14:paraId="1B98296F">
      <w:pPr>
        <w:spacing w:line="600" w:lineRule="exact"/>
        <w:ind w:firstLine="640"/>
        <w:rPr>
          <w:rFonts w:eastAsia="仿宋_GB2312" w:cs="仿宋_GB2312"/>
          <w:sz w:val="32"/>
          <w:szCs w:val="32"/>
        </w:rPr>
      </w:pPr>
      <w:r>
        <w:rPr>
          <w:rFonts w:hint="eastAsia" w:eastAsia="仿宋_GB2312" w:cs="仿宋_GB2312"/>
          <w:sz w:val="32"/>
          <w:szCs w:val="32"/>
        </w:rPr>
        <w:t>9.科学技术支出（类）其他科学技术支出（款）其他科学技术支出（项）: 支出决算为50.4万元，完成预算100%，决算数等于预算数。</w:t>
      </w:r>
    </w:p>
    <w:p w14:paraId="0476EE51">
      <w:pPr>
        <w:spacing w:line="600" w:lineRule="exact"/>
        <w:ind w:firstLine="640"/>
        <w:rPr>
          <w:rFonts w:eastAsia="仿宋_GB2312" w:cs="仿宋_GB2312"/>
          <w:sz w:val="32"/>
          <w:szCs w:val="32"/>
        </w:rPr>
      </w:pPr>
      <w:r>
        <w:rPr>
          <w:rFonts w:hint="eastAsia" w:eastAsia="仿宋_GB2312" w:cs="仿宋_GB2312"/>
          <w:sz w:val="32"/>
          <w:szCs w:val="32"/>
        </w:rPr>
        <w:t>10.社会保障和就业（类）行政事业单位离退休（款）行政单位离退休（项）: 支出决算为135.73万元，完成预算100%，决算数等于预算数。</w:t>
      </w:r>
    </w:p>
    <w:p w14:paraId="47DABF36">
      <w:pPr>
        <w:spacing w:line="600" w:lineRule="exact"/>
        <w:ind w:firstLine="640"/>
        <w:rPr>
          <w:rFonts w:eastAsia="仿宋_GB2312" w:cs="仿宋_GB2312"/>
          <w:sz w:val="32"/>
          <w:szCs w:val="32"/>
        </w:rPr>
      </w:pPr>
      <w:r>
        <w:rPr>
          <w:rFonts w:hint="eastAsia" w:eastAsia="仿宋_GB2312" w:cs="仿宋_GB2312"/>
          <w:sz w:val="32"/>
          <w:szCs w:val="32"/>
        </w:rPr>
        <w:t>11.社会保障和就业（类）行政事业单位离退休（款）  事业单位离退休（项）: 支出决算为5.16元，完成预算100%，决算数等于预算数。</w:t>
      </w:r>
    </w:p>
    <w:p w14:paraId="0610415B">
      <w:pPr>
        <w:spacing w:line="600" w:lineRule="exact"/>
        <w:ind w:firstLine="640"/>
        <w:rPr>
          <w:rFonts w:eastAsia="仿宋_GB2312" w:cs="仿宋_GB2312"/>
          <w:sz w:val="32"/>
          <w:szCs w:val="32"/>
        </w:rPr>
      </w:pPr>
      <w:r>
        <w:rPr>
          <w:rFonts w:hint="eastAsia" w:eastAsia="仿宋_GB2312" w:cs="仿宋_GB2312"/>
          <w:sz w:val="32"/>
          <w:szCs w:val="32"/>
        </w:rPr>
        <w:t>12.社会保障和就业支出（类）行政事业单位离退休（款）机关事业单位基本养老保险缴费支出（项）:支出决算为61.05万元，完成预算100%，决算数等于预算数。</w:t>
      </w:r>
    </w:p>
    <w:p w14:paraId="21BFCEA8">
      <w:pPr>
        <w:spacing w:line="600" w:lineRule="exact"/>
        <w:ind w:firstLine="640"/>
        <w:rPr>
          <w:rFonts w:eastAsia="仿宋_GB2312" w:cs="仿宋_GB2312"/>
          <w:sz w:val="32"/>
          <w:szCs w:val="32"/>
        </w:rPr>
      </w:pPr>
      <w:r>
        <w:rPr>
          <w:rFonts w:hint="eastAsia" w:eastAsia="仿宋_GB2312" w:cs="仿宋_GB2312"/>
          <w:sz w:val="32"/>
          <w:szCs w:val="32"/>
        </w:rPr>
        <w:t>13.社会保障和就业支出（类）行政事业单位离退休（款）  机关事业单位职业年金缴费支出（项）:支出决算为34.52万元，完成预算100%，决算数等于预算数。</w:t>
      </w:r>
    </w:p>
    <w:p w14:paraId="48EDFC0D">
      <w:pPr>
        <w:spacing w:line="600" w:lineRule="exact"/>
        <w:ind w:firstLine="640"/>
        <w:rPr>
          <w:rFonts w:eastAsia="仿宋_GB2312" w:cs="仿宋_GB2312"/>
          <w:sz w:val="32"/>
          <w:szCs w:val="32"/>
        </w:rPr>
      </w:pPr>
      <w:r>
        <w:rPr>
          <w:rFonts w:hint="eastAsia" w:eastAsia="仿宋_GB2312" w:cs="仿宋_GB2312"/>
          <w:sz w:val="32"/>
          <w:szCs w:val="32"/>
        </w:rPr>
        <w:t>14.社会保障和就业支出（类）抚恤（款） 伤残抚恤（项）: 支出决算为11.68万元，完成预算100%，决算数等于预算数。</w:t>
      </w:r>
    </w:p>
    <w:p w14:paraId="684014E5">
      <w:pPr>
        <w:spacing w:line="600" w:lineRule="exact"/>
        <w:ind w:firstLine="640"/>
        <w:rPr>
          <w:rFonts w:eastAsia="仿宋_GB2312" w:cs="仿宋_GB2312"/>
          <w:sz w:val="32"/>
          <w:szCs w:val="32"/>
        </w:rPr>
      </w:pPr>
      <w:r>
        <w:rPr>
          <w:rFonts w:hint="eastAsia" w:eastAsia="仿宋_GB2312" w:cs="仿宋_GB2312"/>
          <w:sz w:val="32"/>
          <w:szCs w:val="32"/>
        </w:rPr>
        <w:t>15.卫生健康支出（类）行政事业单位医疗（款）行政单位医疗（项）: 支出决算为22.7万元，完成预算100%，决算数等于预算数。</w:t>
      </w:r>
    </w:p>
    <w:p w14:paraId="6869E513">
      <w:pPr>
        <w:spacing w:line="600" w:lineRule="exact"/>
        <w:ind w:firstLine="640"/>
        <w:rPr>
          <w:rFonts w:eastAsia="仿宋_GB2312" w:cs="仿宋_GB2312"/>
          <w:sz w:val="32"/>
          <w:szCs w:val="32"/>
        </w:rPr>
      </w:pPr>
      <w:r>
        <w:rPr>
          <w:rFonts w:hint="eastAsia" w:eastAsia="仿宋_GB2312" w:cs="仿宋_GB2312"/>
          <w:sz w:val="32"/>
          <w:szCs w:val="32"/>
        </w:rPr>
        <w:t>16.卫生健康支出（类）行政事业单位医疗（款）事业单位医疗（项）: 支出决算为10.8万元，完成预算100%，决算数等于预算数。</w:t>
      </w:r>
    </w:p>
    <w:p w14:paraId="5BD56621">
      <w:pPr>
        <w:spacing w:line="600" w:lineRule="exact"/>
        <w:ind w:firstLine="640"/>
        <w:rPr>
          <w:rFonts w:eastAsia="仿宋_GB2312" w:cs="仿宋_GB2312"/>
          <w:sz w:val="32"/>
          <w:szCs w:val="32"/>
        </w:rPr>
      </w:pPr>
      <w:r>
        <w:rPr>
          <w:rFonts w:hint="eastAsia" w:eastAsia="仿宋_GB2312" w:cs="仿宋_GB2312"/>
          <w:sz w:val="32"/>
          <w:szCs w:val="32"/>
        </w:rPr>
        <w:t>17.卫生健康支出（类）行政事业单位医疗（款）公务员医疗补助（项）: 支出决算为2.38万元，完成预算100%，决算数等于预算数。</w:t>
      </w:r>
    </w:p>
    <w:p w14:paraId="609A7508">
      <w:pPr>
        <w:spacing w:line="600" w:lineRule="exact"/>
        <w:ind w:firstLine="640"/>
        <w:rPr>
          <w:rFonts w:eastAsia="仿宋_GB2312" w:cs="仿宋_GB2312"/>
          <w:sz w:val="32"/>
          <w:szCs w:val="32"/>
        </w:rPr>
      </w:pPr>
      <w:r>
        <w:rPr>
          <w:rFonts w:hint="eastAsia" w:eastAsia="仿宋_GB2312" w:cs="仿宋_GB2312"/>
          <w:sz w:val="32"/>
          <w:szCs w:val="32"/>
        </w:rPr>
        <w:t>18.卫生健康支出（类）行政事业单位医疗（款）其他行政事业单位医疗支出（项）: 支出决算为18.88万元，完成预算100%，决算数等于预算数。</w:t>
      </w:r>
    </w:p>
    <w:p w14:paraId="4A7883C6">
      <w:pPr>
        <w:spacing w:line="600" w:lineRule="exact"/>
        <w:ind w:firstLine="640"/>
        <w:rPr>
          <w:rFonts w:eastAsia="仿宋_GB2312" w:cs="仿宋_GB2312"/>
          <w:sz w:val="32"/>
          <w:szCs w:val="32"/>
        </w:rPr>
      </w:pPr>
      <w:r>
        <w:rPr>
          <w:rFonts w:hint="eastAsia" w:eastAsia="仿宋_GB2312" w:cs="仿宋_GB2312"/>
          <w:sz w:val="32"/>
          <w:szCs w:val="32"/>
        </w:rPr>
        <w:t>19. 城乡社区支出类）城乡社区公共设施（款）其他城乡社区公共设施支出（项）: 支出决算为24.56万元，完成预算100%，决算数等于预算数。</w:t>
      </w:r>
    </w:p>
    <w:p w14:paraId="2A0E5D87">
      <w:pPr>
        <w:spacing w:line="600" w:lineRule="exact"/>
        <w:ind w:firstLine="640"/>
      </w:pPr>
      <w:r>
        <w:rPr>
          <w:rFonts w:hint="eastAsia" w:eastAsia="仿宋_GB2312" w:cs="仿宋_GB2312"/>
          <w:sz w:val="32"/>
          <w:szCs w:val="32"/>
        </w:rPr>
        <w:t>20.住房保障支出（类）住房改革支出（款）住房公积金（项）: 支出决算为50.65万元，完成预算100%，决算数等于预算数。</w:t>
      </w:r>
    </w:p>
    <w:p w14:paraId="34E4D56B">
      <w:pPr>
        <w:tabs>
          <w:tab w:val="right" w:pos="8306"/>
        </w:tabs>
        <w:spacing w:line="600" w:lineRule="exact"/>
        <w:ind w:firstLine="640"/>
        <w:outlineLvl w:val="1"/>
        <w:rPr>
          <w:rStyle w:val="20"/>
          <w:rFonts w:ascii="Times New Roman" w:hAnsi="Times New Roman"/>
        </w:rPr>
      </w:pPr>
      <w:r>
        <w:rPr>
          <w:rFonts w:hint="eastAsia" w:eastAsia="黑体"/>
          <w:sz w:val="32"/>
          <w:szCs w:val="32"/>
        </w:rPr>
        <w:t>六</w:t>
      </w:r>
      <w:r>
        <w:rPr>
          <w:rFonts w:hint="eastAsia" w:eastAsia="黑体"/>
          <w:b/>
          <w:sz w:val="32"/>
          <w:szCs w:val="32"/>
        </w:rPr>
        <w:t>、一</w:t>
      </w:r>
      <w:r>
        <w:rPr>
          <w:rStyle w:val="20"/>
          <w:rFonts w:hint="eastAsia" w:ascii="Times New Roman" w:hAnsi="Times New Roman" w:eastAsia="黑体"/>
          <w:b w:val="0"/>
        </w:rPr>
        <w:t>般公共预算财政拨款基本支出决算情况说明</w:t>
      </w:r>
      <w:bookmarkEnd w:id="30"/>
      <w:bookmarkEnd w:id="31"/>
      <w:r>
        <w:rPr>
          <w:rStyle w:val="20"/>
          <w:rFonts w:ascii="Times New Roman" w:hAnsi="Times New Roman" w:eastAsia="黑体"/>
          <w:b w:val="0"/>
        </w:rPr>
        <w:tab/>
      </w:r>
    </w:p>
    <w:p w14:paraId="3DCC3934">
      <w:pPr>
        <w:spacing w:line="600" w:lineRule="exact"/>
        <w:ind w:firstLine="640"/>
        <w:rPr>
          <w:rFonts w:eastAsia="仿宋_GB2312" w:cs="仿宋_GB2312"/>
          <w:sz w:val="32"/>
          <w:szCs w:val="32"/>
        </w:rPr>
      </w:pPr>
      <w:bookmarkStart w:id="32" w:name="_Toc15396609"/>
      <w:bookmarkStart w:id="33" w:name="_Toc15377215"/>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853.78万</w:t>
      </w:r>
      <w:r>
        <w:rPr>
          <w:rFonts w:hint="eastAsia" w:eastAsia="仿宋_GB2312" w:cs="仿宋_GB2312"/>
          <w:sz w:val="32"/>
          <w:szCs w:val="32"/>
        </w:rPr>
        <w:t>元，其中：</w:t>
      </w:r>
    </w:p>
    <w:p w14:paraId="0C2D37FA">
      <w:pPr>
        <w:spacing w:line="600" w:lineRule="exact"/>
        <w:ind w:firstLine="640"/>
        <w:rPr>
          <w:rFonts w:eastAsia="仿宋_GB2312" w:cs="仿宋_GB2312"/>
          <w:sz w:val="32"/>
          <w:szCs w:val="32"/>
        </w:rPr>
      </w:pPr>
      <w:r>
        <w:rPr>
          <w:rFonts w:hint="eastAsia" w:eastAsia="仿宋_GB2312" w:cs="仿宋_GB2312"/>
          <w:sz w:val="32"/>
          <w:szCs w:val="32"/>
        </w:rPr>
        <w:t>人员经费798.17万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奖励金。</w:t>
      </w:r>
      <w:r>
        <w:rPr>
          <w:rFonts w:hint="eastAsia" w:eastAsia="仿宋_GB2312" w:cs="仿宋_GB2312"/>
          <w:sz w:val="32"/>
          <w:szCs w:val="32"/>
        </w:rPr>
        <w:br w:type="textWrapping"/>
      </w:r>
      <w:r>
        <w:rPr>
          <w:rFonts w:hint="eastAsia" w:eastAsia="仿宋_GB2312" w:cs="仿宋_GB2312"/>
          <w:sz w:val="32"/>
          <w:szCs w:val="32"/>
        </w:rPr>
        <w:t>　　公用经费55.61万元，主要包括：办公费、水费、电费、邮电费、差旅费、维修（护）费、租赁费、培训费、公务接待费、劳务费、工会经费、福利费、其他交通费、其他商品和服务支出。</w:t>
      </w:r>
    </w:p>
    <w:p w14:paraId="3A076F21">
      <w:pPr>
        <w:spacing w:line="600" w:lineRule="exact"/>
        <w:ind w:firstLine="640"/>
        <w:outlineLvl w:val="1"/>
        <w:rPr>
          <w:rStyle w:val="20"/>
          <w:rFonts w:ascii="Times New Roman" w:hAnsi="Times New Roman" w:eastAsia="黑体"/>
          <w:b w:val="0"/>
        </w:rPr>
      </w:pPr>
      <w:r>
        <w:rPr>
          <w:rFonts w:hint="eastAsia" w:eastAsia="黑体"/>
          <w:sz w:val="32"/>
          <w:szCs w:val="32"/>
        </w:rPr>
        <w:t>七、</w:t>
      </w:r>
      <w:r>
        <w:rPr>
          <w:rStyle w:val="20"/>
          <w:rFonts w:hint="eastAsia" w:ascii="Times New Roman" w:hAnsi="Times New Roman" w:eastAsia="黑体"/>
          <w:b w:val="0"/>
        </w:rPr>
        <w:t>财政拨款</w:t>
      </w:r>
      <w:r>
        <w:rPr>
          <w:rStyle w:val="20"/>
          <w:rFonts w:hint="eastAsia" w:ascii="Times New Roman" w:hAnsi="Times New Roman" w:eastAsia="黑体"/>
        </w:rPr>
        <w:t>“</w:t>
      </w:r>
      <w:r>
        <w:rPr>
          <w:rStyle w:val="20"/>
          <w:rFonts w:hint="eastAsia" w:ascii="Times New Roman" w:hAnsi="Times New Roman" w:eastAsia="黑体"/>
          <w:b w:val="0"/>
        </w:rPr>
        <w:t>三公”经费支出决算情况说明</w:t>
      </w:r>
      <w:bookmarkEnd w:id="32"/>
      <w:bookmarkEnd w:id="33"/>
    </w:p>
    <w:p w14:paraId="3AB54FAF">
      <w:pPr>
        <w:spacing w:line="600" w:lineRule="exact"/>
        <w:ind w:firstLine="643" w:firstLineChars="200"/>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14:paraId="327517C1">
      <w:pPr>
        <w:spacing w:line="600" w:lineRule="exact"/>
        <w:ind w:firstLine="645"/>
        <w:rPr>
          <w:rFonts w:ascii="仿宋" w:hAnsi="仿宋" w:eastAsia="仿宋"/>
          <w:sz w:val="32"/>
          <w:szCs w:val="32"/>
        </w:rPr>
      </w:pPr>
      <w:bookmarkStart w:id="35" w:name="_Toc15377217"/>
      <w:r>
        <w:rPr>
          <w:rFonts w:hint="eastAsia" w:eastAsia="仿宋_GB2312" w:cs="仿宋_GB2312"/>
          <w:sz w:val="32"/>
          <w:szCs w:val="32"/>
        </w:rPr>
        <w:t>2024年度“三公”经费财政拨款支出决算为0.22万元，完成预算100%，较上年度增加0.18万元，增长450%。决算与预算数持平</w:t>
      </w:r>
      <w:r>
        <w:rPr>
          <w:rFonts w:hint="eastAsia" w:ascii="仿宋" w:hAnsi="仿宋" w:eastAsia="仿宋"/>
          <w:sz w:val="32"/>
          <w:szCs w:val="32"/>
        </w:rPr>
        <w:t>。</w:t>
      </w:r>
    </w:p>
    <w:p w14:paraId="19CA0151">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（二）“三公”经费财政拨款支出决算具体情况说明</w:t>
      </w:r>
      <w:bookmarkEnd w:id="35"/>
    </w:p>
    <w:p w14:paraId="0BCBE427">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2024年度“三公”经费财政拨款支出决算中，因公出国（境）费支出决算0万元，占0%；公务用车购置及运行维护费支出决算0万元，占0%；公务接待费支出决算0.22万元，占100*%。具体情况如下：</w:t>
      </w:r>
    </w:p>
    <w:p w14:paraId="6CA7AEDE">
      <w:r>
        <w:drawing>
          <wp:inline distT="0" distB="0" distL="0" distR="0">
            <wp:extent cx="3048000" cy="2085975"/>
            <wp:effectExtent l="0" t="0" r="0" b="0"/>
            <wp:docPr id="7" name="对象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120BDF">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31BB5550">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eastAsia="仿宋_GB2312" w:cs="仿宋_GB2312"/>
          <w:sz w:val="32"/>
          <w:szCs w:val="32"/>
        </w:rPr>
        <w:t>0次，出国（境）0人。因公出国（境）支出决算与2023年度持平。</w:t>
      </w:r>
    </w:p>
    <w:p w14:paraId="7CB42E2A">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公务用车购置及运行维护费支出决算与2023年度持平。</w:t>
      </w:r>
    </w:p>
    <w:p w14:paraId="7CB09C23">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286933A6">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68BED593">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bookmarkStart w:id="36" w:name="_Toc15377218"/>
      <w:bookmarkStart w:id="37" w:name="_Toc15396610"/>
      <w:r>
        <w:rPr>
          <w:rFonts w:hint="eastAsia" w:ascii="仿宋_GB2312" w:hAnsi="仿宋_GB2312" w:eastAsia="仿宋_GB2312" w:cs="仿宋_GB2312"/>
          <w:b/>
          <w:bCs/>
          <w:sz w:val="32"/>
          <w:szCs w:val="32"/>
        </w:rPr>
        <w:t>0.22万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公务接待费支出决算比2023年度增加0.18万元，增长450%。主要原因是上年基数小，本年新增1批次公务接待本年。其中：</w:t>
      </w:r>
    </w:p>
    <w:p w14:paraId="353AAEFF">
      <w:pPr>
        <w:spacing w:line="600" w:lineRule="exact"/>
        <w:ind w:firstLine="640"/>
        <w:rPr>
          <w:rFonts w:eastAsia="仿宋_GB2312" w:cs="仿宋_GB2312"/>
          <w:sz w:val="32"/>
          <w:szCs w:val="32"/>
        </w:rPr>
      </w:pPr>
      <w:r>
        <w:rPr>
          <w:rFonts w:hint="eastAsia" w:eastAsia="仿宋_GB2312" w:cs="仿宋_GB2312"/>
          <w:sz w:val="32"/>
          <w:szCs w:val="32"/>
        </w:rPr>
        <w:t>国内公务接待支出0.22万元，主要用于执行公务、开展业务活动开支的用餐费。国内公务接待2批次，17人次（不包括陪同人员），共计支出0.22万元，具体内容包括：省清理拖欠企业账款第三督导组来攀督导工作，1050元；调研新型工业化有关情况，1180元。</w:t>
      </w:r>
    </w:p>
    <w:p w14:paraId="26B46F74">
      <w:pPr>
        <w:spacing w:line="600" w:lineRule="exact"/>
        <w:ind w:firstLine="640"/>
        <w:rPr>
          <w:rFonts w:eastAsia="仿宋_GB2312" w:cs="仿宋_GB2312"/>
          <w:sz w:val="32"/>
          <w:szCs w:val="32"/>
        </w:rPr>
      </w:pPr>
      <w:r>
        <w:rPr>
          <w:rFonts w:hint="eastAsia" w:eastAsia="仿宋_GB2312" w:cs="仿宋_GB2312"/>
          <w:sz w:val="32"/>
          <w:szCs w:val="32"/>
        </w:rPr>
        <w:t>外事接待支出0万元。</w:t>
      </w:r>
    </w:p>
    <w:p w14:paraId="0DE132EC">
      <w:pPr>
        <w:spacing w:line="600" w:lineRule="exact"/>
        <w:ind w:firstLine="640"/>
        <w:rPr>
          <w:rStyle w:val="20"/>
          <w:rFonts w:ascii="Times New Roman" w:hAnsi="Times New Roman" w:eastAsia="黑体"/>
        </w:rPr>
      </w:pPr>
      <w:r>
        <w:rPr>
          <w:rFonts w:hint="eastAsia" w:eastAsia="黑体"/>
          <w:sz w:val="32"/>
          <w:szCs w:val="32"/>
        </w:rPr>
        <w:t>八、</w:t>
      </w:r>
      <w:r>
        <w:rPr>
          <w:rStyle w:val="20"/>
          <w:rFonts w:hint="eastAsia" w:ascii="Times New Roman" w:hAnsi="Times New Roman" w:eastAsia="黑体"/>
          <w:b w:val="0"/>
        </w:rPr>
        <w:t>政府性基金预算支出决算情况说明</w:t>
      </w:r>
      <w:bookmarkEnd w:id="36"/>
      <w:bookmarkEnd w:id="37"/>
    </w:p>
    <w:p w14:paraId="74AAD37A">
      <w:pPr>
        <w:spacing w:line="600" w:lineRule="exact"/>
        <w:ind w:firstLine="640"/>
        <w:rPr>
          <w:rFonts w:eastAsia="仿宋_GB2312" w:cs="仿宋_GB2312"/>
          <w:sz w:val="32"/>
          <w:szCs w:val="32"/>
        </w:rPr>
      </w:pPr>
      <w:bookmarkStart w:id="38" w:name="_Toc15396611"/>
      <w:bookmarkStart w:id="39" w:name="_Toc15377219"/>
      <w:r>
        <w:rPr>
          <w:rFonts w:hint="eastAsia" w:eastAsia="仿宋_GB2312" w:cs="仿宋_GB2312"/>
          <w:sz w:val="32"/>
          <w:szCs w:val="32"/>
        </w:rPr>
        <w:t>2024年度政府性基金预算财政拨款支出0万元，与2023年度相比，政府性基金预算财政拨款支出上年持平。</w:t>
      </w:r>
    </w:p>
    <w:p w14:paraId="6D093378">
      <w:pPr>
        <w:spacing w:line="600" w:lineRule="exact"/>
        <w:ind w:left="630"/>
        <w:outlineLvl w:val="1"/>
        <w:rPr>
          <w:rStyle w:val="20"/>
          <w:rFonts w:ascii="Times New Roman" w:hAnsi="Times New Roman" w:eastAsia="黑体"/>
          <w:b w:val="0"/>
        </w:rPr>
      </w:pPr>
      <w:r>
        <w:rPr>
          <w:rStyle w:val="20"/>
          <w:rFonts w:hint="eastAsia" w:ascii="Times New Roman" w:hAnsi="Times New Roman" w:eastAsia="黑体"/>
          <w:b w:val="0"/>
        </w:rPr>
        <w:t>九、国有资本经营预算支出决算情况说明</w:t>
      </w:r>
      <w:bookmarkEnd w:id="38"/>
      <w:bookmarkEnd w:id="39"/>
    </w:p>
    <w:p w14:paraId="1658E8CB">
      <w:pPr>
        <w:spacing w:line="600" w:lineRule="exact"/>
        <w:ind w:firstLine="640"/>
        <w:rPr>
          <w:rFonts w:eastAsia="仿宋_GB2312" w:cs="仿宋_GB2312"/>
          <w:sz w:val="32"/>
          <w:szCs w:val="32"/>
        </w:rPr>
      </w:pPr>
      <w:bookmarkStart w:id="40" w:name="_Toc15396612"/>
      <w:bookmarkStart w:id="41" w:name="_Toc15377221"/>
      <w:r>
        <w:rPr>
          <w:rFonts w:hint="eastAsia" w:eastAsia="仿宋_GB2312" w:cs="仿宋_GB2312"/>
          <w:sz w:val="32"/>
          <w:szCs w:val="32"/>
        </w:rPr>
        <w:t>2024年度国有资本经营预算财政拨款支出0万元，与2023年度相比，国有资本经营预算财政拨款支出与上年持平。</w:t>
      </w:r>
    </w:p>
    <w:p w14:paraId="32331170">
      <w:pPr>
        <w:spacing w:line="600" w:lineRule="exact"/>
        <w:ind w:left="630"/>
        <w:outlineLvl w:val="1"/>
        <w:rPr>
          <w:rStyle w:val="20"/>
          <w:rFonts w:ascii="Times New Roman" w:hAnsi="Times New Roman" w:eastAsia="黑体"/>
          <w:b w:val="0"/>
        </w:rPr>
      </w:pPr>
      <w:r>
        <w:rPr>
          <w:rStyle w:val="20"/>
          <w:rFonts w:hint="eastAsia" w:ascii="Times New Roman" w:hAnsi="Times New Roman" w:eastAsia="黑体"/>
          <w:b w:val="0"/>
        </w:rPr>
        <w:t>十、其他重要事项的情况说明</w:t>
      </w:r>
      <w:bookmarkEnd w:id="40"/>
      <w:bookmarkEnd w:id="41"/>
    </w:p>
    <w:p w14:paraId="3284E52A">
      <w:pPr>
        <w:spacing w:line="600" w:lineRule="exact"/>
        <w:ind w:firstLine="643" w:firstLineChars="200"/>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14:paraId="08E37A84">
      <w:pPr>
        <w:spacing w:line="600" w:lineRule="exact"/>
        <w:ind w:firstLine="640"/>
        <w:rPr>
          <w:rFonts w:eastAsia="仿宋_GB2312" w:cs="仿宋_GB2312"/>
          <w:sz w:val="32"/>
          <w:szCs w:val="32"/>
        </w:rPr>
      </w:pPr>
      <w:bookmarkStart w:id="43" w:name="_Toc15377223"/>
      <w:r>
        <w:rPr>
          <w:rFonts w:hint="eastAsia" w:eastAsia="仿宋_GB2312" w:cs="仿宋_GB2312"/>
          <w:sz w:val="32"/>
          <w:szCs w:val="32"/>
        </w:rPr>
        <w:t>2024年度，盐边县经济信息化和科学技术局机关运行经费支出55.61万元，比2023年度减少1.67万元，下降2.92%。主要原因是人员较上年减少。</w:t>
      </w:r>
    </w:p>
    <w:p w14:paraId="305C483B">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（二）政府采购支出情况</w:t>
      </w:r>
      <w:bookmarkEnd w:id="43"/>
    </w:p>
    <w:p w14:paraId="31988A20">
      <w:pPr>
        <w:spacing w:line="600" w:lineRule="exact"/>
        <w:ind w:firstLine="640"/>
        <w:rPr>
          <w:rFonts w:eastAsia="仿宋_GB2312" w:cs="仿宋_GB2312"/>
          <w:sz w:val="32"/>
          <w:szCs w:val="32"/>
        </w:rPr>
      </w:pPr>
      <w:bookmarkStart w:id="44" w:name="_Toc15377224"/>
      <w:r>
        <w:rPr>
          <w:rFonts w:hint="eastAsia" w:eastAsia="仿宋_GB2312" w:cs="仿宋_GB2312"/>
          <w:sz w:val="32"/>
          <w:szCs w:val="32"/>
        </w:rPr>
        <w:t>2024年度，盐边县经济信息化和科学技术局政府采购支出总额1.18万元，其中：政府采购货物支出1.18万元。主要用于日常办公。授予中小企业合同金额1.18万元，占政府采购支出总额的100%，其中：授予小微企业合同金额1.18万元，占政府采购支出总额的100%。</w:t>
      </w:r>
    </w:p>
    <w:p w14:paraId="204569B9">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（三）国有资产占有使用情况</w:t>
      </w:r>
      <w:bookmarkEnd w:id="44"/>
    </w:p>
    <w:p w14:paraId="0F9490C6">
      <w:pPr>
        <w:spacing w:line="600" w:lineRule="exact"/>
        <w:ind w:firstLine="640"/>
        <w:rPr>
          <w:rFonts w:eastAsia="仿宋_GB2312" w:cs="仿宋_GB2312"/>
          <w:sz w:val="32"/>
          <w:szCs w:val="32"/>
        </w:rPr>
      </w:pPr>
      <w:r>
        <w:rPr>
          <w:rFonts w:hint="eastAsia" w:eastAsia="仿宋_GB2312" w:cs="仿宋_GB2312"/>
          <w:sz w:val="32"/>
          <w:szCs w:val="32"/>
        </w:rPr>
        <w:t>截至2024年12月31日，盐边县经济信息化和科学技术局共有车辆0辆，其中：主要负责人用车0辆、机要通信用车0辆、应急保障用车0辆、其他用车0辆。单价100万元（含）以上设备（不含车辆）0台（套）。</w:t>
      </w:r>
    </w:p>
    <w:p w14:paraId="4F8483D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3B7C6EB9">
      <w:pPr>
        <w:spacing w:line="600" w:lineRule="exact"/>
        <w:ind w:firstLine="640"/>
        <w:rPr>
          <w:rFonts w:eastAsia="仿宋_GB2312" w:cs="仿宋_GB2312"/>
          <w:sz w:val="32"/>
          <w:szCs w:val="32"/>
        </w:rPr>
      </w:pPr>
      <w:r>
        <w:rPr>
          <w:rFonts w:hint="eastAsia" w:eastAsia="仿宋_GB2312" w:cs="仿宋_GB2312"/>
          <w:sz w:val="32"/>
          <w:szCs w:val="32"/>
        </w:rPr>
        <w:t>根据预算绩效管理要求，盐边县经济信息化和科学技术局在2024年度预算编制阶段，组织对春节走访慰问经费、电子政务外网业务服务费、 协同办公平台运行维护和短信服务费用、乌东德电站企业搬迁补偿资金（攀枝花市欣兴冶金材料有限责任公司）、等9个项目开展了预算事前绩效评估，对15个项目编制了绩效目标，预算执行过程中，选取25个项目开展绩效监控。</w:t>
      </w:r>
    </w:p>
    <w:p w14:paraId="2712BC40">
      <w:pPr>
        <w:ind w:firstLine="640" w:firstLineChars="200"/>
        <w:rPr>
          <w:rFonts w:eastAsia="仿宋_GB2312" w:cs="仿宋_GB2312"/>
          <w:sz w:val="32"/>
          <w:szCs w:val="32"/>
        </w:rPr>
      </w:pPr>
      <w:r>
        <w:rPr>
          <w:rFonts w:hint="eastAsia" w:eastAsia="仿宋_GB2312" w:cs="仿宋_GB2312"/>
          <w:sz w:val="32"/>
          <w:szCs w:val="32"/>
        </w:rPr>
        <w:t>组织对2024年度一般公共预算全面开展绩效自评，形成盐边县经济信息化和科学技术局部门整体（含部门预算项目）绩效自评报告、</w:t>
      </w:r>
      <w:r>
        <w:rPr>
          <w:rFonts w:eastAsia="仿宋_GB2312" w:cs="仿宋_GB2312"/>
          <w:sz w:val="32"/>
          <w:szCs w:val="32"/>
        </w:rPr>
        <w:t>2022年科技馆免费开放补助资金</w:t>
      </w:r>
      <w:r>
        <w:rPr>
          <w:rFonts w:hint="eastAsia" w:eastAsia="仿宋_GB2312" w:cs="仿宋_GB2312"/>
          <w:sz w:val="32"/>
          <w:szCs w:val="32"/>
        </w:rPr>
        <w:t>、</w:t>
      </w:r>
      <w:r>
        <w:rPr>
          <w:rFonts w:eastAsia="仿宋_GB2312" w:cs="仿宋_GB2312"/>
          <w:sz w:val="32"/>
          <w:szCs w:val="32"/>
        </w:rPr>
        <w:t>2023年科技馆免费开放中央补助资金</w:t>
      </w:r>
      <w:r>
        <w:rPr>
          <w:rFonts w:hint="eastAsia" w:eastAsia="仿宋_GB2312" w:cs="仿宋_GB2312"/>
          <w:sz w:val="32"/>
          <w:szCs w:val="32"/>
        </w:rPr>
        <w:t>、</w:t>
      </w:r>
      <w:r>
        <w:rPr>
          <w:rFonts w:eastAsia="仿宋_GB2312" w:cs="仿宋_GB2312"/>
          <w:sz w:val="32"/>
          <w:szCs w:val="32"/>
        </w:rPr>
        <w:t>2023年第三批和第四批省级科技计划项目资金</w:t>
      </w:r>
      <w:r>
        <w:rPr>
          <w:rFonts w:hint="eastAsia" w:eastAsia="仿宋_GB2312" w:cs="仿宋_GB2312"/>
          <w:sz w:val="32"/>
          <w:szCs w:val="32"/>
        </w:rPr>
        <w:t>等专项预算项目绩效自评报告，其中，盐边县经济信息化和科学技术局部门整体（含部门预算项目）绩效自评得分为91.47分，绩效自评综述2024年我局有较为健全的财务管理制度和内部控制制度，按照相关财务管理制度要求设置财务岗位，预决算编制和预算执行严格按照国家财经法规、预算资金管理办法、财务管理制度以及专项资金管理办法的规定执行，无违规使用资金的情况发生，及时按照政府信息公开有关规定公开相关预决算信息，积极履职，强化资产管理，政府采购严格按照相关规定执行。全年部门预算执行率100%。基本支出2024年按月或季度进行申报，其中人员工资按月申报并直接支付，日常公用经费按月进行申报并支付，执行率100%，一般性支出较上年有所减低，预算执行进度基本完成。所有项目均纳入预算绩效目标管理，强化项目管理，及时进行项目调整，项目全部绩效目标基本完成。部门整体支出绩效良好，达到预期绩效目标，保障了机关正常运转和完成各项工作，项目资金拨款及时，专款专用。部门预算绩效自评得分91.74分；</w:t>
      </w:r>
      <w:r>
        <w:rPr>
          <w:rFonts w:eastAsia="仿宋_GB2312" w:cs="仿宋_GB2312"/>
          <w:sz w:val="32"/>
          <w:szCs w:val="32"/>
        </w:rPr>
        <w:t>2024年第一批省级科技计划项目专项资金</w:t>
      </w:r>
      <w:r>
        <w:rPr>
          <w:rFonts w:hint="eastAsia" w:eastAsia="仿宋_GB2312" w:cs="仿宋_GB2312"/>
          <w:sz w:val="32"/>
          <w:szCs w:val="32"/>
        </w:rPr>
        <w:t>专项预算项目绩效自评得分为80分，绩效自评综述跨年度实施项目，项目整体执行较好，任务完成情况良好，项目正常推进中未发现违规行为；</w:t>
      </w:r>
      <w:r>
        <w:rPr>
          <w:rFonts w:eastAsia="仿宋_GB2312" w:cs="仿宋_GB2312"/>
          <w:sz w:val="32"/>
          <w:szCs w:val="32"/>
        </w:rPr>
        <w:t>2023年第一批省级科技计划项目专项资金</w:t>
      </w:r>
      <w:r>
        <w:rPr>
          <w:rFonts w:hint="eastAsia" w:eastAsia="仿宋_GB2312" w:cs="仿宋_GB2312"/>
          <w:sz w:val="32"/>
          <w:szCs w:val="32"/>
        </w:rPr>
        <w:t>专项预算项目绩效自评得分为98分，绩效自评综述</w:t>
      </w:r>
      <w:r>
        <w:rPr>
          <w:rFonts w:eastAsia="仿宋_GB2312" w:cs="仿宋_GB2312"/>
          <w:sz w:val="32"/>
          <w:szCs w:val="32"/>
        </w:rPr>
        <w:t>项目资金使用规范，绩效目标全面完成，社会效益显著，达到了预期效果</w:t>
      </w:r>
      <w:r>
        <w:rPr>
          <w:rFonts w:hint="eastAsia" w:eastAsia="仿宋_GB2312" w:cs="仿宋_GB2312"/>
          <w:sz w:val="32"/>
          <w:szCs w:val="32"/>
        </w:rPr>
        <w:t>；</w:t>
      </w:r>
      <w:r>
        <w:rPr>
          <w:rFonts w:eastAsia="仿宋_GB2312" w:cs="仿宋_GB2312"/>
          <w:sz w:val="32"/>
          <w:szCs w:val="32"/>
        </w:rPr>
        <w:t>2023年第三批和第四批省级科技计划项目资金</w:t>
      </w:r>
      <w:r>
        <w:rPr>
          <w:rFonts w:hint="eastAsia" w:eastAsia="仿宋_GB2312" w:cs="仿宋_GB2312"/>
          <w:sz w:val="32"/>
          <w:szCs w:val="32"/>
        </w:rPr>
        <w:t>专项预算项目绩效自评得分为100分，绩效自评综述</w:t>
      </w:r>
      <w:r>
        <w:rPr>
          <w:rFonts w:eastAsia="仿宋_GB2312" w:cs="仿宋_GB2312"/>
          <w:sz w:val="32"/>
          <w:szCs w:val="32"/>
        </w:rPr>
        <w:t>项目总体评价为优秀，项目资金使用安全、规范、有效，项目完成情况良好，项目效益显著</w:t>
      </w:r>
      <w:r>
        <w:rPr>
          <w:rFonts w:hint="eastAsia" w:eastAsia="仿宋_GB2312" w:cs="仿宋_GB2312"/>
          <w:sz w:val="32"/>
          <w:szCs w:val="32"/>
        </w:rPr>
        <w:t>;</w:t>
      </w:r>
      <w:r>
        <w:rPr>
          <w:rFonts w:eastAsia="仿宋_GB2312" w:cs="仿宋_GB2312"/>
          <w:sz w:val="32"/>
          <w:szCs w:val="32"/>
        </w:rPr>
        <w:t xml:space="preserve"> 2020年度《科技创新政策六条》项目资金</w:t>
      </w:r>
      <w:r>
        <w:rPr>
          <w:rFonts w:hint="eastAsia" w:eastAsia="仿宋_GB2312" w:cs="仿宋_GB2312"/>
          <w:sz w:val="32"/>
          <w:szCs w:val="32"/>
        </w:rPr>
        <w:t>专项预算项目绩效自评得分为100分，绩效自评综述</w:t>
      </w:r>
      <w:r>
        <w:rPr>
          <w:rFonts w:eastAsia="仿宋_GB2312" w:cs="仿宋_GB2312"/>
          <w:sz w:val="32"/>
          <w:szCs w:val="32"/>
        </w:rPr>
        <w:t>项目总体评价为优秀，项目资金使用安全、规范、有效，项目完成情况良好，项目效益显著</w:t>
      </w:r>
      <w:r>
        <w:rPr>
          <w:rFonts w:hint="eastAsia" w:eastAsia="仿宋_GB2312" w:cs="仿宋_GB2312"/>
          <w:sz w:val="32"/>
          <w:szCs w:val="32"/>
        </w:rPr>
        <w:t>；</w:t>
      </w:r>
      <w:r>
        <w:rPr>
          <w:rFonts w:eastAsia="仿宋_GB2312" w:cs="仿宋_GB2312"/>
          <w:sz w:val="32"/>
          <w:szCs w:val="32"/>
        </w:rPr>
        <w:t>工业和信息化助推乡村振兴专项资金</w:t>
      </w:r>
      <w:r>
        <w:rPr>
          <w:rFonts w:hint="eastAsia" w:eastAsia="仿宋_GB2312" w:cs="仿宋_GB2312"/>
          <w:sz w:val="32"/>
          <w:szCs w:val="32"/>
        </w:rPr>
        <w:t>专项预算项目绩效自评得分为96分，绩效自评综述</w:t>
      </w:r>
      <w:r>
        <w:rPr>
          <w:rFonts w:eastAsia="仿宋_GB2312" w:cs="仿宋_GB2312"/>
          <w:sz w:val="32"/>
          <w:szCs w:val="32"/>
        </w:rPr>
        <w:t>项目总体评价为优秀，项目资金使用安全、规范、有效，项目完成情况良好，项目效益显著</w:t>
      </w:r>
      <w:r>
        <w:rPr>
          <w:rFonts w:hint="eastAsia" w:eastAsia="仿宋_GB2312" w:cs="仿宋_GB2312"/>
          <w:sz w:val="32"/>
          <w:szCs w:val="32"/>
        </w:rPr>
        <w:t>；</w:t>
      </w:r>
      <w:r>
        <w:rPr>
          <w:rFonts w:eastAsia="仿宋_GB2312" w:cs="仿宋_GB2312"/>
          <w:sz w:val="32"/>
          <w:szCs w:val="32"/>
        </w:rPr>
        <w:t>省级工业发展资金（制造业强省试点专项）</w:t>
      </w:r>
      <w:r>
        <w:rPr>
          <w:rFonts w:hint="eastAsia" w:eastAsia="仿宋_GB2312" w:cs="仿宋_GB2312"/>
          <w:sz w:val="32"/>
          <w:szCs w:val="32"/>
        </w:rPr>
        <w:t>专项预算项目绩效自评得分为99分，绩效自评综述</w:t>
      </w:r>
      <w:r>
        <w:rPr>
          <w:rFonts w:eastAsia="仿宋_GB2312" w:cs="仿宋_GB2312"/>
          <w:sz w:val="32"/>
          <w:szCs w:val="32"/>
        </w:rPr>
        <w:t>项目总体评价为优秀，项目资金使用安全、规范、有效，项目完成情况良好，项目效益显著</w:t>
      </w:r>
      <w:r>
        <w:rPr>
          <w:rFonts w:hint="eastAsia" w:eastAsia="仿宋_GB2312" w:cs="仿宋_GB2312"/>
          <w:sz w:val="32"/>
          <w:szCs w:val="32"/>
        </w:rPr>
        <w:t>；</w:t>
      </w:r>
      <w:r>
        <w:rPr>
          <w:rFonts w:eastAsia="仿宋_GB2312" w:cs="仿宋_GB2312"/>
          <w:sz w:val="32"/>
          <w:szCs w:val="32"/>
        </w:rPr>
        <w:t>2022年冲刺全年工业稳增长目标任务激励资金</w:t>
      </w:r>
      <w:r>
        <w:rPr>
          <w:rFonts w:hint="eastAsia" w:eastAsia="仿宋_GB2312" w:cs="仿宋_GB2312"/>
          <w:sz w:val="32"/>
          <w:szCs w:val="32"/>
        </w:rPr>
        <w:t>专项预算项目绩效自评得分为97分，绩效自评综述</w:t>
      </w:r>
      <w:r>
        <w:rPr>
          <w:rFonts w:eastAsia="仿宋_GB2312" w:cs="仿宋_GB2312"/>
          <w:sz w:val="32"/>
          <w:szCs w:val="32"/>
        </w:rPr>
        <w:t>项目总体评价为优秀，项目资金使用安全、规范、有效，项目完成情况良好，项目效益显著</w:t>
      </w:r>
      <w:r>
        <w:rPr>
          <w:rFonts w:hint="eastAsia" w:eastAsia="仿宋_GB2312" w:cs="仿宋_GB2312"/>
          <w:sz w:val="32"/>
          <w:szCs w:val="32"/>
        </w:rPr>
        <w:t>；</w:t>
      </w:r>
      <w:r>
        <w:rPr>
          <w:rFonts w:eastAsia="仿宋_GB2312" w:cs="仿宋_GB2312"/>
          <w:sz w:val="32"/>
          <w:szCs w:val="32"/>
        </w:rPr>
        <w:t>2024年中央科技馆免费开放补助资金</w:t>
      </w:r>
      <w:r>
        <w:rPr>
          <w:rFonts w:hint="eastAsia" w:eastAsia="仿宋_GB2312" w:cs="仿宋_GB2312"/>
          <w:sz w:val="32"/>
          <w:szCs w:val="32"/>
        </w:rPr>
        <w:t>专项预算项目绩效自评得分为85.5分，绩效自评综述跨年度实施项目，项目正常推进中，资金使用规范，基本完成绩效目标，有效提升公众科学素养；</w:t>
      </w:r>
      <w:r>
        <w:rPr>
          <w:rFonts w:eastAsia="仿宋_GB2312" w:cs="仿宋_GB2312"/>
          <w:sz w:val="32"/>
          <w:szCs w:val="32"/>
        </w:rPr>
        <w:t>2023年四川省科普专项资金</w:t>
      </w:r>
      <w:r>
        <w:rPr>
          <w:rFonts w:hint="eastAsia" w:eastAsia="仿宋_GB2312" w:cs="仿宋_GB2312"/>
          <w:sz w:val="32"/>
          <w:szCs w:val="32"/>
        </w:rPr>
        <w:t>专项预算项目绩效自评得分为1分，绩效自评综述结合该项目自身特点、评价重点及管理办法等要求，该项目总体较好；</w:t>
      </w:r>
      <w:r>
        <w:rPr>
          <w:rFonts w:eastAsia="仿宋_GB2312" w:cs="仿宋_GB2312"/>
          <w:sz w:val="32"/>
          <w:szCs w:val="32"/>
        </w:rPr>
        <w:t>省级科普专项资金（已盘活）</w:t>
      </w:r>
      <w:r>
        <w:rPr>
          <w:rFonts w:hint="eastAsia" w:eastAsia="仿宋_GB2312" w:cs="仿宋_GB2312"/>
          <w:sz w:val="32"/>
          <w:szCs w:val="32"/>
        </w:rPr>
        <w:t>专项预算项目绩效自评得分为95分，绩效自评综述结合该项目自身特点、评价重点及管理办法等要求，该项目总体较好；</w:t>
      </w:r>
      <w:r>
        <w:rPr>
          <w:rFonts w:eastAsia="仿宋_GB2312" w:cs="仿宋_GB2312"/>
          <w:sz w:val="32"/>
          <w:szCs w:val="32"/>
        </w:rPr>
        <w:t>2023年科技馆免费开放中央补助资金</w:t>
      </w:r>
      <w:r>
        <w:rPr>
          <w:rFonts w:hint="eastAsia" w:eastAsia="仿宋_GB2312" w:cs="仿宋_GB2312"/>
          <w:sz w:val="32"/>
          <w:szCs w:val="32"/>
        </w:rPr>
        <w:t>专项预算项目绩效自评得分为93分，绩效自评综述</w:t>
      </w:r>
      <w:r>
        <w:rPr>
          <w:rFonts w:hint="eastAsia" w:eastAsia="仿宋_GB2312"/>
          <w:sz w:val="32"/>
          <w:szCs w:val="32"/>
          <w:lang w:val="zh-CN"/>
        </w:rPr>
        <w:t>资金使用规范，超额完成部分绩效目标，有效提升公众科学素养</w:t>
      </w:r>
      <w:r>
        <w:rPr>
          <w:rFonts w:hint="eastAsia" w:eastAsia="仿宋_GB2312" w:cs="仿宋_GB2312"/>
          <w:sz w:val="32"/>
          <w:szCs w:val="32"/>
        </w:rPr>
        <w:t>；</w:t>
      </w:r>
      <w:r>
        <w:rPr>
          <w:rFonts w:eastAsia="仿宋_GB2312" w:cs="仿宋_GB2312"/>
          <w:sz w:val="32"/>
          <w:szCs w:val="32"/>
        </w:rPr>
        <w:t>2022年科技馆免费开放补助资金</w:t>
      </w:r>
      <w:r>
        <w:rPr>
          <w:rFonts w:hint="eastAsia" w:eastAsia="仿宋_GB2312" w:cs="仿宋_GB2312"/>
          <w:sz w:val="32"/>
          <w:szCs w:val="32"/>
        </w:rPr>
        <w:t>专项预算项目绩效自评得分为 95分，绩效自评综述</w:t>
      </w:r>
      <w:r>
        <w:rPr>
          <w:rFonts w:hint="eastAsia" w:eastAsia="仿宋_GB2312"/>
          <w:sz w:val="32"/>
          <w:szCs w:val="32"/>
          <w:lang w:val="zh-CN"/>
        </w:rPr>
        <w:t>资金使用规范高效，超额完成绩效目标，有效提升公众科学素养</w:t>
      </w:r>
      <w:r>
        <w:rPr>
          <w:rFonts w:hint="eastAsia" w:eastAsia="仿宋_GB2312" w:cs="仿宋_GB2312"/>
          <w:sz w:val="32"/>
          <w:szCs w:val="32"/>
        </w:rPr>
        <w:t>。</w:t>
      </w:r>
    </w:p>
    <w:p w14:paraId="7E2D73B6">
      <w:pPr>
        <w:spacing w:line="600" w:lineRule="exact"/>
        <w:ind w:firstLine="640"/>
        <w:rPr>
          <w:rFonts w:eastAsia="仿宋_GB2312" w:cs="仿宋_GB2312"/>
          <w:sz w:val="32"/>
          <w:szCs w:val="32"/>
        </w:rPr>
      </w:pPr>
    </w:p>
    <w:p w14:paraId="5BD8DF7B">
      <w:pPr>
        <w:spacing w:line="600" w:lineRule="exact"/>
        <w:ind w:firstLine="640"/>
        <w:rPr>
          <w:rFonts w:eastAsia="仿宋_GB2312" w:cs="仿宋_GB2312"/>
          <w:sz w:val="32"/>
          <w:szCs w:val="32"/>
        </w:rPr>
      </w:pPr>
    </w:p>
    <w:p w14:paraId="2FD88C17">
      <w:pPr>
        <w:spacing w:line="600" w:lineRule="exact"/>
        <w:jc w:val="center"/>
        <w:outlineLvl w:val="0"/>
        <w:rPr>
          <w:rFonts w:eastAsia="黑体"/>
          <w:sz w:val="44"/>
          <w:szCs w:val="44"/>
        </w:rPr>
      </w:pPr>
      <w:bookmarkStart w:id="45" w:name="_Toc15377225"/>
      <w:bookmarkStart w:id="46" w:name="_Toc15396613"/>
    </w:p>
    <w:p w14:paraId="5ADEF7F0">
      <w:pPr>
        <w:spacing w:line="600" w:lineRule="exact"/>
        <w:jc w:val="center"/>
        <w:outlineLvl w:val="0"/>
        <w:rPr>
          <w:rFonts w:eastAsia="黑体"/>
          <w:sz w:val="44"/>
          <w:szCs w:val="44"/>
        </w:rPr>
      </w:pPr>
    </w:p>
    <w:p w14:paraId="7397158D">
      <w:pPr>
        <w:spacing w:line="600" w:lineRule="exact"/>
        <w:jc w:val="center"/>
        <w:outlineLvl w:val="0"/>
        <w:rPr>
          <w:rFonts w:eastAsia="黑体"/>
          <w:sz w:val="44"/>
          <w:szCs w:val="44"/>
        </w:rPr>
      </w:pPr>
    </w:p>
    <w:p w14:paraId="32E997DB">
      <w:pPr>
        <w:spacing w:line="600" w:lineRule="exact"/>
        <w:jc w:val="center"/>
        <w:outlineLvl w:val="0"/>
        <w:rPr>
          <w:rFonts w:eastAsia="黑体"/>
          <w:sz w:val="44"/>
          <w:szCs w:val="44"/>
        </w:rPr>
      </w:pPr>
    </w:p>
    <w:p w14:paraId="15B96C3D">
      <w:pPr>
        <w:spacing w:line="600" w:lineRule="exact"/>
        <w:jc w:val="center"/>
        <w:outlineLvl w:val="0"/>
        <w:rPr>
          <w:rFonts w:eastAsia="黑体"/>
          <w:sz w:val="44"/>
          <w:szCs w:val="44"/>
        </w:rPr>
      </w:pPr>
    </w:p>
    <w:p w14:paraId="08105F0C">
      <w:pPr>
        <w:spacing w:line="600" w:lineRule="exact"/>
        <w:jc w:val="center"/>
        <w:outlineLvl w:val="0"/>
        <w:rPr>
          <w:rFonts w:eastAsia="黑体"/>
          <w:sz w:val="44"/>
          <w:szCs w:val="44"/>
        </w:rPr>
      </w:pPr>
    </w:p>
    <w:p w14:paraId="6A82028B">
      <w:pPr>
        <w:spacing w:line="600" w:lineRule="exact"/>
        <w:jc w:val="center"/>
        <w:outlineLvl w:val="0"/>
        <w:rPr>
          <w:rFonts w:eastAsia="黑体"/>
          <w:sz w:val="44"/>
          <w:szCs w:val="44"/>
        </w:rPr>
      </w:pPr>
    </w:p>
    <w:p w14:paraId="12696392">
      <w:pPr>
        <w:spacing w:line="600" w:lineRule="exact"/>
        <w:jc w:val="center"/>
        <w:outlineLvl w:val="0"/>
        <w:rPr>
          <w:rFonts w:eastAsia="黑体"/>
          <w:sz w:val="44"/>
          <w:szCs w:val="44"/>
        </w:rPr>
      </w:pPr>
    </w:p>
    <w:p w14:paraId="7718867B">
      <w:pPr>
        <w:spacing w:line="600" w:lineRule="exact"/>
        <w:jc w:val="center"/>
        <w:outlineLvl w:val="0"/>
        <w:rPr>
          <w:rFonts w:eastAsia="黑体"/>
          <w:sz w:val="44"/>
          <w:szCs w:val="44"/>
        </w:rPr>
      </w:pPr>
    </w:p>
    <w:p w14:paraId="736E692F">
      <w:pPr>
        <w:spacing w:line="600" w:lineRule="exact"/>
        <w:jc w:val="center"/>
        <w:outlineLvl w:val="0"/>
        <w:rPr>
          <w:rFonts w:eastAsia="黑体"/>
          <w:sz w:val="44"/>
          <w:szCs w:val="44"/>
        </w:rPr>
      </w:pPr>
    </w:p>
    <w:p w14:paraId="6BB5F8E2">
      <w:pPr>
        <w:spacing w:line="600" w:lineRule="exact"/>
        <w:jc w:val="center"/>
        <w:outlineLvl w:val="0"/>
        <w:rPr>
          <w:rFonts w:eastAsia="黑体"/>
          <w:sz w:val="44"/>
          <w:szCs w:val="44"/>
        </w:rPr>
      </w:pPr>
    </w:p>
    <w:p w14:paraId="7A82FF68">
      <w:pPr>
        <w:spacing w:line="600" w:lineRule="exact"/>
        <w:jc w:val="center"/>
        <w:outlineLvl w:val="0"/>
        <w:rPr>
          <w:rFonts w:eastAsia="黑体"/>
          <w:sz w:val="44"/>
          <w:szCs w:val="44"/>
        </w:rPr>
      </w:pPr>
    </w:p>
    <w:p w14:paraId="1DE88931">
      <w:pPr>
        <w:spacing w:line="600" w:lineRule="exact"/>
        <w:jc w:val="center"/>
        <w:outlineLvl w:val="0"/>
        <w:rPr>
          <w:rFonts w:eastAsia="黑体"/>
          <w:sz w:val="44"/>
          <w:szCs w:val="44"/>
        </w:rPr>
      </w:pPr>
    </w:p>
    <w:p w14:paraId="36A999A1">
      <w:pPr>
        <w:spacing w:line="600" w:lineRule="exact"/>
        <w:jc w:val="center"/>
        <w:outlineLvl w:val="0"/>
        <w:rPr>
          <w:rFonts w:eastAsia="黑体"/>
          <w:sz w:val="44"/>
          <w:szCs w:val="44"/>
        </w:rPr>
      </w:pPr>
    </w:p>
    <w:p w14:paraId="294FEAF4">
      <w:pPr>
        <w:spacing w:line="600" w:lineRule="exact"/>
        <w:jc w:val="center"/>
        <w:outlineLvl w:val="0"/>
        <w:rPr>
          <w:rFonts w:eastAsia="黑体"/>
          <w:sz w:val="44"/>
          <w:szCs w:val="44"/>
        </w:rPr>
      </w:pPr>
    </w:p>
    <w:p w14:paraId="2D623C6F">
      <w:pPr>
        <w:spacing w:line="600" w:lineRule="exact"/>
        <w:jc w:val="center"/>
        <w:outlineLvl w:val="0"/>
        <w:rPr>
          <w:rFonts w:eastAsia="黑体"/>
          <w:sz w:val="44"/>
          <w:szCs w:val="44"/>
        </w:rPr>
      </w:pPr>
    </w:p>
    <w:p w14:paraId="43DDEA29">
      <w:pPr>
        <w:spacing w:line="600" w:lineRule="exact"/>
        <w:jc w:val="center"/>
        <w:outlineLvl w:val="0"/>
        <w:rPr>
          <w:rFonts w:eastAsia="黑体"/>
          <w:sz w:val="44"/>
          <w:szCs w:val="44"/>
        </w:rPr>
      </w:pPr>
    </w:p>
    <w:p w14:paraId="32E49C05">
      <w:pPr>
        <w:spacing w:line="600" w:lineRule="exact"/>
        <w:jc w:val="center"/>
        <w:outlineLvl w:val="0"/>
        <w:rPr>
          <w:rFonts w:eastAsia="黑体"/>
          <w:sz w:val="44"/>
          <w:szCs w:val="44"/>
        </w:rPr>
      </w:pPr>
    </w:p>
    <w:p w14:paraId="0D31DDAA">
      <w:pPr>
        <w:pStyle w:val="2"/>
      </w:pPr>
    </w:p>
    <w:p w14:paraId="36042BB9">
      <w:pPr>
        <w:spacing w:line="600" w:lineRule="exact"/>
        <w:jc w:val="center"/>
        <w:outlineLvl w:val="0"/>
        <w:rPr>
          <w:rFonts w:eastAsia="黑体"/>
          <w:sz w:val="44"/>
          <w:szCs w:val="44"/>
        </w:rPr>
      </w:pPr>
    </w:p>
    <w:p w14:paraId="0C4F9011">
      <w:pPr>
        <w:spacing w:line="600" w:lineRule="exact"/>
        <w:jc w:val="center"/>
        <w:outlineLvl w:val="0"/>
        <w:rPr>
          <w:rFonts w:eastAsia="黑体"/>
          <w:sz w:val="44"/>
          <w:szCs w:val="44"/>
        </w:rPr>
      </w:pPr>
      <w:r>
        <w:rPr>
          <w:rFonts w:hint="eastAsia" w:eastAsia="黑体"/>
          <w:sz w:val="44"/>
          <w:szCs w:val="44"/>
        </w:rPr>
        <w:t>第三部分  名词解释</w:t>
      </w:r>
      <w:bookmarkEnd w:id="45"/>
      <w:bookmarkEnd w:id="46"/>
    </w:p>
    <w:p w14:paraId="38F651D4">
      <w:pPr>
        <w:spacing w:line="600" w:lineRule="exact"/>
        <w:jc w:val="left"/>
        <w:rPr>
          <w:b/>
          <w:sz w:val="44"/>
          <w:szCs w:val="44"/>
        </w:rPr>
      </w:pPr>
    </w:p>
    <w:p w14:paraId="5573CB3E">
      <w:pPr>
        <w:spacing w:line="600" w:lineRule="exact"/>
        <w:ind w:firstLine="640"/>
        <w:rPr>
          <w:rFonts w:eastAsia="仿宋_GB2312" w:cs="仿宋_GB2312"/>
          <w:sz w:val="32"/>
          <w:szCs w:val="32"/>
        </w:rPr>
      </w:pPr>
      <w:bookmarkStart w:id="47" w:name="_Toc15377226"/>
      <w:r>
        <w:rPr>
          <w:rFonts w:hint="eastAsia" w:eastAsia="仿宋_GB2312" w:cs="仿宋_GB2312"/>
          <w:sz w:val="32"/>
          <w:szCs w:val="32"/>
        </w:rPr>
        <w:t>1.财政拨款收入：指单位从同级财政部门取得的财政预算资金。</w:t>
      </w:r>
    </w:p>
    <w:p w14:paraId="103A3C9C">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3189B9B4">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7C48AD9B">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4.其他收入：指单位取得的除上述收入以外的各项收入。主要是非同级财政拨款收入。 </w:t>
      </w:r>
    </w:p>
    <w:p w14:paraId="116D3076">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639778ED">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413B2318">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07C7D451">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2531CBBE">
      <w:pPr>
        <w:spacing w:line="600" w:lineRule="exact"/>
        <w:ind w:firstLine="640"/>
        <w:rPr>
          <w:rFonts w:eastAsia="仿宋_GB2312" w:cs="仿宋_GB2312"/>
          <w:sz w:val="32"/>
          <w:szCs w:val="32"/>
        </w:rPr>
      </w:pPr>
      <w:r>
        <w:rPr>
          <w:rFonts w:hint="eastAsia" w:eastAsia="仿宋_GB2312" w:cs="仿宋_GB2312"/>
          <w:sz w:val="32"/>
          <w:szCs w:val="32"/>
        </w:rPr>
        <w:t>9. 一般公共服务支出（类）宣传事务（款）一般行政管理事务（项）: 反映行政单位（包括实行公务员管理的事业单位），未单独设置项级科目的其他项目支出。</w:t>
      </w:r>
    </w:p>
    <w:p w14:paraId="7DB2476F">
      <w:pPr>
        <w:spacing w:line="600" w:lineRule="exact"/>
        <w:ind w:firstLine="640"/>
        <w:rPr>
          <w:rFonts w:eastAsia="仿宋_GB2312" w:cs="仿宋_GB2312"/>
          <w:sz w:val="32"/>
          <w:szCs w:val="32"/>
        </w:rPr>
      </w:pPr>
      <w:r>
        <w:rPr>
          <w:rFonts w:hint="eastAsia" w:eastAsia="仿宋_GB2312" w:cs="仿宋_GB2312"/>
          <w:sz w:val="32"/>
          <w:szCs w:val="32"/>
        </w:rPr>
        <w:t>10.科学技术支出（类）科学技术管理事务（款）行政运行（项）:反映科学技术管理方面，行政单位（包括实行公务员管理的事业单位）的基本支出。</w:t>
      </w:r>
    </w:p>
    <w:p w14:paraId="278AEC1E">
      <w:pPr>
        <w:spacing w:line="600" w:lineRule="exact"/>
        <w:ind w:firstLine="640"/>
        <w:rPr>
          <w:rFonts w:eastAsia="仿宋_GB2312" w:cs="仿宋_GB2312"/>
          <w:sz w:val="32"/>
          <w:szCs w:val="32"/>
        </w:rPr>
      </w:pPr>
      <w:r>
        <w:rPr>
          <w:rFonts w:hint="eastAsia" w:eastAsia="仿宋_GB2312" w:cs="仿宋_GB2312"/>
          <w:sz w:val="32"/>
          <w:szCs w:val="32"/>
        </w:rPr>
        <w:t>11.科学技术支出（类）科学技术管理事务（款）一般行政管理事务（项）：反映行政单位（包括实行公务员管理的事业单位），未单独设置项级科目的其他项目支出。</w:t>
      </w:r>
    </w:p>
    <w:p w14:paraId="48A66BCC">
      <w:pPr>
        <w:spacing w:line="600" w:lineRule="exact"/>
        <w:ind w:firstLine="640"/>
        <w:rPr>
          <w:rFonts w:eastAsia="仿宋_GB2312" w:cs="仿宋_GB2312"/>
          <w:sz w:val="32"/>
          <w:szCs w:val="32"/>
        </w:rPr>
      </w:pPr>
      <w:r>
        <w:rPr>
          <w:rFonts w:hint="eastAsia" w:eastAsia="仿宋_GB2312" w:cs="仿宋_GB2312"/>
          <w:sz w:val="32"/>
          <w:szCs w:val="32"/>
        </w:rPr>
        <w:t>12.科学技术支出（类）科学技术管理事务（款）其他科学技术管理事务支出（项）: 反映其他用于科学技术管理事务方面的支出。</w:t>
      </w:r>
    </w:p>
    <w:p w14:paraId="1D032BBE">
      <w:pPr>
        <w:spacing w:line="600" w:lineRule="exact"/>
        <w:ind w:firstLine="640"/>
        <w:rPr>
          <w:rFonts w:eastAsia="仿宋_GB2312" w:cs="仿宋_GB2312"/>
          <w:sz w:val="32"/>
          <w:szCs w:val="32"/>
        </w:rPr>
      </w:pPr>
      <w:r>
        <w:rPr>
          <w:rFonts w:hint="eastAsia" w:eastAsia="仿宋_GB2312" w:cs="仿宋_GB2312"/>
          <w:sz w:val="32"/>
          <w:szCs w:val="32"/>
        </w:rPr>
        <w:t>13.科学技术支出（类）技术研究与开发（款）科技成果转化与扩散（项）: 反映促进科技成果转化为现实生产力的应用、推广和引导性支出，以及基本建设支出中用于支持企业科技自主创新的支出。</w:t>
      </w:r>
    </w:p>
    <w:p w14:paraId="7A545394">
      <w:pPr>
        <w:spacing w:line="600" w:lineRule="exact"/>
        <w:ind w:firstLine="640"/>
        <w:rPr>
          <w:rFonts w:eastAsia="仿宋_GB2312" w:cs="仿宋_GB2312"/>
          <w:sz w:val="32"/>
          <w:szCs w:val="32"/>
        </w:rPr>
      </w:pPr>
      <w:r>
        <w:rPr>
          <w:rFonts w:hint="eastAsia" w:eastAsia="仿宋_GB2312" w:cs="仿宋_GB2312"/>
          <w:sz w:val="32"/>
          <w:szCs w:val="32"/>
        </w:rPr>
        <w:t>14.科学技术支出（类）科学技术普及（款）机构运行（项）:反映科普事业单位的基本支出。</w:t>
      </w:r>
    </w:p>
    <w:p w14:paraId="764DEA02">
      <w:pPr>
        <w:spacing w:line="600" w:lineRule="exact"/>
        <w:ind w:firstLine="640"/>
        <w:rPr>
          <w:rFonts w:eastAsia="仿宋_GB2312" w:cs="仿宋_GB2312"/>
          <w:sz w:val="32"/>
          <w:szCs w:val="32"/>
        </w:rPr>
      </w:pPr>
      <w:r>
        <w:rPr>
          <w:rFonts w:hint="eastAsia" w:eastAsia="仿宋_GB2312" w:cs="仿宋_GB2312"/>
          <w:sz w:val="32"/>
          <w:szCs w:val="32"/>
        </w:rPr>
        <w:t>15. 科学技术支出（类）科学技术普及（款）科技馆站（项）: 反映各级政府科技馆、站的支出。</w:t>
      </w:r>
    </w:p>
    <w:p w14:paraId="1C7FB2D1">
      <w:pPr>
        <w:spacing w:line="600" w:lineRule="exact"/>
        <w:ind w:firstLine="640"/>
        <w:rPr>
          <w:rFonts w:eastAsia="仿宋_GB2312" w:cs="仿宋_GB2312"/>
          <w:sz w:val="32"/>
          <w:szCs w:val="32"/>
        </w:rPr>
      </w:pPr>
      <w:r>
        <w:rPr>
          <w:rFonts w:hint="eastAsia" w:eastAsia="仿宋_GB2312" w:cs="仿宋_GB2312"/>
          <w:sz w:val="32"/>
          <w:szCs w:val="32"/>
        </w:rPr>
        <w:t>16. 科学技术支出（类）科学技术普及（款）其他科学技术普及支出（项）: 反映其他用于科学技术普及方面的支出。</w:t>
      </w:r>
    </w:p>
    <w:p w14:paraId="1D1FCF8D">
      <w:pPr>
        <w:spacing w:line="600" w:lineRule="exact"/>
        <w:ind w:firstLine="640"/>
        <w:rPr>
          <w:rFonts w:eastAsia="仿宋_GB2312" w:cs="仿宋_GB2312"/>
          <w:sz w:val="32"/>
          <w:szCs w:val="32"/>
        </w:rPr>
      </w:pPr>
      <w:r>
        <w:rPr>
          <w:rFonts w:hint="eastAsia" w:eastAsia="仿宋_GB2312" w:cs="仿宋_GB2312"/>
          <w:sz w:val="32"/>
          <w:szCs w:val="32"/>
        </w:rPr>
        <w:t>17.科学技术支出（类）其他科学技术支出（款）其他科学技术支出（项）:反映用其他科学技术支出中除科技奖励、核应急、转制科研机构以外用于科技方面的支出。</w:t>
      </w:r>
    </w:p>
    <w:p w14:paraId="2C2C36A6">
      <w:pPr>
        <w:spacing w:line="600" w:lineRule="exact"/>
        <w:ind w:firstLine="640"/>
        <w:rPr>
          <w:rFonts w:eastAsia="仿宋_GB2312" w:cs="仿宋_GB2312"/>
          <w:sz w:val="32"/>
          <w:szCs w:val="32"/>
        </w:rPr>
      </w:pPr>
      <w:r>
        <w:rPr>
          <w:rFonts w:hint="eastAsia" w:eastAsia="仿宋_GB2312" w:cs="仿宋_GB2312"/>
          <w:sz w:val="32"/>
          <w:szCs w:val="32"/>
        </w:rPr>
        <w:t>18.社会保障和就业支出（类）行政事业单位离退休（款）行政单位离退休（项）:反映行政单位（包括实行公务员管理的事业单位）开支的离退休支出。</w:t>
      </w:r>
    </w:p>
    <w:p w14:paraId="04E36B69">
      <w:pPr>
        <w:spacing w:line="600" w:lineRule="exact"/>
        <w:ind w:firstLine="640"/>
        <w:rPr>
          <w:rFonts w:eastAsia="仿宋_GB2312" w:cs="仿宋_GB2312"/>
          <w:sz w:val="32"/>
          <w:szCs w:val="32"/>
        </w:rPr>
      </w:pPr>
      <w:r>
        <w:rPr>
          <w:rFonts w:hint="eastAsia" w:eastAsia="仿宋_GB2312" w:cs="仿宋_GB2312"/>
          <w:sz w:val="32"/>
          <w:szCs w:val="32"/>
        </w:rPr>
        <w:t>19.社会保障和就业支出（类）行政事业单位离退休（款）事业离退休（项）:反映事业单位开支的离退休支出。</w:t>
      </w:r>
    </w:p>
    <w:p w14:paraId="0B8372E6">
      <w:pPr>
        <w:spacing w:line="600" w:lineRule="exact"/>
        <w:ind w:firstLine="640"/>
        <w:rPr>
          <w:rFonts w:eastAsia="仿宋_GB2312" w:cs="仿宋_GB2312"/>
          <w:sz w:val="32"/>
          <w:szCs w:val="32"/>
        </w:rPr>
      </w:pPr>
      <w:r>
        <w:rPr>
          <w:rFonts w:hint="eastAsia" w:eastAsia="仿宋_GB2312" w:cs="仿宋_GB2312"/>
          <w:sz w:val="32"/>
          <w:szCs w:val="32"/>
        </w:rPr>
        <w:t>20.社会保障和就业支出（类）行政事业单位离退休（款）机关事业单位基本养老保险缴费支出（项）:反映行政事业单位基本养老保险缴费的支出。</w:t>
      </w:r>
    </w:p>
    <w:p w14:paraId="1C913547">
      <w:pPr>
        <w:spacing w:line="600" w:lineRule="exact"/>
        <w:ind w:firstLine="640"/>
        <w:rPr>
          <w:rFonts w:eastAsia="仿宋_GB2312" w:cs="仿宋_GB2312"/>
          <w:sz w:val="32"/>
          <w:szCs w:val="32"/>
        </w:rPr>
      </w:pPr>
      <w:r>
        <w:rPr>
          <w:rFonts w:hint="eastAsia" w:eastAsia="仿宋_GB2312" w:cs="仿宋_GB2312"/>
          <w:sz w:val="32"/>
          <w:szCs w:val="32"/>
        </w:rPr>
        <w:t>21.社会保障和就业支出（类）行政事业单位离退休（款）机关事业单位职业年金缴费支出（项）:反映行政事业单位职业年金缴费的支出。</w:t>
      </w:r>
    </w:p>
    <w:p w14:paraId="1158D73E">
      <w:pPr>
        <w:spacing w:line="600" w:lineRule="exact"/>
        <w:ind w:firstLine="640"/>
        <w:rPr>
          <w:rFonts w:eastAsia="仿宋_GB2312" w:cs="仿宋_GB2312"/>
          <w:sz w:val="32"/>
          <w:szCs w:val="32"/>
        </w:rPr>
      </w:pPr>
      <w:r>
        <w:rPr>
          <w:rFonts w:hint="eastAsia" w:eastAsia="仿宋_GB2312" w:cs="仿宋_GB2312"/>
          <w:sz w:val="32"/>
          <w:szCs w:val="32"/>
        </w:rPr>
        <w:t>22.社会保障和就业支出（类）抚恤（款）伤残抚恤（项）:反映按规定用于伤残人员的抚恤金和按规定开支的各种伤残补助。</w:t>
      </w:r>
    </w:p>
    <w:p w14:paraId="5A8245C9">
      <w:pPr>
        <w:spacing w:line="600" w:lineRule="exact"/>
        <w:ind w:firstLine="640"/>
        <w:rPr>
          <w:rFonts w:eastAsia="仿宋_GB2312" w:cs="仿宋_GB2312"/>
          <w:sz w:val="32"/>
          <w:szCs w:val="32"/>
        </w:rPr>
      </w:pPr>
      <w:r>
        <w:rPr>
          <w:rFonts w:hint="eastAsia" w:eastAsia="仿宋_GB2312" w:cs="仿宋_GB2312"/>
          <w:sz w:val="32"/>
          <w:szCs w:val="32"/>
        </w:rPr>
        <w:t>23.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的医疗经费。</w:t>
      </w:r>
    </w:p>
    <w:p w14:paraId="1ED2B18D">
      <w:pPr>
        <w:spacing w:line="600" w:lineRule="exact"/>
        <w:ind w:firstLine="640"/>
        <w:rPr>
          <w:rFonts w:eastAsia="仿宋_GB2312" w:cs="仿宋_GB2312"/>
          <w:sz w:val="32"/>
          <w:szCs w:val="32"/>
        </w:rPr>
      </w:pPr>
      <w:r>
        <w:rPr>
          <w:rFonts w:hint="eastAsia" w:eastAsia="仿宋_GB2312" w:cs="仿宋_GB2312"/>
          <w:sz w:val="32"/>
          <w:szCs w:val="32"/>
        </w:rPr>
        <w:t>24.卫生健康支出（类）行政事业单位医疗（款）事业单位医疗（项）:反映财政部门安排的事业单位基本医疗保险缴费经费，未参加医疗保险的事业单位的公费医疗经费，按国家规定享受离休人员待遇的医疗经费。</w:t>
      </w:r>
    </w:p>
    <w:p w14:paraId="003B9D31">
      <w:pPr>
        <w:spacing w:line="600" w:lineRule="exact"/>
        <w:ind w:firstLine="640"/>
        <w:rPr>
          <w:rFonts w:eastAsia="仿宋_GB2312" w:cs="仿宋_GB2312"/>
          <w:sz w:val="32"/>
          <w:szCs w:val="32"/>
        </w:rPr>
      </w:pPr>
      <w:r>
        <w:rPr>
          <w:rFonts w:hint="eastAsia" w:eastAsia="仿宋_GB2312" w:cs="仿宋_GB2312"/>
          <w:sz w:val="32"/>
          <w:szCs w:val="32"/>
        </w:rPr>
        <w:t>25.卫生健康支出（类）行政事业单位医疗（款）公务员医疗补助（项）:反映财政部门安排公务员补助经费。</w:t>
      </w:r>
    </w:p>
    <w:p w14:paraId="2A4ABD97">
      <w:pPr>
        <w:spacing w:line="600" w:lineRule="exact"/>
        <w:ind w:firstLine="640"/>
        <w:rPr>
          <w:rFonts w:eastAsia="仿宋_GB2312" w:cs="仿宋_GB2312"/>
          <w:sz w:val="32"/>
          <w:szCs w:val="32"/>
        </w:rPr>
      </w:pPr>
      <w:r>
        <w:rPr>
          <w:rFonts w:hint="eastAsia" w:eastAsia="仿宋_GB2312" w:cs="仿宋_GB2312"/>
          <w:sz w:val="32"/>
          <w:szCs w:val="32"/>
        </w:rPr>
        <w:t>26.卫生健康支出（类）行政事业单位医疗（款）其他行政事业单位医疗支出（项）:反映其他用于卫生健康管理事务方面的支出。</w:t>
      </w:r>
    </w:p>
    <w:p w14:paraId="67A1D953">
      <w:pPr>
        <w:spacing w:line="600" w:lineRule="exact"/>
        <w:ind w:firstLine="640"/>
        <w:rPr>
          <w:rFonts w:eastAsia="仿宋_GB2312" w:cs="仿宋_GB2312"/>
          <w:sz w:val="32"/>
          <w:szCs w:val="32"/>
        </w:rPr>
      </w:pPr>
      <w:r>
        <w:rPr>
          <w:rFonts w:hint="eastAsia" w:eastAsia="仿宋_GB2312" w:cs="仿宋_GB2312"/>
          <w:sz w:val="32"/>
          <w:szCs w:val="32"/>
        </w:rPr>
        <w:t>27. 城乡社区支出（类）城乡社区公共设施（款）其他城乡社区公共设施支出（项）:反映除小镇基础设施建设以外其他用于城乡社区公共设施方面的支出。</w:t>
      </w:r>
    </w:p>
    <w:p w14:paraId="4581D9AD">
      <w:pPr>
        <w:spacing w:line="600" w:lineRule="exact"/>
        <w:ind w:firstLine="640"/>
        <w:rPr>
          <w:rFonts w:eastAsia="仿宋_GB2312" w:cs="仿宋_GB2312"/>
          <w:sz w:val="32"/>
          <w:szCs w:val="32"/>
        </w:rPr>
      </w:pPr>
      <w:r>
        <w:rPr>
          <w:rFonts w:hint="eastAsia" w:eastAsia="仿宋_GB2312" w:cs="仿宋_GB2312"/>
          <w:sz w:val="32"/>
          <w:szCs w:val="32"/>
        </w:rPr>
        <w:t>28.资源勘探工业信息等支出（类）制造业（款）其他制造业支出（项）:反映其他用于制造业方面的支出。</w:t>
      </w:r>
    </w:p>
    <w:p w14:paraId="7C4AE15B">
      <w:pPr>
        <w:spacing w:line="600" w:lineRule="exact"/>
        <w:ind w:firstLine="640"/>
        <w:rPr>
          <w:rFonts w:eastAsia="仿宋_GB2312" w:cs="仿宋_GB2312"/>
          <w:sz w:val="32"/>
          <w:szCs w:val="32"/>
        </w:rPr>
      </w:pPr>
      <w:r>
        <w:rPr>
          <w:rFonts w:hint="eastAsia" w:eastAsia="仿宋_GB2312" w:cs="仿宋_GB2312"/>
          <w:sz w:val="32"/>
          <w:szCs w:val="32"/>
        </w:rPr>
        <w:t>29.住房保障支出（类）住房改革支出（款）住房公积金（项）:反映行政事业单位按人力资源和社会保障部、财政部规定的基本工资和津贴补贴以及规定比例为职工缴纳的住房公积金。</w:t>
      </w:r>
    </w:p>
    <w:p w14:paraId="32A802E3">
      <w:pPr>
        <w:spacing w:line="600" w:lineRule="exact"/>
        <w:ind w:firstLine="640"/>
        <w:rPr>
          <w:rFonts w:eastAsia="仿宋_GB2312" w:cs="仿宋_GB2312"/>
          <w:sz w:val="32"/>
          <w:szCs w:val="32"/>
        </w:rPr>
      </w:pPr>
      <w:r>
        <w:rPr>
          <w:rFonts w:hint="eastAsia" w:eastAsia="仿宋_GB2312" w:cs="仿宋_GB2312"/>
          <w:sz w:val="32"/>
          <w:szCs w:val="32"/>
        </w:rPr>
        <w:t>30.基本支出：指为保障机构正常运转、完成日常工作任务而发生的人员支出和公用支出。</w:t>
      </w:r>
    </w:p>
    <w:p w14:paraId="525D572D">
      <w:pPr>
        <w:spacing w:line="600" w:lineRule="exact"/>
        <w:ind w:firstLine="640"/>
        <w:rPr>
          <w:rFonts w:eastAsia="仿宋_GB2312" w:cs="仿宋_GB2312"/>
          <w:sz w:val="32"/>
          <w:szCs w:val="32"/>
        </w:rPr>
      </w:pPr>
      <w:r>
        <w:rPr>
          <w:rFonts w:hint="eastAsia" w:eastAsia="仿宋_GB2312" w:cs="仿宋_GB2312"/>
          <w:sz w:val="32"/>
          <w:szCs w:val="32"/>
        </w:rPr>
        <w:t xml:space="preserve">31.项目支出：指在基本支出之外为完成特定行政任务和事业发展目标所发生的支出。 </w:t>
      </w:r>
    </w:p>
    <w:p w14:paraId="722AE2D8">
      <w:pPr>
        <w:spacing w:line="600" w:lineRule="exact"/>
        <w:ind w:firstLine="640"/>
        <w:rPr>
          <w:rFonts w:eastAsia="仿宋_GB2312" w:cs="仿宋_GB2312"/>
          <w:sz w:val="32"/>
          <w:szCs w:val="32"/>
        </w:rPr>
      </w:pPr>
      <w:r>
        <w:rPr>
          <w:rFonts w:hint="eastAsia" w:eastAsia="仿宋_GB2312" w:cs="仿宋_GB2312"/>
          <w:sz w:val="32"/>
          <w:szCs w:val="32"/>
        </w:rPr>
        <w:t>32.经营支出：指事业单位在专业业务活动及其辅助活动之外开展非独立核算经营活动发生的支出。</w:t>
      </w:r>
    </w:p>
    <w:p w14:paraId="117F03DD">
      <w:pPr>
        <w:spacing w:line="600" w:lineRule="exact"/>
        <w:ind w:firstLine="640"/>
        <w:rPr>
          <w:rFonts w:eastAsia="仿宋_GB2312" w:cs="仿宋_GB2312"/>
          <w:sz w:val="32"/>
          <w:szCs w:val="32"/>
        </w:rPr>
      </w:pPr>
      <w:r>
        <w:rPr>
          <w:rFonts w:hint="eastAsia" w:eastAsia="仿宋_GB2312" w:cs="仿宋_GB2312"/>
          <w:sz w:val="32"/>
          <w:szCs w:val="32"/>
        </w:rPr>
        <w:t>33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0B3F16">
      <w:pPr>
        <w:spacing w:line="600" w:lineRule="exact"/>
        <w:ind w:firstLine="640"/>
        <w:rPr>
          <w:rFonts w:eastAsia="仿宋_GB2312" w:cs="仿宋_GB2312"/>
          <w:sz w:val="32"/>
          <w:szCs w:val="32"/>
        </w:rPr>
      </w:pPr>
      <w:r>
        <w:rPr>
          <w:rFonts w:hint="eastAsia" w:eastAsia="仿宋_GB2312" w:cs="仿宋_GB2312"/>
          <w:sz w:val="32"/>
          <w:szCs w:val="32"/>
        </w:rPr>
        <w:t>34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19D0ACF">
      <w:pPr>
        <w:spacing w:line="600" w:lineRule="exact"/>
        <w:jc w:val="center"/>
        <w:rPr>
          <w:rStyle w:val="19"/>
          <w:rFonts w:eastAsia="黑体"/>
          <w:b w:val="0"/>
        </w:rPr>
      </w:pPr>
      <w:r>
        <w:rPr>
          <w:rFonts w:hint="eastAsia" w:eastAsia="仿宋_GB2312" w:cs="仿宋_GB2312"/>
          <w:sz w:val="32"/>
          <w:szCs w:val="32"/>
        </w:rPr>
        <w:br w:type="page"/>
      </w:r>
      <w:bookmarkStart w:id="48" w:name="_Toc15396614"/>
      <w:r>
        <w:rPr>
          <w:rFonts w:hint="eastAsia" w:eastAsia="黑体"/>
          <w:sz w:val="44"/>
          <w:szCs w:val="44"/>
        </w:rPr>
        <w:t>第四部分  附件</w:t>
      </w:r>
      <w:bookmarkEnd w:id="48"/>
    </w:p>
    <w:p w14:paraId="324C468D">
      <w:pPr>
        <w:spacing w:line="572" w:lineRule="exact"/>
        <w:jc w:val="left"/>
        <w:outlineLvl w:val="0"/>
        <w:rPr>
          <w:rFonts w:eastAsia="黑体" w:cs="黑体"/>
          <w:sz w:val="32"/>
          <w:szCs w:val="32"/>
        </w:rPr>
      </w:pPr>
    </w:p>
    <w:p w14:paraId="5BFBB093">
      <w:pPr>
        <w:widowControl/>
        <w:spacing w:line="578" w:lineRule="exact"/>
        <w:contextualSpacing/>
        <w:jc w:val="center"/>
      </w:pPr>
      <w:r>
        <w:rPr>
          <w:rFonts w:hint="eastAsia" w:eastAsia="黑体" w:cs="黑体"/>
          <w:sz w:val="32"/>
          <w:szCs w:val="32"/>
        </w:rPr>
        <w:t>部门预算项目支出绩效评价表（2024年度）</w:t>
      </w:r>
    </w:p>
    <w:p w14:paraId="7A1EDB38">
      <w:pPr>
        <w:pStyle w:val="34"/>
        <w:spacing w:line="578" w:lineRule="exact"/>
        <w:jc w:val="center"/>
        <w:rPr>
          <w:rFonts w:ascii="Times New Roman" w:hAnsi="Times New Roman" w:eastAsia="方正小标宋简体" w:cs="方正小标宋简体"/>
          <w:color w:val="auto"/>
          <w:kern w:val="2"/>
          <w:sz w:val="44"/>
          <w:szCs w:val="44"/>
          <w:lang w:val="en-US"/>
        </w:rPr>
      </w:pPr>
      <w:bookmarkStart w:id="49" w:name="_Toc15396618"/>
    </w:p>
    <w:p w14:paraId="2F3FEA4E">
      <w:pPr>
        <w:pStyle w:val="34"/>
        <w:spacing w:line="578" w:lineRule="exact"/>
        <w:jc w:val="center"/>
        <w:rPr>
          <w:rFonts w:ascii="Times New Roman" w:hAnsi="Times New Roman" w:eastAsia="方正小标宋简体" w:cs="方正小标宋简体"/>
          <w:color w:val="auto"/>
          <w:kern w:val="2"/>
          <w:sz w:val="44"/>
          <w:szCs w:val="44"/>
          <w:lang w:val="en-US"/>
        </w:rPr>
      </w:pPr>
    </w:p>
    <w:p w14:paraId="332C2EF7">
      <w:pPr>
        <w:pStyle w:val="34"/>
        <w:spacing w:line="578" w:lineRule="exact"/>
        <w:jc w:val="center"/>
        <w:rPr>
          <w:rFonts w:ascii="Times New Roman" w:hAnsi="Times New Roman" w:eastAsia="方正小标宋简体" w:cs="方正小标宋简体"/>
          <w:color w:val="auto"/>
          <w:kern w:val="2"/>
          <w:sz w:val="44"/>
          <w:szCs w:val="44"/>
          <w:lang w:val="en-US"/>
        </w:rPr>
      </w:pPr>
    </w:p>
    <w:p w14:paraId="4A3A9944">
      <w:pPr>
        <w:pStyle w:val="34"/>
        <w:spacing w:line="578" w:lineRule="exact"/>
        <w:jc w:val="center"/>
        <w:rPr>
          <w:rFonts w:ascii="Times New Roman" w:hAnsi="Times New Roman" w:eastAsia="方正小标宋简体" w:cs="方正小标宋简体"/>
          <w:color w:val="auto"/>
          <w:kern w:val="2"/>
          <w:sz w:val="44"/>
          <w:szCs w:val="44"/>
          <w:lang w:val="en-US"/>
        </w:rPr>
      </w:pPr>
    </w:p>
    <w:p w14:paraId="4CE89885">
      <w:pPr>
        <w:pStyle w:val="34"/>
        <w:spacing w:line="578" w:lineRule="exact"/>
        <w:jc w:val="center"/>
        <w:rPr>
          <w:rFonts w:ascii="Times New Roman" w:hAnsi="Times New Roman" w:eastAsia="方正小标宋简体" w:cs="方正小标宋简体"/>
          <w:color w:val="auto"/>
          <w:kern w:val="2"/>
          <w:sz w:val="44"/>
          <w:szCs w:val="44"/>
          <w:lang w:val="en-US"/>
        </w:rPr>
      </w:pPr>
    </w:p>
    <w:p w14:paraId="4C6098FE">
      <w:pPr>
        <w:pStyle w:val="34"/>
        <w:spacing w:line="578" w:lineRule="exact"/>
        <w:jc w:val="center"/>
        <w:rPr>
          <w:rFonts w:ascii="Times New Roman" w:hAnsi="Times New Roman" w:eastAsia="方正小标宋简体" w:cs="方正小标宋简体"/>
          <w:color w:val="auto"/>
          <w:kern w:val="2"/>
          <w:sz w:val="44"/>
          <w:szCs w:val="44"/>
          <w:lang w:val="en-US"/>
        </w:rPr>
      </w:pPr>
    </w:p>
    <w:p w14:paraId="6D0FB489">
      <w:pPr>
        <w:pStyle w:val="34"/>
        <w:spacing w:line="578" w:lineRule="exact"/>
        <w:jc w:val="center"/>
        <w:rPr>
          <w:rFonts w:ascii="Times New Roman" w:hAnsi="Times New Roman" w:eastAsia="方正小标宋简体" w:cs="方正小标宋简体"/>
          <w:color w:val="auto"/>
          <w:kern w:val="2"/>
          <w:sz w:val="44"/>
          <w:szCs w:val="44"/>
          <w:lang w:val="en-US"/>
        </w:rPr>
      </w:pPr>
    </w:p>
    <w:p w14:paraId="799274AC">
      <w:pPr>
        <w:pStyle w:val="34"/>
        <w:spacing w:line="578" w:lineRule="exact"/>
        <w:jc w:val="center"/>
        <w:rPr>
          <w:rFonts w:ascii="Times New Roman" w:hAnsi="Times New Roman" w:eastAsia="方正小标宋简体" w:cs="方正小标宋简体"/>
          <w:color w:val="auto"/>
          <w:kern w:val="2"/>
          <w:sz w:val="44"/>
          <w:szCs w:val="44"/>
          <w:lang w:val="en-US"/>
        </w:rPr>
      </w:pPr>
    </w:p>
    <w:p w14:paraId="5C8D7B40">
      <w:pPr>
        <w:pStyle w:val="34"/>
        <w:spacing w:line="578" w:lineRule="exact"/>
        <w:jc w:val="center"/>
        <w:rPr>
          <w:rFonts w:ascii="Times New Roman" w:hAnsi="Times New Roman" w:eastAsia="方正小标宋简体" w:cs="方正小标宋简体"/>
          <w:color w:val="auto"/>
          <w:kern w:val="2"/>
          <w:sz w:val="44"/>
          <w:szCs w:val="44"/>
          <w:lang w:val="en-US"/>
        </w:rPr>
      </w:pPr>
    </w:p>
    <w:p w14:paraId="63591564">
      <w:pPr>
        <w:pStyle w:val="34"/>
        <w:spacing w:line="578" w:lineRule="exact"/>
        <w:jc w:val="center"/>
        <w:rPr>
          <w:rFonts w:ascii="Times New Roman" w:hAnsi="Times New Roman" w:eastAsia="方正小标宋简体" w:cs="方正小标宋简体"/>
          <w:color w:val="auto"/>
          <w:kern w:val="2"/>
          <w:sz w:val="44"/>
          <w:szCs w:val="44"/>
          <w:lang w:val="en-US"/>
        </w:rPr>
      </w:pPr>
    </w:p>
    <w:p w14:paraId="3A211FD2">
      <w:pPr>
        <w:pStyle w:val="34"/>
        <w:spacing w:line="578" w:lineRule="exact"/>
        <w:jc w:val="center"/>
        <w:rPr>
          <w:rFonts w:ascii="Times New Roman" w:hAnsi="Times New Roman" w:eastAsia="方正小标宋简体" w:cs="方正小标宋简体"/>
          <w:color w:val="auto"/>
          <w:kern w:val="2"/>
          <w:sz w:val="44"/>
          <w:szCs w:val="44"/>
          <w:lang w:val="en-US"/>
        </w:rPr>
      </w:pPr>
    </w:p>
    <w:p w14:paraId="07BCAD7F">
      <w:pPr>
        <w:pStyle w:val="34"/>
        <w:spacing w:line="578" w:lineRule="exact"/>
        <w:jc w:val="center"/>
        <w:rPr>
          <w:rFonts w:ascii="Times New Roman" w:hAnsi="Times New Roman" w:eastAsia="方正小标宋简体" w:cs="方正小标宋简体"/>
          <w:color w:val="auto"/>
          <w:kern w:val="2"/>
          <w:sz w:val="44"/>
          <w:szCs w:val="44"/>
          <w:lang w:val="en-US"/>
        </w:rPr>
      </w:pPr>
    </w:p>
    <w:p w14:paraId="5FE87128">
      <w:pPr>
        <w:pStyle w:val="34"/>
        <w:spacing w:line="578" w:lineRule="exact"/>
        <w:jc w:val="center"/>
        <w:rPr>
          <w:rFonts w:ascii="Times New Roman" w:hAnsi="Times New Roman" w:eastAsia="方正小标宋简体" w:cs="方正小标宋简体"/>
          <w:color w:val="auto"/>
          <w:kern w:val="2"/>
          <w:sz w:val="44"/>
          <w:szCs w:val="44"/>
          <w:lang w:val="en-US"/>
        </w:rPr>
      </w:pPr>
    </w:p>
    <w:p w14:paraId="61C16A80">
      <w:pPr>
        <w:pStyle w:val="34"/>
        <w:spacing w:line="578" w:lineRule="exact"/>
        <w:jc w:val="center"/>
        <w:rPr>
          <w:rFonts w:ascii="Times New Roman" w:hAnsi="Times New Roman" w:eastAsia="方正小标宋简体" w:cs="方正小标宋简体"/>
          <w:color w:val="auto"/>
          <w:kern w:val="2"/>
          <w:sz w:val="44"/>
          <w:szCs w:val="44"/>
          <w:lang w:val="en-US"/>
        </w:rPr>
      </w:pPr>
    </w:p>
    <w:p w14:paraId="4F87CB95">
      <w:pPr>
        <w:pStyle w:val="34"/>
        <w:spacing w:line="578" w:lineRule="exact"/>
        <w:jc w:val="center"/>
        <w:rPr>
          <w:rFonts w:ascii="Times New Roman" w:hAnsi="Times New Roman" w:eastAsia="方正小标宋简体" w:cs="方正小标宋简体"/>
          <w:color w:val="auto"/>
          <w:kern w:val="2"/>
          <w:sz w:val="44"/>
          <w:szCs w:val="44"/>
          <w:lang w:val="en-US"/>
        </w:rPr>
      </w:pPr>
    </w:p>
    <w:p w14:paraId="6601CF53">
      <w:pPr>
        <w:pStyle w:val="34"/>
        <w:spacing w:line="578" w:lineRule="exact"/>
        <w:jc w:val="center"/>
        <w:rPr>
          <w:rFonts w:ascii="Times New Roman" w:hAnsi="Times New Roman" w:eastAsia="方正小标宋简体" w:cs="方正小标宋简体"/>
          <w:color w:val="auto"/>
          <w:kern w:val="2"/>
          <w:sz w:val="44"/>
          <w:szCs w:val="44"/>
          <w:lang w:val="en-US"/>
        </w:rPr>
      </w:pPr>
    </w:p>
    <w:p w14:paraId="369E79A5">
      <w:pPr>
        <w:pStyle w:val="34"/>
        <w:spacing w:line="578" w:lineRule="exact"/>
        <w:jc w:val="center"/>
        <w:rPr>
          <w:rFonts w:ascii="Times New Roman" w:hAnsi="Times New Roman" w:eastAsia="方正小标宋简体" w:cs="方正小标宋简体"/>
          <w:color w:val="auto"/>
          <w:kern w:val="2"/>
          <w:sz w:val="44"/>
          <w:szCs w:val="44"/>
          <w:lang w:val="en-US"/>
        </w:rPr>
      </w:pPr>
    </w:p>
    <w:p w14:paraId="307F5BAF">
      <w:pPr>
        <w:pStyle w:val="34"/>
        <w:spacing w:line="578" w:lineRule="exact"/>
        <w:jc w:val="center"/>
        <w:rPr>
          <w:rFonts w:ascii="Times New Roman" w:hAnsi="Times New Roman" w:eastAsia="方正小标宋简体" w:cs="方正小标宋简体"/>
          <w:color w:val="auto"/>
          <w:kern w:val="2"/>
          <w:sz w:val="44"/>
          <w:szCs w:val="44"/>
          <w:lang w:val="en-US"/>
        </w:rPr>
      </w:pPr>
    </w:p>
    <w:p w14:paraId="76D8C45A">
      <w:pPr>
        <w:pStyle w:val="34"/>
        <w:spacing w:line="578" w:lineRule="exact"/>
        <w:jc w:val="center"/>
        <w:rPr>
          <w:rFonts w:ascii="Times New Roman" w:hAnsi="Times New Roman" w:eastAsia="方正小标宋简体" w:cs="方正小标宋简体"/>
          <w:color w:val="auto"/>
          <w:kern w:val="2"/>
          <w:sz w:val="44"/>
          <w:szCs w:val="44"/>
          <w:lang w:val="en-US"/>
        </w:rPr>
      </w:pPr>
    </w:p>
    <w:p w14:paraId="190D0AC3">
      <w:pPr>
        <w:spacing w:line="578" w:lineRule="exact"/>
        <w:ind w:firstLine="640"/>
        <w:rPr>
          <w:rFonts w:eastAsia="仿宋_GB2312" w:cs="仿宋_GB2312"/>
          <w:kern w:val="0"/>
          <w:sz w:val="32"/>
          <w:szCs w:val="32"/>
        </w:rPr>
      </w:pPr>
    </w:p>
    <w:p w14:paraId="2E5B9384">
      <w:pPr>
        <w:widowControl/>
        <w:jc w:val="center"/>
        <w:rPr>
          <w:rFonts w:eastAsia="黑体"/>
          <w:sz w:val="44"/>
          <w:szCs w:val="44"/>
        </w:rPr>
      </w:pPr>
    </w:p>
    <w:p w14:paraId="26AF1892">
      <w:pPr>
        <w:widowControl/>
        <w:jc w:val="center"/>
        <w:rPr>
          <w:rFonts w:eastAsia="仿宋"/>
        </w:rPr>
      </w:pPr>
      <w:r>
        <w:rPr>
          <w:rFonts w:hint="eastAsia" w:eastAsia="黑体"/>
          <w:sz w:val="44"/>
          <w:szCs w:val="44"/>
        </w:rPr>
        <w:t>第</w:t>
      </w:r>
      <w:r>
        <w:rPr>
          <w:rStyle w:val="19"/>
          <w:rFonts w:hint="eastAsia" w:eastAsia="黑体"/>
          <w:b w:val="0"/>
        </w:rPr>
        <w:t>五部分 附表</w:t>
      </w:r>
      <w:bookmarkEnd w:id="47"/>
      <w:bookmarkEnd w:id="49"/>
      <w:bookmarkStart w:id="50" w:name="_Toc15396619"/>
    </w:p>
    <w:p w14:paraId="3B0330EC">
      <w:pPr>
        <w:pStyle w:val="14"/>
        <w:adjustRightInd w:val="0"/>
        <w:snapToGrid w:val="0"/>
        <w:spacing w:line="560" w:lineRule="exact"/>
        <w:jc w:val="left"/>
        <w:rPr>
          <w:rFonts w:eastAsia="仿宋_GB2312" w:cs="仿宋_GB2312"/>
          <w:sz w:val="32"/>
          <w:szCs w:val="32"/>
        </w:rPr>
      </w:pPr>
    </w:p>
    <w:p w14:paraId="75F74A40">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0"/>
    </w:p>
    <w:p w14:paraId="505B5F90">
      <w:pPr>
        <w:pStyle w:val="14"/>
        <w:adjustRightInd w:val="0"/>
        <w:snapToGrid w:val="0"/>
        <w:spacing w:line="560" w:lineRule="exact"/>
        <w:jc w:val="left"/>
        <w:rPr>
          <w:rFonts w:eastAsia="仿宋_GB2312" w:cs="仿宋_GB2312"/>
          <w:sz w:val="32"/>
          <w:szCs w:val="32"/>
        </w:rPr>
      </w:pPr>
      <w:bookmarkStart w:id="51" w:name="_Toc15396620"/>
      <w:r>
        <w:rPr>
          <w:rFonts w:hint="eastAsia" w:eastAsia="仿宋_GB2312" w:cs="仿宋_GB2312"/>
          <w:sz w:val="32"/>
          <w:szCs w:val="32"/>
        </w:rPr>
        <w:t>二、收入决算表</w:t>
      </w:r>
      <w:bookmarkEnd w:id="51"/>
    </w:p>
    <w:p w14:paraId="0B4C2CD6">
      <w:pPr>
        <w:pStyle w:val="14"/>
        <w:adjustRightInd w:val="0"/>
        <w:snapToGrid w:val="0"/>
        <w:spacing w:line="560" w:lineRule="exact"/>
        <w:jc w:val="left"/>
        <w:rPr>
          <w:rFonts w:eastAsia="仿宋_GB2312" w:cs="仿宋_GB2312"/>
          <w:sz w:val="32"/>
          <w:szCs w:val="32"/>
        </w:rPr>
      </w:pPr>
      <w:bookmarkStart w:id="52" w:name="_Toc15396621"/>
      <w:r>
        <w:rPr>
          <w:rFonts w:hint="eastAsia" w:eastAsia="仿宋_GB2312" w:cs="仿宋_GB2312"/>
          <w:sz w:val="32"/>
          <w:szCs w:val="32"/>
        </w:rPr>
        <w:t>三、支出决算表</w:t>
      </w:r>
      <w:bookmarkEnd w:id="52"/>
    </w:p>
    <w:p w14:paraId="2A876233">
      <w:pPr>
        <w:pStyle w:val="14"/>
        <w:adjustRightInd w:val="0"/>
        <w:snapToGrid w:val="0"/>
        <w:spacing w:line="560" w:lineRule="exact"/>
        <w:jc w:val="left"/>
        <w:rPr>
          <w:rFonts w:eastAsia="仿宋_GB2312" w:cs="仿宋_GB2312"/>
          <w:sz w:val="32"/>
          <w:szCs w:val="32"/>
        </w:rPr>
      </w:pPr>
      <w:bookmarkStart w:id="53" w:name="_Toc15396622"/>
      <w:r>
        <w:rPr>
          <w:rFonts w:hint="eastAsia" w:eastAsia="仿宋_GB2312" w:cs="仿宋_GB2312"/>
          <w:sz w:val="32"/>
          <w:szCs w:val="32"/>
        </w:rPr>
        <w:t>四、财政拨款收入支出决算总表</w:t>
      </w:r>
      <w:bookmarkEnd w:id="53"/>
    </w:p>
    <w:p w14:paraId="5DB3DD69">
      <w:pPr>
        <w:pStyle w:val="14"/>
        <w:adjustRightInd w:val="0"/>
        <w:snapToGrid w:val="0"/>
        <w:spacing w:line="560" w:lineRule="exact"/>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14:paraId="3DD3E011">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14:paraId="059A1931">
      <w:pPr>
        <w:pStyle w:val="14"/>
        <w:adjustRightInd w:val="0"/>
        <w:snapToGrid w:val="0"/>
        <w:spacing w:line="560" w:lineRule="exact"/>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14:paraId="358C7A88">
      <w:pPr>
        <w:pStyle w:val="14"/>
        <w:adjustRightInd w:val="0"/>
        <w:snapToGrid w:val="0"/>
        <w:spacing w:line="560" w:lineRule="exact"/>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14:paraId="27704D40">
      <w:pPr>
        <w:pStyle w:val="14"/>
        <w:adjustRightInd w:val="0"/>
        <w:snapToGrid w:val="0"/>
        <w:spacing w:line="560" w:lineRule="exact"/>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14:paraId="54775493">
      <w:pPr>
        <w:pStyle w:val="14"/>
        <w:adjustRightInd w:val="0"/>
        <w:snapToGrid w:val="0"/>
        <w:spacing w:line="560" w:lineRule="exact"/>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14:paraId="03BA3C08">
      <w:pPr>
        <w:pStyle w:val="14"/>
        <w:adjustRightInd w:val="0"/>
        <w:snapToGrid w:val="0"/>
        <w:spacing w:line="560" w:lineRule="exact"/>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14:paraId="273129B0">
      <w:pPr>
        <w:pStyle w:val="14"/>
        <w:adjustRightInd w:val="0"/>
        <w:snapToGrid w:val="0"/>
        <w:spacing w:line="560" w:lineRule="exact"/>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14:paraId="2AA808D6">
      <w:pPr>
        <w:pStyle w:val="14"/>
        <w:adjustRightInd w:val="0"/>
        <w:snapToGrid w:val="0"/>
        <w:spacing w:line="560" w:lineRule="exact"/>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14:paraId="0F13F67D"/>
    <w:sectPr>
      <w:footerReference r:id="rId10" w:type="first"/>
      <w:footerReference r:id="rId9" w:type="default"/>
      <w:pgSz w:w="11906" w:h="16838"/>
      <w:pgMar w:top="1440" w:right="1701" w:bottom="1440" w:left="1701"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D88B">
    <w:pPr>
      <w:pStyle w:val="11"/>
      <w:jc w:val="center"/>
    </w:pPr>
  </w:p>
  <w:p w14:paraId="2E8E655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F8D9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1AF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51279"/>
      <w:docPartObj>
        <w:docPartGallery w:val="autotext"/>
      </w:docPartObj>
    </w:sdtPr>
    <w:sdtContent>
      <w:p w14:paraId="681770A1">
        <w:pPr>
          <w:pStyle w:val="11"/>
          <w:jc w:val="center"/>
        </w:pPr>
        <w:r>
          <w:fldChar w:fldCharType="begin"/>
        </w:r>
        <w:r>
          <w:instrText xml:space="preserve"> PAGE   \* MERGEFORMAT </w:instrText>
        </w:r>
        <w:r>
          <w:fldChar w:fldCharType="separate"/>
        </w:r>
        <w:r>
          <w:rPr>
            <w:lang w:val="zh-CN"/>
          </w:rPr>
          <w:t>-</w:t>
        </w:r>
        <w:r>
          <w:t xml:space="preserve"> 18 -</w:t>
        </w:r>
        <w:r>
          <w:fldChar w:fldCharType="end"/>
        </w:r>
      </w:p>
    </w:sdtContent>
  </w:sdt>
  <w:p w14:paraId="75008DB4">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51280"/>
      <w:docPartObj>
        <w:docPartGallery w:val="autotext"/>
      </w:docPartObj>
    </w:sdtPr>
    <w:sdtContent>
      <w:p w14:paraId="41F51813">
        <w:pPr>
          <w:pStyle w:val="11"/>
          <w:jc w:val="center"/>
        </w:pPr>
        <w:r>
          <w:fldChar w:fldCharType="begin"/>
        </w:r>
        <w:r>
          <w:instrText xml:space="preserve"> PAGE   \* MERGEFORMAT </w:instrText>
        </w:r>
        <w:r>
          <w:fldChar w:fldCharType="separate"/>
        </w:r>
        <w:r>
          <w:rPr>
            <w:lang w:val="zh-CN"/>
          </w:rPr>
          <w:t>-</w:t>
        </w:r>
        <w:r>
          <w:t xml:space="preserve"> 1 -</w:t>
        </w:r>
        <w:r>
          <w:fldChar w:fldCharType="end"/>
        </w:r>
      </w:p>
    </w:sdtContent>
  </w:sdt>
  <w:p w14:paraId="476A792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717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C521">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9711">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3FC0"/>
    <w:rsid w:val="000A6A92"/>
    <w:rsid w:val="000B047F"/>
    <w:rsid w:val="000B5923"/>
    <w:rsid w:val="000B5A48"/>
    <w:rsid w:val="000B6FF3"/>
    <w:rsid w:val="000C3467"/>
    <w:rsid w:val="000C3CA6"/>
    <w:rsid w:val="000D1267"/>
    <w:rsid w:val="000D1D50"/>
    <w:rsid w:val="000D5782"/>
    <w:rsid w:val="000E441E"/>
    <w:rsid w:val="000E6613"/>
    <w:rsid w:val="000E7119"/>
    <w:rsid w:val="000F0277"/>
    <w:rsid w:val="00114E9B"/>
    <w:rsid w:val="00142216"/>
    <w:rsid w:val="00144D6A"/>
    <w:rsid w:val="0014729F"/>
    <w:rsid w:val="00157BAB"/>
    <w:rsid w:val="001654D1"/>
    <w:rsid w:val="00174518"/>
    <w:rsid w:val="0018106D"/>
    <w:rsid w:val="0018506F"/>
    <w:rsid w:val="001877A7"/>
    <w:rsid w:val="00191536"/>
    <w:rsid w:val="00196687"/>
    <w:rsid w:val="001A43E3"/>
    <w:rsid w:val="001C0962"/>
    <w:rsid w:val="001D4BBE"/>
    <w:rsid w:val="001D7531"/>
    <w:rsid w:val="001E737D"/>
    <w:rsid w:val="001F0592"/>
    <w:rsid w:val="001F7506"/>
    <w:rsid w:val="002006CD"/>
    <w:rsid w:val="00202B36"/>
    <w:rsid w:val="00204B7A"/>
    <w:rsid w:val="00204CDE"/>
    <w:rsid w:val="0021101A"/>
    <w:rsid w:val="00220536"/>
    <w:rsid w:val="00235629"/>
    <w:rsid w:val="002367C5"/>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564"/>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32951"/>
    <w:rsid w:val="005664BB"/>
    <w:rsid w:val="00566FFA"/>
    <w:rsid w:val="0057481D"/>
    <w:rsid w:val="005817F3"/>
    <w:rsid w:val="0058486E"/>
    <w:rsid w:val="00585550"/>
    <w:rsid w:val="00585B33"/>
    <w:rsid w:val="0059014D"/>
    <w:rsid w:val="005A4732"/>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346D"/>
    <w:rsid w:val="00633901"/>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1F66"/>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3861"/>
    <w:rsid w:val="008C4DB1"/>
    <w:rsid w:val="008C4EAF"/>
    <w:rsid w:val="008C5176"/>
    <w:rsid w:val="008C7FD0"/>
    <w:rsid w:val="008E12F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612D"/>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4625"/>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28E5"/>
    <w:rsid w:val="00B03C9D"/>
    <w:rsid w:val="00B060AE"/>
    <w:rsid w:val="00B10517"/>
    <w:rsid w:val="00B10FCE"/>
    <w:rsid w:val="00B130BB"/>
    <w:rsid w:val="00B14E76"/>
    <w:rsid w:val="00B161B8"/>
    <w:rsid w:val="00B2048C"/>
    <w:rsid w:val="00B310B9"/>
    <w:rsid w:val="00B35F3F"/>
    <w:rsid w:val="00B36CBB"/>
    <w:rsid w:val="00B425E0"/>
    <w:rsid w:val="00B440AA"/>
    <w:rsid w:val="00B44B70"/>
    <w:rsid w:val="00B53C56"/>
    <w:rsid w:val="00B57DAF"/>
    <w:rsid w:val="00B75EBA"/>
    <w:rsid w:val="00B77EA6"/>
    <w:rsid w:val="00B81598"/>
    <w:rsid w:val="00B841F1"/>
    <w:rsid w:val="00B944D6"/>
    <w:rsid w:val="00BB4DF0"/>
    <w:rsid w:val="00BC289F"/>
    <w:rsid w:val="00BC2D50"/>
    <w:rsid w:val="00BC5361"/>
    <w:rsid w:val="00BC5460"/>
    <w:rsid w:val="00BC6B50"/>
    <w:rsid w:val="00BD0E25"/>
    <w:rsid w:val="00BF5BD6"/>
    <w:rsid w:val="00C03E31"/>
    <w:rsid w:val="00C0749D"/>
    <w:rsid w:val="00C33E72"/>
    <w:rsid w:val="00C354B2"/>
    <w:rsid w:val="00C35554"/>
    <w:rsid w:val="00C42709"/>
    <w:rsid w:val="00C533CC"/>
    <w:rsid w:val="00C5751C"/>
    <w:rsid w:val="00C61BFC"/>
    <w:rsid w:val="00C62B85"/>
    <w:rsid w:val="00C65438"/>
    <w:rsid w:val="00C86E7C"/>
    <w:rsid w:val="00C87FD8"/>
    <w:rsid w:val="00C91381"/>
    <w:rsid w:val="00C91CBB"/>
    <w:rsid w:val="00CB01ED"/>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488"/>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2A0B"/>
    <w:rsid w:val="00F45853"/>
    <w:rsid w:val="00F5193B"/>
    <w:rsid w:val="00F602DF"/>
    <w:rsid w:val="00F754A1"/>
    <w:rsid w:val="00F81E9B"/>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3152D4"/>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EC2B54"/>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55390"/>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2"/>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23"/>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5"/>
    <w:qFormat/>
    <w:uiPriority w:val="9"/>
    <w:rPr>
      <w:rFonts w:ascii="Times New Roman" w:hAnsi="Times New Roman"/>
      <w:b/>
      <w:bCs/>
      <w:kern w:val="44"/>
      <w:sz w:val="44"/>
      <w:szCs w:val="44"/>
    </w:rPr>
  </w:style>
  <w:style w:type="character" w:customStyle="1" w:styleId="20">
    <w:name w:val="标题 2 Char"/>
    <w:basedOn w:val="16"/>
    <w:link w:val="6"/>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7"/>
    <w:qFormat/>
    <w:uiPriority w:val="9"/>
    <w:rPr>
      <w:rFonts w:ascii="Times New Roman" w:hAnsi="Times New Roman"/>
      <w:b/>
      <w:bCs/>
      <w:kern w:val="2"/>
      <w:sz w:val="32"/>
      <w:szCs w:val="32"/>
    </w:rPr>
  </w:style>
  <w:style w:type="character" w:customStyle="1" w:styleId="22">
    <w:name w:val="正文文本 Char"/>
    <w:link w:val="8"/>
    <w:qFormat/>
    <w:locked/>
    <w:uiPriority w:val="99"/>
    <w:rPr>
      <w:rFonts w:ascii="仿宋_GB2312" w:hAnsi="Times New Roman" w:eastAsia="仿宋_GB2312"/>
      <w:sz w:val="24"/>
    </w:rPr>
  </w:style>
  <w:style w:type="character" w:customStyle="1" w:styleId="23">
    <w:name w:val="批注框文本 Char"/>
    <w:basedOn w:val="16"/>
    <w:link w:val="10"/>
    <w:semiHidden/>
    <w:qFormat/>
    <w:uiPriority w:val="99"/>
    <w:rPr>
      <w:rFonts w:ascii="Times New Roman" w:hAnsi="Times New Roman"/>
      <w:kern w:val="2"/>
      <w:sz w:val="18"/>
      <w:szCs w:val="18"/>
    </w:rPr>
  </w:style>
  <w:style w:type="character" w:customStyle="1" w:styleId="24">
    <w:name w:val="页脚 Char"/>
    <w:link w:val="11"/>
    <w:qFormat/>
    <w:locked/>
    <w:uiPriority w:val="99"/>
    <w:rPr>
      <w:sz w:val="18"/>
    </w:rPr>
  </w:style>
  <w:style w:type="character" w:customStyle="1" w:styleId="25">
    <w:name w:val="页眉 Char"/>
    <w:link w:val="12"/>
    <w:semiHidden/>
    <w:qFormat/>
    <w:locked/>
    <w:uiPriority w:val="99"/>
    <w:rPr>
      <w:sz w:val="18"/>
    </w:rPr>
  </w:style>
  <w:style w:type="paragraph" w:customStyle="1" w:styleId="26">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7">
    <w:name w:val="Header Char"/>
    <w:basedOn w:val="16"/>
    <w:semiHidden/>
    <w:qFormat/>
    <w:uiPriority w:val="99"/>
    <w:rPr>
      <w:rFonts w:ascii="Times New Roman" w:hAnsi="Times New Roman"/>
      <w:sz w:val="18"/>
      <w:szCs w:val="18"/>
    </w:rPr>
  </w:style>
  <w:style w:type="character" w:customStyle="1" w:styleId="28">
    <w:name w:val="Footer Char"/>
    <w:basedOn w:val="16"/>
    <w:semiHidden/>
    <w:qFormat/>
    <w:uiPriority w:val="99"/>
    <w:rPr>
      <w:rFonts w:ascii="Times New Roman" w:hAnsi="Times New Roman"/>
      <w:sz w:val="18"/>
      <w:szCs w:val="18"/>
    </w:rPr>
  </w:style>
  <w:style w:type="character" w:customStyle="1" w:styleId="29">
    <w:name w:val="Body Text Char"/>
    <w:basedOn w:val="16"/>
    <w:semiHidden/>
    <w:qFormat/>
    <w:uiPriority w:val="99"/>
    <w:rPr>
      <w:rFonts w:ascii="Times New Roman" w:hAnsi="Times New Roman"/>
      <w:szCs w:val="24"/>
    </w:rPr>
  </w:style>
  <w:style w:type="paragraph" w:customStyle="1" w:styleId="3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7841726618705"/>
          <c:y val="0.364161849710983"/>
          <c:w val="0.535971223021588"/>
          <c:h val="0.265895953757225"/>
        </c:manualLayout>
      </c:layout>
      <c:barChart>
        <c:barDir val="col"/>
        <c:grouping val="stacked"/>
        <c:varyColors val="0"/>
        <c:ser>
          <c:idx val="0"/>
          <c:order val="0"/>
          <c:invertIfNegative val="0"/>
          <c:dLbls>
            <c:delete val="1"/>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3355.93</c:v>
                </c:pt>
                <c:pt idx="1">
                  <c:v>2172.74</c:v>
                </c:pt>
                <c:pt idx="2">
                  <c:v>3355.93</c:v>
                </c:pt>
                <c:pt idx="3">
                  <c:v>1941.09</c:v>
                </c:pt>
              </c:numCache>
            </c:numRef>
          </c:val>
        </c:ser>
        <c:dLbls>
          <c:showLegendKey val="0"/>
          <c:showVal val="0"/>
          <c:showCatName val="0"/>
          <c:showSerName val="0"/>
          <c:showPercent val="0"/>
          <c:showBubbleSize val="0"/>
        </c:dLbls>
        <c:gapWidth val="150"/>
        <c:overlap val="100"/>
        <c:axId val="155284608"/>
        <c:axId val="155286144"/>
      </c:barChart>
      <c:catAx>
        <c:axId val="155284608"/>
        <c:scaling>
          <c:orientation val="minMax"/>
        </c:scaling>
        <c:delete val="0"/>
        <c:axPos val="b"/>
        <c:numFmt formatCode="General" sourceLinked="1"/>
        <c:majorTickMark val="none"/>
        <c:minorTickMark val="none"/>
        <c:tickLblPos val="low"/>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5286144"/>
        <c:crosses val="autoZero"/>
        <c:auto val="1"/>
        <c:lblAlgn val="ctr"/>
        <c:lblOffset val="100"/>
        <c:tickLblSkip val="1"/>
        <c:noMultiLvlLbl val="0"/>
      </c:catAx>
      <c:valAx>
        <c:axId val="155286144"/>
        <c:scaling>
          <c:orientation val="minMax"/>
        </c:scaling>
        <c:delete val="0"/>
        <c:axPos val="l"/>
        <c:majorGridlines/>
        <c:numFmt formatCode="General" sourceLinked="1"/>
        <c:majorTickMark val="none"/>
        <c:minorTickMark val="none"/>
        <c:tickLblPos val="nextTo"/>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52846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d3f3638-7466-4ca0-bbde-e5fc7b6e6e4a}"/>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55395683453238"/>
          <c:y val="0.115384615384615"/>
          <c:w val="0.507194244604317"/>
          <c:h val="0.774725274725281"/>
        </c:manualLayout>
      </c:layout>
      <c:pieChart>
        <c:varyColors val="1"/>
        <c:ser>
          <c:idx val="0"/>
          <c:order val="0"/>
          <c:tx>
            <c:strRef>
              <c:f>Sheet1!$A$2</c:f>
              <c:strCache>
                <c:ptCount val="1"/>
                <c:pt idx="0">
                  <c:v>本年收入</c:v>
                </c:pt>
              </c:strCache>
            </c:strRef>
          </c:tx>
          <c:spPr>
            <a:solidFill>
              <a:srgbClr val="9999FF"/>
            </a:solidFill>
            <a:ln w="9499">
              <a:solidFill>
                <a:srgbClr val="000000"/>
              </a:solidFill>
              <a:prstDash val="solid"/>
            </a:ln>
          </c:spPr>
          <c:explosion val="0"/>
          <c:dPt>
            <c:idx val="0"/>
            <c:bubble3D val="0"/>
            <c:spPr>
              <a:solidFill>
                <a:srgbClr val="9999FF"/>
              </a:solidFill>
              <a:ln w="9499">
                <a:solidFill>
                  <a:srgbClr val="000000"/>
                </a:solidFill>
                <a:prstDash val="solid"/>
              </a:ln>
            </c:spPr>
          </c:dPt>
          <c:dPt>
            <c:idx val="1"/>
            <c:bubble3D val="0"/>
            <c:spPr>
              <a:solidFill>
                <a:srgbClr val="993366"/>
              </a:solidFill>
              <a:ln w="9499">
                <a:solidFill>
                  <a:srgbClr val="000000"/>
                </a:solidFill>
                <a:prstDash val="solid"/>
              </a:ln>
            </c:spPr>
          </c:dPt>
          <c:dLbls>
            <c:delete val="1"/>
          </c:dLbls>
          <c:cat>
            <c:strRef>
              <c:f>Sheet1!$B$1:$C$1</c:f>
              <c:strCache>
                <c:ptCount val="2"/>
                <c:pt idx="0">
                  <c:v>一般公共预算财政拨款收入</c:v>
                </c:pt>
                <c:pt idx="1">
                  <c:v>其他收入</c:v>
                </c:pt>
              </c:strCache>
            </c:strRef>
          </c:cat>
          <c:val>
            <c:numRef>
              <c:f>Sheet1!$B$2:$C$2</c:f>
              <c:numCache>
                <c:formatCode>General</c:formatCode>
                <c:ptCount val="2"/>
                <c:pt idx="0">
                  <c:v>1217.48</c:v>
                </c:pt>
                <c:pt idx="1">
                  <c:v>955.06</c:v>
                </c:pt>
              </c:numCache>
            </c:numRef>
          </c:val>
        </c:ser>
        <c:dLbls>
          <c:showLegendKey val="0"/>
          <c:showVal val="0"/>
          <c:showCatName val="0"/>
          <c:showSerName val="0"/>
          <c:showPercent val="0"/>
          <c:showBubbleSize val="0"/>
          <c:showLeaderLines val="1"/>
        </c:dLbls>
        <c:firstSliceAng val="0"/>
      </c:pieChart>
      <c:spPr>
        <a:solidFill>
          <a:srgbClr val="C0C0C0"/>
        </a:solidFill>
        <a:ln w="9499">
          <a:solidFill>
            <a:srgbClr val="808080"/>
          </a:solidFill>
          <a:prstDash val="solid"/>
        </a:ln>
      </c:spPr>
    </c:plotArea>
    <c:legend>
      <c:legendPos val="r"/>
      <c:layout>
        <c:manualLayout>
          <c:xMode val="edge"/>
          <c:yMode val="edge"/>
          <c:x val="0.654676258992809"/>
          <c:y val="0.324175824175826"/>
          <c:w val="0.330935251798561"/>
          <c:h val="0.346153846153846"/>
        </c:manualLayout>
      </c:layout>
      <c:overlay val="0"/>
      <c:spPr>
        <a:noFill/>
        <a:ln w="2375">
          <a:solidFill>
            <a:srgbClr val="000000"/>
          </a:solidFill>
          <a:prstDash val="solid"/>
        </a:ln>
      </c:spPr>
      <c:txPr>
        <a:bodyPr rot="0" spcFirstLastPara="0" vertOverflow="ellipsis" vert="horz" wrap="square" anchor="ctr" anchorCtr="1"/>
        <a:lstStyle/>
        <a:p>
          <a:pPr>
            <a:defRPr lang="zh-CN" sz="61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15075f5-5c37-4db3-8e87-4b59f6d9216b}"/>
      </c:ext>
    </c:extLst>
  </c:chart>
  <c:spPr>
    <a:noFill/>
    <a:ln w="9525" cap="flat" cmpd="sng" algn="ctr">
      <a:noFill/>
      <a:prstDash val="solid"/>
      <a:round/>
    </a:ln>
  </c:spPr>
  <c:txPr>
    <a:bodyPr/>
    <a:lstStyle/>
    <a:p>
      <a:pPr>
        <a:defRPr lang="zh-CN" sz="6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07913669064"/>
          <c:y val="0.115384615384615"/>
          <c:w val="0.510791366906476"/>
          <c:h val="0.78021978021978"/>
        </c:manualLayout>
      </c:layout>
      <c:pieChart>
        <c:varyColors val="1"/>
        <c:ser>
          <c:idx val="0"/>
          <c:order val="0"/>
          <c:tx>
            <c:strRef>
              <c:f>Sheet1!$A$2</c:f>
              <c:strCache>
                <c:ptCount val="1"/>
                <c:pt idx="0">
                  <c:v>本年支出</c:v>
                </c:pt>
              </c:strCache>
            </c:strRef>
          </c:tx>
          <c:spPr>
            <a:solidFill>
              <a:srgbClr val="9999FF"/>
            </a:solidFill>
            <a:ln w="9499">
              <a:solidFill>
                <a:srgbClr val="000000"/>
              </a:solidFill>
              <a:prstDash val="solid"/>
            </a:ln>
          </c:spPr>
          <c:explosion val="0"/>
          <c:dPt>
            <c:idx val="0"/>
            <c:bubble3D val="0"/>
            <c:spPr>
              <a:solidFill>
                <a:srgbClr val="9999FF"/>
              </a:solidFill>
              <a:ln w="9499">
                <a:solidFill>
                  <a:srgbClr val="000000"/>
                </a:solidFill>
                <a:prstDash val="solid"/>
              </a:ln>
            </c:spPr>
          </c:dPt>
          <c:dPt>
            <c:idx val="1"/>
            <c:bubble3D val="0"/>
            <c:spPr>
              <a:solidFill>
                <a:srgbClr val="993366"/>
              </a:solidFill>
              <a:ln w="9499">
                <a:solidFill>
                  <a:srgbClr val="000000"/>
                </a:solidFill>
                <a:prstDash val="solid"/>
              </a:ln>
            </c:spPr>
          </c:dPt>
          <c:dLbls>
            <c:delete val="1"/>
          </c:dLbls>
          <c:cat>
            <c:strRef>
              <c:f>Sheet1!$B$1:$C$1</c:f>
              <c:strCache>
                <c:ptCount val="2"/>
                <c:pt idx="0">
                  <c:v>基本支出</c:v>
                </c:pt>
                <c:pt idx="1">
                  <c:v>项目支出</c:v>
                </c:pt>
              </c:strCache>
            </c:strRef>
          </c:cat>
          <c:val>
            <c:numRef>
              <c:f>Sheet1!$B$2:$C$2</c:f>
              <c:numCache>
                <c:formatCode>General</c:formatCode>
                <c:ptCount val="2"/>
                <c:pt idx="0">
                  <c:v>853.780000000001</c:v>
                </c:pt>
                <c:pt idx="1">
                  <c:v>1087.31</c:v>
                </c:pt>
              </c:numCache>
            </c:numRef>
          </c:val>
        </c:ser>
        <c:dLbls>
          <c:showLegendKey val="0"/>
          <c:showVal val="0"/>
          <c:showCatName val="0"/>
          <c:showSerName val="0"/>
          <c:showPercent val="0"/>
          <c:showBubbleSize val="0"/>
          <c:showLeaderLines val="1"/>
        </c:dLbls>
        <c:firstSliceAng val="0"/>
      </c:pieChart>
      <c:spPr>
        <a:solidFill>
          <a:srgbClr val="C0C0C0"/>
        </a:solidFill>
        <a:ln w="9499">
          <a:solidFill>
            <a:srgbClr val="808080"/>
          </a:solidFill>
          <a:prstDash val="solid"/>
        </a:ln>
      </c:spPr>
    </c:plotArea>
    <c:legend>
      <c:legendPos val="r"/>
      <c:layout>
        <c:manualLayout>
          <c:xMode val="edge"/>
          <c:yMode val="edge"/>
          <c:x val="0.741007194244605"/>
          <c:y val="0.406593406593407"/>
          <c:w val="0.244604316546764"/>
          <c:h val="0.192307692307692"/>
        </c:manualLayout>
      </c:layout>
      <c:overlay val="0"/>
      <c:spPr>
        <a:noFill/>
        <a:ln w="2375">
          <a:solidFill>
            <a:srgbClr val="000000"/>
          </a:solidFill>
          <a:prstDash val="solid"/>
        </a:ln>
      </c:spPr>
      <c:txPr>
        <a:bodyPr rot="0" spcFirstLastPara="0" vertOverflow="ellipsis" vert="horz" wrap="square" anchor="ctr" anchorCtr="1"/>
        <a:lstStyle/>
        <a:p>
          <a:pPr>
            <a:defRPr lang="zh-CN" sz="61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5f890052-d849-4178-a75c-8ab2e7bcc8f2}"/>
      </c:ext>
    </c:extLst>
  </c:chart>
  <c:spPr>
    <a:noFill/>
    <a:ln w="9525" cap="flat" cmpd="sng" algn="ctr">
      <a:noFill/>
      <a:prstDash val="solid"/>
      <a:round/>
    </a:ln>
  </c:spPr>
  <c:txPr>
    <a:bodyPr/>
    <a:lstStyle/>
    <a:p>
      <a:pPr>
        <a:defRPr lang="zh-CN" sz="6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7841726618705"/>
          <c:y val="0.138728323699423"/>
          <c:w val="0.453237410071942"/>
          <c:h val="0.578034682080925"/>
        </c:manualLayout>
      </c:layout>
      <c:barChart>
        <c:barDir val="col"/>
        <c:grouping val="clustered"/>
        <c:varyColors val="0"/>
        <c:ser>
          <c:idx val="0"/>
          <c:order val="0"/>
          <c:tx>
            <c:strRef>
              <c:f>Sheet1!$A$2</c:f>
              <c:strCache>
                <c:ptCount val="1"/>
                <c:pt idx="0">
                  <c:v>2023</c:v>
                </c:pt>
              </c:strCache>
            </c:strRef>
          </c:tx>
          <c:invertIfNegative val="0"/>
          <c:dLbls>
            <c:delete val="1"/>
          </c:dLbls>
          <c:cat>
            <c:numRef>
              <c:f>Sheet1!$B$1:$B$1</c:f>
              <c:numCache>
                <c:formatCode>General</c:formatCode>
                <c:ptCount val="1"/>
              </c:numCache>
            </c:numRef>
          </c:cat>
          <c:val>
            <c:numRef>
              <c:f>Sheet1!$B$2:$B$2</c:f>
              <c:numCache>
                <c:formatCode>General</c:formatCode>
                <c:ptCount val="1"/>
                <c:pt idx="0">
                  <c:v>2781.03</c:v>
                </c:pt>
              </c:numCache>
            </c:numRef>
          </c:val>
        </c:ser>
        <c:ser>
          <c:idx val="1"/>
          <c:order val="1"/>
          <c:tx>
            <c:strRef>
              <c:f>Sheet1!$A$3</c:f>
              <c:strCache>
                <c:ptCount val="1"/>
                <c:pt idx="0">
                  <c:v>2024</c:v>
                </c:pt>
              </c:strCache>
            </c:strRef>
          </c:tx>
          <c:invertIfNegative val="0"/>
          <c:dLbls>
            <c:delete val="1"/>
          </c:dLbls>
          <c:cat>
            <c:numRef>
              <c:f>Sheet1!$B$1:$B$1</c:f>
              <c:numCache>
                <c:formatCode>General</c:formatCode>
                <c:ptCount val="1"/>
              </c:numCache>
            </c:numRef>
          </c:cat>
          <c:val>
            <c:numRef>
              <c:f>Sheet1!$B$3:$B$3</c:f>
              <c:numCache>
                <c:formatCode>General</c:formatCode>
                <c:ptCount val="1"/>
                <c:pt idx="0">
                  <c:v>1217.48</c:v>
                </c:pt>
              </c:numCache>
            </c:numRef>
          </c:val>
        </c:ser>
        <c:dLbls>
          <c:showLegendKey val="0"/>
          <c:showVal val="0"/>
          <c:showCatName val="0"/>
          <c:showSerName val="0"/>
          <c:showPercent val="0"/>
          <c:showBubbleSize val="0"/>
        </c:dLbls>
        <c:gapWidth val="150"/>
        <c:axId val="151545344"/>
        <c:axId val="151546880"/>
      </c:barChart>
      <c:catAx>
        <c:axId val="151545344"/>
        <c:scaling>
          <c:orientation val="minMax"/>
        </c:scaling>
        <c:delete val="0"/>
        <c:axPos val="b"/>
        <c:numFmt formatCode="General" sourceLinked="1"/>
        <c:majorTickMark val="none"/>
        <c:minorTickMark val="none"/>
        <c:tickLblPos val="low"/>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crossAx val="151546880"/>
        <c:crosses val="autoZero"/>
        <c:auto val="1"/>
        <c:lblAlgn val="ctr"/>
        <c:lblOffset val="100"/>
        <c:tickLblSkip val="1"/>
        <c:noMultiLvlLbl val="0"/>
      </c:catAx>
      <c:valAx>
        <c:axId val="151546880"/>
        <c:scaling>
          <c:orientation val="minMax"/>
        </c:scaling>
        <c:delete val="0"/>
        <c:axPos val="l"/>
        <c:majorGridlines/>
        <c:numFmt formatCode="General" sourceLinked="1"/>
        <c:majorTickMark val="none"/>
        <c:minorTickMark val="none"/>
        <c:tickLblPos val="nextTo"/>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crossAx val="151545344"/>
        <c:crosses val="autoZero"/>
        <c:crossBetween val="between"/>
      </c:valAx>
      <c:spPr>
        <a:solidFill>
          <a:srgbClr val="FFFFFF"/>
        </a:solidFill>
        <a:ln w="19020">
          <a:noFill/>
        </a:ln>
      </c:spPr>
    </c:plotArea>
    <c:legend>
      <c:legendPos val="r"/>
      <c:layout/>
      <c:overlay val="0"/>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8c200c6-c2b4-4d46-ad6c-f15d4e90a1d8}"/>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7841726618705"/>
          <c:y val="0.138728323699423"/>
          <c:w val="0.453237410071942"/>
          <c:h val="0.578034682080925"/>
        </c:manualLayout>
      </c:layout>
      <c:barChart>
        <c:barDir val="col"/>
        <c:grouping val="clustered"/>
        <c:varyColors val="0"/>
        <c:ser>
          <c:idx val="0"/>
          <c:order val="0"/>
          <c:tx>
            <c:strRef>
              <c:f>Sheet1!$A$2</c:f>
              <c:strCache>
                <c:ptCount val="1"/>
                <c:pt idx="0">
                  <c:v>2023</c:v>
                </c:pt>
              </c:strCache>
            </c:strRef>
          </c:tx>
          <c:invertIfNegative val="0"/>
          <c:dLbls>
            <c:delete val="1"/>
          </c:dLbls>
          <c:cat>
            <c:numRef>
              <c:f>Sheet1!$B$1:$B$1</c:f>
              <c:numCache>
                <c:formatCode>General</c:formatCode>
                <c:ptCount val="1"/>
              </c:numCache>
            </c:numRef>
          </c:cat>
          <c:val>
            <c:numRef>
              <c:f>Sheet1!$B$2:$B$2</c:f>
              <c:numCache>
                <c:formatCode>General</c:formatCode>
                <c:ptCount val="1"/>
                <c:pt idx="0">
                  <c:v>2781.03</c:v>
                </c:pt>
              </c:numCache>
            </c:numRef>
          </c:val>
        </c:ser>
        <c:ser>
          <c:idx val="1"/>
          <c:order val="1"/>
          <c:tx>
            <c:strRef>
              <c:f>Sheet1!$A$3</c:f>
              <c:strCache>
                <c:ptCount val="1"/>
                <c:pt idx="0">
                  <c:v>2024</c:v>
                </c:pt>
              </c:strCache>
            </c:strRef>
          </c:tx>
          <c:invertIfNegative val="0"/>
          <c:dLbls>
            <c:delete val="1"/>
          </c:dLbls>
          <c:cat>
            <c:numRef>
              <c:f>Sheet1!$B$1:$B$1</c:f>
              <c:numCache>
                <c:formatCode>General</c:formatCode>
                <c:ptCount val="1"/>
              </c:numCache>
            </c:numRef>
          </c:cat>
          <c:val>
            <c:numRef>
              <c:f>Sheet1!$B$3:$B$3</c:f>
              <c:numCache>
                <c:formatCode>General</c:formatCode>
                <c:ptCount val="1"/>
                <c:pt idx="0">
                  <c:v>1217.48</c:v>
                </c:pt>
              </c:numCache>
            </c:numRef>
          </c:val>
        </c:ser>
        <c:dLbls>
          <c:showLegendKey val="0"/>
          <c:showVal val="0"/>
          <c:showCatName val="0"/>
          <c:showSerName val="0"/>
          <c:showPercent val="0"/>
          <c:showBubbleSize val="0"/>
        </c:dLbls>
        <c:gapWidth val="150"/>
        <c:axId val="151520768"/>
        <c:axId val="151522304"/>
      </c:barChart>
      <c:catAx>
        <c:axId val="151520768"/>
        <c:scaling>
          <c:orientation val="minMax"/>
        </c:scaling>
        <c:delete val="0"/>
        <c:axPos val="b"/>
        <c:numFmt formatCode="General" sourceLinked="1"/>
        <c:majorTickMark val="none"/>
        <c:minorTickMark val="none"/>
        <c:tickLblPos val="low"/>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crossAx val="151522304"/>
        <c:crosses val="autoZero"/>
        <c:auto val="1"/>
        <c:lblAlgn val="ctr"/>
        <c:lblOffset val="100"/>
        <c:tickLblSkip val="1"/>
        <c:noMultiLvlLbl val="0"/>
      </c:catAx>
      <c:valAx>
        <c:axId val="151522304"/>
        <c:scaling>
          <c:orientation val="minMax"/>
        </c:scaling>
        <c:delete val="0"/>
        <c:axPos val="l"/>
        <c:majorGridlines/>
        <c:numFmt formatCode="General" sourceLinked="1"/>
        <c:majorTickMark val="none"/>
        <c:minorTickMark val="none"/>
        <c:tickLblPos val="nextTo"/>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crossAx val="151520768"/>
        <c:crosses val="autoZero"/>
        <c:crossBetween val="between"/>
      </c:valAx>
      <c:spPr>
        <a:solidFill>
          <a:srgbClr val="FFFFFF"/>
        </a:solidFill>
        <a:ln w="19020">
          <a:noFill/>
        </a:ln>
      </c:spPr>
    </c:plotArea>
    <c:legend>
      <c:legendPos val="r"/>
      <c:layout/>
      <c:overlay val="0"/>
      <c:txPr>
        <a:bodyPr rot="0" spcFirstLastPara="0" vertOverflow="ellipsis" vert="horz" wrap="square" anchor="ctr" anchorCtr="1"/>
        <a:lstStyle/>
        <a:p>
          <a:pPr>
            <a:defRPr lang="zh-CN" sz="75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fc1e785-9c69-4f93-958b-8a29acd2894d}"/>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6"/>
                <c:pt idx="0">
                  <c:v>一般公共服务支出</c:v>
                </c:pt>
                <c:pt idx="1">
                  <c:v>科学技术支出</c:v>
                </c:pt>
                <c:pt idx="2">
                  <c:v>社会保障和就业支出</c:v>
                </c:pt>
                <c:pt idx="3">
                  <c:v>卫生健康支出</c:v>
                </c:pt>
                <c:pt idx="4">
                  <c:v>城乡社区支出</c:v>
                </c:pt>
                <c:pt idx="5">
                  <c:v>住房保障支出</c:v>
                </c:pt>
              </c:strCache>
            </c:strRef>
          </c:cat>
          <c:val>
            <c:numRef>
              <c:f>Sheet1!$B$2:$B$7</c:f>
              <c:numCache>
                <c:formatCode>General</c:formatCode>
                <c:ptCount val="6"/>
                <c:pt idx="0">
                  <c:v>3</c:v>
                </c:pt>
                <c:pt idx="1">
                  <c:v>836.37</c:v>
                </c:pt>
                <c:pt idx="2">
                  <c:v>248.14</c:v>
                </c:pt>
                <c:pt idx="3">
                  <c:v>54.76</c:v>
                </c:pt>
                <c:pt idx="4">
                  <c:v>24.56</c:v>
                </c:pt>
                <c:pt idx="5">
                  <c:v>50.65</c:v>
                </c:pt>
              </c:numCache>
            </c:numRef>
          </c:val>
        </c:ser>
        <c:ser>
          <c:idx val="1"/>
          <c:order val="1"/>
          <c:tx>
            <c:strRef>
              <c:f>Sheet1!$C$1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6"/>
                <c:pt idx="0">
                  <c:v>一般公共服务支出</c:v>
                </c:pt>
                <c:pt idx="1">
                  <c:v>科学技术支出</c:v>
                </c:pt>
                <c:pt idx="2">
                  <c:v>社会保障和就业支出</c:v>
                </c:pt>
                <c:pt idx="3">
                  <c:v>卫生健康支出</c:v>
                </c:pt>
                <c:pt idx="4">
                  <c:v>城乡社区支出</c:v>
                </c:pt>
                <c:pt idx="5">
                  <c:v>住房保障支出</c:v>
                </c:pt>
              </c:strCache>
            </c:strRef>
          </c:cat>
          <c:val>
            <c:numRef>
              <c:f>Sheet1!$C$2:$C$7</c:f>
              <c:numCache>
                <c:formatCode>General</c:formatCode>
                <c:ptCount val="6"/>
              </c:numCache>
            </c:numRef>
          </c:val>
        </c:ser>
        <c:dLbls>
          <c:showLegendKey val="0"/>
          <c:showVal val="0"/>
          <c:showCatName val="0"/>
          <c:showSerName val="0"/>
          <c:showPercent val="0"/>
          <c:showBubbleSize val="0"/>
          <c:showLeaderLines val="1"/>
        </c:dLbls>
        <c:firstSliceAng val="15"/>
      </c:pieChart>
      <c:spPr>
        <a:noFill/>
        <a:ln w="18997">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1d11cb1b-1b7e-46dd-99d9-15d84793a286}"/>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1157556270096"/>
          <c:y val="0.129186602870813"/>
          <c:w val="0.405144694533762"/>
          <c:h val="0.602870813397135"/>
        </c:manualLayout>
      </c:layout>
      <c:pieChart>
        <c:varyColors val="1"/>
        <c:ser>
          <c:idx val="0"/>
          <c:order val="0"/>
          <c:tx>
            <c:strRef>
              <c:f>Sheet1!$B$1</c:f>
              <c:strCache>
                <c:ptCount val="1"/>
                <c:pt idx="0">
                  <c:v>列1</c:v>
                </c:pt>
              </c:strCache>
            </c:strRef>
          </c:tx>
          <c:explosion val="0"/>
          <c:dPt>
            <c:idx val="0"/>
            <c:bubble3D val="0"/>
          </c:dPt>
          <c:dLbls>
            <c:spPr>
              <a:noFill/>
              <a:ln w="18997">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公务接待费</c:v>
                </c:pt>
              </c:strCache>
            </c:strRef>
          </c:cat>
          <c:val>
            <c:numRef>
              <c:f>Sheet1!$B$2</c:f>
              <c:numCache>
                <c:formatCode>General</c:formatCode>
                <c:ptCount val="1"/>
                <c:pt idx="0">
                  <c:v>0.22</c:v>
                </c:pt>
              </c:numCache>
            </c:numRef>
          </c:val>
        </c:ser>
        <c:dLbls>
          <c:showLegendKey val="0"/>
          <c:showVal val="1"/>
          <c:showCatName val="1"/>
          <c:showSerName val="0"/>
          <c:showPercent val="0"/>
          <c:showBubbleSize val="0"/>
          <c:showLeaderLines val="1"/>
        </c:dLbls>
        <c:firstSliceAng val="0"/>
      </c:pieChart>
      <c:spPr>
        <a:noFill/>
        <a:ln w="18997">
          <a:noFill/>
        </a:ln>
      </c:spPr>
    </c:plotArea>
    <c:plotVisOnly val="1"/>
    <c:dispBlanksAs val="zero"/>
    <c:showDLblsOverMax val="0"/>
    <c:extLst>
      <c:ext uri="{0b15fc19-7d7d-44ad-8c2d-2c3a37ce22c3}">
        <chartProps xmlns="https://web.wps.cn/et/2018/main" chartId="{b21ba665-0ec8-4484-9f91-42e12398334b}"/>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BA9A-7774-418E-9984-F987BAA474A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10887</Words>
  <Characters>11662</Characters>
  <Lines>85</Lines>
  <Paragraphs>24</Paragraphs>
  <TotalTime>299</TotalTime>
  <ScaleCrop>false</ScaleCrop>
  <LinksUpToDate>false</LinksUpToDate>
  <CharactersWithSpaces>11750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2025-10-22T01:56:00Z</dcterms:created>
  <dc:creator>曹颖</dc:creator>
  <cp:lastModifiedBy>杨云霞</cp:lastModifiedBy>
  <cp:lastPrinted>2025-10-22T07:59:00Z</cp:lastPrinted>
  <dcterms:modified xsi:type="dcterms:W3CDTF">2025-10-27T03:24:59Z</dcterms:modified>
  <dc:title>四川省***</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111255BB2B31400FA85E46852EBD7FA8_13</vt:lpwstr>
  </property>
  <property fmtid="{D5CDD505-2E9C-101B-9397-08002B2CF9AE}" pid="4" name="KSOTemplateDocerSaveRecord">
    <vt:lpwstr>eyJoZGlkIjoiZjNmNjNiN2ZkZWYzODU3Y2VhOTUwZWNhNTQ4YWI5YTMiLCJ1c2VySWQiOiI0MzA0MzU5NTgifQ==</vt:lpwstr>
  </property>
</Properties>
</file>