
<file path=[Content_Types].xml><?xml version="1.0" encoding="utf-8"?>
<Types xmlns="http://schemas.openxmlformats.org/package/2006/content-types">
  <Default Extension="xml" ContentType="application/xml"/>
  <Default Extension="xlsx" ContentType="application/vnd.openxmlformats-officedocument.spreadsheetml.shee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8EBA9D">
      <w:pPr>
        <w:pStyle w:val="7"/>
        <w:spacing w:before="93"/>
        <w:rPr>
          <w:rFonts w:ascii="Times New Roman" w:eastAsia="方正小标宋简体"/>
          <w:kern w:val="2"/>
          <w:sz w:val="72"/>
          <w:szCs w:val="72"/>
        </w:rPr>
      </w:pPr>
      <w:bookmarkStart w:id="0" w:name="_Toc15396597"/>
      <w:bookmarkStart w:id="1" w:name="_Toc15306267"/>
      <w:bookmarkStart w:id="2" w:name="_Toc15378441"/>
      <w:bookmarkStart w:id="3" w:name="_Toc15377193"/>
      <w:bookmarkStart w:id="4" w:name="_Toc15377425"/>
      <w:bookmarkStart w:id="5" w:name="_Toc15396475"/>
    </w:p>
    <w:p w14:paraId="2D9CB505">
      <w:pPr>
        <w:pStyle w:val="7"/>
        <w:spacing w:before="93"/>
        <w:rPr>
          <w:rFonts w:ascii="Times New Roman" w:eastAsia="方正小标宋简体"/>
          <w:kern w:val="2"/>
          <w:sz w:val="72"/>
          <w:szCs w:val="72"/>
        </w:rPr>
      </w:pPr>
    </w:p>
    <w:p w14:paraId="09473BEE">
      <w:pPr>
        <w:pStyle w:val="7"/>
        <w:spacing w:before="93"/>
        <w:rPr>
          <w:rFonts w:ascii="Times New Roman" w:eastAsia="方正小标宋简体"/>
          <w:kern w:val="2"/>
          <w:sz w:val="72"/>
          <w:szCs w:val="72"/>
        </w:rPr>
      </w:pPr>
    </w:p>
    <w:p w14:paraId="79C06258">
      <w:pPr>
        <w:pStyle w:val="7"/>
        <w:spacing w:before="93"/>
        <w:jc w:val="center"/>
        <w:rPr>
          <w:rFonts w:ascii="Times New Roman" w:eastAsia="方正小标宋简体"/>
          <w:kern w:val="2"/>
          <w:sz w:val="72"/>
          <w:szCs w:val="72"/>
        </w:rPr>
      </w:pPr>
      <w:r>
        <w:rPr>
          <w:rFonts w:hint="eastAsia" w:ascii="Times New Roman" w:eastAsia="方正小标宋简体"/>
          <w:kern w:val="2"/>
          <w:sz w:val="72"/>
          <w:szCs w:val="72"/>
        </w:rPr>
        <w:t>2024年度</w:t>
      </w:r>
    </w:p>
    <w:p w14:paraId="760075DB">
      <w:pPr>
        <w:pStyle w:val="7"/>
        <w:spacing w:before="93"/>
        <w:jc w:val="center"/>
        <w:rPr>
          <w:rFonts w:ascii="Times New Roman" w:eastAsia="方正小标宋简体"/>
          <w:kern w:val="2"/>
          <w:sz w:val="68"/>
          <w:szCs w:val="68"/>
        </w:rPr>
      </w:pPr>
      <w:r>
        <w:rPr>
          <w:rFonts w:hint="eastAsia" w:ascii="Times New Roman" w:eastAsia="方正小标宋简体"/>
          <w:kern w:val="2"/>
          <w:sz w:val="68"/>
          <w:szCs w:val="68"/>
        </w:rPr>
        <w:t>盐边县行政审批局部门决算</w:t>
      </w:r>
    </w:p>
    <w:p w14:paraId="1AD8F146">
      <w:pPr>
        <w:pStyle w:val="7"/>
        <w:spacing w:before="93"/>
        <w:jc w:val="center"/>
        <w:rPr>
          <w:rFonts w:ascii="Times New Roman" w:eastAsia="方正小标宋简体"/>
          <w:kern w:val="2"/>
          <w:sz w:val="72"/>
          <w:szCs w:val="72"/>
        </w:rPr>
      </w:pPr>
      <w:r>
        <w:rPr>
          <w:rFonts w:hint="eastAsia" w:ascii="Times New Roman" w:eastAsia="方正小标宋简体"/>
          <w:kern w:val="2"/>
          <w:sz w:val="72"/>
          <w:szCs w:val="72"/>
        </w:rPr>
        <w:t>公开编制说明</w:t>
      </w:r>
    </w:p>
    <w:p w14:paraId="60C8BB85">
      <w:pPr>
        <w:spacing w:line="600" w:lineRule="exact"/>
        <w:jc w:val="center"/>
        <w:outlineLvl w:val="0"/>
        <w:rPr>
          <w:rFonts w:eastAsia="方正小标宋简体"/>
          <w:sz w:val="72"/>
          <w:szCs w:val="72"/>
        </w:rPr>
      </w:pPr>
    </w:p>
    <w:p w14:paraId="01A2C015">
      <w:pPr>
        <w:pStyle w:val="2"/>
        <w:rPr>
          <w:rFonts w:ascii="Times New Roman" w:hAnsi="Times New Roman"/>
        </w:rPr>
      </w:pPr>
    </w:p>
    <w:p w14:paraId="49E69F04">
      <w:pPr>
        <w:rPr>
          <w:rFonts w:ascii="Times New Roman" w:hAnsi="Times New Roman"/>
        </w:rPr>
      </w:pPr>
    </w:p>
    <w:p w14:paraId="03292A8F">
      <w:pPr>
        <w:pStyle w:val="2"/>
        <w:rPr>
          <w:rFonts w:ascii="Times New Roman" w:hAnsi="Times New Roman"/>
        </w:rPr>
      </w:pPr>
    </w:p>
    <w:p w14:paraId="14427D08">
      <w:pPr>
        <w:rPr>
          <w:rFonts w:ascii="Times New Roman" w:hAnsi="Times New Roman"/>
        </w:rPr>
      </w:pPr>
    </w:p>
    <w:p w14:paraId="6DF91E23">
      <w:pPr>
        <w:pStyle w:val="2"/>
        <w:rPr>
          <w:rFonts w:ascii="Times New Roman" w:hAnsi="Times New Roman"/>
        </w:rPr>
      </w:pPr>
    </w:p>
    <w:p w14:paraId="3116E9C9">
      <w:pPr>
        <w:rPr>
          <w:rFonts w:ascii="Times New Roman" w:hAnsi="Times New Roman"/>
        </w:rPr>
      </w:pPr>
    </w:p>
    <w:p w14:paraId="53A04A11">
      <w:pPr>
        <w:pStyle w:val="2"/>
        <w:rPr>
          <w:rFonts w:ascii="Times New Roman" w:hAnsi="Times New Roman"/>
        </w:rPr>
      </w:pPr>
    </w:p>
    <w:p w14:paraId="1C298EF5">
      <w:pPr>
        <w:rPr>
          <w:rFonts w:ascii="Times New Roman" w:hAnsi="Times New Roman"/>
        </w:rPr>
      </w:pPr>
    </w:p>
    <w:p w14:paraId="0A76FD15">
      <w:pPr>
        <w:pStyle w:val="2"/>
        <w:rPr>
          <w:rFonts w:ascii="Times New Roman" w:hAnsi="Times New Roman"/>
        </w:rPr>
      </w:pPr>
    </w:p>
    <w:p w14:paraId="30E6C309">
      <w:pPr>
        <w:rPr>
          <w:rFonts w:ascii="Times New Roman" w:hAnsi="Times New Roman"/>
        </w:rPr>
      </w:pPr>
    </w:p>
    <w:p w14:paraId="4F90EED8">
      <w:pPr>
        <w:pStyle w:val="2"/>
        <w:sectPr>
          <w:headerReference r:id="rId3" w:type="default"/>
          <w:footerReference r:id="rId4" w:type="default"/>
          <w:pgSz w:w="11906" w:h="16838"/>
          <w:pgMar w:top="1440" w:right="1800" w:bottom="1440" w:left="1800" w:header="851" w:footer="992" w:gutter="0"/>
          <w:pgNumType w:fmt="decimal" w:start="1"/>
          <w:cols w:space="425" w:num="1"/>
          <w:titlePg/>
          <w:docGrid w:type="lines" w:linePitch="312" w:charSpace="0"/>
        </w:sectPr>
      </w:pPr>
    </w:p>
    <w:p w14:paraId="11EAC57E"/>
    <w:bookmarkEnd w:id="0"/>
    <w:bookmarkEnd w:id="1"/>
    <w:bookmarkEnd w:id="2"/>
    <w:bookmarkEnd w:id="3"/>
    <w:bookmarkEnd w:id="4"/>
    <w:bookmarkEnd w:id="5"/>
    <w:p w14:paraId="14BA77DC">
      <w:pPr>
        <w:widowControl/>
        <w:jc w:val="center"/>
        <w:rPr>
          <w:rFonts w:eastAsia="黑体"/>
          <w:sz w:val="48"/>
          <w:szCs w:val="48"/>
        </w:rPr>
      </w:pPr>
      <w:r>
        <w:rPr>
          <w:rFonts w:hint="eastAsia" w:eastAsia="黑体"/>
          <w:sz w:val="48"/>
          <w:szCs w:val="48"/>
        </w:rPr>
        <w:t>目录</w:t>
      </w:r>
    </w:p>
    <w:p w14:paraId="64F470FD">
      <w:pPr>
        <w:widowControl/>
        <w:jc w:val="center"/>
        <w:rPr>
          <w:rFonts w:eastAsia="黑体" w:cstheme="minorBidi"/>
          <w:sz w:val="28"/>
          <w:szCs w:val="28"/>
        </w:rPr>
      </w:pPr>
    </w:p>
    <w:p w14:paraId="25DA59BD">
      <w:pPr>
        <w:pStyle w:val="14"/>
        <w:rPr>
          <w:rFonts w:ascii="Times New Roman" w:hAnsi="Times New Roman" w:eastAsia="仿宋_GB2312" w:cs="仿宋_GB2312"/>
          <w:sz w:val="32"/>
          <w:szCs w:val="32"/>
        </w:rPr>
      </w:pPr>
      <w:r>
        <w:rPr>
          <w:rFonts w:hint="eastAsia" w:ascii="Times New Roman" w:hAnsi="Times New Roman" w:eastAsia="仿宋_GB2312" w:cs="仿宋_GB2312"/>
          <w:sz w:val="32"/>
          <w:szCs w:val="32"/>
        </w:rPr>
        <w:t>公开时间：2025年10月2</w:t>
      </w:r>
      <w:r>
        <w:rPr>
          <w:rFonts w:hint="eastAsia" w:ascii="Times New Roman" w:hAnsi="Times New Roman" w:eastAsia="仿宋_GB2312" w:cs="仿宋_GB2312"/>
          <w:sz w:val="32"/>
          <w:szCs w:val="32"/>
          <w:lang w:val="en-US" w:eastAsia="zh-CN"/>
        </w:rPr>
        <w:t>7</w:t>
      </w:r>
      <w:r>
        <w:rPr>
          <w:rFonts w:hint="eastAsia" w:ascii="Times New Roman" w:hAnsi="Times New Roman" w:eastAsia="仿宋_GB2312" w:cs="仿宋_GB2312"/>
          <w:sz w:val="32"/>
          <w:szCs w:val="32"/>
        </w:rPr>
        <w:t>日</w:t>
      </w:r>
    </w:p>
    <w:p w14:paraId="6C806158"/>
    <w:p w14:paraId="79729AE6">
      <w:pPr>
        <w:pStyle w:val="14"/>
        <w:adjustRightInd w:val="0"/>
        <w:snapToGrid w:val="0"/>
        <w:spacing w:before="0" w:line="560" w:lineRule="exact"/>
        <w:jc w:val="left"/>
        <w:rPr>
          <w:rFonts w:hint="default" w:ascii="Times New Roman" w:hAnsi="Times New Roman" w:eastAsia="黑体" w:cs="黑体"/>
          <w:sz w:val="32"/>
          <w:szCs w:val="32"/>
          <w:lang w:val="en-US" w:eastAsia="zh-CN"/>
        </w:rPr>
      </w:pPr>
      <w:r>
        <w:rPr>
          <w:rFonts w:hint="eastAsia" w:ascii="Times New Roman" w:hAnsi="Times New Roman" w:eastAsia="黑体" w:cs="黑体"/>
          <w:sz w:val="32"/>
          <w:szCs w:val="32"/>
        </w:rPr>
        <w:t>第一部分 部门概况</w:t>
      </w:r>
      <w:r>
        <w:rPr>
          <w:rFonts w:hint="eastAsia" w:ascii="Times New Roman" w:hAnsi="Times New Roman" w:eastAsia="黑体" w:cs="黑体"/>
          <w:sz w:val="32"/>
          <w:szCs w:val="32"/>
          <w:lang w:val="en-US" w:eastAsia="zh-CN"/>
        </w:rPr>
        <w:t>...................................................................3</w:t>
      </w:r>
    </w:p>
    <w:p w14:paraId="5E2B34DD">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一、部门职责</w:t>
      </w:r>
      <w:r>
        <w:rPr>
          <w:rFonts w:hint="eastAsia" w:ascii="Times New Roman" w:hAnsi="Times New Roman" w:eastAsia="黑体" w:cs="黑体"/>
          <w:sz w:val="32"/>
          <w:szCs w:val="32"/>
          <w:lang w:val="en-US" w:eastAsia="zh-CN"/>
        </w:rPr>
        <w:t>.....................................................................3</w:t>
      </w:r>
    </w:p>
    <w:p w14:paraId="0758D600">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二、机构设置</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4</w:t>
      </w:r>
    </w:p>
    <w:p w14:paraId="44529359">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第二部分 2024年度部门决算情况说明</w:t>
      </w:r>
      <w:r>
        <w:rPr>
          <w:rFonts w:hint="eastAsia" w:ascii="Times New Roman" w:hAnsi="Times New Roman" w:eastAsia="黑体" w:cs="黑体"/>
          <w:sz w:val="32"/>
          <w:szCs w:val="32"/>
          <w:lang w:val="en-US" w:eastAsia="zh-CN"/>
        </w:rPr>
        <w:t>..................................5</w:t>
      </w:r>
    </w:p>
    <w:p w14:paraId="44A0E8F8">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一、收入支出决算总体情况说明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5</w:t>
      </w:r>
    </w:p>
    <w:p w14:paraId="596341D9">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5</w:t>
      </w:r>
    </w:p>
    <w:p w14:paraId="7AC1BB30">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三、支出决算情况说明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w:t>
      </w:r>
    </w:p>
    <w:p w14:paraId="3C69CFE6">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四、财政拨款收入支出决算总体情况说明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6</w:t>
      </w:r>
    </w:p>
    <w:p w14:paraId="742BC624">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五、一般公共预算财政拨款支出决算情况说明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7</w:t>
      </w:r>
    </w:p>
    <w:p w14:paraId="2F00FA33">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六、一般公共预算财政拨款基本支出决算情况说明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9</w:t>
      </w:r>
    </w:p>
    <w:p w14:paraId="61AD1538">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七、财政拨款“三公”经费支出决算情况说明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10</w:t>
      </w:r>
    </w:p>
    <w:p w14:paraId="5D9E1F0D">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八、政府性基金预算支出决算情况说明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11</w:t>
      </w:r>
    </w:p>
    <w:p w14:paraId="32CCD1D5">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九、国有资本经营预算支出决算情况说明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11</w:t>
      </w:r>
    </w:p>
    <w:p w14:paraId="5ACF1C07">
      <w:pPr>
        <w:pStyle w:val="16"/>
        <w:adjustRightInd w:val="0"/>
        <w:snapToGrid w:val="0"/>
        <w:spacing w:line="560" w:lineRule="exact"/>
        <w:ind w:left="0" w:leftChars="0" w:firstLine="640" w:firstLineChars="200"/>
        <w:jc w:val="left"/>
        <w:rPr>
          <w:rFonts w:hint="default" w:eastAsia="仿宋_GB2312" w:cs="仿宋_GB2312"/>
          <w:sz w:val="32"/>
          <w:szCs w:val="32"/>
          <w:lang w:val="en-US"/>
        </w:rPr>
      </w:pPr>
      <w:r>
        <w:rPr>
          <w:rFonts w:hint="eastAsia" w:eastAsia="仿宋_GB2312" w:cs="仿宋_GB2312"/>
          <w:sz w:val="32"/>
          <w:szCs w:val="32"/>
        </w:rPr>
        <w:t>十、其他重要事项的情况说明</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11</w:t>
      </w:r>
    </w:p>
    <w:p w14:paraId="305F8374">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第三部分 名词解释</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14</w:t>
      </w:r>
    </w:p>
    <w:p w14:paraId="56F3D889">
      <w:pPr>
        <w:pStyle w:val="14"/>
        <w:adjustRightInd w:val="0"/>
        <w:snapToGrid w:val="0"/>
        <w:spacing w:before="0" w:line="560" w:lineRule="exact"/>
        <w:jc w:val="left"/>
        <w:rPr>
          <w:rFonts w:ascii="Times New Roman" w:hAnsi="Times New Roman" w:eastAsia="黑体" w:cs="黑体"/>
          <w:sz w:val="32"/>
          <w:szCs w:val="32"/>
        </w:rPr>
      </w:pPr>
      <w:r>
        <w:rPr>
          <w:rFonts w:hint="eastAsia" w:ascii="Times New Roman" w:hAnsi="Times New Roman" w:eastAsia="黑体" w:cs="黑体"/>
          <w:sz w:val="32"/>
          <w:szCs w:val="32"/>
        </w:rPr>
        <w:t>第四部分 附件</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18</w:t>
      </w:r>
    </w:p>
    <w:p w14:paraId="7086F87F">
      <w:pPr>
        <w:pStyle w:val="14"/>
        <w:adjustRightInd w:val="0"/>
        <w:snapToGrid w:val="0"/>
        <w:spacing w:before="0" w:line="560" w:lineRule="exact"/>
        <w:jc w:val="left"/>
        <w:rPr>
          <w:rFonts w:hint="default" w:ascii="Times New Roman" w:hAnsi="Times New Roman" w:eastAsia="黑体" w:cs="黑体"/>
          <w:sz w:val="32"/>
          <w:szCs w:val="32"/>
          <w:lang w:val="en-US"/>
        </w:rPr>
      </w:pPr>
      <w:r>
        <w:rPr>
          <w:rFonts w:hint="eastAsia" w:ascii="Times New Roman" w:hAnsi="Times New Roman" w:eastAsia="黑体" w:cs="黑体"/>
          <w:sz w:val="32"/>
          <w:szCs w:val="32"/>
        </w:rPr>
        <w:t>第五部分 附表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6FABFAF8">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一、收入支出决算总表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7E701AF1">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二、收入决算表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520AA44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三、支出决算表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41A5361A">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四、财政拨款收入支出决算总表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11BABE2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五、财政拨款支出决算明细表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1586360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六、一般公共预算财政拨款支出决算表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3D9E2ABE">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七、一般公共预算财政拨款支出决算明细表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4B9DDEEC">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八、一般公共预算财政拨款基本支出决算明细表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04ED44A2">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九、一般公共预算财政拨款项目支出决算表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765ACAC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十、政府性基金预算财政拨款收入支出决算表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5F479DC3">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十一、国有资本经营预算财政拨款收入支出决算表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75A25344">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十二、国有资本经营预算财政拨款支出决算表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1A389BC0">
      <w:pPr>
        <w:pStyle w:val="16"/>
        <w:adjustRightInd w:val="0"/>
        <w:snapToGrid w:val="0"/>
        <w:spacing w:line="560" w:lineRule="exact"/>
        <w:ind w:left="0" w:leftChars="0" w:firstLine="640" w:firstLineChars="200"/>
        <w:jc w:val="left"/>
        <w:rPr>
          <w:rFonts w:eastAsia="仿宋_GB2312" w:cs="仿宋_GB2312"/>
          <w:sz w:val="32"/>
          <w:szCs w:val="32"/>
        </w:rPr>
      </w:pPr>
      <w:r>
        <w:rPr>
          <w:rFonts w:hint="eastAsia" w:eastAsia="仿宋_GB2312" w:cs="仿宋_GB2312"/>
          <w:sz w:val="32"/>
          <w:szCs w:val="32"/>
        </w:rPr>
        <w:t>十三、财政拨款“三公”经费支出决算表</w:t>
      </w:r>
      <w:r>
        <w:rPr>
          <w:rFonts w:hint="eastAsia" w:ascii="Times New Roman" w:hAnsi="Times New Roman" w:eastAsia="黑体" w:cs="黑体"/>
          <w:sz w:val="32"/>
          <w:szCs w:val="32"/>
          <w:lang w:val="en-US" w:eastAsia="zh-CN"/>
        </w:rPr>
        <w:t>..................</w:t>
      </w:r>
      <w:r>
        <w:rPr>
          <w:rFonts w:hint="eastAsia" w:eastAsia="黑体" w:cs="黑体"/>
          <w:sz w:val="32"/>
          <w:szCs w:val="32"/>
          <w:lang w:val="en-US" w:eastAsia="zh-CN"/>
        </w:rPr>
        <w:t>24</w:t>
      </w:r>
    </w:p>
    <w:p w14:paraId="58139C80">
      <w:pPr>
        <w:widowControl/>
        <w:spacing w:line="560" w:lineRule="exact"/>
        <w:jc w:val="left"/>
        <w:rPr>
          <w:rFonts w:eastAsia="仿宋_GB2312" w:cs="仿宋_GB2312"/>
          <w:bCs/>
          <w:kern w:val="44"/>
          <w:sz w:val="32"/>
          <w:szCs w:val="32"/>
        </w:rPr>
      </w:pPr>
      <w:bookmarkStart w:id="6" w:name="_Toc15377196"/>
      <w:bookmarkStart w:id="7" w:name="_Toc15396599"/>
      <w:r>
        <w:rPr>
          <w:rFonts w:hint="eastAsia" w:eastAsia="仿宋_GB2312" w:cs="仿宋_GB2312"/>
          <w:b/>
          <w:sz w:val="32"/>
          <w:szCs w:val="32"/>
        </w:rPr>
        <w:br w:type="page"/>
      </w:r>
    </w:p>
    <w:p w14:paraId="0CC2F1C6">
      <w:pPr>
        <w:pStyle w:val="3"/>
        <w:jc w:val="center"/>
        <w:rPr>
          <w:rStyle w:val="29"/>
          <w:rFonts w:eastAsia="方正小标宋简体" w:cs="方正小标宋简体"/>
          <w:b/>
          <w:bCs w:val="0"/>
        </w:rPr>
      </w:pPr>
      <w:r>
        <w:rPr>
          <w:rFonts w:hint="eastAsia" w:eastAsia="方正小标宋简体" w:cs="方正小标宋简体"/>
          <w:b w:val="0"/>
        </w:rPr>
        <w:t xml:space="preserve">第一部分  </w:t>
      </w:r>
      <w:r>
        <w:rPr>
          <w:rStyle w:val="29"/>
          <w:rFonts w:hint="eastAsia" w:eastAsia="方正小标宋简体" w:cs="方正小标宋简体"/>
          <w:b w:val="0"/>
          <w:bCs w:val="0"/>
        </w:rPr>
        <w:t>部门概况</w:t>
      </w:r>
      <w:bookmarkEnd w:id="6"/>
      <w:bookmarkEnd w:id="7"/>
    </w:p>
    <w:p w14:paraId="2C90F0C6">
      <w:pPr>
        <w:widowControl/>
        <w:jc w:val="left"/>
        <w:rPr>
          <w:rFonts w:eastAsia="黑体"/>
          <w:sz w:val="32"/>
          <w:szCs w:val="32"/>
        </w:rPr>
      </w:pPr>
    </w:p>
    <w:p w14:paraId="2BFE1EB3">
      <w:pPr>
        <w:pStyle w:val="4"/>
        <w:numPr>
          <w:ilvl w:val="0"/>
          <w:numId w:val="1"/>
        </w:numPr>
        <w:rPr>
          <w:rFonts w:hint="eastAsia" w:ascii="Times New Roman" w:hAnsi="Times New Roman" w:eastAsia="黑体"/>
          <w:b w:val="0"/>
        </w:rPr>
      </w:pPr>
      <w:r>
        <w:rPr>
          <w:rFonts w:hint="eastAsia" w:ascii="Times New Roman" w:hAnsi="Times New Roman" w:eastAsia="黑体"/>
          <w:b w:val="0"/>
        </w:rPr>
        <w:t>部门职责</w:t>
      </w:r>
    </w:p>
    <w:p w14:paraId="7DC69143">
      <w:pPr>
        <w:ind w:firstLine="640" w:firstLineChars="200"/>
        <w:jc w:val="left"/>
        <w:rPr>
          <w:rFonts w:ascii="仿宋_GB2312" w:hAnsi="仿宋_GB2312" w:eastAsia="仿宋_GB2312" w:cs="仿宋_GB2312"/>
          <w:sz w:val="32"/>
          <w:szCs w:val="32"/>
        </w:rPr>
      </w:pPr>
      <w:r>
        <w:rPr>
          <w:rFonts w:ascii="仿宋_GB2312" w:hAnsi="仿宋_GB2312" w:eastAsia="仿宋_GB2312" w:cs="仿宋_GB2312"/>
          <w:sz w:val="32"/>
          <w:szCs w:val="32"/>
        </w:rPr>
        <w:t>盐边县行政审批局为盐边县人民政府工作部门,为正科级。下属事业单位2个(盐边县政务服务中心、盐边县政府采购中心)。具有以下职能职责：</w:t>
      </w:r>
    </w:p>
    <w:p w14:paraId="47412BED">
      <w:pPr>
        <w:pStyle w:val="28"/>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（一）组织拟订全县行政审批制度改革及政务服务发展规划、政策、措施并组织、指导实施。</w:t>
      </w:r>
    </w:p>
    <w:p w14:paraId="0821F7BD">
      <w:pPr>
        <w:pStyle w:val="28"/>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二）负责政务服务管理工作；指导、协调并推进全县政务服务体系建设；指导、协调和监督县级部门（单位）开展政务服务工作；指导、监督政务服务网络信息平台建设和运行工作，对乡（镇）、村（社区）政务服务工作进行业务指导。</w:t>
      </w:r>
    </w:p>
    <w:p w14:paraId="5F48045C">
      <w:pPr>
        <w:pStyle w:val="28"/>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三）负责对相关行政审批部门划转到行政审批局的事项进行集中办理，以方便企业和群众办事为目标，规范行政审批行为，优化办事流程，督促落实审批事项事中事后监管措施，加快推进审批服务便民化相关举措，持续开展减证便民行动，积极推进政务服务“一网、一门、一次”改革。</w:t>
      </w:r>
    </w:p>
    <w:p w14:paraId="2E0924B9">
      <w:pPr>
        <w:pStyle w:val="28"/>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（四）负责县级政府集中采购工作。</w:t>
      </w:r>
    </w:p>
    <w:p w14:paraId="27B24293">
      <w:pPr>
        <w:pStyle w:val="28"/>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（五）负责指导、协调、监督、考核、管理进驻部门（单位）的政务服务工作，审核进驻政务服务事项。对部门（单位）独立设置的办事大厅进行业务指导和监督。</w:t>
      </w:r>
    </w:p>
    <w:p w14:paraId="57DC9A5C">
      <w:pPr>
        <w:pStyle w:val="28"/>
        <w:ind w:firstLine="640"/>
        <w:jc w:val="left"/>
        <w:rPr>
          <w:rFonts w:hint="eastAsia" w:ascii="仿宋_GB2312" w:hAnsi="仿宋_GB2312" w:eastAsia="仿宋_GB2312" w:cs="仿宋_GB2312"/>
          <w:sz w:val="32"/>
          <w:szCs w:val="32"/>
        </w:rPr>
      </w:pPr>
      <w:r>
        <w:rPr>
          <w:rFonts w:ascii="仿宋_GB2312" w:hAnsi="仿宋_GB2312" w:eastAsia="仿宋_GB2312" w:cs="仿宋_GB2312"/>
          <w:sz w:val="32"/>
          <w:szCs w:val="32"/>
        </w:rPr>
        <w:t>（六）负责职责范围内的安全生产和职业健康、生态环境保护、审批服务便民化等工作。</w:t>
      </w:r>
      <w:bookmarkStart w:id="8" w:name="_Toc116649634"/>
      <w:bookmarkStart w:id="9" w:name="_Toc116980968"/>
    </w:p>
    <w:p w14:paraId="2EAB7C75">
      <w:pPr>
        <w:pStyle w:val="28"/>
        <w:ind w:firstLine="640"/>
        <w:jc w:val="left"/>
        <w:rPr>
          <w:rFonts w:ascii="仿宋_GB2312" w:hAnsi="仿宋_GB2312" w:eastAsia="仿宋_GB2312" w:cs="仿宋_GB2312"/>
          <w:sz w:val="32"/>
          <w:szCs w:val="32"/>
        </w:rPr>
      </w:pPr>
      <w:r>
        <w:rPr>
          <w:rFonts w:ascii="仿宋_GB2312" w:hAnsi="仿宋_GB2312" w:eastAsia="仿宋_GB2312" w:cs="仿宋_GB2312"/>
          <w:sz w:val="32"/>
          <w:szCs w:val="32"/>
        </w:rPr>
        <w:t>（七）完成县委、县政府交办的其他任务。</w:t>
      </w:r>
      <w:bookmarkEnd w:id="8"/>
      <w:bookmarkEnd w:id="9"/>
    </w:p>
    <w:p w14:paraId="6ABF5356">
      <w:pPr>
        <w:pStyle w:val="4"/>
        <w:rPr>
          <w:rStyle w:val="30"/>
          <w:rFonts w:ascii="Times New Roman" w:hAnsi="Times New Roman"/>
          <w:b w:val="0"/>
          <w:bCs w:val="0"/>
        </w:rPr>
      </w:pPr>
      <w:bookmarkStart w:id="10" w:name="_Toc15396601"/>
      <w:bookmarkStart w:id="11" w:name="_Toc15377200"/>
      <w:r>
        <w:rPr>
          <w:rFonts w:hint="eastAsia" w:ascii="Times New Roman" w:hAnsi="Times New Roman" w:eastAsia="黑体"/>
          <w:b w:val="0"/>
        </w:rPr>
        <w:t>二、机</w:t>
      </w:r>
      <w:r>
        <w:rPr>
          <w:rStyle w:val="30"/>
          <w:rFonts w:hint="eastAsia" w:ascii="Times New Roman" w:hAnsi="Times New Roman" w:eastAsia="黑体"/>
          <w:b w:val="0"/>
          <w:bCs w:val="0"/>
        </w:rPr>
        <w:t>构设置</w:t>
      </w:r>
      <w:bookmarkEnd w:id="10"/>
      <w:bookmarkEnd w:id="11"/>
    </w:p>
    <w:p w14:paraId="32AA4FE0">
      <w:pPr>
        <w:ind w:firstLine="800" w:firstLineChars="25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盐边县行政审批局下属二级预算单位1个，其中行政单位1个，参照公务员法管理的事业单位0个，其他事业单位0个。</w:t>
      </w:r>
    </w:p>
    <w:p w14:paraId="0708E877">
      <w:pPr>
        <w:ind w:firstLine="800" w:firstLineChars="25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纳入盐边县行政审批局2024年度部门决算编制范围的二级预算单位</w:t>
      </w:r>
      <w:r>
        <w:rPr>
          <w:rFonts w:hint="eastAsia" w:ascii="仿宋_GB2312" w:hAnsi="仿宋_GB2312" w:eastAsia="仿宋_GB2312" w:cs="仿宋_GB2312"/>
          <w:sz w:val="32"/>
          <w:szCs w:val="32"/>
          <w:lang w:eastAsia="zh-CN"/>
        </w:rPr>
        <w:t>包括：盐边县行政审批局。</w:t>
      </w:r>
    </w:p>
    <w:p w14:paraId="6832B5E8">
      <w:pPr>
        <w:pStyle w:val="3"/>
        <w:jc w:val="center"/>
        <w:rPr>
          <w:rFonts w:eastAsia="方正小标宋简体" w:cs="方正小标宋简体"/>
          <w:b w:val="0"/>
        </w:rPr>
      </w:pPr>
      <w:r>
        <w:rPr>
          <w:rFonts w:eastAsia="仿宋"/>
          <w:sz w:val="32"/>
          <w:szCs w:val="32"/>
        </w:rPr>
        <w:br w:type="page"/>
      </w:r>
      <w:bookmarkStart w:id="12" w:name="_Toc15377204"/>
      <w:bookmarkStart w:id="13" w:name="_Toc15396602"/>
      <w:r>
        <w:rPr>
          <w:rFonts w:hint="eastAsia" w:eastAsia="方正小标宋简体" w:cs="方正小标宋简体"/>
          <w:b w:val="0"/>
        </w:rPr>
        <w:t>第二部分  2024年度部门决算情况说明</w:t>
      </w:r>
      <w:bookmarkEnd w:id="12"/>
      <w:bookmarkEnd w:id="13"/>
    </w:p>
    <w:p w14:paraId="74559396"/>
    <w:p w14:paraId="5C36E47B">
      <w:pPr>
        <w:pStyle w:val="28"/>
        <w:spacing w:line="600" w:lineRule="exact"/>
        <w:ind w:firstLine="640"/>
        <w:outlineLvl w:val="1"/>
        <w:rPr>
          <w:rStyle w:val="30"/>
          <w:rFonts w:ascii="Times New Roman" w:hAnsi="Times New Roman" w:eastAsia="黑体"/>
          <w:b w:val="0"/>
        </w:rPr>
      </w:pPr>
      <w:bookmarkStart w:id="14" w:name="_Toc15396603"/>
      <w:bookmarkStart w:id="15" w:name="_Toc15377205"/>
      <w:r>
        <w:rPr>
          <w:rFonts w:hint="eastAsia" w:eastAsia="黑体"/>
          <w:sz w:val="32"/>
          <w:szCs w:val="32"/>
        </w:rPr>
        <w:t>一、收</w:t>
      </w:r>
      <w:r>
        <w:rPr>
          <w:rStyle w:val="30"/>
          <w:rFonts w:hint="eastAsia" w:ascii="Times New Roman" w:hAnsi="Times New Roman" w:eastAsia="黑体"/>
          <w:b w:val="0"/>
        </w:rPr>
        <w:t>入支出决算总体情况说明</w:t>
      </w:r>
      <w:bookmarkEnd w:id="14"/>
      <w:bookmarkEnd w:id="15"/>
    </w:p>
    <w:p w14:paraId="50F1528A">
      <w:pPr>
        <w:pStyle w:val="28"/>
        <w:spacing w:line="600" w:lineRule="exact"/>
        <w:ind w:firstLine="640"/>
        <w:outlineLvl w:val="1"/>
        <w:rPr>
          <w:rFonts w:eastAsia="仿宋_GB2312" w:cs="仿宋_GB2312"/>
          <w:sz w:val="32"/>
          <w:szCs w:val="32"/>
        </w:rPr>
      </w:pPr>
      <w:r>
        <w:rPr>
          <w:rFonts w:hint="eastAsia" w:eastAsia="仿宋_GB2312" w:cs="仿宋_GB2312"/>
          <w:sz w:val="32"/>
          <w:szCs w:val="32"/>
        </w:rPr>
        <w:t>2024年度收入、支出总计均为</w:t>
      </w:r>
      <w:r>
        <w:rPr>
          <w:rFonts w:hint="eastAsia" w:ascii="仿宋_GB2312" w:hAnsi="仿宋_GB2312" w:eastAsia="仿宋_GB2312" w:cs="仿宋_GB2312"/>
          <w:sz w:val="32"/>
          <w:szCs w:val="32"/>
        </w:rPr>
        <w:t>510.05</w:t>
      </w:r>
      <w:r>
        <w:rPr>
          <w:rFonts w:hint="eastAsia" w:eastAsia="仿宋_GB2312" w:cs="仿宋_GB2312"/>
          <w:sz w:val="32"/>
          <w:szCs w:val="32"/>
        </w:rPr>
        <w:t>万元。与2023年度相比，收入、支出总计各增加22.08万元，增长4.53%。主要变动原因是项目支出增加，将人脸考勤系统配置、“惠企政策服务专窗”专项经费等费用纳入项目资金。</w:t>
      </w:r>
    </w:p>
    <w:p w14:paraId="57B511C5">
      <w:pPr>
        <w:rPr>
          <w:rFonts w:eastAsia="仿宋_GB2312" w:cs="仿宋_GB2312"/>
          <w:sz w:val="32"/>
          <w:szCs w:val="32"/>
        </w:rPr>
      </w:pPr>
      <w:r>
        <w:rPr>
          <w:rFonts w:eastAsia="仿宋_GB2312" w:cs="仿宋_GB2312"/>
          <w:sz w:val="32"/>
          <w:szCs w:val="32"/>
        </w:rPr>
        <w:drawing>
          <wp:inline distT="0" distB="0" distL="0" distR="0">
            <wp:extent cx="4905375" cy="2957830"/>
            <wp:effectExtent l="0" t="0" r="9525" b="1397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98E7785">
      <w:pPr>
        <w:pStyle w:val="28"/>
        <w:spacing w:line="600" w:lineRule="exact"/>
        <w:ind w:firstLine="640"/>
        <w:outlineLvl w:val="1"/>
        <w:rPr>
          <w:rFonts w:eastAsia="黑体"/>
          <w:sz w:val="32"/>
          <w:szCs w:val="32"/>
        </w:rPr>
      </w:pPr>
      <w:bookmarkStart w:id="16" w:name="_Toc15377206"/>
      <w:bookmarkStart w:id="17" w:name="_Toc15396604"/>
      <w:r>
        <w:rPr>
          <w:rFonts w:hint="eastAsia" w:eastAsia="黑体"/>
          <w:sz w:val="32"/>
          <w:szCs w:val="32"/>
        </w:rPr>
        <w:t>二、收入决算情况说明</w:t>
      </w:r>
      <w:bookmarkEnd w:id="16"/>
      <w:bookmarkEnd w:id="17"/>
    </w:p>
    <w:p w14:paraId="78EA80C5">
      <w:pPr>
        <w:pStyle w:val="28"/>
        <w:spacing w:line="600" w:lineRule="exact"/>
        <w:ind w:firstLine="640"/>
        <w:jc w:val="left"/>
        <w:outlineLvl w:val="1"/>
        <w:rPr>
          <w:rFonts w:eastAsia="仿宋_GB2312" w:cs="仿宋_GB2312"/>
          <w:b/>
          <w:bCs/>
          <w:sz w:val="32"/>
          <w:szCs w:val="32"/>
        </w:rPr>
      </w:pPr>
      <w:r>
        <w:rPr>
          <w:rFonts w:hint="eastAsia" w:ascii="仿宋_GB2312" w:hAnsi="仿宋_GB2312" w:eastAsia="仿宋_GB2312" w:cs="仿宋_GB2312"/>
          <w:sz w:val="32"/>
          <w:szCs w:val="32"/>
        </w:rPr>
        <w:t>2024年度本年收入合计510.05万元，其中：一般公共预算财政拨款收入510.05万元，占100%。</w:t>
      </w:r>
    </w:p>
    <w:p w14:paraId="3C0FCD6F">
      <w:pPr>
        <w:rPr>
          <w:rFonts w:eastAsia="仿宋_GB2312" w:cs="仿宋_GB2312"/>
          <w:sz w:val="32"/>
          <w:szCs w:val="32"/>
        </w:rPr>
      </w:pPr>
      <w:r>
        <w:rPr>
          <w:rFonts w:hint="eastAsia" w:eastAsia="仿宋_GB2312" w:cs="仿宋_GB2312"/>
          <w:sz w:val="32"/>
          <w:szCs w:val="32"/>
        </w:rPr>
        <w:drawing>
          <wp:inline distT="0" distB="0" distL="0" distR="0">
            <wp:extent cx="5120640" cy="1327785"/>
            <wp:effectExtent l="0" t="0" r="22860" b="24765"/>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524AB5A">
      <w:pPr>
        <w:pStyle w:val="28"/>
        <w:spacing w:line="600" w:lineRule="exact"/>
        <w:ind w:firstLine="640"/>
        <w:outlineLvl w:val="1"/>
        <w:rPr>
          <w:rStyle w:val="30"/>
          <w:rFonts w:ascii="Times New Roman" w:hAnsi="Times New Roman" w:eastAsia="黑体"/>
          <w:b w:val="0"/>
        </w:rPr>
      </w:pPr>
      <w:bookmarkStart w:id="18" w:name="_Toc15396605"/>
      <w:bookmarkStart w:id="19" w:name="_Toc15377207"/>
      <w:r>
        <w:rPr>
          <w:rFonts w:hint="eastAsia" w:eastAsia="黑体"/>
          <w:sz w:val="32"/>
          <w:szCs w:val="32"/>
        </w:rPr>
        <w:t>三、支</w:t>
      </w:r>
      <w:r>
        <w:rPr>
          <w:rStyle w:val="30"/>
          <w:rFonts w:hint="eastAsia" w:ascii="Times New Roman" w:hAnsi="Times New Roman" w:eastAsia="黑体"/>
          <w:b w:val="0"/>
        </w:rPr>
        <w:t>出决算情况说明</w:t>
      </w:r>
      <w:bookmarkEnd w:id="18"/>
      <w:bookmarkEnd w:id="19"/>
    </w:p>
    <w:p w14:paraId="66FA783A">
      <w:pPr>
        <w:pStyle w:val="28"/>
        <w:spacing w:line="600" w:lineRule="exact"/>
        <w:ind w:firstLine="640"/>
        <w:jc w:val="left"/>
        <w:outlineLvl w:val="1"/>
        <w:rPr>
          <w:rFonts w:eastAsia="仿宋_GB2312" w:cs="仿宋_GB2312"/>
          <w:sz w:val="32"/>
          <w:szCs w:val="32"/>
        </w:rPr>
      </w:pPr>
      <w:r>
        <w:rPr>
          <w:rFonts w:hint="eastAsia" w:ascii="仿宋_GB2312" w:hAnsi="仿宋_GB2312" w:eastAsia="仿宋_GB2312" w:cs="仿宋_GB2312"/>
          <w:sz w:val="32"/>
          <w:szCs w:val="32"/>
        </w:rPr>
        <w:t>2024年度本年支出合计510.05万元，其中：基本支出388.02万元，占76.07%；项目支出122.02万元，占23.93%。</w:t>
      </w:r>
    </w:p>
    <w:p w14:paraId="67998AE3">
      <w:pPr>
        <w:rPr>
          <w:rFonts w:eastAsia="仿宋_GB2312" w:cs="仿宋_GB2312"/>
          <w:sz w:val="32"/>
          <w:szCs w:val="32"/>
        </w:rPr>
      </w:pPr>
      <w:r>
        <w:rPr>
          <w:rFonts w:hint="eastAsia" w:eastAsia="仿宋_GB2312" w:cs="仿宋_GB2312"/>
          <w:sz w:val="32"/>
          <w:szCs w:val="32"/>
        </w:rPr>
        <w:drawing>
          <wp:inline distT="0" distB="0" distL="0" distR="0">
            <wp:extent cx="4881880" cy="2512060"/>
            <wp:effectExtent l="0" t="0" r="13970" b="21590"/>
            <wp:docPr id="5"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919FC46">
      <w:pPr>
        <w:spacing w:line="600" w:lineRule="exact"/>
        <w:ind w:firstLine="640" w:firstLineChars="200"/>
        <w:outlineLvl w:val="1"/>
        <w:rPr>
          <w:rStyle w:val="30"/>
          <w:rFonts w:ascii="Times New Roman" w:hAnsi="Times New Roman" w:eastAsia="黑体"/>
          <w:b w:val="0"/>
        </w:rPr>
      </w:pPr>
      <w:bookmarkStart w:id="20" w:name="_Toc15377208"/>
      <w:bookmarkStart w:id="21" w:name="_Toc15396606"/>
      <w:r>
        <w:rPr>
          <w:rFonts w:hint="eastAsia" w:eastAsia="黑体"/>
          <w:sz w:val="32"/>
          <w:szCs w:val="32"/>
        </w:rPr>
        <w:t>四、财</w:t>
      </w:r>
      <w:r>
        <w:rPr>
          <w:rStyle w:val="30"/>
          <w:rFonts w:hint="eastAsia" w:ascii="Times New Roman" w:hAnsi="Times New Roman" w:eastAsia="黑体"/>
          <w:b w:val="0"/>
        </w:rPr>
        <w:t>政拨款收入支出决算总体情况说明</w:t>
      </w:r>
      <w:bookmarkEnd w:id="20"/>
      <w:bookmarkEnd w:id="21"/>
    </w:p>
    <w:p w14:paraId="6CAC6C2B">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59264" behindDoc="0" locked="0" layoutInCell="1" allowOverlap="1">
            <wp:simplePos x="0" y="0"/>
            <wp:positionH relativeFrom="column">
              <wp:posOffset>65405</wp:posOffset>
            </wp:positionH>
            <wp:positionV relativeFrom="paragraph">
              <wp:posOffset>1951355</wp:posOffset>
            </wp:positionV>
            <wp:extent cx="4881880" cy="2679065"/>
            <wp:effectExtent l="0" t="0" r="13970" b="2603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eastAsia="仿宋_GB2312" w:cs="仿宋_GB2312"/>
          <w:sz w:val="32"/>
          <w:szCs w:val="32"/>
        </w:rPr>
        <w:t>2024年度财政拨款收入、支出总计均为510.05万元。与2023年度相比，财政拨款收入总计、支出总计各增加22.08万元，增长4.53%。主要变动原因是项目支出增加，将人脸考勤系统配置、“惠企政策服务专窗”专项经费等费用纳入项目资金。</w:t>
      </w:r>
    </w:p>
    <w:p w14:paraId="31EA76D7">
      <w:pPr>
        <w:spacing w:line="600" w:lineRule="exact"/>
        <w:ind w:firstLine="640" w:firstLineChars="200"/>
        <w:outlineLvl w:val="1"/>
        <w:rPr>
          <w:rStyle w:val="30"/>
          <w:rFonts w:ascii="Times New Roman" w:hAnsi="Times New Roman" w:eastAsia="黑体"/>
          <w:b w:val="0"/>
        </w:rPr>
      </w:pPr>
      <w:bookmarkStart w:id="22" w:name="_Toc15377209"/>
      <w:bookmarkStart w:id="23" w:name="_Toc15396607"/>
      <w:r>
        <w:rPr>
          <w:rFonts w:hint="eastAsia" w:eastAsia="黑体"/>
          <w:sz w:val="32"/>
          <w:szCs w:val="32"/>
        </w:rPr>
        <w:t>五、</w:t>
      </w:r>
      <w:r>
        <w:rPr>
          <w:rFonts w:hint="eastAsia" w:eastAsia="黑体"/>
          <w:b/>
          <w:sz w:val="32"/>
          <w:szCs w:val="32"/>
        </w:rPr>
        <w:t>一</w:t>
      </w:r>
      <w:r>
        <w:rPr>
          <w:rStyle w:val="30"/>
          <w:rFonts w:hint="eastAsia" w:ascii="Times New Roman" w:hAnsi="Times New Roman" w:eastAsia="黑体"/>
          <w:b w:val="0"/>
        </w:rPr>
        <w:t>般公共预算财政拨款支出决算情况说明</w:t>
      </w:r>
      <w:bookmarkEnd w:id="22"/>
      <w:bookmarkEnd w:id="23"/>
    </w:p>
    <w:p w14:paraId="34D7AF58">
      <w:pPr>
        <w:spacing w:line="600" w:lineRule="exact"/>
        <w:ind w:firstLine="643" w:firstLineChars="200"/>
        <w:outlineLvl w:val="2"/>
        <w:rPr>
          <w:rFonts w:eastAsia="楷体_GB2312" w:cs="楷体_GB2312"/>
          <w:b/>
          <w:sz w:val="32"/>
          <w:szCs w:val="32"/>
        </w:rPr>
      </w:pPr>
      <w:bookmarkStart w:id="24" w:name="_Toc15377210"/>
      <w:r>
        <w:rPr>
          <w:rFonts w:hint="eastAsia" w:eastAsia="楷体_GB2312" w:cs="楷体_GB2312"/>
          <w:b/>
          <w:sz w:val="32"/>
          <w:szCs w:val="32"/>
        </w:rPr>
        <w:t>（一）一般公共预算财政拨款支出决算总体情况</w:t>
      </w:r>
      <w:bookmarkEnd w:id="24"/>
    </w:p>
    <w:p w14:paraId="7885D0C7">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2024年度一般公共预算财政拨款支出510.05万元，占本年支出合计的100%。与2023年度相比，一般公共预算财政拨款支出增加</w:t>
      </w:r>
      <w:r>
        <w:rPr>
          <w:rFonts w:hint="eastAsia" w:eastAsia="仿宋_GB2312" w:cs="仿宋_GB2312"/>
          <w:sz w:val="32"/>
          <w:szCs w:val="32"/>
        </w:rPr>
        <w:t>22.08万元，增长4.53%。主要变动原因是项目支出增加，将人脸考勤系统配置、“惠企政策服务专窗”专项经费等费用纳入项目资金。</w:t>
      </w:r>
    </w:p>
    <w:p w14:paraId="474875A8">
      <w:pPr>
        <w:spacing w:line="600" w:lineRule="exact"/>
        <w:ind w:firstLine="640" w:firstLineChars="200"/>
        <w:outlineLvl w:val="2"/>
        <w:rPr>
          <w:rFonts w:eastAsia="楷体_GB2312" w:cs="楷体_GB2312"/>
          <w:b/>
          <w:sz w:val="32"/>
          <w:szCs w:val="32"/>
        </w:rPr>
      </w:pPr>
      <w:bookmarkStart w:id="25" w:name="_Toc15377211"/>
      <w:r>
        <w:rPr>
          <w:rFonts w:hint="eastAsia" w:eastAsia="仿宋_GB2312" w:cs="仿宋_GB2312"/>
          <w:sz w:val="32"/>
          <w:szCs w:val="32"/>
        </w:rPr>
        <w:drawing>
          <wp:anchor distT="0" distB="0" distL="114300" distR="114300" simplePos="0" relativeHeight="251660288" behindDoc="0" locked="0" layoutInCell="1" allowOverlap="1">
            <wp:simplePos x="0" y="0"/>
            <wp:positionH relativeFrom="column">
              <wp:posOffset>104775</wp:posOffset>
            </wp:positionH>
            <wp:positionV relativeFrom="paragraph">
              <wp:posOffset>96520</wp:posOffset>
            </wp:positionV>
            <wp:extent cx="5274310" cy="3076575"/>
            <wp:effectExtent l="0" t="0" r="21590" b="9525"/>
            <wp:wrapTopAndBottom/>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eastAsia="楷体_GB2312" w:cs="楷体_GB2312"/>
          <w:b/>
          <w:sz w:val="32"/>
          <w:szCs w:val="32"/>
        </w:rPr>
        <w:t>（二）一般公共预算财政拨款支出决算结构情况</w:t>
      </w:r>
      <w:bookmarkEnd w:id="25"/>
    </w:p>
    <w:p w14:paraId="42956937">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2024年度一般公共预算财政拨款支出510.05万元，主要用于以下方面：一般公共服务支出422.24万元，占82.79%；社会保障和就业支出33.77万元，占6.62%；卫生健康支出28.28万元，占5.54%；住房保障支出25.76万元，占5.05%。</w:t>
      </w:r>
    </w:p>
    <w:p w14:paraId="7E4C2E12">
      <w:pPr>
        <w:spacing w:line="600" w:lineRule="exact"/>
        <w:ind w:firstLine="640"/>
        <w:rPr>
          <w:rFonts w:eastAsia="仿宋_GB2312" w:cs="仿宋_GB2312"/>
          <w:sz w:val="32"/>
          <w:szCs w:val="32"/>
        </w:rPr>
      </w:pPr>
      <w:r>
        <w:rPr>
          <w:rFonts w:hint="eastAsia" w:eastAsia="仿宋_GB2312" w:cs="仿宋_GB2312"/>
          <w:sz w:val="32"/>
          <w:szCs w:val="32"/>
        </w:rPr>
        <w:drawing>
          <wp:anchor distT="0" distB="0" distL="114300" distR="114300" simplePos="0" relativeHeight="251661312" behindDoc="0" locked="0" layoutInCell="1" allowOverlap="1">
            <wp:simplePos x="0" y="0"/>
            <wp:positionH relativeFrom="column">
              <wp:posOffset>8890</wp:posOffset>
            </wp:positionH>
            <wp:positionV relativeFrom="paragraph">
              <wp:posOffset>91440</wp:posOffset>
            </wp:positionV>
            <wp:extent cx="5274310" cy="3076575"/>
            <wp:effectExtent l="0" t="0" r="21590" b="9525"/>
            <wp:wrapTopAndBottom/>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ED9F7B9">
      <w:pPr>
        <w:spacing w:line="600" w:lineRule="exact"/>
        <w:ind w:firstLine="643" w:firstLineChars="200"/>
        <w:outlineLvl w:val="2"/>
        <w:rPr>
          <w:rFonts w:eastAsia="楷体_GB2312" w:cs="楷体_GB2312"/>
          <w:b/>
          <w:sz w:val="32"/>
          <w:szCs w:val="32"/>
        </w:rPr>
      </w:pPr>
      <w:bookmarkStart w:id="26" w:name="_Toc15377212"/>
      <w:r>
        <w:rPr>
          <w:rFonts w:hint="eastAsia" w:eastAsia="楷体_GB2312" w:cs="楷体_GB2312"/>
          <w:b/>
          <w:sz w:val="32"/>
          <w:szCs w:val="32"/>
        </w:rPr>
        <w:t>（三）一般公共预算财政拨款支出决算具体情况</w:t>
      </w:r>
      <w:bookmarkEnd w:id="26"/>
    </w:p>
    <w:p w14:paraId="40B3B76D">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2024年度一般公共预算财政拨款支出决算数为510.05万元，完成预算100%。其中：</w:t>
      </w:r>
    </w:p>
    <w:p w14:paraId="26C455AC">
      <w:pPr>
        <w:spacing w:line="560" w:lineRule="exact"/>
        <w:ind w:firstLine="640" w:firstLineChars="200"/>
        <w:rPr>
          <w:rFonts w:hint="eastAsia" w:eastAsia="仿宋"/>
          <w:b/>
          <w:kern w:val="0"/>
          <w:sz w:val="32"/>
          <w:szCs w:val="32"/>
        </w:rPr>
      </w:pPr>
      <w:r>
        <w:rPr>
          <w:rFonts w:hint="eastAsia" w:eastAsia="仿宋_GB2312" w:cs="仿宋_GB2312"/>
          <w:sz w:val="32"/>
          <w:szCs w:val="32"/>
        </w:rPr>
        <w:t>1.</w:t>
      </w:r>
      <w:r>
        <w:rPr>
          <w:rFonts w:hint="eastAsia"/>
        </w:rPr>
        <w:t xml:space="preserve"> </w:t>
      </w:r>
      <w:r>
        <w:rPr>
          <w:rFonts w:hint="eastAsia" w:eastAsia="仿宋_GB2312" w:cs="仿宋_GB2312"/>
          <w:sz w:val="32"/>
          <w:szCs w:val="32"/>
        </w:rPr>
        <w:t>一般公共服务（类）政府办公厅（室）及相关机构事务（款）:</w:t>
      </w:r>
      <w:r>
        <w:rPr>
          <w:rFonts w:eastAsia="仿宋"/>
          <w:b/>
          <w:kern w:val="0"/>
          <w:sz w:val="32"/>
          <w:szCs w:val="32"/>
        </w:rPr>
        <w:t xml:space="preserve"> </w:t>
      </w:r>
    </w:p>
    <w:p w14:paraId="63352CD8">
      <w:pPr>
        <w:spacing w:line="560" w:lineRule="exact"/>
        <w:ind w:firstLine="640" w:firstLineChars="200"/>
        <w:rPr>
          <w:rFonts w:eastAsia="仿宋_GB2312" w:cs="仿宋_GB2312"/>
        </w:rPr>
      </w:pPr>
      <w:r>
        <w:rPr>
          <w:rFonts w:eastAsia="仿宋_GB2312" w:cs="仿宋_GB2312"/>
          <w:sz w:val="32"/>
          <w:szCs w:val="32"/>
        </w:rPr>
        <w:t>（1）行政运行:支出决算</w:t>
      </w:r>
      <w:r>
        <w:rPr>
          <w:rFonts w:hint="eastAsia" w:eastAsia="仿宋_GB2312" w:cs="仿宋_GB2312"/>
          <w:sz w:val="32"/>
          <w:szCs w:val="32"/>
        </w:rPr>
        <w:t>159.78</w:t>
      </w:r>
      <w:r>
        <w:rPr>
          <w:rFonts w:eastAsia="仿宋_GB2312" w:cs="仿宋_GB2312"/>
          <w:sz w:val="32"/>
          <w:szCs w:val="32"/>
        </w:rPr>
        <w:t>万元，完成预算100%，决算数等于预算数。</w:t>
      </w:r>
    </w:p>
    <w:p w14:paraId="33E6D919">
      <w:pPr>
        <w:spacing w:line="560" w:lineRule="exact"/>
        <w:ind w:firstLine="640" w:firstLineChars="200"/>
        <w:rPr>
          <w:rFonts w:eastAsia="仿宋_GB2312" w:cs="仿宋_GB2312"/>
        </w:rPr>
      </w:pPr>
      <w:r>
        <w:rPr>
          <w:rFonts w:eastAsia="仿宋_GB2312" w:cs="仿宋_GB2312"/>
          <w:sz w:val="32"/>
          <w:szCs w:val="32"/>
        </w:rPr>
        <w:t>（2）一般行政管理事务:支出决算为</w:t>
      </w:r>
      <w:r>
        <w:rPr>
          <w:rFonts w:hint="eastAsia" w:eastAsia="仿宋_GB2312" w:cs="仿宋_GB2312"/>
          <w:sz w:val="32"/>
          <w:szCs w:val="32"/>
        </w:rPr>
        <w:t>122.02</w:t>
      </w:r>
      <w:r>
        <w:rPr>
          <w:rFonts w:eastAsia="仿宋_GB2312" w:cs="仿宋_GB2312"/>
          <w:sz w:val="32"/>
          <w:szCs w:val="32"/>
        </w:rPr>
        <w:t>万元，完成预算100%，决算数等于预算数。</w:t>
      </w:r>
    </w:p>
    <w:p w14:paraId="3A33FD43">
      <w:pPr>
        <w:spacing w:line="600" w:lineRule="exact"/>
        <w:ind w:firstLine="640"/>
        <w:rPr>
          <w:rFonts w:eastAsia="仿宋_GB2312" w:cs="仿宋_GB2312"/>
          <w:sz w:val="32"/>
          <w:szCs w:val="32"/>
        </w:rPr>
      </w:pPr>
      <w:r>
        <w:rPr>
          <w:rFonts w:eastAsia="仿宋_GB2312" w:cs="仿宋_GB2312"/>
          <w:sz w:val="32"/>
          <w:szCs w:val="32"/>
        </w:rPr>
        <w:t>（3）事业运行:支出决算为</w:t>
      </w:r>
      <w:r>
        <w:rPr>
          <w:rFonts w:hint="eastAsia" w:eastAsia="仿宋_GB2312" w:cs="仿宋_GB2312"/>
          <w:sz w:val="32"/>
          <w:szCs w:val="32"/>
        </w:rPr>
        <w:t>140.44</w:t>
      </w:r>
      <w:r>
        <w:rPr>
          <w:rFonts w:eastAsia="仿宋_GB2312" w:cs="仿宋_GB2312"/>
          <w:sz w:val="32"/>
          <w:szCs w:val="32"/>
        </w:rPr>
        <w:t>万元，完成预算100%，决算数等于预算数。</w:t>
      </w:r>
    </w:p>
    <w:p w14:paraId="5E8FDBA8">
      <w:pPr>
        <w:spacing w:line="600" w:lineRule="exact"/>
        <w:ind w:firstLine="640"/>
        <w:rPr>
          <w:rFonts w:hint="eastAsia" w:eastAsia="仿宋_GB2312" w:cs="仿宋_GB2312"/>
          <w:sz w:val="32"/>
          <w:szCs w:val="32"/>
        </w:rPr>
      </w:pPr>
      <w:r>
        <w:rPr>
          <w:rFonts w:hint="eastAsia" w:eastAsia="仿宋_GB2312" w:cs="仿宋_GB2312"/>
          <w:sz w:val="32"/>
          <w:szCs w:val="32"/>
        </w:rPr>
        <w:t>2.</w:t>
      </w:r>
      <w:r>
        <w:rPr>
          <w:rFonts w:hint="eastAsia"/>
        </w:rPr>
        <w:t xml:space="preserve"> </w:t>
      </w:r>
      <w:r>
        <w:rPr>
          <w:rFonts w:hint="eastAsia" w:eastAsia="仿宋_GB2312" w:cs="仿宋_GB2312"/>
          <w:sz w:val="32"/>
          <w:szCs w:val="32"/>
        </w:rPr>
        <w:t xml:space="preserve">社会保障和就业（类）行政事业单位离退休（款）: </w:t>
      </w:r>
    </w:p>
    <w:p w14:paraId="23F698FA">
      <w:pPr>
        <w:spacing w:line="600" w:lineRule="exact"/>
        <w:ind w:firstLine="640"/>
        <w:rPr>
          <w:rFonts w:hint="eastAsia" w:eastAsia="仿宋_GB2312" w:cs="仿宋_GB2312"/>
          <w:sz w:val="32"/>
          <w:szCs w:val="32"/>
        </w:rPr>
      </w:pPr>
      <w:r>
        <w:rPr>
          <w:rFonts w:hint="eastAsia" w:eastAsia="仿宋_GB2312" w:cs="仿宋_GB2312"/>
          <w:sz w:val="32"/>
          <w:szCs w:val="32"/>
        </w:rPr>
        <w:t>（1）行政单位离退休：支出决算为1.88万元，完成预算100%，决算数等于预算数。</w:t>
      </w:r>
    </w:p>
    <w:p w14:paraId="15CFDC7F">
      <w:pPr>
        <w:spacing w:line="600" w:lineRule="exact"/>
        <w:ind w:firstLine="640"/>
        <w:rPr>
          <w:rFonts w:eastAsia="仿宋_GB2312" w:cs="仿宋_GB2312"/>
          <w:sz w:val="32"/>
          <w:szCs w:val="32"/>
        </w:rPr>
      </w:pPr>
      <w:r>
        <w:rPr>
          <w:rFonts w:hint="eastAsia" w:eastAsia="仿宋_GB2312" w:cs="仿宋_GB2312"/>
          <w:sz w:val="32"/>
          <w:szCs w:val="32"/>
        </w:rPr>
        <w:t>（2）机关事业单位基本养老保险缴费支出：支出决算为31.88元，完成预算100%，决算数等于预算数。</w:t>
      </w:r>
    </w:p>
    <w:p w14:paraId="1DF7A4A1">
      <w:pPr>
        <w:spacing w:line="600" w:lineRule="exact"/>
        <w:ind w:firstLine="640"/>
        <w:rPr>
          <w:rFonts w:hint="eastAsia" w:eastAsia="仿宋_GB2312" w:cs="仿宋_GB2312"/>
          <w:sz w:val="32"/>
          <w:szCs w:val="32"/>
        </w:rPr>
      </w:pPr>
      <w:r>
        <w:rPr>
          <w:rFonts w:hint="eastAsia" w:eastAsia="仿宋_GB2312" w:cs="仿宋_GB2312"/>
          <w:sz w:val="32"/>
          <w:szCs w:val="32"/>
        </w:rPr>
        <w:t>3.</w:t>
      </w:r>
      <w:r>
        <w:rPr>
          <w:rFonts w:hint="eastAsia"/>
        </w:rPr>
        <w:t xml:space="preserve"> </w:t>
      </w:r>
      <w:r>
        <w:rPr>
          <w:rFonts w:hint="eastAsia" w:eastAsia="仿宋_GB2312" w:cs="仿宋_GB2312"/>
          <w:sz w:val="32"/>
          <w:szCs w:val="32"/>
        </w:rPr>
        <w:t>卫生健康（类）行政事业单位医疗（款）：</w:t>
      </w:r>
    </w:p>
    <w:p w14:paraId="4EED8CD1">
      <w:pPr>
        <w:spacing w:line="600" w:lineRule="exact"/>
        <w:ind w:firstLine="640"/>
        <w:rPr>
          <w:rFonts w:hint="eastAsia" w:eastAsia="仿宋_GB2312" w:cs="仿宋_GB2312"/>
          <w:sz w:val="32"/>
          <w:szCs w:val="32"/>
        </w:rPr>
      </w:pPr>
      <w:r>
        <w:rPr>
          <w:rFonts w:hint="eastAsia" w:eastAsia="仿宋_GB2312" w:cs="仿宋_GB2312"/>
          <w:sz w:val="32"/>
          <w:szCs w:val="32"/>
        </w:rPr>
        <w:t>（1）行政单位医疗:支出决算为7.43万元，完成预算100%，决算数等于预算数。</w:t>
      </w:r>
    </w:p>
    <w:p w14:paraId="055BC46C">
      <w:pPr>
        <w:spacing w:line="600" w:lineRule="exact"/>
        <w:ind w:firstLine="640"/>
        <w:rPr>
          <w:rFonts w:hint="eastAsia" w:eastAsia="仿宋_GB2312" w:cs="仿宋_GB2312"/>
          <w:sz w:val="32"/>
          <w:szCs w:val="32"/>
        </w:rPr>
      </w:pPr>
      <w:r>
        <w:rPr>
          <w:rFonts w:hint="eastAsia" w:eastAsia="仿宋_GB2312" w:cs="仿宋_GB2312"/>
          <w:sz w:val="32"/>
          <w:szCs w:val="32"/>
        </w:rPr>
        <w:t>（2）事业单位医疗:支出决算为9.91万元，完成预算100%，决算数等于预算数。</w:t>
      </w:r>
    </w:p>
    <w:p w14:paraId="79906CE2">
      <w:pPr>
        <w:spacing w:line="600" w:lineRule="exact"/>
        <w:ind w:firstLine="640"/>
        <w:rPr>
          <w:rFonts w:hint="eastAsia" w:eastAsia="仿宋_GB2312" w:cs="仿宋_GB2312"/>
          <w:sz w:val="32"/>
          <w:szCs w:val="32"/>
        </w:rPr>
      </w:pPr>
      <w:r>
        <w:rPr>
          <w:rFonts w:hint="eastAsia" w:eastAsia="仿宋_GB2312" w:cs="仿宋_GB2312"/>
          <w:sz w:val="32"/>
          <w:szCs w:val="32"/>
        </w:rPr>
        <w:t>（3）公务员医疗补助:支出决算为0.82万元，完成预算100%，决算数等于预算数。</w:t>
      </w:r>
    </w:p>
    <w:p w14:paraId="2F5C2CF3">
      <w:pPr>
        <w:spacing w:line="600" w:lineRule="exact"/>
        <w:ind w:firstLine="640"/>
        <w:rPr>
          <w:rFonts w:eastAsia="仿宋_GB2312" w:cs="仿宋_GB2312"/>
          <w:sz w:val="32"/>
          <w:szCs w:val="32"/>
        </w:rPr>
      </w:pPr>
      <w:r>
        <w:rPr>
          <w:rFonts w:hint="eastAsia" w:eastAsia="仿宋_GB2312" w:cs="仿宋_GB2312"/>
          <w:sz w:val="32"/>
          <w:szCs w:val="32"/>
        </w:rPr>
        <w:t>（4）其他行政事业单位医疗支出:支出决算为10.13万元，完成预算100%，决算数等于预算数</w:t>
      </w:r>
    </w:p>
    <w:p w14:paraId="3FDE2D3D">
      <w:pPr>
        <w:spacing w:line="600" w:lineRule="exact"/>
        <w:ind w:firstLine="640"/>
        <w:rPr>
          <w:rFonts w:hint="eastAsia" w:eastAsia="仿宋_GB2312" w:cs="仿宋_GB2312"/>
          <w:sz w:val="32"/>
          <w:szCs w:val="32"/>
        </w:rPr>
      </w:pPr>
      <w:r>
        <w:rPr>
          <w:rFonts w:hint="eastAsia" w:eastAsia="仿宋_GB2312" w:cs="仿宋_GB2312"/>
          <w:sz w:val="32"/>
          <w:szCs w:val="32"/>
        </w:rPr>
        <w:t>4.</w:t>
      </w:r>
      <w:r>
        <w:rPr>
          <w:rFonts w:hint="eastAsia"/>
        </w:rPr>
        <w:t xml:space="preserve"> </w:t>
      </w:r>
      <w:r>
        <w:rPr>
          <w:rFonts w:hint="eastAsia" w:eastAsia="仿宋_GB2312" w:cs="仿宋_GB2312"/>
          <w:sz w:val="32"/>
          <w:szCs w:val="32"/>
        </w:rPr>
        <w:t>住房保障（类）住房改革（款）</w:t>
      </w:r>
    </w:p>
    <w:p w14:paraId="4B83A26F">
      <w:pPr>
        <w:spacing w:line="600" w:lineRule="exact"/>
        <w:ind w:firstLine="640"/>
        <w:rPr>
          <w:rFonts w:eastAsia="仿宋_GB2312" w:cs="仿宋_GB2312"/>
          <w:sz w:val="32"/>
          <w:szCs w:val="32"/>
        </w:rPr>
      </w:pPr>
      <w:r>
        <w:rPr>
          <w:rFonts w:hint="eastAsia" w:eastAsia="仿宋_GB2312" w:cs="仿宋_GB2312"/>
          <w:sz w:val="32"/>
          <w:szCs w:val="32"/>
        </w:rPr>
        <w:t>（1）住房公积金:支出决算为25.76万元，完成预算100%，决算数等于预算数。</w:t>
      </w:r>
    </w:p>
    <w:p w14:paraId="0DD1A789">
      <w:pPr>
        <w:tabs>
          <w:tab w:val="right" w:pos="8306"/>
        </w:tabs>
        <w:spacing w:line="600" w:lineRule="exact"/>
        <w:ind w:firstLine="640"/>
        <w:outlineLvl w:val="1"/>
        <w:rPr>
          <w:rStyle w:val="30"/>
          <w:rFonts w:ascii="Times New Roman" w:hAnsi="Times New Roman"/>
        </w:rPr>
      </w:pPr>
      <w:bookmarkStart w:id="27" w:name="_Toc15396608"/>
      <w:bookmarkStart w:id="28" w:name="_Toc15377214"/>
      <w:r>
        <w:rPr>
          <w:rFonts w:hint="eastAsia" w:eastAsia="黑体"/>
          <w:sz w:val="32"/>
          <w:szCs w:val="32"/>
        </w:rPr>
        <w:t>六</w:t>
      </w:r>
      <w:r>
        <w:rPr>
          <w:rFonts w:hint="eastAsia" w:eastAsia="黑体"/>
          <w:b/>
          <w:sz w:val="32"/>
          <w:szCs w:val="32"/>
        </w:rPr>
        <w:t>、一</w:t>
      </w:r>
      <w:r>
        <w:rPr>
          <w:rStyle w:val="30"/>
          <w:rFonts w:hint="eastAsia" w:ascii="Times New Roman" w:hAnsi="Times New Roman" w:eastAsia="黑体"/>
          <w:b w:val="0"/>
        </w:rPr>
        <w:t>般公共预算财政拨款基本支出决算情况说明</w:t>
      </w:r>
      <w:bookmarkEnd w:id="27"/>
      <w:bookmarkEnd w:id="28"/>
      <w:r>
        <w:rPr>
          <w:rStyle w:val="30"/>
          <w:rFonts w:ascii="Times New Roman" w:hAnsi="Times New Roman" w:eastAsia="黑体"/>
          <w:b w:val="0"/>
        </w:rPr>
        <w:tab/>
      </w:r>
    </w:p>
    <w:p w14:paraId="26675AD0">
      <w:pPr>
        <w:spacing w:line="600" w:lineRule="exact"/>
        <w:ind w:firstLine="640"/>
        <w:rPr>
          <w:rFonts w:eastAsia="仿宋_GB2312" w:cs="仿宋_GB2312"/>
          <w:sz w:val="32"/>
          <w:szCs w:val="32"/>
        </w:rPr>
      </w:pPr>
      <w:r>
        <w:rPr>
          <w:rFonts w:hint="eastAsia" w:eastAsia="仿宋_GB2312" w:cs="仿宋_GB2312"/>
          <w:sz w:val="32"/>
          <w:szCs w:val="32"/>
        </w:rPr>
        <w:t>2024年度一般公共预算财政拨款基本支出</w:t>
      </w:r>
      <w:r>
        <w:rPr>
          <w:rFonts w:hint="eastAsia" w:ascii="仿宋_GB2312" w:hAnsi="仿宋_GB2312" w:eastAsia="仿宋_GB2312" w:cs="仿宋_GB2312"/>
          <w:sz w:val="32"/>
          <w:szCs w:val="32"/>
        </w:rPr>
        <w:t>388.02万</w:t>
      </w:r>
      <w:r>
        <w:rPr>
          <w:rFonts w:hint="eastAsia" w:eastAsia="仿宋_GB2312" w:cs="仿宋_GB2312"/>
          <w:sz w:val="32"/>
          <w:szCs w:val="32"/>
        </w:rPr>
        <w:t>元，其中：</w:t>
      </w:r>
    </w:p>
    <w:p w14:paraId="2495C4C6">
      <w:pPr>
        <w:spacing w:line="600" w:lineRule="exact"/>
        <w:ind w:firstLine="640"/>
        <w:rPr>
          <w:rFonts w:hint="eastAsia" w:eastAsia="仿宋_GB2312" w:cs="仿宋_GB2312"/>
          <w:sz w:val="32"/>
          <w:szCs w:val="32"/>
        </w:rPr>
      </w:pPr>
      <w:r>
        <w:rPr>
          <w:rFonts w:hint="eastAsia" w:eastAsia="仿宋_GB2312" w:cs="仿宋_GB2312"/>
          <w:sz w:val="32"/>
          <w:szCs w:val="32"/>
        </w:rPr>
        <w:t>人员经费316.35万元，主要包括：基本工资、津贴补贴、奖金、绩效工资、机关事业单位基本养老保险缴费、职工基本医疗保险缴费、公务员医疗补助缴费、其他社会保障缴费、住房公积金、医疗费、其他工资福利支出、生活补助、医疗费补助、奖励金。</w:t>
      </w:r>
    </w:p>
    <w:p w14:paraId="5A2E439F">
      <w:pPr>
        <w:spacing w:line="600" w:lineRule="exact"/>
        <w:ind w:firstLine="640"/>
        <w:rPr>
          <w:rFonts w:eastAsia="仿宋_GB2312" w:cs="仿宋_GB2312"/>
          <w:sz w:val="32"/>
          <w:szCs w:val="32"/>
        </w:rPr>
      </w:pPr>
      <w:r>
        <w:rPr>
          <w:rFonts w:hint="eastAsia" w:eastAsia="仿宋_GB2312" w:cs="仿宋_GB2312"/>
          <w:sz w:val="32"/>
          <w:szCs w:val="32"/>
        </w:rPr>
        <w:t>公用经费71.67万元，主要包括：办公费、印刷费、水费、电费、邮电费、差旅费、维修（护）费、培训费、劳务费、工会经费、福利费、其他交通费、其他商品和服务支出。</w:t>
      </w:r>
    </w:p>
    <w:p w14:paraId="3A9520F5">
      <w:pPr>
        <w:spacing w:line="600" w:lineRule="exact"/>
        <w:ind w:firstLine="640"/>
        <w:outlineLvl w:val="1"/>
        <w:rPr>
          <w:rStyle w:val="30"/>
          <w:rFonts w:ascii="Times New Roman" w:hAnsi="Times New Roman" w:eastAsia="黑体"/>
          <w:b w:val="0"/>
        </w:rPr>
      </w:pPr>
      <w:bookmarkStart w:id="29" w:name="_Toc15396609"/>
      <w:bookmarkStart w:id="30" w:name="_Toc15377215"/>
      <w:r>
        <w:rPr>
          <w:rFonts w:hint="eastAsia" w:eastAsia="黑体"/>
          <w:sz w:val="32"/>
          <w:szCs w:val="32"/>
        </w:rPr>
        <w:t>七、</w:t>
      </w:r>
      <w:r>
        <w:rPr>
          <w:rStyle w:val="30"/>
          <w:rFonts w:hint="eastAsia" w:ascii="Times New Roman" w:hAnsi="Times New Roman" w:eastAsia="黑体"/>
          <w:b w:val="0"/>
        </w:rPr>
        <w:t>财政拨款</w:t>
      </w:r>
      <w:r>
        <w:rPr>
          <w:rStyle w:val="30"/>
          <w:rFonts w:hint="eastAsia" w:ascii="Times New Roman" w:hAnsi="Times New Roman" w:eastAsia="黑体"/>
        </w:rPr>
        <w:t>“</w:t>
      </w:r>
      <w:r>
        <w:rPr>
          <w:rStyle w:val="30"/>
          <w:rFonts w:hint="eastAsia" w:ascii="Times New Roman" w:hAnsi="Times New Roman" w:eastAsia="黑体"/>
          <w:b w:val="0"/>
        </w:rPr>
        <w:t>三公”经费支出决算情况说明</w:t>
      </w:r>
      <w:bookmarkEnd w:id="29"/>
      <w:bookmarkEnd w:id="30"/>
    </w:p>
    <w:p w14:paraId="771A388F">
      <w:pPr>
        <w:spacing w:line="600" w:lineRule="exact"/>
        <w:ind w:firstLine="643" w:firstLineChars="200"/>
        <w:outlineLvl w:val="2"/>
        <w:rPr>
          <w:rFonts w:eastAsia="楷体_GB2312" w:cs="楷体_GB2312"/>
          <w:b/>
          <w:sz w:val="32"/>
          <w:szCs w:val="32"/>
        </w:rPr>
      </w:pPr>
      <w:bookmarkStart w:id="31" w:name="_Toc15377216"/>
      <w:r>
        <w:rPr>
          <w:rFonts w:hint="eastAsia" w:eastAsia="楷体_GB2312" w:cs="楷体_GB2312"/>
          <w:b/>
          <w:sz w:val="32"/>
          <w:szCs w:val="32"/>
        </w:rPr>
        <w:t>（一）“三公”经费财政拨款支出决算总体情况说明</w:t>
      </w:r>
      <w:bookmarkEnd w:id="31"/>
    </w:p>
    <w:p w14:paraId="1A7A281C">
      <w:pPr>
        <w:spacing w:line="600" w:lineRule="exact"/>
        <w:ind w:firstLine="640"/>
        <w:rPr>
          <w:rFonts w:eastAsia="仿宋_GB2312" w:cs="仿宋_GB2312"/>
          <w:sz w:val="32"/>
          <w:szCs w:val="32"/>
        </w:rPr>
      </w:pPr>
      <w:r>
        <w:rPr>
          <w:rFonts w:hint="eastAsia" w:eastAsia="仿宋_GB2312" w:cs="仿宋_GB2312"/>
          <w:sz w:val="32"/>
          <w:szCs w:val="32"/>
        </w:rPr>
        <w:t>2024年度“三公”经费财政拨款支出决算为</w:t>
      </w:r>
      <w:r>
        <w:rPr>
          <w:rFonts w:hint="eastAsia" w:ascii="仿宋_GB2312" w:hAnsi="仿宋_GB2312" w:eastAsia="仿宋_GB2312" w:cs="仿宋_GB2312"/>
          <w:sz w:val="32"/>
          <w:szCs w:val="32"/>
        </w:rPr>
        <w:t>0万元，完成预算0%，与上年持平度增加。决算数小于预算数的主要原因是我局无公务用车，2023年我局无因公出国（境）及公务接待活动。</w:t>
      </w:r>
      <w:r>
        <w:rPr>
          <w:rFonts w:eastAsia="仿宋_GB2312" w:cs="仿宋_GB2312"/>
          <w:sz w:val="32"/>
          <w:szCs w:val="32"/>
        </w:rPr>
        <w:t xml:space="preserve"> </w:t>
      </w:r>
    </w:p>
    <w:p w14:paraId="100ADFD8">
      <w:pPr>
        <w:spacing w:line="600" w:lineRule="exact"/>
        <w:ind w:firstLine="643" w:firstLineChars="200"/>
        <w:outlineLvl w:val="2"/>
        <w:rPr>
          <w:rFonts w:eastAsia="楷体_GB2312" w:cs="楷体_GB2312"/>
          <w:b/>
          <w:sz w:val="32"/>
          <w:szCs w:val="32"/>
        </w:rPr>
      </w:pPr>
      <w:bookmarkStart w:id="32" w:name="_Toc15377217"/>
      <w:r>
        <w:rPr>
          <w:rFonts w:hint="eastAsia" w:eastAsia="楷体_GB2312" w:cs="楷体_GB2312"/>
          <w:b/>
          <w:sz w:val="32"/>
          <w:szCs w:val="32"/>
        </w:rPr>
        <w:t>（二）“三公”经费财政拨款支出决算具体情况说明</w:t>
      </w:r>
      <w:bookmarkEnd w:id="32"/>
    </w:p>
    <w:p w14:paraId="365CE421">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2024年度“三公”经费财政拨款支出决算中，因公出国（境）费支出决算0万元，占0%；公务用车购置及运行维护费支出决算0万元，占0%；公务接待费支出决算0万元，占0%。具体情况如下：</w:t>
      </w:r>
    </w:p>
    <w:p w14:paraId="0EE00808">
      <w:pPr>
        <w:spacing w:line="600" w:lineRule="exact"/>
        <w:ind w:firstLine="640"/>
        <w:rPr>
          <w:rFonts w:eastAsia="仿宋_GB2312" w:cs="仿宋_GB2312"/>
          <w:sz w:val="32"/>
          <w:szCs w:val="32"/>
        </w:rPr>
      </w:pPr>
      <w:r>
        <w:rPr>
          <w:rFonts w:eastAsia="仿宋"/>
          <w:sz w:val="32"/>
          <w:szCs w:val="32"/>
        </w:rPr>
        <w:drawing>
          <wp:anchor distT="0" distB="0" distL="114300" distR="114300" simplePos="0" relativeHeight="251663360" behindDoc="0" locked="0" layoutInCell="1" allowOverlap="1">
            <wp:simplePos x="0" y="0"/>
            <wp:positionH relativeFrom="column">
              <wp:posOffset>83820</wp:posOffset>
            </wp:positionH>
            <wp:positionV relativeFrom="paragraph">
              <wp:posOffset>83820</wp:posOffset>
            </wp:positionV>
            <wp:extent cx="5271135" cy="2441575"/>
            <wp:effectExtent l="0" t="0" r="5715" b="0"/>
            <wp:wrapSquare wrapText="bothSides"/>
            <wp:docPr id="9" name="图片 9" descr="1729647348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1729647348614"/>
                    <pic:cNvPicPr>
                      <a:picLocks noChangeAspect="1"/>
                    </pic:cNvPicPr>
                  </pic:nvPicPr>
                  <pic:blipFill>
                    <a:blip r:embed="rId14"/>
                    <a:stretch>
                      <a:fillRect/>
                    </a:stretch>
                  </pic:blipFill>
                  <pic:spPr>
                    <a:xfrm>
                      <a:off x="0" y="0"/>
                      <a:ext cx="5271135" cy="2441575"/>
                    </a:xfrm>
                    <a:prstGeom prst="rect">
                      <a:avLst/>
                    </a:prstGeom>
                  </pic:spPr>
                </pic:pic>
              </a:graphicData>
            </a:graphic>
          </wp:anchor>
        </w:drawing>
      </w:r>
      <w:r>
        <w:rPr>
          <w:rFonts w:hint="eastAsia" w:eastAsia="仿宋_GB2312" w:cs="仿宋_GB2312"/>
          <w:b/>
          <w:bCs/>
          <w:sz w:val="32"/>
          <w:szCs w:val="32"/>
        </w:rPr>
        <w:t>1.因公出国（境）经费支出0万元，完成预算0%</w:t>
      </w:r>
      <w:r>
        <w:rPr>
          <w:rFonts w:hint="eastAsia" w:eastAsia="仿宋_GB2312" w:cs="仿宋_GB2312"/>
          <w:sz w:val="32"/>
          <w:szCs w:val="32"/>
        </w:rPr>
        <w:t>。全年安排因公出国（境）团组0次，出国（境）0人。因公出国（境）支出决算比2023年持平。</w:t>
      </w:r>
    </w:p>
    <w:p w14:paraId="5FC6AB80">
      <w:pPr>
        <w:spacing w:line="600" w:lineRule="exact"/>
        <w:ind w:firstLine="640"/>
        <w:rPr>
          <w:rFonts w:eastAsia="仿宋_GB2312" w:cs="仿宋_GB2312"/>
          <w:sz w:val="32"/>
          <w:szCs w:val="32"/>
        </w:rPr>
      </w:pPr>
      <w:r>
        <w:rPr>
          <w:rFonts w:hint="eastAsia" w:eastAsia="仿宋_GB2312" w:cs="仿宋_GB2312"/>
          <w:b/>
          <w:bCs/>
          <w:sz w:val="32"/>
          <w:szCs w:val="32"/>
        </w:rPr>
        <w:t>2.公务用车购置及运行维护费支出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公务用车购置及运行维护费支出决算与2023年度持平。</w:t>
      </w:r>
    </w:p>
    <w:p w14:paraId="39D46C09">
      <w:pPr>
        <w:spacing w:line="600" w:lineRule="exact"/>
        <w:ind w:firstLine="640"/>
        <w:rPr>
          <w:rFonts w:eastAsia="仿宋_GB2312" w:cs="仿宋_GB2312"/>
          <w:sz w:val="32"/>
          <w:szCs w:val="32"/>
        </w:rPr>
      </w:pPr>
      <w:r>
        <w:rPr>
          <w:rFonts w:hint="eastAsia" w:eastAsia="仿宋_GB2312" w:cs="仿宋_GB2312"/>
          <w:sz w:val="32"/>
          <w:szCs w:val="32"/>
        </w:rPr>
        <w:t>其中：公务用车购置支</w:t>
      </w:r>
      <w:r>
        <w:rPr>
          <w:rFonts w:hint="eastAsia" w:ascii="仿宋_GB2312" w:hAnsi="仿宋_GB2312" w:eastAsia="仿宋_GB2312" w:cs="仿宋_GB2312"/>
          <w:sz w:val="32"/>
          <w:szCs w:val="32"/>
        </w:rPr>
        <w:t>出0</w:t>
      </w:r>
      <w:r>
        <w:rPr>
          <w:rFonts w:hint="eastAsia" w:eastAsia="仿宋_GB2312" w:cs="仿宋_GB2312"/>
          <w:sz w:val="32"/>
          <w:szCs w:val="32"/>
        </w:rPr>
        <w:t>万元。全年按规定更新购置公务用车0辆。截至2024年12月31日，单位共有公务用车0辆。</w:t>
      </w:r>
    </w:p>
    <w:p w14:paraId="008243EA">
      <w:pPr>
        <w:spacing w:line="600" w:lineRule="exact"/>
        <w:ind w:firstLine="640"/>
        <w:rPr>
          <w:rFonts w:eastAsia="仿宋_GB2312" w:cs="仿宋_GB2312"/>
          <w:sz w:val="32"/>
          <w:szCs w:val="32"/>
        </w:rPr>
      </w:pPr>
      <w:r>
        <w:rPr>
          <w:rFonts w:hint="eastAsia" w:eastAsia="仿宋_GB2312" w:cs="仿宋_GB2312"/>
          <w:sz w:val="32"/>
          <w:szCs w:val="32"/>
        </w:rPr>
        <w:t>公务用车运行维护费支</w:t>
      </w:r>
      <w:r>
        <w:rPr>
          <w:rFonts w:hint="eastAsia" w:ascii="仿宋_GB2312" w:hAnsi="仿宋_GB2312" w:eastAsia="仿宋_GB2312" w:cs="仿宋_GB2312"/>
          <w:sz w:val="32"/>
          <w:szCs w:val="32"/>
        </w:rPr>
        <w:t>出0</w:t>
      </w:r>
      <w:r>
        <w:rPr>
          <w:rFonts w:hint="eastAsia" w:eastAsia="仿宋_GB2312" w:cs="仿宋_GB2312"/>
          <w:sz w:val="32"/>
          <w:szCs w:val="32"/>
        </w:rPr>
        <w:t>万元。</w:t>
      </w:r>
    </w:p>
    <w:p w14:paraId="3D80E4C1">
      <w:pPr>
        <w:spacing w:line="600" w:lineRule="exact"/>
        <w:ind w:firstLine="640"/>
        <w:rPr>
          <w:rFonts w:eastAsia="仿宋_GB2312" w:cs="仿宋_GB2312"/>
          <w:sz w:val="32"/>
          <w:szCs w:val="32"/>
        </w:rPr>
      </w:pPr>
      <w:r>
        <w:rPr>
          <w:rFonts w:hint="eastAsia" w:eastAsia="仿宋_GB2312" w:cs="仿宋_GB2312"/>
          <w:b/>
          <w:bCs/>
          <w:sz w:val="32"/>
          <w:szCs w:val="32"/>
        </w:rPr>
        <w:t>3.公务接待费支出</w:t>
      </w:r>
      <w:r>
        <w:rPr>
          <w:rFonts w:hint="eastAsia" w:ascii="仿宋_GB2312" w:hAnsi="仿宋_GB2312" w:eastAsia="仿宋_GB2312" w:cs="仿宋_GB2312"/>
          <w:b/>
          <w:bCs/>
          <w:sz w:val="32"/>
          <w:szCs w:val="32"/>
        </w:rPr>
        <w:t>0万</w:t>
      </w:r>
      <w:r>
        <w:rPr>
          <w:rFonts w:hint="eastAsia" w:eastAsia="仿宋_GB2312" w:cs="仿宋_GB2312"/>
          <w:b/>
          <w:bCs/>
          <w:sz w:val="32"/>
          <w:szCs w:val="32"/>
        </w:rPr>
        <w:t>元，完成预算0%。</w:t>
      </w:r>
      <w:r>
        <w:rPr>
          <w:rFonts w:hint="eastAsia" w:eastAsia="仿宋_GB2312" w:cs="仿宋_GB2312"/>
          <w:sz w:val="32"/>
          <w:szCs w:val="32"/>
        </w:rPr>
        <w:t>公务接待费支出决算与2023年度持平。其中：</w:t>
      </w:r>
    </w:p>
    <w:p w14:paraId="5F26C4DC">
      <w:pPr>
        <w:spacing w:line="600" w:lineRule="exact"/>
        <w:ind w:firstLine="640"/>
        <w:rPr>
          <w:rFonts w:eastAsia="仿宋_GB2312" w:cs="仿宋_GB2312"/>
          <w:sz w:val="32"/>
          <w:szCs w:val="32"/>
        </w:rPr>
      </w:pPr>
      <w:r>
        <w:rPr>
          <w:rFonts w:hint="eastAsia" w:eastAsia="仿宋_GB2312" w:cs="仿宋_GB2312"/>
          <w:sz w:val="32"/>
          <w:szCs w:val="32"/>
        </w:rPr>
        <w:t>国内公务接待支</w:t>
      </w:r>
      <w:r>
        <w:rPr>
          <w:rFonts w:hint="eastAsia" w:ascii="仿宋_GB2312" w:hAnsi="仿宋_GB2312" w:eastAsia="仿宋_GB2312" w:cs="仿宋_GB2312"/>
          <w:sz w:val="32"/>
          <w:szCs w:val="32"/>
        </w:rPr>
        <w:t>出0万</w:t>
      </w:r>
      <w:r>
        <w:rPr>
          <w:rFonts w:hint="eastAsia" w:eastAsia="仿宋_GB2312" w:cs="仿宋_GB2312"/>
          <w:sz w:val="32"/>
          <w:szCs w:val="32"/>
        </w:rPr>
        <w:t>元。</w:t>
      </w:r>
    </w:p>
    <w:p w14:paraId="7BA3817F">
      <w:pPr>
        <w:spacing w:line="600" w:lineRule="exact"/>
        <w:ind w:firstLine="640"/>
        <w:rPr>
          <w:rFonts w:eastAsia="仿宋_GB2312" w:cs="仿宋_GB2312"/>
          <w:sz w:val="32"/>
          <w:szCs w:val="32"/>
        </w:rPr>
      </w:pPr>
      <w:r>
        <w:rPr>
          <w:rFonts w:hint="eastAsia" w:eastAsia="仿宋_GB2312" w:cs="仿宋_GB2312"/>
          <w:sz w:val="32"/>
          <w:szCs w:val="32"/>
        </w:rPr>
        <w:t>外事接待支</w:t>
      </w:r>
      <w:r>
        <w:rPr>
          <w:rFonts w:hint="eastAsia" w:ascii="仿宋_GB2312" w:hAnsi="仿宋_GB2312" w:eastAsia="仿宋_GB2312" w:cs="仿宋_GB2312"/>
          <w:sz w:val="32"/>
          <w:szCs w:val="32"/>
        </w:rPr>
        <w:t>出0万元</w:t>
      </w:r>
      <w:r>
        <w:rPr>
          <w:rFonts w:hint="eastAsia" w:eastAsia="仿宋_GB2312" w:cs="仿宋_GB2312"/>
          <w:sz w:val="32"/>
          <w:szCs w:val="32"/>
        </w:rPr>
        <w:t>。</w:t>
      </w:r>
    </w:p>
    <w:p w14:paraId="002F132B">
      <w:pPr>
        <w:spacing w:line="600" w:lineRule="exact"/>
        <w:ind w:firstLine="640"/>
        <w:outlineLvl w:val="1"/>
        <w:rPr>
          <w:rStyle w:val="30"/>
          <w:rFonts w:ascii="Times New Roman" w:hAnsi="Times New Roman" w:eastAsia="黑体"/>
        </w:rPr>
      </w:pPr>
      <w:bookmarkStart w:id="33" w:name="_Toc15377218"/>
      <w:bookmarkStart w:id="34" w:name="_Toc15396610"/>
      <w:r>
        <w:rPr>
          <w:rFonts w:hint="eastAsia" w:eastAsia="黑体"/>
          <w:sz w:val="32"/>
          <w:szCs w:val="32"/>
        </w:rPr>
        <w:t>八、</w:t>
      </w:r>
      <w:r>
        <w:rPr>
          <w:rStyle w:val="30"/>
          <w:rFonts w:hint="eastAsia" w:ascii="Times New Roman" w:hAnsi="Times New Roman" w:eastAsia="黑体"/>
          <w:b w:val="0"/>
        </w:rPr>
        <w:t>政府性基金预算支出决算情况说明</w:t>
      </w:r>
      <w:bookmarkEnd w:id="33"/>
      <w:bookmarkEnd w:id="34"/>
    </w:p>
    <w:p w14:paraId="59A14B88">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2024年度政府性基金预算财政拨款支出0万元</w:t>
      </w:r>
      <w:r>
        <w:rPr>
          <w:rFonts w:hint="eastAsia" w:eastAsia="仿宋_GB2312" w:cs="仿宋_GB2312"/>
          <w:sz w:val="32"/>
          <w:szCs w:val="32"/>
        </w:rPr>
        <w:t>。</w:t>
      </w:r>
    </w:p>
    <w:p w14:paraId="2FC0C839">
      <w:pPr>
        <w:spacing w:line="600" w:lineRule="exact"/>
        <w:ind w:left="630"/>
        <w:outlineLvl w:val="1"/>
        <w:rPr>
          <w:rStyle w:val="30"/>
          <w:rFonts w:ascii="Times New Roman" w:hAnsi="Times New Roman" w:eastAsia="黑体"/>
          <w:b w:val="0"/>
        </w:rPr>
      </w:pPr>
      <w:bookmarkStart w:id="35" w:name="_Toc15396611"/>
      <w:bookmarkStart w:id="36" w:name="_Toc15377219"/>
      <w:r>
        <w:rPr>
          <w:rStyle w:val="30"/>
          <w:rFonts w:hint="eastAsia" w:ascii="Times New Roman" w:hAnsi="Times New Roman" w:eastAsia="黑体"/>
          <w:b w:val="0"/>
        </w:rPr>
        <w:t>九、国有资本经营预算支出决算情况说明</w:t>
      </w:r>
      <w:bookmarkEnd w:id="35"/>
      <w:bookmarkEnd w:id="36"/>
    </w:p>
    <w:p w14:paraId="48659CAC">
      <w:pPr>
        <w:spacing w:line="600" w:lineRule="exact"/>
        <w:ind w:firstLine="640"/>
        <w:rPr>
          <w:rFonts w:eastAsia="仿宋_GB2312" w:cs="仿宋_GB2312"/>
          <w:sz w:val="32"/>
          <w:szCs w:val="32"/>
        </w:rPr>
      </w:pPr>
      <w:r>
        <w:rPr>
          <w:rFonts w:hint="eastAsia" w:eastAsia="仿宋_GB2312" w:cs="仿宋_GB2312"/>
          <w:sz w:val="32"/>
          <w:szCs w:val="32"/>
        </w:rPr>
        <w:t>2024年度国有资本经营预算财政拨款支出</w:t>
      </w:r>
      <w:r>
        <w:rPr>
          <w:rFonts w:hint="eastAsia" w:ascii="仿宋_GB2312" w:hAnsi="仿宋_GB2312" w:eastAsia="仿宋_GB2312" w:cs="仿宋_GB2312"/>
          <w:sz w:val="32"/>
          <w:szCs w:val="32"/>
        </w:rPr>
        <w:t>0万元。</w:t>
      </w:r>
    </w:p>
    <w:p w14:paraId="1F9BCFA5">
      <w:pPr>
        <w:spacing w:line="600" w:lineRule="exact"/>
        <w:ind w:left="630"/>
        <w:outlineLvl w:val="1"/>
        <w:rPr>
          <w:rStyle w:val="30"/>
          <w:rFonts w:ascii="Times New Roman" w:hAnsi="Times New Roman" w:eastAsia="黑体"/>
          <w:b w:val="0"/>
        </w:rPr>
      </w:pPr>
      <w:bookmarkStart w:id="37" w:name="_Toc15396612"/>
      <w:bookmarkStart w:id="38" w:name="_Toc15377221"/>
      <w:r>
        <w:rPr>
          <w:rStyle w:val="30"/>
          <w:rFonts w:hint="eastAsia" w:ascii="Times New Roman" w:hAnsi="Times New Roman" w:eastAsia="黑体"/>
          <w:b w:val="0"/>
        </w:rPr>
        <w:t>十、其他重要事项的情况说明</w:t>
      </w:r>
      <w:bookmarkEnd w:id="37"/>
      <w:bookmarkEnd w:id="38"/>
    </w:p>
    <w:p w14:paraId="3A2A15C4">
      <w:pPr>
        <w:spacing w:line="600" w:lineRule="exact"/>
        <w:ind w:firstLine="643" w:firstLineChars="200"/>
        <w:outlineLvl w:val="2"/>
        <w:rPr>
          <w:rFonts w:eastAsia="楷体_GB2312" w:cs="楷体_GB2312"/>
          <w:b/>
          <w:sz w:val="32"/>
          <w:szCs w:val="32"/>
        </w:rPr>
      </w:pPr>
      <w:bookmarkStart w:id="39" w:name="_Toc15377222"/>
      <w:r>
        <w:rPr>
          <w:rFonts w:hint="eastAsia" w:eastAsia="楷体_GB2312" w:cs="楷体_GB2312"/>
          <w:b/>
          <w:sz w:val="32"/>
          <w:szCs w:val="32"/>
        </w:rPr>
        <w:t>（一）机关运行经费支出情况</w:t>
      </w:r>
      <w:bookmarkEnd w:id="39"/>
    </w:p>
    <w:p w14:paraId="4A640061">
      <w:pPr>
        <w:spacing w:line="600" w:lineRule="exact"/>
        <w:ind w:firstLine="640"/>
        <w:rPr>
          <w:rFonts w:eastAsia="仿宋_GB2312" w:cs="仿宋_GB2312"/>
          <w:sz w:val="32"/>
          <w:szCs w:val="32"/>
        </w:rPr>
      </w:pPr>
      <w:r>
        <w:rPr>
          <w:rFonts w:hint="eastAsia" w:eastAsia="仿宋_GB2312" w:cs="仿宋_GB2312"/>
          <w:sz w:val="32"/>
          <w:szCs w:val="32"/>
        </w:rPr>
        <w:t>2024年度</w:t>
      </w: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盐边县行政审批局</w:t>
      </w:r>
      <w:r>
        <w:rPr>
          <w:rFonts w:hint="eastAsia" w:ascii="仿宋_GB2312" w:hAnsi="仿宋_GB2312" w:eastAsia="仿宋_GB2312" w:cs="仿宋_GB2312"/>
          <w:sz w:val="32"/>
          <w:szCs w:val="32"/>
        </w:rPr>
        <w:t>机关运行经费支出71.67万</w:t>
      </w:r>
      <w:r>
        <w:rPr>
          <w:rFonts w:hint="eastAsia" w:eastAsia="仿宋_GB2312" w:cs="仿宋_GB2312"/>
          <w:sz w:val="32"/>
          <w:szCs w:val="32"/>
        </w:rPr>
        <w:t>元，比2023年度增加2.11万元，增长3.03%。主要原因是职工食堂后勤保障人员劳务费增加。</w:t>
      </w:r>
    </w:p>
    <w:p w14:paraId="44D4C17C">
      <w:pPr>
        <w:spacing w:line="600" w:lineRule="exact"/>
        <w:ind w:firstLine="643" w:firstLineChars="200"/>
        <w:outlineLvl w:val="2"/>
        <w:rPr>
          <w:rFonts w:eastAsia="楷体_GB2312" w:cs="楷体_GB2312"/>
          <w:b/>
          <w:sz w:val="32"/>
          <w:szCs w:val="32"/>
        </w:rPr>
      </w:pPr>
      <w:bookmarkStart w:id="40" w:name="_Toc15377223"/>
      <w:r>
        <w:rPr>
          <w:rFonts w:hint="eastAsia" w:eastAsia="楷体_GB2312" w:cs="楷体_GB2312"/>
          <w:b/>
          <w:sz w:val="32"/>
          <w:szCs w:val="32"/>
        </w:rPr>
        <w:t>（二）政府采购支出情况</w:t>
      </w:r>
      <w:bookmarkEnd w:id="40"/>
    </w:p>
    <w:p w14:paraId="25E9751C">
      <w:pPr>
        <w:spacing w:line="600" w:lineRule="exact"/>
        <w:ind w:firstLine="640"/>
        <w:rPr>
          <w:rFonts w:ascii="仿宋_GB2312" w:hAnsi="仿宋_GB2312" w:eastAsia="仿宋_GB2312" w:cs="仿宋_GB2312"/>
          <w:sz w:val="32"/>
          <w:szCs w:val="32"/>
        </w:rPr>
      </w:pPr>
      <w:r>
        <w:rPr>
          <w:rFonts w:hint="eastAsia" w:ascii="仿宋_GB2312" w:hAnsi="仿宋_GB2312" w:eastAsia="仿宋_GB2312" w:cs="仿宋_GB2312"/>
          <w:sz w:val="32"/>
          <w:szCs w:val="32"/>
        </w:rPr>
        <w:t>2024年度，</w:t>
      </w:r>
      <w:r>
        <w:rPr>
          <w:rFonts w:hint="eastAsia" w:ascii="仿宋_GB2312" w:hAnsi="仿宋_GB2312" w:eastAsia="仿宋_GB2312" w:cs="仿宋_GB2312"/>
          <w:sz w:val="32"/>
          <w:szCs w:val="32"/>
          <w:lang w:eastAsia="zh-CN"/>
        </w:rPr>
        <w:t>盐边县行政审批局</w:t>
      </w:r>
      <w:r>
        <w:rPr>
          <w:rFonts w:hint="eastAsia" w:ascii="仿宋_GB2312" w:hAnsi="仿宋_GB2312" w:eastAsia="仿宋_GB2312" w:cs="仿宋_GB2312"/>
          <w:sz w:val="32"/>
          <w:szCs w:val="32"/>
        </w:rPr>
        <w:t>政府采购支出总额87.89万元，其中：政府采购货物支出0万元、政府采购工程支出0万元、政府采购服务支出87.89万元。主要用于：</w:t>
      </w:r>
      <w:r>
        <w:rPr>
          <w:rFonts w:eastAsia="仿宋"/>
          <w:kern w:val="0"/>
          <w:sz w:val="32"/>
          <w:szCs w:val="32"/>
        </w:rPr>
        <w:t>县政府采购中心代全县各单位采购服务</w:t>
      </w:r>
      <w:r>
        <w:rPr>
          <w:rFonts w:hint="eastAsia" w:ascii="仿宋_GB2312" w:hAnsi="仿宋_GB2312" w:eastAsia="仿宋_GB2312" w:cs="仿宋_GB2312"/>
          <w:sz w:val="32"/>
          <w:szCs w:val="32"/>
        </w:rPr>
        <w:t>。授予中小企业合同金额87.89万元，占政府采购支出总额的100%，其中：授予小微企业合同金额87.89万元，占政府采购支出总额的100%。</w:t>
      </w:r>
    </w:p>
    <w:p w14:paraId="4915343B">
      <w:pPr>
        <w:spacing w:line="600" w:lineRule="exact"/>
        <w:ind w:firstLine="643" w:firstLineChars="200"/>
        <w:outlineLvl w:val="2"/>
        <w:rPr>
          <w:rFonts w:eastAsia="楷体_GB2312" w:cs="楷体_GB2312"/>
          <w:b/>
          <w:sz w:val="32"/>
          <w:szCs w:val="32"/>
        </w:rPr>
      </w:pPr>
      <w:bookmarkStart w:id="41" w:name="_Toc15377224"/>
      <w:r>
        <w:rPr>
          <w:rFonts w:hint="eastAsia" w:eastAsia="楷体_GB2312" w:cs="楷体_GB2312"/>
          <w:b/>
          <w:sz w:val="32"/>
          <w:szCs w:val="32"/>
        </w:rPr>
        <w:t>（三）国有资产占有使用情况</w:t>
      </w:r>
      <w:bookmarkEnd w:id="41"/>
    </w:p>
    <w:p w14:paraId="483A07EB">
      <w:pPr>
        <w:spacing w:line="600" w:lineRule="exact"/>
        <w:ind w:firstLine="640"/>
        <w:rPr>
          <w:rFonts w:eastAsia="仿宋_GB2312" w:cs="仿宋_GB2312"/>
          <w:sz w:val="32"/>
          <w:szCs w:val="32"/>
        </w:rPr>
      </w:pPr>
      <w:r>
        <w:rPr>
          <w:rFonts w:hint="eastAsia" w:ascii="仿宋_GB2312" w:hAnsi="仿宋_GB2312" w:eastAsia="仿宋_GB2312" w:cs="仿宋_GB2312"/>
          <w:sz w:val="32"/>
          <w:szCs w:val="32"/>
        </w:rPr>
        <w:t>截至2024年12月31日，县行政审批局共有车辆0辆</w:t>
      </w:r>
      <w:r>
        <w:rPr>
          <w:rFonts w:eastAsia="仿宋"/>
          <w:kern w:val="0"/>
          <w:sz w:val="32"/>
          <w:szCs w:val="32"/>
        </w:rPr>
        <w:t>，其中：主要领导干部用车0辆、机要通信用车0辆、应急保障用车0辆、其他用车0辆。单价100万元以上设备（不含车辆）0台（套）</w:t>
      </w:r>
      <w:r>
        <w:rPr>
          <w:rFonts w:hint="eastAsia" w:eastAsia="仿宋_GB2312" w:cs="仿宋_GB2312"/>
          <w:sz w:val="32"/>
          <w:szCs w:val="32"/>
        </w:rPr>
        <w:t>。</w:t>
      </w:r>
    </w:p>
    <w:p w14:paraId="1BA3BE38">
      <w:pPr>
        <w:spacing w:line="600" w:lineRule="exact"/>
        <w:ind w:firstLine="643" w:firstLineChars="200"/>
        <w:outlineLvl w:val="2"/>
        <w:rPr>
          <w:rFonts w:eastAsia="楷体_GB2312" w:cs="楷体_GB2312"/>
          <w:b/>
          <w:sz w:val="32"/>
          <w:szCs w:val="32"/>
        </w:rPr>
      </w:pPr>
      <w:r>
        <w:rPr>
          <w:rFonts w:hint="eastAsia" w:eastAsia="楷体_GB2312" w:cs="楷体_GB2312"/>
          <w:b/>
          <w:sz w:val="32"/>
          <w:szCs w:val="32"/>
        </w:rPr>
        <w:t>（四）预算绩效管理情况</w:t>
      </w:r>
    </w:p>
    <w:p w14:paraId="6849AAB8">
      <w:pPr>
        <w:spacing w:line="600" w:lineRule="exact"/>
        <w:ind w:firstLine="640"/>
        <w:rPr>
          <w:rFonts w:eastAsia="仿宋_GB2312" w:cs="仿宋_GB2312"/>
          <w:sz w:val="32"/>
          <w:szCs w:val="32"/>
        </w:rPr>
      </w:pPr>
      <w:r>
        <w:rPr>
          <w:rFonts w:hint="eastAsia" w:eastAsia="仿宋_GB2312" w:cs="仿宋_GB2312"/>
          <w:sz w:val="32"/>
          <w:szCs w:val="32"/>
        </w:rPr>
        <w:t>根据预算绩效管理要求，县行政审批局在2024年度预算编制阶段，组织对网络租赁费、盐边县政务服务中心搬迁工程监理费余款、2019年新政务服务中心通用办公设备采购质保金项目、盐边县行政审批局“天府通办分站点建设”项目、县政务服务中心专项经费项目、 “今日壹号岗”党建品牌升级打造项目、2022年工作服采购项目（中小企业欠款）、县政务服务中心职工食堂运行经费、盐边县政务服务中心保运转经费、盐边县行政审批局环境打造项目（中小企业欠款）、政府采购专家评审专项经费、 “惠企政策服务专窗”专项经费项目、人脸考勤系统配置（中小企业欠款）等13个项目开展了预算事前绩效评估，对13个项目编制了绩效目标，预算执行过程中，选取13个项目开展绩效监控。</w:t>
      </w:r>
    </w:p>
    <w:p w14:paraId="55F7D6A8">
      <w:pPr>
        <w:spacing w:line="600" w:lineRule="exact"/>
        <w:ind w:firstLine="640"/>
        <w:rPr>
          <w:rFonts w:eastAsia="仿宋_GB2312" w:cs="仿宋_GB2312"/>
          <w:b/>
          <w:bCs/>
          <w:sz w:val="32"/>
          <w:szCs w:val="32"/>
        </w:rPr>
      </w:pPr>
      <w:r>
        <w:rPr>
          <w:rFonts w:hint="eastAsia" w:eastAsia="仿宋_GB2312" w:cs="仿宋_GB2312"/>
          <w:sz w:val="32"/>
          <w:szCs w:val="32"/>
        </w:rPr>
        <w:t>组织对2024年度一般公共预算资金全面开展绩效自评，形成盐边县行政审批局部门整体（含部门预算项目）绩效自评报告，其中，</w:t>
      </w:r>
      <w:r>
        <w:rPr>
          <w:rFonts w:eastAsia="仿宋"/>
          <w:kern w:val="0"/>
          <w:sz w:val="32"/>
          <w:szCs w:val="32"/>
        </w:rPr>
        <w:t>盐边县行政审批局</w:t>
      </w:r>
      <w:r>
        <w:rPr>
          <w:rFonts w:hint="eastAsia" w:eastAsia="仿宋_GB2312" w:cs="仿宋_GB2312"/>
          <w:sz w:val="32"/>
          <w:szCs w:val="32"/>
        </w:rPr>
        <w:t>部门整体（绩效自评得分为100分，绩效自评综述2024年，从整体情况来看，本单位在预算编制、预算执行、支出绩效方面，严格按照规定执行，涉及“三重一大”事项必须经局党组会讨论决定。严格按照资金管理办法，做到项目资金专款专用，无截留、无挪用等现象，使财政资金发挥最大使用效益。经综合评价，盐边县行政审批局202</w:t>
      </w:r>
      <w:r>
        <w:rPr>
          <w:rFonts w:hint="eastAsia" w:eastAsia="仿宋_GB2312" w:cs="仿宋_GB2312"/>
          <w:sz w:val="32"/>
          <w:szCs w:val="32"/>
          <w:lang w:val="en-US" w:eastAsia="zh-CN"/>
        </w:rPr>
        <w:t>4</w:t>
      </w:r>
      <w:r>
        <w:rPr>
          <w:rFonts w:hint="eastAsia" w:eastAsia="仿宋_GB2312" w:cs="仿宋_GB2312"/>
          <w:sz w:val="32"/>
          <w:szCs w:val="32"/>
        </w:rPr>
        <w:t>年度部门预算整体绩效达到年初预期；绩效自评报告详见附件。</w:t>
      </w:r>
    </w:p>
    <w:p w14:paraId="2679C9D6">
      <w:pPr>
        <w:spacing w:line="600" w:lineRule="exact"/>
        <w:ind w:firstLine="640"/>
        <w:rPr>
          <w:rFonts w:eastAsia="仿宋_GB2312" w:cs="仿宋_GB2312"/>
          <w:sz w:val="32"/>
          <w:szCs w:val="32"/>
        </w:rPr>
      </w:pPr>
    </w:p>
    <w:p w14:paraId="5C5E661D">
      <w:pPr>
        <w:pStyle w:val="2"/>
      </w:pPr>
    </w:p>
    <w:p w14:paraId="509ABFDB">
      <w:pPr>
        <w:spacing w:line="600" w:lineRule="exact"/>
        <w:ind w:firstLine="640"/>
        <w:rPr>
          <w:rFonts w:eastAsia="仿宋_GB2312" w:cs="仿宋_GB2312"/>
          <w:sz w:val="32"/>
          <w:szCs w:val="32"/>
        </w:rPr>
      </w:pPr>
    </w:p>
    <w:p w14:paraId="7216DACA">
      <w:pPr>
        <w:pStyle w:val="15"/>
      </w:pPr>
    </w:p>
    <w:p w14:paraId="2B1A21F2">
      <w:pPr>
        <w:pStyle w:val="9"/>
        <w:ind w:left="420"/>
      </w:pPr>
    </w:p>
    <w:p w14:paraId="6D3212F5">
      <w:pPr>
        <w:pStyle w:val="9"/>
        <w:ind w:left="420"/>
      </w:pPr>
    </w:p>
    <w:p w14:paraId="0A5EC8CF">
      <w:pPr>
        <w:pStyle w:val="9"/>
        <w:ind w:left="420"/>
      </w:pPr>
    </w:p>
    <w:p w14:paraId="527B9A77">
      <w:pPr>
        <w:pStyle w:val="9"/>
        <w:ind w:left="0" w:leftChars="0" w:firstLine="0" w:firstLineChars="0"/>
        <w:rPr>
          <w:rFonts w:hint="eastAsia"/>
        </w:rPr>
      </w:pPr>
    </w:p>
    <w:p w14:paraId="78DC5EAE">
      <w:pPr>
        <w:pStyle w:val="9"/>
        <w:ind w:left="0" w:leftChars="0" w:firstLine="0" w:firstLineChars="0"/>
        <w:rPr>
          <w:rFonts w:hint="eastAsia"/>
        </w:rPr>
      </w:pPr>
    </w:p>
    <w:p w14:paraId="45DD9DA2">
      <w:pPr>
        <w:pStyle w:val="9"/>
        <w:ind w:left="0" w:leftChars="0" w:firstLine="0" w:firstLineChars="0"/>
        <w:rPr>
          <w:rFonts w:hint="eastAsia"/>
        </w:rPr>
      </w:pPr>
    </w:p>
    <w:p w14:paraId="71E6C558">
      <w:pPr>
        <w:pStyle w:val="9"/>
        <w:ind w:left="0" w:leftChars="0" w:firstLine="0" w:firstLineChars="0"/>
        <w:rPr>
          <w:rFonts w:hint="eastAsia"/>
        </w:rPr>
      </w:pPr>
    </w:p>
    <w:p w14:paraId="01CEA2EF">
      <w:pPr>
        <w:pStyle w:val="9"/>
        <w:ind w:left="0" w:leftChars="0" w:firstLine="0" w:firstLineChars="0"/>
        <w:rPr>
          <w:rFonts w:hint="eastAsia"/>
        </w:rPr>
      </w:pPr>
    </w:p>
    <w:p w14:paraId="2B434B96">
      <w:pPr>
        <w:pStyle w:val="9"/>
        <w:ind w:left="0" w:leftChars="0" w:firstLine="0" w:firstLineChars="0"/>
        <w:rPr>
          <w:rFonts w:hint="eastAsia"/>
        </w:rPr>
      </w:pPr>
    </w:p>
    <w:p w14:paraId="2A3276D9">
      <w:pPr>
        <w:pStyle w:val="9"/>
        <w:ind w:left="0" w:leftChars="0" w:firstLine="0" w:firstLineChars="0"/>
        <w:rPr>
          <w:rFonts w:hint="eastAsia"/>
        </w:rPr>
      </w:pPr>
    </w:p>
    <w:p w14:paraId="0576C46B">
      <w:pPr>
        <w:pStyle w:val="9"/>
        <w:ind w:left="0" w:leftChars="0" w:firstLine="0" w:firstLineChars="0"/>
        <w:rPr>
          <w:rFonts w:hint="eastAsia"/>
        </w:rPr>
      </w:pPr>
    </w:p>
    <w:p w14:paraId="3B1D54CE">
      <w:pPr>
        <w:pStyle w:val="9"/>
        <w:ind w:left="0" w:leftChars="0" w:firstLine="0" w:firstLineChars="0"/>
        <w:rPr>
          <w:rFonts w:hint="eastAsia"/>
        </w:rPr>
      </w:pPr>
    </w:p>
    <w:p w14:paraId="2042CADE">
      <w:pPr>
        <w:pStyle w:val="9"/>
        <w:ind w:left="0" w:leftChars="0" w:firstLine="0" w:firstLineChars="0"/>
        <w:rPr>
          <w:rFonts w:hint="eastAsia"/>
        </w:rPr>
      </w:pPr>
    </w:p>
    <w:p w14:paraId="5A109054">
      <w:pPr>
        <w:pStyle w:val="9"/>
        <w:ind w:left="0" w:leftChars="0" w:firstLine="0" w:firstLineChars="0"/>
        <w:rPr>
          <w:rFonts w:hint="eastAsia"/>
        </w:rPr>
      </w:pPr>
    </w:p>
    <w:p w14:paraId="29E20526">
      <w:pPr>
        <w:pStyle w:val="9"/>
        <w:ind w:left="0" w:leftChars="0" w:firstLine="0" w:firstLineChars="0"/>
      </w:pPr>
    </w:p>
    <w:p w14:paraId="437B3E8E">
      <w:pPr>
        <w:pStyle w:val="9"/>
        <w:ind w:left="420"/>
      </w:pPr>
    </w:p>
    <w:p w14:paraId="7EF4B18A">
      <w:pPr>
        <w:spacing w:line="600" w:lineRule="exact"/>
        <w:jc w:val="center"/>
        <w:outlineLvl w:val="0"/>
        <w:rPr>
          <w:rFonts w:eastAsia="黑体"/>
          <w:sz w:val="44"/>
          <w:szCs w:val="44"/>
        </w:rPr>
      </w:pPr>
      <w:bookmarkStart w:id="42" w:name="_Toc15396613"/>
      <w:bookmarkStart w:id="43" w:name="_Toc15377225"/>
      <w:r>
        <w:rPr>
          <w:rFonts w:hint="eastAsia" w:eastAsia="黑体"/>
          <w:sz w:val="44"/>
          <w:szCs w:val="44"/>
        </w:rPr>
        <w:t>第三部分  名词解释</w:t>
      </w:r>
      <w:bookmarkEnd w:id="42"/>
      <w:bookmarkEnd w:id="43"/>
    </w:p>
    <w:p w14:paraId="0DAA90F2">
      <w:pPr>
        <w:spacing w:line="600" w:lineRule="exact"/>
        <w:jc w:val="left"/>
        <w:rPr>
          <w:b/>
          <w:sz w:val="44"/>
          <w:szCs w:val="44"/>
        </w:rPr>
      </w:pPr>
    </w:p>
    <w:p w14:paraId="76855DE2">
      <w:pPr>
        <w:spacing w:line="600" w:lineRule="exact"/>
        <w:ind w:firstLine="640"/>
        <w:rPr>
          <w:rFonts w:eastAsia="仿宋_GB2312" w:cs="仿宋_GB2312"/>
          <w:sz w:val="32"/>
          <w:szCs w:val="32"/>
        </w:rPr>
      </w:pPr>
      <w:r>
        <w:rPr>
          <w:rFonts w:hint="eastAsia" w:eastAsia="仿宋_GB2312" w:cs="仿宋_GB2312"/>
          <w:sz w:val="32"/>
          <w:szCs w:val="32"/>
        </w:rPr>
        <w:t>1.财政拨款收入：指单位从同级财政部门取得的财政预算资金。</w:t>
      </w:r>
    </w:p>
    <w:p w14:paraId="1088A0F6">
      <w:pPr>
        <w:spacing w:line="600" w:lineRule="exact"/>
        <w:ind w:firstLine="640"/>
        <w:rPr>
          <w:rFonts w:hint="eastAsia" w:eastAsia="仿宋"/>
          <w:kern w:val="0"/>
          <w:sz w:val="32"/>
          <w:szCs w:val="32"/>
        </w:rPr>
      </w:pPr>
      <w:r>
        <w:rPr>
          <w:rFonts w:hint="eastAsia" w:eastAsia="仿宋_GB2312" w:cs="仿宋_GB2312"/>
          <w:sz w:val="32"/>
          <w:szCs w:val="32"/>
        </w:rPr>
        <w:t>2.</w:t>
      </w:r>
      <w:r>
        <w:rPr>
          <w:rFonts w:eastAsia="仿宋"/>
          <w:kern w:val="0"/>
          <w:sz w:val="32"/>
          <w:szCs w:val="32"/>
        </w:rPr>
        <w:t xml:space="preserve"> 一般公共服务（类）政府办公厅(室)及相关机构事务（款）行政运行（项）:指行政单位（包括实行公务员管理的事业单位）的基本支出。</w:t>
      </w:r>
    </w:p>
    <w:p w14:paraId="07224A28">
      <w:pPr>
        <w:pStyle w:val="27"/>
        <w:spacing w:line="560" w:lineRule="exact"/>
        <w:ind w:firstLine="640" w:firstLineChars="200"/>
        <w:rPr>
          <w:rFonts w:ascii="Times New Roman" w:hAnsi="Times New Roman" w:cs="Times New Roman"/>
          <w:color w:val="auto"/>
          <w:sz w:val="32"/>
          <w:szCs w:val="32"/>
        </w:rPr>
      </w:pPr>
      <w:r>
        <w:rPr>
          <w:rFonts w:ascii="Times New Roman" w:hAnsi="Times New Roman" w:eastAsia="楷体_GB2312" w:cs="Times New Roman"/>
          <w:sz w:val="32"/>
          <w:szCs w:val="32"/>
          <w:shd w:val="clear" w:color="auto" w:fill="FFFFFF"/>
        </w:rPr>
        <w:t>3.</w:t>
      </w:r>
      <w:r>
        <w:rPr>
          <w:rFonts w:ascii="Times New Roman" w:hAnsi="Times New Roman" w:cs="Times New Roman"/>
          <w:color w:val="auto"/>
          <w:sz w:val="32"/>
          <w:szCs w:val="32"/>
        </w:rPr>
        <w:t>一般公共服务（类）政府办公厅(室)及相关机构事务（款）一般行政管理事务（项）:指反映行政单位未单独设置项级科目的其他项目支出。</w:t>
      </w:r>
    </w:p>
    <w:p w14:paraId="260AB929">
      <w:pPr>
        <w:spacing w:line="600" w:lineRule="exact"/>
        <w:ind w:firstLine="640"/>
        <w:rPr>
          <w:rFonts w:hint="eastAsia" w:eastAsia="仿宋"/>
          <w:kern w:val="0"/>
          <w:sz w:val="32"/>
          <w:szCs w:val="32"/>
        </w:rPr>
      </w:pPr>
      <w:r>
        <w:rPr>
          <w:rFonts w:eastAsia="楷体_GB2312"/>
          <w:color w:val="000000"/>
          <w:kern w:val="0"/>
          <w:sz w:val="32"/>
          <w:szCs w:val="32"/>
          <w:shd w:val="clear" w:color="auto" w:fill="FFFFFF"/>
        </w:rPr>
        <w:t>4.</w:t>
      </w:r>
      <w:r>
        <w:rPr>
          <w:rFonts w:eastAsia="仿宋"/>
          <w:kern w:val="0"/>
          <w:sz w:val="32"/>
          <w:szCs w:val="32"/>
        </w:rPr>
        <w:t>一般公共服务（类）政府办公厅(室)及相关机构事务（款）事业运行（项）：指事业单位的基本支出。不包括行政单位（包括实行公务员管理的事业单位）后勤服务中心、医务室等附属事业单位。</w:t>
      </w:r>
    </w:p>
    <w:p w14:paraId="41006D32">
      <w:pPr>
        <w:pStyle w:val="27"/>
        <w:spacing w:line="560" w:lineRule="exact"/>
        <w:ind w:firstLine="640" w:firstLineChars="200"/>
        <w:outlineLvl w:val="1"/>
        <w:rPr>
          <w:rFonts w:ascii="Times New Roman" w:hAnsi="Times New Roman" w:cs="Times New Roman"/>
          <w:color w:val="auto"/>
          <w:sz w:val="32"/>
          <w:szCs w:val="32"/>
        </w:rPr>
      </w:pPr>
      <w:bookmarkStart w:id="44" w:name="_Toc10540"/>
      <w:bookmarkStart w:id="45" w:name="_Toc7011"/>
      <w:bookmarkStart w:id="46" w:name="_Toc1374"/>
      <w:bookmarkStart w:id="47" w:name="_Toc15919"/>
      <w:r>
        <w:rPr>
          <w:rFonts w:ascii="Times New Roman" w:hAnsi="Times New Roman" w:eastAsia="楷体_GB2312" w:cs="Times New Roman"/>
          <w:sz w:val="32"/>
          <w:szCs w:val="32"/>
          <w:shd w:val="clear" w:color="auto" w:fill="FFFFFF"/>
        </w:rPr>
        <w:t>5.</w:t>
      </w:r>
      <w:r>
        <w:rPr>
          <w:rFonts w:ascii="Times New Roman" w:hAnsi="Times New Roman" w:cs="Times New Roman"/>
          <w:color w:val="auto"/>
          <w:sz w:val="32"/>
          <w:szCs w:val="32"/>
        </w:rPr>
        <w:t>社会保障和就业（类）行政事业单位离退休（款）</w:t>
      </w:r>
      <w:bookmarkEnd w:id="44"/>
      <w:r>
        <w:rPr>
          <w:rFonts w:ascii="Times New Roman" w:hAnsi="Times New Roman" w:cs="Times New Roman"/>
          <w:color w:val="auto"/>
          <w:sz w:val="32"/>
          <w:szCs w:val="32"/>
        </w:rPr>
        <w:t>行政单位离退休（项）：反映行政单位（包括实行公务员管理的事业单位）开支的离退休经费。</w:t>
      </w:r>
      <w:bookmarkEnd w:id="45"/>
      <w:bookmarkEnd w:id="46"/>
      <w:bookmarkEnd w:id="47"/>
    </w:p>
    <w:p w14:paraId="5D0AF560">
      <w:pPr>
        <w:pStyle w:val="27"/>
        <w:spacing w:line="560" w:lineRule="exact"/>
        <w:ind w:firstLine="640" w:firstLineChars="200"/>
        <w:rPr>
          <w:rFonts w:ascii="Times New Roman" w:hAnsi="Times New Roman" w:cs="Times New Roman"/>
          <w:color w:val="auto"/>
          <w:sz w:val="32"/>
          <w:szCs w:val="32"/>
        </w:rPr>
      </w:pPr>
      <w:r>
        <w:rPr>
          <w:rFonts w:ascii="Times New Roman" w:hAnsi="Times New Roman" w:eastAsia="楷体_GB2312" w:cs="Times New Roman"/>
          <w:sz w:val="32"/>
          <w:szCs w:val="32"/>
          <w:shd w:val="clear" w:color="auto" w:fill="FFFFFF"/>
        </w:rPr>
        <w:t>6.</w:t>
      </w:r>
      <w:r>
        <w:rPr>
          <w:rFonts w:ascii="Times New Roman" w:hAnsi="Times New Roman" w:cs="Times New Roman"/>
          <w:color w:val="auto"/>
          <w:sz w:val="32"/>
          <w:szCs w:val="32"/>
        </w:rPr>
        <w:t>社会保障和就业（类）行政事业单位离退休（款）机关事业单位基本养老保险缴费支出（项）：指机关事业单位实施养老保险制度有单位缴纳的基本养老保险费支出。</w:t>
      </w:r>
    </w:p>
    <w:p w14:paraId="741CBC4F">
      <w:pPr>
        <w:spacing w:line="560" w:lineRule="exact"/>
        <w:ind w:firstLine="640" w:firstLineChars="200"/>
        <w:outlineLvl w:val="1"/>
        <w:rPr>
          <w:rFonts w:eastAsia="仿宋"/>
          <w:kern w:val="0"/>
          <w:sz w:val="32"/>
          <w:szCs w:val="32"/>
        </w:rPr>
      </w:pPr>
      <w:bookmarkStart w:id="48" w:name="_Toc16711"/>
      <w:bookmarkStart w:id="49" w:name="_Toc15004"/>
      <w:bookmarkStart w:id="50" w:name="_Toc8660"/>
      <w:bookmarkStart w:id="51" w:name="_Toc21179"/>
      <w:r>
        <w:rPr>
          <w:rFonts w:eastAsia="楷体_GB2312"/>
          <w:color w:val="000000"/>
          <w:kern w:val="0"/>
          <w:sz w:val="32"/>
          <w:szCs w:val="32"/>
          <w:shd w:val="clear" w:color="auto" w:fill="FFFFFF"/>
        </w:rPr>
        <w:t>7.</w:t>
      </w:r>
      <w:r>
        <w:rPr>
          <w:rFonts w:eastAsia="仿宋"/>
          <w:kern w:val="0"/>
          <w:sz w:val="32"/>
          <w:szCs w:val="32"/>
        </w:rPr>
        <w:t>卫生健康支出（类）行政事业单位医疗（款）</w:t>
      </w:r>
      <w:bookmarkEnd w:id="48"/>
      <w:r>
        <w:rPr>
          <w:rFonts w:eastAsia="仿宋"/>
          <w:kern w:val="0"/>
          <w:sz w:val="32"/>
          <w:szCs w:val="32"/>
        </w:rPr>
        <w:t>行政单位医疗（款）：反映财政部门安排的行政单位（包括实行公务员管理的事业单位，下同）基本医疗保险缴费经费，未参加医疗保险的行政单位的公费医疗经费，按国家规定享受离退休人员、红军老战士待遇人员的医疗经费。</w:t>
      </w:r>
      <w:bookmarkEnd w:id="49"/>
      <w:bookmarkEnd w:id="50"/>
      <w:bookmarkEnd w:id="51"/>
    </w:p>
    <w:p w14:paraId="547864C1">
      <w:pPr>
        <w:spacing w:line="560" w:lineRule="exact"/>
        <w:ind w:firstLine="640" w:firstLineChars="200"/>
        <w:rPr>
          <w:rFonts w:eastAsia="仿宋"/>
          <w:kern w:val="0"/>
          <w:sz w:val="32"/>
          <w:szCs w:val="32"/>
        </w:rPr>
      </w:pPr>
      <w:r>
        <w:rPr>
          <w:rFonts w:eastAsia="楷体_GB2312"/>
          <w:color w:val="000000"/>
          <w:kern w:val="0"/>
          <w:sz w:val="32"/>
          <w:szCs w:val="32"/>
          <w:shd w:val="clear" w:color="auto" w:fill="FFFFFF"/>
        </w:rPr>
        <w:t>8.</w:t>
      </w:r>
      <w:r>
        <w:rPr>
          <w:rFonts w:eastAsia="仿宋"/>
          <w:kern w:val="0"/>
          <w:sz w:val="32"/>
          <w:szCs w:val="32"/>
        </w:rPr>
        <w:t>卫生健康支出（类）行政事业单位医疗（款）事业单位医疗（项）：反映财政部门安排的事业单位基本医疗保险缴费经费，未参加医疗保险的事业单位的公费医疗经费，按国家规定享受离休人员待遇的医疗经费。</w:t>
      </w:r>
    </w:p>
    <w:p w14:paraId="5740C81F">
      <w:pPr>
        <w:spacing w:line="560" w:lineRule="exact"/>
        <w:ind w:firstLine="640" w:firstLineChars="200"/>
        <w:rPr>
          <w:rFonts w:eastAsia="仿宋"/>
          <w:kern w:val="0"/>
          <w:sz w:val="32"/>
          <w:szCs w:val="32"/>
        </w:rPr>
      </w:pPr>
      <w:r>
        <w:rPr>
          <w:rFonts w:eastAsia="楷体_GB2312"/>
          <w:color w:val="000000"/>
          <w:kern w:val="0"/>
          <w:sz w:val="32"/>
          <w:szCs w:val="32"/>
          <w:shd w:val="clear" w:color="auto" w:fill="FFFFFF"/>
        </w:rPr>
        <w:t>9.</w:t>
      </w:r>
      <w:r>
        <w:rPr>
          <w:rFonts w:eastAsia="仿宋"/>
          <w:kern w:val="0"/>
          <w:sz w:val="32"/>
          <w:szCs w:val="32"/>
        </w:rPr>
        <w:t>卫生健康支出（类）行政事业单位医疗（款）公务员医疗补助（项）：反映财政部门安排的公务员医疗补助经费。</w:t>
      </w:r>
    </w:p>
    <w:p w14:paraId="74EB8D82">
      <w:pPr>
        <w:pStyle w:val="7"/>
        <w:spacing w:before="93" w:line="560" w:lineRule="exact"/>
        <w:ind w:firstLine="640" w:firstLineChars="200"/>
        <w:rPr>
          <w:rFonts w:ascii="Times New Roman" w:eastAsia="仿宋"/>
          <w:sz w:val="32"/>
          <w:szCs w:val="32"/>
        </w:rPr>
      </w:pPr>
      <w:r>
        <w:rPr>
          <w:rFonts w:ascii="Times New Roman" w:eastAsia="楷体_GB2312"/>
          <w:color w:val="000000"/>
          <w:sz w:val="32"/>
          <w:szCs w:val="32"/>
          <w:shd w:val="clear" w:color="auto" w:fill="FFFFFF"/>
        </w:rPr>
        <w:t>10.</w:t>
      </w:r>
      <w:r>
        <w:rPr>
          <w:rFonts w:ascii="Times New Roman" w:eastAsia="仿宋"/>
          <w:sz w:val="32"/>
          <w:szCs w:val="32"/>
        </w:rPr>
        <w:t>卫生健康支出（类）行政事业单位医疗（款）其他行政事业单位医疗支出（项）：反映除上述项目以外的其他用于行政事业单位医疗方面的支出。</w:t>
      </w:r>
    </w:p>
    <w:p w14:paraId="70190F98">
      <w:pPr>
        <w:spacing w:line="560" w:lineRule="exact"/>
        <w:ind w:firstLine="640" w:firstLineChars="200"/>
        <w:rPr>
          <w:rFonts w:eastAsia="仿宋"/>
          <w:kern w:val="0"/>
          <w:sz w:val="32"/>
          <w:szCs w:val="32"/>
        </w:rPr>
      </w:pPr>
      <w:r>
        <w:rPr>
          <w:rFonts w:eastAsia="楷体_GB2312"/>
          <w:color w:val="000000"/>
          <w:kern w:val="0"/>
          <w:sz w:val="32"/>
          <w:szCs w:val="32"/>
          <w:shd w:val="clear" w:color="auto" w:fill="FFFFFF"/>
        </w:rPr>
        <w:t>11.</w:t>
      </w:r>
      <w:r>
        <w:rPr>
          <w:rFonts w:eastAsia="仿宋"/>
          <w:kern w:val="0"/>
          <w:sz w:val="32"/>
          <w:szCs w:val="32"/>
        </w:rPr>
        <w:t>住房保障支出（类）住房改革支出（款）住房公积金（项）：指行政事业单位按人力资源和社会保障部、财政部规定的基本工资和津贴补贴以及规定比例为职工缴纳的住房公积金。</w:t>
      </w:r>
    </w:p>
    <w:p w14:paraId="78396D75">
      <w:pPr>
        <w:spacing w:line="560" w:lineRule="exact"/>
        <w:ind w:firstLine="640" w:firstLineChars="200"/>
        <w:rPr>
          <w:rFonts w:eastAsia="仿宋"/>
          <w:kern w:val="0"/>
          <w:sz w:val="32"/>
          <w:szCs w:val="32"/>
        </w:rPr>
      </w:pPr>
      <w:r>
        <w:rPr>
          <w:rFonts w:eastAsia="楷体_GB2312"/>
          <w:color w:val="000000"/>
          <w:kern w:val="0"/>
          <w:sz w:val="32"/>
          <w:szCs w:val="32"/>
          <w:shd w:val="clear" w:color="auto" w:fill="FFFFFF"/>
        </w:rPr>
        <w:t>12.</w:t>
      </w:r>
      <w:r>
        <w:rPr>
          <w:rFonts w:eastAsia="仿宋"/>
          <w:kern w:val="0"/>
          <w:sz w:val="32"/>
          <w:szCs w:val="32"/>
        </w:rPr>
        <w:t>基本支出：指为保障机构正常运转、完成日常工作任务而发生的人员支出和公用支出。</w:t>
      </w:r>
    </w:p>
    <w:p w14:paraId="6344705B">
      <w:pPr>
        <w:spacing w:line="560" w:lineRule="exact"/>
        <w:ind w:firstLine="640" w:firstLineChars="200"/>
        <w:rPr>
          <w:rFonts w:eastAsia="仿宋"/>
          <w:kern w:val="0"/>
          <w:sz w:val="32"/>
          <w:szCs w:val="32"/>
        </w:rPr>
      </w:pPr>
      <w:r>
        <w:rPr>
          <w:rFonts w:eastAsia="楷体_GB2312"/>
          <w:color w:val="000000"/>
          <w:kern w:val="0"/>
          <w:sz w:val="32"/>
          <w:szCs w:val="32"/>
          <w:shd w:val="clear" w:color="auto" w:fill="FFFFFF"/>
        </w:rPr>
        <w:t>13.</w:t>
      </w:r>
      <w:r>
        <w:rPr>
          <w:rFonts w:eastAsia="仿宋"/>
          <w:kern w:val="0"/>
          <w:sz w:val="32"/>
          <w:szCs w:val="32"/>
        </w:rPr>
        <w:t>项目支出：指在基本支出之外为完成特定行政任务和事业发展目标所发生的支出。</w:t>
      </w:r>
    </w:p>
    <w:p w14:paraId="4AB5D08C">
      <w:pPr>
        <w:pStyle w:val="27"/>
        <w:spacing w:line="560" w:lineRule="exact"/>
        <w:ind w:firstLine="640" w:firstLineChars="200"/>
        <w:rPr>
          <w:rFonts w:hint="eastAsia" w:ascii="Times New Roman" w:hAnsi="Times New Roman" w:cs="Times New Roman"/>
          <w:color w:val="auto"/>
          <w:sz w:val="32"/>
          <w:szCs w:val="32"/>
        </w:rPr>
      </w:pPr>
      <w:r>
        <w:rPr>
          <w:rFonts w:ascii="Times New Roman" w:hAnsi="Times New Roman" w:eastAsia="楷体_GB2312" w:cs="Times New Roman"/>
          <w:sz w:val="32"/>
          <w:szCs w:val="32"/>
          <w:shd w:val="clear" w:color="auto" w:fill="FFFFFF"/>
        </w:rPr>
        <w:t>14.</w:t>
      </w:r>
      <w:r>
        <w:rPr>
          <w:rFonts w:ascii="Times New Roman" w:hAnsi="Times New Roman" w:cs="Times New Roman"/>
          <w:color w:val="auto"/>
          <w:sz w:val="32"/>
          <w:szCs w:val="32"/>
        </w:rPr>
        <w:t>“三公”经费：</w:t>
      </w:r>
      <w:r>
        <w:rPr>
          <w:rFonts w:hint="eastAsia" w:ascii="Times New Roman" w:hAnsi="Times New Roman" w:cs="Times New Roman"/>
          <w:color w:val="auto"/>
          <w:sz w:val="32"/>
          <w:szCs w:val="32"/>
        </w:rPr>
        <w:t>5.社会保障和就业（类）行政事业单位离退休（款）行政单位离退休（项）：反映行政单位（包括实行公务员管理的事业单位）开支的离退休经费。</w:t>
      </w:r>
    </w:p>
    <w:p w14:paraId="41F12741">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6.社会保障和就业（类）行政事业单位离退休（款）机关事业单位基本养老保险缴费支出（项）：指机关事业单位实施养老保险制度有单位缴纳的基本养老保险费支出。</w:t>
      </w:r>
    </w:p>
    <w:p w14:paraId="0DF5ACF1">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7.卫生健康支出（类）行政事业单位医疗（款）行政单位医疗（款）：反映财政部门安排的行政单位（包括实行公务员管理的事业单位，下同）基本医疗保险缴费经费，未参加医疗保险的行政单位的公费医疗经费，按国家规定享受离退休人员、红军老战士待遇人员的医疗经费。</w:t>
      </w:r>
    </w:p>
    <w:p w14:paraId="717539B6">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8.卫生健康支出（类）行政事业单位医疗（款）事业单位医疗（项）：反映财政部门安排的事业单位基本医疗保险缴费经费，未参加医疗保险的事业单位的公费医疗经费，按国家规定享受离休人员待遇的医疗经费。</w:t>
      </w:r>
    </w:p>
    <w:p w14:paraId="3E64CE5B">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9.卫生健康支出（类）行政事业单位医疗（款）公务员医疗补助（项）：反映财政部门安排的公务员医疗补助经费。</w:t>
      </w:r>
    </w:p>
    <w:p w14:paraId="220F6CDB">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10.卫生健康支出（类）行政事业单位医疗（款）其他行政事业单位医疗支出（项）：反映除上述项目以外的其他用于行政事业单位医疗方面的支出。</w:t>
      </w:r>
    </w:p>
    <w:p w14:paraId="1648F7B5">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11.住房保障支出（类）住房改革支出（款）住房公积金（项）：指行政事业单位按人力资源和社会保障部、财政部规定的基本工资和津贴补贴以及规定比例为职工缴纳的住房公积金。</w:t>
      </w:r>
    </w:p>
    <w:p w14:paraId="1C7FD56C">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12.基本支出：指为保障机构正常运转、完成日常工作任务而发生的人员支出和公用支出。</w:t>
      </w:r>
    </w:p>
    <w:p w14:paraId="1BBC8BB2">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13.项目支出：指在基本支出之外为完成特定行政任务和事业发展目标所发生的支出。</w:t>
      </w:r>
    </w:p>
    <w:p w14:paraId="01DD2CBD">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14.“三公”经费：指部门用财政拨款安排的因公出国（境）费、公务用车购置及运行费和公务接待费。其中，因公出国（境）费反映单位公务出国（境）的国际旅费、国外城市间交通费、住宿费、伙食费、培训费、公杂费等支出；公务用车运行维护费反映单位按规定保留的公务用车燃料费、维修费、过桥过路费、保险费、安全奖励费用等支出；公务用车购置反映公务用车购置支出（含车辆购置税、牌照费）；公务接待费反映单位按规定开支的各类公务接待（含外宾接待）费用。</w:t>
      </w:r>
    </w:p>
    <w:p w14:paraId="48755D96">
      <w:pPr>
        <w:pStyle w:val="27"/>
        <w:spacing w:line="560" w:lineRule="exact"/>
        <w:ind w:firstLine="640" w:firstLineChars="200"/>
        <w:rPr>
          <w:rFonts w:hint="eastAsia" w:ascii="Times New Roman" w:hAnsi="Times New Roman" w:cs="Times New Roman"/>
          <w:color w:val="auto"/>
          <w:sz w:val="32"/>
          <w:szCs w:val="32"/>
        </w:rPr>
      </w:pPr>
      <w:r>
        <w:rPr>
          <w:rFonts w:hint="eastAsia" w:ascii="Times New Roman" w:hAnsi="Times New Roman" w:cs="Times New Roman"/>
          <w:color w:val="auto"/>
          <w:sz w:val="32"/>
          <w:szCs w:val="32"/>
        </w:rPr>
        <w:t>15.机关运行经费：为保障行政单位（含参照公务员法管理的事业单位）运行用于购买货物和服务的各项资金，包括办公费及印刷费、水费、电费、邮电费、差旅费、维修（护）费、租赁费、劳务费、工会经费、福利费、其他交通费用、其他商品和服务支出。</w:t>
      </w:r>
    </w:p>
    <w:p w14:paraId="33758357">
      <w:pPr>
        <w:spacing w:line="600" w:lineRule="exact"/>
        <w:ind w:firstLine="640"/>
        <w:rPr>
          <w:rFonts w:eastAsia="仿宋_GB2312" w:cs="仿宋_GB2312"/>
          <w:b/>
          <w:bCs/>
          <w:sz w:val="32"/>
          <w:szCs w:val="32"/>
        </w:rPr>
      </w:pPr>
    </w:p>
    <w:p w14:paraId="3390FE1B">
      <w:pPr>
        <w:spacing w:line="600" w:lineRule="exact"/>
        <w:jc w:val="center"/>
        <w:rPr>
          <w:rStyle w:val="29"/>
          <w:rFonts w:eastAsia="黑体"/>
          <w:b w:val="0"/>
        </w:rPr>
      </w:pPr>
      <w:bookmarkStart w:id="52" w:name="_Toc15377226"/>
      <w:r>
        <w:rPr>
          <w:rFonts w:hint="eastAsia" w:eastAsia="仿宋_GB2312" w:cs="仿宋_GB2312"/>
          <w:sz w:val="32"/>
          <w:szCs w:val="32"/>
        </w:rPr>
        <w:br w:type="page"/>
      </w:r>
      <w:bookmarkStart w:id="53" w:name="_Toc15396614"/>
      <w:r>
        <w:rPr>
          <w:rFonts w:hint="eastAsia" w:eastAsia="黑体"/>
          <w:sz w:val="44"/>
          <w:szCs w:val="44"/>
        </w:rPr>
        <w:t>第四部分  附件</w:t>
      </w:r>
      <w:bookmarkEnd w:id="53"/>
    </w:p>
    <w:p w14:paraId="21D17B63">
      <w:pPr>
        <w:spacing w:line="572" w:lineRule="exact"/>
        <w:jc w:val="left"/>
        <w:outlineLvl w:val="0"/>
        <w:rPr>
          <w:rFonts w:eastAsia="黑体" w:cs="黑体"/>
          <w:sz w:val="32"/>
          <w:szCs w:val="32"/>
        </w:rPr>
      </w:pPr>
    </w:p>
    <w:p w14:paraId="31297588">
      <w:pPr>
        <w:spacing w:line="572" w:lineRule="exact"/>
        <w:jc w:val="left"/>
        <w:outlineLvl w:val="0"/>
        <w:rPr>
          <w:rFonts w:eastAsia="黑体" w:cs="方正小标宋简体"/>
          <w:sz w:val="44"/>
          <w:szCs w:val="44"/>
        </w:rPr>
      </w:pPr>
      <w:r>
        <w:rPr>
          <w:rFonts w:hint="eastAsia" w:eastAsia="黑体" w:cs="黑体"/>
          <w:sz w:val="32"/>
          <w:szCs w:val="32"/>
        </w:rPr>
        <w:t>附件1</w:t>
      </w:r>
    </w:p>
    <w:p w14:paraId="7D243511">
      <w:pPr>
        <w:widowControl/>
        <w:spacing w:line="578" w:lineRule="exact"/>
        <w:contextualSpacing/>
        <w:jc w:val="center"/>
        <w:rPr>
          <w:rFonts w:hint="eastAsia" w:eastAsia="方正小标宋简体"/>
          <w:bCs/>
          <w:sz w:val="44"/>
          <w:szCs w:val="44"/>
          <w:shd w:val="clear" w:color="auto" w:fill="FFFFFF"/>
        </w:rPr>
      </w:pPr>
    </w:p>
    <w:p w14:paraId="4345229E">
      <w:pPr>
        <w:pStyle w:val="2"/>
        <w:jc w:val="center"/>
      </w:pPr>
      <w:r>
        <w:rPr>
          <w:rFonts w:ascii="Times New Roman" w:hAnsi="Times New Roman" w:eastAsia="方正小标宋简体"/>
          <w:b w:val="0"/>
          <w:bCs/>
          <w:sz w:val="44"/>
          <w:szCs w:val="44"/>
          <w:shd w:val="clear" w:color="auto" w:fill="FFFFFF"/>
        </w:rPr>
        <w:t>部门预算绩效</w:t>
      </w:r>
      <w:r>
        <w:rPr>
          <w:rFonts w:hint="eastAsia" w:ascii="Times New Roman" w:hAnsi="Times New Roman" w:eastAsia="方正小标宋简体"/>
          <w:b w:val="0"/>
          <w:bCs/>
          <w:sz w:val="44"/>
          <w:szCs w:val="44"/>
          <w:shd w:val="clear" w:color="auto" w:fill="FFFFFF"/>
        </w:rPr>
        <w:t>评价</w:t>
      </w:r>
      <w:r>
        <w:rPr>
          <w:rFonts w:ascii="Times New Roman" w:hAnsi="Times New Roman" w:eastAsia="方正小标宋简体"/>
          <w:b w:val="0"/>
          <w:bCs/>
          <w:sz w:val="44"/>
          <w:szCs w:val="44"/>
          <w:shd w:val="clear" w:color="auto" w:fill="FFFFFF"/>
        </w:rPr>
        <w:t>报告</w:t>
      </w:r>
    </w:p>
    <w:p w14:paraId="393FF9DA">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一、单位基本情况</w:t>
      </w:r>
    </w:p>
    <w:p w14:paraId="281A0996">
      <w:pPr>
        <w:spacing w:line="560" w:lineRule="exact"/>
        <w:ind w:firstLine="643" w:firstLineChars="200"/>
        <w:rPr>
          <w:rFonts w:eastAsia="楷体_GB2312" w:cs="楷体_GB2312"/>
          <w:b/>
          <w:sz w:val="32"/>
          <w:szCs w:val="32"/>
          <w:lang w:val="zh-CN"/>
        </w:rPr>
      </w:pPr>
      <w:r>
        <w:rPr>
          <w:rFonts w:eastAsia="楷体_GB2312" w:cs="楷体_GB2312"/>
          <w:b/>
          <w:sz w:val="32"/>
          <w:szCs w:val="32"/>
          <w:lang w:val="zh-CN"/>
        </w:rPr>
        <w:t>（一）机构组成</w:t>
      </w:r>
    </w:p>
    <w:p w14:paraId="48F6C74E">
      <w:pPr>
        <w:widowControl/>
        <w:adjustRightInd w:val="0"/>
        <w:snapToGrid w:val="0"/>
        <w:spacing w:line="560" w:lineRule="exact"/>
        <w:ind w:firstLine="640" w:firstLineChars="200"/>
        <w:contextualSpacing/>
        <w:jc w:val="left"/>
      </w:pPr>
      <w:r>
        <w:rPr>
          <w:rFonts w:eastAsia="仿宋_GB2312" w:cs="仿宋_GB2312"/>
          <w:sz w:val="32"/>
          <w:szCs w:val="32"/>
        </w:rPr>
        <w:t>盐边县行政审批局（简称县行政审批局）为盐边县人民政府工作部门</w:t>
      </w:r>
      <w:r>
        <w:rPr>
          <w:rFonts w:hint="eastAsia" w:eastAsia="仿宋_GB2312" w:cs="仿宋_GB2312"/>
          <w:sz w:val="32"/>
          <w:szCs w:val="32"/>
        </w:rPr>
        <w:t>，</w:t>
      </w:r>
      <w:r>
        <w:rPr>
          <w:rFonts w:eastAsia="仿宋_GB2312" w:cs="仿宋_GB2312"/>
          <w:sz w:val="32"/>
          <w:szCs w:val="32"/>
        </w:rPr>
        <w:t>正科级。下属事业单位2个(盐边县政务服务中心、盐边县政府采购中心)。</w:t>
      </w:r>
    </w:p>
    <w:p w14:paraId="712CBA81">
      <w:pPr>
        <w:spacing w:line="560" w:lineRule="exact"/>
        <w:ind w:firstLine="643" w:firstLineChars="200"/>
        <w:rPr>
          <w:rFonts w:eastAsia="楷体_GB2312" w:cs="楷体_GB2312"/>
          <w:b/>
          <w:sz w:val="32"/>
          <w:szCs w:val="32"/>
          <w:lang w:val="zh-CN"/>
        </w:rPr>
      </w:pPr>
      <w:r>
        <w:rPr>
          <w:rFonts w:eastAsia="楷体_GB2312" w:cs="楷体_GB2312"/>
          <w:b/>
          <w:sz w:val="32"/>
          <w:szCs w:val="32"/>
          <w:lang w:val="zh-CN"/>
        </w:rPr>
        <w:t>（二）机构职能</w:t>
      </w:r>
    </w:p>
    <w:p w14:paraId="60FAE68E">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1.组织拟订全县行政审批制度改革及政务服务发展规划、政策、措施并组织、指导实施。</w:t>
      </w:r>
    </w:p>
    <w:p w14:paraId="17AE02B2">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2.负责政务服务管理工作。指导、协调并推进全县政务服务体系建设。指导、协调和监督县级部门（单位）开展政务服务工作。指导、监督政务服务网络信息平台建设和运行工作。对乡（镇）、村（社区）政务服务工作进行业务指导。</w:t>
      </w:r>
    </w:p>
    <w:p w14:paraId="399FACB2">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3.负责对相关行政审批部门划转到行政审批局的事项进行集中办理，以方便企业和群众办事为目标，规范行政审批行为，优化办事流程，督促落实审批事项事中事后监管措施，加快推进审批服务便民化相关举措</w:t>
      </w:r>
      <w:r>
        <w:rPr>
          <w:rFonts w:hint="eastAsia" w:eastAsia="仿宋_GB2312" w:cs="仿宋_GB2312"/>
          <w:sz w:val="32"/>
          <w:szCs w:val="32"/>
        </w:rPr>
        <w:t>，</w:t>
      </w:r>
      <w:r>
        <w:rPr>
          <w:rFonts w:eastAsia="仿宋_GB2312" w:cs="仿宋_GB2312"/>
          <w:sz w:val="32"/>
          <w:szCs w:val="32"/>
        </w:rPr>
        <w:t>持续开展减证便民行动，积极推进政务服务“一网、一门、一次”改革。</w:t>
      </w:r>
    </w:p>
    <w:p w14:paraId="6774FF7C">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4.负责县级政府集中采购工作。</w:t>
      </w:r>
    </w:p>
    <w:p w14:paraId="24C7B00B">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5.负责指导、协调、监督、考核、管理进驻部门（单位）的政务服务工作，审核进驻政务服务事项。对部门（单位）独立设置的办事大厅进行业务指导和监督。</w:t>
      </w:r>
    </w:p>
    <w:p w14:paraId="3A3F4102">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6.负责职责范围内的安全生产和职业健康、生态环境保护、审批服务便民化等工作。</w:t>
      </w:r>
    </w:p>
    <w:p w14:paraId="080E5736">
      <w:pPr>
        <w:widowControl/>
        <w:adjustRightInd w:val="0"/>
        <w:snapToGrid w:val="0"/>
        <w:spacing w:line="560" w:lineRule="exact"/>
        <w:ind w:firstLine="640" w:firstLineChars="200"/>
        <w:contextualSpacing/>
        <w:jc w:val="left"/>
        <w:rPr>
          <w:rFonts w:eastAsia="仿宋_GB2312" w:cs="仿宋_GB2312"/>
          <w:sz w:val="32"/>
          <w:szCs w:val="32"/>
        </w:rPr>
      </w:pPr>
      <w:r>
        <w:rPr>
          <w:rFonts w:eastAsia="仿宋_GB2312" w:cs="仿宋_GB2312"/>
          <w:sz w:val="32"/>
          <w:szCs w:val="32"/>
        </w:rPr>
        <w:t>7.完成县委、县政府交办的其他任务。</w:t>
      </w:r>
    </w:p>
    <w:p w14:paraId="00672844">
      <w:pPr>
        <w:spacing w:line="560" w:lineRule="exact"/>
        <w:ind w:firstLine="643" w:firstLineChars="200"/>
        <w:rPr>
          <w:rFonts w:eastAsia="楷体_GB2312" w:cs="楷体_GB2312"/>
          <w:b/>
          <w:sz w:val="32"/>
          <w:szCs w:val="32"/>
          <w:lang w:val="zh-CN"/>
        </w:rPr>
      </w:pPr>
      <w:r>
        <w:rPr>
          <w:rFonts w:eastAsia="楷体_GB2312" w:cs="楷体_GB2312"/>
          <w:b/>
          <w:sz w:val="32"/>
          <w:szCs w:val="32"/>
          <w:lang w:val="zh-CN"/>
        </w:rPr>
        <w:t>（三）人员概况</w:t>
      </w:r>
    </w:p>
    <w:p w14:paraId="4570A91A">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县行政审批局共有行政编制5名，组织部周转编制1个，事业编制11名。截至2024年末，实有人数17人，其中行政编制6名，事业编制11名。</w:t>
      </w:r>
    </w:p>
    <w:p w14:paraId="71BCA639">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二、部门资金收支情况</w:t>
      </w:r>
    </w:p>
    <w:p w14:paraId="485FC35F">
      <w:pPr>
        <w:spacing w:line="560" w:lineRule="exact"/>
        <w:ind w:firstLine="643" w:firstLineChars="200"/>
        <w:rPr>
          <w:rFonts w:eastAsia="仿宋_GB2312" w:cs="仿宋_GB2312"/>
          <w:sz w:val="32"/>
          <w:szCs w:val="32"/>
        </w:rPr>
      </w:pPr>
      <w:r>
        <w:rPr>
          <w:rFonts w:eastAsia="楷体_GB2312" w:cs="楷体_GB2312"/>
          <w:b/>
          <w:sz w:val="32"/>
          <w:szCs w:val="32"/>
          <w:lang w:val="zh-CN"/>
        </w:rPr>
        <w:t>（一）收入情况。</w:t>
      </w:r>
      <w:r>
        <w:rPr>
          <w:rFonts w:hint="eastAsia" w:eastAsia="仿宋_GB2312" w:cs="仿宋_GB2312"/>
          <w:sz w:val="32"/>
          <w:szCs w:val="32"/>
        </w:rPr>
        <w:t>县行政审批局2024年年初预算收入435.68万元。2024年决算报表收入510.04万元，无年初结转结余资金。</w:t>
      </w:r>
    </w:p>
    <w:p w14:paraId="64EADBAA">
      <w:pPr>
        <w:spacing w:line="560" w:lineRule="exact"/>
        <w:ind w:firstLine="643" w:firstLineChars="200"/>
        <w:rPr>
          <w:rFonts w:eastAsia="仿宋_GB2312" w:cs="仿宋_GB2312"/>
          <w:sz w:val="32"/>
          <w:szCs w:val="32"/>
        </w:rPr>
      </w:pPr>
      <w:r>
        <w:rPr>
          <w:rFonts w:eastAsia="楷体_GB2312" w:cs="楷体_GB2312"/>
          <w:b/>
          <w:sz w:val="32"/>
          <w:szCs w:val="32"/>
          <w:lang w:val="zh-CN"/>
        </w:rPr>
        <w:t>（二）支出情况。</w:t>
      </w:r>
      <w:r>
        <w:rPr>
          <w:rFonts w:hint="eastAsia" w:eastAsia="仿宋_GB2312" w:cs="仿宋_GB2312"/>
          <w:sz w:val="32"/>
          <w:szCs w:val="32"/>
        </w:rPr>
        <w:t>县行政审批局2024年年初预算支出435.68万元，</w:t>
      </w:r>
      <w:r>
        <w:rPr>
          <w:rFonts w:eastAsia="仿宋_GB2312" w:cs="仿宋_GB2312"/>
          <w:sz w:val="32"/>
          <w:szCs w:val="32"/>
        </w:rPr>
        <w:t>其中</w:t>
      </w:r>
      <w:r>
        <w:rPr>
          <w:rFonts w:hint="eastAsia" w:eastAsia="仿宋_GB2312" w:cs="仿宋_GB2312"/>
          <w:sz w:val="32"/>
          <w:szCs w:val="32"/>
        </w:rPr>
        <w:t>：</w:t>
      </w:r>
      <w:r>
        <w:rPr>
          <w:rFonts w:eastAsia="仿宋_GB2312" w:cs="仿宋_GB2312"/>
          <w:sz w:val="32"/>
          <w:szCs w:val="32"/>
        </w:rPr>
        <w:t>一般公共服务支出</w:t>
      </w:r>
      <w:r>
        <w:rPr>
          <w:rFonts w:hint="eastAsia" w:eastAsia="仿宋_GB2312" w:cs="仿宋_GB2312"/>
          <w:sz w:val="32"/>
          <w:szCs w:val="32"/>
        </w:rPr>
        <w:t>348.61</w:t>
      </w:r>
      <w:r>
        <w:rPr>
          <w:rFonts w:eastAsia="仿宋_GB2312" w:cs="仿宋_GB2312"/>
          <w:sz w:val="32"/>
          <w:szCs w:val="32"/>
        </w:rPr>
        <w:t>万元；社会保障和就业支出</w:t>
      </w:r>
      <w:r>
        <w:rPr>
          <w:rFonts w:hint="eastAsia" w:eastAsia="仿宋_GB2312" w:cs="仿宋_GB2312"/>
          <w:sz w:val="32"/>
          <w:szCs w:val="32"/>
        </w:rPr>
        <w:t>32.63</w:t>
      </w:r>
      <w:r>
        <w:rPr>
          <w:rFonts w:eastAsia="仿宋_GB2312" w:cs="仿宋_GB2312"/>
          <w:sz w:val="32"/>
          <w:szCs w:val="32"/>
        </w:rPr>
        <w:t>万元；卫生健康支出</w:t>
      </w:r>
      <w:r>
        <w:rPr>
          <w:rFonts w:hint="eastAsia" w:eastAsia="仿宋_GB2312" w:cs="仿宋_GB2312"/>
          <w:sz w:val="32"/>
          <w:szCs w:val="32"/>
        </w:rPr>
        <w:t>28.25</w:t>
      </w:r>
      <w:r>
        <w:rPr>
          <w:rFonts w:eastAsia="仿宋_GB2312" w:cs="仿宋_GB2312"/>
          <w:sz w:val="32"/>
          <w:szCs w:val="32"/>
        </w:rPr>
        <w:t>万元，住房保障支出</w:t>
      </w:r>
      <w:r>
        <w:rPr>
          <w:rFonts w:hint="eastAsia" w:eastAsia="仿宋_GB2312" w:cs="仿宋_GB2312"/>
          <w:sz w:val="32"/>
          <w:szCs w:val="32"/>
        </w:rPr>
        <w:t>26.19</w:t>
      </w:r>
      <w:r>
        <w:rPr>
          <w:rFonts w:eastAsia="仿宋_GB2312" w:cs="仿宋_GB2312"/>
          <w:sz w:val="32"/>
          <w:szCs w:val="32"/>
        </w:rPr>
        <w:t>万元。</w:t>
      </w:r>
      <w:r>
        <w:rPr>
          <w:rFonts w:hint="eastAsia" w:eastAsia="仿宋_GB2312" w:cs="仿宋_GB2312"/>
          <w:sz w:val="32"/>
          <w:szCs w:val="32"/>
        </w:rPr>
        <w:t>2024年决算报表支出510.04万元，其中：</w:t>
      </w:r>
      <w:r>
        <w:rPr>
          <w:rFonts w:eastAsia="仿宋_GB2312" w:cs="仿宋_GB2312"/>
          <w:sz w:val="32"/>
          <w:szCs w:val="32"/>
        </w:rPr>
        <w:t>一般公共服务支出</w:t>
      </w:r>
      <w:r>
        <w:rPr>
          <w:rFonts w:hint="eastAsia" w:eastAsia="仿宋_GB2312" w:cs="仿宋_GB2312"/>
          <w:sz w:val="32"/>
          <w:szCs w:val="32"/>
        </w:rPr>
        <w:t>422.24</w:t>
      </w:r>
      <w:r>
        <w:rPr>
          <w:rFonts w:eastAsia="仿宋_GB2312" w:cs="仿宋_GB2312"/>
          <w:sz w:val="32"/>
          <w:szCs w:val="32"/>
        </w:rPr>
        <w:t>万元；社会保障和就业支出</w:t>
      </w:r>
      <w:r>
        <w:rPr>
          <w:rFonts w:hint="eastAsia" w:eastAsia="仿宋_GB2312" w:cs="仿宋_GB2312"/>
          <w:sz w:val="32"/>
          <w:szCs w:val="32"/>
        </w:rPr>
        <w:t>33.76</w:t>
      </w:r>
      <w:r>
        <w:rPr>
          <w:rFonts w:eastAsia="仿宋_GB2312" w:cs="仿宋_GB2312"/>
          <w:sz w:val="32"/>
          <w:szCs w:val="32"/>
        </w:rPr>
        <w:t>万元；卫生健康支出</w:t>
      </w:r>
      <w:r>
        <w:rPr>
          <w:rFonts w:hint="eastAsia" w:eastAsia="仿宋_GB2312" w:cs="仿宋_GB2312"/>
          <w:sz w:val="32"/>
          <w:szCs w:val="32"/>
        </w:rPr>
        <w:t>28.28</w:t>
      </w:r>
      <w:r>
        <w:rPr>
          <w:rFonts w:eastAsia="仿宋_GB2312" w:cs="仿宋_GB2312"/>
          <w:sz w:val="32"/>
          <w:szCs w:val="32"/>
        </w:rPr>
        <w:t>万元，住房保障支出</w:t>
      </w:r>
      <w:r>
        <w:rPr>
          <w:rFonts w:hint="eastAsia" w:eastAsia="仿宋_GB2312" w:cs="仿宋_GB2312"/>
          <w:sz w:val="32"/>
          <w:szCs w:val="32"/>
        </w:rPr>
        <w:t>25.76</w:t>
      </w:r>
      <w:r>
        <w:rPr>
          <w:rFonts w:eastAsia="仿宋_GB2312" w:cs="仿宋_GB2312"/>
          <w:sz w:val="32"/>
          <w:szCs w:val="32"/>
        </w:rPr>
        <w:t>万元。</w:t>
      </w:r>
    </w:p>
    <w:p w14:paraId="1665411C">
      <w:pPr>
        <w:spacing w:line="560" w:lineRule="exact"/>
        <w:ind w:firstLine="643" w:firstLineChars="200"/>
        <w:rPr>
          <w:rFonts w:eastAsia="仿宋_GB2312" w:cs="仿宋_GB2312"/>
          <w:sz w:val="32"/>
          <w:szCs w:val="32"/>
        </w:rPr>
      </w:pPr>
      <w:r>
        <w:rPr>
          <w:rFonts w:eastAsia="楷体_GB2312" w:cs="楷体_GB2312"/>
          <w:b/>
          <w:sz w:val="32"/>
          <w:szCs w:val="32"/>
          <w:lang w:val="zh-CN"/>
        </w:rPr>
        <w:t>（三）结余分配和结转结余情况。</w:t>
      </w:r>
      <w:r>
        <w:rPr>
          <w:rFonts w:hint="eastAsia" w:eastAsia="仿宋_GB2312" w:cs="仿宋_GB2312"/>
          <w:sz w:val="32"/>
          <w:szCs w:val="32"/>
        </w:rPr>
        <w:t>县行政审批局2024年无结转结余资金。</w:t>
      </w:r>
    </w:p>
    <w:p w14:paraId="108DB450">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三、部门预算绩效分析</w:t>
      </w:r>
    </w:p>
    <w:p w14:paraId="6BC42F5A">
      <w:pPr>
        <w:spacing w:line="560" w:lineRule="exact"/>
        <w:ind w:firstLine="643" w:firstLineChars="200"/>
        <w:rPr>
          <w:rFonts w:eastAsia="楷体_GB2312" w:cs="楷体_GB2312"/>
          <w:b/>
          <w:sz w:val="32"/>
          <w:szCs w:val="32"/>
          <w:lang w:val="zh-CN"/>
        </w:rPr>
      </w:pPr>
      <w:r>
        <w:rPr>
          <w:rFonts w:eastAsia="楷体_GB2312" w:cs="楷体_GB2312"/>
          <w:b/>
          <w:sz w:val="32"/>
          <w:szCs w:val="32"/>
          <w:lang w:val="zh-CN"/>
        </w:rPr>
        <w:t>（一）部门预算总体绩效分析</w:t>
      </w:r>
    </w:p>
    <w:p w14:paraId="0988F264">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2024年部门预算总体绩效达标且效能凸显：预算执行上，资金统筹精准，重点领域支出保障有力，整体执行率达100%；核心任务中，“一网通办”“跨省通办”等政务服务改革、智慧平台迭代、便民站点建设等按序时完成，量化指标完成率100%；效益体现为企业群众办事环节压减、时限缩短，服务满意度高，营商环境政务服务维度指标显著提升；管理效能通过全流程绩效跟踪、预算动态调整机制，实现资源精准配置与政策落地双提效。</w:t>
      </w:r>
    </w:p>
    <w:p w14:paraId="4593CC80">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1.履职效能。我单位指标着重从经济成本、社会效益及服务对象满意度等3个方面考察。经济成本：我单位厉行节约，</w:t>
      </w:r>
      <w:r>
        <w:rPr>
          <w:rFonts w:eastAsia="仿宋_GB2312" w:cs="仿宋_GB2312"/>
          <w:sz w:val="32"/>
          <w:szCs w:val="32"/>
        </w:rPr>
        <w:t>严格按照资金管理办法，做到项目资金专款专用，无截留、无挪用等现象</w:t>
      </w:r>
      <w:r>
        <w:rPr>
          <w:rFonts w:hint="eastAsia" w:eastAsia="仿宋_GB2312" w:cs="仿宋_GB2312"/>
          <w:sz w:val="32"/>
          <w:szCs w:val="32"/>
        </w:rPr>
        <w:t>。本项指标5分，实得5分。</w:t>
      </w:r>
    </w:p>
    <w:p w14:paraId="5FB813A4">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社会效益：从单位资金的使用效果来看本部门多项职能与人民群众的生活息息相关，这些工作实施的好坏，直接影响到群众生活的质量，社会影响很大。特别是政务服务，促进了社会和谐稳定。本项指标5分，实得5分。</w:t>
      </w:r>
    </w:p>
    <w:p w14:paraId="4C8C38DE">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服务对象满意度：结合本单位职能，随机对各单位和群众调查，多数认可本单位的工作，感谢党和政府的关心和支持。本项指标5分，实得5分。</w:t>
      </w:r>
    </w:p>
    <w:p w14:paraId="3BD3E2E9">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2.预算管理。本单位根据县财政局下发的年初预算编制要求，结合我单位工作实际对全年绩效目标进行编制、申报，预算编制较为科学、合理。</w:t>
      </w:r>
    </w:p>
    <w:p w14:paraId="2399046F">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3.财务管理。本单位</w:t>
      </w:r>
      <w:r>
        <w:rPr>
          <w:rFonts w:eastAsia="仿宋_GB2312" w:cs="仿宋_GB2312"/>
          <w:sz w:val="32"/>
          <w:szCs w:val="32"/>
        </w:rPr>
        <w:t>加强预算收支管理，不断建立健全内部管理制度，梳理内部管理流程，部门整体支出管理情况得到提升。严格按照年初部门预算进行整体支出管控，所有资金均已到位并按照用途进行管理、使用，无截留、挪用等现象</w:t>
      </w:r>
      <w:r>
        <w:rPr>
          <w:rFonts w:hint="eastAsia" w:eastAsia="仿宋_GB2312" w:cs="仿宋_GB2312"/>
          <w:sz w:val="32"/>
          <w:szCs w:val="32"/>
        </w:rPr>
        <w:t>。</w:t>
      </w:r>
    </w:p>
    <w:p w14:paraId="2FB062E2">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4.资产管理。本单位资产管理职能主要由局办公室负责，设置专人负责国有资产的购置入库、计提折旧、报废、转移等工作的管理与监督，准确及时把握资产的增减变动及其结存情况，实现资产的全生命周期管理。</w:t>
      </w:r>
    </w:p>
    <w:p w14:paraId="4D1BF419">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5.采购管理。本单位采购管理通过规范流程、管控成本、优化供应商合作，支持中小企业发展，保障物资质量与供应时效。</w:t>
      </w:r>
    </w:p>
    <w:p w14:paraId="6FBA8350">
      <w:pPr>
        <w:spacing w:line="560" w:lineRule="exact"/>
        <w:ind w:firstLine="643" w:firstLineChars="200"/>
        <w:rPr>
          <w:rFonts w:eastAsia="楷体_GB2312" w:cs="楷体_GB2312"/>
          <w:b/>
          <w:sz w:val="32"/>
          <w:szCs w:val="32"/>
          <w:lang w:val="zh-CN"/>
        </w:rPr>
      </w:pPr>
      <w:r>
        <w:rPr>
          <w:rFonts w:eastAsia="楷体_GB2312" w:cs="楷体_GB2312"/>
          <w:b/>
          <w:sz w:val="32"/>
          <w:szCs w:val="32"/>
          <w:lang w:val="zh-CN"/>
        </w:rPr>
        <w:t>（二）部门预算项目绩效分析</w:t>
      </w:r>
    </w:p>
    <w:p w14:paraId="462C9808">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常年项目绩效分析。该类项目总数3个，涉及预算总金额36.77万元，1—12月预算执行总体进度为100%，其中：预算结余率大于10%的项目共计0个。</w:t>
      </w:r>
    </w:p>
    <w:p w14:paraId="5B2527EE">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阶段（含一次性）项目绩效分析。该类项目总数10个，涉及预算总金额85.25万元，1—12月预算执行总体进度为100%，其中：预算结余率大于10%的项目共计0个。</w:t>
      </w:r>
    </w:p>
    <w:p w14:paraId="7CEFA7BF">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1.项目决策。项目决策程序上，严格执行申报、评审等内控流程，经集体研究审定，程序合规性强；目标设置中，项目目标锚定政策方向与部门核心职责，指标细化可衡量、逻辑关联紧密；项目入库环节，依储备管理要求开展可行性论证，入库项目质量达标、全流程管理规范。</w:t>
      </w:r>
    </w:p>
    <w:p w14:paraId="6DA42C93">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2.项目执行。项目资金支出进度与项目实施节奏匹配，关键环节资金精准保障，强化资金使用与目标协同性。项目无调整均按原规划稳定推进，未发生非必要变动。项目产出达预期数量、质量标准，在服务供给、效能提升等指标中形成实效，社会效益初步显现。</w:t>
      </w:r>
    </w:p>
    <w:p w14:paraId="707A4964">
      <w:pPr>
        <w:widowControl/>
        <w:adjustRightInd w:val="0"/>
        <w:snapToGrid w:val="0"/>
        <w:spacing w:line="560" w:lineRule="exact"/>
        <w:ind w:firstLine="640" w:firstLineChars="200"/>
        <w:contextualSpacing/>
        <w:jc w:val="left"/>
        <w:rPr>
          <w:rFonts w:eastAsia="仿宋_GB2312" w:cs="仿宋_GB2312"/>
          <w:sz w:val="32"/>
          <w:szCs w:val="32"/>
        </w:rPr>
      </w:pPr>
      <w:r>
        <w:rPr>
          <w:rFonts w:hint="eastAsia" w:eastAsia="仿宋_GB2312" w:cs="仿宋_GB2312"/>
          <w:sz w:val="32"/>
          <w:szCs w:val="32"/>
        </w:rPr>
        <w:t>3.目标实现。2024年度一般公共预算、阶段项目绩效目标任务超预期落地。无政策调整、资金短缺等重大偏离，偏差整体可控。服务效能与社会效益双提升，营商环境便利度、群众获得感显著增强。</w:t>
      </w:r>
    </w:p>
    <w:p w14:paraId="01C41FCB">
      <w:pPr>
        <w:spacing w:line="560" w:lineRule="exact"/>
        <w:ind w:firstLine="643" w:firstLineChars="200"/>
        <w:rPr>
          <w:rFonts w:eastAsia="楷体_GB2312" w:cs="楷体_GB2312"/>
          <w:b/>
          <w:sz w:val="32"/>
          <w:szCs w:val="32"/>
          <w:lang w:val="zh-CN"/>
        </w:rPr>
      </w:pPr>
      <w:r>
        <w:rPr>
          <w:rFonts w:eastAsia="楷体_GB2312" w:cs="楷体_GB2312"/>
          <w:b/>
          <w:sz w:val="32"/>
          <w:szCs w:val="32"/>
          <w:lang w:val="zh-CN"/>
        </w:rPr>
        <w:t>（三）绩效结果应用情况</w:t>
      </w:r>
    </w:p>
    <w:p w14:paraId="67D54007">
      <w:pPr>
        <w:widowControl/>
        <w:adjustRightInd w:val="0"/>
        <w:snapToGrid w:val="0"/>
        <w:spacing w:line="560" w:lineRule="exact"/>
        <w:ind w:firstLine="640" w:firstLineChars="200"/>
        <w:contextualSpacing/>
        <w:jc w:val="left"/>
        <w:rPr>
          <w:rFonts w:hAnsi="方正仿宋_GBK" w:cs="方正仿宋_GBK"/>
          <w:color w:val="000000"/>
          <w:kern w:val="0"/>
          <w:szCs w:val="32"/>
          <w:shd w:val="clear" w:color="auto" w:fill="FFFFFF"/>
          <w:lang w:val="zh-CN"/>
        </w:rPr>
      </w:pPr>
      <w:r>
        <w:rPr>
          <w:rFonts w:hint="eastAsia" w:eastAsia="仿宋_GB2312" w:cs="仿宋_GB2312"/>
          <w:sz w:val="32"/>
          <w:szCs w:val="32"/>
        </w:rPr>
        <w:t>本单位一是通过绩效自评结果，对指标完成好的工作要在下一年度继续巩固和加强，对未完成的指标要深入剖析原因，找出症结，在以后工作中完善和改进；二是利用绩效自评结果，促进单位增强责任和效益观念，提高财政资金支出决策水平和管理水平。</w:t>
      </w:r>
    </w:p>
    <w:p w14:paraId="27ED0746">
      <w:pPr>
        <w:widowControl/>
        <w:adjustRightInd w:val="0"/>
        <w:snapToGrid w:val="0"/>
        <w:spacing w:line="578" w:lineRule="exact"/>
        <w:ind w:firstLine="640" w:firstLineChars="200"/>
        <w:contextualSpacing/>
        <w:jc w:val="left"/>
        <w:rPr>
          <w:rFonts w:eastAsia="黑体"/>
          <w:color w:val="000000"/>
          <w:kern w:val="0"/>
          <w:sz w:val="32"/>
          <w:szCs w:val="32"/>
          <w:shd w:val="clear" w:color="auto" w:fill="FFFFFF"/>
          <w:lang w:val="zh-CN"/>
        </w:rPr>
      </w:pPr>
      <w:r>
        <w:rPr>
          <w:rFonts w:eastAsia="黑体"/>
          <w:color w:val="000000"/>
          <w:kern w:val="0"/>
          <w:sz w:val="32"/>
          <w:szCs w:val="32"/>
          <w:shd w:val="clear" w:color="auto" w:fill="FFFFFF"/>
          <w:lang w:val="zh-CN"/>
        </w:rPr>
        <w:t>四、评价结论及建议</w:t>
      </w:r>
    </w:p>
    <w:p w14:paraId="00072632">
      <w:pPr>
        <w:spacing w:line="560" w:lineRule="exact"/>
        <w:ind w:firstLine="643" w:firstLineChars="200"/>
      </w:pPr>
      <w:r>
        <w:rPr>
          <w:rFonts w:hint="eastAsia" w:eastAsia="楷体_GB2312" w:cs="楷体_GB2312"/>
          <w:b/>
          <w:sz w:val="32"/>
          <w:szCs w:val="32"/>
          <w:lang w:val="zh-CN"/>
        </w:rPr>
        <w:t>（一）评价结论。</w:t>
      </w:r>
      <w:r>
        <w:rPr>
          <w:rFonts w:hint="eastAsia" w:eastAsia="仿宋_GB2312" w:cs="仿宋_GB2312"/>
          <w:sz w:val="32"/>
          <w:szCs w:val="32"/>
        </w:rPr>
        <w:t>2024年，从整体情况来看，本单位在预算编制、预算执行、支出绩效方面，严格按照规定执行，涉及“三重一大”事项必须经局党组会讨论决定。严格按照资金管理办法，做到项目资金专款专用，无截留、无挪用等现象，使财政资金发挥最大使用效益。按照盐边县财政局《关于开展预算绩效自评工作的通知》（盐边财绩〔2025〕2号）精神，围绕预算编制、预算执行、支出绩效三个方面对2024年度部门支出绩效进行了认真自评工作。经综合评价，县行政审批局2024年度部门预算整体绩效达到年初预期。</w:t>
      </w:r>
    </w:p>
    <w:p w14:paraId="367D4941">
      <w:pPr>
        <w:spacing w:line="560" w:lineRule="exact"/>
        <w:ind w:firstLine="643" w:firstLineChars="200"/>
        <w:rPr>
          <w:rFonts w:hAnsi="方正仿宋_GBK" w:cs="方正仿宋_GBK"/>
          <w:color w:val="000000"/>
          <w:kern w:val="0"/>
          <w:szCs w:val="32"/>
          <w:shd w:val="clear" w:color="auto" w:fill="FFFFFF"/>
          <w:lang w:val="zh-CN"/>
        </w:rPr>
      </w:pPr>
      <w:r>
        <w:rPr>
          <w:rFonts w:hint="eastAsia" w:eastAsia="楷体_GB2312" w:cs="楷体_GB2312"/>
          <w:b/>
          <w:sz w:val="32"/>
          <w:szCs w:val="32"/>
          <w:lang w:val="zh-CN"/>
        </w:rPr>
        <w:t>（二）存在问题。</w:t>
      </w:r>
      <w:r>
        <w:rPr>
          <w:rFonts w:hint="eastAsia" w:eastAsia="仿宋_GB2312" w:cs="仿宋_GB2312"/>
          <w:sz w:val="32"/>
          <w:szCs w:val="32"/>
        </w:rPr>
        <w:t>一是全局职工对绩效管理认识不深入不重视，导致有绩效指标不符合实际，部分科室在项目运行中监督管理不到位，使项目没有达到预期。二是申报绩效目标时仅简单罗列本部门的数据指标，重点不突出，开展绩效自评时未全面总结部门工作成效。</w:t>
      </w:r>
    </w:p>
    <w:p w14:paraId="641C566C">
      <w:pPr>
        <w:spacing w:line="560" w:lineRule="exact"/>
        <w:ind w:firstLine="643" w:firstLineChars="200"/>
        <w:rPr>
          <w:rFonts w:eastAsia="仿宋_GB2312" w:cs="仿宋_GB2312"/>
          <w:sz w:val="32"/>
          <w:szCs w:val="32"/>
        </w:rPr>
      </w:pPr>
      <w:r>
        <w:rPr>
          <w:rFonts w:hint="eastAsia" w:eastAsia="楷体_GB2312" w:cs="楷体_GB2312"/>
          <w:b/>
          <w:sz w:val="32"/>
          <w:szCs w:val="32"/>
          <w:lang w:val="zh-CN"/>
        </w:rPr>
        <w:t>（三）改进建议。</w:t>
      </w:r>
      <w:r>
        <w:rPr>
          <w:rFonts w:hint="eastAsia" w:eastAsia="仿宋_GB2312" w:cs="仿宋_GB2312"/>
          <w:sz w:val="32"/>
          <w:szCs w:val="32"/>
        </w:rPr>
        <w:t>一是加强培训学习。我局将在职工会等多种内部学习机会上组织干部职工学习培训的同时，积极参加县财政组织的绩效管理业务培训，并向其他绩效管理做的好的单位学习借鉴，多举措、多渠道提升绩效管理认识和能力水平。二是狠抓预算绩效管理，提高预算资金效率，切实履行预算绩效管理主体责任，确保每一笔资金花得安全、用得高效，做到“花钱必问效、无效必问责”，预算编制环节突出绩效导向，结合预算评审、项目审批等开展事前绩效评估，评估结果作为申请预算的必备要件，防止“拍脑袋决策”。</w:t>
      </w:r>
    </w:p>
    <w:p w14:paraId="0DC73034">
      <w:pPr>
        <w:spacing w:line="560" w:lineRule="exact"/>
        <w:ind w:firstLine="640" w:firstLineChars="200"/>
        <w:rPr>
          <w:rFonts w:eastAsia="仿宋_GB2312" w:cs="仿宋_GB2312"/>
          <w:sz w:val="32"/>
          <w:szCs w:val="32"/>
        </w:rPr>
      </w:pPr>
    </w:p>
    <w:p w14:paraId="1DC1B8CF">
      <w:pPr>
        <w:spacing w:line="560" w:lineRule="exact"/>
        <w:ind w:left="1598" w:leftChars="304" w:hanging="960" w:hangingChars="300"/>
        <w:rPr>
          <w:rFonts w:eastAsia="仿宋_GB2312" w:cs="仿宋_GB2312"/>
          <w:sz w:val="32"/>
          <w:szCs w:val="32"/>
        </w:rPr>
      </w:pPr>
      <w:r>
        <w:rPr>
          <w:rFonts w:eastAsia="仿宋_GB2312" w:cs="仿宋_GB2312"/>
          <w:sz w:val="32"/>
          <w:szCs w:val="32"/>
        </w:rPr>
        <w:t>附</w:t>
      </w:r>
      <w:r>
        <w:rPr>
          <w:rFonts w:hint="eastAsia" w:eastAsia="仿宋_GB2312" w:cs="仿宋_GB2312"/>
          <w:sz w:val="32"/>
          <w:szCs w:val="32"/>
        </w:rPr>
        <w:t>表</w:t>
      </w:r>
      <w:r>
        <w:rPr>
          <w:rFonts w:eastAsia="仿宋_GB2312" w:cs="仿宋_GB2312"/>
          <w:sz w:val="32"/>
          <w:szCs w:val="32"/>
        </w:rPr>
        <w:t>：</w:t>
      </w:r>
      <w:r>
        <w:rPr>
          <w:rFonts w:hint="eastAsia" w:eastAsia="仿宋_GB2312" w:cs="仿宋_GB2312"/>
          <w:sz w:val="32"/>
          <w:szCs w:val="32"/>
          <w:lang w:eastAsia="zh-CN"/>
        </w:rPr>
        <w:t>盐边</w:t>
      </w:r>
      <w:bookmarkStart w:id="68" w:name="_GoBack"/>
      <w:bookmarkEnd w:id="68"/>
      <w:r>
        <w:rPr>
          <w:rFonts w:hint="eastAsia" w:eastAsia="仿宋_GB2312" w:cs="仿宋_GB2312"/>
          <w:sz w:val="32"/>
          <w:szCs w:val="32"/>
          <w:lang w:eastAsia="zh-CN"/>
        </w:rPr>
        <w:t>县行政审批局</w:t>
      </w:r>
      <w:r>
        <w:rPr>
          <w:rFonts w:eastAsia="仿宋_GB2312" w:cs="仿宋_GB2312"/>
          <w:sz w:val="32"/>
          <w:szCs w:val="32"/>
        </w:rPr>
        <w:t>部门预算</w:t>
      </w:r>
      <w:r>
        <w:rPr>
          <w:rFonts w:hint="eastAsia" w:eastAsia="仿宋_GB2312" w:cs="仿宋_GB2312"/>
          <w:sz w:val="32"/>
          <w:szCs w:val="32"/>
        </w:rPr>
        <w:t>项目支出</w:t>
      </w:r>
      <w:r>
        <w:rPr>
          <w:rFonts w:eastAsia="仿宋_GB2312" w:cs="仿宋_GB2312"/>
          <w:sz w:val="32"/>
          <w:szCs w:val="32"/>
        </w:rPr>
        <w:t>绩效自评</w:t>
      </w:r>
      <w:r>
        <w:rPr>
          <w:rFonts w:hint="eastAsia" w:eastAsia="仿宋_GB2312" w:cs="仿宋_GB2312"/>
          <w:sz w:val="32"/>
          <w:szCs w:val="32"/>
        </w:rPr>
        <w:t>（2024年度）</w:t>
      </w:r>
    </w:p>
    <w:p w14:paraId="457533E9">
      <w:pPr>
        <w:spacing w:line="560" w:lineRule="exact"/>
        <w:ind w:firstLine="1600" w:firstLineChars="500"/>
        <w:rPr>
          <w:rFonts w:eastAsia="仿宋_GB2312" w:cs="仿宋_GB2312"/>
          <w:sz w:val="32"/>
          <w:szCs w:val="32"/>
        </w:rPr>
      </w:pPr>
    </w:p>
    <w:p w14:paraId="15550488">
      <w:pPr>
        <w:spacing w:line="560" w:lineRule="exact"/>
        <w:ind w:firstLine="640" w:firstLineChars="200"/>
      </w:pPr>
      <w:r>
        <w:rPr>
          <w:rFonts w:hint="eastAsia" w:eastAsia="仿宋" w:cs="Times New Roman"/>
          <w:kern w:val="0"/>
          <w:sz w:val="32"/>
          <w:szCs w:val="32"/>
          <w:lang w:eastAsia="zh-CN"/>
        </w:rPr>
        <w:t>盐边县行政审批局</w:t>
      </w:r>
      <w:r>
        <w:rPr>
          <w:rFonts w:hint="eastAsia" w:ascii="Times New Roman" w:hAnsi="Times New Roman" w:eastAsia="仿宋" w:cs="Times New Roman"/>
          <w:kern w:val="0"/>
          <w:sz w:val="32"/>
          <w:szCs w:val="32"/>
          <w:lang w:eastAsia="zh-CN"/>
        </w:rPr>
        <w:t>无专项预算项目。</w:t>
      </w:r>
    </w:p>
    <w:p w14:paraId="2802870C">
      <w:pPr>
        <w:spacing w:line="560" w:lineRule="exact"/>
        <w:ind w:firstLine="1050" w:firstLineChars="500"/>
      </w:pPr>
    </w:p>
    <w:p w14:paraId="65EF6953">
      <w:pPr>
        <w:spacing w:line="600" w:lineRule="exact"/>
        <w:jc w:val="left"/>
        <w:rPr>
          <w:rFonts w:hint="eastAsia"/>
        </w:rPr>
      </w:pPr>
    </w:p>
    <w:p w14:paraId="564C2CD9">
      <w:pPr>
        <w:pStyle w:val="2"/>
      </w:pPr>
    </w:p>
    <w:p w14:paraId="5ABDFDE7">
      <w:pPr>
        <w:widowControl/>
        <w:spacing w:line="578" w:lineRule="exact"/>
        <w:contextualSpacing/>
        <w:jc w:val="center"/>
        <w:rPr>
          <w:rFonts w:hint="eastAsia" w:eastAsia="方正小标宋简体"/>
          <w:bCs/>
          <w:sz w:val="44"/>
          <w:szCs w:val="44"/>
          <w:shd w:val="clear" w:color="auto" w:fill="FFFFFF"/>
        </w:rPr>
      </w:pPr>
    </w:p>
    <w:p w14:paraId="5A7BC4A2">
      <w:pPr>
        <w:widowControl/>
        <w:jc w:val="center"/>
        <w:rPr>
          <w:rFonts w:eastAsia="仿宋"/>
        </w:rPr>
      </w:pPr>
      <w:bookmarkStart w:id="54" w:name="_Toc15396618"/>
      <w:r>
        <w:rPr>
          <w:rFonts w:hint="eastAsia" w:eastAsia="黑体"/>
          <w:sz w:val="44"/>
          <w:szCs w:val="44"/>
        </w:rPr>
        <w:t>第</w:t>
      </w:r>
      <w:r>
        <w:rPr>
          <w:rStyle w:val="29"/>
          <w:rFonts w:hint="eastAsia" w:eastAsia="黑体"/>
          <w:b w:val="0"/>
        </w:rPr>
        <w:t>五部分 附表</w:t>
      </w:r>
      <w:bookmarkEnd w:id="52"/>
      <w:bookmarkEnd w:id="54"/>
      <w:bookmarkStart w:id="55" w:name="_Toc15396619"/>
    </w:p>
    <w:p w14:paraId="2C1E11A1">
      <w:pPr>
        <w:pStyle w:val="16"/>
        <w:adjustRightInd w:val="0"/>
        <w:snapToGrid w:val="0"/>
        <w:spacing w:line="560" w:lineRule="exact"/>
        <w:jc w:val="left"/>
        <w:rPr>
          <w:rFonts w:eastAsia="仿宋_GB2312" w:cs="仿宋_GB2312"/>
          <w:sz w:val="32"/>
          <w:szCs w:val="32"/>
        </w:rPr>
      </w:pPr>
    </w:p>
    <w:p w14:paraId="376C2891">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一、收入支出决算总表</w:t>
      </w:r>
      <w:bookmarkEnd w:id="55"/>
    </w:p>
    <w:p w14:paraId="229331D6">
      <w:pPr>
        <w:pStyle w:val="16"/>
        <w:adjustRightInd w:val="0"/>
        <w:snapToGrid w:val="0"/>
        <w:spacing w:line="560" w:lineRule="exact"/>
        <w:jc w:val="left"/>
        <w:rPr>
          <w:rFonts w:eastAsia="仿宋_GB2312" w:cs="仿宋_GB2312"/>
          <w:sz w:val="32"/>
          <w:szCs w:val="32"/>
        </w:rPr>
      </w:pPr>
      <w:bookmarkStart w:id="56" w:name="_Toc15396620"/>
      <w:r>
        <w:rPr>
          <w:rFonts w:hint="eastAsia" w:eastAsia="仿宋_GB2312" w:cs="仿宋_GB2312"/>
          <w:sz w:val="32"/>
          <w:szCs w:val="32"/>
        </w:rPr>
        <w:t>二、收入决算表</w:t>
      </w:r>
      <w:bookmarkEnd w:id="56"/>
    </w:p>
    <w:p w14:paraId="03536048">
      <w:pPr>
        <w:pStyle w:val="16"/>
        <w:adjustRightInd w:val="0"/>
        <w:snapToGrid w:val="0"/>
        <w:spacing w:line="560" w:lineRule="exact"/>
        <w:jc w:val="left"/>
        <w:rPr>
          <w:rFonts w:eastAsia="仿宋_GB2312" w:cs="仿宋_GB2312"/>
          <w:sz w:val="32"/>
          <w:szCs w:val="32"/>
        </w:rPr>
      </w:pPr>
      <w:bookmarkStart w:id="57" w:name="_Toc15396621"/>
      <w:r>
        <w:rPr>
          <w:rFonts w:hint="eastAsia" w:eastAsia="仿宋_GB2312" w:cs="仿宋_GB2312"/>
          <w:sz w:val="32"/>
          <w:szCs w:val="32"/>
        </w:rPr>
        <w:t>三、支出决算表</w:t>
      </w:r>
      <w:bookmarkEnd w:id="57"/>
    </w:p>
    <w:p w14:paraId="5D23E3DF">
      <w:pPr>
        <w:pStyle w:val="16"/>
        <w:adjustRightInd w:val="0"/>
        <w:snapToGrid w:val="0"/>
        <w:spacing w:line="560" w:lineRule="exact"/>
        <w:jc w:val="left"/>
        <w:rPr>
          <w:rFonts w:eastAsia="仿宋_GB2312" w:cs="仿宋_GB2312"/>
          <w:sz w:val="32"/>
          <w:szCs w:val="32"/>
        </w:rPr>
      </w:pPr>
      <w:bookmarkStart w:id="58" w:name="_Toc15396622"/>
      <w:r>
        <w:rPr>
          <w:rFonts w:hint="eastAsia" w:eastAsia="仿宋_GB2312" w:cs="仿宋_GB2312"/>
          <w:sz w:val="32"/>
          <w:szCs w:val="32"/>
        </w:rPr>
        <w:t>四、财政拨款收入支出决算总表</w:t>
      </w:r>
      <w:bookmarkEnd w:id="58"/>
    </w:p>
    <w:p w14:paraId="41D80EFD">
      <w:pPr>
        <w:pStyle w:val="16"/>
        <w:adjustRightInd w:val="0"/>
        <w:snapToGrid w:val="0"/>
        <w:spacing w:line="560" w:lineRule="exact"/>
        <w:jc w:val="left"/>
        <w:rPr>
          <w:rFonts w:eastAsia="仿宋_GB2312" w:cs="仿宋_GB2312"/>
          <w:sz w:val="32"/>
          <w:szCs w:val="32"/>
        </w:rPr>
      </w:pPr>
      <w:bookmarkStart w:id="59" w:name="_Toc15396623"/>
      <w:r>
        <w:rPr>
          <w:rFonts w:hint="eastAsia" w:eastAsia="仿宋_GB2312" w:cs="仿宋_GB2312"/>
          <w:sz w:val="32"/>
          <w:szCs w:val="32"/>
        </w:rPr>
        <w:t>五、财政拨款支出决算明细表</w:t>
      </w:r>
      <w:bookmarkEnd w:id="59"/>
      <w:bookmarkStart w:id="60" w:name="_Toc15396624"/>
    </w:p>
    <w:p w14:paraId="481F29C3">
      <w:pPr>
        <w:pStyle w:val="16"/>
        <w:adjustRightInd w:val="0"/>
        <w:snapToGrid w:val="0"/>
        <w:spacing w:line="560" w:lineRule="exact"/>
        <w:jc w:val="left"/>
        <w:rPr>
          <w:rFonts w:eastAsia="仿宋_GB2312" w:cs="仿宋_GB2312"/>
          <w:sz w:val="32"/>
          <w:szCs w:val="32"/>
        </w:rPr>
      </w:pPr>
      <w:r>
        <w:rPr>
          <w:rFonts w:hint="eastAsia" w:eastAsia="仿宋_GB2312" w:cs="仿宋_GB2312"/>
          <w:sz w:val="32"/>
          <w:szCs w:val="32"/>
        </w:rPr>
        <w:t>六、一般公共预算财政拨款支出决算表</w:t>
      </w:r>
      <w:bookmarkEnd w:id="60"/>
    </w:p>
    <w:p w14:paraId="5D6E8BE0">
      <w:pPr>
        <w:pStyle w:val="16"/>
        <w:adjustRightInd w:val="0"/>
        <w:snapToGrid w:val="0"/>
        <w:spacing w:line="560" w:lineRule="exact"/>
        <w:jc w:val="left"/>
        <w:rPr>
          <w:rFonts w:eastAsia="仿宋_GB2312" w:cs="仿宋_GB2312"/>
          <w:sz w:val="32"/>
          <w:szCs w:val="32"/>
        </w:rPr>
      </w:pPr>
      <w:bookmarkStart w:id="61" w:name="_Toc15396625"/>
      <w:r>
        <w:rPr>
          <w:rFonts w:hint="eastAsia" w:eastAsia="仿宋_GB2312" w:cs="仿宋_GB2312"/>
          <w:sz w:val="32"/>
          <w:szCs w:val="32"/>
        </w:rPr>
        <w:t>七、一般公共预算财政拨款支出决算明细表</w:t>
      </w:r>
      <w:bookmarkEnd w:id="61"/>
    </w:p>
    <w:p w14:paraId="15FE7872">
      <w:pPr>
        <w:pStyle w:val="16"/>
        <w:adjustRightInd w:val="0"/>
        <w:snapToGrid w:val="0"/>
        <w:spacing w:line="560" w:lineRule="exact"/>
        <w:jc w:val="left"/>
        <w:rPr>
          <w:rFonts w:eastAsia="仿宋_GB2312" w:cs="仿宋_GB2312"/>
          <w:sz w:val="32"/>
          <w:szCs w:val="32"/>
        </w:rPr>
      </w:pPr>
      <w:bookmarkStart w:id="62" w:name="_Toc15396626"/>
      <w:r>
        <w:rPr>
          <w:rFonts w:hint="eastAsia" w:eastAsia="仿宋_GB2312" w:cs="仿宋_GB2312"/>
          <w:sz w:val="32"/>
          <w:szCs w:val="32"/>
        </w:rPr>
        <w:t>八、一般公共预算财政拨款基本支出决算表</w:t>
      </w:r>
      <w:bookmarkEnd w:id="62"/>
    </w:p>
    <w:p w14:paraId="3518C111">
      <w:pPr>
        <w:pStyle w:val="16"/>
        <w:adjustRightInd w:val="0"/>
        <w:snapToGrid w:val="0"/>
        <w:spacing w:line="560" w:lineRule="exact"/>
        <w:jc w:val="left"/>
        <w:rPr>
          <w:rFonts w:eastAsia="仿宋_GB2312" w:cs="仿宋_GB2312"/>
          <w:sz w:val="32"/>
          <w:szCs w:val="32"/>
        </w:rPr>
      </w:pPr>
      <w:bookmarkStart w:id="63" w:name="_Toc15396627"/>
      <w:r>
        <w:rPr>
          <w:rFonts w:hint="eastAsia" w:eastAsia="仿宋_GB2312" w:cs="仿宋_GB2312"/>
          <w:sz w:val="32"/>
          <w:szCs w:val="32"/>
        </w:rPr>
        <w:t>九、一般公共预算财政拨款项目支出决算表</w:t>
      </w:r>
      <w:bookmarkEnd w:id="63"/>
    </w:p>
    <w:p w14:paraId="0171DD3D">
      <w:pPr>
        <w:pStyle w:val="16"/>
        <w:adjustRightInd w:val="0"/>
        <w:snapToGrid w:val="0"/>
        <w:spacing w:line="560" w:lineRule="exact"/>
        <w:jc w:val="left"/>
        <w:rPr>
          <w:rFonts w:eastAsia="仿宋_GB2312" w:cs="仿宋_GB2312"/>
          <w:sz w:val="32"/>
          <w:szCs w:val="32"/>
        </w:rPr>
      </w:pPr>
      <w:bookmarkStart w:id="64" w:name="_Toc15396628"/>
      <w:r>
        <w:rPr>
          <w:rFonts w:hint="eastAsia" w:eastAsia="仿宋_GB2312" w:cs="仿宋_GB2312"/>
          <w:sz w:val="32"/>
          <w:szCs w:val="32"/>
        </w:rPr>
        <w:t>十、</w:t>
      </w:r>
      <w:bookmarkEnd w:id="64"/>
      <w:r>
        <w:rPr>
          <w:rFonts w:hint="eastAsia" w:eastAsia="仿宋_GB2312" w:cs="仿宋_GB2312"/>
          <w:sz w:val="32"/>
          <w:szCs w:val="32"/>
        </w:rPr>
        <w:t>政府性基金预算财政拨款收入支出决算表</w:t>
      </w:r>
    </w:p>
    <w:p w14:paraId="4645A407">
      <w:pPr>
        <w:pStyle w:val="16"/>
        <w:adjustRightInd w:val="0"/>
        <w:snapToGrid w:val="0"/>
        <w:spacing w:line="560" w:lineRule="exact"/>
        <w:jc w:val="left"/>
        <w:rPr>
          <w:rFonts w:eastAsia="仿宋_GB2312" w:cs="仿宋_GB2312"/>
          <w:sz w:val="32"/>
          <w:szCs w:val="32"/>
        </w:rPr>
      </w:pPr>
      <w:bookmarkStart w:id="65" w:name="_Toc15396629"/>
      <w:r>
        <w:rPr>
          <w:rFonts w:hint="eastAsia" w:eastAsia="仿宋_GB2312" w:cs="仿宋_GB2312"/>
          <w:sz w:val="32"/>
          <w:szCs w:val="32"/>
        </w:rPr>
        <w:t>十一、</w:t>
      </w:r>
      <w:bookmarkEnd w:id="65"/>
      <w:r>
        <w:rPr>
          <w:rFonts w:hint="eastAsia" w:eastAsia="仿宋_GB2312" w:cs="仿宋_GB2312"/>
          <w:sz w:val="32"/>
          <w:szCs w:val="32"/>
        </w:rPr>
        <w:t>国有资本经营预算财政拨款收入支出决算表</w:t>
      </w:r>
    </w:p>
    <w:p w14:paraId="5020B50E">
      <w:pPr>
        <w:pStyle w:val="16"/>
        <w:adjustRightInd w:val="0"/>
        <w:snapToGrid w:val="0"/>
        <w:spacing w:line="560" w:lineRule="exact"/>
        <w:jc w:val="left"/>
        <w:rPr>
          <w:rFonts w:eastAsia="仿宋_GB2312" w:cs="仿宋_GB2312"/>
          <w:sz w:val="32"/>
          <w:szCs w:val="32"/>
        </w:rPr>
      </w:pPr>
      <w:bookmarkStart w:id="66" w:name="_Toc15396630"/>
      <w:r>
        <w:rPr>
          <w:rFonts w:hint="eastAsia" w:eastAsia="仿宋_GB2312" w:cs="仿宋_GB2312"/>
          <w:sz w:val="32"/>
          <w:szCs w:val="32"/>
        </w:rPr>
        <w:t>十二、</w:t>
      </w:r>
      <w:bookmarkEnd w:id="66"/>
      <w:r>
        <w:rPr>
          <w:rFonts w:hint="eastAsia" w:eastAsia="仿宋_GB2312" w:cs="仿宋_GB2312"/>
          <w:sz w:val="32"/>
          <w:szCs w:val="32"/>
        </w:rPr>
        <w:t>国有资本经营预算财政拨款支出决算表</w:t>
      </w:r>
    </w:p>
    <w:p w14:paraId="25630988">
      <w:pPr>
        <w:pStyle w:val="16"/>
        <w:adjustRightInd w:val="0"/>
        <w:snapToGrid w:val="0"/>
        <w:spacing w:line="560" w:lineRule="exact"/>
        <w:jc w:val="left"/>
        <w:rPr>
          <w:rFonts w:eastAsia="仿宋_GB2312" w:cs="仿宋_GB2312"/>
          <w:sz w:val="32"/>
          <w:szCs w:val="32"/>
        </w:rPr>
      </w:pPr>
      <w:bookmarkStart w:id="67" w:name="_Toc15396631"/>
      <w:r>
        <w:rPr>
          <w:rFonts w:hint="eastAsia" w:eastAsia="仿宋_GB2312" w:cs="仿宋_GB2312"/>
          <w:sz w:val="32"/>
          <w:szCs w:val="32"/>
        </w:rPr>
        <w:t>十三、</w:t>
      </w:r>
      <w:bookmarkEnd w:id="67"/>
      <w:r>
        <w:rPr>
          <w:rFonts w:hint="eastAsia" w:eastAsia="仿宋_GB2312" w:cs="仿宋_GB2312"/>
          <w:sz w:val="32"/>
          <w:szCs w:val="32"/>
        </w:rPr>
        <w:t>财政拨款“三公”经费支出决算表</w:t>
      </w:r>
    </w:p>
    <w:p w14:paraId="5AD3AE58"/>
    <w:sectPr>
      <w:footerReference r:id="rId6" w:type="first"/>
      <w:footerReference r:id="rId5" w:type="default"/>
      <w:pgSz w:w="11906" w:h="16838"/>
      <w:pgMar w:top="1440" w:right="1800" w:bottom="1440" w:left="1800" w:header="851" w:footer="992" w:gutter="0"/>
      <w:pgNumType w:fmt="decimal"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
    <w:altName w:val="Times New Roman"/>
    <w:panose1 w:val="00000000000000000000"/>
    <w:charset w:val="00"/>
    <w:family w:val="roman"/>
    <w:pitch w:val="default"/>
    <w:sig w:usb0="00000000" w:usb1="00000000" w:usb2="00000000" w:usb3="00000000" w:csb0="00000000"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2958">
    <w:pPr>
      <w:pStyle w:val="12"/>
      <w:jc w:val="center"/>
    </w:pPr>
  </w:p>
  <w:p w14:paraId="4FCE9193">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6CA69">
    <w:pPr>
      <w:pStyle w:val="12"/>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49F7AB6">
                          <w:pPr>
                            <w:pStyle w:val="1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14:paraId="349F7AB6">
                    <w:pPr>
                      <w:pStyle w:val="12"/>
                    </w:pPr>
                    <w:r>
                      <w:fldChar w:fldCharType="begin"/>
                    </w:r>
                    <w:r>
                      <w:instrText xml:space="preserve"> PAGE  \* MERGEFORMAT </w:instrText>
                    </w:r>
                    <w:r>
                      <w:fldChar w:fldCharType="separate"/>
                    </w:r>
                    <w:r>
                      <w:t>2</w:t>
                    </w:r>
                    <w:r>
                      <w:fldChar w:fldCharType="end"/>
                    </w:r>
                  </w:p>
                </w:txbxContent>
              </v:textbox>
            </v:shape>
          </w:pict>
        </mc:Fallback>
      </mc:AlternateContent>
    </w:r>
  </w:p>
  <w:p w14:paraId="179ECD40">
    <w:pPr>
      <w:pStyle w:val="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2D4FDB">
    <w:pPr>
      <w:pStyle w:val="12"/>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E23C06">
                          <w:pPr>
                            <w:pStyle w:val="1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sAOHoxAgAAYw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rADh6MQIAAGMEAAAOAAAAAAAAAAEAIAAAAB8BAABkcnMvZTJvRG9jLnhtbFBLBQYA&#10;AAAABgAGAFkBAADCBQAAAAA=&#10;">
              <v:fill on="f" focussize="0,0"/>
              <v:stroke on="f" weight="0.5pt"/>
              <v:imagedata o:title=""/>
              <o:lock v:ext="edit" aspectratio="f"/>
              <v:textbox inset="0mm,0mm,0mm,0mm" style="mso-fit-shape-to-text:t;">
                <w:txbxContent>
                  <w:p w14:paraId="50E23C06">
                    <w:pPr>
                      <w:pStyle w:val="12"/>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4B4AAD">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366930"/>
    <w:multiLevelType w:val="multilevel"/>
    <w:tmpl w:val="2F366930"/>
    <w:lvl w:ilvl="0" w:tentative="0">
      <w:start w:val="1"/>
      <w:numFmt w:val="japaneseCounting"/>
      <w:lvlText w:val="%1、"/>
      <w:lvlJc w:val="left"/>
      <w:pPr>
        <w:ind w:left="660" w:hanging="6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A48"/>
    <w:rsid w:val="000B6FF3"/>
    <w:rsid w:val="000C3467"/>
    <w:rsid w:val="000C3CA6"/>
    <w:rsid w:val="000D1267"/>
    <w:rsid w:val="000D1D50"/>
    <w:rsid w:val="000D5782"/>
    <w:rsid w:val="000E1996"/>
    <w:rsid w:val="000E6613"/>
    <w:rsid w:val="000E7119"/>
    <w:rsid w:val="00114E9B"/>
    <w:rsid w:val="00142216"/>
    <w:rsid w:val="00144D6A"/>
    <w:rsid w:val="0014729F"/>
    <w:rsid w:val="00157BAB"/>
    <w:rsid w:val="001654D1"/>
    <w:rsid w:val="001738A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80496"/>
    <w:rsid w:val="00294DC9"/>
    <w:rsid w:val="00295495"/>
    <w:rsid w:val="002A31DE"/>
    <w:rsid w:val="002B2613"/>
    <w:rsid w:val="002D6D05"/>
    <w:rsid w:val="002F1818"/>
    <w:rsid w:val="002F567B"/>
    <w:rsid w:val="003216A9"/>
    <w:rsid w:val="00335A74"/>
    <w:rsid w:val="00340D63"/>
    <w:rsid w:val="0036561B"/>
    <w:rsid w:val="0037013F"/>
    <w:rsid w:val="0037413C"/>
    <w:rsid w:val="00380C92"/>
    <w:rsid w:val="00386DFE"/>
    <w:rsid w:val="003A484F"/>
    <w:rsid w:val="003A4883"/>
    <w:rsid w:val="003B0BE0"/>
    <w:rsid w:val="003B0C1B"/>
    <w:rsid w:val="003B688C"/>
    <w:rsid w:val="003C0291"/>
    <w:rsid w:val="003C39AE"/>
    <w:rsid w:val="003C7B60"/>
    <w:rsid w:val="003D0C0F"/>
    <w:rsid w:val="003D1FB2"/>
    <w:rsid w:val="003D66DA"/>
    <w:rsid w:val="003E08BB"/>
    <w:rsid w:val="003E1310"/>
    <w:rsid w:val="003E6F55"/>
    <w:rsid w:val="003F5DAD"/>
    <w:rsid w:val="00403805"/>
    <w:rsid w:val="00406254"/>
    <w:rsid w:val="004223DE"/>
    <w:rsid w:val="00434489"/>
    <w:rsid w:val="00437085"/>
    <w:rsid w:val="00443714"/>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67686"/>
    <w:rsid w:val="006748A4"/>
    <w:rsid w:val="00681A31"/>
    <w:rsid w:val="00683E73"/>
    <w:rsid w:val="006A0156"/>
    <w:rsid w:val="006A3141"/>
    <w:rsid w:val="006A5E34"/>
    <w:rsid w:val="006B2422"/>
    <w:rsid w:val="006B2B9A"/>
    <w:rsid w:val="006C1937"/>
    <w:rsid w:val="006F020C"/>
    <w:rsid w:val="006F3FF5"/>
    <w:rsid w:val="007127B7"/>
    <w:rsid w:val="00712E40"/>
    <w:rsid w:val="0071798E"/>
    <w:rsid w:val="007416B6"/>
    <w:rsid w:val="00746BD5"/>
    <w:rsid w:val="00746F48"/>
    <w:rsid w:val="0075404D"/>
    <w:rsid w:val="007575F2"/>
    <w:rsid w:val="0076182A"/>
    <w:rsid w:val="00767B7E"/>
    <w:rsid w:val="007770C3"/>
    <w:rsid w:val="00784D24"/>
    <w:rsid w:val="00785FBA"/>
    <w:rsid w:val="007861F0"/>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64826"/>
    <w:rsid w:val="00871F71"/>
    <w:rsid w:val="00872FD8"/>
    <w:rsid w:val="00875013"/>
    <w:rsid w:val="00885AF4"/>
    <w:rsid w:val="008939CD"/>
    <w:rsid w:val="008B6EA1"/>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31C3"/>
    <w:rsid w:val="009B2C43"/>
    <w:rsid w:val="009B4EAE"/>
    <w:rsid w:val="009B7573"/>
    <w:rsid w:val="009C22F4"/>
    <w:rsid w:val="009C2A4B"/>
    <w:rsid w:val="009C2E98"/>
    <w:rsid w:val="009D3447"/>
    <w:rsid w:val="009D4711"/>
    <w:rsid w:val="009D727E"/>
    <w:rsid w:val="009F1185"/>
    <w:rsid w:val="009F18CD"/>
    <w:rsid w:val="009F2A13"/>
    <w:rsid w:val="009F7527"/>
    <w:rsid w:val="00A04EB0"/>
    <w:rsid w:val="00A13CC1"/>
    <w:rsid w:val="00A16847"/>
    <w:rsid w:val="00A237D8"/>
    <w:rsid w:val="00A268C4"/>
    <w:rsid w:val="00A307CD"/>
    <w:rsid w:val="00A331C8"/>
    <w:rsid w:val="00A40A00"/>
    <w:rsid w:val="00A4142F"/>
    <w:rsid w:val="00A422EB"/>
    <w:rsid w:val="00A45BB7"/>
    <w:rsid w:val="00A56DF2"/>
    <w:rsid w:val="00A56E6E"/>
    <w:rsid w:val="00A67AB5"/>
    <w:rsid w:val="00A733B2"/>
    <w:rsid w:val="00A741C2"/>
    <w:rsid w:val="00A8103C"/>
    <w:rsid w:val="00A86F98"/>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4940"/>
    <w:rsid w:val="00BC5361"/>
    <w:rsid w:val="00BC5460"/>
    <w:rsid w:val="00BC5951"/>
    <w:rsid w:val="00BC6B50"/>
    <w:rsid w:val="00BD0E25"/>
    <w:rsid w:val="00BF5BD6"/>
    <w:rsid w:val="00C03E31"/>
    <w:rsid w:val="00C33E72"/>
    <w:rsid w:val="00C354B2"/>
    <w:rsid w:val="00C35554"/>
    <w:rsid w:val="00C42709"/>
    <w:rsid w:val="00C533CC"/>
    <w:rsid w:val="00C5751C"/>
    <w:rsid w:val="00C61BFC"/>
    <w:rsid w:val="00C62B85"/>
    <w:rsid w:val="00C65438"/>
    <w:rsid w:val="00C663B0"/>
    <w:rsid w:val="00C87FD8"/>
    <w:rsid w:val="00C91381"/>
    <w:rsid w:val="00C91CBB"/>
    <w:rsid w:val="00CB4E70"/>
    <w:rsid w:val="00CC09B6"/>
    <w:rsid w:val="00CC666F"/>
    <w:rsid w:val="00CD1E3F"/>
    <w:rsid w:val="00CE2081"/>
    <w:rsid w:val="00CE44F6"/>
    <w:rsid w:val="00CE49DA"/>
    <w:rsid w:val="00CE7B61"/>
    <w:rsid w:val="00D00095"/>
    <w:rsid w:val="00D114F0"/>
    <w:rsid w:val="00D20620"/>
    <w:rsid w:val="00D254F7"/>
    <w:rsid w:val="00D26091"/>
    <w:rsid w:val="00D2685C"/>
    <w:rsid w:val="00D324A3"/>
    <w:rsid w:val="00D34E7C"/>
    <w:rsid w:val="00D35489"/>
    <w:rsid w:val="00D36AFE"/>
    <w:rsid w:val="00D51276"/>
    <w:rsid w:val="00D7035F"/>
    <w:rsid w:val="00D929DB"/>
    <w:rsid w:val="00DA634F"/>
    <w:rsid w:val="00DA65AC"/>
    <w:rsid w:val="00DB1913"/>
    <w:rsid w:val="00DC410D"/>
    <w:rsid w:val="00DC5A81"/>
    <w:rsid w:val="00DC68CA"/>
    <w:rsid w:val="00DC7CBA"/>
    <w:rsid w:val="00DD73B7"/>
    <w:rsid w:val="00DF28BC"/>
    <w:rsid w:val="00DF34B9"/>
    <w:rsid w:val="00E01053"/>
    <w:rsid w:val="00E03E15"/>
    <w:rsid w:val="00E07ACF"/>
    <w:rsid w:val="00E331A1"/>
    <w:rsid w:val="00E33202"/>
    <w:rsid w:val="00E336A9"/>
    <w:rsid w:val="00E472B1"/>
    <w:rsid w:val="00E50624"/>
    <w:rsid w:val="00E54633"/>
    <w:rsid w:val="00E568DF"/>
    <w:rsid w:val="00E64269"/>
    <w:rsid w:val="00E82267"/>
    <w:rsid w:val="00E853CE"/>
    <w:rsid w:val="00E867B6"/>
    <w:rsid w:val="00EA010F"/>
    <w:rsid w:val="00EB4675"/>
    <w:rsid w:val="00ED1B63"/>
    <w:rsid w:val="00ED3C1F"/>
    <w:rsid w:val="00ED4085"/>
    <w:rsid w:val="00ED420E"/>
    <w:rsid w:val="00ED6FBE"/>
    <w:rsid w:val="00EE2F57"/>
    <w:rsid w:val="00EF4C34"/>
    <w:rsid w:val="00EF77C6"/>
    <w:rsid w:val="00F05438"/>
    <w:rsid w:val="00F1361C"/>
    <w:rsid w:val="00F156F0"/>
    <w:rsid w:val="00F160C7"/>
    <w:rsid w:val="00F17821"/>
    <w:rsid w:val="00F2408F"/>
    <w:rsid w:val="00F240E9"/>
    <w:rsid w:val="00F349CF"/>
    <w:rsid w:val="00F36D8F"/>
    <w:rsid w:val="00F417B1"/>
    <w:rsid w:val="00F45853"/>
    <w:rsid w:val="00F602DF"/>
    <w:rsid w:val="00F71944"/>
    <w:rsid w:val="00F754A1"/>
    <w:rsid w:val="00F81FD9"/>
    <w:rsid w:val="00F841AA"/>
    <w:rsid w:val="00F84A94"/>
    <w:rsid w:val="00F87E96"/>
    <w:rsid w:val="00FA23E8"/>
    <w:rsid w:val="00FD3CC1"/>
    <w:rsid w:val="00FF1E02"/>
    <w:rsid w:val="00FF30B4"/>
    <w:rsid w:val="012A5EC2"/>
    <w:rsid w:val="015975B8"/>
    <w:rsid w:val="02FEBE30"/>
    <w:rsid w:val="04916F1E"/>
    <w:rsid w:val="061E35DE"/>
    <w:rsid w:val="066E0107"/>
    <w:rsid w:val="07996F6E"/>
    <w:rsid w:val="07DFD8BA"/>
    <w:rsid w:val="09867E8F"/>
    <w:rsid w:val="0A2032A3"/>
    <w:rsid w:val="0B8B5E77"/>
    <w:rsid w:val="0CA8290A"/>
    <w:rsid w:val="0D35B1ED"/>
    <w:rsid w:val="0E254B6B"/>
    <w:rsid w:val="0F98263C"/>
    <w:rsid w:val="101860EC"/>
    <w:rsid w:val="101F47CC"/>
    <w:rsid w:val="10C055FF"/>
    <w:rsid w:val="11694EBD"/>
    <w:rsid w:val="11772AA4"/>
    <w:rsid w:val="118107EC"/>
    <w:rsid w:val="12E24EE2"/>
    <w:rsid w:val="13D50BC4"/>
    <w:rsid w:val="14B17F78"/>
    <w:rsid w:val="165E0673"/>
    <w:rsid w:val="16B831D5"/>
    <w:rsid w:val="16BB723D"/>
    <w:rsid w:val="17E50567"/>
    <w:rsid w:val="186504BB"/>
    <w:rsid w:val="19A445FC"/>
    <w:rsid w:val="1BAD4F97"/>
    <w:rsid w:val="1BE8440E"/>
    <w:rsid w:val="1CC6347C"/>
    <w:rsid w:val="1D155CEE"/>
    <w:rsid w:val="1D1638FE"/>
    <w:rsid w:val="1E312DEB"/>
    <w:rsid w:val="1E740ACF"/>
    <w:rsid w:val="1FF35744"/>
    <w:rsid w:val="1FF6BC77"/>
    <w:rsid w:val="2186353C"/>
    <w:rsid w:val="23860B96"/>
    <w:rsid w:val="239A4B40"/>
    <w:rsid w:val="240371BF"/>
    <w:rsid w:val="244F3473"/>
    <w:rsid w:val="24C97D99"/>
    <w:rsid w:val="25A718F0"/>
    <w:rsid w:val="25BB59F6"/>
    <w:rsid w:val="260F557C"/>
    <w:rsid w:val="26970054"/>
    <w:rsid w:val="281408E2"/>
    <w:rsid w:val="29FD04D3"/>
    <w:rsid w:val="2BFF7BC6"/>
    <w:rsid w:val="2C533623"/>
    <w:rsid w:val="2C8A61B5"/>
    <w:rsid w:val="2DF04E50"/>
    <w:rsid w:val="2E586DFA"/>
    <w:rsid w:val="2F040D46"/>
    <w:rsid w:val="2F6B035B"/>
    <w:rsid w:val="2FAE5751"/>
    <w:rsid w:val="2FB1A395"/>
    <w:rsid w:val="2FD9A7D8"/>
    <w:rsid w:val="2FDBF714"/>
    <w:rsid w:val="307D4670"/>
    <w:rsid w:val="30AB6865"/>
    <w:rsid w:val="319F7F4E"/>
    <w:rsid w:val="32BD1EF1"/>
    <w:rsid w:val="3304709D"/>
    <w:rsid w:val="33A773CB"/>
    <w:rsid w:val="349D6851"/>
    <w:rsid w:val="36AA5135"/>
    <w:rsid w:val="36BE0DA7"/>
    <w:rsid w:val="376B6AA6"/>
    <w:rsid w:val="376D39B2"/>
    <w:rsid w:val="37E16F03"/>
    <w:rsid w:val="37F53A3B"/>
    <w:rsid w:val="389B6C89"/>
    <w:rsid w:val="38D469F0"/>
    <w:rsid w:val="39627CCD"/>
    <w:rsid w:val="397BAF1F"/>
    <w:rsid w:val="3AB79AF3"/>
    <w:rsid w:val="3AE834C0"/>
    <w:rsid w:val="3B7EF35A"/>
    <w:rsid w:val="3B9FDB6C"/>
    <w:rsid w:val="3BF5BC2F"/>
    <w:rsid w:val="3CEBA265"/>
    <w:rsid w:val="3D98207C"/>
    <w:rsid w:val="3DEE7CF3"/>
    <w:rsid w:val="3E740A63"/>
    <w:rsid w:val="3E78745D"/>
    <w:rsid w:val="3EE17838"/>
    <w:rsid w:val="3F55381A"/>
    <w:rsid w:val="3F7F7599"/>
    <w:rsid w:val="3FE5407B"/>
    <w:rsid w:val="3FF4CAE0"/>
    <w:rsid w:val="3FF7B227"/>
    <w:rsid w:val="43CC351F"/>
    <w:rsid w:val="44E268DA"/>
    <w:rsid w:val="450D13D7"/>
    <w:rsid w:val="45506656"/>
    <w:rsid w:val="486A6C7A"/>
    <w:rsid w:val="4A627F82"/>
    <w:rsid w:val="4B0E749A"/>
    <w:rsid w:val="4B2477C4"/>
    <w:rsid w:val="4B4F25DA"/>
    <w:rsid w:val="4BE068DB"/>
    <w:rsid w:val="4BE55C7D"/>
    <w:rsid w:val="4D577224"/>
    <w:rsid w:val="4DBF1CEB"/>
    <w:rsid w:val="4DCA52A3"/>
    <w:rsid w:val="4DF0007C"/>
    <w:rsid w:val="4EAB630A"/>
    <w:rsid w:val="4ECE2238"/>
    <w:rsid w:val="4F833267"/>
    <w:rsid w:val="4FE9BD67"/>
    <w:rsid w:val="4FFB052F"/>
    <w:rsid w:val="537E6D0A"/>
    <w:rsid w:val="53F74C96"/>
    <w:rsid w:val="55170BA8"/>
    <w:rsid w:val="553218C9"/>
    <w:rsid w:val="567E1AA5"/>
    <w:rsid w:val="56E47B74"/>
    <w:rsid w:val="57175D52"/>
    <w:rsid w:val="57BD3DD4"/>
    <w:rsid w:val="5AF92295"/>
    <w:rsid w:val="5B250254"/>
    <w:rsid w:val="5BDD79E6"/>
    <w:rsid w:val="5BF561CA"/>
    <w:rsid w:val="5BFF5DFC"/>
    <w:rsid w:val="5CD71FC4"/>
    <w:rsid w:val="5D1F11B5"/>
    <w:rsid w:val="5D695134"/>
    <w:rsid w:val="5DAE1B18"/>
    <w:rsid w:val="5DE7D9E5"/>
    <w:rsid w:val="5ECEC941"/>
    <w:rsid w:val="5FBF9FF3"/>
    <w:rsid w:val="5FCD4E2C"/>
    <w:rsid w:val="5FEF394A"/>
    <w:rsid w:val="5FF67715"/>
    <w:rsid w:val="62BF3928"/>
    <w:rsid w:val="63B3701E"/>
    <w:rsid w:val="647F5392"/>
    <w:rsid w:val="65E66580"/>
    <w:rsid w:val="664B1D71"/>
    <w:rsid w:val="664B4E8E"/>
    <w:rsid w:val="67277B67"/>
    <w:rsid w:val="67AA3209"/>
    <w:rsid w:val="698D0931"/>
    <w:rsid w:val="6A7FE5F3"/>
    <w:rsid w:val="6B053271"/>
    <w:rsid w:val="6BDD78B3"/>
    <w:rsid w:val="6C4A05C8"/>
    <w:rsid w:val="6C8742B8"/>
    <w:rsid w:val="6DBF5E93"/>
    <w:rsid w:val="6DFF077E"/>
    <w:rsid w:val="6E714EF0"/>
    <w:rsid w:val="6E7E3605"/>
    <w:rsid w:val="6E7FDCC7"/>
    <w:rsid w:val="6ED6A62E"/>
    <w:rsid w:val="6EE00B15"/>
    <w:rsid w:val="6F6FB3EB"/>
    <w:rsid w:val="6F80283D"/>
    <w:rsid w:val="6F8731EA"/>
    <w:rsid w:val="6FCE6052"/>
    <w:rsid w:val="6FD57C00"/>
    <w:rsid w:val="6FEFFFD8"/>
    <w:rsid w:val="6FF5CC65"/>
    <w:rsid w:val="6FFB47EC"/>
    <w:rsid w:val="6FFF034A"/>
    <w:rsid w:val="70484440"/>
    <w:rsid w:val="712A28F1"/>
    <w:rsid w:val="715C0E4B"/>
    <w:rsid w:val="71992E7C"/>
    <w:rsid w:val="72233669"/>
    <w:rsid w:val="72734D90"/>
    <w:rsid w:val="73160E6D"/>
    <w:rsid w:val="7332FE48"/>
    <w:rsid w:val="73AB61DA"/>
    <w:rsid w:val="73AD73D5"/>
    <w:rsid w:val="73B6EB34"/>
    <w:rsid w:val="73FA497D"/>
    <w:rsid w:val="744731E5"/>
    <w:rsid w:val="74BBD01D"/>
    <w:rsid w:val="74ED5379"/>
    <w:rsid w:val="75DEEEC2"/>
    <w:rsid w:val="75E32345"/>
    <w:rsid w:val="76E3355F"/>
    <w:rsid w:val="76FF5125"/>
    <w:rsid w:val="776F6FFA"/>
    <w:rsid w:val="778769C8"/>
    <w:rsid w:val="77A75DCA"/>
    <w:rsid w:val="77DC22F5"/>
    <w:rsid w:val="783E271A"/>
    <w:rsid w:val="78616DE9"/>
    <w:rsid w:val="78E875D7"/>
    <w:rsid w:val="79086DAD"/>
    <w:rsid w:val="79D7FD79"/>
    <w:rsid w:val="79EE5BA4"/>
    <w:rsid w:val="7A894339"/>
    <w:rsid w:val="7AD284E8"/>
    <w:rsid w:val="7AFF7572"/>
    <w:rsid w:val="7B6C7DFB"/>
    <w:rsid w:val="7BBFBED0"/>
    <w:rsid w:val="7BC3E394"/>
    <w:rsid w:val="7C1F3737"/>
    <w:rsid w:val="7CBFC87B"/>
    <w:rsid w:val="7CFE0F48"/>
    <w:rsid w:val="7D272ABC"/>
    <w:rsid w:val="7D7EC23E"/>
    <w:rsid w:val="7E8ADEBF"/>
    <w:rsid w:val="7EEF11D3"/>
    <w:rsid w:val="7EFE4840"/>
    <w:rsid w:val="7F0971A6"/>
    <w:rsid w:val="7F1D62E7"/>
    <w:rsid w:val="7F3F679B"/>
    <w:rsid w:val="7F4FC4EF"/>
    <w:rsid w:val="7F5E4D54"/>
    <w:rsid w:val="7F6E0135"/>
    <w:rsid w:val="7F79F205"/>
    <w:rsid w:val="7FA30C79"/>
    <w:rsid w:val="7FA79C44"/>
    <w:rsid w:val="7FAF8ABF"/>
    <w:rsid w:val="7FB7269E"/>
    <w:rsid w:val="7FC96657"/>
    <w:rsid w:val="7FDA9588"/>
    <w:rsid w:val="7FDF220F"/>
    <w:rsid w:val="7FEDC5F7"/>
    <w:rsid w:val="7FEDD9DE"/>
    <w:rsid w:val="7FF5890D"/>
    <w:rsid w:val="7FF93490"/>
    <w:rsid w:val="99FF2014"/>
    <w:rsid w:val="A6DD0D7F"/>
    <w:rsid w:val="ACFF4FBB"/>
    <w:rsid w:val="ADC6F725"/>
    <w:rsid w:val="B7CF06AB"/>
    <w:rsid w:val="B7CFA926"/>
    <w:rsid w:val="B7F8786B"/>
    <w:rsid w:val="BABB6AA1"/>
    <w:rsid w:val="BB2F4199"/>
    <w:rsid w:val="BCFFB442"/>
    <w:rsid w:val="BD079C78"/>
    <w:rsid w:val="BD733540"/>
    <w:rsid w:val="BF3735D5"/>
    <w:rsid w:val="BF7F09AC"/>
    <w:rsid w:val="BFD475C3"/>
    <w:rsid w:val="BFDE5EA6"/>
    <w:rsid w:val="CF6FC6F3"/>
    <w:rsid w:val="CFD3D3D7"/>
    <w:rsid w:val="CFDF1009"/>
    <w:rsid w:val="D7D7B16A"/>
    <w:rsid w:val="D8D6DB89"/>
    <w:rsid w:val="DB6F4CAB"/>
    <w:rsid w:val="DB777682"/>
    <w:rsid w:val="DD1FB521"/>
    <w:rsid w:val="DEFBFEAE"/>
    <w:rsid w:val="DF1F3B80"/>
    <w:rsid w:val="DF6F9789"/>
    <w:rsid w:val="DFE9BE81"/>
    <w:rsid w:val="DFFFA9E8"/>
    <w:rsid w:val="E5F4E9DC"/>
    <w:rsid w:val="E70FE695"/>
    <w:rsid w:val="EB2E368B"/>
    <w:rsid w:val="ECFED1BC"/>
    <w:rsid w:val="ED1D69BB"/>
    <w:rsid w:val="ED7FD312"/>
    <w:rsid w:val="EF2E1AC6"/>
    <w:rsid w:val="EF53993F"/>
    <w:rsid w:val="EF6FD633"/>
    <w:rsid w:val="EFBFB2F4"/>
    <w:rsid w:val="EFBFFA21"/>
    <w:rsid w:val="F2BEBCB8"/>
    <w:rsid w:val="F36FB518"/>
    <w:rsid w:val="F3DE1A04"/>
    <w:rsid w:val="F3F722E5"/>
    <w:rsid w:val="F4FBCD07"/>
    <w:rsid w:val="FA5F1E70"/>
    <w:rsid w:val="FA5FDB97"/>
    <w:rsid w:val="FB7F486A"/>
    <w:rsid w:val="FBFF5B2E"/>
    <w:rsid w:val="FD7FFE2B"/>
    <w:rsid w:val="FDEE196B"/>
    <w:rsid w:val="FDFE6575"/>
    <w:rsid w:val="FEDFDDC2"/>
    <w:rsid w:val="FEED32F6"/>
    <w:rsid w:val="FEF781DD"/>
    <w:rsid w:val="FF3F7E3F"/>
    <w:rsid w:val="FFBA12D7"/>
    <w:rsid w:val="FFCBD314"/>
    <w:rsid w:val="FFDFF91C"/>
    <w:rsid w:val="FFDFFAEE"/>
    <w:rsid w:val="FFEF6777"/>
    <w:rsid w:val="FFF9B57B"/>
    <w:rsid w:val="FFFD61D9"/>
    <w:rsid w:val="FFFD8F59"/>
    <w:rsid w:val="FFFF2BB1"/>
    <w:rsid w:val="FFFFB0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0"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9"/>
    <w:qFormat/>
    <w:uiPriority w:val="9"/>
    <w:pPr>
      <w:keepNext/>
      <w:keepLines/>
      <w:spacing w:before="340" w:after="330" w:line="578" w:lineRule="auto"/>
      <w:outlineLvl w:val="0"/>
    </w:pPr>
    <w:rPr>
      <w:b/>
      <w:bCs/>
      <w:kern w:val="44"/>
      <w:sz w:val="44"/>
      <w:szCs w:val="44"/>
    </w:rPr>
  </w:style>
  <w:style w:type="paragraph" w:styleId="4">
    <w:name w:val="heading 2"/>
    <w:basedOn w:val="1"/>
    <w:next w:val="1"/>
    <w:link w:val="30"/>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5">
    <w:name w:val="heading 3"/>
    <w:basedOn w:val="1"/>
    <w:next w:val="1"/>
    <w:link w:val="33"/>
    <w:unhideWhenUsed/>
    <w:qFormat/>
    <w:uiPriority w:val="9"/>
    <w:pPr>
      <w:keepNext/>
      <w:keepLines/>
      <w:spacing w:before="260" w:after="260" w:line="416" w:lineRule="auto"/>
      <w:outlineLvl w:val="2"/>
    </w:pPr>
    <w:rPr>
      <w:b/>
      <w:bCs/>
      <w:sz w:val="32"/>
      <w:szCs w:val="32"/>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customStyle="1" w:styleId="2">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 w:type="paragraph" w:styleId="6">
    <w:name w:val="caption"/>
    <w:basedOn w:val="1"/>
    <w:next w:val="1"/>
    <w:unhideWhenUsed/>
    <w:qFormat/>
    <w:uiPriority w:val="35"/>
    <w:rPr>
      <w:rFonts w:eastAsia="黑体" w:asciiTheme="majorHAnsi" w:hAnsiTheme="majorHAnsi" w:cstheme="majorBidi"/>
      <w:sz w:val="20"/>
      <w:szCs w:val="20"/>
    </w:rPr>
  </w:style>
  <w:style w:type="paragraph" w:styleId="7">
    <w:name w:val="Body Text"/>
    <w:basedOn w:val="1"/>
    <w:link w:val="26"/>
    <w:qFormat/>
    <w:uiPriority w:val="99"/>
    <w:pPr>
      <w:spacing w:beforeLines="30"/>
    </w:pPr>
    <w:rPr>
      <w:rFonts w:ascii="仿宋_GB2312" w:eastAsia="仿宋_GB2312"/>
      <w:kern w:val="0"/>
      <w:sz w:val="30"/>
    </w:rPr>
  </w:style>
  <w:style w:type="paragraph" w:styleId="8">
    <w:name w:val="Body Text Indent"/>
    <w:basedOn w:val="1"/>
    <w:next w:val="9"/>
    <w:qFormat/>
    <w:uiPriority w:val="0"/>
    <w:pPr>
      <w:spacing w:after="120"/>
      <w:ind w:left="200" w:leftChars="200"/>
    </w:pPr>
    <w:rPr>
      <w:rFonts w:ascii="仿宋_GB2312"/>
      <w:szCs w:val="32"/>
    </w:rPr>
  </w:style>
  <w:style w:type="paragraph" w:styleId="9">
    <w:name w:val="Body Text First Indent 2"/>
    <w:basedOn w:val="8"/>
    <w:unhideWhenUsed/>
    <w:qFormat/>
    <w:uiPriority w:val="99"/>
    <w:pPr>
      <w:ind w:firstLine="420" w:firstLineChars="200"/>
    </w:pPr>
  </w:style>
  <w:style w:type="paragraph" w:styleId="10">
    <w:name w:val="toc 3"/>
    <w:basedOn w:val="1"/>
    <w:next w:val="1"/>
    <w:unhideWhenUsed/>
    <w:qFormat/>
    <w:uiPriority w:val="39"/>
    <w:pPr>
      <w:tabs>
        <w:tab w:val="right" w:leader="dot" w:pos="8296"/>
      </w:tabs>
      <w:ind w:left="840" w:leftChars="400"/>
    </w:pPr>
  </w:style>
  <w:style w:type="paragraph" w:styleId="11">
    <w:name w:val="Balloon Text"/>
    <w:basedOn w:val="1"/>
    <w:link w:val="32"/>
    <w:semiHidden/>
    <w:unhideWhenUsed/>
    <w:qFormat/>
    <w:uiPriority w:val="99"/>
    <w:rPr>
      <w:sz w:val="18"/>
      <w:szCs w:val="18"/>
    </w:rPr>
  </w:style>
  <w:style w:type="paragraph" w:styleId="12">
    <w:name w:val="footer"/>
    <w:basedOn w:val="1"/>
    <w:link w:val="24"/>
    <w:qFormat/>
    <w:uiPriority w:val="99"/>
    <w:pPr>
      <w:tabs>
        <w:tab w:val="center" w:pos="4153"/>
        <w:tab w:val="right" w:pos="8306"/>
      </w:tabs>
      <w:snapToGrid w:val="0"/>
      <w:jc w:val="left"/>
    </w:pPr>
    <w:rPr>
      <w:rFonts w:ascii="Calibri" w:hAnsi="Calibri"/>
      <w:kern w:val="0"/>
      <w:sz w:val="18"/>
      <w:szCs w:val="18"/>
    </w:rPr>
  </w:style>
  <w:style w:type="paragraph" w:styleId="13">
    <w:name w:val="header"/>
    <w:basedOn w:val="1"/>
    <w:link w:val="22"/>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4">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5">
    <w:name w:val="footnote text"/>
    <w:basedOn w:val="1"/>
    <w:next w:val="9"/>
    <w:semiHidden/>
    <w:qFormat/>
    <w:uiPriority w:val="0"/>
    <w:pPr>
      <w:snapToGrid w:val="0"/>
      <w:jc w:val="left"/>
    </w:pPr>
    <w:rPr>
      <w:sz w:val="18"/>
      <w:szCs w:val="18"/>
    </w:rPr>
  </w:style>
  <w:style w:type="paragraph" w:styleId="16">
    <w:name w:val="toc 2"/>
    <w:basedOn w:val="1"/>
    <w:next w:val="1"/>
    <w:unhideWhenUsed/>
    <w:qFormat/>
    <w:uiPriority w:val="39"/>
    <w:pPr>
      <w:tabs>
        <w:tab w:val="right" w:leader="dot" w:pos="8296"/>
      </w:tabs>
      <w:ind w:left="420" w:leftChars="200"/>
    </w:pPr>
  </w:style>
  <w:style w:type="character" w:styleId="19">
    <w:name w:val="Strong"/>
    <w:basedOn w:val="18"/>
    <w:qFormat/>
    <w:uiPriority w:val="99"/>
    <w:rPr>
      <w:b/>
    </w:rPr>
  </w:style>
  <w:style w:type="character" w:styleId="20">
    <w:name w:val="Hyperlink"/>
    <w:basedOn w:val="18"/>
    <w:unhideWhenUsed/>
    <w:qFormat/>
    <w:uiPriority w:val="99"/>
    <w:rPr>
      <w:color w:val="0000FF" w:themeColor="hyperlink"/>
      <w:u w:val="single"/>
      <w14:textFill>
        <w14:solidFill>
          <w14:schemeClr w14:val="hlink"/>
        </w14:solidFill>
      </w14:textFill>
    </w:rPr>
  </w:style>
  <w:style w:type="character" w:customStyle="1" w:styleId="21">
    <w:name w:val="Header Char"/>
    <w:basedOn w:val="18"/>
    <w:semiHidden/>
    <w:qFormat/>
    <w:uiPriority w:val="99"/>
    <w:rPr>
      <w:rFonts w:ascii="Times New Roman" w:hAnsi="Times New Roman"/>
      <w:sz w:val="18"/>
      <w:szCs w:val="18"/>
    </w:rPr>
  </w:style>
  <w:style w:type="character" w:customStyle="1" w:styleId="22">
    <w:name w:val="页眉 Char"/>
    <w:link w:val="13"/>
    <w:semiHidden/>
    <w:qFormat/>
    <w:locked/>
    <w:uiPriority w:val="99"/>
    <w:rPr>
      <w:sz w:val="18"/>
    </w:rPr>
  </w:style>
  <w:style w:type="character" w:customStyle="1" w:styleId="23">
    <w:name w:val="Footer Char"/>
    <w:basedOn w:val="18"/>
    <w:semiHidden/>
    <w:qFormat/>
    <w:uiPriority w:val="99"/>
    <w:rPr>
      <w:rFonts w:ascii="Times New Roman" w:hAnsi="Times New Roman"/>
      <w:sz w:val="18"/>
      <w:szCs w:val="18"/>
    </w:rPr>
  </w:style>
  <w:style w:type="character" w:customStyle="1" w:styleId="24">
    <w:name w:val="页脚 Char"/>
    <w:link w:val="12"/>
    <w:qFormat/>
    <w:locked/>
    <w:uiPriority w:val="99"/>
    <w:rPr>
      <w:sz w:val="18"/>
    </w:rPr>
  </w:style>
  <w:style w:type="character" w:customStyle="1" w:styleId="25">
    <w:name w:val="Body Text Char"/>
    <w:basedOn w:val="18"/>
    <w:semiHidden/>
    <w:qFormat/>
    <w:uiPriority w:val="99"/>
    <w:rPr>
      <w:rFonts w:ascii="Times New Roman" w:hAnsi="Times New Roman"/>
      <w:szCs w:val="24"/>
    </w:rPr>
  </w:style>
  <w:style w:type="character" w:customStyle="1" w:styleId="26">
    <w:name w:val="正文文本 Char"/>
    <w:link w:val="7"/>
    <w:qFormat/>
    <w:locked/>
    <w:uiPriority w:val="99"/>
    <w:rPr>
      <w:rFonts w:ascii="仿宋_GB2312" w:hAnsi="Times New Roman" w:eastAsia="仿宋_GB2312"/>
      <w:sz w:val="24"/>
    </w:rPr>
  </w:style>
  <w:style w:type="paragraph" w:customStyle="1" w:styleId="27">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8">
    <w:name w:val="List Paragraph"/>
    <w:basedOn w:val="1"/>
    <w:qFormat/>
    <w:uiPriority w:val="34"/>
    <w:pPr>
      <w:ind w:firstLine="420" w:firstLineChars="200"/>
    </w:pPr>
  </w:style>
  <w:style w:type="character" w:customStyle="1" w:styleId="29">
    <w:name w:val="标题 1 Char"/>
    <w:basedOn w:val="18"/>
    <w:link w:val="3"/>
    <w:qFormat/>
    <w:uiPriority w:val="9"/>
    <w:rPr>
      <w:rFonts w:ascii="Times New Roman" w:hAnsi="Times New Roman"/>
      <w:b/>
      <w:bCs/>
      <w:kern w:val="44"/>
      <w:sz w:val="44"/>
      <w:szCs w:val="44"/>
    </w:rPr>
  </w:style>
  <w:style w:type="character" w:customStyle="1" w:styleId="30">
    <w:name w:val="标题 2 Char"/>
    <w:basedOn w:val="18"/>
    <w:link w:val="4"/>
    <w:qFormat/>
    <w:uiPriority w:val="9"/>
    <w:rPr>
      <w:rFonts w:asciiTheme="majorHAnsi" w:hAnsiTheme="majorHAnsi" w:eastAsiaTheme="majorEastAsia" w:cstheme="majorBidi"/>
      <w:b/>
      <w:bCs/>
      <w:kern w:val="2"/>
      <w:sz w:val="32"/>
      <w:szCs w:val="32"/>
    </w:rPr>
  </w:style>
  <w:style w:type="paragraph" w:customStyle="1" w:styleId="31">
    <w:name w:val="TOC 标题1"/>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2">
    <w:name w:val="批注框文本 Char"/>
    <w:basedOn w:val="18"/>
    <w:link w:val="11"/>
    <w:semiHidden/>
    <w:qFormat/>
    <w:uiPriority w:val="99"/>
    <w:rPr>
      <w:rFonts w:ascii="Times New Roman" w:hAnsi="Times New Roman"/>
      <w:kern w:val="2"/>
      <w:sz w:val="18"/>
      <w:szCs w:val="18"/>
    </w:rPr>
  </w:style>
  <w:style w:type="character" w:customStyle="1" w:styleId="33">
    <w:name w:val="标题 3 Char"/>
    <w:basedOn w:val="18"/>
    <w:link w:val="5"/>
    <w:qFormat/>
    <w:uiPriority w:val="9"/>
    <w:rPr>
      <w:rFonts w:ascii="Times New Roman" w:hAnsi="Times New Roman"/>
      <w:b/>
      <w:bCs/>
      <w:kern w:val="2"/>
      <w:sz w:val="32"/>
      <w:szCs w:val="32"/>
    </w:rPr>
  </w:style>
  <w:style w:type="paragraph" w:customStyle="1" w:styleId="34">
    <w:name w:val="TOC 标题2"/>
    <w:basedOn w:val="3"/>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paragraph" w:customStyle="1" w:styleId="35">
    <w:name w:val="四号正文"/>
    <w:basedOn w:val="1"/>
    <w:qFormat/>
    <w:uiPriority w:val="0"/>
    <w:pPr>
      <w:spacing w:line="360" w:lineRule="auto"/>
    </w:pPr>
    <w:rPr>
      <w:rFonts w:ascii="??" w:hAnsi="??"/>
      <w:color w:val="000000"/>
      <w:kern w:val="0"/>
      <w:sz w:val="28"/>
      <w:szCs w:val="21"/>
      <w:lang w:val="zh-CN"/>
    </w:rPr>
  </w:style>
</w:styles>
</file>

<file path=word/_rels/document.xml.rels><?xml version="1.0" encoding="UTF-8" standalone="yes"?>
<Relationships xmlns="http://schemas.openxmlformats.org/package/2006/relationships"><Relationship Id="rId9" Type="http://schemas.openxmlformats.org/officeDocument/2006/relationships/chart" Target="charts/chart2.xml"/><Relationship Id="rId8" Type="http://schemas.openxmlformats.org/officeDocument/2006/relationships/chart" Target="charts/chart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chart" Target="charts/chart6.xml"/><Relationship Id="rId12" Type="http://schemas.openxmlformats.org/officeDocument/2006/relationships/chart" Target="charts/chart5.xml"/><Relationship Id="rId11" Type="http://schemas.openxmlformats.org/officeDocument/2006/relationships/chart" Target="charts/chart4.xml"/><Relationship Id="rId10" Type="http://schemas.openxmlformats.org/officeDocument/2006/relationships/chart" Target="charts/chart3.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barChart>
        <c:barDir val="col"/>
        <c:grouping val="clustered"/>
        <c:varyColors val="0"/>
        <c:ser>
          <c:idx val="0"/>
          <c:order val="0"/>
          <c:tx>
            <c:strRef>
              <c:f>Sheet1!$B$1</c:f>
              <c:strCache>
                <c:ptCount val="1"/>
                <c:pt idx="0">
                  <c:v>图1：收入、支出决算总计变动情况图（单位：万元）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487.97</c:v>
                </c:pt>
                <c:pt idx="1">
                  <c:v>510.05</c:v>
                </c:pt>
              </c:numCache>
            </c:numRef>
          </c:val>
        </c:ser>
        <c:dLbls>
          <c:showLegendKey val="0"/>
          <c:showVal val="0"/>
          <c:showCatName val="0"/>
          <c:showSerName val="0"/>
          <c:showPercent val="0"/>
          <c:showBubbleSize val="0"/>
        </c:dLbls>
        <c:gapWidth val="150"/>
        <c:axId val="486771712"/>
        <c:axId val="449369728"/>
      </c:barChart>
      <c:catAx>
        <c:axId val="486771712"/>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49369728"/>
        <c:crosses val="autoZero"/>
        <c:auto val="1"/>
        <c:lblAlgn val="ctr"/>
        <c:lblOffset val="100"/>
        <c:noMultiLvlLbl val="0"/>
      </c:catAx>
      <c:valAx>
        <c:axId val="449369728"/>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6771712"/>
        <c:crosses val="autoZero"/>
        <c:crossBetween val="between"/>
      </c:valAx>
    </c:plotArea>
    <c:plotVisOnly val="1"/>
    <c:dispBlanksAs val="gap"/>
    <c:showDLblsOverMax val="0"/>
    <c:extLst>
      <c:ext uri="{0b15fc19-7d7d-44ad-8c2d-2c3a37ce22c3}">
        <chartProps xmlns="https://web.wps.cn/et/2018/main" chartId="{8b73926b-7cde-4d09-a020-2d6cc9e1e702}"/>
      </c:ext>
    </c:extLst>
  </c:chart>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view3D>
      <c:rotX val="30"/>
      <c:rotY val="0"/>
      <c:depthPercent val="100"/>
      <c:rAngAx val="0"/>
      <c:perspective val="30"/>
    </c:view3D>
    <c:floor>
      <c:thickness val="0"/>
    </c:floor>
    <c:sideWall>
      <c:thickness val="0"/>
    </c:sideWall>
    <c:backWall>
      <c:thickness val="0"/>
    </c:backWall>
    <c:plotArea>
      <c:layout/>
      <c:pie3DChart>
        <c:varyColors val="1"/>
        <c:ser>
          <c:idx val="0"/>
          <c:order val="0"/>
          <c:tx>
            <c:strRef>
              <c:f>Sheet1!$B$1</c:f>
              <c:strCache>
                <c:ptCount val="1"/>
                <c:pt idx="0">
                  <c:v>图2：收入决算结构图（单位：万元）</c:v>
                </c:pt>
              </c:strCache>
            </c:strRef>
          </c:tx>
          <c:explosion val="0"/>
          <c:dPt>
            <c:idx val="0"/>
            <c:bubble3D val="0"/>
          </c:dPt>
          <c:dLbls>
            <c:dLbl>
              <c:idx val="0"/>
              <c:layout/>
              <c:dLblPos val="bestFit"/>
              <c:showLegendKey val="0"/>
              <c:showVal val="1"/>
              <c:showCatName val="0"/>
              <c:showSerName val="0"/>
              <c:showPercent val="1"/>
              <c:showBubbleSize val="0"/>
              <c:extLst>
                <c:ext xmlns:c15="http://schemas.microsoft.com/office/drawing/2012/chart" uri="{CE6537A1-D6FC-4f65-9D91-7224C49458BB}"/>
              </c:extLst>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0"/>
            <c:showCatName val="0"/>
            <c:showSerName val="0"/>
            <c:showPercent val="0"/>
            <c:showBubbleSize val="0"/>
            <c:showLeaderLines val="1"/>
            <c:extLst>
              <c:ext xmlns:c15="http://schemas.microsoft.com/office/drawing/2012/chart" uri="{CE6537A1-D6FC-4f65-9D91-7224C49458BB}">
                <c15:layout/>
                <c15:showLeaderLines val="1"/>
                <c15:leaderLines/>
              </c:ext>
            </c:extLst>
          </c:dLbls>
          <c:cat>
            <c:strRef>
              <c:f>Sheet1!$A$2</c:f>
              <c:strCache>
                <c:ptCount val="1"/>
                <c:pt idx="0">
                  <c:v>一般公共预算财政拨款收入</c:v>
                </c:pt>
              </c:strCache>
            </c:strRef>
          </c:cat>
          <c:val>
            <c:numRef>
              <c:f>Sheet1!$B$2</c:f>
              <c:numCache>
                <c:formatCode>General</c:formatCode>
                <c:ptCount val="1"/>
                <c:pt idx="0">
                  <c:v>510.05</c:v>
                </c:pt>
              </c:numCache>
            </c:numRef>
          </c:val>
        </c:ser>
        <c:ser>
          <c:idx val="1"/>
          <c:order val="1"/>
          <c:tx>
            <c:strRef>
              <c:f>Sheet1!$C$1</c:f>
              <c:strCache>
                <c:ptCount val="1"/>
                <c:pt idx="0">
                  <c:v>图2：收入决算结构图（单位：万元）2</c:v>
                </c:pt>
              </c:strCache>
            </c:strRef>
          </c:tx>
          <c:explosion val="0"/>
          <c:dPt>
            <c:idx val="0"/>
            <c:bubble3D val="0"/>
          </c:dPt>
          <c:dLbls>
            <c:delete val="1"/>
          </c:dLbls>
          <c:cat>
            <c:strRef>
              <c:f>Sheet1!$A$2</c:f>
              <c:strCache>
                <c:ptCount val="1"/>
                <c:pt idx="0">
                  <c:v>一般公共预算财政拨款收入</c:v>
                </c:pt>
              </c:strCache>
            </c:strRef>
          </c:cat>
          <c:val>
            <c:numRef>
              <c:f>Sheet1!$C$2</c:f>
              <c:numCache>
                <c:formatCode>0%</c:formatCode>
                <c:ptCount val="1"/>
                <c:pt idx="0">
                  <c:v>1</c:v>
                </c:pt>
              </c:numCache>
            </c:numRef>
          </c:val>
        </c:ser>
        <c:dLbls>
          <c:showLegendKey val="0"/>
          <c:showVal val="0"/>
          <c:showCatName val="0"/>
          <c:showSerName val="0"/>
          <c:showPercent val="0"/>
          <c:showBubbleSize val="0"/>
        </c:dLbls>
      </c:pie3D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d98914b8-2e38-49d8-b77c-3cc828d3c1fb}"/>
      </c:ext>
    </c:extLst>
  </c:chart>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图3：支出决算结构图（单位：万元）</c:v>
                </c:pt>
              </c:strCache>
            </c:strRef>
          </c:tx>
          <c:explosion val="0"/>
          <c:dPt>
            <c:idx val="0"/>
            <c:bubble3D val="0"/>
          </c:dPt>
          <c:dPt>
            <c:idx val="1"/>
            <c:bubble3D val="0"/>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Sheet1!$A$2:$A$3</c:f>
              <c:strCache>
                <c:ptCount val="2"/>
                <c:pt idx="0">
                  <c:v>基本支出</c:v>
                </c:pt>
                <c:pt idx="1">
                  <c:v>项目支出</c:v>
                </c:pt>
              </c:strCache>
            </c:strRef>
          </c:cat>
          <c:val>
            <c:numRef>
              <c:f>Sheet1!$B$2:$B$3</c:f>
              <c:numCache>
                <c:formatCode>General</c:formatCode>
                <c:ptCount val="2"/>
                <c:pt idx="0">
                  <c:v>388.02</c:v>
                </c:pt>
                <c:pt idx="1">
                  <c:v>122.03</c:v>
                </c:pt>
              </c:numCache>
            </c:numRef>
          </c:val>
        </c:ser>
        <c:ser>
          <c:idx val="1"/>
          <c:order val="1"/>
          <c:tx>
            <c:strRef>
              <c:f>Sheet1!$C$1</c:f>
              <c:strCache>
                <c:ptCount val="1"/>
                <c:pt idx="0">
                  <c:v>图3：支出决算结构图（单位：万元）2</c:v>
                </c:pt>
              </c:strCache>
            </c:strRef>
          </c:tx>
          <c:explosion val="0"/>
          <c:dPt>
            <c:idx val="0"/>
            <c:bubble3D val="0"/>
          </c:dPt>
          <c:dPt>
            <c:idx val="1"/>
            <c:bubble3D val="0"/>
          </c:dPt>
          <c:dLbls>
            <c:delete val="1"/>
          </c:dLbls>
          <c:cat>
            <c:strRef>
              <c:f>Sheet1!$A$2:$A$3</c:f>
              <c:strCache>
                <c:ptCount val="2"/>
                <c:pt idx="0">
                  <c:v>基本支出</c:v>
                </c:pt>
                <c:pt idx="1">
                  <c:v>项目支出</c:v>
                </c:pt>
              </c:strCache>
            </c:strRef>
          </c:cat>
          <c:val>
            <c:numRef>
              <c:f>Sheet1!$C$2:$C$3</c:f>
              <c:numCache>
                <c:formatCode>0.00%</c:formatCode>
                <c:ptCount val="2"/>
                <c:pt idx="0">
                  <c:v>0.7607</c:v>
                </c:pt>
                <c:pt idx="1">
                  <c:v>0.2393</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15fcb21b-5a3a-46f4-bfc4-d837d9bda872}"/>
      </c:ext>
    </c:extLst>
  </c:chart>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manualLayout>
          <c:xMode val="edge"/>
          <c:yMode val="edge"/>
          <c:x val="0.104277850867895"/>
          <c:y val="0"/>
        </c:manualLayout>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0676010061697543"/>
          <c:y val="0.286311445523922"/>
          <c:w val="0.729549634470897"/>
          <c:h val="0.601189967395341"/>
        </c:manualLayout>
      </c:layout>
      <c:barChart>
        <c:barDir val="col"/>
        <c:grouping val="clustered"/>
        <c:varyColors val="0"/>
        <c:ser>
          <c:idx val="0"/>
          <c:order val="0"/>
          <c:tx>
            <c:strRef>
              <c:f>Sheet1!$B$1</c:f>
              <c:strCache>
                <c:ptCount val="1"/>
                <c:pt idx="0">
                  <c:v>图4：财政拨款收、支决算总计变动情况（单位：万元）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487.97</c:v>
                </c:pt>
                <c:pt idx="1">
                  <c:v>510.05</c:v>
                </c:pt>
              </c:numCache>
            </c:numRef>
          </c:val>
        </c:ser>
        <c:dLbls>
          <c:showLegendKey val="0"/>
          <c:showVal val="0"/>
          <c:showCatName val="0"/>
          <c:showSerName val="0"/>
          <c:showPercent val="0"/>
          <c:showBubbleSize val="0"/>
        </c:dLbls>
        <c:gapWidth val="150"/>
        <c:axId val="486772224"/>
        <c:axId val="488278272"/>
      </c:barChart>
      <c:catAx>
        <c:axId val="486772224"/>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8278272"/>
        <c:crosses val="autoZero"/>
        <c:auto val="1"/>
        <c:lblAlgn val="ctr"/>
        <c:lblOffset val="100"/>
        <c:noMultiLvlLbl val="0"/>
      </c:catAx>
      <c:valAx>
        <c:axId val="488278272"/>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6772224"/>
        <c:crosses val="autoZero"/>
        <c:crossBetween val="between"/>
      </c:valAx>
    </c:plotArea>
    <c:plotVisOnly val="1"/>
    <c:dispBlanksAs val="gap"/>
    <c:showDLblsOverMax val="0"/>
    <c:extLst>
      <c:ext uri="{0b15fc19-7d7d-44ad-8c2d-2c3a37ce22c3}">
        <chartProps xmlns="https://web.wps.cn/et/2018/main" chartId="{84f0f705-1a2c-4fae-a27e-bba1490ef048}"/>
      </c:ext>
    </c:extLst>
  </c:chart>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manualLayout>
          <c:layoutTarget val="inner"/>
          <c:xMode val="edge"/>
          <c:yMode val="edge"/>
          <c:x val="0.134822374658413"/>
          <c:y val="0.338928841325175"/>
          <c:w val="0.719761163067647"/>
          <c:h val="0.562699311539393"/>
        </c:manualLayout>
      </c:layout>
      <c:barChart>
        <c:barDir val="col"/>
        <c:grouping val="clustered"/>
        <c:varyColors val="0"/>
        <c:ser>
          <c:idx val="0"/>
          <c:order val="0"/>
          <c:tx>
            <c:strRef>
              <c:f>Sheet1!$B$1</c:f>
              <c:strCache>
                <c:ptCount val="1"/>
                <c:pt idx="0">
                  <c:v>图5：一般公共预算财政拨款支出决算变动情况（单位：万元）</c:v>
                </c:pt>
              </c:strCache>
            </c:strRef>
          </c:tx>
          <c:invertIfNegative val="0"/>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ext>
            </c:extLst>
          </c:dLbls>
          <c:cat>
            <c:strRef>
              <c:f>Sheet1!$A$2:$A$3</c:f>
              <c:strCache>
                <c:ptCount val="2"/>
                <c:pt idx="0">
                  <c:v>2023年</c:v>
                </c:pt>
                <c:pt idx="1">
                  <c:v>2024年</c:v>
                </c:pt>
              </c:strCache>
            </c:strRef>
          </c:cat>
          <c:val>
            <c:numRef>
              <c:f>Sheet1!$B$2:$B$3</c:f>
              <c:numCache>
                <c:formatCode>General</c:formatCode>
                <c:ptCount val="2"/>
                <c:pt idx="0">
                  <c:v>487.97</c:v>
                </c:pt>
                <c:pt idx="1">
                  <c:v>510.05</c:v>
                </c:pt>
              </c:numCache>
            </c:numRef>
          </c:val>
        </c:ser>
        <c:dLbls>
          <c:showLegendKey val="0"/>
          <c:showVal val="0"/>
          <c:showCatName val="0"/>
          <c:showSerName val="0"/>
          <c:showPercent val="0"/>
          <c:showBubbleSize val="0"/>
        </c:dLbls>
        <c:gapWidth val="150"/>
        <c:axId val="488726528"/>
        <c:axId val="488301696"/>
      </c:barChart>
      <c:catAx>
        <c:axId val="488726528"/>
        <c:scaling>
          <c:orientation val="minMax"/>
        </c:scaling>
        <c:delete val="0"/>
        <c:axPos val="b"/>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8301696"/>
        <c:crosses val="autoZero"/>
        <c:auto val="1"/>
        <c:lblAlgn val="ctr"/>
        <c:lblOffset val="100"/>
        <c:noMultiLvlLbl val="0"/>
      </c:catAx>
      <c:valAx>
        <c:axId val="488301696"/>
        <c:scaling>
          <c:orientation val="minMax"/>
        </c:scaling>
        <c:delete val="0"/>
        <c:axPos val="l"/>
        <c:majorGridlines/>
        <c:numFmt formatCode="General" sourceLinked="1"/>
        <c:majorTickMark val="out"/>
        <c:min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crossAx val="488726528"/>
        <c:crosses val="autoZero"/>
        <c:crossBetween val="between"/>
      </c:valAx>
    </c:plotArea>
    <c:plotVisOnly val="1"/>
    <c:dispBlanksAs val="gap"/>
    <c:showDLblsOverMax val="0"/>
    <c:extLst>
      <c:ext uri="{0b15fc19-7d7d-44ad-8c2d-2c3a37ce22c3}">
        <chartProps xmlns="https://web.wps.cn/et/2018/main" chartId="{642279a2-ca45-4a3c-be80-88bcc4600c0b}"/>
      </c:ext>
    </c:extLst>
  </c:chart>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layout/>
      <c:overlay val="0"/>
      <c:txPr>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p>
      </c:txPr>
    </c:title>
    <c:autoTitleDeleted val="0"/>
    <c:plotArea>
      <c:layout/>
      <c:pieChart>
        <c:varyColors val="1"/>
        <c:ser>
          <c:idx val="0"/>
          <c:order val="0"/>
          <c:tx>
            <c:strRef>
              <c:f>Sheet1!$B$1</c:f>
              <c:strCache>
                <c:ptCount val="1"/>
                <c:pt idx="0">
                  <c:v>图6：一般公共预算财政拨款支出决算结构（单位：万元）</c:v>
                </c:pt>
              </c:strCache>
            </c:strRef>
          </c:tx>
          <c:explosion val="0"/>
          <c:dPt>
            <c:idx val="0"/>
            <c:bubble3D val="0"/>
          </c:dPt>
          <c:dPt>
            <c:idx val="1"/>
            <c:bubble3D val="0"/>
          </c:dPt>
          <c:dPt>
            <c:idx val="2"/>
            <c:bubble3D val="0"/>
          </c:dPt>
          <c:dPt>
            <c:idx val="3"/>
            <c:bubble3D val="0"/>
          </c:dPt>
          <c:dLbls>
            <c:numFmt formatCode="0.00%" sourceLinked="0"/>
            <c:spPr>
              <a:noFill/>
              <a:ln>
                <a:solidFill>
                  <a:schemeClr val="accent1"/>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ext>
            </c:extLst>
          </c:dLbls>
          <c:cat>
            <c:strRef>
              <c:f>Sheet1!$A$2:$A$5</c:f>
              <c:strCache>
                <c:ptCount val="4"/>
                <c:pt idx="0">
                  <c:v>一般公共服务支出</c:v>
                </c:pt>
                <c:pt idx="1">
                  <c:v>社会保障和就业支出</c:v>
                </c:pt>
                <c:pt idx="2">
                  <c:v>卫生健康支出</c:v>
                </c:pt>
                <c:pt idx="3">
                  <c:v>住房保障支出</c:v>
                </c:pt>
              </c:strCache>
            </c:strRef>
          </c:cat>
          <c:val>
            <c:numRef>
              <c:f>Sheet1!$B$2:$B$5</c:f>
              <c:numCache>
                <c:formatCode>General</c:formatCode>
                <c:ptCount val="4"/>
                <c:pt idx="0">
                  <c:v>422.24</c:v>
                </c:pt>
                <c:pt idx="1">
                  <c:v>33.77</c:v>
                </c:pt>
                <c:pt idx="2">
                  <c:v>28.28</c:v>
                </c:pt>
                <c:pt idx="3">
                  <c:v>25.76</c:v>
                </c:pt>
              </c:numCache>
            </c:numRef>
          </c:val>
        </c:ser>
        <c:dLbls>
          <c:showLegendKey val="0"/>
          <c:showVal val="0"/>
          <c:showCatName val="0"/>
          <c:showSerName val="0"/>
          <c:showPercent val="0"/>
          <c:showBubbleSize val="0"/>
          <c:showLeaderLines val="1"/>
        </c:dLbls>
        <c:firstSliceAng val="0"/>
      </c:pieChart>
    </c:plotArea>
    <c:legend>
      <c:legendPos val="r"/>
      <c:layout/>
      <c:overlay val="0"/>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p>
      </c:txPr>
    </c:legend>
    <c:plotVisOnly val="1"/>
    <c:dispBlanksAs val="gap"/>
    <c:showDLblsOverMax val="0"/>
    <c:extLst>
      <c:ext uri="{0b15fc19-7d7d-44ad-8c2d-2c3a37ce22c3}">
        <chartProps xmlns="https://web.wps.cn/et/2018/main" chartId="{41a68a0b-e453-4421-b231-b008db533437}"/>
      </c:ext>
    </c:extLst>
  </c:chart>
  <c:txPr>
    <a:bodyPr/>
    <a:lstStyle/>
    <a:p>
      <a:pPr>
        <a:defRPr lang="zh-CN"/>
      </a:pPr>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25</Pages>
  <Words>8664</Words>
  <Characters>10314</Characters>
  <Lines>66</Lines>
  <Paragraphs>18</Paragraphs>
  <TotalTime>3</TotalTime>
  <ScaleCrop>false</ScaleCrop>
  <LinksUpToDate>false</LinksUpToDate>
  <CharactersWithSpaces>10339</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2025-10-23T02:29:00Z</dcterms:created>
  <dc:creator>曹颖</dc:creator>
  <cp:lastModifiedBy>xiǎo琼</cp:lastModifiedBy>
  <cp:lastPrinted>2025-10-23T07:52:00Z</cp:lastPrinted>
  <dcterms:modified xsi:type="dcterms:W3CDTF">2025-10-27T00:45:15Z</dcterms:modified>
  <dc:title>四川省***</dc:title>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04787F2533EB45DC91BCDE4AB213247F</vt:lpwstr>
  </property>
  <property fmtid="{D5CDD505-2E9C-101B-9397-08002B2CF9AE}" pid="4" name="KSOTemplateDocerSaveRecord">
    <vt:lpwstr>eyJoZGlkIjoiMGVhMjFkZmZjZjQ1ZDc3YTExYmFkYzBmZjM3NGY1YjIiLCJ1c2VySWQiOiI0MDQwMTExMjEifQ==</vt:lpwstr>
  </property>
</Properties>
</file>