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DBC44">
      <w:pPr>
        <w:keepNext w:val="0"/>
        <w:keepLines w:val="0"/>
        <w:pageBreakBefore w:val="0"/>
        <w:tabs>
          <w:tab w:val="left" w:pos="795"/>
        </w:tabs>
        <w:kinsoku/>
        <w:wordWrap/>
        <w:overflowPunct/>
        <w:topLinePunct w:val="0"/>
        <w:autoSpaceDE/>
        <w:autoSpaceDN/>
        <w:bidi w:val="0"/>
        <w:adjustRightInd w:val="0"/>
        <w:snapToGrid w:val="0"/>
        <w:spacing w:line="560" w:lineRule="exact"/>
        <w:ind w:left="-105" w:leftChars="-50" w:right="-105" w:rightChars="-50"/>
        <w:jc w:val="center"/>
        <w:textAlignment w:val="auto"/>
        <w:rPr>
          <w:rFonts w:hint="default" w:ascii="Times New Roman" w:hAnsi="Times New Roman" w:eastAsia="方正小标宋简体" w:cs="Times New Roman"/>
          <w:kern w:val="0"/>
          <w:sz w:val="44"/>
          <w:szCs w:val="44"/>
          <w:lang w:eastAsia="zh-CN"/>
        </w:rPr>
      </w:pPr>
      <w:r>
        <w:rPr>
          <w:rFonts w:hint="default" w:ascii="Times New Roman" w:hAnsi="Times New Roman" w:eastAsia="方正小标宋简体" w:cs="Times New Roman"/>
          <w:kern w:val="0"/>
          <w:sz w:val="44"/>
          <w:szCs w:val="44"/>
          <w:lang w:eastAsia="zh-CN"/>
        </w:rPr>
        <w:t>盐边县农村集体经营性建设用地</w:t>
      </w:r>
    </w:p>
    <w:p w14:paraId="742B3446">
      <w:pPr>
        <w:keepNext w:val="0"/>
        <w:keepLines w:val="0"/>
        <w:pageBreakBefore w:val="0"/>
        <w:tabs>
          <w:tab w:val="left" w:pos="795"/>
        </w:tabs>
        <w:kinsoku/>
        <w:wordWrap/>
        <w:overflowPunct/>
        <w:topLinePunct w:val="0"/>
        <w:autoSpaceDE/>
        <w:autoSpaceDN/>
        <w:bidi w:val="0"/>
        <w:adjustRightInd w:val="0"/>
        <w:snapToGrid w:val="0"/>
        <w:spacing w:line="560" w:lineRule="exact"/>
        <w:ind w:left="-105" w:leftChars="-50" w:right="-105" w:rightChars="-50"/>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lang w:eastAsia="zh-CN"/>
        </w:rPr>
        <w:t>入市管理办法</w:t>
      </w:r>
    </w:p>
    <w:p w14:paraId="355882EA">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楷体" w:cs="Times New Roman"/>
          <w:kern w:val="2"/>
          <w:sz w:val="32"/>
          <w:szCs w:val="32"/>
        </w:rPr>
      </w:pPr>
      <w:r>
        <w:rPr>
          <w:rFonts w:hint="eastAsia" w:ascii="楷体" w:hAnsi="楷体" w:eastAsia="楷体" w:cs="楷体"/>
          <w:kern w:val="2"/>
          <w:sz w:val="32"/>
          <w:szCs w:val="32"/>
          <w:lang w:val="en-US" w:eastAsia="zh-CN" w:bidi="ar"/>
        </w:rPr>
        <w:t>（征求意见稿）</w:t>
      </w:r>
    </w:p>
    <w:p w14:paraId="18159F5F">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kern w:val="0"/>
          <w:sz w:val="32"/>
          <w:szCs w:val="32"/>
        </w:rPr>
      </w:pPr>
    </w:p>
    <w:p w14:paraId="76DF080E">
      <w:pPr>
        <w:keepNext w:val="0"/>
        <w:keepLines w:val="0"/>
        <w:pageBreakBefore w:val="0"/>
        <w:widowControl/>
        <w:kinsoku/>
        <w:wordWrap/>
        <w:overflowPunct/>
        <w:topLinePunct w:val="0"/>
        <w:autoSpaceDE/>
        <w:autoSpaceDN/>
        <w:bidi w:val="0"/>
        <w:adjustRightInd/>
        <w:snapToGrid/>
        <w:spacing w:after="0" w:line="600" w:lineRule="exact"/>
        <w:ind w:right="-19"/>
        <w:jc w:val="both"/>
        <w:textAlignment w:val="auto"/>
        <w:rPr>
          <w:rFonts w:ascii="黑体" w:hAnsi="黑体" w:eastAsia="黑体" w:cs="黑体"/>
          <w:sz w:val="32"/>
          <w:szCs w:val="32"/>
        </w:rPr>
      </w:pPr>
      <w:r>
        <w:rPr>
          <w:rFonts w:ascii="黑体" w:hAnsi="黑体" w:eastAsia="黑体" w:cs="黑体"/>
          <w:sz w:val="32"/>
          <w:szCs w:val="32"/>
        </w:rPr>
        <w:t>第一章总则</w:t>
      </w:r>
    </w:p>
    <w:p w14:paraId="1787A8EE">
      <w:pPr>
        <w:keepNext w:val="0"/>
        <w:keepLines w:val="0"/>
        <w:pageBreakBefore w:val="0"/>
        <w:widowControl/>
        <w:kinsoku/>
        <w:wordWrap/>
        <w:overflowPunct/>
        <w:topLinePunct w:val="0"/>
        <w:autoSpaceDE/>
        <w:autoSpaceDN/>
        <w:bidi w:val="0"/>
        <w:adjustRightInd/>
        <w:snapToGrid/>
        <w:spacing w:after="0" w:line="600" w:lineRule="exact"/>
        <w:ind w:right="-19"/>
        <w:jc w:val="both"/>
        <w:textAlignment w:val="auto"/>
        <w:rPr>
          <w:rFonts w:ascii="黑体" w:hAnsi="黑体" w:eastAsia="黑体" w:cs="黑体"/>
          <w:sz w:val="32"/>
          <w:szCs w:val="32"/>
        </w:rPr>
      </w:pPr>
    </w:p>
    <w:p w14:paraId="264B3C11">
      <w:pPr>
        <w:keepNext w:val="0"/>
        <w:keepLines w:val="0"/>
        <w:pageBreakBefore w:val="0"/>
        <w:widowControl/>
        <w:kinsoku/>
        <w:wordWrap/>
        <w:overflowPunct/>
        <w:topLinePunct w:val="0"/>
        <w:autoSpaceDE/>
        <w:autoSpaceDN/>
        <w:bidi w:val="0"/>
        <w:adjustRightInd/>
        <w:snapToGrid/>
        <w:spacing w:after="0" w:line="600" w:lineRule="exact"/>
        <w:ind w:left="140" w:right="100" w:firstLine="641"/>
        <w:jc w:val="both"/>
        <w:textAlignment w:val="auto"/>
        <w:rPr>
          <w:rFonts w:ascii="宋体" w:hAnsi="宋体" w:eastAsia="宋体" w:cs="宋体"/>
          <w:sz w:val="32"/>
          <w:szCs w:val="32"/>
        </w:rPr>
      </w:pPr>
      <w:r>
        <w:rPr>
          <w:rFonts w:ascii="黑体" w:hAnsi="黑体" w:eastAsia="黑体" w:cs="黑体"/>
          <w:sz w:val="32"/>
          <w:szCs w:val="32"/>
        </w:rPr>
        <w:t xml:space="preserve">第一条 </w:t>
      </w:r>
      <w:r>
        <w:rPr>
          <w:rFonts w:ascii="宋体" w:hAnsi="宋体" w:eastAsia="宋体" w:cs="宋体"/>
          <w:sz w:val="32"/>
          <w:szCs w:val="32"/>
        </w:rPr>
        <w:t>为引导和规范盐边县农村集体经营性建设用地入市，促进城乡融合发展和乡村振兴。根据《中华人民共和国土地管理法》《中华人民共和国土地管理法实施条例》等法律法规和相关政策文件规定，结合我县实际，特制定本办法。</w:t>
      </w:r>
    </w:p>
    <w:p w14:paraId="541865D5">
      <w:pPr>
        <w:keepNext w:val="0"/>
        <w:keepLines w:val="0"/>
        <w:pageBreakBefore w:val="0"/>
        <w:widowControl/>
        <w:kinsoku/>
        <w:wordWrap/>
        <w:overflowPunct/>
        <w:topLinePunct w:val="0"/>
        <w:autoSpaceDE/>
        <w:autoSpaceDN/>
        <w:bidi w:val="0"/>
        <w:adjustRightInd/>
        <w:snapToGrid/>
        <w:spacing w:after="0" w:line="600" w:lineRule="exact"/>
        <w:ind w:left="140" w:right="100" w:firstLine="641"/>
        <w:jc w:val="both"/>
        <w:textAlignment w:val="auto"/>
        <w:rPr>
          <w:rFonts w:ascii="宋体" w:hAnsi="宋体" w:eastAsia="宋体" w:cs="宋体"/>
          <w:sz w:val="32"/>
          <w:szCs w:val="32"/>
        </w:rPr>
      </w:pPr>
      <w:r>
        <w:rPr>
          <w:rFonts w:ascii="黑体" w:hAnsi="黑体" w:eastAsia="黑体" w:cs="黑体"/>
          <w:sz w:val="32"/>
          <w:szCs w:val="32"/>
        </w:rPr>
        <w:t xml:space="preserve">第二条 </w:t>
      </w:r>
      <w:r>
        <w:rPr>
          <w:rFonts w:ascii="宋体" w:hAnsi="宋体" w:eastAsia="宋体" w:cs="宋体"/>
          <w:sz w:val="32"/>
          <w:szCs w:val="32"/>
        </w:rPr>
        <w:t>盐边县行政区域内的农村集体经营性建设用地入市及管理，适用本办法。</w:t>
      </w:r>
    </w:p>
    <w:p w14:paraId="770261FC">
      <w:pPr>
        <w:keepNext w:val="0"/>
        <w:keepLines w:val="0"/>
        <w:pageBreakBefore w:val="0"/>
        <w:widowControl/>
        <w:kinsoku/>
        <w:wordWrap/>
        <w:overflowPunct/>
        <w:topLinePunct w:val="0"/>
        <w:autoSpaceDE/>
        <w:autoSpaceDN/>
        <w:bidi w:val="0"/>
        <w:adjustRightInd/>
        <w:snapToGrid/>
        <w:spacing w:after="0" w:line="600" w:lineRule="exact"/>
        <w:ind w:left="140" w:right="100" w:firstLine="641"/>
        <w:jc w:val="both"/>
        <w:textAlignment w:val="auto"/>
        <w:rPr>
          <w:rFonts w:ascii="宋体" w:hAnsi="宋体" w:eastAsia="宋体" w:cs="宋体"/>
          <w:sz w:val="32"/>
          <w:szCs w:val="32"/>
        </w:rPr>
      </w:pPr>
      <w:r>
        <w:rPr>
          <w:rFonts w:ascii="宋体" w:hAnsi="宋体" w:eastAsia="宋体" w:cs="宋体"/>
          <w:sz w:val="32"/>
          <w:szCs w:val="32"/>
        </w:rPr>
        <w:t>本办法所称农村集体经营性建设用地，是指国土空间规划确定为工业、商业等经营性用途（商品住宅开发除外），并经依法登记的集体经营性建设用地。</w:t>
      </w:r>
    </w:p>
    <w:p w14:paraId="13B4C929">
      <w:pPr>
        <w:keepNext w:val="0"/>
        <w:keepLines w:val="0"/>
        <w:pageBreakBefore w:val="0"/>
        <w:widowControl w:val="0"/>
        <w:kinsoku/>
        <w:wordWrap/>
        <w:overflowPunct/>
        <w:topLinePunct w:val="0"/>
        <w:autoSpaceDE/>
        <w:autoSpaceDN/>
        <w:bidi w:val="0"/>
        <w:adjustRightInd/>
        <w:snapToGrid/>
        <w:spacing w:after="0" w:line="600" w:lineRule="exact"/>
        <w:ind w:left="0" w:right="0" w:firstLine="640" w:firstLineChars="200"/>
        <w:jc w:val="both"/>
        <w:textAlignment w:val="auto"/>
        <w:rPr>
          <w:rFonts w:ascii="宋体" w:hAnsi="宋体" w:eastAsia="宋体" w:cs="宋体"/>
          <w:sz w:val="32"/>
          <w:szCs w:val="32"/>
        </w:rPr>
      </w:pPr>
      <w:r>
        <w:rPr>
          <w:rFonts w:ascii="宋体" w:hAnsi="宋体" w:eastAsia="宋体" w:cs="宋体"/>
          <w:sz w:val="32"/>
          <w:szCs w:val="32"/>
        </w:rPr>
        <w:t>本办法所称集体经营性建设用地入市是指在农村集体经营性建设用地所有权性质不变的前提下，土地所有权人按照依法、自愿、公平、公开的原则，将农村集体经营性建设用地使用权以出让、租赁、作价出资（入股）等方式交由单位或者个人在一定期限内有偿使用的行为。</w:t>
      </w:r>
    </w:p>
    <w:p w14:paraId="18034174">
      <w:pPr>
        <w:keepNext w:val="0"/>
        <w:keepLines w:val="0"/>
        <w:pageBreakBefore w:val="0"/>
        <w:widowControl/>
        <w:kinsoku/>
        <w:wordWrap/>
        <w:overflowPunct/>
        <w:topLinePunct w:val="0"/>
        <w:autoSpaceDE/>
        <w:autoSpaceDN/>
        <w:bidi w:val="0"/>
        <w:adjustRightInd/>
        <w:snapToGrid/>
        <w:spacing w:after="0" w:line="600" w:lineRule="exact"/>
        <w:ind w:left="140" w:right="100" w:firstLine="641"/>
        <w:jc w:val="both"/>
        <w:textAlignment w:val="auto"/>
        <w:rPr>
          <w:rFonts w:ascii="宋体" w:hAnsi="宋体" w:eastAsia="宋体" w:cs="宋体"/>
          <w:sz w:val="32"/>
          <w:szCs w:val="32"/>
        </w:rPr>
      </w:pPr>
      <w:r>
        <w:rPr>
          <w:rFonts w:ascii="黑体" w:hAnsi="黑体" w:eastAsia="黑体" w:cs="黑体"/>
          <w:sz w:val="32"/>
          <w:szCs w:val="32"/>
        </w:rPr>
        <w:t xml:space="preserve">第三条 </w:t>
      </w:r>
      <w:r>
        <w:rPr>
          <w:rFonts w:ascii="宋体" w:hAnsi="宋体" w:eastAsia="宋体" w:cs="宋体"/>
          <w:sz w:val="32"/>
          <w:szCs w:val="32"/>
        </w:rPr>
        <w:t>农村集体经营性建设用地与国有建设用地享有同</w:t>
      </w:r>
      <w:r>
        <w:rPr>
          <w:rFonts w:ascii="宋体" w:hAnsi="宋体" w:eastAsia="宋体" w:cs="宋体"/>
          <w:sz w:val="31"/>
          <w:szCs w:val="31"/>
        </w:rPr>
        <w:t>等权利，履行相应义务，在符合规划、用途管制，并依法完成集</w:t>
      </w:r>
      <w:r>
        <w:rPr>
          <w:rFonts w:ascii="宋体" w:hAnsi="宋体" w:eastAsia="宋体" w:cs="宋体"/>
          <w:sz w:val="32"/>
          <w:szCs w:val="32"/>
        </w:rPr>
        <w:t>体土地所有权登记的农村集体建设用地的，允许农村集体经营性建设用地使用权出让、租赁、作价出资（入股）。</w:t>
      </w:r>
    </w:p>
    <w:p w14:paraId="67393AB8">
      <w:pPr>
        <w:keepNext w:val="0"/>
        <w:keepLines w:val="0"/>
        <w:pageBreakBefore w:val="0"/>
        <w:widowControl/>
        <w:kinsoku/>
        <w:wordWrap/>
        <w:overflowPunct/>
        <w:topLinePunct w:val="0"/>
        <w:autoSpaceDE/>
        <w:autoSpaceDN/>
        <w:bidi w:val="0"/>
        <w:adjustRightInd/>
        <w:snapToGrid/>
        <w:spacing w:after="0" w:line="600" w:lineRule="exact"/>
        <w:ind w:left="140" w:right="100" w:firstLine="641"/>
        <w:jc w:val="both"/>
        <w:textAlignment w:val="auto"/>
        <w:rPr>
          <w:rFonts w:eastAsiaTheme="minorEastAsia"/>
        </w:rPr>
      </w:pPr>
      <w:r>
        <w:rPr>
          <w:rFonts w:ascii="黑体" w:hAnsi="黑体" w:eastAsia="黑体" w:cs="黑体"/>
          <w:sz w:val="32"/>
          <w:szCs w:val="32"/>
        </w:rPr>
        <w:t xml:space="preserve">第四条 </w:t>
      </w:r>
      <w:r>
        <w:rPr>
          <w:rFonts w:ascii="宋体" w:hAnsi="宋体" w:eastAsia="宋体" w:cs="宋体"/>
          <w:sz w:val="32"/>
          <w:szCs w:val="32"/>
        </w:rPr>
        <w:t>任何单位、组织和个人，除法律另有规定外，均可按照本办法的规定取得农村集体经营性建设用地使用权。</w:t>
      </w:r>
    </w:p>
    <w:p w14:paraId="24503812">
      <w:pPr>
        <w:keepNext w:val="0"/>
        <w:keepLines w:val="0"/>
        <w:pageBreakBefore w:val="0"/>
        <w:widowControl/>
        <w:kinsoku/>
        <w:wordWrap/>
        <w:overflowPunct/>
        <w:topLinePunct w:val="0"/>
        <w:autoSpaceDE/>
        <w:autoSpaceDN/>
        <w:bidi w:val="0"/>
        <w:adjustRightInd/>
        <w:snapToGrid/>
        <w:spacing w:after="0" w:line="600" w:lineRule="exact"/>
        <w:ind w:left="140" w:right="120" w:firstLine="634"/>
        <w:jc w:val="both"/>
        <w:textAlignment w:val="auto"/>
        <w:rPr>
          <w:rFonts w:eastAsiaTheme="minorEastAsia"/>
        </w:rPr>
      </w:pPr>
      <w:r>
        <w:rPr>
          <w:rFonts w:ascii="黑体" w:hAnsi="黑体" w:eastAsia="黑体" w:cs="黑体"/>
          <w:sz w:val="32"/>
          <w:szCs w:val="32"/>
        </w:rPr>
        <w:t xml:space="preserve">第五条 </w:t>
      </w:r>
      <w:r>
        <w:rPr>
          <w:rFonts w:ascii="宋体" w:hAnsi="宋体" w:eastAsia="宋体" w:cs="宋体"/>
          <w:sz w:val="32"/>
          <w:szCs w:val="32"/>
        </w:rPr>
        <w:t>以建立城乡统一的建设用地市场、农村集体经营性建设用地与国有建设用地同等入市、同权同价为原则，试点过程中集体经营性建设用地的项目建设、项目环评、使用权抵押、违法责任追究、审计监督等均参照同类型的国有建设用地执行，法律、行政法规另有规定的除外。</w:t>
      </w:r>
    </w:p>
    <w:p w14:paraId="2DEB3BFA">
      <w:pPr>
        <w:keepNext w:val="0"/>
        <w:keepLines w:val="0"/>
        <w:pageBreakBefore w:val="0"/>
        <w:widowControl/>
        <w:kinsoku/>
        <w:wordWrap/>
        <w:overflowPunct/>
        <w:topLinePunct w:val="0"/>
        <w:autoSpaceDE/>
        <w:autoSpaceDN/>
        <w:bidi w:val="0"/>
        <w:adjustRightInd/>
        <w:snapToGrid/>
        <w:spacing w:after="0" w:line="600" w:lineRule="exact"/>
        <w:ind w:left="140" w:firstLine="641"/>
        <w:jc w:val="both"/>
        <w:textAlignment w:val="auto"/>
        <w:rPr>
          <w:rFonts w:eastAsiaTheme="minorEastAsia"/>
          <w:sz w:val="20"/>
          <w:szCs w:val="20"/>
        </w:rPr>
      </w:pPr>
      <w:r>
        <w:rPr>
          <w:rFonts w:ascii="黑体" w:hAnsi="黑体" w:eastAsia="黑体" w:cs="黑体"/>
          <w:sz w:val="32"/>
          <w:szCs w:val="32"/>
        </w:rPr>
        <w:t xml:space="preserve">第六条 </w:t>
      </w:r>
      <w:r>
        <w:rPr>
          <w:rFonts w:ascii="宋体" w:hAnsi="宋体" w:eastAsia="宋体" w:cs="宋体"/>
          <w:sz w:val="32"/>
          <w:szCs w:val="32"/>
        </w:rPr>
        <w:t>县自然资源和规划局、县委编办、县发展改革局、县司法局、县财政局、县人力资源社会保障局、县住建局、县农业农村局、县林业局、县纪委监委、县审计局、县行政审批局、县税务局、盐边生态环境局、各乡镇党委、政府等相关部门（单位）应加强部门协调配合，推动形成改革合力，统筹稳妥推进深化农村集体经营性建设用地入市试点工作。</w:t>
      </w:r>
    </w:p>
    <w:p w14:paraId="7A6C8632">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762B36D9">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eastAsiaTheme="minorEastAsia"/>
          <w:sz w:val="20"/>
          <w:szCs w:val="20"/>
        </w:rPr>
      </w:pPr>
      <w:r>
        <w:rPr>
          <w:rFonts w:ascii="黑体" w:hAnsi="黑体" w:eastAsia="黑体" w:cs="黑体"/>
          <w:sz w:val="32"/>
          <w:szCs w:val="32"/>
        </w:rPr>
        <w:t>第二章 入市主体</w:t>
      </w:r>
    </w:p>
    <w:p w14:paraId="4EE389AF">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4D70B5C6">
      <w:pPr>
        <w:keepNext w:val="0"/>
        <w:keepLines w:val="0"/>
        <w:pageBreakBefore w:val="0"/>
        <w:widowControl/>
        <w:kinsoku/>
        <w:wordWrap/>
        <w:overflowPunct/>
        <w:topLinePunct w:val="0"/>
        <w:autoSpaceDE/>
        <w:autoSpaceDN/>
        <w:bidi w:val="0"/>
        <w:adjustRightInd/>
        <w:snapToGrid/>
        <w:spacing w:after="0" w:line="600" w:lineRule="exact"/>
        <w:ind w:left="140" w:right="60" w:firstLine="620" w:firstLineChars="200"/>
        <w:jc w:val="both"/>
        <w:textAlignment w:val="auto"/>
        <w:rPr>
          <w:rFonts w:ascii="宋体" w:hAnsi="宋体" w:eastAsia="宋体" w:cs="宋体"/>
          <w:sz w:val="32"/>
          <w:szCs w:val="32"/>
        </w:rPr>
      </w:pPr>
      <w:r>
        <w:rPr>
          <w:rFonts w:ascii="黑体" w:hAnsi="黑体" w:eastAsia="黑体" w:cs="黑体"/>
          <w:sz w:val="31"/>
          <w:szCs w:val="31"/>
        </w:rPr>
        <w:t xml:space="preserve">第七条 </w:t>
      </w:r>
      <w:r>
        <w:rPr>
          <w:rFonts w:ascii="宋体" w:hAnsi="宋体" w:eastAsia="宋体" w:cs="宋体"/>
          <w:sz w:val="31"/>
          <w:szCs w:val="31"/>
        </w:rPr>
        <w:t>农村集体经营性建设用地入市主体为具备所有者身份的农民集体和依法代表行使所有权的农村集体经济组织。入市前，土地所属乡镇集体和村（组）集体应完成农村集体经济组</w:t>
      </w:r>
      <w:bookmarkStart w:id="0" w:name="page2_0"/>
      <w:bookmarkEnd w:id="0"/>
      <w:r>
        <w:rPr>
          <w:rFonts w:ascii="宋体" w:hAnsi="宋体" w:eastAsia="宋体" w:cs="宋体"/>
          <w:sz w:val="32"/>
          <w:szCs w:val="32"/>
        </w:rPr>
        <w:t>织登记赋码，并由该农村集体经济组织作为入市实施主体代理入市，或由其授权委托的具有市场法人资格的组织代理实施入市。</w:t>
      </w:r>
    </w:p>
    <w:p w14:paraId="675D7000">
      <w:pPr>
        <w:keepNext w:val="0"/>
        <w:keepLines w:val="0"/>
        <w:pageBreakBefore w:val="0"/>
        <w:widowControl/>
        <w:kinsoku/>
        <w:wordWrap/>
        <w:overflowPunct/>
        <w:topLinePunct w:val="0"/>
        <w:autoSpaceDE/>
        <w:autoSpaceDN/>
        <w:bidi w:val="0"/>
        <w:adjustRightInd/>
        <w:snapToGrid/>
        <w:spacing w:after="0" w:line="600" w:lineRule="exact"/>
        <w:ind w:left="140" w:right="60" w:firstLine="640" w:firstLineChars="200"/>
        <w:jc w:val="both"/>
        <w:textAlignment w:val="auto"/>
        <w:rPr>
          <w:rFonts w:eastAsiaTheme="minorEastAsia"/>
          <w:sz w:val="20"/>
          <w:szCs w:val="20"/>
        </w:rPr>
      </w:pPr>
      <w:r>
        <w:rPr>
          <w:rFonts w:ascii="黑体" w:hAnsi="黑体" w:eastAsia="黑体" w:cs="黑体"/>
          <w:sz w:val="32"/>
          <w:szCs w:val="32"/>
        </w:rPr>
        <w:t xml:space="preserve">第八条 </w:t>
      </w:r>
      <w:r>
        <w:rPr>
          <w:rFonts w:ascii="宋体" w:hAnsi="宋体" w:eastAsia="宋体" w:cs="宋体"/>
          <w:sz w:val="32"/>
          <w:szCs w:val="32"/>
        </w:rPr>
        <w:t>农村集体经营性建设用地入市需经本集体经济组织成员的村民会议三分之二以上成员或者三分之二以上村民代表同意，由本集体经济</w:t>
      </w:r>
      <w:r>
        <w:rPr>
          <w:rFonts w:hint="eastAsia" w:ascii="宋体" w:hAnsi="宋体" w:cs="宋体"/>
          <w:sz w:val="32"/>
          <w:szCs w:val="32"/>
          <w:lang w:eastAsia="zh-CN"/>
        </w:rPr>
        <w:t>组织</w:t>
      </w:r>
      <w:r>
        <w:rPr>
          <w:rFonts w:ascii="宋体" w:hAnsi="宋体" w:eastAsia="宋体" w:cs="宋体"/>
          <w:sz w:val="32"/>
          <w:szCs w:val="32"/>
        </w:rPr>
        <w:t>实施入市或由其委托具有市场法人资格的组织，依据授权委托书代理实施入市。</w:t>
      </w:r>
    </w:p>
    <w:p w14:paraId="725ED2DF">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sz w:val="20"/>
          <w:szCs w:val="20"/>
        </w:rPr>
      </w:pPr>
    </w:p>
    <w:p w14:paraId="486768B0">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ascii="黑体" w:hAnsi="黑体" w:eastAsia="黑体" w:cs="黑体"/>
          <w:sz w:val="32"/>
          <w:szCs w:val="32"/>
        </w:rPr>
      </w:pPr>
      <w:r>
        <w:rPr>
          <w:rFonts w:ascii="黑体" w:hAnsi="黑体" w:eastAsia="黑体" w:cs="黑体"/>
          <w:sz w:val="32"/>
          <w:szCs w:val="32"/>
        </w:rPr>
        <w:t>第三章 入市条件、途径</w:t>
      </w:r>
    </w:p>
    <w:p w14:paraId="267819BB">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ascii="黑体" w:hAnsi="黑体" w:eastAsia="黑体" w:cs="黑体"/>
          <w:sz w:val="32"/>
          <w:szCs w:val="32"/>
        </w:rPr>
      </w:pPr>
    </w:p>
    <w:p w14:paraId="223846FE">
      <w:pPr>
        <w:keepNext w:val="0"/>
        <w:keepLines w:val="0"/>
        <w:pageBreakBefore w:val="0"/>
        <w:widowControl/>
        <w:kinsoku/>
        <w:wordWrap/>
        <w:overflowPunct/>
        <w:topLinePunct w:val="0"/>
        <w:autoSpaceDE/>
        <w:autoSpaceDN/>
        <w:bidi w:val="0"/>
        <w:adjustRightInd/>
        <w:snapToGrid/>
        <w:spacing w:after="0" w:line="600" w:lineRule="exact"/>
        <w:ind w:firstLine="620" w:firstLineChars="200"/>
        <w:jc w:val="both"/>
        <w:textAlignment w:val="auto"/>
        <w:rPr>
          <w:rFonts w:eastAsiaTheme="minorEastAsia"/>
          <w:sz w:val="20"/>
          <w:szCs w:val="20"/>
        </w:rPr>
      </w:pPr>
      <w:r>
        <w:rPr>
          <w:rFonts w:ascii="黑体" w:hAnsi="黑体" w:eastAsia="黑体" w:cs="黑体"/>
          <w:sz w:val="31"/>
          <w:szCs w:val="31"/>
        </w:rPr>
        <w:t xml:space="preserve">第九条 </w:t>
      </w:r>
      <w:r>
        <w:rPr>
          <w:rFonts w:ascii="宋体" w:hAnsi="宋体" w:eastAsia="宋体" w:cs="宋体"/>
          <w:sz w:val="31"/>
          <w:szCs w:val="31"/>
        </w:rPr>
        <w:t>满足以下条件的农村集体经营性建设用地可以入市：</w:t>
      </w:r>
    </w:p>
    <w:p w14:paraId="67F6EA06">
      <w:pPr>
        <w:keepNext w:val="0"/>
        <w:keepLines w:val="0"/>
        <w:pageBreakBefore w:val="0"/>
        <w:widowControl/>
        <w:kinsoku/>
        <w:wordWrap/>
        <w:overflowPunct/>
        <w:topLinePunct w:val="0"/>
        <w:autoSpaceDE/>
        <w:autoSpaceDN/>
        <w:bidi w:val="0"/>
        <w:adjustRightInd/>
        <w:snapToGrid/>
        <w:spacing w:after="0" w:line="600" w:lineRule="exact"/>
        <w:ind w:left="140" w:right="180" w:firstLine="641"/>
        <w:jc w:val="both"/>
        <w:textAlignment w:val="auto"/>
        <w:rPr>
          <w:rFonts w:eastAsiaTheme="minorEastAsia"/>
          <w:sz w:val="20"/>
          <w:szCs w:val="20"/>
        </w:rPr>
      </w:pPr>
      <w:r>
        <w:rPr>
          <w:rFonts w:ascii="宋体" w:hAnsi="宋体" w:eastAsia="宋体" w:cs="宋体"/>
          <w:sz w:val="32"/>
          <w:szCs w:val="32"/>
        </w:rPr>
        <w:t>（一）符合盐边县县级、乡镇级、村级国土空间规划、相关产业规划以及环保要求；</w:t>
      </w:r>
    </w:p>
    <w:p w14:paraId="2ED38F4B">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eastAsiaTheme="minorEastAsia"/>
          <w:sz w:val="20"/>
          <w:szCs w:val="20"/>
        </w:rPr>
      </w:pPr>
      <w:r>
        <w:rPr>
          <w:rFonts w:ascii="宋体" w:hAnsi="宋体" w:eastAsia="宋体" w:cs="宋体"/>
          <w:sz w:val="32"/>
          <w:szCs w:val="32"/>
        </w:rPr>
        <w:t>（二）土地权属清晰，并已完成土地所有权登记发证；</w:t>
      </w:r>
    </w:p>
    <w:p w14:paraId="74A30D21">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eastAsiaTheme="minorEastAsia"/>
          <w:sz w:val="20"/>
          <w:szCs w:val="20"/>
        </w:rPr>
      </w:pPr>
      <w:r>
        <w:rPr>
          <w:rFonts w:ascii="宋体" w:hAnsi="宋体" w:eastAsia="宋体" w:cs="宋体"/>
          <w:sz w:val="32"/>
          <w:szCs w:val="32"/>
        </w:rPr>
        <w:t>（三）未被司法机关、行政机关限制土地权利；</w:t>
      </w:r>
    </w:p>
    <w:p w14:paraId="796B3268">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eastAsiaTheme="minorEastAsia"/>
          <w:sz w:val="20"/>
          <w:szCs w:val="20"/>
        </w:rPr>
      </w:pPr>
      <w:r>
        <w:rPr>
          <w:rFonts w:ascii="宋体" w:hAnsi="宋体" w:eastAsia="宋体" w:cs="宋体"/>
          <w:sz w:val="32"/>
          <w:szCs w:val="32"/>
        </w:rPr>
        <w:t>（四）法律法规规定的其他条件。</w:t>
      </w:r>
    </w:p>
    <w:p w14:paraId="20F1C12E">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eastAsiaTheme="minorEastAsia"/>
          <w:sz w:val="20"/>
          <w:szCs w:val="20"/>
        </w:rPr>
      </w:pPr>
      <w:r>
        <w:rPr>
          <w:rFonts w:ascii="黑体" w:hAnsi="黑体" w:eastAsia="黑体" w:cs="黑体"/>
          <w:sz w:val="32"/>
          <w:szCs w:val="32"/>
        </w:rPr>
        <w:t xml:space="preserve">第十条 </w:t>
      </w:r>
      <w:r>
        <w:rPr>
          <w:rFonts w:ascii="宋体" w:hAnsi="宋体" w:eastAsia="宋体" w:cs="宋体"/>
          <w:sz w:val="32"/>
          <w:szCs w:val="32"/>
        </w:rPr>
        <w:t>农村集体经营性建设用地入市的途径：</w:t>
      </w:r>
    </w:p>
    <w:p w14:paraId="1740531A">
      <w:pPr>
        <w:keepNext w:val="0"/>
        <w:keepLines w:val="0"/>
        <w:pageBreakBefore w:val="0"/>
        <w:widowControl/>
        <w:kinsoku/>
        <w:wordWrap/>
        <w:overflowPunct/>
        <w:topLinePunct w:val="0"/>
        <w:autoSpaceDE/>
        <w:autoSpaceDN/>
        <w:bidi w:val="0"/>
        <w:adjustRightInd/>
        <w:snapToGrid/>
        <w:spacing w:after="0" w:line="600" w:lineRule="exact"/>
        <w:ind w:left="140" w:right="160" w:firstLine="641"/>
        <w:jc w:val="both"/>
        <w:textAlignment w:val="auto"/>
        <w:rPr>
          <w:rFonts w:eastAsiaTheme="minorEastAsia"/>
        </w:rPr>
      </w:pPr>
      <w:r>
        <w:rPr>
          <w:rFonts w:ascii="宋体" w:hAnsi="宋体" w:eastAsia="宋体" w:cs="宋体"/>
          <w:sz w:val="32"/>
          <w:szCs w:val="32"/>
        </w:rPr>
        <w:t>本次深化试点期间（</w:t>
      </w:r>
      <w:r>
        <w:rPr>
          <w:sz w:val="32"/>
          <w:szCs w:val="32"/>
        </w:rPr>
        <w:t>2024</w:t>
      </w:r>
      <w:r>
        <w:rPr>
          <w:rFonts w:ascii="宋体" w:hAnsi="宋体" w:eastAsia="宋体" w:cs="宋体"/>
          <w:sz w:val="32"/>
          <w:szCs w:val="32"/>
        </w:rPr>
        <w:t>年</w:t>
      </w:r>
      <w:r>
        <w:rPr>
          <w:sz w:val="32"/>
          <w:szCs w:val="32"/>
        </w:rPr>
        <w:t>12</w:t>
      </w:r>
      <w:r>
        <w:rPr>
          <w:rFonts w:ascii="宋体" w:hAnsi="宋体" w:eastAsia="宋体" w:cs="宋体"/>
          <w:sz w:val="32"/>
          <w:szCs w:val="32"/>
        </w:rPr>
        <w:t>月</w:t>
      </w:r>
      <w:r>
        <w:rPr>
          <w:sz w:val="32"/>
          <w:szCs w:val="32"/>
        </w:rPr>
        <w:t>31</w:t>
      </w:r>
      <w:r>
        <w:rPr>
          <w:rFonts w:ascii="宋体" w:hAnsi="宋体" w:eastAsia="宋体" w:cs="宋体"/>
          <w:sz w:val="32"/>
          <w:szCs w:val="32"/>
        </w:rPr>
        <w:t>日前），国土空间规划确定为工业、商业等经营性用途，且依法办理了土地所有权登记的农村集体经营性建设用地，入市主体可以就地通过出让、出租等方式交由单位或者个人在一定年限内有偿使用。</w:t>
      </w:r>
      <w:bookmarkStart w:id="1" w:name="page1_1"/>
      <w:bookmarkEnd w:id="1"/>
    </w:p>
    <w:p w14:paraId="6D110EE6">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2D5BA686">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eastAsiaTheme="minorEastAsia"/>
          <w:sz w:val="20"/>
          <w:szCs w:val="20"/>
        </w:rPr>
      </w:pPr>
      <w:r>
        <w:rPr>
          <w:rFonts w:ascii="黑体" w:hAnsi="黑体" w:eastAsia="黑体" w:cs="黑体"/>
          <w:sz w:val="32"/>
          <w:szCs w:val="32"/>
        </w:rPr>
        <w:t>第四章 确权登记</w:t>
      </w:r>
    </w:p>
    <w:p w14:paraId="2728FC73">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78202444">
      <w:pPr>
        <w:keepNext w:val="0"/>
        <w:keepLines w:val="0"/>
        <w:pageBreakBefore w:val="0"/>
        <w:widowControl/>
        <w:kinsoku/>
        <w:wordWrap/>
        <w:overflowPunct/>
        <w:topLinePunct w:val="0"/>
        <w:autoSpaceDE/>
        <w:autoSpaceDN/>
        <w:bidi w:val="0"/>
        <w:adjustRightInd/>
        <w:snapToGrid/>
        <w:spacing w:after="0" w:line="600" w:lineRule="exact"/>
        <w:ind w:left="140" w:right="40" w:firstLine="641"/>
        <w:jc w:val="both"/>
        <w:textAlignment w:val="auto"/>
        <w:rPr>
          <w:rFonts w:eastAsiaTheme="minorEastAsia"/>
          <w:sz w:val="20"/>
          <w:szCs w:val="20"/>
        </w:rPr>
      </w:pPr>
      <w:r>
        <w:rPr>
          <w:rFonts w:ascii="黑体" w:hAnsi="黑体" w:eastAsia="黑体" w:cs="黑体"/>
          <w:sz w:val="32"/>
          <w:szCs w:val="32"/>
        </w:rPr>
        <w:t xml:space="preserve">第十一条 </w:t>
      </w:r>
      <w:r>
        <w:rPr>
          <w:rFonts w:ascii="宋体" w:hAnsi="宋体" w:eastAsia="宋体" w:cs="宋体"/>
          <w:sz w:val="32"/>
          <w:szCs w:val="32"/>
        </w:rPr>
        <w:t>集体经营性建设用地所有权确权登记，是集体经营性建设用地入市的前置条件，在入市前需依法对拟入市地块进行所有权确权登记。集体土地已按村或组为单位进行确权登记，其所有权可作为入市集体经营性建设用地所有权的依据，无需再细化到宗地单元进行确权。</w:t>
      </w:r>
    </w:p>
    <w:p w14:paraId="2786FFB7">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7136A45A">
      <w:pPr>
        <w:keepNext w:val="0"/>
        <w:keepLines w:val="0"/>
        <w:pageBreakBefore w:val="0"/>
        <w:widowControl/>
        <w:kinsoku/>
        <w:wordWrap/>
        <w:overflowPunct/>
        <w:topLinePunct w:val="0"/>
        <w:autoSpaceDE/>
        <w:autoSpaceDN/>
        <w:bidi w:val="0"/>
        <w:adjustRightInd/>
        <w:snapToGrid/>
        <w:spacing w:after="0" w:line="600" w:lineRule="exact"/>
        <w:ind w:left="140" w:right="160" w:firstLine="641"/>
        <w:jc w:val="both"/>
        <w:textAlignment w:val="auto"/>
        <w:rPr>
          <w:rFonts w:eastAsiaTheme="minorEastAsia"/>
          <w:sz w:val="20"/>
          <w:szCs w:val="20"/>
        </w:rPr>
      </w:pPr>
      <w:r>
        <w:rPr>
          <w:rFonts w:ascii="黑体" w:hAnsi="黑体" w:eastAsia="黑体" w:cs="黑体"/>
          <w:sz w:val="32"/>
          <w:szCs w:val="32"/>
        </w:rPr>
        <w:t xml:space="preserve">第十二条 </w:t>
      </w:r>
      <w:r>
        <w:rPr>
          <w:rFonts w:ascii="宋体" w:hAnsi="宋体" w:eastAsia="宋体" w:cs="宋体"/>
          <w:sz w:val="32"/>
          <w:szCs w:val="32"/>
        </w:rPr>
        <w:t>未经审批的存量集体建设用地，按照相关规定处置后进行确权登记。</w:t>
      </w:r>
    </w:p>
    <w:p w14:paraId="66A98059">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6AA6A03F">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eastAsiaTheme="minorEastAsia"/>
          <w:sz w:val="20"/>
          <w:szCs w:val="20"/>
        </w:rPr>
      </w:pPr>
      <w:r>
        <w:rPr>
          <w:rFonts w:ascii="黑体" w:hAnsi="黑体" w:eastAsia="黑体" w:cs="黑体"/>
          <w:sz w:val="32"/>
          <w:szCs w:val="32"/>
        </w:rPr>
        <w:t>第五章 入市方式</w:t>
      </w:r>
    </w:p>
    <w:p w14:paraId="1DB34E02">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790313E3">
      <w:pPr>
        <w:keepNext w:val="0"/>
        <w:keepLines w:val="0"/>
        <w:pageBreakBefore w:val="0"/>
        <w:widowControl/>
        <w:kinsoku/>
        <w:wordWrap/>
        <w:overflowPunct/>
        <w:topLinePunct w:val="0"/>
        <w:autoSpaceDE/>
        <w:autoSpaceDN/>
        <w:bidi w:val="0"/>
        <w:adjustRightInd/>
        <w:snapToGrid/>
        <w:spacing w:after="0" w:line="600" w:lineRule="exact"/>
        <w:ind w:left="140" w:right="140" w:firstLine="634"/>
        <w:jc w:val="both"/>
        <w:textAlignment w:val="auto"/>
        <w:rPr>
          <w:rFonts w:eastAsiaTheme="minorEastAsia"/>
          <w:sz w:val="20"/>
          <w:szCs w:val="20"/>
        </w:rPr>
      </w:pPr>
      <w:r>
        <w:rPr>
          <w:rFonts w:ascii="黑体" w:hAnsi="黑体" w:eastAsia="黑体" w:cs="黑体"/>
          <w:sz w:val="31"/>
          <w:szCs w:val="31"/>
        </w:rPr>
        <w:t xml:space="preserve">第十三条 </w:t>
      </w:r>
      <w:r>
        <w:rPr>
          <w:rFonts w:ascii="宋体" w:hAnsi="宋体" w:eastAsia="宋体" w:cs="宋体"/>
          <w:sz w:val="31"/>
          <w:szCs w:val="31"/>
        </w:rPr>
        <w:t>集体经营性建设用地可按出让（协议、招标、拍卖或挂牌）、租赁、作价出资（入股）等有偿使用方式入市。集体经营性建设用地使用权出让、作价出资（入股）最高年限参照</w:t>
      </w:r>
      <w:r>
        <w:rPr>
          <w:rFonts w:ascii="宋体" w:hAnsi="宋体" w:eastAsia="宋体" w:cs="宋体"/>
          <w:sz w:val="32"/>
          <w:szCs w:val="32"/>
        </w:rPr>
        <w:t>同类用途的国有建设用地执行（商业用地</w:t>
      </w:r>
      <w:r>
        <w:rPr>
          <w:sz w:val="32"/>
          <w:szCs w:val="32"/>
        </w:rPr>
        <w:t>40</w:t>
      </w:r>
      <w:r>
        <w:rPr>
          <w:rFonts w:ascii="宋体" w:hAnsi="宋体" w:eastAsia="宋体" w:cs="宋体"/>
          <w:sz w:val="32"/>
          <w:szCs w:val="32"/>
        </w:rPr>
        <w:t>年，工业用地</w:t>
      </w:r>
      <w:r>
        <w:rPr>
          <w:sz w:val="32"/>
          <w:szCs w:val="32"/>
        </w:rPr>
        <w:t>50</w:t>
      </w:r>
      <w:r>
        <w:rPr>
          <w:rFonts w:ascii="宋体" w:hAnsi="宋体" w:eastAsia="宋体" w:cs="宋体"/>
          <w:sz w:val="32"/>
          <w:szCs w:val="32"/>
        </w:rPr>
        <w:t>年），法律、行政法规另有规定的除外。</w:t>
      </w:r>
    </w:p>
    <w:p w14:paraId="1AAA3CFA">
      <w:pPr>
        <w:keepNext w:val="0"/>
        <w:keepLines w:val="0"/>
        <w:pageBreakBefore w:val="0"/>
        <w:widowControl/>
        <w:kinsoku/>
        <w:wordWrap/>
        <w:overflowPunct/>
        <w:topLinePunct w:val="0"/>
        <w:autoSpaceDE/>
        <w:autoSpaceDN/>
        <w:bidi w:val="0"/>
        <w:adjustRightInd/>
        <w:snapToGrid/>
        <w:spacing w:after="0" w:line="600" w:lineRule="exact"/>
        <w:ind w:left="140" w:right="140" w:firstLine="634"/>
        <w:jc w:val="both"/>
        <w:textAlignment w:val="auto"/>
        <w:rPr>
          <w:rFonts w:eastAsiaTheme="minorEastAsia"/>
          <w:sz w:val="20"/>
          <w:szCs w:val="20"/>
        </w:rPr>
      </w:pPr>
      <w:r>
        <w:rPr>
          <w:rFonts w:ascii="宋体" w:hAnsi="宋体" w:eastAsia="宋体" w:cs="宋体"/>
          <w:sz w:val="31"/>
          <w:szCs w:val="31"/>
        </w:rPr>
        <w:t>农村集体经营性建设用地出让，是指入市主体以土地所有者身份将集体经营性建设用地使用权在一定年限内出让给土地使用者，并由土地使用者向入市主体支付土地出让价款的行为。</w:t>
      </w:r>
      <w:r>
        <w:rPr>
          <w:rFonts w:ascii="宋体" w:hAnsi="宋体" w:eastAsia="宋体" w:cs="宋体"/>
          <w:sz w:val="32"/>
          <w:szCs w:val="32"/>
        </w:rPr>
        <w:t>农村集体经营性建设用地租赁，是指入市主体作为土地所有权人，将土地使用权在一定年限内租赁给承租人使用的行为。承租人需向入市主体缴纳土地使用权租金，按租赁合同规定的期限或条件投资开发、利用土地。集体经营性建设用地租赁期限最长不超过</w:t>
      </w:r>
      <w:r>
        <w:rPr>
          <w:sz w:val="32"/>
          <w:szCs w:val="32"/>
        </w:rPr>
        <w:t xml:space="preserve"> 20</w:t>
      </w:r>
      <w:r>
        <w:rPr>
          <w:rFonts w:ascii="宋体" w:hAnsi="宋体" w:eastAsia="宋体" w:cs="宋体"/>
          <w:sz w:val="32"/>
          <w:szCs w:val="32"/>
        </w:rPr>
        <w:t>年。</w:t>
      </w:r>
    </w:p>
    <w:p w14:paraId="6885AA27">
      <w:pPr>
        <w:keepNext w:val="0"/>
        <w:keepLines w:val="0"/>
        <w:pageBreakBefore w:val="0"/>
        <w:widowControl/>
        <w:kinsoku/>
        <w:wordWrap/>
        <w:overflowPunct/>
        <w:topLinePunct w:val="0"/>
        <w:autoSpaceDE/>
        <w:autoSpaceDN/>
        <w:bidi w:val="0"/>
        <w:adjustRightInd/>
        <w:snapToGrid/>
        <w:spacing w:after="0" w:line="600" w:lineRule="exact"/>
        <w:ind w:left="140" w:right="40" w:firstLine="641"/>
        <w:jc w:val="both"/>
        <w:textAlignment w:val="auto"/>
        <w:rPr>
          <w:rFonts w:ascii="宋体" w:hAnsi="宋体" w:eastAsia="宋体" w:cs="宋体"/>
          <w:sz w:val="32"/>
          <w:szCs w:val="32"/>
        </w:rPr>
      </w:pPr>
      <w:r>
        <w:rPr>
          <w:rFonts w:ascii="宋体" w:hAnsi="宋体" w:eastAsia="宋体" w:cs="宋体"/>
          <w:sz w:val="32"/>
          <w:szCs w:val="32"/>
        </w:rPr>
        <w:t>集体经营性建设用地作价出资（入股），是指集体经营性建设用地所有权人以一定年限的集体经营性建设用地使用权作价，作为出资与他人组建新企业或增资入股到已有企业的行为，该土地使用权由企业持有。集体经营性建设用地作价出资（入股）最高年限按照集体经营性建设用地出让规定年限执行。</w:t>
      </w:r>
    </w:p>
    <w:p w14:paraId="7FE13D38">
      <w:pPr>
        <w:keepNext w:val="0"/>
        <w:keepLines w:val="0"/>
        <w:pageBreakBefore w:val="0"/>
        <w:widowControl/>
        <w:kinsoku/>
        <w:wordWrap/>
        <w:overflowPunct/>
        <w:topLinePunct w:val="0"/>
        <w:autoSpaceDE/>
        <w:autoSpaceDN/>
        <w:bidi w:val="0"/>
        <w:adjustRightInd/>
        <w:snapToGrid/>
        <w:spacing w:after="0" w:line="600" w:lineRule="exact"/>
        <w:ind w:left="140" w:right="40" w:firstLine="641"/>
        <w:jc w:val="both"/>
        <w:textAlignment w:val="auto"/>
        <w:rPr>
          <w:rFonts w:ascii="宋体" w:hAnsi="宋体" w:eastAsia="宋体" w:cs="宋体"/>
          <w:sz w:val="32"/>
          <w:szCs w:val="32"/>
        </w:rPr>
      </w:pPr>
      <w:r>
        <w:rPr>
          <w:rFonts w:ascii="黑体" w:hAnsi="黑体" w:eastAsia="黑体" w:cs="黑体"/>
          <w:sz w:val="32"/>
          <w:szCs w:val="32"/>
        </w:rPr>
        <w:t>第十四条</w:t>
      </w:r>
      <w:r>
        <w:rPr>
          <w:rFonts w:ascii="宋体" w:hAnsi="宋体" w:eastAsia="宋体" w:cs="宋体"/>
          <w:sz w:val="32"/>
          <w:szCs w:val="32"/>
        </w:rPr>
        <w:t xml:space="preserve"> 依法取得的集体经营性建设用地使用权，在使用期限内符合条件的可以转让、出租、抵押。土地使用权转让、出租、抵押的，其地上建筑物、构筑物随之转让、出租、抵押。</w:t>
      </w:r>
    </w:p>
    <w:p w14:paraId="7184A1C4">
      <w:pPr>
        <w:keepNext w:val="0"/>
        <w:keepLines w:val="0"/>
        <w:pageBreakBefore w:val="0"/>
        <w:widowControl/>
        <w:kinsoku/>
        <w:wordWrap/>
        <w:overflowPunct/>
        <w:topLinePunct w:val="0"/>
        <w:autoSpaceDE/>
        <w:autoSpaceDN/>
        <w:bidi w:val="0"/>
        <w:adjustRightInd/>
        <w:snapToGrid/>
        <w:spacing w:after="0" w:line="600" w:lineRule="exact"/>
        <w:ind w:left="140" w:right="40" w:firstLine="641"/>
        <w:jc w:val="both"/>
        <w:textAlignment w:val="auto"/>
        <w:rPr>
          <w:rFonts w:ascii="宋体" w:hAnsi="宋体" w:eastAsia="宋体" w:cs="宋体"/>
          <w:sz w:val="32"/>
          <w:szCs w:val="32"/>
        </w:rPr>
      </w:pPr>
      <w:r>
        <w:rPr>
          <w:rFonts w:ascii="黑体" w:hAnsi="黑体" w:eastAsia="黑体" w:cs="黑体"/>
          <w:sz w:val="32"/>
          <w:szCs w:val="32"/>
        </w:rPr>
        <w:t xml:space="preserve">第十五条 </w:t>
      </w:r>
      <w:r>
        <w:rPr>
          <w:rFonts w:ascii="宋体" w:hAnsi="宋体" w:eastAsia="宋体" w:cs="宋体"/>
          <w:sz w:val="32"/>
          <w:szCs w:val="32"/>
        </w:rPr>
        <w:t>土地使用权转让、出租、抵押的，需符合以下条件：</w:t>
      </w:r>
    </w:p>
    <w:p w14:paraId="7F4617C0">
      <w:pPr>
        <w:keepNext w:val="0"/>
        <w:keepLines w:val="0"/>
        <w:pageBreakBefore w:val="0"/>
        <w:widowControl/>
        <w:kinsoku/>
        <w:wordWrap/>
        <w:overflowPunct/>
        <w:topLinePunct w:val="0"/>
        <w:autoSpaceDE/>
        <w:autoSpaceDN/>
        <w:bidi w:val="0"/>
        <w:adjustRightInd/>
        <w:snapToGrid/>
        <w:spacing w:after="0" w:line="600" w:lineRule="exact"/>
        <w:ind w:left="140" w:right="40" w:firstLine="641"/>
        <w:jc w:val="both"/>
        <w:textAlignment w:val="auto"/>
        <w:rPr>
          <w:rFonts w:ascii="宋体" w:hAnsi="宋体" w:eastAsia="宋体" w:cs="宋体"/>
          <w:sz w:val="32"/>
          <w:szCs w:val="32"/>
        </w:rPr>
      </w:pPr>
      <w:r>
        <w:rPr>
          <w:rFonts w:hint="eastAsia" w:ascii="Arial" w:hAnsi="Arial" w:eastAsia="宋体" w:cs="Arial"/>
          <w:sz w:val="32"/>
          <w:szCs w:val="32"/>
          <w:lang w:eastAsia="zh-CN"/>
        </w:rPr>
        <w:t>（</w:t>
      </w:r>
      <w:r>
        <w:rPr>
          <w:rFonts w:ascii="宋体" w:hAnsi="宋体" w:eastAsia="宋体" w:cs="宋体"/>
          <w:sz w:val="32"/>
          <w:szCs w:val="32"/>
        </w:rPr>
        <w:t>一</w:t>
      </w:r>
      <w:r>
        <w:rPr>
          <w:rFonts w:hint="eastAsia" w:ascii="Arial" w:hAnsi="Arial" w:eastAsia="宋体" w:cs="Arial"/>
          <w:sz w:val="32"/>
          <w:szCs w:val="32"/>
          <w:lang w:eastAsia="zh-CN"/>
        </w:rPr>
        <w:t>）</w:t>
      </w:r>
      <w:r>
        <w:rPr>
          <w:rFonts w:ascii="宋体" w:hAnsi="宋体" w:eastAsia="宋体" w:cs="宋体"/>
          <w:sz w:val="32"/>
          <w:szCs w:val="32"/>
        </w:rPr>
        <w:t>已办理不动产权登记；</w:t>
      </w:r>
    </w:p>
    <w:p w14:paraId="7F2B3C53">
      <w:pPr>
        <w:keepNext w:val="0"/>
        <w:keepLines w:val="0"/>
        <w:pageBreakBefore w:val="0"/>
        <w:widowControl/>
        <w:kinsoku/>
        <w:wordWrap/>
        <w:overflowPunct/>
        <w:topLinePunct w:val="0"/>
        <w:autoSpaceDE/>
        <w:autoSpaceDN/>
        <w:bidi w:val="0"/>
        <w:adjustRightInd/>
        <w:snapToGrid/>
        <w:spacing w:after="0" w:line="600" w:lineRule="exact"/>
        <w:ind w:left="140" w:right="40" w:firstLine="641"/>
        <w:jc w:val="both"/>
        <w:textAlignment w:val="auto"/>
        <w:rPr>
          <w:rFonts w:eastAsiaTheme="minorEastAsia"/>
        </w:rPr>
      </w:pPr>
      <w:r>
        <w:rPr>
          <w:rFonts w:hint="eastAsia" w:ascii="Arial" w:hAnsi="Arial" w:eastAsia="宋体" w:cs="Arial"/>
          <w:sz w:val="32"/>
          <w:szCs w:val="32"/>
          <w:lang w:eastAsia="zh-CN"/>
        </w:rPr>
        <w:t>（</w:t>
      </w:r>
      <w:r>
        <w:rPr>
          <w:rFonts w:ascii="宋体" w:hAnsi="宋体" w:eastAsia="宋体" w:cs="宋体"/>
          <w:sz w:val="32"/>
          <w:szCs w:val="32"/>
        </w:rPr>
        <w:t>二</w:t>
      </w:r>
      <w:r>
        <w:rPr>
          <w:rFonts w:hint="eastAsia" w:ascii="Arial" w:hAnsi="Arial" w:eastAsia="宋体" w:cs="Arial"/>
          <w:sz w:val="32"/>
          <w:szCs w:val="32"/>
          <w:lang w:eastAsia="zh-CN"/>
        </w:rPr>
        <w:t>）</w:t>
      </w:r>
      <w:r>
        <w:rPr>
          <w:rFonts w:ascii="宋体" w:hAnsi="宋体" w:eastAsia="宋体" w:cs="宋体"/>
          <w:sz w:val="32"/>
          <w:szCs w:val="32"/>
        </w:rPr>
        <w:t>已按照集体经营性建设用地使用权出让合同规定的期限和条件完成投资开发、利用土地。土地使用权转让、出租、抵押的，需书面通知土地所有权人，并依法办理土地使用权变更或抵押登记，同时报县自然资源和规划局备案。</w:t>
      </w:r>
      <w:bookmarkStart w:id="2" w:name="page1_2"/>
      <w:bookmarkEnd w:id="2"/>
    </w:p>
    <w:p w14:paraId="0C60C6F4">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5D8640BF">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eastAsiaTheme="minorEastAsia"/>
          <w:sz w:val="20"/>
          <w:szCs w:val="20"/>
        </w:rPr>
      </w:pPr>
      <w:r>
        <w:rPr>
          <w:rFonts w:ascii="黑体" w:hAnsi="黑体" w:eastAsia="黑体" w:cs="黑体"/>
          <w:sz w:val="32"/>
          <w:szCs w:val="32"/>
        </w:rPr>
        <w:t>第六章 地价管理</w:t>
      </w:r>
    </w:p>
    <w:p w14:paraId="3A9E9C89">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5412F66D">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eastAsiaTheme="minorEastAsia"/>
        </w:rPr>
      </w:pPr>
      <w:r>
        <w:rPr>
          <w:rFonts w:ascii="黑体" w:hAnsi="黑体" w:eastAsia="黑体" w:cs="黑体"/>
          <w:sz w:val="32"/>
          <w:szCs w:val="32"/>
        </w:rPr>
        <w:t xml:space="preserve">第十六条 </w:t>
      </w:r>
      <w:r>
        <w:rPr>
          <w:rFonts w:ascii="宋体" w:hAnsi="宋体" w:eastAsia="宋体" w:cs="宋体"/>
          <w:sz w:val="32"/>
          <w:szCs w:val="32"/>
        </w:rPr>
        <w:t>入市主体应委托有资质的土地评估机构对拟入</w:t>
      </w:r>
    </w:p>
    <w:p w14:paraId="4E709F36">
      <w:pPr>
        <w:keepNext w:val="0"/>
        <w:keepLines w:val="0"/>
        <w:pageBreakBefore w:val="0"/>
        <w:widowControl/>
        <w:kinsoku/>
        <w:wordWrap/>
        <w:overflowPunct/>
        <w:topLinePunct w:val="0"/>
        <w:autoSpaceDE/>
        <w:autoSpaceDN/>
        <w:bidi w:val="0"/>
        <w:adjustRightInd/>
        <w:snapToGrid/>
        <w:spacing w:after="0" w:line="600" w:lineRule="exact"/>
        <w:ind w:left="140"/>
        <w:jc w:val="both"/>
        <w:textAlignment w:val="auto"/>
        <w:rPr>
          <w:rFonts w:eastAsiaTheme="minorEastAsia"/>
        </w:rPr>
      </w:pPr>
      <w:r>
        <w:rPr>
          <w:rFonts w:ascii="宋体" w:hAnsi="宋体" w:eastAsia="宋体" w:cs="宋体"/>
          <w:sz w:val="32"/>
          <w:szCs w:val="32"/>
        </w:rPr>
        <w:t>市的农村集体经营性建设用地进行地价评估。</w:t>
      </w:r>
    </w:p>
    <w:p w14:paraId="1D8A5C67">
      <w:pPr>
        <w:keepNext w:val="0"/>
        <w:keepLines w:val="0"/>
        <w:pageBreakBefore w:val="0"/>
        <w:widowControl/>
        <w:kinsoku/>
        <w:wordWrap/>
        <w:overflowPunct/>
        <w:topLinePunct w:val="0"/>
        <w:autoSpaceDE/>
        <w:autoSpaceDN/>
        <w:bidi w:val="0"/>
        <w:adjustRightInd/>
        <w:snapToGrid/>
        <w:spacing w:after="0" w:line="600" w:lineRule="exact"/>
        <w:ind w:left="140" w:right="45" w:firstLine="641"/>
        <w:jc w:val="both"/>
        <w:textAlignment w:val="auto"/>
        <w:rPr>
          <w:rFonts w:eastAsiaTheme="minorEastAsia"/>
          <w:sz w:val="20"/>
          <w:szCs w:val="20"/>
        </w:rPr>
      </w:pPr>
      <w:r>
        <w:rPr>
          <w:rFonts w:ascii="黑体" w:hAnsi="黑体" w:eastAsia="黑体" w:cs="黑体"/>
          <w:sz w:val="32"/>
          <w:szCs w:val="32"/>
        </w:rPr>
        <w:t xml:space="preserve">第十七条 </w:t>
      </w:r>
      <w:r>
        <w:rPr>
          <w:rFonts w:ascii="宋体" w:hAnsi="宋体" w:eastAsia="宋体" w:cs="宋体"/>
          <w:sz w:val="32"/>
          <w:szCs w:val="32"/>
        </w:rPr>
        <w:t>农村集体经营性建设用地使用权出让、作价出资（入股）的，其供地地价不得低于宗地所在区域的基准地价，也不得低于土地入市成本。</w:t>
      </w:r>
    </w:p>
    <w:p w14:paraId="5E99D3CE">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1F88B5FF">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eastAsiaTheme="minorEastAsia"/>
          <w:sz w:val="20"/>
          <w:szCs w:val="20"/>
        </w:rPr>
      </w:pPr>
      <w:r>
        <w:rPr>
          <w:rFonts w:ascii="黑体" w:hAnsi="黑体" w:eastAsia="黑体" w:cs="黑体"/>
          <w:sz w:val="32"/>
          <w:szCs w:val="32"/>
        </w:rPr>
        <w:t>第七章 交易平台和流程</w:t>
      </w:r>
    </w:p>
    <w:p w14:paraId="14BD6AEA">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30F541C9">
      <w:pPr>
        <w:keepNext w:val="0"/>
        <w:keepLines w:val="0"/>
        <w:pageBreakBefore w:val="0"/>
        <w:widowControl/>
        <w:kinsoku/>
        <w:wordWrap/>
        <w:overflowPunct/>
        <w:topLinePunct w:val="0"/>
        <w:autoSpaceDE/>
        <w:autoSpaceDN/>
        <w:bidi w:val="0"/>
        <w:adjustRightInd/>
        <w:snapToGrid/>
        <w:spacing w:after="0" w:line="600" w:lineRule="exact"/>
        <w:ind w:left="140" w:right="45" w:firstLine="641"/>
        <w:jc w:val="both"/>
        <w:textAlignment w:val="auto"/>
        <w:rPr>
          <w:rFonts w:eastAsiaTheme="minorEastAsia"/>
        </w:rPr>
      </w:pPr>
      <w:r>
        <w:rPr>
          <w:rFonts w:ascii="黑体" w:hAnsi="黑体" w:eastAsia="黑体" w:cs="黑体"/>
          <w:sz w:val="32"/>
          <w:szCs w:val="32"/>
        </w:rPr>
        <w:t xml:space="preserve">第十八条 </w:t>
      </w:r>
      <w:r>
        <w:rPr>
          <w:rFonts w:ascii="宋体" w:hAnsi="宋体" w:eastAsia="宋体" w:cs="宋体"/>
          <w:sz w:val="32"/>
          <w:szCs w:val="32"/>
        </w:rPr>
        <w:t>集体经济组织持县人民政府对拟入市地块入市方案的核对意见书，委托县自然资源交易机构按程序进行交易（县自然资源交易机构成立之前，由集体经济组织委托盐边县土地矿产储备开发中心进行交易）。详细流程见附件</w:t>
      </w:r>
      <w:r>
        <w:rPr>
          <w:sz w:val="32"/>
          <w:szCs w:val="32"/>
        </w:rPr>
        <w:t xml:space="preserve"> 1</w:t>
      </w:r>
      <w:r>
        <w:rPr>
          <w:rFonts w:ascii="宋体" w:hAnsi="宋体" w:eastAsia="宋体" w:cs="宋体"/>
          <w:sz w:val="32"/>
          <w:szCs w:val="32"/>
        </w:rPr>
        <w:t>。</w:t>
      </w:r>
    </w:p>
    <w:p w14:paraId="0A4DF81E">
      <w:pPr>
        <w:keepNext w:val="0"/>
        <w:keepLines w:val="0"/>
        <w:pageBreakBefore w:val="0"/>
        <w:widowControl/>
        <w:kinsoku/>
        <w:wordWrap/>
        <w:overflowPunct/>
        <w:topLinePunct w:val="0"/>
        <w:autoSpaceDE/>
        <w:autoSpaceDN/>
        <w:bidi w:val="0"/>
        <w:adjustRightInd/>
        <w:snapToGrid/>
        <w:spacing w:after="0" w:line="600" w:lineRule="exact"/>
        <w:ind w:left="140" w:right="45" w:firstLine="641"/>
        <w:jc w:val="both"/>
        <w:textAlignment w:val="auto"/>
        <w:rPr>
          <w:rFonts w:eastAsiaTheme="minorEastAsia"/>
        </w:rPr>
      </w:pPr>
      <w:r>
        <w:rPr>
          <w:rFonts w:ascii="黑体" w:hAnsi="黑体" w:eastAsia="黑体" w:cs="黑体"/>
          <w:sz w:val="32"/>
          <w:szCs w:val="32"/>
        </w:rPr>
        <w:t xml:space="preserve">第十九条 </w:t>
      </w:r>
      <w:r>
        <w:rPr>
          <w:rFonts w:ascii="宋体" w:hAnsi="宋体" w:eastAsia="宋体" w:cs="宋体"/>
          <w:sz w:val="32"/>
          <w:szCs w:val="32"/>
        </w:rPr>
        <w:t>依法取得的农村集体经营性建设用地使用权可进行转让、出租、抵押，转让、出租、抵押等由县不动产登记中心办理相关登记手续，流程参照国有建设用地执行。</w:t>
      </w:r>
    </w:p>
    <w:p w14:paraId="66AD1B42">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00E7AE2A">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eastAsiaTheme="minorEastAsia"/>
          <w:sz w:val="20"/>
          <w:szCs w:val="20"/>
        </w:rPr>
      </w:pPr>
      <w:r>
        <w:rPr>
          <w:rFonts w:ascii="黑体" w:hAnsi="黑体" w:eastAsia="黑体" w:cs="黑体"/>
          <w:sz w:val="32"/>
          <w:szCs w:val="32"/>
        </w:rPr>
        <w:t>第八章 地面资产处置</w:t>
      </w:r>
    </w:p>
    <w:p w14:paraId="29993F6C">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034A1944">
      <w:pPr>
        <w:keepNext w:val="0"/>
        <w:keepLines w:val="0"/>
        <w:pageBreakBefore w:val="0"/>
        <w:widowControl/>
        <w:kinsoku/>
        <w:wordWrap/>
        <w:overflowPunct/>
        <w:topLinePunct w:val="0"/>
        <w:autoSpaceDE/>
        <w:autoSpaceDN/>
        <w:bidi w:val="0"/>
        <w:adjustRightInd/>
        <w:snapToGrid/>
        <w:spacing w:after="0" w:line="600" w:lineRule="exact"/>
        <w:ind w:left="140" w:right="160" w:firstLine="641"/>
        <w:jc w:val="both"/>
        <w:textAlignment w:val="auto"/>
        <w:rPr>
          <w:rFonts w:eastAsiaTheme="minorEastAsia"/>
          <w:sz w:val="20"/>
          <w:szCs w:val="20"/>
        </w:rPr>
      </w:pPr>
      <w:r>
        <w:rPr>
          <w:rFonts w:ascii="黑体" w:hAnsi="黑体" w:eastAsia="黑体" w:cs="黑体"/>
          <w:sz w:val="32"/>
          <w:szCs w:val="32"/>
        </w:rPr>
        <w:t xml:space="preserve">第二十条 </w:t>
      </w:r>
      <w:r>
        <w:rPr>
          <w:rFonts w:ascii="宋体" w:hAnsi="宋体" w:eastAsia="宋体" w:cs="宋体"/>
          <w:sz w:val="32"/>
          <w:szCs w:val="32"/>
        </w:rPr>
        <w:t>采用出让、租赁、作价出资（入股）等方式入市的集体经营性建设用地使用权，涉及地面资产处置的，可由土地所有权所属的集体经济组织与地面资产所有权人协商处置。</w:t>
      </w:r>
    </w:p>
    <w:p w14:paraId="3452EBBA">
      <w:pPr>
        <w:keepNext w:val="0"/>
        <w:keepLines w:val="0"/>
        <w:pageBreakBefore w:val="0"/>
        <w:widowControl/>
        <w:kinsoku/>
        <w:wordWrap/>
        <w:overflowPunct/>
        <w:topLinePunct w:val="0"/>
        <w:autoSpaceDE/>
        <w:autoSpaceDN/>
        <w:bidi w:val="0"/>
        <w:adjustRightInd/>
        <w:snapToGrid/>
        <w:spacing w:after="0" w:line="600" w:lineRule="exact"/>
        <w:ind w:left="140" w:right="140" w:firstLine="641"/>
        <w:jc w:val="both"/>
        <w:textAlignment w:val="auto"/>
        <w:rPr>
          <w:rFonts w:eastAsiaTheme="minorEastAsia"/>
          <w:sz w:val="20"/>
          <w:szCs w:val="20"/>
        </w:rPr>
      </w:pPr>
      <w:r>
        <w:rPr>
          <w:rFonts w:ascii="宋体" w:hAnsi="宋体" w:eastAsia="宋体" w:cs="宋体"/>
          <w:sz w:val="30"/>
          <w:szCs w:val="30"/>
        </w:rPr>
        <w:t>协商处置地面资产的，应按《</w:t>
      </w:r>
      <w:r>
        <w:rPr>
          <w:rFonts w:hint="eastAsia" w:ascii="宋体" w:hAnsi="宋体" w:cs="宋体"/>
          <w:sz w:val="30"/>
          <w:szCs w:val="30"/>
          <w:lang w:eastAsia="zh-CN"/>
        </w:rPr>
        <w:t>四川省农村集体经济组织条例</w:t>
      </w:r>
      <w:r>
        <w:rPr>
          <w:rFonts w:ascii="宋体" w:hAnsi="宋体" w:eastAsia="宋体" w:cs="宋体"/>
          <w:sz w:val="30"/>
          <w:szCs w:val="30"/>
        </w:rPr>
        <w:t>》《集体经济组织章程》，由入市地块土地所有权所属的集体经济组织</w:t>
      </w:r>
      <w:r>
        <w:rPr>
          <w:rFonts w:ascii="宋体" w:hAnsi="宋体" w:eastAsia="宋体" w:cs="宋体"/>
          <w:sz w:val="32"/>
          <w:szCs w:val="32"/>
        </w:rPr>
        <w:t>村民（代表）会议按照</w:t>
      </w:r>
      <w:r>
        <w:rPr>
          <w:sz w:val="32"/>
          <w:szCs w:val="32"/>
        </w:rPr>
        <w:t>“</w:t>
      </w:r>
      <w:r>
        <w:rPr>
          <w:rFonts w:ascii="宋体" w:hAnsi="宋体" w:eastAsia="宋体" w:cs="宋体"/>
          <w:sz w:val="32"/>
          <w:szCs w:val="32"/>
        </w:rPr>
        <w:t>一事一议</w:t>
      </w:r>
      <w:r>
        <w:rPr>
          <w:sz w:val="32"/>
          <w:szCs w:val="32"/>
        </w:rPr>
        <w:t>”</w:t>
      </w:r>
      <w:r>
        <w:rPr>
          <w:rFonts w:ascii="宋体" w:hAnsi="宋体" w:eastAsia="宋体" w:cs="宋体"/>
          <w:sz w:val="32"/>
          <w:szCs w:val="32"/>
        </w:rPr>
        <w:t>原则审议通过并形成相应决议，并在所属乡镇人民政府、村民委员会进行公示。</w:t>
      </w:r>
    </w:p>
    <w:p w14:paraId="5F61946E">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sz w:val="20"/>
          <w:szCs w:val="20"/>
        </w:rPr>
      </w:pPr>
    </w:p>
    <w:p w14:paraId="6EFB586D">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eastAsiaTheme="minorEastAsia"/>
          <w:sz w:val="20"/>
          <w:szCs w:val="20"/>
        </w:rPr>
      </w:pPr>
      <w:r>
        <w:rPr>
          <w:rFonts w:ascii="黑体" w:hAnsi="黑体" w:eastAsia="黑体" w:cs="黑体"/>
          <w:sz w:val="32"/>
          <w:szCs w:val="32"/>
        </w:rPr>
        <w:t>第九章 收益管理</w:t>
      </w:r>
    </w:p>
    <w:p w14:paraId="13774BCC">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sz w:val="20"/>
          <w:szCs w:val="20"/>
        </w:rPr>
      </w:pPr>
    </w:p>
    <w:p w14:paraId="49D7826A">
      <w:pPr>
        <w:keepNext w:val="0"/>
        <w:keepLines w:val="0"/>
        <w:pageBreakBefore w:val="0"/>
        <w:widowControl/>
        <w:kinsoku/>
        <w:wordWrap/>
        <w:overflowPunct/>
        <w:topLinePunct w:val="0"/>
        <w:autoSpaceDE/>
        <w:autoSpaceDN/>
        <w:bidi w:val="0"/>
        <w:adjustRightInd/>
        <w:snapToGrid/>
        <w:spacing w:after="0" w:line="600" w:lineRule="exact"/>
        <w:ind w:left="140" w:right="40" w:firstLine="641"/>
        <w:jc w:val="both"/>
        <w:textAlignment w:val="auto"/>
        <w:rPr>
          <w:rFonts w:ascii="宋体" w:hAnsi="宋体" w:eastAsia="宋体" w:cs="宋体"/>
          <w:sz w:val="32"/>
          <w:szCs w:val="32"/>
        </w:rPr>
      </w:pPr>
      <w:r>
        <w:rPr>
          <w:rFonts w:ascii="黑体" w:hAnsi="黑体" w:eastAsia="黑体" w:cs="黑体"/>
          <w:sz w:val="32"/>
          <w:szCs w:val="32"/>
        </w:rPr>
        <w:t xml:space="preserve">第二十一条 </w:t>
      </w:r>
      <w:r>
        <w:rPr>
          <w:rFonts w:ascii="宋体" w:hAnsi="宋体" w:eastAsia="宋体" w:cs="宋体"/>
          <w:sz w:val="32"/>
          <w:szCs w:val="32"/>
        </w:rPr>
        <w:t>农村集体经济组织通过出让、租赁、作价出资（入股）等方式取得农村集体经营性建设用地入市收益，以及入市后的农村集体经营性建设用地土地使用权人，以出售、交换、</w:t>
      </w:r>
      <w:r>
        <w:rPr>
          <w:rFonts w:hint="eastAsia" w:ascii="宋体" w:hAnsi="宋体" w:cs="宋体"/>
          <w:sz w:val="32"/>
          <w:szCs w:val="32"/>
          <w:lang w:eastAsia="zh-CN"/>
        </w:rPr>
        <w:t>赠予</w:t>
      </w:r>
      <w:r>
        <w:rPr>
          <w:rFonts w:ascii="宋体" w:hAnsi="宋体" w:eastAsia="宋体" w:cs="宋体"/>
          <w:sz w:val="32"/>
          <w:szCs w:val="32"/>
        </w:rPr>
        <w:t>、出租、作价出资（入股）或其他视同转让等方式取得再转让收益时，向盐边县人民政府缴纳调节金。</w:t>
      </w:r>
    </w:p>
    <w:p w14:paraId="7F223E1F">
      <w:pPr>
        <w:keepNext w:val="0"/>
        <w:keepLines w:val="0"/>
        <w:pageBreakBefore w:val="0"/>
        <w:widowControl/>
        <w:kinsoku/>
        <w:wordWrap/>
        <w:overflowPunct/>
        <w:topLinePunct w:val="0"/>
        <w:autoSpaceDE/>
        <w:autoSpaceDN/>
        <w:bidi w:val="0"/>
        <w:adjustRightInd/>
        <w:snapToGrid/>
        <w:spacing w:after="0" w:line="600" w:lineRule="exact"/>
        <w:ind w:left="140" w:right="40" w:firstLine="641"/>
        <w:jc w:val="both"/>
        <w:textAlignment w:val="auto"/>
        <w:rPr>
          <w:rFonts w:eastAsiaTheme="minorEastAsia"/>
          <w:sz w:val="20"/>
          <w:szCs w:val="20"/>
        </w:rPr>
      </w:pPr>
      <w:r>
        <w:rPr>
          <w:rFonts w:ascii="黑体" w:hAnsi="黑体" w:eastAsia="黑体" w:cs="黑体"/>
          <w:sz w:val="32"/>
          <w:szCs w:val="32"/>
        </w:rPr>
        <w:t xml:space="preserve">第二十二条 </w:t>
      </w:r>
      <w:r>
        <w:rPr>
          <w:rFonts w:ascii="宋体" w:hAnsi="宋体" w:eastAsia="宋体" w:cs="宋体"/>
          <w:sz w:val="32"/>
          <w:szCs w:val="32"/>
        </w:rPr>
        <w:t>土地增值收益调节金按用途、价差由县财政局按土地增值收益的一定比例征收。</w:t>
      </w:r>
    </w:p>
    <w:p w14:paraId="066A5FC0">
      <w:pPr>
        <w:keepNext w:val="0"/>
        <w:keepLines w:val="0"/>
        <w:pageBreakBefore w:val="0"/>
        <w:widowControl/>
        <w:kinsoku/>
        <w:wordWrap/>
        <w:overflowPunct/>
        <w:topLinePunct w:val="0"/>
        <w:autoSpaceDE/>
        <w:autoSpaceDN/>
        <w:bidi w:val="0"/>
        <w:adjustRightInd/>
        <w:snapToGrid/>
        <w:spacing w:after="0" w:line="600" w:lineRule="exact"/>
        <w:ind w:left="140" w:right="160" w:firstLine="641"/>
        <w:jc w:val="both"/>
        <w:textAlignment w:val="auto"/>
        <w:rPr>
          <w:rFonts w:eastAsiaTheme="minorEastAsia"/>
          <w:sz w:val="20"/>
          <w:szCs w:val="20"/>
        </w:rPr>
      </w:pPr>
      <w:r>
        <w:rPr>
          <w:rFonts w:ascii="黑体" w:hAnsi="黑体" w:eastAsia="黑体" w:cs="黑体"/>
          <w:sz w:val="32"/>
          <w:szCs w:val="32"/>
        </w:rPr>
        <w:t xml:space="preserve">第二十三条 </w:t>
      </w:r>
      <w:r>
        <w:rPr>
          <w:rFonts w:ascii="宋体" w:hAnsi="宋体" w:eastAsia="宋体" w:cs="宋体"/>
          <w:sz w:val="32"/>
          <w:szCs w:val="32"/>
        </w:rPr>
        <w:t>成交后的总价款扣除入市成本，以及按照要求缴纳土地增值收益调节金，结余后的入市收益，归集体经济组织所有，纳入农村集体资产统一管理。</w:t>
      </w:r>
    </w:p>
    <w:p w14:paraId="60BD9C0F">
      <w:pPr>
        <w:keepNext w:val="0"/>
        <w:keepLines w:val="0"/>
        <w:pageBreakBefore w:val="0"/>
        <w:widowControl/>
        <w:kinsoku/>
        <w:wordWrap/>
        <w:overflowPunct/>
        <w:topLinePunct w:val="0"/>
        <w:autoSpaceDE/>
        <w:autoSpaceDN/>
        <w:bidi w:val="0"/>
        <w:adjustRightInd/>
        <w:snapToGrid/>
        <w:spacing w:after="0" w:line="600" w:lineRule="exact"/>
        <w:ind w:left="140" w:right="100" w:firstLine="640" w:firstLineChars="200"/>
        <w:jc w:val="both"/>
        <w:textAlignment w:val="auto"/>
        <w:rPr>
          <w:rFonts w:ascii="宋体" w:hAnsi="宋体" w:eastAsia="宋体" w:cs="宋体"/>
          <w:sz w:val="32"/>
          <w:szCs w:val="32"/>
        </w:rPr>
      </w:pPr>
      <w:r>
        <w:rPr>
          <w:rFonts w:ascii="宋体" w:hAnsi="宋体" w:eastAsia="宋体" w:cs="宋体"/>
          <w:sz w:val="32"/>
          <w:szCs w:val="32"/>
        </w:rPr>
        <w:t>集体经营性建设用地入市成本中的前期直接基础设施投入费用按照</w:t>
      </w:r>
      <w:r>
        <w:rPr>
          <w:sz w:val="32"/>
          <w:szCs w:val="32"/>
        </w:rPr>
        <w:t>“</w:t>
      </w:r>
      <w:r>
        <w:rPr>
          <w:rFonts w:ascii="宋体" w:hAnsi="宋体" w:eastAsia="宋体" w:cs="宋体"/>
          <w:sz w:val="32"/>
          <w:szCs w:val="32"/>
        </w:rPr>
        <w:t>谁开发、谁核算、谁回收</w:t>
      </w:r>
      <w:r>
        <w:rPr>
          <w:sz w:val="32"/>
          <w:szCs w:val="32"/>
        </w:rPr>
        <w:t>”</w:t>
      </w:r>
      <w:r>
        <w:rPr>
          <w:rFonts w:ascii="宋体" w:hAnsi="宋体" w:eastAsia="宋体" w:cs="宋体"/>
          <w:sz w:val="32"/>
          <w:szCs w:val="32"/>
        </w:rPr>
        <w:t>原则进行核算。入市成本经属地乡镇人民政府</w:t>
      </w:r>
      <w:r>
        <w:rPr>
          <w:rFonts w:hint="eastAsia" w:ascii="宋体" w:hAnsi="宋体" w:eastAsia="宋体" w:cs="宋体"/>
          <w:sz w:val="32"/>
          <w:szCs w:val="32"/>
          <w:lang w:val="en-US" w:eastAsia="zh-CN"/>
        </w:rPr>
        <w:t>审核</w:t>
      </w:r>
      <w:r>
        <w:rPr>
          <w:rFonts w:ascii="宋体" w:hAnsi="宋体" w:eastAsia="宋体" w:cs="宋体"/>
          <w:sz w:val="32"/>
          <w:szCs w:val="32"/>
        </w:rPr>
        <w:t>后，报县自然资源和规划局、县农业农村局、县财政局备案。</w:t>
      </w:r>
    </w:p>
    <w:p w14:paraId="2A913BCF">
      <w:pPr>
        <w:keepNext w:val="0"/>
        <w:keepLines w:val="0"/>
        <w:pageBreakBefore w:val="0"/>
        <w:widowControl/>
        <w:kinsoku/>
        <w:wordWrap/>
        <w:overflowPunct/>
        <w:topLinePunct w:val="0"/>
        <w:autoSpaceDE/>
        <w:autoSpaceDN/>
        <w:bidi w:val="0"/>
        <w:adjustRightInd/>
        <w:snapToGrid/>
        <w:spacing w:after="0" w:line="600" w:lineRule="exact"/>
        <w:ind w:left="140" w:right="100" w:firstLine="640" w:firstLineChars="200"/>
        <w:jc w:val="both"/>
        <w:textAlignment w:val="auto"/>
        <w:rPr>
          <w:rFonts w:ascii="宋体" w:hAnsi="宋体" w:eastAsia="宋体" w:cs="宋体"/>
          <w:sz w:val="32"/>
          <w:szCs w:val="32"/>
        </w:rPr>
      </w:pPr>
      <w:r>
        <w:rPr>
          <w:rFonts w:ascii="黑体" w:hAnsi="黑体" w:eastAsia="黑体" w:cs="黑体"/>
          <w:sz w:val="32"/>
          <w:szCs w:val="32"/>
        </w:rPr>
        <w:t xml:space="preserve">第二十四条 </w:t>
      </w:r>
      <w:r>
        <w:rPr>
          <w:rFonts w:ascii="宋体" w:hAnsi="宋体" w:eastAsia="宋体" w:cs="宋体"/>
          <w:sz w:val="32"/>
          <w:szCs w:val="32"/>
        </w:rPr>
        <w:t>集体经济组织入市获得的收益应主要用于辖区内农村基础设施建设、发展本集体经济等支出。</w:t>
      </w:r>
    </w:p>
    <w:p w14:paraId="42C1E4B4">
      <w:pPr>
        <w:keepNext w:val="0"/>
        <w:keepLines w:val="0"/>
        <w:pageBreakBefore w:val="0"/>
        <w:widowControl/>
        <w:kinsoku/>
        <w:wordWrap/>
        <w:overflowPunct/>
        <w:topLinePunct w:val="0"/>
        <w:autoSpaceDE/>
        <w:autoSpaceDN/>
        <w:bidi w:val="0"/>
        <w:adjustRightInd/>
        <w:snapToGrid/>
        <w:spacing w:after="0" w:line="600" w:lineRule="exact"/>
        <w:ind w:left="140" w:right="100" w:firstLine="640" w:firstLineChars="200"/>
        <w:jc w:val="both"/>
        <w:textAlignment w:val="auto"/>
        <w:rPr>
          <w:rFonts w:eastAsiaTheme="minorEastAsia"/>
          <w:sz w:val="20"/>
          <w:szCs w:val="20"/>
        </w:rPr>
      </w:pPr>
      <w:r>
        <w:rPr>
          <w:rFonts w:ascii="黑体" w:hAnsi="黑体" w:eastAsia="黑体" w:cs="黑体"/>
          <w:sz w:val="32"/>
          <w:szCs w:val="32"/>
        </w:rPr>
        <w:t xml:space="preserve">第二十五条 </w:t>
      </w:r>
      <w:r>
        <w:rPr>
          <w:rFonts w:ascii="宋体" w:hAnsi="宋体" w:eastAsia="宋体" w:cs="宋体"/>
          <w:sz w:val="32"/>
          <w:szCs w:val="32"/>
        </w:rPr>
        <w:t>农村集体经济组织应当建立集体经营性建设用地入市收益专户，专门用于其入市收益的核算管理</w:t>
      </w:r>
      <w:r>
        <w:rPr>
          <w:rFonts w:hint="eastAsia" w:ascii="宋体" w:hAnsi="宋体" w:cs="宋体"/>
          <w:sz w:val="32"/>
          <w:szCs w:val="32"/>
          <w:lang w:eastAsia="zh-CN"/>
        </w:rPr>
        <w:t>，将</w:t>
      </w:r>
      <w:r>
        <w:rPr>
          <w:rFonts w:ascii="宋体" w:hAnsi="宋体" w:eastAsia="宋体" w:cs="宋体"/>
          <w:sz w:val="32"/>
          <w:szCs w:val="32"/>
        </w:rPr>
        <w:t>资金使用情况向本集体经济组织成员公开，并接受审计监督。</w:t>
      </w:r>
    </w:p>
    <w:p w14:paraId="3F8CEF40">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7C2F0B44">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eastAsiaTheme="minorEastAsia"/>
          <w:sz w:val="20"/>
          <w:szCs w:val="20"/>
        </w:rPr>
      </w:pPr>
      <w:r>
        <w:rPr>
          <w:rFonts w:ascii="黑体" w:hAnsi="黑体" w:eastAsia="黑体" w:cs="黑体"/>
          <w:sz w:val="32"/>
          <w:szCs w:val="32"/>
        </w:rPr>
        <w:t>第十章 土地交易履约保障</w:t>
      </w:r>
    </w:p>
    <w:p w14:paraId="44BD9CCB">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4D3F19DB">
      <w:pPr>
        <w:keepNext w:val="0"/>
        <w:keepLines w:val="0"/>
        <w:pageBreakBefore w:val="0"/>
        <w:widowControl/>
        <w:kinsoku/>
        <w:wordWrap/>
        <w:overflowPunct/>
        <w:topLinePunct w:val="0"/>
        <w:autoSpaceDE/>
        <w:autoSpaceDN/>
        <w:bidi w:val="0"/>
        <w:adjustRightInd/>
        <w:snapToGrid/>
        <w:spacing w:after="0" w:line="600" w:lineRule="exact"/>
        <w:ind w:left="140" w:right="100" w:firstLine="641"/>
        <w:jc w:val="both"/>
        <w:textAlignment w:val="auto"/>
        <w:rPr>
          <w:rFonts w:ascii="宋体" w:hAnsi="宋体" w:eastAsia="宋体" w:cs="宋体"/>
          <w:sz w:val="32"/>
          <w:szCs w:val="32"/>
        </w:rPr>
      </w:pPr>
      <w:r>
        <w:rPr>
          <w:rFonts w:ascii="黑体" w:hAnsi="黑体" w:eastAsia="黑体" w:cs="黑体"/>
          <w:sz w:val="32"/>
          <w:szCs w:val="32"/>
        </w:rPr>
        <w:t xml:space="preserve">第二十六条 </w:t>
      </w:r>
      <w:r>
        <w:rPr>
          <w:rFonts w:ascii="宋体" w:hAnsi="宋体" w:eastAsia="宋体" w:cs="宋体"/>
          <w:sz w:val="32"/>
          <w:szCs w:val="32"/>
        </w:rPr>
        <w:t>集体经营性建设用地使用者应当按照约定及时支付土地价款，并依法缴纳相关税费，对集体经营性建设用地使用权以及依法利用集体经营性建设用地建造的建筑物、构筑物及其附属设施的所有权，依法申请办理不动产登记。</w:t>
      </w:r>
    </w:p>
    <w:p w14:paraId="1CAD9177">
      <w:pPr>
        <w:keepNext w:val="0"/>
        <w:keepLines w:val="0"/>
        <w:pageBreakBefore w:val="0"/>
        <w:widowControl/>
        <w:kinsoku/>
        <w:wordWrap/>
        <w:overflowPunct/>
        <w:topLinePunct w:val="0"/>
        <w:autoSpaceDE/>
        <w:autoSpaceDN/>
        <w:bidi w:val="0"/>
        <w:adjustRightInd/>
        <w:snapToGrid/>
        <w:spacing w:after="0" w:line="600" w:lineRule="exact"/>
        <w:ind w:left="140" w:right="100" w:firstLine="641"/>
        <w:jc w:val="both"/>
        <w:textAlignment w:val="auto"/>
        <w:rPr>
          <w:rFonts w:ascii="宋体" w:hAnsi="宋体" w:eastAsia="宋体" w:cs="宋体"/>
          <w:sz w:val="32"/>
          <w:szCs w:val="32"/>
        </w:rPr>
      </w:pPr>
      <w:r>
        <w:rPr>
          <w:rFonts w:ascii="黑体" w:hAnsi="黑体" w:eastAsia="黑体" w:cs="黑体"/>
          <w:sz w:val="32"/>
          <w:szCs w:val="32"/>
        </w:rPr>
        <w:t xml:space="preserve">第二十七条 </w:t>
      </w:r>
      <w:r>
        <w:rPr>
          <w:rFonts w:ascii="宋体" w:hAnsi="宋体" w:eastAsia="宋体" w:cs="宋体"/>
          <w:sz w:val="32"/>
          <w:szCs w:val="32"/>
        </w:rPr>
        <w:t>除因不可抗力、农村集体经营性建设用地权属</w:t>
      </w:r>
      <w:r>
        <w:rPr>
          <w:rFonts w:ascii="宋体" w:hAnsi="宋体" w:eastAsia="宋体" w:cs="宋体"/>
          <w:sz w:val="31"/>
          <w:szCs w:val="31"/>
        </w:rPr>
        <w:t>主体原因未及时缴纳的外，自应付未付之日起，每日按应付未付</w:t>
      </w:r>
      <w:r>
        <w:rPr>
          <w:rFonts w:ascii="宋体" w:hAnsi="宋体" w:eastAsia="宋体" w:cs="宋体"/>
          <w:sz w:val="32"/>
          <w:szCs w:val="32"/>
        </w:rPr>
        <w:t>款项的</w:t>
      </w:r>
      <w:r>
        <w:rPr>
          <w:sz w:val="32"/>
          <w:szCs w:val="32"/>
        </w:rPr>
        <w:t xml:space="preserve"> 1‰</w:t>
      </w:r>
      <w:r>
        <w:rPr>
          <w:rFonts w:ascii="宋体" w:hAnsi="宋体" w:eastAsia="宋体" w:cs="宋体"/>
          <w:sz w:val="32"/>
          <w:szCs w:val="32"/>
        </w:rPr>
        <w:t>的比例收取违约金。</w:t>
      </w:r>
    </w:p>
    <w:p w14:paraId="0AE2923E">
      <w:pPr>
        <w:keepNext w:val="0"/>
        <w:keepLines w:val="0"/>
        <w:pageBreakBefore w:val="0"/>
        <w:widowControl/>
        <w:kinsoku/>
        <w:wordWrap/>
        <w:overflowPunct/>
        <w:topLinePunct w:val="0"/>
        <w:autoSpaceDE/>
        <w:autoSpaceDN/>
        <w:bidi w:val="0"/>
        <w:adjustRightInd/>
        <w:snapToGrid/>
        <w:spacing w:after="0" w:line="600" w:lineRule="exact"/>
        <w:ind w:left="140" w:right="100" w:firstLine="641"/>
        <w:jc w:val="both"/>
        <w:textAlignment w:val="auto"/>
        <w:rPr>
          <w:rFonts w:eastAsiaTheme="minorEastAsia"/>
          <w:sz w:val="20"/>
          <w:szCs w:val="20"/>
        </w:rPr>
      </w:pPr>
      <w:r>
        <w:rPr>
          <w:rFonts w:ascii="黑体" w:hAnsi="黑体" w:eastAsia="黑体" w:cs="黑体"/>
          <w:sz w:val="32"/>
          <w:szCs w:val="32"/>
        </w:rPr>
        <w:t>第二十八条</w:t>
      </w:r>
      <w:r>
        <w:rPr>
          <w:rFonts w:ascii="宋体" w:hAnsi="宋体" w:eastAsia="宋体" w:cs="宋体"/>
          <w:sz w:val="32"/>
          <w:szCs w:val="32"/>
        </w:rPr>
        <w:t xml:space="preserve"> 受让方逾期不签订成交确认书或交易合同的，出让方（出租方）应终止供地、不退还竞买保证金。交易机构将竞买保证金划转给出让方（出租方）。</w:t>
      </w:r>
      <w:bookmarkStart w:id="3" w:name="page2_3"/>
      <w:bookmarkEnd w:id="3"/>
    </w:p>
    <w:p w14:paraId="780064EF">
      <w:pPr>
        <w:keepNext w:val="0"/>
        <w:keepLines w:val="0"/>
        <w:pageBreakBefore w:val="0"/>
        <w:widowControl/>
        <w:kinsoku/>
        <w:wordWrap/>
        <w:overflowPunct/>
        <w:topLinePunct w:val="0"/>
        <w:autoSpaceDE/>
        <w:autoSpaceDN/>
        <w:bidi w:val="0"/>
        <w:adjustRightInd/>
        <w:snapToGrid/>
        <w:spacing w:after="0" w:line="600" w:lineRule="exact"/>
        <w:ind w:left="140" w:right="25" w:firstLine="641"/>
        <w:jc w:val="both"/>
        <w:textAlignment w:val="auto"/>
        <w:rPr>
          <w:rFonts w:eastAsiaTheme="minorEastAsia"/>
          <w:sz w:val="20"/>
          <w:szCs w:val="20"/>
        </w:rPr>
      </w:pPr>
      <w:r>
        <w:rPr>
          <w:rFonts w:ascii="黑体" w:hAnsi="黑体" w:eastAsia="黑体" w:cs="黑体"/>
          <w:sz w:val="32"/>
          <w:szCs w:val="32"/>
        </w:rPr>
        <w:t xml:space="preserve">第二十九条 </w:t>
      </w:r>
      <w:r>
        <w:rPr>
          <w:rFonts w:ascii="宋体" w:hAnsi="宋体" w:eastAsia="宋体" w:cs="宋体"/>
          <w:sz w:val="32"/>
          <w:szCs w:val="32"/>
        </w:rPr>
        <w:t>出让方（租赁方）不按合同约定提供土地或受让方（承租方）不按合同约定支付价款的，违约方应按合同约定承担相应的法律责任。</w:t>
      </w:r>
    </w:p>
    <w:p w14:paraId="2F71D136">
      <w:pPr>
        <w:keepNext w:val="0"/>
        <w:keepLines w:val="0"/>
        <w:pageBreakBefore w:val="0"/>
        <w:widowControl/>
        <w:kinsoku/>
        <w:wordWrap/>
        <w:overflowPunct/>
        <w:topLinePunct w:val="0"/>
        <w:autoSpaceDE/>
        <w:autoSpaceDN/>
        <w:bidi w:val="0"/>
        <w:adjustRightInd/>
        <w:snapToGrid/>
        <w:spacing w:after="0" w:line="600" w:lineRule="exact"/>
        <w:ind w:left="140" w:right="25" w:firstLine="641"/>
        <w:jc w:val="both"/>
        <w:textAlignment w:val="auto"/>
        <w:rPr>
          <w:rFonts w:eastAsiaTheme="minorEastAsia"/>
          <w:sz w:val="20"/>
          <w:szCs w:val="20"/>
        </w:rPr>
      </w:pPr>
      <w:r>
        <w:rPr>
          <w:rFonts w:ascii="黑体" w:hAnsi="黑体" w:eastAsia="黑体" w:cs="黑体"/>
          <w:sz w:val="32"/>
          <w:szCs w:val="32"/>
        </w:rPr>
        <w:t xml:space="preserve">第三十条 </w:t>
      </w:r>
      <w:r>
        <w:rPr>
          <w:rFonts w:ascii="宋体" w:hAnsi="宋体" w:eastAsia="宋体" w:cs="宋体"/>
          <w:sz w:val="32"/>
          <w:szCs w:val="32"/>
        </w:rPr>
        <w:t>土地所有权人应当依据集体经营性建设用地出让、出租、作价出资（入股）等方案，以招标、拍卖、挂牌或者协议等方式确定土地使用者，双方应当签订书面合同，载明土地界址、面积、用途、规划条件、使用期限、土地价款支付、交地时间和开工竣工期限、产业准入和生态环境保护要求，约定提前收回的条件、补偿方式、土地使用权届满续期和地上建筑物、构筑物等附着物处理方式，以及违约责任和解决争议的方法等，并报县自然资源和规划局备案。未依法将规划条件、产业准入和生态环境保护要求纳入合同的，合同无效；造成损失的，依法承担民事责任。集体经营性建设用地出让合同参照《自然资源部办公厅 国家市场监督管理总局办公厅关于印发</w:t>
      </w:r>
      <w:r>
        <w:rPr>
          <w:rFonts w:hint="eastAsia" w:ascii="宋体" w:hAnsi="宋体" w:cs="宋体"/>
          <w:sz w:val="32"/>
          <w:szCs w:val="32"/>
          <w:lang w:eastAsia="zh-CN"/>
        </w:rPr>
        <w:t>〈</w:t>
      </w:r>
      <w:r>
        <w:rPr>
          <w:rFonts w:ascii="宋体" w:hAnsi="宋体" w:eastAsia="宋体" w:cs="宋体"/>
          <w:sz w:val="32"/>
          <w:szCs w:val="32"/>
        </w:rPr>
        <w:t>集体经营性建设用地使用权出让合同</w:t>
      </w:r>
      <w:r>
        <w:rPr>
          <w:rFonts w:hint="eastAsia" w:ascii="宋体" w:hAnsi="宋体" w:cs="宋体"/>
          <w:sz w:val="32"/>
          <w:szCs w:val="32"/>
          <w:lang w:eastAsia="zh-CN"/>
        </w:rPr>
        <w:t>〉〈</w:t>
      </w:r>
      <w:r>
        <w:rPr>
          <w:rFonts w:ascii="宋体" w:hAnsi="宋体" w:eastAsia="宋体" w:cs="宋体"/>
          <w:sz w:val="32"/>
          <w:szCs w:val="32"/>
        </w:rPr>
        <w:t>集体经营性建设用地使用权出让监管协议</w:t>
      </w:r>
      <w:r>
        <w:rPr>
          <w:rFonts w:hint="eastAsia" w:ascii="宋体" w:hAnsi="宋体" w:cs="宋体"/>
          <w:sz w:val="32"/>
          <w:szCs w:val="32"/>
          <w:lang w:eastAsia="zh-CN"/>
        </w:rPr>
        <w:t>〉</w:t>
      </w:r>
      <w:r>
        <w:rPr>
          <w:rFonts w:ascii="宋体" w:hAnsi="宋体" w:eastAsia="宋体" w:cs="宋体"/>
          <w:sz w:val="32"/>
          <w:szCs w:val="32"/>
        </w:rPr>
        <w:t>示范文本</w:t>
      </w:r>
      <w:r>
        <w:rPr>
          <w:rFonts w:hint="eastAsia" w:eastAsia="宋体"/>
          <w:sz w:val="32"/>
          <w:szCs w:val="32"/>
          <w:lang w:eastAsia="zh-CN"/>
        </w:rPr>
        <w:t>（</w:t>
      </w:r>
      <w:r>
        <w:rPr>
          <w:rFonts w:ascii="宋体" w:hAnsi="宋体" w:eastAsia="宋体" w:cs="宋体"/>
          <w:sz w:val="32"/>
          <w:szCs w:val="32"/>
        </w:rPr>
        <w:t>试点试行</w:t>
      </w:r>
      <w:r>
        <w:rPr>
          <w:rFonts w:hint="eastAsia" w:eastAsia="宋体"/>
          <w:sz w:val="32"/>
          <w:szCs w:val="32"/>
          <w:lang w:eastAsia="zh-CN"/>
        </w:rPr>
        <w:t>）</w:t>
      </w:r>
      <w:r>
        <w:rPr>
          <w:rFonts w:ascii="宋体" w:hAnsi="宋体" w:eastAsia="宋体" w:cs="宋体"/>
          <w:sz w:val="32"/>
          <w:szCs w:val="32"/>
        </w:rPr>
        <w:t>的通知》执行。</w:t>
      </w:r>
    </w:p>
    <w:p w14:paraId="0C3694EA">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sz w:val="20"/>
          <w:szCs w:val="20"/>
        </w:rPr>
      </w:pPr>
    </w:p>
    <w:p w14:paraId="53A53F38">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eastAsiaTheme="minorEastAsia"/>
          <w:sz w:val="20"/>
          <w:szCs w:val="20"/>
        </w:rPr>
      </w:pPr>
      <w:r>
        <w:rPr>
          <w:rFonts w:ascii="黑体" w:hAnsi="黑体" w:eastAsia="黑体" w:cs="黑体"/>
          <w:sz w:val="32"/>
          <w:szCs w:val="32"/>
        </w:rPr>
        <w:t>第十一章 监督管理</w:t>
      </w:r>
    </w:p>
    <w:p w14:paraId="2DCDD49C">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sz w:val="20"/>
          <w:szCs w:val="20"/>
        </w:rPr>
      </w:pPr>
    </w:p>
    <w:p w14:paraId="4A8CBCC5">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eastAsiaTheme="minorEastAsia"/>
        </w:rPr>
      </w:pPr>
      <w:r>
        <w:rPr>
          <w:rFonts w:ascii="黑体" w:hAnsi="黑体" w:eastAsia="黑体" w:cs="黑体"/>
          <w:sz w:val="32"/>
          <w:szCs w:val="32"/>
        </w:rPr>
        <w:t xml:space="preserve">第三十一条 </w:t>
      </w:r>
      <w:r>
        <w:rPr>
          <w:rFonts w:ascii="宋体" w:hAnsi="宋体" w:eastAsia="宋体" w:cs="宋体"/>
          <w:sz w:val="32"/>
          <w:szCs w:val="32"/>
        </w:rPr>
        <w:t>县级相关部门根据各自职能职责做好监督、</w:t>
      </w:r>
      <w:r>
        <w:rPr>
          <w:rFonts w:hint="eastAsia" w:ascii="宋体" w:hAnsi="宋体" w:cs="宋体"/>
          <w:sz w:val="32"/>
          <w:szCs w:val="32"/>
          <w:lang w:eastAsia="zh-CN"/>
        </w:rPr>
        <w:t>管理</w:t>
      </w:r>
      <w:bookmarkStart w:id="4" w:name="page1_4"/>
      <w:bookmarkEnd w:id="4"/>
      <w:r>
        <w:rPr>
          <w:rFonts w:ascii="宋体" w:hAnsi="宋体" w:eastAsia="宋体" w:cs="宋体"/>
          <w:sz w:val="32"/>
          <w:szCs w:val="32"/>
        </w:rPr>
        <w:t>、服务和配套政策的制定工作</w:t>
      </w:r>
    </w:p>
    <w:p w14:paraId="74B4669B">
      <w:pPr>
        <w:keepNext w:val="0"/>
        <w:keepLines w:val="0"/>
        <w:pageBreakBefore w:val="0"/>
        <w:widowControl/>
        <w:kinsoku/>
        <w:wordWrap/>
        <w:overflowPunct/>
        <w:topLinePunct w:val="0"/>
        <w:autoSpaceDE/>
        <w:autoSpaceDN/>
        <w:bidi w:val="0"/>
        <w:adjustRightInd/>
        <w:snapToGrid/>
        <w:spacing w:after="0" w:line="600" w:lineRule="exact"/>
        <w:ind w:left="140" w:right="320" w:firstLine="641"/>
        <w:jc w:val="both"/>
        <w:textAlignment w:val="auto"/>
        <w:rPr>
          <w:rFonts w:eastAsiaTheme="minorEastAsia"/>
        </w:rPr>
      </w:pPr>
      <w:r>
        <w:rPr>
          <w:rFonts w:ascii="宋体" w:hAnsi="宋体" w:eastAsia="宋体" w:cs="宋体"/>
          <w:sz w:val="32"/>
          <w:szCs w:val="32"/>
        </w:rPr>
        <w:t>县自然资源和规划局应牵头组织县级各相关部门对入市主体编制的入市方案进行核对，并出具意见。</w:t>
      </w:r>
    </w:p>
    <w:p w14:paraId="2863B6F2">
      <w:pPr>
        <w:keepNext w:val="0"/>
        <w:keepLines w:val="0"/>
        <w:pageBreakBefore w:val="0"/>
        <w:widowControl/>
        <w:kinsoku/>
        <w:wordWrap/>
        <w:overflowPunct/>
        <w:topLinePunct w:val="0"/>
        <w:autoSpaceDE/>
        <w:autoSpaceDN/>
        <w:bidi w:val="0"/>
        <w:adjustRightInd/>
        <w:snapToGrid/>
        <w:spacing w:after="0" w:line="600" w:lineRule="exact"/>
        <w:ind w:left="140" w:right="320" w:firstLine="641"/>
        <w:jc w:val="both"/>
        <w:textAlignment w:val="auto"/>
        <w:rPr>
          <w:rFonts w:ascii="宋体" w:hAnsi="宋体" w:eastAsia="宋体" w:cs="宋体"/>
          <w:sz w:val="32"/>
          <w:szCs w:val="32"/>
        </w:rPr>
      </w:pPr>
      <w:r>
        <w:rPr>
          <w:rFonts w:ascii="宋体" w:hAnsi="宋体" w:eastAsia="宋体" w:cs="宋体"/>
          <w:sz w:val="32"/>
          <w:szCs w:val="32"/>
        </w:rPr>
        <w:t>县发展和改革局、县经济信息化和科学技术局、盐边生态环境局负责审批项目准入涉及的相关事项。</w:t>
      </w:r>
    </w:p>
    <w:p w14:paraId="001724A4">
      <w:pPr>
        <w:keepNext w:val="0"/>
        <w:keepLines w:val="0"/>
        <w:pageBreakBefore w:val="0"/>
        <w:widowControl/>
        <w:kinsoku/>
        <w:wordWrap/>
        <w:overflowPunct/>
        <w:topLinePunct w:val="0"/>
        <w:autoSpaceDE/>
        <w:autoSpaceDN/>
        <w:bidi w:val="0"/>
        <w:adjustRightInd/>
        <w:snapToGrid/>
        <w:spacing w:after="0" w:line="600" w:lineRule="exact"/>
        <w:ind w:left="140" w:right="320" w:firstLine="641"/>
        <w:jc w:val="both"/>
        <w:textAlignment w:val="auto"/>
        <w:rPr>
          <w:rFonts w:ascii="宋体" w:hAnsi="宋体" w:eastAsia="宋体" w:cs="宋体"/>
          <w:sz w:val="32"/>
          <w:szCs w:val="32"/>
        </w:rPr>
      </w:pPr>
      <w:r>
        <w:rPr>
          <w:rFonts w:ascii="宋体" w:hAnsi="宋体" w:eastAsia="宋体" w:cs="宋体"/>
          <w:sz w:val="32"/>
          <w:szCs w:val="32"/>
        </w:rPr>
        <w:t>县林业局负责审批涉及生态保护区、林地的相关事项。</w:t>
      </w:r>
    </w:p>
    <w:p w14:paraId="7AEF517F">
      <w:pPr>
        <w:keepNext w:val="0"/>
        <w:keepLines w:val="0"/>
        <w:pageBreakBefore w:val="0"/>
        <w:widowControl/>
        <w:kinsoku/>
        <w:wordWrap/>
        <w:overflowPunct/>
        <w:topLinePunct w:val="0"/>
        <w:autoSpaceDE/>
        <w:autoSpaceDN/>
        <w:bidi w:val="0"/>
        <w:adjustRightInd/>
        <w:snapToGrid/>
        <w:spacing w:after="0" w:line="600" w:lineRule="exact"/>
        <w:ind w:left="140" w:right="320" w:firstLine="641"/>
        <w:jc w:val="both"/>
        <w:textAlignment w:val="auto"/>
        <w:rPr>
          <w:rFonts w:eastAsiaTheme="minorEastAsia"/>
          <w:sz w:val="20"/>
          <w:szCs w:val="20"/>
        </w:rPr>
      </w:pPr>
      <w:r>
        <w:rPr>
          <w:rFonts w:ascii="宋体" w:hAnsi="宋体" w:eastAsia="宋体" w:cs="宋体"/>
          <w:sz w:val="32"/>
          <w:szCs w:val="32"/>
        </w:rPr>
        <w:t>县住房和城乡建设局负责农村集体经营性建设用地房屋建筑和市政基础设施工程的建设管理工作。</w:t>
      </w:r>
    </w:p>
    <w:p w14:paraId="744F0D03">
      <w:pPr>
        <w:keepNext w:val="0"/>
        <w:keepLines w:val="0"/>
        <w:pageBreakBefore w:val="0"/>
        <w:widowControl/>
        <w:kinsoku/>
        <w:wordWrap/>
        <w:overflowPunct/>
        <w:topLinePunct w:val="0"/>
        <w:autoSpaceDE/>
        <w:autoSpaceDN/>
        <w:bidi w:val="0"/>
        <w:adjustRightInd/>
        <w:snapToGrid/>
        <w:spacing w:after="0" w:line="600" w:lineRule="exact"/>
        <w:ind w:left="140" w:right="320" w:firstLine="641"/>
        <w:jc w:val="both"/>
        <w:textAlignment w:val="auto"/>
        <w:rPr>
          <w:rFonts w:eastAsiaTheme="minorEastAsia"/>
        </w:rPr>
      </w:pPr>
      <w:r>
        <w:rPr>
          <w:rFonts w:ascii="宋体" w:hAnsi="宋体" w:eastAsia="宋体" w:cs="宋体"/>
          <w:sz w:val="32"/>
          <w:szCs w:val="32"/>
        </w:rPr>
        <w:t>县审计局负责对农村集体经营性建设用地使用权</w:t>
      </w:r>
      <w:r>
        <w:rPr>
          <w:rFonts w:hint="eastAsia" w:ascii="宋体" w:hAnsi="宋体" w:cs="宋体"/>
          <w:sz w:val="32"/>
          <w:szCs w:val="32"/>
          <w:lang w:eastAsia="zh-CN"/>
        </w:rPr>
        <w:t>入市</w:t>
      </w:r>
      <w:r>
        <w:rPr>
          <w:rFonts w:ascii="宋体" w:hAnsi="宋体" w:eastAsia="宋体" w:cs="宋体"/>
          <w:sz w:val="32"/>
          <w:szCs w:val="32"/>
        </w:rPr>
        <w:t>资金使用行为及收支情况进行审计，维护农民土地权益。</w:t>
      </w:r>
    </w:p>
    <w:p w14:paraId="5A57197D">
      <w:pPr>
        <w:keepNext w:val="0"/>
        <w:keepLines w:val="0"/>
        <w:pageBreakBefore w:val="0"/>
        <w:widowControl/>
        <w:kinsoku/>
        <w:wordWrap/>
        <w:overflowPunct/>
        <w:topLinePunct w:val="0"/>
        <w:autoSpaceDE/>
        <w:autoSpaceDN/>
        <w:bidi w:val="0"/>
        <w:adjustRightInd/>
        <w:snapToGrid/>
        <w:spacing w:after="0" w:line="600" w:lineRule="exact"/>
        <w:ind w:left="140" w:right="320" w:firstLine="641"/>
        <w:jc w:val="both"/>
        <w:textAlignment w:val="auto"/>
        <w:rPr>
          <w:rFonts w:eastAsiaTheme="minorEastAsia"/>
          <w:sz w:val="20"/>
          <w:szCs w:val="20"/>
        </w:rPr>
      </w:pPr>
      <w:r>
        <w:rPr>
          <w:rFonts w:ascii="宋体" w:hAnsi="宋体" w:eastAsia="宋体" w:cs="宋体"/>
          <w:sz w:val="32"/>
          <w:szCs w:val="32"/>
        </w:rPr>
        <w:t>县纪委监委应加</w:t>
      </w:r>
      <w:r>
        <w:rPr>
          <w:rFonts w:hint="eastAsia" w:ascii="宋体" w:hAnsi="宋体" w:cs="宋体"/>
          <w:sz w:val="32"/>
          <w:szCs w:val="32"/>
          <w:lang w:eastAsia="zh-CN"/>
        </w:rPr>
        <w:t>强对</w:t>
      </w:r>
      <w:r>
        <w:rPr>
          <w:rFonts w:ascii="宋体" w:hAnsi="宋体" w:eastAsia="宋体" w:cs="宋体"/>
          <w:sz w:val="32"/>
          <w:szCs w:val="32"/>
        </w:rPr>
        <w:t>农村集体经营性建设用地使用权入市的执纪监督，保障试点规范运行。</w:t>
      </w:r>
    </w:p>
    <w:p w14:paraId="72AC0C91">
      <w:pPr>
        <w:keepNext w:val="0"/>
        <w:keepLines w:val="0"/>
        <w:pageBreakBefore w:val="0"/>
        <w:widowControl/>
        <w:kinsoku/>
        <w:wordWrap/>
        <w:overflowPunct/>
        <w:topLinePunct w:val="0"/>
        <w:autoSpaceDE/>
        <w:autoSpaceDN/>
        <w:bidi w:val="0"/>
        <w:adjustRightInd/>
        <w:snapToGrid/>
        <w:spacing w:after="0" w:line="600" w:lineRule="exact"/>
        <w:ind w:left="140" w:firstLine="641"/>
        <w:jc w:val="both"/>
        <w:textAlignment w:val="auto"/>
        <w:rPr>
          <w:rFonts w:ascii="宋体" w:hAnsi="宋体" w:eastAsia="宋体" w:cs="宋体"/>
          <w:sz w:val="32"/>
          <w:szCs w:val="32"/>
        </w:rPr>
      </w:pPr>
      <w:r>
        <w:rPr>
          <w:rFonts w:ascii="宋体" w:hAnsi="宋体" w:eastAsia="宋体" w:cs="宋体"/>
          <w:sz w:val="32"/>
          <w:szCs w:val="32"/>
        </w:rPr>
        <w:t>县农业农村局应做好集体决策、集体资产处置等流程的指导、监督工作，入市主体所在乡镇党委、人民政府应做好管理和协调工作，确保入市主体的相关活动依法依规进行。</w:t>
      </w:r>
    </w:p>
    <w:p w14:paraId="4D71833E">
      <w:pPr>
        <w:keepNext w:val="0"/>
        <w:keepLines w:val="0"/>
        <w:pageBreakBefore w:val="0"/>
        <w:widowControl/>
        <w:kinsoku/>
        <w:wordWrap/>
        <w:overflowPunct/>
        <w:topLinePunct w:val="0"/>
        <w:autoSpaceDE/>
        <w:autoSpaceDN/>
        <w:bidi w:val="0"/>
        <w:adjustRightInd/>
        <w:snapToGrid/>
        <w:spacing w:after="0" w:line="600" w:lineRule="exact"/>
        <w:ind w:left="140" w:firstLine="641"/>
        <w:jc w:val="both"/>
        <w:textAlignment w:val="auto"/>
        <w:rPr>
          <w:rFonts w:eastAsiaTheme="minorEastAsia"/>
          <w:sz w:val="20"/>
          <w:szCs w:val="20"/>
        </w:rPr>
      </w:pPr>
      <w:r>
        <w:rPr>
          <w:rFonts w:ascii="黑体" w:hAnsi="黑体" w:eastAsia="黑体" w:cs="黑体"/>
          <w:sz w:val="32"/>
          <w:szCs w:val="32"/>
        </w:rPr>
        <w:t xml:space="preserve">第三十二条 </w:t>
      </w:r>
      <w:r>
        <w:rPr>
          <w:rFonts w:ascii="宋体" w:hAnsi="宋体" w:eastAsia="宋体" w:cs="宋体"/>
          <w:sz w:val="32"/>
          <w:szCs w:val="32"/>
        </w:rPr>
        <w:t>签订《集体经营性建设用地使用权出让合同》后，受让方（承租方）应按照出让合同（租赁合同）约定按期缴纳土地出让价款、按期开工、竣工。县自然资源和规划局、县财政局等部门应做好交易履约保障工作，发现未按期履约的，应参照对应的国有建设用地处置方式进行处置。</w:t>
      </w:r>
      <w:bookmarkStart w:id="5" w:name="page2_4"/>
      <w:bookmarkEnd w:id="5"/>
    </w:p>
    <w:p w14:paraId="2A564081">
      <w:pPr>
        <w:keepNext w:val="0"/>
        <w:keepLines w:val="0"/>
        <w:pageBreakBefore w:val="0"/>
        <w:widowControl/>
        <w:kinsoku/>
        <w:wordWrap/>
        <w:overflowPunct/>
        <w:topLinePunct w:val="0"/>
        <w:autoSpaceDE/>
        <w:autoSpaceDN/>
        <w:bidi w:val="0"/>
        <w:adjustRightInd/>
        <w:snapToGrid/>
        <w:spacing w:after="0" w:line="600" w:lineRule="exact"/>
        <w:ind w:left="140" w:right="180" w:firstLine="634"/>
        <w:jc w:val="both"/>
        <w:textAlignment w:val="auto"/>
        <w:rPr>
          <w:rFonts w:eastAsiaTheme="minorEastAsia"/>
          <w:sz w:val="20"/>
          <w:szCs w:val="20"/>
        </w:rPr>
      </w:pPr>
      <w:r>
        <w:rPr>
          <w:rFonts w:ascii="黑体" w:hAnsi="黑体" w:eastAsia="黑体" w:cs="黑体"/>
          <w:sz w:val="32"/>
          <w:szCs w:val="32"/>
        </w:rPr>
        <w:t xml:space="preserve">第三十三条 </w:t>
      </w:r>
      <w:r>
        <w:rPr>
          <w:rFonts w:ascii="宋体" w:hAnsi="宋体" w:eastAsia="宋体" w:cs="宋体"/>
          <w:sz w:val="32"/>
          <w:szCs w:val="32"/>
        </w:rPr>
        <w:t>因公共利益或为实施乡镇规划需要征收已经入市的农村集体经营性建设用地的，土地使用权人和关联方应当配合，同时给予土地使用权人相应补偿，入市时所签订的交易合同自批准征收之日起终止。</w:t>
      </w:r>
    </w:p>
    <w:p w14:paraId="1261E6B2">
      <w:pPr>
        <w:keepNext w:val="0"/>
        <w:keepLines w:val="0"/>
        <w:pageBreakBefore w:val="0"/>
        <w:widowControl/>
        <w:kinsoku/>
        <w:wordWrap/>
        <w:overflowPunct/>
        <w:topLinePunct w:val="0"/>
        <w:autoSpaceDE/>
        <w:autoSpaceDN/>
        <w:bidi w:val="0"/>
        <w:adjustRightInd/>
        <w:snapToGrid/>
        <w:spacing w:after="0" w:line="600" w:lineRule="exact"/>
        <w:ind w:left="140" w:right="60" w:firstLine="641"/>
        <w:jc w:val="both"/>
        <w:textAlignment w:val="auto"/>
        <w:rPr>
          <w:rFonts w:eastAsiaTheme="minorEastAsia"/>
          <w:sz w:val="20"/>
          <w:szCs w:val="20"/>
        </w:rPr>
      </w:pPr>
      <w:r>
        <w:rPr>
          <w:rFonts w:ascii="黑体" w:hAnsi="黑体" w:eastAsia="黑体" w:cs="黑体"/>
          <w:sz w:val="31"/>
          <w:szCs w:val="31"/>
        </w:rPr>
        <w:t xml:space="preserve">第三十四条 </w:t>
      </w:r>
      <w:r>
        <w:rPr>
          <w:rFonts w:ascii="宋体" w:hAnsi="宋体" w:eastAsia="宋体" w:cs="宋体"/>
          <w:sz w:val="31"/>
          <w:szCs w:val="31"/>
        </w:rPr>
        <w:t>在推进农村集体经营性建设用地使用权入市过程中，各部门要根据自身工作建立风险评估机制，相关职能部门要积极回应群众的诉求，做好相关矛盾纠纷的妥善处置工作。</w:t>
      </w:r>
    </w:p>
    <w:p w14:paraId="5EC5BF37">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sz w:val="20"/>
          <w:szCs w:val="20"/>
        </w:rPr>
      </w:pPr>
    </w:p>
    <w:p w14:paraId="2104B1D7">
      <w:pPr>
        <w:keepNext w:val="0"/>
        <w:keepLines w:val="0"/>
        <w:pageBreakBefore w:val="0"/>
        <w:widowControl/>
        <w:kinsoku/>
        <w:wordWrap/>
        <w:overflowPunct/>
        <w:topLinePunct w:val="0"/>
        <w:autoSpaceDE/>
        <w:autoSpaceDN/>
        <w:bidi w:val="0"/>
        <w:adjustRightInd/>
        <w:snapToGrid/>
        <w:spacing w:after="0" w:line="600" w:lineRule="exact"/>
        <w:ind w:left="780"/>
        <w:jc w:val="both"/>
        <w:textAlignment w:val="auto"/>
        <w:rPr>
          <w:rFonts w:eastAsiaTheme="minorEastAsia"/>
          <w:sz w:val="20"/>
          <w:szCs w:val="20"/>
        </w:rPr>
      </w:pPr>
      <w:r>
        <w:rPr>
          <w:rFonts w:ascii="黑体" w:hAnsi="黑体" w:eastAsia="黑体" w:cs="黑体"/>
          <w:sz w:val="32"/>
          <w:szCs w:val="32"/>
        </w:rPr>
        <w:t>第十二章 附 则</w:t>
      </w:r>
    </w:p>
    <w:p w14:paraId="1DA32591">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sz w:val="20"/>
          <w:szCs w:val="20"/>
        </w:rPr>
      </w:pPr>
    </w:p>
    <w:p w14:paraId="5412C52F">
      <w:pPr>
        <w:keepNext w:val="0"/>
        <w:keepLines w:val="0"/>
        <w:pageBreakBefore w:val="0"/>
        <w:widowControl/>
        <w:kinsoku/>
        <w:wordWrap/>
        <w:overflowPunct/>
        <w:topLinePunct w:val="0"/>
        <w:autoSpaceDE/>
        <w:autoSpaceDN/>
        <w:bidi w:val="0"/>
        <w:adjustRightInd/>
        <w:snapToGrid/>
        <w:spacing w:after="0" w:line="600" w:lineRule="exact"/>
        <w:ind w:left="140" w:right="160" w:firstLine="641"/>
        <w:jc w:val="both"/>
        <w:textAlignment w:val="auto"/>
        <w:rPr>
          <w:rFonts w:ascii="宋体" w:hAnsi="宋体" w:eastAsia="宋体" w:cs="宋体"/>
          <w:sz w:val="32"/>
          <w:szCs w:val="32"/>
        </w:rPr>
      </w:pPr>
      <w:r>
        <w:rPr>
          <w:rFonts w:ascii="黑体" w:hAnsi="黑体" w:eastAsia="黑体" w:cs="黑体"/>
          <w:sz w:val="32"/>
          <w:szCs w:val="32"/>
        </w:rPr>
        <w:t xml:space="preserve">第三十五条 </w:t>
      </w:r>
      <w:r>
        <w:rPr>
          <w:rFonts w:ascii="宋体" w:hAnsi="宋体" w:eastAsia="宋体" w:cs="宋体"/>
          <w:sz w:val="32"/>
          <w:szCs w:val="32"/>
        </w:rPr>
        <w:t>国家、省、市后续对农村集体经营性建设用地使用权入市工作出台相关政策文件与本办法不一致的，按新规定及政策执行。</w:t>
      </w:r>
    </w:p>
    <w:p w14:paraId="37ACF30D">
      <w:pPr>
        <w:keepNext w:val="0"/>
        <w:keepLines w:val="0"/>
        <w:pageBreakBefore w:val="0"/>
        <w:widowControl/>
        <w:kinsoku/>
        <w:wordWrap/>
        <w:overflowPunct/>
        <w:topLinePunct w:val="0"/>
        <w:autoSpaceDE/>
        <w:autoSpaceDN/>
        <w:bidi w:val="0"/>
        <w:adjustRightInd/>
        <w:snapToGrid/>
        <w:spacing w:after="0" w:line="600" w:lineRule="exact"/>
        <w:ind w:left="140" w:right="160" w:firstLine="641"/>
        <w:jc w:val="both"/>
        <w:textAlignment w:val="auto"/>
        <w:rPr>
          <w:rFonts w:ascii="宋体" w:hAnsi="宋体" w:eastAsia="宋体" w:cs="宋体"/>
          <w:sz w:val="32"/>
          <w:szCs w:val="32"/>
        </w:rPr>
      </w:pPr>
      <w:r>
        <w:rPr>
          <w:rFonts w:ascii="黑体" w:hAnsi="黑体" w:eastAsia="黑体" w:cs="黑体"/>
          <w:sz w:val="32"/>
          <w:szCs w:val="32"/>
        </w:rPr>
        <w:t xml:space="preserve">第三十六条 </w:t>
      </w:r>
      <w:r>
        <w:rPr>
          <w:rFonts w:ascii="宋体" w:hAnsi="宋体" w:eastAsia="宋体" w:cs="宋体"/>
          <w:sz w:val="32"/>
          <w:szCs w:val="32"/>
        </w:rPr>
        <w:t>本办法由盐边县人民政府负责解释。</w:t>
      </w:r>
    </w:p>
    <w:p w14:paraId="52C4EA28">
      <w:pPr>
        <w:keepNext w:val="0"/>
        <w:keepLines w:val="0"/>
        <w:pageBreakBefore w:val="0"/>
        <w:widowControl/>
        <w:kinsoku/>
        <w:wordWrap/>
        <w:overflowPunct/>
        <w:topLinePunct w:val="0"/>
        <w:autoSpaceDE/>
        <w:autoSpaceDN/>
        <w:bidi w:val="0"/>
        <w:adjustRightInd/>
        <w:snapToGrid/>
        <w:spacing w:after="0" w:line="600" w:lineRule="exact"/>
        <w:ind w:left="140" w:right="160" w:firstLine="641"/>
        <w:jc w:val="both"/>
        <w:textAlignment w:val="auto"/>
        <w:rPr>
          <w:rFonts w:ascii="宋体" w:hAnsi="宋体" w:eastAsia="宋体" w:cs="宋体"/>
          <w:sz w:val="32"/>
          <w:szCs w:val="32"/>
        </w:rPr>
      </w:pPr>
      <w:r>
        <w:rPr>
          <w:rFonts w:ascii="黑体" w:hAnsi="黑体" w:eastAsia="黑体" w:cs="黑体"/>
          <w:sz w:val="32"/>
          <w:szCs w:val="32"/>
        </w:rPr>
        <w:t>第三十七条</w:t>
      </w:r>
      <w:r>
        <w:rPr>
          <w:sz w:val="32"/>
          <w:szCs w:val="32"/>
        </w:rPr>
        <w:t xml:space="preserve"> </w:t>
      </w:r>
      <w:r>
        <w:rPr>
          <w:rFonts w:ascii="宋体" w:hAnsi="宋体" w:eastAsia="宋体" w:cs="宋体"/>
          <w:sz w:val="32"/>
          <w:szCs w:val="32"/>
        </w:rPr>
        <w:t>本暂行办法自</w:t>
      </w:r>
      <w:r>
        <w:rPr>
          <w:rFonts w:hint="eastAsia" w:ascii="宋体" w:hAnsi="宋体" w:eastAsia="宋体" w:cs="宋体"/>
          <w:sz w:val="32"/>
          <w:szCs w:val="32"/>
          <w:lang w:val="en-US" w:eastAsia="zh-CN"/>
        </w:rPr>
        <w:t>2025年</w:t>
      </w:r>
      <w:r>
        <w:rPr>
          <w:rFonts w:hint="eastAsia" w:ascii="宋体" w:hAnsi="宋体" w:cs="宋体"/>
          <w:sz w:val="32"/>
          <w:szCs w:val="32"/>
          <w:lang w:val="en-US" w:eastAsia="zh-CN"/>
        </w:rPr>
        <w:t xml:space="preserve">  </w:t>
      </w:r>
      <w:r>
        <w:rPr>
          <w:rFonts w:hint="eastAsia" w:ascii="宋体" w:hAnsi="宋体" w:eastAsia="宋体" w:cs="宋体"/>
          <w:sz w:val="32"/>
          <w:szCs w:val="32"/>
          <w:lang w:val="en-US" w:eastAsia="zh-CN"/>
        </w:rPr>
        <w:t>月</w:t>
      </w:r>
      <w:r>
        <w:rPr>
          <w:rFonts w:hint="eastAsia" w:ascii="宋体" w:hAnsi="宋体" w:cs="宋体"/>
          <w:sz w:val="32"/>
          <w:szCs w:val="32"/>
          <w:lang w:val="en-US" w:eastAsia="zh-CN"/>
        </w:rPr>
        <w:t xml:space="preserve">  </w:t>
      </w:r>
      <w:r>
        <w:rPr>
          <w:rFonts w:hint="eastAsia" w:ascii="宋体" w:hAnsi="宋体" w:eastAsia="宋体" w:cs="宋体"/>
          <w:sz w:val="32"/>
          <w:szCs w:val="32"/>
          <w:lang w:val="en-US" w:eastAsia="zh-CN"/>
        </w:rPr>
        <w:t>日</w:t>
      </w:r>
      <w:r>
        <w:rPr>
          <w:rFonts w:ascii="宋体" w:hAnsi="宋体" w:eastAsia="宋体" w:cs="宋体"/>
          <w:sz w:val="32"/>
          <w:szCs w:val="32"/>
        </w:rPr>
        <w:t>起施行，有效期至</w:t>
      </w:r>
      <w:r>
        <w:rPr>
          <w:rFonts w:hint="eastAsia"/>
          <w:sz w:val="32"/>
          <w:szCs w:val="32"/>
          <w:lang w:val="en-US" w:eastAsia="zh-CN"/>
        </w:rPr>
        <w:t xml:space="preserve">  </w:t>
      </w:r>
      <w:r>
        <w:rPr>
          <w:rFonts w:ascii="宋体" w:hAnsi="宋体" w:eastAsia="宋体" w:cs="宋体"/>
          <w:sz w:val="32"/>
          <w:szCs w:val="32"/>
        </w:rPr>
        <w:t>年</w:t>
      </w:r>
      <w:r>
        <w:rPr>
          <w:rFonts w:hint="eastAsia"/>
          <w:sz w:val="32"/>
          <w:szCs w:val="32"/>
          <w:lang w:val="en-US" w:eastAsia="zh-CN"/>
        </w:rPr>
        <w:t xml:space="preserve">  </w:t>
      </w:r>
      <w:r>
        <w:rPr>
          <w:rFonts w:ascii="宋体" w:hAnsi="宋体" w:eastAsia="宋体" w:cs="宋体"/>
          <w:sz w:val="32"/>
          <w:szCs w:val="32"/>
        </w:rPr>
        <w:t>月</w:t>
      </w:r>
      <w:r>
        <w:rPr>
          <w:rFonts w:hint="eastAsia"/>
          <w:sz w:val="32"/>
          <w:szCs w:val="32"/>
          <w:lang w:val="en-US" w:eastAsia="zh-CN"/>
        </w:rPr>
        <w:t xml:space="preserve">  </w:t>
      </w:r>
      <w:r>
        <w:rPr>
          <w:rFonts w:ascii="宋体" w:hAnsi="宋体" w:eastAsia="宋体" w:cs="宋体"/>
          <w:sz w:val="32"/>
          <w:szCs w:val="32"/>
        </w:rPr>
        <w:t>日。</w:t>
      </w:r>
    </w:p>
    <w:p w14:paraId="3B708A4A">
      <w:pPr>
        <w:keepNext w:val="0"/>
        <w:keepLines w:val="0"/>
        <w:pageBreakBefore w:val="0"/>
        <w:widowControl/>
        <w:kinsoku/>
        <w:wordWrap/>
        <w:overflowPunct/>
        <w:topLinePunct w:val="0"/>
        <w:autoSpaceDE/>
        <w:autoSpaceDN/>
        <w:bidi w:val="0"/>
        <w:adjustRightInd/>
        <w:snapToGrid/>
        <w:spacing w:after="0" w:line="600" w:lineRule="exact"/>
        <w:ind w:left="140" w:right="160" w:firstLine="641"/>
        <w:jc w:val="both"/>
        <w:textAlignment w:val="auto"/>
        <w:rPr>
          <w:rFonts w:ascii="宋体" w:hAnsi="宋体" w:eastAsia="宋体" w:cs="宋体"/>
          <w:sz w:val="32"/>
          <w:szCs w:val="32"/>
        </w:rPr>
      </w:pPr>
    </w:p>
    <w:p w14:paraId="32442885">
      <w:pPr>
        <w:keepNext w:val="0"/>
        <w:keepLines w:val="0"/>
        <w:pageBreakBefore w:val="0"/>
        <w:widowControl/>
        <w:kinsoku/>
        <w:wordWrap/>
        <w:overflowPunct/>
        <w:topLinePunct w:val="0"/>
        <w:autoSpaceDE/>
        <w:autoSpaceDN/>
        <w:bidi w:val="0"/>
        <w:adjustRightInd/>
        <w:snapToGrid/>
        <w:spacing w:after="0" w:line="600" w:lineRule="exact"/>
        <w:ind w:left="140" w:right="160" w:firstLine="641"/>
        <w:jc w:val="both"/>
        <w:textAlignment w:val="auto"/>
        <w:rPr>
          <w:rFonts w:ascii="宋体" w:hAnsi="宋体" w:eastAsia="宋体" w:cs="宋体"/>
          <w:sz w:val="32"/>
          <w:szCs w:val="32"/>
        </w:rPr>
      </w:pPr>
    </w:p>
    <w:p w14:paraId="76295D06">
      <w:pPr>
        <w:keepNext w:val="0"/>
        <w:keepLines w:val="0"/>
        <w:pageBreakBefore w:val="0"/>
        <w:widowControl/>
        <w:kinsoku/>
        <w:wordWrap/>
        <w:overflowPunct/>
        <w:topLinePunct w:val="0"/>
        <w:autoSpaceDE/>
        <w:autoSpaceDN/>
        <w:bidi w:val="0"/>
        <w:adjustRightInd/>
        <w:snapToGrid/>
        <w:spacing w:after="0" w:line="600" w:lineRule="exact"/>
        <w:ind w:right="160" w:firstLine="640" w:firstLineChars="200"/>
        <w:jc w:val="both"/>
        <w:textAlignment w:val="auto"/>
        <w:rPr>
          <w:rFonts w:ascii="宋体" w:hAnsi="宋体" w:eastAsia="宋体" w:cs="宋体"/>
          <w:sz w:val="32"/>
          <w:szCs w:val="32"/>
        </w:rPr>
      </w:pPr>
      <w:r>
        <w:rPr>
          <w:rFonts w:ascii="宋体" w:hAnsi="宋体" w:eastAsia="宋体" w:cs="宋体"/>
          <w:sz w:val="32"/>
          <w:szCs w:val="32"/>
        </w:rPr>
        <w:t>附件：</w:t>
      </w:r>
      <w:r>
        <w:rPr>
          <w:sz w:val="32"/>
          <w:szCs w:val="32"/>
        </w:rPr>
        <w:t>1.</w:t>
      </w:r>
      <w:r>
        <w:rPr>
          <w:rFonts w:ascii="宋体" w:hAnsi="宋体" w:eastAsia="宋体" w:cs="宋体"/>
          <w:sz w:val="32"/>
          <w:szCs w:val="32"/>
        </w:rPr>
        <w:t>盐边县农村集体经营性建设用地入市操作流程</w:t>
      </w:r>
    </w:p>
    <w:p w14:paraId="71F6ECE5">
      <w:pPr>
        <w:keepNext w:val="0"/>
        <w:keepLines w:val="0"/>
        <w:pageBreakBefore w:val="0"/>
        <w:widowControl/>
        <w:kinsoku/>
        <w:wordWrap/>
        <w:overflowPunct/>
        <w:topLinePunct w:val="0"/>
        <w:autoSpaceDE/>
        <w:autoSpaceDN/>
        <w:bidi w:val="0"/>
        <w:adjustRightInd/>
        <w:snapToGrid/>
        <w:spacing w:after="0" w:line="600" w:lineRule="exact"/>
        <w:ind w:left="140" w:right="160" w:firstLine="1494" w:firstLineChars="467"/>
        <w:jc w:val="both"/>
        <w:textAlignment w:val="auto"/>
        <w:rPr>
          <w:rFonts w:eastAsiaTheme="minorEastAsia"/>
          <w:sz w:val="20"/>
          <w:szCs w:val="20"/>
        </w:rPr>
      </w:pPr>
      <w:r>
        <w:rPr>
          <w:sz w:val="32"/>
          <w:szCs w:val="32"/>
        </w:rPr>
        <w:t>2.</w:t>
      </w:r>
      <w:r>
        <w:rPr>
          <w:rFonts w:ascii="宋体" w:hAnsi="宋体" w:eastAsia="宋体" w:cs="宋体"/>
          <w:sz w:val="32"/>
          <w:szCs w:val="32"/>
        </w:rPr>
        <w:t>集体经营性建设用地使用权入市方案示范文本</w:t>
      </w:r>
    </w:p>
    <w:p w14:paraId="735E62C6">
      <w:pPr>
        <w:pStyle w:val="2"/>
        <w:ind w:left="0" w:leftChars="0" w:firstLine="0" w:firstLineChars="0"/>
      </w:pPr>
    </w:p>
    <w:p w14:paraId="2645E1AD"/>
    <w:p w14:paraId="14BF8451"/>
    <w:p w14:paraId="28A71558"/>
    <w:p w14:paraId="6D23F766"/>
    <w:p w14:paraId="5B7C113B"/>
    <w:p w14:paraId="1F878197"/>
    <w:p w14:paraId="67C4B773"/>
    <w:p w14:paraId="0FCD2A7D"/>
    <w:p w14:paraId="7735B1BC"/>
    <w:p w14:paraId="44573C37"/>
    <w:p w14:paraId="38667CBF"/>
    <w:p w14:paraId="40D2DC72"/>
    <w:p w14:paraId="44D61201"/>
    <w:p w14:paraId="4BC14F6B"/>
    <w:p w14:paraId="133F734D"/>
    <w:p w14:paraId="1553BF40"/>
    <w:p w14:paraId="3E2927E7"/>
    <w:p w14:paraId="44264D1C"/>
    <w:p w14:paraId="1582D53F"/>
    <w:p w14:paraId="2D6AED0C"/>
    <w:p w14:paraId="59ED2721"/>
    <w:p w14:paraId="7945F6EE"/>
    <w:p w14:paraId="34FB5499"/>
    <w:p w14:paraId="609911E2"/>
    <w:p w14:paraId="767876E0"/>
    <w:p w14:paraId="10DFA48E"/>
    <w:p w14:paraId="6E447EC9"/>
    <w:p w14:paraId="0B68B9CB"/>
    <w:p w14:paraId="0178A60F"/>
    <w:p w14:paraId="1F207555"/>
    <w:p w14:paraId="52811B61"/>
    <w:p w14:paraId="0A09BFEE">
      <w:pPr>
        <w:keepNext w:val="0"/>
        <w:keepLines w:val="0"/>
        <w:pageBreakBefore w:val="0"/>
        <w:widowControl/>
        <w:kinsoku/>
        <w:wordWrap/>
        <w:overflowPunct/>
        <w:topLinePunct w:val="0"/>
        <w:autoSpaceDE/>
        <w:autoSpaceDN/>
        <w:bidi w:val="0"/>
        <w:adjustRightInd/>
        <w:snapToGrid/>
        <w:spacing w:after="0" w:line="600" w:lineRule="exact"/>
        <w:ind w:left="140"/>
        <w:jc w:val="both"/>
        <w:textAlignment w:val="auto"/>
        <w:rPr>
          <w:rFonts w:ascii="黑体" w:hAnsi="黑体" w:eastAsia="黑体" w:cs="黑体"/>
          <w:sz w:val="31"/>
          <w:szCs w:val="31"/>
        </w:rPr>
      </w:pPr>
      <w:r>
        <w:rPr>
          <w:rFonts w:ascii="黑体" w:hAnsi="黑体" w:eastAsia="黑体" w:cs="黑体"/>
          <w:sz w:val="31"/>
          <w:szCs w:val="31"/>
        </w:rPr>
        <w:t>附件1</w:t>
      </w:r>
    </w:p>
    <w:p w14:paraId="6DA95EF2">
      <w:pPr>
        <w:keepNext w:val="0"/>
        <w:keepLines w:val="0"/>
        <w:pageBreakBefore w:val="0"/>
        <w:widowControl/>
        <w:kinsoku/>
        <w:wordWrap/>
        <w:overflowPunct/>
        <w:topLinePunct w:val="0"/>
        <w:autoSpaceDE/>
        <w:autoSpaceDN/>
        <w:bidi w:val="0"/>
        <w:adjustRightInd/>
        <w:snapToGrid/>
        <w:spacing w:after="0" w:line="600" w:lineRule="exact"/>
        <w:ind w:left="140"/>
        <w:jc w:val="both"/>
        <w:textAlignment w:val="auto"/>
        <w:rPr>
          <w:rFonts w:ascii="黑体" w:hAnsi="黑体" w:eastAsia="黑体" w:cs="黑体"/>
          <w:sz w:val="31"/>
          <w:szCs w:val="31"/>
        </w:rPr>
      </w:pPr>
    </w:p>
    <w:p w14:paraId="23D0F3ED">
      <w:pPr>
        <w:keepNext w:val="0"/>
        <w:keepLines w:val="0"/>
        <w:pageBreakBefore w:val="0"/>
        <w:widowControl/>
        <w:kinsoku/>
        <w:wordWrap/>
        <w:overflowPunct/>
        <w:topLinePunct w:val="0"/>
        <w:autoSpaceDE/>
        <w:autoSpaceDN/>
        <w:bidi w:val="0"/>
        <w:adjustRightInd/>
        <w:snapToGrid/>
        <w:spacing w:after="0" w:line="600" w:lineRule="exact"/>
        <w:ind w:left="140"/>
        <w:jc w:val="center"/>
        <w:textAlignment w:val="auto"/>
        <w:rPr>
          <w:rFonts w:ascii="宋体" w:hAnsi="宋体" w:eastAsia="宋体" w:cs="宋体"/>
          <w:sz w:val="43"/>
          <w:szCs w:val="43"/>
        </w:rPr>
      </w:pPr>
      <w:r>
        <w:rPr>
          <w:rFonts w:ascii="宋体" w:hAnsi="宋体" w:eastAsia="宋体" w:cs="宋体"/>
          <w:sz w:val="43"/>
          <w:szCs w:val="43"/>
        </w:rPr>
        <w:t>盐边县农村集体经营性建设用地入市操作流程</w:t>
      </w:r>
    </w:p>
    <w:p w14:paraId="61020D79">
      <w:pPr>
        <w:keepNext w:val="0"/>
        <w:keepLines w:val="0"/>
        <w:pageBreakBefore w:val="0"/>
        <w:widowControl/>
        <w:kinsoku/>
        <w:wordWrap/>
        <w:overflowPunct/>
        <w:topLinePunct w:val="0"/>
        <w:autoSpaceDE/>
        <w:autoSpaceDN/>
        <w:bidi w:val="0"/>
        <w:adjustRightInd/>
        <w:snapToGrid/>
        <w:spacing w:after="0" w:line="600" w:lineRule="exact"/>
        <w:ind w:right="585"/>
        <w:jc w:val="both"/>
        <w:textAlignment w:val="auto"/>
        <w:rPr>
          <w:rFonts w:ascii="宋体" w:hAnsi="宋体" w:eastAsia="宋体" w:cs="宋体"/>
          <w:sz w:val="43"/>
          <w:szCs w:val="43"/>
        </w:rPr>
      </w:pPr>
    </w:p>
    <w:p w14:paraId="7B93FCA5">
      <w:pPr>
        <w:keepNext w:val="0"/>
        <w:keepLines w:val="0"/>
        <w:pageBreakBefore w:val="0"/>
        <w:widowControl/>
        <w:kinsoku/>
        <w:wordWrap/>
        <w:overflowPunct/>
        <w:topLinePunct w:val="0"/>
        <w:autoSpaceDE/>
        <w:autoSpaceDN/>
        <w:bidi w:val="0"/>
        <w:adjustRightInd/>
        <w:snapToGrid/>
        <w:spacing w:after="0" w:line="600" w:lineRule="exact"/>
        <w:ind w:left="760"/>
        <w:jc w:val="both"/>
        <w:textAlignment w:val="auto"/>
        <w:rPr>
          <w:rFonts w:ascii="黑体" w:hAnsi="黑体" w:eastAsia="黑体" w:cs="黑体"/>
          <w:sz w:val="31"/>
          <w:szCs w:val="31"/>
        </w:rPr>
      </w:pPr>
      <w:r>
        <w:rPr>
          <w:rFonts w:ascii="黑体" w:hAnsi="黑体" w:eastAsia="黑体" w:cs="黑体"/>
          <w:sz w:val="31"/>
          <w:szCs w:val="31"/>
        </w:rPr>
        <w:t>一、农村集体经营性建设用地入市程序</w:t>
      </w:r>
    </w:p>
    <w:p w14:paraId="6DF16982">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（一）确定拟入市地块。</w:t>
      </w:r>
      <w:r>
        <w:rPr>
          <w:rFonts w:ascii="宋体" w:hAnsi="宋体" w:eastAsia="宋体" w:cs="宋体"/>
          <w:sz w:val="31"/>
          <w:szCs w:val="31"/>
        </w:rPr>
        <w:t>根据用地实际需求，经本集体经济组织成员的村民会议三分之二以上成员或者三分之二以上村民代</w:t>
      </w:r>
      <w:r>
        <w:rPr>
          <w:rFonts w:ascii="宋体" w:hAnsi="宋体" w:eastAsia="宋体" w:cs="宋体"/>
          <w:sz w:val="30"/>
          <w:szCs w:val="30"/>
        </w:rPr>
        <w:t>表同意入市并确定入市主体的，由入市主体委托有资质的测绘单位</w:t>
      </w:r>
      <w:r>
        <w:rPr>
          <w:rFonts w:ascii="宋体" w:hAnsi="宋体" w:eastAsia="宋体" w:cs="宋体"/>
          <w:sz w:val="31"/>
          <w:szCs w:val="31"/>
        </w:rPr>
        <w:t>来确定拟入市地块的四至界限、面积、权属等信息。</w:t>
      </w:r>
    </w:p>
    <w:p w14:paraId="6656D114">
      <w:pPr>
        <w:keepNext w:val="0"/>
        <w:keepLines w:val="0"/>
        <w:pageBreakBefore w:val="0"/>
        <w:widowControl/>
        <w:kinsoku/>
        <w:wordWrap/>
        <w:overflowPunct/>
        <w:topLinePunct w:val="0"/>
        <w:autoSpaceDE/>
        <w:autoSpaceDN/>
        <w:bidi w:val="0"/>
        <w:adjustRightInd/>
        <w:snapToGrid/>
        <w:spacing w:after="0" w:line="600" w:lineRule="exact"/>
        <w:ind w:firstLine="602" w:firstLineChars="200"/>
        <w:jc w:val="both"/>
        <w:textAlignment w:val="auto"/>
        <w:rPr>
          <w:rFonts w:ascii="宋体" w:hAnsi="宋体" w:eastAsia="宋体" w:cs="宋体"/>
          <w:sz w:val="31"/>
          <w:szCs w:val="31"/>
        </w:rPr>
      </w:pPr>
      <w:r>
        <w:rPr>
          <w:rFonts w:ascii="宋体" w:hAnsi="宋体" w:eastAsia="宋体" w:cs="宋体"/>
          <w:b/>
          <w:bCs/>
          <w:sz w:val="30"/>
          <w:szCs w:val="30"/>
        </w:rPr>
        <w:t>（二）入市决议。</w:t>
      </w:r>
      <w:r>
        <w:rPr>
          <w:rFonts w:ascii="宋体" w:hAnsi="宋体" w:eastAsia="宋体" w:cs="宋体"/>
          <w:sz w:val="30"/>
          <w:szCs w:val="30"/>
        </w:rPr>
        <w:t>由县农业农村局指导集体经济组织出具同意</w:t>
      </w:r>
      <w:r>
        <w:rPr>
          <w:rFonts w:ascii="宋体" w:hAnsi="宋体" w:eastAsia="宋体" w:cs="宋体"/>
          <w:sz w:val="31"/>
          <w:szCs w:val="31"/>
        </w:rPr>
        <w:t>集体经营性建设用地入市的决议。</w:t>
      </w:r>
    </w:p>
    <w:p w14:paraId="789CF399">
      <w:pPr>
        <w:keepNext w:val="0"/>
        <w:keepLines w:val="0"/>
        <w:pageBreakBefore w:val="0"/>
        <w:widowControl/>
        <w:kinsoku/>
        <w:wordWrap/>
        <w:overflowPunct/>
        <w:topLinePunct w:val="0"/>
        <w:autoSpaceDE/>
        <w:autoSpaceDN/>
        <w:bidi w:val="0"/>
        <w:adjustRightInd/>
        <w:snapToGrid/>
        <w:spacing w:after="0" w:line="600" w:lineRule="exact"/>
        <w:ind w:firstLine="602" w:firstLineChars="200"/>
        <w:jc w:val="both"/>
        <w:textAlignment w:val="auto"/>
        <w:rPr>
          <w:rFonts w:ascii="宋体" w:hAnsi="宋体" w:eastAsia="宋体" w:cs="宋体"/>
          <w:sz w:val="31"/>
          <w:szCs w:val="31"/>
        </w:rPr>
      </w:pPr>
      <w:r>
        <w:rPr>
          <w:rFonts w:ascii="宋体" w:hAnsi="宋体" w:eastAsia="宋体" w:cs="宋体"/>
          <w:b/>
          <w:bCs/>
          <w:sz w:val="30"/>
          <w:szCs w:val="30"/>
        </w:rPr>
        <w:t>（三）入市申请。</w:t>
      </w:r>
      <w:r>
        <w:rPr>
          <w:rFonts w:ascii="宋体" w:hAnsi="宋体" w:eastAsia="宋体" w:cs="宋体"/>
          <w:sz w:val="30"/>
          <w:szCs w:val="30"/>
        </w:rPr>
        <w:t>入市主体向所在地乡（镇）人民政府递交入</w:t>
      </w:r>
      <w:r>
        <w:rPr>
          <w:rFonts w:ascii="宋体" w:hAnsi="宋体" w:eastAsia="宋体" w:cs="宋体"/>
          <w:sz w:val="31"/>
          <w:szCs w:val="31"/>
        </w:rPr>
        <w:t>市申请。</w:t>
      </w:r>
    </w:p>
    <w:p w14:paraId="0347D113">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（四）规划条件、产业准入和生态环境保护要求。</w:t>
      </w:r>
      <w:r>
        <w:rPr>
          <w:rFonts w:ascii="宋体" w:hAnsi="宋体" w:eastAsia="宋体" w:cs="宋体"/>
          <w:sz w:val="31"/>
          <w:szCs w:val="31"/>
        </w:rPr>
        <w:t>拟入市地</w:t>
      </w:r>
      <w:r>
        <w:rPr>
          <w:rFonts w:ascii="宋体" w:hAnsi="宋体" w:eastAsia="宋体" w:cs="宋体"/>
          <w:sz w:val="30"/>
          <w:szCs w:val="30"/>
        </w:rPr>
        <w:t>块所在地乡（镇）人民政府提请县自然资源和规划局</w:t>
      </w:r>
      <w:r>
        <w:rPr>
          <w:rFonts w:hint="eastAsia" w:ascii="宋体" w:hAnsi="宋体" w:eastAsia="宋体" w:cs="宋体"/>
          <w:sz w:val="30"/>
          <w:szCs w:val="30"/>
          <w:lang w:val="en-US" w:eastAsia="zh-CN"/>
        </w:rPr>
        <w:t>出具</w:t>
      </w:r>
      <w:r>
        <w:rPr>
          <w:rFonts w:ascii="宋体" w:hAnsi="宋体" w:eastAsia="宋体" w:cs="宋体"/>
          <w:sz w:val="30"/>
          <w:szCs w:val="30"/>
        </w:rPr>
        <w:t>规划条件</w:t>
      </w:r>
      <w:r>
        <w:rPr>
          <w:rFonts w:hint="eastAsia" w:ascii="宋体" w:hAnsi="宋体" w:eastAsia="宋体" w:cs="宋体"/>
          <w:sz w:val="30"/>
          <w:szCs w:val="30"/>
          <w:lang w:eastAsia="zh-CN"/>
        </w:rPr>
        <w:t>，</w:t>
      </w:r>
      <w:r>
        <w:rPr>
          <w:rFonts w:hint="eastAsia" w:ascii="宋体" w:hAnsi="宋体" w:cs="宋体"/>
          <w:sz w:val="30"/>
          <w:szCs w:val="30"/>
          <w:lang w:eastAsia="zh-CN"/>
        </w:rPr>
        <w:t>由</w:t>
      </w:r>
      <w:r>
        <w:rPr>
          <w:rFonts w:hint="eastAsia" w:ascii="宋体" w:hAnsi="宋体" w:eastAsia="宋体" w:cs="宋体"/>
          <w:sz w:val="30"/>
          <w:szCs w:val="30"/>
        </w:rPr>
        <w:t>县自然资源和规划局同步协调县发展和改革局、盐边生态环境局，分别出具产业准入要求与生态环境保护要求</w:t>
      </w:r>
      <w:r>
        <w:rPr>
          <w:rFonts w:ascii="宋体" w:hAnsi="宋体" w:eastAsia="宋体" w:cs="宋体"/>
          <w:sz w:val="31"/>
          <w:szCs w:val="31"/>
        </w:rPr>
        <w:t>。</w:t>
      </w:r>
    </w:p>
    <w:p w14:paraId="5E817129">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（五）地价评估。</w:t>
      </w:r>
      <w:r>
        <w:rPr>
          <w:rFonts w:ascii="宋体" w:hAnsi="宋体" w:eastAsia="宋体" w:cs="宋体"/>
          <w:sz w:val="31"/>
          <w:szCs w:val="31"/>
        </w:rPr>
        <w:t>入市主体委托有资质的地价评估单位对拟入市宗地进行地价评估。</w:t>
      </w:r>
      <w:bookmarkStart w:id="6" w:name="page2_5"/>
      <w:bookmarkEnd w:id="6"/>
    </w:p>
    <w:p w14:paraId="27AF7140">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（六）成本测算。</w:t>
      </w:r>
      <w:r>
        <w:rPr>
          <w:rFonts w:ascii="宋体" w:hAnsi="宋体" w:eastAsia="宋体" w:cs="宋体"/>
          <w:sz w:val="31"/>
          <w:szCs w:val="31"/>
        </w:rPr>
        <w:t>土地取得成本包括农村集体土地补偿费、土地指标费、农村房屋迁建补偿费、青苗及地上附着物补偿费、建筑物补偿费、土地开发费</w:t>
      </w:r>
      <w:r>
        <w:rPr>
          <w:rFonts w:hint="eastAsia" w:ascii="宋体" w:hAnsi="宋体" w:cs="宋体"/>
          <w:sz w:val="31"/>
          <w:szCs w:val="31"/>
          <w:lang w:eastAsia="zh-CN"/>
        </w:rPr>
        <w:t>，以及</w:t>
      </w:r>
      <w:r>
        <w:rPr>
          <w:rFonts w:ascii="宋体" w:hAnsi="宋体" w:eastAsia="宋体" w:cs="宋体"/>
          <w:sz w:val="31"/>
          <w:szCs w:val="31"/>
        </w:rPr>
        <w:t>统筹管理等费用。其中土地开发费包括策划、测绘、规划、方案、评估、推广等土地入市前期费用，以及场地平整费用、基础设施及配套建设等建设费用。</w:t>
      </w:r>
    </w:p>
    <w:p w14:paraId="1B5C447B">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（七）确定起始价。</w:t>
      </w:r>
      <w:r>
        <w:rPr>
          <w:rFonts w:ascii="宋体" w:hAnsi="宋体" w:eastAsia="宋体" w:cs="宋体"/>
          <w:sz w:val="31"/>
          <w:szCs w:val="31"/>
        </w:rPr>
        <w:t>县自然资源和规划局指导入市主体根据评估价格及土地成本确定宗地出让起始价。</w:t>
      </w:r>
    </w:p>
    <w:p w14:paraId="7CC180C0">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（八）编制入市方案。</w:t>
      </w:r>
      <w:r>
        <w:rPr>
          <w:rFonts w:ascii="宋体" w:hAnsi="宋体" w:eastAsia="宋体" w:cs="宋体"/>
          <w:sz w:val="31"/>
          <w:szCs w:val="31"/>
        </w:rPr>
        <w:t>由相关部门指导入市主体根据《中华</w:t>
      </w:r>
      <w:r>
        <w:rPr>
          <w:rFonts w:ascii="宋体" w:hAnsi="宋体" w:eastAsia="宋体" w:cs="宋体"/>
          <w:sz w:val="29"/>
          <w:szCs w:val="29"/>
        </w:rPr>
        <w:t>人民共和国土地管理法实施条例》第四十条的规定，编制入市方案，</w:t>
      </w:r>
      <w:r>
        <w:rPr>
          <w:rFonts w:ascii="宋体" w:hAnsi="宋体" w:eastAsia="宋体" w:cs="宋体"/>
          <w:sz w:val="31"/>
          <w:szCs w:val="31"/>
        </w:rPr>
        <w:t>方案内容应当载明宗地的土地界址、面积、用途、规划条件、产业准入和生态环境保护要求、使用期限、交易方式、入市价格、集体收益分配等内容。</w:t>
      </w:r>
    </w:p>
    <w:p w14:paraId="095D1F0B">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（九）入市方案决议。</w:t>
      </w:r>
      <w:r>
        <w:rPr>
          <w:rFonts w:ascii="宋体" w:hAnsi="宋体" w:eastAsia="宋体" w:cs="宋体"/>
          <w:sz w:val="31"/>
          <w:szCs w:val="31"/>
        </w:rPr>
        <w:t>经本集体经济组织成员的村民会议三分之二以上成员或者三分之二以上村民代表表决通过后形成入市方案的决议。</w:t>
      </w:r>
    </w:p>
    <w:p w14:paraId="5DA43000">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（十）核对入市方案。</w:t>
      </w:r>
      <w:r>
        <w:rPr>
          <w:rFonts w:ascii="宋体" w:hAnsi="宋体" w:eastAsia="宋体" w:cs="宋体"/>
          <w:sz w:val="31"/>
          <w:szCs w:val="31"/>
        </w:rPr>
        <w:t>地块所在乡（镇）人民政府对拟入市地块的入市方案进行初核。入市方案经县自然资源和规划委员会审议，并报县人民政府出具核对意见。入市主体根据县人民政府出具的核对意见办理入市，报县自然资源和规划局备案。</w:t>
      </w:r>
      <w:bookmarkStart w:id="7" w:name="page1_6"/>
      <w:bookmarkEnd w:id="7"/>
    </w:p>
    <w:p w14:paraId="14A8D52E">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（十一）入市交易。</w:t>
      </w:r>
      <w:r>
        <w:rPr>
          <w:rFonts w:ascii="宋体" w:hAnsi="宋体" w:eastAsia="宋体" w:cs="宋体"/>
          <w:sz w:val="31"/>
          <w:szCs w:val="31"/>
        </w:rPr>
        <w:t>入市主体持县人民政府出具的核对意见书，以及入市方案委托县自然资源交易机构进行公开交易（县自然资源交易机构成立之前，委托盐边县土地矿产储备开发中心进行交易，以下统称县交易机构）。</w:t>
      </w:r>
    </w:p>
    <w:p w14:paraId="52FA35A9">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（十二）编制出让文件。</w:t>
      </w:r>
      <w:r>
        <w:rPr>
          <w:rFonts w:ascii="宋体" w:hAnsi="宋体" w:eastAsia="宋体" w:cs="宋体"/>
          <w:sz w:val="31"/>
          <w:szCs w:val="31"/>
        </w:rPr>
        <w:t>县交易机构根据入市主体提交的入市方案编制出让文件，出让文件应当包括出让公告、投标或竞买须知、土地使用条件、规划条件、产业准入和生态环境保护要求、标书或竞买申请书、报价单、中标通知书或成交确认书、出让合同文本等内容。</w:t>
      </w:r>
    </w:p>
    <w:p w14:paraId="78F1B372">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（十三）发布入市公告。</w:t>
      </w:r>
      <w:r>
        <w:rPr>
          <w:rFonts w:ascii="宋体" w:hAnsi="宋体" w:eastAsia="宋体" w:cs="宋体"/>
          <w:sz w:val="31"/>
          <w:szCs w:val="31"/>
        </w:rPr>
        <w:t>县交易机构在交易平台发布入市公告。</w:t>
      </w:r>
    </w:p>
    <w:p w14:paraId="00BFB839">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w w:val="99"/>
          <w:sz w:val="31"/>
          <w:szCs w:val="31"/>
        </w:rPr>
      </w:pPr>
      <w:r>
        <w:rPr>
          <w:rFonts w:ascii="宋体" w:hAnsi="宋体" w:eastAsia="宋体" w:cs="宋体"/>
          <w:b/>
          <w:bCs/>
          <w:sz w:val="31"/>
          <w:szCs w:val="31"/>
        </w:rPr>
        <w:t>（十四）组织交易活动。</w:t>
      </w:r>
      <w:r>
        <w:rPr>
          <w:rFonts w:ascii="宋体" w:hAnsi="宋体" w:eastAsia="宋体" w:cs="宋体"/>
          <w:sz w:val="31"/>
          <w:szCs w:val="31"/>
        </w:rPr>
        <w:t>县交易机构组织交易活动，县交易机构根据最终出价情况确定受让人，并与受让人签订成交确认书。</w:t>
      </w:r>
    </w:p>
    <w:p w14:paraId="2D3E4EBB">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（十五）发布交易结果公示。</w:t>
      </w:r>
      <w:r>
        <w:rPr>
          <w:rFonts w:ascii="宋体" w:hAnsi="宋体" w:eastAsia="宋体" w:cs="宋体"/>
          <w:sz w:val="31"/>
          <w:szCs w:val="31"/>
        </w:rPr>
        <w:t>县交易机构在成交后</w:t>
      </w:r>
      <w:r>
        <w:rPr>
          <w:sz w:val="31"/>
          <w:szCs w:val="31"/>
        </w:rPr>
        <w:t>3</w:t>
      </w:r>
      <w:r>
        <w:rPr>
          <w:rFonts w:ascii="宋体" w:hAnsi="宋体" w:eastAsia="宋体" w:cs="宋体"/>
          <w:sz w:val="31"/>
          <w:szCs w:val="31"/>
        </w:rPr>
        <w:t>个工作日内，在交易平台公示交易结果。入市主体在成交后</w:t>
      </w:r>
      <w:r>
        <w:rPr>
          <w:sz w:val="31"/>
          <w:szCs w:val="31"/>
        </w:rPr>
        <w:t>3</w:t>
      </w:r>
      <w:r>
        <w:rPr>
          <w:rFonts w:ascii="宋体" w:hAnsi="宋体" w:eastAsia="宋体" w:cs="宋体"/>
          <w:sz w:val="31"/>
          <w:szCs w:val="31"/>
        </w:rPr>
        <w:t>个工作日内，在入市地块所属村委会公示栏公示交易结果。</w:t>
      </w:r>
    </w:p>
    <w:p w14:paraId="1DAA3925">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（十六）签订监管协议。</w:t>
      </w:r>
      <w:r>
        <w:rPr>
          <w:rFonts w:ascii="宋体" w:hAnsi="宋体" w:eastAsia="宋体" w:cs="宋体"/>
          <w:sz w:val="31"/>
          <w:szCs w:val="31"/>
        </w:rPr>
        <w:t>交易完成后</w:t>
      </w:r>
      <w:r>
        <w:rPr>
          <w:sz w:val="31"/>
          <w:szCs w:val="31"/>
        </w:rPr>
        <w:t>10</w:t>
      </w:r>
      <w:r>
        <w:rPr>
          <w:rFonts w:ascii="宋体" w:hAnsi="宋体" w:eastAsia="宋体" w:cs="宋体"/>
          <w:sz w:val="31"/>
          <w:szCs w:val="31"/>
        </w:rPr>
        <w:t>个工作日内，由县人民政府委托的乡（镇）人民政府与交易双方签订《集体经营性建设用地使用权出让监管协议》。</w:t>
      </w:r>
      <w:bookmarkStart w:id="8" w:name="page2_6"/>
      <w:bookmarkEnd w:id="8"/>
    </w:p>
    <w:p w14:paraId="0F51CA29">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（十七）签订合同。</w:t>
      </w:r>
      <w:r>
        <w:rPr>
          <w:rFonts w:ascii="宋体" w:hAnsi="宋体" w:eastAsia="宋体" w:cs="宋体"/>
          <w:sz w:val="31"/>
          <w:szCs w:val="31"/>
        </w:rPr>
        <w:t>交易双方在与入市土地属地乡（镇）人</w:t>
      </w:r>
      <w:r>
        <w:rPr>
          <w:rFonts w:ascii="宋体" w:hAnsi="宋体" w:eastAsia="宋体" w:cs="宋体"/>
          <w:sz w:val="30"/>
          <w:szCs w:val="30"/>
        </w:rPr>
        <w:t>民政府签订《集体经营性建设用地使用权出让监管协议》后，按照</w:t>
      </w:r>
      <w:r>
        <w:rPr>
          <w:rFonts w:ascii="宋体" w:hAnsi="宋体" w:eastAsia="宋体" w:cs="宋体"/>
          <w:sz w:val="29"/>
          <w:szCs w:val="29"/>
        </w:rPr>
        <w:t>成交确认书的约定签订《集体经营性建设用地使用权出让合同》（以</w:t>
      </w:r>
      <w:r>
        <w:rPr>
          <w:rFonts w:ascii="宋体" w:hAnsi="宋体" w:eastAsia="宋体" w:cs="宋体"/>
          <w:sz w:val="30"/>
          <w:szCs w:val="30"/>
        </w:rPr>
        <w:t>下简称《出让合同》），《出让合同》签订后报县自然资源和规划</w:t>
      </w:r>
      <w:r>
        <w:rPr>
          <w:rFonts w:ascii="宋体" w:hAnsi="宋体" w:eastAsia="宋体" w:cs="宋体"/>
          <w:sz w:val="31"/>
          <w:szCs w:val="31"/>
        </w:rPr>
        <w:t>局备案。</w:t>
      </w:r>
    </w:p>
    <w:p w14:paraId="21F67FD1">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（十八）缴纳相关费用。</w:t>
      </w:r>
      <w:r>
        <w:rPr>
          <w:rFonts w:ascii="宋体" w:hAnsi="宋体" w:eastAsia="宋体" w:cs="宋体"/>
          <w:sz w:val="31"/>
          <w:szCs w:val="31"/>
        </w:rPr>
        <w:t>签订《出让合同》后，县自然资源</w:t>
      </w:r>
      <w:r>
        <w:rPr>
          <w:rFonts w:hint="eastAsia" w:ascii="宋体" w:hAnsi="宋体" w:eastAsia="宋体" w:cs="宋体"/>
          <w:sz w:val="31"/>
          <w:szCs w:val="31"/>
          <w:lang w:val="en-US" w:eastAsia="zh-CN"/>
        </w:rPr>
        <w:t>和规划</w:t>
      </w:r>
      <w:r>
        <w:rPr>
          <w:rFonts w:ascii="宋体" w:hAnsi="宋体" w:eastAsia="宋体" w:cs="宋体"/>
          <w:sz w:val="30"/>
          <w:szCs w:val="30"/>
        </w:rPr>
        <w:t>局向县税务局、县财政局推送土地入市成交信息，受让人应当按照</w:t>
      </w:r>
      <w:r>
        <w:rPr>
          <w:rFonts w:hint="eastAsia" w:ascii="宋体" w:hAnsi="宋体" w:eastAsia="宋体" w:cs="宋体"/>
          <w:sz w:val="30"/>
          <w:szCs w:val="30"/>
          <w:lang w:val="en-US" w:eastAsia="zh-CN"/>
        </w:rPr>
        <w:t>合同</w:t>
      </w:r>
      <w:r>
        <w:rPr>
          <w:rFonts w:ascii="宋体" w:hAnsi="宋体" w:eastAsia="宋体" w:cs="宋体"/>
          <w:sz w:val="30"/>
          <w:szCs w:val="30"/>
        </w:rPr>
        <w:t>约定</w:t>
      </w:r>
      <w:r>
        <w:rPr>
          <w:rFonts w:hint="eastAsia" w:ascii="宋体" w:hAnsi="宋体" w:eastAsia="宋体" w:cs="宋体"/>
          <w:sz w:val="30"/>
          <w:szCs w:val="30"/>
          <w:lang w:val="en-US" w:eastAsia="zh-CN"/>
        </w:rPr>
        <w:t>按时向农村集体经济组织</w:t>
      </w:r>
      <w:r>
        <w:rPr>
          <w:rFonts w:ascii="宋体" w:hAnsi="宋体" w:eastAsia="宋体" w:cs="宋体"/>
          <w:sz w:val="30"/>
          <w:szCs w:val="30"/>
        </w:rPr>
        <w:t>支付土地价款和依法缴纳</w:t>
      </w:r>
      <w:r>
        <w:rPr>
          <w:rFonts w:hint="eastAsia" w:ascii="宋体" w:hAnsi="宋体" w:eastAsia="宋体" w:cs="宋体"/>
          <w:sz w:val="30"/>
          <w:szCs w:val="30"/>
          <w:lang w:val="en-US" w:eastAsia="zh-CN"/>
        </w:rPr>
        <w:t>契税等相关</w:t>
      </w:r>
      <w:r>
        <w:rPr>
          <w:rFonts w:ascii="宋体" w:hAnsi="宋体" w:eastAsia="宋体" w:cs="宋体"/>
          <w:sz w:val="30"/>
          <w:szCs w:val="30"/>
        </w:rPr>
        <w:t>税费；集体经济组织应及时</w:t>
      </w:r>
      <w:r>
        <w:rPr>
          <w:rFonts w:hint="eastAsia" w:ascii="宋体" w:hAnsi="宋体" w:eastAsia="宋体" w:cs="宋体"/>
          <w:sz w:val="30"/>
          <w:szCs w:val="30"/>
          <w:lang w:val="en-US" w:eastAsia="zh-CN"/>
        </w:rPr>
        <w:t>向县财政局非税收入专户</w:t>
      </w:r>
      <w:r>
        <w:rPr>
          <w:rFonts w:ascii="宋体" w:hAnsi="宋体" w:eastAsia="宋体" w:cs="宋体"/>
          <w:sz w:val="31"/>
          <w:szCs w:val="31"/>
        </w:rPr>
        <w:t>缴纳土地增值收益调节金</w:t>
      </w:r>
      <w:r>
        <w:rPr>
          <w:rFonts w:hint="eastAsia" w:ascii="宋体" w:hAnsi="宋体" w:eastAsia="宋体" w:cs="宋体"/>
          <w:sz w:val="31"/>
          <w:szCs w:val="31"/>
          <w:lang w:eastAsia="zh-CN"/>
        </w:rPr>
        <w:t>、</w:t>
      </w:r>
      <w:r>
        <w:rPr>
          <w:rFonts w:ascii="宋体" w:hAnsi="宋体" w:eastAsia="宋体" w:cs="宋体"/>
          <w:sz w:val="30"/>
          <w:szCs w:val="30"/>
        </w:rPr>
        <w:t>依法缴纳相关税费</w:t>
      </w:r>
      <w:r>
        <w:rPr>
          <w:rFonts w:ascii="宋体" w:hAnsi="宋体" w:eastAsia="宋体" w:cs="宋体"/>
          <w:sz w:val="31"/>
          <w:szCs w:val="31"/>
        </w:rPr>
        <w:t>和支付入市前期相应成本。</w:t>
      </w:r>
    </w:p>
    <w:p w14:paraId="3E35A723">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（十九）不动产登记。</w:t>
      </w:r>
      <w:r>
        <w:rPr>
          <w:rFonts w:ascii="宋体" w:hAnsi="宋体" w:eastAsia="宋体" w:cs="宋体"/>
          <w:sz w:val="31"/>
          <w:szCs w:val="31"/>
        </w:rPr>
        <w:t>按《不动产登记暂行条例》执行。</w:t>
      </w:r>
    </w:p>
    <w:p w14:paraId="4C784C84">
      <w:pPr>
        <w:keepNext w:val="0"/>
        <w:keepLines w:val="0"/>
        <w:pageBreakBefore w:val="0"/>
        <w:widowControl/>
        <w:kinsoku/>
        <w:wordWrap/>
        <w:overflowPunct/>
        <w:topLinePunct w:val="0"/>
        <w:autoSpaceDE/>
        <w:autoSpaceDN/>
        <w:bidi w:val="0"/>
        <w:adjustRightInd/>
        <w:snapToGrid/>
        <w:spacing w:after="0" w:line="600" w:lineRule="exact"/>
        <w:ind w:firstLine="620" w:firstLineChars="200"/>
        <w:jc w:val="both"/>
        <w:textAlignment w:val="auto"/>
        <w:rPr>
          <w:rFonts w:ascii="黑体" w:hAnsi="黑体" w:eastAsia="黑体" w:cs="黑体"/>
          <w:sz w:val="31"/>
          <w:szCs w:val="31"/>
        </w:rPr>
      </w:pPr>
      <w:r>
        <w:rPr>
          <w:rFonts w:ascii="黑体" w:hAnsi="黑体" w:eastAsia="黑体" w:cs="黑体"/>
          <w:sz w:val="31"/>
          <w:szCs w:val="31"/>
        </w:rPr>
        <w:t>二、农村集体经营性建设用地使用权转让程序。</w:t>
      </w:r>
    </w:p>
    <w:p w14:paraId="1E0C9A97">
      <w:pPr>
        <w:keepNext w:val="0"/>
        <w:keepLines w:val="0"/>
        <w:pageBreakBefore w:val="0"/>
        <w:widowControl/>
        <w:kinsoku/>
        <w:wordWrap/>
        <w:overflowPunct/>
        <w:topLinePunct w:val="0"/>
        <w:autoSpaceDE/>
        <w:autoSpaceDN/>
        <w:bidi w:val="0"/>
        <w:adjustRightInd/>
        <w:snapToGrid/>
        <w:spacing w:after="0" w:line="600" w:lineRule="exact"/>
        <w:ind w:firstLine="614" w:firstLineChars="200"/>
        <w:jc w:val="both"/>
        <w:textAlignment w:val="auto"/>
        <w:rPr>
          <w:rFonts w:ascii="宋体" w:hAnsi="宋体" w:eastAsia="宋体" w:cs="宋体"/>
          <w:sz w:val="31"/>
          <w:szCs w:val="31"/>
        </w:rPr>
      </w:pPr>
      <w:r>
        <w:rPr>
          <w:rFonts w:ascii="宋体" w:hAnsi="宋体" w:eastAsia="宋体" w:cs="宋体"/>
          <w:b/>
          <w:bCs/>
          <w:w w:val="99"/>
          <w:sz w:val="31"/>
          <w:szCs w:val="31"/>
        </w:rPr>
        <w:t>（一）签订转让合同。</w:t>
      </w:r>
      <w:r>
        <w:rPr>
          <w:rFonts w:ascii="宋体" w:hAnsi="宋体" w:eastAsia="宋体" w:cs="宋体"/>
          <w:sz w:val="31"/>
          <w:szCs w:val="31"/>
        </w:rPr>
        <w:t>土地使用权买卖双方签订转让合同，并书面通知土地所有权人。</w:t>
      </w:r>
    </w:p>
    <w:p w14:paraId="3185E944">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（二）缴纳相关税费。</w:t>
      </w:r>
      <w:r>
        <w:rPr>
          <w:rFonts w:ascii="宋体" w:hAnsi="宋体" w:eastAsia="宋体" w:cs="宋体"/>
          <w:sz w:val="31"/>
          <w:szCs w:val="31"/>
        </w:rPr>
        <w:t>土地使用权人（转让方）</w:t>
      </w:r>
      <w:r>
        <w:rPr>
          <w:rFonts w:hint="eastAsia" w:ascii="宋体" w:hAnsi="宋体" w:eastAsia="宋体" w:cs="宋体"/>
          <w:sz w:val="31"/>
          <w:szCs w:val="31"/>
          <w:lang w:val="en-US" w:eastAsia="zh-CN"/>
        </w:rPr>
        <w:t>依法</w:t>
      </w:r>
      <w:r>
        <w:rPr>
          <w:rFonts w:ascii="宋体" w:hAnsi="宋体" w:eastAsia="宋体" w:cs="宋体"/>
          <w:sz w:val="31"/>
          <w:szCs w:val="31"/>
        </w:rPr>
        <w:t>缴纳</w:t>
      </w:r>
      <w:r>
        <w:rPr>
          <w:rFonts w:hint="eastAsia" w:ascii="宋体" w:hAnsi="宋体" w:eastAsia="宋体" w:cs="宋体"/>
          <w:sz w:val="31"/>
          <w:szCs w:val="31"/>
          <w:lang w:val="en-US" w:eastAsia="zh-CN"/>
        </w:rPr>
        <w:t>增值税、企业所得税等</w:t>
      </w:r>
      <w:r>
        <w:rPr>
          <w:rFonts w:ascii="宋体" w:hAnsi="宋体" w:eastAsia="宋体" w:cs="宋体"/>
          <w:sz w:val="31"/>
          <w:szCs w:val="31"/>
        </w:rPr>
        <w:t>相关税费</w:t>
      </w:r>
      <w:r>
        <w:rPr>
          <w:rFonts w:hint="eastAsia" w:ascii="宋体" w:hAnsi="宋体" w:eastAsia="宋体" w:cs="宋体"/>
          <w:sz w:val="31"/>
          <w:szCs w:val="31"/>
          <w:lang w:eastAsia="zh-CN"/>
        </w:rPr>
        <w:t>；</w:t>
      </w:r>
      <w:r>
        <w:rPr>
          <w:rFonts w:hint="eastAsia" w:ascii="宋体" w:hAnsi="宋体" w:eastAsia="宋体" w:cs="宋体"/>
          <w:sz w:val="31"/>
          <w:szCs w:val="31"/>
          <w:lang w:val="en-US" w:eastAsia="zh-CN"/>
        </w:rPr>
        <w:t>土地使用权人（受让方）依法缴纳契税等相关税费</w:t>
      </w:r>
      <w:r>
        <w:rPr>
          <w:rFonts w:ascii="宋体" w:hAnsi="宋体" w:eastAsia="宋体" w:cs="宋体"/>
          <w:sz w:val="31"/>
          <w:szCs w:val="31"/>
        </w:rPr>
        <w:t>。</w:t>
      </w:r>
    </w:p>
    <w:p w14:paraId="62EF45C2">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eastAsiaTheme="minorEastAsia"/>
        </w:rPr>
      </w:pPr>
      <w:r>
        <w:rPr>
          <w:rFonts w:ascii="宋体" w:hAnsi="宋体" w:eastAsia="宋体" w:cs="宋体"/>
          <w:b/>
          <w:bCs/>
          <w:sz w:val="31"/>
          <w:szCs w:val="31"/>
        </w:rPr>
        <w:t>（三）不动产权登记。</w:t>
      </w:r>
      <w:r>
        <w:rPr>
          <w:rFonts w:ascii="宋体" w:hAnsi="宋体" w:eastAsia="宋体" w:cs="宋体"/>
          <w:sz w:val="31"/>
          <w:szCs w:val="31"/>
        </w:rPr>
        <w:t>依照《不动产登记暂行条例》，买卖双方持相关税费缴纳凭证到县不动产登记中心申请办理集体经营性建设用地使用权变更登记。</w:t>
      </w:r>
      <w:bookmarkStart w:id="9" w:name="page1_7"/>
      <w:bookmarkEnd w:id="9"/>
    </w:p>
    <w:p w14:paraId="141E9FCC">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0F0F5632">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445E9269">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61860B17">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1786A6D3">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0F99AC2A">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2193DA91">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69D92EF7">
      <w:pPr>
        <w:keepNext w:val="0"/>
        <w:keepLines w:val="0"/>
        <w:pageBreakBefore w:val="0"/>
        <w:widowControl/>
        <w:kinsoku/>
        <w:wordWrap/>
        <w:overflowPunct/>
        <w:topLinePunct w:val="0"/>
        <w:autoSpaceDE/>
        <w:autoSpaceDN/>
        <w:bidi w:val="0"/>
        <w:adjustRightInd/>
        <w:snapToGrid/>
        <w:spacing w:after="0" w:line="600" w:lineRule="exact"/>
        <w:ind w:left="140"/>
        <w:jc w:val="both"/>
        <w:textAlignment w:val="auto"/>
        <w:rPr>
          <w:rFonts w:ascii="黑体" w:hAnsi="黑体" w:eastAsia="黑体" w:cs="黑体"/>
          <w:sz w:val="31"/>
          <w:szCs w:val="31"/>
        </w:rPr>
      </w:pPr>
      <w:r>
        <w:rPr>
          <w:rFonts w:ascii="黑体" w:hAnsi="黑体" w:eastAsia="黑体" w:cs="黑体"/>
          <w:sz w:val="31"/>
          <w:szCs w:val="31"/>
        </w:rPr>
        <w:t>附件2</w:t>
      </w:r>
    </w:p>
    <w:p w14:paraId="36F7C2E1">
      <w:pPr>
        <w:keepNext w:val="0"/>
        <w:keepLines w:val="0"/>
        <w:pageBreakBefore w:val="0"/>
        <w:widowControl/>
        <w:kinsoku/>
        <w:wordWrap/>
        <w:overflowPunct/>
        <w:topLinePunct w:val="0"/>
        <w:autoSpaceDE/>
        <w:autoSpaceDN/>
        <w:bidi w:val="0"/>
        <w:adjustRightInd/>
        <w:snapToGrid/>
        <w:spacing w:after="0" w:line="600" w:lineRule="exact"/>
        <w:ind w:left="140"/>
        <w:jc w:val="both"/>
        <w:textAlignment w:val="auto"/>
        <w:rPr>
          <w:rFonts w:ascii="黑体" w:hAnsi="黑体" w:eastAsia="黑体" w:cs="黑体"/>
          <w:sz w:val="31"/>
          <w:szCs w:val="31"/>
        </w:rPr>
      </w:pPr>
    </w:p>
    <w:p w14:paraId="23E6F05F">
      <w:pPr>
        <w:keepNext w:val="0"/>
        <w:keepLines w:val="0"/>
        <w:pageBreakBefore w:val="0"/>
        <w:widowControl/>
        <w:kinsoku/>
        <w:wordWrap/>
        <w:overflowPunct/>
        <w:topLinePunct w:val="0"/>
        <w:autoSpaceDE/>
        <w:autoSpaceDN/>
        <w:bidi w:val="0"/>
        <w:adjustRightInd/>
        <w:snapToGrid/>
        <w:spacing w:after="0" w:line="600" w:lineRule="exact"/>
        <w:ind w:left="140"/>
        <w:jc w:val="center"/>
        <w:textAlignment w:val="auto"/>
        <w:rPr>
          <w:rFonts w:ascii="宋体" w:hAnsi="宋体" w:eastAsia="宋体" w:cs="宋体"/>
          <w:sz w:val="43"/>
          <w:szCs w:val="43"/>
        </w:rPr>
      </w:pPr>
      <w:r>
        <w:rPr>
          <w:rFonts w:ascii="宋体" w:hAnsi="宋体" w:eastAsia="宋体" w:cs="宋体"/>
          <w:sz w:val="43"/>
          <w:szCs w:val="43"/>
        </w:rPr>
        <w:t>《集体经营性建设用地使用权入市方案》</w:t>
      </w:r>
    </w:p>
    <w:p w14:paraId="4F81B5CB">
      <w:pPr>
        <w:keepNext w:val="0"/>
        <w:keepLines w:val="0"/>
        <w:pageBreakBefore w:val="0"/>
        <w:widowControl/>
        <w:kinsoku/>
        <w:wordWrap/>
        <w:overflowPunct/>
        <w:topLinePunct w:val="0"/>
        <w:autoSpaceDE/>
        <w:autoSpaceDN/>
        <w:bidi w:val="0"/>
        <w:adjustRightInd/>
        <w:snapToGrid/>
        <w:spacing w:after="0" w:line="600" w:lineRule="exact"/>
        <w:ind w:left="140"/>
        <w:jc w:val="center"/>
        <w:textAlignment w:val="auto"/>
        <w:rPr>
          <w:rFonts w:eastAsiaTheme="minorEastAsia"/>
          <w:sz w:val="20"/>
          <w:szCs w:val="20"/>
        </w:rPr>
      </w:pPr>
      <w:r>
        <w:rPr>
          <w:rFonts w:ascii="宋体" w:hAnsi="宋体" w:eastAsia="宋体" w:cs="宋体"/>
          <w:sz w:val="43"/>
          <w:szCs w:val="43"/>
        </w:rPr>
        <w:t>示范文本</w:t>
      </w:r>
    </w:p>
    <w:p w14:paraId="1CE9172A">
      <w:pPr>
        <w:keepNext w:val="0"/>
        <w:keepLines w:val="0"/>
        <w:pageBreakBefore w:val="0"/>
        <w:widowControl/>
        <w:kinsoku/>
        <w:wordWrap/>
        <w:overflowPunct/>
        <w:topLinePunct w:val="0"/>
        <w:autoSpaceDE/>
        <w:autoSpaceDN/>
        <w:bidi w:val="0"/>
        <w:adjustRightInd/>
        <w:snapToGrid/>
        <w:spacing w:after="0" w:line="600" w:lineRule="exact"/>
        <w:jc w:val="both"/>
        <w:textAlignment w:val="auto"/>
        <w:rPr>
          <w:rFonts w:eastAsiaTheme="minorEastAsia"/>
        </w:rPr>
      </w:pPr>
    </w:p>
    <w:p w14:paraId="5343100E">
      <w:pPr>
        <w:keepNext w:val="0"/>
        <w:keepLines w:val="0"/>
        <w:pageBreakBefore w:val="0"/>
        <w:widowControl/>
        <w:kinsoku/>
        <w:wordWrap/>
        <w:overflowPunct/>
        <w:topLinePunct w:val="0"/>
        <w:autoSpaceDE/>
        <w:autoSpaceDN/>
        <w:bidi w:val="0"/>
        <w:adjustRightInd/>
        <w:snapToGrid/>
        <w:spacing w:after="0" w:line="600" w:lineRule="exact"/>
        <w:ind w:left="760"/>
        <w:jc w:val="both"/>
        <w:textAlignment w:val="auto"/>
        <w:rPr>
          <w:rFonts w:ascii="黑体" w:hAnsi="黑体" w:eastAsia="黑体" w:cs="黑体"/>
          <w:b/>
          <w:bCs/>
          <w:sz w:val="31"/>
          <w:szCs w:val="31"/>
        </w:rPr>
      </w:pPr>
      <w:r>
        <w:rPr>
          <w:rFonts w:ascii="黑体" w:hAnsi="黑体" w:eastAsia="黑体" w:cs="黑体"/>
          <w:sz w:val="31"/>
          <w:szCs w:val="31"/>
        </w:rPr>
        <w:t>一、</w:t>
      </w:r>
      <w:r>
        <w:rPr>
          <w:b/>
          <w:bCs/>
          <w:sz w:val="31"/>
          <w:szCs w:val="31"/>
        </w:rPr>
        <w:t>XX</w:t>
      </w:r>
      <w:r>
        <w:rPr>
          <w:rFonts w:ascii="黑体" w:hAnsi="黑体" w:eastAsia="黑体" w:cs="黑体"/>
          <w:b/>
          <w:bCs/>
          <w:sz w:val="31"/>
          <w:szCs w:val="31"/>
        </w:rPr>
        <w:t>乡（镇）</w:t>
      </w:r>
      <w:r>
        <w:rPr>
          <w:b/>
          <w:bCs/>
          <w:sz w:val="31"/>
          <w:szCs w:val="31"/>
        </w:rPr>
        <w:t>202X-XX</w:t>
      </w:r>
      <w:r>
        <w:rPr>
          <w:rFonts w:ascii="黑体" w:hAnsi="黑体" w:eastAsia="黑体" w:cs="黑体"/>
          <w:b/>
          <w:bCs/>
          <w:sz w:val="31"/>
          <w:szCs w:val="31"/>
        </w:rPr>
        <w:t>宗地基本情况</w:t>
      </w:r>
    </w:p>
    <w:p w14:paraId="3F445F3A">
      <w:pPr>
        <w:keepNext w:val="0"/>
        <w:keepLines w:val="0"/>
        <w:pageBreakBefore w:val="0"/>
        <w:widowControl/>
        <w:kinsoku/>
        <w:wordWrap/>
        <w:overflowPunct/>
        <w:topLinePunct w:val="0"/>
        <w:autoSpaceDE/>
        <w:autoSpaceDN/>
        <w:bidi w:val="0"/>
        <w:adjustRightInd/>
        <w:snapToGrid/>
        <w:spacing w:after="0" w:line="600" w:lineRule="exact"/>
        <w:ind w:firstLine="620" w:firstLineChars="200"/>
        <w:jc w:val="both"/>
        <w:textAlignment w:val="auto"/>
        <w:rPr>
          <w:rFonts w:ascii="宋体" w:hAnsi="宋体" w:eastAsia="宋体" w:cs="宋体"/>
          <w:sz w:val="31"/>
          <w:szCs w:val="31"/>
        </w:rPr>
      </w:pPr>
      <w:r>
        <w:rPr>
          <w:rFonts w:ascii="宋体" w:hAnsi="宋体" w:eastAsia="宋体" w:cs="宋体"/>
          <w:sz w:val="31"/>
          <w:szCs w:val="31"/>
        </w:rPr>
        <w:t>该宗地位于盐边县</w:t>
      </w:r>
      <w:r>
        <w:rPr>
          <w:sz w:val="31"/>
          <w:szCs w:val="31"/>
        </w:rPr>
        <w:t>XX</w:t>
      </w:r>
      <w:r>
        <w:rPr>
          <w:rFonts w:ascii="宋体" w:hAnsi="宋体" w:eastAsia="宋体" w:cs="宋体"/>
          <w:sz w:val="31"/>
          <w:szCs w:val="31"/>
        </w:rPr>
        <w:t>乡（镇）</w:t>
      </w:r>
      <w:r>
        <w:rPr>
          <w:sz w:val="31"/>
          <w:szCs w:val="31"/>
        </w:rPr>
        <w:t>XX</w:t>
      </w:r>
      <w:r>
        <w:rPr>
          <w:rFonts w:ascii="宋体" w:hAnsi="宋体" w:eastAsia="宋体" w:cs="宋体"/>
          <w:sz w:val="31"/>
          <w:szCs w:val="31"/>
        </w:rPr>
        <w:t>村，面积</w:t>
      </w:r>
      <w:r>
        <w:rPr>
          <w:sz w:val="31"/>
          <w:szCs w:val="31"/>
        </w:rPr>
        <w:t>XXX</w:t>
      </w:r>
      <w:r>
        <w:rPr>
          <w:rFonts w:ascii="宋体" w:hAnsi="宋体" w:eastAsia="宋体" w:cs="宋体"/>
          <w:sz w:val="31"/>
          <w:szCs w:val="31"/>
        </w:rPr>
        <w:t>㎡（约</w:t>
      </w:r>
      <w:r>
        <w:rPr>
          <w:sz w:val="31"/>
          <w:szCs w:val="31"/>
        </w:rPr>
        <w:t>XX</w:t>
      </w:r>
      <w:r>
        <w:rPr>
          <w:rFonts w:ascii="宋体" w:hAnsi="宋体" w:eastAsia="宋体" w:cs="宋体"/>
          <w:sz w:val="31"/>
          <w:szCs w:val="31"/>
        </w:rPr>
        <w:t>亩）。</w:t>
      </w:r>
    </w:p>
    <w:p w14:paraId="480C6603">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黑体" w:hAnsi="黑体" w:eastAsia="黑体" w:cs="黑体"/>
          <w:b/>
          <w:bCs/>
          <w:sz w:val="31"/>
          <w:szCs w:val="31"/>
        </w:rPr>
      </w:pPr>
      <w:r>
        <w:rPr>
          <w:rFonts w:ascii="黑体" w:hAnsi="黑体" w:eastAsia="黑体" w:cs="黑体"/>
          <w:b/>
          <w:bCs/>
          <w:sz w:val="31"/>
          <w:szCs w:val="31"/>
        </w:rPr>
        <w:t>二、主要规划条件</w:t>
      </w:r>
    </w:p>
    <w:p w14:paraId="6CC5E961">
      <w:pPr>
        <w:keepNext w:val="0"/>
        <w:keepLines w:val="0"/>
        <w:pageBreakBefore w:val="0"/>
        <w:widowControl/>
        <w:kinsoku/>
        <w:wordWrap/>
        <w:overflowPunct/>
        <w:topLinePunct w:val="0"/>
        <w:autoSpaceDE/>
        <w:autoSpaceDN/>
        <w:bidi w:val="0"/>
        <w:adjustRightInd/>
        <w:snapToGrid/>
        <w:spacing w:after="0" w:line="600" w:lineRule="exact"/>
        <w:ind w:firstLine="620" w:firstLineChars="200"/>
        <w:jc w:val="both"/>
        <w:textAlignment w:val="auto"/>
        <w:rPr>
          <w:rFonts w:eastAsiaTheme="minorEastAsia"/>
        </w:rPr>
      </w:pPr>
      <w:r>
        <w:rPr>
          <w:rFonts w:ascii="宋体" w:hAnsi="宋体" w:eastAsia="宋体" w:cs="宋体"/>
          <w:sz w:val="31"/>
          <w:szCs w:val="31"/>
        </w:rPr>
        <w:t>用地性质：</w:t>
      </w:r>
      <w:r>
        <w:rPr>
          <w:sz w:val="31"/>
          <w:szCs w:val="31"/>
        </w:rPr>
        <w:t>XX</w:t>
      </w:r>
      <w:r>
        <w:rPr>
          <w:rFonts w:ascii="宋体" w:hAnsi="宋体" w:eastAsia="宋体" w:cs="宋体"/>
          <w:sz w:val="31"/>
          <w:szCs w:val="31"/>
        </w:rPr>
        <w:t>用地（商业</w:t>
      </w:r>
      <w:r>
        <w:rPr>
          <w:sz w:val="31"/>
          <w:szCs w:val="31"/>
        </w:rPr>
        <w:t>/</w:t>
      </w:r>
      <w:r>
        <w:rPr>
          <w:rFonts w:ascii="宋体" w:hAnsi="宋体" w:eastAsia="宋体" w:cs="宋体"/>
          <w:sz w:val="31"/>
          <w:szCs w:val="31"/>
        </w:rPr>
        <w:t>工业</w:t>
      </w:r>
      <w:r>
        <w:rPr>
          <w:sz w:val="31"/>
          <w:szCs w:val="31"/>
        </w:rPr>
        <w:t>/</w:t>
      </w:r>
      <w:r>
        <w:rPr>
          <w:rFonts w:ascii="宋体" w:hAnsi="宋体" w:eastAsia="宋体" w:cs="宋体"/>
          <w:sz w:val="31"/>
          <w:szCs w:val="31"/>
        </w:rPr>
        <w:t>仓储等）；容积率≦</w:t>
      </w:r>
      <w:r>
        <w:rPr>
          <w:sz w:val="31"/>
          <w:szCs w:val="31"/>
        </w:rPr>
        <w:t>XX</w:t>
      </w:r>
      <w:r>
        <w:rPr>
          <w:rFonts w:ascii="宋体" w:hAnsi="宋体" w:eastAsia="宋体" w:cs="宋体"/>
          <w:sz w:val="31"/>
          <w:szCs w:val="31"/>
        </w:rPr>
        <w:t>；绿地率≧</w:t>
      </w:r>
      <w:r>
        <w:rPr>
          <w:sz w:val="31"/>
          <w:szCs w:val="31"/>
        </w:rPr>
        <w:t>XX%</w:t>
      </w:r>
      <w:r>
        <w:rPr>
          <w:rFonts w:ascii="宋体" w:hAnsi="宋体" w:eastAsia="宋体" w:cs="宋体"/>
          <w:sz w:val="31"/>
          <w:szCs w:val="31"/>
        </w:rPr>
        <w:t>；建筑密度≦</w:t>
      </w:r>
      <w:r>
        <w:rPr>
          <w:sz w:val="31"/>
          <w:szCs w:val="31"/>
        </w:rPr>
        <w:t>XX%</w:t>
      </w:r>
      <w:r>
        <w:rPr>
          <w:rFonts w:ascii="宋体" w:hAnsi="宋体" w:eastAsia="宋体" w:cs="宋体"/>
          <w:sz w:val="31"/>
          <w:szCs w:val="31"/>
        </w:rPr>
        <w:t>；建筑高度≦</w:t>
      </w:r>
      <w:r>
        <w:rPr>
          <w:sz w:val="31"/>
          <w:szCs w:val="31"/>
        </w:rPr>
        <w:t>XXm</w:t>
      </w:r>
      <w:r>
        <w:rPr>
          <w:rFonts w:ascii="宋体" w:hAnsi="宋体" w:eastAsia="宋体" w:cs="宋体"/>
          <w:sz w:val="31"/>
          <w:szCs w:val="31"/>
        </w:rPr>
        <w:t>，兼容的</w:t>
      </w:r>
      <w:r>
        <w:rPr>
          <w:sz w:val="31"/>
          <w:szCs w:val="31"/>
        </w:rPr>
        <w:t>XX</w:t>
      </w:r>
      <w:r>
        <w:rPr>
          <w:rFonts w:ascii="宋体" w:hAnsi="宋体" w:eastAsia="宋体" w:cs="宋体"/>
          <w:sz w:val="31"/>
          <w:szCs w:val="31"/>
        </w:rPr>
        <w:t>用地（商业</w:t>
      </w:r>
      <w:r>
        <w:rPr>
          <w:sz w:val="31"/>
          <w:szCs w:val="31"/>
        </w:rPr>
        <w:t>/</w:t>
      </w:r>
      <w:r>
        <w:rPr>
          <w:rFonts w:ascii="宋体" w:hAnsi="宋体" w:eastAsia="宋体" w:cs="宋体"/>
          <w:sz w:val="31"/>
          <w:szCs w:val="31"/>
        </w:rPr>
        <w:t>工业）面积占总建筑面积</w:t>
      </w:r>
      <w:r>
        <w:rPr>
          <w:sz w:val="31"/>
          <w:szCs w:val="31"/>
        </w:rPr>
        <w:t>≤XX%</w:t>
      </w:r>
      <w:r>
        <w:rPr>
          <w:rFonts w:ascii="宋体" w:hAnsi="宋体" w:eastAsia="宋体" w:cs="宋体"/>
          <w:sz w:val="31"/>
          <w:szCs w:val="31"/>
        </w:rPr>
        <w:t>（兼容多用途的用地）。</w:t>
      </w:r>
    </w:p>
    <w:p w14:paraId="46F60B90">
      <w:pPr>
        <w:keepNext w:val="0"/>
        <w:keepLines w:val="0"/>
        <w:pageBreakBefore w:val="0"/>
        <w:widowControl/>
        <w:kinsoku/>
        <w:wordWrap/>
        <w:overflowPunct/>
        <w:topLinePunct w:val="0"/>
        <w:autoSpaceDE/>
        <w:autoSpaceDN/>
        <w:bidi w:val="0"/>
        <w:adjustRightInd/>
        <w:snapToGrid/>
        <w:spacing w:after="0" w:line="600" w:lineRule="exact"/>
        <w:ind w:left="760"/>
        <w:jc w:val="both"/>
        <w:textAlignment w:val="auto"/>
        <w:rPr>
          <w:rFonts w:ascii="宋体" w:hAnsi="宋体" w:eastAsia="宋体" w:cs="宋体"/>
          <w:sz w:val="31"/>
          <w:szCs w:val="31"/>
        </w:rPr>
      </w:pPr>
      <w:r>
        <w:rPr>
          <w:rFonts w:ascii="黑体" w:hAnsi="黑体" w:eastAsia="黑体" w:cs="黑体"/>
          <w:b/>
          <w:bCs/>
          <w:sz w:val="31"/>
          <w:szCs w:val="31"/>
        </w:rPr>
        <w:t>三、供地方式：</w:t>
      </w:r>
      <w:r>
        <w:rPr>
          <w:rFonts w:ascii="宋体" w:hAnsi="宋体" w:eastAsia="宋体" w:cs="宋体"/>
          <w:sz w:val="31"/>
          <w:szCs w:val="31"/>
        </w:rPr>
        <w:t>拍卖</w:t>
      </w:r>
      <w:r>
        <w:rPr>
          <w:sz w:val="31"/>
          <w:szCs w:val="31"/>
        </w:rPr>
        <w:t>/</w:t>
      </w:r>
      <w:r>
        <w:rPr>
          <w:rFonts w:ascii="宋体" w:hAnsi="宋体" w:eastAsia="宋体" w:cs="宋体"/>
          <w:sz w:val="31"/>
          <w:szCs w:val="31"/>
        </w:rPr>
        <w:t>挂牌。</w:t>
      </w:r>
    </w:p>
    <w:p w14:paraId="172CF325">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eastAsiaTheme="minorEastAsia"/>
        </w:rPr>
      </w:pPr>
      <w:r>
        <w:rPr>
          <w:rFonts w:ascii="黑体" w:hAnsi="黑体" w:eastAsia="黑体" w:cs="黑体"/>
          <w:b/>
          <w:bCs/>
          <w:sz w:val="31"/>
          <w:szCs w:val="31"/>
        </w:rPr>
        <w:t>四、入市年限：</w:t>
      </w:r>
      <w:r>
        <w:rPr>
          <w:rFonts w:ascii="宋体" w:hAnsi="宋体" w:eastAsia="宋体" w:cs="宋体"/>
          <w:sz w:val="31"/>
          <w:szCs w:val="31"/>
        </w:rPr>
        <w:t>商服用地</w:t>
      </w:r>
      <w:r>
        <w:rPr>
          <w:sz w:val="31"/>
          <w:szCs w:val="31"/>
        </w:rPr>
        <w:t>XX</w:t>
      </w:r>
      <w:r>
        <w:rPr>
          <w:rFonts w:ascii="宋体" w:hAnsi="宋体" w:eastAsia="宋体" w:cs="宋体"/>
          <w:sz w:val="31"/>
          <w:szCs w:val="31"/>
        </w:rPr>
        <w:t>年</w:t>
      </w:r>
      <w:r>
        <w:rPr>
          <w:sz w:val="31"/>
          <w:szCs w:val="31"/>
        </w:rPr>
        <w:t>/</w:t>
      </w:r>
      <w:r>
        <w:rPr>
          <w:rFonts w:ascii="宋体" w:hAnsi="宋体" w:eastAsia="宋体" w:cs="宋体"/>
          <w:sz w:val="31"/>
          <w:szCs w:val="31"/>
        </w:rPr>
        <w:t>工业用地</w:t>
      </w:r>
      <w:r>
        <w:rPr>
          <w:sz w:val="31"/>
          <w:szCs w:val="31"/>
        </w:rPr>
        <w:t>XX</w:t>
      </w:r>
      <w:r>
        <w:rPr>
          <w:rFonts w:ascii="宋体" w:hAnsi="宋体" w:eastAsia="宋体" w:cs="宋体"/>
          <w:sz w:val="31"/>
          <w:szCs w:val="31"/>
        </w:rPr>
        <w:t>年（可弹性出让）。</w:t>
      </w:r>
    </w:p>
    <w:p w14:paraId="0C56E41D">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eastAsiaTheme="minorEastAsia"/>
        </w:rPr>
      </w:pPr>
      <w:r>
        <w:rPr>
          <w:rFonts w:ascii="黑体" w:hAnsi="黑体" w:eastAsia="黑体" w:cs="黑体"/>
          <w:b/>
          <w:bCs/>
          <w:sz w:val="31"/>
          <w:szCs w:val="31"/>
        </w:rPr>
        <w:t>五、入市实施方案</w:t>
      </w:r>
    </w:p>
    <w:p w14:paraId="4DF95559">
      <w:pPr>
        <w:keepNext w:val="0"/>
        <w:keepLines w:val="0"/>
        <w:pageBreakBefore w:val="0"/>
        <w:widowControl/>
        <w:kinsoku/>
        <w:wordWrap/>
        <w:overflowPunct/>
        <w:topLinePunct w:val="0"/>
        <w:autoSpaceDE/>
        <w:autoSpaceDN/>
        <w:bidi w:val="0"/>
        <w:adjustRightInd/>
        <w:snapToGrid/>
        <w:spacing w:after="0" w:line="600" w:lineRule="exact"/>
        <w:ind w:firstLine="614" w:firstLineChars="200"/>
        <w:jc w:val="both"/>
        <w:textAlignment w:val="auto"/>
        <w:rPr>
          <w:rFonts w:ascii="宋体" w:hAnsi="宋体" w:eastAsia="宋体" w:cs="宋体"/>
          <w:sz w:val="31"/>
          <w:szCs w:val="31"/>
        </w:rPr>
      </w:pPr>
      <w:r>
        <w:rPr>
          <w:rFonts w:ascii="宋体" w:hAnsi="宋体" w:eastAsia="宋体" w:cs="宋体"/>
          <w:b/>
          <w:bCs/>
          <w:w w:val="99"/>
          <w:sz w:val="31"/>
          <w:szCs w:val="31"/>
        </w:rPr>
        <w:t>（一）</w:t>
      </w:r>
      <w:r>
        <w:rPr>
          <w:rFonts w:ascii="宋体" w:hAnsi="宋体" w:eastAsia="宋体" w:cs="宋体"/>
          <w:sz w:val="31"/>
          <w:szCs w:val="31"/>
        </w:rPr>
        <w:t>本宗地不设保留底价，起始价XX万元</w:t>
      </w:r>
      <w:r>
        <w:rPr>
          <w:rFonts w:hint="eastAsia" w:ascii="宋体" w:hAnsi="宋体" w:eastAsia="宋体" w:cs="宋体"/>
          <w:sz w:val="31"/>
          <w:szCs w:val="31"/>
          <w:lang w:eastAsia="zh-CN"/>
        </w:rPr>
        <w:t>（</w:t>
      </w:r>
      <w:r>
        <w:rPr>
          <w:rFonts w:ascii="宋体" w:hAnsi="宋体" w:eastAsia="宋体" w:cs="宋体"/>
          <w:sz w:val="31"/>
          <w:szCs w:val="31"/>
        </w:rPr>
        <w:t>XX万/亩）。</w:t>
      </w:r>
    </w:p>
    <w:p w14:paraId="3772E8A8">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（二）</w:t>
      </w:r>
      <w:r>
        <w:rPr>
          <w:rFonts w:ascii="宋体" w:hAnsi="宋体" w:eastAsia="宋体" w:cs="宋体"/>
          <w:sz w:val="31"/>
          <w:szCs w:val="31"/>
        </w:rPr>
        <w:t>竞买保证金</w:t>
      </w:r>
      <w:r>
        <w:rPr>
          <w:sz w:val="31"/>
          <w:szCs w:val="31"/>
        </w:rPr>
        <w:t>XX</w:t>
      </w:r>
      <w:r>
        <w:rPr>
          <w:rFonts w:ascii="宋体" w:hAnsi="宋体" w:eastAsia="宋体" w:cs="宋体"/>
          <w:sz w:val="31"/>
          <w:szCs w:val="31"/>
        </w:rPr>
        <w:t>万元。</w:t>
      </w:r>
    </w:p>
    <w:p w14:paraId="374F780F">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eastAsiaTheme="minorEastAsia"/>
        </w:rPr>
      </w:pPr>
      <w:r>
        <w:rPr>
          <w:rFonts w:ascii="宋体" w:hAnsi="宋体" w:eastAsia="宋体" w:cs="宋体"/>
          <w:b/>
          <w:bCs/>
          <w:sz w:val="31"/>
          <w:szCs w:val="31"/>
        </w:rPr>
        <w:t>（三）</w:t>
      </w:r>
      <w:r>
        <w:rPr>
          <w:rFonts w:ascii="宋体" w:hAnsi="宋体" w:eastAsia="宋体" w:cs="宋体"/>
          <w:sz w:val="31"/>
          <w:szCs w:val="31"/>
        </w:rPr>
        <w:t>竞得人需按以下第</w:t>
      </w:r>
      <w:r>
        <w:rPr>
          <w:sz w:val="31"/>
          <w:szCs w:val="31"/>
        </w:rPr>
        <w:t>XX</w:t>
      </w:r>
      <w:r>
        <w:rPr>
          <w:rFonts w:ascii="宋体" w:hAnsi="宋体" w:eastAsia="宋体" w:cs="宋体"/>
          <w:sz w:val="31"/>
          <w:szCs w:val="31"/>
        </w:rPr>
        <w:t>条方式缴纳土地价款：</w:t>
      </w:r>
    </w:p>
    <w:p w14:paraId="5308C7C7">
      <w:pPr>
        <w:keepNext w:val="0"/>
        <w:keepLines w:val="0"/>
        <w:pageBreakBefore w:val="0"/>
        <w:widowControl/>
        <w:kinsoku/>
        <w:wordWrap/>
        <w:overflowPunct/>
        <w:topLinePunct w:val="0"/>
        <w:autoSpaceDE/>
        <w:autoSpaceDN/>
        <w:bidi w:val="0"/>
        <w:adjustRightInd/>
        <w:snapToGrid/>
        <w:spacing w:after="0" w:line="600" w:lineRule="exact"/>
        <w:ind w:left="760"/>
        <w:jc w:val="both"/>
        <w:textAlignment w:val="auto"/>
        <w:rPr>
          <w:rFonts w:ascii="宋体" w:hAnsi="宋体" w:eastAsia="宋体" w:cs="宋体"/>
          <w:sz w:val="31"/>
          <w:szCs w:val="31"/>
        </w:rPr>
      </w:pPr>
      <w:r>
        <w:rPr>
          <w:w w:val="99"/>
          <w:sz w:val="31"/>
          <w:szCs w:val="31"/>
        </w:rPr>
        <w:t>1.</w:t>
      </w:r>
      <w:r>
        <w:rPr>
          <w:rFonts w:ascii="宋体" w:hAnsi="宋体" w:eastAsia="宋体" w:cs="宋体"/>
          <w:sz w:val="31"/>
          <w:szCs w:val="31"/>
        </w:rPr>
        <w:t>出让合同签订之日起XX日内，一次性缴清全部土地价款；</w:t>
      </w:r>
    </w:p>
    <w:p w14:paraId="0806ABAA">
      <w:pPr>
        <w:keepNext w:val="0"/>
        <w:keepLines w:val="0"/>
        <w:pageBreakBefore w:val="0"/>
        <w:widowControl/>
        <w:kinsoku/>
        <w:wordWrap/>
        <w:overflowPunct/>
        <w:topLinePunct w:val="0"/>
        <w:autoSpaceDE/>
        <w:autoSpaceDN/>
        <w:bidi w:val="0"/>
        <w:adjustRightInd/>
        <w:snapToGrid/>
        <w:spacing w:after="0" w:line="600" w:lineRule="exact"/>
        <w:ind w:left="760"/>
        <w:jc w:val="both"/>
        <w:textAlignment w:val="auto"/>
        <w:rPr>
          <w:rFonts w:eastAsiaTheme="minorEastAsia"/>
          <w:sz w:val="20"/>
          <w:szCs w:val="20"/>
        </w:rPr>
      </w:pPr>
      <w:r>
        <w:rPr>
          <w:sz w:val="31"/>
          <w:szCs w:val="31"/>
        </w:rPr>
        <w:t>2.</w:t>
      </w:r>
      <w:r>
        <w:rPr>
          <w:rFonts w:ascii="宋体" w:hAnsi="宋体" w:eastAsia="宋体" w:cs="宋体"/>
          <w:sz w:val="31"/>
          <w:szCs w:val="31"/>
        </w:rPr>
        <w:t>按以下时间分</w:t>
      </w:r>
      <w:r>
        <w:rPr>
          <w:sz w:val="31"/>
          <w:szCs w:val="31"/>
        </w:rPr>
        <w:t>XX</w:t>
      </w:r>
      <w:r>
        <w:rPr>
          <w:rFonts w:ascii="宋体" w:hAnsi="宋体" w:eastAsia="宋体" w:cs="宋体"/>
          <w:sz w:val="31"/>
          <w:szCs w:val="31"/>
        </w:rPr>
        <w:t>期缴纳土地价款。</w:t>
      </w:r>
    </w:p>
    <w:p w14:paraId="2B4E255C">
      <w:pPr>
        <w:keepNext w:val="0"/>
        <w:keepLines w:val="0"/>
        <w:pageBreakBefore w:val="0"/>
        <w:widowControl/>
        <w:kinsoku/>
        <w:wordWrap/>
        <w:overflowPunct/>
        <w:topLinePunct w:val="0"/>
        <w:autoSpaceDE/>
        <w:autoSpaceDN/>
        <w:bidi w:val="0"/>
        <w:adjustRightInd/>
        <w:snapToGrid/>
        <w:spacing w:after="0" w:line="600" w:lineRule="exact"/>
        <w:ind w:left="760"/>
        <w:jc w:val="both"/>
        <w:textAlignment w:val="auto"/>
        <w:rPr>
          <w:rFonts w:eastAsiaTheme="minorEastAsia"/>
          <w:sz w:val="20"/>
          <w:szCs w:val="20"/>
        </w:rPr>
      </w:pPr>
      <w:r>
        <w:rPr>
          <w:rFonts w:ascii="宋体" w:hAnsi="宋体" w:eastAsia="宋体" w:cs="宋体"/>
          <w:sz w:val="31"/>
          <w:szCs w:val="31"/>
        </w:rPr>
        <w:t>第一期</w:t>
      </w:r>
      <w:r>
        <w:rPr>
          <w:rFonts w:hint="eastAsia" w:ascii="宋体" w:hAnsi="宋体" w:eastAsia="宋体" w:cs="宋体"/>
          <w:sz w:val="31"/>
          <w:szCs w:val="31"/>
          <w:lang w:val="en-US" w:eastAsia="zh-CN"/>
        </w:rPr>
        <w:t xml:space="preserve"> </w:t>
      </w:r>
      <w:r>
        <w:rPr>
          <w:rFonts w:ascii="宋体" w:hAnsi="宋体" w:eastAsia="宋体" w:cs="宋体"/>
          <w:sz w:val="31"/>
          <w:szCs w:val="31"/>
        </w:rPr>
        <w:t>出让合同签订之日起</w:t>
      </w:r>
      <w:r>
        <w:rPr>
          <w:sz w:val="31"/>
          <w:szCs w:val="31"/>
        </w:rPr>
        <w:t>XX</w:t>
      </w:r>
      <w:r>
        <w:rPr>
          <w:rFonts w:ascii="宋体" w:hAnsi="宋体" w:eastAsia="宋体" w:cs="宋体"/>
          <w:sz w:val="31"/>
          <w:szCs w:val="31"/>
        </w:rPr>
        <w:t>日内，缴纳</w:t>
      </w:r>
      <w:r>
        <w:rPr>
          <w:sz w:val="31"/>
          <w:szCs w:val="31"/>
        </w:rPr>
        <w:t>50%</w:t>
      </w:r>
      <w:r>
        <w:rPr>
          <w:rFonts w:ascii="宋体" w:hAnsi="宋体" w:eastAsia="宋体" w:cs="宋体"/>
          <w:sz w:val="31"/>
          <w:szCs w:val="31"/>
        </w:rPr>
        <w:t>土地价款。</w:t>
      </w:r>
    </w:p>
    <w:p w14:paraId="53A1292D">
      <w:pPr>
        <w:keepNext w:val="0"/>
        <w:keepLines w:val="0"/>
        <w:pageBreakBefore w:val="0"/>
        <w:widowControl/>
        <w:kinsoku/>
        <w:wordWrap/>
        <w:overflowPunct/>
        <w:topLinePunct w:val="0"/>
        <w:autoSpaceDE/>
        <w:autoSpaceDN/>
        <w:bidi w:val="0"/>
        <w:adjustRightInd/>
        <w:snapToGrid/>
        <w:spacing w:after="0" w:line="600" w:lineRule="exact"/>
        <w:ind w:left="760"/>
        <w:jc w:val="both"/>
        <w:textAlignment w:val="auto"/>
        <w:rPr>
          <w:rFonts w:hint="eastAsia" w:ascii="宋体" w:hAnsi="宋体" w:eastAsia="宋体" w:cs="宋体"/>
          <w:sz w:val="31"/>
          <w:szCs w:val="31"/>
          <w:lang w:eastAsia="zh-CN"/>
        </w:rPr>
      </w:pPr>
      <w:r>
        <w:rPr>
          <w:rFonts w:ascii="宋体" w:hAnsi="宋体" w:eastAsia="宋体" w:cs="宋体"/>
          <w:sz w:val="31"/>
          <w:szCs w:val="31"/>
        </w:rPr>
        <w:t>第二期 出让合同签订之日起</w:t>
      </w:r>
      <w:r>
        <w:rPr>
          <w:sz w:val="31"/>
          <w:szCs w:val="31"/>
        </w:rPr>
        <w:t>XX</w:t>
      </w:r>
      <w:r>
        <w:rPr>
          <w:rFonts w:ascii="宋体" w:hAnsi="宋体" w:eastAsia="宋体" w:cs="宋体"/>
          <w:sz w:val="31"/>
          <w:szCs w:val="31"/>
        </w:rPr>
        <w:t>日内，缴纳</w:t>
      </w:r>
      <w:r>
        <w:rPr>
          <w:sz w:val="31"/>
          <w:szCs w:val="31"/>
        </w:rPr>
        <w:t>XX%</w:t>
      </w:r>
      <w:r>
        <w:rPr>
          <w:rFonts w:ascii="宋体" w:hAnsi="宋体" w:eastAsia="宋体" w:cs="宋体"/>
          <w:sz w:val="31"/>
          <w:szCs w:val="31"/>
        </w:rPr>
        <w:t>土地价款</w:t>
      </w:r>
      <w:r>
        <w:rPr>
          <w:rFonts w:hint="eastAsia" w:ascii="宋体" w:hAnsi="宋体" w:eastAsia="宋体" w:cs="宋体"/>
          <w:sz w:val="31"/>
          <w:szCs w:val="31"/>
          <w:lang w:eastAsia="zh-CN"/>
        </w:rPr>
        <w:t>。</w:t>
      </w:r>
    </w:p>
    <w:p w14:paraId="49A77AC8">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（四）交地时间：</w:t>
      </w:r>
      <w:r>
        <w:rPr>
          <w:rFonts w:ascii="宋体" w:hAnsi="宋体" w:eastAsia="宋体" w:cs="宋体"/>
          <w:sz w:val="31"/>
          <w:szCs w:val="31"/>
        </w:rPr>
        <w:t>出让人在《出让合同》签订后</w:t>
      </w:r>
      <w:r>
        <w:rPr>
          <w:sz w:val="31"/>
          <w:szCs w:val="31"/>
        </w:rPr>
        <w:t>XX</w:t>
      </w:r>
      <w:r>
        <w:rPr>
          <w:rFonts w:ascii="宋体" w:hAnsi="宋体" w:eastAsia="宋体" w:cs="宋体"/>
          <w:sz w:val="31"/>
          <w:szCs w:val="31"/>
        </w:rPr>
        <w:t>日内组织实施交地。</w:t>
      </w:r>
    </w:p>
    <w:p w14:paraId="3E0005BF">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（五）开竣工时间：</w:t>
      </w:r>
      <w:r>
        <w:rPr>
          <w:rFonts w:ascii="宋体" w:hAnsi="宋体" w:eastAsia="宋体" w:cs="宋体"/>
          <w:sz w:val="31"/>
          <w:szCs w:val="31"/>
        </w:rPr>
        <w:t>竞得人必须在交地之日起</w:t>
      </w:r>
      <w:r>
        <w:rPr>
          <w:sz w:val="31"/>
          <w:szCs w:val="31"/>
        </w:rPr>
        <w:t>1</w:t>
      </w:r>
      <w:r>
        <w:rPr>
          <w:rFonts w:ascii="宋体" w:hAnsi="宋体" w:eastAsia="宋体" w:cs="宋体"/>
          <w:sz w:val="31"/>
          <w:szCs w:val="31"/>
        </w:rPr>
        <w:t>年内开工建设，开工之日起</w:t>
      </w:r>
      <w:r>
        <w:rPr>
          <w:sz w:val="31"/>
          <w:szCs w:val="31"/>
        </w:rPr>
        <w:t>3</w:t>
      </w:r>
      <w:r>
        <w:rPr>
          <w:rFonts w:ascii="宋体" w:hAnsi="宋体" w:eastAsia="宋体" w:cs="宋体"/>
          <w:sz w:val="31"/>
          <w:szCs w:val="31"/>
        </w:rPr>
        <w:t>年内竣工。</w:t>
      </w:r>
    </w:p>
    <w:p w14:paraId="4874DAF4">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（六）</w:t>
      </w:r>
      <w:r>
        <w:rPr>
          <w:rFonts w:ascii="宋体" w:hAnsi="宋体" w:eastAsia="宋体" w:cs="宋体"/>
          <w:sz w:val="31"/>
          <w:szCs w:val="31"/>
        </w:rPr>
        <w:t>工业用地内行政办公及生活服务设施用地面积不得超过</w:t>
      </w:r>
      <w:r>
        <w:rPr>
          <w:rFonts w:ascii="宋体" w:hAnsi="宋体" w:eastAsia="宋体" w:cs="宋体"/>
          <w:sz w:val="30"/>
          <w:szCs w:val="30"/>
        </w:rPr>
        <w:t>项目总用地面积的</w:t>
      </w:r>
      <w:r>
        <w:rPr>
          <w:sz w:val="30"/>
          <w:szCs w:val="30"/>
        </w:rPr>
        <w:t>7%</w:t>
      </w:r>
      <w:r>
        <w:rPr>
          <w:rFonts w:ascii="宋体" w:hAnsi="宋体" w:eastAsia="宋体" w:cs="宋体"/>
          <w:sz w:val="30"/>
          <w:szCs w:val="30"/>
        </w:rPr>
        <w:t>。严禁在工业项目用地范围内建造成套住宅、</w:t>
      </w:r>
      <w:r>
        <w:rPr>
          <w:rFonts w:ascii="宋体" w:hAnsi="宋体" w:eastAsia="宋体" w:cs="宋体"/>
          <w:sz w:val="31"/>
          <w:szCs w:val="31"/>
        </w:rPr>
        <w:t>专家楼、宾馆、招待所和培训中心等非生产性配套设施。竞得人改变用途用于其他开发的，必须由出让人收回土地使用权，重新按规定程序出让。</w:t>
      </w:r>
    </w:p>
    <w:p w14:paraId="01B24CA4">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（七）</w:t>
      </w:r>
      <w:r>
        <w:rPr>
          <w:rFonts w:ascii="宋体" w:hAnsi="宋体" w:eastAsia="宋体" w:cs="宋体"/>
          <w:sz w:val="31"/>
          <w:szCs w:val="31"/>
        </w:rPr>
        <w:t>竞得人必须按照合同约定，按期向县自然资源和规划局提交《建设项目动工申报书》和《建设项目竣工申报书》，如竞得者不执行申报制度的，县自然资源和规划局将向社会公示，纳入疑似闲置土地进行清理调查。</w:t>
      </w:r>
    </w:p>
    <w:p w14:paraId="6F716853">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0"/>
          <w:szCs w:val="30"/>
        </w:rPr>
      </w:pPr>
      <w:r>
        <w:rPr>
          <w:rFonts w:ascii="宋体" w:hAnsi="宋体" w:eastAsia="宋体" w:cs="宋体"/>
          <w:b/>
          <w:bCs/>
          <w:sz w:val="31"/>
          <w:szCs w:val="31"/>
        </w:rPr>
        <w:t>（八）</w:t>
      </w:r>
      <w:r>
        <w:rPr>
          <w:rFonts w:ascii="宋体" w:hAnsi="宋体" w:eastAsia="宋体" w:cs="宋体"/>
          <w:sz w:val="31"/>
          <w:szCs w:val="31"/>
        </w:rPr>
        <w:t>竞得人应协调解决好该地块周边居民出行及项目建设进</w:t>
      </w:r>
      <w:r>
        <w:rPr>
          <w:rFonts w:ascii="宋体" w:hAnsi="宋体" w:eastAsia="宋体" w:cs="宋体"/>
          <w:sz w:val="30"/>
          <w:szCs w:val="30"/>
        </w:rPr>
        <w:t>出车辆通行道路问题，并妥善处理好与相邻已建建筑间的相互关系。</w:t>
      </w:r>
    </w:p>
    <w:p w14:paraId="3C2CB267">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（九）</w:t>
      </w:r>
      <w:r>
        <w:rPr>
          <w:rFonts w:ascii="宋体" w:hAnsi="宋体" w:eastAsia="宋体" w:cs="宋体"/>
          <w:sz w:val="31"/>
          <w:szCs w:val="31"/>
        </w:rPr>
        <w:t>宗地以现状地形提供，所产生的弃土、弃方、挡墙、</w:t>
      </w:r>
      <w:bookmarkStart w:id="10" w:name="page1_8"/>
      <w:bookmarkEnd w:id="10"/>
      <w:r>
        <w:rPr>
          <w:rFonts w:ascii="宋体" w:hAnsi="宋体" w:eastAsia="宋体" w:cs="宋体"/>
          <w:sz w:val="31"/>
          <w:szCs w:val="31"/>
        </w:rPr>
        <w:t>放坡等各种工程由竞得人自行解决，费用自理；宗地内地面残留附着物的清场由竞得人自行解决，费用自理。竞得人应对宗地内及周边地形进行实测，加强边坡安全措施处理，并保证稳定性，宗地挡墙、放坡、地下室、室外楼梯等附属设施不得超出用地红线范围，确保场地、市政管网设施、拟建建筑、城市道路的安全。</w:t>
      </w:r>
    </w:p>
    <w:p w14:paraId="59FB9A2C">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（十）</w:t>
      </w:r>
      <w:r>
        <w:rPr>
          <w:rFonts w:ascii="宋体" w:hAnsi="宋体" w:eastAsia="宋体" w:cs="宋体"/>
          <w:sz w:val="31"/>
          <w:szCs w:val="31"/>
        </w:rPr>
        <w:t>宗地内的给排水、电、路及其设施与宗地外主管线接口由竞得人按照规划设计要求自行联系协调各相关部门解决，费用由竞得人承担。</w:t>
      </w:r>
    </w:p>
    <w:p w14:paraId="4B7B3C8E">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（十一）</w:t>
      </w:r>
      <w:r>
        <w:rPr>
          <w:rFonts w:ascii="宋体" w:hAnsi="宋体" w:eastAsia="宋体" w:cs="宋体"/>
          <w:sz w:val="31"/>
          <w:szCs w:val="31"/>
        </w:rPr>
        <w:t>竞得人需按要求开展环评、安评、水保等工作，并严格落实相关条件。应严格按照相关环保</w:t>
      </w:r>
      <w:r>
        <w:rPr>
          <w:rFonts w:hint="eastAsia" w:ascii="宋体" w:hAnsi="宋体" w:cs="宋体"/>
          <w:sz w:val="31"/>
          <w:szCs w:val="31"/>
          <w:lang w:eastAsia="zh-CN"/>
        </w:rPr>
        <w:t>法律法规</w:t>
      </w:r>
      <w:r>
        <w:rPr>
          <w:rFonts w:ascii="宋体" w:hAnsi="宋体" w:eastAsia="宋体" w:cs="宋体"/>
          <w:sz w:val="31"/>
          <w:szCs w:val="31"/>
        </w:rPr>
        <w:t>的要求办理有关环保手续。项目在建设期和运营期应严格按照环境影响评价文件及批复的要求，落实各项环境保护设施、措施，确保各项污染物全面稳定达标排放。竞得人必须无条件配合宗地内外各类管线施工。</w:t>
      </w:r>
    </w:p>
    <w:p w14:paraId="15EB1444">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（十二）</w:t>
      </w:r>
      <w:r>
        <w:rPr>
          <w:rFonts w:ascii="宋体" w:hAnsi="宋体" w:eastAsia="宋体" w:cs="宋体"/>
          <w:sz w:val="31"/>
          <w:szCs w:val="31"/>
        </w:rPr>
        <w:t>建筑面积和计容建筑面积计算应严格按《建筑工程建筑面积计算规范》（</w:t>
      </w:r>
      <w:r>
        <w:rPr>
          <w:sz w:val="31"/>
          <w:szCs w:val="31"/>
        </w:rPr>
        <w:t>GB/T50353-2013</w:t>
      </w:r>
      <w:r>
        <w:rPr>
          <w:rFonts w:ascii="宋体" w:hAnsi="宋体" w:eastAsia="宋体" w:cs="宋体"/>
          <w:sz w:val="31"/>
          <w:szCs w:val="31"/>
        </w:rPr>
        <w:t>）和《攀枝花市建设项目计容建筑面积计算规则》（</w:t>
      </w:r>
      <w:r>
        <w:rPr>
          <w:sz w:val="31"/>
          <w:szCs w:val="31"/>
        </w:rPr>
        <w:t>2015</w:t>
      </w:r>
      <w:r>
        <w:rPr>
          <w:rFonts w:ascii="宋体" w:hAnsi="宋体" w:eastAsia="宋体" w:cs="宋体"/>
          <w:sz w:val="31"/>
          <w:szCs w:val="31"/>
        </w:rPr>
        <w:t>版）执行。</w:t>
      </w:r>
    </w:p>
    <w:p w14:paraId="0A1C601B">
      <w:pPr>
        <w:keepNext w:val="0"/>
        <w:keepLines w:val="0"/>
        <w:pageBreakBefore w:val="0"/>
        <w:widowControl/>
        <w:kinsoku/>
        <w:wordWrap/>
        <w:overflowPunct/>
        <w:topLinePunct w:val="0"/>
        <w:autoSpaceDE/>
        <w:autoSpaceDN/>
        <w:bidi w:val="0"/>
        <w:adjustRightInd/>
        <w:snapToGrid/>
        <w:spacing w:after="0" w:line="600" w:lineRule="exact"/>
        <w:ind w:firstLine="614" w:firstLineChars="200"/>
        <w:jc w:val="both"/>
        <w:textAlignment w:val="auto"/>
        <w:rPr>
          <w:rFonts w:eastAsiaTheme="minorEastAsia"/>
          <w:sz w:val="20"/>
          <w:szCs w:val="20"/>
        </w:rPr>
      </w:pPr>
      <w:r>
        <w:rPr>
          <w:rFonts w:ascii="宋体" w:hAnsi="宋体" w:eastAsia="宋体" w:cs="宋体"/>
          <w:b/>
          <w:bCs/>
          <w:w w:val="99"/>
          <w:sz w:val="31"/>
          <w:szCs w:val="31"/>
        </w:rPr>
        <w:t>（十三）</w:t>
      </w:r>
      <w:r>
        <w:rPr>
          <w:rFonts w:ascii="宋体" w:hAnsi="宋体" w:eastAsia="宋体" w:cs="宋体"/>
          <w:sz w:val="31"/>
          <w:szCs w:val="31"/>
        </w:rPr>
        <w:t>该宗地的建设需按相关规定做好工棚搭建、排污、排土、降噪、降尘等措施，确保文明施工。因该宗地开发建设产生各种纠纷、矛盾等影响稳定的情形，由竞得人自行负责解决。该宗地施工</w:t>
      </w:r>
      <w:r>
        <w:rPr>
          <w:rFonts w:ascii="宋体" w:hAnsi="宋体" w:eastAsia="宋体" w:cs="宋体"/>
          <w:sz w:val="29"/>
          <w:szCs w:val="29"/>
        </w:rPr>
        <w:t>过程中，造成的环境破坏，地质灾害以及周边既有建筑安全问题等，</w:t>
      </w:r>
      <w:r>
        <w:rPr>
          <w:rFonts w:ascii="宋体" w:hAnsi="宋体" w:eastAsia="宋体" w:cs="宋体"/>
          <w:sz w:val="31"/>
          <w:szCs w:val="31"/>
        </w:rPr>
        <w:t>由竞得人自行负责。</w:t>
      </w:r>
    </w:p>
    <w:p w14:paraId="33B98702">
      <w:pPr>
        <w:keepNext w:val="0"/>
        <w:keepLines w:val="0"/>
        <w:pageBreakBefore w:val="0"/>
        <w:widowControl/>
        <w:kinsoku/>
        <w:wordWrap/>
        <w:overflowPunct/>
        <w:topLinePunct w:val="0"/>
        <w:autoSpaceDE/>
        <w:autoSpaceDN/>
        <w:bidi w:val="0"/>
        <w:adjustRightInd/>
        <w:snapToGrid/>
        <w:spacing w:after="0" w:line="600" w:lineRule="exact"/>
        <w:ind w:left="760"/>
        <w:jc w:val="both"/>
        <w:textAlignment w:val="auto"/>
        <w:rPr>
          <w:rFonts w:eastAsiaTheme="minorEastAsia"/>
          <w:sz w:val="20"/>
          <w:szCs w:val="20"/>
        </w:rPr>
      </w:pPr>
      <w:r>
        <w:rPr>
          <w:rFonts w:ascii="黑体" w:hAnsi="黑体" w:eastAsia="黑体" w:cs="黑体"/>
          <w:b/>
          <w:bCs/>
          <w:sz w:val="31"/>
          <w:szCs w:val="31"/>
        </w:rPr>
        <w:t>六、生态环境保护和产业准入要求</w:t>
      </w:r>
    </w:p>
    <w:p w14:paraId="2E423CA7">
      <w:pPr>
        <w:keepNext w:val="0"/>
        <w:keepLines w:val="0"/>
        <w:pageBreakBefore w:val="0"/>
        <w:widowControl/>
        <w:kinsoku/>
        <w:wordWrap/>
        <w:overflowPunct/>
        <w:topLinePunct w:val="0"/>
        <w:autoSpaceDE/>
        <w:autoSpaceDN/>
        <w:bidi w:val="0"/>
        <w:adjustRightInd/>
        <w:snapToGrid/>
        <w:spacing w:after="0" w:line="600" w:lineRule="exact"/>
        <w:ind w:left="760"/>
        <w:jc w:val="both"/>
        <w:textAlignment w:val="auto"/>
        <w:rPr>
          <w:rFonts w:eastAsiaTheme="minorEastAsia"/>
          <w:sz w:val="20"/>
          <w:szCs w:val="20"/>
        </w:rPr>
      </w:pPr>
      <w:r>
        <w:rPr>
          <w:rFonts w:ascii="宋体" w:hAnsi="宋体" w:eastAsia="宋体" w:cs="宋体"/>
          <w:b/>
          <w:bCs/>
          <w:sz w:val="31"/>
          <w:szCs w:val="31"/>
        </w:rPr>
        <w:t>（一）生态环境保护要求</w:t>
      </w:r>
    </w:p>
    <w:p w14:paraId="4B5B502B">
      <w:pPr>
        <w:keepNext w:val="0"/>
        <w:keepLines w:val="0"/>
        <w:pageBreakBefore w:val="0"/>
        <w:widowControl/>
        <w:kinsoku/>
        <w:wordWrap/>
        <w:overflowPunct/>
        <w:topLinePunct w:val="0"/>
        <w:autoSpaceDE/>
        <w:autoSpaceDN/>
        <w:bidi w:val="0"/>
        <w:adjustRightInd/>
        <w:snapToGrid/>
        <w:spacing w:after="0" w:line="600" w:lineRule="exact"/>
        <w:ind w:left="760"/>
        <w:jc w:val="both"/>
        <w:textAlignment w:val="auto"/>
        <w:rPr>
          <w:rFonts w:eastAsiaTheme="minorEastAsia"/>
          <w:sz w:val="20"/>
          <w:szCs w:val="20"/>
        </w:rPr>
      </w:pPr>
      <w:r>
        <w:rPr>
          <w:rFonts w:ascii="宋体" w:hAnsi="宋体" w:eastAsia="宋体" w:cs="宋体"/>
          <w:sz w:val="31"/>
          <w:szCs w:val="31"/>
        </w:rPr>
        <w:t>竞得人建设的项目需</w:t>
      </w:r>
      <w:r>
        <w:rPr>
          <w:sz w:val="31"/>
          <w:szCs w:val="31"/>
        </w:rPr>
        <w:t>XXXXXXXX</w:t>
      </w:r>
      <w:r>
        <w:rPr>
          <w:rFonts w:ascii="宋体" w:hAnsi="宋体" w:eastAsia="宋体" w:cs="宋体"/>
          <w:sz w:val="31"/>
          <w:szCs w:val="31"/>
        </w:rPr>
        <w:t>。</w:t>
      </w:r>
    </w:p>
    <w:p w14:paraId="68C09DE5">
      <w:pPr>
        <w:keepNext w:val="0"/>
        <w:keepLines w:val="0"/>
        <w:pageBreakBefore w:val="0"/>
        <w:widowControl/>
        <w:kinsoku/>
        <w:wordWrap/>
        <w:overflowPunct/>
        <w:topLinePunct w:val="0"/>
        <w:autoSpaceDE/>
        <w:autoSpaceDN/>
        <w:bidi w:val="0"/>
        <w:adjustRightInd/>
        <w:snapToGrid/>
        <w:spacing w:after="0" w:line="600" w:lineRule="exact"/>
        <w:ind w:left="760"/>
        <w:jc w:val="both"/>
        <w:textAlignment w:val="auto"/>
        <w:rPr>
          <w:rFonts w:eastAsiaTheme="minorEastAsia"/>
          <w:sz w:val="20"/>
          <w:szCs w:val="20"/>
        </w:rPr>
      </w:pPr>
      <w:r>
        <w:rPr>
          <w:rFonts w:ascii="宋体" w:hAnsi="宋体" w:eastAsia="宋体" w:cs="宋体"/>
          <w:b/>
          <w:bCs/>
          <w:sz w:val="31"/>
          <w:szCs w:val="31"/>
        </w:rPr>
        <w:t>（二）产业准入要求</w:t>
      </w:r>
    </w:p>
    <w:p w14:paraId="51D8408E">
      <w:pPr>
        <w:keepNext w:val="0"/>
        <w:keepLines w:val="0"/>
        <w:pageBreakBefore w:val="0"/>
        <w:widowControl/>
        <w:kinsoku/>
        <w:wordWrap/>
        <w:overflowPunct/>
        <w:topLinePunct w:val="0"/>
        <w:autoSpaceDE/>
        <w:autoSpaceDN/>
        <w:bidi w:val="0"/>
        <w:adjustRightInd/>
        <w:snapToGrid/>
        <w:spacing w:after="0" w:line="600" w:lineRule="exact"/>
        <w:ind w:left="760"/>
        <w:jc w:val="both"/>
        <w:textAlignment w:val="auto"/>
        <w:rPr>
          <w:rFonts w:eastAsiaTheme="minorEastAsia"/>
          <w:sz w:val="20"/>
          <w:szCs w:val="20"/>
        </w:rPr>
      </w:pPr>
      <w:r>
        <w:rPr>
          <w:rFonts w:ascii="宋体" w:hAnsi="宋体" w:eastAsia="宋体" w:cs="宋体"/>
          <w:sz w:val="31"/>
          <w:szCs w:val="31"/>
        </w:rPr>
        <w:t>竞得人建设的项目需</w:t>
      </w:r>
      <w:r>
        <w:rPr>
          <w:sz w:val="31"/>
          <w:szCs w:val="31"/>
        </w:rPr>
        <w:t>XXXXXXXX</w:t>
      </w:r>
      <w:r>
        <w:rPr>
          <w:rFonts w:ascii="宋体" w:hAnsi="宋体" w:eastAsia="宋体" w:cs="宋体"/>
          <w:sz w:val="31"/>
          <w:szCs w:val="31"/>
        </w:rPr>
        <w:t>。</w:t>
      </w:r>
    </w:p>
    <w:p w14:paraId="471CFE7C">
      <w:pPr>
        <w:keepNext w:val="0"/>
        <w:keepLines w:val="0"/>
        <w:pageBreakBefore w:val="0"/>
        <w:widowControl/>
        <w:kinsoku/>
        <w:wordWrap/>
        <w:overflowPunct/>
        <w:topLinePunct w:val="0"/>
        <w:autoSpaceDE/>
        <w:autoSpaceDN/>
        <w:bidi w:val="0"/>
        <w:adjustRightInd/>
        <w:snapToGrid/>
        <w:spacing w:after="0" w:line="600" w:lineRule="exact"/>
        <w:ind w:left="760"/>
        <w:jc w:val="both"/>
        <w:textAlignment w:val="auto"/>
        <w:rPr>
          <w:rFonts w:ascii="黑体" w:hAnsi="黑体" w:eastAsia="黑体" w:cs="黑体"/>
          <w:b/>
          <w:bCs/>
          <w:sz w:val="31"/>
          <w:szCs w:val="31"/>
        </w:rPr>
      </w:pPr>
      <w:r>
        <w:rPr>
          <w:rFonts w:ascii="黑体" w:hAnsi="黑体" w:eastAsia="黑体" w:cs="黑体"/>
          <w:b/>
          <w:bCs/>
          <w:sz w:val="31"/>
          <w:szCs w:val="31"/>
        </w:rPr>
        <w:t>七、增值收益分配方案</w:t>
      </w:r>
    </w:p>
    <w:p w14:paraId="33851CF9">
      <w:pPr>
        <w:keepNext w:val="0"/>
        <w:keepLines w:val="0"/>
        <w:pageBreakBefore w:val="0"/>
        <w:widowControl/>
        <w:kinsoku/>
        <w:wordWrap/>
        <w:overflowPunct/>
        <w:topLinePunct w:val="0"/>
        <w:autoSpaceDE/>
        <w:autoSpaceDN/>
        <w:bidi w:val="0"/>
        <w:adjustRightInd/>
        <w:snapToGrid/>
        <w:spacing w:after="0" w:line="600" w:lineRule="exact"/>
        <w:ind w:firstLine="614" w:firstLineChars="200"/>
        <w:jc w:val="both"/>
        <w:textAlignment w:val="auto"/>
        <w:rPr>
          <w:rFonts w:ascii="宋体" w:hAnsi="宋体" w:eastAsia="宋体" w:cs="宋体"/>
          <w:sz w:val="31"/>
          <w:szCs w:val="31"/>
        </w:rPr>
      </w:pPr>
      <w:r>
        <w:rPr>
          <w:rFonts w:ascii="宋体" w:hAnsi="宋体" w:eastAsia="宋体" w:cs="宋体"/>
          <w:b/>
          <w:bCs/>
          <w:w w:val="99"/>
          <w:sz w:val="31"/>
          <w:szCs w:val="31"/>
        </w:rPr>
        <w:t>（一）</w:t>
      </w:r>
      <w:r>
        <w:rPr>
          <w:rFonts w:ascii="宋体" w:hAnsi="宋体" w:eastAsia="宋体" w:cs="宋体"/>
          <w:sz w:val="31"/>
          <w:szCs w:val="31"/>
        </w:rPr>
        <w:t>入市主体按规定向县财政局缴纳土地增值收益调节金。</w:t>
      </w:r>
    </w:p>
    <w:p w14:paraId="4A8FB37D">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（二）</w:t>
      </w:r>
      <w:r>
        <w:rPr>
          <w:rFonts w:ascii="宋体" w:hAnsi="宋体" w:eastAsia="宋体" w:cs="宋体"/>
          <w:sz w:val="31"/>
          <w:szCs w:val="31"/>
        </w:rPr>
        <w:t>集体经济组织依据当年的土地收益，扣除弥补亏损后的净收益，村民委员会按照净收益的</w:t>
      </w:r>
      <w:r>
        <w:rPr>
          <w:sz w:val="31"/>
          <w:szCs w:val="31"/>
        </w:rPr>
        <w:t>XX%</w:t>
      </w:r>
      <w:r>
        <w:rPr>
          <w:rFonts w:ascii="宋体" w:hAnsi="宋体" w:eastAsia="宋体" w:cs="宋体"/>
          <w:sz w:val="31"/>
          <w:szCs w:val="31"/>
        </w:rPr>
        <w:t>收取调剂金，集体经济组织成员按照净收益的</w:t>
      </w:r>
      <w:r>
        <w:rPr>
          <w:sz w:val="31"/>
          <w:szCs w:val="31"/>
        </w:rPr>
        <w:t>XX%</w:t>
      </w:r>
      <w:r>
        <w:rPr>
          <w:rFonts w:ascii="宋体" w:hAnsi="宋体" w:eastAsia="宋体" w:cs="宋体"/>
          <w:sz w:val="31"/>
          <w:szCs w:val="31"/>
        </w:rPr>
        <w:t>进行现金分配，剩余部分作为集体经济组织积累发展资金留存。</w:t>
      </w:r>
    </w:p>
    <w:p w14:paraId="315AE340">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ascii="宋体" w:hAnsi="宋体" w:eastAsia="宋体" w:cs="宋体"/>
          <w:sz w:val="31"/>
          <w:szCs w:val="31"/>
        </w:rPr>
      </w:pPr>
      <w:r>
        <w:rPr>
          <w:rFonts w:ascii="宋体" w:hAnsi="宋体" w:eastAsia="宋体" w:cs="宋体"/>
          <w:b/>
          <w:bCs/>
          <w:sz w:val="31"/>
          <w:szCs w:val="31"/>
        </w:rPr>
        <w:t>（三）</w:t>
      </w:r>
      <w:r>
        <w:rPr>
          <w:rFonts w:ascii="宋体" w:hAnsi="宋体" w:eastAsia="宋体" w:cs="宋体"/>
          <w:sz w:val="31"/>
          <w:szCs w:val="31"/>
        </w:rPr>
        <w:t>收益分配对象为本集体经济组织成员。</w:t>
      </w:r>
    </w:p>
    <w:p w14:paraId="642622B5">
      <w:pPr>
        <w:keepNext w:val="0"/>
        <w:keepLines w:val="0"/>
        <w:pageBreakBefore w:val="0"/>
        <w:widowControl/>
        <w:kinsoku/>
        <w:wordWrap/>
        <w:overflowPunct/>
        <w:topLinePunct w:val="0"/>
        <w:autoSpaceDE/>
        <w:autoSpaceDN/>
        <w:bidi w:val="0"/>
        <w:adjustRightInd/>
        <w:snapToGrid/>
        <w:spacing w:after="0" w:line="600" w:lineRule="exact"/>
        <w:ind w:firstLine="622" w:firstLineChars="200"/>
        <w:jc w:val="both"/>
        <w:textAlignment w:val="auto"/>
        <w:rPr>
          <w:rFonts w:eastAsiaTheme="minorEastAsia"/>
          <w:sz w:val="20"/>
          <w:szCs w:val="20"/>
        </w:rPr>
      </w:pPr>
      <w:r>
        <w:rPr>
          <w:rFonts w:ascii="宋体" w:hAnsi="宋体" w:eastAsia="宋体" w:cs="宋体"/>
          <w:b/>
          <w:bCs/>
          <w:sz w:val="31"/>
          <w:szCs w:val="31"/>
        </w:rPr>
        <w:t>（四）</w:t>
      </w:r>
      <w:r>
        <w:rPr>
          <w:rFonts w:ascii="宋体" w:hAnsi="宋体" w:eastAsia="宋体" w:cs="宋体"/>
          <w:sz w:val="31"/>
          <w:szCs w:val="31"/>
        </w:rPr>
        <w:t>分配周期为一个会计核算年度，于次年的第一季度内进行分配。</w:t>
      </w:r>
    </w:p>
    <w:p w14:paraId="0ED5020E"/>
    <w:p w14:paraId="2B1B83A2">
      <w:bookmarkStart w:id="11" w:name="_GoBack"/>
      <w:bookmarkEnd w:id="11"/>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ZDVmMTI1ZWI2YWFjMjQ1MzJhMzY5MTg2YjQ2OTQifQ=="/>
  </w:docVars>
  <w:rsids>
    <w:rsidRoot w:val="78E97192"/>
    <w:rsid w:val="0E903DF5"/>
    <w:rsid w:val="191044B0"/>
    <w:rsid w:val="220D77DF"/>
    <w:rsid w:val="41C061C4"/>
    <w:rsid w:val="49940662"/>
    <w:rsid w:val="49A35E02"/>
    <w:rsid w:val="4CA120A5"/>
    <w:rsid w:val="59254E33"/>
    <w:rsid w:val="68975A25"/>
    <w:rsid w:val="745F66ED"/>
    <w:rsid w:val="78E97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widowControl w:val="0"/>
      <w:ind w:left="1680"/>
      <w:jc w:val="both"/>
    </w:pPr>
    <w:rPr>
      <w:rFonts w:ascii="Calibri" w:hAnsi="Calibri"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4759</Words>
  <Characters>4773</Characters>
  <Lines>0</Lines>
  <Paragraphs>0</Paragraphs>
  <TotalTime>31</TotalTime>
  <ScaleCrop>false</ScaleCrop>
  <LinksUpToDate>false</LinksUpToDate>
  <CharactersWithSpaces>4836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2025-10-17T09:08:00Z</dcterms:created>
  <dc:creator>Cj</dc:creator>
  <cp:lastModifiedBy>Just Do It</cp:lastModifiedBy>
  <dcterms:modified xsi:type="dcterms:W3CDTF">2025-10-21T03:35:35Z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C28B07EC253D4497985328F5428E3D7B_13</vt:lpwstr>
  </property>
  <property fmtid="{D5CDD505-2E9C-101B-9397-08002B2CF9AE}" pid="4" name="KSOTemplateDocerSaveRecord">
    <vt:lpwstr>eyJoZGlkIjoiNDkxYTQ1MTdhOWIwM2IxZTgyNWM0YzU1OWU0YTIwNGYiLCJ1c2VySWQiOiI0MDE1NjgxNjEifQ==</vt:lpwstr>
  </property>
</Properties>
</file>