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93"/>
        <w:jc w:val="center"/>
        <w:rPr>
          <w:rFonts w:hint="default" w:ascii="Times New Roman" w:hAnsi="Times New Roman" w:eastAsia="方正小标宋简体" w:cs="Times New Roman"/>
          <w:kern w:val="2"/>
          <w:sz w:val="44"/>
          <w:szCs w:val="44"/>
        </w:rPr>
      </w:pPr>
    </w:p>
    <w:p>
      <w:pPr>
        <w:pStyle w:val="9"/>
        <w:spacing w:before="93"/>
        <w:jc w:val="center"/>
        <w:rPr>
          <w:rFonts w:hint="default" w:ascii="Times New Roman" w:hAnsi="Times New Roman" w:eastAsia="方正小标宋简体" w:cs="Times New Roman"/>
          <w:kern w:val="2"/>
          <w:sz w:val="72"/>
          <w:szCs w:val="72"/>
        </w:rPr>
      </w:pPr>
    </w:p>
    <w:p>
      <w:pPr>
        <w:pStyle w:val="9"/>
        <w:spacing w:before="93"/>
        <w:jc w:val="center"/>
        <w:rPr>
          <w:rFonts w:hint="default" w:ascii="Times New Roman" w:hAnsi="Times New Roman" w:eastAsia="方正小标宋简体" w:cs="Times New Roman"/>
          <w:kern w:val="2"/>
          <w:sz w:val="72"/>
          <w:szCs w:val="72"/>
        </w:rPr>
      </w:pPr>
    </w:p>
    <w:p>
      <w:pPr>
        <w:pStyle w:val="9"/>
        <w:spacing w:before="93"/>
        <w:jc w:val="center"/>
        <w:rPr>
          <w:rFonts w:hint="default" w:ascii="Times New Roman" w:hAnsi="Times New Roman" w:eastAsia="方正小标宋简体" w:cs="Times New Roman"/>
          <w:kern w:val="2"/>
          <w:sz w:val="72"/>
          <w:szCs w:val="72"/>
        </w:rPr>
      </w:pPr>
    </w:p>
    <w:p>
      <w:pPr>
        <w:pStyle w:val="9"/>
        <w:spacing w:before="93"/>
        <w:jc w:val="center"/>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rPr>
        <w:t>2024年度盐边县</w:t>
      </w:r>
      <w:r>
        <w:rPr>
          <w:rFonts w:hint="default" w:ascii="Times New Roman" w:hAnsi="Times New Roman" w:eastAsia="方正小标宋_GBK" w:cs="Times New Roman"/>
          <w:kern w:val="2"/>
          <w:sz w:val="44"/>
          <w:szCs w:val="44"/>
          <w:lang w:val="en-US" w:eastAsia="zh-CN"/>
        </w:rPr>
        <w:t>桐子林镇人民政府</w:t>
      </w:r>
    </w:p>
    <w:p>
      <w:pPr>
        <w:pStyle w:val="9"/>
        <w:spacing w:before="93"/>
        <w:jc w:val="center"/>
        <w:rPr>
          <w:rFonts w:hint="default" w:ascii="Times New Roman" w:hAnsi="Times New Roman" w:eastAsia="方正小标宋_GBK" w:cs="Times New Roman"/>
          <w:kern w:val="2"/>
          <w:sz w:val="72"/>
          <w:szCs w:val="72"/>
        </w:rPr>
      </w:pPr>
      <w:r>
        <w:rPr>
          <w:rFonts w:hint="default" w:ascii="Times New Roman" w:hAnsi="Times New Roman" w:eastAsia="方正小标宋_GBK" w:cs="Times New Roman"/>
          <w:kern w:val="2"/>
          <w:sz w:val="44"/>
          <w:szCs w:val="44"/>
        </w:rPr>
        <w:t>单位决算公开编制说明</w:t>
      </w:r>
    </w:p>
    <w:p>
      <w:pPr>
        <w:spacing w:line="600" w:lineRule="exact"/>
        <w:jc w:val="center"/>
        <w:outlineLvl w:val="0"/>
        <w:rPr>
          <w:rFonts w:hint="default" w:ascii="Times New Roman" w:hAnsi="Times New Roman" w:eastAsia="方正小标宋简体" w:cs="Times New Roman"/>
          <w:sz w:val="72"/>
          <w:szCs w:val="72"/>
        </w:rPr>
      </w:pPr>
    </w:p>
    <w:p>
      <w:pPr>
        <w:pStyle w:val="21"/>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sdt>
      <w:sdtPr>
        <w:rPr>
          <w:rFonts w:hint="eastAsia" w:ascii="方正仿宋_GBK" w:hAnsi="方正仿宋_GBK" w:eastAsia="方正仿宋_GBK" w:cs="方正仿宋_GBK"/>
          <w:kern w:val="2"/>
          <w:sz w:val="32"/>
          <w:szCs w:val="32"/>
          <w:lang w:val="en-US" w:eastAsia="zh-CN" w:bidi="ar-SA"/>
        </w:rPr>
        <w:id w:val="147479226"/>
        <w:docPartObj>
          <w:docPartGallery w:val="Table of Contents"/>
          <w:docPartUnique/>
        </w:docPartObj>
      </w:sdtPr>
      <w:sdtEndPr>
        <w:rPr>
          <w:rFonts w:hint="eastAsia" w:ascii="方正仿宋_GBK" w:hAnsi="方正仿宋_GBK" w:eastAsia="方正仿宋_GBK" w:cs="方正仿宋_GBK"/>
          <w:kern w:val="2"/>
          <w:sz w:val="24"/>
          <w:szCs w:val="2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_GBK" w:hAnsi="方正小标宋_GBK" w:eastAsia="方正小标宋_GBK" w:cs="方正小标宋_GBK"/>
              <w:sz w:val="32"/>
              <w:szCs w:val="32"/>
            </w:rPr>
          </w:pPr>
          <w:bookmarkStart w:id="0" w:name="_Toc16376_WPSOffice_Type2"/>
          <w:r>
            <w:rPr>
              <w:rFonts w:hint="eastAsia" w:ascii="方正小标宋_GBK" w:hAnsi="方正小标宋_GBK" w:eastAsia="方正小标宋_GBK" w:cs="方正小标宋_GBK"/>
              <w:sz w:val="32"/>
              <w:szCs w:val="32"/>
            </w:rPr>
            <w:t>目录</w:t>
          </w:r>
        </w:p>
        <w:p>
          <w:pPr>
            <w:pStyle w:val="8"/>
            <w:ind w:firstLine="1960" w:firstLineChars="700"/>
            <w:rPr>
              <w:rFonts w:hint="eastAsia"/>
            </w:rPr>
          </w:pPr>
          <w:r>
            <w:rPr>
              <w:rFonts w:hint="eastAsia" w:ascii="方正仿宋_GBK" w:hAnsi="方正仿宋_GBK" w:eastAsia="方正仿宋_GBK" w:cs="方正仿宋_GBK"/>
              <w:sz w:val="28"/>
              <w:szCs w:val="28"/>
              <w:lang w:val="en-US" w:eastAsia="zh-CN"/>
            </w:rPr>
            <w:t>公开时间：2025年8月4日</w:t>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_Toc20825_WPSOffice_Level1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1827"/>
              <w:placeholder>
                <w:docPart w:val="{70ef65b1-90b1-4840-b90b-3d2a1dd029db}"/>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第一部分  单位概况</w:t>
              </w:r>
            </w:sdtContent>
          </w:sdt>
          <w:r>
            <w:rPr>
              <w:rFonts w:hint="eastAsia" w:ascii="方正仿宋_GBK" w:hAnsi="方正仿宋_GBK" w:eastAsia="方正仿宋_GBK" w:cs="方正仿宋_GBK"/>
              <w:b/>
              <w:bCs/>
              <w:sz w:val="28"/>
              <w:szCs w:val="28"/>
            </w:rPr>
            <w:tab/>
          </w:r>
          <w:bookmarkStart w:id="1" w:name="_Toc20825_WPSOffice_Level1Page"/>
          <w:r>
            <w:rPr>
              <w:rFonts w:hint="eastAsia" w:ascii="方正仿宋_GBK" w:hAnsi="方正仿宋_GBK" w:eastAsia="方正仿宋_GBK" w:cs="方正仿宋_GBK"/>
              <w:b/>
              <w:bCs/>
              <w:sz w:val="28"/>
              <w:szCs w:val="28"/>
            </w:rPr>
            <w:t>2</w:t>
          </w:r>
          <w:bookmarkEnd w:id="1"/>
          <w:r>
            <w:rPr>
              <w:rFonts w:hint="eastAsia" w:ascii="方正仿宋_GBK" w:hAnsi="方正仿宋_GBK" w:eastAsia="方正仿宋_GBK" w:cs="方正仿宋_GBK"/>
              <w:b/>
              <w:bCs/>
              <w:sz w:val="28"/>
              <w:szCs w:val="28"/>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_Toc16376_WPSOffice_Level2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372"/>
              <w:placeholder>
                <w:docPart w:val="{5f639bb1-02eb-47bb-93de-6cbac8a0ece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 xml:space="preserve">一、 </w:t>
              </w:r>
              <w:r>
                <w:rPr>
                  <w:rFonts w:hint="eastAsia" w:ascii="方正仿宋_GBK" w:hAnsi="方正仿宋_GBK" w:eastAsia="方正仿宋_GBK" w:cs="方正仿宋_GBK"/>
                  <w:sz w:val="24"/>
                  <w:szCs w:val="24"/>
                  <w:lang w:val="en-US" w:eastAsia="zh-CN"/>
                </w:rPr>
                <w:t>单位</w:t>
              </w:r>
              <w:r>
                <w:rPr>
                  <w:rFonts w:hint="eastAsia" w:ascii="方正仿宋_GBK" w:hAnsi="方正仿宋_GBK" w:eastAsia="方正仿宋_GBK" w:cs="方正仿宋_GBK"/>
                  <w:sz w:val="24"/>
                  <w:szCs w:val="24"/>
                </w:rPr>
                <w:t>职责</w:t>
              </w:r>
            </w:sdtContent>
          </w:sdt>
          <w:r>
            <w:rPr>
              <w:rFonts w:hint="eastAsia" w:ascii="方正仿宋_GBK" w:hAnsi="方正仿宋_GBK" w:eastAsia="方正仿宋_GBK" w:cs="方正仿宋_GBK"/>
              <w:sz w:val="24"/>
              <w:szCs w:val="24"/>
            </w:rPr>
            <w:tab/>
          </w:r>
          <w:bookmarkStart w:id="2" w:name="_Toc16376_WPSOffice_Level2Page"/>
          <w:r>
            <w:rPr>
              <w:rFonts w:hint="eastAsia" w:ascii="方正仿宋_GBK" w:hAnsi="方正仿宋_GBK" w:eastAsia="方正仿宋_GBK" w:cs="方正仿宋_GBK"/>
              <w:sz w:val="24"/>
              <w:szCs w:val="24"/>
            </w:rPr>
            <w:t>2</w:t>
          </w:r>
          <w:bookmarkEnd w:id="2"/>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_Toc31066_WPSOffice_Level2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878"/>
              <w:placeholder>
                <w:docPart w:val="{2871d88a-e227-40c1-b0ed-d869dee1ddc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二、机构设置</w:t>
              </w:r>
            </w:sdtContent>
          </w:sdt>
          <w:r>
            <w:rPr>
              <w:rFonts w:hint="eastAsia" w:ascii="方正仿宋_GBK" w:hAnsi="方正仿宋_GBK" w:eastAsia="方正仿宋_GBK" w:cs="方正仿宋_GBK"/>
              <w:sz w:val="24"/>
              <w:szCs w:val="24"/>
            </w:rPr>
            <w:tab/>
          </w:r>
          <w:bookmarkStart w:id="3" w:name="_Toc31066_WPSOffice_Level2Page"/>
          <w:r>
            <w:rPr>
              <w:rFonts w:hint="eastAsia" w:ascii="方正仿宋_GBK" w:hAnsi="方正仿宋_GBK" w:eastAsia="方正仿宋_GBK" w:cs="方正仿宋_GBK"/>
              <w:sz w:val="24"/>
              <w:szCs w:val="24"/>
            </w:rPr>
            <w:t>5</w:t>
          </w:r>
          <w:bookmarkEnd w:id="3"/>
          <w:r>
            <w:rPr>
              <w:rFonts w:hint="eastAsia" w:ascii="方正仿宋_GBK" w:hAnsi="方正仿宋_GBK" w:eastAsia="方正仿宋_GBK" w:cs="方正仿宋_GBK"/>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_Toc16376_WPSOffice_Level1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72294"/>
              <w:placeholder>
                <w:docPart w:val="{9359373c-8353-4646-a120-388132dfe0ad}"/>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第二部分  2024年度部门决算情况说明</w:t>
              </w:r>
            </w:sdtContent>
          </w:sdt>
          <w:r>
            <w:rPr>
              <w:rFonts w:hint="eastAsia" w:ascii="方正仿宋_GBK" w:hAnsi="方正仿宋_GBK" w:eastAsia="方正仿宋_GBK" w:cs="方正仿宋_GBK"/>
              <w:b/>
              <w:bCs/>
              <w:sz w:val="28"/>
              <w:szCs w:val="28"/>
            </w:rPr>
            <w:tab/>
          </w:r>
          <w:bookmarkStart w:id="4" w:name="_Toc16376_WPSOffice_Level1Page"/>
          <w:r>
            <w:rPr>
              <w:rFonts w:hint="eastAsia" w:ascii="方正仿宋_GBK" w:hAnsi="方正仿宋_GBK" w:eastAsia="方正仿宋_GBK" w:cs="方正仿宋_GBK"/>
              <w:b/>
              <w:bCs/>
              <w:sz w:val="28"/>
              <w:szCs w:val="28"/>
            </w:rPr>
            <w:t>5</w:t>
          </w:r>
          <w:bookmarkEnd w:id="4"/>
          <w:r>
            <w:rPr>
              <w:rFonts w:hint="eastAsia" w:ascii="方正仿宋_GBK" w:hAnsi="方正仿宋_GBK" w:eastAsia="方正仿宋_GBK" w:cs="方正仿宋_GBK"/>
              <w:b/>
              <w:bCs/>
              <w:sz w:val="28"/>
              <w:szCs w:val="28"/>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_Toc1780_WPSOffice_Level2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774"/>
              <w:placeholder>
                <w:docPart w:val="{9f1ab447-040d-4eb8-9a46-47157c4b61f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一、收入支出决算总体情况说明</w:t>
              </w:r>
            </w:sdtContent>
          </w:sdt>
          <w:r>
            <w:rPr>
              <w:rFonts w:hint="eastAsia" w:ascii="方正仿宋_GBK" w:hAnsi="方正仿宋_GBK" w:eastAsia="方正仿宋_GBK" w:cs="方正仿宋_GBK"/>
              <w:sz w:val="24"/>
              <w:szCs w:val="24"/>
            </w:rPr>
            <w:tab/>
          </w:r>
          <w:bookmarkStart w:id="5" w:name="_Toc1780_WPSOffice_Level2Page"/>
          <w:r>
            <w:rPr>
              <w:rFonts w:hint="eastAsia" w:ascii="方正仿宋_GBK" w:hAnsi="方正仿宋_GBK" w:eastAsia="方正仿宋_GBK" w:cs="方正仿宋_GBK"/>
              <w:sz w:val="24"/>
              <w:szCs w:val="24"/>
            </w:rPr>
            <w:t>5</w:t>
          </w:r>
          <w:bookmarkEnd w:id="5"/>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_Toc7188_WPSOffice_Level2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179"/>
              <w:placeholder>
                <w:docPart w:val="{d498b8b2-48bc-49f4-8a15-2649b66271a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三、支出决算情况说明</w:t>
              </w:r>
            </w:sdtContent>
          </w:sdt>
          <w:r>
            <w:rPr>
              <w:rFonts w:hint="eastAsia" w:ascii="方正仿宋_GBK" w:hAnsi="方正仿宋_GBK" w:eastAsia="方正仿宋_GBK" w:cs="方正仿宋_GBK"/>
              <w:sz w:val="24"/>
              <w:szCs w:val="24"/>
            </w:rPr>
            <w:tab/>
          </w:r>
          <w:bookmarkStart w:id="6" w:name="_Toc7188_WPSOffice_Level2Page"/>
          <w:r>
            <w:rPr>
              <w:rFonts w:hint="eastAsia" w:ascii="方正仿宋_GBK" w:hAnsi="方正仿宋_GBK" w:eastAsia="方正仿宋_GBK" w:cs="方正仿宋_GBK"/>
              <w:sz w:val="24"/>
              <w:szCs w:val="24"/>
            </w:rPr>
            <w:t>6</w:t>
          </w:r>
          <w:bookmarkEnd w:id="6"/>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_Toc8540_WPSOffice_Level2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257"/>
              <w:placeholder>
                <w:docPart w:val="{3e8e6d1d-810c-4e1a-b23d-d4e711ac454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四、财政拨款收入支出决算总体情况说明</w:t>
              </w:r>
            </w:sdtContent>
          </w:sdt>
          <w:r>
            <w:rPr>
              <w:rFonts w:hint="eastAsia" w:ascii="方正仿宋_GBK" w:hAnsi="方正仿宋_GBK" w:eastAsia="方正仿宋_GBK" w:cs="方正仿宋_GBK"/>
              <w:sz w:val="24"/>
              <w:szCs w:val="24"/>
            </w:rPr>
            <w:tab/>
          </w:r>
          <w:bookmarkStart w:id="7" w:name="_Toc8540_WPSOffice_Level2Page"/>
          <w:r>
            <w:rPr>
              <w:rFonts w:hint="eastAsia" w:ascii="方正仿宋_GBK" w:hAnsi="方正仿宋_GBK" w:eastAsia="方正仿宋_GBK" w:cs="方正仿宋_GBK"/>
              <w:sz w:val="24"/>
              <w:szCs w:val="24"/>
            </w:rPr>
            <w:t>7</w:t>
          </w:r>
          <w:bookmarkEnd w:id="7"/>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_Toc2103_WPSOffice_Level2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142"/>
              <w:placeholder>
                <w:docPart w:val="{27a11600-c83f-4eba-8278-8ae7051e79b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五、一般公共预算财政拨款支出决算情况说明</w:t>
              </w:r>
            </w:sdtContent>
          </w:sdt>
          <w:r>
            <w:rPr>
              <w:rFonts w:hint="eastAsia" w:ascii="方正仿宋_GBK" w:hAnsi="方正仿宋_GBK" w:eastAsia="方正仿宋_GBK" w:cs="方正仿宋_GBK"/>
              <w:sz w:val="24"/>
              <w:szCs w:val="24"/>
            </w:rPr>
            <w:tab/>
          </w:r>
          <w:bookmarkStart w:id="8" w:name="_Toc2103_WPSOffice_Level2Page"/>
          <w:r>
            <w:rPr>
              <w:rFonts w:hint="eastAsia" w:ascii="方正仿宋_GBK" w:hAnsi="方正仿宋_GBK" w:eastAsia="方正仿宋_GBK" w:cs="方正仿宋_GBK"/>
              <w:sz w:val="24"/>
              <w:szCs w:val="24"/>
            </w:rPr>
            <w:t>8</w:t>
          </w:r>
          <w:bookmarkEnd w:id="8"/>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_Toc24955_WPSOffice_Level2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980"/>
              <w:placeholder>
                <w:docPart w:val="{1c6d5487-40a4-45f4-931c-a492ee0b6e1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六、一般公共预算财政拨款基本支出决算情况说明</w:t>
              </w:r>
            </w:sdtContent>
          </w:sdt>
          <w:r>
            <w:rPr>
              <w:rFonts w:hint="eastAsia" w:ascii="方正仿宋_GBK" w:hAnsi="方正仿宋_GBK" w:eastAsia="方正仿宋_GBK" w:cs="方正仿宋_GBK"/>
              <w:sz w:val="24"/>
              <w:szCs w:val="24"/>
            </w:rPr>
            <w:tab/>
          </w:r>
          <w:bookmarkStart w:id="9" w:name="_Toc24955_WPSOffice_Level2Page"/>
          <w:r>
            <w:rPr>
              <w:rFonts w:hint="eastAsia" w:ascii="方正仿宋_GBK" w:hAnsi="方正仿宋_GBK" w:eastAsia="方正仿宋_GBK" w:cs="方正仿宋_GBK"/>
              <w:sz w:val="24"/>
              <w:szCs w:val="24"/>
            </w:rPr>
            <w:t>17</w:t>
          </w:r>
          <w:bookmarkEnd w:id="9"/>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_Toc5729_WPSOffice_Level2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9209"/>
              <w:placeholder>
                <w:docPart w:val="{3dcc31ae-f02e-41b1-98a3-637e1258891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七、财政拨款“三公”经费支出决算情况说明</w:t>
              </w:r>
            </w:sdtContent>
          </w:sdt>
          <w:r>
            <w:rPr>
              <w:rFonts w:hint="eastAsia" w:ascii="方正仿宋_GBK" w:hAnsi="方正仿宋_GBK" w:eastAsia="方正仿宋_GBK" w:cs="方正仿宋_GBK"/>
              <w:sz w:val="24"/>
              <w:szCs w:val="24"/>
            </w:rPr>
            <w:tab/>
          </w:r>
          <w:bookmarkStart w:id="10" w:name="_Toc5729_WPSOffice_Level2Page"/>
          <w:r>
            <w:rPr>
              <w:rFonts w:hint="eastAsia" w:ascii="方正仿宋_GBK" w:hAnsi="方正仿宋_GBK" w:eastAsia="方正仿宋_GBK" w:cs="方正仿宋_GBK"/>
              <w:sz w:val="24"/>
              <w:szCs w:val="24"/>
            </w:rPr>
            <w:t>18</w:t>
          </w:r>
          <w:bookmarkEnd w:id="10"/>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_Toc14091_WPSOffice_Level2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403"/>
              <w:placeholder>
                <w:docPart w:val="{07401c3f-b3f0-44fa-95e1-0b23508aaf9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八、政府性基金预算支出决算情况说明</w:t>
              </w:r>
            </w:sdtContent>
          </w:sdt>
          <w:r>
            <w:rPr>
              <w:rFonts w:hint="eastAsia" w:ascii="方正仿宋_GBK" w:hAnsi="方正仿宋_GBK" w:eastAsia="方正仿宋_GBK" w:cs="方正仿宋_GBK"/>
              <w:sz w:val="24"/>
              <w:szCs w:val="24"/>
            </w:rPr>
            <w:tab/>
          </w:r>
          <w:bookmarkStart w:id="11" w:name="_Toc14091_WPSOffice_Level2Page"/>
          <w:r>
            <w:rPr>
              <w:rFonts w:hint="eastAsia" w:ascii="方正仿宋_GBK" w:hAnsi="方正仿宋_GBK" w:eastAsia="方正仿宋_GBK" w:cs="方正仿宋_GBK"/>
              <w:sz w:val="24"/>
              <w:szCs w:val="24"/>
            </w:rPr>
            <w:t>19</w:t>
          </w:r>
          <w:bookmarkEnd w:id="11"/>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_Toc21165_WPSOffice_Level2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530"/>
              <w:placeholder>
                <w:docPart w:val="{e847f15e-5e73-408f-9031-0b663e65835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九、国有资本经营预算支出决算情况说明</w:t>
              </w:r>
            </w:sdtContent>
          </w:sdt>
          <w:r>
            <w:rPr>
              <w:rFonts w:hint="eastAsia" w:ascii="方正仿宋_GBK" w:hAnsi="方正仿宋_GBK" w:eastAsia="方正仿宋_GBK" w:cs="方正仿宋_GBK"/>
              <w:sz w:val="24"/>
              <w:szCs w:val="24"/>
            </w:rPr>
            <w:tab/>
          </w:r>
          <w:bookmarkStart w:id="12" w:name="_Toc21165_WPSOffice_Level2Page"/>
          <w:r>
            <w:rPr>
              <w:rFonts w:hint="eastAsia" w:ascii="方正仿宋_GBK" w:hAnsi="方正仿宋_GBK" w:eastAsia="方正仿宋_GBK" w:cs="方正仿宋_GBK"/>
              <w:sz w:val="24"/>
              <w:szCs w:val="24"/>
            </w:rPr>
            <w:t>20</w:t>
          </w:r>
          <w:bookmarkEnd w:id="12"/>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_Toc5083_WPSOffice_Level2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059"/>
              <w:placeholder>
                <w:docPart w:val="{8067abf4-bf9e-4eef-a19a-aae943399d2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十、其他重要事项的情况说明</w:t>
              </w:r>
            </w:sdtContent>
          </w:sdt>
          <w:r>
            <w:rPr>
              <w:rFonts w:hint="eastAsia" w:ascii="方正仿宋_GBK" w:hAnsi="方正仿宋_GBK" w:eastAsia="方正仿宋_GBK" w:cs="方正仿宋_GBK"/>
              <w:sz w:val="24"/>
              <w:szCs w:val="24"/>
            </w:rPr>
            <w:tab/>
          </w:r>
          <w:bookmarkStart w:id="13" w:name="_Toc5083_WPSOffice_Level2Page"/>
          <w:r>
            <w:rPr>
              <w:rFonts w:hint="eastAsia" w:ascii="方正仿宋_GBK" w:hAnsi="方正仿宋_GBK" w:eastAsia="方正仿宋_GBK" w:cs="方正仿宋_GBK"/>
              <w:sz w:val="24"/>
              <w:szCs w:val="24"/>
            </w:rPr>
            <w:t>20</w:t>
          </w:r>
          <w:bookmarkEnd w:id="13"/>
          <w:r>
            <w:rPr>
              <w:rFonts w:hint="eastAsia" w:ascii="方正仿宋_GBK" w:hAnsi="方正仿宋_GBK" w:eastAsia="方正仿宋_GBK" w:cs="方正仿宋_GBK"/>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_Toc31066_WPSOffice_Level1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2233"/>
              <w:placeholder>
                <w:docPart w:val="{d92a14d4-9711-498c-992d-72fff78f37a9}"/>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第三部分  名词解释</w:t>
              </w:r>
            </w:sdtContent>
          </w:sdt>
          <w:r>
            <w:rPr>
              <w:rFonts w:hint="eastAsia" w:ascii="方正仿宋_GBK" w:hAnsi="方正仿宋_GBK" w:eastAsia="方正仿宋_GBK" w:cs="方正仿宋_GBK"/>
              <w:b/>
              <w:bCs/>
              <w:sz w:val="28"/>
              <w:szCs w:val="28"/>
            </w:rPr>
            <w:tab/>
          </w:r>
          <w:bookmarkStart w:id="14" w:name="_Toc31066_WPSOffice_Level1Page"/>
          <w:r>
            <w:rPr>
              <w:rFonts w:hint="eastAsia" w:ascii="方正仿宋_GBK" w:hAnsi="方正仿宋_GBK" w:eastAsia="方正仿宋_GBK" w:cs="方正仿宋_GBK"/>
              <w:b/>
              <w:bCs/>
              <w:sz w:val="28"/>
              <w:szCs w:val="28"/>
            </w:rPr>
            <w:t>29</w:t>
          </w:r>
          <w:bookmarkEnd w:id="14"/>
          <w:r>
            <w:rPr>
              <w:rFonts w:hint="eastAsia" w:ascii="方正仿宋_GBK" w:hAnsi="方正仿宋_GBK" w:eastAsia="方正仿宋_GBK" w:cs="方正仿宋_GBK"/>
              <w:b/>
              <w:bCs/>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_Toc1780_WPSOffice_Level1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82094"/>
              <w:placeholder>
                <w:docPart w:val="{3b058271-38cb-47e7-bd0a-5b6f68986907}"/>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第四部分  附件</w:t>
              </w:r>
            </w:sdtContent>
          </w:sdt>
          <w:r>
            <w:rPr>
              <w:rFonts w:hint="eastAsia" w:ascii="方正仿宋_GBK" w:hAnsi="方正仿宋_GBK" w:eastAsia="方正仿宋_GBK" w:cs="方正仿宋_GBK"/>
              <w:b/>
              <w:bCs/>
              <w:sz w:val="28"/>
              <w:szCs w:val="28"/>
            </w:rPr>
            <w:tab/>
          </w:r>
          <w:bookmarkStart w:id="15" w:name="_Toc1780_WPSOffice_Level1Page"/>
          <w:r>
            <w:rPr>
              <w:rFonts w:hint="eastAsia" w:ascii="方正仿宋_GBK" w:hAnsi="方正仿宋_GBK" w:eastAsia="方正仿宋_GBK" w:cs="方正仿宋_GBK"/>
              <w:b/>
              <w:bCs/>
              <w:sz w:val="28"/>
              <w:szCs w:val="28"/>
            </w:rPr>
            <w:t>40</w:t>
          </w:r>
          <w:bookmarkEnd w:id="15"/>
          <w:r>
            <w:rPr>
              <w:rFonts w:hint="eastAsia" w:ascii="方正仿宋_GBK" w:hAnsi="方正仿宋_GBK" w:eastAsia="方正仿宋_GBK" w:cs="方正仿宋_GBK"/>
              <w:b/>
              <w:bCs/>
              <w:sz w:val="28"/>
              <w:szCs w:val="28"/>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_Toc11586_WPSOffice_Level2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5839"/>
              <w:placeholder>
                <w:docPart w:val="{4405a3f9-bff7-4894-99bd-f6b2922696e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部门预算项目支出绩效评价表（2024年度）</w:t>
              </w:r>
            </w:sdtContent>
          </w:sdt>
          <w:r>
            <w:rPr>
              <w:rFonts w:hint="eastAsia" w:ascii="方正仿宋_GBK" w:hAnsi="方正仿宋_GBK" w:eastAsia="方正仿宋_GBK" w:cs="方正仿宋_GBK"/>
              <w:sz w:val="24"/>
              <w:szCs w:val="24"/>
            </w:rPr>
            <w:tab/>
          </w:r>
          <w:bookmarkStart w:id="16" w:name="_Toc11586_WPSOffice_Level2Page"/>
          <w:r>
            <w:rPr>
              <w:rFonts w:hint="eastAsia" w:ascii="方正仿宋_GBK" w:hAnsi="方正仿宋_GBK" w:eastAsia="方正仿宋_GBK" w:cs="方正仿宋_GBK"/>
              <w:sz w:val="24"/>
              <w:szCs w:val="24"/>
            </w:rPr>
            <w:t>40</w:t>
          </w:r>
          <w:bookmarkEnd w:id="16"/>
          <w:r>
            <w:rPr>
              <w:rFonts w:hint="eastAsia" w:ascii="方正仿宋_GBK" w:hAnsi="方正仿宋_GBK" w:eastAsia="方正仿宋_GBK" w:cs="方正仿宋_GBK"/>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fldChar w:fldCharType="begin"/>
          </w:r>
          <w:r>
            <w:rPr>
              <w:rFonts w:hint="eastAsia" w:ascii="方正仿宋_GBK" w:hAnsi="方正仿宋_GBK" w:eastAsia="方正仿宋_GBK" w:cs="方正仿宋_GBK"/>
              <w:sz w:val="24"/>
              <w:szCs w:val="24"/>
            </w:rPr>
            <w:instrText xml:space="preserve"> HYPERLINK \l _Toc7188_WPSOffice_Level1 </w:instrText>
          </w:r>
          <w:r>
            <w:rPr>
              <w:rFonts w:hint="eastAsia" w:ascii="方正仿宋_GBK" w:hAnsi="方正仿宋_GBK" w:eastAsia="方正仿宋_GBK" w:cs="方正仿宋_GBK"/>
              <w:b/>
              <w:bCs/>
              <w:sz w:val="24"/>
              <w:szCs w:val="24"/>
            </w:rPr>
            <w:fldChar w:fldCharType="separate"/>
          </w:r>
          <w:sdt>
            <w:sdtPr>
              <w:rPr>
                <w:rFonts w:hint="eastAsia" w:ascii="方正仿宋_GBK" w:hAnsi="方正仿宋_GBK" w:eastAsia="方正仿宋_GBK" w:cs="方正仿宋_GBK"/>
                <w:b/>
                <w:bCs/>
                <w:kern w:val="2"/>
                <w:sz w:val="24"/>
                <w:szCs w:val="24"/>
                <w:lang w:val="en-US" w:eastAsia="zh-CN" w:bidi="ar-SA"/>
              </w:rPr>
              <w:id w:val="147450943"/>
              <w:placeholder>
                <w:docPart w:val="{ee15e411-862a-4b0a-b95d-b93f54639bb3}"/>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第五部分 附表</w:t>
              </w:r>
            </w:sdtContent>
          </w:sdt>
          <w:r>
            <w:rPr>
              <w:rFonts w:hint="eastAsia" w:ascii="方正仿宋_GBK" w:hAnsi="方正仿宋_GBK" w:eastAsia="方正仿宋_GBK" w:cs="方正仿宋_GBK"/>
              <w:b/>
              <w:bCs/>
              <w:sz w:val="28"/>
              <w:szCs w:val="28"/>
            </w:rPr>
            <w:tab/>
          </w:r>
          <w:bookmarkStart w:id="17" w:name="_Toc7188_WPSOffice_Level1Page"/>
          <w:r>
            <w:rPr>
              <w:rFonts w:hint="eastAsia" w:ascii="方正仿宋_GBK" w:hAnsi="方正仿宋_GBK" w:eastAsia="方正仿宋_GBK" w:cs="方正仿宋_GBK"/>
              <w:b/>
              <w:bCs/>
              <w:sz w:val="28"/>
              <w:szCs w:val="28"/>
            </w:rPr>
            <w:t>41</w:t>
          </w:r>
          <w:bookmarkEnd w:id="17"/>
          <w:r>
            <w:rPr>
              <w:rFonts w:hint="eastAsia" w:ascii="方正仿宋_GBK" w:hAnsi="方正仿宋_GBK" w:eastAsia="方正仿宋_GBK" w:cs="方正仿宋_GBK"/>
              <w:b/>
              <w:bCs/>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_Toc16038_WPSOffice_Level2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9579"/>
              <w:placeholder>
                <w:docPart w:val="{785dc43f-5137-4a26-8d50-a2ff73d7920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一、收入支出决算总表</w:t>
              </w:r>
            </w:sdtContent>
          </w:sdt>
          <w:r>
            <w:rPr>
              <w:rFonts w:hint="eastAsia" w:ascii="方正仿宋_GBK" w:hAnsi="方正仿宋_GBK" w:eastAsia="方正仿宋_GBK" w:cs="方正仿宋_GBK"/>
              <w:sz w:val="24"/>
              <w:szCs w:val="24"/>
            </w:rPr>
            <w:tab/>
          </w:r>
          <w:bookmarkStart w:id="18" w:name="_Toc16038_WPSOffice_Level2Page"/>
          <w:r>
            <w:rPr>
              <w:rFonts w:hint="eastAsia" w:ascii="方正仿宋_GBK" w:hAnsi="方正仿宋_GBK" w:eastAsia="方正仿宋_GBK" w:cs="方正仿宋_GBK"/>
              <w:sz w:val="24"/>
              <w:szCs w:val="24"/>
            </w:rPr>
            <w:t>41</w:t>
          </w:r>
          <w:bookmarkEnd w:id="18"/>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_Toc21599_WPSOffice_Level2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737"/>
              <w:placeholder>
                <w:docPart w:val="{7f5170d7-6ccd-4ad4-86d0-1d44ad40868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二、收入决算表</w:t>
              </w:r>
            </w:sdtContent>
          </w:sdt>
          <w:r>
            <w:rPr>
              <w:rFonts w:hint="eastAsia" w:ascii="方正仿宋_GBK" w:hAnsi="方正仿宋_GBK" w:eastAsia="方正仿宋_GBK" w:cs="方正仿宋_GBK"/>
              <w:sz w:val="24"/>
              <w:szCs w:val="24"/>
            </w:rPr>
            <w:tab/>
          </w:r>
          <w:bookmarkStart w:id="19" w:name="_Toc21599_WPSOffice_Level2Page"/>
          <w:r>
            <w:rPr>
              <w:rFonts w:hint="eastAsia" w:ascii="方正仿宋_GBK" w:hAnsi="方正仿宋_GBK" w:eastAsia="方正仿宋_GBK" w:cs="方正仿宋_GBK"/>
              <w:sz w:val="24"/>
              <w:szCs w:val="24"/>
            </w:rPr>
            <w:t>41</w:t>
          </w:r>
          <w:bookmarkEnd w:id="19"/>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_Toc19830_WPSOffice_Level2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3693"/>
              <w:placeholder>
                <w:docPart w:val="{30c46150-b9f0-42b6-b533-4027312b6df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三、支出决算表</w:t>
              </w:r>
            </w:sdtContent>
          </w:sdt>
          <w:r>
            <w:rPr>
              <w:rFonts w:hint="eastAsia" w:ascii="方正仿宋_GBK" w:hAnsi="方正仿宋_GBK" w:eastAsia="方正仿宋_GBK" w:cs="方正仿宋_GBK"/>
              <w:sz w:val="24"/>
              <w:szCs w:val="24"/>
            </w:rPr>
            <w:tab/>
          </w:r>
          <w:bookmarkStart w:id="20" w:name="_Toc19830_WPSOffice_Level2Page"/>
          <w:r>
            <w:rPr>
              <w:rFonts w:hint="eastAsia" w:ascii="方正仿宋_GBK" w:hAnsi="方正仿宋_GBK" w:eastAsia="方正仿宋_GBK" w:cs="方正仿宋_GBK"/>
              <w:sz w:val="24"/>
              <w:szCs w:val="24"/>
            </w:rPr>
            <w:t>41</w:t>
          </w:r>
          <w:bookmarkEnd w:id="20"/>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_Toc11166_WPSOffice_Level2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632"/>
              <w:placeholder>
                <w:docPart w:val="{7f0d9605-6cb9-4bdf-9328-f622ec9f4af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四、财政拨款收入支出决算总表</w:t>
              </w:r>
            </w:sdtContent>
          </w:sdt>
          <w:r>
            <w:rPr>
              <w:rFonts w:hint="eastAsia" w:ascii="方正仿宋_GBK" w:hAnsi="方正仿宋_GBK" w:eastAsia="方正仿宋_GBK" w:cs="方正仿宋_GBK"/>
              <w:sz w:val="24"/>
              <w:szCs w:val="24"/>
            </w:rPr>
            <w:tab/>
          </w:r>
          <w:bookmarkStart w:id="21" w:name="_Toc11166_WPSOffice_Level2Page"/>
          <w:r>
            <w:rPr>
              <w:rFonts w:hint="eastAsia" w:ascii="方正仿宋_GBK" w:hAnsi="方正仿宋_GBK" w:eastAsia="方正仿宋_GBK" w:cs="方正仿宋_GBK"/>
              <w:sz w:val="24"/>
              <w:szCs w:val="24"/>
            </w:rPr>
            <w:t>41</w:t>
          </w:r>
          <w:bookmarkEnd w:id="21"/>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_Toc3147_WPSOffice_Level2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972"/>
              <w:placeholder>
                <w:docPart w:val="{fe383121-c70a-4214-afc6-6ff9536131e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五、财政拨款支出决算明细表</w:t>
              </w:r>
            </w:sdtContent>
          </w:sdt>
          <w:r>
            <w:rPr>
              <w:rFonts w:hint="eastAsia" w:ascii="方正仿宋_GBK" w:hAnsi="方正仿宋_GBK" w:eastAsia="方正仿宋_GBK" w:cs="方正仿宋_GBK"/>
              <w:sz w:val="24"/>
              <w:szCs w:val="24"/>
            </w:rPr>
            <w:tab/>
          </w:r>
          <w:bookmarkStart w:id="22" w:name="_Toc3147_WPSOffice_Level2Page"/>
          <w:r>
            <w:rPr>
              <w:rFonts w:hint="eastAsia" w:ascii="方正仿宋_GBK" w:hAnsi="方正仿宋_GBK" w:eastAsia="方正仿宋_GBK" w:cs="方正仿宋_GBK"/>
              <w:sz w:val="24"/>
              <w:szCs w:val="24"/>
            </w:rPr>
            <w:t>41</w:t>
          </w:r>
          <w:bookmarkEnd w:id="22"/>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_Toc12939_WPSOffice_Level2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443"/>
              <w:placeholder>
                <w:docPart w:val="{3c184a6f-856e-4df1-a073-94d6e963109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六、一般公共预算财政拨款支出决算表</w:t>
              </w:r>
            </w:sdtContent>
          </w:sdt>
          <w:r>
            <w:rPr>
              <w:rFonts w:hint="eastAsia" w:ascii="方正仿宋_GBK" w:hAnsi="方正仿宋_GBK" w:eastAsia="方正仿宋_GBK" w:cs="方正仿宋_GBK"/>
              <w:sz w:val="24"/>
              <w:szCs w:val="24"/>
            </w:rPr>
            <w:tab/>
          </w:r>
          <w:bookmarkStart w:id="23" w:name="_Toc12939_WPSOffice_Level2Page"/>
          <w:r>
            <w:rPr>
              <w:rFonts w:hint="eastAsia" w:ascii="方正仿宋_GBK" w:hAnsi="方正仿宋_GBK" w:eastAsia="方正仿宋_GBK" w:cs="方正仿宋_GBK"/>
              <w:sz w:val="24"/>
              <w:szCs w:val="24"/>
            </w:rPr>
            <w:t>41</w:t>
          </w:r>
          <w:bookmarkEnd w:id="23"/>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_Toc31201_WPSOffice_Level2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900"/>
              <w:placeholder>
                <w:docPart w:val="{b6c6a74a-372f-473f-abc6-4a59cd8f0a9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七、一般公共预算财政拨款支出决算明细表</w:t>
              </w:r>
            </w:sdtContent>
          </w:sdt>
          <w:r>
            <w:rPr>
              <w:rFonts w:hint="eastAsia" w:ascii="方正仿宋_GBK" w:hAnsi="方正仿宋_GBK" w:eastAsia="方正仿宋_GBK" w:cs="方正仿宋_GBK"/>
              <w:sz w:val="24"/>
              <w:szCs w:val="24"/>
            </w:rPr>
            <w:tab/>
          </w:r>
          <w:bookmarkStart w:id="24" w:name="_Toc31201_WPSOffice_Level2Page"/>
          <w:r>
            <w:rPr>
              <w:rFonts w:hint="eastAsia" w:ascii="方正仿宋_GBK" w:hAnsi="方正仿宋_GBK" w:eastAsia="方正仿宋_GBK" w:cs="方正仿宋_GBK"/>
              <w:sz w:val="24"/>
              <w:szCs w:val="24"/>
            </w:rPr>
            <w:t>41</w:t>
          </w:r>
          <w:bookmarkEnd w:id="24"/>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_Toc31943_WPSOffice_Level2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8017"/>
              <w:placeholder>
                <w:docPart w:val="{e5daa38a-b9f5-48e3-8eea-30a7a3ed3ac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八、一般公共预算财政拨款基本支出决算表</w:t>
              </w:r>
            </w:sdtContent>
          </w:sdt>
          <w:r>
            <w:rPr>
              <w:rFonts w:hint="eastAsia" w:ascii="方正仿宋_GBK" w:hAnsi="方正仿宋_GBK" w:eastAsia="方正仿宋_GBK" w:cs="方正仿宋_GBK"/>
              <w:sz w:val="24"/>
              <w:szCs w:val="24"/>
            </w:rPr>
            <w:tab/>
          </w:r>
          <w:bookmarkStart w:id="25" w:name="_Toc31943_WPSOffice_Level2Page"/>
          <w:r>
            <w:rPr>
              <w:rFonts w:hint="eastAsia" w:ascii="方正仿宋_GBK" w:hAnsi="方正仿宋_GBK" w:eastAsia="方正仿宋_GBK" w:cs="方正仿宋_GBK"/>
              <w:sz w:val="24"/>
              <w:szCs w:val="24"/>
            </w:rPr>
            <w:t>41</w:t>
          </w:r>
          <w:bookmarkEnd w:id="25"/>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7275"/>
              <w:placeholder>
                <w:docPart w:val="{6fca9e31-70cd-4d64-82cc-9b5c0af81b2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九、一般公共预算财政拨款项目支出决算表</w:t>
              </w:r>
            </w:sdtContent>
          </w:sdt>
          <w:r>
            <w:rPr>
              <w:rFonts w:hint="eastAsia" w:ascii="方正仿宋_GBK" w:hAnsi="方正仿宋_GBK" w:eastAsia="方正仿宋_GBK" w:cs="方正仿宋_GBK"/>
              <w:sz w:val="24"/>
              <w:szCs w:val="24"/>
            </w:rPr>
            <w:tab/>
          </w:r>
          <w:bookmarkStart w:id="26" w:name="_Toc5070_WPSOffice_Level2Page"/>
          <w:r>
            <w:rPr>
              <w:rFonts w:hint="eastAsia" w:ascii="方正仿宋_GBK" w:hAnsi="方正仿宋_GBK" w:eastAsia="方正仿宋_GBK" w:cs="方正仿宋_GBK"/>
              <w:sz w:val="24"/>
              <w:szCs w:val="24"/>
            </w:rPr>
            <w:t>41</w:t>
          </w:r>
          <w:bookmarkEnd w:id="26"/>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_Toc12352_WPSOffice_Level2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1773"/>
              <w:placeholder>
                <w:docPart w:val="{d4d24fe7-77ba-43a7-941c-851faf11e44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十、政府性基金预算财政拨款收入支出决算表</w:t>
              </w:r>
            </w:sdtContent>
          </w:sdt>
          <w:r>
            <w:rPr>
              <w:rFonts w:hint="eastAsia" w:ascii="方正仿宋_GBK" w:hAnsi="方正仿宋_GBK" w:eastAsia="方正仿宋_GBK" w:cs="方正仿宋_GBK"/>
              <w:sz w:val="24"/>
              <w:szCs w:val="24"/>
            </w:rPr>
            <w:tab/>
          </w:r>
          <w:bookmarkStart w:id="27" w:name="_Toc12352_WPSOffice_Level2Page"/>
          <w:r>
            <w:rPr>
              <w:rFonts w:hint="eastAsia" w:ascii="方正仿宋_GBK" w:hAnsi="方正仿宋_GBK" w:eastAsia="方正仿宋_GBK" w:cs="方正仿宋_GBK"/>
              <w:sz w:val="24"/>
              <w:szCs w:val="24"/>
            </w:rPr>
            <w:t>41</w:t>
          </w:r>
          <w:bookmarkEnd w:id="27"/>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_Toc13382_WPSOffice_Level2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0476"/>
              <w:placeholder>
                <w:docPart w:val="{0533813d-0f3b-4318-a07c-c6079bf2ad2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十一、国有资本经营预算财政拨款收入支出决算表</w:t>
              </w:r>
            </w:sdtContent>
          </w:sdt>
          <w:r>
            <w:rPr>
              <w:rFonts w:hint="eastAsia" w:ascii="方正仿宋_GBK" w:hAnsi="方正仿宋_GBK" w:eastAsia="方正仿宋_GBK" w:cs="方正仿宋_GBK"/>
              <w:sz w:val="24"/>
              <w:szCs w:val="24"/>
            </w:rPr>
            <w:tab/>
          </w:r>
          <w:bookmarkStart w:id="28" w:name="_Toc13382_WPSOffice_Level2Page"/>
          <w:r>
            <w:rPr>
              <w:rFonts w:hint="eastAsia" w:ascii="方正仿宋_GBK" w:hAnsi="方正仿宋_GBK" w:eastAsia="方正仿宋_GBK" w:cs="方正仿宋_GBK"/>
              <w:sz w:val="24"/>
              <w:szCs w:val="24"/>
            </w:rPr>
            <w:t>41</w:t>
          </w:r>
          <w:bookmarkEnd w:id="28"/>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_Toc25170_WPSOffice_Level2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3915"/>
              <w:placeholder>
                <w:docPart w:val="{eb4d2ccd-952c-4e1b-81e4-764c99c4cb5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十二、国有资本经营预算财政拨款支出决算表</w:t>
              </w:r>
            </w:sdtContent>
          </w:sdt>
          <w:r>
            <w:rPr>
              <w:rFonts w:hint="eastAsia" w:ascii="方正仿宋_GBK" w:hAnsi="方正仿宋_GBK" w:eastAsia="方正仿宋_GBK" w:cs="方正仿宋_GBK"/>
              <w:sz w:val="24"/>
              <w:szCs w:val="24"/>
            </w:rPr>
            <w:tab/>
          </w:r>
          <w:bookmarkStart w:id="29" w:name="_Toc25170_WPSOffice_Level2Page"/>
          <w:r>
            <w:rPr>
              <w:rFonts w:hint="eastAsia" w:ascii="方正仿宋_GBK" w:hAnsi="方正仿宋_GBK" w:eastAsia="方正仿宋_GBK" w:cs="方正仿宋_GBK"/>
              <w:sz w:val="24"/>
              <w:szCs w:val="24"/>
            </w:rPr>
            <w:t>41</w:t>
          </w:r>
          <w:bookmarkEnd w:id="29"/>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_Toc5958_WPSOffice_Level2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5223"/>
              <w:placeholder>
                <w:docPart w:val="{6bb9255a-4caf-4a83-ac17-c09d52990a5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十三、财政拨款“三公”经费支出决算表</w:t>
              </w:r>
            </w:sdtContent>
          </w:sdt>
          <w:r>
            <w:rPr>
              <w:rFonts w:hint="eastAsia" w:ascii="方正仿宋_GBK" w:hAnsi="方正仿宋_GBK" w:eastAsia="方正仿宋_GBK" w:cs="方正仿宋_GBK"/>
              <w:sz w:val="24"/>
              <w:szCs w:val="24"/>
            </w:rPr>
            <w:tab/>
          </w:r>
          <w:bookmarkStart w:id="30" w:name="_Toc5958_WPSOffice_Level2Page"/>
          <w:r>
            <w:rPr>
              <w:rFonts w:hint="eastAsia" w:ascii="方正仿宋_GBK" w:hAnsi="方正仿宋_GBK" w:eastAsia="方正仿宋_GBK" w:cs="方正仿宋_GBK"/>
              <w:sz w:val="24"/>
              <w:szCs w:val="24"/>
            </w:rPr>
            <w:t>41</w:t>
          </w:r>
          <w:bookmarkEnd w:id="30"/>
          <w:r>
            <w:rPr>
              <w:rFonts w:hint="eastAsia" w:ascii="方正仿宋_GBK" w:hAnsi="方正仿宋_GBK" w:eastAsia="方正仿宋_GBK" w:cs="方正仿宋_GBK"/>
              <w:sz w:val="24"/>
              <w:szCs w:val="24"/>
            </w:rPr>
            <w:fldChar w:fldCharType="end"/>
          </w:r>
          <w:bookmarkEnd w:id="0"/>
        </w:p>
      </w:sdtContent>
    </w:sdt>
    <w:p>
      <w:pPr>
        <w:pStyle w:val="8"/>
        <w:rPr>
          <w:rFonts w:hint="eastAsia" w:ascii="方正仿宋_GBK" w:hAnsi="方正仿宋_GBK" w:eastAsia="方正仿宋_GBK" w:cs="方正仿宋_GBK"/>
          <w:sz w:val="24"/>
          <w:szCs w:val="24"/>
        </w:rPr>
      </w:pPr>
    </w:p>
    <w:p>
      <w:pPr>
        <w:pStyle w:val="5"/>
        <w:jc w:val="center"/>
        <w:rPr>
          <w:rFonts w:hint="default" w:ascii="Times New Roman" w:hAnsi="Times New Roman" w:eastAsia="方正小标宋简体" w:cs="Times New Roman"/>
          <w:b w:val="0"/>
        </w:rPr>
      </w:pPr>
    </w:p>
    <w:p>
      <w:pPr>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5"/>
        <w:jc w:val="center"/>
        <w:rPr>
          <w:rFonts w:hint="default" w:ascii="Times New Roman" w:hAnsi="Times New Roman" w:eastAsia="黑体" w:cs="Times New Roman"/>
          <w:sz w:val="32"/>
          <w:szCs w:val="32"/>
        </w:rPr>
      </w:pPr>
      <w:bookmarkStart w:id="31" w:name="_Toc20825_WPSOffice_Level1"/>
      <w:r>
        <w:rPr>
          <w:rFonts w:hint="default" w:ascii="Times New Roman" w:hAnsi="Times New Roman" w:eastAsia="方正黑体_GBK" w:cs="Times New Roman"/>
          <w:b w:val="0"/>
          <w:sz w:val="32"/>
          <w:szCs w:val="32"/>
        </w:rPr>
        <w:t xml:space="preserve">第一部分  </w:t>
      </w:r>
      <w:r>
        <w:rPr>
          <w:rStyle w:val="30"/>
          <w:rFonts w:hint="default" w:ascii="Times New Roman" w:hAnsi="Times New Roman" w:eastAsia="方正黑体_GBK" w:cs="Times New Roman"/>
          <w:b w:val="0"/>
          <w:bCs w:val="0"/>
          <w:sz w:val="32"/>
          <w:szCs w:val="32"/>
        </w:rPr>
        <w:t>单位概况</w:t>
      </w:r>
      <w:bookmarkEnd w:id="31"/>
    </w:p>
    <w:p>
      <w:pPr>
        <w:pStyle w:val="6"/>
        <w:numPr>
          <w:ilvl w:val="0"/>
          <w:numId w:val="1"/>
        </w:numPr>
        <w:rPr>
          <w:rFonts w:hint="default" w:ascii="Times New Roman" w:hAnsi="Times New Roman" w:eastAsia="方正黑体_GBK" w:cs="Times New Roman"/>
          <w:b w:val="0"/>
        </w:rPr>
      </w:pPr>
      <w:bookmarkStart w:id="32" w:name="_Toc16376_WPSOffice_Level2"/>
      <w:r>
        <w:rPr>
          <w:rFonts w:hint="eastAsia" w:ascii="Times New Roman" w:hAnsi="Times New Roman" w:eastAsia="方正黑体_GBK" w:cs="Times New Roman"/>
          <w:b w:val="0"/>
          <w:lang w:val="en-US" w:eastAsia="zh-CN"/>
        </w:rPr>
        <w:t>单位</w:t>
      </w:r>
      <w:bookmarkStart w:id="114" w:name="_GoBack"/>
      <w:bookmarkEnd w:id="114"/>
      <w:r>
        <w:rPr>
          <w:rFonts w:hint="default" w:ascii="Times New Roman" w:hAnsi="Times New Roman" w:eastAsia="方正黑体_GBK" w:cs="Times New Roman"/>
          <w:b w:val="0"/>
        </w:rPr>
        <w:t>职责</w:t>
      </w:r>
      <w:bookmarkEnd w:id="32"/>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3" w:firstLineChars="200"/>
        <w:textAlignment w:val="auto"/>
        <w:rPr>
          <w:rFonts w:hint="default" w:ascii="Times New Roman" w:hAnsi="Times New Roman" w:eastAsia="楷体_GB2312" w:cs="Times New Roman"/>
          <w:b/>
          <w:sz w:val="32"/>
          <w:lang w:val="en-US" w:eastAsia="zh-CN"/>
        </w:rPr>
      </w:pPr>
      <w:bookmarkStart w:id="33" w:name="_Toc7793_WPSOffice_Level3"/>
      <w:r>
        <w:rPr>
          <w:rFonts w:hint="default" w:ascii="Times New Roman" w:hAnsi="Times New Roman" w:eastAsia="方正楷体_GBK" w:cs="Times New Roman"/>
          <w:b/>
          <w:sz w:val="32"/>
        </w:rPr>
        <w:t>（一）</w:t>
      </w:r>
      <w:r>
        <w:rPr>
          <w:rFonts w:hint="default" w:ascii="Times New Roman" w:hAnsi="Times New Roman" w:eastAsia="方正楷体_GBK" w:cs="Times New Roman"/>
          <w:b/>
          <w:sz w:val="32"/>
          <w:lang w:val="en-US" w:eastAsia="zh-CN"/>
        </w:rPr>
        <w:t>盐边县桐子林镇人民政府</w:t>
      </w:r>
      <w:r>
        <w:rPr>
          <w:rFonts w:hint="default" w:ascii="Times New Roman" w:hAnsi="Times New Roman" w:eastAsia="方正楷体_GBK" w:cs="Times New Roman"/>
          <w:b/>
          <w:sz w:val="32"/>
        </w:rPr>
        <w:t>职能简介。</w:t>
      </w:r>
      <w:bookmarkEnd w:id="33"/>
      <w:r>
        <w:rPr>
          <w:rFonts w:hint="default" w:ascii="Times New Roman" w:hAnsi="Times New Roman" w:eastAsia="方正楷体_GBK" w:cs="Times New Roman"/>
          <w:b/>
          <w:sz w:val="32"/>
          <w:lang w:val="en-US" w:eastAsia="zh-CN"/>
        </w:rPr>
        <w:t xml:space="preserve">   </w:t>
      </w:r>
      <w:r>
        <w:rPr>
          <w:rFonts w:hint="default" w:ascii="Times New Roman" w:hAnsi="Times New Roman" w:eastAsia="楷体_GB2312" w:cs="Times New Roman"/>
          <w:b/>
          <w:sz w:val="32"/>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贯彻执行党和国家的各项方针、政策、</w:t>
      </w:r>
      <w:r>
        <w:rPr>
          <w:rFonts w:hint="default" w:ascii="Times New Roman" w:hAnsi="Times New Roman" w:eastAsia="方正仿宋_GBK" w:cs="Times New Roman"/>
          <w:bCs/>
          <w:sz w:val="32"/>
          <w:u w:val="none"/>
          <w:lang w:eastAsia="zh-CN"/>
        </w:rPr>
        <w:t>法律法规</w:t>
      </w:r>
      <w:r>
        <w:rPr>
          <w:rFonts w:hint="default" w:ascii="Times New Roman" w:hAnsi="Times New Roman" w:eastAsia="方正仿宋_GBK" w:cs="Times New Roman"/>
          <w:bCs/>
          <w:sz w:val="32"/>
          <w:u w:val="none"/>
        </w:rPr>
        <w:t>，以及上级行政机关和镇党委、镇</w:t>
      </w:r>
      <w:r>
        <w:rPr>
          <w:rFonts w:hint="default" w:ascii="Times New Roman" w:hAnsi="Times New Roman" w:eastAsia="方正仿宋_GBK" w:cs="Times New Roman"/>
          <w:bCs/>
          <w:sz w:val="32"/>
          <w:u w:val="none"/>
          <w:lang w:eastAsia="zh-CN"/>
        </w:rPr>
        <w:t>人大</w:t>
      </w:r>
      <w:r>
        <w:rPr>
          <w:rFonts w:hint="default" w:ascii="Times New Roman" w:hAnsi="Times New Roman" w:eastAsia="方正仿宋_GBK" w:cs="Times New Roman"/>
          <w:bCs/>
          <w:sz w:val="32"/>
          <w:u w:val="none"/>
        </w:rPr>
        <w:t>的决定、决议。制定并执行本行政区域内经济和社会发展规划、计划。负责乡村振兴、新农村建设和推进城乡一体化的组织和实施。负责辖区经济、文化、教育、科学、卫生健康、民政、社会保障、民族宗教、村镇建设、司法、退役军人、扶贫、信访、安全、统计等行政管理和服务工作。</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桐子林镇人民政府主要维持政府基本运转，维护桐子林镇稳定，提高人民生活水平，保障人民生活品质，促进社会和谐。我单位202</w:t>
      </w:r>
      <w:r>
        <w:rPr>
          <w:rFonts w:hint="default" w:ascii="Times New Roman" w:hAnsi="Times New Roman" w:eastAsia="方正仿宋_GBK" w:cs="Times New Roman"/>
          <w:bCs/>
          <w:sz w:val="32"/>
          <w:u w:val="none"/>
          <w:lang w:val="en-US" w:eastAsia="zh-CN"/>
        </w:rPr>
        <w:t>4</w:t>
      </w:r>
      <w:r>
        <w:rPr>
          <w:rFonts w:hint="default" w:ascii="Times New Roman" w:hAnsi="Times New Roman" w:eastAsia="方正仿宋_GBK" w:cs="Times New Roman"/>
          <w:bCs/>
          <w:sz w:val="32"/>
          <w:u w:val="none"/>
        </w:rPr>
        <w:t>年人员编制数为</w:t>
      </w:r>
      <w:r>
        <w:rPr>
          <w:rFonts w:hint="default" w:ascii="Times New Roman" w:hAnsi="Times New Roman" w:eastAsia="方正仿宋_GBK" w:cs="Times New Roman"/>
          <w:bCs/>
          <w:sz w:val="32"/>
          <w:u w:val="none"/>
          <w:lang w:val="en-US" w:eastAsia="zh-CN"/>
        </w:rPr>
        <w:t>74</w:t>
      </w:r>
      <w:r>
        <w:rPr>
          <w:rFonts w:hint="default" w:ascii="Times New Roman" w:hAnsi="Times New Roman" w:eastAsia="方正仿宋_GBK" w:cs="Times New Roman"/>
          <w:bCs/>
          <w:sz w:val="32"/>
          <w:u w:val="none"/>
        </w:rPr>
        <w:t>人，其中公务员3</w:t>
      </w:r>
      <w:r>
        <w:rPr>
          <w:rFonts w:hint="default" w:ascii="Times New Roman" w:hAnsi="Times New Roman" w:eastAsia="方正仿宋_GBK" w:cs="Times New Roman"/>
          <w:bCs/>
          <w:sz w:val="32"/>
          <w:u w:val="none"/>
          <w:lang w:val="en-US" w:eastAsia="zh-CN"/>
        </w:rPr>
        <w:t>5</w:t>
      </w:r>
      <w:r>
        <w:rPr>
          <w:rFonts w:hint="default" w:ascii="Times New Roman" w:hAnsi="Times New Roman" w:eastAsia="方正仿宋_GBK" w:cs="Times New Roman"/>
          <w:bCs/>
          <w:sz w:val="32"/>
          <w:u w:val="none"/>
        </w:rPr>
        <w:t>人、机关工勤人员4人，事业人员</w:t>
      </w:r>
      <w:r>
        <w:rPr>
          <w:rFonts w:hint="default" w:ascii="Times New Roman" w:hAnsi="Times New Roman" w:eastAsia="方正仿宋_GBK" w:cs="Times New Roman"/>
          <w:bCs/>
          <w:sz w:val="32"/>
          <w:u w:val="none"/>
          <w:lang w:val="en-US" w:eastAsia="zh-CN"/>
        </w:rPr>
        <w:t>35</w:t>
      </w:r>
      <w:r>
        <w:rPr>
          <w:rFonts w:hint="default" w:ascii="Times New Roman" w:hAnsi="Times New Roman" w:eastAsia="方正仿宋_GBK" w:cs="Times New Roman"/>
          <w:bCs/>
          <w:sz w:val="32"/>
          <w:u w:val="none"/>
        </w:rPr>
        <w:t>人；实有人数为5</w:t>
      </w:r>
      <w:r>
        <w:rPr>
          <w:rFonts w:hint="default" w:ascii="Times New Roman" w:hAnsi="Times New Roman" w:eastAsia="方正仿宋_GBK" w:cs="Times New Roman"/>
          <w:bCs/>
          <w:sz w:val="32"/>
          <w:u w:val="none"/>
          <w:lang w:val="en-US" w:eastAsia="zh-CN"/>
        </w:rPr>
        <w:t>6</w:t>
      </w:r>
      <w:r>
        <w:rPr>
          <w:rFonts w:hint="default" w:ascii="Times New Roman" w:hAnsi="Times New Roman" w:eastAsia="方正仿宋_GBK" w:cs="Times New Roman"/>
          <w:bCs/>
          <w:sz w:val="32"/>
          <w:u w:val="none"/>
        </w:rPr>
        <w:t>人，其中公务员</w:t>
      </w:r>
      <w:r>
        <w:rPr>
          <w:rFonts w:hint="default" w:ascii="Times New Roman" w:hAnsi="Times New Roman" w:eastAsia="方正仿宋_GBK" w:cs="Times New Roman"/>
          <w:bCs/>
          <w:sz w:val="32"/>
          <w:u w:val="none"/>
          <w:lang w:val="en-US" w:eastAsia="zh-CN"/>
        </w:rPr>
        <w:t>26</w:t>
      </w:r>
      <w:r>
        <w:rPr>
          <w:rFonts w:hint="default" w:ascii="Times New Roman" w:hAnsi="Times New Roman" w:eastAsia="方正仿宋_GBK" w:cs="Times New Roman"/>
          <w:bCs/>
          <w:sz w:val="32"/>
          <w:u w:val="none"/>
        </w:rPr>
        <w:t>人、机关工勤5人、事业人员</w:t>
      </w:r>
      <w:r>
        <w:rPr>
          <w:rFonts w:hint="default" w:ascii="Times New Roman" w:hAnsi="Times New Roman" w:eastAsia="方正仿宋_GBK" w:cs="Times New Roman"/>
          <w:bCs/>
          <w:sz w:val="32"/>
          <w:u w:val="none"/>
          <w:lang w:val="en-US" w:eastAsia="zh-CN"/>
        </w:rPr>
        <w:t>25</w:t>
      </w:r>
      <w:r>
        <w:rPr>
          <w:rFonts w:hint="default" w:ascii="Times New Roman" w:hAnsi="Times New Roman" w:eastAsia="方正仿宋_GBK" w:cs="Times New Roman"/>
          <w:bCs/>
          <w:sz w:val="32"/>
          <w:u w:val="none"/>
        </w:rPr>
        <w:t>人；退休职工3</w:t>
      </w:r>
      <w:r>
        <w:rPr>
          <w:rFonts w:hint="default" w:ascii="Times New Roman" w:hAnsi="Times New Roman" w:eastAsia="方正仿宋_GBK" w:cs="Times New Roman"/>
          <w:bCs/>
          <w:sz w:val="32"/>
          <w:u w:val="none"/>
          <w:lang w:val="en-US" w:eastAsia="zh-CN"/>
        </w:rPr>
        <w:t>4</w:t>
      </w:r>
      <w:r>
        <w:rPr>
          <w:rFonts w:hint="default" w:ascii="Times New Roman" w:hAnsi="Times New Roman" w:eastAsia="方正仿宋_GBK" w:cs="Times New Roman"/>
          <w:bCs/>
          <w:sz w:val="32"/>
          <w:u w:val="none"/>
        </w:rPr>
        <w:t>人、遗属3人。车辆编制数1辆，实有数1辆。我单位内设桐子林镇人民政府一个行政单位和桐子林镇便民服务中心、桐子林镇宣文中心、桐子林镇村镇建设服务中心、桐子林镇农业农村服务中心</w:t>
      </w:r>
      <w:r>
        <w:rPr>
          <w:rFonts w:hint="default" w:ascii="Times New Roman" w:hAnsi="Times New Roman" w:eastAsia="方正仿宋_GBK" w:cs="Times New Roman"/>
          <w:bCs/>
          <w:sz w:val="32"/>
          <w:u w:val="none"/>
          <w:lang w:val="en-US" w:eastAsia="zh-CN"/>
        </w:rPr>
        <w:t>四</w:t>
      </w:r>
      <w:r>
        <w:rPr>
          <w:rFonts w:hint="default" w:ascii="Times New Roman" w:hAnsi="Times New Roman" w:eastAsia="方正仿宋_GBK" w:cs="Times New Roman"/>
          <w:bCs/>
          <w:sz w:val="32"/>
          <w:u w:val="none"/>
        </w:rPr>
        <w:t>个事业单位。</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3" w:firstLineChars="200"/>
        <w:textAlignment w:val="auto"/>
        <w:rPr>
          <w:rFonts w:hint="default" w:ascii="Times New Roman" w:hAnsi="Times New Roman" w:eastAsia="方正楷体_GBK" w:cs="Times New Roman"/>
          <w:b/>
          <w:sz w:val="32"/>
          <w:lang w:eastAsia="zh-CN"/>
        </w:rPr>
      </w:pPr>
      <w:bookmarkStart w:id="34" w:name="_Toc19126_WPSOffice_Level3"/>
      <w:r>
        <w:rPr>
          <w:rFonts w:hint="default" w:ascii="Times New Roman" w:hAnsi="Times New Roman" w:eastAsia="方正楷体_GBK" w:cs="Times New Roman"/>
          <w:b/>
          <w:sz w:val="32"/>
        </w:rPr>
        <w:t>（二）202</w:t>
      </w:r>
      <w:r>
        <w:rPr>
          <w:rFonts w:hint="default" w:ascii="Times New Roman" w:hAnsi="Times New Roman" w:eastAsia="方正楷体_GBK" w:cs="Times New Roman"/>
          <w:b/>
          <w:sz w:val="32"/>
          <w:lang w:val="en-US" w:eastAsia="zh-CN"/>
        </w:rPr>
        <w:t>4</w:t>
      </w:r>
      <w:r>
        <w:rPr>
          <w:rFonts w:hint="default" w:ascii="Times New Roman" w:hAnsi="Times New Roman" w:eastAsia="方正楷体_GBK" w:cs="Times New Roman"/>
          <w:b/>
          <w:sz w:val="32"/>
        </w:rPr>
        <w:t>年重点工作完成情况。</w:t>
      </w:r>
      <w:bookmarkEnd w:id="34"/>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1</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较好</w:t>
      </w:r>
      <w:r>
        <w:rPr>
          <w:rFonts w:hint="default" w:ascii="Times New Roman" w:hAnsi="Times New Roman" w:eastAsia="方正仿宋_GBK" w:cs="Times New Roman"/>
          <w:bCs/>
          <w:sz w:val="32"/>
          <w:szCs w:val="32"/>
          <w:u w:val="none"/>
          <w:lang w:eastAsia="zh-CN"/>
        </w:rPr>
        <w:t>地</w:t>
      </w:r>
      <w:r>
        <w:rPr>
          <w:rFonts w:hint="default" w:ascii="Times New Roman" w:hAnsi="Times New Roman" w:eastAsia="方正仿宋_GBK" w:cs="Times New Roman"/>
          <w:bCs/>
          <w:sz w:val="32"/>
          <w:szCs w:val="32"/>
          <w:u w:val="none"/>
        </w:rPr>
        <w:t>完成在编在岗职工工资</w:t>
      </w:r>
      <w:r>
        <w:rPr>
          <w:rFonts w:hint="default" w:ascii="Times New Roman" w:hAnsi="Times New Roman" w:eastAsia="方正仿宋_GBK" w:cs="Times New Roman"/>
          <w:bCs/>
          <w:sz w:val="32"/>
          <w:szCs w:val="32"/>
          <w:u w:val="none"/>
          <w:lang w:eastAsia="zh-CN"/>
        </w:rPr>
        <w:t>、保险、住房公积金</w:t>
      </w:r>
      <w:r>
        <w:rPr>
          <w:rFonts w:hint="default" w:ascii="Times New Roman" w:hAnsi="Times New Roman" w:eastAsia="方正仿宋_GBK" w:cs="Times New Roman"/>
          <w:bCs/>
          <w:sz w:val="32"/>
          <w:szCs w:val="32"/>
          <w:u w:val="none"/>
        </w:rPr>
        <w:t>基本运转。</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rPr>
        <w:t>2</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w:t>
      </w:r>
      <w:r>
        <w:rPr>
          <w:rFonts w:hint="default" w:ascii="Times New Roman" w:hAnsi="Times New Roman" w:eastAsia="方正仿宋_GBK" w:cs="Times New Roman"/>
          <w:bCs/>
          <w:sz w:val="32"/>
          <w:szCs w:val="32"/>
          <w:u w:val="none"/>
          <w:lang w:eastAsia="zh-CN"/>
        </w:rPr>
        <w:t>根据盐财资建【2024】20号关于下达簸箕鲊开发区安置商屋返租费及房屋资金、盐财资建【2024】339号关于下达簸箕鲊开发区安置商屋返租费及房屋租金。</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3</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完成202</w:t>
      </w:r>
      <w:r>
        <w:rPr>
          <w:rFonts w:hint="default" w:ascii="Times New Roman" w:hAnsi="Times New Roman" w:eastAsia="方正仿宋_GBK" w:cs="Times New Roman"/>
          <w:bCs/>
          <w:sz w:val="32"/>
          <w:szCs w:val="32"/>
          <w:u w:val="none"/>
          <w:lang w:val="en-US" w:eastAsia="zh-CN"/>
        </w:rPr>
        <w:t>4</w:t>
      </w:r>
      <w:r>
        <w:rPr>
          <w:rFonts w:hint="default" w:ascii="Times New Roman" w:hAnsi="Times New Roman" w:eastAsia="方正仿宋_GBK" w:cs="Times New Roman"/>
          <w:bCs/>
          <w:sz w:val="32"/>
          <w:szCs w:val="32"/>
          <w:u w:val="none"/>
        </w:rPr>
        <w:t>年度村级一事一议项目。</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4</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完成20</w:t>
      </w:r>
      <w:r>
        <w:rPr>
          <w:rFonts w:hint="default" w:ascii="Times New Roman" w:hAnsi="Times New Roman" w:eastAsia="方正仿宋_GBK" w:cs="Times New Roman"/>
          <w:bCs/>
          <w:sz w:val="32"/>
          <w:szCs w:val="32"/>
          <w:u w:val="none"/>
          <w:lang w:eastAsia="zh-CN"/>
        </w:rPr>
        <w:t>2</w:t>
      </w:r>
      <w:r>
        <w:rPr>
          <w:rFonts w:hint="default" w:ascii="Times New Roman" w:hAnsi="Times New Roman" w:eastAsia="方正仿宋_GBK" w:cs="Times New Roman"/>
          <w:bCs/>
          <w:sz w:val="32"/>
          <w:szCs w:val="32"/>
          <w:u w:val="none"/>
          <w:lang w:val="en-US" w:eastAsia="zh-CN"/>
        </w:rPr>
        <w:t>4</w:t>
      </w:r>
      <w:r>
        <w:rPr>
          <w:rFonts w:hint="default" w:ascii="Times New Roman" w:hAnsi="Times New Roman" w:eastAsia="方正仿宋_GBK" w:cs="Times New Roman"/>
          <w:bCs/>
          <w:sz w:val="32"/>
          <w:szCs w:val="32"/>
          <w:u w:val="none"/>
        </w:rPr>
        <w:t>年度村干部工资基本运转。</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5</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完成20</w:t>
      </w:r>
      <w:r>
        <w:rPr>
          <w:rFonts w:hint="default" w:ascii="Times New Roman" w:hAnsi="Times New Roman" w:eastAsia="方正仿宋_GBK" w:cs="Times New Roman"/>
          <w:bCs/>
          <w:sz w:val="32"/>
          <w:szCs w:val="32"/>
          <w:u w:val="none"/>
          <w:lang w:eastAsia="zh-CN"/>
        </w:rPr>
        <w:t>2</w:t>
      </w:r>
      <w:r>
        <w:rPr>
          <w:rFonts w:hint="default" w:ascii="Times New Roman" w:hAnsi="Times New Roman" w:eastAsia="方正仿宋_GBK" w:cs="Times New Roman"/>
          <w:bCs/>
          <w:sz w:val="32"/>
          <w:szCs w:val="32"/>
          <w:u w:val="none"/>
          <w:lang w:val="en-US" w:eastAsia="zh-CN"/>
        </w:rPr>
        <w:t>4</w:t>
      </w:r>
      <w:r>
        <w:rPr>
          <w:rFonts w:hint="default" w:ascii="Times New Roman" w:hAnsi="Times New Roman" w:eastAsia="方正仿宋_GBK" w:cs="Times New Roman"/>
          <w:bCs/>
          <w:sz w:val="32"/>
          <w:szCs w:val="32"/>
          <w:u w:val="none"/>
        </w:rPr>
        <w:t>年社区干部工资基本运转。</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6</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w:t>
      </w:r>
      <w:r>
        <w:rPr>
          <w:rFonts w:hint="default" w:ascii="Times New Roman" w:hAnsi="Times New Roman" w:eastAsia="方正仿宋_GBK" w:cs="Times New Roman"/>
          <w:bCs/>
          <w:sz w:val="32"/>
          <w:szCs w:val="32"/>
          <w:u w:val="none"/>
        </w:rPr>
        <w:t>盐财资预【2024】18号关于解决桐子林镇金河村民族团结进步示范村项目资金缺口预算指标。</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7</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完成盐财资预【2024】54号关于下达桐子林镇矛盾纠纷多元化解中心暨人民调解中心规范化建设项目。</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rPr>
        <w:t>8</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完成盐财资行【2024】362号关于下达2024中央和省级财政公共图书馆、美术馆、文化馆（站）免费开放中央补助资金</w:t>
      </w:r>
      <w:r>
        <w:rPr>
          <w:rFonts w:hint="default" w:ascii="Times New Roman" w:hAnsi="Times New Roman" w:eastAsia="方正仿宋_GBK" w:cs="Times New Roman"/>
          <w:bCs/>
          <w:sz w:val="32"/>
          <w:szCs w:val="32"/>
          <w:u w:val="none"/>
          <w:lang w:eastAsia="zh-CN"/>
        </w:rPr>
        <w:t>。</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9</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完成盐财资行【2024】94号关于下达2024年公共图书馆、美术馆、文化馆（站）免费开放中央补助资金。</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rPr>
        <w:t>10</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w:t>
      </w:r>
      <w:r>
        <w:rPr>
          <w:rFonts w:hint="default" w:ascii="Times New Roman" w:hAnsi="Times New Roman" w:eastAsia="方正仿宋_GBK" w:cs="Times New Roman"/>
          <w:bCs/>
          <w:sz w:val="32"/>
          <w:szCs w:val="32"/>
          <w:u w:val="none"/>
        </w:rPr>
        <w:t>盐财资预【2023】115号关于下达2023年基层组织活动和公共服务运行经费项目（省级）。</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11</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完成盐财资预【2024】45号关于下达2024年县级村级公共服务经费的通知。</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12</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完成盐财资预【2024】17号关于下达2024年省级公共服务运行经费（省级)（桐子林）。</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13</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完成盐财资预【2024】37号关于下达二滩国家森林公园景区入口提升项目缆线改迁费用。</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14</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完成盐财资建【2024】186号关于下达盐边站站前基础设施配套项目（县城南入口道路及管网改扩建工程）。</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15</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完成盐桐财【2024】9号关于桐子林镇还建移民群众提灌站建设项目缺口资金（总预备费）。</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16.完成盐桐财【2024】9号关于金河村双箐组袁宗军屋侧河边水毁挡墙工程项目资金（总预备费）。</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17.完成盐财资建【2024】227号关于下达李元章簸箕砟开发区建设补偿资金。</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18.完成盐财资建【2024】108号关于下达盐边县睿途游泳馆二期建设相关征拆资金。</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19.完成盐财资建【2024】154号关于调整下达2023年耕地流出恢复整改经费。</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20.完成盐财资建【2024】281号关于下达孙贤忠二滩移民安置问题相关经费。</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21.完成盐财资预【2024】49号关于下达桐子林镇还建移民群众提灌站建设项目。</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22.完成盐桐财【2024】9号关于清源社区卓群工贸污染地块整治项目资金（总预备费）。</w:t>
      </w:r>
    </w:p>
    <w:p>
      <w:pPr>
        <w:pStyle w:val="9"/>
        <w:keepNext w:val="0"/>
        <w:keepLines w:val="0"/>
        <w:pageBreakBefore w:val="0"/>
        <w:widowControl w:val="0"/>
        <w:kinsoku/>
        <w:wordWrap/>
        <w:overflowPunct/>
        <w:topLinePunct w:val="0"/>
        <w:autoSpaceDE/>
        <w:autoSpaceDN/>
        <w:bidi w:val="0"/>
        <w:adjustRightInd w:val="0"/>
        <w:snapToGrid/>
        <w:spacing w:beforeLines="0" w:after="0"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u w:val="none"/>
          <w:lang w:val="en-US" w:eastAsia="zh-CN"/>
        </w:rPr>
        <w:t>23.完成盐财资预【2024】76号关于下达桐子林镇二滩右干线综合治理经费。</w:t>
      </w:r>
    </w:p>
    <w:p>
      <w:pPr>
        <w:keepNext/>
        <w:keepLines/>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outlineLvl w:val="9"/>
        <w:rPr>
          <w:rStyle w:val="31"/>
          <w:rFonts w:hint="default" w:ascii="Times New Roman" w:hAnsi="Times New Roman" w:eastAsia="方正黑体_GBK" w:cs="Times New Roman"/>
          <w:b w:val="0"/>
          <w:bCs w:val="0"/>
          <w:sz w:val="32"/>
          <w:szCs w:val="32"/>
        </w:rPr>
      </w:pPr>
      <w:bookmarkStart w:id="35" w:name="_Toc15396601"/>
      <w:bookmarkStart w:id="36" w:name="_Toc31066_WPSOffice_Level2"/>
      <w:bookmarkStart w:id="37" w:name="_Toc15377200"/>
      <w:r>
        <w:rPr>
          <w:rFonts w:hint="default" w:ascii="Times New Roman" w:hAnsi="Times New Roman" w:eastAsia="方正黑体_GBK" w:cs="Times New Roman"/>
          <w:b w:val="0"/>
          <w:sz w:val="32"/>
          <w:szCs w:val="32"/>
        </w:rPr>
        <w:t>二、机</w:t>
      </w:r>
      <w:r>
        <w:rPr>
          <w:rStyle w:val="31"/>
          <w:rFonts w:hint="default" w:ascii="Times New Roman" w:hAnsi="Times New Roman" w:eastAsia="方正黑体_GBK" w:cs="Times New Roman"/>
          <w:b w:val="0"/>
          <w:bCs w:val="0"/>
          <w:sz w:val="32"/>
          <w:szCs w:val="32"/>
        </w:rPr>
        <w:t>构设置</w:t>
      </w:r>
      <w:bookmarkEnd w:id="35"/>
      <w:bookmarkEnd w:id="36"/>
      <w:bookmarkEnd w:id="37"/>
    </w:p>
    <w:p>
      <w:pPr>
        <w:keepNext/>
        <w:keepLines/>
        <w:pageBreakBefore w:val="0"/>
        <w:widowControl w:val="0"/>
        <w:kinsoku/>
        <w:wordWrap/>
        <w:overflowPunct/>
        <w:topLinePunct w:val="0"/>
        <w:autoSpaceDE/>
        <w:autoSpaceDN/>
        <w:bidi w:val="0"/>
        <w:adjustRightInd/>
        <w:snapToGrid/>
        <w:spacing w:before="0" w:after="0" w:line="240" w:lineRule="auto"/>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eastAsia="方正仿宋_GBK" w:cs="Times New Roman"/>
          <w:b w:val="0"/>
          <w:bCs/>
          <w:kern w:val="0"/>
          <w:sz w:val="32"/>
          <w:szCs w:val="32"/>
          <w:highlight w:val="none"/>
          <w:u w:val="none"/>
          <w:lang w:val="en-US" w:eastAsia="zh-CN" w:bidi="ar-SA"/>
        </w:rPr>
        <w:t>盐边县桐子林镇人民政府下属非独立核算单位4个，其中行政单位0个，参照公务员法管理的事业单位0个，其他事业单位4个。主要包括：桐子林镇便民服务中心、桐子林镇宣文中心、桐子林镇村镇建设服务中心、桐子林镇农业农村服务中心等四个事业单位。</w:t>
      </w:r>
    </w:p>
    <w:p>
      <w:pPr>
        <w:pStyle w:val="5"/>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sz w:val="32"/>
          <w:szCs w:val="32"/>
        </w:rPr>
      </w:pPr>
      <w:bookmarkStart w:id="38" w:name="_Toc16376_WPSOffice_Level1"/>
      <w:bookmarkStart w:id="39" w:name="_Toc15396602"/>
      <w:bookmarkStart w:id="40" w:name="_Toc15377204"/>
      <w:r>
        <w:rPr>
          <w:rFonts w:hint="default" w:ascii="Times New Roman" w:hAnsi="Times New Roman" w:eastAsia="方正黑体_GBK" w:cs="Times New Roman"/>
          <w:b w:val="0"/>
          <w:sz w:val="32"/>
          <w:szCs w:val="32"/>
        </w:rPr>
        <w:t>第二部分  2024年度部门决算情况说明</w:t>
      </w:r>
      <w:bookmarkEnd w:id="38"/>
      <w:bookmarkEnd w:id="39"/>
      <w:bookmarkEnd w:id="40"/>
    </w:p>
    <w:p>
      <w:pPr>
        <w:pStyle w:val="29"/>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1"/>
        <w:rPr>
          <w:rStyle w:val="31"/>
          <w:rFonts w:hint="default" w:ascii="Times New Roman" w:hAnsi="Times New Roman" w:eastAsia="方正黑体_GBK" w:cs="Times New Roman"/>
          <w:b w:val="0"/>
          <w:sz w:val="32"/>
          <w:szCs w:val="32"/>
        </w:rPr>
      </w:pPr>
      <w:bookmarkStart w:id="41" w:name="_Toc15396603"/>
      <w:bookmarkStart w:id="42" w:name="_Toc1780_WPSOffice_Level2"/>
      <w:bookmarkStart w:id="43" w:name="_Toc15377205"/>
      <w:r>
        <w:rPr>
          <w:rFonts w:hint="default" w:ascii="Times New Roman" w:hAnsi="Times New Roman" w:eastAsia="方正黑体_GBK" w:cs="Times New Roman"/>
          <w:sz w:val="32"/>
          <w:szCs w:val="32"/>
        </w:rPr>
        <w:t>一、收</w:t>
      </w:r>
      <w:r>
        <w:rPr>
          <w:rStyle w:val="31"/>
          <w:rFonts w:hint="default" w:ascii="Times New Roman" w:hAnsi="Times New Roman" w:eastAsia="方正黑体_GBK" w:cs="Times New Roman"/>
          <w:b w:val="0"/>
          <w:sz w:val="32"/>
          <w:szCs w:val="32"/>
        </w:rPr>
        <w:t>入支出决算总体情况说明</w:t>
      </w:r>
      <w:bookmarkEnd w:id="41"/>
      <w:bookmarkEnd w:id="42"/>
      <w:bookmarkEnd w:id="43"/>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b w:val="0"/>
          <w:bCs/>
          <w:kern w:val="0"/>
          <w:sz w:val="32"/>
          <w:szCs w:val="20"/>
          <w:u w:val="none"/>
          <w:lang w:val="en-US" w:eastAsia="zh-CN" w:bidi="ar-SA"/>
        </w:rPr>
      </w:pPr>
      <w:r>
        <w:rPr>
          <w:rFonts w:hint="default" w:ascii="Times New Roman" w:hAnsi="Times New Roman" w:eastAsia="方正仿宋_GBK" w:cs="Times New Roman"/>
          <w:b w:val="0"/>
          <w:bCs/>
          <w:kern w:val="0"/>
          <w:sz w:val="32"/>
          <w:szCs w:val="20"/>
          <w:u w:val="none"/>
          <w:lang w:val="en-US" w:eastAsia="zh-CN" w:bidi="ar-SA"/>
        </w:rPr>
        <w:t>2024年度收、支总计</w:t>
      </w:r>
      <w:r>
        <w:rPr>
          <w:rFonts w:hint="default" w:ascii="Times New Roman" w:hAnsi="Times New Roman" w:eastAsia="方正仿宋_GBK" w:cs="Times New Roman"/>
          <w:b w:val="0"/>
          <w:bCs/>
          <w:kern w:val="0"/>
          <w:sz w:val="32"/>
          <w:szCs w:val="20"/>
          <w:highlight w:val="none"/>
          <w:u w:val="none"/>
          <w:lang w:val="en-US" w:eastAsia="zh-CN" w:bidi="ar-SA"/>
        </w:rPr>
        <w:t>3528.75</w:t>
      </w:r>
      <w:r>
        <w:rPr>
          <w:rFonts w:hint="default" w:ascii="Times New Roman" w:hAnsi="Times New Roman" w:eastAsia="方正仿宋_GBK" w:cs="Times New Roman"/>
          <w:b w:val="0"/>
          <w:bCs/>
          <w:kern w:val="0"/>
          <w:sz w:val="32"/>
          <w:szCs w:val="20"/>
          <w:u w:val="none"/>
          <w:lang w:val="en-US" w:eastAsia="zh-CN" w:bidi="ar-SA"/>
        </w:rPr>
        <w:t>万元，与2023年3624.96万元相比，收、支总计各减少96.21万元，下降2%。主要变动原因是资金正常变化，2024年项目收支、基金收支减少。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仿宋" w:cs="Times New Roman"/>
          <w:b w:val="0"/>
          <w:bCs/>
          <w:kern w:val="0"/>
          <w:sz w:val="32"/>
          <w:szCs w:val="20"/>
          <w:u w:val="none"/>
          <w:lang w:val="en-US" w:eastAsia="zh-CN" w:bidi="ar-SA"/>
        </w:rPr>
        <w:object>
          <v:shape id="_x0000_i1025" o:spt="75" type="#_x0000_t75" style="height:215.9pt;width:399.05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bookmarkStart w:id="44" w:name="_Toc15377206"/>
      <w:bookmarkStart w:id="45" w:name="_Toc15396604"/>
      <w:r>
        <w:rPr>
          <w:rFonts w:hint="default" w:ascii="Times New Roman" w:hAnsi="Times New Roman" w:eastAsia="仿宋" w:cs="Times New Roman"/>
          <w:b w:val="0"/>
          <w:bCs/>
          <w:kern w:val="0"/>
          <w:sz w:val="32"/>
          <w:szCs w:val="20"/>
          <w:u w:val="none"/>
          <w:lang w:val="en-US" w:eastAsia="zh-CN" w:bidi="ar-SA"/>
        </w:rPr>
        <w:t xml:space="preserve">    </w:t>
      </w:r>
      <w:r>
        <w:rPr>
          <w:rFonts w:hint="default" w:ascii="Times New Roman" w:hAnsi="Times New Roman" w:eastAsia="方正黑体_GBK" w:cs="Times New Roman"/>
          <w:sz w:val="32"/>
          <w:szCs w:val="32"/>
        </w:rPr>
        <w:t>二、收入决算情况说明</w:t>
      </w:r>
      <w:bookmarkEnd w:id="44"/>
      <w:bookmarkEnd w:id="45"/>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年度本年收入合计</w:t>
      </w:r>
      <w:r>
        <w:rPr>
          <w:rFonts w:hint="default" w:ascii="Times New Roman" w:hAnsi="Times New Roman" w:eastAsia="方正仿宋_GBK" w:cs="Times New Roman"/>
          <w:sz w:val="32"/>
          <w:szCs w:val="32"/>
          <w:highlight w:val="none"/>
          <w:lang w:val="en-US" w:eastAsia="zh-CN"/>
        </w:rPr>
        <w:t>3528.75</w:t>
      </w:r>
      <w:r>
        <w:rPr>
          <w:rFonts w:hint="default" w:ascii="Times New Roman" w:hAnsi="Times New Roman" w:eastAsia="方正仿宋_GBK" w:cs="Times New Roman"/>
          <w:sz w:val="32"/>
          <w:szCs w:val="32"/>
          <w:highlight w:val="none"/>
        </w:rPr>
        <w:t>万元，其中：一般公共预算财政拨款收入</w:t>
      </w:r>
      <w:r>
        <w:rPr>
          <w:rFonts w:hint="default" w:ascii="Times New Roman" w:hAnsi="Times New Roman" w:eastAsia="方正仿宋_GBK" w:cs="Times New Roman"/>
          <w:sz w:val="32"/>
          <w:szCs w:val="32"/>
          <w:highlight w:val="none"/>
          <w:lang w:val="en-US" w:eastAsia="zh-CN"/>
        </w:rPr>
        <w:t>2884.49</w:t>
      </w:r>
      <w:r>
        <w:rPr>
          <w:rFonts w:hint="default" w:ascii="Times New Roman" w:hAnsi="Times New Roman" w:eastAsia="方正仿宋_GBK" w:cs="Times New Roman"/>
          <w:sz w:val="32"/>
          <w:szCs w:val="32"/>
          <w:highlight w:val="none"/>
        </w:rPr>
        <w:t>万元，占</w:t>
      </w:r>
      <w:r>
        <w:rPr>
          <w:rFonts w:hint="default" w:ascii="Times New Roman" w:hAnsi="Times New Roman" w:eastAsia="方正仿宋_GBK" w:cs="Times New Roman"/>
          <w:sz w:val="32"/>
          <w:szCs w:val="32"/>
          <w:highlight w:val="none"/>
          <w:lang w:val="en-US" w:eastAsia="zh-CN"/>
        </w:rPr>
        <w:t>81</w:t>
      </w:r>
      <w:r>
        <w:rPr>
          <w:rFonts w:hint="default" w:ascii="Times New Roman" w:hAnsi="Times New Roman" w:eastAsia="方正仿宋_GBK" w:cs="Times New Roman"/>
          <w:sz w:val="32"/>
          <w:szCs w:val="32"/>
          <w:highlight w:val="none"/>
        </w:rPr>
        <w:t>%；政府性基金预算</w:t>
      </w:r>
      <w:r>
        <w:rPr>
          <w:rFonts w:hint="default" w:ascii="Times New Roman" w:hAnsi="Times New Roman" w:eastAsia="方正仿宋_GBK" w:cs="Times New Roman"/>
          <w:sz w:val="32"/>
          <w:szCs w:val="32"/>
        </w:rPr>
        <w:t>财政拨款收入</w:t>
      </w:r>
      <w:r>
        <w:rPr>
          <w:rFonts w:hint="default" w:ascii="Times New Roman" w:hAnsi="Times New Roman" w:eastAsia="方正仿宋_GBK" w:cs="Times New Roman"/>
          <w:sz w:val="32"/>
          <w:szCs w:val="32"/>
          <w:lang w:val="en-US" w:eastAsia="zh-CN"/>
        </w:rPr>
        <w:t>575.15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%；国有资本经营预算财政拨款收入</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%；其他收入</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p>
    <w:p>
      <w:pPr>
        <w:rPr>
          <w:rFonts w:hint="default" w:ascii="Times New Roman" w:hAnsi="Times New Roman" w:eastAsia="仿宋_GB2312" w:cs="Times New Roman"/>
          <w:sz w:val="32"/>
          <w:szCs w:val="32"/>
        </w:rPr>
      </w:pPr>
      <w:r>
        <w:rPr>
          <w:rFonts w:hint="default" w:ascii="Times New Roman" w:hAnsi="Times New Roman" w:eastAsia="仿宋" w:cs="Times New Roman"/>
          <w:lang w:eastAsia="zh-CN"/>
        </w:rPr>
        <w:object>
          <v:shape id="_x0000_i1026" o:spt="75" type="#_x0000_t75" style="height:222.75pt;width:413.25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6" r:id="rId12">
            <o:LockedField>false</o:LockedField>
          </o:OLEObject>
        </w:object>
      </w:r>
    </w:p>
    <w:p>
      <w:pPr>
        <w:pStyle w:val="29"/>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Style w:val="31"/>
          <w:rFonts w:hint="default" w:ascii="Times New Roman" w:hAnsi="Times New Roman" w:eastAsia="方正黑体_GBK" w:cs="Times New Roman"/>
          <w:b w:val="0"/>
        </w:rPr>
      </w:pPr>
      <w:bookmarkStart w:id="46" w:name="_Toc7188_WPSOffice_Level2"/>
      <w:bookmarkStart w:id="47" w:name="_Toc15396605"/>
      <w:bookmarkStart w:id="48" w:name="_Toc15377207"/>
      <w:r>
        <w:rPr>
          <w:rFonts w:hint="default" w:ascii="Times New Roman" w:hAnsi="Times New Roman" w:eastAsia="方正黑体_GBK" w:cs="Times New Roman"/>
          <w:sz w:val="32"/>
          <w:szCs w:val="32"/>
        </w:rPr>
        <w:t>三、支</w:t>
      </w:r>
      <w:r>
        <w:rPr>
          <w:rStyle w:val="31"/>
          <w:rFonts w:hint="default" w:ascii="Times New Roman" w:hAnsi="Times New Roman" w:eastAsia="方正黑体_GBK" w:cs="Times New Roman"/>
          <w:b w:val="0"/>
        </w:rPr>
        <w:t>出决算情况说明</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年度本年支出合计</w:t>
      </w:r>
      <w:r>
        <w:rPr>
          <w:rFonts w:hint="default" w:ascii="Times New Roman" w:hAnsi="Times New Roman" w:eastAsia="方正仿宋_GBK" w:cs="Times New Roman"/>
          <w:sz w:val="32"/>
          <w:szCs w:val="32"/>
          <w:highlight w:val="none"/>
          <w:lang w:val="en-US" w:eastAsia="zh-CN"/>
        </w:rPr>
        <w:t>3518.82</w:t>
      </w:r>
      <w:r>
        <w:rPr>
          <w:rFonts w:hint="default" w:ascii="Times New Roman" w:hAnsi="Times New Roman" w:eastAsia="方正仿宋_GBK" w:cs="Times New Roman"/>
          <w:sz w:val="32"/>
          <w:szCs w:val="32"/>
          <w:highlight w:val="none"/>
        </w:rPr>
        <w:t>万元，其中：基本支出</w:t>
      </w:r>
      <w:r>
        <w:rPr>
          <w:rFonts w:hint="default" w:ascii="Times New Roman" w:hAnsi="Times New Roman" w:eastAsia="方正仿宋_GBK" w:cs="Times New Roman"/>
          <w:sz w:val="32"/>
          <w:szCs w:val="32"/>
          <w:highlight w:val="none"/>
          <w:lang w:val="en-US" w:eastAsia="zh-CN"/>
        </w:rPr>
        <w:t>1926.69</w:t>
      </w:r>
      <w:r>
        <w:rPr>
          <w:rFonts w:hint="default" w:ascii="Times New Roman" w:hAnsi="Times New Roman" w:eastAsia="方正仿宋_GBK" w:cs="Times New Roman"/>
          <w:sz w:val="32"/>
          <w:szCs w:val="32"/>
          <w:highlight w:val="none"/>
        </w:rPr>
        <w:t>万元，占</w:t>
      </w:r>
      <w:r>
        <w:rPr>
          <w:rFonts w:hint="default" w:ascii="Times New Roman" w:hAnsi="Times New Roman" w:eastAsia="方正仿宋_GBK" w:cs="Times New Roman"/>
          <w:sz w:val="32"/>
          <w:szCs w:val="32"/>
          <w:highlight w:val="none"/>
          <w:lang w:val="en-US" w:eastAsia="zh-CN"/>
        </w:rPr>
        <w:t>55</w:t>
      </w:r>
      <w:r>
        <w:rPr>
          <w:rFonts w:hint="default" w:ascii="Times New Roman" w:hAnsi="Times New Roman" w:eastAsia="方正仿宋_GBK" w:cs="Times New Roman"/>
          <w:sz w:val="32"/>
          <w:szCs w:val="32"/>
          <w:highlight w:val="none"/>
        </w:rPr>
        <w:t>%；项目支出</w:t>
      </w:r>
      <w:r>
        <w:rPr>
          <w:rFonts w:hint="default" w:ascii="Times New Roman" w:hAnsi="Times New Roman" w:eastAsia="方正仿宋_GBK" w:cs="Times New Roman"/>
          <w:sz w:val="32"/>
          <w:szCs w:val="32"/>
          <w:highlight w:val="none"/>
          <w:lang w:val="en-US" w:eastAsia="zh-CN"/>
        </w:rPr>
        <w:t>1592.13</w:t>
      </w:r>
      <w:r>
        <w:rPr>
          <w:rFonts w:hint="default" w:ascii="Times New Roman" w:hAnsi="Times New Roman" w:eastAsia="方正仿宋_GBK" w:cs="Times New Roman"/>
          <w:sz w:val="32"/>
          <w:szCs w:val="32"/>
          <w:highlight w:val="none"/>
        </w:rPr>
        <w:t>万元，占</w:t>
      </w:r>
      <w:r>
        <w:rPr>
          <w:rFonts w:hint="default" w:ascii="Times New Roman" w:hAnsi="Times New Roman" w:eastAsia="方正仿宋_GBK" w:cs="Times New Roman"/>
          <w:sz w:val="32"/>
          <w:szCs w:val="32"/>
          <w:highlight w:val="none"/>
          <w:lang w:val="en-US" w:eastAsia="zh-CN"/>
        </w:rPr>
        <w:t>45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p>
    <w:p>
      <w:pPr>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shd w:val="pct10" w:color="auto" w:fill="FFFFFF"/>
          <w:lang w:eastAsia="zh-CN"/>
        </w:rPr>
        <w:object>
          <v:shape id="_x0000_i1027" o:spt="75" type="#_x0000_t75" style="height:222.75pt;width:366.75pt;" o:ole="t" filled="f" o:preferrelative="t" stroked="f" coordsize="21600,21600">
            <v:path/>
            <v:fill on="f" focussize="0,0"/>
            <v:stroke on="f"/>
            <v:imagedata r:id="rId15" o:title=""/>
            <o:lock v:ext="edit" aspectratio="t"/>
            <w10:wrap type="none"/>
            <w10:anchorlock/>
          </v:shape>
          <o:OLEObject Type="Embed" ProgID="Excel.Chart.8" ShapeID="_x0000_i1027" DrawAspect="Content" ObjectID="_1468075727" r:id="rId14">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eastAsia="黑体" w:cs="Times New Roman"/>
          <w:b w:val="0"/>
        </w:rPr>
      </w:pPr>
      <w:bookmarkStart w:id="49" w:name="_Toc15396606"/>
      <w:bookmarkStart w:id="50" w:name="_Toc8540_WPSOffice_Level2"/>
      <w:bookmarkStart w:id="51" w:name="_Toc15377208"/>
      <w:r>
        <w:rPr>
          <w:rFonts w:hint="default" w:ascii="Times New Roman" w:hAnsi="Times New Roman" w:eastAsia="方正黑体_GBK" w:cs="Times New Roman"/>
          <w:sz w:val="32"/>
          <w:szCs w:val="32"/>
        </w:rPr>
        <w:t>四、财</w:t>
      </w:r>
      <w:r>
        <w:rPr>
          <w:rStyle w:val="31"/>
          <w:rFonts w:hint="default" w:ascii="Times New Roman" w:hAnsi="Times New Roman" w:eastAsia="方正黑体_GBK" w:cs="Times New Roman"/>
          <w:b w:val="0"/>
        </w:rPr>
        <w:t>政拨款收入支出决算总体情况说明</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年度财政拨款收、支总计均为</w:t>
      </w:r>
      <w:r>
        <w:rPr>
          <w:rFonts w:hint="default" w:ascii="Times New Roman" w:hAnsi="Times New Roman" w:eastAsia="方正仿宋_GBK" w:cs="Times New Roman"/>
          <w:sz w:val="32"/>
          <w:szCs w:val="32"/>
          <w:lang w:val="en-US" w:eastAsia="zh-CN"/>
        </w:rPr>
        <w:t>3464.64</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2796.09万元</w:t>
      </w:r>
      <w:r>
        <w:rPr>
          <w:rFonts w:hint="default" w:ascii="Times New Roman" w:hAnsi="Times New Roman" w:eastAsia="方正仿宋_GBK" w:cs="Times New Roman"/>
          <w:sz w:val="32"/>
          <w:szCs w:val="32"/>
        </w:rPr>
        <w:t>相比，财政拨款收、支总计各</w:t>
      </w:r>
      <w:r>
        <w:rPr>
          <w:rFonts w:hint="default" w:ascii="Times New Roman" w:hAnsi="Times New Roman" w:eastAsia="方正仿宋_GBK" w:cs="Times New Roman"/>
          <w:sz w:val="32"/>
          <w:szCs w:val="32"/>
          <w:lang w:val="en-US" w:eastAsia="zh-CN"/>
        </w:rPr>
        <w:t>增加667.91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增长19</w:t>
      </w:r>
      <w:r>
        <w:rPr>
          <w:rFonts w:hint="default" w:ascii="Times New Roman" w:hAnsi="Times New Roman" w:eastAsia="方正仿宋_GBK" w:cs="Times New Roman"/>
          <w:sz w:val="32"/>
          <w:szCs w:val="32"/>
        </w:rPr>
        <w:t>%。主要变动原因</w:t>
      </w:r>
      <w:r>
        <w:rPr>
          <w:rFonts w:hint="default" w:ascii="Times New Roman" w:hAnsi="Times New Roman" w:eastAsia="方正仿宋_GBK" w:cs="Times New Roman"/>
          <w:b w:val="0"/>
          <w:bCs/>
          <w:kern w:val="0"/>
          <w:sz w:val="32"/>
          <w:szCs w:val="32"/>
          <w:u w:val="none"/>
          <w:lang w:val="en-US" w:eastAsia="zh-CN" w:bidi="ar-SA"/>
        </w:rPr>
        <w:t>是资金正常变化，2024年项目收支、基金收支增加，其他收入较上年减少，收、支总计增加。</w:t>
      </w:r>
    </w:p>
    <w:p>
      <w:pPr>
        <w:pStyle w:val="3"/>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object>
          <v:shape id="_x0000_i1028" o:spt="75" type="#_x0000_t75" style="height:231.35pt;width:391.9pt;" o:ole="t" filled="f" o:preferrelative="t" stroked="f" coordsize="21600,21600">
            <v:path/>
            <v:fill on="f" focussize="0,0"/>
            <v:stroke on="f"/>
            <v:imagedata r:id="rId17" o:title=""/>
            <o:lock v:ext="edit" aspectratio="t"/>
            <w10:wrap type="none"/>
            <w10:anchorlock/>
          </v:shape>
          <o:OLEObject Type="Embed" ProgID="Excel.Chart.8" ShapeID="_x0000_i1028" DrawAspect="Content" ObjectID="_1468075728" r:id="rId16">
            <o:LockedField>false</o:LockedField>
          </o:OLEObject>
        </w:object>
      </w:r>
    </w:p>
    <w:p>
      <w:pPr>
        <w:spacing w:line="600" w:lineRule="exact"/>
        <w:ind w:firstLine="640" w:firstLineChars="200"/>
        <w:outlineLvl w:val="1"/>
        <w:rPr>
          <w:rFonts w:hint="default" w:ascii="Times New Roman" w:hAnsi="Times New Roman" w:eastAsia="黑体" w:cs="Times New Roman"/>
          <w:sz w:val="32"/>
          <w:szCs w:val="32"/>
        </w:rPr>
      </w:pPr>
      <w:bookmarkStart w:id="52" w:name="_Toc15377209"/>
      <w:bookmarkStart w:id="53" w:name="_Toc15396607"/>
    </w:p>
    <w:p>
      <w:pPr>
        <w:spacing w:line="600" w:lineRule="exact"/>
        <w:ind w:firstLine="640" w:firstLineChars="200"/>
        <w:outlineLvl w:val="1"/>
        <w:rPr>
          <w:rStyle w:val="31"/>
          <w:rFonts w:hint="default" w:ascii="Times New Roman" w:hAnsi="Times New Roman" w:eastAsia="黑体" w:cs="Times New Roman"/>
          <w:b w:val="0"/>
        </w:rPr>
      </w:pPr>
      <w:bookmarkStart w:id="54" w:name="_Toc2103_WPSOffice_Level2"/>
      <w:r>
        <w:rPr>
          <w:rFonts w:hint="default" w:ascii="Times New Roman" w:hAnsi="Times New Roman" w:eastAsia="方正黑体_GBK" w:cs="Times New Roman"/>
          <w:sz w:val="32"/>
          <w:szCs w:val="32"/>
        </w:rPr>
        <w:t>五、</w:t>
      </w:r>
      <w:r>
        <w:rPr>
          <w:rFonts w:hint="default" w:ascii="Times New Roman" w:hAnsi="Times New Roman" w:eastAsia="方正黑体_GBK" w:cs="Times New Roman"/>
          <w:b/>
          <w:sz w:val="32"/>
          <w:szCs w:val="32"/>
        </w:rPr>
        <w:t>一</w:t>
      </w:r>
      <w:r>
        <w:rPr>
          <w:rStyle w:val="31"/>
          <w:rFonts w:hint="default" w:ascii="Times New Roman" w:hAnsi="Times New Roman" w:eastAsia="方正黑体_GBK" w:cs="Times New Roman"/>
          <w:b w:val="0"/>
        </w:rPr>
        <w:t>般公共预算财政拨款支出决算情况说明</w:t>
      </w:r>
      <w:bookmarkEnd w:id="52"/>
      <w:bookmarkEnd w:id="53"/>
      <w:bookmarkEnd w:id="54"/>
    </w:p>
    <w:p>
      <w:pPr>
        <w:spacing w:line="600" w:lineRule="exact"/>
        <w:ind w:firstLine="643" w:firstLineChars="200"/>
        <w:outlineLvl w:val="2"/>
        <w:rPr>
          <w:rFonts w:hint="default" w:ascii="Times New Roman" w:hAnsi="Times New Roman" w:eastAsia="方正楷体_GBK" w:cs="Times New Roman"/>
          <w:b/>
          <w:sz w:val="32"/>
          <w:szCs w:val="32"/>
        </w:rPr>
      </w:pPr>
      <w:bookmarkStart w:id="55" w:name="_Toc15377210"/>
      <w:r>
        <w:rPr>
          <w:rFonts w:hint="default" w:ascii="Times New Roman" w:hAnsi="Times New Roman" w:eastAsia="方正楷体_GBK" w:cs="Times New Roman"/>
          <w:b/>
          <w:sz w:val="32"/>
          <w:szCs w:val="32"/>
        </w:rPr>
        <w:t>（一）一般公共预算财政拨款支出决算总体情况</w:t>
      </w:r>
      <w:bookmarkEnd w:id="5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仿宋"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default" w:ascii="Times New Roman" w:hAnsi="Times New Roman" w:eastAsia="方正仿宋_GBK" w:cs="Times New Roman"/>
          <w:sz w:val="32"/>
          <w:szCs w:val="32"/>
          <w:lang w:val="en-US" w:eastAsia="zh-CN"/>
        </w:rPr>
        <w:t>3464.64</w:t>
      </w:r>
      <w:r>
        <w:rPr>
          <w:rFonts w:hint="default" w:ascii="Times New Roman" w:hAnsi="Times New Roman" w:eastAsia="方正仿宋_GBK" w:cs="Times New Roman"/>
          <w:sz w:val="32"/>
          <w:szCs w:val="32"/>
        </w:rPr>
        <w:t>万元，占本年支出合计的</w:t>
      </w:r>
      <w:r>
        <w:rPr>
          <w:rFonts w:hint="eastAsia" w:eastAsia="方正仿宋_GBK" w:cs="Times New Roman"/>
          <w:sz w:val="32"/>
          <w:szCs w:val="32"/>
          <w:lang w:val="en-US" w:eastAsia="zh-CN"/>
        </w:rPr>
        <w:t>98</w:t>
      </w:r>
      <w:r>
        <w:rPr>
          <w:rFonts w:hint="default" w:ascii="Times New Roman" w:hAnsi="Times New Roman" w:eastAsia="方正仿宋_GBK" w:cs="Times New Roman"/>
          <w:sz w:val="32"/>
          <w:szCs w:val="32"/>
        </w:rPr>
        <w:t>%。与202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2796.09万元</w:t>
      </w:r>
      <w:r>
        <w:rPr>
          <w:rFonts w:hint="default" w:ascii="Times New Roman" w:hAnsi="Times New Roman" w:eastAsia="方正仿宋_GBK" w:cs="Times New Roman"/>
          <w:sz w:val="32"/>
          <w:szCs w:val="32"/>
        </w:rPr>
        <w:t>相比，一般公共预算财政拨款支出</w:t>
      </w:r>
      <w:r>
        <w:rPr>
          <w:rFonts w:hint="default" w:ascii="Times New Roman" w:hAnsi="Times New Roman" w:eastAsia="方正仿宋_GBK" w:cs="Times New Roman"/>
          <w:sz w:val="32"/>
          <w:szCs w:val="32"/>
          <w:lang w:val="en-US" w:eastAsia="zh-CN"/>
        </w:rPr>
        <w:t>增加667.91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增加19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kern w:val="0"/>
          <w:sz w:val="32"/>
          <w:szCs w:val="20"/>
          <w:u w:val="none"/>
          <w:lang w:val="en-US" w:eastAsia="zh-CN" w:bidi="ar-SA"/>
        </w:rPr>
        <w:t>要变动原因是</w:t>
      </w:r>
      <w:r>
        <w:rPr>
          <w:rFonts w:hint="eastAsia" w:eastAsia="方正仿宋_GBK" w:cs="Times New Roman"/>
          <w:b w:val="0"/>
          <w:bCs/>
          <w:kern w:val="0"/>
          <w:sz w:val="32"/>
          <w:szCs w:val="20"/>
          <w:u w:val="none"/>
          <w:lang w:val="en-US" w:eastAsia="zh-CN" w:bidi="ar-SA"/>
        </w:rPr>
        <w:t>上年有其他收入结余在本年支出，本年</w:t>
      </w:r>
      <w:r>
        <w:rPr>
          <w:rFonts w:hint="default" w:ascii="Times New Roman" w:hAnsi="Times New Roman" w:eastAsia="方正仿宋_GBK" w:cs="Times New Roman"/>
          <w:b w:val="0"/>
          <w:bCs/>
          <w:kern w:val="0"/>
          <w:sz w:val="32"/>
          <w:szCs w:val="20"/>
          <w:u w:val="none"/>
          <w:lang w:val="en-US" w:eastAsia="zh-CN" w:bidi="ar-SA"/>
        </w:rPr>
        <w:t>项目增加，</w:t>
      </w:r>
      <w:r>
        <w:rPr>
          <w:rFonts w:hint="eastAsia" w:eastAsia="方正仿宋_GBK" w:cs="Times New Roman"/>
          <w:b w:val="0"/>
          <w:bCs/>
          <w:kern w:val="0"/>
          <w:sz w:val="32"/>
          <w:szCs w:val="20"/>
          <w:u w:val="none"/>
          <w:lang w:val="en-US" w:eastAsia="zh-CN" w:bidi="ar-SA"/>
        </w:rPr>
        <w:t>造成支出大于收入，</w:t>
      </w:r>
      <w:r>
        <w:rPr>
          <w:rFonts w:hint="default" w:ascii="Times New Roman" w:hAnsi="Times New Roman" w:eastAsia="方正仿宋_GBK" w:cs="Times New Roman"/>
          <w:b w:val="0"/>
          <w:bCs/>
          <w:kern w:val="0"/>
          <w:sz w:val="32"/>
          <w:szCs w:val="20"/>
          <w:u w:val="none"/>
          <w:lang w:val="en-US" w:eastAsia="zh-CN" w:bidi="ar-SA"/>
        </w:rPr>
        <w:t>但其他收入较上年</w:t>
      </w:r>
      <w:r>
        <w:rPr>
          <w:rFonts w:hint="eastAsia" w:eastAsia="方正仿宋_GBK" w:cs="Times New Roman"/>
          <w:b w:val="0"/>
          <w:bCs/>
          <w:kern w:val="0"/>
          <w:sz w:val="32"/>
          <w:szCs w:val="20"/>
          <w:u w:val="none"/>
          <w:lang w:val="en-US" w:eastAsia="zh-CN" w:bidi="ar-SA"/>
        </w:rPr>
        <w:t>收入</w:t>
      </w:r>
      <w:r>
        <w:rPr>
          <w:rFonts w:hint="default" w:ascii="Times New Roman" w:hAnsi="Times New Roman" w:eastAsia="方正仿宋_GBK" w:cs="Times New Roman"/>
          <w:b w:val="0"/>
          <w:bCs/>
          <w:kern w:val="0"/>
          <w:sz w:val="32"/>
          <w:szCs w:val="20"/>
          <w:u w:val="none"/>
          <w:lang w:val="en-US" w:eastAsia="zh-CN" w:bidi="ar-SA"/>
        </w:rPr>
        <w:t>减少，收、支总计增加。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仿宋" w:cs="Times New Roman"/>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default" w:ascii="Times New Roman" w:hAnsi="Times New Roman" w:eastAsia="方正楷体_GBK" w:cs="Times New Roman"/>
          <w:b/>
          <w:sz w:val="32"/>
          <w:szCs w:val="32"/>
        </w:rPr>
      </w:pPr>
      <w:r>
        <w:rPr>
          <w:rFonts w:hint="default" w:ascii="Times New Roman" w:hAnsi="Times New Roman" w:eastAsia="仿宋" w:cs="Times New Roman"/>
          <w:sz w:val="32"/>
          <w:szCs w:val="32"/>
          <w:lang w:eastAsia="zh-CN"/>
        </w:rPr>
        <w:object>
          <v:shape id="_x0000_i1029" o:spt="75" type="#_x0000_t75" style="height:235.5pt;width:456.9pt;" o:ole="t" filled="f" o:preferrelative="t" stroked="f" coordsize="21600,21600">
            <v:path/>
            <v:fill on="f" focussize="0,0"/>
            <v:stroke on="f"/>
            <v:imagedata r:id="rId19" o:title=""/>
            <o:lock v:ext="edit" aspectratio="t"/>
            <w10:wrap type="none"/>
            <w10:anchorlock/>
          </v:shape>
          <o:OLEObject Type="Embed" ProgID="Excel.Chart.8" ShapeID="_x0000_i1029" DrawAspect="Content" ObjectID="_1468075729" r:id="rId18">
            <o:LockedField>false</o:LockedField>
          </o:OLEObject>
        </w:object>
      </w:r>
      <w:bookmarkStart w:id="56" w:name="_Toc15377211"/>
      <w:r>
        <w:rPr>
          <w:rFonts w:hint="default" w:ascii="Times New Roman" w:hAnsi="Times New Roman" w:eastAsia="仿宋" w:cs="Times New Roman"/>
          <w:sz w:val="32"/>
          <w:szCs w:val="32"/>
          <w:lang w:val="en-US" w:eastAsia="zh-CN"/>
        </w:rPr>
        <w:t xml:space="preserve">   </w:t>
      </w:r>
      <w:r>
        <w:rPr>
          <w:rFonts w:hint="default" w:ascii="Times New Roman" w:hAnsi="Times New Roman" w:eastAsia="方正楷体_GBK" w:cs="Times New Roman"/>
          <w:b/>
          <w:sz w:val="32"/>
          <w:szCs w:val="32"/>
        </w:rPr>
        <w:t>（二）一般公共预算财政拨款支出决算结构情况</w:t>
      </w:r>
      <w:bookmarkEnd w:id="5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年度一般公共预算财政拨款支出</w:t>
      </w:r>
      <w:r>
        <w:rPr>
          <w:rFonts w:hint="default" w:ascii="Times New Roman" w:hAnsi="Times New Roman" w:eastAsia="方正仿宋_GBK" w:cs="Times New Roman"/>
          <w:b w:val="0"/>
          <w:bCs w:val="0"/>
          <w:sz w:val="32"/>
          <w:szCs w:val="32"/>
          <w:lang w:val="en-US" w:eastAsia="zh-CN"/>
        </w:rPr>
        <w:t>3464.64</w:t>
      </w:r>
      <w:r>
        <w:rPr>
          <w:rFonts w:hint="default" w:ascii="Times New Roman" w:hAnsi="Times New Roman" w:eastAsia="方正仿宋_GBK" w:cs="Times New Roman"/>
          <w:b w:val="0"/>
          <w:bCs w:val="0"/>
          <w:sz w:val="32"/>
          <w:szCs w:val="32"/>
        </w:rPr>
        <w:t>万元，主要用于以下方面:一般公共服务支出</w:t>
      </w:r>
      <w:r>
        <w:rPr>
          <w:rFonts w:hint="default" w:ascii="Times New Roman" w:hAnsi="Times New Roman" w:eastAsia="方正仿宋_GBK" w:cs="Times New Roman"/>
          <w:b w:val="0"/>
          <w:bCs w:val="0"/>
          <w:sz w:val="32"/>
          <w:szCs w:val="32"/>
          <w:lang w:val="en-US" w:eastAsia="zh-CN"/>
        </w:rPr>
        <w:t>1578.68</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45</w:t>
      </w:r>
      <w:r>
        <w:rPr>
          <w:rFonts w:hint="default" w:ascii="Times New Roman" w:hAnsi="Times New Roman" w:eastAsia="方正仿宋_GBK" w:cs="Times New Roman"/>
          <w:b w:val="0"/>
          <w:bCs w:val="0"/>
          <w:sz w:val="32"/>
          <w:szCs w:val="32"/>
        </w:rPr>
        <w:t>%；文化旅游体育与传媒支出</w:t>
      </w:r>
      <w:r>
        <w:rPr>
          <w:rFonts w:hint="default" w:ascii="Times New Roman" w:hAnsi="Times New Roman" w:eastAsia="方正仿宋_GBK" w:cs="Times New Roman"/>
          <w:b w:val="0"/>
          <w:bCs w:val="0"/>
          <w:sz w:val="32"/>
          <w:szCs w:val="32"/>
          <w:lang w:val="en-US" w:eastAsia="zh-CN"/>
        </w:rPr>
        <w:t>61.01</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%；社会保障和就业支出</w:t>
      </w:r>
      <w:r>
        <w:rPr>
          <w:rFonts w:hint="default" w:ascii="Times New Roman" w:hAnsi="Times New Roman" w:eastAsia="方正仿宋_GBK" w:cs="Times New Roman"/>
          <w:b w:val="0"/>
          <w:bCs w:val="0"/>
          <w:sz w:val="32"/>
          <w:szCs w:val="32"/>
          <w:lang w:val="en-US" w:eastAsia="zh-CN"/>
        </w:rPr>
        <w:t>739.23</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highlight w:val="none"/>
        </w:rPr>
        <w:t>，占</w:t>
      </w:r>
      <w:r>
        <w:rPr>
          <w:rFonts w:hint="default" w:ascii="Times New Roman" w:hAnsi="Times New Roman" w:eastAsia="方正仿宋_GBK" w:cs="Times New Roman"/>
          <w:b w:val="0"/>
          <w:bCs w:val="0"/>
          <w:sz w:val="32"/>
          <w:szCs w:val="32"/>
          <w:highlight w:val="none"/>
          <w:lang w:val="en-US" w:eastAsia="zh-CN"/>
        </w:rPr>
        <w:t>21</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rPr>
        <w:t>卫生健康支出</w:t>
      </w:r>
      <w:r>
        <w:rPr>
          <w:rFonts w:hint="default" w:ascii="Times New Roman" w:hAnsi="Times New Roman" w:eastAsia="方正仿宋_GBK" w:cs="Times New Roman"/>
          <w:b w:val="0"/>
          <w:bCs w:val="0"/>
          <w:sz w:val="32"/>
          <w:szCs w:val="32"/>
          <w:lang w:val="en-US" w:eastAsia="zh-CN"/>
        </w:rPr>
        <w:t>121.59</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节能环保</w:t>
      </w:r>
      <w:r>
        <w:rPr>
          <w:rFonts w:hint="default" w:ascii="Times New Roman" w:hAnsi="Times New Roman" w:eastAsia="方正仿宋_GBK" w:cs="Times New Roman"/>
          <w:b w:val="0"/>
          <w:bCs w:val="0"/>
          <w:sz w:val="32"/>
          <w:szCs w:val="32"/>
        </w:rPr>
        <w:t>支出</w:t>
      </w:r>
      <w:r>
        <w:rPr>
          <w:rFonts w:hint="default" w:ascii="Times New Roman" w:hAnsi="Times New Roman" w:eastAsia="方正仿宋_GBK" w:cs="Times New Roman"/>
          <w:b w:val="0"/>
          <w:bCs w:val="0"/>
          <w:sz w:val="32"/>
          <w:szCs w:val="32"/>
          <w:lang w:val="en-US" w:eastAsia="zh-CN"/>
        </w:rPr>
        <w:t>0.12</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kern w:val="0"/>
          <w:sz w:val="32"/>
          <w:szCs w:val="20"/>
          <w:highlight w:val="none"/>
          <w:u w:val="none"/>
          <w:lang w:val="en-US" w:eastAsia="zh-CN" w:bidi="ar-SA"/>
        </w:rPr>
        <w:t>城乡社区支出</w:t>
      </w:r>
      <w:r>
        <w:rPr>
          <w:rFonts w:hint="default" w:ascii="Times New Roman" w:hAnsi="Times New Roman" w:eastAsia="方正仿宋_GBK" w:cs="Times New Roman"/>
          <w:b w:val="0"/>
          <w:bCs w:val="0"/>
          <w:sz w:val="32"/>
          <w:szCs w:val="32"/>
          <w:lang w:val="en-US" w:eastAsia="zh-CN"/>
        </w:rPr>
        <w:t>604.85</w:t>
      </w:r>
      <w:r>
        <w:rPr>
          <w:rFonts w:hint="default" w:ascii="Times New Roman" w:hAnsi="Times New Roman" w:eastAsia="方正仿宋_GBK" w:cs="Times New Roman"/>
          <w:b w:val="0"/>
          <w:bCs w:val="0"/>
          <w:kern w:val="0"/>
          <w:sz w:val="32"/>
          <w:szCs w:val="20"/>
          <w:highlight w:val="none"/>
          <w:u w:val="none"/>
          <w:lang w:val="en-US" w:eastAsia="zh-CN" w:bidi="ar-SA"/>
        </w:rPr>
        <w:t>万元，占</w:t>
      </w:r>
      <w:r>
        <w:rPr>
          <w:rFonts w:hint="default" w:ascii="Times New Roman" w:hAnsi="Times New Roman" w:eastAsia="方正仿宋_GBK" w:cs="Times New Roman"/>
          <w:b w:val="0"/>
          <w:bCs w:val="0"/>
          <w:sz w:val="32"/>
          <w:szCs w:val="32"/>
          <w:highlight w:val="none"/>
          <w:lang w:val="en-US" w:eastAsia="zh-CN"/>
        </w:rPr>
        <w:t>17</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kern w:val="0"/>
          <w:sz w:val="32"/>
          <w:szCs w:val="20"/>
          <w:highlight w:val="none"/>
          <w:u w:val="none"/>
          <w:lang w:val="en-US" w:eastAsia="zh-CN" w:bidi="ar-SA"/>
        </w:rPr>
        <w:t>；农林水支出241.97万元，占7%；住房保障支出112.19万元，占3%；国有资本经营预算支出5万元，占1%。</w:t>
      </w:r>
    </w:p>
    <w:p>
      <w:pPr>
        <w:pStyle w:val="3"/>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lang w:eastAsia="zh-CN"/>
        </w:rPr>
        <w:object>
          <v:shape id="_x0000_i1030" o:spt="75" type="#_x0000_t75" style="height:222.75pt;width:366.75pt;" o:ole="t" filled="f" o:preferrelative="t" stroked="f" coordsize="21600,21600">
            <v:path/>
            <v:fill on="f" focussize="0,0"/>
            <v:stroke on="f"/>
            <v:imagedata r:id="rId21" o:title=""/>
            <o:lock v:ext="edit" aspectratio="t"/>
            <w10:wrap type="none"/>
            <w10:anchorlock/>
          </v:shape>
          <o:OLEObject Type="Embed" ProgID="Excel.Chart.8" ShapeID="_x0000_i1030" DrawAspect="Content" ObjectID="_1468075730" r:id="rId20">
            <o:LockedField>false</o:LockedField>
          </o:OLEObject>
        </w:object>
      </w:r>
    </w:p>
    <w:p>
      <w:pPr>
        <w:spacing w:line="600" w:lineRule="exact"/>
        <w:ind w:firstLine="643" w:firstLineChars="200"/>
        <w:outlineLvl w:val="2"/>
        <w:rPr>
          <w:rFonts w:hint="default" w:ascii="Times New Roman" w:hAnsi="Times New Roman" w:eastAsia="方正楷体_GBK" w:cs="Times New Roman"/>
          <w:b/>
          <w:sz w:val="32"/>
          <w:szCs w:val="32"/>
        </w:rPr>
      </w:pPr>
      <w:bookmarkStart w:id="57" w:name="_Toc15377212"/>
      <w:r>
        <w:rPr>
          <w:rFonts w:hint="default" w:ascii="Times New Roman" w:hAnsi="Times New Roman" w:eastAsia="方正楷体_GBK" w:cs="Times New Roman"/>
          <w:b/>
          <w:sz w:val="32"/>
          <w:szCs w:val="32"/>
        </w:rPr>
        <w:t>（三）一般公共预算财政拨款支出决算具体情况</w:t>
      </w:r>
      <w:bookmarkEnd w:id="5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default" w:ascii="Times New Roman" w:hAnsi="Times New Roman" w:eastAsia="方正仿宋_GBK" w:cs="Times New Roman"/>
          <w:b w:val="0"/>
          <w:bCs/>
          <w:sz w:val="32"/>
          <w:szCs w:val="32"/>
        </w:rPr>
      </w:pPr>
      <w:bookmarkStart w:id="58" w:name="_Toc15378460"/>
      <w:bookmarkStart w:id="59" w:name="_Toc15377444"/>
      <w:bookmarkStart w:id="60" w:name="_Toc15377213"/>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年度一般公共预算支出决算数为</w:t>
      </w:r>
      <w:r>
        <w:rPr>
          <w:rFonts w:hint="default" w:ascii="Times New Roman" w:hAnsi="Times New Roman" w:eastAsia="方正仿宋_GBK" w:cs="Times New Roman"/>
          <w:b w:val="0"/>
          <w:bCs/>
          <w:sz w:val="32"/>
          <w:szCs w:val="32"/>
          <w:lang w:val="en-US" w:eastAsia="zh-CN"/>
        </w:rPr>
        <w:t>2884.49万元</w:t>
      </w:r>
      <w:r>
        <w:rPr>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rPr>
        <w:t>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%。其中：</w:t>
      </w:r>
      <w:bookmarkEnd w:id="58"/>
      <w:bookmarkEnd w:id="59"/>
      <w:bookmarkEnd w:id="6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Style w:val="19"/>
          <w:rFonts w:hint="default" w:ascii="Times New Roman" w:hAnsi="Times New Roman" w:eastAsia="方正仿宋_GBK" w:cs="Times New Roman"/>
          <w:b w:val="0"/>
          <w:bCs/>
          <w:sz w:val="32"/>
          <w:szCs w:val="32"/>
          <w:highlight w:val="none"/>
        </w:rPr>
      </w:pPr>
      <w:r>
        <w:rPr>
          <w:rStyle w:val="19"/>
          <w:rFonts w:hint="default" w:ascii="Times New Roman" w:hAnsi="Times New Roman" w:eastAsia="方正仿宋_GBK" w:cs="Times New Roman"/>
          <w:b w:val="0"/>
          <w:bCs/>
          <w:sz w:val="32"/>
          <w:szCs w:val="32"/>
          <w:highlight w:val="none"/>
          <w:lang w:val="en-US" w:eastAsia="zh-CN"/>
        </w:rPr>
        <w:t>1.</w:t>
      </w:r>
      <w:r>
        <w:rPr>
          <w:rStyle w:val="19"/>
          <w:rFonts w:hint="default" w:ascii="Times New Roman" w:hAnsi="Times New Roman" w:eastAsia="方正仿宋_GBK" w:cs="Times New Roman"/>
          <w:b w:val="0"/>
          <w:bCs/>
          <w:sz w:val="32"/>
          <w:szCs w:val="32"/>
          <w:highlight w:val="none"/>
        </w:rPr>
        <w:t>一般公共服务</w:t>
      </w:r>
      <w:r>
        <w:rPr>
          <w:rStyle w:val="19"/>
          <w:rFonts w:hint="default" w:ascii="Times New Roman" w:hAnsi="Times New Roman" w:eastAsia="方正仿宋_GBK" w:cs="Times New Roman"/>
          <w:b w:val="0"/>
          <w:bCs/>
          <w:sz w:val="32"/>
          <w:szCs w:val="32"/>
          <w:highlight w:val="none"/>
          <w:lang w:val="en-US" w:eastAsia="zh-CN"/>
        </w:rPr>
        <w:t>201</w:t>
      </w:r>
      <w:r>
        <w:rPr>
          <w:rStyle w:val="19"/>
          <w:rFonts w:hint="default" w:ascii="Times New Roman" w:hAnsi="Times New Roman" w:eastAsia="方正仿宋_GBK" w:cs="Times New Roman"/>
          <w:b w:val="0"/>
          <w:bCs/>
          <w:sz w:val="32"/>
          <w:szCs w:val="32"/>
          <w:highlight w:val="none"/>
        </w:rPr>
        <w:t>（类）: 支出决算为</w:t>
      </w:r>
      <w:r>
        <w:rPr>
          <w:rStyle w:val="19"/>
          <w:rFonts w:hint="default" w:ascii="Times New Roman" w:hAnsi="Times New Roman" w:eastAsia="方正仿宋_GBK" w:cs="Times New Roman"/>
          <w:b w:val="0"/>
          <w:bCs/>
          <w:sz w:val="32"/>
          <w:szCs w:val="32"/>
          <w:highlight w:val="none"/>
          <w:lang w:val="en-US" w:eastAsia="zh-CN"/>
        </w:rPr>
        <w:t>1578.68</w:t>
      </w:r>
      <w:r>
        <w:rPr>
          <w:rStyle w:val="19"/>
          <w:rFonts w:hint="default" w:ascii="Times New Roman" w:hAnsi="Times New Roman" w:eastAsia="方正仿宋_GBK" w:cs="Times New Roman"/>
          <w:b w:val="0"/>
          <w:bCs/>
          <w:sz w:val="32"/>
          <w:szCs w:val="32"/>
          <w:highlight w:val="none"/>
        </w:rPr>
        <w:t>万元，完成预算</w:t>
      </w:r>
      <w:r>
        <w:rPr>
          <w:rStyle w:val="19"/>
          <w:rFonts w:hint="default" w:ascii="Times New Roman" w:hAnsi="Times New Roman" w:eastAsia="方正仿宋_GBK" w:cs="Times New Roman"/>
          <w:b w:val="0"/>
          <w:bCs/>
          <w:sz w:val="32"/>
          <w:szCs w:val="32"/>
          <w:highlight w:val="none"/>
          <w:lang w:val="en-US" w:eastAsia="zh-CN"/>
        </w:rPr>
        <w:t>100</w:t>
      </w:r>
      <w:r>
        <w:rPr>
          <w:rStyle w:val="19"/>
          <w:rFonts w:hint="default" w:ascii="Times New Roman" w:hAnsi="Times New Roman" w:eastAsia="方正仿宋_GBK" w:cs="Times New Roman"/>
          <w:b w:val="0"/>
          <w:bCs/>
          <w:sz w:val="32"/>
          <w:szCs w:val="32"/>
          <w:highlight w:val="none"/>
        </w:rPr>
        <w:t>%，决算数等于预算数的主要原因是</w:t>
      </w:r>
      <w:r>
        <w:rPr>
          <w:rStyle w:val="19"/>
          <w:rFonts w:hint="default" w:ascii="Times New Roman" w:hAnsi="Times New Roman" w:eastAsia="方正仿宋_GBK" w:cs="Times New Roman"/>
          <w:b w:val="0"/>
          <w:bCs/>
          <w:sz w:val="32"/>
          <w:szCs w:val="32"/>
          <w:highlight w:val="none"/>
          <w:lang w:val="en-US" w:eastAsia="zh-CN"/>
        </w:rPr>
        <w:t>收支平衡</w:t>
      </w:r>
      <w:r>
        <w:rPr>
          <w:rStyle w:val="19"/>
          <w:rFonts w:hint="default" w:ascii="Times New Roman" w:hAnsi="Times New Roman" w:eastAsia="方正仿宋_GBK" w:cs="Times New Roman"/>
          <w:b w:val="0"/>
          <w:bCs/>
          <w:sz w:val="32"/>
          <w:szCs w:val="32"/>
          <w:highlight w:val="none"/>
        </w:rPr>
        <w:t>。</w:t>
      </w:r>
      <w:r>
        <w:rPr>
          <w:rStyle w:val="19"/>
          <w:rFonts w:hint="default" w:ascii="Times New Roman" w:hAnsi="Times New Roman" w:eastAsia="方正仿宋_GBK" w:cs="Times New Roman"/>
          <w:b w:val="0"/>
          <w:bCs/>
          <w:sz w:val="32"/>
          <w:szCs w:val="32"/>
          <w:highlight w:val="none"/>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一般公共服务201（类）人大事务01（款）行政运行01（项）:支出决算为51.60万元，完成预算100%，决算数等于预算数的主要原因是，收支平衡。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一般公共服务201（类）人大事务01（款）人大会议04（项）：支出决算为1.2万元，完成预算100%，决算数等于预算数的主要原因是，收支平衡。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一般公共服务201（类）人大事务01（款）99其他人大事务支出（项）：支出决算为7.97万元，完成预算100%，决算数等于预算数的主要原因是，收支平衡。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一般公共服务201（类）政协事务02（款）其他政协事务支出99（项）：支出决算为0.76万元，完成预算100%，决算数等于预算数的主要原因是，收支平衡。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一般公共服务201（类）政府办公厅（室）及相关机构事务03（款）行政运行01（项）：支出决算为595.60万元，完成预算100%，决算数等于预算数的主要原因是，收支平衡。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一般公共服务201（类）政府办公厅（室）及相关机构事务03（款）一般行政管理事务02（项）：支出决算为29.68万元，完成预算100%，决算数等于预算数的主要原因是，收支平衡。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一般公共服务201（类）政府办公厅（室）及相关机构事务03（款）事业运行02（项）：支出决算为75.85万元，完成预算100%，决算数等于预算数的主要原因是，收支平衡。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一般公共服务201（类）政府办公厅（室）及相关机构事务03（款）其他政府办公厅(室)及相关机构事务支出99（项）:支出决算为717.58万元，完成预算100%，决算数等于预算数的主要原因是，收支平衡。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一般公共服务201（类）民族事务23（款）民族工作专项04（项）：支出决算为2.5万元，完成预算100%，决算数等于预算数的主要原因是，收支平衡。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一般公共服务201（类）民族事务23（款）其他民族事务99（项）:支出决算为15.3万元，完成预算100%，决算数等于预算数的主要原因是，收支平衡。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一般公共服务201（类）群众团体事务29（款）事业运行50（项）：支出决算为13.24万元，完成预算100%，决算数等于预算数的主要原因是，收支平衡。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一般公共服务201（类）党委办公厅（室）及相关机构事务31（款）行政运行01（项）:支出决算为54.93万元，完成预算100%，决算数等于预算数的主要原因是，收支平衡。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一般公共服务201（类）党委办公厅（室）及相关机构事务31（款）一般行政管理事务02（项）:支出决算为3.44万元，完成预算100%，决算数等于预算数的主要原因是，收支平衡。</w:t>
      </w:r>
    </w:p>
    <w:p>
      <w:pPr>
        <w:pStyle w:val="3"/>
        <w:keepNext w:val="0"/>
        <w:keepLines w:val="0"/>
        <w:pageBreakBefore w:val="0"/>
        <w:widowControl w:val="0"/>
        <w:numPr>
          <w:ilvl w:val="0"/>
          <w:numId w:val="0"/>
        </w:numPr>
        <w:suppressAutoHyphens/>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一般公共服务201（类）其他一般公共服务支出99（款）其他一般公共服务支出99（项）:支出决算为9万元，完成预算100%，决算数等于预算数的主要原因是，收支平衡。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Style w:val="19"/>
          <w:rFonts w:hint="default" w:ascii="Times New Roman" w:hAnsi="Times New Roman" w:eastAsia="方正仿宋_GBK" w:cs="Times New Roman"/>
          <w:b w:val="0"/>
          <w:bCs/>
          <w:sz w:val="32"/>
          <w:szCs w:val="32"/>
          <w:lang w:val="en-US" w:eastAsia="zh-CN"/>
        </w:rPr>
      </w:pPr>
      <w:r>
        <w:rPr>
          <w:rStyle w:val="19"/>
          <w:rFonts w:hint="default" w:ascii="Times New Roman" w:hAnsi="Times New Roman" w:eastAsia="方正仿宋_GBK" w:cs="Times New Roman"/>
          <w:b w:val="0"/>
          <w:bCs/>
          <w:sz w:val="32"/>
          <w:szCs w:val="32"/>
          <w:lang w:val="en-US" w:eastAsia="zh-CN"/>
        </w:rPr>
        <w:t>2.</w:t>
      </w:r>
      <w:r>
        <w:rPr>
          <w:rStyle w:val="19"/>
          <w:rFonts w:hint="default" w:ascii="Times New Roman" w:hAnsi="Times New Roman" w:eastAsia="方正仿宋_GBK" w:cs="Times New Roman"/>
          <w:b w:val="0"/>
          <w:bCs/>
          <w:sz w:val="32"/>
          <w:szCs w:val="32"/>
        </w:rPr>
        <w:t>文化旅游体育与传媒</w:t>
      </w:r>
      <w:r>
        <w:rPr>
          <w:rStyle w:val="19"/>
          <w:rFonts w:hint="default" w:ascii="Times New Roman" w:hAnsi="Times New Roman" w:eastAsia="方正仿宋_GBK" w:cs="Times New Roman"/>
          <w:b w:val="0"/>
          <w:bCs/>
          <w:sz w:val="32"/>
          <w:szCs w:val="32"/>
          <w:lang w:val="en-US" w:eastAsia="zh-CN"/>
        </w:rPr>
        <w:t>207</w:t>
      </w:r>
      <w:r>
        <w:rPr>
          <w:rStyle w:val="19"/>
          <w:rFonts w:hint="default" w:ascii="Times New Roman" w:hAnsi="Times New Roman" w:eastAsia="方正仿宋_GBK" w:cs="Times New Roman"/>
          <w:b w:val="0"/>
          <w:bCs/>
          <w:sz w:val="32"/>
          <w:szCs w:val="32"/>
        </w:rPr>
        <w:t>（类）: 支出决算为</w:t>
      </w:r>
      <w:r>
        <w:rPr>
          <w:rStyle w:val="19"/>
          <w:rFonts w:hint="default" w:ascii="Times New Roman" w:hAnsi="Times New Roman" w:eastAsia="方正仿宋_GBK" w:cs="Times New Roman"/>
          <w:b w:val="0"/>
          <w:bCs/>
          <w:sz w:val="32"/>
          <w:szCs w:val="32"/>
          <w:lang w:val="en-US" w:eastAsia="zh-CN"/>
        </w:rPr>
        <w:t>61.01</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文化旅游体育与传媒支出207（类）文化和旅游01（款）群众文化09（项）:支出决算为56.66万元，完成预算100%，决算数等于预算数的主要原因是，收支平衡。</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文化旅游体育与传媒支出207（类）文化和旅游01（款）其他文化和旅游支出99（项）:支出决算为4.35万元，完成预算100%，决算数等于预算数的主要原因是，收支平衡。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Style w:val="19"/>
          <w:rFonts w:hint="default" w:ascii="Times New Roman" w:hAnsi="Times New Roman" w:eastAsia="方正仿宋_GBK" w:cs="Times New Roman"/>
          <w:b w:val="0"/>
          <w:bCs/>
          <w:sz w:val="32"/>
          <w:szCs w:val="32"/>
          <w:lang w:val="en-US" w:eastAsia="zh-CN"/>
        </w:rPr>
      </w:pPr>
      <w:r>
        <w:rPr>
          <w:rStyle w:val="19"/>
          <w:rFonts w:hint="default" w:ascii="Times New Roman" w:hAnsi="Times New Roman" w:eastAsia="方正仿宋_GBK" w:cs="Times New Roman"/>
          <w:b w:val="0"/>
          <w:bCs/>
          <w:sz w:val="32"/>
          <w:szCs w:val="32"/>
          <w:lang w:val="en-US" w:eastAsia="zh-CN"/>
        </w:rPr>
        <w:t>3.</w:t>
      </w:r>
      <w:r>
        <w:rPr>
          <w:rStyle w:val="19"/>
          <w:rFonts w:hint="default" w:ascii="Times New Roman" w:hAnsi="Times New Roman" w:eastAsia="方正仿宋_GBK" w:cs="Times New Roman"/>
          <w:b w:val="0"/>
          <w:bCs/>
          <w:sz w:val="32"/>
          <w:szCs w:val="32"/>
        </w:rPr>
        <w:t>社会保障和就业</w:t>
      </w:r>
      <w:r>
        <w:rPr>
          <w:rStyle w:val="19"/>
          <w:rFonts w:hint="default" w:ascii="Times New Roman" w:hAnsi="Times New Roman" w:eastAsia="方正仿宋_GBK" w:cs="Times New Roman"/>
          <w:b w:val="0"/>
          <w:bCs/>
          <w:sz w:val="32"/>
          <w:szCs w:val="32"/>
          <w:lang w:val="en-US" w:eastAsia="zh-CN"/>
        </w:rPr>
        <w:t>支出208</w:t>
      </w:r>
      <w:r>
        <w:rPr>
          <w:rStyle w:val="19"/>
          <w:rFonts w:hint="default" w:ascii="Times New Roman" w:hAnsi="Times New Roman" w:eastAsia="方正仿宋_GBK" w:cs="Times New Roman"/>
          <w:b w:val="0"/>
          <w:bCs/>
          <w:sz w:val="32"/>
          <w:szCs w:val="32"/>
        </w:rPr>
        <w:t>（类）: 支出决算为</w:t>
      </w:r>
      <w:r>
        <w:rPr>
          <w:rStyle w:val="19"/>
          <w:rFonts w:hint="default" w:ascii="Times New Roman" w:hAnsi="Times New Roman" w:eastAsia="方正仿宋_GBK" w:cs="Times New Roman"/>
          <w:b w:val="0"/>
          <w:bCs/>
          <w:sz w:val="32"/>
          <w:szCs w:val="32"/>
          <w:lang w:val="en-US" w:eastAsia="zh-CN"/>
        </w:rPr>
        <w:t>739.23</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社会保障和就业支出208（类）人力资源和社会保障管理事务01（款）社会保险经办机构09（项）：支出决算为52.13万元，完成预算100%，决算数等于预算数的主要原因是，收支平衡。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社会保障和就业支出208（类）人力资源和社会保障管理事务01（款）其他人力资源和社会保障管理实务支出99（项）:支出决算为27.90万元，完成预算100%，决算数等于预算数的主要原因是，收支平衡。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社会保障和就业支出208（类）民政管理事务02（款）基层政权建设和社区治理08（项）:支出决算为407.49万元，完成预算100%，决算数等于预算数的主要原因是，收支平衡。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社会保障和就业支出208（类）行政事业单位养老支出05（款）行政单位离退休01（项）：支出决算为41.67万元，完成预算100%，决算数等于预算数的主要原因是，收支平衡。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社会保障和就业支出208（类）行政事业单位养老支出05（款）事业单位离退休02（项）：支出决算为19.84万元，完成预算100%，决算数等于预算数的主要原因是，收支平衡。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社会保障和就业支出208（类）行政事业单位养老支出05（款）机关事业单位基本养老保险缴费支出05（项）：支出决算为115.37万元，完成预算100%，决算数等于预算数的主要原因是，收支平衡。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社会保障和就业支出208（类）行政事业单位养老支出05（款）机关事业单位职业年金缴费支出06（项）：支出决算为39.27万元，完成预算100%，决算数等于预算数的主要原因是，收支平衡。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社会保障和就业支出208（类）就业补助07（款）就业创业服务补贴01（项）：支出决算为7.2万元，完成预算100%，决算数等于预算数的主要原因是，收支平衡。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社会保障和就业支出208（类）抚恤08（款）死亡抚恤01（项）：支出决算为22.35万元，完成预算100%，决算数等于预算数的主要原因是，收支平衡。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社会保障和就业支出208（类）抚恤08（款）伤残抚恤02（项）：支出决算为5.71万元，完成预算100%，决算数等于预算数的主要原因是，收支平衡。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社会保障和就业支出208（类）特困人员救助供养21（款）农村特困人员救助供养支出02（项）：支出决算为0.3万元，完成预算100%，决算数等于预算数的主要原因是，收支平衡。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卫生健康</w:t>
      </w:r>
      <w:r>
        <w:rPr>
          <w:rFonts w:hint="default" w:ascii="Times New Roman" w:hAnsi="Times New Roman" w:eastAsia="方正仿宋_GBK" w:cs="Times New Roman"/>
          <w:b w:val="0"/>
          <w:bCs/>
          <w:sz w:val="32"/>
          <w:szCs w:val="32"/>
          <w:lang w:val="en-US" w:eastAsia="zh-CN"/>
        </w:rPr>
        <w:t>支出210</w:t>
      </w:r>
      <w:r>
        <w:rPr>
          <w:rStyle w:val="19"/>
          <w:rFonts w:hint="default" w:ascii="Times New Roman" w:hAnsi="Times New Roman" w:eastAsia="方正仿宋_GBK" w:cs="Times New Roman"/>
          <w:b w:val="0"/>
          <w:bCs/>
          <w:sz w:val="32"/>
          <w:szCs w:val="32"/>
        </w:rPr>
        <w:t>（类）:支出决算为</w:t>
      </w:r>
      <w:r>
        <w:rPr>
          <w:rStyle w:val="19"/>
          <w:rFonts w:hint="default" w:ascii="Times New Roman" w:hAnsi="Times New Roman" w:eastAsia="方正仿宋_GBK" w:cs="Times New Roman"/>
          <w:b w:val="0"/>
          <w:bCs/>
          <w:sz w:val="32"/>
          <w:szCs w:val="32"/>
          <w:lang w:val="en-US" w:eastAsia="zh-CN"/>
        </w:rPr>
        <w:t>121.59</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卫生健康支出210（类）公共卫生04（款）其他公共卫生支出99（项）:支出决算为14.06万元，完成预算100%，决算数等于预算数的主要原因是，收支平衡。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卫生健康支出210（类）行政事业单位医疗11（款）行政单位医疗01（项）:支出决算为43.73万元，完成预算100%，决算数等于预算数的主要原因是，收支平衡。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卫生健康支出210（类）行政事业单位医疗11（款）事业单位医疗02（项）:支出决算为23.49万元，完成预算100%，决算数等于预算数的主要原因是，收支平衡。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卫生健康支出210（类）行政事业单位医疗11（款）公务员医疗补助03（项）:支出决算为4.44万元，完成预算100%，决算数等于预算数的主要原因是，收支平衡。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卫生健康支出210（类）行政事业单位医疗11（款）其他行政事业单位医疗支出99（项）:支出决算为35.87万元，完成预算100%，决算数等于预算数的主要原因是，收支平衡。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5.节能环保支出211（类）：</w:t>
      </w:r>
      <w:r>
        <w:rPr>
          <w:rFonts w:hint="default" w:ascii="Times New Roman" w:hAnsi="Times New Roman" w:eastAsia="方正仿宋_GBK" w:cs="Times New Roman"/>
          <w:b w:val="0"/>
          <w:bCs/>
          <w:sz w:val="32"/>
          <w:szCs w:val="32"/>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0.12</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节能环保支出211（类）污染防治03（款）其他污染防治支出99（项）：支出决算为0.12万元，完成预算100%，决算数等于预算数的主要原因是，收支平衡。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32"/>
          <w:szCs w:val="32"/>
          <w:lang w:val="en-US" w:eastAsia="zh-CN"/>
        </w:rPr>
        <w:t>6.城乡社区支出</w:t>
      </w:r>
      <w:r>
        <w:rPr>
          <w:rStyle w:val="19"/>
          <w:rFonts w:hint="default" w:ascii="Times New Roman" w:hAnsi="Times New Roman" w:eastAsia="方正仿宋_GBK" w:cs="Times New Roman"/>
          <w:b w:val="0"/>
          <w:bCs/>
          <w:sz w:val="32"/>
          <w:szCs w:val="32"/>
          <w:lang w:val="en-US" w:eastAsia="zh-CN"/>
        </w:rPr>
        <w:t>212</w:t>
      </w:r>
      <w:r>
        <w:rPr>
          <w:rStyle w:val="19"/>
          <w:rFonts w:hint="default" w:ascii="Times New Roman" w:hAnsi="Times New Roman" w:eastAsia="方正仿宋_GBK" w:cs="Times New Roman"/>
          <w:b w:val="0"/>
          <w:bCs/>
          <w:sz w:val="32"/>
          <w:szCs w:val="32"/>
        </w:rPr>
        <w:t>（类）</w:t>
      </w:r>
      <w:r>
        <w:rPr>
          <w:rStyle w:val="19"/>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29.70</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城乡社区支出212（类）城乡社区公共设施03（款）其他城乡社区公共设施支出99（项）：支出决算为18.11万元，完成预算100%，决算数等于预算数的主要原因是，收支平衡。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城乡社区支出212（类）其他城乡社区支出29（款）其他城乡社区支出99（项）：支出决算为11.6万元，完成预算100%，决算数等于预算数的主要原因是，收支平衡。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7.</w:t>
      </w:r>
      <w:r>
        <w:rPr>
          <w:rFonts w:hint="default" w:ascii="Times New Roman" w:hAnsi="Times New Roman" w:eastAsia="方正仿宋_GBK" w:cs="Times New Roman"/>
          <w:b w:val="0"/>
          <w:bCs/>
          <w:sz w:val="32"/>
          <w:szCs w:val="32"/>
          <w:highlight w:val="none"/>
          <w:lang w:val="en-US" w:eastAsia="zh-CN"/>
        </w:rPr>
        <w:t>农林水支出213（类）：</w:t>
      </w:r>
      <w:r>
        <w:rPr>
          <w:rFonts w:hint="default" w:ascii="Times New Roman" w:hAnsi="Times New Roman" w:eastAsia="方正仿宋_GBK" w:cs="Times New Roman"/>
          <w:b w:val="0"/>
          <w:bCs/>
          <w:sz w:val="32"/>
          <w:szCs w:val="32"/>
          <w:highlight w:val="none"/>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241.97</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农林水支出213（类）农业农村01（款）事业运行04（项）：支出决算为130.25万元，完成预算100%，决算数等于预算数的主要原因是，收支平衡。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农林水支出213（类）林业和草原02（款）林业草原防灾减灾34（项）：支出决算为18万元，完成预算100%，决算数等于预算数的主要原因是，收支平衡。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农林水支出213（类）林业和草原02（款）其他林业和草原支出99（项）：支出决算为18.38万元，完成预算100%，决算数等于预算数的主要原因是，收支平衡。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农林水支出213（类）水利03（款）大中型水库移民后期扶持专项支出21（项）：支出决算为31.55万元，完成预算100%，决算数等于预算数的主要原因是，收支平衡。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农林水支出213（类）农村综合改革07（款）对村民委员会和村党支部的补助05（项）：支出决算为43.17万元，完成预算100%，决算数等于预算数的主要原因是，收支平衡。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农林水支出213（类）其他农林水支出99（款）其他农林水支出99（项）：支出决算为19万元，完成预算100%，决算数等于预算数的主要原因是，收支平衡。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8.</w:t>
      </w:r>
      <w:r>
        <w:rPr>
          <w:rFonts w:hint="default" w:ascii="Times New Roman" w:hAnsi="Times New Roman" w:eastAsia="方正仿宋_GBK" w:cs="Times New Roman"/>
          <w:b w:val="0"/>
          <w:bCs/>
          <w:sz w:val="32"/>
          <w:szCs w:val="32"/>
          <w:lang w:val="en-US" w:eastAsia="zh-CN"/>
        </w:rPr>
        <w:t>住房保障支出221（类）：</w:t>
      </w:r>
      <w:r>
        <w:rPr>
          <w:rFonts w:hint="default" w:ascii="Times New Roman" w:hAnsi="Times New Roman" w:eastAsia="方正仿宋_GBK" w:cs="Times New Roman"/>
          <w:b w:val="0"/>
          <w:bCs/>
          <w:sz w:val="32"/>
          <w:szCs w:val="32"/>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112.19</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住房保障支出221（类）住房改革支出02（款）住房公积金01（项）：支出决算为101.22万元，完成预算100%，决算数等于预算数的主要原因是，收支平衡。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住房保障支出221（类）住房改革支出02（款）购房补贴03（项）：支出决算为10.97万元，完成预算100%，决算数等于预算数的主要原因是，收支平衡。</w:t>
      </w:r>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cs="Times New Roman"/>
        </w:rPr>
      </w:pPr>
      <w:bookmarkStart w:id="61" w:name="_Toc24955_WPSOffice_Level2"/>
      <w:bookmarkStart w:id="62" w:name="_Toc15377214"/>
      <w:bookmarkStart w:id="63" w:name="_Toc15396608"/>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31"/>
          <w:rFonts w:hint="default" w:ascii="Times New Roman" w:hAnsi="Times New Roman" w:eastAsia="方正黑体_GBK" w:cs="Times New Roman"/>
          <w:b w:val="0"/>
        </w:rPr>
        <w:t>般公共预算财政拨款基本支出决算情况说明</w:t>
      </w:r>
      <w:bookmarkEnd w:id="61"/>
      <w:bookmarkEnd w:id="62"/>
      <w:bookmarkEnd w:id="63"/>
      <w:r>
        <w:rPr>
          <w:rStyle w:val="31"/>
          <w:rFonts w:hint="default" w:ascii="Times New Roman" w:hAnsi="Times New Roman" w:eastAsia="黑体" w:cs="Times New Roman"/>
          <w:b w:val="0"/>
        </w:rPr>
        <w:tab/>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年度一般公共预算财政拨款基本支出</w:t>
      </w:r>
      <w:r>
        <w:rPr>
          <w:rFonts w:hint="default" w:ascii="Times New Roman" w:hAnsi="Times New Roman" w:eastAsia="方正仿宋_GBK" w:cs="Times New Roman"/>
          <w:sz w:val="32"/>
          <w:szCs w:val="32"/>
          <w:lang w:val="en-US" w:eastAsia="zh-CN"/>
        </w:rPr>
        <w:t>1926.69</w:t>
      </w:r>
      <w:r>
        <w:rPr>
          <w:rFonts w:hint="default" w:ascii="Times New Roman" w:hAnsi="Times New Roman" w:eastAsia="方正仿宋_GBK"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人员经费1753.13万元，主要包括：基本工资、津贴补贴、奖金、绩效工资、机关事业单位基本养老保险缴费、职业年金缴费、职工基本医疗保险缴费、公务员医疗补助缴费、其他社会保障缴费、住房公积金、医疗费、其他工资福利支出、退休费、抚恤金、生活补助、救济费、医疗费补助、奖励金、住房公积金、其他对个人和家庭的补助支出等。</w:t>
      </w:r>
      <w:r>
        <w:rPr>
          <w:rFonts w:hint="default" w:ascii="Times New Roman" w:hAnsi="Times New Roman" w:eastAsia="方正仿宋_GBK" w:cs="Times New Roman"/>
          <w:b w:val="0"/>
          <w:bCs/>
          <w:kern w:val="0"/>
          <w:sz w:val="32"/>
          <w:szCs w:val="32"/>
          <w:highlight w:val="none"/>
          <w:u w:val="none"/>
          <w:lang w:val="en-US" w:eastAsia="zh-CN" w:bidi="ar-SA"/>
        </w:rPr>
        <w:br w:type="textWrapping"/>
      </w:r>
      <w:r>
        <w:rPr>
          <w:rFonts w:hint="default" w:ascii="Times New Roman" w:hAnsi="Times New Roman" w:eastAsia="方正仿宋_GBK" w:cs="Times New Roman"/>
          <w:b w:val="0"/>
          <w:bCs/>
          <w:kern w:val="0"/>
          <w:sz w:val="32"/>
          <w:szCs w:val="32"/>
          <w:highlight w:val="none"/>
          <w:u w:val="none"/>
          <w:lang w:val="en-US" w:eastAsia="zh-CN" w:bidi="ar-SA"/>
        </w:rPr>
        <w:t>　　日常公用经费173.56万元，主要包括：办公费、咨询费、水费、电费、邮电费、差旅费、因公出国（境）费用、维修（护）费、租赁费、会议费、培训费、公务接待费、劳务费、委托业务费、工会经费、福利费、公务用车运行维护费、其他交通费、其他商品和服务支出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eastAsia="黑体" w:cs="Times New Roman"/>
          <w:b w:val="0"/>
        </w:rPr>
      </w:pPr>
      <w:bookmarkStart w:id="64" w:name="_Toc15377215"/>
      <w:bookmarkStart w:id="65" w:name="_Toc15396609"/>
      <w:bookmarkStart w:id="66" w:name="_Toc5729_WPSOffice_Level2"/>
      <w:r>
        <w:rPr>
          <w:rFonts w:hint="default" w:ascii="Times New Roman" w:hAnsi="Times New Roman" w:eastAsia="方正黑体_GBK" w:cs="Times New Roman"/>
          <w:sz w:val="32"/>
          <w:szCs w:val="32"/>
        </w:rPr>
        <w:t>七、</w:t>
      </w:r>
      <w:r>
        <w:rPr>
          <w:rStyle w:val="31"/>
          <w:rFonts w:hint="default" w:ascii="Times New Roman" w:hAnsi="Times New Roman" w:eastAsia="方正黑体_GBK" w:cs="Times New Roman"/>
          <w:b w:val="0"/>
        </w:rPr>
        <w:t>财政拨款</w:t>
      </w:r>
      <w:r>
        <w:rPr>
          <w:rStyle w:val="31"/>
          <w:rFonts w:hint="default" w:ascii="Times New Roman" w:hAnsi="Times New Roman" w:eastAsia="方正黑体_GBK" w:cs="Times New Roman"/>
        </w:rPr>
        <w:t>“</w:t>
      </w:r>
      <w:r>
        <w:rPr>
          <w:rStyle w:val="31"/>
          <w:rFonts w:hint="default" w:ascii="Times New Roman" w:hAnsi="Times New Roman" w:eastAsia="方正黑体_GBK" w:cs="Times New Roman"/>
          <w:b w:val="0"/>
        </w:rPr>
        <w:t>三公”经费支出决算情况说明</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sz w:val="32"/>
          <w:szCs w:val="32"/>
        </w:rPr>
      </w:pPr>
      <w:bookmarkStart w:id="67" w:name="_Toc15377216"/>
      <w:r>
        <w:rPr>
          <w:rFonts w:hint="default" w:ascii="Times New Roman" w:hAnsi="Times New Roman" w:eastAsia="方正楷体_GBK" w:cs="Times New Roman"/>
          <w:b/>
          <w:sz w:val="32"/>
          <w:szCs w:val="32"/>
        </w:rPr>
        <w:t>（一）“三公”经费财政拨款支出决算总体情况说明</w:t>
      </w:r>
      <w:bookmarkEnd w:id="6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20"/>
          <w:highlight w:val="none"/>
          <w:u w:val="none"/>
          <w:lang w:val="en-US" w:eastAsia="zh-CN" w:bidi="ar-SA"/>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年度“三公”经费财政拨款支出决算为</w:t>
      </w:r>
      <w:r>
        <w:rPr>
          <w:rFonts w:hint="default" w:ascii="Times New Roman" w:hAnsi="Times New Roman" w:eastAsia="方正仿宋_GBK" w:cs="Times New Roman"/>
          <w:sz w:val="32"/>
          <w:szCs w:val="32"/>
          <w:lang w:val="en-US" w:eastAsia="zh-CN"/>
        </w:rPr>
        <w:t>2.01万</w:t>
      </w:r>
      <w:r>
        <w:rPr>
          <w:rFonts w:hint="default" w:ascii="Times New Roman" w:hAnsi="Times New Roman" w:eastAsia="方正仿宋_GBK" w:cs="Times New Roman"/>
          <w:sz w:val="32"/>
          <w:szCs w:val="32"/>
        </w:rPr>
        <w:t>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%，较上年度</w:t>
      </w:r>
      <w:r>
        <w:rPr>
          <w:rFonts w:hint="default" w:ascii="Times New Roman" w:hAnsi="Times New Roman" w:eastAsia="方正仿宋_GBK" w:cs="Times New Roman"/>
          <w:sz w:val="32"/>
          <w:szCs w:val="32"/>
          <w:lang w:val="en-US" w:eastAsia="zh-CN"/>
        </w:rPr>
        <w:t>2.08万元</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0.07</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%。决算数小于预算数的主要原因是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kern w:val="0"/>
          <w:sz w:val="32"/>
          <w:szCs w:val="20"/>
          <w:highlight w:val="none"/>
          <w:u w:val="none"/>
          <w:lang w:val="en-US" w:eastAsia="zh-CN" w:bidi="ar-SA"/>
        </w:rPr>
        <w:t>当年无公务用车购置、按财政要求压缩“三公”经费、正常开支，严控资金用途。</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sz w:val="32"/>
          <w:szCs w:val="32"/>
        </w:rPr>
      </w:pPr>
      <w:bookmarkStart w:id="68" w:name="_Toc15377217"/>
      <w:r>
        <w:rPr>
          <w:rFonts w:hint="default" w:ascii="Times New Roman" w:hAnsi="Times New Roman" w:eastAsia="方正楷体_GBK" w:cs="Times New Roman"/>
          <w:b/>
          <w:sz w:val="32"/>
          <w:szCs w:val="32"/>
        </w:rPr>
        <w:t>（二）“三公”经费财政拨款支出决算具体情况说明</w:t>
      </w:r>
      <w:bookmarkEnd w:id="6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年度“三公”经费财政拨款支出决算中，因公出国（境）费支出决算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2.01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%。具体情况</w:t>
      </w:r>
      <w:r>
        <w:rPr>
          <w:rFonts w:hint="default" w:ascii="Times New Roman" w:hAnsi="Times New Roman" w:eastAsia="方正仿宋_GBK" w:cs="Times New Roman"/>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object>
          <v:shape id="_x0000_i1031" o:spt="75" type="#_x0000_t75" style="height:222.75pt;width:366.75pt;" o:ole="t" filled="f" o:preferrelative="t" stroked="f" coordsize="21600,21600">
            <v:path/>
            <v:fill on="f" focussize="0,0"/>
            <v:stroke on="f"/>
            <v:imagedata r:id="rId23" o:title=""/>
            <o:lock v:ext="edit" aspectratio="t"/>
            <w10:wrap type="none"/>
            <w10:anchorlock/>
          </v:shape>
          <o:OLEObject Type="Embed" ProgID="Excel.Chart.8" ShapeID="_x0000_i1031" DrawAspect="Content" ObjectID="_1468075731" r:id="rId22">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1.因公出国（境）经费支出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%。全年安排因公出国（境）团组</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次，出国（境）</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人。因公出国（境）支出决算</w:t>
      </w:r>
      <w:r>
        <w:rPr>
          <w:rFonts w:hint="default" w:ascii="Times New Roman" w:hAnsi="Times New Roman" w:eastAsia="方正仿宋_GBK" w:cs="Times New Roman"/>
          <w:b w:val="0"/>
          <w:bCs w:val="0"/>
          <w:sz w:val="32"/>
          <w:szCs w:val="32"/>
          <w:lang w:val="en-US" w:eastAsia="zh-CN"/>
        </w:rPr>
        <w:t>与</w:t>
      </w:r>
      <w:r>
        <w:rPr>
          <w:rFonts w:hint="default" w:ascii="Times New Roman" w:hAnsi="Times New Roman" w:eastAsia="方正仿宋_GBK" w:cs="Times New Roman"/>
          <w:b w:val="0"/>
          <w:bCs w:val="0"/>
          <w:sz w:val="32"/>
          <w:szCs w:val="32"/>
        </w:rPr>
        <w:t>2023年</w:t>
      </w:r>
      <w:r>
        <w:rPr>
          <w:rFonts w:hint="default" w:ascii="Times New Roman" w:hAnsi="Times New Roman" w:eastAsia="方正仿宋_GBK" w:cs="Times New Roman"/>
          <w:b w:val="0"/>
          <w:bCs w:val="0"/>
          <w:sz w:val="32"/>
          <w:szCs w:val="32"/>
          <w:lang w:val="en-US" w:eastAsia="zh-CN"/>
        </w:rPr>
        <w:t>持平</w:t>
      </w:r>
      <w:r>
        <w:rPr>
          <w:rFonts w:hint="default" w:ascii="Times New Roman" w:hAnsi="Times New Roman" w:eastAsia="方正仿宋_GBK" w:cs="Times New Roman"/>
          <w:b w:val="0"/>
          <w:bCs w:val="0"/>
          <w:sz w:val="32"/>
          <w:szCs w:val="32"/>
        </w:rPr>
        <w:t>，主要原因是</w:t>
      </w:r>
      <w:r>
        <w:rPr>
          <w:rFonts w:hint="default" w:ascii="Times New Roman" w:hAnsi="Times New Roman" w:eastAsia="方正仿宋_GBK" w:cs="Times New Roman"/>
          <w:b w:val="0"/>
          <w:bCs w:val="0"/>
          <w:sz w:val="32"/>
          <w:szCs w:val="32"/>
          <w:lang w:val="en-US" w:eastAsia="zh-CN"/>
        </w:rPr>
        <w:t>无因公出国业务</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2.公务用车购置及运行维护费支出</w:t>
      </w:r>
      <w:r>
        <w:rPr>
          <w:rFonts w:hint="default"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rPr>
        <w:t>%。公务用车购置及运行维护费支出决算比2023年度减少</w:t>
      </w:r>
      <w:r>
        <w:rPr>
          <w:rFonts w:hint="default" w:ascii="Times New Roman" w:hAnsi="Times New Roman" w:eastAsia="方正仿宋_GBK" w:cs="Times New Roman"/>
          <w:b w:val="0"/>
          <w:bCs w:val="0"/>
          <w:sz w:val="32"/>
          <w:szCs w:val="32"/>
          <w:lang w:val="en-US" w:eastAsia="zh-CN"/>
        </w:rPr>
        <w:t>0.01</w:t>
      </w:r>
      <w:r>
        <w:rPr>
          <w:rFonts w:hint="default" w:ascii="Times New Roman" w:hAnsi="Times New Roman" w:eastAsia="方正仿宋_GBK" w:cs="Times New Roman"/>
          <w:b w:val="0"/>
          <w:bCs w:val="0"/>
          <w:sz w:val="32"/>
          <w:szCs w:val="32"/>
        </w:rPr>
        <w:t>万元，下降</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%。主要原因是</w:t>
      </w:r>
      <w:r>
        <w:rPr>
          <w:rFonts w:hint="default" w:ascii="Times New Roman" w:hAnsi="Times New Roman" w:eastAsia="方正仿宋_GBK" w:cs="Times New Roman"/>
          <w:b w:val="0"/>
          <w:bCs w:val="0"/>
          <w:sz w:val="32"/>
          <w:szCs w:val="32"/>
          <w:lang w:val="en-US" w:eastAsia="zh-CN"/>
        </w:rPr>
        <w:t>公车经费正常运转。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其中：公务用车购置支出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万元。全年按规定更新购置公务用车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辆，其中：轿车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万元，越野车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万元，载客汽车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kern w:val="0"/>
          <w:sz w:val="32"/>
          <w:szCs w:val="32"/>
          <w:highlight w:val="none"/>
          <w:u w:val="none"/>
          <w:lang w:val="en-US" w:eastAsia="zh-CN" w:bidi="ar-SA"/>
        </w:rPr>
        <w:t>日常下乡工作，森林草原防灭火工作等</w:t>
      </w:r>
      <w:r>
        <w:rPr>
          <w:rFonts w:hint="default" w:ascii="Times New Roman" w:hAnsi="Times New Roman" w:eastAsia="方正仿宋_GBK" w:cs="Times New Roman"/>
          <w:b w:val="0"/>
          <w:bCs w:val="0"/>
          <w:sz w:val="32"/>
          <w:szCs w:val="32"/>
        </w:rPr>
        <w:t>。截至202</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年12月31日，单位共有公务用车</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辆，其中：轿车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辆、越野车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w:t>
      </w:r>
      <w:r>
        <w:rPr>
          <w:rFonts w:hint="default" w:ascii="Times New Roman" w:hAnsi="Times New Roman" w:eastAsia="方正仿宋_GBK" w:cs="Times New Roman"/>
          <w:b w:val="0"/>
          <w:bCs w:val="0"/>
          <w:sz w:val="32"/>
          <w:szCs w:val="32"/>
          <w:lang w:val="en-US" w:eastAsia="zh-CN"/>
        </w:rPr>
        <w:t>小型客车1辆，</w:t>
      </w:r>
      <w:r>
        <w:rPr>
          <w:rFonts w:hint="default" w:ascii="Times New Roman" w:hAnsi="Times New Roman" w:eastAsia="方正仿宋_GBK" w:cs="Times New Roman"/>
          <w:b w:val="0"/>
          <w:bCs w:val="0"/>
          <w:sz w:val="32"/>
          <w:szCs w:val="32"/>
        </w:rPr>
        <w:t>载客汽车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公务用车运行维护费支出</w:t>
      </w:r>
      <w:r>
        <w:rPr>
          <w:rFonts w:hint="default" w:ascii="Times New Roman" w:hAnsi="Times New Roman" w:eastAsia="方正仿宋_GBK" w:cs="Times New Roman"/>
          <w:b w:val="0"/>
          <w:bCs w:val="0"/>
          <w:sz w:val="32"/>
          <w:szCs w:val="32"/>
          <w:lang w:val="en-US" w:eastAsia="zh-CN"/>
        </w:rPr>
        <w:t>2.01</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kern w:val="0"/>
          <w:sz w:val="32"/>
          <w:szCs w:val="32"/>
          <w:highlight w:val="none"/>
          <w:u w:val="none"/>
          <w:lang w:val="en-US" w:eastAsia="zh-CN" w:bidi="ar-SA"/>
        </w:rPr>
        <w:t>平时正常下村，森林草原防灭火工作，防汛工作，迎检工作，征地拆迁工作</w:t>
      </w:r>
      <w:r>
        <w:rPr>
          <w:rFonts w:hint="default" w:ascii="Times New Roman" w:hAnsi="Times New Roman" w:eastAsia="方正仿宋_GBK" w:cs="Times New Roman"/>
          <w:b w:val="0"/>
          <w:bCs w:val="0"/>
          <w:sz w:val="32"/>
          <w:szCs w:val="32"/>
        </w:rPr>
        <w:t>等所需的公务用车燃料费、维修费、保险费等支出。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3.公务接待费支出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%。公务接待费支出决算</w:t>
      </w:r>
      <w:r>
        <w:rPr>
          <w:rFonts w:hint="default" w:ascii="Times New Roman" w:hAnsi="Times New Roman" w:eastAsia="方正仿宋_GBK" w:cs="Times New Roman"/>
          <w:b w:val="0"/>
          <w:bCs w:val="0"/>
          <w:sz w:val="32"/>
          <w:szCs w:val="32"/>
          <w:lang w:val="en-US" w:eastAsia="zh-CN"/>
        </w:rPr>
        <w:t>较</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年度</w:t>
      </w:r>
      <w:r>
        <w:rPr>
          <w:rFonts w:hint="default" w:ascii="Times New Roman" w:hAnsi="Times New Roman" w:eastAsia="方正仿宋_GBK" w:cs="Times New Roman"/>
          <w:b w:val="0"/>
          <w:bCs w:val="0"/>
          <w:sz w:val="32"/>
          <w:szCs w:val="32"/>
          <w:lang w:val="en-US" w:eastAsia="zh-CN"/>
        </w:rPr>
        <w:t>0.06万元</w:t>
      </w:r>
      <w:r>
        <w:rPr>
          <w:rFonts w:hint="default" w:ascii="Times New Roman" w:hAnsi="Times New Roman" w:eastAsia="方正仿宋_GBK" w:cs="Times New Roman"/>
          <w:b w:val="0"/>
          <w:bCs w:val="0"/>
          <w:sz w:val="32"/>
          <w:szCs w:val="32"/>
        </w:rPr>
        <w:t>减少</w:t>
      </w:r>
      <w:r>
        <w:rPr>
          <w:rFonts w:hint="default" w:ascii="Times New Roman" w:hAnsi="Times New Roman" w:eastAsia="方正仿宋_GBK" w:cs="Times New Roman"/>
          <w:b w:val="0"/>
          <w:bCs w:val="0"/>
          <w:sz w:val="32"/>
          <w:szCs w:val="32"/>
          <w:lang w:val="en-US" w:eastAsia="zh-CN"/>
        </w:rPr>
        <w:t>0.06</w:t>
      </w:r>
      <w:r>
        <w:rPr>
          <w:rFonts w:hint="default" w:ascii="Times New Roman" w:hAnsi="Times New Roman" w:eastAsia="方正仿宋_GBK" w:cs="Times New Roman"/>
          <w:b w:val="0"/>
          <w:bCs w:val="0"/>
          <w:sz w:val="32"/>
          <w:szCs w:val="32"/>
        </w:rPr>
        <w:t>万元，下降</w:t>
      </w:r>
      <w:r>
        <w:rPr>
          <w:rFonts w:hint="default" w:ascii="Times New Roman" w:hAnsi="Times New Roman"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rPr>
        <w:t>%。主要原因是</w:t>
      </w:r>
      <w:r>
        <w:rPr>
          <w:rFonts w:hint="default" w:ascii="Times New Roman" w:hAnsi="Times New Roman" w:eastAsia="方正仿宋_GBK" w:cs="Times New Roman"/>
          <w:b w:val="0"/>
          <w:bCs w:val="0"/>
          <w:kern w:val="0"/>
          <w:sz w:val="32"/>
          <w:szCs w:val="32"/>
          <w:highlight w:val="none"/>
          <w:u w:val="none"/>
          <w:lang w:val="en-US" w:eastAsia="zh-CN" w:bidi="ar-SA"/>
        </w:rPr>
        <w:t>本年无接待</w:t>
      </w:r>
      <w:r>
        <w:rPr>
          <w:rFonts w:hint="default" w:ascii="Times New Roman" w:hAnsi="Times New Roman" w:eastAsia="方正仿宋_GBK" w:cs="Times New Roman"/>
          <w:b w:val="0"/>
          <w:bCs w:val="0"/>
          <w:sz w:val="32"/>
          <w:szCs w:val="32"/>
        </w:rPr>
        <w:t>。其中：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国内公务接待支出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sz w:val="32"/>
          <w:szCs w:val="32"/>
          <w:lang w:val="en-US" w:eastAsia="zh-CN"/>
        </w:rPr>
        <w:t>接待无</w:t>
      </w:r>
      <w:r>
        <w:rPr>
          <w:rFonts w:hint="default" w:ascii="Times New Roman" w:hAnsi="Times New Roman" w:eastAsia="方正仿宋_GBK" w:cs="Times New Roman"/>
          <w:b w:val="0"/>
          <w:bCs w:val="0"/>
          <w:sz w:val="32"/>
          <w:szCs w:val="32"/>
        </w:rPr>
        <w:t>。国内公务接待</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批次</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人次（不包括陪同人员），共计支出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万元，具体内容包括：</w:t>
      </w:r>
      <w:r>
        <w:rPr>
          <w:rFonts w:hint="default" w:ascii="Times New Roman" w:hAnsi="Times New Roman" w:eastAsia="方正仿宋_GBK" w:cs="Times New Roman"/>
          <w:b w:val="0"/>
          <w:bCs w:val="0"/>
          <w:sz w:val="32"/>
          <w:szCs w:val="32"/>
          <w:lang w:val="en-US" w:eastAsia="zh-CN"/>
        </w:rPr>
        <w:t>无</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外事接待支出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sz w:val="32"/>
          <w:szCs w:val="32"/>
          <w:lang w:val="en-US" w:eastAsia="zh-CN"/>
        </w:rPr>
        <w:t>接待无</w:t>
      </w:r>
      <w:r>
        <w:rPr>
          <w:rFonts w:hint="default" w:ascii="Times New Roman" w:hAnsi="Times New Roman" w:eastAsia="方正仿宋_GBK" w:cs="Times New Roman"/>
          <w:b w:val="0"/>
          <w:bCs w:val="0"/>
          <w:sz w:val="32"/>
          <w:szCs w:val="32"/>
        </w:rPr>
        <w:t>。外事接待</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批次，</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人次（不包括陪同人员），共计支出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w:t>
      </w:r>
      <w:bookmarkStart w:id="69" w:name="_Toc15396610"/>
      <w:bookmarkStart w:id="70" w:name="_Toc15377218"/>
    </w:p>
    <w:p>
      <w:pPr>
        <w:keepNext w:val="0"/>
        <w:keepLines w:val="0"/>
        <w:pageBreakBefore w:val="0"/>
        <w:widowControl w:val="0"/>
        <w:kinsoku/>
        <w:wordWrap/>
        <w:overflowPunct/>
        <w:topLinePunct w:val="0"/>
        <w:autoSpaceDE/>
        <w:autoSpaceDN/>
        <w:bidi w:val="0"/>
        <w:adjustRightInd/>
        <w:snapToGrid/>
        <w:spacing w:line="240" w:lineRule="auto"/>
        <w:ind w:left="0" w:firstLine="640"/>
        <w:textAlignment w:val="auto"/>
        <w:outlineLvl w:val="1"/>
        <w:rPr>
          <w:rStyle w:val="31"/>
          <w:rFonts w:hint="default" w:ascii="Times New Roman" w:hAnsi="Times New Roman" w:eastAsia="方正黑体_GBK" w:cs="Times New Roman"/>
        </w:rPr>
      </w:pPr>
      <w:bookmarkStart w:id="71" w:name="_Toc14091_WPSOffice_Level2"/>
      <w:r>
        <w:rPr>
          <w:rFonts w:hint="default" w:ascii="Times New Roman" w:hAnsi="Times New Roman" w:eastAsia="方正黑体_GBK" w:cs="Times New Roman"/>
          <w:sz w:val="32"/>
          <w:szCs w:val="32"/>
        </w:rPr>
        <w:t>八、</w:t>
      </w:r>
      <w:r>
        <w:rPr>
          <w:rStyle w:val="31"/>
          <w:rFonts w:hint="default" w:ascii="Times New Roman" w:hAnsi="Times New Roman" w:eastAsia="方正黑体_GBK" w:cs="Times New Roman"/>
          <w:b w:val="0"/>
        </w:rPr>
        <w:t>政府性基金预算支出决算情况说明</w:t>
      </w:r>
      <w:bookmarkEnd w:id="69"/>
      <w:bookmarkEnd w:id="70"/>
      <w:bookmarkEnd w:id="71"/>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20"/>
          <w:highlight w:val="none"/>
          <w:u w:val="none"/>
          <w:lang w:val="en-US" w:eastAsia="zh-CN" w:bidi="ar-SA"/>
        </w:rPr>
        <w:t xml:space="preserve">2024年政府性基金预算拨款支出575.15万元。上年政府性基金结余0万元，本年基金收入575.15万元，本年国有土地使用权出让收入安排的支出575.15万元，共计支出575.15万元。 </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Style w:val="31"/>
          <w:rFonts w:hint="default" w:ascii="Times New Roman" w:hAnsi="Times New Roman" w:eastAsia="方正黑体_GBK" w:cs="Times New Roman"/>
          <w:b w:val="0"/>
        </w:rPr>
      </w:pPr>
      <w:bookmarkStart w:id="72" w:name="_Toc15377219"/>
      <w:bookmarkStart w:id="73" w:name="_Toc15396611"/>
      <w:bookmarkStart w:id="74" w:name="_Toc21165_WPSOffice_Level2"/>
      <w:r>
        <w:rPr>
          <w:rStyle w:val="31"/>
          <w:rFonts w:hint="default" w:ascii="Times New Roman" w:hAnsi="Times New Roman" w:eastAsia="方正黑体_GBK" w:cs="Times New Roman"/>
          <w:b w:val="0"/>
        </w:rPr>
        <w:t>九、国有资本经营预算支出决算情况说明</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2024年度国有资本经营预算财政拨款支出</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%。与2023年度</w:t>
      </w:r>
      <w:r>
        <w:rPr>
          <w:rFonts w:hint="default" w:ascii="Times New Roman" w:hAnsi="Times New Roman" w:eastAsia="方正仿宋_GBK" w:cs="Times New Roman"/>
          <w:sz w:val="32"/>
          <w:szCs w:val="32"/>
          <w:lang w:val="en-US" w:eastAsia="zh-CN"/>
        </w:rPr>
        <w:t>19.7万元</w:t>
      </w:r>
      <w:r>
        <w:rPr>
          <w:rFonts w:hint="default" w:ascii="Times New Roman" w:hAnsi="Times New Roman" w:eastAsia="方正仿宋_GBK" w:cs="Times New Roman"/>
          <w:sz w:val="32"/>
          <w:szCs w:val="32"/>
        </w:rPr>
        <w:t>相比，国有资本经营预算财政拨款支出减少</w:t>
      </w:r>
      <w:r>
        <w:rPr>
          <w:rFonts w:hint="default" w:ascii="Times New Roman" w:hAnsi="Times New Roman" w:eastAsia="方正仿宋_GBK" w:cs="Times New Roman"/>
          <w:sz w:val="32"/>
          <w:szCs w:val="32"/>
          <w:lang w:val="en-US" w:eastAsia="zh-CN"/>
        </w:rPr>
        <w:t>14.7</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sz w:val="32"/>
          <w:szCs w:val="32"/>
          <w:lang w:val="en-US" w:eastAsia="zh-CN"/>
        </w:rPr>
        <w:t>2023年下达</w:t>
      </w:r>
      <w:r>
        <w:rPr>
          <w:rFonts w:hint="default" w:ascii="Times New Roman" w:hAnsi="Times New Roman" w:eastAsia="方正仿宋_GBK" w:cs="Times New Roman"/>
          <w:b w:val="0"/>
          <w:bCs/>
          <w:kern w:val="0"/>
          <w:sz w:val="32"/>
          <w:szCs w:val="32"/>
          <w:highlight w:val="none"/>
          <w:u w:val="none"/>
          <w:lang w:val="en-US" w:eastAsia="zh-CN" w:bidi="ar-SA"/>
        </w:rPr>
        <w:t>国有企业退休人员社会化管理补助支出为2023年及以前年度相关资金，2024年下达的是当年资金。</w:t>
      </w:r>
    </w:p>
    <w:p>
      <w:pPr>
        <w:keepNext w:val="0"/>
        <w:keepLines w:val="0"/>
        <w:pageBreakBefore w:val="0"/>
        <w:widowControl w:val="0"/>
        <w:kinsoku/>
        <w:wordWrap/>
        <w:overflowPunct/>
        <w:topLinePunct w:val="0"/>
        <w:bidi w:val="0"/>
        <w:snapToGrid/>
        <w:spacing w:line="240" w:lineRule="auto"/>
        <w:ind w:left="0" w:firstLine="640" w:firstLineChars="200"/>
        <w:textAlignment w:val="auto"/>
        <w:outlineLvl w:val="1"/>
        <w:rPr>
          <w:rStyle w:val="31"/>
          <w:rFonts w:hint="default" w:ascii="Times New Roman" w:hAnsi="Times New Roman" w:eastAsia="方正黑体_GBK" w:cs="Times New Roman"/>
          <w:b w:val="0"/>
        </w:rPr>
      </w:pPr>
      <w:bookmarkStart w:id="75" w:name="_Toc15377221"/>
      <w:bookmarkStart w:id="76" w:name="_Toc5083_WPSOffice_Level2"/>
      <w:bookmarkStart w:id="77" w:name="_Toc15396612"/>
      <w:r>
        <w:rPr>
          <w:rStyle w:val="31"/>
          <w:rFonts w:hint="default" w:ascii="Times New Roman" w:hAnsi="Times New Roman" w:eastAsia="方正黑体_GBK" w:cs="Times New Roman"/>
          <w:b w:val="0"/>
        </w:rPr>
        <w:t>十、其他重要事项的情况说明</w:t>
      </w:r>
      <w:bookmarkEnd w:id="75"/>
      <w:bookmarkEnd w:id="76"/>
      <w:bookmarkEnd w:id="77"/>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78" w:name="_Toc15377222"/>
      <w:r>
        <w:rPr>
          <w:rFonts w:hint="default" w:ascii="Times New Roman" w:hAnsi="Times New Roman" w:eastAsia="方正楷体_GBK" w:cs="Times New Roman"/>
          <w:b/>
          <w:sz w:val="32"/>
          <w:szCs w:val="32"/>
        </w:rPr>
        <w:t>（一）机关运行经费支出情况</w:t>
      </w:r>
      <w:bookmarkEnd w:id="78"/>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2"/>
        <w:rPr>
          <w:rFonts w:hint="default" w:ascii="Times New Roman" w:hAnsi="Times New Roman" w:eastAsia="方正仿宋_GBK" w:cs="Times New Roman"/>
          <w:sz w:val="32"/>
          <w:szCs w:val="32"/>
        </w:rPr>
      </w:pPr>
      <w:bookmarkStart w:id="79" w:name="_Toc15377223"/>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桐子林镇</w:t>
      </w:r>
      <w:r>
        <w:rPr>
          <w:rFonts w:hint="default" w:ascii="Times New Roman" w:hAnsi="Times New Roman" w:eastAsia="方正仿宋_GBK" w:cs="Times New Roman"/>
          <w:sz w:val="32"/>
          <w:szCs w:val="32"/>
        </w:rPr>
        <w:t>机关运行经费支出</w:t>
      </w:r>
      <w:r>
        <w:rPr>
          <w:rFonts w:hint="default" w:ascii="Times New Roman" w:hAnsi="Times New Roman" w:eastAsia="方正仿宋_GBK" w:cs="Times New Roman"/>
          <w:sz w:val="32"/>
          <w:szCs w:val="32"/>
          <w:lang w:val="en-US" w:eastAsia="zh-CN"/>
        </w:rPr>
        <w:t>173.56</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157.29万元增加16.27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增长9</w:t>
      </w:r>
      <w:r>
        <w:rPr>
          <w:rFonts w:hint="default" w:ascii="Times New Roman" w:hAnsi="Times New Roman" w:eastAsia="方正仿宋_GBK" w:cs="Times New Roman"/>
          <w:sz w:val="32"/>
          <w:szCs w:val="32"/>
          <w:highlight w:val="none"/>
        </w:rPr>
        <w:t>%。主要原</w:t>
      </w:r>
      <w:r>
        <w:rPr>
          <w:rFonts w:hint="eastAsia" w:ascii="Times New Roman" w:hAnsi="Times New Roman" w:eastAsia="方正仿宋_GBK" w:cs="Times New Roman"/>
          <w:sz w:val="32"/>
          <w:szCs w:val="32"/>
        </w:rPr>
        <w:t>因</w:t>
      </w:r>
      <w:r>
        <w:rPr>
          <w:rFonts w:hint="eastAsia" w:eastAsia="方正仿宋_GBK" w:cs="Times New Roman"/>
          <w:sz w:val="32"/>
          <w:szCs w:val="32"/>
          <w:lang w:val="en-US" w:eastAsia="zh-CN"/>
        </w:rPr>
        <w:t>是</w:t>
      </w:r>
      <w:r>
        <w:rPr>
          <w:rFonts w:hint="eastAsia" w:ascii="Times New Roman" w:hAnsi="Times New Roman" w:eastAsia="方正仿宋_GBK" w:cs="Times New Roman"/>
          <w:sz w:val="32"/>
          <w:szCs w:val="32"/>
        </w:rPr>
        <w:t>上下年统计口径发生变化造成差异，</w:t>
      </w:r>
      <w:r>
        <w:rPr>
          <w:rFonts w:hint="eastAsia" w:eastAsia="方正仿宋_GBK" w:cs="Times New Roman"/>
          <w:sz w:val="32"/>
          <w:szCs w:val="32"/>
          <w:lang w:val="en-US" w:eastAsia="zh-CN"/>
        </w:rPr>
        <w:t>本年</w:t>
      </w:r>
      <w:r>
        <w:rPr>
          <w:rFonts w:hint="eastAsia" w:ascii="Times New Roman" w:hAnsi="Times New Roman" w:eastAsia="方正仿宋_GBK" w:cs="Times New Roman"/>
          <w:sz w:val="32"/>
          <w:szCs w:val="32"/>
        </w:rPr>
        <w:t>采购办公设备较多，</w:t>
      </w:r>
      <w:r>
        <w:rPr>
          <w:rFonts w:hint="eastAsia" w:eastAsia="方正仿宋_GBK" w:cs="Times New Roman"/>
          <w:sz w:val="32"/>
          <w:szCs w:val="32"/>
          <w:lang w:val="en-US" w:eastAsia="zh-CN"/>
        </w:rPr>
        <w:t>单位</w:t>
      </w:r>
      <w:r>
        <w:rPr>
          <w:rFonts w:hint="eastAsia" w:ascii="Times New Roman" w:hAnsi="Times New Roman" w:eastAsia="方正仿宋_GBK" w:cs="Times New Roman"/>
          <w:sz w:val="32"/>
          <w:szCs w:val="32"/>
        </w:rPr>
        <w:t>工作用网</w:t>
      </w:r>
      <w:r>
        <w:rPr>
          <w:rFonts w:hint="eastAsia" w:eastAsia="方正仿宋_GBK" w:cs="Times New Roman"/>
          <w:sz w:val="32"/>
          <w:szCs w:val="32"/>
          <w:lang w:val="en-US" w:eastAsia="zh-CN"/>
        </w:rPr>
        <w:t>迁改</w:t>
      </w:r>
      <w:r>
        <w:rPr>
          <w:rFonts w:hint="eastAsia" w:ascii="Times New Roman" w:hAnsi="Times New Roman" w:eastAsia="方正仿宋_GBK" w:cs="Times New Roman"/>
          <w:sz w:val="32"/>
          <w:szCs w:val="32"/>
        </w:rPr>
        <w:t>变动</w:t>
      </w:r>
      <w:r>
        <w:rPr>
          <w:rFonts w:hint="eastAsia"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，较上年相关经费有所变化</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r>
        <w:rPr>
          <w:rFonts w:hint="eastAsia" w:eastAsia="方正楷体_GBK" w:cs="Times New Roman"/>
          <w:b/>
          <w:sz w:val="32"/>
          <w:szCs w:val="32"/>
          <w:lang w:eastAsia="zh-CN"/>
        </w:rPr>
        <w:t>（</w:t>
      </w:r>
      <w:r>
        <w:rPr>
          <w:rFonts w:hint="eastAsia" w:eastAsia="方正楷体_GBK" w:cs="Times New Roman"/>
          <w:b/>
          <w:sz w:val="32"/>
          <w:szCs w:val="32"/>
          <w:lang w:val="en-US" w:eastAsia="zh-CN"/>
        </w:rPr>
        <w:t>二</w:t>
      </w:r>
      <w:r>
        <w:rPr>
          <w:rFonts w:hint="eastAsia" w:eastAsia="方正楷体_GBK" w:cs="Times New Roman"/>
          <w:b/>
          <w:sz w:val="32"/>
          <w:szCs w:val="32"/>
          <w:lang w:eastAsia="zh-CN"/>
        </w:rPr>
        <w:t>）</w:t>
      </w:r>
      <w:r>
        <w:rPr>
          <w:rFonts w:hint="default" w:ascii="Times New Roman" w:hAnsi="Times New Roman" w:eastAsia="方正楷体_GBK" w:cs="Times New Roman"/>
          <w:b/>
          <w:sz w:val="32"/>
          <w:szCs w:val="32"/>
        </w:rPr>
        <w:t>政府采购支出情况</w:t>
      </w:r>
      <w:bookmarkEnd w:id="79"/>
    </w:p>
    <w:p>
      <w:pPr>
        <w:keepNext w:val="0"/>
        <w:keepLines w:val="0"/>
        <w:pageBreakBefore w:val="0"/>
        <w:widowControl w:val="0"/>
        <w:kinsoku/>
        <w:wordWrap/>
        <w:overflowPunct/>
        <w:topLinePunct w:val="0"/>
        <w:bidi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桐子林人民</w:t>
      </w:r>
      <w:r>
        <w:rPr>
          <w:rFonts w:hint="default" w:ascii="Times New Roman" w:hAnsi="Times New Roman" w:eastAsia="方正仿宋_GBK" w:cs="Times New Roman"/>
          <w:sz w:val="32"/>
          <w:szCs w:val="32"/>
        </w:rPr>
        <w:t>政府采购支出总额</w:t>
      </w:r>
      <w:r>
        <w:rPr>
          <w:rFonts w:hint="default" w:ascii="Times New Roman" w:hAnsi="Times New Roman" w:eastAsia="方正仿宋_GBK" w:cs="Times New Roman"/>
          <w:sz w:val="32"/>
          <w:szCs w:val="32"/>
          <w:lang w:val="en-US" w:eastAsia="zh-CN"/>
        </w:rPr>
        <w:t>184.25</w:t>
      </w:r>
      <w:r>
        <w:rPr>
          <w:rFonts w:hint="default" w:ascii="Times New Roman" w:hAnsi="Times New Roman" w:eastAsia="方正仿宋_GBK" w:cs="Times New Roman"/>
          <w:sz w:val="32"/>
          <w:szCs w:val="32"/>
        </w:rPr>
        <w:t>万元，其中：政府采购货物支出</w:t>
      </w:r>
      <w:r>
        <w:rPr>
          <w:rFonts w:hint="default" w:ascii="Times New Roman" w:hAnsi="Times New Roman" w:eastAsia="方正仿宋_GBK" w:cs="Times New Roman"/>
          <w:sz w:val="32"/>
          <w:szCs w:val="32"/>
          <w:lang w:val="en-US" w:eastAsia="zh-CN"/>
        </w:rPr>
        <w:t>19.07</w:t>
      </w:r>
      <w:r>
        <w:rPr>
          <w:rFonts w:hint="default" w:ascii="Times New Roman" w:hAnsi="Times New Roman" w:eastAsia="方正仿宋_GBK" w:cs="Times New Roman"/>
          <w:sz w:val="32"/>
          <w:szCs w:val="32"/>
        </w:rPr>
        <w:t>万元、政府采购工程支出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万元、政府采购服务支出</w:t>
      </w:r>
      <w:r>
        <w:rPr>
          <w:rFonts w:hint="default" w:ascii="Times New Roman" w:hAnsi="Times New Roman" w:eastAsia="方正仿宋_GBK" w:cs="Times New Roman"/>
          <w:sz w:val="32"/>
          <w:szCs w:val="32"/>
          <w:lang w:val="en-US" w:eastAsia="zh-CN"/>
        </w:rPr>
        <w:t>165.18</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sz w:val="32"/>
          <w:szCs w:val="32"/>
          <w:lang w:val="en-US" w:eastAsia="zh-CN"/>
        </w:rPr>
        <w:t>双中心建设购买空调、打印机等设备；公务用车加油、维修保养等；南钒钛磁铁矿区尾矿库征地拆迁实物调查服务项目工作</w:t>
      </w:r>
      <w:r>
        <w:rPr>
          <w:rFonts w:hint="default" w:ascii="Times New Roman" w:hAnsi="Times New Roman" w:eastAsia="方正仿宋_GBK" w:cs="Times New Roman"/>
          <w:sz w:val="32"/>
          <w:szCs w:val="32"/>
        </w:rPr>
        <w:t>。授予中小企业合同金额</w:t>
      </w:r>
      <w:r>
        <w:rPr>
          <w:rFonts w:hint="default" w:ascii="Times New Roman" w:hAnsi="Times New Roman" w:eastAsia="方正仿宋_GBK" w:cs="Times New Roman"/>
          <w:sz w:val="32"/>
          <w:szCs w:val="32"/>
          <w:lang w:val="en-US" w:eastAsia="zh-CN"/>
        </w:rPr>
        <w:t>183.97</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%，其中：授予小微企业合同金额</w:t>
      </w:r>
      <w:r>
        <w:rPr>
          <w:rFonts w:hint="default" w:ascii="Times New Roman" w:hAnsi="Times New Roman" w:eastAsia="方正仿宋_GBK" w:cs="Times New Roman"/>
          <w:sz w:val="32"/>
          <w:szCs w:val="32"/>
          <w:lang w:val="en-US" w:eastAsia="zh-CN"/>
        </w:rPr>
        <w:t>177.44</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80" w:name="_Toc15377224"/>
      <w:r>
        <w:rPr>
          <w:rFonts w:hint="default" w:ascii="Times New Roman" w:hAnsi="Times New Roman" w:eastAsia="方正楷体_GBK" w:cs="Times New Roman"/>
          <w:b/>
          <w:sz w:val="32"/>
          <w:szCs w:val="32"/>
        </w:rPr>
        <w:t>（三）国有资产占有使用情况</w:t>
      </w:r>
      <w:bookmarkEnd w:id="80"/>
    </w:p>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w:t>
      </w:r>
      <w:r>
        <w:rPr>
          <w:rFonts w:hint="default" w:ascii="Times New Roman" w:hAnsi="Times New Roman" w:eastAsia="方正仿宋_GBK" w:cs="Times New Roman"/>
          <w:sz w:val="32"/>
          <w:szCs w:val="32"/>
          <w:lang w:val="en-US" w:eastAsia="zh-CN"/>
        </w:rPr>
        <w:t>桐子林镇人民政府</w:t>
      </w:r>
      <w:r>
        <w:rPr>
          <w:rFonts w:hint="default" w:ascii="Times New Roman" w:hAnsi="Times New Roman" w:eastAsia="方正仿宋_GBK" w:cs="Times New Roman"/>
          <w:sz w:val="32"/>
          <w:szCs w:val="32"/>
        </w:rPr>
        <w:t>共有车辆</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辆，其中：主要负责人用车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辆、机要通信用车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辆、其他用车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辆，其他用车主要是用于</w:t>
      </w:r>
      <w:r>
        <w:rPr>
          <w:rFonts w:hint="default" w:ascii="Times New Roman" w:hAnsi="Times New Roman" w:eastAsia="方正仿宋_GBK" w:cs="Times New Roman"/>
          <w:b w:val="0"/>
          <w:bCs/>
          <w:kern w:val="0"/>
          <w:sz w:val="32"/>
          <w:szCs w:val="20"/>
          <w:highlight w:val="none"/>
          <w:u w:val="none"/>
          <w:lang w:val="en-US" w:eastAsia="zh-CN" w:bidi="ar-SA"/>
        </w:rPr>
        <w:t>平时正常下村，森林草原防灭火工作，防汛工作，迎检工作，征地拆迁工作</w:t>
      </w:r>
      <w:r>
        <w:rPr>
          <w:rFonts w:hint="default" w:ascii="Times New Roman" w:hAnsi="Times New Roman" w:eastAsia="方正仿宋_GBK" w:cs="Times New Roman"/>
          <w:sz w:val="32"/>
          <w:szCs w:val="32"/>
        </w:rPr>
        <w:t>等。单价100万元以上设备（不含车辆）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台（套）。</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val="en-US" w:eastAsia="zh-CN"/>
        </w:rPr>
        <w:t>盐边县桐子林镇人民政府</w:t>
      </w:r>
      <w:r>
        <w:rPr>
          <w:rFonts w:hint="default" w:ascii="Times New Roman" w:hAnsi="Times New Roman" w:eastAsia="方正仿宋_GBK" w:cs="Times New Roman"/>
          <w:sz w:val="32"/>
          <w:szCs w:val="32"/>
        </w:rPr>
        <w:t>在2024年度预算编制阶段，组织对</w:t>
      </w:r>
      <w:r>
        <w:rPr>
          <w:rFonts w:hint="default" w:ascii="Times New Roman" w:hAnsi="Times New Roman" w:eastAsia="方正仿宋_GBK" w:cs="Times New Roman"/>
          <w:b w:val="0"/>
          <w:bCs/>
          <w:kern w:val="0"/>
          <w:sz w:val="32"/>
          <w:szCs w:val="32"/>
          <w:highlight w:val="none"/>
          <w:u w:val="none"/>
          <w:lang w:val="en-US" w:eastAsia="zh-CN" w:bidi="ar-SA"/>
        </w:rPr>
        <w:t>1.</w:t>
      </w:r>
      <w:r>
        <w:rPr>
          <w:rFonts w:hint="default" w:ascii="Times New Roman" w:hAnsi="Times New Roman" w:eastAsia="方正仿宋_GBK" w:cs="Times New Roman"/>
          <w:b w:val="0"/>
          <w:kern w:val="2"/>
          <w:sz w:val="32"/>
          <w:szCs w:val="32"/>
          <w:lang w:val="en-US" w:eastAsia="zh-CN" w:bidi="ar-SA"/>
        </w:rPr>
        <w:t>根据盐财资行【2024】94号关于下达2024年公共图书馆、美术馆、文化馆（站）免费开放中央补助资金预算的通知，</w:t>
      </w:r>
      <w:r>
        <w:rPr>
          <w:rFonts w:hint="default" w:ascii="Times New Roman" w:hAnsi="Times New Roman" w:eastAsia="方正仿宋_GBK" w:cs="Times New Roman"/>
          <w:b w:val="0"/>
          <w:bCs/>
          <w:kern w:val="0"/>
          <w:sz w:val="32"/>
          <w:szCs w:val="32"/>
          <w:highlight w:val="none"/>
          <w:u w:val="none"/>
          <w:lang w:val="en-US" w:eastAsia="zh-CN" w:bidi="ar-SA"/>
        </w:rPr>
        <w:t>2.</w:t>
      </w:r>
      <w:r>
        <w:rPr>
          <w:rFonts w:hint="default" w:ascii="Times New Roman" w:hAnsi="Times New Roman" w:eastAsia="方正仿宋_GBK" w:cs="Times New Roman"/>
          <w:b w:val="0"/>
          <w:kern w:val="2"/>
          <w:sz w:val="32"/>
          <w:szCs w:val="32"/>
          <w:lang w:val="en-US" w:eastAsia="zh-CN" w:bidi="ar-SA"/>
        </w:rPr>
        <w:t>盐财资行【2024】362号关于下达2024年中央和省级财政公共图书馆、美术馆、文化（站）免费开放补助资金，</w:t>
      </w:r>
      <w:r>
        <w:rPr>
          <w:rFonts w:hint="default" w:ascii="Times New Roman" w:hAnsi="Times New Roman" w:eastAsia="方正仿宋_GBK" w:cs="Times New Roman"/>
          <w:b w:val="0"/>
          <w:bCs/>
          <w:kern w:val="0"/>
          <w:sz w:val="32"/>
          <w:szCs w:val="32"/>
          <w:highlight w:val="none"/>
          <w:u w:val="none"/>
          <w:lang w:val="en-US" w:eastAsia="zh-CN" w:bidi="ar-SA"/>
        </w:rPr>
        <w:t>3.</w:t>
      </w:r>
      <w:r>
        <w:rPr>
          <w:rFonts w:hint="default" w:ascii="Times New Roman" w:hAnsi="Times New Roman" w:eastAsia="方正仿宋_GBK" w:cs="Times New Roman"/>
          <w:b w:val="0"/>
          <w:kern w:val="2"/>
          <w:sz w:val="32"/>
          <w:szCs w:val="32"/>
          <w:lang w:val="en-US" w:eastAsia="zh-CN" w:bidi="ar-SA"/>
        </w:rPr>
        <w:t>根据盐财资建【2024】50号关于调整下达2023年全省村（社区）森林防火奖补资金预算的通知，</w:t>
      </w:r>
      <w:r>
        <w:rPr>
          <w:rFonts w:hint="default" w:ascii="Times New Roman" w:hAnsi="Times New Roman" w:eastAsia="方正仿宋_GBK" w:cs="Times New Roman"/>
          <w:b w:val="0"/>
          <w:bCs/>
          <w:kern w:val="0"/>
          <w:sz w:val="32"/>
          <w:szCs w:val="32"/>
          <w:highlight w:val="none"/>
          <w:u w:val="none"/>
          <w:lang w:val="en-US" w:eastAsia="zh-CN" w:bidi="ar-SA"/>
        </w:rPr>
        <w:t>4.</w:t>
      </w:r>
      <w:r>
        <w:rPr>
          <w:rFonts w:hint="default" w:ascii="Times New Roman" w:hAnsi="Times New Roman" w:eastAsia="方正仿宋_GBK" w:cs="Times New Roman"/>
          <w:b w:val="0"/>
          <w:kern w:val="2"/>
          <w:sz w:val="32"/>
          <w:szCs w:val="32"/>
          <w:lang w:val="en-US" w:eastAsia="zh-CN" w:bidi="ar-SA"/>
        </w:rPr>
        <w:t>根据盐财资预【2023】116号关于结转2023年中央和省级专项资金指标的通知，</w:t>
      </w:r>
      <w:r>
        <w:rPr>
          <w:rFonts w:hint="default" w:ascii="Times New Roman" w:hAnsi="Times New Roman"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kern w:val="2"/>
          <w:sz w:val="32"/>
          <w:szCs w:val="32"/>
          <w:lang w:val="en-US" w:eastAsia="zh-CN" w:bidi="ar-SA"/>
        </w:rPr>
        <w:t>根据盐财资预【2024】17号关于下达2024年省级村级公共服务运行经费的通知等</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个项目开展了预算事前绩效评估，对</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个项目编制了绩效目标，预算执行过程中，选取</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个项目开展绩效监控。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组织对2024年度一般公共预算、政府性基金预算、国有资本经营预算、社会保险基金预算以及资本资产、债券资金等全面开展绩效自评，形成</w:t>
      </w:r>
      <w:r>
        <w:rPr>
          <w:rFonts w:hint="default" w:ascii="Times New Roman" w:hAnsi="Times New Roman" w:eastAsia="方正仿宋_GBK" w:cs="Times New Roman"/>
          <w:sz w:val="32"/>
          <w:szCs w:val="32"/>
          <w:lang w:val="en-US" w:eastAsia="zh-CN"/>
        </w:rPr>
        <w:t>盐边县桐子林镇人民政府</w:t>
      </w:r>
      <w:r>
        <w:rPr>
          <w:rFonts w:hint="default" w:ascii="Times New Roman" w:hAnsi="Times New Roman" w:eastAsia="方正仿宋_GBK" w:cs="Times New Roman"/>
          <w:sz w:val="32"/>
          <w:szCs w:val="32"/>
        </w:rPr>
        <w:t>部门整体（含部门预算项目）绩效自评报告、</w:t>
      </w:r>
      <w:r>
        <w:rPr>
          <w:rFonts w:hint="default" w:ascii="Times New Roman" w:hAnsi="Times New Roman" w:eastAsia="方正仿宋_GBK" w:cs="Times New Roman"/>
          <w:sz w:val="32"/>
          <w:szCs w:val="32"/>
          <w:lang w:val="en-US" w:eastAsia="zh-CN"/>
        </w:rPr>
        <w:t>本单位2024年共计57个项目，本次对其中5个项目</w:t>
      </w:r>
      <w:r>
        <w:rPr>
          <w:rFonts w:hint="default" w:ascii="Times New Roman" w:hAnsi="Times New Roman" w:eastAsia="方正仿宋_GBK" w:cs="Times New Roman"/>
          <w:sz w:val="32"/>
          <w:szCs w:val="32"/>
        </w:rPr>
        <w:t>等专项预算项目绩效自评报告，其中，</w:t>
      </w:r>
      <w:r>
        <w:rPr>
          <w:rFonts w:hint="default" w:ascii="Times New Roman" w:hAnsi="Times New Roman" w:eastAsia="方正仿宋_GBK" w:cs="Times New Roman"/>
          <w:sz w:val="32"/>
          <w:szCs w:val="32"/>
          <w:lang w:val="en-US" w:eastAsia="zh-CN"/>
        </w:rPr>
        <w:t>盐边县桐子林镇</w:t>
      </w:r>
      <w:r>
        <w:rPr>
          <w:rFonts w:hint="default" w:ascii="Times New Roman" w:hAnsi="Times New Roman" w:eastAsia="方正仿宋_GBK" w:cs="Times New Roman"/>
          <w:sz w:val="32"/>
          <w:szCs w:val="32"/>
        </w:rPr>
        <w:t>部门整体（含部门预算项目）绩效自评得分为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优</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1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kern w:val="2"/>
          <w:sz w:val="32"/>
          <w:szCs w:val="32"/>
          <w:lang w:val="en-US" w:eastAsia="zh-CN" w:bidi="ar-SA"/>
        </w:rPr>
        <w:t>根据盐财资行【2024】94号关于下达2024年公共图书馆、美术馆、文化馆（站）免费开放中央补助资金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项目全年预算数3.6万元，执行数为3.6万元，完成预算的100%。通过项目实施，</w:t>
      </w:r>
      <w:r>
        <w:rPr>
          <w:rFonts w:hint="default" w:ascii="Times New Roman" w:hAnsi="Times New Roman" w:eastAsia="方正仿宋_GBK" w:cs="Times New Roman"/>
          <w:b w:val="0"/>
          <w:kern w:val="2"/>
          <w:sz w:val="32"/>
          <w:szCs w:val="32"/>
          <w:lang w:val="en-US" w:eastAsia="zh-CN" w:bidi="ar-SA"/>
        </w:rPr>
        <w:t>为打造独具魅力的“滋味桐子林  幸福花园城”，深入挖掘大笮文化和少数民族文化内涵，大力传承弘扬“三线”精神，通过广泛开展群众性文化活动，进一步丰富群众文化生活，巩固增进民族团结，加快国家文明城市创建步伐，更好地满足盐边人民日益增长的美好生活需要</w:t>
      </w:r>
      <w:r>
        <w:rPr>
          <w:rFonts w:hint="default" w:ascii="Times New Roman" w:hAnsi="Times New Roman" w:eastAsia="方正仿宋_GBK" w:cs="Times New Roman"/>
          <w:b w:val="0"/>
          <w:bCs/>
          <w:kern w:val="0"/>
          <w:sz w:val="32"/>
          <w:szCs w:val="32"/>
          <w:highlight w:val="none"/>
          <w:u w:val="none"/>
          <w:lang w:val="en-US" w:eastAsia="zh-CN" w:bidi="ar-SA"/>
        </w:rPr>
        <w:t>。根据财政下达的预算资金额度，严格把控资金使用，不超支。发现的主要问题：无。下一步改进措施：无。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2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bCs/>
          <w:kern w:val="0"/>
          <w:sz w:val="32"/>
          <w:szCs w:val="32"/>
          <w:highlight w:val="none"/>
          <w:u w:val="none"/>
          <w:lang w:val="en-US" w:eastAsia="zh-CN" w:bidi="ar-SA"/>
        </w:rPr>
        <w:t>根据</w:t>
      </w:r>
      <w:r>
        <w:rPr>
          <w:rFonts w:hint="default" w:ascii="Times New Roman" w:hAnsi="Times New Roman" w:eastAsia="方正仿宋_GBK" w:cs="Times New Roman"/>
          <w:b w:val="0"/>
          <w:kern w:val="2"/>
          <w:sz w:val="32"/>
          <w:szCs w:val="32"/>
          <w:lang w:val="en-US" w:eastAsia="zh-CN" w:bidi="ar-SA"/>
        </w:rPr>
        <w:t>盐财资行【2024】362号关于下达2024年中央和省级财政公共图书馆、美术馆、文化（站）免费开放补助资金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项目全年预算数0.75万元，执行数为0.75万元，完成预算的100%。通过项目实施，</w:t>
      </w:r>
      <w:r>
        <w:rPr>
          <w:rFonts w:hint="default" w:ascii="Times New Roman" w:hAnsi="Times New Roman" w:eastAsia="方正仿宋_GBK" w:cs="Times New Roman"/>
          <w:b w:val="0"/>
          <w:kern w:val="2"/>
          <w:sz w:val="32"/>
          <w:szCs w:val="32"/>
          <w:lang w:val="en-US" w:eastAsia="zh-CN" w:bidi="ar-SA"/>
        </w:rPr>
        <w:t>为打造独具魅力的“滋味桐子林  幸福花园城”，深入挖掘大笮文化和少数民族文化内涵，大力传承弘扬“三线”精神，通过广泛开展群众性文化活动，进一步丰富群众文化生活，巩固增进民族团结，加快国家文明城市创建步伐，更好地满足盐边人民日益增长的美好生活需要</w:t>
      </w:r>
      <w:r>
        <w:rPr>
          <w:rFonts w:hint="default" w:ascii="Times New Roman" w:hAnsi="Times New Roman" w:eastAsia="方正仿宋_GBK" w:cs="Times New Roman"/>
          <w:b w:val="0"/>
          <w:bCs/>
          <w:kern w:val="0"/>
          <w:sz w:val="32"/>
          <w:szCs w:val="32"/>
          <w:highlight w:val="none"/>
          <w:u w:val="none"/>
          <w:lang w:val="en-US" w:eastAsia="zh-CN" w:bidi="ar-SA"/>
        </w:rPr>
        <w:t>。根据财政下达的预算资金额度，严格把控资金使用，不超支。发现的主要问题：无。下一步改进措施：无。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3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③</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kern w:val="2"/>
          <w:sz w:val="32"/>
          <w:szCs w:val="32"/>
          <w:lang w:val="en-US" w:eastAsia="zh-CN" w:bidi="ar-SA"/>
        </w:rPr>
        <w:t>根据盐财资建【2024】50号关于调整下达2023年全省村（社区）森林防火奖补资金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13万元，执行数为13万元，完成预算的100%。通过项目实施，清源5万元，金河8万元，近年来森林火灾频频发生，火灾时森林的大敌，也严重和危及人民生命财产安全，严重干扰社会稳定和经济建设，因此我镇非常有必要建立森林防灭火应急救援队，能够更好的预防及发生火灾第一时间扑救，为桐子林镇及县城内火情安全和人民生命安全起到重要作用。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4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highlight w:val="none"/>
        </w:rPr>
        <w:t>④</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kern w:val="2"/>
          <w:sz w:val="32"/>
          <w:szCs w:val="32"/>
          <w:highlight w:val="none"/>
          <w:lang w:val="en-US" w:eastAsia="zh-CN" w:bidi="ar-SA"/>
        </w:rPr>
        <w:t>根据盐财资预【2023】116号关于结转2023年中央和省级专项资金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6.25万元，执行数为6.25万元，完成预算的100%。通过项目实施，项目主要内容。清源社区2024年基础设施维修养护费用；金河村乌拉河河道治理项目建设青苗补偿款；城北社区公共运行经费项目款；城南社区2024年公共运行服务项目费用；桐子林社区社道防洪抢险清理整治暨马鞍山安置点排洪沟安全隐患整治工程款；金河村雨季道路清理、新建厕所、公测清扫费用。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5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⑤</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bCs/>
          <w:kern w:val="0"/>
          <w:sz w:val="32"/>
          <w:szCs w:val="32"/>
          <w:highlight w:val="none"/>
          <w:u w:val="none"/>
          <w:lang w:val="en-US" w:eastAsia="zh-CN" w:bidi="ar-SA"/>
        </w:rPr>
        <w:t>根据盐财资预【2024】17号关于下达2024年省级村级公共服务运行经费</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27.5万元，执行数为27.5万元，完成预算的100%。通过项目实施，项目主要内容。清源社区2024年基础设施维修养护费用；金河村乌拉河河道治理项目建设青苗补偿款；城北社区公共运行经费项目款；城南社区2024年公共运行服务项目费用；桐子林社区社道防洪抢险清理整治暨马鞍山安置点排洪沟安全隐患整治工程款；金河村雨季道路清理、新建厕所、公测清扫费用。根据财政下达的预算资金额度，严格把控资金使用，不超支。发现的主要问题：无。下一步改进措施：无。</w:t>
      </w:r>
    </w:p>
    <w:tbl>
      <w:tblPr>
        <w:tblStyle w:val="17"/>
        <w:tblpPr w:leftFromText="180" w:rightFromText="180" w:vertAnchor="text" w:horzAnchor="page" w:tblpXSpec="center" w:tblpY="-537"/>
        <w:tblOverlap w:val="never"/>
        <w:tblW w:w="10229" w:type="dxa"/>
        <w:tblInd w:w="0" w:type="dxa"/>
        <w:tblLayout w:type="fixed"/>
        <w:tblCellMar>
          <w:top w:w="0" w:type="dxa"/>
          <w:left w:w="0" w:type="dxa"/>
          <w:bottom w:w="0" w:type="dxa"/>
          <w:right w:w="0" w:type="dxa"/>
        </w:tblCellMar>
      </w:tblPr>
      <w:tblGrid>
        <w:gridCol w:w="659"/>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eastAsia="仿宋" w:cs="Times New Roman"/>
                <w:b/>
                <w:bCs/>
                <w:color w:val="000000"/>
                <w:kern w:val="0"/>
                <w:sz w:val="32"/>
                <w:szCs w:val="32"/>
                <w:highlight w:val="none"/>
                <w:lang w:bidi="ar"/>
              </w:rPr>
              <w:t>项目绩效目标完成情况表</w:t>
            </w:r>
            <w:r>
              <w:rPr>
                <w:rFonts w:hint="default" w:ascii="Times New Roman" w:hAnsi="Times New Roman" w:cs="Times New Roman"/>
                <w:b/>
                <w:bCs/>
                <w:color w:val="000000"/>
                <w:kern w:val="0"/>
                <w:sz w:val="36"/>
                <w:szCs w:val="36"/>
                <w:highlight w:val="none"/>
                <w:lang w:bidi="ar"/>
              </w:rPr>
              <w:br w:type="textWrapping"/>
            </w:r>
            <w:r>
              <w:rPr>
                <w:rFonts w:hint="default" w:ascii="Times New Roman" w:hAnsi="Times New Roman" w:eastAsia="仿宋" w:cs="Times New Roman"/>
                <w:color w:val="000000"/>
                <w:kern w:val="0"/>
                <w:sz w:val="32"/>
                <w:szCs w:val="32"/>
                <w:highlight w:val="none"/>
                <w:lang w:bidi="ar"/>
              </w:rPr>
              <w:t>(202</w:t>
            </w:r>
            <w:r>
              <w:rPr>
                <w:rFonts w:hint="default" w:ascii="Times New Roman" w:hAnsi="Times New Roman" w:eastAsia="仿宋" w:cs="Times New Roman"/>
                <w:color w:val="000000"/>
                <w:kern w:val="0"/>
                <w:sz w:val="32"/>
                <w:szCs w:val="32"/>
                <w:highlight w:val="none"/>
                <w:lang w:val="en-US" w:eastAsia="zh-CN" w:bidi="ar"/>
              </w:rPr>
              <w:t>4</w:t>
            </w:r>
            <w:r>
              <w:rPr>
                <w:rFonts w:hint="default" w:ascii="Times New Roman" w:hAnsi="Times New Roman" w:eastAsia="仿宋" w:cs="Times New Roman"/>
                <w:color w:val="000000"/>
                <w:kern w:val="0"/>
                <w:sz w:val="32"/>
                <w:szCs w:val="32"/>
                <w:highlight w:val="none"/>
                <w:lang w:bidi="ar"/>
              </w:rPr>
              <w:t>年度)</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val="en-US" w:eastAsia="zh-CN"/>
              </w:rPr>
              <w:t>根据盐财资行【2024】94号关于下达2024年公共图书馆、美术馆、文化馆（站）免费开放中央补助资金预算的通知</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盐边县桐子林镇人民政府</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r>
      <w:tr>
        <w:tblPrEx>
          <w:tblLayout w:type="fixed"/>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r>
      <w:tr>
        <w:tblPrEx>
          <w:tblLayout w:type="fixed"/>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0</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实际完成目标</w:t>
            </w:r>
          </w:p>
        </w:tc>
      </w:tr>
      <w:tr>
        <w:tblPrEx>
          <w:tblLayout w:type="fixed"/>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通过广泛开展群众性文化活动，进一步丰富群众文化生活，巩固增进民族团结，加快国家文明城市创建步伐，更好地满足盐边人民日益增长的美好生活需要</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已完成。</w:t>
            </w:r>
          </w:p>
        </w:tc>
      </w:tr>
      <w:tr>
        <w:tblPrEx>
          <w:tblLayout w:type="fixed"/>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数量指标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区域范围：1个镇政府，4个社区，1个村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lang w:val="en-US" w:eastAsia="zh-CN"/>
              </w:rPr>
              <w:t>6个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质量指标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活跃基层文化阵地，提升公共文化服务效能，激发全民族文化创新创造活力，展现盐边县近年来经济发展、民生改善、人民幸福的精神面貌，助推乡村振兴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lang w:val="en-US" w:eastAsia="zh-CN"/>
              </w:rPr>
              <w:t>定性：优级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时效指标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年度计划</w:t>
            </w:r>
          </w:p>
          <w:p>
            <w:pPr>
              <w:widowControl/>
              <w:jc w:val="center"/>
              <w:textAlignment w:val="center"/>
              <w:rPr>
                <w:rFonts w:hint="default" w:ascii="Times New Roman" w:hAnsi="Times New Roman" w:eastAsia="仿宋"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202</w:t>
            </w:r>
            <w:r>
              <w:rPr>
                <w:rFonts w:hint="default" w:ascii="Times New Roman" w:hAnsi="Times New Roman" w:eastAsia="仿宋" w:cs="Times New Roman"/>
                <w:sz w:val="22"/>
                <w:szCs w:val="22"/>
                <w:lang w:val="en-US" w:eastAsia="zh-CN"/>
              </w:rPr>
              <w:t>4</w:t>
            </w:r>
            <w:r>
              <w:rPr>
                <w:rFonts w:hint="default" w:ascii="Times New Roman" w:hAnsi="Times New Roman" w:eastAsia="仿宋" w:cs="Times New Roman"/>
                <w:sz w:val="22"/>
                <w:szCs w:val="22"/>
              </w:rPr>
              <w:t>年</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成本指标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3.6</w:t>
            </w:r>
            <w:r>
              <w:rPr>
                <w:rFonts w:hint="default" w:ascii="Times New Roman" w:hAnsi="Times New Roman" w:eastAsia="仿宋" w:cs="Times New Roman"/>
                <w:sz w:val="22"/>
                <w:szCs w:val="22"/>
              </w:rPr>
              <w:t>万元</w:t>
            </w:r>
            <w:r>
              <w:rPr>
                <w:rFonts w:hint="default" w:ascii="Times New Roman" w:hAnsi="Times New Roman" w:eastAsia="仿宋" w:cs="Times New Roman"/>
                <w:sz w:val="24"/>
              </w:rPr>
              <w:t xml:space="preserve"> </w:t>
            </w:r>
          </w:p>
          <w:p>
            <w:pPr>
              <w:widowControl/>
              <w:jc w:val="center"/>
              <w:textAlignment w:val="center"/>
              <w:rPr>
                <w:rFonts w:hint="default" w:ascii="Times New Roman" w:hAnsi="Times New Roman" w:eastAsia="仿宋"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sz w:val="22"/>
                <w:szCs w:val="22"/>
                <w:lang w:val="en-US" w:eastAsia="zh-CN"/>
              </w:rPr>
              <w:t>3.6</w:t>
            </w:r>
            <w:r>
              <w:rPr>
                <w:rFonts w:hint="default" w:ascii="Times New Roman" w:hAnsi="Times New Roman" w:eastAsia="仿宋" w:cs="Times New Roman"/>
                <w:sz w:val="22"/>
                <w:szCs w:val="22"/>
              </w:rPr>
              <w:t>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684"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进一步丰富群众文化生活，巩固增进民族团结，加快国家文明城市创建步伐，更好地满足盐边人民日益增长的美好生活需要</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71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满意度指标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辖区内群众</w:t>
            </w:r>
          </w:p>
          <w:p>
            <w:pPr>
              <w:widowControl/>
              <w:jc w:val="center"/>
              <w:textAlignment w:val="center"/>
              <w:rPr>
                <w:rFonts w:hint="default" w:ascii="Times New Roman" w:hAnsi="Times New Roman" w:eastAsia="仿宋"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1276"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eastAsia="仿宋" w:cs="Times New Roman"/>
                <w:b/>
                <w:bCs/>
                <w:color w:val="000000"/>
                <w:kern w:val="0"/>
                <w:sz w:val="32"/>
                <w:szCs w:val="32"/>
                <w:highlight w:val="none"/>
                <w:lang w:bidi="ar"/>
              </w:rPr>
              <w:t>项目绩效目标完成情况表</w:t>
            </w:r>
            <w:r>
              <w:rPr>
                <w:rFonts w:hint="default" w:ascii="Times New Roman" w:hAnsi="Times New Roman" w:cs="Times New Roman"/>
                <w:b/>
                <w:bCs/>
                <w:color w:val="000000"/>
                <w:kern w:val="0"/>
                <w:sz w:val="36"/>
                <w:szCs w:val="36"/>
                <w:highlight w:val="none"/>
                <w:lang w:bidi="ar"/>
              </w:rPr>
              <w:br w:type="textWrapping"/>
            </w:r>
            <w:r>
              <w:rPr>
                <w:rFonts w:hint="default" w:ascii="Times New Roman" w:hAnsi="Times New Roman" w:eastAsia="仿宋" w:cs="Times New Roman"/>
                <w:color w:val="000000"/>
                <w:kern w:val="0"/>
                <w:sz w:val="32"/>
                <w:szCs w:val="32"/>
                <w:highlight w:val="none"/>
                <w:lang w:bidi="ar"/>
              </w:rPr>
              <w:t>(202</w:t>
            </w:r>
            <w:r>
              <w:rPr>
                <w:rFonts w:hint="default" w:ascii="Times New Roman" w:hAnsi="Times New Roman" w:eastAsia="仿宋" w:cs="Times New Roman"/>
                <w:color w:val="000000"/>
                <w:kern w:val="0"/>
                <w:sz w:val="32"/>
                <w:szCs w:val="32"/>
                <w:highlight w:val="none"/>
                <w:lang w:val="en-US" w:eastAsia="zh-CN" w:bidi="ar"/>
              </w:rPr>
              <w:t>4</w:t>
            </w:r>
            <w:r>
              <w:rPr>
                <w:rFonts w:hint="default" w:ascii="Times New Roman" w:hAnsi="Times New Roman" w:eastAsia="仿宋" w:cs="Times New Roman"/>
                <w:color w:val="000000"/>
                <w:kern w:val="0"/>
                <w:sz w:val="32"/>
                <w:szCs w:val="32"/>
                <w:highlight w:val="none"/>
                <w:lang w:bidi="ar"/>
              </w:rPr>
              <w:t>年度)</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根据盐财资行【2024】362号关于下达2024年中央和省级财政公共图书馆、美术馆、文化（站）免费开放补助资金</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盐边县桐子林镇人民政府</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r>
      <w:tr>
        <w:tblPrEx>
          <w:tblLayout w:type="fixed"/>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r>
      <w:tr>
        <w:tblPrEx>
          <w:tblLayout w:type="fixed"/>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0</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实际完成目标</w:t>
            </w:r>
          </w:p>
        </w:tc>
      </w:tr>
      <w:tr>
        <w:tblPrEx>
          <w:tblLayout w:type="fixed"/>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通过广泛开展群众性文化活动，进一步丰富群众文化生活，巩固增进民族团结，加快国家文明城市创建步伐，更好地满足盐边人民日益增长的美好生活需要</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已完成。</w:t>
            </w:r>
          </w:p>
        </w:tc>
      </w:tr>
      <w:tr>
        <w:tblPrEx>
          <w:tblLayout w:type="fixed"/>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数量指标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区域范围：1个镇政府，4个社区，1个村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lang w:val="en-US" w:eastAsia="zh-CN"/>
              </w:rPr>
              <w:t>6个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质量指标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活跃基层文化阵地，提升公共文化服务效能，激发全民族文化创新创造活力，展现盐边县近年来经济发展、民生改善、人民幸福的精神面貌，助推乡村振兴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lang w:val="en-US" w:eastAsia="zh-CN"/>
              </w:rPr>
              <w:t>定性：优级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时效指标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年度计划</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202</w:t>
            </w:r>
            <w:r>
              <w:rPr>
                <w:rFonts w:hint="default" w:ascii="Times New Roman" w:hAnsi="Times New Roman" w:eastAsia="仿宋" w:cs="Times New Roman"/>
                <w:sz w:val="22"/>
                <w:szCs w:val="22"/>
                <w:lang w:val="en-US" w:eastAsia="zh-CN"/>
              </w:rPr>
              <w:t>4</w:t>
            </w:r>
            <w:r>
              <w:rPr>
                <w:rFonts w:hint="default" w:ascii="Times New Roman" w:hAnsi="Times New Roman" w:eastAsia="仿宋" w:cs="Times New Roman"/>
                <w:sz w:val="22"/>
                <w:szCs w:val="22"/>
              </w:rPr>
              <w:t>年</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成本指标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0.75</w:t>
            </w:r>
            <w:r>
              <w:rPr>
                <w:rFonts w:hint="default" w:ascii="Times New Roman" w:hAnsi="Times New Roman" w:eastAsia="仿宋" w:cs="Times New Roman"/>
                <w:sz w:val="22"/>
                <w:szCs w:val="22"/>
              </w:rPr>
              <w:t>万元</w:t>
            </w:r>
            <w:r>
              <w:rPr>
                <w:rFonts w:hint="default" w:ascii="Times New Roman" w:hAnsi="Times New Roman" w:eastAsia="仿宋" w:cs="Times New Roman"/>
                <w:sz w:val="24"/>
              </w:rPr>
              <w:t xml:space="preserve"> </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lang w:val="en-US" w:eastAsia="zh-CN"/>
              </w:rPr>
              <w:t>0.75</w:t>
            </w:r>
            <w:r>
              <w:rPr>
                <w:rFonts w:hint="default" w:ascii="Times New Roman" w:hAnsi="Times New Roman" w:eastAsia="仿宋" w:cs="Times New Roman"/>
                <w:sz w:val="22"/>
                <w:szCs w:val="22"/>
              </w:rPr>
              <w:t>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7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进一步丰富群众文化生活，巩固增进民族团结，加快国家文明城市创建步伐，更好地满足盐边人民日益增长的美好生活需要</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84"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满意度指标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辖区内群众</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1034"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eastAsia="仿宋" w:cs="Times New Roman"/>
                <w:b/>
                <w:bCs/>
                <w:color w:val="000000"/>
                <w:kern w:val="0"/>
                <w:sz w:val="32"/>
                <w:szCs w:val="32"/>
                <w:highlight w:val="none"/>
                <w:lang w:bidi="ar"/>
              </w:rPr>
              <w:t>项目绩效目标完成情况表</w:t>
            </w:r>
            <w:r>
              <w:rPr>
                <w:rFonts w:hint="default" w:ascii="Times New Roman" w:hAnsi="Times New Roman" w:cs="Times New Roman"/>
                <w:b/>
                <w:bCs/>
                <w:color w:val="000000"/>
                <w:kern w:val="0"/>
                <w:sz w:val="36"/>
                <w:szCs w:val="36"/>
                <w:highlight w:val="none"/>
                <w:lang w:bidi="ar"/>
              </w:rPr>
              <w:br w:type="textWrapping"/>
            </w:r>
            <w:r>
              <w:rPr>
                <w:rFonts w:hint="default" w:ascii="Times New Roman" w:hAnsi="Times New Roman" w:eastAsia="仿宋" w:cs="Times New Roman"/>
                <w:color w:val="000000"/>
                <w:kern w:val="0"/>
                <w:sz w:val="32"/>
                <w:szCs w:val="32"/>
                <w:highlight w:val="none"/>
                <w:lang w:bidi="ar"/>
              </w:rPr>
              <w:t>(202</w:t>
            </w:r>
            <w:r>
              <w:rPr>
                <w:rFonts w:hint="default" w:ascii="Times New Roman" w:hAnsi="Times New Roman" w:eastAsia="仿宋" w:cs="Times New Roman"/>
                <w:color w:val="000000"/>
                <w:kern w:val="0"/>
                <w:sz w:val="32"/>
                <w:szCs w:val="32"/>
                <w:highlight w:val="none"/>
                <w:lang w:val="en-US" w:eastAsia="zh-CN" w:bidi="ar"/>
              </w:rPr>
              <w:t>4</w:t>
            </w:r>
            <w:r>
              <w:rPr>
                <w:rFonts w:hint="default" w:ascii="Times New Roman" w:hAnsi="Times New Roman" w:eastAsia="仿宋" w:cs="Times New Roman"/>
                <w:color w:val="000000"/>
                <w:kern w:val="0"/>
                <w:sz w:val="32"/>
                <w:szCs w:val="32"/>
                <w:highlight w:val="none"/>
                <w:lang w:bidi="ar"/>
              </w:rPr>
              <w:t>年度)</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根据盐财资建【2024】50号关于调整下达2023年全省村（社区）森林防火奖补资金</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盐边县桐子林镇人民政府</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r>
      <w:tr>
        <w:tblPrEx>
          <w:tblLayout w:type="fixed"/>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r>
      <w:tr>
        <w:tblPrEx>
          <w:tblLayout w:type="fixed"/>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实际完成目标</w:t>
            </w:r>
          </w:p>
        </w:tc>
      </w:tr>
      <w:tr>
        <w:tblPrEx>
          <w:tblLayout w:type="fixed"/>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更好的预防及发生火灾第一时间扑救，为桐子林镇及县城内火情安全和人民生命安全起到重要作用。。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已完成。</w:t>
            </w:r>
          </w:p>
        </w:tc>
      </w:tr>
      <w:tr>
        <w:tblPrEx>
          <w:tblLayout w:type="fixed"/>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数量指标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2023年全省村（社区）森林防火奖补资金（清源5万元，金河8万元）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sz w:val="22"/>
                <w:szCs w:val="22"/>
                <w:lang w:val="en-US" w:eastAsia="zh-CN"/>
              </w:rPr>
              <w:t>2个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质量指标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更好的预防及发生火灾第一时间扑救，为桐子林镇及县城内火情安全和人民生命安全起到重要作用。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sz w:val="22"/>
                <w:szCs w:val="22"/>
                <w:lang w:val="en-US" w:eastAsia="zh-CN"/>
              </w:rPr>
              <w:t>定性：优级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时效指标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年度计划</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202</w:t>
            </w:r>
            <w:r>
              <w:rPr>
                <w:rFonts w:hint="default" w:ascii="Times New Roman" w:hAnsi="Times New Roman" w:eastAsia="仿宋" w:cs="Times New Roman"/>
                <w:sz w:val="22"/>
                <w:szCs w:val="22"/>
                <w:lang w:val="en-US" w:eastAsia="zh-CN"/>
              </w:rPr>
              <w:t>4</w:t>
            </w:r>
            <w:r>
              <w:rPr>
                <w:rFonts w:hint="default" w:ascii="Times New Roman" w:hAnsi="Times New Roman" w:eastAsia="仿宋" w:cs="Times New Roman"/>
                <w:sz w:val="22"/>
                <w:szCs w:val="22"/>
              </w:rPr>
              <w:t>年</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成本指标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13</w:t>
            </w:r>
            <w:r>
              <w:rPr>
                <w:rFonts w:hint="default" w:ascii="Times New Roman" w:hAnsi="Times New Roman" w:eastAsia="仿宋" w:cs="Times New Roman"/>
                <w:sz w:val="22"/>
                <w:szCs w:val="22"/>
              </w:rPr>
              <w:t>万元</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lang w:val="en-US" w:eastAsia="zh-CN"/>
              </w:rPr>
              <w:t>13</w:t>
            </w:r>
            <w:r>
              <w:rPr>
                <w:rFonts w:hint="default" w:ascii="Times New Roman" w:hAnsi="Times New Roman" w:eastAsia="仿宋" w:cs="Times New Roman"/>
                <w:sz w:val="22"/>
                <w:szCs w:val="22"/>
              </w:rPr>
              <w:t>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71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社会效益</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加强对森林资源和人民生命安全的保护，促进林业发展，做好森林防灭火工作和火灾扑救工作，认识到森林防灭火工作的重要性，保障森林不受影响，改善生态环境，为我镇林业经济、社会稳定起到重要作用。。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968"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满意度指标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辖区内群众</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1034"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both"/>
              <w:textAlignment w:val="center"/>
              <w:rPr>
                <w:rFonts w:hint="default" w:ascii="Times New Roman" w:hAnsi="Times New Roman" w:eastAsia="仿宋" w:cs="Times New Roman"/>
                <w:b/>
                <w:bCs/>
                <w:color w:val="000000"/>
                <w:kern w:val="0"/>
                <w:sz w:val="22"/>
                <w:szCs w:val="22"/>
                <w:lang w:bidi="ar"/>
              </w:rPr>
            </w:pPr>
          </w:p>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b/>
                <w:bCs/>
                <w:color w:val="000000"/>
                <w:kern w:val="0"/>
                <w:sz w:val="32"/>
                <w:szCs w:val="32"/>
                <w:lang w:bidi="ar"/>
              </w:rPr>
              <w:t>项目绩效目标完成情况表</w:t>
            </w:r>
            <w:r>
              <w:rPr>
                <w:rFonts w:hint="default" w:ascii="Times New Roman" w:hAnsi="Times New Roman" w:eastAsia="仿宋" w:cs="Times New Roman"/>
                <w:b/>
                <w:bCs/>
                <w:color w:val="000000"/>
                <w:kern w:val="0"/>
                <w:sz w:val="32"/>
                <w:szCs w:val="32"/>
                <w:lang w:bidi="ar"/>
              </w:rPr>
              <w:br w:type="textWrapping"/>
            </w:r>
            <w:r>
              <w:rPr>
                <w:rFonts w:hint="default" w:ascii="Times New Roman" w:hAnsi="Times New Roman" w:eastAsia="仿宋" w:cs="Times New Roman"/>
                <w:color w:val="000000"/>
                <w:kern w:val="0"/>
                <w:sz w:val="32"/>
                <w:szCs w:val="32"/>
                <w:lang w:bidi="ar"/>
              </w:rPr>
              <w:t>(202</w:t>
            </w:r>
            <w:r>
              <w:rPr>
                <w:rFonts w:hint="default" w:ascii="Times New Roman" w:hAnsi="Times New Roman" w:eastAsia="仿宋" w:cs="Times New Roman"/>
                <w:color w:val="000000"/>
                <w:kern w:val="0"/>
                <w:sz w:val="32"/>
                <w:szCs w:val="32"/>
                <w:lang w:val="en-US" w:eastAsia="zh-CN" w:bidi="ar"/>
              </w:rPr>
              <w:t>4</w:t>
            </w:r>
            <w:r>
              <w:rPr>
                <w:rFonts w:hint="default" w:ascii="Times New Roman" w:hAnsi="Times New Roman" w:eastAsia="仿宋" w:cs="Times New Roman"/>
                <w:color w:val="000000"/>
                <w:kern w:val="0"/>
                <w:sz w:val="32"/>
                <w:szCs w:val="32"/>
                <w:lang w:bidi="ar"/>
              </w:rPr>
              <w:t>年度)</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根据盐财资预【2023】116号关于结转2023年中央和省级专项资金</w:t>
            </w:r>
          </w:p>
        </w:tc>
      </w:tr>
      <w:tr>
        <w:tblPrEx>
          <w:tblLayout w:type="fixed"/>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盐边县桐子林镇人民政府</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r>
      <w:tr>
        <w:tblPrEx>
          <w:tblLayout w:type="fixed"/>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r>
      <w:tr>
        <w:tblPrEx>
          <w:tblLayout w:type="fixed"/>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r>
      <w:tr>
        <w:tblPrEx>
          <w:tblLayout w:type="fixed"/>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实际完成目标</w:t>
            </w:r>
          </w:p>
        </w:tc>
      </w:tr>
      <w:tr>
        <w:tblPrEx>
          <w:tblLayout w:type="fixed"/>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分别分配给城南、城北、清源、桐子林、金河村使用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已完成。</w:t>
            </w:r>
          </w:p>
        </w:tc>
      </w:tr>
      <w:tr>
        <w:tblPrEx>
          <w:tblLayout w:type="fixed"/>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数量指标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lang w:val="en-US" w:eastAsia="zh-CN"/>
              </w:rPr>
              <w:t>1个村，4个社区</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rPr>
            </w:pPr>
            <w:r>
              <w:rPr>
                <w:rFonts w:hint="default" w:ascii="Times New Roman" w:hAnsi="Times New Roman" w:eastAsia="仿宋" w:cs="Times New Roman"/>
                <w:sz w:val="22"/>
                <w:szCs w:val="22"/>
                <w:lang w:val="en-US" w:eastAsia="zh-CN"/>
              </w:rPr>
              <w:t>5个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质量指标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增强基层组织凝聚力，鼓励基层创新活动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定性</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val="en-US" w:eastAsia="zh-CN"/>
              </w:rPr>
              <w:t>优级</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时效指标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年度计划</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sz w:val="22"/>
                <w:szCs w:val="22"/>
                <w:lang w:val="en-US" w:eastAsia="zh-CN"/>
              </w:rPr>
              <w:t>2024年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成本指标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6.25</w:t>
            </w:r>
            <w:r>
              <w:rPr>
                <w:rFonts w:hint="default" w:ascii="Times New Roman" w:hAnsi="Times New Roman" w:eastAsia="仿宋" w:cs="Times New Roman"/>
                <w:sz w:val="22"/>
                <w:szCs w:val="22"/>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lang w:val="en-US" w:eastAsia="zh-CN"/>
              </w:rPr>
              <w:t>6.25</w:t>
            </w:r>
            <w:r>
              <w:rPr>
                <w:rFonts w:hint="default" w:ascii="Times New Roman" w:hAnsi="Times New Roman" w:eastAsia="仿宋" w:cs="Times New Roman"/>
                <w:sz w:val="22"/>
                <w:szCs w:val="22"/>
              </w:rPr>
              <w:t>万元</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71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社会效益</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对桐子林镇村、社区发展有积极推动作用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Layout w:type="fixed"/>
          <w:tblCellMar>
            <w:top w:w="0" w:type="dxa"/>
            <w:left w:w="0" w:type="dxa"/>
            <w:bottom w:w="0" w:type="dxa"/>
            <w:right w:w="0" w:type="dxa"/>
          </w:tblCellMar>
        </w:tblPrEx>
        <w:trPr>
          <w:trHeight w:val="968"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满意度指标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辖区内居民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bl>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pStyle w:val="3"/>
        <w:ind w:left="420"/>
        <w:rPr>
          <w:rFonts w:hint="default" w:ascii="Times New Roman" w:hAnsi="Times New Roman" w:cs="Times New Roman"/>
        </w:rPr>
      </w:pPr>
    </w:p>
    <w:p>
      <w:pPr>
        <w:pStyle w:val="3"/>
        <w:ind w:left="420"/>
        <w:rPr>
          <w:rFonts w:hint="default" w:ascii="Times New Roman" w:hAnsi="Times New Roman" w:cs="Times New Roman"/>
        </w:rPr>
      </w:pPr>
    </w:p>
    <w:p>
      <w:pPr>
        <w:pStyle w:val="3"/>
        <w:ind w:left="420"/>
        <w:rPr>
          <w:rFonts w:hint="default" w:ascii="Times New Roman" w:hAnsi="Times New Roman" w:cs="Times New Roman"/>
        </w:rPr>
      </w:pPr>
    </w:p>
    <w:p>
      <w:pPr>
        <w:pStyle w:val="3"/>
        <w:ind w:left="420"/>
        <w:rPr>
          <w:rFonts w:hint="default" w:ascii="Times New Roman" w:hAnsi="Times New Roman" w:cs="Times New Roman"/>
        </w:rPr>
      </w:pPr>
    </w:p>
    <w:p>
      <w:pPr>
        <w:pStyle w:val="3"/>
        <w:ind w:left="420"/>
        <w:rPr>
          <w:rFonts w:hint="default" w:ascii="Times New Roman" w:hAnsi="Times New Roman" w:cs="Times New Roman"/>
        </w:rPr>
      </w:pPr>
    </w:p>
    <w:p>
      <w:pPr>
        <w:keepNext w:val="0"/>
        <w:keepLines w:val="0"/>
        <w:pageBreakBefore w:val="0"/>
        <w:widowControl w:val="0"/>
        <w:kinsoku/>
        <w:wordWrap/>
        <w:overflowPunct/>
        <w:topLinePunct w:val="0"/>
        <w:bidi w:val="0"/>
        <w:snapToGrid/>
        <w:spacing w:line="240" w:lineRule="auto"/>
        <w:ind w:firstLine="2200" w:firstLineChars="500"/>
        <w:jc w:val="both"/>
        <w:textAlignment w:val="auto"/>
        <w:outlineLvl w:val="0"/>
        <w:rPr>
          <w:rFonts w:hint="default" w:ascii="Times New Roman" w:hAnsi="Times New Roman" w:eastAsia="方正黑体_GBK" w:cs="Times New Roman"/>
          <w:sz w:val="44"/>
          <w:szCs w:val="44"/>
        </w:rPr>
      </w:pPr>
      <w:bookmarkStart w:id="81" w:name="_Toc31066_WPSOffice_Level1"/>
      <w:bookmarkStart w:id="82" w:name="_Toc15377226"/>
      <w:r>
        <w:rPr>
          <w:rFonts w:hint="default" w:ascii="Times New Roman" w:hAnsi="Times New Roman" w:eastAsia="方正黑体_GBK" w:cs="Times New Roman"/>
          <w:sz w:val="44"/>
          <w:szCs w:val="44"/>
        </w:rPr>
        <w:t>第三部分  名词解释</w:t>
      </w:r>
      <w:bookmarkEnd w:id="81"/>
    </w:p>
    <w:p>
      <w:pPr>
        <w:keepNext w:val="0"/>
        <w:keepLines w:val="0"/>
        <w:pageBreakBefore w:val="0"/>
        <w:widowControl w:val="0"/>
        <w:kinsoku/>
        <w:wordWrap/>
        <w:overflowPunct/>
        <w:topLinePunct w:val="0"/>
        <w:bidi w:val="0"/>
        <w:snapToGrid/>
        <w:spacing w:line="240" w:lineRule="auto"/>
        <w:ind w:firstLine="883" w:firstLineChars="200"/>
        <w:jc w:val="both"/>
        <w:textAlignment w:val="auto"/>
        <w:rPr>
          <w:rFonts w:hint="default" w:ascii="Times New Roman" w:hAnsi="Times New Roman" w:cs="Times New Roman"/>
          <w:b/>
          <w:sz w:val="44"/>
          <w:szCs w:val="44"/>
        </w:rPr>
      </w:pP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1.财政拨款收入：指单位从同级财政部门取得的财政预算资金。</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2.事业收入：指事业单位开展专业业务活动及辅助活动取得的收入。如（二级预算单位事业收入情况）等。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3.经营收入：指事业单位在专业业务活动及其辅助活动之外开展非独立核算经营活动取得的收入。如（二级预算单位经营收入情况）等。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4.其他收入：指单位取得的除上述收入以外的各项收入。主要是</w:t>
      </w:r>
      <w:r>
        <w:rPr>
          <w:rFonts w:hint="default" w:ascii="Times New Roman" w:hAnsi="Times New Roman" w:eastAsia="方正仿宋_GBK" w:cs="Times New Roman"/>
          <w:color w:val="auto"/>
          <w:sz w:val="32"/>
          <w:szCs w:val="32"/>
          <w:lang w:val="en-US" w:eastAsia="zh-CN"/>
        </w:rPr>
        <w:t>市级资金收入</w:t>
      </w:r>
      <w:r>
        <w:rPr>
          <w:rFonts w:hint="default" w:ascii="Times New Roman" w:hAnsi="Times New Roman" w:eastAsia="方正仿宋_GBK" w:cs="Times New Roman"/>
          <w:color w:val="auto"/>
          <w:sz w:val="32"/>
          <w:szCs w:val="32"/>
        </w:rPr>
        <w:t xml:space="preserve">（收入类型）等。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sz w:val="32"/>
          <w:szCs w:val="32"/>
        </w:rPr>
        <w:t>使用非财政拨款结余（含专用结余）</w:t>
      </w:r>
      <w:r>
        <w:rPr>
          <w:rFonts w:hint="default" w:ascii="Times New Roman" w:hAnsi="Times New Roman" w:eastAsia="方正仿宋_GBK" w:cs="Times New Roman"/>
          <w:color w:val="auto"/>
          <w:sz w:val="32"/>
          <w:szCs w:val="32"/>
        </w:rPr>
        <w:t xml:space="preserve">：指事业单位使用以前年度积累的非财政拨款结余弥补当年收支差额的金额。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6.年初结转和结余：指以前年度尚未完成、结转到本年按有关规定继续使用的资金。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9.一般公共服务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人大事务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一般公共服务201（类）人大事务01（款）人大会议04（项）</w:t>
      </w:r>
      <w:r>
        <w:rPr>
          <w:rFonts w:hint="default" w:ascii="Times New Roman" w:hAnsi="Times New Roman" w:eastAsia="方正仿宋_GBK" w:cs="Times New Roman"/>
          <w:color w:val="000000"/>
          <w:sz w:val="32"/>
          <w:szCs w:val="32"/>
        </w:rPr>
        <w:t>：指反映各级人大召开人民代表大会等专门会议的支出。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一般公共服务201（类）人大事务01（款）99其他人大事务支出（项）</w:t>
      </w:r>
      <w:r>
        <w:rPr>
          <w:rFonts w:hint="default" w:ascii="Times New Roman" w:hAnsi="Times New Roman" w:eastAsia="方正仿宋_GBK" w:cs="Times New Roman"/>
          <w:color w:val="000000"/>
          <w:sz w:val="32"/>
          <w:szCs w:val="32"/>
          <w:lang w:val="en-US" w:eastAsia="zh-CN"/>
        </w:rPr>
        <w:t>：指反映除上述项目以外的其他人大事务支出。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政协事务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一般公共服务201（类）政协事务02（款）其他政协事务支出99（项）</w:t>
      </w:r>
      <w:r>
        <w:rPr>
          <w:rFonts w:hint="default" w:ascii="Times New Roman" w:hAnsi="Times New Roman" w:eastAsia="方正仿宋_GBK" w:cs="Times New Roman"/>
          <w:color w:val="000000"/>
          <w:sz w:val="32"/>
          <w:szCs w:val="32"/>
        </w:rPr>
        <w:t>：指反映除上述项目以外的其他政协事务支出。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政府办公厅（室）及相关机关事务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一般公共服务201（类）政府办公厅（室）及相关机构事务03（款）一般行政管理事务02（项）</w:t>
      </w:r>
      <w:r>
        <w:rPr>
          <w:rFonts w:hint="default" w:ascii="Times New Roman" w:hAnsi="Times New Roman" w:eastAsia="方正仿宋_GBK" w:cs="Times New Roman"/>
          <w:color w:val="000000"/>
          <w:sz w:val="32"/>
          <w:szCs w:val="32"/>
        </w:rPr>
        <w:t>：指反映行政单位（包括实行公务员管理的事业单位）未单独设置项级科目的其他项目支出。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一般公共服务201（类）政府办公厅（室）及相关机构事务03（款）事业运行02（项）</w:t>
      </w:r>
      <w:r>
        <w:rPr>
          <w:rFonts w:hint="default" w:ascii="Times New Roman" w:hAnsi="Times New Roman" w:eastAsia="方正仿宋_GBK" w:cs="Times New Roman"/>
          <w:color w:val="000000"/>
          <w:sz w:val="32"/>
          <w:szCs w:val="32"/>
        </w:rPr>
        <w:t>：指反映事业单位的基本支出，不包括行政单位（包括实行公务员管理的事业单位）后勤服务中心、医务室等附属事业单位。</w:t>
      </w:r>
    </w:p>
    <w:p>
      <w:pPr>
        <w:pStyle w:val="3"/>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一般公共服务201（类）政府办公厅（室）及相关机构事务03（款）其他政府办公厅(室)及相关机构事务支出99（项）</w:t>
      </w:r>
      <w:r>
        <w:rPr>
          <w:rFonts w:hint="default" w:ascii="Times New Roman" w:hAnsi="Times New Roman" w:eastAsia="方正仿宋_GBK" w:cs="Times New Roman"/>
          <w:color w:val="000000"/>
          <w:sz w:val="32"/>
          <w:szCs w:val="32"/>
          <w:lang w:val="en-US" w:eastAsia="zh-CN"/>
        </w:rPr>
        <w:t>：指反映除上述项目以外其他政府办公厅(室)及相关机构事务支出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民族事务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一般公共服务201（类）民族事务23（款）民族工作专项04（项）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反映用于民族事务管理方面的专项支出。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一般公共服务201（类）民族事务23（款）其他民族事务99（项）</w:t>
      </w:r>
      <w:r>
        <w:rPr>
          <w:rFonts w:hint="default" w:ascii="Times New Roman" w:hAnsi="Times New Roman" w:eastAsia="方正仿宋_GBK" w:cs="Times New Roman"/>
          <w:color w:val="000000"/>
          <w:sz w:val="32"/>
          <w:szCs w:val="32"/>
        </w:rPr>
        <w:t>：指反映除上述项目以外其他用于民族事务方面的支出。</w:t>
      </w:r>
    </w:p>
    <w:p>
      <w:pPr>
        <w:pStyle w:val="21"/>
        <w:pageBreakBefore w:val="0"/>
        <w:widowControl w:val="0"/>
        <w:kinsoku/>
        <w:wordWrap/>
        <w:overflowPunct/>
        <w:topLinePunct w:val="0"/>
        <w:bidi w:val="0"/>
        <w:snapToGrid/>
        <w:spacing w:before="0" w:after="0" w:line="240" w:lineRule="auto"/>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群众团体事务</w:t>
      </w:r>
    </w:p>
    <w:p>
      <w:pPr>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一般公共服务201（类）群众团体事务29（款）事业运行50（项）</w:t>
      </w:r>
      <w:r>
        <w:rPr>
          <w:rFonts w:hint="default" w:ascii="Times New Roman" w:hAnsi="Times New Roman" w:eastAsia="方正仿宋_GBK" w:cs="Times New Roman"/>
          <w:color w:val="000000"/>
          <w:sz w:val="32"/>
          <w:szCs w:val="32"/>
          <w:lang w:val="en-US" w:eastAsia="zh-CN"/>
        </w:rPr>
        <w:t>：指反映事业单位的基本支出，不包括行政单位（包括实行公务员管理的事业单位）后勤服务中心、医疗室等附属事业单位。</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党委办公厅（室）及相关机构事务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pStyle w:val="3"/>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一般公共服务201（类）党委办公厅（室）及相关机构事务31（款）一般行政管理事务02（项）</w:t>
      </w:r>
      <w:r>
        <w:rPr>
          <w:rFonts w:hint="default" w:ascii="Times New Roman" w:hAnsi="Times New Roman" w:eastAsia="方正仿宋_GBK" w:cs="Times New Roman"/>
          <w:color w:val="000000"/>
          <w:sz w:val="32"/>
          <w:szCs w:val="32"/>
          <w:lang w:val="en-US" w:eastAsia="zh-CN"/>
        </w:rPr>
        <w:t>：指反映行政单位（包括实行公务员管理的事业单位）未单独设置项级科目的其他项目支出。</w:t>
      </w:r>
    </w:p>
    <w:p>
      <w:pPr>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其他一般公共服务支出</w:t>
      </w:r>
    </w:p>
    <w:p>
      <w:pPr>
        <w:pStyle w:val="21"/>
        <w:pageBreakBefore w:val="0"/>
        <w:widowControl w:val="0"/>
        <w:kinsoku/>
        <w:wordWrap/>
        <w:overflowPunct/>
        <w:topLinePunct w:val="0"/>
        <w:bidi w:val="0"/>
        <w:snapToGrid/>
        <w:spacing w:before="0" w:after="0" w:line="240" w:lineRule="auto"/>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一般公共服务201（类）其他一般公共服务支出99（款）其他一般公共服务支出99（项）</w:t>
      </w:r>
      <w:r>
        <w:rPr>
          <w:rFonts w:hint="default" w:ascii="Times New Roman" w:hAnsi="Times New Roman" w:eastAsia="方正仿宋_GBK" w:cs="Times New Roman"/>
          <w:b w:val="0"/>
          <w:bCs/>
          <w:color w:val="000000"/>
          <w:sz w:val="32"/>
          <w:szCs w:val="32"/>
          <w:lang w:val="en-US" w:eastAsia="zh-CN"/>
        </w:rPr>
        <w:t>：指反映除上述项目以外的其他一般公共服务支出。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.文化体育与传媒</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文化旅游体育与传媒支出207（类）文化和旅游01（款）群众文化09（项）</w:t>
      </w:r>
      <w:r>
        <w:rPr>
          <w:rFonts w:hint="default" w:ascii="Times New Roman" w:hAnsi="Times New Roman" w:eastAsia="方正仿宋_GBK" w:cs="Times New Roman"/>
          <w:color w:val="000000"/>
          <w:sz w:val="32"/>
          <w:szCs w:val="32"/>
          <w:highlight w:val="none"/>
        </w:rPr>
        <w:t>：指反映群</w:t>
      </w:r>
      <w:r>
        <w:rPr>
          <w:rFonts w:hint="default" w:ascii="Times New Roman" w:hAnsi="Times New Roman" w:eastAsia="方正仿宋_GBK" w:cs="Times New Roman"/>
          <w:color w:val="000000"/>
          <w:sz w:val="32"/>
          <w:szCs w:val="32"/>
        </w:rPr>
        <w:t>众文化方面的支出，包括基层文化馆（站）、群众艺术馆支出等。</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文化旅游体育与传媒支出207（类）文化和旅游01（款）其他文化和旅游支出99（项）</w:t>
      </w:r>
      <w:r>
        <w:rPr>
          <w:rFonts w:hint="default" w:ascii="Times New Roman" w:hAnsi="Times New Roman" w:eastAsia="方正仿宋_GBK" w:cs="Times New Roman"/>
          <w:color w:val="000000"/>
          <w:sz w:val="32"/>
          <w:szCs w:val="32"/>
        </w:rPr>
        <w:t>：反映除上述项目以外其他用于文化和旅游方</w:t>
      </w:r>
      <w:r>
        <w:rPr>
          <w:rFonts w:hint="default" w:ascii="Times New Roman" w:hAnsi="Times New Roman" w:eastAsia="方正仿宋_GBK" w:cs="Times New Roman"/>
          <w:color w:val="000000"/>
          <w:sz w:val="32"/>
          <w:szCs w:val="32"/>
          <w:lang w:eastAsia="zh-CN"/>
        </w:rPr>
        <w:t>面的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.社会保障和就业支出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社会保障和就业支出208（类）人力资源和社会保障管理事务01（款）社会保险经办机构09（项）</w:t>
      </w:r>
      <w:r>
        <w:rPr>
          <w:rFonts w:hint="default" w:ascii="Times New Roman" w:hAnsi="Times New Roman" w:eastAsia="方正仿宋_GBK" w:cs="Times New Roman"/>
          <w:color w:val="000000"/>
          <w:sz w:val="32"/>
          <w:szCs w:val="32"/>
        </w:rPr>
        <w:t>：指反映社会保险经办机构开展业务工作的支出。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社会保障和就业支出208（类）人力资源和社会保障管理事务01（款）其他人力资源和社会保障管理实务支出99（项）</w:t>
      </w:r>
      <w:r>
        <w:rPr>
          <w:rFonts w:hint="default" w:ascii="Times New Roman" w:hAnsi="Times New Roman" w:eastAsia="方正仿宋_GBK" w:cs="Times New Roman"/>
          <w:color w:val="000000"/>
          <w:sz w:val="32"/>
          <w:szCs w:val="32"/>
        </w:rPr>
        <w:t>：反映除上述项目以外其他用于人力资源社会保障管理事务方面的支出。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社会保障和就业支出208（类）民政管理事务02（款）基层政权建设和社区治理08（项）</w:t>
      </w:r>
      <w:r>
        <w:rPr>
          <w:rFonts w:hint="default" w:ascii="Times New Roman" w:hAnsi="Times New Roman" w:eastAsia="方正仿宋_GBK" w:cs="Times New Roman"/>
          <w:color w:val="000000"/>
          <w:sz w:val="32"/>
          <w:szCs w:val="32"/>
        </w:rPr>
        <w:t>：指反映开展城乡社区治理、城乡社区服务（乡村便民服务）村（居）民自治、村（居）务公开、乡镇（街道）服务能力建设等基层政权建设和社区治理工作支出。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社会保障和就业支出208（类）行政事业单位养老支出05（款）行政单位离退休01（项）</w:t>
      </w:r>
      <w:r>
        <w:rPr>
          <w:rFonts w:hint="default" w:ascii="Times New Roman" w:hAnsi="Times New Roman" w:eastAsia="方正仿宋_GBK" w:cs="Times New Roman"/>
          <w:color w:val="000000"/>
          <w:sz w:val="32"/>
          <w:szCs w:val="32"/>
        </w:rPr>
        <w:t>：指反映行政单位（包括实行公务员管理的事业单位）开支的离退休经费。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社会保障和就业支出208（类）行政事业单位养老支出05（款）事业单位离退休02（项）</w:t>
      </w:r>
      <w:r>
        <w:rPr>
          <w:rFonts w:hint="default" w:ascii="Times New Roman" w:hAnsi="Times New Roman" w:eastAsia="方正仿宋_GBK" w:cs="Times New Roman"/>
          <w:color w:val="000000"/>
          <w:sz w:val="32"/>
          <w:szCs w:val="32"/>
        </w:rPr>
        <w:t>：指反映事业单位开支的离退休经费。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社会保障和就业支出208（类）行政事业单位养老支出05（款）机关事业单位基本养老保险缴费支出05（项）</w:t>
      </w:r>
      <w:r>
        <w:rPr>
          <w:rFonts w:hint="default" w:ascii="Times New Roman" w:hAnsi="Times New Roman" w:eastAsia="方正仿宋_GBK" w:cs="Times New Roman"/>
          <w:color w:val="000000"/>
          <w:sz w:val="32"/>
          <w:szCs w:val="32"/>
        </w:rPr>
        <w:t>：指反映机关事业单位实施养老保险制度由单位缴纳的基本养老保险费支出。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社会保障和就业支出208（类）行政事业单位养老支出05（款）机关事业单位职业年金缴费支出06（项）</w:t>
      </w:r>
      <w:r>
        <w:rPr>
          <w:rFonts w:hint="default" w:ascii="Times New Roman" w:hAnsi="Times New Roman" w:eastAsia="方正仿宋_GBK" w:cs="Times New Roman"/>
          <w:color w:val="000000"/>
          <w:sz w:val="32"/>
          <w:szCs w:val="32"/>
        </w:rPr>
        <w:t>：指反映机关事业单位实施养老保险制度由单位实际缴纳的职业年金支出。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社会保障和就业支出208（类）就业补助07（款）就业创业服务补贴01（项）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财政用于支持加强公共就业服务机构提升创业服务能力和向社会力量购买就业创业服务成果的补助支出。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社会保障和就业支出208（类）抚恤08（款）死亡抚恤01（项）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按规定用于烈士和牺牲、病故人员家属的一次性和定期抚恤金、丧葬补助费以及烈士褒扬金。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社会保障和就业支出208（类）抚恤08（款）伤残抚恤02（项）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按规定用于伤残人员的抚恤金和按规定开支的各种伤残补助费。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社会保障和就业支出208（类）特困人员救助供养21（款）农村特困人员救助供养支出02（项）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农村特困人员救助供养支出。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12</w:t>
      </w:r>
      <w:r>
        <w:rPr>
          <w:rFonts w:hint="default" w:ascii="Times New Roman" w:hAnsi="Times New Roman" w:eastAsia="方正仿宋_GBK" w:cs="Times New Roman"/>
          <w:color w:val="000000"/>
          <w:sz w:val="32"/>
          <w:szCs w:val="32"/>
        </w:rPr>
        <w:t>.卫生健康支出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卫生健康支出210（类）公共卫生04（款）其他公共卫生支出99（项）</w:t>
      </w:r>
      <w:r>
        <w:rPr>
          <w:rFonts w:hint="default" w:ascii="Times New Roman" w:hAnsi="Times New Roman" w:eastAsia="方正仿宋_GBK" w:cs="Times New Roman"/>
          <w:color w:val="000000"/>
          <w:sz w:val="32"/>
          <w:szCs w:val="32"/>
        </w:rPr>
        <w:t>：指反映除其他公共卫生支出反映上述项目以外的其他用于公共卫生方面的支出。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卫生健康支出210（类）行政事业单位医疗11（款）行政单位医疗01（项）</w:t>
      </w:r>
      <w:r>
        <w:rPr>
          <w:rFonts w:hint="default" w:ascii="Times New Roman" w:hAnsi="Times New Roman" w:eastAsia="方正仿宋_GBK" w:cs="Times New Roman"/>
          <w:color w:val="000000"/>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卫生健康支出210（类）行政事业单位医疗11（款）事业单位医疗02（项）</w:t>
      </w:r>
      <w:r>
        <w:rPr>
          <w:rFonts w:hint="default" w:ascii="Times New Roman" w:hAnsi="Times New Roman" w:eastAsia="方正仿宋_GBK" w:cs="Times New Roman"/>
          <w:color w:val="000000"/>
          <w:sz w:val="32"/>
          <w:szCs w:val="32"/>
        </w:rPr>
        <w:t>：指反映财政部门安排的事业单位基本医疗保险缴费经费，未参加医疗保险的事业单位的公费医疗经费，按国家规定享受离休人员的医疗经费。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卫生健康支出210（类）行政事业单位医疗11（款）公务员医疗补助03（项）</w:t>
      </w:r>
      <w:r>
        <w:rPr>
          <w:rFonts w:hint="default" w:ascii="Times New Roman" w:hAnsi="Times New Roman" w:eastAsia="方正仿宋_GBK" w:cs="Times New Roman"/>
          <w:color w:val="000000"/>
          <w:sz w:val="32"/>
          <w:szCs w:val="32"/>
        </w:rPr>
        <w:t>：指反映财政部门安排的公务员医疗补助经费。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卫生健康支出210（类）行政事业单位医疗11（款）其他行政事业单位医疗支出99（项）</w:t>
      </w:r>
      <w:r>
        <w:rPr>
          <w:rFonts w:hint="default" w:ascii="Times New Roman" w:hAnsi="Times New Roman" w:eastAsia="方正仿宋_GBK" w:cs="Times New Roman"/>
          <w:color w:val="000000"/>
          <w:sz w:val="32"/>
          <w:szCs w:val="32"/>
        </w:rPr>
        <w:t>：指反映除上述项目以外的其他用于行政事业单位医疗方面的支出。</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13.</w:t>
      </w:r>
      <w:r>
        <w:rPr>
          <w:rFonts w:hint="default" w:ascii="Times New Roman" w:hAnsi="Times New Roman" w:eastAsia="方正仿宋_GBK" w:cs="Times New Roman"/>
          <w:color w:val="000000"/>
          <w:sz w:val="32"/>
          <w:szCs w:val="32"/>
        </w:rPr>
        <w:t>节能环保</w:t>
      </w:r>
    </w:p>
    <w:p>
      <w:pPr>
        <w:pStyle w:val="21"/>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节能环保支出211（类）污染防治03（款）其他污染防治支出99（项）</w:t>
      </w:r>
      <w:r>
        <w:rPr>
          <w:rFonts w:hint="default" w:ascii="Times New Roman" w:hAnsi="Times New Roman" w:eastAsia="方正仿宋_GBK" w:cs="Times New Roman"/>
          <w:b w:val="0"/>
          <w:bCs/>
          <w:sz w:val="32"/>
          <w:szCs w:val="32"/>
          <w:lang w:val="en-US" w:eastAsia="zh-CN"/>
        </w:rPr>
        <w:t>：指反除上述项目以外其他用于污染防治方面的支出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eastAsia" w:eastAsia="方正仿宋_GBK" w:cs="Times New Roman"/>
          <w:color w:val="000000"/>
          <w:sz w:val="32"/>
          <w:szCs w:val="32"/>
          <w:highlight w:val="none"/>
          <w:lang w:val="en-US" w:eastAsia="zh-CN"/>
        </w:rPr>
        <w:t>14</w:t>
      </w:r>
      <w:r>
        <w:rPr>
          <w:rFonts w:hint="default" w:ascii="Times New Roman" w:hAnsi="Times New Roman" w:eastAsia="方正仿宋_GBK" w:cs="Times New Roman"/>
          <w:color w:val="000000"/>
          <w:sz w:val="32"/>
          <w:szCs w:val="32"/>
          <w:highlight w:val="none"/>
        </w:rPr>
        <w:t>.城乡社区支出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城乡社区支出212（类）城乡社区公共设施03（款）其他城乡社区公共设施支出99（项）</w:t>
      </w:r>
      <w:r>
        <w:rPr>
          <w:rFonts w:hint="default" w:ascii="Times New Roman" w:hAnsi="Times New Roman" w:eastAsia="方正仿宋_GBK" w:cs="Times New Roman"/>
          <w:color w:val="000000"/>
          <w:sz w:val="32"/>
          <w:szCs w:val="32"/>
          <w:highlight w:val="none"/>
        </w:rPr>
        <w:t>：指反映除上述项目以外其他用于城乡社区</w:t>
      </w:r>
      <w:r>
        <w:rPr>
          <w:rFonts w:hint="default" w:ascii="Times New Roman" w:hAnsi="Times New Roman" w:eastAsia="方正仿宋_GBK" w:cs="Times New Roman"/>
          <w:color w:val="000000"/>
          <w:sz w:val="32"/>
          <w:szCs w:val="32"/>
          <w:highlight w:val="none"/>
          <w:lang w:val="en-US" w:eastAsia="zh-CN"/>
        </w:rPr>
        <w:t>公共设施</w:t>
      </w:r>
      <w:r>
        <w:rPr>
          <w:rFonts w:hint="default" w:ascii="Times New Roman" w:hAnsi="Times New Roman" w:eastAsia="方正仿宋_GBK" w:cs="Times New Roman"/>
          <w:color w:val="000000"/>
          <w:sz w:val="32"/>
          <w:szCs w:val="32"/>
          <w:highlight w:val="none"/>
        </w:rPr>
        <w:t>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城乡社区支出212（类）国有土地使用权出让收入安排的支出08（款）征地和拆迁补偿支出01（项）</w:t>
      </w:r>
      <w:r>
        <w:rPr>
          <w:rFonts w:hint="default" w:ascii="Times New Roman" w:hAnsi="Times New Roman" w:eastAsia="方正仿宋_GBK" w:cs="Times New Roman"/>
          <w:color w:val="000000"/>
          <w:sz w:val="32"/>
          <w:szCs w:val="32"/>
        </w:rPr>
        <w:t>：指反映新疆生产建设兵团和地方政府在征地和收购土地过程中支付的土地补偿费、安置补助费、土地附着和青苗补偿费、拆迁补偿费支出。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城乡社区支出212（类）国有土地使用权出让收入安排的支出08（款）农村基础设施建设支出04（项）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土地出让收入用于农村供水保障、村庄公共设施建设和管护以及与农村直接相关的以工代赈等方面的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城乡社区支出212（类）国有土地使用权出让收入安排的支出08（款）补助被征地农民支出05（项）</w:t>
      </w:r>
      <w:r>
        <w:rPr>
          <w:rFonts w:hint="default" w:ascii="Times New Roman" w:hAnsi="Times New Roman" w:eastAsia="方正仿宋_GBK" w:cs="Times New Roman"/>
          <w:color w:val="000000"/>
          <w:sz w:val="32"/>
          <w:szCs w:val="32"/>
        </w:rPr>
        <w:t>：指反映土地出让收入用于</w:t>
      </w:r>
      <w:r>
        <w:rPr>
          <w:rFonts w:hint="default" w:ascii="Times New Roman" w:hAnsi="Times New Roman" w:eastAsia="方正仿宋_GBK" w:cs="Times New Roman"/>
          <w:color w:val="000000"/>
          <w:sz w:val="32"/>
          <w:szCs w:val="32"/>
          <w:lang w:val="en-US" w:eastAsia="zh-CN"/>
        </w:rPr>
        <w:t>补助征地农民社会保障支出以及保持被征地农民原有生活水平支出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城乡社区支出212（类）国有土地使用权出让收入安排的支出08（款）其他国有土地使用权出让收入安排的支出99（项）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土地出让收入用于其他方面的支出。不包括市县级政府当年按规定用土地出让向中央和省级政府缴纳的新增建设用地有偿使用费的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城乡社区支出212（类）其他城乡社区支出29（款）其他城乡社区支出99（项）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除上述项目以外其他用于城乡社区方面的支出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.农林水.</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农林水支出213（类）农业农村01（款）事业运行04（项）</w:t>
      </w:r>
      <w:r>
        <w:rPr>
          <w:rFonts w:hint="default" w:ascii="Times New Roman" w:hAnsi="Times New Roman" w:eastAsia="方正仿宋_GBK" w:cs="Times New Roman"/>
          <w:color w:val="000000"/>
          <w:sz w:val="32"/>
          <w:szCs w:val="32"/>
        </w:rPr>
        <w:t>：指反映用于农业事业单位基本支出，事业单位设施、系统运行与资产维护等方面的支出。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农林水支出213（类）林业和草原02（款）林业草原防灾减灾34（项）</w:t>
      </w:r>
      <w:r>
        <w:rPr>
          <w:rFonts w:hint="default" w:ascii="Times New Roman" w:hAnsi="Times New Roman" w:eastAsia="方正仿宋_GBK" w:cs="Times New Roman"/>
          <w:color w:val="000000"/>
          <w:sz w:val="32"/>
          <w:szCs w:val="32"/>
        </w:rPr>
        <w:t>：指反映用于</w:t>
      </w:r>
      <w:r>
        <w:rPr>
          <w:rFonts w:hint="default" w:ascii="Times New Roman" w:hAnsi="Times New Roman" w:eastAsia="方正仿宋_GBK" w:cs="Times New Roman"/>
          <w:color w:val="000000"/>
          <w:sz w:val="32"/>
          <w:szCs w:val="32"/>
          <w:lang w:val="en-US" w:eastAsia="zh-CN"/>
        </w:rPr>
        <w:t>病虫害等有害生物灾害、森林草原防火、野生动物疫病灾害等方面的支出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农林水支出213（类）林业和草原02（款）其他林业和草原支出99（项）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除上述项目以外其他用于林业和草原方面的支出。</w:t>
      </w:r>
    </w:p>
    <w:p>
      <w:pPr>
        <w:pStyle w:val="3"/>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农林水支出213（类）水利03（款）大中型水库移民后期扶持专项支出21（项）</w:t>
      </w:r>
      <w:r>
        <w:rPr>
          <w:rFonts w:hint="default" w:ascii="Times New Roman" w:hAnsi="Times New Roman" w:eastAsia="方正仿宋_GBK" w:cs="Times New Roman"/>
          <w:color w:val="000000"/>
          <w:sz w:val="32"/>
          <w:szCs w:val="32"/>
          <w:lang w:val="en-US" w:eastAsia="zh-CN"/>
        </w:rPr>
        <w:t>：指反映农村税费改革后对村级公益事业建设的补助支出。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农林水支出213（类）农村综合改革07（款）对村民委员会和村党支部的补助05（项）</w:t>
      </w:r>
      <w:r>
        <w:rPr>
          <w:rFonts w:hint="default" w:ascii="Times New Roman" w:hAnsi="Times New Roman" w:eastAsia="方正仿宋_GBK" w:cs="Times New Roman"/>
          <w:color w:val="000000"/>
          <w:sz w:val="32"/>
          <w:szCs w:val="32"/>
        </w:rPr>
        <w:t>：指反映各级财政对村民委员会和村党支部的补助支出，以及支持建立县级基本财力保障机制安排的村级组织运转奖补资金。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农林水支出213（类）其他农林水支出99（款）其他农林水支出99（项）</w:t>
      </w:r>
      <w:r>
        <w:rPr>
          <w:rFonts w:hint="default" w:ascii="Times New Roman" w:hAnsi="Times New Roman" w:eastAsia="方正仿宋_GBK" w:cs="Times New Roman"/>
          <w:color w:val="000000"/>
          <w:sz w:val="32"/>
          <w:szCs w:val="32"/>
          <w:lang w:val="en-US" w:eastAsia="zh-CN"/>
        </w:rPr>
        <w:t>：指反映除化解债务支出以外其他用于农林水方面的支出。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16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交通运输支出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交通运输支出214（类）公路水路运输01（款）公路建设04（项）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公路新建和改扩建支出，特大型桥梁建设、公路客货运站（场）以及公路相关设备设施建设支出。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eastAsia" w:eastAsia="方正仿宋_GBK" w:cs="Times New Roman"/>
          <w:color w:val="000000"/>
          <w:sz w:val="32"/>
          <w:szCs w:val="32"/>
          <w:lang w:val="en-US" w:eastAsia="zh-CN"/>
        </w:rPr>
        <w:t>17</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住房保障</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住房保障支出221（类）住房改革支出02（款）住房公积金01（项）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住房保障支出221（类）住房改革支出02（款）购房补贴03（项）</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指</w:t>
      </w:r>
      <w:r>
        <w:rPr>
          <w:rFonts w:hint="default" w:ascii="Times New Roman" w:hAnsi="Times New Roman" w:eastAsia="方正仿宋_GBK" w:cs="Times New Roman"/>
          <w:color w:val="000000"/>
          <w:sz w:val="32"/>
          <w:szCs w:val="32"/>
          <w:highlight w:val="none"/>
        </w:rPr>
        <w:t>反映</w:t>
      </w:r>
      <w:r>
        <w:rPr>
          <w:rFonts w:hint="default" w:ascii="Times New Roman" w:hAnsi="Times New Roman" w:eastAsia="方正仿宋_GBK" w:cs="Times New Roman"/>
          <w:color w:val="000000"/>
          <w:sz w:val="32"/>
          <w:szCs w:val="32"/>
          <w:highlight w:val="none"/>
          <w:lang w:val="en-US" w:eastAsia="zh-CN"/>
        </w:rPr>
        <w:t>按房改政策规定，行政单位向符合条件职工（含离退休人员）、军队（含武警）向转役复原离退休人员发放的用于购买住房的补贴</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18</w:t>
      </w:r>
      <w:r>
        <w:rPr>
          <w:rFonts w:hint="default" w:ascii="Times New Roman" w:hAnsi="Times New Roman" w:eastAsia="方正仿宋_GBK" w:cs="Times New Roman"/>
          <w:color w:val="000000"/>
          <w:sz w:val="32"/>
          <w:szCs w:val="32"/>
        </w:rPr>
        <w:t>.国有资本经营预算支出</w:t>
      </w:r>
    </w:p>
    <w:p>
      <w:pPr>
        <w:pStyle w:val="3"/>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rPr>
        <w:t>国有资本经营预算支出</w:t>
      </w:r>
      <w:r>
        <w:rPr>
          <w:rFonts w:hint="default" w:ascii="Times New Roman" w:hAnsi="Times New Roman" w:eastAsia="方正仿宋_GBK" w:cs="Times New Roman"/>
          <w:b w:val="0"/>
          <w:bCs/>
          <w:kern w:val="0"/>
          <w:sz w:val="32"/>
          <w:szCs w:val="32"/>
          <w:highlight w:val="none"/>
          <w:u w:val="none"/>
          <w:lang w:val="en-US" w:eastAsia="zh-CN" w:bidi="ar-SA"/>
        </w:rPr>
        <w:t>223（类）解决历史遗留问题及改革成本支出01（款）国有企业退休人员社会化管理补助支出05（项）</w:t>
      </w:r>
      <w:r>
        <w:rPr>
          <w:rFonts w:hint="default" w:ascii="Times New Roman" w:hAnsi="Times New Roman" w:eastAsia="方正仿宋_GBK" w:cs="Times New Roman"/>
          <w:color w:val="000000"/>
          <w:sz w:val="32"/>
          <w:szCs w:val="32"/>
          <w:lang w:val="en-US" w:eastAsia="zh-CN"/>
        </w:rPr>
        <w:t>：指反映用国有资本经营预算收入安排的支持国有企业退休人员移交社区实现社会化管理的支出。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19</w:t>
      </w:r>
      <w:r>
        <w:rPr>
          <w:rFonts w:hint="default" w:ascii="Times New Roman" w:hAnsi="Times New Roman" w:eastAsia="方正仿宋_GBK" w:cs="Times New Roman"/>
          <w:color w:val="000000"/>
          <w:sz w:val="32"/>
          <w:szCs w:val="32"/>
        </w:rPr>
        <w:t>.灾害防治及应急管理支出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灾害防治及应急管理支出</w:t>
      </w:r>
      <w:r>
        <w:rPr>
          <w:rFonts w:hint="default" w:ascii="Times New Roman" w:hAnsi="Times New Roman" w:eastAsia="方正仿宋_GBK" w:cs="Times New Roman"/>
          <w:b w:val="0"/>
          <w:bCs/>
          <w:kern w:val="0"/>
          <w:sz w:val="32"/>
          <w:szCs w:val="32"/>
          <w:highlight w:val="none"/>
          <w:u w:val="none"/>
          <w:lang w:val="en-US" w:eastAsia="zh-CN" w:bidi="ar-SA"/>
        </w:rPr>
        <w:t>224（类）自然灾害防治06（款）森林草原防灾减灾02（项）</w:t>
      </w:r>
      <w:r>
        <w:rPr>
          <w:rFonts w:hint="default" w:ascii="Times New Roman" w:hAnsi="Times New Roman" w:eastAsia="方正仿宋_GBK" w:cs="Times New Roman"/>
          <w:color w:val="000000"/>
          <w:sz w:val="32"/>
          <w:szCs w:val="32"/>
        </w:rPr>
        <w:t xml:space="preserve">：指反映防治森林草原火灾、自然水旱灾害等发生的支出。 </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0"/>
          <w:rFonts w:hint="default" w:ascii="Times New Roman" w:hAnsi="Times New Roman" w:eastAsia="黑体" w:cs="Times New Roman"/>
          <w:b w:val="0"/>
        </w:rPr>
      </w:pPr>
      <w:r>
        <w:rPr>
          <w:rFonts w:hint="default" w:ascii="Times New Roman" w:hAnsi="Times New Roman" w:eastAsia="仿宋_GB2312" w:cs="Times New Roman"/>
          <w:sz w:val="32"/>
          <w:szCs w:val="32"/>
        </w:rPr>
        <w:br w:type="page"/>
      </w:r>
      <w:bookmarkStart w:id="83" w:name="_Toc15396614"/>
      <w:bookmarkStart w:id="84" w:name="_Toc1780_WPSOffice_Level1"/>
      <w:r>
        <w:rPr>
          <w:rFonts w:hint="default" w:ascii="Times New Roman" w:hAnsi="Times New Roman" w:eastAsia="黑体" w:cs="Times New Roman"/>
          <w:sz w:val="44"/>
          <w:szCs w:val="44"/>
        </w:rPr>
        <w:t>第四部分  附件</w:t>
      </w:r>
      <w:bookmarkEnd w:id="83"/>
      <w:bookmarkEnd w:id="84"/>
    </w:p>
    <w:p>
      <w:pPr>
        <w:spacing w:line="572" w:lineRule="exact"/>
        <w:jc w:val="left"/>
        <w:outlineLvl w:val="0"/>
        <w:rPr>
          <w:rFonts w:hint="default" w:ascii="Times New Roman" w:hAnsi="Times New Roman" w:eastAsia="黑体" w:cs="Times New Roman"/>
          <w:sz w:val="32"/>
          <w:szCs w:val="32"/>
        </w:rPr>
      </w:pPr>
    </w:p>
    <w:p>
      <w:pPr>
        <w:widowControl/>
        <w:spacing w:line="578" w:lineRule="exact"/>
        <w:contextualSpacing/>
        <w:jc w:val="center"/>
        <w:rPr>
          <w:rFonts w:hint="default" w:ascii="Times New Roman" w:hAnsi="Times New Roman" w:cs="Times New Roman"/>
        </w:rPr>
      </w:pPr>
      <w:bookmarkStart w:id="85" w:name="_Toc11586_WPSOffice_Level2"/>
      <w:r>
        <w:rPr>
          <w:rFonts w:hint="default" w:ascii="Times New Roman" w:hAnsi="Times New Roman" w:eastAsia="黑体" w:cs="Times New Roman"/>
          <w:sz w:val="32"/>
          <w:szCs w:val="32"/>
        </w:rPr>
        <w:t>部门预算项目支出绩效评价表（2024年度）</w:t>
      </w:r>
      <w:bookmarkEnd w:id="85"/>
    </w:p>
    <w:p>
      <w:pPr>
        <w:pStyle w:val="3"/>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p>
    <w:p>
      <w:pPr>
        <w:pStyle w:val="3"/>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p>
    <w:p>
      <w:pPr>
        <w:pStyle w:val="3"/>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r>
        <w:rPr>
          <w:rFonts w:hint="default" w:ascii="Times New Roman" w:hAnsi="Times New Roman" w:eastAsia="方正仿宋_GBK" w:cs="Times New Roman"/>
          <w:sz w:val="32"/>
          <w:szCs w:val="32"/>
          <w:lang w:val="zh-CN" w:bidi="ar"/>
        </w:rPr>
        <w:t>附表：</w:t>
      </w:r>
      <w:r>
        <w:rPr>
          <w:rFonts w:hint="default" w:ascii="Times New Roman" w:hAnsi="Times New Roman" w:eastAsia="方正仿宋_GBK" w:cs="Times New Roman"/>
          <w:sz w:val="32"/>
          <w:szCs w:val="32"/>
          <w:lang w:bidi="ar"/>
        </w:rPr>
        <w:t>部门预算项目支出绩效自评表（2024年度）</w:t>
      </w:r>
    </w:p>
    <w:p>
      <w:pPr>
        <w:pStyle w:val="3"/>
        <w:spacing w:line="560" w:lineRule="exact"/>
        <w:ind w:left="0" w:leftChars="0" w:firstLine="0" w:firstLineChars="0"/>
        <w:rPr>
          <w:rFonts w:hint="default" w:ascii="Times New Roman" w:hAnsi="Times New Roman" w:cs="Times New Roman"/>
          <w:sz w:val="32"/>
          <w:highlight w:val="yellow"/>
          <w:lang w:val="zh-CN"/>
        </w:rPr>
      </w:pPr>
    </w:p>
    <w:p>
      <w:pPr>
        <w:pStyle w:val="9"/>
        <w:spacing w:before="93"/>
        <w:rPr>
          <w:rFonts w:hint="default" w:ascii="Times New Roman" w:hAnsi="Times New Roman" w:cs="Times New Roman"/>
          <w:sz w:val="32"/>
          <w:szCs w:val="32"/>
          <w:highlight w:val="yellow"/>
          <w:shd w:val="clear" w:color="auto" w:fill="FFFFFF"/>
          <w:lang w:val="zh-CN"/>
        </w:rPr>
      </w:pPr>
    </w:p>
    <w:p>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Style w:val="8"/>
        <w:rPr>
          <w:rFonts w:hint="default" w:ascii="Times New Roman" w:hAnsi="Times New Roman" w:eastAsia="仿宋_GB2312" w:cs="Times New Roman"/>
          <w:kern w:val="0"/>
          <w:sz w:val="32"/>
          <w:szCs w:val="32"/>
        </w:rPr>
      </w:pPr>
      <w:bookmarkStart w:id="86" w:name="_Toc15396618"/>
    </w:p>
    <w:p>
      <w:pPr>
        <w:widowControl/>
        <w:jc w:val="center"/>
        <w:rPr>
          <w:rFonts w:hint="eastAsia" w:ascii="方正黑体_GBK" w:hAnsi="方正黑体_GBK" w:eastAsia="方正黑体_GBK" w:cs="方正黑体_GBK"/>
          <w:sz w:val="32"/>
          <w:szCs w:val="32"/>
        </w:rPr>
      </w:pPr>
      <w:bookmarkStart w:id="87" w:name="_Toc7188_WPSOffice_Level1"/>
      <w:r>
        <w:rPr>
          <w:rFonts w:hint="eastAsia" w:ascii="方正黑体_GBK" w:hAnsi="方正黑体_GBK" w:eastAsia="方正黑体_GBK" w:cs="方正黑体_GBK"/>
          <w:sz w:val="32"/>
          <w:szCs w:val="32"/>
        </w:rPr>
        <w:t>第</w:t>
      </w:r>
      <w:r>
        <w:rPr>
          <w:rStyle w:val="30"/>
          <w:rFonts w:hint="eastAsia" w:ascii="方正黑体_GBK" w:hAnsi="方正黑体_GBK" w:eastAsia="方正黑体_GBK" w:cs="方正黑体_GBK"/>
          <w:b w:val="0"/>
          <w:sz w:val="32"/>
          <w:szCs w:val="32"/>
        </w:rPr>
        <w:t>五部分 附表</w:t>
      </w:r>
      <w:bookmarkEnd w:id="82"/>
      <w:bookmarkEnd w:id="86"/>
      <w:bookmarkEnd w:id="87"/>
      <w:bookmarkStart w:id="88" w:name="_Toc15396619"/>
    </w:p>
    <w:p>
      <w:pPr>
        <w:pStyle w:val="16"/>
        <w:adjustRightInd w:val="0"/>
        <w:snapToGrid w:val="0"/>
        <w:spacing w:line="560" w:lineRule="exact"/>
        <w:jc w:val="left"/>
        <w:rPr>
          <w:rFonts w:hint="default" w:ascii="Times New Roman" w:hAnsi="Times New Roman" w:eastAsia="仿宋_GB2312" w:cs="Times New Roman"/>
          <w:sz w:val="32"/>
          <w:szCs w:val="32"/>
        </w:rPr>
      </w:pPr>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89" w:name="_Toc16038_WPSOffice_Level2"/>
      <w:r>
        <w:rPr>
          <w:rFonts w:hint="default" w:ascii="Times New Roman" w:hAnsi="Times New Roman" w:eastAsia="方正黑体_GBK" w:cs="Times New Roman"/>
          <w:sz w:val="32"/>
          <w:szCs w:val="32"/>
        </w:rPr>
        <w:t>一、收入支出决算总表</w:t>
      </w:r>
      <w:bookmarkEnd w:id="88"/>
      <w:bookmarkEnd w:id="89"/>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90" w:name="_Toc15396620"/>
      <w:bookmarkStart w:id="91" w:name="_Toc21599_WPSOffice_Level2"/>
      <w:r>
        <w:rPr>
          <w:rFonts w:hint="default" w:ascii="Times New Roman" w:hAnsi="Times New Roman" w:eastAsia="方正黑体_GBK" w:cs="Times New Roman"/>
          <w:sz w:val="32"/>
          <w:szCs w:val="32"/>
        </w:rPr>
        <w:t>二、收入决算表</w:t>
      </w:r>
      <w:bookmarkEnd w:id="90"/>
      <w:bookmarkEnd w:id="91"/>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92" w:name="_Toc19830_WPSOffice_Level2"/>
      <w:bookmarkStart w:id="93" w:name="_Toc15396621"/>
      <w:r>
        <w:rPr>
          <w:rFonts w:hint="default" w:ascii="Times New Roman" w:hAnsi="Times New Roman" w:eastAsia="方正黑体_GBK" w:cs="Times New Roman"/>
          <w:sz w:val="32"/>
          <w:szCs w:val="32"/>
        </w:rPr>
        <w:t>三、支出决算表</w:t>
      </w:r>
      <w:bookmarkEnd w:id="92"/>
      <w:bookmarkEnd w:id="93"/>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94" w:name="_Toc15396622"/>
      <w:bookmarkStart w:id="95" w:name="_Toc11166_WPSOffice_Level2"/>
      <w:r>
        <w:rPr>
          <w:rFonts w:hint="default" w:ascii="Times New Roman" w:hAnsi="Times New Roman" w:eastAsia="方正黑体_GBK" w:cs="Times New Roman"/>
          <w:sz w:val="32"/>
          <w:szCs w:val="32"/>
        </w:rPr>
        <w:t>四、财政拨款收入支出决算总表</w:t>
      </w:r>
      <w:bookmarkEnd w:id="94"/>
      <w:bookmarkEnd w:id="95"/>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96" w:name="_Toc15396623"/>
      <w:bookmarkStart w:id="97" w:name="_Toc3147_WPSOffice_Level2"/>
      <w:r>
        <w:rPr>
          <w:rFonts w:hint="default" w:ascii="Times New Roman" w:hAnsi="Times New Roman" w:eastAsia="方正黑体_GBK" w:cs="Times New Roman"/>
          <w:sz w:val="32"/>
          <w:szCs w:val="32"/>
        </w:rPr>
        <w:t>五、财政拨款支出决算明细表</w:t>
      </w:r>
      <w:bookmarkEnd w:id="96"/>
      <w:bookmarkEnd w:id="97"/>
      <w:bookmarkStart w:id="98" w:name="_Toc15396624"/>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99" w:name="_Toc12939_WPSOffice_Level2"/>
      <w:r>
        <w:rPr>
          <w:rFonts w:hint="default" w:ascii="Times New Roman" w:hAnsi="Times New Roman" w:eastAsia="方正黑体_GBK" w:cs="Times New Roman"/>
          <w:sz w:val="32"/>
          <w:szCs w:val="32"/>
        </w:rPr>
        <w:t>六、一般公共预算财政拨款支出决算表</w:t>
      </w:r>
      <w:bookmarkEnd w:id="98"/>
      <w:bookmarkEnd w:id="99"/>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00" w:name="_Toc31201_WPSOffice_Level2"/>
      <w:bookmarkStart w:id="101" w:name="_Toc15396625"/>
      <w:r>
        <w:rPr>
          <w:rFonts w:hint="default" w:ascii="Times New Roman" w:hAnsi="Times New Roman" w:eastAsia="方正黑体_GBK" w:cs="Times New Roman"/>
          <w:sz w:val="32"/>
          <w:szCs w:val="32"/>
        </w:rPr>
        <w:t>七、一般公共预算财政拨款支出决算明细表</w:t>
      </w:r>
      <w:bookmarkEnd w:id="100"/>
      <w:bookmarkEnd w:id="101"/>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02" w:name="_Toc31943_WPSOffice_Level2"/>
      <w:bookmarkStart w:id="103" w:name="_Toc15396626"/>
      <w:r>
        <w:rPr>
          <w:rFonts w:hint="default" w:ascii="Times New Roman" w:hAnsi="Times New Roman" w:eastAsia="方正黑体_GBK" w:cs="Times New Roman"/>
          <w:sz w:val="32"/>
          <w:szCs w:val="32"/>
        </w:rPr>
        <w:t>八、一般公共预算财政拨款基本支出决算表</w:t>
      </w:r>
      <w:bookmarkEnd w:id="102"/>
      <w:bookmarkEnd w:id="103"/>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04" w:name="_Toc15396627"/>
      <w:bookmarkStart w:id="105" w:name="_Toc5070_WPSOffice_Level2"/>
      <w:r>
        <w:rPr>
          <w:rFonts w:hint="default" w:ascii="Times New Roman" w:hAnsi="Times New Roman" w:eastAsia="方正黑体_GBK" w:cs="Times New Roman"/>
          <w:sz w:val="32"/>
          <w:szCs w:val="32"/>
        </w:rPr>
        <w:t>九、一般公共预算财政拨款项目支出决算表</w:t>
      </w:r>
      <w:bookmarkEnd w:id="104"/>
      <w:bookmarkEnd w:id="105"/>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06" w:name="_Toc15396628"/>
      <w:bookmarkStart w:id="107" w:name="_Toc12352_WPSOffice_Level2"/>
      <w:r>
        <w:rPr>
          <w:rFonts w:hint="default" w:ascii="Times New Roman" w:hAnsi="Times New Roman" w:eastAsia="方正黑体_GBK" w:cs="Times New Roman"/>
          <w:sz w:val="32"/>
          <w:szCs w:val="32"/>
        </w:rPr>
        <w:t>十、</w:t>
      </w:r>
      <w:bookmarkEnd w:id="106"/>
      <w:r>
        <w:rPr>
          <w:rFonts w:hint="default" w:ascii="Times New Roman" w:hAnsi="Times New Roman" w:eastAsia="方正黑体_GBK" w:cs="Times New Roman"/>
          <w:sz w:val="32"/>
          <w:szCs w:val="32"/>
        </w:rPr>
        <w:t>政府性基金预算财政拨款收入支出决算表</w:t>
      </w:r>
      <w:bookmarkEnd w:id="107"/>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08" w:name="_Toc15396629"/>
      <w:bookmarkStart w:id="109" w:name="_Toc13382_WPSOffice_Level2"/>
      <w:r>
        <w:rPr>
          <w:rFonts w:hint="default" w:ascii="Times New Roman" w:hAnsi="Times New Roman" w:eastAsia="方正黑体_GBK" w:cs="Times New Roman"/>
          <w:sz w:val="32"/>
          <w:szCs w:val="32"/>
        </w:rPr>
        <w:t>十一、</w:t>
      </w:r>
      <w:bookmarkEnd w:id="108"/>
      <w:r>
        <w:rPr>
          <w:rFonts w:hint="default" w:ascii="Times New Roman" w:hAnsi="Times New Roman" w:eastAsia="方正黑体_GBK" w:cs="Times New Roman"/>
          <w:sz w:val="32"/>
          <w:szCs w:val="32"/>
        </w:rPr>
        <w:t>国有资本经营预算财政拨款收入支出决算表</w:t>
      </w:r>
      <w:bookmarkEnd w:id="109"/>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10" w:name="_Toc15396630"/>
      <w:bookmarkStart w:id="111" w:name="_Toc25170_WPSOffice_Level2"/>
      <w:r>
        <w:rPr>
          <w:rFonts w:hint="default" w:ascii="Times New Roman" w:hAnsi="Times New Roman" w:eastAsia="方正黑体_GBK" w:cs="Times New Roman"/>
          <w:sz w:val="32"/>
          <w:szCs w:val="32"/>
        </w:rPr>
        <w:t>十二、</w:t>
      </w:r>
      <w:bookmarkEnd w:id="110"/>
      <w:r>
        <w:rPr>
          <w:rFonts w:hint="default" w:ascii="Times New Roman" w:hAnsi="Times New Roman" w:eastAsia="方正黑体_GBK" w:cs="Times New Roman"/>
          <w:sz w:val="32"/>
          <w:szCs w:val="32"/>
        </w:rPr>
        <w:t>国有资本经营预算财政拨款支出决算表</w:t>
      </w:r>
      <w:bookmarkEnd w:id="111"/>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12" w:name="_Toc15396631"/>
      <w:bookmarkStart w:id="113" w:name="_Toc5958_WPSOffice_Level2"/>
      <w:r>
        <w:rPr>
          <w:rFonts w:hint="default" w:ascii="Times New Roman" w:hAnsi="Times New Roman" w:eastAsia="方正黑体_GBK" w:cs="Times New Roman"/>
          <w:sz w:val="32"/>
          <w:szCs w:val="32"/>
        </w:rPr>
        <w:t>十三、</w:t>
      </w:r>
      <w:bookmarkEnd w:id="112"/>
      <w:r>
        <w:rPr>
          <w:rFonts w:hint="default" w:ascii="Times New Roman" w:hAnsi="Times New Roman" w:eastAsia="方正黑体_GBK" w:cs="Times New Roman"/>
          <w:sz w:val="32"/>
          <w:szCs w:val="32"/>
        </w:rPr>
        <w:t>财政拨款“三公”经费支出决算表</w:t>
      </w:r>
      <w:bookmarkEnd w:id="113"/>
    </w:p>
    <w:p>
      <w:pPr>
        <w:rPr>
          <w:rFonts w:hint="default" w:ascii="Times New Roman" w:hAnsi="Times New Roman" w:cs="Times New Roman"/>
        </w:rPr>
      </w:pPr>
    </w:p>
    <w:sectPr>
      <w:footerReference r:id="rId8" w:type="first"/>
      <w:headerReference r:id="rId6" w:type="defaul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46BEA"/>
    <w:multiLevelType w:val="singleLevel"/>
    <w:tmpl w:val="21046B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ZDU0NDIyZTEwMjE2YjUzZDE4OTgxMjZhZDhhY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492396"/>
    <w:rsid w:val="05671BE2"/>
    <w:rsid w:val="061E35DE"/>
    <w:rsid w:val="06290BF2"/>
    <w:rsid w:val="066E0107"/>
    <w:rsid w:val="079734EE"/>
    <w:rsid w:val="07996F6E"/>
    <w:rsid w:val="07DFD8BA"/>
    <w:rsid w:val="07E85FBA"/>
    <w:rsid w:val="09867E8F"/>
    <w:rsid w:val="09FB2845"/>
    <w:rsid w:val="0A2032A3"/>
    <w:rsid w:val="0CA8290A"/>
    <w:rsid w:val="0D35B1ED"/>
    <w:rsid w:val="0E254B6B"/>
    <w:rsid w:val="0E846768"/>
    <w:rsid w:val="0F98263C"/>
    <w:rsid w:val="101860EC"/>
    <w:rsid w:val="101F47CC"/>
    <w:rsid w:val="10C055FF"/>
    <w:rsid w:val="11694EBD"/>
    <w:rsid w:val="11772AA4"/>
    <w:rsid w:val="118107EC"/>
    <w:rsid w:val="12E24EE2"/>
    <w:rsid w:val="13D50BC4"/>
    <w:rsid w:val="14B17F78"/>
    <w:rsid w:val="155D4BB4"/>
    <w:rsid w:val="165E0673"/>
    <w:rsid w:val="16B831D5"/>
    <w:rsid w:val="16BB723D"/>
    <w:rsid w:val="17E50567"/>
    <w:rsid w:val="17E67CCD"/>
    <w:rsid w:val="186504BB"/>
    <w:rsid w:val="19A445FC"/>
    <w:rsid w:val="1B91016A"/>
    <w:rsid w:val="1BAD4F97"/>
    <w:rsid w:val="1BE8440E"/>
    <w:rsid w:val="1CC6347C"/>
    <w:rsid w:val="1D155CEE"/>
    <w:rsid w:val="1D1638FE"/>
    <w:rsid w:val="1E312DEB"/>
    <w:rsid w:val="1E740ACF"/>
    <w:rsid w:val="1FAC60C3"/>
    <w:rsid w:val="1FF35744"/>
    <w:rsid w:val="1FF6BC77"/>
    <w:rsid w:val="2186353C"/>
    <w:rsid w:val="23860B96"/>
    <w:rsid w:val="240371BF"/>
    <w:rsid w:val="244F3473"/>
    <w:rsid w:val="24C97D99"/>
    <w:rsid w:val="24D20313"/>
    <w:rsid w:val="25A718F0"/>
    <w:rsid w:val="25BB59F6"/>
    <w:rsid w:val="260F557C"/>
    <w:rsid w:val="26970054"/>
    <w:rsid w:val="281408E2"/>
    <w:rsid w:val="297E4C80"/>
    <w:rsid w:val="29FD04D3"/>
    <w:rsid w:val="2BFF7BC6"/>
    <w:rsid w:val="2C8A61B5"/>
    <w:rsid w:val="2CCA34DF"/>
    <w:rsid w:val="2DF04E50"/>
    <w:rsid w:val="2E586DFA"/>
    <w:rsid w:val="2F040D46"/>
    <w:rsid w:val="2F6B035B"/>
    <w:rsid w:val="2FAE5751"/>
    <w:rsid w:val="2FB1A395"/>
    <w:rsid w:val="2FD9A7D8"/>
    <w:rsid w:val="2FDBF714"/>
    <w:rsid w:val="30AB6865"/>
    <w:rsid w:val="3106020F"/>
    <w:rsid w:val="319F7F4E"/>
    <w:rsid w:val="32584DE8"/>
    <w:rsid w:val="32BD1EF1"/>
    <w:rsid w:val="3304709D"/>
    <w:rsid w:val="33A773CB"/>
    <w:rsid w:val="342A2240"/>
    <w:rsid w:val="349D6851"/>
    <w:rsid w:val="353C6D47"/>
    <w:rsid w:val="3548378A"/>
    <w:rsid w:val="35FC337E"/>
    <w:rsid w:val="36AA5135"/>
    <w:rsid w:val="36BE0DA7"/>
    <w:rsid w:val="376B6AA6"/>
    <w:rsid w:val="376D39B2"/>
    <w:rsid w:val="379F78DD"/>
    <w:rsid w:val="37A54799"/>
    <w:rsid w:val="37E16F03"/>
    <w:rsid w:val="37F53A3B"/>
    <w:rsid w:val="382D2380"/>
    <w:rsid w:val="389B6C89"/>
    <w:rsid w:val="38D469F0"/>
    <w:rsid w:val="39627CCD"/>
    <w:rsid w:val="397BAF1F"/>
    <w:rsid w:val="39972259"/>
    <w:rsid w:val="3AB79AF3"/>
    <w:rsid w:val="3AE834C0"/>
    <w:rsid w:val="3B7EF35A"/>
    <w:rsid w:val="3B9FDB6C"/>
    <w:rsid w:val="3BF5BC2F"/>
    <w:rsid w:val="3CEBA265"/>
    <w:rsid w:val="3D98207C"/>
    <w:rsid w:val="3DEE7CF3"/>
    <w:rsid w:val="3E353883"/>
    <w:rsid w:val="3E740A63"/>
    <w:rsid w:val="3E78745D"/>
    <w:rsid w:val="3EE17838"/>
    <w:rsid w:val="3F55381A"/>
    <w:rsid w:val="3F7F7599"/>
    <w:rsid w:val="3FF4CAE0"/>
    <w:rsid w:val="3FF7B227"/>
    <w:rsid w:val="43CC351F"/>
    <w:rsid w:val="442D7AEA"/>
    <w:rsid w:val="44E268DA"/>
    <w:rsid w:val="450D13D7"/>
    <w:rsid w:val="45506656"/>
    <w:rsid w:val="464922B7"/>
    <w:rsid w:val="46CD12A7"/>
    <w:rsid w:val="4816365B"/>
    <w:rsid w:val="486A6C7A"/>
    <w:rsid w:val="4A627F82"/>
    <w:rsid w:val="4AFE571A"/>
    <w:rsid w:val="4B0E749A"/>
    <w:rsid w:val="4B2477C4"/>
    <w:rsid w:val="4B4F25DA"/>
    <w:rsid w:val="4BE068DB"/>
    <w:rsid w:val="4D577224"/>
    <w:rsid w:val="4DBF1CEB"/>
    <w:rsid w:val="4DF0007C"/>
    <w:rsid w:val="4EAB630A"/>
    <w:rsid w:val="4ECE2238"/>
    <w:rsid w:val="4F833267"/>
    <w:rsid w:val="4FCE2A71"/>
    <w:rsid w:val="4FE7187C"/>
    <w:rsid w:val="4FE9BD67"/>
    <w:rsid w:val="4FFB052F"/>
    <w:rsid w:val="507B2B3F"/>
    <w:rsid w:val="51AE5133"/>
    <w:rsid w:val="537E6D0A"/>
    <w:rsid w:val="53F74C96"/>
    <w:rsid w:val="542D289A"/>
    <w:rsid w:val="55170BA8"/>
    <w:rsid w:val="553218C9"/>
    <w:rsid w:val="55430FDA"/>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D17FB"/>
    <w:rsid w:val="5FEF394A"/>
    <w:rsid w:val="5FF67715"/>
    <w:rsid w:val="62BF3928"/>
    <w:rsid w:val="63A469BF"/>
    <w:rsid w:val="63B3701E"/>
    <w:rsid w:val="646B5292"/>
    <w:rsid w:val="647F5392"/>
    <w:rsid w:val="65001CD7"/>
    <w:rsid w:val="65E66580"/>
    <w:rsid w:val="664B1D71"/>
    <w:rsid w:val="664B4E8E"/>
    <w:rsid w:val="67277B67"/>
    <w:rsid w:val="67AA3209"/>
    <w:rsid w:val="698D0931"/>
    <w:rsid w:val="6A7FE5F3"/>
    <w:rsid w:val="6A9753D3"/>
    <w:rsid w:val="6B053271"/>
    <w:rsid w:val="6BA0551C"/>
    <w:rsid w:val="6BDD78B3"/>
    <w:rsid w:val="6C4A05C8"/>
    <w:rsid w:val="6C8742B8"/>
    <w:rsid w:val="6DBF5E93"/>
    <w:rsid w:val="6DFF077E"/>
    <w:rsid w:val="6E714EF0"/>
    <w:rsid w:val="6E7831F6"/>
    <w:rsid w:val="6E7E3605"/>
    <w:rsid w:val="6E7FDCC7"/>
    <w:rsid w:val="6ED6A62E"/>
    <w:rsid w:val="6EE00B15"/>
    <w:rsid w:val="6F6FB3EB"/>
    <w:rsid w:val="6F8731EA"/>
    <w:rsid w:val="6FCE6052"/>
    <w:rsid w:val="6FD57C00"/>
    <w:rsid w:val="6FEFFFD8"/>
    <w:rsid w:val="6FF5CC65"/>
    <w:rsid w:val="6FF63E27"/>
    <w:rsid w:val="6FFB47EC"/>
    <w:rsid w:val="6FFF034A"/>
    <w:rsid w:val="70484440"/>
    <w:rsid w:val="704F770E"/>
    <w:rsid w:val="70F4678F"/>
    <w:rsid w:val="712A28F1"/>
    <w:rsid w:val="715C0E4B"/>
    <w:rsid w:val="71992E7C"/>
    <w:rsid w:val="72233669"/>
    <w:rsid w:val="72734D90"/>
    <w:rsid w:val="73160E6D"/>
    <w:rsid w:val="7332FE48"/>
    <w:rsid w:val="73365044"/>
    <w:rsid w:val="73672D16"/>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26890"/>
    <w:rsid w:val="78282981"/>
    <w:rsid w:val="783E271A"/>
    <w:rsid w:val="78616DE9"/>
    <w:rsid w:val="78E875D7"/>
    <w:rsid w:val="79086DAD"/>
    <w:rsid w:val="7945202E"/>
    <w:rsid w:val="79D7FD79"/>
    <w:rsid w:val="79EE5BA4"/>
    <w:rsid w:val="7A894339"/>
    <w:rsid w:val="7AD284E8"/>
    <w:rsid w:val="7AFF7572"/>
    <w:rsid w:val="7B6C7DFB"/>
    <w:rsid w:val="7BBFBED0"/>
    <w:rsid w:val="7BC3E394"/>
    <w:rsid w:val="7C1F3737"/>
    <w:rsid w:val="7CBFC87B"/>
    <w:rsid w:val="7CFE0F48"/>
    <w:rsid w:val="7D272ABC"/>
    <w:rsid w:val="7D7EC23E"/>
    <w:rsid w:val="7E0C37E6"/>
    <w:rsid w:val="7E1110EB"/>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77468"/>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Normal Indent"/>
    <w:basedOn w:val="1"/>
    <w:qFormat/>
    <w:uiPriority w:val="0"/>
    <w:pPr>
      <w:ind w:firstLine="420" w:firstLineChars="200"/>
    </w:pPr>
    <w:rPr>
      <w:rFonts w:hint="default" w:ascii="Times New Roman" w:hAnsi="Times New Roman" w:eastAsia="宋体" w:cs="Times New Roman"/>
    </w:r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0"/>
    <w:rPr>
      <w:rFonts w:ascii="宋体" w:hAnsi="Courier New"/>
      <w:szCs w:val="22"/>
    </w:rPr>
  </w:style>
  <w:style w:type="paragraph" w:styleId="12">
    <w:name w:val="Balloon Text"/>
    <w:basedOn w:val="1"/>
    <w:link w:val="33"/>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4"/>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3"/>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2"/>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ef65b1-90b1-4840-b90b-3d2a1dd029db}"/>
        <w:style w:val=""/>
        <w:category>
          <w:name w:val="常规"/>
          <w:gallery w:val="placeholder"/>
        </w:category>
        <w:types>
          <w:type w:val="bbPlcHdr"/>
        </w:types>
        <w:behaviors>
          <w:behavior w:val="content"/>
        </w:behaviors>
        <w:description w:val=""/>
        <w:guid w:val="{70ef65b1-90b1-4840-b90b-3d2a1dd029db}"/>
      </w:docPartPr>
      <w:docPartBody>
        <w:p>
          <w:r>
            <w:rPr>
              <w:color w:val="808080"/>
            </w:rPr>
            <w:t>单击此处输入文字。</w:t>
          </w:r>
        </w:p>
      </w:docPartBody>
    </w:docPart>
    <w:docPart>
      <w:docPartPr>
        <w:name w:val="{5f639bb1-02eb-47bb-93de-6cbac8a0ecec}"/>
        <w:style w:val=""/>
        <w:category>
          <w:name w:val="常规"/>
          <w:gallery w:val="placeholder"/>
        </w:category>
        <w:types>
          <w:type w:val="bbPlcHdr"/>
        </w:types>
        <w:behaviors>
          <w:behavior w:val="content"/>
        </w:behaviors>
        <w:description w:val=""/>
        <w:guid w:val="{5f639bb1-02eb-47bb-93de-6cbac8a0ecec}"/>
      </w:docPartPr>
      <w:docPartBody>
        <w:p>
          <w:r>
            <w:rPr>
              <w:color w:val="808080"/>
            </w:rPr>
            <w:t>单击此处输入文字。</w:t>
          </w:r>
        </w:p>
      </w:docPartBody>
    </w:docPart>
    <w:docPart>
      <w:docPartPr>
        <w:name w:val="{2871d88a-e227-40c1-b0ed-d869dee1ddc4}"/>
        <w:style w:val=""/>
        <w:category>
          <w:name w:val="常规"/>
          <w:gallery w:val="placeholder"/>
        </w:category>
        <w:types>
          <w:type w:val="bbPlcHdr"/>
        </w:types>
        <w:behaviors>
          <w:behavior w:val="content"/>
        </w:behaviors>
        <w:description w:val=""/>
        <w:guid w:val="{2871d88a-e227-40c1-b0ed-d869dee1ddc4}"/>
      </w:docPartPr>
      <w:docPartBody>
        <w:p>
          <w:r>
            <w:rPr>
              <w:color w:val="808080"/>
            </w:rPr>
            <w:t>单击此处输入文字。</w:t>
          </w:r>
        </w:p>
      </w:docPartBody>
    </w:docPart>
    <w:docPart>
      <w:docPartPr>
        <w:name w:val="{9359373c-8353-4646-a120-388132dfe0ad}"/>
        <w:style w:val=""/>
        <w:category>
          <w:name w:val="常规"/>
          <w:gallery w:val="placeholder"/>
        </w:category>
        <w:types>
          <w:type w:val="bbPlcHdr"/>
        </w:types>
        <w:behaviors>
          <w:behavior w:val="content"/>
        </w:behaviors>
        <w:description w:val=""/>
        <w:guid w:val="{9359373c-8353-4646-a120-388132dfe0ad}"/>
      </w:docPartPr>
      <w:docPartBody>
        <w:p>
          <w:r>
            <w:rPr>
              <w:color w:val="808080"/>
            </w:rPr>
            <w:t>单击此处输入文字。</w:t>
          </w:r>
        </w:p>
      </w:docPartBody>
    </w:docPart>
    <w:docPart>
      <w:docPartPr>
        <w:name w:val="{9f1ab447-040d-4eb8-9a46-47157c4b61fe}"/>
        <w:style w:val=""/>
        <w:category>
          <w:name w:val="常规"/>
          <w:gallery w:val="placeholder"/>
        </w:category>
        <w:types>
          <w:type w:val="bbPlcHdr"/>
        </w:types>
        <w:behaviors>
          <w:behavior w:val="content"/>
        </w:behaviors>
        <w:description w:val=""/>
        <w:guid w:val="{9f1ab447-040d-4eb8-9a46-47157c4b61fe}"/>
      </w:docPartPr>
      <w:docPartBody>
        <w:p>
          <w:r>
            <w:rPr>
              <w:color w:val="808080"/>
            </w:rPr>
            <w:t>单击此处输入文字。</w:t>
          </w:r>
        </w:p>
      </w:docPartBody>
    </w:docPart>
    <w:docPart>
      <w:docPartPr>
        <w:name w:val="{d498b8b2-48bc-49f4-8a15-2649b66271a4}"/>
        <w:style w:val=""/>
        <w:category>
          <w:name w:val="常规"/>
          <w:gallery w:val="placeholder"/>
        </w:category>
        <w:types>
          <w:type w:val="bbPlcHdr"/>
        </w:types>
        <w:behaviors>
          <w:behavior w:val="content"/>
        </w:behaviors>
        <w:description w:val=""/>
        <w:guid w:val="{d498b8b2-48bc-49f4-8a15-2649b66271a4}"/>
      </w:docPartPr>
      <w:docPartBody>
        <w:p>
          <w:r>
            <w:rPr>
              <w:color w:val="808080"/>
            </w:rPr>
            <w:t>单击此处输入文字。</w:t>
          </w:r>
        </w:p>
      </w:docPartBody>
    </w:docPart>
    <w:docPart>
      <w:docPartPr>
        <w:name w:val="{3e8e6d1d-810c-4e1a-b23d-d4e711ac4548}"/>
        <w:style w:val=""/>
        <w:category>
          <w:name w:val="常规"/>
          <w:gallery w:val="placeholder"/>
        </w:category>
        <w:types>
          <w:type w:val="bbPlcHdr"/>
        </w:types>
        <w:behaviors>
          <w:behavior w:val="content"/>
        </w:behaviors>
        <w:description w:val=""/>
        <w:guid w:val="{3e8e6d1d-810c-4e1a-b23d-d4e711ac4548}"/>
      </w:docPartPr>
      <w:docPartBody>
        <w:p>
          <w:r>
            <w:rPr>
              <w:color w:val="808080"/>
            </w:rPr>
            <w:t>单击此处输入文字。</w:t>
          </w:r>
        </w:p>
      </w:docPartBody>
    </w:docPart>
    <w:docPart>
      <w:docPartPr>
        <w:name w:val="{27a11600-c83f-4eba-8278-8ae7051e79b2}"/>
        <w:style w:val=""/>
        <w:category>
          <w:name w:val="常规"/>
          <w:gallery w:val="placeholder"/>
        </w:category>
        <w:types>
          <w:type w:val="bbPlcHdr"/>
        </w:types>
        <w:behaviors>
          <w:behavior w:val="content"/>
        </w:behaviors>
        <w:description w:val=""/>
        <w:guid w:val="{27a11600-c83f-4eba-8278-8ae7051e79b2}"/>
      </w:docPartPr>
      <w:docPartBody>
        <w:p>
          <w:r>
            <w:rPr>
              <w:color w:val="808080"/>
            </w:rPr>
            <w:t>单击此处输入文字。</w:t>
          </w:r>
        </w:p>
      </w:docPartBody>
    </w:docPart>
    <w:docPart>
      <w:docPartPr>
        <w:name w:val="{1c6d5487-40a4-45f4-931c-a492ee0b6e1b}"/>
        <w:style w:val=""/>
        <w:category>
          <w:name w:val="常规"/>
          <w:gallery w:val="placeholder"/>
        </w:category>
        <w:types>
          <w:type w:val="bbPlcHdr"/>
        </w:types>
        <w:behaviors>
          <w:behavior w:val="content"/>
        </w:behaviors>
        <w:description w:val=""/>
        <w:guid w:val="{1c6d5487-40a4-45f4-931c-a492ee0b6e1b}"/>
      </w:docPartPr>
      <w:docPartBody>
        <w:p>
          <w:r>
            <w:rPr>
              <w:color w:val="808080"/>
            </w:rPr>
            <w:t>单击此处输入文字。</w:t>
          </w:r>
        </w:p>
      </w:docPartBody>
    </w:docPart>
    <w:docPart>
      <w:docPartPr>
        <w:name w:val="{3dcc31ae-f02e-41b1-98a3-637e12588912}"/>
        <w:style w:val=""/>
        <w:category>
          <w:name w:val="常规"/>
          <w:gallery w:val="placeholder"/>
        </w:category>
        <w:types>
          <w:type w:val="bbPlcHdr"/>
        </w:types>
        <w:behaviors>
          <w:behavior w:val="content"/>
        </w:behaviors>
        <w:description w:val=""/>
        <w:guid w:val="{3dcc31ae-f02e-41b1-98a3-637e12588912}"/>
      </w:docPartPr>
      <w:docPartBody>
        <w:p>
          <w:r>
            <w:rPr>
              <w:color w:val="808080"/>
            </w:rPr>
            <w:t>单击此处输入文字。</w:t>
          </w:r>
        </w:p>
      </w:docPartBody>
    </w:docPart>
    <w:docPart>
      <w:docPartPr>
        <w:name w:val="{07401c3f-b3f0-44fa-95e1-0b23508aaf9b}"/>
        <w:style w:val=""/>
        <w:category>
          <w:name w:val="常规"/>
          <w:gallery w:val="placeholder"/>
        </w:category>
        <w:types>
          <w:type w:val="bbPlcHdr"/>
        </w:types>
        <w:behaviors>
          <w:behavior w:val="content"/>
        </w:behaviors>
        <w:description w:val=""/>
        <w:guid w:val="{07401c3f-b3f0-44fa-95e1-0b23508aaf9b}"/>
      </w:docPartPr>
      <w:docPartBody>
        <w:p>
          <w:r>
            <w:rPr>
              <w:color w:val="808080"/>
            </w:rPr>
            <w:t>单击此处输入文字。</w:t>
          </w:r>
        </w:p>
      </w:docPartBody>
    </w:docPart>
    <w:docPart>
      <w:docPartPr>
        <w:name w:val="{e847f15e-5e73-408f-9031-0b663e658350}"/>
        <w:style w:val=""/>
        <w:category>
          <w:name w:val="常规"/>
          <w:gallery w:val="placeholder"/>
        </w:category>
        <w:types>
          <w:type w:val="bbPlcHdr"/>
        </w:types>
        <w:behaviors>
          <w:behavior w:val="content"/>
        </w:behaviors>
        <w:description w:val=""/>
        <w:guid w:val="{e847f15e-5e73-408f-9031-0b663e658350}"/>
      </w:docPartPr>
      <w:docPartBody>
        <w:p>
          <w:r>
            <w:rPr>
              <w:color w:val="808080"/>
            </w:rPr>
            <w:t>单击此处输入文字。</w:t>
          </w:r>
        </w:p>
      </w:docPartBody>
    </w:docPart>
    <w:docPart>
      <w:docPartPr>
        <w:name w:val="{8067abf4-bf9e-4eef-a19a-aae943399d2f}"/>
        <w:style w:val=""/>
        <w:category>
          <w:name w:val="常规"/>
          <w:gallery w:val="placeholder"/>
        </w:category>
        <w:types>
          <w:type w:val="bbPlcHdr"/>
        </w:types>
        <w:behaviors>
          <w:behavior w:val="content"/>
        </w:behaviors>
        <w:description w:val=""/>
        <w:guid w:val="{8067abf4-bf9e-4eef-a19a-aae943399d2f}"/>
      </w:docPartPr>
      <w:docPartBody>
        <w:p>
          <w:r>
            <w:rPr>
              <w:color w:val="808080"/>
            </w:rPr>
            <w:t>单击此处输入文字。</w:t>
          </w:r>
        </w:p>
      </w:docPartBody>
    </w:docPart>
    <w:docPart>
      <w:docPartPr>
        <w:name w:val="{d92a14d4-9711-498c-992d-72fff78f37a9}"/>
        <w:style w:val=""/>
        <w:category>
          <w:name w:val="常规"/>
          <w:gallery w:val="placeholder"/>
        </w:category>
        <w:types>
          <w:type w:val="bbPlcHdr"/>
        </w:types>
        <w:behaviors>
          <w:behavior w:val="content"/>
        </w:behaviors>
        <w:description w:val=""/>
        <w:guid w:val="{d92a14d4-9711-498c-992d-72fff78f37a9}"/>
      </w:docPartPr>
      <w:docPartBody>
        <w:p>
          <w:r>
            <w:rPr>
              <w:color w:val="808080"/>
            </w:rPr>
            <w:t>单击此处输入文字。</w:t>
          </w:r>
        </w:p>
      </w:docPartBody>
    </w:docPart>
    <w:docPart>
      <w:docPartPr>
        <w:name w:val="{3b058271-38cb-47e7-bd0a-5b6f68986907}"/>
        <w:style w:val=""/>
        <w:category>
          <w:name w:val="常规"/>
          <w:gallery w:val="placeholder"/>
        </w:category>
        <w:types>
          <w:type w:val="bbPlcHdr"/>
        </w:types>
        <w:behaviors>
          <w:behavior w:val="content"/>
        </w:behaviors>
        <w:description w:val=""/>
        <w:guid w:val="{3b058271-38cb-47e7-bd0a-5b6f68986907}"/>
      </w:docPartPr>
      <w:docPartBody>
        <w:p>
          <w:r>
            <w:rPr>
              <w:color w:val="808080"/>
            </w:rPr>
            <w:t>单击此处输入文字。</w:t>
          </w:r>
        </w:p>
      </w:docPartBody>
    </w:docPart>
    <w:docPart>
      <w:docPartPr>
        <w:name w:val="{4405a3f9-bff7-4894-99bd-f6b2922696e9}"/>
        <w:style w:val=""/>
        <w:category>
          <w:name w:val="常规"/>
          <w:gallery w:val="placeholder"/>
        </w:category>
        <w:types>
          <w:type w:val="bbPlcHdr"/>
        </w:types>
        <w:behaviors>
          <w:behavior w:val="content"/>
        </w:behaviors>
        <w:description w:val=""/>
        <w:guid w:val="{4405a3f9-bff7-4894-99bd-f6b2922696e9}"/>
      </w:docPartPr>
      <w:docPartBody>
        <w:p>
          <w:r>
            <w:rPr>
              <w:color w:val="808080"/>
            </w:rPr>
            <w:t>单击此处输入文字。</w:t>
          </w:r>
        </w:p>
      </w:docPartBody>
    </w:docPart>
    <w:docPart>
      <w:docPartPr>
        <w:name w:val="{ee15e411-862a-4b0a-b95d-b93f54639bb3}"/>
        <w:style w:val=""/>
        <w:category>
          <w:name w:val="常规"/>
          <w:gallery w:val="placeholder"/>
        </w:category>
        <w:types>
          <w:type w:val="bbPlcHdr"/>
        </w:types>
        <w:behaviors>
          <w:behavior w:val="content"/>
        </w:behaviors>
        <w:description w:val=""/>
        <w:guid w:val="{ee15e411-862a-4b0a-b95d-b93f54639bb3}"/>
      </w:docPartPr>
      <w:docPartBody>
        <w:p>
          <w:r>
            <w:rPr>
              <w:color w:val="808080"/>
            </w:rPr>
            <w:t>单击此处输入文字。</w:t>
          </w:r>
        </w:p>
      </w:docPartBody>
    </w:docPart>
    <w:docPart>
      <w:docPartPr>
        <w:name w:val="{785dc43f-5137-4a26-8d50-a2ff73d7920b}"/>
        <w:style w:val=""/>
        <w:category>
          <w:name w:val="常规"/>
          <w:gallery w:val="placeholder"/>
        </w:category>
        <w:types>
          <w:type w:val="bbPlcHdr"/>
        </w:types>
        <w:behaviors>
          <w:behavior w:val="content"/>
        </w:behaviors>
        <w:description w:val=""/>
        <w:guid w:val="{785dc43f-5137-4a26-8d50-a2ff73d7920b}"/>
      </w:docPartPr>
      <w:docPartBody>
        <w:p>
          <w:r>
            <w:rPr>
              <w:color w:val="808080"/>
            </w:rPr>
            <w:t>单击此处输入文字。</w:t>
          </w:r>
        </w:p>
      </w:docPartBody>
    </w:docPart>
    <w:docPart>
      <w:docPartPr>
        <w:name w:val="{7f5170d7-6ccd-4ad4-86d0-1d44ad40868f}"/>
        <w:style w:val=""/>
        <w:category>
          <w:name w:val="常规"/>
          <w:gallery w:val="placeholder"/>
        </w:category>
        <w:types>
          <w:type w:val="bbPlcHdr"/>
        </w:types>
        <w:behaviors>
          <w:behavior w:val="content"/>
        </w:behaviors>
        <w:description w:val=""/>
        <w:guid w:val="{7f5170d7-6ccd-4ad4-86d0-1d44ad40868f}"/>
      </w:docPartPr>
      <w:docPartBody>
        <w:p>
          <w:r>
            <w:rPr>
              <w:color w:val="808080"/>
            </w:rPr>
            <w:t>单击此处输入文字。</w:t>
          </w:r>
        </w:p>
      </w:docPartBody>
    </w:docPart>
    <w:docPart>
      <w:docPartPr>
        <w:name w:val="{30c46150-b9f0-42b6-b533-4027312b6df3}"/>
        <w:style w:val=""/>
        <w:category>
          <w:name w:val="常规"/>
          <w:gallery w:val="placeholder"/>
        </w:category>
        <w:types>
          <w:type w:val="bbPlcHdr"/>
        </w:types>
        <w:behaviors>
          <w:behavior w:val="content"/>
        </w:behaviors>
        <w:description w:val=""/>
        <w:guid w:val="{30c46150-b9f0-42b6-b533-4027312b6df3}"/>
      </w:docPartPr>
      <w:docPartBody>
        <w:p>
          <w:r>
            <w:rPr>
              <w:color w:val="808080"/>
            </w:rPr>
            <w:t>单击此处输入文字。</w:t>
          </w:r>
        </w:p>
      </w:docPartBody>
    </w:docPart>
    <w:docPart>
      <w:docPartPr>
        <w:name w:val="{7f0d9605-6cb9-4bdf-9328-f622ec9f4af4}"/>
        <w:style w:val=""/>
        <w:category>
          <w:name w:val="常规"/>
          <w:gallery w:val="placeholder"/>
        </w:category>
        <w:types>
          <w:type w:val="bbPlcHdr"/>
        </w:types>
        <w:behaviors>
          <w:behavior w:val="content"/>
        </w:behaviors>
        <w:description w:val=""/>
        <w:guid w:val="{7f0d9605-6cb9-4bdf-9328-f622ec9f4af4}"/>
      </w:docPartPr>
      <w:docPartBody>
        <w:p>
          <w:r>
            <w:rPr>
              <w:color w:val="808080"/>
            </w:rPr>
            <w:t>单击此处输入文字。</w:t>
          </w:r>
        </w:p>
      </w:docPartBody>
    </w:docPart>
    <w:docPart>
      <w:docPartPr>
        <w:name w:val="{fe383121-c70a-4214-afc6-6ff9536131e5}"/>
        <w:style w:val=""/>
        <w:category>
          <w:name w:val="常规"/>
          <w:gallery w:val="placeholder"/>
        </w:category>
        <w:types>
          <w:type w:val="bbPlcHdr"/>
        </w:types>
        <w:behaviors>
          <w:behavior w:val="content"/>
        </w:behaviors>
        <w:description w:val=""/>
        <w:guid w:val="{fe383121-c70a-4214-afc6-6ff9536131e5}"/>
      </w:docPartPr>
      <w:docPartBody>
        <w:p>
          <w:r>
            <w:rPr>
              <w:color w:val="808080"/>
            </w:rPr>
            <w:t>单击此处输入文字。</w:t>
          </w:r>
        </w:p>
      </w:docPartBody>
    </w:docPart>
    <w:docPart>
      <w:docPartPr>
        <w:name w:val="{3c184a6f-856e-4df1-a073-94d6e963109d}"/>
        <w:style w:val=""/>
        <w:category>
          <w:name w:val="常规"/>
          <w:gallery w:val="placeholder"/>
        </w:category>
        <w:types>
          <w:type w:val="bbPlcHdr"/>
        </w:types>
        <w:behaviors>
          <w:behavior w:val="content"/>
        </w:behaviors>
        <w:description w:val=""/>
        <w:guid w:val="{3c184a6f-856e-4df1-a073-94d6e963109d}"/>
      </w:docPartPr>
      <w:docPartBody>
        <w:p>
          <w:r>
            <w:rPr>
              <w:color w:val="808080"/>
            </w:rPr>
            <w:t>单击此处输入文字。</w:t>
          </w:r>
        </w:p>
      </w:docPartBody>
    </w:docPart>
    <w:docPart>
      <w:docPartPr>
        <w:name w:val="{b6c6a74a-372f-473f-abc6-4a59cd8f0a96}"/>
        <w:style w:val=""/>
        <w:category>
          <w:name w:val="常规"/>
          <w:gallery w:val="placeholder"/>
        </w:category>
        <w:types>
          <w:type w:val="bbPlcHdr"/>
        </w:types>
        <w:behaviors>
          <w:behavior w:val="content"/>
        </w:behaviors>
        <w:description w:val=""/>
        <w:guid w:val="{b6c6a74a-372f-473f-abc6-4a59cd8f0a96}"/>
      </w:docPartPr>
      <w:docPartBody>
        <w:p>
          <w:r>
            <w:rPr>
              <w:color w:val="808080"/>
            </w:rPr>
            <w:t>单击此处输入文字。</w:t>
          </w:r>
        </w:p>
      </w:docPartBody>
    </w:docPart>
    <w:docPart>
      <w:docPartPr>
        <w:name w:val="{e5daa38a-b9f5-48e3-8eea-30a7a3ed3aca}"/>
        <w:style w:val=""/>
        <w:category>
          <w:name w:val="常规"/>
          <w:gallery w:val="placeholder"/>
        </w:category>
        <w:types>
          <w:type w:val="bbPlcHdr"/>
        </w:types>
        <w:behaviors>
          <w:behavior w:val="content"/>
        </w:behaviors>
        <w:description w:val=""/>
        <w:guid w:val="{e5daa38a-b9f5-48e3-8eea-30a7a3ed3aca}"/>
      </w:docPartPr>
      <w:docPartBody>
        <w:p>
          <w:r>
            <w:rPr>
              <w:color w:val="808080"/>
            </w:rPr>
            <w:t>单击此处输入文字。</w:t>
          </w:r>
        </w:p>
      </w:docPartBody>
    </w:docPart>
    <w:docPart>
      <w:docPartPr>
        <w:name w:val="{6fca9e31-70cd-4d64-82cc-9b5c0af81b2b}"/>
        <w:style w:val=""/>
        <w:category>
          <w:name w:val="常规"/>
          <w:gallery w:val="placeholder"/>
        </w:category>
        <w:types>
          <w:type w:val="bbPlcHdr"/>
        </w:types>
        <w:behaviors>
          <w:behavior w:val="content"/>
        </w:behaviors>
        <w:description w:val=""/>
        <w:guid w:val="{6fca9e31-70cd-4d64-82cc-9b5c0af81b2b}"/>
      </w:docPartPr>
      <w:docPartBody>
        <w:p>
          <w:r>
            <w:rPr>
              <w:color w:val="808080"/>
            </w:rPr>
            <w:t>单击此处输入文字。</w:t>
          </w:r>
        </w:p>
      </w:docPartBody>
    </w:docPart>
    <w:docPart>
      <w:docPartPr>
        <w:name w:val="{d4d24fe7-77ba-43a7-941c-851faf11e44c}"/>
        <w:style w:val=""/>
        <w:category>
          <w:name w:val="常规"/>
          <w:gallery w:val="placeholder"/>
        </w:category>
        <w:types>
          <w:type w:val="bbPlcHdr"/>
        </w:types>
        <w:behaviors>
          <w:behavior w:val="content"/>
        </w:behaviors>
        <w:description w:val=""/>
        <w:guid w:val="{d4d24fe7-77ba-43a7-941c-851faf11e44c}"/>
      </w:docPartPr>
      <w:docPartBody>
        <w:p>
          <w:r>
            <w:rPr>
              <w:color w:val="808080"/>
            </w:rPr>
            <w:t>单击此处输入文字。</w:t>
          </w:r>
        </w:p>
      </w:docPartBody>
    </w:docPart>
    <w:docPart>
      <w:docPartPr>
        <w:name w:val="{0533813d-0f3b-4318-a07c-c6079bf2ad25}"/>
        <w:style w:val=""/>
        <w:category>
          <w:name w:val="常规"/>
          <w:gallery w:val="placeholder"/>
        </w:category>
        <w:types>
          <w:type w:val="bbPlcHdr"/>
        </w:types>
        <w:behaviors>
          <w:behavior w:val="content"/>
        </w:behaviors>
        <w:description w:val=""/>
        <w:guid w:val="{0533813d-0f3b-4318-a07c-c6079bf2ad25}"/>
      </w:docPartPr>
      <w:docPartBody>
        <w:p>
          <w:r>
            <w:rPr>
              <w:color w:val="808080"/>
            </w:rPr>
            <w:t>单击此处输入文字。</w:t>
          </w:r>
        </w:p>
      </w:docPartBody>
    </w:docPart>
    <w:docPart>
      <w:docPartPr>
        <w:name w:val="{eb4d2ccd-952c-4e1b-81e4-764c99c4cb5e}"/>
        <w:style w:val=""/>
        <w:category>
          <w:name w:val="常规"/>
          <w:gallery w:val="placeholder"/>
        </w:category>
        <w:types>
          <w:type w:val="bbPlcHdr"/>
        </w:types>
        <w:behaviors>
          <w:behavior w:val="content"/>
        </w:behaviors>
        <w:description w:val=""/>
        <w:guid w:val="{eb4d2ccd-952c-4e1b-81e4-764c99c4cb5e}"/>
      </w:docPartPr>
      <w:docPartBody>
        <w:p>
          <w:r>
            <w:rPr>
              <w:color w:val="808080"/>
            </w:rPr>
            <w:t>单击此处输入文字。</w:t>
          </w:r>
        </w:p>
      </w:docPartBody>
    </w:docPart>
    <w:docPart>
      <w:docPartPr>
        <w:name w:val="{6bb9255a-4caf-4a83-ac17-c09d52990a5a}"/>
        <w:style w:val=""/>
        <w:category>
          <w:name w:val="常规"/>
          <w:gallery w:val="placeholder"/>
        </w:category>
        <w:types>
          <w:type w:val="bbPlcHdr"/>
        </w:types>
        <w:behaviors>
          <w:behavior w:val="content"/>
        </w:behaviors>
        <w:description w:val=""/>
        <w:guid w:val="{6bb9255a-4caf-4a83-ac17-c09d52990a5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16572</Words>
  <Characters>18315</Characters>
  <Lines>63</Lines>
  <Paragraphs>17</Paragraphs>
  <TotalTime>5</TotalTime>
  <ScaleCrop>false</ScaleCrop>
  <LinksUpToDate>false</LinksUpToDate>
  <CharactersWithSpaces>18468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Owner</cp:lastModifiedBy>
  <cp:lastPrinted>2025-08-06T17:34:00Z</cp:lastPrinted>
  <dcterms:modified xsi:type="dcterms:W3CDTF">2025-10-21T01:26:01Z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