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E09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盐边县</w:t>
      </w:r>
      <w:r>
        <w:rPr>
          <w:rFonts w:hint="eastAsia" w:ascii="方正小标宋_GBK" w:eastAsia="方正小标宋_GBK"/>
          <w:sz w:val="44"/>
          <w:szCs w:val="44"/>
        </w:rPr>
        <w:t>预算绩效管理</w:t>
      </w:r>
    </w:p>
    <w:p w14:paraId="2F5F5599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工作计划</w:t>
      </w:r>
    </w:p>
    <w:p w14:paraId="18CE985A"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20B3BC0A">
      <w:pPr>
        <w:spacing w:line="600" w:lineRule="exact"/>
        <w:ind w:firstLine="800" w:firstLineChars="2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一、持续优化绩效管理闭环</w:t>
      </w:r>
    </w:p>
    <w:p w14:paraId="4C6646A8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（一）切实前移绩效管理关口</w:t>
      </w:r>
      <w:r>
        <w:rPr>
          <w:rFonts w:hint="eastAsia" w:ascii="仿宋_GB2312" w:hAnsi="黑体" w:eastAsia="仿宋_GB2312"/>
          <w:sz w:val="32"/>
          <w:szCs w:val="32"/>
        </w:rPr>
        <w:t>。充分发挥绩效目标的前置引领和过程约束作用，督促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加强绩效目标编制审核和项目储备统筹工作，做到绩效目标细化量化并与预算安排相匹配。加大对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绩效目标的审核力度，绩效目标不细不实的不予入库。</w:t>
      </w:r>
    </w:p>
    <w:p w14:paraId="7903D326">
      <w:pPr>
        <w:spacing w:line="600" w:lineRule="exact"/>
        <w:ind w:firstLine="64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（二）持续提升绩效评估深度广度</w:t>
      </w:r>
      <w:r>
        <w:rPr>
          <w:rFonts w:hint="eastAsia" w:ascii="仿宋_GB2312" w:hAnsi="黑体" w:eastAsia="仿宋_GB2312"/>
          <w:sz w:val="32"/>
          <w:szCs w:val="32"/>
        </w:rPr>
        <w:t>。在年初预算项目应评尽评的基础上，强化对执行中追加预算项目自行评估的管理，加强对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自行评估的督促指导，切实发挥绩效评估作用，从源头有效防控财政资源配置低效无效。</w:t>
      </w:r>
    </w:p>
    <w:p w14:paraId="3F6EBA76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（三）全面实施绩效运行监控。</w:t>
      </w:r>
      <w:r>
        <w:rPr>
          <w:rFonts w:hint="eastAsia" w:ascii="仿宋_GB2312" w:hAnsi="黑体" w:eastAsia="仿宋_GB2312"/>
          <w:sz w:val="32"/>
          <w:szCs w:val="32"/>
        </w:rPr>
        <w:t>对绩效目标实现程度和预算执行进度实行“双监控”，及时发现目标执行偏差和管理漏洞。督促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扎实开展绩效运行自行监控，线上线下同步开展财政重点绩效运行监控，督促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对绩效运行监控发现问题整改到位。</w:t>
      </w:r>
    </w:p>
    <w:p w14:paraId="37DD5224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（四）深入开展支出绩效评价。</w:t>
      </w:r>
      <w:r>
        <w:rPr>
          <w:rFonts w:hint="eastAsia" w:ascii="仿宋_GB2312" w:hAnsi="黑体" w:eastAsia="仿宋_GB2312"/>
          <w:sz w:val="32"/>
          <w:szCs w:val="32"/>
        </w:rPr>
        <w:t>完善财政重点评价同部门绩效自评相结合的评价体系，建立部门自评情况抽查制度。深入实施财政重点绩效评价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围绕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委、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政府重大决策部署突出对财政政策效能的绩效评价，聚焦政策精准度和可持续性。形成财政重点绩效评价报告，严格落实报告建议，充分用好报告结果。</w:t>
      </w:r>
    </w:p>
    <w:p w14:paraId="6C63DDA7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（五）持续强化绩效结果应用。</w:t>
      </w:r>
      <w:r>
        <w:rPr>
          <w:rFonts w:hint="eastAsia" w:ascii="仿宋_GB2312" w:hAnsi="黑体" w:eastAsia="仿宋_GB2312"/>
          <w:sz w:val="32"/>
          <w:szCs w:val="32"/>
        </w:rPr>
        <w:t>加大预算绩效事中监控和事后评价结果应用力度，</w:t>
      </w:r>
      <w:r>
        <w:rPr>
          <w:rFonts w:hint="eastAsia" w:ascii="仿宋_GB2312" w:hAnsi="仿宋" w:eastAsia="仿宋_GB2312"/>
          <w:sz w:val="32"/>
          <w:szCs w:val="32"/>
        </w:rPr>
        <w:t>着力完善绩效评价结果与预算安排和政策调整挂钩机制</w:t>
      </w:r>
      <w:r>
        <w:rPr>
          <w:rFonts w:hint="eastAsia" w:ascii="仿宋_GB2312" w:hAnsi="黑体" w:eastAsia="仿宋_GB2312"/>
          <w:sz w:val="32"/>
          <w:szCs w:val="32"/>
        </w:rPr>
        <w:t>。一是对事中绩效监控较差的项目，根据实际情况及时调减资金规模调整资金使用方向，对无法执行的项目建议预算收回平衡预算。二是对于事后绩效评价结果较好的项目，将根据情况继续予以支持，对于结果较差的项目，将适度调减预算安排规模或取消项目。</w:t>
      </w:r>
    </w:p>
    <w:p w14:paraId="77182A35">
      <w:pPr>
        <w:spacing w:line="600" w:lineRule="exact"/>
        <w:ind w:firstLine="800" w:firstLineChars="2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、严格实施考核监督问责</w:t>
      </w:r>
    </w:p>
    <w:p w14:paraId="746048D6">
      <w:pPr>
        <w:spacing w:line="600" w:lineRule="exact"/>
        <w:ind w:firstLine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六</w:t>
      </w:r>
      <w:r>
        <w:rPr>
          <w:rFonts w:hint="eastAsia" w:ascii="楷体_GB2312" w:hAnsi="黑体" w:eastAsia="楷体_GB2312"/>
          <w:sz w:val="32"/>
          <w:szCs w:val="32"/>
        </w:rPr>
        <w:t>）持续加大报告和公开力度。</w:t>
      </w:r>
      <w:r>
        <w:rPr>
          <w:rFonts w:hint="eastAsia" w:ascii="仿宋_GB2312" w:hAnsi="黑体" w:eastAsia="仿宋_GB2312"/>
          <w:sz w:val="32"/>
          <w:szCs w:val="32"/>
        </w:rPr>
        <w:t>持续将预算绩效管理工作情况等报送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人大，主动接受人大监督。健全全面规范、公开透明的预算绩效公开制度，细化公开内容、规范公开方式、依法按时公开。组织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乡（镇）、</w:t>
      </w:r>
      <w:r>
        <w:rPr>
          <w:rFonts w:hint="eastAsia" w:ascii="仿宋_GB2312" w:hAnsi="黑体" w:eastAsia="仿宋_GB2312"/>
          <w:sz w:val="32"/>
          <w:szCs w:val="32"/>
        </w:rPr>
        <w:t>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黑体" w:eastAsia="仿宋_GB2312"/>
          <w:sz w:val="32"/>
          <w:szCs w:val="32"/>
        </w:rPr>
        <w:t>按规定向社会公开绩效目标、绩效评价报告等绩效信息，畅通社会公众参与预算绩效管理的有效途径，强化社会监督。</w:t>
      </w:r>
    </w:p>
    <w:p w14:paraId="4BF778F5">
      <w:pPr>
        <w:spacing w:line="600" w:lineRule="exact"/>
        <w:ind w:firstLine="480" w:firstLineChars="15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七</w:t>
      </w:r>
      <w:r>
        <w:rPr>
          <w:rFonts w:hint="eastAsia" w:ascii="楷体_GB2312" w:hAnsi="黑体" w:eastAsia="楷体_GB2312"/>
          <w:sz w:val="32"/>
          <w:szCs w:val="32"/>
        </w:rPr>
        <w:t>）严格实施跟踪问效问责</w:t>
      </w:r>
      <w:r>
        <w:rPr>
          <w:rFonts w:hint="eastAsia" w:ascii="仿宋_GB2312" w:hAnsi="黑体" w:eastAsia="仿宋_GB2312"/>
          <w:sz w:val="32"/>
          <w:szCs w:val="32"/>
        </w:rPr>
        <w:t>。严格执行预算绩效管理跟踪问效“两书一函”制度，及时提醒敦促，推动加强整改。</w:t>
      </w:r>
    </w:p>
    <w:p w14:paraId="6CE72E69">
      <w:pPr>
        <w:spacing w:line="60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将“两书一函”执行情况抄送纪委监委、组织部和审计局，适时开展工作调度，督促有关部门切实整改到位，做到“花钱必问效、无效必问责”。</w:t>
      </w:r>
    </w:p>
    <w:p w14:paraId="0C85FE64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、夯实绩效管理基础支撑</w:t>
      </w:r>
    </w:p>
    <w:p w14:paraId="412A6DB2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八</w:t>
      </w:r>
      <w:r>
        <w:rPr>
          <w:rFonts w:hint="eastAsia" w:ascii="楷体_GB2312" w:hAnsi="黑体" w:eastAsia="楷体_GB2312"/>
          <w:sz w:val="32"/>
          <w:szCs w:val="32"/>
        </w:rPr>
        <w:t>）规范引入第三方机构参与工作</w:t>
      </w:r>
      <w:r>
        <w:rPr>
          <w:rFonts w:hint="eastAsia" w:ascii="仿宋_GB2312" w:hAnsi="黑体" w:eastAsia="仿宋_GB2312"/>
          <w:sz w:val="32"/>
          <w:szCs w:val="32"/>
        </w:rPr>
        <w:t>。规范择优选择第三方机构参与202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年绩效评价工作，坚持委托主体与绩效管理对象相分离的原则，实施委托负面清单管理。强化第三方机构工作过程跟踪督导，切实提高第三方机构绩效评价工作质量。</w:t>
      </w:r>
    </w:p>
    <w:p w14:paraId="69CF0C10">
      <w:pPr>
        <w:spacing w:line="600" w:lineRule="exact"/>
        <w:ind w:firstLine="480" w:firstLineChars="15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九</w:t>
      </w:r>
      <w:r>
        <w:rPr>
          <w:rFonts w:hint="eastAsia" w:ascii="楷体_GB2312" w:hAnsi="黑体" w:eastAsia="楷体_GB2312"/>
          <w:sz w:val="32"/>
          <w:szCs w:val="32"/>
        </w:rPr>
        <w:t>）强化绩效管理信息化支撑。</w:t>
      </w:r>
      <w:r>
        <w:rPr>
          <w:rFonts w:hint="eastAsia" w:ascii="仿宋_GB2312" w:hAnsi="黑体" w:eastAsia="仿宋_GB2312"/>
          <w:sz w:val="32"/>
          <w:szCs w:val="32"/>
        </w:rPr>
        <w:t>强化预算管理一体化系统对预算绩效管理的功能支撑，优化完善绩效监控、绩效评价等功能，促进绩效管理和预算管理同步开展、深度融合。</w:t>
      </w:r>
    </w:p>
    <w:p w14:paraId="5383863C">
      <w:pPr>
        <w:spacing w:line="600" w:lineRule="exact"/>
        <w:ind w:firstLine="480" w:firstLineChars="15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（十）进一步做好预算绩效管理宣传和培训力度，强化预算绩效理念。</w:t>
      </w:r>
      <w:r>
        <w:rPr>
          <w:rFonts w:hint="eastAsia" w:ascii="仿宋_GB2312" w:hAnsi="黑体" w:eastAsia="仿宋_GB2312"/>
          <w:sz w:val="32"/>
          <w:szCs w:val="32"/>
        </w:rPr>
        <w:t>加大预算绩效管理政策的宣传力度，突出预算单位的主体责任，同时加强对预算单位绩效管理人员的培训力度，在202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年开展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1次针对预算单位的预算绩效管理培训，帮助预算单位提高业务能力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3509A3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ZDdmMWNmNmQwY2E1ZjViNjg4NWFhZDQyZGUyYTEifQ=="/>
  </w:docVars>
  <w:rsids>
    <w:rsidRoot w:val="009F7D6E"/>
    <w:rsid w:val="001C62A5"/>
    <w:rsid w:val="003161A9"/>
    <w:rsid w:val="009F7D6E"/>
    <w:rsid w:val="00BE409E"/>
    <w:rsid w:val="049445F5"/>
    <w:rsid w:val="111514A5"/>
    <w:rsid w:val="38A04AB1"/>
    <w:rsid w:val="445C3569"/>
    <w:rsid w:val="45114895"/>
    <w:rsid w:val="6D2F6D62"/>
    <w:rsid w:val="75410DEE"/>
    <w:rsid w:val="76B4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1287</Words>
  <Characters>1296</Characters>
  <Lines>12</Lines>
  <Paragraphs>3</Paragraphs>
  <TotalTime>11</TotalTime>
  <ScaleCrop>false</ScaleCrop>
  <LinksUpToDate>false</LinksUpToDate>
  <CharactersWithSpaces>1296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2023-01-17T01:25:00Z</dcterms:created>
  <dc:creator>Administrator</dc:creator>
  <cp:lastModifiedBy>张婕1</cp:lastModifiedBy>
  <dcterms:modified xsi:type="dcterms:W3CDTF">2025-08-04T02:30:25Z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72F347D954F74990BDE59BE26A824DB1</vt:lpwstr>
  </property>
  <property fmtid="{D5CDD505-2E9C-101B-9397-08002B2CF9AE}" pid="4" name="KSOTemplateDocerSaveRecord">
    <vt:lpwstr>eyJoZGlkIjoiYTZhZDdmMWNmNmQwY2E1ZjViNjg4NWFhZDQyZGUyYTEiLCJ1c2VySWQiOiI1ODYxOTExOTgifQ==</vt:lpwstr>
  </property>
</Properties>
</file>