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  <w:t>盐边县2025年年初预算转移支付情况说明</w:t>
      </w:r>
    </w:p>
    <w:p>
      <w:pPr>
        <w:spacing w:line="640" w:lineRule="exact"/>
        <w:ind w:firstLine="0" w:firstLineChars="0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5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盐边县2025年年初预算上级补助收入57,766万元，其中：返还性收入-679万元、一般性转移支付收入57,184万元（其中：均衡性转移支付收入28,928 万元、县级基本财力保障机制奖补资金收入5,887 万元、固定数额补助收入11,526 万元，全部用于全县“保工资、保运转、保基本民生”支出）；专项转移支付收入1,261万元。</w:t>
      </w:r>
    </w:p>
    <w:p>
      <w:pPr>
        <w:spacing w:line="640" w:lineRule="exact"/>
        <w:ind w:firstLine="0" w:firstLineChars="0"/>
        <w:jc w:val="both"/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2025-08-15T01:10:43Z</dcterms:created>
  <dc:creator>HUAWEI</dc:creator>
  <cp:lastModifiedBy>HUAWEI</cp:lastModifiedBy>
  <dcterms:modified xsi:type="dcterms:W3CDTF">2025-08-15T01:15:43Z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