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heme="minorBidi"/>
          <w:color w:val="auto"/>
          <w:kern w:val="2"/>
          <w:sz w:val="28"/>
          <w:szCs w:val="21"/>
          <w:lang w:val="zh-CN"/>
        </w:rPr>
        <w:id w:val="2015959757"/>
        <w:docPartObj>
          <w:docPartGallery w:val="Table of Contents"/>
          <w:docPartUnique/>
        </w:docPartObj>
      </w:sdtPr>
      <w:sdtEndPr>
        <w:rPr>
          <w:rFonts w:ascii="Times New Roman" w:hAnsi="Times New Roman" w:eastAsia="宋体" w:cstheme="minorBidi"/>
          <w:b/>
          <w:bCs/>
          <w:color w:val="auto"/>
          <w:kern w:val="2"/>
          <w:sz w:val="28"/>
          <w:szCs w:val="21"/>
          <w:lang w:val="zh-CN"/>
        </w:rPr>
      </w:sdtEndPr>
      <w:sdtContent>
        <w:p w14:paraId="2FFE54F6">
          <w:pPr>
            <w:adjustRightInd/>
            <w:snapToGrid/>
            <w:spacing w:line="840" w:lineRule="exact"/>
            <w:ind w:firstLine="0" w:firstLineChars="0"/>
            <w:jc w:val="center"/>
            <w:rPr>
              <w:rFonts w:hint="default" w:ascii="宋体" w:hAnsi="宋体" w:eastAsia="宋体" w:cs="Times New Roman"/>
              <w:b/>
              <w:color w:val="auto"/>
              <w:spacing w:val="20"/>
              <w:sz w:val="44"/>
              <w:szCs w:val="44"/>
              <w:highlight w:val="none"/>
              <w:lang w:val="en-US" w:eastAsia="zh-CN"/>
            </w:rPr>
          </w:pPr>
          <w:r>
            <w:rPr>
              <w:rFonts w:hint="eastAsia" w:ascii="宋体" w:hAnsi="宋体" w:cs="Times New Roman"/>
              <w:b/>
              <w:color w:val="auto"/>
              <w:spacing w:val="20"/>
              <w:sz w:val="44"/>
              <w:szCs w:val="44"/>
              <w:lang w:val="en-US" w:eastAsia="zh-CN"/>
            </w:rPr>
            <w:t>四</w:t>
          </w:r>
          <w:r>
            <w:rPr>
              <w:rFonts w:hint="eastAsia" w:ascii="宋体" w:hAnsi="宋体" w:cs="Times New Roman"/>
              <w:b/>
              <w:color w:val="auto"/>
              <w:spacing w:val="20"/>
              <w:sz w:val="44"/>
              <w:szCs w:val="44"/>
              <w:highlight w:val="none"/>
              <w:lang w:val="en-US" w:eastAsia="zh-CN"/>
            </w:rPr>
            <w:t>川省</w:t>
          </w:r>
          <w:r>
            <w:rPr>
              <w:rFonts w:hint="eastAsia" w:ascii="宋体" w:hAnsi="宋体" w:cs="Times New Roman"/>
              <w:b/>
              <w:color w:val="auto"/>
              <w:spacing w:val="20"/>
              <w:sz w:val="44"/>
              <w:szCs w:val="44"/>
              <w:highlight w:val="none"/>
            </w:rPr>
            <w:t>岩羊河盐边县</w:t>
          </w:r>
          <w:r>
            <w:rPr>
              <w:rFonts w:hint="eastAsia" w:ascii="宋体" w:hAnsi="宋体" w:cs="Times New Roman"/>
              <w:b/>
              <w:color w:val="auto"/>
              <w:spacing w:val="20"/>
              <w:sz w:val="44"/>
              <w:szCs w:val="44"/>
              <w:highlight w:val="none"/>
              <w:lang w:val="en-US" w:eastAsia="zh-CN"/>
            </w:rPr>
            <w:t>段</w:t>
          </w:r>
        </w:p>
        <w:p w14:paraId="70C6C7CB">
          <w:pPr>
            <w:adjustRightInd/>
            <w:snapToGrid/>
            <w:spacing w:line="840" w:lineRule="exact"/>
            <w:ind w:firstLine="0" w:firstLineChars="0"/>
            <w:jc w:val="center"/>
            <w:rPr>
              <w:rFonts w:hint="eastAsia" w:ascii="宋体" w:hAnsi="宋体" w:cs="Times New Roman"/>
              <w:b/>
              <w:color w:val="auto"/>
              <w:spacing w:val="20"/>
              <w:sz w:val="44"/>
              <w:szCs w:val="44"/>
              <w:highlight w:val="none"/>
            </w:rPr>
          </w:pPr>
          <w:r>
            <w:rPr>
              <w:rFonts w:hint="eastAsia" w:ascii="宋体" w:hAnsi="宋体" w:cs="Times New Roman"/>
              <w:b/>
              <w:color w:val="auto"/>
              <w:spacing w:val="20"/>
              <w:sz w:val="44"/>
              <w:szCs w:val="44"/>
              <w:highlight w:val="none"/>
            </w:rPr>
            <w:t>河湖管理范围划定</w:t>
          </w:r>
          <w:r>
            <w:rPr>
              <w:rFonts w:ascii="宋体" w:hAnsi="宋体" w:cs="Times New Roman"/>
              <w:b/>
              <w:color w:val="auto"/>
              <w:spacing w:val="20"/>
              <w:sz w:val="44"/>
              <w:szCs w:val="44"/>
              <w:highlight w:val="none"/>
            </w:rPr>
            <w:t>成果调整报告</w:t>
          </w:r>
        </w:p>
        <w:p w14:paraId="4CCEA090">
          <w:pPr>
            <w:ind w:firstLine="562"/>
            <w:rPr>
              <w:rFonts w:cs="Lucida Sans"/>
              <w:b/>
              <w:color w:val="auto"/>
            </w:rPr>
          </w:pPr>
        </w:p>
        <w:p w14:paraId="33A4C658">
          <w:pPr>
            <w:ind w:firstLine="1044"/>
            <w:rPr>
              <w:rFonts w:cs="Lucida Sans"/>
              <w:b/>
              <w:color w:val="auto"/>
              <w:sz w:val="52"/>
              <w:szCs w:val="52"/>
            </w:rPr>
          </w:pPr>
        </w:p>
        <w:p w14:paraId="4C5C58A6">
          <w:pPr>
            <w:ind w:firstLine="1044"/>
            <w:rPr>
              <w:rFonts w:cs="Lucida Sans"/>
              <w:b/>
              <w:color w:val="auto"/>
              <w:sz w:val="52"/>
              <w:szCs w:val="52"/>
            </w:rPr>
          </w:pPr>
        </w:p>
        <w:p w14:paraId="734536B7">
          <w:pPr>
            <w:ind w:firstLine="1044"/>
            <w:rPr>
              <w:rFonts w:cs="Lucida Sans"/>
              <w:b/>
              <w:color w:val="auto"/>
              <w:sz w:val="52"/>
              <w:szCs w:val="52"/>
            </w:rPr>
          </w:pPr>
        </w:p>
        <w:p w14:paraId="21F4C1A7">
          <w:pPr>
            <w:ind w:firstLine="1044"/>
            <w:rPr>
              <w:rFonts w:cs="Lucida Sans"/>
              <w:b/>
              <w:color w:val="auto"/>
              <w:sz w:val="52"/>
              <w:szCs w:val="52"/>
            </w:rPr>
          </w:pPr>
        </w:p>
        <w:p w14:paraId="6B454A3A">
          <w:pPr>
            <w:pStyle w:val="11"/>
            <w:ind w:firstLine="480"/>
            <w:rPr>
              <w:color w:val="auto"/>
            </w:rPr>
          </w:pPr>
        </w:p>
        <w:p w14:paraId="35BA1F93">
          <w:pPr>
            <w:ind w:firstLine="1044"/>
            <w:rPr>
              <w:rFonts w:cs="Lucida Sans"/>
              <w:b/>
              <w:color w:val="auto"/>
              <w:sz w:val="52"/>
              <w:szCs w:val="52"/>
            </w:rPr>
          </w:pPr>
        </w:p>
        <w:p w14:paraId="50E54262">
          <w:pPr>
            <w:ind w:firstLine="883"/>
            <w:jc w:val="center"/>
            <w:rPr>
              <w:rFonts w:cs="Lucida Sans"/>
              <w:b/>
              <w:color w:val="auto"/>
              <w:sz w:val="44"/>
              <w:szCs w:val="44"/>
            </w:rPr>
          </w:pPr>
        </w:p>
        <w:p w14:paraId="14FEDEA2">
          <w:pPr>
            <w:ind w:firstLine="883"/>
            <w:rPr>
              <w:rFonts w:cs="Lucida Sans"/>
              <w:b/>
              <w:color w:val="auto"/>
              <w:sz w:val="44"/>
              <w:szCs w:val="44"/>
            </w:rPr>
          </w:pPr>
        </w:p>
        <w:p w14:paraId="3C777B82">
          <w:pPr>
            <w:pStyle w:val="11"/>
            <w:ind w:firstLine="480"/>
            <w:rPr>
              <w:color w:val="auto"/>
            </w:rPr>
          </w:pPr>
        </w:p>
        <w:p w14:paraId="6235499B">
          <w:pPr>
            <w:ind w:firstLine="560"/>
            <w:rPr>
              <w:color w:val="auto"/>
            </w:rPr>
          </w:pPr>
        </w:p>
        <w:p w14:paraId="0461D8E4">
          <w:pPr>
            <w:pStyle w:val="11"/>
            <w:ind w:firstLine="480"/>
            <w:rPr>
              <w:color w:val="auto"/>
            </w:rPr>
          </w:pPr>
        </w:p>
        <w:p w14:paraId="324A72B9">
          <w:pPr>
            <w:ind w:firstLine="883"/>
            <w:jc w:val="center"/>
            <w:rPr>
              <w:rFonts w:cs="Lucida Sans"/>
              <w:b/>
              <w:color w:val="auto"/>
              <w:sz w:val="44"/>
              <w:szCs w:val="44"/>
            </w:rPr>
          </w:pPr>
        </w:p>
        <w:p w14:paraId="2E7E2475">
          <w:pPr>
            <w:adjustRightInd/>
            <w:snapToGrid/>
            <w:spacing w:line="288" w:lineRule="auto"/>
            <w:ind w:firstLine="0" w:firstLineChars="0"/>
            <w:jc w:val="center"/>
            <w:rPr>
              <w:rFonts w:hint="eastAsia" w:eastAsia="宋体" w:cs="Lucida Sans"/>
              <w:b/>
              <w:color w:val="auto"/>
              <w:sz w:val="36"/>
              <w:szCs w:val="36"/>
              <w:lang w:eastAsia="zh-CN"/>
            </w:rPr>
          </w:pPr>
          <w:r>
            <w:rPr>
              <w:rFonts w:hint="eastAsia" w:cs="Lucida Sans"/>
              <w:b/>
              <w:color w:val="auto"/>
              <w:sz w:val="36"/>
              <w:szCs w:val="36"/>
              <w:lang w:val="en-US" w:eastAsia="zh-CN"/>
            </w:rPr>
            <w:t>四川研科科技</w:t>
          </w:r>
          <w:r>
            <w:drawing>
              <wp:anchor distT="0" distB="0" distL="114300" distR="114300" simplePos="0" relativeHeight="251660288" behindDoc="1" locked="0" layoutInCell="1" allowOverlap="1">
                <wp:simplePos x="0" y="0"/>
                <wp:positionH relativeFrom="page">
                  <wp:posOffset>3352800</wp:posOffset>
                </wp:positionH>
                <wp:positionV relativeFrom="page">
                  <wp:posOffset>7759700</wp:posOffset>
                </wp:positionV>
                <wp:extent cx="1625600" cy="1625600"/>
                <wp:effectExtent l="0" t="0" r="12700" b="12700"/>
                <wp:wrapNone/>
                <wp:docPr id="19"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MP"/>
                        <pic:cNvPicPr>
                          <a:picLocks noChangeAspect="1"/>
                        </pic:cNvPicPr>
                      </pic:nvPicPr>
                      <pic:blipFill>
                        <a:blip r:embed="rId18">
                          <a:biLevel thresh="50000"/>
                          <a:extLst>
                            <a:ext uri="{28A0092B-C50C-407E-A947-70E740481C1C}">
                              <a14:useLocalDpi xmlns:a14="http://schemas.microsoft.com/office/drawing/2010/main" val="0"/>
                            </a:ext>
                          </a:extLst>
                        </a:blip>
                        <a:stretch>
                          <a:fillRect/>
                        </a:stretch>
                      </pic:blipFill>
                      <pic:spPr>
                        <a:xfrm>
                          <a:off x="0" y="0"/>
                          <a:ext cx="1625600" cy="1625600"/>
                        </a:xfrm>
                        <a:prstGeom prst="rect">
                          <a:avLst/>
                        </a:prstGeom>
                      </pic:spPr>
                    </pic:pic>
                  </a:graphicData>
                </a:graphic>
              </wp:anchor>
            </w:drawing>
          </w:r>
          <w:r>
            <w:rPr>
              <w:rFonts w:hint="eastAsia" w:cs="Lucida Sans"/>
              <w:b/>
              <w:color w:val="auto"/>
              <w:sz w:val="36"/>
              <w:szCs w:val="36"/>
              <w:lang w:val="en-US" w:eastAsia="zh-CN"/>
            </w:rPr>
            <w:t>有限公司</w:t>
          </w:r>
        </w:p>
        <w:p w14:paraId="6AAE83B9">
          <w:pPr>
            <w:adjustRightInd/>
            <w:snapToGrid/>
            <w:spacing w:line="288" w:lineRule="auto"/>
            <w:ind w:firstLine="0" w:firstLineChars="0"/>
            <w:jc w:val="center"/>
            <w:rPr>
              <w:rFonts w:cs="Lucida Sans"/>
              <w:b/>
              <w:color w:val="auto"/>
              <w:sz w:val="36"/>
              <w:szCs w:val="36"/>
            </w:rPr>
          </w:pPr>
          <w:r>
            <w:rPr>
              <w:rFonts w:hint="eastAsia" w:cs="Lucida Sans"/>
              <w:b/>
              <w:color w:val="auto"/>
              <w:sz w:val="36"/>
              <w:szCs w:val="36"/>
            </w:rPr>
            <w:t>二〇二五年</w:t>
          </w:r>
          <w:r>
            <w:rPr>
              <w:rFonts w:hint="eastAsia" w:cs="Lucida Sans"/>
              <w:b/>
              <w:color w:val="auto"/>
              <w:sz w:val="36"/>
              <w:szCs w:val="36"/>
              <w:lang w:val="en-US" w:eastAsia="zh-CN"/>
            </w:rPr>
            <w:t>八</w:t>
          </w:r>
          <w:r>
            <w:rPr>
              <w:rFonts w:hint="eastAsia" w:cs="Lucida Sans"/>
              <w:b/>
              <w:color w:val="auto"/>
              <w:sz w:val="36"/>
              <w:szCs w:val="36"/>
            </w:rPr>
            <w:t>月</w:t>
          </w:r>
        </w:p>
        <w:p w14:paraId="22CCA205">
          <w:pPr>
            <w:ind w:firstLine="1044"/>
            <w:rPr>
              <w:rFonts w:ascii="仿宋" w:eastAsia="仿宋" w:cs="仿宋"/>
              <w:b/>
              <w:bCs/>
              <w:color w:val="auto"/>
              <w:spacing w:val="20"/>
              <w:sz w:val="48"/>
              <w:szCs w:val="48"/>
            </w:rPr>
          </w:pPr>
          <w:r>
            <w:rPr>
              <w:rFonts w:hint="eastAsia" w:ascii="仿宋" w:eastAsia="仿宋" w:cs="仿宋"/>
              <w:b/>
              <w:bCs/>
              <w:color w:val="auto"/>
              <w:spacing w:val="20"/>
              <w:sz w:val="48"/>
              <w:szCs w:val="48"/>
            </w:rPr>
            <w:tab/>
          </w:r>
        </w:p>
        <w:p w14:paraId="3218143F">
          <w:pPr>
            <w:adjustRightInd/>
            <w:snapToGrid/>
            <w:spacing w:line="840" w:lineRule="exact"/>
            <w:ind w:firstLine="0" w:firstLineChars="0"/>
            <w:jc w:val="center"/>
            <w:rPr>
              <w:rFonts w:hint="default" w:ascii="宋体" w:hAnsi="宋体" w:eastAsia="宋体" w:cs="Times New Roman"/>
              <w:b/>
              <w:color w:val="auto"/>
              <w:spacing w:val="20"/>
              <w:sz w:val="44"/>
              <w:szCs w:val="44"/>
              <w:highlight w:val="none"/>
              <w:lang w:val="en-US" w:eastAsia="zh-CN"/>
            </w:rPr>
          </w:pPr>
          <w:bookmarkStart w:id="0" w:name="OLE_LINK1"/>
          <w:r>
            <w:rPr>
              <w:rFonts w:hint="eastAsia" w:ascii="宋体" w:hAnsi="宋体" w:cs="Times New Roman"/>
              <w:b/>
              <w:color w:val="auto"/>
              <w:spacing w:val="20"/>
              <w:sz w:val="44"/>
              <w:szCs w:val="44"/>
              <w:highlight w:val="none"/>
              <w:lang w:val="en-US" w:eastAsia="zh-CN"/>
            </w:rPr>
            <w:t>四川省</w:t>
          </w:r>
          <w:r>
            <w:rPr>
              <w:rFonts w:hint="eastAsia" w:ascii="宋体" w:hAnsi="宋体" w:cs="Times New Roman"/>
              <w:b/>
              <w:color w:val="auto"/>
              <w:spacing w:val="20"/>
              <w:sz w:val="44"/>
              <w:szCs w:val="44"/>
              <w:highlight w:val="none"/>
            </w:rPr>
            <w:t>岩羊河盐边县</w:t>
          </w:r>
          <w:r>
            <w:rPr>
              <w:rFonts w:hint="eastAsia" w:ascii="宋体" w:hAnsi="宋体" w:cs="Times New Roman"/>
              <w:b/>
              <w:color w:val="auto"/>
              <w:spacing w:val="20"/>
              <w:sz w:val="44"/>
              <w:szCs w:val="44"/>
              <w:highlight w:val="none"/>
              <w:lang w:val="en-US" w:eastAsia="zh-CN"/>
            </w:rPr>
            <w:t>段</w:t>
          </w:r>
        </w:p>
        <w:p w14:paraId="30CB8AD6">
          <w:pPr>
            <w:adjustRightInd/>
            <w:snapToGrid/>
            <w:spacing w:line="840" w:lineRule="exact"/>
            <w:ind w:firstLine="0" w:firstLineChars="0"/>
            <w:jc w:val="center"/>
            <w:rPr>
              <w:rFonts w:hint="eastAsia" w:ascii="宋体" w:hAnsi="宋体" w:cs="Times New Roman"/>
              <w:b/>
              <w:color w:val="auto"/>
              <w:spacing w:val="20"/>
              <w:sz w:val="44"/>
              <w:szCs w:val="44"/>
              <w:highlight w:val="none"/>
            </w:rPr>
          </w:pPr>
          <w:r>
            <w:rPr>
              <w:rFonts w:hint="eastAsia" w:ascii="宋体" w:hAnsi="宋体" w:cs="Times New Roman"/>
              <w:b/>
              <w:color w:val="auto"/>
              <w:spacing w:val="20"/>
              <w:sz w:val="44"/>
              <w:szCs w:val="44"/>
              <w:highlight w:val="none"/>
            </w:rPr>
            <w:t>河湖管理范围划定</w:t>
          </w:r>
          <w:r>
            <w:rPr>
              <w:rFonts w:ascii="宋体" w:hAnsi="宋体" w:cs="Times New Roman"/>
              <w:b/>
              <w:color w:val="auto"/>
              <w:spacing w:val="20"/>
              <w:sz w:val="44"/>
              <w:szCs w:val="44"/>
              <w:highlight w:val="none"/>
            </w:rPr>
            <w:t>成果调整报告</w:t>
          </w:r>
        </w:p>
        <w:bookmarkEnd w:id="0"/>
        <w:p w14:paraId="61D314AE">
          <w:pPr>
            <w:ind w:firstLine="562"/>
            <w:rPr>
              <w:rFonts w:cs="Lucida Sans"/>
              <w:b/>
              <w:color w:val="auto"/>
              <w:highlight w:val="none"/>
            </w:rPr>
          </w:pPr>
        </w:p>
        <w:p w14:paraId="37472EAC">
          <w:pPr>
            <w:ind w:firstLine="600"/>
            <w:jc w:val="center"/>
            <w:rPr>
              <w:rFonts w:ascii="黑体" w:eastAsia="黑体" w:cs="Lucida Sans"/>
              <w:color w:val="auto"/>
              <w:sz w:val="30"/>
              <w:szCs w:val="30"/>
            </w:rPr>
          </w:pPr>
        </w:p>
        <w:p w14:paraId="271E40B7">
          <w:pPr>
            <w:spacing w:line="600" w:lineRule="auto"/>
            <w:ind w:firstLine="822" w:firstLineChars="257"/>
            <w:rPr>
              <w:rFonts w:hint="eastAsia" w:ascii="仿宋" w:hAnsi="仿宋" w:cs="仿宋"/>
              <w:color w:val="auto"/>
              <w:sz w:val="32"/>
              <w:szCs w:val="32"/>
            </w:rPr>
          </w:pPr>
        </w:p>
        <w:p w14:paraId="18BC8EAC">
          <w:pPr>
            <w:pStyle w:val="11"/>
            <w:ind w:firstLine="480"/>
            <w:rPr>
              <w:color w:val="auto"/>
            </w:rPr>
          </w:pPr>
        </w:p>
        <w:p w14:paraId="335C7F45">
          <w:pPr>
            <w:tabs>
              <w:tab w:val="left" w:pos="1456"/>
              <w:tab w:val="left" w:pos="1582"/>
              <w:tab w:val="left" w:pos="6481"/>
            </w:tabs>
            <w:spacing w:before="156" w:beforeLines="50" w:after="156" w:afterLines="50" w:line="900" w:lineRule="exact"/>
            <w:ind w:left="2667" w:leftChars="608" w:hanging="965" w:hangingChars="229"/>
            <w:rPr>
              <w:rFonts w:hint="eastAsia" w:ascii="宋体" w:hAnsi="宋体" w:eastAsia="宋体" w:cs="Times New Roman"/>
              <w:b/>
              <w:bCs/>
              <w:color w:val="auto"/>
              <w:spacing w:val="40"/>
              <w:sz w:val="34"/>
              <w:szCs w:val="34"/>
              <w:lang w:val="en-US" w:eastAsia="zh-CN"/>
            </w:rPr>
          </w:pPr>
          <w:r>
            <w:rPr>
              <w:rFonts w:ascii="宋体" w:hAnsi="宋体" w:cs="Times New Roman"/>
              <w:b/>
              <w:bCs/>
              <w:color w:val="auto"/>
              <w:spacing w:val="40"/>
              <w:sz w:val="34"/>
              <w:szCs w:val="34"/>
            </w:rPr>
            <w:t>核 定：</w:t>
          </w:r>
          <w:r>
            <w:rPr>
              <w:rFonts w:hint="eastAsia" w:ascii="宋体" w:hAnsi="宋体" w:cs="Times New Roman"/>
              <w:b/>
              <w:bCs/>
              <w:color w:val="auto"/>
              <w:spacing w:val="40"/>
              <w:sz w:val="34"/>
              <w:szCs w:val="34"/>
              <w:lang w:val="en-US" w:eastAsia="zh-CN"/>
            </w:rPr>
            <w:t>包忠亮</w:t>
          </w:r>
        </w:p>
        <w:p w14:paraId="2756D501">
          <w:pPr>
            <w:tabs>
              <w:tab w:val="left" w:pos="1456"/>
              <w:tab w:val="left" w:pos="1582"/>
              <w:tab w:val="left" w:pos="6481"/>
            </w:tabs>
            <w:spacing w:before="156" w:beforeLines="50" w:after="156" w:afterLines="50" w:line="900" w:lineRule="exact"/>
            <w:ind w:left="2667" w:leftChars="608" w:hanging="965" w:hangingChars="229"/>
            <w:rPr>
              <w:rFonts w:hint="eastAsia" w:ascii="宋体" w:hAnsi="宋体" w:eastAsia="宋体" w:cs="Times New Roman"/>
              <w:b/>
              <w:bCs/>
              <w:color w:val="auto"/>
              <w:spacing w:val="40"/>
              <w:sz w:val="34"/>
              <w:szCs w:val="34"/>
              <w:lang w:val="en-US" w:eastAsia="zh-CN"/>
            </w:rPr>
          </w:pPr>
          <w:r>
            <w:rPr>
              <w:rFonts w:ascii="宋体" w:hAnsi="宋体" w:cs="Times New Roman"/>
              <w:b/>
              <w:bCs/>
              <w:color w:val="auto"/>
              <w:spacing w:val="40"/>
              <w:sz w:val="34"/>
              <w:szCs w:val="34"/>
            </w:rPr>
            <w:t>审 查：</w:t>
          </w:r>
          <w:r>
            <w:rPr>
              <w:rFonts w:hint="eastAsia" w:ascii="宋体" w:hAnsi="宋体" w:cs="Times New Roman"/>
              <w:b/>
              <w:bCs/>
              <w:color w:val="auto"/>
              <w:spacing w:val="40"/>
              <w:sz w:val="34"/>
              <w:szCs w:val="34"/>
              <w:lang w:val="en-US" w:eastAsia="zh-CN"/>
            </w:rPr>
            <w:t>张应龙</w:t>
          </w:r>
        </w:p>
        <w:p w14:paraId="3075F110">
          <w:pPr>
            <w:tabs>
              <w:tab w:val="left" w:pos="1456"/>
              <w:tab w:val="left" w:pos="1582"/>
              <w:tab w:val="left" w:pos="6481"/>
            </w:tabs>
            <w:spacing w:before="156" w:beforeLines="50" w:after="156" w:afterLines="50" w:line="900" w:lineRule="exact"/>
            <w:ind w:left="2667" w:leftChars="608" w:hanging="965" w:hangingChars="229"/>
            <w:rPr>
              <w:rFonts w:hint="default" w:ascii="宋体" w:hAnsi="宋体" w:eastAsia="宋体" w:cs="Times New Roman"/>
              <w:b/>
              <w:bCs/>
              <w:color w:val="auto"/>
              <w:spacing w:val="40"/>
              <w:sz w:val="34"/>
              <w:szCs w:val="34"/>
              <w:lang w:val="en-US" w:eastAsia="zh-CN"/>
            </w:rPr>
          </w:pPr>
          <w:r>
            <w:rPr>
              <w:rFonts w:ascii="宋体" w:hAnsi="宋体" w:cs="Times New Roman"/>
              <w:b/>
              <w:bCs/>
              <w:color w:val="auto"/>
              <w:spacing w:val="40"/>
              <w:sz w:val="34"/>
              <w:szCs w:val="34"/>
            </w:rPr>
            <w:t>校 核：</w:t>
          </w:r>
          <w:r>
            <w:rPr>
              <w:rFonts w:hint="eastAsia" w:ascii="宋体" w:hAnsi="宋体" w:cs="Times New Roman"/>
              <w:b/>
              <w:bCs/>
              <w:color w:val="auto"/>
              <w:spacing w:val="40"/>
              <w:sz w:val="34"/>
              <w:szCs w:val="34"/>
              <w:lang w:val="en-US" w:eastAsia="zh-CN"/>
            </w:rPr>
            <w:t>彭涌富</w:t>
          </w:r>
        </w:p>
        <w:p w14:paraId="12DFC54C">
          <w:pPr>
            <w:tabs>
              <w:tab w:val="left" w:pos="1456"/>
              <w:tab w:val="left" w:pos="1582"/>
              <w:tab w:val="left" w:pos="6481"/>
            </w:tabs>
            <w:spacing w:before="156" w:beforeLines="50" w:after="156" w:afterLines="50" w:line="900" w:lineRule="exact"/>
            <w:ind w:left="2667" w:leftChars="608" w:hanging="965" w:hangingChars="229"/>
            <w:rPr>
              <w:rFonts w:hint="eastAsia" w:ascii="宋体" w:hAnsi="宋体" w:cs="Times New Roman"/>
              <w:color w:val="auto"/>
            </w:rPr>
          </w:pPr>
          <w:r>
            <w:rPr>
              <w:rFonts w:ascii="宋体" w:hAnsi="宋体" w:cs="Times New Roman"/>
              <w:b/>
              <w:bCs/>
              <w:color w:val="auto"/>
              <w:spacing w:val="40"/>
              <w:sz w:val="34"/>
              <w:szCs w:val="34"/>
            </w:rPr>
            <w:t>编 写：</w:t>
          </w:r>
          <w:r>
            <w:rPr>
              <w:rFonts w:hint="eastAsia" w:ascii="宋体" w:hAnsi="宋体" w:cs="Times New Roman"/>
              <w:b/>
              <w:bCs/>
              <w:color w:val="auto"/>
              <w:spacing w:val="40"/>
              <w:sz w:val="34"/>
              <w:szCs w:val="34"/>
              <w:lang w:val="en-US" w:eastAsia="zh-CN"/>
            </w:rPr>
            <w:t>闫  瑞</w:t>
          </w:r>
          <w:r>
            <w:rPr>
              <w:rFonts w:hint="eastAsia" w:ascii="宋体" w:hAnsi="宋体" w:cs="宋体"/>
              <w:color w:val="auto"/>
              <w:spacing w:val="32"/>
              <w:sz w:val="32"/>
              <w:szCs w:val="32"/>
            </w:rPr>
            <w:t xml:space="preserve">    </w:t>
          </w:r>
        </w:p>
        <w:p w14:paraId="0B556983">
          <w:pPr>
            <w:adjustRightInd/>
            <w:snapToGrid/>
            <w:spacing w:line="600" w:lineRule="auto"/>
            <w:ind w:firstLine="0" w:firstLineChars="0"/>
            <w:rPr>
              <w:rFonts w:hint="eastAsia" w:ascii="宋体" w:hAnsi="宋体" w:cs="黑体"/>
              <w:b/>
              <w:bCs/>
              <w:color w:val="auto"/>
              <w:spacing w:val="40"/>
              <w:szCs w:val="28"/>
            </w:rPr>
          </w:pPr>
        </w:p>
        <w:p w14:paraId="409107FA">
          <w:pPr>
            <w:pStyle w:val="11"/>
            <w:ind w:firstLine="480"/>
            <w:rPr>
              <w:color w:val="auto"/>
            </w:rPr>
          </w:pPr>
        </w:p>
        <w:p w14:paraId="224EDBD8">
          <w:pPr>
            <w:ind w:firstLine="560"/>
            <w:rPr>
              <w:color w:val="auto"/>
            </w:rPr>
          </w:pPr>
          <w:r>
            <w:drawing>
              <wp:anchor distT="0" distB="0" distL="114300" distR="114300" simplePos="0" relativeHeight="251659264" behindDoc="1" locked="0" layoutInCell="1" allowOverlap="1">
                <wp:simplePos x="0" y="0"/>
                <wp:positionH relativeFrom="page">
                  <wp:posOffset>2692400</wp:posOffset>
                </wp:positionH>
                <wp:positionV relativeFrom="page">
                  <wp:posOffset>7610475</wp:posOffset>
                </wp:positionV>
                <wp:extent cx="1587500" cy="1638935"/>
                <wp:effectExtent l="0" t="0" r="12700" b="18415"/>
                <wp:wrapNone/>
                <wp:docPr id="1"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MP"/>
                        <pic:cNvPicPr>
                          <a:picLocks noChangeAspect="1"/>
                        </pic:cNvPicPr>
                      </pic:nvPicPr>
                      <pic:blipFill>
                        <a:blip r:embed="rId19">
                          <a:biLevel thresh="50000"/>
                          <a:extLst>
                            <a:ext uri="{28A0092B-C50C-407E-A947-70E740481C1C}">
                              <a14:useLocalDpi xmlns:a14="http://schemas.microsoft.com/office/drawing/2010/main" val="0"/>
                            </a:ext>
                          </a:extLst>
                        </a:blip>
                        <a:stretch>
                          <a:fillRect/>
                        </a:stretch>
                      </pic:blipFill>
                      <pic:spPr>
                        <a:xfrm>
                          <a:off x="0" y="0"/>
                          <a:ext cx="1587500" cy="1638935"/>
                        </a:xfrm>
                        <a:prstGeom prst="rect">
                          <a:avLst/>
                        </a:prstGeom>
                      </pic:spPr>
                    </pic:pic>
                  </a:graphicData>
                </a:graphic>
              </wp:anchor>
            </w:drawing>
          </w:r>
        </w:p>
        <w:p w14:paraId="0B874456">
          <w:pPr>
            <w:ind w:firstLine="560"/>
            <w:rPr>
              <w:color w:val="auto"/>
            </w:rPr>
          </w:pPr>
        </w:p>
        <w:p w14:paraId="2333F1DC">
          <w:pPr>
            <w:adjustRightInd/>
            <w:snapToGrid/>
            <w:spacing w:line="600" w:lineRule="auto"/>
            <w:ind w:firstLine="0" w:firstLineChars="0"/>
            <w:rPr>
              <w:rFonts w:hint="default" w:ascii="宋体" w:hAnsi="宋体" w:eastAsia="宋体" w:cs="黑体"/>
              <w:b/>
              <w:bCs/>
              <w:color w:val="auto"/>
              <w:spacing w:val="40"/>
              <w:szCs w:val="28"/>
              <w:lang w:val="en-US" w:eastAsia="zh-CN"/>
            </w:rPr>
          </w:pPr>
          <w:r>
            <w:rPr>
              <w:rFonts w:hint="eastAsia" w:ascii="宋体" w:hAnsi="宋体" w:cs="黑体"/>
              <w:b/>
              <w:bCs/>
              <w:color w:val="auto"/>
              <w:spacing w:val="40"/>
              <w:szCs w:val="28"/>
            </w:rPr>
            <w:t>编制单位：</w:t>
          </w:r>
          <w:r>
            <w:rPr>
              <w:rFonts w:hint="eastAsia" w:ascii="宋体" w:hAnsi="宋体" w:cs="黑体"/>
              <w:b/>
              <w:bCs/>
              <w:color w:val="auto"/>
              <w:spacing w:val="40"/>
              <w:szCs w:val="28"/>
              <w:lang w:val="en-US" w:eastAsia="zh-CN"/>
            </w:rPr>
            <w:t>四川研科科技有限公司</w:t>
          </w:r>
        </w:p>
        <w:p w14:paraId="60779351">
          <w:pPr>
            <w:adjustRightInd/>
            <w:snapToGrid/>
            <w:spacing w:line="600" w:lineRule="auto"/>
            <w:ind w:firstLine="0" w:firstLineChars="0"/>
            <w:rPr>
              <w:rFonts w:hint="eastAsia" w:ascii="宋体" w:hAnsi="宋体" w:cs="黑体"/>
              <w:b/>
              <w:bCs/>
              <w:color w:val="auto"/>
              <w:spacing w:val="40"/>
              <w:szCs w:val="28"/>
            </w:rPr>
          </w:pPr>
          <w:r>
            <w:rPr>
              <w:rFonts w:hint="eastAsia" w:ascii="宋体" w:hAnsi="宋体" w:cs="黑体"/>
              <w:b/>
              <w:bCs/>
              <w:color w:val="auto"/>
              <w:spacing w:val="40"/>
              <w:szCs w:val="28"/>
            </w:rPr>
            <w:t>编制日期：二〇二五年</w:t>
          </w:r>
          <w:r>
            <w:rPr>
              <w:rFonts w:hint="eastAsia" w:ascii="宋体" w:hAnsi="宋体" w:cs="黑体"/>
              <w:b/>
              <w:bCs/>
              <w:color w:val="auto"/>
              <w:spacing w:val="40"/>
              <w:szCs w:val="28"/>
              <w:lang w:val="en-US" w:eastAsia="zh-CN"/>
            </w:rPr>
            <w:t>八</w:t>
          </w:r>
          <w:r>
            <w:rPr>
              <w:rFonts w:hint="eastAsia" w:ascii="宋体" w:hAnsi="宋体" w:cs="黑体"/>
              <w:b/>
              <w:bCs/>
              <w:color w:val="auto"/>
              <w:spacing w:val="40"/>
              <w:szCs w:val="28"/>
            </w:rPr>
            <w:t>月</w:t>
          </w:r>
        </w:p>
        <w:p w14:paraId="24E4F734">
          <w:pPr>
            <w:widowControl/>
            <w:adjustRightInd/>
            <w:snapToGrid/>
            <w:spacing w:line="240" w:lineRule="auto"/>
            <w:ind w:firstLine="0" w:firstLineChars="0"/>
            <w:jc w:val="left"/>
            <w:rPr>
              <w:rFonts w:cs="Times New Roman"/>
              <w:color w:val="auto"/>
              <w:szCs w:val="28"/>
            </w:rPr>
          </w:pPr>
        </w:p>
        <w:p w14:paraId="63DA905F">
          <w:pPr>
            <w:pStyle w:val="81"/>
            <w:ind w:firstLine="560"/>
            <w:jc w:val="center"/>
            <w:rPr>
              <w:color w:val="auto"/>
            </w:rPr>
          </w:pPr>
          <w:r>
            <w:rPr>
              <w:color w:val="auto"/>
              <w:lang w:val="zh-CN"/>
            </w:rPr>
            <w:t>目录</w:t>
          </w:r>
        </w:p>
        <w:p w14:paraId="26DF7065">
          <w:pPr>
            <w:pStyle w:val="21"/>
            <w:tabs>
              <w:tab w:val="right" w:leader="dot" w:pos="8306"/>
            </w:tabs>
            <w:rPr>
              <w:color w:val="auto"/>
            </w:rPr>
          </w:pPr>
          <w:r>
            <w:rPr>
              <w:color w:val="auto"/>
              <w:sz w:val="16"/>
              <w:szCs w:val="16"/>
            </w:rPr>
            <w:fldChar w:fldCharType="begin"/>
          </w:r>
          <w:r>
            <w:rPr>
              <w:color w:val="auto"/>
              <w:sz w:val="16"/>
              <w:szCs w:val="16"/>
            </w:rPr>
            <w:instrText xml:space="preserve"> TOC \o "1-3" \h \z \u </w:instrText>
          </w:r>
          <w:r>
            <w:rPr>
              <w:color w:val="auto"/>
              <w:sz w:val="16"/>
              <w:szCs w:val="16"/>
            </w:rPr>
            <w:fldChar w:fldCharType="separate"/>
          </w:r>
          <w:r>
            <w:rPr>
              <w:color w:val="auto"/>
              <w:szCs w:val="16"/>
            </w:rPr>
            <w:fldChar w:fldCharType="begin"/>
          </w:r>
          <w:r>
            <w:rPr>
              <w:color w:val="auto"/>
              <w:szCs w:val="16"/>
            </w:rPr>
            <w:instrText xml:space="preserve"> HYPERLINK \l _Toc31256 </w:instrText>
          </w:r>
          <w:r>
            <w:rPr>
              <w:color w:val="auto"/>
              <w:szCs w:val="16"/>
            </w:rPr>
            <w:fldChar w:fldCharType="separate"/>
          </w:r>
          <w:r>
            <w:rPr>
              <w:rFonts w:hint="eastAsia"/>
              <w:color w:val="auto"/>
            </w:rPr>
            <w:t>1</w:t>
          </w:r>
          <w:r>
            <w:rPr>
              <w:color w:val="auto"/>
            </w:rPr>
            <w:t>、概况</w:t>
          </w:r>
          <w:r>
            <w:rPr>
              <w:color w:val="auto"/>
            </w:rPr>
            <w:tab/>
          </w:r>
          <w:r>
            <w:rPr>
              <w:color w:val="auto"/>
            </w:rPr>
            <w:fldChar w:fldCharType="begin"/>
          </w:r>
          <w:r>
            <w:rPr>
              <w:color w:val="auto"/>
            </w:rPr>
            <w:instrText xml:space="preserve"> PAGEREF _Toc31256 \h </w:instrText>
          </w:r>
          <w:r>
            <w:rPr>
              <w:color w:val="auto"/>
            </w:rPr>
            <w:fldChar w:fldCharType="separate"/>
          </w:r>
          <w:r>
            <w:rPr>
              <w:color w:val="auto"/>
            </w:rPr>
            <w:t>5</w:t>
          </w:r>
          <w:r>
            <w:rPr>
              <w:color w:val="auto"/>
            </w:rPr>
            <w:fldChar w:fldCharType="end"/>
          </w:r>
          <w:r>
            <w:rPr>
              <w:color w:val="auto"/>
              <w:szCs w:val="16"/>
            </w:rPr>
            <w:fldChar w:fldCharType="end"/>
          </w:r>
        </w:p>
        <w:p w14:paraId="7BAE47E5">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_Toc31275 </w:instrText>
          </w:r>
          <w:r>
            <w:rPr>
              <w:bCs/>
              <w:color w:val="auto"/>
              <w:szCs w:val="16"/>
              <w:lang w:val="zh-CN"/>
            </w:rPr>
            <w:fldChar w:fldCharType="separate"/>
          </w:r>
          <w:r>
            <w:rPr>
              <w:rFonts w:hint="eastAsia" w:cs="Times New Roman"/>
              <w:color w:val="auto"/>
            </w:rPr>
            <w:t>1.1</w:t>
          </w:r>
          <w:r>
            <w:rPr>
              <w:rFonts w:cs="Times New Roman"/>
              <w:color w:val="auto"/>
            </w:rPr>
            <w:t>河段地理位置</w:t>
          </w:r>
          <w:r>
            <w:rPr>
              <w:color w:val="auto"/>
            </w:rPr>
            <w:tab/>
          </w:r>
          <w:r>
            <w:rPr>
              <w:color w:val="auto"/>
            </w:rPr>
            <w:fldChar w:fldCharType="begin"/>
          </w:r>
          <w:r>
            <w:rPr>
              <w:color w:val="auto"/>
            </w:rPr>
            <w:instrText xml:space="preserve"> PAGEREF _Toc31275 \h </w:instrText>
          </w:r>
          <w:r>
            <w:rPr>
              <w:color w:val="auto"/>
            </w:rPr>
            <w:fldChar w:fldCharType="separate"/>
          </w:r>
          <w:r>
            <w:rPr>
              <w:color w:val="auto"/>
            </w:rPr>
            <w:t>5</w:t>
          </w:r>
          <w:r>
            <w:rPr>
              <w:color w:val="auto"/>
            </w:rPr>
            <w:fldChar w:fldCharType="end"/>
          </w:r>
          <w:r>
            <w:rPr>
              <w:bCs/>
              <w:color w:val="auto"/>
              <w:szCs w:val="16"/>
              <w:lang w:val="zh-CN"/>
            </w:rPr>
            <w:fldChar w:fldCharType="end"/>
          </w:r>
        </w:p>
        <w:p w14:paraId="5A170C84">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_Toc13423 </w:instrText>
          </w:r>
          <w:r>
            <w:rPr>
              <w:bCs/>
              <w:color w:val="auto"/>
              <w:szCs w:val="16"/>
              <w:lang w:val="zh-CN"/>
            </w:rPr>
            <w:fldChar w:fldCharType="separate"/>
          </w:r>
          <w:r>
            <w:rPr>
              <w:rFonts w:hint="eastAsia" w:cs="Times New Roman"/>
              <w:color w:val="auto"/>
            </w:rPr>
            <w:t>1.2</w:t>
          </w:r>
          <w:r>
            <w:rPr>
              <w:rFonts w:cs="Times New Roman"/>
              <w:color w:val="auto"/>
            </w:rPr>
            <w:t>河段岸线情况</w:t>
          </w:r>
          <w:r>
            <w:rPr>
              <w:color w:val="auto"/>
            </w:rPr>
            <w:tab/>
          </w:r>
          <w:r>
            <w:rPr>
              <w:color w:val="auto"/>
            </w:rPr>
            <w:fldChar w:fldCharType="begin"/>
          </w:r>
          <w:r>
            <w:rPr>
              <w:color w:val="auto"/>
            </w:rPr>
            <w:instrText xml:space="preserve"> PAGEREF _Toc13423 \h </w:instrText>
          </w:r>
          <w:r>
            <w:rPr>
              <w:color w:val="auto"/>
            </w:rPr>
            <w:fldChar w:fldCharType="separate"/>
          </w:r>
          <w:r>
            <w:rPr>
              <w:color w:val="auto"/>
            </w:rPr>
            <w:t>5</w:t>
          </w:r>
          <w:r>
            <w:rPr>
              <w:color w:val="auto"/>
            </w:rPr>
            <w:fldChar w:fldCharType="end"/>
          </w:r>
          <w:r>
            <w:rPr>
              <w:bCs/>
              <w:color w:val="auto"/>
              <w:szCs w:val="16"/>
              <w:lang w:val="zh-CN"/>
            </w:rPr>
            <w:fldChar w:fldCharType="end"/>
          </w:r>
        </w:p>
        <w:p w14:paraId="027A6A3C">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_Toc19295 </w:instrText>
          </w:r>
          <w:r>
            <w:rPr>
              <w:bCs/>
              <w:color w:val="auto"/>
              <w:szCs w:val="16"/>
              <w:lang w:val="zh-CN"/>
            </w:rPr>
            <w:fldChar w:fldCharType="separate"/>
          </w:r>
          <w:r>
            <w:rPr>
              <w:rFonts w:hint="eastAsia"/>
              <w:color w:val="auto"/>
            </w:rPr>
            <w:t>1.3</w:t>
          </w:r>
          <w:r>
            <w:rPr>
              <w:color w:val="auto"/>
            </w:rPr>
            <w:t>前期划界情况</w:t>
          </w:r>
          <w:r>
            <w:rPr>
              <w:color w:val="auto"/>
            </w:rPr>
            <w:tab/>
          </w:r>
          <w:r>
            <w:rPr>
              <w:color w:val="auto"/>
            </w:rPr>
            <w:fldChar w:fldCharType="begin"/>
          </w:r>
          <w:r>
            <w:rPr>
              <w:color w:val="auto"/>
            </w:rPr>
            <w:instrText xml:space="preserve"> PAGEREF _Toc19295 \h </w:instrText>
          </w:r>
          <w:r>
            <w:rPr>
              <w:color w:val="auto"/>
            </w:rPr>
            <w:fldChar w:fldCharType="separate"/>
          </w:r>
          <w:r>
            <w:rPr>
              <w:color w:val="auto"/>
            </w:rPr>
            <w:t>6</w:t>
          </w:r>
          <w:r>
            <w:rPr>
              <w:color w:val="auto"/>
            </w:rPr>
            <w:fldChar w:fldCharType="end"/>
          </w:r>
          <w:r>
            <w:rPr>
              <w:bCs/>
              <w:color w:val="auto"/>
              <w:szCs w:val="16"/>
              <w:lang w:val="zh-CN"/>
            </w:rPr>
            <w:fldChar w:fldCharType="end"/>
          </w:r>
        </w:p>
        <w:p w14:paraId="48A33DCD">
          <w:pPr>
            <w:pStyle w:val="21"/>
            <w:tabs>
              <w:tab w:val="right" w:leader="dot" w:pos="8306"/>
            </w:tabs>
            <w:rPr>
              <w:color w:val="auto"/>
            </w:rPr>
          </w:pPr>
          <w:r>
            <w:rPr>
              <w:bCs/>
              <w:color w:val="auto"/>
              <w:szCs w:val="16"/>
              <w:lang w:val="zh-CN"/>
            </w:rPr>
            <w:fldChar w:fldCharType="begin"/>
          </w:r>
          <w:r>
            <w:rPr>
              <w:bCs/>
              <w:color w:val="auto"/>
              <w:szCs w:val="16"/>
              <w:lang w:val="zh-CN"/>
            </w:rPr>
            <w:instrText xml:space="preserve"> HYPERLINK \l _Toc5573 </w:instrText>
          </w:r>
          <w:r>
            <w:rPr>
              <w:bCs/>
              <w:color w:val="auto"/>
              <w:szCs w:val="16"/>
              <w:lang w:val="zh-CN"/>
            </w:rPr>
            <w:fldChar w:fldCharType="separate"/>
          </w:r>
          <w:r>
            <w:rPr>
              <w:rFonts w:hint="eastAsia"/>
              <w:color w:val="auto"/>
            </w:rPr>
            <w:t>2</w:t>
          </w:r>
          <w:r>
            <w:rPr>
              <w:color w:val="auto"/>
            </w:rPr>
            <w:t>、调整原因</w:t>
          </w:r>
          <w:r>
            <w:rPr>
              <w:color w:val="auto"/>
            </w:rPr>
            <w:tab/>
          </w:r>
          <w:r>
            <w:rPr>
              <w:color w:val="auto"/>
            </w:rPr>
            <w:fldChar w:fldCharType="begin"/>
          </w:r>
          <w:r>
            <w:rPr>
              <w:color w:val="auto"/>
            </w:rPr>
            <w:instrText xml:space="preserve"> PAGEREF _Toc5573 \h </w:instrText>
          </w:r>
          <w:r>
            <w:rPr>
              <w:color w:val="auto"/>
            </w:rPr>
            <w:fldChar w:fldCharType="separate"/>
          </w:r>
          <w:r>
            <w:rPr>
              <w:color w:val="auto"/>
            </w:rPr>
            <w:t>6</w:t>
          </w:r>
          <w:r>
            <w:rPr>
              <w:color w:val="auto"/>
            </w:rPr>
            <w:fldChar w:fldCharType="end"/>
          </w:r>
          <w:r>
            <w:rPr>
              <w:bCs/>
              <w:color w:val="auto"/>
              <w:szCs w:val="16"/>
              <w:lang w:val="zh-CN"/>
            </w:rPr>
            <w:fldChar w:fldCharType="end"/>
          </w:r>
        </w:p>
        <w:p w14:paraId="051FB210">
          <w:pPr>
            <w:pStyle w:val="21"/>
            <w:tabs>
              <w:tab w:val="right" w:leader="dot" w:pos="8306"/>
            </w:tabs>
            <w:rPr>
              <w:color w:val="auto"/>
            </w:rPr>
          </w:pPr>
          <w:r>
            <w:rPr>
              <w:bCs/>
              <w:color w:val="auto"/>
              <w:szCs w:val="16"/>
              <w:lang w:val="zh-CN"/>
            </w:rPr>
            <w:fldChar w:fldCharType="begin"/>
          </w:r>
          <w:r>
            <w:rPr>
              <w:bCs/>
              <w:color w:val="auto"/>
              <w:szCs w:val="16"/>
              <w:lang w:val="zh-CN"/>
            </w:rPr>
            <w:instrText xml:space="preserve"> HYPERLINK \l _Toc10140 </w:instrText>
          </w:r>
          <w:r>
            <w:rPr>
              <w:bCs/>
              <w:color w:val="auto"/>
              <w:szCs w:val="16"/>
              <w:lang w:val="zh-CN"/>
            </w:rPr>
            <w:fldChar w:fldCharType="separate"/>
          </w:r>
          <w:r>
            <w:rPr>
              <w:rFonts w:hint="eastAsia"/>
              <w:color w:val="auto"/>
            </w:rPr>
            <w:t>3</w:t>
          </w:r>
          <w:r>
            <w:rPr>
              <w:color w:val="auto"/>
            </w:rPr>
            <w:t>、调整范围及依据</w:t>
          </w:r>
          <w:r>
            <w:rPr>
              <w:color w:val="auto"/>
            </w:rPr>
            <w:tab/>
          </w:r>
          <w:r>
            <w:rPr>
              <w:color w:val="auto"/>
            </w:rPr>
            <w:fldChar w:fldCharType="begin"/>
          </w:r>
          <w:r>
            <w:rPr>
              <w:color w:val="auto"/>
            </w:rPr>
            <w:instrText xml:space="preserve"> PAGEREF _Toc10140 \h </w:instrText>
          </w:r>
          <w:r>
            <w:rPr>
              <w:color w:val="auto"/>
            </w:rPr>
            <w:fldChar w:fldCharType="separate"/>
          </w:r>
          <w:r>
            <w:rPr>
              <w:color w:val="auto"/>
            </w:rPr>
            <w:t>10</w:t>
          </w:r>
          <w:r>
            <w:rPr>
              <w:color w:val="auto"/>
            </w:rPr>
            <w:fldChar w:fldCharType="end"/>
          </w:r>
          <w:r>
            <w:rPr>
              <w:bCs/>
              <w:color w:val="auto"/>
              <w:szCs w:val="16"/>
              <w:lang w:val="zh-CN"/>
            </w:rPr>
            <w:fldChar w:fldCharType="end"/>
          </w:r>
        </w:p>
        <w:p w14:paraId="39BFBA91">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_Toc751 </w:instrText>
          </w:r>
          <w:r>
            <w:rPr>
              <w:bCs/>
              <w:color w:val="auto"/>
              <w:szCs w:val="16"/>
              <w:lang w:val="zh-CN"/>
            </w:rPr>
            <w:fldChar w:fldCharType="separate"/>
          </w:r>
          <w:r>
            <w:rPr>
              <w:rFonts w:hint="eastAsia"/>
              <w:color w:val="auto"/>
            </w:rPr>
            <w:t>3.1</w:t>
          </w:r>
          <w:r>
            <w:rPr>
              <w:color w:val="auto"/>
            </w:rPr>
            <w:t>调整范围</w:t>
          </w:r>
          <w:r>
            <w:rPr>
              <w:color w:val="auto"/>
            </w:rPr>
            <w:tab/>
          </w:r>
          <w:r>
            <w:rPr>
              <w:color w:val="auto"/>
            </w:rPr>
            <w:fldChar w:fldCharType="begin"/>
          </w:r>
          <w:r>
            <w:rPr>
              <w:color w:val="auto"/>
            </w:rPr>
            <w:instrText xml:space="preserve"> PAGEREF _Toc751 \h </w:instrText>
          </w:r>
          <w:r>
            <w:rPr>
              <w:color w:val="auto"/>
            </w:rPr>
            <w:fldChar w:fldCharType="separate"/>
          </w:r>
          <w:r>
            <w:rPr>
              <w:color w:val="auto"/>
            </w:rPr>
            <w:t>10</w:t>
          </w:r>
          <w:r>
            <w:rPr>
              <w:color w:val="auto"/>
            </w:rPr>
            <w:fldChar w:fldCharType="end"/>
          </w:r>
          <w:r>
            <w:rPr>
              <w:bCs/>
              <w:color w:val="auto"/>
              <w:szCs w:val="16"/>
              <w:lang w:val="zh-CN"/>
            </w:rPr>
            <w:fldChar w:fldCharType="end"/>
          </w:r>
        </w:p>
        <w:p w14:paraId="0A7EA52F">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_Toc21153 </w:instrText>
          </w:r>
          <w:r>
            <w:rPr>
              <w:bCs/>
              <w:color w:val="auto"/>
              <w:szCs w:val="16"/>
              <w:lang w:val="zh-CN"/>
            </w:rPr>
            <w:fldChar w:fldCharType="separate"/>
          </w:r>
          <w:r>
            <w:rPr>
              <w:rFonts w:hint="eastAsia"/>
              <w:color w:val="auto"/>
            </w:rPr>
            <w:t>3.2</w:t>
          </w:r>
          <w:r>
            <w:rPr>
              <w:color w:val="auto"/>
            </w:rPr>
            <w:t>调整依据</w:t>
          </w:r>
          <w:r>
            <w:rPr>
              <w:color w:val="auto"/>
            </w:rPr>
            <w:tab/>
          </w:r>
          <w:r>
            <w:rPr>
              <w:color w:val="auto"/>
            </w:rPr>
            <w:fldChar w:fldCharType="begin"/>
          </w:r>
          <w:r>
            <w:rPr>
              <w:color w:val="auto"/>
            </w:rPr>
            <w:instrText xml:space="preserve"> PAGEREF _Toc21153 \h </w:instrText>
          </w:r>
          <w:r>
            <w:rPr>
              <w:color w:val="auto"/>
            </w:rPr>
            <w:fldChar w:fldCharType="separate"/>
          </w:r>
          <w:r>
            <w:rPr>
              <w:color w:val="auto"/>
            </w:rPr>
            <w:t>12</w:t>
          </w:r>
          <w:r>
            <w:rPr>
              <w:color w:val="auto"/>
            </w:rPr>
            <w:fldChar w:fldCharType="end"/>
          </w:r>
          <w:r>
            <w:rPr>
              <w:bCs/>
              <w:color w:val="auto"/>
              <w:szCs w:val="16"/>
              <w:lang w:val="zh-CN"/>
            </w:rPr>
            <w:fldChar w:fldCharType="end"/>
          </w:r>
        </w:p>
        <w:p w14:paraId="40F602D9">
          <w:pPr>
            <w:pStyle w:val="21"/>
            <w:tabs>
              <w:tab w:val="right" w:leader="dot" w:pos="8306"/>
            </w:tabs>
            <w:rPr>
              <w:color w:val="auto"/>
            </w:rPr>
          </w:pPr>
          <w:r>
            <w:rPr>
              <w:bCs/>
              <w:color w:val="auto"/>
              <w:szCs w:val="16"/>
              <w:lang w:val="zh-CN"/>
            </w:rPr>
            <w:fldChar w:fldCharType="begin"/>
          </w:r>
          <w:r>
            <w:rPr>
              <w:bCs/>
              <w:color w:val="auto"/>
              <w:szCs w:val="16"/>
              <w:lang w:val="zh-CN"/>
            </w:rPr>
            <w:instrText xml:space="preserve"> HYPERLINK \l _Toc16893 </w:instrText>
          </w:r>
          <w:r>
            <w:rPr>
              <w:bCs/>
              <w:color w:val="auto"/>
              <w:szCs w:val="16"/>
              <w:lang w:val="zh-CN"/>
            </w:rPr>
            <w:fldChar w:fldCharType="separate"/>
          </w:r>
          <w:r>
            <w:rPr>
              <w:rFonts w:hint="eastAsia"/>
              <w:color w:val="auto"/>
            </w:rPr>
            <w:t>4</w:t>
          </w:r>
          <w:r>
            <w:rPr>
              <w:color w:val="auto"/>
            </w:rPr>
            <w:t>管理范围线重新划定</w:t>
          </w:r>
          <w:r>
            <w:rPr>
              <w:color w:val="auto"/>
            </w:rPr>
            <w:tab/>
          </w:r>
          <w:r>
            <w:rPr>
              <w:color w:val="auto"/>
            </w:rPr>
            <w:fldChar w:fldCharType="begin"/>
          </w:r>
          <w:r>
            <w:rPr>
              <w:color w:val="auto"/>
            </w:rPr>
            <w:instrText xml:space="preserve"> PAGEREF _Toc16893 \h </w:instrText>
          </w:r>
          <w:r>
            <w:rPr>
              <w:color w:val="auto"/>
            </w:rPr>
            <w:fldChar w:fldCharType="separate"/>
          </w:r>
          <w:r>
            <w:rPr>
              <w:color w:val="auto"/>
            </w:rPr>
            <w:t>12</w:t>
          </w:r>
          <w:r>
            <w:rPr>
              <w:color w:val="auto"/>
            </w:rPr>
            <w:fldChar w:fldCharType="end"/>
          </w:r>
          <w:r>
            <w:rPr>
              <w:bCs/>
              <w:color w:val="auto"/>
              <w:szCs w:val="16"/>
              <w:lang w:val="zh-CN"/>
            </w:rPr>
            <w:fldChar w:fldCharType="end"/>
          </w:r>
        </w:p>
        <w:p w14:paraId="3C25A71C">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_Toc3651 </w:instrText>
          </w:r>
          <w:r>
            <w:rPr>
              <w:bCs/>
              <w:color w:val="auto"/>
              <w:szCs w:val="16"/>
              <w:lang w:val="zh-CN"/>
            </w:rPr>
            <w:fldChar w:fldCharType="separate"/>
          </w:r>
          <w:r>
            <w:rPr>
              <w:rFonts w:hint="eastAsia"/>
              <w:color w:val="auto"/>
            </w:rPr>
            <w:t>4.1</w:t>
          </w:r>
          <w:r>
            <w:rPr>
              <w:color w:val="auto"/>
            </w:rPr>
            <w:t>资料收集</w:t>
          </w:r>
          <w:r>
            <w:rPr>
              <w:color w:val="auto"/>
            </w:rPr>
            <w:tab/>
          </w:r>
          <w:r>
            <w:rPr>
              <w:color w:val="auto"/>
            </w:rPr>
            <w:fldChar w:fldCharType="begin"/>
          </w:r>
          <w:r>
            <w:rPr>
              <w:color w:val="auto"/>
            </w:rPr>
            <w:instrText xml:space="preserve"> PAGEREF _Toc3651 \h </w:instrText>
          </w:r>
          <w:r>
            <w:rPr>
              <w:color w:val="auto"/>
            </w:rPr>
            <w:fldChar w:fldCharType="separate"/>
          </w:r>
          <w:r>
            <w:rPr>
              <w:color w:val="auto"/>
            </w:rPr>
            <w:t>12</w:t>
          </w:r>
          <w:r>
            <w:rPr>
              <w:color w:val="auto"/>
            </w:rPr>
            <w:fldChar w:fldCharType="end"/>
          </w:r>
          <w:r>
            <w:rPr>
              <w:bCs/>
              <w:color w:val="auto"/>
              <w:szCs w:val="16"/>
              <w:lang w:val="zh-CN"/>
            </w:rPr>
            <w:fldChar w:fldCharType="end"/>
          </w:r>
        </w:p>
        <w:p w14:paraId="170DBDD8">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_Toc31057 </w:instrText>
          </w:r>
          <w:r>
            <w:rPr>
              <w:bCs/>
              <w:color w:val="auto"/>
              <w:szCs w:val="16"/>
              <w:lang w:val="zh-CN"/>
            </w:rPr>
            <w:fldChar w:fldCharType="separate"/>
          </w:r>
          <w:r>
            <w:rPr>
              <w:rFonts w:hint="eastAsia"/>
              <w:color w:val="auto"/>
            </w:rPr>
            <w:t>4.2</w:t>
          </w:r>
          <w:r>
            <w:rPr>
              <w:color w:val="auto"/>
            </w:rPr>
            <w:t>资料处理</w:t>
          </w:r>
          <w:r>
            <w:rPr>
              <w:color w:val="auto"/>
            </w:rPr>
            <w:tab/>
          </w:r>
          <w:r>
            <w:rPr>
              <w:color w:val="auto"/>
            </w:rPr>
            <w:fldChar w:fldCharType="begin"/>
          </w:r>
          <w:r>
            <w:rPr>
              <w:color w:val="auto"/>
            </w:rPr>
            <w:instrText xml:space="preserve"> PAGEREF _Toc31057 \h </w:instrText>
          </w:r>
          <w:r>
            <w:rPr>
              <w:color w:val="auto"/>
            </w:rPr>
            <w:fldChar w:fldCharType="separate"/>
          </w:r>
          <w:r>
            <w:rPr>
              <w:color w:val="auto"/>
            </w:rPr>
            <w:t>14</w:t>
          </w:r>
          <w:r>
            <w:rPr>
              <w:color w:val="auto"/>
            </w:rPr>
            <w:fldChar w:fldCharType="end"/>
          </w:r>
          <w:r>
            <w:rPr>
              <w:bCs/>
              <w:color w:val="auto"/>
              <w:szCs w:val="16"/>
              <w:lang w:val="zh-CN"/>
            </w:rPr>
            <w:fldChar w:fldCharType="end"/>
          </w:r>
        </w:p>
        <w:p w14:paraId="3297426D">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_Toc11192 </w:instrText>
          </w:r>
          <w:r>
            <w:rPr>
              <w:bCs/>
              <w:color w:val="auto"/>
              <w:szCs w:val="16"/>
              <w:lang w:val="zh-CN"/>
            </w:rPr>
            <w:fldChar w:fldCharType="separate"/>
          </w:r>
          <w:r>
            <w:rPr>
              <w:rFonts w:hint="eastAsia"/>
              <w:color w:val="auto"/>
            </w:rPr>
            <w:t>4.3</w:t>
          </w:r>
          <w:r>
            <w:rPr>
              <w:color w:val="auto"/>
            </w:rPr>
            <w:t>数据补充及补测</w:t>
          </w:r>
          <w:r>
            <w:rPr>
              <w:color w:val="auto"/>
            </w:rPr>
            <w:tab/>
          </w:r>
          <w:r>
            <w:rPr>
              <w:color w:val="auto"/>
            </w:rPr>
            <w:fldChar w:fldCharType="begin"/>
          </w:r>
          <w:r>
            <w:rPr>
              <w:color w:val="auto"/>
            </w:rPr>
            <w:instrText xml:space="preserve"> PAGEREF _Toc11192 \h </w:instrText>
          </w:r>
          <w:r>
            <w:rPr>
              <w:color w:val="auto"/>
            </w:rPr>
            <w:fldChar w:fldCharType="separate"/>
          </w:r>
          <w:r>
            <w:rPr>
              <w:color w:val="auto"/>
            </w:rPr>
            <w:t>15</w:t>
          </w:r>
          <w:r>
            <w:rPr>
              <w:color w:val="auto"/>
            </w:rPr>
            <w:fldChar w:fldCharType="end"/>
          </w:r>
          <w:r>
            <w:rPr>
              <w:bCs/>
              <w:color w:val="auto"/>
              <w:szCs w:val="16"/>
              <w:lang w:val="zh-CN"/>
            </w:rPr>
            <w:fldChar w:fldCharType="end"/>
          </w:r>
        </w:p>
        <w:p w14:paraId="2195FA99">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_Toc20539 </w:instrText>
          </w:r>
          <w:r>
            <w:rPr>
              <w:bCs/>
              <w:color w:val="auto"/>
              <w:szCs w:val="16"/>
              <w:lang w:val="zh-CN"/>
            </w:rPr>
            <w:fldChar w:fldCharType="separate"/>
          </w:r>
          <w:r>
            <w:rPr>
              <w:rFonts w:hint="default" w:ascii="Times New Roman" w:hAnsi="Times New Roman" w:cs="Times New Roman"/>
              <w:color w:val="auto"/>
            </w:rPr>
            <w:t>4.4洪水分析计算</w:t>
          </w:r>
          <w:r>
            <w:rPr>
              <w:color w:val="auto"/>
            </w:rPr>
            <w:tab/>
          </w:r>
          <w:r>
            <w:rPr>
              <w:color w:val="auto"/>
            </w:rPr>
            <w:fldChar w:fldCharType="begin"/>
          </w:r>
          <w:r>
            <w:rPr>
              <w:color w:val="auto"/>
            </w:rPr>
            <w:instrText xml:space="preserve"> PAGEREF _Toc20539 \h </w:instrText>
          </w:r>
          <w:r>
            <w:rPr>
              <w:color w:val="auto"/>
            </w:rPr>
            <w:fldChar w:fldCharType="separate"/>
          </w:r>
          <w:r>
            <w:rPr>
              <w:color w:val="auto"/>
            </w:rPr>
            <w:t>17</w:t>
          </w:r>
          <w:r>
            <w:rPr>
              <w:color w:val="auto"/>
            </w:rPr>
            <w:fldChar w:fldCharType="end"/>
          </w:r>
          <w:r>
            <w:rPr>
              <w:bCs/>
              <w:color w:val="auto"/>
              <w:szCs w:val="16"/>
              <w:lang w:val="zh-CN"/>
            </w:rPr>
            <w:fldChar w:fldCharType="end"/>
          </w:r>
        </w:p>
        <w:p w14:paraId="5B98632E">
          <w:pPr>
            <w:pStyle w:val="15"/>
            <w:tabs>
              <w:tab w:val="right" w:leader="dot" w:pos="8306"/>
            </w:tabs>
            <w:rPr>
              <w:color w:val="auto"/>
            </w:rPr>
          </w:pPr>
          <w:r>
            <w:rPr>
              <w:bCs/>
              <w:color w:val="auto"/>
              <w:szCs w:val="16"/>
              <w:lang w:val="zh-CN"/>
            </w:rPr>
            <w:fldChar w:fldCharType="begin"/>
          </w:r>
          <w:r>
            <w:rPr>
              <w:bCs/>
              <w:color w:val="auto"/>
              <w:szCs w:val="16"/>
              <w:lang w:val="zh-CN"/>
            </w:rPr>
            <w:instrText xml:space="preserve"> HYPERLINK \l _Toc11324 </w:instrText>
          </w:r>
          <w:r>
            <w:rPr>
              <w:bCs/>
              <w:color w:val="auto"/>
              <w:szCs w:val="16"/>
              <w:lang w:val="zh-CN"/>
            </w:rPr>
            <w:fldChar w:fldCharType="separate"/>
          </w:r>
          <w:r>
            <w:rPr>
              <w:rFonts w:hint="default" w:ascii="Times New Roman" w:hAnsi="Times New Roman" w:cs="Times New Roman"/>
              <w:color w:val="auto"/>
            </w:rPr>
            <w:t>4.4.1 水文基本资料</w:t>
          </w:r>
          <w:r>
            <w:rPr>
              <w:color w:val="auto"/>
            </w:rPr>
            <w:tab/>
          </w:r>
          <w:r>
            <w:rPr>
              <w:color w:val="auto"/>
            </w:rPr>
            <w:fldChar w:fldCharType="begin"/>
          </w:r>
          <w:r>
            <w:rPr>
              <w:color w:val="auto"/>
            </w:rPr>
            <w:instrText xml:space="preserve"> PAGEREF _Toc11324 \h </w:instrText>
          </w:r>
          <w:r>
            <w:rPr>
              <w:color w:val="auto"/>
            </w:rPr>
            <w:fldChar w:fldCharType="separate"/>
          </w:r>
          <w:r>
            <w:rPr>
              <w:color w:val="auto"/>
            </w:rPr>
            <w:t>17</w:t>
          </w:r>
          <w:r>
            <w:rPr>
              <w:color w:val="auto"/>
            </w:rPr>
            <w:fldChar w:fldCharType="end"/>
          </w:r>
          <w:r>
            <w:rPr>
              <w:bCs/>
              <w:color w:val="auto"/>
              <w:szCs w:val="16"/>
              <w:lang w:val="zh-CN"/>
            </w:rPr>
            <w:fldChar w:fldCharType="end"/>
          </w:r>
        </w:p>
        <w:p w14:paraId="674D5A1E">
          <w:pPr>
            <w:pStyle w:val="15"/>
            <w:tabs>
              <w:tab w:val="right" w:leader="dot" w:pos="8306"/>
            </w:tabs>
            <w:rPr>
              <w:color w:val="auto"/>
            </w:rPr>
          </w:pPr>
          <w:r>
            <w:rPr>
              <w:bCs/>
              <w:color w:val="auto"/>
              <w:szCs w:val="16"/>
              <w:lang w:val="zh-CN"/>
            </w:rPr>
            <w:fldChar w:fldCharType="begin"/>
          </w:r>
          <w:r>
            <w:rPr>
              <w:bCs/>
              <w:color w:val="auto"/>
              <w:szCs w:val="16"/>
              <w:lang w:val="zh-CN"/>
            </w:rPr>
            <w:instrText xml:space="preserve"> HYPERLINK \l _Toc1420 </w:instrText>
          </w:r>
          <w:r>
            <w:rPr>
              <w:bCs/>
              <w:color w:val="auto"/>
              <w:szCs w:val="16"/>
              <w:lang w:val="zh-CN"/>
            </w:rPr>
            <w:fldChar w:fldCharType="separate"/>
          </w:r>
          <w:r>
            <w:rPr>
              <w:rFonts w:hint="default" w:ascii="Times New Roman" w:hAnsi="Times New Roman" w:cs="Times New Roman"/>
              <w:color w:val="auto"/>
            </w:rPr>
            <w:t>4.4.2 洪水</w:t>
          </w:r>
          <w:r>
            <w:rPr>
              <w:color w:val="auto"/>
            </w:rPr>
            <w:tab/>
          </w:r>
          <w:r>
            <w:rPr>
              <w:color w:val="auto"/>
            </w:rPr>
            <w:fldChar w:fldCharType="begin"/>
          </w:r>
          <w:r>
            <w:rPr>
              <w:color w:val="auto"/>
            </w:rPr>
            <w:instrText xml:space="preserve"> PAGEREF _Toc1420 \h </w:instrText>
          </w:r>
          <w:r>
            <w:rPr>
              <w:color w:val="auto"/>
            </w:rPr>
            <w:fldChar w:fldCharType="separate"/>
          </w:r>
          <w:r>
            <w:rPr>
              <w:color w:val="auto"/>
            </w:rPr>
            <w:t>22</w:t>
          </w:r>
          <w:r>
            <w:rPr>
              <w:color w:val="auto"/>
            </w:rPr>
            <w:fldChar w:fldCharType="end"/>
          </w:r>
          <w:r>
            <w:rPr>
              <w:bCs/>
              <w:color w:val="auto"/>
              <w:szCs w:val="16"/>
              <w:lang w:val="zh-CN"/>
            </w:rPr>
            <w:fldChar w:fldCharType="end"/>
          </w:r>
        </w:p>
        <w:p w14:paraId="349CA9DF">
          <w:pPr>
            <w:pStyle w:val="15"/>
            <w:tabs>
              <w:tab w:val="right" w:leader="dot" w:pos="8306"/>
            </w:tabs>
            <w:rPr>
              <w:color w:val="auto"/>
            </w:rPr>
          </w:pPr>
          <w:r>
            <w:rPr>
              <w:bCs/>
              <w:color w:val="auto"/>
              <w:szCs w:val="16"/>
              <w:lang w:val="zh-CN"/>
            </w:rPr>
            <w:fldChar w:fldCharType="begin"/>
          </w:r>
          <w:r>
            <w:rPr>
              <w:bCs/>
              <w:color w:val="auto"/>
              <w:szCs w:val="16"/>
              <w:lang w:val="zh-CN"/>
            </w:rPr>
            <w:instrText xml:space="preserve"> HYPERLINK \l _Toc5074 </w:instrText>
          </w:r>
          <w:r>
            <w:rPr>
              <w:bCs/>
              <w:color w:val="auto"/>
              <w:szCs w:val="16"/>
              <w:lang w:val="zh-CN"/>
            </w:rPr>
            <w:fldChar w:fldCharType="separate"/>
          </w:r>
          <w:r>
            <w:rPr>
              <w:rFonts w:hint="default" w:ascii="Times New Roman" w:hAnsi="Times New Roman" w:cs="Times New Roman"/>
              <w:color w:val="auto"/>
            </w:rPr>
            <w:t>4.4.3 控制断面水位流量关系</w:t>
          </w:r>
          <w:r>
            <w:rPr>
              <w:color w:val="auto"/>
            </w:rPr>
            <w:tab/>
          </w:r>
          <w:r>
            <w:rPr>
              <w:color w:val="auto"/>
            </w:rPr>
            <w:fldChar w:fldCharType="begin"/>
          </w:r>
          <w:r>
            <w:rPr>
              <w:color w:val="auto"/>
            </w:rPr>
            <w:instrText xml:space="preserve"> PAGEREF _Toc5074 \h </w:instrText>
          </w:r>
          <w:r>
            <w:rPr>
              <w:color w:val="auto"/>
            </w:rPr>
            <w:fldChar w:fldCharType="separate"/>
          </w:r>
          <w:r>
            <w:rPr>
              <w:color w:val="auto"/>
            </w:rPr>
            <w:t>28</w:t>
          </w:r>
          <w:r>
            <w:rPr>
              <w:color w:val="auto"/>
            </w:rPr>
            <w:fldChar w:fldCharType="end"/>
          </w:r>
          <w:r>
            <w:rPr>
              <w:bCs/>
              <w:color w:val="auto"/>
              <w:szCs w:val="16"/>
              <w:lang w:val="zh-CN"/>
            </w:rPr>
            <w:fldChar w:fldCharType="end"/>
          </w:r>
        </w:p>
        <w:p w14:paraId="37036337">
          <w:pPr>
            <w:pStyle w:val="15"/>
            <w:tabs>
              <w:tab w:val="right" w:leader="dot" w:pos="8306"/>
            </w:tabs>
            <w:rPr>
              <w:color w:val="auto"/>
            </w:rPr>
          </w:pPr>
          <w:r>
            <w:rPr>
              <w:bCs/>
              <w:color w:val="auto"/>
              <w:szCs w:val="16"/>
              <w:lang w:val="zh-CN"/>
            </w:rPr>
            <w:fldChar w:fldCharType="begin"/>
          </w:r>
          <w:r>
            <w:rPr>
              <w:bCs/>
              <w:color w:val="auto"/>
              <w:szCs w:val="16"/>
              <w:lang w:val="zh-CN"/>
            </w:rPr>
            <w:instrText xml:space="preserve"> HYPERLINK \l _Toc13258 </w:instrText>
          </w:r>
          <w:r>
            <w:rPr>
              <w:bCs/>
              <w:color w:val="auto"/>
              <w:szCs w:val="16"/>
              <w:lang w:val="zh-CN"/>
            </w:rPr>
            <w:fldChar w:fldCharType="separate"/>
          </w:r>
          <w:r>
            <w:rPr>
              <w:rFonts w:hint="default" w:ascii="Times New Roman" w:hAnsi="Times New Roman" w:cs="Times New Roman"/>
              <w:color w:val="auto"/>
            </w:rPr>
            <w:t>4.4.4 河道管理线(外缘控制线)的计算</w:t>
          </w:r>
          <w:r>
            <w:rPr>
              <w:color w:val="auto"/>
            </w:rPr>
            <w:tab/>
          </w:r>
          <w:r>
            <w:rPr>
              <w:color w:val="auto"/>
            </w:rPr>
            <w:fldChar w:fldCharType="begin"/>
          </w:r>
          <w:r>
            <w:rPr>
              <w:color w:val="auto"/>
            </w:rPr>
            <w:instrText xml:space="preserve"> PAGEREF _Toc13258 \h </w:instrText>
          </w:r>
          <w:r>
            <w:rPr>
              <w:color w:val="auto"/>
            </w:rPr>
            <w:fldChar w:fldCharType="separate"/>
          </w:r>
          <w:r>
            <w:rPr>
              <w:color w:val="auto"/>
            </w:rPr>
            <w:t>29</w:t>
          </w:r>
          <w:r>
            <w:rPr>
              <w:color w:val="auto"/>
            </w:rPr>
            <w:fldChar w:fldCharType="end"/>
          </w:r>
          <w:r>
            <w:rPr>
              <w:bCs/>
              <w:color w:val="auto"/>
              <w:szCs w:val="16"/>
              <w:lang w:val="zh-CN"/>
            </w:rPr>
            <w:fldChar w:fldCharType="end"/>
          </w:r>
        </w:p>
        <w:p w14:paraId="47DD5C8E">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_Toc26424 </w:instrText>
          </w:r>
          <w:r>
            <w:rPr>
              <w:bCs/>
              <w:color w:val="auto"/>
              <w:szCs w:val="16"/>
              <w:lang w:val="zh-CN"/>
            </w:rPr>
            <w:fldChar w:fldCharType="separate"/>
          </w:r>
          <w:r>
            <w:rPr>
              <w:rFonts w:hint="eastAsia"/>
              <w:color w:val="auto"/>
            </w:rPr>
            <w:t>5</w:t>
          </w:r>
          <w:r>
            <w:rPr>
              <w:color w:val="auto"/>
            </w:rPr>
            <w:t>管理范围线划定</w:t>
          </w:r>
          <w:r>
            <w:rPr>
              <w:color w:val="auto"/>
            </w:rPr>
            <w:tab/>
          </w:r>
          <w:r>
            <w:rPr>
              <w:color w:val="auto"/>
            </w:rPr>
            <w:fldChar w:fldCharType="begin"/>
          </w:r>
          <w:r>
            <w:rPr>
              <w:color w:val="auto"/>
            </w:rPr>
            <w:instrText xml:space="preserve"> PAGEREF _Toc26424 \h </w:instrText>
          </w:r>
          <w:r>
            <w:rPr>
              <w:color w:val="auto"/>
            </w:rPr>
            <w:fldChar w:fldCharType="separate"/>
          </w:r>
          <w:r>
            <w:rPr>
              <w:color w:val="auto"/>
            </w:rPr>
            <w:t>41</w:t>
          </w:r>
          <w:r>
            <w:rPr>
              <w:color w:val="auto"/>
            </w:rPr>
            <w:fldChar w:fldCharType="end"/>
          </w:r>
          <w:r>
            <w:rPr>
              <w:bCs/>
              <w:color w:val="auto"/>
              <w:szCs w:val="16"/>
              <w:lang w:val="zh-CN"/>
            </w:rPr>
            <w:fldChar w:fldCharType="end"/>
          </w:r>
        </w:p>
        <w:p w14:paraId="507D9801">
          <w:pPr>
            <w:pStyle w:val="21"/>
            <w:tabs>
              <w:tab w:val="right" w:leader="dot" w:pos="8306"/>
            </w:tabs>
            <w:rPr>
              <w:color w:val="auto"/>
            </w:rPr>
          </w:pPr>
          <w:r>
            <w:rPr>
              <w:bCs/>
              <w:color w:val="auto"/>
              <w:szCs w:val="16"/>
              <w:lang w:val="zh-CN"/>
            </w:rPr>
            <w:fldChar w:fldCharType="begin"/>
          </w:r>
          <w:r>
            <w:rPr>
              <w:bCs/>
              <w:color w:val="auto"/>
              <w:szCs w:val="16"/>
              <w:lang w:val="zh-CN"/>
            </w:rPr>
            <w:instrText xml:space="preserve"> HYPERLINK \l _Toc30688 </w:instrText>
          </w:r>
          <w:r>
            <w:rPr>
              <w:bCs/>
              <w:color w:val="auto"/>
              <w:szCs w:val="16"/>
              <w:lang w:val="zh-CN"/>
            </w:rPr>
            <w:fldChar w:fldCharType="separate"/>
          </w:r>
          <w:r>
            <w:rPr>
              <w:rFonts w:hint="eastAsia"/>
              <w:bCs w:val="0"/>
              <w:color w:val="auto"/>
            </w:rPr>
            <w:t>5</w:t>
          </w:r>
          <w:r>
            <w:rPr>
              <w:bCs w:val="0"/>
              <w:color w:val="auto"/>
            </w:rPr>
            <w:t>、划界标准</w:t>
          </w:r>
          <w:r>
            <w:rPr>
              <w:color w:val="auto"/>
            </w:rPr>
            <w:tab/>
          </w:r>
          <w:r>
            <w:rPr>
              <w:color w:val="auto"/>
            </w:rPr>
            <w:fldChar w:fldCharType="begin"/>
          </w:r>
          <w:r>
            <w:rPr>
              <w:color w:val="auto"/>
            </w:rPr>
            <w:instrText xml:space="preserve"> PAGEREF _Toc30688 \h </w:instrText>
          </w:r>
          <w:r>
            <w:rPr>
              <w:color w:val="auto"/>
            </w:rPr>
            <w:fldChar w:fldCharType="separate"/>
          </w:r>
          <w:r>
            <w:rPr>
              <w:color w:val="auto"/>
            </w:rPr>
            <w:t>42</w:t>
          </w:r>
          <w:r>
            <w:rPr>
              <w:color w:val="auto"/>
            </w:rPr>
            <w:fldChar w:fldCharType="end"/>
          </w:r>
          <w:r>
            <w:rPr>
              <w:bCs/>
              <w:color w:val="auto"/>
              <w:szCs w:val="16"/>
              <w:lang w:val="zh-CN"/>
            </w:rPr>
            <w:fldChar w:fldCharType="end"/>
          </w:r>
        </w:p>
        <w:p w14:paraId="576792D2">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_Toc22080 </w:instrText>
          </w:r>
          <w:r>
            <w:rPr>
              <w:bCs/>
              <w:color w:val="auto"/>
              <w:szCs w:val="16"/>
              <w:lang w:val="zh-CN"/>
            </w:rPr>
            <w:fldChar w:fldCharType="separate"/>
          </w:r>
          <w:r>
            <w:rPr>
              <w:rFonts w:hint="eastAsia" w:cs="Times New Roman"/>
              <w:color w:val="auto"/>
            </w:rPr>
            <w:t>5</w:t>
          </w:r>
          <w:r>
            <w:rPr>
              <w:rFonts w:cs="Times New Roman"/>
              <w:color w:val="auto"/>
            </w:rPr>
            <w:t>.1 防洪标准</w:t>
          </w:r>
          <w:r>
            <w:rPr>
              <w:color w:val="auto"/>
            </w:rPr>
            <w:tab/>
          </w:r>
          <w:r>
            <w:rPr>
              <w:color w:val="auto"/>
            </w:rPr>
            <w:fldChar w:fldCharType="begin"/>
          </w:r>
          <w:r>
            <w:rPr>
              <w:color w:val="auto"/>
            </w:rPr>
            <w:instrText xml:space="preserve"> PAGEREF _Toc22080 \h </w:instrText>
          </w:r>
          <w:r>
            <w:rPr>
              <w:color w:val="auto"/>
            </w:rPr>
            <w:fldChar w:fldCharType="separate"/>
          </w:r>
          <w:r>
            <w:rPr>
              <w:color w:val="auto"/>
            </w:rPr>
            <w:t>42</w:t>
          </w:r>
          <w:r>
            <w:rPr>
              <w:color w:val="auto"/>
            </w:rPr>
            <w:fldChar w:fldCharType="end"/>
          </w:r>
          <w:r>
            <w:rPr>
              <w:bCs/>
              <w:color w:val="auto"/>
              <w:szCs w:val="16"/>
              <w:lang w:val="zh-CN"/>
            </w:rPr>
            <w:fldChar w:fldCharType="end"/>
          </w:r>
        </w:p>
        <w:p w14:paraId="755842A7">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_Toc5767 </w:instrText>
          </w:r>
          <w:r>
            <w:rPr>
              <w:bCs/>
              <w:color w:val="auto"/>
              <w:szCs w:val="16"/>
              <w:lang w:val="zh-CN"/>
            </w:rPr>
            <w:fldChar w:fldCharType="separate"/>
          </w:r>
          <w:r>
            <w:rPr>
              <w:rFonts w:hint="eastAsia" w:cs="Times New Roman"/>
              <w:color w:val="auto"/>
            </w:rPr>
            <w:t>5</w:t>
          </w:r>
          <w:r>
            <w:rPr>
              <w:rFonts w:cs="Times New Roman"/>
              <w:color w:val="auto"/>
            </w:rPr>
            <w:t>.2 河道管理线(外缘控制线)确定标准</w:t>
          </w:r>
          <w:r>
            <w:rPr>
              <w:color w:val="auto"/>
            </w:rPr>
            <w:tab/>
          </w:r>
          <w:r>
            <w:rPr>
              <w:color w:val="auto"/>
            </w:rPr>
            <w:fldChar w:fldCharType="begin"/>
          </w:r>
          <w:r>
            <w:rPr>
              <w:color w:val="auto"/>
            </w:rPr>
            <w:instrText xml:space="preserve"> PAGEREF _Toc5767 \h </w:instrText>
          </w:r>
          <w:r>
            <w:rPr>
              <w:color w:val="auto"/>
            </w:rPr>
            <w:fldChar w:fldCharType="separate"/>
          </w:r>
          <w:r>
            <w:rPr>
              <w:color w:val="auto"/>
            </w:rPr>
            <w:t>42</w:t>
          </w:r>
          <w:r>
            <w:rPr>
              <w:color w:val="auto"/>
            </w:rPr>
            <w:fldChar w:fldCharType="end"/>
          </w:r>
          <w:r>
            <w:rPr>
              <w:bCs/>
              <w:color w:val="auto"/>
              <w:szCs w:val="16"/>
              <w:lang w:val="zh-CN"/>
            </w:rPr>
            <w:fldChar w:fldCharType="end"/>
          </w:r>
        </w:p>
        <w:p w14:paraId="4BC11A1C">
          <w:pPr>
            <w:pStyle w:val="15"/>
            <w:tabs>
              <w:tab w:val="right" w:leader="dot" w:pos="8306"/>
            </w:tabs>
            <w:rPr>
              <w:color w:val="auto"/>
            </w:rPr>
          </w:pPr>
          <w:r>
            <w:rPr>
              <w:bCs/>
              <w:color w:val="auto"/>
              <w:szCs w:val="16"/>
              <w:lang w:val="zh-CN"/>
            </w:rPr>
            <w:fldChar w:fldCharType="begin"/>
          </w:r>
          <w:r>
            <w:rPr>
              <w:bCs/>
              <w:color w:val="auto"/>
              <w:szCs w:val="16"/>
              <w:lang w:val="zh-CN"/>
            </w:rPr>
            <w:instrText xml:space="preserve"> HYPERLINK \l _Toc24109 </w:instrText>
          </w:r>
          <w:r>
            <w:rPr>
              <w:bCs/>
              <w:color w:val="auto"/>
              <w:szCs w:val="16"/>
              <w:lang w:val="zh-CN"/>
            </w:rPr>
            <w:fldChar w:fldCharType="separate"/>
          </w:r>
          <w:r>
            <w:rPr>
              <w:rFonts w:hint="eastAsia"/>
              <w:color w:val="auto"/>
            </w:rPr>
            <w:t>5</w:t>
          </w:r>
          <w:r>
            <w:rPr>
              <w:color w:val="auto"/>
            </w:rPr>
            <w:t>.2.1 河道管理范围确定</w:t>
          </w:r>
          <w:r>
            <w:rPr>
              <w:color w:val="auto"/>
            </w:rPr>
            <w:tab/>
          </w:r>
          <w:r>
            <w:rPr>
              <w:color w:val="auto"/>
            </w:rPr>
            <w:fldChar w:fldCharType="begin"/>
          </w:r>
          <w:r>
            <w:rPr>
              <w:color w:val="auto"/>
            </w:rPr>
            <w:instrText xml:space="preserve"> PAGEREF _Toc24109 \h </w:instrText>
          </w:r>
          <w:r>
            <w:rPr>
              <w:color w:val="auto"/>
            </w:rPr>
            <w:fldChar w:fldCharType="separate"/>
          </w:r>
          <w:r>
            <w:rPr>
              <w:color w:val="auto"/>
            </w:rPr>
            <w:t>42</w:t>
          </w:r>
          <w:r>
            <w:rPr>
              <w:color w:val="auto"/>
            </w:rPr>
            <w:fldChar w:fldCharType="end"/>
          </w:r>
          <w:r>
            <w:rPr>
              <w:bCs/>
              <w:color w:val="auto"/>
              <w:szCs w:val="16"/>
              <w:lang w:val="zh-CN"/>
            </w:rPr>
            <w:fldChar w:fldCharType="end"/>
          </w:r>
        </w:p>
        <w:p w14:paraId="009B68D6">
          <w:pPr>
            <w:pStyle w:val="15"/>
            <w:tabs>
              <w:tab w:val="right" w:leader="dot" w:pos="8306"/>
            </w:tabs>
            <w:rPr>
              <w:color w:val="auto"/>
            </w:rPr>
          </w:pPr>
          <w:r>
            <w:rPr>
              <w:bCs/>
              <w:color w:val="auto"/>
              <w:szCs w:val="16"/>
              <w:lang w:val="zh-CN"/>
            </w:rPr>
            <w:fldChar w:fldCharType="begin"/>
          </w:r>
          <w:r>
            <w:rPr>
              <w:bCs/>
              <w:color w:val="auto"/>
              <w:szCs w:val="16"/>
              <w:lang w:val="zh-CN"/>
            </w:rPr>
            <w:instrText xml:space="preserve"> HYPERLINK \l _Toc23993 </w:instrText>
          </w:r>
          <w:r>
            <w:rPr>
              <w:bCs/>
              <w:color w:val="auto"/>
              <w:szCs w:val="16"/>
              <w:lang w:val="zh-CN"/>
            </w:rPr>
            <w:fldChar w:fldCharType="separate"/>
          </w:r>
          <w:r>
            <w:rPr>
              <w:rFonts w:hint="eastAsia"/>
              <w:color w:val="auto"/>
            </w:rPr>
            <w:t>5</w:t>
          </w:r>
          <w:r>
            <w:rPr>
              <w:color w:val="auto"/>
            </w:rPr>
            <w:t>.2.2 有堤防河道管理范围划定</w:t>
          </w:r>
          <w:r>
            <w:rPr>
              <w:color w:val="auto"/>
            </w:rPr>
            <w:tab/>
          </w:r>
          <w:r>
            <w:rPr>
              <w:color w:val="auto"/>
            </w:rPr>
            <w:fldChar w:fldCharType="begin"/>
          </w:r>
          <w:r>
            <w:rPr>
              <w:color w:val="auto"/>
            </w:rPr>
            <w:instrText xml:space="preserve"> PAGEREF _Toc23993 \h </w:instrText>
          </w:r>
          <w:r>
            <w:rPr>
              <w:color w:val="auto"/>
            </w:rPr>
            <w:fldChar w:fldCharType="separate"/>
          </w:r>
          <w:r>
            <w:rPr>
              <w:color w:val="auto"/>
            </w:rPr>
            <w:t>42</w:t>
          </w:r>
          <w:r>
            <w:rPr>
              <w:color w:val="auto"/>
            </w:rPr>
            <w:fldChar w:fldCharType="end"/>
          </w:r>
          <w:r>
            <w:rPr>
              <w:bCs/>
              <w:color w:val="auto"/>
              <w:szCs w:val="16"/>
              <w:lang w:val="zh-CN"/>
            </w:rPr>
            <w:fldChar w:fldCharType="end"/>
          </w:r>
        </w:p>
        <w:p w14:paraId="25FA86AB">
          <w:pPr>
            <w:pStyle w:val="15"/>
            <w:tabs>
              <w:tab w:val="right" w:leader="dot" w:pos="8306"/>
            </w:tabs>
            <w:rPr>
              <w:color w:val="auto"/>
            </w:rPr>
          </w:pPr>
          <w:r>
            <w:rPr>
              <w:bCs/>
              <w:color w:val="auto"/>
              <w:szCs w:val="16"/>
              <w:lang w:val="zh-CN"/>
            </w:rPr>
            <w:fldChar w:fldCharType="begin"/>
          </w:r>
          <w:r>
            <w:rPr>
              <w:bCs/>
              <w:color w:val="auto"/>
              <w:szCs w:val="16"/>
              <w:lang w:val="zh-CN"/>
            </w:rPr>
            <w:instrText xml:space="preserve"> HYPERLINK \l _Toc19402 </w:instrText>
          </w:r>
          <w:r>
            <w:rPr>
              <w:bCs/>
              <w:color w:val="auto"/>
              <w:szCs w:val="16"/>
              <w:lang w:val="zh-CN"/>
            </w:rPr>
            <w:fldChar w:fldCharType="separate"/>
          </w:r>
          <w:r>
            <w:rPr>
              <w:rFonts w:hint="eastAsia"/>
              <w:color w:val="auto"/>
            </w:rPr>
            <w:t>5</w:t>
          </w:r>
          <w:r>
            <w:rPr>
              <w:color w:val="auto"/>
            </w:rPr>
            <w:t>.2.3 无堤防河道管理范围划定</w:t>
          </w:r>
          <w:r>
            <w:rPr>
              <w:color w:val="auto"/>
            </w:rPr>
            <w:tab/>
          </w:r>
          <w:r>
            <w:rPr>
              <w:color w:val="auto"/>
            </w:rPr>
            <w:fldChar w:fldCharType="begin"/>
          </w:r>
          <w:r>
            <w:rPr>
              <w:color w:val="auto"/>
            </w:rPr>
            <w:instrText xml:space="preserve"> PAGEREF _Toc19402 \h </w:instrText>
          </w:r>
          <w:r>
            <w:rPr>
              <w:color w:val="auto"/>
            </w:rPr>
            <w:fldChar w:fldCharType="separate"/>
          </w:r>
          <w:r>
            <w:rPr>
              <w:color w:val="auto"/>
            </w:rPr>
            <w:t>43</w:t>
          </w:r>
          <w:r>
            <w:rPr>
              <w:color w:val="auto"/>
            </w:rPr>
            <w:fldChar w:fldCharType="end"/>
          </w:r>
          <w:r>
            <w:rPr>
              <w:bCs/>
              <w:color w:val="auto"/>
              <w:szCs w:val="16"/>
              <w:lang w:val="zh-CN"/>
            </w:rPr>
            <w:fldChar w:fldCharType="end"/>
          </w:r>
        </w:p>
        <w:p w14:paraId="1B7FD6B7">
          <w:pPr>
            <w:pStyle w:val="15"/>
            <w:tabs>
              <w:tab w:val="right" w:leader="dot" w:pos="8306"/>
            </w:tabs>
            <w:rPr>
              <w:color w:val="auto"/>
            </w:rPr>
          </w:pPr>
          <w:r>
            <w:rPr>
              <w:bCs/>
              <w:color w:val="auto"/>
              <w:szCs w:val="16"/>
              <w:lang w:val="zh-CN"/>
            </w:rPr>
            <w:fldChar w:fldCharType="begin"/>
          </w:r>
          <w:r>
            <w:rPr>
              <w:bCs/>
              <w:color w:val="auto"/>
              <w:szCs w:val="16"/>
              <w:lang w:val="zh-CN"/>
            </w:rPr>
            <w:instrText xml:space="preserve"> HYPERLINK \l _Toc10984 </w:instrText>
          </w:r>
          <w:r>
            <w:rPr>
              <w:bCs/>
              <w:color w:val="auto"/>
              <w:szCs w:val="16"/>
              <w:lang w:val="zh-CN"/>
            </w:rPr>
            <w:fldChar w:fldCharType="separate"/>
          </w:r>
          <w:r>
            <w:rPr>
              <w:rFonts w:hint="eastAsia"/>
              <w:color w:val="auto"/>
            </w:rPr>
            <w:t>5</w:t>
          </w:r>
          <w:r>
            <w:rPr>
              <w:color w:val="auto"/>
            </w:rPr>
            <w:t>.2.4 水利水电工程库区河道</w:t>
          </w:r>
          <w:r>
            <w:rPr>
              <w:color w:val="auto"/>
            </w:rPr>
            <w:tab/>
          </w:r>
          <w:r>
            <w:rPr>
              <w:color w:val="auto"/>
            </w:rPr>
            <w:fldChar w:fldCharType="begin"/>
          </w:r>
          <w:r>
            <w:rPr>
              <w:color w:val="auto"/>
            </w:rPr>
            <w:instrText xml:space="preserve"> PAGEREF _Toc10984 \h </w:instrText>
          </w:r>
          <w:r>
            <w:rPr>
              <w:color w:val="auto"/>
            </w:rPr>
            <w:fldChar w:fldCharType="separate"/>
          </w:r>
          <w:r>
            <w:rPr>
              <w:color w:val="auto"/>
            </w:rPr>
            <w:t>43</w:t>
          </w:r>
          <w:r>
            <w:rPr>
              <w:color w:val="auto"/>
            </w:rPr>
            <w:fldChar w:fldCharType="end"/>
          </w:r>
          <w:r>
            <w:rPr>
              <w:bCs/>
              <w:color w:val="auto"/>
              <w:szCs w:val="16"/>
              <w:lang w:val="zh-CN"/>
            </w:rPr>
            <w:fldChar w:fldCharType="end"/>
          </w:r>
        </w:p>
        <w:p w14:paraId="44344DC9">
          <w:pPr>
            <w:pStyle w:val="15"/>
            <w:tabs>
              <w:tab w:val="right" w:leader="dot" w:pos="8306"/>
            </w:tabs>
            <w:rPr>
              <w:color w:val="auto"/>
            </w:rPr>
          </w:pPr>
          <w:r>
            <w:rPr>
              <w:bCs/>
              <w:color w:val="auto"/>
              <w:szCs w:val="16"/>
              <w:lang w:val="zh-CN"/>
            </w:rPr>
            <w:fldChar w:fldCharType="begin"/>
          </w:r>
          <w:r>
            <w:rPr>
              <w:bCs/>
              <w:color w:val="auto"/>
              <w:szCs w:val="16"/>
              <w:lang w:val="zh-CN"/>
            </w:rPr>
            <w:instrText xml:space="preserve"> HYPERLINK \l _Toc844 </w:instrText>
          </w:r>
          <w:r>
            <w:rPr>
              <w:bCs/>
              <w:color w:val="auto"/>
              <w:szCs w:val="16"/>
              <w:lang w:val="zh-CN"/>
            </w:rPr>
            <w:fldChar w:fldCharType="separate"/>
          </w:r>
          <w:r>
            <w:rPr>
              <w:rFonts w:hint="eastAsia"/>
              <w:color w:val="auto"/>
            </w:rPr>
            <w:t>5</w:t>
          </w:r>
          <w:r>
            <w:rPr>
              <w:color w:val="auto"/>
            </w:rPr>
            <w:t xml:space="preserve">.2.5 </w:t>
          </w:r>
          <w:r>
            <w:rPr>
              <w:rFonts w:hint="eastAsia"/>
              <w:color w:val="auto"/>
            </w:rPr>
            <w:t>涉河建筑物管理范围</w:t>
          </w:r>
          <w:r>
            <w:rPr>
              <w:color w:val="auto"/>
            </w:rPr>
            <w:tab/>
          </w:r>
          <w:r>
            <w:rPr>
              <w:color w:val="auto"/>
            </w:rPr>
            <w:fldChar w:fldCharType="begin"/>
          </w:r>
          <w:r>
            <w:rPr>
              <w:color w:val="auto"/>
            </w:rPr>
            <w:instrText xml:space="preserve"> PAGEREF _Toc844 \h </w:instrText>
          </w:r>
          <w:r>
            <w:rPr>
              <w:color w:val="auto"/>
            </w:rPr>
            <w:fldChar w:fldCharType="separate"/>
          </w:r>
          <w:r>
            <w:rPr>
              <w:color w:val="auto"/>
            </w:rPr>
            <w:t>43</w:t>
          </w:r>
          <w:r>
            <w:rPr>
              <w:color w:val="auto"/>
            </w:rPr>
            <w:fldChar w:fldCharType="end"/>
          </w:r>
          <w:r>
            <w:rPr>
              <w:bCs/>
              <w:color w:val="auto"/>
              <w:szCs w:val="16"/>
              <w:lang w:val="zh-CN"/>
            </w:rPr>
            <w:fldChar w:fldCharType="end"/>
          </w:r>
        </w:p>
        <w:p w14:paraId="3703C69D">
          <w:pPr>
            <w:pStyle w:val="15"/>
            <w:tabs>
              <w:tab w:val="right" w:leader="dot" w:pos="8306"/>
            </w:tabs>
            <w:rPr>
              <w:color w:val="auto"/>
            </w:rPr>
          </w:pPr>
          <w:r>
            <w:rPr>
              <w:bCs/>
              <w:color w:val="auto"/>
              <w:szCs w:val="16"/>
              <w:lang w:val="zh-CN"/>
            </w:rPr>
            <w:fldChar w:fldCharType="begin"/>
          </w:r>
          <w:r>
            <w:rPr>
              <w:bCs/>
              <w:color w:val="auto"/>
              <w:szCs w:val="16"/>
              <w:lang w:val="zh-CN"/>
            </w:rPr>
            <w:instrText xml:space="preserve"> HYPERLINK \l _Toc982 </w:instrText>
          </w:r>
          <w:r>
            <w:rPr>
              <w:bCs/>
              <w:color w:val="auto"/>
              <w:szCs w:val="16"/>
              <w:lang w:val="zh-CN"/>
            </w:rPr>
            <w:fldChar w:fldCharType="separate"/>
          </w:r>
          <w:r>
            <w:rPr>
              <w:rFonts w:hint="eastAsia"/>
              <w:color w:val="auto"/>
            </w:rPr>
            <w:t>5</w:t>
          </w:r>
          <w:r>
            <w:rPr>
              <w:color w:val="auto"/>
            </w:rPr>
            <w:t>.2.</w:t>
          </w:r>
          <w:r>
            <w:rPr>
              <w:rFonts w:hint="eastAsia"/>
              <w:color w:val="auto"/>
            </w:rPr>
            <w:t>6</w:t>
          </w:r>
          <w:r>
            <w:rPr>
              <w:color w:val="auto"/>
            </w:rPr>
            <w:t xml:space="preserve"> 其他情况</w:t>
          </w:r>
          <w:r>
            <w:rPr>
              <w:color w:val="auto"/>
            </w:rPr>
            <w:tab/>
          </w:r>
          <w:r>
            <w:rPr>
              <w:color w:val="auto"/>
            </w:rPr>
            <w:fldChar w:fldCharType="begin"/>
          </w:r>
          <w:r>
            <w:rPr>
              <w:color w:val="auto"/>
            </w:rPr>
            <w:instrText xml:space="preserve"> PAGEREF _Toc982 \h </w:instrText>
          </w:r>
          <w:r>
            <w:rPr>
              <w:color w:val="auto"/>
            </w:rPr>
            <w:fldChar w:fldCharType="separate"/>
          </w:r>
          <w:r>
            <w:rPr>
              <w:color w:val="auto"/>
            </w:rPr>
            <w:t>45</w:t>
          </w:r>
          <w:r>
            <w:rPr>
              <w:color w:val="auto"/>
            </w:rPr>
            <w:fldChar w:fldCharType="end"/>
          </w:r>
          <w:r>
            <w:rPr>
              <w:bCs/>
              <w:color w:val="auto"/>
              <w:szCs w:val="16"/>
              <w:lang w:val="zh-CN"/>
            </w:rPr>
            <w:fldChar w:fldCharType="end"/>
          </w:r>
        </w:p>
        <w:p w14:paraId="63630057">
          <w:pPr>
            <w:pStyle w:val="21"/>
            <w:tabs>
              <w:tab w:val="right" w:leader="dot" w:pos="8306"/>
            </w:tabs>
            <w:rPr>
              <w:color w:val="auto"/>
            </w:rPr>
          </w:pPr>
          <w:r>
            <w:rPr>
              <w:bCs/>
              <w:color w:val="auto"/>
              <w:szCs w:val="16"/>
              <w:lang w:val="zh-CN"/>
            </w:rPr>
            <w:fldChar w:fldCharType="begin"/>
          </w:r>
          <w:r>
            <w:rPr>
              <w:bCs/>
              <w:color w:val="auto"/>
              <w:szCs w:val="16"/>
              <w:lang w:val="zh-CN"/>
            </w:rPr>
            <w:instrText xml:space="preserve"> HYPERLINK \l _Toc25670 </w:instrText>
          </w:r>
          <w:r>
            <w:rPr>
              <w:bCs/>
              <w:color w:val="auto"/>
              <w:szCs w:val="16"/>
              <w:lang w:val="zh-CN"/>
            </w:rPr>
            <w:fldChar w:fldCharType="separate"/>
          </w:r>
          <w:r>
            <w:rPr>
              <w:rFonts w:hint="eastAsia"/>
              <w:color w:val="auto"/>
            </w:rPr>
            <w:t>6</w:t>
          </w:r>
          <w:r>
            <w:rPr>
              <w:color w:val="auto"/>
            </w:rPr>
            <w:t>、划界成果及应用</w:t>
          </w:r>
          <w:r>
            <w:rPr>
              <w:color w:val="auto"/>
            </w:rPr>
            <w:tab/>
          </w:r>
          <w:r>
            <w:rPr>
              <w:color w:val="auto"/>
            </w:rPr>
            <w:fldChar w:fldCharType="begin"/>
          </w:r>
          <w:r>
            <w:rPr>
              <w:color w:val="auto"/>
            </w:rPr>
            <w:instrText xml:space="preserve"> PAGEREF _Toc25670 \h </w:instrText>
          </w:r>
          <w:r>
            <w:rPr>
              <w:color w:val="auto"/>
            </w:rPr>
            <w:fldChar w:fldCharType="separate"/>
          </w:r>
          <w:r>
            <w:rPr>
              <w:color w:val="auto"/>
            </w:rPr>
            <w:t>45</w:t>
          </w:r>
          <w:r>
            <w:rPr>
              <w:color w:val="auto"/>
            </w:rPr>
            <w:fldChar w:fldCharType="end"/>
          </w:r>
          <w:r>
            <w:rPr>
              <w:bCs/>
              <w:color w:val="auto"/>
              <w:szCs w:val="16"/>
              <w:lang w:val="zh-CN"/>
            </w:rPr>
            <w:fldChar w:fldCharType="end"/>
          </w:r>
        </w:p>
        <w:p w14:paraId="685A4821">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_Toc24381 </w:instrText>
          </w:r>
          <w:r>
            <w:rPr>
              <w:bCs/>
              <w:color w:val="auto"/>
              <w:szCs w:val="16"/>
              <w:lang w:val="zh-CN"/>
            </w:rPr>
            <w:fldChar w:fldCharType="separate"/>
          </w:r>
          <w:r>
            <w:rPr>
              <w:rFonts w:hint="eastAsia"/>
              <w:color w:val="auto"/>
            </w:rPr>
            <w:t>6.1</w:t>
          </w:r>
          <w:r>
            <w:rPr>
              <w:color w:val="auto"/>
            </w:rPr>
            <w:t>划界成果</w:t>
          </w:r>
          <w:r>
            <w:rPr>
              <w:color w:val="auto"/>
            </w:rPr>
            <w:tab/>
          </w:r>
          <w:r>
            <w:rPr>
              <w:color w:val="auto"/>
            </w:rPr>
            <w:fldChar w:fldCharType="begin"/>
          </w:r>
          <w:r>
            <w:rPr>
              <w:color w:val="auto"/>
            </w:rPr>
            <w:instrText xml:space="preserve"> PAGEREF _Toc24381 \h </w:instrText>
          </w:r>
          <w:r>
            <w:rPr>
              <w:color w:val="auto"/>
            </w:rPr>
            <w:fldChar w:fldCharType="separate"/>
          </w:r>
          <w:r>
            <w:rPr>
              <w:color w:val="auto"/>
            </w:rPr>
            <w:t>45</w:t>
          </w:r>
          <w:r>
            <w:rPr>
              <w:color w:val="auto"/>
            </w:rPr>
            <w:fldChar w:fldCharType="end"/>
          </w:r>
          <w:r>
            <w:rPr>
              <w:bCs/>
              <w:color w:val="auto"/>
              <w:szCs w:val="16"/>
              <w:lang w:val="zh-CN"/>
            </w:rPr>
            <w:fldChar w:fldCharType="end"/>
          </w:r>
        </w:p>
        <w:p w14:paraId="54228D68">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_Toc4660 </w:instrText>
          </w:r>
          <w:r>
            <w:rPr>
              <w:bCs/>
              <w:color w:val="auto"/>
              <w:szCs w:val="16"/>
              <w:lang w:val="zh-CN"/>
            </w:rPr>
            <w:fldChar w:fldCharType="separate"/>
          </w:r>
          <w:r>
            <w:rPr>
              <w:rFonts w:hint="eastAsia"/>
              <w:color w:val="auto"/>
            </w:rPr>
            <w:t>6.2</w:t>
          </w:r>
          <w:r>
            <w:rPr>
              <w:color w:val="auto"/>
            </w:rPr>
            <w:t>成果应用</w:t>
          </w:r>
          <w:r>
            <w:rPr>
              <w:color w:val="auto"/>
            </w:rPr>
            <w:tab/>
          </w:r>
          <w:r>
            <w:rPr>
              <w:color w:val="auto"/>
            </w:rPr>
            <w:fldChar w:fldCharType="begin"/>
          </w:r>
          <w:r>
            <w:rPr>
              <w:color w:val="auto"/>
            </w:rPr>
            <w:instrText xml:space="preserve"> PAGEREF _Toc4660 \h </w:instrText>
          </w:r>
          <w:r>
            <w:rPr>
              <w:color w:val="auto"/>
            </w:rPr>
            <w:fldChar w:fldCharType="separate"/>
          </w:r>
          <w:r>
            <w:rPr>
              <w:color w:val="auto"/>
            </w:rPr>
            <w:t>46</w:t>
          </w:r>
          <w:r>
            <w:rPr>
              <w:color w:val="auto"/>
            </w:rPr>
            <w:fldChar w:fldCharType="end"/>
          </w:r>
          <w:r>
            <w:rPr>
              <w:bCs/>
              <w:color w:val="auto"/>
              <w:szCs w:val="16"/>
              <w:lang w:val="zh-CN"/>
            </w:rPr>
            <w:fldChar w:fldCharType="end"/>
          </w:r>
        </w:p>
        <w:p w14:paraId="638C3757">
          <w:pPr>
            <w:pStyle w:val="21"/>
            <w:tabs>
              <w:tab w:val="right" w:leader="dot" w:pos="8306"/>
            </w:tabs>
            <w:rPr>
              <w:color w:val="auto"/>
            </w:rPr>
          </w:pPr>
          <w:r>
            <w:rPr>
              <w:bCs/>
              <w:color w:val="auto"/>
              <w:szCs w:val="16"/>
              <w:lang w:val="zh-CN"/>
            </w:rPr>
            <w:fldChar w:fldCharType="begin"/>
          </w:r>
          <w:r>
            <w:rPr>
              <w:bCs/>
              <w:color w:val="auto"/>
              <w:szCs w:val="16"/>
              <w:lang w:val="zh-CN"/>
            </w:rPr>
            <w:instrText xml:space="preserve"> HYPERLINK \l _Toc25514 </w:instrText>
          </w:r>
          <w:r>
            <w:rPr>
              <w:bCs/>
              <w:color w:val="auto"/>
              <w:szCs w:val="16"/>
              <w:lang w:val="zh-CN"/>
            </w:rPr>
            <w:fldChar w:fldCharType="separate"/>
          </w:r>
          <w:r>
            <w:rPr>
              <w:rFonts w:hint="eastAsia"/>
              <w:color w:val="auto"/>
            </w:rPr>
            <w:t>7</w:t>
          </w:r>
          <w:r>
            <w:rPr>
              <w:color w:val="auto"/>
            </w:rPr>
            <w:t>、保障措施</w:t>
          </w:r>
          <w:r>
            <w:rPr>
              <w:color w:val="auto"/>
            </w:rPr>
            <w:tab/>
          </w:r>
          <w:r>
            <w:rPr>
              <w:color w:val="auto"/>
            </w:rPr>
            <w:fldChar w:fldCharType="begin"/>
          </w:r>
          <w:r>
            <w:rPr>
              <w:color w:val="auto"/>
            </w:rPr>
            <w:instrText xml:space="preserve"> PAGEREF _Toc25514 \h </w:instrText>
          </w:r>
          <w:r>
            <w:rPr>
              <w:color w:val="auto"/>
            </w:rPr>
            <w:fldChar w:fldCharType="separate"/>
          </w:r>
          <w:r>
            <w:rPr>
              <w:color w:val="auto"/>
            </w:rPr>
            <w:t>47</w:t>
          </w:r>
          <w:r>
            <w:rPr>
              <w:color w:val="auto"/>
            </w:rPr>
            <w:fldChar w:fldCharType="end"/>
          </w:r>
          <w:r>
            <w:rPr>
              <w:bCs/>
              <w:color w:val="auto"/>
              <w:szCs w:val="16"/>
              <w:lang w:val="zh-CN"/>
            </w:rPr>
            <w:fldChar w:fldCharType="end"/>
          </w:r>
        </w:p>
        <w:p w14:paraId="5C7C6264">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_Toc28265 </w:instrText>
          </w:r>
          <w:r>
            <w:rPr>
              <w:bCs/>
              <w:color w:val="auto"/>
              <w:szCs w:val="16"/>
              <w:lang w:val="zh-CN"/>
            </w:rPr>
            <w:fldChar w:fldCharType="separate"/>
          </w:r>
          <w:r>
            <w:rPr>
              <w:rFonts w:hint="eastAsia"/>
              <w:color w:val="auto"/>
            </w:rPr>
            <w:t>7.1</w:t>
          </w:r>
          <w:r>
            <w:rPr>
              <w:color w:val="auto"/>
            </w:rPr>
            <w:t>组织保障</w:t>
          </w:r>
          <w:r>
            <w:rPr>
              <w:color w:val="auto"/>
            </w:rPr>
            <w:tab/>
          </w:r>
          <w:r>
            <w:rPr>
              <w:color w:val="auto"/>
            </w:rPr>
            <w:fldChar w:fldCharType="begin"/>
          </w:r>
          <w:r>
            <w:rPr>
              <w:color w:val="auto"/>
            </w:rPr>
            <w:instrText xml:space="preserve"> PAGEREF _Toc28265 \h </w:instrText>
          </w:r>
          <w:r>
            <w:rPr>
              <w:color w:val="auto"/>
            </w:rPr>
            <w:fldChar w:fldCharType="separate"/>
          </w:r>
          <w:r>
            <w:rPr>
              <w:color w:val="auto"/>
            </w:rPr>
            <w:t>47</w:t>
          </w:r>
          <w:r>
            <w:rPr>
              <w:color w:val="auto"/>
            </w:rPr>
            <w:fldChar w:fldCharType="end"/>
          </w:r>
          <w:r>
            <w:rPr>
              <w:bCs/>
              <w:color w:val="auto"/>
              <w:szCs w:val="16"/>
              <w:lang w:val="zh-CN"/>
            </w:rPr>
            <w:fldChar w:fldCharType="end"/>
          </w:r>
        </w:p>
        <w:p w14:paraId="43007624">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_Toc22070 </w:instrText>
          </w:r>
          <w:r>
            <w:rPr>
              <w:bCs/>
              <w:color w:val="auto"/>
              <w:szCs w:val="16"/>
              <w:lang w:val="zh-CN"/>
            </w:rPr>
            <w:fldChar w:fldCharType="separate"/>
          </w:r>
          <w:r>
            <w:rPr>
              <w:rFonts w:hint="eastAsia"/>
              <w:color w:val="auto"/>
            </w:rPr>
            <w:t>7.2</w:t>
          </w:r>
          <w:r>
            <w:rPr>
              <w:color w:val="auto"/>
            </w:rPr>
            <w:t>制度保障</w:t>
          </w:r>
          <w:r>
            <w:rPr>
              <w:color w:val="auto"/>
            </w:rPr>
            <w:tab/>
          </w:r>
          <w:r>
            <w:rPr>
              <w:color w:val="auto"/>
            </w:rPr>
            <w:fldChar w:fldCharType="begin"/>
          </w:r>
          <w:r>
            <w:rPr>
              <w:color w:val="auto"/>
            </w:rPr>
            <w:instrText xml:space="preserve"> PAGEREF _Toc22070 \h </w:instrText>
          </w:r>
          <w:r>
            <w:rPr>
              <w:color w:val="auto"/>
            </w:rPr>
            <w:fldChar w:fldCharType="separate"/>
          </w:r>
          <w:r>
            <w:rPr>
              <w:color w:val="auto"/>
            </w:rPr>
            <w:t>47</w:t>
          </w:r>
          <w:r>
            <w:rPr>
              <w:color w:val="auto"/>
            </w:rPr>
            <w:fldChar w:fldCharType="end"/>
          </w:r>
          <w:r>
            <w:rPr>
              <w:bCs/>
              <w:color w:val="auto"/>
              <w:szCs w:val="16"/>
              <w:lang w:val="zh-CN"/>
            </w:rPr>
            <w:fldChar w:fldCharType="end"/>
          </w:r>
        </w:p>
        <w:p w14:paraId="0D75CB50">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_Toc13925 </w:instrText>
          </w:r>
          <w:r>
            <w:rPr>
              <w:bCs/>
              <w:color w:val="auto"/>
              <w:szCs w:val="16"/>
              <w:lang w:val="zh-CN"/>
            </w:rPr>
            <w:fldChar w:fldCharType="separate"/>
          </w:r>
          <w:r>
            <w:rPr>
              <w:rFonts w:hint="eastAsia"/>
              <w:color w:val="auto"/>
            </w:rPr>
            <w:t>7.3</w:t>
          </w:r>
          <w:r>
            <w:rPr>
              <w:color w:val="auto"/>
            </w:rPr>
            <w:t>资金保障</w:t>
          </w:r>
          <w:r>
            <w:rPr>
              <w:color w:val="auto"/>
            </w:rPr>
            <w:tab/>
          </w:r>
          <w:r>
            <w:rPr>
              <w:color w:val="auto"/>
            </w:rPr>
            <w:fldChar w:fldCharType="begin"/>
          </w:r>
          <w:r>
            <w:rPr>
              <w:color w:val="auto"/>
            </w:rPr>
            <w:instrText xml:space="preserve"> PAGEREF _Toc13925 \h </w:instrText>
          </w:r>
          <w:r>
            <w:rPr>
              <w:color w:val="auto"/>
            </w:rPr>
            <w:fldChar w:fldCharType="separate"/>
          </w:r>
          <w:r>
            <w:rPr>
              <w:color w:val="auto"/>
            </w:rPr>
            <w:t>47</w:t>
          </w:r>
          <w:r>
            <w:rPr>
              <w:color w:val="auto"/>
            </w:rPr>
            <w:fldChar w:fldCharType="end"/>
          </w:r>
          <w:r>
            <w:rPr>
              <w:bCs/>
              <w:color w:val="auto"/>
              <w:szCs w:val="16"/>
              <w:lang w:val="zh-CN"/>
            </w:rPr>
            <w:fldChar w:fldCharType="end"/>
          </w:r>
        </w:p>
        <w:p w14:paraId="48BD60D6">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_Toc3 </w:instrText>
          </w:r>
          <w:r>
            <w:rPr>
              <w:bCs/>
              <w:color w:val="auto"/>
              <w:szCs w:val="16"/>
              <w:lang w:val="zh-CN"/>
            </w:rPr>
            <w:fldChar w:fldCharType="separate"/>
          </w:r>
          <w:r>
            <w:rPr>
              <w:rFonts w:hint="eastAsia"/>
              <w:color w:val="auto"/>
            </w:rPr>
            <w:t>7.4</w:t>
          </w:r>
          <w:r>
            <w:rPr>
              <w:color w:val="auto"/>
            </w:rPr>
            <w:t>技术保障</w:t>
          </w:r>
          <w:r>
            <w:rPr>
              <w:color w:val="auto"/>
            </w:rPr>
            <w:tab/>
          </w:r>
          <w:r>
            <w:rPr>
              <w:color w:val="auto"/>
            </w:rPr>
            <w:fldChar w:fldCharType="begin"/>
          </w:r>
          <w:r>
            <w:rPr>
              <w:color w:val="auto"/>
            </w:rPr>
            <w:instrText xml:space="preserve"> PAGEREF _Toc3 \h </w:instrText>
          </w:r>
          <w:r>
            <w:rPr>
              <w:color w:val="auto"/>
            </w:rPr>
            <w:fldChar w:fldCharType="separate"/>
          </w:r>
          <w:r>
            <w:rPr>
              <w:color w:val="auto"/>
            </w:rPr>
            <w:t>47</w:t>
          </w:r>
          <w:r>
            <w:rPr>
              <w:color w:val="auto"/>
            </w:rPr>
            <w:fldChar w:fldCharType="end"/>
          </w:r>
          <w:r>
            <w:rPr>
              <w:bCs/>
              <w:color w:val="auto"/>
              <w:szCs w:val="16"/>
              <w:lang w:val="zh-CN"/>
            </w:rPr>
            <w:fldChar w:fldCharType="end"/>
          </w:r>
        </w:p>
        <w:p w14:paraId="5551C06E">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_Toc4572 </w:instrText>
          </w:r>
          <w:r>
            <w:rPr>
              <w:bCs/>
              <w:color w:val="auto"/>
              <w:szCs w:val="16"/>
              <w:lang w:val="zh-CN"/>
            </w:rPr>
            <w:fldChar w:fldCharType="separate"/>
          </w:r>
          <w:r>
            <w:rPr>
              <w:rFonts w:hint="eastAsia"/>
              <w:color w:val="auto"/>
            </w:rPr>
            <w:t>7.5</w:t>
          </w:r>
          <w:r>
            <w:rPr>
              <w:color w:val="auto"/>
            </w:rPr>
            <w:t>宣传教育</w:t>
          </w:r>
          <w:r>
            <w:rPr>
              <w:color w:val="auto"/>
            </w:rPr>
            <w:tab/>
          </w:r>
          <w:r>
            <w:rPr>
              <w:color w:val="auto"/>
            </w:rPr>
            <w:fldChar w:fldCharType="begin"/>
          </w:r>
          <w:r>
            <w:rPr>
              <w:color w:val="auto"/>
            </w:rPr>
            <w:instrText xml:space="preserve"> PAGEREF _Toc4572 \h </w:instrText>
          </w:r>
          <w:r>
            <w:rPr>
              <w:color w:val="auto"/>
            </w:rPr>
            <w:fldChar w:fldCharType="separate"/>
          </w:r>
          <w:r>
            <w:rPr>
              <w:color w:val="auto"/>
            </w:rPr>
            <w:t>48</w:t>
          </w:r>
          <w:r>
            <w:rPr>
              <w:color w:val="auto"/>
            </w:rPr>
            <w:fldChar w:fldCharType="end"/>
          </w:r>
          <w:r>
            <w:rPr>
              <w:bCs/>
              <w:color w:val="auto"/>
              <w:szCs w:val="16"/>
              <w:lang w:val="zh-CN"/>
            </w:rPr>
            <w:fldChar w:fldCharType="end"/>
          </w:r>
        </w:p>
        <w:p w14:paraId="6CF13B6E">
          <w:pPr>
            <w:pStyle w:val="21"/>
            <w:tabs>
              <w:tab w:val="right" w:leader="dot" w:pos="8306"/>
            </w:tabs>
            <w:rPr>
              <w:color w:val="auto"/>
            </w:rPr>
          </w:pPr>
          <w:r>
            <w:rPr>
              <w:bCs/>
              <w:color w:val="auto"/>
              <w:szCs w:val="16"/>
              <w:lang w:val="zh-CN"/>
            </w:rPr>
            <w:fldChar w:fldCharType="begin"/>
          </w:r>
          <w:r>
            <w:rPr>
              <w:bCs/>
              <w:color w:val="auto"/>
              <w:szCs w:val="16"/>
              <w:lang w:val="zh-CN"/>
            </w:rPr>
            <w:instrText xml:space="preserve"> HYPERLINK \l _Toc18598 </w:instrText>
          </w:r>
          <w:r>
            <w:rPr>
              <w:bCs/>
              <w:color w:val="auto"/>
              <w:szCs w:val="16"/>
              <w:lang w:val="zh-CN"/>
            </w:rPr>
            <w:fldChar w:fldCharType="separate"/>
          </w:r>
          <w:r>
            <w:rPr>
              <w:rFonts w:hint="eastAsia"/>
              <w:color w:val="auto"/>
            </w:rPr>
            <w:t>8</w:t>
          </w:r>
          <w:r>
            <w:rPr>
              <w:color w:val="auto"/>
            </w:rPr>
            <w:t>、结论与建议</w:t>
          </w:r>
          <w:r>
            <w:rPr>
              <w:color w:val="auto"/>
            </w:rPr>
            <w:tab/>
          </w:r>
          <w:r>
            <w:rPr>
              <w:color w:val="auto"/>
            </w:rPr>
            <w:fldChar w:fldCharType="begin"/>
          </w:r>
          <w:r>
            <w:rPr>
              <w:color w:val="auto"/>
            </w:rPr>
            <w:instrText xml:space="preserve"> PAGEREF _Toc18598 \h </w:instrText>
          </w:r>
          <w:r>
            <w:rPr>
              <w:color w:val="auto"/>
            </w:rPr>
            <w:fldChar w:fldCharType="separate"/>
          </w:r>
          <w:r>
            <w:rPr>
              <w:color w:val="auto"/>
            </w:rPr>
            <w:t>48</w:t>
          </w:r>
          <w:r>
            <w:rPr>
              <w:color w:val="auto"/>
            </w:rPr>
            <w:fldChar w:fldCharType="end"/>
          </w:r>
          <w:r>
            <w:rPr>
              <w:bCs/>
              <w:color w:val="auto"/>
              <w:szCs w:val="16"/>
              <w:lang w:val="zh-CN"/>
            </w:rPr>
            <w:fldChar w:fldCharType="end"/>
          </w:r>
        </w:p>
        <w:p w14:paraId="551406B1">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_Toc30199 </w:instrText>
          </w:r>
          <w:r>
            <w:rPr>
              <w:bCs/>
              <w:color w:val="auto"/>
              <w:szCs w:val="16"/>
              <w:lang w:val="zh-CN"/>
            </w:rPr>
            <w:fldChar w:fldCharType="separate"/>
          </w:r>
          <w:r>
            <w:rPr>
              <w:rFonts w:hint="eastAsia"/>
              <w:color w:val="auto"/>
            </w:rPr>
            <w:t>8.1</w:t>
          </w:r>
          <w:r>
            <w:rPr>
              <w:color w:val="auto"/>
            </w:rPr>
            <w:t>结论</w:t>
          </w:r>
          <w:r>
            <w:rPr>
              <w:color w:val="auto"/>
            </w:rPr>
            <w:tab/>
          </w:r>
          <w:r>
            <w:rPr>
              <w:color w:val="auto"/>
            </w:rPr>
            <w:fldChar w:fldCharType="begin"/>
          </w:r>
          <w:r>
            <w:rPr>
              <w:color w:val="auto"/>
            </w:rPr>
            <w:instrText xml:space="preserve"> PAGEREF _Toc30199 \h </w:instrText>
          </w:r>
          <w:r>
            <w:rPr>
              <w:color w:val="auto"/>
            </w:rPr>
            <w:fldChar w:fldCharType="separate"/>
          </w:r>
          <w:r>
            <w:rPr>
              <w:color w:val="auto"/>
            </w:rPr>
            <w:t>48</w:t>
          </w:r>
          <w:r>
            <w:rPr>
              <w:color w:val="auto"/>
            </w:rPr>
            <w:fldChar w:fldCharType="end"/>
          </w:r>
          <w:r>
            <w:rPr>
              <w:bCs/>
              <w:color w:val="auto"/>
              <w:szCs w:val="16"/>
              <w:lang w:val="zh-CN"/>
            </w:rPr>
            <w:fldChar w:fldCharType="end"/>
          </w:r>
        </w:p>
        <w:p w14:paraId="5A395AF0">
          <w:pPr>
            <w:pStyle w:val="25"/>
            <w:tabs>
              <w:tab w:val="right" w:leader="dot" w:pos="8306"/>
            </w:tabs>
            <w:rPr>
              <w:color w:val="auto"/>
            </w:rPr>
          </w:pPr>
          <w:r>
            <w:rPr>
              <w:bCs/>
              <w:color w:val="auto"/>
              <w:szCs w:val="16"/>
              <w:lang w:val="zh-CN"/>
            </w:rPr>
            <w:fldChar w:fldCharType="begin"/>
          </w:r>
          <w:r>
            <w:rPr>
              <w:bCs/>
              <w:color w:val="auto"/>
              <w:szCs w:val="16"/>
              <w:lang w:val="zh-CN"/>
            </w:rPr>
            <w:instrText xml:space="preserve"> HYPERLINK \l _Toc29929 </w:instrText>
          </w:r>
          <w:r>
            <w:rPr>
              <w:bCs/>
              <w:color w:val="auto"/>
              <w:szCs w:val="16"/>
              <w:lang w:val="zh-CN"/>
            </w:rPr>
            <w:fldChar w:fldCharType="separate"/>
          </w:r>
          <w:r>
            <w:rPr>
              <w:rFonts w:hint="eastAsia"/>
              <w:color w:val="auto"/>
            </w:rPr>
            <w:t>8.2</w:t>
          </w:r>
          <w:r>
            <w:rPr>
              <w:color w:val="auto"/>
            </w:rPr>
            <w:t>建议</w:t>
          </w:r>
          <w:r>
            <w:rPr>
              <w:color w:val="auto"/>
            </w:rPr>
            <w:tab/>
          </w:r>
          <w:r>
            <w:rPr>
              <w:color w:val="auto"/>
            </w:rPr>
            <w:fldChar w:fldCharType="begin"/>
          </w:r>
          <w:r>
            <w:rPr>
              <w:color w:val="auto"/>
            </w:rPr>
            <w:instrText xml:space="preserve"> PAGEREF _Toc29929 \h </w:instrText>
          </w:r>
          <w:r>
            <w:rPr>
              <w:color w:val="auto"/>
            </w:rPr>
            <w:fldChar w:fldCharType="separate"/>
          </w:r>
          <w:r>
            <w:rPr>
              <w:color w:val="auto"/>
            </w:rPr>
            <w:t>48</w:t>
          </w:r>
          <w:r>
            <w:rPr>
              <w:color w:val="auto"/>
            </w:rPr>
            <w:fldChar w:fldCharType="end"/>
          </w:r>
          <w:r>
            <w:rPr>
              <w:bCs/>
              <w:color w:val="auto"/>
              <w:szCs w:val="16"/>
              <w:lang w:val="zh-CN"/>
            </w:rPr>
            <w:fldChar w:fldCharType="end"/>
          </w:r>
        </w:p>
        <w:p w14:paraId="6BEAF3A5">
          <w:pPr>
            <w:ind w:firstLine="321"/>
            <w:rPr>
              <w:color w:val="auto"/>
            </w:rPr>
          </w:pPr>
          <w:r>
            <w:rPr>
              <w:bCs/>
              <w:color w:val="auto"/>
              <w:szCs w:val="16"/>
              <w:lang w:val="zh-CN"/>
            </w:rPr>
            <w:fldChar w:fldCharType="end"/>
          </w:r>
        </w:p>
      </w:sdtContent>
    </w:sdt>
    <w:p w14:paraId="2FEDF927">
      <w:pPr>
        <w:pStyle w:val="3"/>
        <w:spacing w:before="156" w:after="156"/>
        <w:jc w:val="center"/>
        <w:rPr>
          <w:rFonts w:hint="eastAsia"/>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bookmarkStart w:id="1" w:name="_Hlk202977919"/>
    </w:p>
    <w:p w14:paraId="2900333C">
      <w:pPr>
        <w:pStyle w:val="3"/>
        <w:spacing w:before="156" w:after="156"/>
        <w:jc w:val="center"/>
        <w:rPr>
          <w:color w:val="auto"/>
        </w:rPr>
      </w:pPr>
      <w:bookmarkStart w:id="2" w:name="_Toc31256"/>
      <w:r>
        <w:rPr>
          <w:rFonts w:hint="eastAsia"/>
          <w:color w:val="auto"/>
          <w:lang w:eastAsia="zh-CN"/>
        </w:rPr>
        <w:t>1.</w:t>
      </w:r>
      <w:r>
        <w:rPr>
          <w:color w:val="auto"/>
        </w:rPr>
        <w:t>概况</w:t>
      </w:r>
      <w:bookmarkEnd w:id="2"/>
      <w:r>
        <w:rPr>
          <w:color w:val="auto"/>
        </w:rPr>
        <w:t xml:space="preserve"> </w:t>
      </w:r>
    </w:p>
    <w:p w14:paraId="06CA81A7">
      <w:pPr>
        <w:pStyle w:val="4"/>
        <w:spacing w:before="156" w:after="156"/>
        <w:rPr>
          <w:rFonts w:cs="Times New Roman"/>
          <w:color w:val="auto"/>
        </w:rPr>
      </w:pPr>
      <w:bookmarkStart w:id="3" w:name="_Toc31275"/>
      <w:r>
        <w:rPr>
          <w:rFonts w:hint="eastAsia" w:cs="Times New Roman"/>
          <w:color w:val="auto"/>
        </w:rPr>
        <w:t>1.1</w:t>
      </w:r>
      <w:r>
        <w:rPr>
          <w:rFonts w:cs="Times New Roman"/>
          <w:color w:val="auto"/>
        </w:rPr>
        <w:t>河段地理位置</w:t>
      </w:r>
      <w:bookmarkEnd w:id="3"/>
      <w:r>
        <w:rPr>
          <w:rFonts w:cs="Times New Roman"/>
          <w:color w:val="auto"/>
        </w:rPr>
        <w:t xml:space="preserve"> </w:t>
      </w:r>
    </w:p>
    <w:p w14:paraId="71ECA364">
      <w:pPr>
        <w:ind w:firstLine="560"/>
        <w:rPr>
          <w:rFonts w:cs="Times New Roman"/>
          <w:color w:val="auto"/>
          <w:szCs w:val="28"/>
        </w:rPr>
      </w:pPr>
      <w:r>
        <w:rPr>
          <w:rFonts w:cs="Times New Roman"/>
          <w:color w:val="auto"/>
          <w:szCs w:val="28"/>
        </w:rPr>
        <w:t>本次涉及调整的河段为岩羊河盐边县河段，岩羊河作为金沙江一级支流，发源于红格镇团结村冷水箐（101°59′16.8″E，26°28′12″N），于红格镇鲊石村（101°51′18″E，26°32′52.8″N）汇入金沙江。该河段地处岩羊河干流，流经红格镇的和爱村、红格</w:t>
      </w:r>
      <w:r>
        <w:rPr>
          <w:rFonts w:hint="eastAsia" w:cs="Times New Roman"/>
          <w:color w:val="auto"/>
          <w:szCs w:val="28"/>
          <w:lang w:val="en-US" w:eastAsia="zh-CN"/>
        </w:rPr>
        <w:t>社区</w:t>
      </w:r>
      <w:r>
        <w:rPr>
          <w:rFonts w:cs="Times New Roman"/>
          <w:color w:val="auto"/>
          <w:szCs w:val="28"/>
        </w:rPr>
        <w:t>、</w:t>
      </w:r>
      <w:r>
        <w:rPr>
          <w:rFonts w:hint="eastAsia" w:cs="Times New Roman"/>
          <w:color w:val="auto"/>
          <w:szCs w:val="28"/>
          <w:lang w:val="en-US" w:eastAsia="zh-CN"/>
        </w:rPr>
        <w:t>益</w:t>
      </w:r>
      <w:r>
        <w:rPr>
          <w:rFonts w:cs="Times New Roman"/>
          <w:color w:val="auto"/>
          <w:szCs w:val="28"/>
        </w:rPr>
        <w:t>民村、鲊石</w:t>
      </w:r>
      <w:r>
        <w:rPr>
          <w:rFonts w:hint="eastAsia" w:cs="Times New Roman"/>
          <w:color w:val="auto"/>
          <w:szCs w:val="28"/>
          <w:lang w:val="en-US" w:eastAsia="zh-CN"/>
        </w:rPr>
        <w:t>社区</w:t>
      </w:r>
      <w:r>
        <w:rPr>
          <w:rFonts w:cs="Times New Roman"/>
          <w:color w:val="auto"/>
          <w:szCs w:val="28"/>
        </w:rPr>
        <w:t xml:space="preserve"> 1 个乡镇 4 个村。 </w:t>
      </w:r>
    </w:p>
    <w:p w14:paraId="26EFCFA9">
      <w:pPr>
        <w:ind w:firstLine="560"/>
        <w:rPr>
          <w:rFonts w:cs="Times New Roman"/>
          <w:color w:val="auto"/>
          <w:szCs w:val="28"/>
        </w:rPr>
      </w:pPr>
      <w:r>
        <w:rPr>
          <w:rFonts w:cs="Times New Roman"/>
          <w:color w:val="auto"/>
          <w:szCs w:val="28"/>
        </w:rPr>
        <w:t xml:space="preserve">周边地貌受区域地质构造和气候影响，呈现出一定的复杂性。流域内多山地、丘陵，河道两岸地形起伏较大，部分区域存在陡崖和斜坡。河流周边分布有大量农田，主要种植蔬菜、水稻、玉米等作物；还有众多园地，以种植芒果、梨等果树为主；同时散落着多个村落，村民的生产生活与河流紧密相关。此外，虽然该河段周边未形成大型工业园区，但随着乡村振兴战略的推进，一些小型加工作坊和家庭农场逐渐兴起，使得该河段成为当地重要的水资源通道和生态屏障，对区域的经济发展和生态平衡起着至关重要的作用。 </w:t>
      </w:r>
    </w:p>
    <w:bookmarkEnd w:id="1"/>
    <w:p w14:paraId="4D25C423">
      <w:pPr>
        <w:pStyle w:val="4"/>
        <w:spacing w:before="156" w:after="156"/>
        <w:rPr>
          <w:rFonts w:cs="Times New Roman"/>
          <w:color w:val="auto"/>
        </w:rPr>
      </w:pPr>
      <w:bookmarkStart w:id="4" w:name="_Toc13423"/>
      <w:r>
        <w:rPr>
          <w:rFonts w:hint="eastAsia" w:cs="Times New Roman"/>
          <w:color w:val="auto"/>
        </w:rPr>
        <w:t>1.2</w:t>
      </w:r>
      <w:r>
        <w:rPr>
          <w:rFonts w:cs="Times New Roman"/>
          <w:color w:val="auto"/>
        </w:rPr>
        <w:t>河段岸线情况</w:t>
      </w:r>
      <w:bookmarkEnd w:id="4"/>
      <w:r>
        <w:rPr>
          <w:rFonts w:cs="Times New Roman"/>
          <w:color w:val="auto"/>
        </w:rPr>
        <w:t xml:space="preserve"> </w:t>
      </w:r>
    </w:p>
    <w:p w14:paraId="494D0C8A">
      <w:pPr>
        <w:ind w:firstLine="560"/>
        <w:rPr>
          <w:rFonts w:cs="Times New Roman"/>
          <w:color w:val="auto"/>
          <w:szCs w:val="28"/>
        </w:rPr>
      </w:pPr>
      <w:r>
        <w:rPr>
          <w:rFonts w:cs="Times New Roman"/>
          <w:color w:val="auto"/>
          <w:szCs w:val="28"/>
        </w:rPr>
        <w:t xml:space="preserve">该河段岸线总长度为 30.293 公里，其中自然岸线长度占比较大，约为 25 公里，人工岸线长度约为 5.293 公里。自然岸线部分多为土坡、滩涂，由于气候干燥、蒸发量大，植被以耐旱的草本植物和灌木为主，如仙人掌、霸王鞭等，生态环境相对脆弱但具有独特的干热河谷生态特征。 </w:t>
      </w:r>
    </w:p>
    <w:p w14:paraId="0A367910">
      <w:pPr>
        <w:ind w:firstLine="560"/>
        <w:rPr>
          <w:rFonts w:cs="Times New Roman"/>
          <w:color w:val="auto"/>
          <w:szCs w:val="28"/>
        </w:rPr>
      </w:pPr>
      <w:r>
        <w:rPr>
          <w:rFonts w:cs="Times New Roman"/>
          <w:color w:val="auto"/>
          <w:szCs w:val="28"/>
        </w:rPr>
        <w:t xml:space="preserve">人工岸线主要包括 </w:t>
      </w:r>
      <w:r>
        <w:rPr>
          <w:rFonts w:hint="eastAsia" w:cs="Times New Roman"/>
          <w:color w:val="auto"/>
          <w:szCs w:val="28"/>
        </w:rPr>
        <w:t>5</w:t>
      </w:r>
      <w:r>
        <w:rPr>
          <w:rFonts w:cs="Times New Roman"/>
          <w:color w:val="auto"/>
          <w:szCs w:val="28"/>
        </w:rPr>
        <w:t xml:space="preserve"> 座水库（郎雷水库、</w:t>
      </w:r>
      <w:r>
        <w:rPr>
          <w:rFonts w:hint="eastAsia" w:cs="Times New Roman"/>
          <w:color w:val="auto"/>
          <w:szCs w:val="28"/>
        </w:rPr>
        <w:t>红格水库</w:t>
      </w:r>
      <w:r>
        <w:rPr>
          <w:rFonts w:cs="Times New Roman"/>
          <w:color w:val="auto"/>
          <w:szCs w:val="28"/>
        </w:rPr>
        <w:t>、岩羊桥水库、冷水箐水库、</w:t>
      </w:r>
      <w:r>
        <w:rPr>
          <w:rFonts w:hint="eastAsia" w:cs="Times New Roman"/>
          <w:color w:val="auto"/>
          <w:szCs w:val="28"/>
          <w:lang w:eastAsia="zh-CN"/>
        </w:rPr>
        <w:t>马蜂</w:t>
      </w:r>
      <w:r>
        <w:rPr>
          <w:rFonts w:cs="Times New Roman"/>
          <w:color w:val="auto"/>
          <w:szCs w:val="28"/>
        </w:rPr>
        <w:t xml:space="preserve">湾水库）的堤坝、47 座桥梁的桥体及周边设施、4 个涵洞的进出口、13 个滚水坝等。这些人工设施多分布在村落附近和农田集中区域，为农业灌溉、村民出行和生活用水提供了便利，在保障区域防洪安全和生产生活方面发挥了重要作用。 </w:t>
      </w:r>
    </w:p>
    <w:p w14:paraId="079DBB3F">
      <w:pPr>
        <w:ind w:firstLine="560"/>
        <w:rPr>
          <w:rFonts w:cs="Times New Roman"/>
          <w:color w:val="auto"/>
          <w:szCs w:val="28"/>
        </w:rPr>
      </w:pPr>
      <w:r>
        <w:rPr>
          <w:rFonts w:cs="Times New Roman"/>
          <w:color w:val="auto"/>
          <w:szCs w:val="28"/>
        </w:rPr>
        <w:t xml:space="preserve">河段岸线利用现状存在一些问题。部分村民为了扩大种植面积，在岸线附近违规开垦滩涂，破坏了自然植被，导致水土流失加剧；一些桥梁和滚水坝由于建设年代久远，缺乏必要的维护，存在结构老化、功能退化的情况，影响了河道的行洪能力；此外，个别村落的生活污水未经处理直接排入河道，对岸线周边的水质造成了一定污染，影响了生态环境。 </w:t>
      </w:r>
    </w:p>
    <w:p w14:paraId="2ACD7252">
      <w:pPr>
        <w:pStyle w:val="4"/>
        <w:spacing w:before="156" w:after="156"/>
        <w:ind w:firstLine="562"/>
        <w:rPr>
          <w:color w:val="auto"/>
        </w:rPr>
      </w:pPr>
      <w:bookmarkStart w:id="5" w:name="_Toc19295"/>
      <w:r>
        <w:rPr>
          <w:rFonts w:hint="eastAsia"/>
          <w:color w:val="auto"/>
        </w:rPr>
        <w:t>1.3</w:t>
      </w:r>
      <w:r>
        <w:rPr>
          <w:color w:val="auto"/>
        </w:rPr>
        <w:t>前期划界情况</w:t>
      </w:r>
      <w:bookmarkEnd w:id="5"/>
      <w:r>
        <w:rPr>
          <w:color w:val="auto"/>
        </w:rPr>
        <w:t xml:space="preserve"> </w:t>
      </w:r>
    </w:p>
    <w:p w14:paraId="2FAF3FA8">
      <w:pPr>
        <w:ind w:firstLine="560"/>
        <w:rPr>
          <w:rFonts w:cs="Times New Roman"/>
          <w:color w:val="auto"/>
          <w:szCs w:val="28"/>
        </w:rPr>
      </w:pPr>
      <w:r>
        <w:rPr>
          <w:rFonts w:cs="Times New Roman"/>
          <w:color w:val="auto"/>
          <w:szCs w:val="28"/>
        </w:rPr>
        <w:t>前期，按照《中华人民共和国水法》《中华人民共和国防洪法》等相关法律法规和《四川省河湖管理范围划定操作指南》等技术规范，对该河段进行了划界工作</w:t>
      </w:r>
      <w:r>
        <w:rPr>
          <w:rFonts w:hint="eastAsia" w:cs="Times New Roman"/>
          <w:color w:val="auto"/>
          <w:szCs w:val="28"/>
        </w:rPr>
        <w:t>，</w:t>
      </w:r>
      <w:r>
        <w:rPr>
          <w:rFonts w:cs="Times New Roman"/>
          <w:color w:val="auto"/>
          <w:szCs w:val="28"/>
        </w:rPr>
        <w:t>划定了管理范围线和保护范围线，</w:t>
      </w:r>
      <w:r>
        <w:rPr>
          <w:rFonts w:hint="eastAsia" w:cs="Times New Roman"/>
          <w:color w:val="auto"/>
          <w:szCs w:val="28"/>
        </w:rPr>
        <w:t>共设立6座公告牌，204个界桩（电子桩151个，实体桩53个）</w:t>
      </w:r>
      <w:r>
        <w:rPr>
          <w:rFonts w:cs="Times New Roman"/>
          <w:color w:val="auto"/>
          <w:szCs w:val="28"/>
        </w:rPr>
        <w:t xml:space="preserve">。完成了界桩埋设、公告牌设立等工作。 </w:t>
      </w:r>
    </w:p>
    <w:p w14:paraId="1496F310">
      <w:pPr>
        <w:ind w:firstLine="560"/>
        <w:rPr>
          <w:rFonts w:cs="Times New Roman"/>
          <w:color w:val="auto"/>
          <w:szCs w:val="28"/>
        </w:rPr>
      </w:pPr>
      <w:r>
        <w:rPr>
          <w:rFonts w:cs="Times New Roman"/>
          <w:color w:val="auto"/>
          <w:szCs w:val="28"/>
        </w:rPr>
        <w:t xml:space="preserve">前期划界成果在一定时期内为河段的管理和保护提供了重要依据。在规范河道开发利用方面，有效遏制了一些乱搭乱建、非法采砂等行为；在保障防洪安全方面，明确了行洪区域，为防汛工作的开展提供了参考。 </w:t>
      </w:r>
    </w:p>
    <w:p w14:paraId="269B6262">
      <w:pPr>
        <w:ind w:firstLine="560"/>
        <w:rPr>
          <w:rFonts w:cs="Times New Roman"/>
          <w:color w:val="auto"/>
          <w:szCs w:val="28"/>
        </w:rPr>
      </w:pPr>
    </w:p>
    <w:p w14:paraId="60B942EF">
      <w:pPr>
        <w:pStyle w:val="3"/>
        <w:spacing w:before="156" w:after="156"/>
        <w:ind w:firstLine="562"/>
        <w:rPr>
          <w:color w:val="auto"/>
        </w:rPr>
      </w:pPr>
      <w:bookmarkStart w:id="6" w:name="_Toc5573"/>
      <w:r>
        <w:rPr>
          <w:rFonts w:hint="eastAsia"/>
          <w:color w:val="auto"/>
          <w:lang w:eastAsia="zh-CN"/>
        </w:rPr>
        <w:t>2.</w:t>
      </w:r>
      <w:r>
        <w:rPr>
          <w:color w:val="auto"/>
        </w:rPr>
        <w:t>调整原因</w:t>
      </w:r>
      <w:bookmarkEnd w:id="6"/>
      <w:r>
        <w:rPr>
          <w:color w:val="auto"/>
        </w:rPr>
        <w:t xml:space="preserve"> </w:t>
      </w:r>
    </w:p>
    <w:p w14:paraId="5FD16376">
      <w:pPr>
        <w:ind w:firstLine="560"/>
        <w:rPr>
          <w:rFonts w:hint="eastAsia" w:cs="Times New Roman"/>
          <w:color w:val="auto"/>
          <w:szCs w:val="28"/>
          <w:highlight w:val="none"/>
          <w:lang w:val="en-US" w:eastAsia="zh-CN"/>
        </w:rPr>
      </w:pPr>
      <w:r>
        <w:rPr>
          <w:rFonts w:hint="eastAsia" w:cs="Times New Roman"/>
          <w:color w:val="auto"/>
          <w:szCs w:val="28"/>
          <w:highlight w:val="none"/>
          <w:lang w:val="en-US" w:eastAsia="zh-CN"/>
        </w:rPr>
        <w:t>根据《盐边县岩羊河干流防洪规划报告》岩羊河地处山区，河流的特点是源短流急，洪水暴涨暴落。工程河段沿岸村社防洪设施少、标准低，甚至很多处于不设防状态，遇到常遇洪水就可能造成较大洪涝灾害。加之没有进行有效治理，行洪能力逐步降低，对所在地区村落的防洪安全构成了严重威胁；流域防洪现状已不能满足区域发展和乡村振兴规划的需求。</w:t>
      </w:r>
    </w:p>
    <w:p w14:paraId="19ED5935">
      <w:pPr>
        <w:ind w:firstLine="560"/>
        <w:rPr>
          <w:rFonts w:hint="default" w:cs="Times New Roman"/>
          <w:color w:val="auto"/>
          <w:szCs w:val="28"/>
          <w:highlight w:val="none"/>
          <w:lang w:val="en-US" w:eastAsia="zh-CN"/>
        </w:rPr>
      </w:pPr>
      <w:r>
        <w:rPr>
          <w:rFonts w:hint="eastAsia" w:cs="Times New Roman"/>
          <w:color w:val="auto"/>
          <w:szCs w:val="28"/>
          <w:highlight w:val="none"/>
          <w:lang w:val="en-US" w:eastAsia="zh-CN"/>
        </w:rPr>
        <w:t>红格镇场镇段为本次防洪规划的重点保护区域，本次场镇段防洪工程规划新建</w:t>
      </w:r>
      <w:r>
        <w:rPr>
          <w:rFonts w:hint="default" w:cs="Times New Roman"/>
          <w:color w:val="auto"/>
          <w:szCs w:val="28"/>
          <w:highlight w:val="none"/>
          <w:lang w:val="en-US" w:eastAsia="zh-CN"/>
        </w:rPr>
        <w:t>3</w:t>
      </w:r>
      <w:r>
        <w:rPr>
          <w:rFonts w:hint="eastAsia" w:cs="Times New Roman"/>
          <w:color w:val="auto"/>
          <w:szCs w:val="28"/>
          <w:highlight w:val="none"/>
          <w:lang w:val="en-US" w:eastAsia="zh-CN"/>
        </w:rPr>
        <w:t xml:space="preserve">段堤防，从上至下分别为：①弯龙村段新建堤防 </w:t>
      </w:r>
      <w:r>
        <w:rPr>
          <w:rFonts w:hint="default" w:cs="Times New Roman"/>
          <w:color w:val="auto"/>
          <w:szCs w:val="28"/>
          <w:highlight w:val="none"/>
          <w:lang w:val="en-US" w:eastAsia="zh-CN"/>
        </w:rPr>
        <w:t>2270m</w:t>
      </w:r>
      <w:r>
        <w:rPr>
          <w:rFonts w:hint="eastAsia" w:cs="Times New Roman"/>
          <w:color w:val="auto"/>
          <w:szCs w:val="28"/>
          <w:highlight w:val="none"/>
          <w:lang w:val="en-US" w:eastAsia="zh-CN"/>
        </w:rPr>
        <w:t xml:space="preserve">，左岸堤防 </w:t>
      </w:r>
      <w:r>
        <w:rPr>
          <w:rFonts w:hint="default" w:cs="Times New Roman"/>
          <w:color w:val="auto"/>
          <w:szCs w:val="28"/>
          <w:highlight w:val="none"/>
          <w:lang w:val="en-US" w:eastAsia="zh-CN"/>
        </w:rPr>
        <w:t>640m</w:t>
      </w:r>
      <w:r>
        <w:rPr>
          <w:rFonts w:hint="eastAsia" w:cs="Times New Roman"/>
          <w:color w:val="auto"/>
          <w:szCs w:val="28"/>
          <w:highlight w:val="none"/>
          <w:lang w:val="en-US" w:eastAsia="zh-CN"/>
        </w:rPr>
        <w:t xml:space="preserve">，右岸堤防 </w:t>
      </w:r>
      <w:r>
        <w:rPr>
          <w:rFonts w:hint="default" w:cs="Times New Roman"/>
          <w:color w:val="auto"/>
          <w:szCs w:val="28"/>
          <w:highlight w:val="none"/>
          <w:lang w:val="en-US" w:eastAsia="zh-CN"/>
        </w:rPr>
        <w:t>1630m</w:t>
      </w:r>
      <w:r>
        <w:rPr>
          <w:rFonts w:hint="eastAsia" w:cs="Times New Roman"/>
          <w:color w:val="auto"/>
          <w:szCs w:val="28"/>
          <w:highlight w:val="none"/>
          <w:lang w:val="en-US" w:eastAsia="zh-CN"/>
        </w:rPr>
        <w:t xml:space="preserve">；②岩羊河干流红格镇农产品交易中心段新建堤防 </w:t>
      </w:r>
      <w:r>
        <w:rPr>
          <w:rFonts w:hint="default" w:cs="Times New Roman"/>
          <w:color w:val="auto"/>
          <w:szCs w:val="28"/>
          <w:highlight w:val="none"/>
          <w:lang w:val="en-US" w:eastAsia="zh-CN"/>
        </w:rPr>
        <w:t>463m</w:t>
      </w:r>
      <w:r>
        <w:rPr>
          <w:rFonts w:hint="eastAsia" w:cs="Times New Roman"/>
          <w:color w:val="auto"/>
          <w:szCs w:val="28"/>
          <w:highlight w:val="none"/>
          <w:lang w:val="en-US" w:eastAsia="zh-CN"/>
        </w:rPr>
        <w:t xml:space="preserve">，岸堤防 </w:t>
      </w:r>
      <w:r>
        <w:rPr>
          <w:rFonts w:hint="default" w:cs="Times New Roman"/>
          <w:color w:val="auto"/>
          <w:szCs w:val="28"/>
          <w:highlight w:val="none"/>
          <w:lang w:val="en-US" w:eastAsia="zh-CN"/>
        </w:rPr>
        <w:t>229m</w:t>
      </w:r>
      <w:r>
        <w:rPr>
          <w:rFonts w:hint="eastAsia" w:cs="Times New Roman"/>
          <w:color w:val="auto"/>
          <w:szCs w:val="28"/>
          <w:highlight w:val="none"/>
          <w:lang w:val="en-US" w:eastAsia="zh-CN"/>
        </w:rPr>
        <w:t xml:space="preserve">，右岸堤防 </w:t>
      </w:r>
      <w:r>
        <w:rPr>
          <w:rFonts w:hint="default" w:cs="Times New Roman"/>
          <w:color w:val="auto"/>
          <w:szCs w:val="28"/>
          <w:highlight w:val="none"/>
          <w:lang w:val="en-US" w:eastAsia="zh-CN"/>
        </w:rPr>
        <w:t>234m</w:t>
      </w:r>
      <w:r>
        <w:rPr>
          <w:rFonts w:hint="eastAsia" w:cs="Times New Roman"/>
          <w:color w:val="auto"/>
          <w:szCs w:val="28"/>
          <w:highlight w:val="none"/>
          <w:lang w:val="en-US" w:eastAsia="zh-CN"/>
        </w:rPr>
        <w:t xml:space="preserve">；③红格镇花瓣广场段新建堤防 </w:t>
      </w:r>
      <w:r>
        <w:rPr>
          <w:rFonts w:hint="default" w:cs="Times New Roman"/>
          <w:color w:val="auto"/>
          <w:szCs w:val="28"/>
          <w:highlight w:val="none"/>
          <w:lang w:val="en-US" w:eastAsia="zh-CN"/>
        </w:rPr>
        <w:t>1261m</w:t>
      </w:r>
      <w:r>
        <w:rPr>
          <w:rFonts w:hint="eastAsia" w:cs="Times New Roman"/>
          <w:color w:val="auto"/>
          <w:szCs w:val="28"/>
          <w:highlight w:val="none"/>
          <w:lang w:val="en-US" w:eastAsia="zh-CN"/>
        </w:rPr>
        <w:t xml:space="preserve">，左岸堤防 </w:t>
      </w:r>
      <w:r>
        <w:rPr>
          <w:rFonts w:hint="default" w:cs="Times New Roman"/>
          <w:color w:val="auto"/>
          <w:szCs w:val="28"/>
          <w:highlight w:val="none"/>
          <w:lang w:val="en-US" w:eastAsia="zh-CN"/>
        </w:rPr>
        <w:t>621m</w:t>
      </w:r>
      <w:r>
        <w:rPr>
          <w:rFonts w:hint="eastAsia" w:cs="Times New Roman"/>
          <w:color w:val="auto"/>
          <w:szCs w:val="28"/>
          <w:highlight w:val="none"/>
          <w:lang w:val="en-US" w:eastAsia="zh-CN"/>
        </w:rPr>
        <w:t xml:space="preserve">，右岸堤防 </w:t>
      </w:r>
      <w:r>
        <w:rPr>
          <w:rFonts w:hint="default" w:cs="Times New Roman"/>
          <w:color w:val="auto"/>
          <w:szCs w:val="28"/>
          <w:highlight w:val="none"/>
          <w:lang w:val="en-US" w:eastAsia="zh-CN"/>
        </w:rPr>
        <w:t>640m</w:t>
      </w:r>
      <w:r>
        <w:rPr>
          <w:rFonts w:hint="eastAsia" w:cs="Times New Roman"/>
          <w:color w:val="auto"/>
          <w:szCs w:val="28"/>
          <w:highlight w:val="none"/>
          <w:lang w:val="en-US" w:eastAsia="zh-CN"/>
        </w:rPr>
        <w:t>。使原管理范围线与实地存在偏差 ，调整具有现实必要性。</w:t>
      </w:r>
    </w:p>
    <w:p w14:paraId="33B5CEB7">
      <w:pPr>
        <w:pStyle w:val="3"/>
        <w:spacing w:before="156" w:after="156"/>
        <w:rPr>
          <w:color w:val="auto"/>
        </w:rPr>
      </w:pPr>
      <w:bookmarkStart w:id="7" w:name="_Toc10140"/>
      <w:r>
        <w:rPr>
          <w:rFonts w:hint="eastAsia"/>
          <w:color w:val="auto"/>
          <w:lang w:eastAsia="zh-CN"/>
        </w:rPr>
        <w:t>3.</w:t>
      </w:r>
      <w:r>
        <w:rPr>
          <w:color w:val="auto"/>
        </w:rPr>
        <w:t>调整范围及依据</w:t>
      </w:r>
      <w:bookmarkEnd w:id="7"/>
      <w:r>
        <w:rPr>
          <w:color w:val="auto"/>
        </w:rPr>
        <w:t xml:space="preserve"> </w:t>
      </w:r>
    </w:p>
    <w:p w14:paraId="25EA3F6D">
      <w:pPr>
        <w:pStyle w:val="4"/>
        <w:spacing w:before="156" w:after="156"/>
        <w:ind w:firstLine="562"/>
        <w:rPr>
          <w:color w:val="auto"/>
        </w:rPr>
      </w:pPr>
      <w:bookmarkStart w:id="8" w:name="_Toc751"/>
      <w:r>
        <w:rPr>
          <w:rFonts w:hint="eastAsia"/>
          <w:color w:val="auto"/>
        </w:rPr>
        <w:t>3.1</w:t>
      </w:r>
      <w:r>
        <w:rPr>
          <w:color w:val="auto"/>
        </w:rPr>
        <w:t>调整范围</w:t>
      </w:r>
      <w:bookmarkEnd w:id="8"/>
      <w:r>
        <w:rPr>
          <w:color w:val="auto"/>
        </w:rPr>
        <w:t xml:space="preserve"> </w:t>
      </w:r>
    </w:p>
    <w:p w14:paraId="43F85064">
      <w:pPr>
        <w:ind w:firstLine="560"/>
        <w:rPr>
          <w:rFonts w:cs="Times New Roman"/>
          <w:color w:val="auto"/>
          <w:szCs w:val="28"/>
        </w:rPr>
      </w:pPr>
      <w:r>
        <w:rPr>
          <w:rFonts w:hint="eastAsia" w:ascii="宋体" w:cs="Lucida Sans"/>
          <w:color w:val="auto"/>
          <w:szCs w:val="28"/>
        </w:rPr>
        <w:t>本次调整划界河段为岩羊河中游（红格水库段）调整划界河道总长度</w:t>
      </w:r>
      <w:bookmarkStart w:id="9" w:name="_Hlk202549539"/>
      <w:r>
        <w:rPr>
          <w:rFonts w:hint="eastAsia" w:ascii="宋体" w:cs="Lucida Sans"/>
          <w:color w:val="auto"/>
          <w:szCs w:val="28"/>
        </w:rPr>
        <w:t>4.247km</w:t>
      </w:r>
      <w:bookmarkEnd w:id="9"/>
      <w:r>
        <w:rPr>
          <w:rFonts w:hint="eastAsia" w:ascii="宋体" w:cs="Lucida Sans"/>
          <w:color w:val="auto"/>
          <w:szCs w:val="28"/>
        </w:rPr>
        <w:t>，涉及范围红格镇阳光社区、益民村。</w:t>
      </w:r>
      <w:r>
        <w:rPr>
          <w:rFonts w:hint="eastAsia" w:ascii="宋体" w:hAnsi="宋体"/>
          <w:color w:val="auto"/>
          <w:szCs w:val="28"/>
        </w:rPr>
        <w:t>起点</w:t>
      </w:r>
      <w:r>
        <w:rPr>
          <w:rFonts w:hint="eastAsia" w:ascii="宋体" w:cs="Lucida Sans"/>
          <w:color w:val="auto"/>
          <w:szCs w:val="28"/>
        </w:rPr>
        <w:t>位于红格镇</w:t>
      </w:r>
      <w:r>
        <w:rPr>
          <w:rFonts w:hint="eastAsia" w:ascii="宋体" w:cs="Lucida Sans"/>
          <w:color w:val="auto"/>
          <w:szCs w:val="28"/>
          <w:lang w:val="en-US" w:eastAsia="zh-CN"/>
        </w:rPr>
        <w:t>农产品交易中心</w:t>
      </w:r>
      <w:r>
        <w:rPr>
          <w:rFonts w:hint="eastAsia" w:ascii="宋体" w:cs="Lucida Sans"/>
          <w:color w:val="auto"/>
          <w:szCs w:val="28"/>
        </w:rPr>
        <w:t>（里程桩号：K4+427，地理坐标为（101°55'56.358"东  26°32'2.567"北，止点</w:t>
      </w:r>
      <w:r>
        <w:rPr>
          <w:rFonts w:ascii="宋体" w:cs="Lucida Sans"/>
          <w:color w:val="auto"/>
          <w:szCs w:val="28"/>
        </w:rPr>
        <w:t>位于</w:t>
      </w:r>
      <w:r>
        <w:rPr>
          <w:rFonts w:hint="eastAsia" w:ascii="宋体" w:hAnsi="宋体"/>
          <w:color w:val="auto"/>
          <w:szCs w:val="28"/>
        </w:rPr>
        <w:t>红格镇</w:t>
      </w:r>
      <w:r>
        <w:rPr>
          <w:rFonts w:hint="eastAsia" w:ascii="宋体" w:cs="Lucida Sans"/>
          <w:color w:val="auto"/>
          <w:szCs w:val="28"/>
        </w:rPr>
        <w:t>益民村</w:t>
      </w:r>
      <w:r>
        <w:rPr>
          <w:rFonts w:hint="eastAsia" w:ascii="宋体" w:hAnsi="宋体"/>
          <w:color w:val="auto"/>
          <w:szCs w:val="28"/>
          <w:lang w:val="en-US" w:eastAsia="zh-CN"/>
        </w:rPr>
        <w:t>红格水库</w:t>
      </w:r>
      <w:r>
        <w:rPr>
          <w:rFonts w:hint="eastAsia" w:ascii="宋体" w:cs="Lucida Sans"/>
          <w:color w:val="auto"/>
          <w:szCs w:val="28"/>
        </w:rPr>
        <w:t>（分界点里程桩号：K0+000.00，地理坐标为（101°54'52.594"东  26°33'29.547"北）</w:t>
      </w:r>
      <w:r>
        <w:rPr>
          <w:rFonts w:cs="Times New Roman"/>
          <w:color w:val="auto"/>
          <w:szCs w:val="28"/>
        </w:rPr>
        <w:t>。</w:t>
      </w:r>
    </w:p>
    <w:p w14:paraId="2798BB8A">
      <w:pPr>
        <w:ind w:firstLine="560"/>
        <w:rPr>
          <w:rFonts w:cs="Times New Roman"/>
          <w:color w:val="auto"/>
          <w:szCs w:val="28"/>
        </w:rPr>
      </w:pPr>
      <w:r>
        <w:rPr>
          <w:rFonts w:cs="Times New Roman"/>
          <w:color w:val="auto"/>
          <w:szCs w:val="28"/>
        </w:rPr>
        <w:t>具体调整</w:t>
      </w:r>
      <w:r>
        <w:rPr>
          <w:rFonts w:hint="eastAsia" w:cs="Times New Roman"/>
          <w:color w:val="auto"/>
          <w:szCs w:val="28"/>
        </w:rPr>
        <w:t>区域为：</w:t>
      </w:r>
    </w:p>
    <w:p w14:paraId="44971428">
      <w:pPr>
        <w:ind w:firstLine="560"/>
        <w:rPr>
          <w:color w:val="auto"/>
        </w:rPr>
      </w:pPr>
      <w:r>
        <w:rPr>
          <w:rFonts w:hint="eastAsia"/>
          <w:color w:val="auto"/>
        </w:rPr>
        <w:t>红格水库区域101°55'20.212"东  26°33'27.585"北</w:t>
      </w:r>
    </w:p>
    <w:p w14:paraId="0D74D972">
      <w:pPr>
        <w:ind w:firstLine="560"/>
        <w:rPr>
          <w:color w:val="auto"/>
        </w:rPr>
      </w:pPr>
      <w:r>
        <w:rPr>
          <w:rFonts w:hint="eastAsia"/>
          <w:color w:val="auto"/>
        </w:rPr>
        <w:t>新建</w:t>
      </w:r>
      <w:r>
        <w:rPr>
          <w:rFonts w:hint="eastAsia"/>
          <w:color w:val="auto"/>
          <w:lang w:val="en-US" w:eastAsia="zh-CN"/>
        </w:rPr>
        <w:t>堤防</w:t>
      </w:r>
      <w:r>
        <w:rPr>
          <w:rFonts w:hint="eastAsia"/>
          <w:color w:val="auto"/>
        </w:rPr>
        <w:t>区域101°55'34.88"东  26°32'57.924"北</w:t>
      </w:r>
    </w:p>
    <w:p w14:paraId="33A79A7F">
      <w:pPr>
        <w:ind w:firstLine="560"/>
        <w:rPr>
          <w:color w:val="auto"/>
        </w:rPr>
      </w:pPr>
      <w:r>
        <w:rPr>
          <w:rFonts w:hint="eastAsia"/>
          <w:color w:val="auto"/>
        </w:rPr>
        <w:t>农产品物流交易中心101°55'34.51"东  26°32'57.935"北</w:t>
      </w:r>
    </w:p>
    <w:p w14:paraId="75F56F19">
      <w:pPr>
        <w:ind w:firstLine="562"/>
        <w:jc w:val="center"/>
        <w:rPr>
          <w:rFonts w:hint="eastAsia" w:ascii="宋体" w:cs="Lucida Sans"/>
          <w:b/>
          <w:color w:val="auto"/>
          <w:szCs w:val="28"/>
        </w:rPr>
      </w:pPr>
    </w:p>
    <w:p w14:paraId="28459955">
      <w:pPr>
        <w:ind w:firstLine="562"/>
        <w:jc w:val="center"/>
        <w:rPr>
          <w:rFonts w:hint="eastAsia" w:ascii="宋体" w:cs="Lucida Sans"/>
          <w:b/>
          <w:color w:val="auto"/>
          <w:szCs w:val="28"/>
        </w:rPr>
      </w:pPr>
    </w:p>
    <w:p w14:paraId="2CAD48C5">
      <w:pPr>
        <w:ind w:firstLine="562"/>
        <w:jc w:val="center"/>
        <w:rPr>
          <w:rFonts w:hint="eastAsia" w:ascii="宋体" w:cs="Lucida Sans"/>
          <w:b/>
          <w:color w:val="auto"/>
          <w:szCs w:val="28"/>
        </w:rPr>
      </w:pPr>
    </w:p>
    <w:p w14:paraId="69C7151B">
      <w:pPr>
        <w:ind w:firstLine="562"/>
        <w:jc w:val="center"/>
        <w:rPr>
          <w:rFonts w:hint="eastAsia" w:ascii="宋体" w:cs="Lucida Sans"/>
          <w:b/>
          <w:color w:val="auto"/>
          <w:szCs w:val="28"/>
        </w:rPr>
      </w:pPr>
    </w:p>
    <w:p w14:paraId="1F433BFA">
      <w:pPr>
        <w:ind w:firstLine="562"/>
        <w:jc w:val="center"/>
        <w:rPr>
          <w:rFonts w:hint="eastAsia" w:ascii="宋体" w:cs="Lucida Sans"/>
          <w:b/>
          <w:color w:val="auto"/>
          <w:szCs w:val="28"/>
        </w:rPr>
      </w:pPr>
    </w:p>
    <w:p w14:paraId="7D6594A2">
      <w:pPr>
        <w:ind w:firstLine="562"/>
        <w:jc w:val="center"/>
        <w:rPr>
          <w:rFonts w:ascii="宋体" w:cs="Lucida Sans"/>
          <w:b/>
          <w:color w:val="auto"/>
          <w:szCs w:val="28"/>
        </w:rPr>
      </w:pPr>
      <w:r>
        <w:rPr>
          <w:rFonts w:hint="eastAsia" w:ascii="宋体" w:cs="Lucida Sans"/>
          <w:b/>
          <w:color w:val="auto"/>
          <w:szCs w:val="28"/>
        </w:rPr>
        <w:t>盐边县岩羊河流域示意图</w:t>
      </w:r>
      <w:r>
        <w:rPr>
          <w:color w:val="auto"/>
        </w:rPr>
        <w:drawing>
          <wp:inline distT="0" distB="0" distL="0" distR="0">
            <wp:extent cx="5271770" cy="4858385"/>
            <wp:effectExtent l="0" t="0" r="5080" b="0"/>
            <wp:docPr id="18257151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15136"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1770" cy="4858385"/>
                    </a:xfrm>
                    <a:prstGeom prst="rect">
                      <a:avLst/>
                    </a:prstGeom>
                    <a:noFill/>
                    <a:ln>
                      <a:noFill/>
                    </a:ln>
                  </pic:spPr>
                </pic:pic>
              </a:graphicData>
            </a:graphic>
          </wp:inline>
        </w:drawing>
      </w:r>
    </w:p>
    <w:p w14:paraId="6643471B">
      <w:pPr>
        <w:widowControl/>
        <w:adjustRightInd/>
        <w:snapToGrid/>
        <w:spacing w:line="240" w:lineRule="auto"/>
        <w:ind w:firstLine="0" w:firstLineChars="0"/>
        <w:jc w:val="left"/>
        <w:rPr>
          <w:rFonts w:hint="eastAsia" w:ascii="Calibri Light" w:hAnsi="Calibri Light" w:cs="Times New Roman"/>
          <w:color w:val="auto"/>
          <w:sz w:val="24"/>
        </w:rPr>
      </w:pPr>
      <w:r>
        <w:rPr>
          <w:color w:val="auto"/>
        </w:rPr>
        <w:br w:type="page"/>
      </w:r>
    </w:p>
    <w:p w14:paraId="686AB806">
      <w:pPr>
        <w:pStyle w:val="4"/>
        <w:spacing w:before="156" w:after="156"/>
        <w:ind w:firstLine="562"/>
        <w:rPr>
          <w:color w:val="auto"/>
        </w:rPr>
      </w:pPr>
      <w:bookmarkStart w:id="10" w:name="_Toc21153"/>
      <w:r>
        <w:rPr>
          <w:rFonts w:hint="eastAsia"/>
          <w:color w:val="auto"/>
        </w:rPr>
        <w:t>3.2</w:t>
      </w:r>
      <w:r>
        <w:rPr>
          <w:color w:val="auto"/>
        </w:rPr>
        <w:t>调整依据</w:t>
      </w:r>
      <w:bookmarkEnd w:id="10"/>
      <w:r>
        <w:rPr>
          <w:color w:val="auto"/>
        </w:rPr>
        <w:t xml:space="preserve"> </w:t>
      </w:r>
    </w:p>
    <w:p w14:paraId="4460985E">
      <w:pPr>
        <w:ind w:firstLine="560"/>
        <w:rPr>
          <w:color w:val="auto"/>
        </w:rPr>
      </w:pPr>
      <w:r>
        <w:rPr>
          <w:color w:val="auto"/>
        </w:rPr>
        <w:t>法律法规依据：</w:t>
      </w:r>
    </w:p>
    <w:p w14:paraId="77719614">
      <w:pPr>
        <w:ind w:firstLine="560"/>
        <w:rPr>
          <w:color w:val="auto"/>
        </w:rPr>
      </w:pPr>
      <w:r>
        <w:rPr>
          <w:color w:val="auto"/>
        </w:rPr>
        <w:t>《中华人民共和国水法》（2016.7.2 修订）</w:t>
      </w:r>
    </w:p>
    <w:p w14:paraId="23824497">
      <w:pPr>
        <w:ind w:firstLine="560"/>
        <w:rPr>
          <w:color w:val="auto"/>
        </w:rPr>
      </w:pPr>
      <w:r>
        <w:rPr>
          <w:color w:val="auto"/>
        </w:rPr>
        <w:t>《中华人民共和国防洪法》（2016.7.2 修订）</w:t>
      </w:r>
    </w:p>
    <w:p w14:paraId="6EA0DB3D">
      <w:pPr>
        <w:ind w:firstLine="560"/>
        <w:rPr>
          <w:color w:val="auto"/>
          <w:highlight w:val="none"/>
        </w:rPr>
      </w:pPr>
      <w:r>
        <w:rPr>
          <w:rFonts w:ascii="宋体" w:cs="Lucida Sans"/>
          <w:color w:val="auto"/>
          <w:szCs w:val="28"/>
        </w:rPr>
        <w:t>《中华人民共和国</w:t>
      </w:r>
      <w:r>
        <w:rPr>
          <w:rFonts w:ascii="宋体" w:cs="Lucida Sans"/>
          <w:color w:val="auto"/>
          <w:szCs w:val="28"/>
          <w:highlight w:val="none"/>
        </w:rPr>
        <w:t>河道管理条例》</w:t>
      </w:r>
      <w:r>
        <w:rPr>
          <w:color w:val="auto"/>
          <w:highlight w:val="none"/>
        </w:rPr>
        <w:t>（201</w:t>
      </w:r>
      <w:r>
        <w:rPr>
          <w:rFonts w:hint="eastAsia"/>
          <w:color w:val="auto"/>
          <w:highlight w:val="none"/>
          <w:lang w:val="en-US" w:eastAsia="zh-CN"/>
        </w:rPr>
        <w:t>8</w:t>
      </w: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lang w:val="en-US" w:eastAsia="zh-CN"/>
        </w:rPr>
        <w:t>19</w:t>
      </w:r>
      <w:r>
        <w:rPr>
          <w:color w:val="auto"/>
          <w:highlight w:val="none"/>
        </w:rPr>
        <w:t xml:space="preserve"> 修正）</w:t>
      </w:r>
    </w:p>
    <w:p w14:paraId="717F6FEB">
      <w:pPr>
        <w:ind w:firstLine="560"/>
        <w:rPr>
          <w:color w:val="auto"/>
          <w:highlight w:val="none"/>
        </w:rPr>
      </w:pPr>
      <w:r>
        <w:rPr>
          <w:color w:val="auto"/>
          <w:highlight w:val="none"/>
        </w:rPr>
        <w:t>《水利部关于加强河湖水域岸线空间管控的指导意见》</w:t>
      </w:r>
      <w:r>
        <w:rPr>
          <w:rFonts w:hint="eastAsia"/>
          <w:color w:val="auto"/>
          <w:highlight w:val="none"/>
          <w:lang w:eastAsia="zh-CN"/>
        </w:rPr>
        <w:t>（</w:t>
      </w:r>
      <w:r>
        <w:rPr>
          <w:color w:val="auto"/>
          <w:highlight w:val="none"/>
        </w:rPr>
        <w:t>水河湖〔</w:t>
      </w:r>
      <w:r>
        <w:rPr>
          <w:rFonts w:hint="eastAsia"/>
          <w:color w:val="auto"/>
          <w:highlight w:val="none"/>
        </w:rPr>
        <w:t>2022</w:t>
      </w:r>
      <w:r>
        <w:rPr>
          <w:color w:val="auto"/>
          <w:highlight w:val="none"/>
        </w:rPr>
        <w:t>〕</w:t>
      </w:r>
      <w:r>
        <w:rPr>
          <w:rFonts w:hint="eastAsia"/>
          <w:color w:val="auto"/>
          <w:highlight w:val="none"/>
        </w:rPr>
        <w:t>216</w:t>
      </w:r>
      <w:r>
        <w:rPr>
          <w:color w:val="auto"/>
          <w:highlight w:val="none"/>
        </w:rPr>
        <w:t>号</w:t>
      </w:r>
      <w:r>
        <w:rPr>
          <w:rFonts w:hint="eastAsia"/>
          <w:color w:val="auto"/>
          <w:highlight w:val="none"/>
          <w:lang w:eastAsia="zh-CN"/>
        </w:rPr>
        <w:t>）</w:t>
      </w:r>
      <w:r>
        <w:rPr>
          <w:color w:val="auto"/>
          <w:highlight w:val="none"/>
        </w:rPr>
        <w:t xml:space="preserve"> </w:t>
      </w:r>
    </w:p>
    <w:p w14:paraId="5D62712D">
      <w:pPr>
        <w:ind w:firstLine="560"/>
        <w:rPr>
          <w:color w:val="auto"/>
          <w:highlight w:val="none"/>
        </w:rPr>
      </w:pPr>
      <w:r>
        <w:rPr>
          <w:color w:val="auto"/>
          <w:highlight w:val="none"/>
        </w:rPr>
        <w:t>《四川省河道管理实施办法》（四川省人民政府令 (第 40 号)）</w:t>
      </w:r>
    </w:p>
    <w:p w14:paraId="441C8E72">
      <w:pPr>
        <w:ind w:firstLine="560"/>
        <w:rPr>
          <w:color w:val="auto"/>
          <w:highlight w:val="none"/>
        </w:rPr>
      </w:pPr>
      <w:r>
        <w:rPr>
          <w:color w:val="auto"/>
          <w:highlight w:val="none"/>
        </w:rPr>
        <w:t>《</w:t>
      </w:r>
      <w:r>
        <w:rPr>
          <w:rFonts w:hint="eastAsia"/>
          <w:color w:val="auto"/>
          <w:highlight w:val="none"/>
        </w:rPr>
        <w:t>2024</w:t>
      </w:r>
      <w:r>
        <w:rPr>
          <w:color w:val="auto"/>
          <w:highlight w:val="none"/>
        </w:rPr>
        <w:t>年河湖管理工作要点》</w:t>
      </w:r>
      <w:r>
        <w:rPr>
          <w:rFonts w:hint="eastAsia"/>
          <w:color w:val="auto"/>
          <w:highlight w:val="none"/>
          <w:lang w:eastAsia="zh-CN"/>
        </w:rPr>
        <w:t>（</w:t>
      </w:r>
      <w:r>
        <w:rPr>
          <w:color w:val="auto"/>
          <w:highlight w:val="none"/>
        </w:rPr>
        <w:t>办河湖〔</w:t>
      </w:r>
      <w:r>
        <w:rPr>
          <w:rFonts w:hint="eastAsia"/>
          <w:color w:val="auto"/>
          <w:highlight w:val="none"/>
        </w:rPr>
        <w:t>2024</w:t>
      </w:r>
      <w:r>
        <w:rPr>
          <w:color w:val="auto"/>
          <w:highlight w:val="none"/>
        </w:rPr>
        <w:t>〕</w:t>
      </w:r>
      <w:r>
        <w:rPr>
          <w:rFonts w:hint="eastAsia"/>
          <w:color w:val="auto"/>
          <w:highlight w:val="none"/>
        </w:rPr>
        <w:t>48</w:t>
      </w:r>
      <w:r>
        <w:rPr>
          <w:color w:val="auto"/>
          <w:highlight w:val="none"/>
        </w:rPr>
        <w:t>号</w:t>
      </w:r>
      <w:r>
        <w:rPr>
          <w:rFonts w:hint="eastAsia"/>
          <w:color w:val="auto"/>
          <w:highlight w:val="none"/>
          <w:lang w:eastAsia="zh-CN"/>
        </w:rPr>
        <w:t>）</w:t>
      </w:r>
    </w:p>
    <w:p w14:paraId="3C2F0ACB">
      <w:pPr>
        <w:ind w:firstLine="560"/>
        <w:rPr>
          <w:color w:val="auto"/>
          <w:highlight w:val="none"/>
        </w:rPr>
      </w:pPr>
      <w:r>
        <w:rPr>
          <w:color w:val="auto"/>
          <w:highlight w:val="none"/>
        </w:rPr>
        <w:t>《关于纵深推进河湖库“清四乱”常态化规范化的通知》</w:t>
      </w:r>
      <w:r>
        <w:rPr>
          <w:rFonts w:hint="eastAsia"/>
          <w:color w:val="auto"/>
          <w:highlight w:val="none"/>
          <w:lang w:eastAsia="zh-CN"/>
        </w:rPr>
        <w:t>（</w:t>
      </w:r>
      <w:r>
        <w:rPr>
          <w:color w:val="auto"/>
          <w:highlight w:val="none"/>
        </w:rPr>
        <w:t>水河湖〔</w:t>
      </w:r>
      <w:r>
        <w:rPr>
          <w:rFonts w:hint="eastAsia"/>
          <w:color w:val="auto"/>
          <w:highlight w:val="none"/>
        </w:rPr>
        <w:t>2024</w:t>
      </w:r>
      <w:r>
        <w:rPr>
          <w:color w:val="auto"/>
          <w:highlight w:val="none"/>
        </w:rPr>
        <w:t>〕</w:t>
      </w:r>
      <w:r>
        <w:rPr>
          <w:rFonts w:hint="eastAsia"/>
          <w:color w:val="auto"/>
          <w:highlight w:val="none"/>
        </w:rPr>
        <w:t>36</w:t>
      </w:r>
      <w:r>
        <w:rPr>
          <w:color w:val="auto"/>
          <w:highlight w:val="none"/>
        </w:rPr>
        <w:t>号</w:t>
      </w:r>
      <w:r>
        <w:rPr>
          <w:rFonts w:hint="eastAsia"/>
          <w:color w:val="auto"/>
          <w:highlight w:val="none"/>
          <w:lang w:eastAsia="zh-CN"/>
        </w:rPr>
        <w:t>）</w:t>
      </w:r>
    </w:p>
    <w:p w14:paraId="6B01528B">
      <w:pPr>
        <w:ind w:firstLine="560"/>
        <w:rPr>
          <w:color w:val="auto"/>
          <w:highlight w:val="none"/>
        </w:rPr>
      </w:pPr>
      <w:r>
        <w:rPr>
          <w:color w:val="auto"/>
          <w:highlight w:val="none"/>
        </w:rPr>
        <w:t>《四川省水利厅关于深入推进河湖管理范围划定及成果纠偏的通知》</w:t>
      </w:r>
      <w:r>
        <w:rPr>
          <w:rFonts w:hint="eastAsia"/>
          <w:color w:val="auto"/>
          <w:highlight w:val="none"/>
          <w:lang w:eastAsia="zh-CN"/>
        </w:rPr>
        <w:t>（</w:t>
      </w:r>
      <w:r>
        <w:rPr>
          <w:color w:val="auto"/>
          <w:highlight w:val="none"/>
        </w:rPr>
        <w:t>川水函〔</w:t>
      </w:r>
      <w:r>
        <w:rPr>
          <w:rFonts w:hint="eastAsia"/>
          <w:color w:val="auto"/>
          <w:highlight w:val="none"/>
        </w:rPr>
        <w:t>2024</w:t>
      </w:r>
      <w:r>
        <w:rPr>
          <w:color w:val="auto"/>
          <w:highlight w:val="none"/>
        </w:rPr>
        <w:t>〕</w:t>
      </w:r>
      <w:r>
        <w:rPr>
          <w:rFonts w:hint="eastAsia"/>
          <w:color w:val="auto"/>
          <w:highlight w:val="none"/>
        </w:rPr>
        <w:t>686</w:t>
      </w:r>
      <w:r>
        <w:rPr>
          <w:color w:val="auto"/>
          <w:highlight w:val="none"/>
        </w:rPr>
        <w:t>号</w:t>
      </w:r>
      <w:r>
        <w:rPr>
          <w:rFonts w:hint="eastAsia"/>
          <w:color w:val="auto"/>
          <w:highlight w:val="none"/>
          <w:lang w:eastAsia="zh-CN"/>
        </w:rPr>
        <w:t>）</w:t>
      </w:r>
    </w:p>
    <w:p w14:paraId="5CD0CFCF">
      <w:pPr>
        <w:ind w:firstLine="560"/>
        <w:rPr>
          <w:color w:val="auto"/>
          <w:highlight w:val="none"/>
        </w:rPr>
      </w:pPr>
      <w:r>
        <w:rPr>
          <w:color w:val="auto"/>
          <w:highlight w:val="none"/>
        </w:rPr>
        <w:t>《四川省水利厅关于进一步完善河湖管理范围划定成果的通知》</w:t>
      </w:r>
      <w:r>
        <w:rPr>
          <w:rFonts w:hint="eastAsia"/>
          <w:color w:val="auto"/>
          <w:highlight w:val="none"/>
          <w:lang w:eastAsia="zh-CN"/>
        </w:rPr>
        <w:t>（</w:t>
      </w:r>
      <w:r>
        <w:rPr>
          <w:color w:val="auto"/>
          <w:highlight w:val="none"/>
        </w:rPr>
        <w:t>川水函〔</w:t>
      </w:r>
      <w:r>
        <w:rPr>
          <w:rFonts w:hint="eastAsia"/>
          <w:color w:val="auto"/>
          <w:highlight w:val="none"/>
        </w:rPr>
        <w:t>2022</w:t>
      </w:r>
      <w:r>
        <w:rPr>
          <w:color w:val="auto"/>
          <w:highlight w:val="none"/>
        </w:rPr>
        <w:t>〕</w:t>
      </w:r>
      <w:r>
        <w:rPr>
          <w:rFonts w:hint="eastAsia"/>
          <w:color w:val="auto"/>
          <w:highlight w:val="none"/>
        </w:rPr>
        <w:t>1366</w:t>
      </w:r>
      <w:r>
        <w:rPr>
          <w:color w:val="auto"/>
          <w:highlight w:val="none"/>
        </w:rPr>
        <w:t>号</w:t>
      </w:r>
      <w:r>
        <w:rPr>
          <w:rFonts w:hint="eastAsia"/>
          <w:color w:val="auto"/>
          <w:highlight w:val="none"/>
          <w:lang w:eastAsia="zh-CN"/>
        </w:rPr>
        <w:t>）</w:t>
      </w:r>
    </w:p>
    <w:p w14:paraId="63587596">
      <w:pPr>
        <w:ind w:firstLine="560"/>
        <w:rPr>
          <w:color w:val="auto"/>
          <w:highlight w:val="none"/>
        </w:rPr>
      </w:pPr>
      <w:r>
        <w:rPr>
          <w:color w:val="auto"/>
          <w:highlight w:val="none"/>
        </w:rPr>
        <w:t>《四川省水利厅关于加快推进水利工程管理与保护范围划定工作的通知》</w:t>
      </w:r>
      <w:r>
        <w:rPr>
          <w:rFonts w:hint="eastAsia"/>
          <w:color w:val="auto"/>
          <w:highlight w:val="none"/>
          <w:lang w:eastAsia="zh-CN"/>
        </w:rPr>
        <w:t>（</w:t>
      </w:r>
      <w:r>
        <w:rPr>
          <w:color w:val="auto"/>
          <w:highlight w:val="none"/>
        </w:rPr>
        <w:t>川水函〔</w:t>
      </w:r>
      <w:r>
        <w:rPr>
          <w:rFonts w:hint="eastAsia"/>
          <w:color w:val="auto"/>
          <w:highlight w:val="none"/>
        </w:rPr>
        <w:t>2019</w:t>
      </w:r>
      <w:r>
        <w:rPr>
          <w:color w:val="auto"/>
          <w:highlight w:val="none"/>
        </w:rPr>
        <w:t>〕</w:t>
      </w:r>
      <w:r>
        <w:rPr>
          <w:rFonts w:hint="eastAsia"/>
          <w:color w:val="auto"/>
          <w:highlight w:val="none"/>
        </w:rPr>
        <w:t>742</w:t>
      </w:r>
      <w:r>
        <w:rPr>
          <w:color w:val="auto"/>
          <w:highlight w:val="none"/>
        </w:rPr>
        <w:t>号</w:t>
      </w:r>
      <w:r>
        <w:rPr>
          <w:rFonts w:hint="eastAsia"/>
          <w:color w:val="auto"/>
          <w:highlight w:val="none"/>
          <w:lang w:eastAsia="zh-CN"/>
        </w:rPr>
        <w:t>）</w:t>
      </w:r>
    </w:p>
    <w:p w14:paraId="75806691">
      <w:pPr>
        <w:ind w:firstLine="560"/>
        <w:rPr>
          <w:rFonts w:hint="eastAsia"/>
          <w:color w:val="auto"/>
          <w:highlight w:val="none"/>
          <w:lang w:val="en-US" w:eastAsia="zh-CN"/>
        </w:rPr>
      </w:pPr>
      <w:r>
        <w:rPr>
          <w:rFonts w:hint="eastAsia"/>
          <w:color w:val="auto"/>
          <w:highlight w:val="none"/>
          <w:lang w:val="en-US" w:eastAsia="zh-CN"/>
        </w:rPr>
        <w:t>《四川省暴雨参数图集》（2010年）</w:t>
      </w:r>
    </w:p>
    <w:p w14:paraId="723E6801">
      <w:pPr>
        <w:ind w:firstLine="560"/>
        <w:rPr>
          <w:rFonts w:hint="eastAsia"/>
          <w:color w:val="auto"/>
          <w:highlight w:val="none"/>
          <w:lang w:val="en-US" w:eastAsia="zh-CN"/>
        </w:rPr>
      </w:pPr>
      <w:r>
        <w:rPr>
          <w:rFonts w:hint="eastAsia"/>
          <w:color w:val="auto"/>
          <w:highlight w:val="none"/>
          <w:lang w:val="en-US" w:eastAsia="zh-CN"/>
        </w:rPr>
        <w:t>《无人机航空摄影测量技术规范》（</w:t>
      </w:r>
      <w:r>
        <w:rPr>
          <w:rFonts w:hint="default"/>
          <w:color w:val="auto"/>
          <w:highlight w:val="none"/>
        </w:rPr>
        <w:t>T/QGCML 1137-2023</w:t>
      </w:r>
      <w:r>
        <w:rPr>
          <w:rFonts w:hint="eastAsia"/>
          <w:color w:val="auto"/>
          <w:highlight w:val="none"/>
          <w:lang w:val="en-US" w:eastAsia="zh-CN"/>
        </w:rPr>
        <w:t>）</w:t>
      </w:r>
    </w:p>
    <w:p w14:paraId="5FE9E9F1">
      <w:pPr>
        <w:pStyle w:val="3"/>
        <w:spacing w:before="156" w:after="156"/>
        <w:rPr>
          <w:color w:val="auto"/>
        </w:rPr>
      </w:pPr>
      <w:bookmarkStart w:id="11" w:name="_Toc16893"/>
      <w:r>
        <w:rPr>
          <w:rFonts w:hint="eastAsia"/>
          <w:color w:val="auto"/>
        </w:rPr>
        <w:t>4</w:t>
      </w:r>
      <w:r>
        <w:rPr>
          <w:color w:val="auto"/>
        </w:rPr>
        <w:t>管理范围线重新划定</w:t>
      </w:r>
      <w:bookmarkEnd w:id="11"/>
      <w:r>
        <w:rPr>
          <w:color w:val="auto"/>
        </w:rPr>
        <w:t xml:space="preserve"> </w:t>
      </w:r>
    </w:p>
    <w:p w14:paraId="763E6CB7">
      <w:pPr>
        <w:pStyle w:val="4"/>
        <w:spacing w:before="156" w:after="156"/>
        <w:ind w:firstLine="562"/>
        <w:rPr>
          <w:color w:val="auto"/>
        </w:rPr>
      </w:pPr>
      <w:bookmarkStart w:id="12" w:name="_Toc3651"/>
      <w:r>
        <w:rPr>
          <w:rFonts w:hint="eastAsia"/>
          <w:color w:val="auto"/>
        </w:rPr>
        <w:t>4.1</w:t>
      </w:r>
      <w:r>
        <w:rPr>
          <w:color w:val="auto"/>
        </w:rPr>
        <w:t>资料收集</w:t>
      </w:r>
      <w:bookmarkEnd w:id="12"/>
      <w:r>
        <w:rPr>
          <w:color w:val="auto"/>
        </w:rPr>
        <w:t xml:space="preserve"> </w:t>
      </w:r>
    </w:p>
    <w:p w14:paraId="021E4753">
      <w:pPr>
        <w:ind w:firstLine="560"/>
        <w:rPr>
          <w:color w:val="auto"/>
        </w:rPr>
      </w:pPr>
      <w:r>
        <w:rPr>
          <w:color w:val="auto"/>
        </w:rPr>
        <w:t xml:space="preserve">地形资料收集：收集了该河段最新的 1:2000 带状地形图，该地形图采用无人机航空摄影测量技术制作，详细反映了河道的走向、河宽、水深、两岸地形等信息。同时，收集了 102 个河道大断面测量数据，这些断面平均间距约 300 米，从下游往上游逐一编号，岩羊河盐边县上游大断面测绘断面编号为 YYH-82，河口处大断面测绘断面编号为 YYH-1。通过这些地形资料，能够全面了解河道的地形地貌特征，为管理范围线的重新划定提供基础数据。 </w:t>
      </w:r>
    </w:p>
    <w:p w14:paraId="2F71679A">
      <w:pPr>
        <w:ind w:firstLine="560"/>
        <w:rPr>
          <w:color w:val="auto"/>
        </w:rPr>
      </w:pPr>
      <w:r>
        <w:rPr>
          <w:color w:val="auto"/>
        </w:rPr>
        <w:t>水文资料收集：收集了该区域的水文资料，包括盐边县气象站多年的气象数据，如多年平均气温 20.5℃，历年最高气温 41.5℃，最低气温 0.1℃，多年平均相对湿度 56%，多年平均日照时数 2575.5h，多年平均蒸发量 2552.8mm (20cm 蒸发皿</w:t>
      </w:r>
      <w:r>
        <w:rPr>
          <w:rFonts w:hint="eastAsia"/>
          <w:color w:val="auto"/>
          <w:lang w:eastAsia="zh-CN"/>
        </w:rPr>
        <w:t>）</w:t>
      </w:r>
      <w:r>
        <w:rPr>
          <w:color w:val="auto"/>
        </w:rPr>
        <w:t>，多年平均降水量 892.9mm，雨季（5-10 月）降水量 850.9mm 等。同时，收集了四川省水文局 2010 年出版的《</w:t>
      </w:r>
      <w:r>
        <w:rPr>
          <w:rFonts w:hint="eastAsia"/>
          <w:color w:val="auto"/>
          <w:highlight w:val="none"/>
          <w:lang w:val="en-US" w:eastAsia="zh-CN"/>
        </w:rPr>
        <w:t>四川省暴雨参数图集</w:t>
      </w:r>
      <w:r>
        <w:rPr>
          <w:color w:val="auto"/>
        </w:rPr>
        <w:t xml:space="preserve">》，以及在河道沿线增设水文监测站后获取的连续水位、流量、降水量等数据。这些水文资料为洪水位分析计算提供了充分的依据，确保计算结果的准确性。 </w:t>
      </w:r>
    </w:p>
    <w:p w14:paraId="2F4749DC">
      <w:pPr>
        <w:ind w:firstLine="560"/>
        <w:rPr>
          <w:color w:val="auto"/>
        </w:rPr>
      </w:pPr>
      <w:r>
        <w:rPr>
          <w:color w:val="auto"/>
        </w:rPr>
        <w:t>涉河建筑物资料收集：对河段内的 4 座水库（郎雷水库、岩羊桥水库、冷水箐水库、</w:t>
      </w:r>
      <w:r>
        <w:rPr>
          <w:rFonts w:hint="eastAsia"/>
          <w:color w:val="auto"/>
          <w:lang w:eastAsia="zh-CN"/>
        </w:rPr>
        <w:t>马蜂</w:t>
      </w:r>
      <w:r>
        <w:rPr>
          <w:color w:val="auto"/>
        </w:rPr>
        <w:t xml:space="preserve">湾水库）、47 座桥梁、4 个涵洞、13 个滚水坝等涉河建筑物进行了详细调查和资料收集。包括各建筑物的建设年代、结构类型、规模尺寸、功能用途、运行状况等信息。例如，冷水箐水库坝址以上集雨面积 15.4km²，多年平均年径流量 462 万 m³，总蓄水量为 246 万 m³，正常蓄水位 1597.52m，水库大坝为粘土斜墙石渣坝，坝顶长 100m，坝顶宽 5m，最大坝高 37m 等详细资料。这些资料为涉河建筑物周边管理范围线的划定提供了重要参考。 </w:t>
      </w:r>
    </w:p>
    <w:p w14:paraId="680DAE3E">
      <w:pPr>
        <w:ind w:firstLine="560"/>
        <w:rPr>
          <w:color w:val="auto"/>
        </w:rPr>
      </w:pPr>
      <w:r>
        <w:rPr>
          <w:color w:val="auto"/>
        </w:rPr>
        <w:t xml:space="preserve">土地利用和规划资料收集：收集了该河段周边的土地利用现状资料，包括耕地、园地、村落建设用地等的分布范围和面积，通过实地走访和卫星遥感影像解译，明确了各类土地的利用情况。同时，收集了当地的乡村振兴规划、土地利用总体规划、防洪规划等相关规划资料，了解了区域的发展方向和规划要求，确保管理范围线的划定与区域规划相协调。 </w:t>
      </w:r>
    </w:p>
    <w:p w14:paraId="224362A0">
      <w:pPr>
        <w:ind w:firstLine="560"/>
        <w:rPr>
          <w:color w:val="auto"/>
        </w:rPr>
      </w:pPr>
      <w:r>
        <w:rPr>
          <w:color w:val="auto"/>
        </w:rPr>
        <w:t xml:space="preserve">前期划界成果资料收集：收集了前期划界的报告、界桩坐标、管理范围线图、划界过程中的测量记录、验收报告等资料。通过对这些资料的分析，了解了前期划界的方法、依据和成果，找出了前期划界存在的问题和偏差，为本次调整工作提供了对比和参考。 </w:t>
      </w:r>
    </w:p>
    <w:p w14:paraId="25D0443D">
      <w:pPr>
        <w:ind w:firstLine="560"/>
        <w:rPr>
          <w:color w:val="auto"/>
        </w:rPr>
      </w:pPr>
      <w:r>
        <w:rPr>
          <w:color w:val="auto"/>
        </w:rPr>
        <w:t xml:space="preserve">社会经济资料收集：收集了岩羊河流域所涉及的红格镇鲊石村、新民村、红格村、和爱村和新九镇九场村的社会经济资料，包括人口数量、耕地面积、园地面积、主要农作物和果树种类、养殖情况等。如红格镇鲊石村有人口 2521 人，耕地 1677 亩，园地 6901 亩等。这些资料有助于在划定管理范围线时，充分考虑当地村民的生产生活需求，平衡河道保护与经济发展的关系。 </w:t>
      </w:r>
    </w:p>
    <w:p w14:paraId="09A7B792">
      <w:pPr>
        <w:pStyle w:val="4"/>
        <w:spacing w:before="156" w:after="156"/>
        <w:ind w:firstLine="562"/>
        <w:rPr>
          <w:color w:val="auto"/>
        </w:rPr>
      </w:pPr>
      <w:bookmarkStart w:id="13" w:name="_Toc31057"/>
      <w:r>
        <w:rPr>
          <w:rFonts w:hint="eastAsia"/>
          <w:color w:val="auto"/>
        </w:rPr>
        <w:t>4.2</w:t>
      </w:r>
      <w:r>
        <w:rPr>
          <w:color w:val="auto"/>
        </w:rPr>
        <w:t>资料处理</w:t>
      </w:r>
      <w:bookmarkEnd w:id="13"/>
      <w:r>
        <w:rPr>
          <w:color w:val="auto"/>
        </w:rPr>
        <w:t xml:space="preserve"> </w:t>
      </w:r>
    </w:p>
    <w:p w14:paraId="09F34EC3">
      <w:pPr>
        <w:ind w:firstLine="560"/>
        <w:rPr>
          <w:color w:val="auto"/>
        </w:rPr>
      </w:pPr>
      <w:r>
        <w:rPr>
          <w:color w:val="auto"/>
        </w:rPr>
        <w:t xml:space="preserve">地形资料处理：对收集到的 1:2000 带状地形图和河道大断面数据进行数字化处理。将地形图导入地理信息系统（GIS）软件，进行坐标转换和投影设置，使其与国家统一的坐标系和投影系统一致。对河道大断面数据进行整理和录入，建立河道断面数据库，通过 GIS 软件绘制河道纵断面图和横断面图，直观反映河道的地形变化情况。同时，对地形图上的地物、地貌进行属性标注，如河流、道路、建筑物、植被等，为后续的分析和绘图提供基础。 </w:t>
      </w:r>
    </w:p>
    <w:p w14:paraId="71A8ACA9">
      <w:pPr>
        <w:ind w:firstLine="560"/>
        <w:rPr>
          <w:color w:val="auto"/>
        </w:rPr>
      </w:pPr>
      <w:r>
        <w:rPr>
          <w:color w:val="auto"/>
        </w:rPr>
        <w:t xml:space="preserve">水文资料处理：对收集到的水文资料进行整理和审核，剔除异常数据。对气象数据进行统计分析，计算多年平均降水量、降水日数、暴雨强度等特征值；对水位、流量数据进行整编，绘制水位流量关系曲线，分析河道的水文变化规律。利用水文分析软件，对暴雨等值线图进行数字化处理，提取不同频率的暴雨量数据，为设计洪水计算提供基础数据。 </w:t>
      </w:r>
    </w:p>
    <w:p w14:paraId="4166986B">
      <w:pPr>
        <w:ind w:firstLine="560"/>
        <w:rPr>
          <w:color w:val="auto"/>
        </w:rPr>
      </w:pPr>
      <w:r>
        <w:rPr>
          <w:color w:val="auto"/>
        </w:rPr>
        <w:t xml:space="preserve">涉河建筑物资料处理：对涉河建筑物的资料进行分类整理，建立涉河建筑物数据库，包括建筑物的名称、位置坐标、结构类型、规模参数、功能用途等信息。利用 CAD 软件绘制涉河建筑物的平面图和剖面图，结合地形图和河道断面图，明确建筑物与河道的相对位置关系，为建筑物周边管理范围线的划定提供精确的数据支持。 </w:t>
      </w:r>
    </w:p>
    <w:p w14:paraId="6B4A0B07">
      <w:pPr>
        <w:ind w:firstLine="560"/>
        <w:rPr>
          <w:color w:val="auto"/>
        </w:rPr>
      </w:pPr>
      <w:r>
        <w:rPr>
          <w:color w:val="auto"/>
        </w:rPr>
        <w:t xml:space="preserve">土地利用和规划资料处理：对土地利用现状资料进行数字化处理，在 GIS 软件中绘制土地利用现状图，将不同类型的土地利用区域进行划分和标注。对规划资料进行解读和整理，提取与河道管理相关的内容，如规划中的道路、建筑物、防洪工程等的位置和规模，将其叠加到地形图上，分析规划与河道管理范围的关系，确保管理范围线的划定符合规划要求。 </w:t>
      </w:r>
    </w:p>
    <w:p w14:paraId="2C5047EC">
      <w:pPr>
        <w:ind w:firstLine="560"/>
        <w:rPr>
          <w:color w:val="auto"/>
        </w:rPr>
      </w:pPr>
      <w:r>
        <w:rPr>
          <w:color w:val="auto"/>
        </w:rPr>
        <w:t xml:space="preserve">前期划界成果资料处理：将前期划界成果中的管理范围线和界桩坐标等数据导入 GIS 软件，与本次收集的地形资料和涉河建筑物资料进行叠加分析。通过对比，找出前期划界成果与实际情况的偏差区域，并分析偏差产生的原因，如测量误差、地形变化等。对前期划界的界桩坐标进行复核，对于损坏或丢失的界桩，记录其位置和编号，为本次界桩的补设和调整提供依据。 </w:t>
      </w:r>
    </w:p>
    <w:p w14:paraId="17C6E502">
      <w:pPr>
        <w:pStyle w:val="4"/>
        <w:spacing w:before="156" w:after="156"/>
        <w:ind w:firstLine="562"/>
        <w:rPr>
          <w:color w:val="auto"/>
        </w:rPr>
      </w:pPr>
      <w:bookmarkStart w:id="14" w:name="_Toc11192"/>
      <w:r>
        <w:rPr>
          <w:rFonts w:hint="eastAsia"/>
          <w:color w:val="auto"/>
        </w:rPr>
        <w:t>4.3</w:t>
      </w:r>
      <w:r>
        <w:rPr>
          <w:color w:val="auto"/>
        </w:rPr>
        <w:t>数据补充及补测</w:t>
      </w:r>
      <w:bookmarkEnd w:id="14"/>
      <w:r>
        <w:rPr>
          <w:color w:val="auto"/>
        </w:rPr>
        <w:t xml:space="preserve"> </w:t>
      </w:r>
    </w:p>
    <w:p w14:paraId="7A1FFAA3">
      <w:pPr>
        <w:ind w:firstLine="560"/>
        <w:rPr>
          <w:color w:val="auto"/>
        </w:rPr>
      </w:pPr>
      <w:r>
        <w:rPr>
          <w:color w:val="auto"/>
        </w:rPr>
        <w:t xml:space="preserve">地形数据补充及补测：在对现有地形资料进行分析后，发现部分区域由于地形复杂或前期测量遗漏，存在数据精度不足的问题。例如，红格镇和爱村附近的一段河道，两岸为陡峭的山坡，前期地形图未能准确反映其地形变化。为此，组织专业测量人员携带高精度全站仪和 </w:t>
      </w:r>
      <w:r>
        <w:rPr>
          <w:color w:val="auto"/>
          <w:highlight w:val="none"/>
        </w:rPr>
        <w:t>GPS 设备进行实地补测。补测过程中，按照《工程测量</w:t>
      </w:r>
      <w:r>
        <w:rPr>
          <w:rFonts w:hint="eastAsia"/>
          <w:color w:val="auto"/>
          <w:highlight w:val="none"/>
          <w:lang w:val="en-US" w:eastAsia="zh-CN"/>
        </w:rPr>
        <w:t>通用</w:t>
      </w:r>
      <w:r>
        <w:rPr>
          <w:color w:val="auto"/>
          <w:highlight w:val="none"/>
        </w:rPr>
        <w:t>规范》（GB500</w:t>
      </w:r>
      <w:r>
        <w:rPr>
          <w:rFonts w:hint="eastAsia"/>
          <w:color w:val="auto"/>
          <w:highlight w:val="none"/>
          <w:lang w:val="en-US" w:eastAsia="zh-CN"/>
        </w:rPr>
        <w:t>18</w:t>
      </w:r>
      <w:r>
        <w:rPr>
          <w:color w:val="auto"/>
          <w:highlight w:val="none"/>
        </w:rPr>
        <w:t>-20</w:t>
      </w:r>
      <w:r>
        <w:rPr>
          <w:rFonts w:hint="eastAsia"/>
          <w:color w:val="auto"/>
          <w:highlight w:val="none"/>
          <w:lang w:val="en-US" w:eastAsia="zh-CN"/>
        </w:rPr>
        <w:t>21</w:t>
      </w:r>
      <w:r>
        <w:rPr>
          <w:color w:val="auto"/>
          <w:highlight w:val="none"/>
        </w:rPr>
        <w:t>）的要求，加密测量控制点，对河道断面进行重新测量，获取了准确的水深、河宽、岸坡坡度等数据。同时，对河道周边的陡崖、滑坡体等危险区域进行详细测绘，为</w:t>
      </w:r>
      <w:r>
        <w:rPr>
          <w:color w:val="auto"/>
        </w:rPr>
        <w:t xml:space="preserve">管理范围线的划定和后续的生态治理提供了精准数据。 </w:t>
      </w:r>
    </w:p>
    <w:p w14:paraId="10AC4DEE">
      <w:pPr>
        <w:ind w:firstLine="560"/>
        <w:rPr>
          <w:color w:val="auto"/>
        </w:rPr>
      </w:pPr>
      <w:r>
        <w:rPr>
          <w:color w:val="auto"/>
        </w:rPr>
        <w:t xml:space="preserve">水文数据补充及补测：虽然收集了一定的水文资料，但部分区域的水文监测数据仍存在缺口，尤其是在一些支流汇入处和水库下游区域。为了提高洪水位分析的准确性，在这些关键区域增设了临时水文监测站，监测周期为 3 个月，获取了详细的水位、流量、流速等数据。同时，对历史洪水痕迹进行了实地调查和测量，通过走访当地老人、查看房屋墙壁上的洪水印记等方式，确定了历史洪水的水位和淹没范围，并结合水文模型进行验证，补充了历史洪水数据，为设计洪水计算提供了更充分的依据。 </w:t>
      </w:r>
    </w:p>
    <w:p w14:paraId="33F3542B">
      <w:pPr>
        <w:ind w:firstLine="560"/>
        <w:rPr>
          <w:color w:val="auto"/>
        </w:rPr>
      </w:pPr>
      <w:r>
        <w:rPr>
          <w:color w:val="auto"/>
        </w:rPr>
        <w:t xml:space="preserve">涉河建筑物数据补充及补测：在对涉河建筑物的资料整理过程中，发现部分小型涵洞和滚水坝的参数记录不完整，如涵洞的孔径、滚水坝的高度等。为了准确划定这些建筑物周边的管理范围线，组织人员对其进行实地测量。使用激光测距仪和水准仪等设备，测量了涵洞的长度、宽度、高度和进出口高程，滚水坝的坝顶高程、坝长、坝宽等参数，并拍摄了现场照片，补充完善了涉河建筑物数据库。 </w:t>
      </w:r>
    </w:p>
    <w:p w14:paraId="72B6E12C">
      <w:pPr>
        <w:ind w:firstLine="560"/>
        <w:rPr>
          <w:color w:val="auto"/>
        </w:rPr>
      </w:pPr>
      <w:r>
        <w:rPr>
          <w:color w:val="auto"/>
        </w:rPr>
        <w:t xml:space="preserve">土地利用数据补充及补测：通过卫星遥感影像解译发现，部分区域的土地利用现状与实地情况存在差异，如一些新的建设用地未被及时更新。为此，组织人员进行实地核查，对这些差异区域进行补充调查和测量，更新土地利用现状图。同时，对规划资料中与实际情况不符的内容进行核实和修正，确保管理范围线的划定与最新的土地利用和规划情况相适应。 </w:t>
      </w:r>
    </w:p>
    <w:p w14:paraId="0856E377">
      <w:pPr>
        <w:pStyle w:val="4"/>
        <w:spacing w:before="156" w:after="156"/>
        <w:ind w:firstLine="562"/>
        <w:rPr>
          <w:rFonts w:hint="default" w:ascii="Times New Roman" w:hAnsi="Times New Roman" w:cs="Times New Roman"/>
          <w:color w:val="auto"/>
        </w:rPr>
      </w:pPr>
      <w:bookmarkStart w:id="15" w:name="_Toc16262451"/>
      <w:bookmarkStart w:id="16" w:name="_Toc16261970"/>
      <w:bookmarkStart w:id="17" w:name="_Toc20539"/>
      <w:bookmarkStart w:id="18" w:name="_Toc26832229"/>
      <w:bookmarkStart w:id="19" w:name="_Toc29974"/>
      <w:bookmarkStart w:id="20" w:name="_Toc26832043"/>
      <w:bookmarkStart w:id="21" w:name="_Toc16154048"/>
      <w:bookmarkStart w:id="22" w:name="_Toc16262166"/>
      <w:bookmarkStart w:id="23" w:name="_Toc78769042"/>
      <w:bookmarkStart w:id="24" w:name="_Toc15374462"/>
      <w:r>
        <w:rPr>
          <w:rFonts w:hint="default" w:ascii="Times New Roman" w:hAnsi="Times New Roman" w:cs="Times New Roman"/>
          <w:color w:val="auto"/>
        </w:rPr>
        <w:t>4.4洪水分析计算</w:t>
      </w:r>
      <w:bookmarkEnd w:id="15"/>
      <w:bookmarkEnd w:id="16"/>
      <w:bookmarkEnd w:id="17"/>
      <w:bookmarkEnd w:id="18"/>
      <w:bookmarkEnd w:id="19"/>
      <w:bookmarkEnd w:id="20"/>
      <w:bookmarkEnd w:id="21"/>
      <w:bookmarkEnd w:id="22"/>
      <w:bookmarkEnd w:id="23"/>
    </w:p>
    <w:p w14:paraId="68E91ED4">
      <w:pPr>
        <w:pStyle w:val="5"/>
        <w:spacing w:before="156" w:after="156"/>
        <w:ind w:firstLine="562"/>
        <w:rPr>
          <w:rFonts w:hint="default" w:ascii="Times New Roman" w:hAnsi="Times New Roman" w:cs="Times New Roman"/>
          <w:color w:val="auto"/>
        </w:rPr>
      </w:pPr>
      <w:bookmarkStart w:id="25" w:name="_Toc26832231"/>
      <w:bookmarkStart w:id="26" w:name="_Toc11324"/>
      <w:bookmarkStart w:id="27" w:name="_Toc26832045"/>
      <w:bookmarkStart w:id="28" w:name="_Toc78769043"/>
      <w:bookmarkStart w:id="29" w:name="_Toc25493"/>
      <w:r>
        <w:rPr>
          <w:rFonts w:hint="default" w:ascii="Times New Roman" w:hAnsi="Times New Roman" w:cs="Times New Roman"/>
          <w:color w:val="auto"/>
        </w:rPr>
        <w:t>4.4.1 水文基本资料</w:t>
      </w:r>
      <w:bookmarkEnd w:id="25"/>
      <w:bookmarkEnd w:id="26"/>
      <w:bookmarkEnd w:id="27"/>
      <w:bookmarkEnd w:id="28"/>
      <w:bookmarkEnd w:id="29"/>
    </w:p>
    <w:p w14:paraId="7463EEAA">
      <w:pPr>
        <w:pStyle w:val="6"/>
        <w:spacing w:before="156" w:after="156"/>
        <w:ind w:firstLine="562"/>
        <w:rPr>
          <w:rFonts w:hint="default" w:ascii="Times New Roman" w:hAnsi="Times New Roman" w:cs="Times New Roman"/>
          <w:color w:val="auto"/>
        </w:rPr>
      </w:pPr>
      <w:bookmarkStart w:id="30" w:name="_Toc26832046"/>
      <w:bookmarkStart w:id="31" w:name="_Toc26832232"/>
      <w:bookmarkStart w:id="32" w:name="_Toc78769044"/>
      <w:bookmarkStart w:id="33" w:name="_Toc26832234"/>
      <w:bookmarkStart w:id="34" w:name="_Toc6451"/>
      <w:bookmarkStart w:id="35" w:name="_Toc26832048"/>
      <w:r>
        <w:rPr>
          <w:rFonts w:hint="default" w:ascii="Times New Roman" w:hAnsi="Times New Roman" w:cs="Times New Roman"/>
          <w:color w:val="auto"/>
        </w:rPr>
        <w:t>4.4.1.1 水文站网分布及基本资料</w:t>
      </w:r>
    </w:p>
    <w:p w14:paraId="40108610">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设计流域内没有水文站，</w:t>
      </w:r>
      <w:r>
        <w:rPr>
          <w:rFonts w:hint="default" w:ascii="Times New Roman" w:hAnsi="Times New Roman" w:eastAsia="宋体" w:cs="Times New Roman"/>
          <w:color w:val="auto"/>
          <w:lang w:val="en-US" w:eastAsia="zh-CN"/>
        </w:rPr>
        <w:t>根据《</w:t>
      </w:r>
      <w:r>
        <w:rPr>
          <w:rFonts w:hint="default" w:ascii="Times New Roman" w:hAnsi="Times New Roman" w:eastAsia="宋体" w:cs="Times New Roman"/>
          <w:color w:val="auto"/>
        </w:rPr>
        <w:t>盐边县</w:t>
      </w:r>
      <w:r>
        <w:rPr>
          <w:rFonts w:hint="default" w:ascii="Times New Roman" w:hAnsi="Times New Roman" w:eastAsia="宋体" w:cs="Times New Roman"/>
          <w:color w:val="auto"/>
          <w:lang w:val="en-US" w:eastAsia="zh-CN"/>
        </w:rPr>
        <w:t>红格水库</w:t>
      </w:r>
      <w:r>
        <w:rPr>
          <w:rFonts w:hint="default" w:ascii="Times New Roman" w:hAnsi="Times New Roman" w:eastAsia="宋体" w:cs="Times New Roman"/>
          <w:color w:val="auto"/>
        </w:rPr>
        <w:t>工程</w:t>
      </w:r>
      <w:r>
        <w:rPr>
          <w:rFonts w:hint="default" w:ascii="Times New Roman" w:hAnsi="Times New Roman" w:eastAsia="宋体" w:cs="Times New Roman"/>
          <w:color w:val="auto"/>
          <w:lang w:val="en-US" w:eastAsia="zh-CN"/>
        </w:rPr>
        <w:t>初步设计</w:t>
      </w:r>
      <w:r>
        <w:rPr>
          <w:rFonts w:hint="default" w:ascii="Times New Roman" w:hAnsi="Times New Roman" w:eastAsia="宋体" w:cs="Times New Roman"/>
          <w:color w:val="auto"/>
        </w:rPr>
        <w:t>报告（</w:t>
      </w:r>
      <w:r>
        <w:rPr>
          <w:rFonts w:hint="default" w:ascii="Times New Roman" w:hAnsi="Times New Roman" w:eastAsia="宋体" w:cs="Times New Roman"/>
          <w:color w:val="auto"/>
          <w:lang w:val="en-US" w:eastAsia="zh-CN"/>
        </w:rPr>
        <w:t>报批</w:t>
      </w:r>
      <w:r>
        <w:rPr>
          <w:rFonts w:hint="default" w:ascii="Times New Roman" w:hAnsi="Times New Roman" w:eastAsia="宋体" w:cs="Times New Roman"/>
          <w:color w:val="auto"/>
        </w:rPr>
        <w:t>稿）</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周边水文站主要有城河流域的板栗园水文站、会理水文站、横山水文站等，鲹鱼河流域的会东（会东桥）水文站</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大河流域的五一、栖栖果水文站</w:t>
      </w:r>
      <w:r>
        <w:rPr>
          <w:rFonts w:hint="default" w:ascii="Times New Roman" w:hAnsi="Times New Roman" w:eastAsia="宋体" w:cs="Times New Roman"/>
          <w:color w:val="auto"/>
        </w:rPr>
        <w:t>。岩羊河以及邻近流域雨量站</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水文站基本情况统计见下表。</w:t>
      </w:r>
    </w:p>
    <w:p w14:paraId="71E7BAA2">
      <w:pPr>
        <w:adjustRightInd w:val="0"/>
        <w:snapToGrid w:val="0"/>
        <w:spacing w:line="360" w:lineRule="auto"/>
        <w:ind w:firstLine="560" w:firstLineChars="200"/>
        <w:jc w:val="center"/>
        <w:rPr>
          <w:rFonts w:hint="default" w:ascii="Times New Roman" w:hAnsi="Times New Roman" w:eastAsia="黑体" w:cs="Times New Roman"/>
          <w:bCs/>
          <w:color w:val="auto"/>
          <w:kern w:val="0"/>
          <w:sz w:val="28"/>
          <w:szCs w:val="32"/>
          <w:lang w:val="en-US" w:eastAsia="zh-CN" w:bidi="ar-SA"/>
        </w:rPr>
      </w:pPr>
      <w:r>
        <w:rPr>
          <w:rFonts w:hint="default" w:ascii="Times New Roman" w:hAnsi="Times New Roman" w:cs="Times New Roman"/>
          <w:color w:val="auto"/>
        </w:rPr>
        <w:t>表4.1-1</w:t>
      </w:r>
      <w:r>
        <w:rPr>
          <w:rFonts w:hint="default" w:ascii="Times New Roman" w:hAnsi="Times New Roman" w:eastAsia="黑体" w:cs="Times New Roman"/>
          <w:bCs/>
          <w:color w:val="auto"/>
          <w:kern w:val="0"/>
          <w:sz w:val="28"/>
          <w:szCs w:val="32"/>
          <w:lang w:val="en-US" w:eastAsia="zh-CN" w:bidi="ar-SA"/>
        </w:rPr>
        <w:t>岩羊河及邻近流域雨量站、水文站基本情况统计表</w:t>
      </w:r>
    </w:p>
    <w:tbl>
      <w:tblPr>
        <w:tblStyle w:val="29"/>
        <w:tblW w:w="5466" w:type="pct"/>
        <w:tblInd w:w="0" w:type="dxa"/>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846"/>
        <w:gridCol w:w="846"/>
        <w:gridCol w:w="973"/>
        <w:gridCol w:w="1449"/>
        <w:gridCol w:w="1449"/>
        <w:gridCol w:w="1267"/>
        <w:gridCol w:w="1430"/>
      </w:tblGrid>
      <w:tr w14:paraId="70656F07">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blHeader/>
        </w:trPr>
        <w:tc>
          <w:tcPr>
            <w:tcW w:w="565" w:type="pct"/>
            <w:vMerge w:val="restart"/>
            <w:tcBorders>
              <w:top w:val="single" w:color="auto" w:sz="12" w:space="0"/>
              <w:left w:val="nil"/>
              <w:bottom w:val="single" w:color="auto" w:sz="4" w:space="0"/>
              <w:right w:val="single" w:color="auto" w:sz="4" w:space="0"/>
            </w:tcBorders>
            <w:noWrap/>
            <w:vAlign w:val="center"/>
          </w:tcPr>
          <w:p w14:paraId="7C130A9E">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所在河流</w:t>
            </w:r>
          </w:p>
          <w:p w14:paraId="072E4353">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（流域）</w:t>
            </w:r>
          </w:p>
        </w:tc>
        <w:tc>
          <w:tcPr>
            <w:tcW w:w="452" w:type="pct"/>
            <w:vMerge w:val="restart"/>
            <w:tcBorders>
              <w:top w:val="single" w:color="auto" w:sz="12" w:space="0"/>
              <w:left w:val="single" w:color="auto" w:sz="4" w:space="0"/>
              <w:bottom w:val="single" w:color="auto" w:sz="4" w:space="0"/>
              <w:right w:val="single" w:color="auto" w:sz="4" w:space="0"/>
            </w:tcBorders>
            <w:noWrap/>
            <w:vAlign w:val="center"/>
          </w:tcPr>
          <w:p w14:paraId="792EB954">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站名</w:t>
            </w:r>
          </w:p>
        </w:tc>
        <w:tc>
          <w:tcPr>
            <w:tcW w:w="452" w:type="pct"/>
            <w:vMerge w:val="restart"/>
            <w:tcBorders>
              <w:top w:val="single" w:color="auto" w:sz="12" w:space="0"/>
              <w:left w:val="single" w:color="auto" w:sz="4" w:space="0"/>
              <w:bottom w:val="single" w:color="auto" w:sz="4" w:space="0"/>
              <w:right w:val="single" w:color="auto" w:sz="4" w:space="0"/>
            </w:tcBorders>
            <w:noWrap/>
            <w:vAlign w:val="center"/>
          </w:tcPr>
          <w:p w14:paraId="448E9FFE">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站别</w:t>
            </w:r>
          </w:p>
        </w:tc>
        <w:tc>
          <w:tcPr>
            <w:tcW w:w="480" w:type="pct"/>
            <w:vMerge w:val="restart"/>
            <w:tcBorders>
              <w:top w:val="single" w:color="auto" w:sz="12" w:space="0"/>
              <w:left w:val="single" w:color="auto" w:sz="4" w:space="0"/>
              <w:bottom w:val="single" w:color="auto" w:sz="4" w:space="0"/>
              <w:right w:val="single" w:color="auto" w:sz="4" w:space="0"/>
            </w:tcBorders>
            <w:noWrap w:val="0"/>
            <w:vAlign w:val="center"/>
          </w:tcPr>
          <w:p w14:paraId="078212E6">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集水面积（k</w:t>
            </w: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vertAlign w:val="superscript"/>
                <w:lang w:eastAsia="zh-CN"/>
              </w:rPr>
              <w:t>2</w:t>
            </w:r>
            <w:r>
              <w:rPr>
                <w:rFonts w:hint="default" w:ascii="Times New Roman" w:hAnsi="Times New Roman" w:eastAsia="宋体" w:cs="Times New Roman"/>
                <w:color w:val="auto"/>
                <w:highlight w:val="none"/>
              </w:rPr>
              <w:t>）</w:t>
            </w:r>
          </w:p>
        </w:tc>
        <w:tc>
          <w:tcPr>
            <w:tcW w:w="2258" w:type="pct"/>
            <w:gridSpan w:val="3"/>
            <w:tcBorders>
              <w:top w:val="single" w:color="auto" w:sz="12" w:space="0"/>
              <w:left w:val="single" w:color="auto" w:sz="4" w:space="0"/>
              <w:bottom w:val="single" w:color="auto" w:sz="4" w:space="0"/>
              <w:right w:val="single" w:color="auto" w:sz="4" w:space="0"/>
            </w:tcBorders>
            <w:noWrap/>
            <w:vAlign w:val="center"/>
          </w:tcPr>
          <w:p w14:paraId="08DF1D0D">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观测项目及时间</w:t>
            </w:r>
          </w:p>
        </w:tc>
        <w:tc>
          <w:tcPr>
            <w:tcW w:w="789" w:type="pct"/>
            <w:vMerge w:val="restart"/>
            <w:tcBorders>
              <w:top w:val="single" w:color="auto" w:sz="12" w:space="0"/>
              <w:left w:val="single" w:color="auto" w:sz="4" w:space="0"/>
              <w:bottom w:val="single" w:color="auto" w:sz="4" w:space="0"/>
              <w:right w:val="nil"/>
            </w:tcBorders>
            <w:noWrap/>
            <w:vAlign w:val="center"/>
          </w:tcPr>
          <w:p w14:paraId="037E6559">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雨量</w:t>
            </w:r>
          </w:p>
        </w:tc>
      </w:tr>
      <w:tr w14:paraId="75BE8FE0">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blHeader/>
        </w:trPr>
        <w:tc>
          <w:tcPr>
            <w:tcW w:w="565" w:type="pct"/>
            <w:vMerge w:val="continue"/>
            <w:tcBorders>
              <w:top w:val="single" w:color="auto" w:sz="4" w:space="0"/>
              <w:left w:val="nil"/>
              <w:bottom w:val="single" w:color="auto" w:sz="4" w:space="0"/>
              <w:right w:val="single" w:color="auto" w:sz="4" w:space="0"/>
            </w:tcBorders>
            <w:noWrap w:val="0"/>
            <w:vAlign w:val="center"/>
          </w:tcPr>
          <w:p w14:paraId="3027B9E1">
            <w:pPr>
              <w:pStyle w:val="73"/>
              <w:rPr>
                <w:rFonts w:hint="default" w:ascii="Times New Roman" w:hAnsi="Times New Roman" w:eastAsia="宋体" w:cs="Times New Roman"/>
                <w:color w:val="auto"/>
                <w:highlight w:val="none"/>
              </w:rPr>
            </w:pPr>
          </w:p>
        </w:tc>
        <w:tc>
          <w:tcPr>
            <w:tcW w:w="452" w:type="pct"/>
            <w:vMerge w:val="continue"/>
            <w:tcBorders>
              <w:top w:val="single" w:color="auto" w:sz="4" w:space="0"/>
              <w:left w:val="single" w:color="auto" w:sz="4" w:space="0"/>
              <w:bottom w:val="single" w:color="auto" w:sz="4" w:space="0"/>
              <w:right w:val="single" w:color="auto" w:sz="4" w:space="0"/>
            </w:tcBorders>
            <w:noWrap w:val="0"/>
            <w:vAlign w:val="center"/>
          </w:tcPr>
          <w:p w14:paraId="629E9EA3">
            <w:pPr>
              <w:pStyle w:val="73"/>
              <w:rPr>
                <w:rFonts w:hint="default" w:ascii="Times New Roman" w:hAnsi="Times New Roman" w:eastAsia="宋体" w:cs="Times New Roman"/>
                <w:color w:val="auto"/>
                <w:highlight w:val="none"/>
              </w:rPr>
            </w:pPr>
          </w:p>
        </w:tc>
        <w:tc>
          <w:tcPr>
            <w:tcW w:w="452" w:type="pct"/>
            <w:vMerge w:val="continue"/>
            <w:tcBorders>
              <w:top w:val="single" w:color="auto" w:sz="4" w:space="0"/>
              <w:left w:val="single" w:color="auto" w:sz="4" w:space="0"/>
              <w:bottom w:val="single" w:color="auto" w:sz="4" w:space="0"/>
              <w:right w:val="single" w:color="auto" w:sz="4" w:space="0"/>
            </w:tcBorders>
            <w:noWrap w:val="0"/>
            <w:vAlign w:val="center"/>
          </w:tcPr>
          <w:p w14:paraId="46C6F81D">
            <w:pPr>
              <w:pStyle w:val="73"/>
              <w:rPr>
                <w:rFonts w:hint="default" w:ascii="Times New Roman" w:hAnsi="Times New Roman" w:eastAsia="宋体" w:cs="Times New Roman"/>
                <w:color w:val="auto"/>
                <w:highlight w:val="none"/>
              </w:rPr>
            </w:pPr>
          </w:p>
        </w:tc>
        <w:tc>
          <w:tcPr>
            <w:tcW w:w="480" w:type="pct"/>
            <w:vMerge w:val="continue"/>
            <w:tcBorders>
              <w:top w:val="single" w:color="auto" w:sz="4" w:space="0"/>
              <w:left w:val="single" w:color="auto" w:sz="4" w:space="0"/>
              <w:bottom w:val="single" w:color="auto" w:sz="4" w:space="0"/>
              <w:right w:val="single" w:color="auto" w:sz="4" w:space="0"/>
            </w:tcBorders>
            <w:noWrap w:val="0"/>
            <w:vAlign w:val="center"/>
          </w:tcPr>
          <w:p w14:paraId="1BFF686B">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3C805A73">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水位</w:t>
            </w:r>
          </w:p>
        </w:tc>
        <w:tc>
          <w:tcPr>
            <w:tcW w:w="789" w:type="pct"/>
            <w:tcBorders>
              <w:top w:val="single" w:color="auto" w:sz="4" w:space="0"/>
              <w:left w:val="single" w:color="auto" w:sz="4" w:space="0"/>
              <w:bottom w:val="single" w:color="auto" w:sz="4" w:space="0"/>
              <w:right w:val="single" w:color="auto" w:sz="4" w:space="0"/>
            </w:tcBorders>
            <w:noWrap/>
            <w:vAlign w:val="center"/>
          </w:tcPr>
          <w:p w14:paraId="346D45A3">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流量</w:t>
            </w:r>
          </w:p>
        </w:tc>
        <w:tc>
          <w:tcPr>
            <w:tcW w:w="678" w:type="pct"/>
            <w:tcBorders>
              <w:top w:val="single" w:color="auto" w:sz="4" w:space="0"/>
              <w:left w:val="single" w:color="auto" w:sz="4" w:space="0"/>
              <w:bottom w:val="single" w:color="auto" w:sz="4" w:space="0"/>
              <w:right w:val="single" w:color="auto" w:sz="4" w:space="0"/>
            </w:tcBorders>
            <w:noWrap/>
            <w:vAlign w:val="center"/>
          </w:tcPr>
          <w:p w14:paraId="2E974910">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泥沙</w:t>
            </w:r>
          </w:p>
        </w:tc>
        <w:tc>
          <w:tcPr>
            <w:tcW w:w="789" w:type="pct"/>
            <w:vMerge w:val="continue"/>
            <w:tcBorders>
              <w:top w:val="single" w:color="auto" w:sz="4" w:space="0"/>
              <w:left w:val="single" w:color="auto" w:sz="4" w:space="0"/>
              <w:bottom w:val="single" w:color="auto" w:sz="4" w:space="0"/>
              <w:right w:val="nil"/>
            </w:tcBorders>
            <w:noWrap w:val="0"/>
            <w:vAlign w:val="center"/>
          </w:tcPr>
          <w:p w14:paraId="1766EBE0">
            <w:pPr>
              <w:pStyle w:val="73"/>
              <w:rPr>
                <w:rFonts w:hint="default" w:ascii="Times New Roman" w:hAnsi="Times New Roman" w:eastAsia="宋体" w:cs="Times New Roman"/>
                <w:color w:val="auto"/>
                <w:highlight w:val="none"/>
              </w:rPr>
            </w:pPr>
          </w:p>
        </w:tc>
      </w:tr>
      <w:tr w14:paraId="66B3CB59">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tcBorders>
              <w:top w:val="single" w:color="auto" w:sz="4" w:space="0"/>
              <w:left w:val="nil"/>
              <w:bottom w:val="single" w:color="auto" w:sz="4" w:space="0"/>
              <w:right w:val="single" w:color="auto" w:sz="4" w:space="0"/>
            </w:tcBorders>
            <w:noWrap/>
            <w:vAlign w:val="center"/>
          </w:tcPr>
          <w:p w14:paraId="3256DF39">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矮郎河</w:t>
            </w:r>
          </w:p>
        </w:tc>
        <w:tc>
          <w:tcPr>
            <w:tcW w:w="452" w:type="pct"/>
            <w:tcBorders>
              <w:top w:val="single" w:color="auto" w:sz="4" w:space="0"/>
              <w:left w:val="single" w:color="auto" w:sz="4" w:space="0"/>
              <w:bottom w:val="single" w:color="auto" w:sz="4" w:space="0"/>
              <w:right w:val="single" w:color="auto" w:sz="4" w:space="0"/>
            </w:tcBorders>
            <w:noWrap/>
            <w:vAlign w:val="center"/>
          </w:tcPr>
          <w:p w14:paraId="523E3EA7">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板栗园</w:t>
            </w:r>
          </w:p>
        </w:tc>
        <w:tc>
          <w:tcPr>
            <w:tcW w:w="452" w:type="pct"/>
            <w:tcBorders>
              <w:top w:val="single" w:color="auto" w:sz="4" w:space="0"/>
              <w:left w:val="single" w:color="auto" w:sz="4" w:space="0"/>
              <w:bottom w:val="single" w:color="auto" w:sz="4" w:space="0"/>
              <w:right w:val="single" w:color="auto" w:sz="4" w:space="0"/>
            </w:tcBorders>
            <w:noWrap/>
            <w:vAlign w:val="center"/>
          </w:tcPr>
          <w:p w14:paraId="49252FE4">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水文</w:t>
            </w:r>
          </w:p>
        </w:tc>
        <w:tc>
          <w:tcPr>
            <w:tcW w:w="480" w:type="pct"/>
            <w:tcBorders>
              <w:top w:val="single" w:color="auto" w:sz="4" w:space="0"/>
              <w:left w:val="single" w:color="auto" w:sz="4" w:space="0"/>
              <w:bottom w:val="single" w:color="auto" w:sz="4" w:space="0"/>
              <w:right w:val="single" w:color="auto" w:sz="4" w:space="0"/>
            </w:tcBorders>
            <w:noWrap/>
            <w:vAlign w:val="center"/>
          </w:tcPr>
          <w:p w14:paraId="49AA431B">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159</w:t>
            </w:r>
          </w:p>
        </w:tc>
        <w:tc>
          <w:tcPr>
            <w:tcW w:w="789" w:type="pct"/>
            <w:tcBorders>
              <w:top w:val="single" w:color="auto" w:sz="4" w:space="0"/>
              <w:left w:val="single" w:color="auto" w:sz="4" w:space="0"/>
              <w:bottom w:val="single" w:color="auto" w:sz="4" w:space="0"/>
              <w:right w:val="single" w:color="auto" w:sz="4" w:space="0"/>
            </w:tcBorders>
            <w:noWrap/>
            <w:vAlign w:val="center"/>
          </w:tcPr>
          <w:p w14:paraId="3CE91E29">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1959～1970</w:t>
            </w:r>
          </w:p>
        </w:tc>
        <w:tc>
          <w:tcPr>
            <w:tcW w:w="789" w:type="pct"/>
            <w:tcBorders>
              <w:top w:val="single" w:color="auto" w:sz="4" w:space="0"/>
              <w:left w:val="single" w:color="auto" w:sz="4" w:space="0"/>
              <w:bottom w:val="single" w:color="auto" w:sz="4" w:space="0"/>
              <w:right w:val="single" w:color="auto" w:sz="4" w:space="0"/>
            </w:tcBorders>
            <w:noWrap/>
            <w:vAlign w:val="center"/>
          </w:tcPr>
          <w:p w14:paraId="3DCDB2F0">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1959～1970</w:t>
            </w:r>
          </w:p>
        </w:tc>
        <w:tc>
          <w:tcPr>
            <w:tcW w:w="678" w:type="pct"/>
            <w:tcBorders>
              <w:top w:val="single" w:color="auto" w:sz="4" w:space="0"/>
              <w:left w:val="single" w:color="auto" w:sz="4" w:space="0"/>
              <w:bottom w:val="single" w:color="auto" w:sz="4" w:space="0"/>
              <w:right w:val="single" w:color="auto" w:sz="4" w:space="0"/>
            </w:tcBorders>
            <w:noWrap/>
            <w:vAlign w:val="center"/>
          </w:tcPr>
          <w:p w14:paraId="1080A819">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1959～1961</w:t>
            </w:r>
          </w:p>
        </w:tc>
        <w:tc>
          <w:tcPr>
            <w:tcW w:w="789" w:type="pct"/>
            <w:tcBorders>
              <w:top w:val="single" w:color="auto" w:sz="4" w:space="0"/>
              <w:left w:val="single" w:color="auto" w:sz="4" w:space="0"/>
              <w:bottom w:val="single" w:color="auto" w:sz="4" w:space="0"/>
              <w:right w:val="nil"/>
            </w:tcBorders>
            <w:noWrap/>
            <w:vAlign w:val="center"/>
          </w:tcPr>
          <w:p w14:paraId="2166C664">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1959～1970</w:t>
            </w:r>
          </w:p>
        </w:tc>
      </w:tr>
      <w:tr w14:paraId="03716C75">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tcBorders>
              <w:top w:val="single" w:color="auto" w:sz="4" w:space="0"/>
              <w:left w:val="nil"/>
              <w:bottom w:val="single" w:color="auto" w:sz="4" w:space="0"/>
              <w:right w:val="single" w:color="auto" w:sz="4" w:space="0"/>
            </w:tcBorders>
            <w:noWrap/>
            <w:vAlign w:val="center"/>
          </w:tcPr>
          <w:p w14:paraId="03A18D49">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麻龙河</w:t>
            </w:r>
          </w:p>
        </w:tc>
        <w:tc>
          <w:tcPr>
            <w:tcW w:w="452" w:type="pct"/>
            <w:tcBorders>
              <w:top w:val="single" w:color="auto" w:sz="4" w:space="0"/>
              <w:left w:val="single" w:color="auto" w:sz="4" w:space="0"/>
              <w:bottom w:val="single" w:color="auto" w:sz="4" w:space="0"/>
              <w:right w:val="single" w:color="auto" w:sz="4" w:space="0"/>
            </w:tcBorders>
            <w:noWrap/>
            <w:vAlign w:val="center"/>
          </w:tcPr>
          <w:p w14:paraId="11F2E22D">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横山</w:t>
            </w:r>
          </w:p>
        </w:tc>
        <w:tc>
          <w:tcPr>
            <w:tcW w:w="452" w:type="pct"/>
            <w:tcBorders>
              <w:top w:val="single" w:color="auto" w:sz="4" w:space="0"/>
              <w:left w:val="single" w:color="auto" w:sz="4" w:space="0"/>
              <w:bottom w:val="single" w:color="auto" w:sz="4" w:space="0"/>
              <w:right w:val="single" w:color="auto" w:sz="4" w:space="0"/>
            </w:tcBorders>
            <w:noWrap/>
            <w:vAlign w:val="center"/>
          </w:tcPr>
          <w:p w14:paraId="6EFC9F00">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水文</w:t>
            </w:r>
          </w:p>
        </w:tc>
        <w:tc>
          <w:tcPr>
            <w:tcW w:w="480" w:type="pct"/>
            <w:tcBorders>
              <w:top w:val="single" w:color="auto" w:sz="4" w:space="0"/>
              <w:left w:val="single" w:color="auto" w:sz="4" w:space="0"/>
              <w:bottom w:val="single" w:color="auto" w:sz="4" w:space="0"/>
              <w:right w:val="single" w:color="auto" w:sz="4" w:space="0"/>
            </w:tcBorders>
            <w:noWrap/>
            <w:vAlign w:val="center"/>
          </w:tcPr>
          <w:p w14:paraId="7691DFDD">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96.0</w:t>
            </w:r>
          </w:p>
        </w:tc>
        <w:tc>
          <w:tcPr>
            <w:tcW w:w="789" w:type="pct"/>
            <w:tcBorders>
              <w:top w:val="single" w:color="auto" w:sz="4" w:space="0"/>
              <w:left w:val="single" w:color="auto" w:sz="4" w:space="0"/>
              <w:bottom w:val="single" w:color="auto" w:sz="4" w:space="0"/>
              <w:right w:val="single" w:color="auto" w:sz="4" w:space="0"/>
            </w:tcBorders>
            <w:noWrap/>
            <w:vAlign w:val="center"/>
          </w:tcPr>
          <w:p w14:paraId="59EA8CB8">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1981～2001</w:t>
            </w:r>
          </w:p>
        </w:tc>
        <w:tc>
          <w:tcPr>
            <w:tcW w:w="789" w:type="pct"/>
            <w:tcBorders>
              <w:top w:val="single" w:color="auto" w:sz="4" w:space="0"/>
              <w:left w:val="single" w:color="auto" w:sz="4" w:space="0"/>
              <w:bottom w:val="single" w:color="auto" w:sz="4" w:space="0"/>
              <w:right w:val="single" w:color="auto" w:sz="4" w:space="0"/>
            </w:tcBorders>
            <w:noWrap/>
            <w:vAlign w:val="center"/>
          </w:tcPr>
          <w:p w14:paraId="03E8B386">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1981～1989</w:t>
            </w:r>
          </w:p>
        </w:tc>
        <w:tc>
          <w:tcPr>
            <w:tcW w:w="678" w:type="pct"/>
            <w:tcBorders>
              <w:top w:val="single" w:color="auto" w:sz="4" w:space="0"/>
              <w:left w:val="single" w:color="auto" w:sz="4" w:space="0"/>
              <w:bottom w:val="single" w:color="auto" w:sz="4" w:space="0"/>
              <w:right w:val="single" w:color="auto" w:sz="4" w:space="0"/>
            </w:tcBorders>
            <w:noWrap/>
            <w:vAlign w:val="center"/>
          </w:tcPr>
          <w:p w14:paraId="18A17395">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1981～1985</w:t>
            </w:r>
          </w:p>
        </w:tc>
        <w:tc>
          <w:tcPr>
            <w:tcW w:w="789" w:type="pct"/>
            <w:tcBorders>
              <w:top w:val="single" w:color="auto" w:sz="4" w:space="0"/>
              <w:left w:val="single" w:color="auto" w:sz="4" w:space="0"/>
              <w:bottom w:val="single" w:color="auto" w:sz="4" w:space="0"/>
              <w:right w:val="nil"/>
            </w:tcBorders>
            <w:noWrap/>
            <w:vAlign w:val="center"/>
          </w:tcPr>
          <w:p w14:paraId="48ED75A1">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1981～今</w:t>
            </w:r>
          </w:p>
        </w:tc>
      </w:tr>
      <w:tr w14:paraId="31E844D9">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restart"/>
            <w:tcBorders>
              <w:top w:val="single" w:color="auto" w:sz="4" w:space="0"/>
              <w:left w:val="nil"/>
              <w:bottom w:val="single" w:color="auto" w:sz="4" w:space="0"/>
              <w:right w:val="single" w:color="auto" w:sz="4" w:space="0"/>
            </w:tcBorders>
            <w:noWrap/>
            <w:vAlign w:val="center"/>
          </w:tcPr>
          <w:p w14:paraId="1B5DF2F4">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城河</w:t>
            </w:r>
          </w:p>
        </w:tc>
        <w:tc>
          <w:tcPr>
            <w:tcW w:w="452" w:type="pct"/>
            <w:tcBorders>
              <w:top w:val="single" w:color="auto" w:sz="4" w:space="0"/>
              <w:left w:val="single" w:color="auto" w:sz="4" w:space="0"/>
              <w:bottom w:val="single" w:color="auto" w:sz="4" w:space="0"/>
              <w:right w:val="single" w:color="auto" w:sz="4" w:space="0"/>
            </w:tcBorders>
            <w:noWrap/>
            <w:vAlign w:val="center"/>
          </w:tcPr>
          <w:p w14:paraId="405F0C2A">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会理</w:t>
            </w:r>
          </w:p>
        </w:tc>
        <w:tc>
          <w:tcPr>
            <w:tcW w:w="452" w:type="pct"/>
            <w:tcBorders>
              <w:top w:val="single" w:color="auto" w:sz="4" w:space="0"/>
              <w:left w:val="single" w:color="auto" w:sz="4" w:space="0"/>
              <w:bottom w:val="single" w:color="auto" w:sz="4" w:space="0"/>
              <w:right w:val="single" w:color="auto" w:sz="4" w:space="0"/>
            </w:tcBorders>
            <w:noWrap/>
            <w:vAlign w:val="center"/>
          </w:tcPr>
          <w:p w14:paraId="78C15111">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水文</w:t>
            </w:r>
          </w:p>
        </w:tc>
        <w:tc>
          <w:tcPr>
            <w:tcW w:w="480" w:type="pct"/>
            <w:tcBorders>
              <w:top w:val="single" w:color="auto" w:sz="4" w:space="0"/>
              <w:left w:val="single" w:color="auto" w:sz="4" w:space="0"/>
              <w:bottom w:val="single" w:color="auto" w:sz="4" w:space="0"/>
              <w:right w:val="single" w:color="auto" w:sz="4" w:space="0"/>
            </w:tcBorders>
            <w:noWrap/>
            <w:vAlign w:val="center"/>
          </w:tcPr>
          <w:p w14:paraId="5F06F665">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516</w:t>
            </w:r>
          </w:p>
        </w:tc>
        <w:tc>
          <w:tcPr>
            <w:tcW w:w="789" w:type="pct"/>
            <w:tcBorders>
              <w:top w:val="single" w:color="auto" w:sz="4" w:space="0"/>
              <w:left w:val="single" w:color="auto" w:sz="4" w:space="0"/>
              <w:bottom w:val="single" w:color="auto" w:sz="4" w:space="0"/>
              <w:right w:val="single" w:color="auto" w:sz="4" w:space="0"/>
            </w:tcBorders>
            <w:noWrap/>
            <w:vAlign w:val="center"/>
          </w:tcPr>
          <w:p w14:paraId="3953C68C">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2001～今</w:t>
            </w:r>
          </w:p>
        </w:tc>
        <w:tc>
          <w:tcPr>
            <w:tcW w:w="789" w:type="pct"/>
            <w:tcBorders>
              <w:top w:val="single" w:color="auto" w:sz="4" w:space="0"/>
              <w:left w:val="single" w:color="auto" w:sz="4" w:space="0"/>
              <w:bottom w:val="single" w:color="auto" w:sz="4" w:space="0"/>
              <w:right w:val="single" w:color="auto" w:sz="4" w:space="0"/>
            </w:tcBorders>
            <w:noWrap/>
            <w:vAlign w:val="center"/>
          </w:tcPr>
          <w:p w14:paraId="7AD78956">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2002～今</w:t>
            </w:r>
          </w:p>
        </w:tc>
        <w:tc>
          <w:tcPr>
            <w:tcW w:w="678" w:type="pct"/>
            <w:tcBorders>
              <w:top w:val="single" w:color="auto" w:sz="4" w:space="0"/>
              <w:left w:val="single" w:color="auto" w:sz="4" w:space="0"/>
              <w:bottom w:val="single" w:color="auto" w:sz="4" w:space="0"/>
              <w:right w:val="single" w:color="auto" w:sz="4" w:space="0"/>
            </w:tcBorders>
            <w:noWrap/>
            <w:vAlign w:val="center"/>
          </w:tcPr>
          <w:p w14:paraId="3C0502DA">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nil"/>
            </w:tcBorders>
            <w:noWrap/>
            <w:vAlign w:val="center"/>
          </w:tcPr>
          <w:p w14:paraId="2966928B">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2002～今</w:t>
            </w:r>
          </w:p>
        </w:tc>
      </w:tr>
      <w:tr w14:paraId="495F10CC">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continue"/>
            <w:tcBorders>
              <w:top w:val="single" w:color="auto" w:sz="4" w:space="0"/>
              <w:left w:val="nil"/>
              <w:bottom w:val="single" w:color="auto" w:sz="4" w:space="0"/>
              <w:right w:val="single" w:color="auto" w:sz="4" w:space="0"/>
            </w:tcBorders>
            <w:noWrap/>
            <w:vAlign w:val="center"/>
          </w:tcPr>
          <w:p w14:paraId="4B7F2643">
            <w:pPr>
              <w:pStyle w:val="73"/>
              <w:rPr>
                <w:rFonts w:hint="default" w:ascii="Times New Roman" w:hAnsi="Times New Roman" w:eastAsia="宋体" w:cs="Times New Roman"/>
                <w:color w:val="auto"/>
                <w:highlight w:val="none"/>
              </w:rPr>
            </w:pPr>
          </w:p>
        </w:tc>
        <w:tc>
          <w:tcPr>
            <w:tcW w:w="452" w:type="pct"/>
            <w:tcBorders>
              <w:top w:val="single" w:color="auto" w:sz="4" w:space="0"/>
              <w:left w:val="single" w:color="auto" w:sz="4" w:space="0"/>
              <w:bottom w:val="single" w:color="auto" w:sz="4" w:space="0"/>
              <w:right w:val="single" w:color="auto" w:sz="4" w:space="0"/>
            </w:tcBorders>
            <w:noWrap/>
            <w:vAlign w:val="center"/>
          </w:tcPr>
          <w:p w14:paraId="5FC792E0">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打吉塘</w:t>
            </w:r>
          </w:p>
        </w:tc>
        <w:tc>
          <w:tcPr>
            <w:tcW w:w="452" w:type="pct"/>
            <w:tcBorders>
              <w:top w:val="single" w:color="auto" w:sz="4" w:space="0"/>
              <w:left w:val="single" w:color="auto" w:sz="4" w:space="0"/>
              <w:bottom w:val="single" w:color="auto" w:sz="4" w:space="0"/>
              <w:right w:val="single" w:color="auto" w:sz="4" w:space="0"/>
            </w:tcBorders>
            <w:noWrap/>
            <w:vAlign w:val="center"/>
          </w:tcPr>
          <w:p w14:paraId="77BAC51A">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水文</w:t>
            </w:r>
          </w:p>
        </w:tc>
        <w:tc>
          <w:tcPr>
            <w:tcW w:w="480" w:type="pct"/>
            <w:tcBorders>
              <w:top w:val="single" w:color="auto" w:sz="4" w:space="0"/>
              <w:left w:val="single" w:color="auto" w:sz="4" w:space="0"/>
              <w:bottom w:val="single" w:color="auto" w:sz="4" w:space="0"/>
              <w:right w:val="single" w:color="auto" w:sz="4" w:space="0"/>
            </w:tcBorders>
            <w:noWrap/>
            <w:vAlign w:val="center"/>
          </w:tcPr>
          <w:p w14:paraId="35C44BE1">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1011</w:t>
            </w:r>
          </w:p>
        </w:tc>
        <w:tc>
          <w:tcPr>
            <w:tcW w:w="789" w:type="pct"/>
            <w:tcBorders>
              <w:top w:val="single" w:color="auto" w:sz="4" w:space="0"/>
              <w:left w:val="single" w:color="auto" w:sz="4" w:space="0"/>
              <w:bottom w:val="single" w:color="auto" w:sz="4" w:space="0"/>
              <w:right w:val="single" w:color="auto" w:sz="4" w:space="0"/>
            </w:tcBorders>
            <w:noWrap/>
            <w:vAlign w:val="center"/>
          </w:tcPr>
          <w:p w14:paraId="269CAA09">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1989～1993</w:t>
            </w:r>
          </w:p>
        </w:tc>
        <w:tc>
          <w:tcPr>
            <w:tcW w:w="789" w:type="pct"/>
            <w:tcBorders>
              <w:top w:val="single" w:color="auto" w:sz="4" w:space="0"/>
              <w:left w:val="single" w:color="auto" w:sz="4" w:space="0"/>
              <w:bottom w:val="single" w:color="auto" w:sz="4" w:space="0"/>
              <w:right w:val="single" w:color="auto" w:sz="4" w:space="0"/>
            </w:tcBorders>
            <w:noWrap/>
            <w:vAlign w:val="center"/>
          </w:tcPr>
          <w:p w14:paraId="6FB6BB05">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1989～1993</w:t>
            </w:r>
          </w:p>
        </w:tc>
        <w:tc>
          <w:tcPr>
            <w:tcW w:w="678" w:type="pct"/>
            <w:tcBorders>
              <w:top w:val="single" w:color="auto" w:sz="4" w:space="0"/>
              <w:left w:val="single" w:color="auto" w:sz="4" w:space="0"/>
              <w:bottom w:val="single" w:color="auto" w:sz="4" w:space="0"/>
              <w:right w:val="single" w:color="auto" w:sz="4" w:space="0"/>
            </w:tcBorders>
            <w:noWrap/>
            <w:vAlign w:val="center"/>
          </w:tcPr>
          <w:p w14:paraId="6CD7190F">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1989～1993</w:t>
            </w:r>
          </w:p>
        </w:tc>
        <w:tc>
          <w:tcPr>
            <w:tcW w:w="789" w:type="pct"/>
            <w:tcBorders>
              <w:top w:val="single" w:color="auto" w:sz="4" w:space="0"/>
              <w:left w:val="single" w:color="auto" w:sz="4" w:space="0"/>
              <w:bottom w:val="single" w:color="auto" w:sz="4" w:space="0"/>
              <w:right w:val="nil"/>
            </w:tcBorders>
            <w:noWrap/>
            <w:vAlign w:val="center"/>
          </w:tcPr>
          <w:p w14:paraId="76F17E9C">
            <w:pPr>
              <w:pStyle w:val="73"/>
              <w:rPr>
                <w:rFonts w:hint="default" w:ascii="Times New Roman" w:hAnsi="Times New Roman" w:eastAsia="宋体" w:cs="Times New Roman"/>
                <w:color w:val="auto"/>
                <w:highlight w:val="none"/>
              </w:rPr>
            </w:pPr>
          </w:p>
        </w:tc>
      </w:tr>
      <w:tr w14:paraId="2D561BD2">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restart"/>
            <w:tcBorders>
              <w:top w:val="single" w:color="auto" w:sz="4" w:space="0"/>
              <w:left w:val="nil"/>
              <w:bottom w:val="single" w:color="auto" w:sz="4" w:space="0"/>
              <w:right w:val="single" w:color="auto" w:sz="4" w:space="0"/>
            </w:tcBorders>
            <w:noWrap/>
            <w:vAlign w:val="center"/>
          </w:tcPr>
          <w:p w14:paraId="026CA78D">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鲹鱼河</w:t>
            </w:r>
          </w:p>
        </w:tc>
        <w:tc>
          <w:tcPr>
            <w:tcW w:w="452" w:type="pct"/>
            <w:tcBorders>
              <w:top w:val="single" w:color="auto" w:sz="4" w:space="0"/>
              <w:left w:val="single" w:color="auto" w:sz="4" w:space="0"/>
              <w:bottom w:val="single" w:color="auto" w:sz="4" w:space="0"/>
              <w:right w:val="single" w:color="auto" w:sz="4" w:space="0"/>
            </w:tcBorders>
            <w:noWrap/>
            <w:vAlign w:val="center"/>
          </w:tcPr>
          <w:p w14:paraId="518538B0">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会东</w:t>
            </w:r>
          </w:p>
        </w:tc>
        <w:tc>
          <w:tcPr>
            <w:tcW w:w="452" w:type="pct"/>
            <w:tcBorders>
              <w:top w:val="single" w:color="auto" w:sz="4" w:space="0"/>
              <w:left w:val="single" w:color="auto" w:sz="4" w:space="0"/>
              <w:bottom w:val="single" w:color="auto" w:sz="4" w:space="0"/>
              <w:right w:val="single" w:color="auto" w:sz="4" w:space="0"/>
            </w:tcBorders>
            <w:noWrap/>
            <w:vAlign w:val="center"/>
          </w:tcPr>
          <w:p w14:paraId="5E51DD34">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水文</w:t>
            </w:r>
          </w:p>
        </w:tc>
        <w:tc>
          <w:tcPr>
            <w:tcW w:w="480" w:type="pct"/>
            <w:tcBorders>
              <w:top w:val="single" w:color="auto" w:sz="4" w:space="0"/>
              <w:left w:val="single" w:color="auto" w:sz="4" w:space="0"/>
              <w:bottom w:val="single" w:color="auto" w:sz="4" w:space="0"/>
              <w:right w:val="single" w:color="auto" w:sz="4" w:space="0"/>
            </w:tcBorders>
            <w:noWrap/>
            <w:vAlign w:val="center"/>
          </w:tcPr>
          <w:p w14:paraId="47C3F193">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779</w:t>
            </w:r>
          </w:p>
        </w:tc>
        <w:tc>
          <w:tcPr>
            <w:tcW w:w="789" w:type="pct"/>
            <w:tcBorders>
              <w:top w:val="single" w:color="auto" w:sz="4" w:space="0"/>
              <w:left w:val="single" w:color="auto" w:sz="4" w:space="0"/>
              <w:bottom w:val="single" w:color="auto" w:sz="4" w:space="0"/>
              <w:right w:val="single" w:color="auto" w:sz="4" w:space="0"/>
            </w:tcBorders>
            <w:noWrap/>
            <w:vAlign w:val="center"/>
          </w:tcPr>
          <w:p w14:paraId="578ADF7D">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1960～1985</w:t>
            </w:r>
          </w:p>
        </w:tc>
        <w:tc>
          <w:tcPr>
            <w:tcW w:w="789" w:type="pct"/>
            <w:tcBorders>
              <w:top w:val="single" w:color="auto" w:sz="4" w:space="0"/>
              <w:left w:val="single" w:color="auto" w:sz="4" w:space="0"/>
              <w:bottom w:val="single" w:color="auto" w:sz="4" w:space="0"/>
              <w:right w:val="single" w:color="auto" w:sz="4" w:space="0"/>
            </w:tcBorders>
            <w:noWrap/>
            <w:vAlign w:val="center"/>
          </w:tcPr>
          <w:p w14:paraId="229C078C">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1960～1985</w:t>
            </w:r>
          </w:p>
        </w:tc>
        <w:tc>
          <w:tcPr>
            <w:tcW w:w="678" w:type="pct"/>
            <w:tcBorders>
              <w:top w:val="single" w:color="auto" w:sz="4" w:space="0"/>
              <w:left w:val="single" w:color="auto" w:sz="4" w:space="0"/>
              <w:bottom w:val="single" w:color="auto" w:sz="4" w:space="0"/>
              <w:right w:val="single" w:color="auto" w:sz="4" w:space="0"/>
            </w:tcBorders>
            <w:noWrap/>
            <w:vAlign w:val="center"/>
          </w:tcPr>
          <w:p w14:paraId="3D91FAE0">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1966～1985</w:t>
            </w:r>
          </w:p>
        </w:tc>
        <w:tc>
          <w:tcPr>
            <w:tcW w:w="789" w:type="pct"/>
            <w:tcBorders>
              <w:top w:val="single" w:color="auto" w:sz="4" w:space="0"/>
              <w:left w:val="single" w:color="auto" w:sz="4" w:space="0"/>
              <w:bottom w:val="single" w:color="auto" w:sz="4" w:space="0"/>
              <w:right w:val="nil"/>
            </w:tcBorders>
            <w:noWrap/>
            <w:vAlign w:val="center"/>
          </w:tcPr>
          <w:p w14:paraId="2B8919EC">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1966～今</w:t>
            </w:r>
          </w:p>
        </w:tc>
      </w:tr>
      <w:tr w14:paraId="6C828A86">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continue"/>
            <w:tcBorders>
              <w:top w:val="single" w:color="auto" w:sz="4" w:space="0"/>
              <w:left w:val="nil"/>
              <w:bottom w:val="single" w:color="auto" w:sz="4" w:space="0"/>
              <w:right w:val="single" w:color="auto" w:sz="4" w:space="0"/>
            </w:tcBorders>
            <w:noWrap/>
            <w:vAlign w:val="center"/>
          </w:tcPr>
          <w:p w14:paraId="0DBFD3A8">
            <w:pPr>
              <w:pStyle w:val="73"/>
              <w:rPr>
                <w:rFonts w:hint="default" w:ascii="Times New Roman" w:hAnsi="Times New Roman" w:eastAsia="宋体" w:cs="Times New Roman"/>
                <w:color w:val="auto"/>
                <w:highlight w:val="none"/>
              </w:rPr>
            </w:pPr>
          </w:p>
        </w:tc>
        <w:tc>
          <w:tcPr>
            <w:tcW w:w="452" w:type="pct"/>
            <w:tcBorders>
              <w:top w:val="single" w:color="auto" w:sz="4" w:space="0"/>
              <w:left w:val="single" w:color="auto" w:sz="4" w:space="0"/>
              <w:bottom w:val="single" w:color="auto" w:sz="4" w:space="0"/>
              <w:right w:val="single" w:color="auto" w:sz="4" w:space="0"/>
            </w:tcBorders>
            <w:noWrap/>
            <w:vAlign w:val="center"/>
          </w:tcPr>
          <w:p w14:paraId="34BF0114">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会东桥</w:t>
            </w:r>
          </w:p>
        </w:tc>
        <w:tc>
          <w:tcPr>
            <w:tcW w:w="452" w:type="pct"/>
            <w:tcBorders>
              <w:top w:val="single" w:color="auto" w:sz="4" w:space="0"/>
              <w:left w:val="single" w:color="auto" w:sz="4" w:space="0"/>
              <w:bottom w:val="single" w:color="auto" w:sz="4" w:space="0"/>
              <w:right w:val="single" w:color="auto" w:sz="4" w:space="0"/>
            </w:tcBorders>
            <w:noWrap/>
            <w:vAlign w:val="center"/>
          </w:tcPr>
          <w:p w14:paraId="239C0D46">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水文</w:t>
            </w:r>
          </w:p>
        </w:tc>
        <w:tc>
          <w:tcPr>
            <w:tcW w:w="480" w:type="pct"/>
            <w:tcBorders>
              <w:top w:val="single" w:color="auto" w:sz="4" w:space="0"/>
              <w:left w:val="single" w:color="auto" w:sz="4" w:space="0"/>
              <w:bottom w:val="single" w:color="auto" w:sz="4" w:space="0"/>
              <w:right w:val="single" w:color="auto" w:sz="4" w:space="0"/>
            </w:tcBorders>
            <w:noWrap/>
            <w:vAlign w:val="center"/>
          </w:tcPr>
          <w:p w14:paraId="572577A2">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590</w:t>
            </w:r>
          </w:p>
        </w:tc>
        <w:tc>
          <w:tcPr>
            <w:tcW w:w="789" w:type="pct"/>
            <w:tcBorders>
              <w:top w:val="single" w:color="auto" w:sz="4" w:space="0"/>
              <w:left w:val="single" w:color="auto" w:sz="4" w:space="0"/>
              <w:bottom w:val="single" w:color="auto" w:sz="4" w:space="0"/>
              <w:right w:val="single" w:color="auto" w:sz="4" w:space="0"/>
            </w:tcBorders>
            <w:noWrap/>
            <w:vAlign w:val="center"/>
          </w:tcPr>
          <w:p w14:paraId="735ABC26">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1986～今</w:t>
            </w:r>
          </w:p>
        </w:tc>
        <w:tc>
          <w:tcPr>
            <w:tcW w:w="789" w:type="pct"/>
            <w:tcBorders>
              <w:top w:val="single" w:color="auto" w:sz="4" w:space="0"/>
              <w:left w:val="single" w:color="auto" w:sz="4" w:space="0"/>
              <w:bottom w:val="single" w:color="auto" w:sz="4" w:space="0"/>
              <w:right w:val="single" w:color="auto" w:sz="4" w:space="0"/>
            </w:tcBorders>
            <w:noWrap/>
            <w:vAlign w:val="center"/>
          </w:tcPr>
          <w:p w14:paraId="301C69F5">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1986～今</w:t>
            </w:r>
          </w:p>
        </w:tc>
        <w:tc>
          <w:tcPr>
            <w:tcW w:w="678" w:type="pct"/>
            <w:tcBorders>
              <w:top w:val="single" w:color="auto" w:sz="4" w:space="0"/>
              <w:left w:val="single" w:color="auto" w:sz="4" w:space="0"/>
              <w:bottom w:val="single" w:color="auto" w:sz="4" w:space="0"/>
              <w:right w:val="single" w:color="auto" w:sz="4" w:space="0"/>
            </w:tcBorders>
            <w:noWrap/>
            <w:vAlign w:val="center"/>
          </w:tcPr>
          <w:p w14:paraId="0A018F67">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1986～今</w:t>
            </w:r>
          </w:p>
        </w:tc>
        <w:tc>
          <w:tcPr>
            <w:tcW w:w="789" w:type="pct"/>
            <w:tcBorders>
              <w:top w:val="single" w:color="auto" w:sz="4" w:space="0"/>
              <w:left w:val="single" w:color="auto" w:sz="4" w:space="0"/>
              <w:bottom w:val="single" w:color="auto" w:sz="4" w:space="0"/>
              <w:right w:val="nil"/>
            </w:tcBorders>
            <w:noWrap/>
            <w:vAlign w:val="center"/>
          </w:tcPr>
          <w:p w14:paraId="3C364204">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1986～今</w:t>
            </w:r>
          </w:p>
        </w:tc>
      </w:tr>
      <w:tr w14:paraId="2E578241">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restart"/>
            <w:tcBorders>
              <w:top w:val="single" w:color="auto" w:sz="4" w:space="0"/>
              <w:left w:val="nil"/>
              <w:right w:val="single" w:color="auto" w:sz="4" w:space="0"/>
            </w:tcBorders>
            <w:noWrap/>
            <w:vAlign w:val="center"/>
          </w:tcPr>
          <w:p w14:paraId="2E0189C6">
            <w:pPr>
              <w:pStyle w:val="7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大河</w:t>
            </w:r>
          </w:p>
        </w:tc>
        <w:tc>
          <w:tcPr>
            <w:tcW w:w="452" w:type="pct"/>
            <w:tcBorders>
              <w:top w:val="single" w:color="auto" w:sz="4" w:space="0"/>
              <w:left w:val="single" w:color="auto" w:sz="4" w:space="0"/>
              <w:bottom w:val="single" w:color="auto" w:sz="4" w:space="0"/>
              <w:right w:val="single" w:color="auto" w:sz="4" w:space="0"/>
            </w:tcBorders>
            <w:noWrap/>
            <w:vAlign w:val="center"/>
          </w:tcPr>
          <w:p w14:paraId="36461447">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lang w:val="en-US" w:eastAsia="zh-CN"/>
              </w:rPr>
              <w:t>栖栖果</w:t>
            </w:r>
          </w:p>
        </w:tc>
        <w:tc>
          <w:tcPr>
            <w:tcW w:w="452" w:type="pct"/>
            <w:tcBorders>
              <w:top w:val="single" w:color="auto" w:sz="4" w:space="0"/>
              <w:left w:val="single" w:color="auto" w:sz="4" w:space="0"/>
              <w:bottom w:val="single" w:color="auto" w:sz="4" w:space="0"/>
              <w:right w:val="single" w:color="auto" w:sz="4" w:space="0"/>
            </w:tcBorders>
            <w:noWrap/>
            <w:vAlign w:val="center"/>
          </w:tcPr>
          <w:p w14:paraId="7F00C67A">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rPr>
              <w:t>水文</w:t>
            </w:r>
          </w:p>
        </w:tc>
        <w:tc>
          <w:tcPr>
            <w:tcW w:w="480" w:type="pct"/>
            <w:tcBorders>
              <w:top w:val="single" w:color="auto" w:sz="4" w:space="0"/>
              <w:left w:val="single" w:color="auto" w:sz="4" w:space="0"/>
              <w:bottom w:val="single" w:color="auto" w:sz="4" w:space="0"/>
              <w:right w:val="single" w:color="auto" w:sz="4" w:space="0"/>
            </w:tcBorders>
            <w:noWrap/>
            <w:vAlign w:val="center"/>
          </w:tcPr>
          <w:p w14:paraId="0D37D348">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lang w:val="en-US" w:eastAsia="zh-CN"/>
              </w:rPr>
              <w:t>444</w:t>
            </w:r>
          </w:p>
        </w:tc>
        <w:tc>
          <w:tcPr>
            <w:tcW w:w="789" w:type="pct"/>
            <w:tcBorders>
              <w:top w:val="single" w:color="auto" w:sz="4" w:space="0"/>
              <w:left w:val="single" w:color="auto" w:sz="4" w:space="0"/>
              <w:bottom w:val="single" w:color="auto" w:sz="4" w:space="0"/>
              <w:right w:val="single" w:color="auto" w:sz="4" w:space="0"/>
            </w:tcBorders>
            <w:noWrap/>
            <w:vAlign w:val="center"/>
          </w:tcPr>
          <w:p w14:paraId="558D8E6E">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rPr>
              <w:t>1960.6－1966.5</w:t>
            </w:r>
          </w:p>
        </w:tc>
        <w:tc>
          <w:tcPr>
            <w:tcW w:w="789" w:type="pct"/>
            <w:tcBorders>
              <w:top w:val="single" w:color="auto" w:sz="4" w:space="0"/>
              <w:left w:val="single" w:color="auto" w:sz="4" w:space="0"/>
              <w:bottom w:val="single" w:color="auto" w:sz="4" w:space="0"/>
              <w:right w:val="single" w:color="auto" w:sz="4" w:space="0"/>
            </w:tcBorders>
            <w:noWrap/>
            <w:vAlign w:val="center"/>
          </w:tcPr>
          <w:p w14:paraId="52E59FAE">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rPr>
              <w:t>1960.6－1966.5</w:t>
            </w:r>
          </w:p>
        </w:tc>
        <w:tc>
          <w:tcPr>
            <w:tcW w:w="678" w:type="pct"/>
            <w:tcBorders>
              <w:top w:val="single" w:color="auto" w:sz="4" w:space="0"/>
              <w:left w:val="single" w:color="auto" w:sz="4" w:space="0"/>
              <w:bottom w:val="single" w:color="auto" w:sz="4" w:space="0"/>
              <w:right w:val="single" w:color="auto" w:sz="4" w:space="0"/>
            </w:tcBorders>
            <w:noWrap/>
            <w:vAlign w:val="center"/>
          </w:tcPr>
          <w:p w14:paraId="3B887A1C">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nil"/>
            </w:tcBorders>
            <w:noWrap/>
            <w:vAlign w:val="center"/>
          </w:tcPr>
          <w:p w14:paraId="50C6C441">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rPr>
              <w:t>1960.6－1966.5</w:t>
            </w:r>
          </w:p>
        </w:tc>
      </w:tr>
      <w:tr w14:paraId="20CA9B4A">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continue"/>
            <w:tcBorders>
              <w:left w:val="nil"/>
              <w:right w:val="single" w:color="auto" w:sz="4" w:space="0"/>
            </w:tcBorders>
            <w:noWrap/>
            <w:vAlign w:val="center"/>
          </w:tcPr>
          <w:p w14:paraId="64B021D4">
            <w:pPr>
              <w:pStyle w:val="73"/>
              <w:rPr>
                <w:rFonts w:hint="default" w:ascii="Times New Roman" w:hAnsi="Times New Roman" w:eastAsia="宋体" w:cs="Times New Roman"/>
                <w:color w:val="auto"/>
                <w:highlight w:val="none"/>
              </w:rPr>
            </w:pPr>
          </w:p>
        </w:tc>
        <w:tc>
          <w:tcPr>
            <w:tcW w:w="452" w:type="pct"/>
            <w:tcBorders>
              <w:top w:val="single" w:color="auto" w:sz="4" w:space="0"/>
              <w:left w:val="single" w:color="auto" w:sz="4" w:space="0"/>
              <w:bottom w:val="single" w:color="auto" w:sz="4" w:space="0"/>
              <w:right w:val="single" w:color="auto" w:sz="4" w:space="0"/>
            </w:tcBorders>
            <w:noWrap/>
            <w:vAlign w:val="center"/>
          </w:tcPr>
          <w:p w14:paraId="29CC223C">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lang w:val="en-US" w:eastAsia="zh-CN"/>
              </w:rPr>
              <w:t>五一</w:t>
            </w:r>
          </w:p>
        </w:tc>
        <w:tc>
          <w:tcPr>
            <w:tcW w:w="452" w:type="pct"/>
            <w:tcBorders>
              <w:top w:val="single" w:color="auto" w:sz="4" w:space="0"/>
              <w:left w:val="single" w:color="auto" w:sz="4" w:space="0"/>
              <w:bottom w:val="single" w:color="auto" w:sz="4" w:space="0"/>
              <w:right w:val="single" w:color="auto" w:sz="4" w:space="0"/>
            </w:tcBorders>
            <w:noWrap/>
            <w:vAlign w:val="center"/>
          </w:tcPr>
          <w:p w14:paraId="459780BE">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rPr>
              <w:t>水文</w:t>
            </w:r>
          </w:p>
        </w:tc>
        <w:tc>
          <w:tcPr>
            <w:tcW w:w="480" w:type="pct"/>
            <w:tcBorders>
              <w:top w:val="single" w:color="auto" w:sz="4" w:space="0"/>
              <w:left w:val="single" w:color="auto" w:sz="4" w:space="0"/>
              <w:bottom w:val="single" w:color="auto" w:sz="4" w:space="0"/>
              <w:right w:val="single" w:color="auto" w:sz="4" w:space="0"/>
            </w:tcBorders>
            <w:noWrap/>
            <w:vAlign w:val="center"/>
          </w:tcPr>
          <w:p w14:paraId="5883B1C0">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lang w:val="en-US" w:eastAsia="zh-CN"/>
              </w:rPr>
              <w:t>687</w:t>
            </w:r>
          </w:p>
        </w:tc>
        <w:tc>
          <w:tcPr>
            <w:tcW w:w="789" w:type="pct"/>
            <w:tcBorders>
              <w:top w:val="single" w:color="auto" w:sz="4" w:space="0"/>
              <w:left w:val="single" w:color="auto" w:sz="4" w:space="0"/>
              <w:bottom w:val="single" w:color="auto" w:sz="4" w:space="0"/>
              <w:right w:val="single" w:color="auto" w:sz="4" w:space="0"/>
            </w:tcBorders>
            <w:noWrap/>
            <w:vAlign w:val="center"/>
          </w:tcPr>
          <w:p w14:paraId="07171FDA">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rPr>
              <w:t>1966.5－1981.5</w:t>
            </w:r>
          </w:p>
        </w:tc>
        <w:tc>
          <w:tcPr>
            <w:tcW w:w="789" w:type="pct"/>
            <w:tcBorders>
              <w:top w:val="single" w:color="auto" w:sz="4" w:space="0"/>
              <w:left w:val="single" w:color="auto" w:sz="4" w:space="0"/>
              <w:bottom w:val="single" w:color="auto" w:sz="4" w:space="0"/>
              <w:right w:val="single" w:color="auto" w:sz="4" w:space="0"/>
            </w:tcBorders>
            <w:noWrap/>
            <w:vAlign w:val="center"/>
          </w:tcPr>
          <w:p w14:paraId="1EB40826">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rPr>
              <w:t>1966.5－1981.5</w:t>
            </w:r>
          </w:p>
        </w:tc>
        <w:tc>
          <w:tcPr>
            <w:tcW w:w="678" w:type="pct"/>
            <w:tcBorders>
              <w:top w:val="single" w:color="auto" w:sz="4" w:space="0"/>
              <w:left w:val="single" w:color="auto" w:sz="4" w:space="0"/>
              <w:bottom w:val="single" w:color="auto" w:sz="4" w:space="0"/>
              <w:right w:val="single" w:color="auto" w:sz="4" w:space="0"/>
            </w:tcBorders>
            <w:noWrap/>
            <w:vAlign w:val="center"/>
          </w:tcPr>
          <w:p w14:paraId="3F54645E">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nil"/>
            </w:tcBorders>
            <w:noWrap/>
            <w:vAlign w:val="center"/>
          </w:tcPr>
          <w:p w14:paraId="2C9FF00A">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rPr>
              <w:t>1967－1980</w:t>
            </w:r>
          </w:p>
        </w:tc>
      </w:tr>
      <w:tr w14:paraId="0E717F04">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continue"/>
            <w:tcBorders>
              <w:left w:val="nil"/>
              <w:bottom w:val="single" w:color="auto" w:sz="4" w:space="0"/>
              <w:right w:val="single" w:color="auto" w:sz="4" w:space="0"/>
            </w:tcBorders>
            <w:noWrap/>
            <w:vAlign w:val="center"/>
          </w:tcPr>
          <w:p w14:paraId="1F8B3113">
            <w:pPr>
              <w:pStyle w:val="73"/>
              <w:rPr>
                <w:rFonts w:hint="default" w:ascii="Times New Roman" w:hAnsi="Times New Roman" w:eastAsia="宋体" w:cs="Times New Roman"/>
                <w:color w:val="auto"/>
                <w:highlight w:val="none"/>
              </w:rPr>
            </w:pPr>
          </w:p>
        </w:tc>
        <w:tc>
          <w:tcPr>
            <w:tcW w:w="452" w:type="pct"/>
            <w:tcBorders>
              <w:top w:val="single" w:color="auto" w:sz="4" w:space="0"/>
              <w:left w:val="single" w:color="auto" w:sz="4" w:space="0"/>
              <w:bottom w:val="single" w:color="auto" w:sz="4" w:space="0"/>
              <w:right w:val="single" w:color="auto" w:sz="4" w:space="0"/>
            </w:tcBorders>
            <w:noWrap/>
            <w:vAlign w:val="center"/>
          </w:tcPr>
          <w:p w14:paraId="6A47D09A">
            <w:pPr>
              <w:pStyle w:val="73"/>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大河</w:t>
            </w:r>
          </w:p>
        </w:tc>
        <w:tc>
          <w:tcPr>
            <w:tcW w:w="452" w:type="pct"/>
            <w:tcBorders>
              <w:top w:val="single" w:color="auto" w:sz="4" w:space="0"/>
              <w:left w:val="single" w:color="auto" w:sz="4" w:space="0"/>
              <w:bottom w:val="single" w:color="auto" w:sz="4" w:space="0"/>
              <w:right w:val="single" w:color="auto" w:sz="4" w:space="0"/>
            </w:tcBorders>
            <w:noWrap/>
            <w:vAlign w:val="center"/>
          </w:tcPr>
          <w:p w14:paraId="4C55DDA2">
            <w:pPr>
              <w:pStyle w:val="73"/>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水文</w:t>
            </w:r>
          </w:p>
        </w:tc>
        <w:tc>
          <w:tcPr>
            <w:tcW w:w="480" w:type="pct"/>
            <w:tcBorders>
              <w:top w:val="single" w:color="auto" w:sz="4" w:space="0"/>
              <w:left w:val="single" w:color="auto" w:sz="4" w:space="0"/>
              <w:bottom w:val="single" w:color="auto" w:sz="4" w:space="0"/>
              <w:right w:val="single" w:color="auto" w:sz="4" w:space="0"/>
            </w:tcBorders>
            <w:noWrap/>
            <w:vAlign w:val="center"/>
          </w:tcPr>
          <w:p w14:paraId="70E5F290">
            <w:pPr>
              <w:pStyle w:val="73"/>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692</w:t>
            </w:r>
          </w:p>
        </w:tc>
        <w:tc>
          <w:tcPr>
            <w:tcW w:w="789" w:type="pct"/>
            <w:tcBorders>
              <w:top w:val="single" w:color="auto" w:sz="4" w:space="0"/>
              <w:left w:val="single" w:color="auto" w:sz="4" w:space="0"/>
              <w:bottom w:val="single" w:color="auto" w:sz="4" w:space="0"/>
              <w:right w:val="single" w:color="auto" w:sz="4" w:space="0"/>
            </w:tcBorders>
            <w:noWrap/>
            <w:vAlign w:val="center"/>
          </w:tcPr>
          <w:p w14:paraId="7FA024F6">
            <w:pPr>
              <w:pStyle w:val="73"/>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2019-今</w:t>
            </w:r>
          </w:p>
        </w:tc>
        <w:tc>
          <w:tcPr>
            <w:tcW w:w="789" w:type="pct"/>
            <w:tcBorders>
              <w:top w:val="single" w:color="auto" w:sz="4" w:space="0"/>
              <w:left w:val="single" w:color="auto" w:sz="4" w:space="0"/>
              <w:bottom w:val="single" w:color="auto" w:sz="4" w:space="0"/>
              <w:right w:val="single" w:color="auto" w:sz="4" w:space="0"/>
            </w:tcBorders>
            <w:noWrap/>
            <w:vAlign w:val="center"/>
          </w:tcPr>
          <w:p w14:paraId="323C4AF5">
            <w:pPr>
              <w:pStyle w:val="73"/>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2019-今</w:t>
            </w:r>
          </w:p>
        </w:tc>
        <w:tc>
          <w:tcPr>
            <w:tcW w:w="678" w:type="pct"/>
            <w:tcBorders>
              <w:top w:val="single" w:color="auto" w:sz="4" w:space="0"/>
              <w:left w:val="single" w:color="auto" w:sz="4" w:space="0"/>
              <w:bottom w:val="single" w:color="auto" w:sz="4" w:space="0"/>
              <w:right w:val="single" w:color="auto" w:sz="4" w:space="0"/>
            </w:tcBorders>
            <w:noWrap/>
            <w:vAlign w:val="center"/>
          </w:tcPr>
          <w:p w14:paraId="434744BB">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nil"/>
            </w:tcBorders>
            <w:noWrap/>
            <w:vAlign w:val="center"/>
          </w:tcPr>
          <w:p w14:paraId="14B7B5F0">
            <w:pPr>
              <w:pStyle w:val="73"/>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2019-今</w:t>
            </w:r>
          </w:p>
        </w:tc>
      </w:tr>
      <w:tr w14:paraId="6FAB8489">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restart"/>
            <w:tcBorders>
              <w:top w:val="single" w:color="auto" w:sz="4" w:space="0"/>
              <w:left w:val="nil"/>
              <w:right w:val="single" w:color="auto" w:sz="4" w:space="0"/>
            </w:tcBorders>
            <w:noWrap/>
            <w:vAlign w:val="center"/>
          </w:tcPr>
          <w:p w14:paraId="288D7D05">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岩羊河</w:t>
            </w:r>
          </w:p>
        </w:tc>
        <w:tc>
          <w:tcPr>
            <w:tcW w:w="452" w:type="pct"/>
            <w:tcBorders>
              <w:top w:val="single" w:color="auto" w:sz="4" w:space="0"/>
              <w:left w:val="single" w:color="auto" w:sz="4" w:space="0"/>
              <w:bottom w:val="single" w:color="auto" w:sz="4" w:space="0"/>
              <w:right w:val="single" w:color="auto" w:sz="4" w:space="0"/>
            </w:tcBorders>
            <w:noWrap/>
            <w:vAlign w:val="center"/>
          </w:tcPr>
          <w:p w14:paraId="662362E7">
            <w:pPr>
              <w:pStyle w:val="73"/>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团结</w:t>
            </w:r>
          </w:p>
        </w:tc>
        <w:tc>
          <w:tcPr>
            <w:tcW w:w="452" w:type="pct"/>
            <w:tcBorders>
              <w:top w:val="single" w:color="auto" w:sz="4" w:space="0"/>
              <w:left w:val="single" w:color="auto" w:sz="4" w:space="0"/>
              <w:bottom w:val="single" w:color="auto" w:sz="4" w:space="0"/>
              <w:right w:val="single" w:color="auto" w:sz="4" w:space="0"/>
            </w:tcBorders>
            <w:noWrap/>
            <w:vAlign w:val="center"/>
          </w:tcPr>
          <w:p w14:paraId="04B8EAD6">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雨量站</w:t>
            </w:r>
          </w:p>
        </w:tc>
        <w:tc>
          <w:tcPr>
            <w:tcW w:w="480" w:type="pct"/>
            <w:tcBorders>
              <w:top w:val="single" w:color="auto" w:sz="4" w:space="0"/>
              <w:left w:val="single" w:color="auto" w:sz="4" w:space="0"/>
              <w:bottom w:val="single" w:color="auto" w:sz="4" w:space="0"/>
              <w:right w:val="single" w:color="auto" w:sz="4" w:space="0"/>
            </w:tcBorders>
            <w:noWrap/>
            <w:vAlign w:val="center"/>
          </w:tcPr>
          <w:p w14:paraId="284B01D9">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5D2D3A5F">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2094F6DB">
            <w:pPr>
              <w:pStyle w:val="73"/>
              <w:rPr>
                <w:rFonts w:hint="default" w:ascii="Times New Roman" w:hAnsi="Times New Roman" w:eastAsia="宋体" w:cs="Times New Roman"/>
                <w:color w:val="auto"/>
                <w:highlight w:val="none"/>
              </w:rPr>
            </w:pPr>
          </w:p>
        </w:tc>
        <w:tc>
          <w:tcPr>
            <w:tcW w:w="678" w:type="pct"/>
            <w:tcBorders>
              <w:top w:val="single" w:color="auto" w:sz="4" w:space="0"/>
              <w:left w:val="single" w:color="auto" w:sz="4" w:space="0"/>
              <w:bottom w:val="single" w:color="auto" w:sz="4" w:space="0"/>
              <w:right w:val="single" w:color="auto" w:sz="4" w:space="0"/>
            </w:tcBorders>
            <w:noWrap/>
            <w:vAlign w:val="center"/>
          </w:tcPr>
          <w:p w14:paraId="2F1C4BE2">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nil"/>
            </w:tcBorders>
            <w:noWrap/>
            <w:vAlign w:val="center"/>
          </w:tcPr>
          <w:p w14:paraId="1C9F05C3">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2011~今</w:t>
            </w:r>
          </w:p>
        </w:tc>
      </w:tr>
      <w:tr w14:paraId="391646AF">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continue"/>
            <w:tcBorders>
              <w:left w:val="nil"/>
              <w:right w:val="single" w:color="auto" w:sz="4" w:space="0"/>
            </w:tcBorders>
            <w:noWrap/>
            <w:vAlign w:val="center"/>
          </w:tcPr>
          <w:p w14:paraId="7A56FD98">
            <w:pPr>
              <w:pStyle w:val="73"/>
              <w:rPr>
                <w:rFonts w:hint="default" w:ascii="Times New Roman" w:hAnsi="Times New Roman" w:eastAsia="宋体" w:cs="Times New Roman"/>
                <w:color w:val="auto"/>
                <w:highlight w:val="none"/>
              </w:rPr>
            </w:pPr>
          </w:p>
        </w:tc>
        <w:tc>
          <w:tcPr>
            <w:tcW w:w="452" w:type="pct"/>
            <w:tcBorders>
              <w:top w:val="single" w:color="auto" w:sz="4" w:space="0"/>
              <w:left w:val="single" w:color="auto" w:sz="4" w:space="0"/>
              <w:bottom w:val="single" w:color="auto" w:sz="4" w:space="0"/>
              <w:right w:val="single" w:color="auto" w:sz="4" w:space="0"/>
            </w:tcBorders>
            <w:noWrap/>
            <w:vAlign w:val="center"/>
          </w:tcPr>
          <w:p w14:paraId="62111862">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红格</w:t>
            </w:r>
          </w:p>
        </w:tc>
        <w:tc>
          <w:tcPr>
            <w:tcW w:w="452" w:type="pct"/>
            <w:tcBorders>
              <w:top w:val="single" w:color="auto" w:sz="4" w:space="0"/>
              <w:left w:val="single" w:color="auto" w:sz="4" w:space="0"/>
              <w:bottom w:val="single" w:color="auto" w:sz="4" w:space="0"/>
              <w:right w:val="single" w:color="auto" w:sz="4" w:space="0"/>
            </w:tcBorders>
            <w:noWrap/>
            <w:vAlign w:val="center"/>
          </w:tcPr>
          <w:p w14:paraId="055C84DC">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雨量站</w:t>
            </w:r>
          </w:p>
        </w:tc>
        <w:tc>
          <w:tcPr>
            <w:tcW w:w="480" w:type="pct"/>
            <w:tcBorders>
              <w:top w:val="single" w:color="auto" w:sz="4" w:space="0"/>
              <w:left w:val="single" w:color="auto" w:sz="4" w:space="0"/>
              <w:bottom w:val="single" w:color="auto" w:sz="4" w:space="0"/>
              <w:right w:val="single" w:color="auto" w:sz="4" w:space="0"/>
            </w:tcBorders>
            <w:noWrap/>
            <w:vAlign w:val="center"/>
          </w:tcPr>
          <w:p w14:paraId="7608F0E1">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74E26A09">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5F24A05D">
            <w:pPr>
              <w:pStyle w:val="73"/>
              <w:rPr>
                <w:rFonts w:hint="default" w:ascii="Times New Roman" w:hAnsi="Times New Roman" w:eastAsia="宋体" w:cs="Times New Roman"/>
                <w:color w:val="auto"/>
                <w:highlight w:val="none"/>
              </w:rPr>
            </w:pPr>
          </w:p>
        </w:tc>
        <w:tc>
          <w:tcPr>
            <w:tcW w:w="678" w:type="pct"/>
            <w:tcBorders>
              <w:top w:val="single" w:color="auto" w:sz="4" w:space="0"/>
              <w:left w:val="single" w:color="auto" w:sz="4" w:space="0"/>
              <w:bottom w:val="single" w:color="auto" w:sz="4" w:space="0"/>
              <w:right w:val="single" w:color="auto" w:sz="4" w:space="0"/>
            </w:tcBorders>
            <w:noWrap/>
            <w:vAlign w:val="center"/>
          </w:tcPr>
          <w:p w14:paraId="676F86E5">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nil"/>
            </w:tcBorders>
            <w:noWrap/>
            <w:vAlign w:val="center"/>
          </w:tcPr>
          <w:p w14:paraId="02688CCC">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1993~今</w:t>
            </w:r>
          </w:p>
        </w:tc>
      </w:tr>
      <w:tr w14:paraId="25EBBD7A">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continue"/>
            <w:tcBorders>
              <w:left w:val="nil"/>
              <w:bottom w:val="single" w:color="auto" w:sz="4" w:space="0"/>
              <w:right w:val="single" w:color="auto" w:sz="4" w:space="0"/>
            </w:tcBorders>
            <w:noWrap/>
            <w:vAlign w:val="center"/>
          </w:tcPr>
          <w:p w14:paraId="25D8C8C4">
            <w:pPr>
              <w:pStyle w:val="73"/>
              <w:rPr>
                <w:rFonts w:hint="default" w:ascii="Times New Roman" w:hAnsi="Times New Roman" w:eastAsia="宋体" w:cs="Times New Roman"/>
                <w:color w:val="auto"/>
                <w:highlight w:val="none"/>
              </w:rPr>
            </w:pPr>
          </w:p>
        </w:tc>
        <w:tc>
          <w:tcPr>
            <w:tcW w:w="452" w:type="pct"/>
            <w:tcBorders>
              <w:top w:val="single" w:color="auto" w:sz="4" w:space="0"/>
              <w:left w:val="single" w:color="auto" w:sz="4" w:space="0"/>
              <w:bottom w:val="single" w:color="auto" w:sz="4" w:space="0"/>
              <w:right w:val="single" w:color="auto" w:sz="4" w:space="0"/>
            </w:tcBorders>
            <w:noWrap/>
            <w:vAlign w:val="center"/>
          </w:tcPr>
          <w:p w14:paraId="318913CC">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热作场</w:t>
            </w:r>
          </w:p>
        </w:tc>
        <w:tc>
          <w:tcPr>
            <w:tcW w:w="452" w:type="pct"/>
            <w:tcBorders>
              <w:top w:val="single" w:color="auto" w:sz="4" w:space="0"/>
              <w:left w:val="single" w:color="auto" w:sz="4" w:space="0"/>
              <w:bottom w:val="single" w:color="auto" w:sz="4" w:space="0"/>
              <w:right w:val="single" w:color="auto" w:sz="4" w:space="0"/>
            </w:tcBorders>
            <w:noWrap/>
            <w:vAlign w:val="center"/>
          </w:tcPr>
          <w:p w14:paraId="40D133FB">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气象站</w:t>
            </w:r>
          </w:p>
        </w:tc>
        <w:tc>
          <w:tcPr>
            <w:tcW w:w="480" w:type="pct"/>
            <w:tcBorders>
              <w:top w:val="single" w:color="auto" w:sz="4" w:space="0"/>
              <w:left w:val="single" w:color="auto" w:sz="4" w:space="0"/>
              <w:bottom w:val="single" w:color="auto" w:sz="4" w:space="0"/>
              <w:right w:val="single" w:color="auto" w:sz="4" w:space="0"/>
            </w:tcBorders>
            <w:noWrap/>
            <w:vAlign w:val="center"/>
          </w:tcPr>
          <w:p w14:paraId="089E971C">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3CCFAD35">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3C83CDF1">
            <w:pPr>
              <w:pStyle w:val="73"/>
              <w:rPr>
                <w:rFonts w:hint="default" w:ascii="Times New Roman" w:hAnsi="Times New Roman" w:eastAsia="宋体" w:cs="Times New Roman"/>
                <w:color w:val="auto"/>
                <w:highlight w:val="none"/>
              </w:rPr>
            </w:pPr>
          </w:p>
        </w:tc>
        <w:tc>
          <w:tcPr>
            <w:tcW w:w="678" w:type="pct"/>
            <w:tcBorders>
              <w:top w:val="single" w:color="auto" w:sz="4" w:space="0"/>
              <w:left w:val="single" w:color="auto" w:sz="4" w:space="0"/>
              <w:bottom w:val="single" w:color="auto" w:sz="4" w:space="0"/>
              <w:right w:val="single" w:color="auto" w:sz="4" w:space="0"/>
            </w:tcBorders>
            <w:noWrap/>
            <w:vAlign w:val="center"/>
          </w:tcPr>
          <w:p w14:paraId="75DE708F">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nil"/>
            </w:tcBorders>
            <w:noWrap/>
            <w:vAlign w:val="center"/>
          </w:tcPr>
          <w:p w14:paraId="34B28726">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1959~1985</w:t>
            </w:r>
          </w:p>
        </w:tc>
      </w:tr>
      <w:tr w14:paraId="01A4E51D">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restart"/>
            <w:tcBorders>
              <w:top w:val="single" w:color="auto" w:sz="4" w:space="0"/>
              <w:left w:val="nil"/>
              <w:right w:val="single" w:color="auto" w:sz="4" w:space="0"/>
            </w:tcBorders>
            <w:noWrap/>
            <w:vAlign w:val="center"/>
          </w:tcPr>
          <w:p w14:paraId="275C1D77">
            <w:pPr>
              <w:pStyle w:val="7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巴拉河</w:t>
            </w:r>
          </w:p>
        </w:tc>
        <w:tc>
          <w:tcPr>
            <w:tcW w:w="452" w:type="pct"/>
            <w:tcBorders>
              <w:top w:val="single" w:color="auto" w:sz="4" w:space="0"/>
              <w:left w:val="single" w:color="auto" w:sz="4" w:space="0"/>
              <w:bottom w:val="single" w:color="auto" w:sz="4" w:space="0"/>
              <w:right w:val="single" w:color="auto" w:sz="4" w:space="0"/>
            </w:tcBorders>
            <w:noWrap/>
            <w:vAlign w:val="center"/>
          </w:tcPr>
          <w:p w14:paraId="3B24B2F1">
            <w:pPr>
              <w:pStyle w:val="7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永益</w:t>
            </w:r>
          </w:p>
        </w:tc>
        <w:tc>
          <w:tcPr>
            <w:tcW w:w="452" w:type="pct"/>
            <w:tcBorders>
              <w:top w:val="single" w:color="auto" w:sz="4" w:space="0"/>
              <w:left w:val="single" w:color="auto" w:sz="4" w:space="0"/>
              <w:bottom w:val="single" w:color="auto" w:sz="4" w:space="0"/>
              <w:right w:val="single" w:color="auto" w:sz="4" w:space="0"/>
            </w:tcBorders>
            <w:noWrap/>
            <w:vAlign w:val="center"/>
          </w:tcPr>
          <w:p w14:paraId="72C0DBE7">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雨量站</w:t>
            </w:r>
          </w:p>
        </w:tc>
        <w:tc>
          <w:tcPr>
            <w:tcW w:w="480" w:type="pct"/>
            <w:tcBorders>
              <w:top w:val="single" w:color="auto" w:sz="4" w:space="0"/>
              <w:left w:val="single" w:color="auto" w:sz="4" w:space="0"/>
              <w:bottom w:val="single" w:color="auto" w:sz="4" w:space="0"/>
              <w:right w:val="single" w:color="auto" w:sz="4" w:space="0"/>
            </w:tcBorders>
            <w:noWrap/>
            <w:vAlign w:val="center"/>
          </w:tcPr>
          <w:p w14:paraId="29DF47A1">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351FFA0E">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1D642B0D">
            <w:pPr>
              <w:pStyle w:val="73"/>
              <w:rPr>
                <w:rFonts w:hint="default" w:ascii="Times New Roman" w:hAnsi="Times New Roman" w:eastAsia="宋体" w:cs="Times New Roman"/>
                <w:color w:val="auto"/>
                <w:highlight w:val="none"/>
              </w:rPr>
            </w:pPr>
          </w:p>
        </w:tc>
        <w:tc>
          <w:tcPr>
            <w:tcW w:w="678" w:type="pct"/>
            <w:tcBorders>
              <w:top w:val="single" w:color="auto" w:sz="4" w:space="0"/>
              <w:left w:val="single" w:color="auto" w:sz="4" w:space="0"/>
              <w:bottom w:val="single" w:color="auto" w:sz="4" w:space="0"/>
              <w:right w:val="single" w:color="auto" w:sz="4" w:space="0"/>
            </w:tcBorders>
            <w:noWrap/>
            <w:vAlign w:val="center"/>
          </w:tcPr>
          <w:p w14:paraId="7D1ED61F">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nil"/>
            </w:tcBorders>
            <w:noWrap/>
            <w:vAlign w:val="center"/>
          </w:tcPr>
          <w:p w14:paraId="3C9BAD83">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2011~今</w:t>
            </w:r>
          </w:p>
        </w:tc>
      </w:tr>
      <w:tr w14:paraId="28D2E03C">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continue"/>
            <w:tcBorders>
              <w:left w:val="nil"/>
              <w:right w:val="single" w:color="auto" w:sz="4" w:space="0"/>
            </w:tcBorders>
            <w:noWrap/>
            <w:vAlign w:val="center"/>
          </w:tcPr>
          <w:p w14:paraId="71D237B9">
            <w:pPr>
              <w:pStyle w:val="73"/>
              <w:rPr>
                <w:rFonts w:hint="default" w:ascii="Times New Roman" w:hAnsi="Times New Roman" w:eastAsia="宋体" w:cs="Times New Roman"/>
                <w:color w:val="auto"/>
                <w:highlight w:val="none"/>
              </w:rPr>
            </w:pPr>
          </w:p>
        </w:tc>
        <w:tc>
          <w:tcPr>
            <w:tcW w:w="452" w:type="pct"/>
            <w:tcBorders>
              <w:top w:val="single" w:color="auto" w:sz="4" w:space="0"/>
              <w:left w:val="single" w:color="auto" w:sz="4" w:space="0"/>
              <w:bottom w:val="single" w:color="auto" w:sz="4" w:space="0"/>
              <w:right w:val="single" w:color="auto" w:sz="4" w:space="0"/>
            </w:tcBorders>
            <w:noWrap/>
            <w:vAlign w:val="center"/>
          </w:tcPr>
          <w:p w14:paraId="51501870">
            <w:pPr>
              <w:pStyle w:val="7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春林</w:t>
            </w:r>
          </w:p>
        </w:tc>
        <w:tc>
          <w:tcPr>
            <w:tcW w:w="452" w:type="pct"/>
            <w:tcBorders>
              <w:top w:val="single" w:color="auto" w:sz="4" w:space="0"/>
              <w:left w:val="single" w:color="auto" w:sz="4" w:space="0"/>
              <w:bottom w:val="single" w:color="auto" w:sz="4" w:space="0"/>
              <w:right w:val="single" w:color="auto" w:sz="4" w:space="0"/>
            </w:tcBorders>
            <w:noWrap/>
            <w:vAlign w:val="center"/>
          </w:tcPr>
          <w:p w14:paraId="195E6684">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雨量站</w:t>
            </w:r>
          </w:p>
        </w:tc>
        <w:tc>
          <w:tcPr>
            <w:tcW w:w="480" w:type="pct"/>
            <w:tcBorders>
              <w:top w:val="single" w:color="auto" w:sz="4" w:space="0"/>
              <w:left w:val="single" w:color="auto" w:sz="4" w:space="0"/>
              <w:bottom w:val="single" w:color="auto" w:sz="4" w:space="0"/>
              <w:right w:val="single" w:color="auto" w:sz="4" w:space="0"/>
            </w:tcBorders>
            <w:noWrap/>
            <w:vAlign w:val="center"/>
          </w:tcPr>
          <w:p w14:paraId="21281303">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4E649ED0">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64F2C3BC">
            <w:pPr>
              <w:pStyle w:val="73"/>
              <w:rPr>
                <w:rFonts w:hint="default" w:ascii="Times New Roman" w:hAnsi="Times New Roman" w:eastAsia="宋体" w:cs="Times New Roman"/>
                <w:color w:val="auto"/>
                <w:highlight w:val="none"/>
              </w:rPr>
            </w:pPr>
          </w:p>
        </w:tc>
        <w:tc>
          <w:tcPr>
            <w:tcW w:w="678" w:type="pct"/>
            <w:tcBorders>
              <w:top w:val="single" w:color="auto" w:sz="4" w:space="0"/>
              <w:left w:val="single" w:color="auto" w:sz="4" w:space="0"/>
              <w:bottom w:val="single" w:color="auto" w:sz="4" w:space="0"/>
              <w:right w:val="single" w:color="auto" w:sz="4" w:space="0"/>
            </w:tcBorders>
            <w:noWrap/>
            <w:vAlign w:val="center"/>
          </w:tcPr>
          <w:p w14:paraId="09FAD527">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nil"/>
            </w:tcBorders>
            <w:noWrap/>
            <w:vAlign w:val="center"/>
          </w:tcPr>
          <w:p w14:paraId="78C6927B">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2011~今</w:t>
            </w:r>
          </w:p>
        </w:tc>
      </w:tr>
      <w:tr w14:paraId="216655DF">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continue"/>
            <w:tcBorders>
              <w:left w:val="nil"/>
              <w:right w:val="single" w:color="auto" w:sz="4" w:space="0"/>
            </w:tcBorders>
            <w:noWrap/>
            <w:vAlign w:val="center"/>
          </w:tcPr>
          <w:p w14:paraId="1151CDCD">
            <w:pPr>
              <w:pStyle w:val="73"/>
              <w:rPr>
                <w:rFonts w:hint="default" w:ascii="Times New Roman" w:hAnsi="Times New Roman" w:eastAsia="宋体" w:cs="Times New Roman"/>
                <w:color w:val="auto"/>
                <w:highlight w:val="none"/>
              </w:rPr>
            </w:pPr>
          </w:p>
        </w:tc>
        <w:tc>
          <w:tcPr>
            <w:tcW w:w="452" w:type="pct"/>
            <w:tcBorders>
              <w:top w:val="single" w:color="auto" w:sz="4" w:space="0"/>
              <w:left w:val="single" w:color="auto" w:sz="4" w:space="0"/>
              <w:bottom w:val="single" w:color="auto" w:sz="4" w:space="0"/>
              <w:right w:val="single" w:color="auto" w:sz="4" w:space="0"/>
            </w:tcBorders>
            <w:noWrap/>
            <w:vAlign w:val="center"/>
          </w:tcPr>
          <w:p w14:paraId="16A64F09">
            <w:pPr>
              <w:pStyle w:val="7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平谷</w:t>
            </w:r>
          </w:p>
        </w:tc>
        <w:tc>
          <w:tcPr>
            <w:tcW w:w="452" w:type="pct"/>
            <w:tcBorders>
              <w:top w:val="single" w:color="auto" w:sz="4" w:space="0"/>
              <w:left w:val="single" w:color="auto" w:sz="4" w:space="0"/>
              <w:bottom w:val="single" w:color="auto" w:sz="4" w:space="0"/>
              <w:right w:val="single" w:color="auto" w:sz="4" w:space="0"/>
            </w:tcBorders>
            <w:noWrap/>
            <w:vAlign w:val="center"/>
          </w:tcPr>
          <w:p w14:paraId="4F34A810">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雨量站</w:t>
            </w:r>
          </w:p>
        </w:tc>
        <w:tc>
          <w:tcPr>
            <w:tcW w:w="480" w:type="pct"/>
            <w:tcBorders>
              <w:top w:val="single" w:color="auto" w:sz="4" w:space="0"/>
              <w:left w:val="single" w:color="auto" w:sz="4" w:space="0"/>
              <w:bottom w:val="single" w:color="auto" w:sz="4" w:space="0"/>
              <w:right w:val="single" w:color="auto" w:sz="4" w:space="0"/>
            </w:tcBorders>
            <w:noWrap/>
            <w:vAlign w:val="center"/>
          </w:tcPr>
          <w:p w14:paraId="137C5E57">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05B2F582">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0164D581">
            <w:pPr>
              <w:pStyle w:val="73"/>
              <w:rPr>
                <w:rFonts w:hint="default" w:ascii="Times New Roman" w:hAnsi="Times New Roman" w:eastAsia="宋体" w:cs="Times New Roman"/>
                <w:color w:val="auto"/>
                <w:highlight w:val="none"/>
              </w:rPr>
            </w:pPr>
          </w:p>
        </w:tc>
        <w:tc>
          <w:tcPr>
            <w:tcW w:w="678" w:type="pct"/>
            <w:tcBorders>
              <w:top w:val="single" w:color="auto" w:sz="4" w:space="0"/>
              <w:left w:val="single" w:color="auto" w:sz="4" w:space="0"/>
              <w:bottom w:val="single" w:color="auto" w:sz="4" w:space="0"/>
              <w:right w:val="single" w:color="auto" w:sz="4" w:space="0"/>
            </w:tcBorders>
            <w:noWrap/>
            <w:vAlign w:val="center"/>
          </w:tcPr>
          <w:p w14:paraId="58B928FC">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nil"/>
            </w:tcBorders>
            <w:noWrap/>
            <w:vAlign w:val="center"/>
          </w:tcPr>
          <w:p w14:paraId="193EB04D">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2011~今</w:t>
            </w:r>
          </w:p>
        </w:tc>
      </w:tr>
      <w:tr w14:paraId="01FE4DD9">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restart"/>
            <w:tcBorders>
              <w:top w:val="single" w:color="auto" w:sz="4" w:space="0"/>
              <w:left w:val="nil"/>
              <w:right w:val="single" w:color="auto" w:sz="4" w:space="0"/>
            </w:tcBorders>
            <w:noWrap/>
            <w:vAlign w:val="center"/>
          </w:tcPr>
          <w:p w14:paraId="0ED7AADA">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麻龙河</w:t>
            </w:r>
          </w:p>
        </w:tc>
        <w:tc>
          <w:tcPr>
            <w:tcW w:w="452" w:type="pct"/>
            <w:tcBorders>
              <w:top w:val="single" w:color="auto" w:sz="4" w:space="0"/>
              <w:left w:val="single" w:color="auto" w:sz="4" w:space="0"/>
              <w:bottom w:val="single" w:color="auto" w:sz="4" w:space="0"/>
              <w:right w:val="single" w:color="auto" w:sz="4" w:space="0"/>
            </w:tcBorders>
            <w:noWrap/>
            <w:vAlign w:val="center"/>
          </w:tcPr>
          <w:p w14:paraId="47EAF01E">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石坝</w:t>
            </w:r>
          </w:p>
        </w:tc>
        <w:tc>
          <w:tcPr>
            <w:tcW w:w="452" w:type="pct"/>
            <w:tcBorders>
              <w:top w:val="single" w:color="auto" w:sz="4" w:space="0"/>
              <w:left w:val="single" w:color="auto" w:sz="4" w:space="0"/>
              <w:bottom w:val="single" w:color="auto" w:sz="4" w:space="0"/>
              <w:right w:val="single" w:color="auto" w:sz="4" w:space="0"/>
            </w:tcBorders>
            <w:noWrap/>
            <w:vAlign w:val="center"/>
          </w:tcPr>
          <w:p w14:paraId="3A3C6716">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雨量站</w:t>
            </w:r>
          </w:p>
        </w:tc>
        <w:tc>
          <w:tcPr>
            <w:tcW w:w="480" w:type="pct"/>
            <w:tcBorders>
              <w:top w:val="single" w:color="auto" w:sz="4" w:space="0"/>
              <w:left w:val="single" w:color="auto" w:sz="4" w:space="0"/>
              <w:bottom w:val="single" w:color="auto" w:sz="4" w:space="0"/>
              <w:right w:val="single" w:color="auto" w:sz="4" w:space="0"/>
            </w:tcBorders>
            <w:noWrap/>
            <w:vAlign w:val="center"/>
          </w:tcPr>
          <w:p w14:paraId="4CA4D52C">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2A94B01B">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319A1774">
            <w:pPr>
              <w:pStyle w:val="73"/>
              <w:rPr>
                <w:rFonts w:hint="default" w:ascii="Times New Roman" w:hAnsi="Times New Roman" w:eastAsia="宋体" w:cs="Times New Roman"/>
                <w:color w:val="auto"/>
                <w:highlight w:val="none"/>
              </w:rPr>
            </w:pPr>
          </w:p>
        </w:tc>
        <w:tc>
          <w:tcPr>
            <w:tcW w:w="678" w:type="pct"/>
            <w:tcBorders>
              <w:top w:val="single" w:color="auto" w:sz="4" w:space="0"/>
              <w:left w:val="single" w:color="auto" w:sz="4" w:space="0"/>
              <w:bottom w:val="single" w:color="auto" w:sz="4" w:space="0"/>
              <w:right w:val="single" w:color="auto" w:sz="4" w:space="0"/>
            </w:tcBorders>
            <w:noWrap/>
            <w:vAlign w:val="center"/>
          </w:tcPr>
          <w:p w14:paraId="108FBA55">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nil"/>
            </w:tcBorders>
            <w:noWrap/>
            <w:vAlign w:val="center"/>
          </w:tcPr>
          <w:p w14:paraId="5E0BEC87">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1981-1992</w:t>
            </w:r>
          </w:p>
        </w:tc>
      </w:tr>
      <w:tr w14:paraId="53629BE9">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continue"/>
            <w:tcBorders>
              <w:left w:val="nil"/>
              <w:right w:val="single" w:color="auto" w:sz="4" w:space="0"/>
            </w:tcBorders>
            <w:noWrap/>
            <w:vAlign w:val="center"/>
          </w:tcPr>
          <w:p w14:paraId="0297C140">
            <w:pPr>
              <w:pStyle w:val="73"/>
              <w:rPr>
                <w:rFonts w:hint="default" w:ascii="Times New Roman" w:hAnsi="Times New Roman" w:eastAsia="宋体" w:cs="Times New Roman"/>
                <w:color w:val="auto"/>
                <w:highlight w:val="none"/>
              </w:rPr>
            </w:pPr>
          </w:p>
        </w:tc>
        <w:tc>
          <w:tcPr>
            <w:tcW w:w="452" w:type="pct"/>
            <w:tcBorders>
              <w:top w:val="single" w:color="auto" w:sz="4" w:space="0"/>
              <w:left w:val="single" w:color="auto" w:sz="4" w:space="0"/>
              <w:bottom w:val="single" w:color="auto" w:sz="4" w:space="0"/>
              <w:right w:val="single" w:color="auto" w:sz="4" w:space="0"/>
            </w:tcBorders>
            <w:noWrap/>
            <w:vAlign w:val="center"/>
          </w:tcPr>
          <w:p w14:paraId="10E8B518">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张家湾</w:t>
            </w:r>
          </w:p>
        </w:tc>
        <w:tc>
          <w:tcPr>
            <w:tcW w:w="452" w:type="pct"/>
            <w:tcBorders>
              <w:top w:val="single" w:color="auto" w:sz="4" w:space="0"/>
              <w:left w:val="single" w:color="auto" w:sz="4" w:space="0"/>
              <w:bottom w:val="single" w:color="auto" w:sz="4" w:space="0"/>
              <w:right w:val="single" w:color="auto" w:sz="4" w:space="0"/>
            </w:tcBorders>
            <w:noWrap/>
            <w:vAlign w:val="center"/>
          </w:tcPr>
          <w:p w14:paraId="7D0051FA">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雨量站</w:t>
            </w:r>
          </w:p>
        </w:tc>
        <w:tc>
          <w:tcPr>
            <w:tcW w:w="480" w:type="pct"/>
            <w:tcBorders>
              <w:top w:val="single" w:color="auto" w:sz="4" w:space="0"/>
              <w:left w:val="single" w:color="auto" w:sz="4" w:space="0"/>
              <w:bottom w:val="single" w:color="auto" w:sz="4" w:space="0"/>
              <w:right w:val="single" w:color="auto" w:sz="4" w:space="0"/>
            </w:tcBorders>
            <w:noWrap/>
            <w:vAlign w:val="center"/>
          </w:tcPr>
          <w:p w14:paraId="5A984D16">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7C913F1A">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589B0D94">
            <w:pPr>
              <w:pStyle w:val="73"/>
              <w:rPr>
                <w:rFonts w:hint="default" w:ascii="Times New Roman" w:hAnsi="Times New Roman" w:eastAsia="宋体" w:cs="Times New Roman"/>
                <w:color w:val="auto"/>
                <w:highlight w:val="none"/>
              </w:rPr>
            </w:pPr>
          </w:p>
        </w:tc>
        <w:tc>
          <w:tcPr>
            <w:tcW w:w="678" w:type="pct"/>
            <w:tcBorders>
              <w:top w:val="single" w:color="auto" w:sz="4" w:space="0"/>
              <w:left w:val="single" w:color="auto" w:sz="4" w:space="0"/>
              <w:bottom w:val="single" w:color="auto" w:sz="4" w:space="0"/>
              <w:right w:val="single" w:color="auto" w:sz="4" w:space="0"/>
            </w:tcBorders>
            <w:noWrap/>
            <w:vAlign w:val="center"/>
          </w:tcPr>
          <w:p w14:paraId="38545CA2">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nil"/>
            </w:tcBorders>
            <w:noWrap/>
            <w:vAlign w:val="center"/>
          </w:tcPr>
          <w:p w14:paraId="20B4702C">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1981-1992</w:t>
            </w:r>
          </w:p>
        </w:tc>
      </w:tr>
      <w:tr w14:paraId="0D8CB629">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continue"/>
            <w:tcBorders>
              <w:left w:val="nil"/>
              <w:right w:val="single" w:color="auto" w:sz="4" w:space="0"/>
            </w:tcBorders>
            <w:noWrap/>
            <w:vAlign w:val="center"/>
          </w:tcPr>
          <w:p w14:paraId="66EFB50D">
            <w:pPr>
              <w:pStyle w:val="73"/>
              <w:rPr>
                <w:rFonts w:hint="default" w:ascii="Times New Roman" w:hAnsi="Times New Roman" w:eastAsia="宋体" w:cs="Times New Roman"/>
                <w:color w:val="auto"/>
                <w:highlight w:val="none"/>
              </w:rPr>
            </w:pPr>
          </w:p>
        </w:tc>
        <w:tc>
          <w:tcPr>
            <w:tcW w:w="452" w:type="pct"/>
            <w:tcBorders>
              <w:top w:val="single" w:color="auto" w:sz="4" w:space="0"/>
              <w:left w:val="single" w:color="auto" w:sz="4" w:space="0"/>
              <w:bottom w:val="single" w:color="auto" w:sz="4" w:space="0"/>
              <w:right w:val="single" w:color="auto" w:sz="4" w:space="0"/>
            </w:tcBorders>
            <w:noWrap/>
            <w:vAlign w:val="center"/>
          </w:tcPr>
          <w:p w14:paraId="5ADC6C55">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学房</w:t>
            </w:r>
          </w:p>
        </w:tc>
        <w:tc>
          <w:tcPr>
            <w:tcW w:w="452" w:type="pct"/>
            <w:tcBorders>
              <w:top w:val="single" w:color="auto" w:sz="4" w:space="0"/>
              <w:left w:val="single" w:color="auto" w:sz="4" w:space="0"/>
              <w:bottom w:val="single" w:color="auto" w:sz="4" w:space="0"/>
              <w:right w:val="single" w:color="auto" w:sz="4" w:space="0"/>
            </w:tcBorders>
            <w:noWrap/>
            <w:vAlign w:val="center"/>
          </w:tcPr>
          <w:p w14:paraId="4A493A78">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雨量站</w:t>
            </w:r>
          </w:p>
        </w:tc>
        <w:tc>
          <w:tcPr>
            <w:tcW w:w="480" w:type="pct"/>
            <w:tcBorders>
              <w:top w:val="single" w:color="auto" w:sz="4" w:space="0"/>
              <w:left w:val="single" w:color="auto" w:sz="4" w:space="0"/>
              <w:bottom w:val="single" w:color="auto" w:sz="4" w:space="0"/>
              <w:right w:val="single" w:color="auto" w:sz="4" w:space="0"/>
            </w:tcBorders>
            <w:noWrap/>
            <w:vAlign w:val="center"/>
          </w:tcPr>
          <w:p w14:paraId="1652F583">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1545D437">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3197D979">
            <w:pPr>
              <w:pStyle w:val="73"/>
              <w:rPr>
                <w:rFonts w:hint="default" w:ascii="Times New Roman" w:hAnsi="Times New Roman" w:eastAsia="宋体" w:cs="Times New Roman"/>
                <w:color w:val="auto"/>
                <w:highlight w:val="none"/>
              </w:rPr>
            </w:pPr>
          </w:p>
        </w:tc>
        <w:tc>
          <w:tcPr>
            <w:tcW w:w="678" w:type="pct"/>
            <w:tcBorders>
              <w:top w:val="single" w:color="auto" w:sz="4" w:space="0"/>
              <w:left w:val="single" w:color="auto" w:sz="4" w:space="0"/>
              <w:bottom w:val="single" w:color="auto" w:sz="4" w:space="0"/>
              <w:right w:val="single" w:color="auto" w:sz="4" w:space="0"/>
            </w:tcBorders>
            <w:noWrap/>
            <w:vAlign w:val="center"/>
          </w:tcPr>
          <w:p w14:paraId="4E2BEAD0">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nil"/>
            </w:tcBorders>
            <w:noWrap/>
            <w:vAlign w:val="center"/>
          </w:tcPr>
          <w:p w14:paraId="09FBCC8D">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1981-今</w:t>
            </w:r>
          </w:p>
        </w:tc>
      </w:tr>
      <w:tr w14:paraId="77C52F9F">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vMerge w:val="continue"/>
            <w:tcBorders>
              <w:left w:val="nil"/>
              <w:bottom w:val="single" w:color="auto" w:sz="4" w:space="0"/>
              <w:right w:val="single" w:color="auto" w:sz="4" w:space="0"/>
            </w:tcBorders>
            <w:noWrap/>
            <w:vAlign w:val="center"/>
          </w:tcPr>
          <w:p w14:paraId="24AF57CA">
            <w:pPr>
              <w:pStyle w:val="73"/>
              <w:rPr>
                <w:rFonts w:hint="default" w:ascii="Times New Roman" w:hAnsi="Times New Roman" w:eastAsia="宋体" w:cs="Times New Roman"/>
                <w:color w:val="auto"/>
                <w:highlight w:val="none"/>
              </w:rPr>
            </w:pPr>
          </w:p>
        </w:tc>
        <w:tc>
          <w:tcPr>
            <w:tcW w:w="452" w:type="pct"/>
            <w:tcBorders>
              <w:top w:val="single" w:color="auto" w:sz="4" w:space="0"/>
              <w:left w:val="single" w:color="auto" w:sz="4" w:space="0"/>
              <w:bottom w:val="single" w:color="auto" w:sz="4" w:space="0"/>
              <w:right w:val="single" w:color="auto" w:sz="4" w:space="0"/>
            </w:tcBorders>
            <w:noWrap/>
            <w:vAlign w:val="center"/>
          </w:tcPr>
          <w:p w14:paraId="381910D8">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横山</w:t>
            </w:r>
          </w:p>
        </w:tc>
        <w:tc>
          <w:tcPr>
            <w:tcW w:w="452" w:type="pct"/>
            <w:tcBorders>
              <w:top w:val="single" w:color="auto" w:sz="4" w:space="0"/>
              <w:left w:val="single" w:color="auto" w:sz="4" w:space="0"/>
              <w:bottom w:val="single" w:color="auto" w:sz="4" w:space="0"/>
              <w:right w:val="single" w:color="auto" w:sz="4" w:space="0"/>
            </w:tcBorders>
            <w:noWrap/>
            <w:vAlign w:val="center"/>
          </w:tcPr>
          <w:p w14:paraId="47AC4B3D">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雨量站</w:t>
            </w:r>
          </w:p>
        </w:tc>
        <w:tc>
          <w:tcPr>
            <w:tcW w:w="480" w:type="pct"/>
            <w:tcBorders>
              <w:top w:val="single" w:color="auto" w:sz="4" w:space="0"/>
              <w:left w:val="single" w:color="auto" w:sz="4" w:space="0"/>
              <w:bottom w:val="single" w:color="auto" w:sz="4" w:space="0"/>
              <w:right w:val="single" w:color="auto" w:sz="4" w:space="0"/>
            </w:tcBorders>
            <w:noWrap/>
            <w:vAlign w:val="center"/>
          </w:tcPr>
          <w:p w14:paraId="6CFD8843">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18A20B5F">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1463B52D">
            <w:pPr>
              <w:pStyle w:val="73"/>
              <w:rPr>
                <w:rFonts w:hint="default" w:ascii="Times New Roman" w:hAnsi="Times New Roman" w:eastAsia="宋体" w:cs="Times New Roman"/>
                <w:color w:val="auto"/>
                <w:highlight w:val="none"/>
              </w:rPr>
            </w:pPr>
          </w:p>
        </w:tc>
        <w:tc>
          <w:tcPr>
            <w:tcW w:w="678" w:type="pct"/>
            <w:tcBorders>
              <w:top w:val="single" w:color="auto" w:sz="4" w:space="0"/>
              <w:left w:val="single" w:color="auto" w:sz="4" w:space="0"/>
              <w:bottom w:val="single" w:color="auto" w:sz="4" w:space="0"/>
              <w:right w:val="single" w:color="auto" w:sz="4" w:space="0"/>
            </w:tcBorders>
            <w:noWrap/>
            <w:vAlign w:val="center"/>
          </w:tcPr>
          <w:p w14:paraId="71AE1460">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nil"/>
            </w:tcBorders>
            <w:noWrap/>
            <w:vAlign w:val="center"/>
          </w:tcPr>
          <w:p w14:paraId="4A4CF8F6">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1981-今</w:t>
            </w:r>
          </w:p>
        </w:tc>
      </w:tr>
      <w:tr w14:paraId="00A472E7">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65" w:type="pct"/>
            <w:tcBorders>
              <w:top w:val="single" w:color="auto" w:sz="4" w:space="0"/>
              <w:left w:val="nil"/>
              <w:bottom w:val="single" w:color="auto" w:sz="4" w:space="0"/>
              <w:right w:val="single" w:color="auto" w:sz="4" w:space="0"/>
            </w:tcBorders>
            <w:noWrap/>
            <w:vAlign w:val="center"/>
          </w:tcPr>
          <w:p w14:paraId="06221E84">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矮郎河</w:t>
            </w:r>
          </w:p>
        </w:tc>
        <w:tc>
          <w:tcPr>
            <w:tcW w:w="452" w:type="pct"/>
            <w:tcBorders>
              <w:top w:val="single" w:color="auto" w:sz="4" w:space="0"/>
              <w:left w:val="single" w:color="auto" w:sz="4" w:space="0"/>
              <w:bottom w:val="single" w:color="auto" w:sz="4" w:space="0"/>
              <w:right w:val="single" w:color="auto" w:sz="4" w:space="0"/>
            </w:tcBorders>
            <w:noWrap/>
            <w:vAlign w:val="center"/>
          </w:tcPr>
          <w:p w14:paraId="26C82291">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矮郎</w:t>
            </w:r>
          </w:p>
        </w:tc>
        <w:tc>
          <w:tcPr>
            <w:tcW w:w="452" w:type="pct"/>
            <w:tcBorders>
              <w:top w:val="single" w:color="auto" w:sz="4" w:space="0"/>
              <w:left w:val="single" w:color="auto" w:sz="4" w:space="0"/>
              <w:bottom w:val="single" w:color="auto" w:sz="4" w:space="0"/>
              <w:right w:val="single" w:color="auto" w:sz="4" w:space="0"/>
            </w:tcBorders>
            <w:noWrap/>
            <w:vAlign w:val="center"/>
          </w:tcPr>
          <w:p w14:paraId="28B3CCEB">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雨量站</w:t>
            </w:r>
          </w:p>
        </w:tc>
        <w:tc>
          <w:tcPr>
            <w:tcW w:w="480" w:type="pct"/>
            <w:tcBorders>
              <w:top w:val="single" w:color="auto" w:sz="4" w:space="0"/>
              <w:left w:val="single" w:color="auto" w:sz="4" w:space="0"/>
              <w:bottom w:val="single" w:color="auto" w:sz="4" w:space="0"/>
              <w:right w:val="single" w:color="auto" w:sz="4" w:space="0"/>
            </w:tcBorders>
            <w:noWrap/>
            <w:vAlign w:val="center"/>
          </w:tcPr>
          <w:p w14:paraId="439CCC71">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580C26CE">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single" w:color="auto" w:sz="4" w:space="0"/>
            </w:tcBorders>
            <w:noWrap/>
            <w:vAlign w:val="center"/>
          </w:tcPr>
          <w:p w14:paraId="40CD7DCA">
            <w:pPr>
              <w:pStyle w:val="73"/>
              <w:rPr>
                <w:rFonts w:hint="default" w:ascii="Times New Roman" w:hAnsi="Times New Roman" w:eastAsia="宋体" w:cs="Times New Roman"/>
                <w:color w:val="auto"/>
                <w:highlight w:val="none"/>
              </w:rPr>
            </w:pPr>
          </w:p>
        </w:tc>
        <w:tc>
          <w:tcPr>
            <w:tcW w:w="678" w:type="pct"/>
            <w:tcBorders>
              <w:top w:val="single" w:color="auto" w:sz="4" w:space="0"/>
              <w:left w:val="single" w:color="auto" w:sz="4" w:space="0"/>
              <w:bottom w:val="single" w:color="auto" w:sz="4" w:space="0"/>
              <w:right w:val="single" w:color="auto" w:sz="4" w:space="0"/>
            </w:tcBorders>
            <w:noWrap/>
            <w:vAlign w:val="center"/>
          </w:tcPr>
          <w:p w14:paraId="59E7F46C">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bottom w:val="single" w:color="auto" w:sz="4" w:space="0"/>
              <w:right w:val="nil"/>
            </w:tcBorders>
            <w:noWrap/>
            <w:vAlign w:val="center"/>
          </w:tcPr>
          <w:p w14:paraId="1E0A1A0B">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1960～今</w:t>
            </w:r>
          </w:p>
        </w:tc>
      </w:tr>
      <w:tr w14:paraId="0D4DEDDC">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565" w:type="pct"/>
            <w:tcBorders>
              <w:top w:val="single" w:color="auto" w:sz="4" w:space="0"/>
              <w:left w:val="nil"/>
              <w:right w:val="single" w:color="auto" w:sz="4" w:space="0"/>
            </w:tcBorders>
            <w:noWrap/>
            <w:vAlign w:val="center"/>
          </w:tcPr>
          <w:p w14:paraId="747C2865">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城河</w:t>
            </w:r>
          </w:p>
        </w:tc>
        <w:tc>
          <w:tcPr>
            <w:tcW w:w="452" w:type="pct"/>
            <w:tcBorders>
              <w:top w:val="single" w:color="auto" w:sz="4" w:space="0"/>
              <w:left w:val="single" w:color="auto" w:sz="4" w:space="0"/>
              <w:right w:val="single" w:color="auto" w:sz="4" w:space="0"/>
            </w:tcBorders>
            <w:noWrap/>
            <w:vAlign w:val="center"/>
          </w:tcPr>
          <w:p w14:paraId="7B10BB87">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会理</w:t>
            </w:r>
          </w:p>
        </w:tc>
        <w:tc>
          <w:tcPr>
            <w:tcW w:w="452" w:type="pct"/>
            <w:tcBorders>
              <w:top w:val="single" w:color="auto" w:sz="4" w:space="0"/>
              <w:left w:val="single" w:color="auto" w:sz="4" w:space="0"/>
              <w:right w:val="single" w:color="auto" w:sz="4" w:space="0"/>
            </w:tcBorders>
            <w:noWrap/>
            <w:vAlign w:val="center"/>
          </w:tcPr>
          <w:p w14:paraId="561B9C87">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气象站</w:t>
            </w:r>
          </w:p>
        </w:tc>
        <w:tc>
          <w:tcPr>
            <w:tcW w:w="480" w:type="pct"/>
            <w:tcBorders>
              <w:top w:val="single" w:color="auto" w:sz="4" w:space="0"/>
              <w:left w:val="single" w:color="auto" w:sz="4" w:space="0"/>
              <w:right w:val="single" w:color="auto" w:sz="4" w:space="0"/>
            </w:tcBorders>
            <w:noWrap/>
            <w:vAlign w:val="center"/>
          </w:tcPr>
          <w:p w14:paraId="61499D3A">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right w:val="single" w:color="auto" w:sz="4" w:space="0"/>
            </w:tcBorders>
            <w:noWrap/>
            <w:vAlign w:val="center"/>
          </w:tcPr>
          <w:p w14:paraId="5DFFAF78">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right w:val="single" w:color="auto" w:sz="4" w:space="0"/>
            </w:tcBorders>
            <w:noWrap/>
            <w:vAlign w:val="center"/>
          </w:tcPr>
          <w:p w14:paraId="6B12085E">
            <w:pPr>
              <w:pStyle w:val="73"/>
              <w:rPr>
                <w:rFonts w:hint="default" w:ascii="Times New Roman" w:hAnsi="Times New Roman" w:eastAsia="宋体" w:cs="Times New Roman"/>
                <w:color w:val="auto"/>
                <w:highlight w:val="none"/>
              </w:rPr>
            </w:pPr>
          </w:p>
        </w:tc>
        <w:tc>
          <w:tcPr>
            <w:tcW w:w="678" w:type="pct"/>
            <w:tcBorders>
              <w:top w:val="single" w:color="auto" w:sz="4" w:space="0"/>
              <w:left w:val="single" w:color="auto" w:sz="4" w:space="0"/>
              <w:right w:val="single" w:color="auto" w:sz="4" w:space="0"/>
            </w:tcBorders>
            <w:noWrap/>
            <w:vAlign w:val="center"/>
          </w:tcPr>
          <w:p w14:paraId="1AF176B4">
            <w:pPr>
              <w:pStyle w:val="73"/>
              <w:rPr>
                <w:rFonts w:hint="default" w:ascii="Times New Roman" w:hAnsi="Times New Roman" w:eastAsia="宋体" w:cs="Times New Roman"/>
                <w:color w:val="auto"/>
                <w:highlight w:val="none"/>
              </w:rPr>
            </w:pPr>
          </w:p>
        </w:tc>
        <w:tc>
          <w:tcPr>
            <w:tcW w:w="789" w:type="pct"/>
            <w:tcBorders>
              <w:top w:val="single" w:color="auto" w:sz="4" w:space="0"/>
              <w:left w:val="single" w:color="auto" w:sz="4" w:space="0"/>
              <w:right w:val="nil"/>
            </w:tcBorders>
            <w:noWrap/>
            <w:vAlign w:val="center"/>
          </w:tcPr>
          <w:p w14:paraId="0D678FEA">
            <w:pPr>
              <w:pStyle w:val="7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1953～今</w:t>
            </w:r>
          </w:p>
        </w:tc>
      </w:tr>
    </w:tbl>
    <w:p w14:paraId="3C6C1666">
      <w:pPr>
        <w:ind w:firstLine="56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根据与本工程的位置关系，本次选用板栗园站为水文分析计算依据站，横山站、</w:t>
      </w:r>
      <w:r>
        <w:rPr>
          <w:rFonts w:hint="default" w:ascii="Times New Roman" w:hAnsi="Times New Roman" w:eastAsia="宋体" w:cs="Times New Roman"/>
          <w:color w:val="auto"/>
          <w:lang w:val="en-US" w:eastAsia="zh-CN"/>
        </w:rPr>
        <w:t>会理站、</w:t>
      </w:r>
      <w:r>
        <w:rPr>
          <w:rFonts w:hint="default" w:ascii="Times New Roman" w:hAnsi="Times New Roman" w:eastAsia="宋体" w:cs="Times New Roman"/>
          <w:color w:val="auto"/>
        </w:rPr>
        <w:t>会东（会东桥）站为设计</w:t>
      </w:r>
      <w:r>
        <w:rPr>
          <w:rFonts w:hint="eastAsia" w:cs="Times New Roman"/>
          <w:color w:val="auto"/>
          <w:lang w:eastAsia="zh-CN"/>
        </w:rPr>
        <w:t>参照</w:t>
      </w:r>
      <w:r>
        <w:rPr>
          <w:rFonts w:hint="default" w:ascii="Times New Roman" w:hAnsi="Times New Roman" w:eastAsia="宋体" w:cs="Times New Roman"/>
          <w:color w:val="auto"/>
        </w:rPr>
        <w:t>站。以下主要介绍和复核上述站点的基本资料</w:t>
      </w:r>
      <w:r>
        <w:rPr>
          <w:rFonts w:hint="default" w:ascii="Times New Roman" w:hAnsi="Times New Roman" w:eastAsia="宋体" w:cs="Times New Roman"/>
          <w:color w:val="auto"/>
          <w:lang w:eastAsia="zh-CN"/>
        </w:rPr>
        <w:t>。</w:t>
      </w:r>
    </w:p>
    <w:p w14:paraId="7DB3E6D4">
      <w:pPr>
        <w:ind w:firstLine="560"/>
        <w:rPr>
          <w:rFonts w:hint="default" w:ascii="Times New Roman" w:hAnsi="Times New Roman" w:eastAsia="宋体" w:cs="Times New Roman"/>
          <w:color w:val="auto"/>
          <w:lang w:val="en-US" w:eastAsia="en-US"/>
        </w:rPr>
      </w:pPr>
      <w:r>
        <w:rPr>
          <w:rFonts w:hint="default" w:ascii="Times New Roman" w:hAnsi="Times New Roman" w:eastAsia="宋体" w:cs="Times New Roman"/>
          <w:color w:val="auto"/>
          <w:lang w:val="en-US" w:eastAsia="zh-CN"/>
        </w:rPr>
        <w:t>一、</w:t>
      </w:r>
      <w:r>
        <w:rPr>
          <w:rFonts w:hint="default" w:ascii="Times New Roman" w:hAnsi="Times New Roman" w:eastAsia="宋体" w:cs="Times New Roman"/>
          <w:color w:val="auto"/>
          <w:lang w:val="en-US" w:eastAsia="en-US"/>
        </w:rPr>
        <w:t>板栗园站</w:t>
      </w:r>
    </w:p>
    <w:p w14:paraId="3722F61A">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板栗园站1958年8月由西昌专区</w:t>
      </w:r>
      <w:r>
        <w:rPr>
          <w:rFonts w:hint="eastAsia" w:cs="Times New Roman"/>
          <w:color w:val="auto"/>
          <w:lang w:eastAsia="zh-CN"/>
        </w:rPr>
        <w:t>农业农村局</w:t>
      </w:r>
      <w:r>
        <w:rPr>
          <w:rFonts w:hint="default" w:ascii="Times New Roman" w:hAnsi="Times New Roman" w:eastAsia="宋体" w:cs="Times New Roman"/>
          <w:color w:val="auto"/>
        </w:rPr>
        <w:t>设立，于1959年元月开展水文测验，至1970年底</w:t>
      </w:r>
      <w:r>
        <w:rPr>
          <w:rFonts w:hint="eastAsia" w:cs="Times New Roman"/>
          <w:color w:val="auto"/>
          <w:lang w:val="en-US" w:eastAsia="zh-CN"/>
        </w:rPr>
        <w:t>撤销</w:t>
      </w:r>
      <w:r>
        <w:rPr>
          <w:rFonts w:hint="default" w:ascii="Times New Roman" w:hAnsi="Times New Roman" w:eastAsia="宋体" w:cs="Times New Roman"/>
          <w:color w:val="auto"/>
        </w:rPr>
        <w:t>。</w:t>
      </w:r>
    </w:p>
    <w:p w14:paraId="20FCB64A">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板栗园站位于城河右岸一级支流矮郎河上，地理坐标东经102°08，北纬26°33′，控制流域面积159k</w:t>
      </w:r>
      <w:r>
        <w:rPr>
          <w:rFonts w:hint="default" w:ascii="Times New Roman" w:hAnsi="Times New Roman" w:eastAsia="宋体" w:cs="Times New Roman"/>
          <w:color w:val="auto"/>
          <w:lang w:eastAsia="zh-CN"/>
        </w:rPr>
        <w:t>m</w:t>
      </w:r>
      <w:r>
        <w:rPr>
          <w:rFonts w:hint="eastAsia" w:ascii="Times New Roman" w:hAnsi="Times New Roman" w:eastAsia="宋体" w:cs="Times New Roman"/>
          <w:color w:val="auto"/>
          <w:lang w:val="en-US" w:eastAsia="zh-CN"/>
        </w:rPr>
        <w:t>²</w:t>
      </w:r>
      <w:r>
        <w:rPr>
          <w:rFonts w:hint="default" w:ascii="Times New Roman" w:hAnsi="Times New Roman" w:eastAsia="宋体" w:cs="Times New Roman"/>
          <w:color w:val="auto"/>
        </w:rPr>
        <w:t>。</w:t>
      </w:r>
    </w:p>
    <w:p w14:paraId="30FB157E">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测流断面呈</w:t>
      </w:r>
      <w:r>
        <w:rPr>
          <w:rFonts w:hint="eastAsia" w:cs="Times New Roman"/>
          <w:color w:val="auto"/>
          <w:lang w:eastAsia="zh-CN"/>
        </w:rPr>
        <w:t>“V”形</w:t>
      </w:r>
      <w:r>
        <w:rPr>
          <w:rFonts w:hint="default" w:ascii="Times New Roman" w:hAnsi="Times New Roman" w:eastAsia="宋体" w:cs="Times New Roman"/>
          <w:color w:val="auto"/>
        </w:rPr>
        <w:t>，河床由</w:t>
      </w:r>
      <w:r>
        <w:rPr>
          <w:rFonts w:hint="eastAsia" w:cs="Times New Roman"/>
          <w:color w:val="auto"/>
          <w:lang w:eastAsia="zh-CN"/>
        </w:rPr>
        <w:t>砂卵石</w:t>
      </w:r>
      <w:r>
        <w:rPr>
          <w:rFonts w:hint="default" w:ascii="Times New Roman" w:hAnsi="Times New Roman" w:eastAsia="宋体" w:cs="Times New Roman"/>
          <w:color w:val="auto"/>
        </w:rPr>
        <w:t>组成，两岸岸坡较稳定。顺直河段长约250m，测流段长100m。主河槽宽40.7m，河滩宽25m，水位1970.0m（假定高程）时出现漫滩。基本水尺上下游各50m处设置比降水尺。</w:t>
      </w:r>
    </w:p>
    <w:p w14:paraId="4E41AF0F">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该站每年施测大断面3次以上，测次分布在汛前、汛后及大洪水前后。从历年实测大断面图分析冲淤变化最大幅度约0.3m。测流断面河槽宽，流量小，因而流量测验采用一点法，中高水采用浮标法测流。</w:t>
      </w:r>
    </w:p>
    <w:p w14:paraId="1606C979">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水文观测枯季采用两段法观测，汛期根据水文涨幅加密测次，基本能控制水位变化过程，历年水文资料观测连续完整，无缺测、漏测及异常现象发生。</w:t>
      </w:r>
    </w:p>
    <w:p w14:paraId="6045E163">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测流断面冲淤变化小，水位流量关系曲线较稳定，资料整编方法正确，未发现不合理现象，流量资料已由西昌水文站整编，综合评价具有较高的精度，资料已经正式刊布可供设计使用。</w:t>
      </w:r>
    </w:p>
    <w:p w14:paraId="229D9DB8">
      <w:pPr>
        <w:ind w:firstLine="5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二、会理站</w:t>
      </w:r>
    </w:p>
    <w:p w14:paraId="0BBA58C2">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会理水文站（以下简称会理站）位于会理县城南街道，控制城河流域集水面积516k</w:t>
      </w:r>
      <w:r>
        <w:rPr>
          <w:rFonts w:hint="default" w:ascii="Times New Roman" w:hAnsi="Times New Roman" w:eastAsia="宋体" w:cs="Times New Roman"/>
          <w:color w:val="auto"/>
          <w:lang w:eastAsia="zh-CN"/>
        </w:rPr>
        <w:t>m2</w:t>
      </w:r>
      <w:r>
        <w:rPr>
          <w:rFonts w:hint="default" w:ascii="Times New Roman" w:hAnsi="Times New Roman" w:eastAsia="宋体" w:cs="Times New Roman"/>
          <w:color w:val="auto"/>
        </w:rPr>
        <w:t>，是城河上游的控制站，于2001年由四川省水文水资源勘测局设立。</w:t>
      </w:r>
    </w:p>
    <w:p w14:paraId="0A5539FA">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会理站测验河段位于</w:t>
      </w:r>
      <w:r>
        <w:rPr>
          <w:rFonts w:hint="eastAsia" w:cs="Times New Roman"/>
          <w:color w:val="auto"/>
          <w:lang w:eastAsia="zh-CN"/>
        </w:rPr>
        <w:t>“S”形</w:t>
      </w:r>
      <w:r>
        <w:rPr>
          <w:rFonts w:hint="default" w:ascii="Times New Roman" w:hAnsi="Times New Roman" w:eastAsia="宋体" w:cs="Times New Roman"/>
          <w:color w:val="auto"/>
        </w:rPr>
        <w:t>河道中间顺直处，顺直段长约120m左右，单式断面，河床系砂卵石组成，基本稳定。左右岸均接农田，河中有孤石，基本断面上游100m左右有一弯道，下游70m左右有一滩，对低水起控制作用，下游100m左右有一弯道，对中高水起控制作用。测流断面与基本断面重合，左岸为砂卵石及人工护坡，右岸为沙红壤土和少许护坡，断面冲淤较大。</w:t>
      </w:r>
    </w:p>
    <w:p w14:paraId="6EED3663">
      <w:pPr>
        <w:ind w:firstLine="56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该站水文基200</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-1，设于200</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年5月</w:t>
      </w:r>
      <w:r>
        <w:rPr>
          <w:rFonts w:hint="default" w:ascii="Times New Roman" w:hAnsi="Times New Roman" w:eastAsia="宋体" w:cs="Times New Roman"/>
          <w:color w:val="auto"/>
          <w:lang w:val="en-US" w:eastAsia="zh-CN"/>
        </w:rPr>
        <w:t>24</w:t>
      </w:r>
      <w:r>
        <w:rPr>
          <w:rFonts w:hint="default" w:ascii="Times New Roman" w:hAnsi="Times New Roman" w:eastAsia="宋体" w:cs="Times New Roman"/>
          <w:color w:val="auto"/>
        </w:rPr>
        <w:t>日，高程为100.736m（假定高程，下同）。川水基2001-4，设于2001年7月11日，高程101.182m。川水基2003-1，设于2002年5月24日，高程为101.866m。BM校1，设于2002年5月17日，高程为100.780m</w:t>
      </w:r>
      <w:r>
        <w:rPr>
          <w:rFonts w:hint="default" w:ascii="Times New Roman" w:hAnsi="Times New Roman" w:eastAsia="宋体" w:cs="Times New Roman"/>
          <w:color w:val="auto"/>
          <w:lang w:eastAsia="zh-CN"/>
        </w:rPr>
        <w:t>。</w:t>
      </w:r>
    </w:p>
    <w:p w14:paraId="02B7F237">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水位观测能按水文测验规范要求进行，枯季8、20时定时观测2次，汛期2、8、14、20时定时观测4次，当水位变化时，视水位变化情况增加观测次数，全年较</w:t>
      </w:r>
      <w:r>
        <w:rPr>
          <w:rFonts w:hint="eastAsia" w:cs="Times New Roman"/>
          <w:color w:val="auto"/>
          <w:lang w:eastAsia="zh-CN"/>
        </w:rPr>
        <w:t>好地</w:t>
      </w:r>
      <w:r>
        <w:rPr>
          <w:rFonts w:hint="default" w:ascii="Times New Roman" w:hAnsi="Times New Roman" w:eastAsia="宋体" w:cs="Times New Roman"/>
          <w:color w:val="auto"/>
        </w:rPr>
        <w:t>控制了水位变化过程，资料完整可靠。</w:t>
      </w:r>
    </w:p>
    <w:p w14:paraId="3EA2F69C">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该站采用流速仪测流，最大水深为5.5m，垂线条数6～18条，该站水位流量关系线全年采用一条过渡线，三条临时线，一条绳套曲线。按规范要求进行资料整编，成果可靠。</w:t>
      </w:r>
    </w:p>
    <w:p w14:paraId="68F2BA6D">
      <w:pPr>
        <w:ind w:firstLine="560"/>
        <w:rPr>
          <w:rFonts w:hint="default" w:ascii="Times New Roman" w:hAnsi="Times New Roman" w:eastAsia="宋体" w:cs="Times New Roman"/>
          <w:color w:val="auto"/>
          <w:lang w:val="en-US" w:eastAsia="en-US"/>
        </w:rPr>
      </w:pPr>
      <w:r>
        <w:rPr>
          <w:rFonts w:hint="default" w:ascii="Times New Roman" w:hAnsi="Times New Roman" w:eastAsia="宋体" w:cs="Times New Roman"/>
          <w:color w:val="auto"/>
          <w:lang w:val="en-US" w:eastAsia="zh-CN"/>
        </w:rPr>
        <w:t>三、</w:t>
      </w:r>
      <w:r>
        <w:rPr>
          <w:rFonts w:hint="default" w:ascii="Times New Roman" w:hAnsi="Times New Roman" w:eastAsia="宋体" w:cs="Times New Roman"/>
          <w:color w:val="auto"/>
          <w:lang w:val="en-US" w:eastAsia="en-US"/>
        </w:rPr>
        <w:t>横山站</w:t>
      </w:r>
    </w:p>
    <w:p w14:paraId="6448C257">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横山站为四川省水文总站为研究城河上游支流麻龙河的水文规律，收集暴雨洪水资料于1980年12月26日所设立。横山站控制麻龙河流域集水面积96.0k</w:t>
      </w:r>
      <w:r>
        <w:rPr>
          <w:rFonts w:hint="default" w:ascii="Times New Roman" w:hAnsi="Times New Roman" w:eastAsia="宋体" w:cs="Times New Roman"/>
          <w:color w:val="auto"/>
          <w:lang w:eastAsia="zh-CN"/>
        </w:rPr>
        <w:t>m2</w:t>
      </w:r>
      <w:r>
        <w:rPr>
          <w:rFonts w:hint="default" w:ascii="Times New Roman" w:hAnsi="Times New Roman" w:eastAsia="宋体" w:cs="Times New Roman"/>
          <w:color w:val="auto"/>
        </w:rPr>
        <w:t>。横山站以上流域设有王家村、石坝、张家湾、学房、横山五个配套雨量站。1990年改为水位站，观测至2001年。以后仅保留降水量观测至今。</w:t>
      </w:r>
    </w:p>
    <w:p w14:paraId="256E300B">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横山站测验河段顺直长度250m，河宽29.5m，河滩宽18m，开始漫滩水位18.00m（假定高程，以下同），河床有冲淤变化。左岸基上14m有一小沟，下暴雨时，沟水泥沙直入主槽，右岸有埝沟一条。两岸坡上有耕地分布，</w:t>
      </w:r>
      <w:r>
        <w:rPr>
          <w:rFonts w:hint="eastAsia" w:cs="Times New Roman"/>
          <w:color w:val="auto"/>
          <w:lang w:eastAsia="zh-CN"/>
        </w:rPr>
        <w:t>河床</w:t>
      </w:r>
      <w:r>
        <w:rPr>
          <w:rFonts w:hint="default" w:ascii="Times New Roman" w:hAnsi="Times New Roman" w:eastAsia="宋体" w:cs="Times New Roman"/>
          <w:color w:val="auto"/>
        </w:rPr>
        <w:t>多为中小卵石及少量砂砾和淤沙组成，断面比较稳定。</w:t>
      </w:r>
    </w:p>
    <w:p w14:paraId="6F19C9CD">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横山站设有BM1一个基本水准点，高程17.844m，为假定基面。水尺为钢板直立式水尺，全年人工观测。</w:t>
      </w:r>
    </w:p>
    <w:p w14:paraId="4F543246">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水位观测枯期采用两段制，其余为四段制，遇水位较大变化则酌情增加测次，能较好</w:t>
      </w:r>
      <w:r>
        <w:rPr>
          <w:rFonts w:hint="eastAsia" w:cs="Times New Roman"/>
          <w:color w:val="auto"/>
          <w:lang w:eastAsia="zh-CN"/>
        </w:rPr>
        <w:t>地</w:t>
      </w:r>
      <w:r>
        <w:rPr>
          <w:rFonts w:hint="default" w:ascii="Times New Roman" w:hAnsi="Times New Roman" w:eastAsia="宋体" w:cs="Times New Roman"/>
          <w:color w:val="auto"/>
        </w:rPr>
        <w:t>控制水位的变化过程。观测期水位过程完整，无漏测现象，年际之间衔接。</w:t>
      </w:r>
    </w:p>
    <w:p w14:paraId="16BC06D5">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每年汛前汛后均</w:t>
      </w:r>
      <w:r>
        <w:rPr>
          <w:rFonts w:hint="eastAsia" w:cs="Times New Roman"/>
          <w:color w:val="auto"/>
          <w:lang w:eastAsia="zh-CN"/>
        </w:rPr>
        <w:t>实测</w:t>
      </w:r>
      <w:r>
        <w:rPr>
          <w:rFonts w:hint="default" w:ascii="Times New Roman" w:hAnsi="Times New Roman" w:eastAsia="宋体" w:cs="Times New Roman"/>
          <w:color w:val="auto"/>
        </w:rPr>
        <w:t>断面，能控制断面冲、淤变化情况，经资料分析，该站各年有冲淤变化，基本上可以相互补偿。</w:t>
      </w:r>
    </w:p>
    <w:p w14:paraId="0C658B14">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流速测验以流速仪一点法测速为主，仅在大洪水年份高水</w:t>
      </w:r>
      <w:r>
        <w:rPr>
          <w:rFonts w:hint="eastAsia" w:cs="Times New Roman"/>
          <w:color w:val="auto"/>
          <w:lang w:val="en-US" w:eastAsia="zh-CN"/>
        </w:rPr>
        <w:t>部分</w:t>
      </w:r>
      <w:r>
        <w:rPr>
          <w:rFonts w:hint="default" w:ascii="Times New Roman" w:hAnsi="Times New Roman" w:eastAsia="宋体" w:cs="Times New Roman"/>
          <w:color w:val="auto"/>
        </w:rPr>
        <w:t>采用浮标测流。测速垂线的布设能控制断面流速变化，历年测次较多，平均在30次以上，各级水位都有足够的测点，浮标系数经虚实流量对比分析，取值基本合理。</w:t>
      </w:r>
    </w:p>
    <w:p w14:paraId="74A214D8">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横山站有单位水样含沙量的测验，采用瓶式采样器，积深法取样，用过滤烘干法处理。其测次分布情况是：枯季（1～4月，11～12月）一般每隔5日8时取样一次，汛期（5～10月）一般每日8时取样一次，洪水时发生变化时增加测次，用近似法整编。</w:t>
      </w:r>
    </w:p>
    <w:p w14:paraId="690DA188">
      <w:pPr>
        <w:ind w:firstLine="560"/>
        <w:rPr>
          <w:rFonts w:hint="default" w:ascii="Times New Roman" w:hAnsi="Times New Roman" w:eastAsia="宋体" w:cs="Times New Roman"/>
          <w:color w:val="auto"/>
          <w:lang w:val="en-US" w:eastAsia="en-US"/>
        </w:rPr>
      </w:pPr>
      <w:r>
        <w:rPr>
          <w:rFonts w:hint="default" w:ascii="Times New Roman" w:hAnsi="Times New Roman" w:eastAsia="宋体" w:cs="Times New Roman"/>
          <w:color w:val="auto"/>
          <w:lang w:val="en-US" w:eastAsia="zh-CN"/>
        </w:rPr>
        <w:t>四、</w:t>
      </w:r>
      <w:r>
        <w:rPr>
          <w:rFonts w:hint="default" w:ascii="Times New Roman" w:hAnsi="Times New Roman" w:eastAsia="宋体" w:cs="Times New Roman"/>
          <w:color w:val="auto"/>
          <w:lang w:val="en-US" w:eastAsia="en-US"/>
        </w:rPr>
        <w:t>会东（会东桥）站</w:t>
      </w:r>
    </w:p>
    <w:p w14:paraId="1131BDEB">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会东水文站（以下简称会东站）位于鲹鱼河的垭口镇，距会东县城1.5km，控制鲹鱼河流域集水面积779k</w:t>
      </w:r>
      <w:r>
        <w:rPr>
          <w:rFonts w:hint="default" w:ascii="Times New Roman" w:hAnsi="Times New Roman" w:eastAsia="宋体" w:cs="Times New Roman"/>
          <w:color w:val="auto"/>
          <w:lang w:eastAsia="zh-CN"/>
        </w:rPr>
        <w:t>m2</w:t>
      </w:r>
      <w:r>
        <w:rPr>
          <w:rFonts w:hint="default" w:ascii="Times New Roman" w:hAnsi="Times New Roman" w:eastAsia="宋体" w:cs="Times New Roman"/>
          <w:color w:val="auto"/>
        </w:rPr>
        <w:t>，于1959年12月25日由四川省西昌专区</w:t>
      </w:r>
      <w:r>
        <w:rPr>
          <w:rFonts w:hint="eastAsia" w:cs="Times New Roman"/>
          <w:color w:val="auto"/>
          <w:lang w:eastAsia="zh-CN"/>
        </w:rPr>
        <w:t>农业农村局</w:t>
      </w:r>
      <w:r>
        <w:rPr>
          <w:rFonts w:hint="default" w:ascii="Times New Roman" w:hAnsi="Times New Roman" w:eastAsia="宋体" w:cs="Times New Roman"/>
          <w:color w:val="auto"/>
        </w:rPr>
        <w:t>设立，现属四川省水文水资源勘测局领导。1986年1月1日上迁至会东大桥，称为会东桥水文站（以下简称会东桥站），控制鲹鱼河流域集水面积590k</w:t>
      </w:r>
      <w:r>
        <w:rPr>
          <w:rFonts w:hint="default" w:ascii="Times New Roman" w:hAnsi="Times New Roman" w:eastAsia="宋体" w:cs="Times New Roman"/>
          <w:color w:val="auto"/>
          <w:lang w:eastAsia="zh-CN"/>
        </w:rPr>
        <w:t>m2</w:t>
      </w:r>
      <w:r>
        <w:rPr>
          <w:rFonts w:hint="default" w:ascii="Times New Roman" w:hAnsi="Times New Roman" w:eastAsia="宋体" w:cs="Times New Roman"/>
          <w:color w:val="auto"/>
        </w:rPr>
        <w:t>。</w:t>
      </w:r>
    </w:p>
    <w:p w14:paraId="2078547A">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会东站位于上、下游弯道之间，测流顺直段长约200m，大水时左岸漫滩，下游有弯道控制。测验河段下游800m有小岔河汇入。当小岔河大洪水时，对测流河段有短暂顶托影响；测验河段下游500m有一引水渠，进水口处有一临时拦河坝，高1.5m，长160m，用木桩卵石筑成，农灌恢复，洪水时冲毁，影响该站水位流量关系，致使该站水位流量关系曲线低水部分呈多曲线的扫帚状。该站测流断面呈U型，河床由</w:t>
      </w:r>
      <w:r>
        <w:rPr>
          <w:rFonts w:hint="eastAsia" w:cs="Times New Roman"/>
          <w:color w:val="auto"/>
          <w:lang w:eastAsia="zh-CN"/>
        </w:rPr>
        <w:t>砂卵石</w:t>
      </w:r>
      <w:r>
        <w:rPr>
          <w:rFonts w:hint="default" w:ascii="Times New Roman" w:hAnsi="Times New Roman" w:eastAsia="宋体" w:cs="Times New Roman"/>
          <w:color w:val="auto"/>
        </w:rPr>
        <w:t>组成。两岸为沙土，长有杂草，无崩塌现象，比较稳定。</w:t>
      </w:r>
    </w:p>
    <w:p w14:paraId="2E80054C">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1986年站址上迁至会东桥后，测验河段顺直长约450m，上游300m处有一弯道。基本断面以上1.2km处，左岸是垭口电站渠道进水口。基下300m处是会东公路大桥，在中高水时起控制作用。两岸系浆砌防洪堤。</w:t>
      </w:r>
    </w:p>
    <w:p w14:paraId="40651790">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1959年设标准基准点TBM，假定高程为98.675m，分别于1967、1969、1975、1979、1980年五年校测，逐年下降，最大差值为-0.036m。有微弱下沉现象。水位观测按水文测验规范要求进行，枯季8、20时定时观测2次，汛期2、8、14、20时定时观测4次，涨水时适当增加测次，观测水位能控制水位涨落过程。观测期内水位观测过程完整，无漏测现象，年际之间衔接。会东桥站水准点B</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44，为黄海高程系统，高程为1664.789m，水位观测按规范要求进行。</w:t>
      </w:r>
    </w:p>
    <w:p w14:paraId="355134A4">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会东站自建站以来，每年都要实测大断面2～3次，需要时加测1～2次。1962年及1969年改为水位站未实测大断面。从历年大断面图分析，每年有局部冲淤变化，年际冲淤交替变化，局部冲淤最大0.7m，相对较稳定。会东桥站基本断面建站以来未迁移。每年汛前汛后均施测断面，全年施测4～6次，能控制断面冲、淤变化情况。</w:t>
      </w:r>
    </w:p>
    <w:p w14:paraId="233F9C3E">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1960</w:t>
      </w:r>
      <w:r>
        <w:rPr>
          <w:rFonts w:hint="eastAsia" w:cs="Times New Roman"/>
          <w:color w:val="auto"/>
          <w:lang w:eastAsia="zh-CN"/>
        </w:rPr>
        <w:t>—</w:t>
      </w:r>
      <w:r>
        <w:rPr>
          <w:rFonts w:hint="default" w:ascii="Times New Roman" w:hAnsi="Times New Roman" w:eastAsia="宋体" w:cs="Times New Roman"/>
          <w:color w:val="auto"/>
        </w:rPr>
        <w:t>1961年用浮标法和流速仪法测速，浮标法占多数，测次少，资料精度较差。1963年以后，中、低水完全用流速仪测流，高水用浮标法测速，流速仪法多年平均使用110次，多采用一点法（流速系数0.85），布设垂线7～15根。设置浮标投放器后，投放浮标9～14个。浮标分布合理，基本能控制断面流速的变化。1981年前，浮标系数采用经验假定值0.80，1981年后为试验值，通过综合水位虚、实流量关系曲线分析，浮标系数为0.80，与原假定值一致。低水用多条曲线推求，中、高水用单一线推流，高水外延幅度在10%以内，整编成果精度较高。</w:t>
      </w:r>
    </w:p>
    <w:p w14:paraId="3D8DB23D">
      <w:pPr>
        <w:ind w:firstLine="560"/>
        <w:rPr>
          <w:rFonts w:hint="eastAsia" w:ascii="Times New Roman" w:hAnsi="Times New Roman" w:eastAsia="宋体" w:cs="Times New Roman"/>
          <w:color w:val="auto"/>
          <w:szCs w:val="36"/>
          <w:lang w:eastAsia="zh-CN"/>
        </w:rPr>
      </w:pPr>
      <w:r>
        <w:rPr>
          <w:rFonts w:hint="default" w:ascii="Times New Roman" w:hAnsi="Times New Roman" w:eastAsia="宋体" w:cs="Times New Roman"/>
          <w:color w:val="auto"/>
        </w:rPr>
        <w:t>1986年上迁至会东桥后，基本断面水位流量关系曲线为单一线，据此推流整编资料</w:t>
      </w:r>
      <w:r>
        <w:rPr>
          <w:rFonts w:hint="eastAsia" w:ascii="Times New Roman" w:hAnsi="Times New Roman" w:eastAsia="宋体" w:cs="Times New Roman"/>
          <w:color w:val="auto"/>
          <w:lang w:eastAsia="zh-CN"/>
        </w:rPr>
        <w:t>。</w:t>
      </w:r>
    </w:p>
    <w:bookmarkEnd w:id="30"/>
    <w:bookmarkEnd w:id="31"/>
    <w:p w14:paraId="33DFD221">
      <w:pPr>
        <w:pStyle w:val="5"/>
        <w:spacing w:before="156" w:after="156"/>
        <w:ind w:firstLine="562"/>
        <w:rPr>
          <w:rFonts w:hint="default" w:ascii="Times New Roman" w:hAnsi="Times New Roman" w:cs="Times New Roman"/>
          <w:color w:val="auto"/>
        </w:rPr>
      </w:pPr>
      <w:bookmarkStart w:id="36" w:name="_Toc1420"/>
      <w:r>
        <w:rPr>
          <w:rFonts w:hint="default" w:ascii="Times New Roman" w:hAnsi="Times New Roman" w:cs="Times New Roman"/>
          <w:color w:val="auto"/>
        </w:rPr>
        <w:t>4.4.2 洪水</w:t>
      </w:r>
      <w:bookmarkEnd w:id="32"/>
      <w:bookmarkEnd w:id="33"/>
      <w:bookmarkEnd w:id="34"/>
      <w:bookmarkEnd w:id="35"/>
      <w:bookmarkEnd w:id="36"/>
    </w:p>
    <w:p w14:paraId="7E02A755">
      <w:pPr>
        <w:pStyle w:val="6"/>
        <w:spacing w:before="156" w:after="156"/>
        <w:ind w:firstLine="562"/>
        <w:rPr>
          <w:rFonts w:hint="default" w:ascii="Times New Roman" w:hAnsi="Times New Roman" w:cs="Times New Roman"/>
          <w:color w:val="auto"/>
        </w:rPr>
      </w:pPr>
      <w:bookmarkStart w:id="37" w:name="_Toc26832235"/>
      <w:bookmarkStart w:id="38" w:name="_Toc26832049"/>
      <w:bookmarkStart w:id="39" w:name="_Toc78769045"/>
      <w:r>
        <w:rPr>
          <w:rFonts w:hint="default" w:ascii="Times New Roman" w:hAnsi="Times New Roman" w:cs="Times New Roman"/>
          <w:color w:val="auto"/>
        </w:rPr>
        <w:t>4.4.2.1 暴雨洪水特性</w:t>
      </w:r>
      <w:bookmarkEnd w:id="37"/>
      <w:bookmarkEnd w:id="38"/>
      <w:bookmarkEnd w:id="39"/>
    </w:p>
    <w:p w14:paraId="34A8D52A">
      <w:pPr>
        <w:ind w:firstLine="560"/>
        <w:rPr>
          <w:rFonts w:hint="default" w:ascii="Times New Roman" w:hAnsi="Times New Roman" w:cs="Times New Roman"/>
          <w:color w:val="auto"/>
        </w:rPr>
      </w:pPr>
      <w:r>
        <w:rPr>
          <w:rFonts w:hint="default" w:ascii="Times New Roman" w:hAnsi="Times New Roman" w:cs="Times New Roman"/>
          <w:color w:val="auto"/>
        </w:rPr>
        <w:t>本流域属于山区雨源性河流，洪水由暴雨形成，洪水发生时间与暴雨相应，由于流域地处川西南山区，地势较高，水汽不足，暴雨较多但特大暴雨出现的机会较少，根据流域内及四周历年降水资料统计，一般暴雨在流域内历时不长，强度不大，暴雨笼罩面积小，形成的洪水量级也不大，据永兴站资料统计，历年最大24h暴雨均值为</w:t>
      </w:r>
      <w:r>
        <w:rPr>
          <w:rFonts w:hint="eastAsia" w:cs="Times New Roman"/>
          <w:color w:val="auto"/>
          <w:lang w:val="en-US" w:eastAsia="zh-CN"/>
        </w:rPr>
        <w:t>89</w:t>
      </w:r>
      <w:r>
        <w:rPr>
          <w:rFonts w:hint="default" w:ascii="Times New Roman" w:hAnsi="Times New Roman" w:cs="Times New Roman"/>
          <w:color w:val="auto"/>
        </w:rPr>
        <w:t>mm，最大为151.1mm（1959年），变差系数为0.33，偏态系数为1.16。</w:t>
      </w:r>
    </w:p>
    <w:p w14:paraId="546CFBD2">
      <w:pPr>
        <w:ind w:firstLine="560"/>
        <w:rPr>
          <w:rFonts w:hint="default" w:ascii="Times New Roman" w:hAnsi="Times New Roman" w:cs="Times New Roman"/>
          <w:color w:val="auto"/>
        </w:rPr>
      </w:pPr>
      <w:r>
        <w:rPr>
          <w:rFonts w:hint="default" w:ascii="Times New Roman" w:hAnsi="Times New Roman" w:cs="Times New Roman"/>
          <w:color w:val="auto"/>
        </w:rPr>
        <w:t>该流域降雨时间分布不均，径流年内分配不均，河流雨洪关系密切，洪水由暴雨形成。本地区7～10月降雨频繁，极易出现暴雨，形成洪水。在天气系统影响下，本地常产生短历时局地性多阵暴雨，暴雨笼罩面积不大，历时短促，强度大，一次暴雨过程一般为1～2天，偶尔伴有泥石流发生，从而造成两岸洪水灾害。洪水发生时间与暴雨相应，年最大洪峰流量一般发生在7～10月，洪水涨落较快，且峰形多呈上部尖瘦，下部肥胖，一般一次洪水过程经历6～12h，洪水年际变化较大，一次洪水过程一般持续1～2天。</w:t>
      </w:r>
    </w:p>
    <w:p w14:paraId="6FD9A994">
      <w:pPr>
        <w:pStyle w:val="6"/>
        <w:spacing w:before="156" w:after="156"/>
        <w:ind w:firstLine="562"/>
        <w:rPr>
          <w:rFonts w:hint="default" w:ascii="Times New Roman" w:hAnsi="Times New Roman" w:cs="Times New Roman"/>
          <w:color w:val="auto"/>
          <w:highlight w:val="none"/>
        </w:rPr>
      </w:pPr>
      <w:bookmarkStart w:id="40" w:name="_Toc78769046"/>
      <w:bookmarkStart w:id="41" w:name="_Toc26832050"/>
      <w:bookmarkStart w:id="42" w:name="_Toc26832236"/>
      <w:r>
        <w:rPr>
          <w:rFonts w:hint="default" w:ascii="Times New Roman" w:hAnsi="Times New Roman" w:cs="Times New Roman"/>
          <w:color w:val="auto"/>
          <w:highlight w:val="none"/>
        </w:rPr>
        <w:t>4.4.2.2 设计洪水</w:t>
      </w:r>
      <w:bookmarkEnd w:id="40"/>
      <w:bookmarkEnd w:id="41"/>
      <w:bookmarkEnd w:id="42"/>
    </w:p>
    <w:p w14:paraId="4EF93FAF">
      <w:pPr>
        <w:pStyle w:val="7"/>
        <w:ind w:firstLine="562"/>
        <w:rPr>
          <w:rFonts w:hint="default" w:ascii="Times New Roman" w:hAnsi="Times New Roman" w:cs="Times New Roman"/>
          <w:color w:val="auto"/>
          <w:highlight w:val="none"/>
        </w:rPr>
      </w:pPr>
      <w:r>
        <w:rPr>
          <w:rFonts w:hint="default" w:ascii="Times New Roman" w:hAnsi="Times New Roman" w:cs="Times New Roman"/>
          <w:color w:val="auto"/>
          <w:highlight w:val="none"/>
        </w:rPr>
        <w:t>4.4.2.2.1 水文比拟法计算设计洪水</w:t>
      </w:r>
    </w:p>
    <w:p w14:paraId="4976C4B8">
      <w:pPr>
        <w:pStyle w:val="70"/>
        <w:ind w:firstLine="56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①参证站设计洪水</w:t>
      </w:r>
    </w:p>
    <w:p w14:paraId="0E176F10">
      <w:pPr>
        <w:pStyle w:val="70"/>
        <w:ind w:firstLine="560"/>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 xml:space="preserve">会理站 </w:t>
      </w:r>
      <w:r>
        <w:rPr>
          <w:rFonts w:hint="default" w:ascii="Times New Roman" w:hAnsi="Times New Roman" w:eastAsia="宋体" w:cs="Times New Roman"/>
          <w:color w:val="auto"/>
          <w:sz w:val="28"/>
          <w:szCs w:val="28"/>
          <w:highlight w:val="none"/>
          <w:lang w:val="en-US" w:eastAsia="zh-CN"/>
        </w:rPr>
        <w:t xml:space="preserve">2001 </w:t>
      </w:r>
      <w:r>
        <w:rPr>
          <w:rFonts w:hint="eastAsia" w:ascii="Times New Roman" w:hAnsi="Times New Roman" w:eastAsia="宋体" w:cs="Times New Roman"/>
          <w:color w:val="auto"/>
          <w:sz w:val="28"/>
          <w:szCs w:val="28"/>
          <w:highlight w:val="none"/>
          <w:lang w:val="en-US" w:eastAsia="zh-CN"/>
        </w:rPr>
        <w:t xml:space="preserve">年 </w:t>
      </w:r>
      <w:r>
        <w:rPr>
          <w:rFonts w:hint="default" w:ascii="Times New Roman" w:hAnsi="Times New Roman" w:eastAsia="宋体" w:cs="Times New Roman"/>
          <w:color w:val="auto"/>
          <w:sz w:val="28"/>
          <w:szCs w:val="28"/>
          <w:highlight w:val="none"/>
          <w:lang w:val="en-US" w:eastAsia="zh-CN"/>
        </w:rPr>
        <w:t xml:space="preserve">1 </w:t>
      </w:r>
      <w:r>
        <w:rPr>
          <w:rFonts w:hint="eastAsia" w:ascii="Times New Roman" w:hAnsi="Times New Roman" w:eastAsia="宋体" w:cs="Times New Roman"/>
          <w:color w:val="auto"/>
          <w:sz w:val="28"/>
          <w:szCs w:val="28"/>
          <w:highlight w:val="none"/>
          <w:lang w:val="en-US" w:eastAsia="zh-CN"/>
        </w:rPr>
        <w:t xml:space="preserve">月设立水文站。位于东经 </w:t>
      </w:r>
      <w:r>
        <w:rPr>
          <w:rFonts w:hint="default" w:ascii="Times New Roman" w:hAnsi="Times New Roman" w:eastAsia="宋体" w:cs="Times New Roman"/>
          <w:color w:val="auto"/>
          <w:sz w:val="28"/>
          <w:szCs w:val="28"/>
          <w:highlight w:val="none"/>
          <w:lang w:val="en-US" w:eastAsia="zh-CN"/>
        </w:rPr>
        <w:t>102°18′</w:t>
      </w:r>
      <w:r>
        <w:rPr>
          <w:rFonts w:hint="eastAsia" w:ascii="Times New Roman" w:hAnsi="Times New Roman" w:eastAsia="宋体" w:cs="Times New Roman"/>
          <w:color w:val="auto"/>
          <w:sz w:val="28"/>
          <w:szCs w:val="28"/>
          <w:highlight w:val="none"/>
          <w:lang w:val="en-US" w:eastAsia="zh-CN"/>
        </w:rPr>
        <w:t xml:space="preserve">，北纬 </w:t>
      </w:r>
      <w:r>
        <w:rPr>
          <w:rFonts w:hint="default" w:ascii="Times New Roman" w:hAnsi="Times New Roman" w:eastAsia="宋体" w:cs="Times New Roman"/>
          <w:color w:val="auto"/>
          <w:sz w:val="28"/>
          <w:szCs w:val="28"/>
          <w:highlight w:val="none"/>
          <w:lang w:val="en-US" w:eastAsia="zh-CN"/>
        </w:rPr>
        <w:t>26°35′</w:t>
      </w:r>
      <w:r>
        <w:rPr>
          <w:rFonts w:hint="eastAsia" w:ascii="Times New Roman" w:hAnsi="Times New Roman" w:eastAsia="宋体" w:cs="Times New Roman"/>
          <w:color w:val="auto"/>
          <w:sz w:val="28"/>
          <w:szCs w:val="28"/>
          <w:highlight w:val="none"/>
          <w:lang w:val="en-US" w:eastAsia="zh-CN"/>
        </w:rPr>
        <w:t xml:space="preserve">，集水面 积 </w:t>
      </w:r>
      <w:r>
        <w:rPr>
          <w:rFonts w:hint="default" w:ascii="Times New Roman" w:hAnsi="Times New Roman" w:eastAsia="宋体" w:cs="Times New Roman"/>
          <w:color w:val="auto"/>
          <w:sz w:val="28"/>
          <w:szCs w:val="28"/>
          <w:highlight w:val="none"/>
          <w:lang w:val="en-US" w:eastAsia="zh-CN"/>
        </w:rPr>
        <w:t>516km2</w:t>
      </w:r>
      <w:r>
        <w:rPr>
          <w:rFonts w:hint="eastAsia" w:ascii="Times New Roman" w:hAnsi="Times New Roman" w:eastAsia="宋体" w:cs="Times New Roman"/>
          <w:color w:val="auto"/>
          <w:sz w:val="28"/>
          <w:szCs w:val="28"/>
          <w:highlight w:val="none"/>
          <w:lang w:val="en-US" w:eastAsia="zh-CN"/>
        </w:rPr>
        <w:t xml:space="preserve">，距河口 </w:t>
      </w:r>
      <w:r>
        <w:rPr>
          <w:rFonts w:hint="default" w:ascii="Times New Roman" w:hAnsi="Times New Roman" w:eastAsia="宋体" w:cs="Times New Roman"/>
          <w:color w:val="auto"/>
          <w:sz w:val="28"/>
          <w:szCs w:val="28"/>
          <w:highlight w:val="none"/>
          <w:lang w:val="en-US" w:eastAsia="zh-CN"/>
        </w:rPr>
        <w:t>111km</w:t>
      </w:r>
      <w:r>
        <w:rPr>
          <w:rFonts w:hint="eastAsia" w:ascii="Times New Roman" w:hAnsi="Times New Roman" w:eastAsia="宋体" w:cs="Times New Roman"/>
          <w:color w:val="auto"/>
          <w:sz w:val="28"/>
          <w:szCs w:val="28"/>
          <w:highlight w:val="none"/>
          <w:lang w:val="en-US" w:eastAsia="zh-CN"/>
        </w:rPr>
        <w:t xml:space="preserve">，高程系统采用假定基面。 </w:t>
      </w:r>
    </w:p>
    <w:p w14:paraId="57FD81D0">
      <w:pPr>
        <w:pStyle w:val="70"/>
        <w:ind w:firstLine="560"/>
        <w:rPr>
          <w:rFonts w:hint="default"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lang w:val="en-US" w:eastAsia="zh-CN"/>
        </w:rPr>
        <w:t xml:space="preserve">使用 </w:t>
      </w:r>
      <w:r>
        <w:rPr>
          <w:rFonts w:hint="default" w:ascii="Times New Roman" w:hAnsi="Times New Roman" w:eastAsia="宋体" w:cs="Times New Roman"/>
          <w:color w:val="auto"/>
          <w:sz w:val="28"/>
          <w:szCs w:val="28"/>
          <w:highlight w:val="none"/>
          <w:lang w:val="en-US" w:eastAsia="zh-CN"/>
        </w:rPr>
        <w:t>2002</w:t>
      </w:r>
      <w:r>
        <w:rPr>
          <w:rFonts w:hint="eastAsia" w:ascii="Times New Roman" w:hAnsi="Times New Roman" w:eastAsia="宋体" w:cs="Times New Roman"/>
          <w:color w:val="auto"/>
          <w:sz w:val="28"/>
          <w:szCs w:val="28"/>
          <w:highlight w:val="none"/>
          <w:lang w:val="en-US" w:eastAsia="zh-CN"/>
        </w:rPr>
        <w:t>～</w:t>
      </w:r>
      <w:r>
        <w:rPr>
          <w:rFonts w:hint="default" w:ascii="Times New Roman" w:hAnsi="Times New Roman" w:eastAsia="宋体" w:cs="Times New Roman"/>
          <w:color w:val="auto"/>
          <w:sz w:val="28"/>
          <w:szCs w:val="28"/>
          <w:highlight w:val="none"/>
          <w:lang w:val="en-US" w:eastAsia="zh-CN"/>
        </w:rPr>
        <w:t xml:space="preserve">2018 </w:t>
      </w:r>
      <w:r>
        <w:rPr>
          <w:rFonts w:hint="eastAsia" w:ascii="Times New Roman" w:hAnsi="Times New Roman" w:eastAsia="宋体" w:cs="Times New Roman"/>
          <w:color w:val="auto"/>
          <w:sz w:val="28"/>
          <w:szCs w:val="28"/>
          <w:highlight w:val="none"/>
          <w:lang w:val="en-US" w:eastAsia="zh-CN"/>
        </w:rPr>
        <w:t xml:space="preserve">年最大流量系列，组成 </w:t>
      </w:r>
      <w:r>
        <w:rPr>
          <w:rFonts w:hint="default" w:ascii="Times New Roman" w:hAnsi="Times New Roman" w:eastAsia="宋体" w:cs="Times New Roman"/>
          <w:color w:val="auto"/>
          <w:sz w:val="28"/>
          <w:szCs w:val="28"/>
          <w:highlight w:val="none"/>
          <w:lang w:val="en-US" w:eastAsia="zh-CN"/>
        </w:rPr>
        <w:t xml:space="preserve">17 </w:t>
      </w:r>
      <w:r>
        <w:rPr>
          <w:rFonts w:hint="eastAsia" w:ascii="Times New Roman" w:hAnsi="Times New Roman" w:eastAsia="宋体" w:cs="Times New Roman"/>
          <w:color w:val="auto"/>
          <w:sz w:val="28"/>
          <w:szCs w:val="28"/>
          <w:highlight w:val="none"/>
          <w:lang w:val="en-US" w:eastAsia="zh-CN"/>
        </w:rPr>
        <w:t>年</w:t>
      </w:r>
      <w:r>
        <w:rPr>
          <w:rFonts w:hint="eastAsia" w:cs="Times New Roman"/>
          <w:color w:val="auto"/>
          <w:sz w:val="28"/>
          <w:szCs w:val="28"/>
          <w:highlight w:val="none"/>
          <w:lang w:val="en-US" w:eastAsia="zh-CN"/>
        </w:rPr>
        <w:t>连续</w:t>
      </w:r>
      <w:r>
        <w:rPr>
          <w:rFonts w:hint="eastAsia" w:ascii="Times New Roman" w:hAnsi="Times New Roman" w:eastAsia="宋体" w:cs="Times New Roman"/>
          <w:color w:val="auto"/>
          <w:sz w:val="28"/>
          <w:szCs w:val="28"/>
          <w:highlight w:val="none"/>
          <w:lang w:val="en-US" w:eastAsia="zh-CN"/>
        </w:rPr>
        <w:t>洪峰流量系列进行经 验频率计算，以矩法计算统计参数，采用皮尔逊Ⅲ型频率曲线计算机适线，确定其参数。会理</w:t>
      </w:r>
      <w:r>
        <w:rPr>
          <w:rFonts w:hint="default" w:ascii="Times New Roman" w:hAnsi="Times New Roman" w:eastAsia="宋体" w:cs="Times New Roman"/>
          <w:color w:val="auto"/>
          <w:sz w:val="28"/>
          <w:szCs w:val="28"/>
          <w:highlight w:val="none"/>
        </w:rPr>
        <w:t>水文站设计洪水成果见表4.2-1。</w:t>
      </w:r>
    </w:p>
    <w:p w14:paraId="7CCA584F">
      <w:pPr>
        <w:pStyle w:val="36"/>
        <w:spacing w:before="156" w:after="156"/>
        <w:ind w:left="1120" w:hanging="112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表4.2-1  </w:t>
      </w:r>
      <w:r>
        <w:rPr>
          <w:rFonts w:hint="eastAsia" w:cs="Times New Roman"/>
          <w:color w:val="auto"/>
          <w:highlight w:val="none"/>
          <w:lang w:val="en-US" w:eastAsia="zh-CN"/>
        </w:rPr>
        <w:t>会理</w:t>
      </w:r>
      <w:r>
        <w:rPr>
          <w:rFonts w:hint="default" w:ascii="Times New Roman" w:hAnsi="Times New Roman" w:cs="Times New Roman"/>
          <w:color w:val="auto"/>
          <w:highlight w:val="none"/>
        </w:rPr>
        <w:t>水文设计洪水成果表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607"/>
        <w:gridCol w:w="989"/>
        <w:gridCol w:w="943"/>
        <w:gridCol w:w="943"/>
        <w:gridCol w:w="943"/>
        <w:gridCol w:w="943"/>
        <w:gridCol w:w="943"/>
        <w:gridCol w:w="953"/>
      </w:tblGrid>
      <w:tr w14:paraId="5D92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pct"/>
            <w:vMerge w:val="restart"/>
            <w:vAlign w:val="center"/>
          </w:tcPr>
          <w:p w14:paraId="0EB76325">
            <w:pPr>
              <w:pStyle w:val="39"/>
              <w:spacing w:before="0" w:beforeLines="0"/>
              <w:rPr>
                <w:rFonts w:hint="default" w:ascii="Times New Roman" w:hAnsi="Times New Roman" w:cs="Times New Roman"/>
                <w:color w:val="auto"/>
                <w:highlight w:val="none"/>
              </w:rPr>
            </w:pPr>
            <w:r>
              <w:rPr>
                <w:rFonts w:hint="default" w:ascii="Times New Roman" w:hAnsi="Times New Roman" w:cs="Times New Roman"/>
                <w:color w:val="auto"/>
                <w:highlight w:val="none"/>
              </w:rPr>
              <w:t>均值</w:t>
            </w:r>
          </w:p>
          <w:p w14:paraId="26975471">
            <w:pPr>
              <w:pStyle w:val="39"/>
              <w:spacing w:before="0" w:beforeLines="0"/>
              <w:rPr>
                <w:rFonts w:hint="default" w:ascii="Times New Roman" w:hAnsi="Times New Roman" w:cs="Times New Roman"/>
                <w:color w:val="auto"/>
                <w:highlight w:val="none"/>
              </w:rPr>
            </w:pPr>
            <w:r>
              <w:rPr>
                <w:rFonts w:hint="eastAsia" w:cs="Times New Roman"/>
                <w:color w:val="auto"/>
                <w:highlight w:val="none"/>
                <w:lang w:eastAsia="zh-CN"/>
              </w:rPr>
              <w:t>(</w:t>
            </w:r>
            <w:r>
              <w:rPr>
                <w:rFonts w:hint="default" w:ascii="Times New Roman" w:hAnsi="Times New Roman" w:cs="Times New Roman"/>
                <w:color w:val="auto"/>
                <w:highlight w:val="none"/>
              </w:rPr>
              <w:t>m³/s</w:t>
            </w:r>
            <w:r>
              <w:rPr>
                <w:rFonts w:hint="eastAsia" w:cs="Times New Roman"/>
                <w:color w:val="auto"/>
                <w:highlight w:val="none"/>
                <w:lang w:eastAsia="zh-CN"/>
              </w:rPr>
              <w:t>)</w:t>
            </w:r>
          </w:p>
        </w:tc>
        <w:tc>
          <w:tcPr>
            <w:tcW w:w="357" w:type="pct"/>
            <w:vMerge w:val="restart"/>
            <w:vAlign w:val="center"/>
          </w:tcPr>
          <w:p w14:paraId="0A2AE755">
            <w:pPr>
              <w:pStyle w:val="39"/>
              <w:spacing w:before="0" w:beforeLines="0"/>
              <w:rPr>
                <w:rFonts w:hint="default" w:ascii="Times New Roman" w:hAnsi="Times New Roman" w:cs="Times New Roman"/>
                <w:color w:val="auto"/>
                <w:highlight w:val="none"/>
              </w:rPr>
            </w:pPr>
            <w:r>
              <w:rPr>
                <w:rFonts w:hint="default" w:ascii="Times New Roman" w:hAnsi="Times New Roman" w:cs="Times New Roman"/>
                <w:color w:val="auto"/>
                <w:highlight w:val="none"/>
              </w:rPr>
              <w:t>Cv</w:t>
            </w:r>
          </w:p>
        </w:tc>
        <w:tc>
          <w:tcPr>
            <w:tcW w:w="580" w:type="pct"/>
            <w:vMerge w:val="restart"/>
            <w:vAlign w:val="center"/>
          </w:tcPr>
          <w:p w14:paraId="66DB16C9">
            <w:pPr>
              <w:pStyle w:val="39"/>
              <w:spacing w:before="0" w:beforeLines="0"/>
              <w:rPr>
                <w:rFonts w:hint="default" w:ascii="Times New Roman" w:hAnsi="Times New Roman" w:cs="Times New Roman"/>
                <w:color w:val="auto"/>
                <w:highlight w:val="none"/>
              </w:rPr>
            </w:pPr>
            <w:r>
              <w:rPr>
                <w:rFonts w:hint="default" w:ascii="Times New Roman" w:hAnsi="Times New Roman" w:cs="Times New Roman"/>
                <w:color w:val="auto"/>
                <w:highlight w:val="none"/>
              </w:rPr>
              <w:t>Cs/Cv</w:t>
            </w:r>
          </w:p>
        </w:tc>
        <w:tc>
          <w:tcPr>
            <w:tcW w:w="3324" w:type="pct"/>
            <w:gridSpan w:val="6"/>
            <w:vAlign w:val="center"/>
          </w:tcPr>
          <w:p w14:paraId="6D3F82E8">
            <w:pPr>
              <w:pStyle w:val="39"/>
              <w:spacing w:before="0" w:beforeLines="0"/>
              <w:rPr>
                <w:rFonts w:hint="default" w:ascii="Times New Roman" w:hAnsi="Times New Roman" w:cs="Times New Roman"/>
                <w:color w:val="auto"/>
                <w:highlight w:val="none"/>
              </w:rPr>
            </w:pPr>
            <w:r>
              <w:rPr>
                <w:rFonts w:hint="default" w:ascii="Times New Roman" w:hAnsi="Times New Roman" w:cs="Times New Roman"/>
                <w:color w:val="auto"/>
                <w:highlight w:val="none"/>
              </w:rPr>
              <w:t>各频率设计值（m³/s）</w:t>
            </w:r>
          </w:p>
        </w:tc>
      </w:tr>
      <w:tr w14:paraId="194C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pct"/>
            <w:vMerge w:val="continue"/>
            <w:vAlign w:val="center"/>
          </w:tcPr>
          <w:p w14:paraId="38E1E7A9">
            <w:pPr>
              <w:pStyle w:val="39"/>
              <w:spacing w:before="0" w:beforeLines="0"/>
              <w:rPr>
                <w:rFonts w:hint="default" w:ascii="Times New Roman" w:hAnsi="Times New Roman" w:cs="Times New Roman"/>
                <w:color w:val="auto"/>
                <w:highlight w:val="none"/>
              </w:rPr>
            </w:pPr>
          </w:p>
        </w:tc>
        <w:tc>
          <w:tcPr>
            <w:tcW w:w="357" w:type="pct"/>
            <w:vMerge w:val="continue"/>
            <w:vAlign w:val="center"/>
          </w:tcPr>
          <w:p w14:paraId="7851D40A">
            <w:pPr>
              <w:pStyle w:val="39"/>
              <w:spacing w:before="0" w:beforeLines="0"/>
              <w:rPr>
                <w:rFonts w:hint="default" w:ascii="Times New Roman" w:hAnsi="Times New Roman" w:cs="Times New Roman"/>
                <w:color w:val="auto"/>
                <w:highlight w:val="none"/>
              </w:rPr>
            </w:pPr>
          </w:p>
        </w:tc>
        <w:tc>
          <w:tcPr>
            <w:tcW w:w="580" w:type="pct"/>
            <w:vMerge w:val="continue"/>
            <w:vAlign w:val="center"/>
          </w:tcPr>
          <w:p w14:paraId="0B82CC0C">
            <w:pPr>
              <w:pStyle w:val="39"/>
              <w:spacing w:before="0" w:beforeLines="0"/>
              <w:rPr>
                <w:rFonts w:hint="default" w:ascii="Times New Roman" w:hAnsi="Times New Roman" w:cs="Times New Roman"/>
                <w:color w:val="auto"/>
                <w:highlight w:val="none"/>
              </w:rPr>
            </w:pPr>
          </w:p>
        </w:tc>
        <w:tc>
          <w:tcPr>
            <w:tcW w:w="553" w:type="pct"/>
            <w:vAlign w:val="center"/>
          </w:tcPr>
          <w:p w14:paraId="35B53CC0">
            <w:pPr>
              <w:pStyle w:val="39"/>
              <w:spacing w:before="0" w:beforeLines="0"/>
              <w:rPr>
                <w:rFonts w:hint="default" w:ascii="Times New Roman" w:hAnsi="Times New Roman" w:cs="Times New Roman"/>
                <w:color w:val="auto"/>
                <w:highlight w:val="none"/>
              </w:rPr>
            </w:pPr>
            <w:r>
              <w:rPr>
                <w:rFonts w:hint="default" w:ascii="Times New Roman" w:hAnsi="Times New Roman" w:cs="Times New Roman"/>
                <w:color w:val="auto"/>
                <w:highlight w:val="none"/>
              </w:rPr>
              <w:t>P=1%</w:t>
            </w:r>
          </w:p>
        </w:tc>
        <w:tc>
          <w:tcPr>
            <w:tcW w:w="553" w:type="pct"/>
            <w:vAlign w:val="center"/>
          </w:tcPr>
          <w:p w14:paraId="28247E38">
            <w:pPr>
              <w:pStyle w:val="39"/>
              <w:spacing w:before="0" w:beforeLines="0"/>
              <w:rPr>
                <w:rFonts w:hint="default" w:ascii="Times New Roman" w:hAnsi="Times New Roman" w:cs="Times New Roman"/>
                <w:color w:val="auto"/>
                <w:highlight w:val="none"/>
              </w:rPr>
            </w:pPr>
            <w:r>
              <w:rPr>
                <w:rFonts w:hint="default" w:ascii="Times New Roman" w:hAnsi="Times New Roman" w:cs="Times New Roman"/>
                <w:color w:val="auto"/>
                <w:highlight w:val="none"/>
              </w:rPr>
              <w:t>P=2%</w:t>
            </w:r>
          </w:p>
        </w:tc>
        <w:tc>
          <w:tcPr>
            <w:tcW w:w="553" w:type="pct"/>
            <w:vAlign w:val="center"/>
          </w:tcPr>
          <w:p w14:paraId="5FAE4A6C">
            <w:pPr>
              <w:pStyle w:val="39"/>
              <w:spacing w:before="0" w:beforeLines="0"/>
              <w:rPr>
                <w:rFonts w:hint="default" w:ascii="Times New Roman" w:hAnsi="Times New Roman" w:cs="Times New Roman"/>
                <w:color w:val="auto"/>
                <w:highlight w:val="none"/>
              </w:rPr>
            </w:pPr>
            <w:r>
              <w:rPr>
                <w:rFonts w:hint="default" w:ascii="Times New Roman" w:hAnsi="Times New Roman" w:cs="Times New Roman"/>
                <w:color w:val="auto"/>
                <w:highlight w:val="none"/>
              </w:rPr>
              <w:t>P=5%</w:t>
            </w:r>
          </w:p>
        </w:tc>
        <w:tc>
          <w:tcPr>
            <w:tcW w:w="553" w:type="pct"/>
            <w:vAlign w:val="center"/>
          </w:tcPr>
          <w:p w14:paraId="44E60933">
            <w:pPr>
              <w:pStyle w:val="39"/>
              <w:spacing w:before="0" w:beforeLines="0"/>
              <w:rPr>
                <w:rFonts w:hint="default" w:ascii="Times New Roman" w:hAnsi="Times New Roman" w:cs="Times New Roman"/>
                <w:color w:val="auto"/>
                <w:highlight w:val="none"/>
              </w:rPr>
            </w:pPr>
            <w:r>
              <w:rPr>
                <w:rFonts w:hint="default" w:ascii="Times New Roman" w:hAnsi="Times New Roman" w:cs="Times New Roman"/>
                <w:color w:val="auto"/>
                <w:highlight w:val="none"/>
              </w:rPr>
              <w:t>P=10%</w:t>
            </w:r>
          </w:p>
        </w:tc>
        <w:tc>
          <w:tcPr>
            <w:tcW w:w="553" w:type="pct"/>
            <w:vAlign w:val="center"/>
          </w:tcPr>
          <w:p w14:paraId="35D4EAED">
            <w:pPr>
              <w:pStyle w:val="39"/>
              <w:spacing w:before="0" w:beforeLines="0"/>
              <w:rPr>
                <w:rFonts w:hint="default" w:ascii="Times New Roman" w:hAnsi="Times New Roman" w:cs="Times New Roman"/>
                <w:color w:val="auto"/>
                <w:highlight w:val="none"/>
              </w:rPr>
            </w:pPr>
            <w:r>
              <w:rPr>
                <w:rFonts w:hint="default" w:ascii="Times New Roman" w:hAnsi="Times New Roman" w:cs="Times New Roman"/>
                <w:color w:val="auto"/>
                <w:highlight w:val="none"/>
              </w:rPr>
              <w:t>P=20%</w:t>
            </w:r>
          </w:p>
        </w:tc>
        <w:tc>
          <w:tcPr>
            <w:tcW w:w="554" w:type="pct"/>
            <w:vAlign w:val="center"/>
          </w:tcPr>
          <w:p w14:paraId="05A74BC2">
            <w:pPr>
              <w:pStyle w:val="39"/>
              <w:spacing w:before="0" w:beforeLines="0"/>
              <w:rPr>
                <w:rFonts w:hint="default" w:ascii="Times New Roman" w:hAnsi="Times New Roman" w:cs="Times New Roman"/>
                <w:color w:val="auto"/>
                <w:highlight w:val="none"/>
              </w:rPr>
            </w:pPr>
            <w:r>
              <w:rPr>
                <w:rFonts w:hint="default" w:ascii="Times New Roman" w:hAnsi="Times New Roman" w:cs="Times New Roman"/>
                <w:color w:val="auto"/>
                <w:highlight w:val="none"/>
              </w:rPr>
              <w:t>P=50%</w:t>
            </w:r>
          </w:p>
        </w:tc>
      </w:tr>
      <w:tr w14:paraId="274EC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pct"/>
            <w:vAlign w:val="center"/>
          </w:tcPr>
          <w:p w14:paraId="49AE9CE4">
            <w:pPr>
              <w:pStyle w:val="39"/>
              <w:spacing w:before="0" w:beforeLine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299</w:t>
            </w:r>
          </w:p>
        </w:tc>
        <w:tc>
          <w:tcPr>
            <w:tcW w:w="357" w:type="pct"/>
            <w:vAlign w:val="center"/>
          </w:tcPr>
          <w:p w14:paraId="5C56DD25">
            <w:pPr>
              <w:pStyle w:val="39"/>
              <w:spacing w:before="0" w:beforeLines="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0.5</w:t>
            </w:r>
            <w:r>
              <w:rPr>
                <w:rFonts w:hint="eastAsia" w:cs="Times New Roman"/>
                <w:color w:val="auto"/>
                <w:highlight w:val="none"/>
                <w:lang w:val="en-US" w:eastAsia="zh-CN"/>
              </w:rPr>
              <w:t>5</w:t>
            </w:r>
          </w:p>
        </w:tc>
        <w:tc>
          <w:tcPr>
            <w:tcW w:w="580" w:type="pct"/>
            <w:vAlign w:val="center"/>
          </w:tcPr>
          <w:p w14:paraId="48896ADD">
            <w:pPr>
              <w:pStyle w:val="39"/>
              <w:spacing w:before="0" w:beforeLine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w:t>
            </w:r>
          </w:p>
        </w:tc>
        <w:tc>
          <w:tcPr>
            <w:tcW w:w="553" w:type="pct"/>
            <w:vAlign w:val="center"/>
          </w:tcPr>
          <w:p w14:paraId="41055462">
            <w:pPr>
              <w:pStyle w:val="39"/>
              <w:spacing w:before="0" w:beforeLine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949</w:t>
            </w:r>
          </w:p>
        </w:tc>
        <w:tc>
          <w:tcPr>
            <w:tcW w:w="553" w:type="pct"/>
            <w:vAlign w:val="center"/>
          </w:tcPr>
          <w:p w14:paraId="3FB7FDB7">
            <w:pPr>
              <w:pStyle w:val="39"/>
              <w:spacing w:before="0" w:beforeLine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809</w:t>
            </w:r>
          </w:p>
        </w:tc>
        <w:tc>
          <w:tcPr>
            <w:tcW w:w="553" w:type="pct"/>
            <w:vAlign w:val="center"/>
          </w:tcPr>
          <w:p w14:paraId="71FAED45">
            <w:pPr>
              <w:pStyle w:val="39"/>
              <w:spacing w:before="0" w:beforeLine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630</w:t>
            </w:r>
          </w:p>
        </w:tc>
        <w:tc>
          <w:tcPr>
            <w:tcW w:w="553" w:type="pct"/>
            <w:vAlign w:val="center"/>
          </w:tcPr>
          <w:p w14:paraId="609848CC">
            <w:pPr>
              <w:pStyle w:val="39"/>
              <w:spacing w:before="0" w:beforeLine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499</w:t>
            </w:r>
          </w:p>
        </w:tc>
        <w:tc>
          <w:tcPr>
            <w:tcW w:w="553" w:type="pct"/>
            <w:vAlign w:val="center"/>
          </w:tcPr>
          <w:p w14:paraId="0635A749">
            <w:pPr>
              <w:pStyle w:val="39"/>
              <w:spacing w:before="0" w:beforeLine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376</w:t>
            </w:r>
          </w:p>
        </w:tc>
        <w:tc>
          <w:tcPr>
            <w:tcW w:w="554" w:type="pct"/>
            <w:vAlign w:val="center"/>
          </w:tcPr>
          <w:p w14:paraId="75AD4A67">
            <w:pPr>
              <w:pStyle w:val="39"/>
              <w:spacing w:before="0" w:beforeLine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237</w:t>
            </w:r>
          </w:p>
        </w:tc>
      </w:tr>
    </w:tbl>
    <w:p w14:paraId="293D854B">
      <w:pPr>
        <w:pStyle w:val="70"/>
        <w:spacing w:line="240" w:lineRule="auto"/>
        <w:ind w:firstLineChars="83"/>
        <w:rPr>
          <w:rFonts w:hint="default" w:ascii="Times New Roman" w:hAnsi="Times New Roman" w:cs="Times New Roman"/>
          <w:b/>
          <w:color w:val="auto"/>
          <w:highlight w:val="none"/>
        </w:rPr>
      </w:pPr>
    </w:p>
    <w:p w14:paraId="4F7BEF59">
      <w:pPr>
        <w:pStyle w:val="70"/>
        <w:ind w:firstLine="56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②下游控制断面设计洪水</w:t>
      </w:r>
    </w:p>
    <w:p w14:paraId="102474A1">
      <w:pPr>
        <w:pStyle w:val="70"/>
        <w:ind w:firstLine="56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本次将划界范围末尾断面YYH-1作为控制断面YYH-1的设计洪水，采用水文比拟法，按面积比的2/3次方移用永兴站设计洪水成果，计算成果见表4.2-2。</w:t>
      </w:r>
    </w:p>
    <w:p w14:paraId="5335D19E">
      <w:pPr>
        <w:pStyle w:val="36"/>
        <w:spacing w:before="156" w:after="156"/>
        <w:ind w:left="1120" w:hanging="112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表4.2-2 工程河段设计洪水成果表（水文比拟法）</w:t>
      </w:r>
    </w:p>
    <w:tbl>
      <w:tblPr>
        <w:tblStyle w:val="29"/>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130"/>
        <w:gridCol w:w="988"/>
        <w:gridCol w:w="989"/>
        <w:gridCol w:w="989"/>
        <w:gridCol w:w="989"/>
        <w:gridCol w:w="989"/>
        <w:gridCol w:w="1037"/>
      </w:tblGrid>
      <w:tr w14:paraId="342D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05" w:type="pct"/>
            <w:vMerge w:val="restart"/>
            <w:shd w:val="clear" w:color="auto" w:fill="auto"/>
            <w:noWrap/>
            <w:vAlign w:val="center"/>
          </w:tcPr>
          <w:p w14:paraId="2EB9F379">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断面</w:t>
            </w:r>
          </w:p>
        </w:tc>
        <w:tc>
          <w:tcPr>
            <w:tcW w:w="683" w:type="pct"/>
            <w:vMerge w:val="restart"/>
            <w:shd w:val="clear" w:color="auto" w:fill="auto"/>
            <w:vAlign w:val="center"/>
          </w:tcPr>
          <w:p w14:paraId="0062134E">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集雨面积</w:t>
            </w:r>
          </w:p>
          <w:p w14:paraId="2246B23E">
            <w:pPr>
              <w:pStyle w:val="39"/>
              <w:spacing w:before="0" w:beforeLine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km²</w:t>
            </w:r>
            <w:r>
              <w:rPr>
                <w:rFonts w:hint="eastAsia" w:cs="Times New Roman"/>
                <w:color w:val="auto"/>
                <w:highlight w:val="none"/>
                <w:lang w:val="en-US" w:eastAsia="zh-CN"/>
              </w:rPr>
              <w:t>)</w:t>
            </w:r>
          </w:p>
        </w:tc>
        <w:tc>
          <w:tcPr>
            <w:tcW w:w="3611" w:type="pct"/>
            <w:gridSpan w:val="6"/>
            <w:shd w:val="clear" w:color="auto" w:fill="auto"/>
            <w:noWrap/>
            <w:vAlign w:val="center"/>
          </w:tcPr>
          <w:p w14:paraId="5DDD60CB">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各频率设计值（m³/s）</w:t>
            </w:r>
          </w:p>
        </w:tc>
      </w:tr>
      <w:tr w14:paraId="5AE5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05" w:type="pct"/>
            <w:vMerge w:val="continue"/>
            <w:shd w:val="clear" w:color="auto" w:fill="auto"/>
            <w:noWrap/>
            <w:vAlign w:val="center"/>
          </w:tcPr>
          <w:p w14:paraId="62A196F2">
            <w:pPr>
              <w:pStyle w:val="39"/>
              <w:spacing w:before="0" w:beforeLines="0"/>
              <w:rPr>
                <w:rFonts w:hint="default" w:ascii="Times New Roman" w:hAnsi="Times New Roman" w:eastAsia="宋体" w:cs="Times New Roman"/>
                <w:color w:val="auto"/>
                <w:highlight w:val="none"/>
                <w:lang w:val="en-US" w:eastAsia="zh-CN"/>
              </w:rPr>
            </w:pPr>
          </w:p>
        </w:tc>
        <w:tc>
          <w:tcPr>
            <w:tcW w:w="683" w:type="pct"/>
            <w:vMerge w:val="continue"/>
            <w:shd w:val="clear" w:color="auto" w:fill="auto"/>
            <w:vAlign w:val="center"/>
          </w:tcPr>
          <w:p w14:paraId="0A4C0A24">
            <w:pPr>
              <w:pStyle w:val="39"/>
              <w:spacing w:before="0" w:beforeLines="0"/>
              <w:rPr>
                <w:rFonts w:hint="default" w:ascii="Times New Roman" w:hAnsi="Times New Roman" w:eastAsia="宋体" w:cs="Times New Roman"/>
                <w:color w:val="auto"/>
                <w:highlight w:val="none"/>
                <w:lang w:val="en-US" w:eastAsia="zh-CN"/>
              </w:rPr>
            </w:pPr>
          </w:p>
        </w:tc>
        <w:tc>
          <w:tcPr>
            <w:tcW w:w="597" w:type="pct"/>
            <w:shd w:val="clear" w:color="auto" w:fill="auto"/>
            <w:vAlign w:val="center"/>
          </w:tcPr>
          <w:p w14:paraId="7E02BD5F">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P=1%</w:t>
            </w:r>
          </w:p>
        </w:tc>
        <w:tc>
          <w:tcPr>
            <w:tcW w:w="597" w:type="pct"/>
            <w:shd w:val="clear" w:color="auto" w:fill="auto"/>
            <w:vAlign w:val="center"/>
          </w:tcPr>
          <w:p w14:paraId="0D9A2D99">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P=2%</w:t>
            </w:r>
          </w:p>
        </w:tc>
        <w:tc>
          <w:tcPr>
            <w:tcW w:w="597" w:type="pct"/>
            <w:shd w:val="clear" w:color="auto" w:fill="auto"/>
            <w:vAlign w:val="center"/>
          </w:tcPr>
          <w:p w14:paraId="58781D84">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P=5%</w:t>
            </w:r>
          </w:p>
        </w:tc>
        <w:tc>
          <w:tcPr>
            <w:tcW w:w="597" w:type="pct"/>
            <w:shd w:val="clear" w:color="auto" w:fill="auto"/>
            <w:vAlign w:val="center"/>
          </w:tcPr>
          <w:p w14:paraId="4A9E12AB">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P=10%</w:t>
            </w:r>
          </w:p>
        </w:tc>
        <w:tc>
          <w:tcPr>
            <w:tcW w:w="597" w:type="pct"/>
            <w:shd w:val="clear" w:color="auto" w:fill="auto"/>
            <w:vAlign w:val="center"/>
          </w:tcPr>
          <w:p w14:paraId="0B3D3B6D">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P=20%</w:t>
            </w:r>
          </w:p>
        </w:tc>
        <w:tc>
          <w:tcPr>
            <w:tcW w:w="624" w:type="pct"/>
            <w:shd w:val="clear" w:color="auto" w:fill="auto"/>
            <w:vAlign w:val="center"/>
          </w:tcPr>
          <w:p w14:paraId="10160281">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P=50%</w:t>
            </w:r>
          </w:p>
        </w:tc>
      </w:tr>
      <w:tr w14:paraId="55FF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05" w:type="pct"/>
            <w:shd w:val="clear" w:color="auto" w:fill="auto"/>
            <w:vAlign w:val="center"/>
          </w:tcPr>
          <w:p w14:paraId="4379632B">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YYH-1</w:t>
            </w:r>
          </w:p>
        </w:tc>
        <w:tc>
          <w:tcPr>
            <w:tcW w:w="683" w:type="pct"/>
            <w:shd w:val="clear" w:color="auto" w:fill="auto"/>
            <w:noWrap/>
            <w:vAlign w:val="center"/>
          </w:tcPr>
          <w:p w14:paraId="36FEB262">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r>
              <w:rPr>
                <w:rFonts w:hint="eastAsia" w:ascii="Times New Roman" w:hAnsi="Times New Roman" w:eastAsia="宋体" w:cs="Times New Roman"/>
                <w:color w:val="auto"/>
                <w:highlight w:val="none"/>
                <w:lang w:val="en-US" w:eastAsia="zh-CN"/>
              </w:rPr>
              <w:t>5.08</w:t>
            </w:r>
          </w:p>
        </w:tc>
        <w:tc>
          <w:tcPr>
            <w:tcW w:w="597" w:type="pct"/>
            <w:shd w:val="clear" w:color="auto" w:fill="auto"/>
            <w:vAlign w:val="center"/>
          </w:tcPr>
          <w:p w14:paraId="4017D543">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328 </w:t>
            </w:r>
          </w:p>
        </w:tc>
        <w:tc>
          <w:tcPr>
            <w:tcW w:w="597" w:type="pct"/>
            <w:shd w:val="clear" w:color="auto" w:fill="auto"/>
            <w:vAlign w:val="center"/>
          </w:tcPr>
          <w:p w14:paraId="549294AC">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280 </w:t>
            </w:r>
          </w:p>
        </w:tc>
        <w:tc>
          <w:tcPr>
            <w:tcW w:w="597" w:type="pct"/>
            <w:shd w:val="clear" w:color="auto" w:fill="auto"/>
            <w:vAlign w:val="center"/>
          </w:tcPr>
          <w:p w14:paraId="5973429B">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218 </w:t>
            </w:r>
          </w:p>
        </w:tc>
        <w:tc>
          <w:tcPr>
            <w:tcW w:w="597" w:type="pct"/>
            <w:shd w:val="clear" w:color="auto" w:fill="auto"/>
            <w:vAlign w:val="center"/>
          </w:tcPr>
          <w:p w14:paraId="544D6A2A">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173 </w:t>
            </w:r>
          </w:p>
        </w:tc>
        <w:tc>
          <w:tcPr>
            <w:tcW w:w="597" w:type="pct"/>
            <w:shd w:val="clear" w:color="auto" w:fill="auto"/>
            <w:vAlign w:val="center"/>
          </w:tcPr>
          <w:p w14:paraId="091F133A">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130 </w:t>
            </w:r>
          </w:p>
        </w:tc>
        <w:tc>
          <w:tcPr>
            <w:tcW w:w="624" w:type="pct"/>
            <w:shd w:val="clear" w:color="auto" w:fill="auto"/>
            <w:vAlign w:val="center"/>
          </w:tcPr>
          <w:p w14:paraId="7083E3E3">
            <w:pPr>
              <w:pStyle w:val="39"/>
              <w:spacing w:before="0" w:before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82.0 </w:t>
            </w:r>
          </w:p>
        </w:tc>
      </w:tr>
    </w:tbl>
    <w:p w14:paraId="0040FBA8">
      <w:pPr>
        <w:pStyle w:val="7"/>
        <w:ind w:firstLine="562"/>
        <w:rPr>
          <w:rFonts w:hint="default" w:ascii="Times New Roman" w:hAnsi="Times New Roman" w:cs="Times New Roman"/>
          <w:color w:val="auto"/>
        </w:rPr>
      </w:pPr>
      <w:r>
        <w:rPr>
          <w:rFonts w:hint="default" w:ascii="Times New Roman" w:hAnsi="Times New Roman" w:cs="Times New Roman"/>
          <w:color w:val="auto"/>
        </w:rPr>
        <w:t xml:space="preserve">4.4.2.2.2 </w:t>
      </w:r>
      <w:r>
        <w:rPr>
          <w:rFonts w:hint="eastAsia" w:cs="Times New Roman"/>
          <w:color w:val="auto"/>
          <w:lang w:val="en-US" w:eastAsia="zh-CN"/>
        </w:rPr>
        <w:t>推理公式</w:t>
      </w:r>
      <w:r>
        <w:rPr>
          <w:rFonts w:hint="default" w:ascii="Times New Roman" w:hAnsi="Times New Roman" w:cs="Times New Roman"/>
          <w:color w:val="auto"/>
        </w:rPr>
        <w:t>法计算设计洪水</w:t>
      </w:r>
    </w:p>
    <w:p w14:paraId="52406396">
      <w:pPr>
        <w:ind w:firstLine="560"/>
        <w:rPr>
          <w:rFonts w:hint="default" w:ascii="Times New Roman" w:hAnsi="Times New Roman" w:cs="Times New Roman"/>
          <w:color w:val="auto"/>
          <w:lang w:val="en-US"/>
        </w:rPr>
      </w:pPr>
      <w:r>
        <w:rPr>
          <w:rFonts w:hint="default" w:ascii="Times New Roman" w:hAnsi="Times New Roman" w:cs="Times New Roman"/>
          <w:color w:val="auto"/>
          <w:szCs w:val="36"/>
        </w:rPr>
        <w:t>按《水利水电工程设计洪水计算规范》（SL44-2020）规定，无洪水资料地区，可采用推理公式计算暴雨洪水。因此，本次采用推理公式法计算设计洪水。本次</w:t>
      </w:r>
      <w:r>
        <w:rPr>
          <w:rFonts w:hint="default" w:ascii="Times New Roman" w:hAnsi="Times New Roman" w:cs="Times New Roman"/>
          <w:color w:val="auto"/>
        </w:rPr>
        <w:t>划界河段全长4.19km，共有</w:t>
      </w:r>
      <w:r>
        <w:rPr>
          <w:rFonts w:hint="eastAsia" w:cs="Times New Roman"/>
          <w:color w:val="auto"/>
          <w:lang w:val="en-US" w:eastAsia="zh-CN"/>
        </w:rPr>
        <w:t>1</w:t>
      </w:r>
      <w:r>
        <w:rPr>
          <w:rFonts w:hint="default" w:ascii="Times New Roman" w:hAnsi="Times New Roman" w:cs="Times New Roman"/>
          <w:color w:val="auto"/>
        </w:rPr>
        <w:t>条支沟汇入，本</w:t>
      </w:r>
      <w:r>
        <w:rPr>
          <w:rFonts w:hint="default" w:ascii="Times New Roman" w:hAnsi="Times New Roman" w:cs="Times New Roman"/>
          <w:color w:val="auto"/>
          <w:highlight w:val="none"/>
        </w:rPr>
        <w:t>次计算了2</w:t>
      </w:r>
      <w:r>
        <w:rPr>
          <w:rFonts w:hint="eastAsia" w:cs="Times New Roman"/>
          <w:color w:val="auto"/>
          <w:highlight w:val="none"/>
          <w:lang w:val="en-US" w:eastAsia="zh-CN"/>
        </w:rPr>
        <w:t>9</w:t>
      </w:r>
      <w:r>
        <w:rPr>
          <w:rFonts w:hint="default" w:ascii="Times New Roman" w:hAnsi="Times New Roman" w:cs="Times New Roman"/>
          <w:color w:val="auto"/>
          <w:highlight w:val="none"/>
        </w:rPr>
        <w:t>个断面的设计</w:t>
      </w:r>
      <w:r>
        <w:rPr>
          <w:rFonts w:hint="default" w:ascii="Times New Roman" w:hAnsi="Times New Roman" w:cs="Times New Roman"/>
          <w:color w:val="auto"/>
        </w:rPr>
        <w:t>洪水。</w:t>
      </w:r>
    </w:p>
    <w:p w14:paraId="5646F535">
      <w:pPr>
        <w:ind w:firstLine="560"/>
        <w:rPr>
          <w:rFonts w:hint="default" w:ascii="Times New Roman" w:hAnsi="Times New Roman" w:cs="Times New Roman"/>
          <w:color w:val="auto"/>
        </w:rPr>
      </w:pPr>
      <w:r>
        <w:rPr>
          <w:rFonts w:hint="default" w:ascii="Times New Roman" w:hAnsi="Times New Roman" w:cs="Times New Roman"/>
          <w:color w:val="auto"/>
        </w:rPr>
        <w:t>（1）流域特征值</w:t>
      </w:r>
    </w:p>
    <w:p w14:paraId="5F6B6BDA">
      <w:pPr>
        <w:ind w:firstLine="560"/>
        <w:rPr>
          <w:rFonts w:hint="default" w:ascii="Times New Roman" w:hAnsi="Times New Roman" w:cs="Times New Roman"/>
          <w:color w:val="auto"/>
        </w:rPr>
      </w:pPr>
      <w:r>
        <w:rPr>
          <w:rFonts w:hint="default" w:ascii="Times New Roman" w:hAnsi="Times New Roman" w:cs="Times New Roman"/>
          <w:color w:val="auto"/>
        </w:rPr>
        <w:t>流域特征值在1/50000航测图上量算，河道比降采用加权平均计算，YYH-1</w:t>
      </w:r>
      <w:r>
        <w:rPr>
          <w:rFonts w:hint="eastAsia" w:ascii="Times New Roman" w:hAnsi="Times New Roman" w:cs="Times New Roman"/>
          <w:color w:val="auto"/>
          <w:lang w:val="en-US" w:eastAsia="zh-CN"/>
        </w:rPr>
        <w:t>为本次划界终点；</w:t>
      </w:r>
      <w:r>
        <w:rPr>
          <w:rFonts w:hint="default" w:ascii="Times New Roman" w:hAnsi="Times New Roman" w:cs="Times New Roman"/>
          <w:color w:val="auto"/>
        </w:rPr>
        <w:t>YYH-</w:t>
      </w:r>
      <w:r>
        <w:rPr>
          <w:rFonts w:hint="eastAsia" w:ascii="Times New Roman" w:hAnsi="Times New Roman" w:cs="Times New Roman"/>
          <w:color w:val="auto"/>
          <w:lang w:val="en-US" w:eastAsia="zh-CN"/>
        </w:rPr>
        <w:t>3为拟建红格水库坝址，</w:t>
      </w:r>
      <w:r>
        <w:rPr>
          <w:rFonts w:hint="default" w:ascii="Times New Roman" w:hAnsi="Times New Roman" w:cs="Times New Roman"/>
          <w:color w:val="auto"/>
        </w:rPr>
        <w:t>流域特征值</w:t>
      </w:r>
      <w:r>
        <w:rPr>
          <w:rFonts w:hint="eastAsia" w:ascii="Times New Roman" w:hAnsi="Times New Roman" w:cs="Times New Roman"/>
          <w:color w:val="auto"/>
          <w:lang w:val="en-US" w:eastAsia="zh-CN"/>
        </w:rPr>
        <w:t>参照</w:t>
      </w:r>
      <w:r>
        <w:rPr>
          <w:rFonts w:hint="default" w:ascii="Times New Roman" w:hAnsi="Times New Roman" w:cs="Times New Roman"/>
          <w:color w:val="auto"/>
          <w:lang w:val="en-US" w:eastAsia="zh-CN"/>
        </w:rPr>
        <w:t>《盐边县红格水库工程初步设计报告》（报批稿）</w:t>
      </w:r>
      <w:r>
        <w:rPr>
          <w:rFonts w:hint="eastAsia" w:ascii="Times New Roman" w:hAnsi="Times New Roman" w:cs="Times New Roman"/>
          <w:color w:val="auto"/>
          <w:lang w:val="en-US" w:eastAsia="zh-CN"/>
        </w:rPr>
        <w:t>；</w:t>
      </w:r>
      <w:r>
        <w:rPr>
          <w:rFonts w:hint="default" w:ascii="Times New Roman" w:hAnsi="Times New Roman" w:cs="Times New Roman"/>
          <w:color w:val="auto"/>
        </w:rPr>
        <w:t>YYH-4流域特征值</w:t>
      </w:r>
      <w:r>
        <w:rPr>
          <w:rFonts w:hint="eastAsia" w:ascii="Times New Roman" w:hAnsi="Times New Roman" w:cs="Times New Roman"/>
          <w:color w:val="auto"/>
          <w:lang w:val="en-US" w:eastAsia="zh-CN"/>
        </w:rPr>
        <w:t>参照</w:t>
      </w:r>
      <w:r>
        <w:rPr>
          <w:rFonts w:hint="default" w:ascii="Times New Roman" w:hAnsi="Times New Roman" w:cs="Times New Roman"/>
          <w:color w:val="auto"/>
          <w:lang w:val="en-US" w:eastAsia="zh-CN"/>
        </w:rPr>
        <w:t>《盐边县农产品物流交易中心项目行洪论证与河势稳定评价报告》（报批稿）</w:t>
      </w:r>
      <w:r>
        <w:rPr>
          <w:rFonts w:hint="eastAsia" w:ascii="Times New Roman" w:hAnsi="Times New Roman" w:cs="Times New Roman"/>
          <w:color w:val="auto"/>
          <w:lang w:val="en-US" w:eastAsia="zh-CN"/>
        </w:rPr>
        <w:t>。</w:t>
      </w:r>
      <w:r>
        <w:rPr>
          <w:rFonts w:hint="default" w:ascii="Times New Roman" w:hAnsi="Times New Roman" w:cs="Times New Roman"/>
          <w:color w:val="auto"/>
        </w:rPr>
        <w:t>成果见表4.2-3。</w:t>
      </w:r>
    </w:p>
    <w:p w14:paraId="3D152902">
      <w:pPr>
        <w:pStyle w:val="36"/>
        <w:spacing w:before="156" w:after="156"/>
        <w:rPr>
          <w:rFonts w:hint="default" w:ascii="Times New Roman" w:hAnsi="Times New Roman" w:cs="Times New Roman"/>
          <w:color w:val="auto"/>
        </w:rPr>
      </w:pPr>
      <w:r>
        <w:rPr>
          <w:rFonts w:hint="default" w:ascii="Times New Roman" w:hAnsi="Times New Roman" w:cs="Times New Roman"/>
          <w:color w:val="auto"/>
        </w:rPr>
        <w:t>表4.2-3 各计算断面基本情况</w:t>
      </w:r>
    </w:p>
    <w:tbl>
      <w:tblPr>
        <w:tblStyle w:val="29"/>
        <w:tblW w:w="49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1613"/>
        <w:gridCol w:w="1303"/>
        <w:gridCol w:w="1196"/>
        <w:gridCol w:w="2739"/>
      </w:tblGrid>
      <w:tr w14:paraId="243C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blHeader/>
        </w:trPr>
        <w:tc>
          <w:tcPr>
            <w:tcW w:w="959" w:type="pct"/>
            <w:vMerge w:val="restart"/>
            <w:shd w:val="clear" w:color="auto" w:fill="auto"/>
            <w:noWrap/>
            <w:vAlign w:val="center"/>
          </w:tcPr>
          <w:p w14:paraId="399E7B1D">
            <w:pPr>
              <w:pStyle w:val="39"/>
              <w:spacing w:before="0" w:beforeLines="0"/>
              <w:rPr>
                <w:rFonts w:hint="default" w:ascii="Times New Roman" w:hAnsi="Times New Roman" w:cs="Times New Roman"/>
                <w:color w:val="auto"/>
              </w:rPr>
            </w:pPr>
            <w:r>
              <w:rPr>
                <w:rFonts w:hint="default" w:ascii="Times New Roman" w:hAnsi="Times New Roman" w:cs="Times New Roman"/>
                <w:color w:val="auto"/>
              </w:rPr>
              <w:t>断面编号</w:t>
            </w:r>
          </w:p>
        </w:tc>
        <w:tc>
          <w:tcPr>
            <w:tcW w:w="951" w:type="pct"/>
            <w:vMerge w:val="restart"/>
            <w:shd w:val="clear" w:color="auto" w:fill="auto"/>
            <w:vAlign w:val="center"/>
          </w:tcPr>
          <w:p w14:paraId="243E0D24">
            <w:pPr>
              <w:pStyle w:val="39"/>
              <w:spacing w:before="0" w:beforeLines="0"/>
              <w:rPr>
                <w:rFonts w:hint="default" w:ascii="Times New Roman" w:hAnsi="Times New Roman" w:cs="Times New Roman"/>
                <w:color w:val="auto"/>
              </w:rPr>
            </w:pPr>
            <w:r>
              <w:rPr>
                <w:rFonts w:hint="default" w:ascii="Times New Roman" w:hAnsi="Times New Roman" w:cs="Times New Roman"/>
                <w:color w:val="auto"/>
              </w:rPr>
              <w:t>集雨面积</w:t>
            </w:r>
          </w:p>
          <w:p w14:paraId="6FF8225B">
            <w:pPr>
              <w:pStyle w:val="39"/>
              <w:spacing w:before="0" w:beforeLines="0"/>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km²</w:t>
            </w:r>
            <w:r>
              <w:rPr>
                <w:rFonts w:hint="eastAsia" w:cs="Times New Roman"/>
                <w:color w:val="auto"/>
                <w:lang w:eastAsia="zh-CN"/>
              </w:rPr>
              <w:t>)</w:t>
            </w:r>
          </w:p>
        </w:tc>
        <w:tc>
          <w:tcPr>
            <w:tcW w:w="768" w:type="pct"/>
            <w:vMerge w:val="restart"/>
            <w:shd w:val="clear" w:color="auto" w:fill="auto"/>
            <w:vAlign w:val="center"/>
          </w:tcPr>
          <w:p w14:paraId="20E1F6C3">
            <w:pPr>
              <w:pStyle w:val="39"/>
              <w:spacing w:before="0" w:beforeLines="0"/>
              <w:rPr>
                <w:rFonts w:hint="default" w:ascii="Times New Roman" w:hAnsi="Times New Roman" w:cs="Times New Roman"/>
                <w:color w:val="auto"/>
              </w:rPr>
            </w:pPr>
            <w:r>
              <w:rPr>
                <w:rFonts w:hint="default" w:ascii="Times New Roman" w:hAnsi="Times New Roman" w:cs="Times New Roman"/>
                <w:color w:val="auto"/>
              </w:rPr>
              <w:t>河长</w:t>
            </w:r>
            <w:r>
              <w:rPr>
                <w:rFonts w:hint="eastAsia" w:cs="Times New Roman"/>
                <w:color w:val="auto"/>
                <w:lang w:eastAsia="zh-CN"/>
              </w:rPr>
              <w:t>（</w:t>
            </w:r>
            <w:r>
              <w:rPr>
                <w:rFonts w:hint="default" w:ascii="Times New Roman" w:hAnsi="Times New Roman" w:cs="Times New Roman"/>
                <w:color w:val="auto"/>
              </w:rPr>
              <w:t>km</w:t>
            </w:r>
            <w:r>
              <w:rPr>
                <w:rFonts w:hint="eastAsia" w:cs="Times New Roman"/>
                <w:color w:val="auto"/>
                <w:lang w:eastAsia="zh-CN"/>
              </w:rPr>
              <w:t>）</w:t>
            </w:r>
          </w:p>
        </w:tc>
        <w:tc>
          <w:tcPr>
            <w:tcW w:w="705" w:type="pct"/>
            <w:vMerge w:val="restart"/>
            <w:shd w:val="clear" w:color="auto" w:fill="auto"/>
            <w:vAlign w:val="center"/>
          </w:tcPr>
          <w:p w14:paraId="41D6D100">
            <w:pPr>
              <w:pStyle w:val="39"/>
              <w:spacing w:before="0" w:beforeLines="0"/>
              <w:rPr>
                <w:rFonts w:hint="default" w:ascii="Times New Roman" w:hAnsi="Times New Roman" w:cs="Times New Roman"/>
                <w:color w:val="auto"/>
              </w:rPr>
            </w:pPr>
            <w:r>
              <w:rPr>
                <w:rFonts w:hint="default" w:ascii="Times New Roman" w:hAnsi="Times New Roman" w:cs="Times New Roman"/>
                <w:color w:val="auto"/>
              </w:rPr>
              <w:t>比降</w:t>
            </w:r>
            <w:r>
              <w:rPr>
                <w:rFonts w:hint="eastAsia" w:cs="Times New Roman"/>
                <w:color w:val="auto"/>
                <w:lang w:eastAsia="zh-CN"/>
              </w:rPr>
              <w:t>（</w:t>
            </w:r>
            <w:r>
              <w:rPr>
                <w:rFonts w:hint="default" w:ascii="Times New Roman" w:hAnsi="Times New Roman" w:cs="Times New Roman"/>
                <w:color w:val="auto"/>
              </w:rPr>
              <w:t>‰</w:t>
            </w:r>
            <w:r>
              <w:rPr>
                <w:rFonts w:hint="eastAsia" w:cs="Times New Roman"/>
                <w:color w:val="auto"/>
                <w:lang w:eastAsia="zh-CN"/>
              </w:rPr>
              <w:t>）</w:t>
            </w:r>
          </w:p>
        </w:tc>
        <w:tc>
          <w:tcPr>
            <w:tcW w:w="1615" w:type="pct"/>
            <w:vMerge w:val="restart"/>
            <w:shd w:val="clear" w:color="auto" w:fill="auto"/>
            <w:vAlign w:val="center"/>
          </w:tcPr>
          <w:p w14:paraId="530120FB">
            <w:pPr>
              <w:pStyle w:val="39"/>
              <w:spacing w:before="0" w:beforeLines="0"/>
              <w:rPr>
                <w:rFonts w:hint="default" w:ascii="Times New Roman" w:hAnsi="Times New Roman" w:cs="Times New Roman"/>
                <w:color w:val="auto"/>
              </w:rPr>
            </w:pPr>
            <w:r>
              <w:rPr>
                <w:rFonts w:hint="default" w:ascii="Times New Roman" w:hAnsi="Times New Roman" w:cs="Times New Roman"/>
                <w:color w:val="auto"/>
              </w:rPr>
              <w:t>备注</w:t>
            </w:r>
          </w:p>
        </w:tc>
      </w:tr>
      <w:tr w14:paraId="0773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59" w:type="pct"/>
            <w:vMerge w:val="continue"/>
            <w:shd w:val="clear" w:color="auto" w:fill="auto"/>
            <w:noWrap/>
            <w:vAlign w:val="center"/>
          </w:tcPr>
          <w:p w14:paraId="3D9B2BE4">
            <w:pPr>
              <w:pStyle w:val="39"/>
              <w:spacing w:before="0" w:beforeLines="0"/>
              <w:rPr>
                <w:rFonts w:hint="default" w:ascii="Times New Roman" w:hAnsi="Times New Roman" w:cs="Times New Roman"/>
                <w:color w:val="auto"/>
              </w:rPr>
            </w:pPr>
          </w:p>
        </w:tc>
        <w:tc>
          <w:tcPr>
            <w:tcW w:w="951" w:type="pct"/>
            <w:vMerge w:val="continue"/>
            <w:shd w:val="clear" w:color="auto" w:fill="auto"/>
            <w:vAlign w:val="center"/>
          </w:tcPr>
          <w:p w14:paraId="59908CFB">
            <w:pPr>
              <w:pStyle w:val="39"/>
              <w:spacing w:before="0" w:beforeLines="0"/>
              <w:rPr>
                <w:rFonts w:hint="default" w:ascii="Times New Roman" w:hAnsi="Times New Roman" w:cs="Times New Roman"/>
                <w:color w:val="auto"/>
              </w:rPr>
            </w:pPr>
          </w:p>
        </w:tc>
        <w:tc>
          <w:tcPr>
            <w:tcW w:w="768" w:type="pct"/>
            <w:vMerge w:val="continue"/>
            <w:shd w:val="clear" w:color="auto" w:fill="auto"/>
            <w:vAlign w:val="center"/>
          </w:tcPr>
          <w:p w14:paraId="2FE41C7F">
            <w:pPr>
              <w:pStyle w:val="39"/>
              <w:spacing w:before="0" w:beforeLines="0"/>
              <w:rPr>
                <w:rFonts w:hint="default" w:ascii="Times New Roman" w:hAnsi="Times New Roman" w:cs="Times New Roman"/>
                <w:color w:val="auto"/>
              </w:rPr>
            </w:pPr>
          </w:p>
        </w:tc>
        <w:tc>
          <w:tcPr>
            <w:tcW w:w="705" w:type="pct"/>
            <w:vMerge w:val="continue"/>
            <w:shd w:val="clear" w:color="auto" w:fill="auto"/>
            <w:vAlign w:val="center"/>
          </w:tcPr>
          <w:p w14:paraId="629B59BD">
            <w:pPr>
              <w:pStyle w:val="39"/>
              <w:spacing w:before="0" w:beforeLines="0"/>
              <w:rPr>
                <w:rFonts w:hint="default" w:ascii="Times New Roman" w:hAnsi="Times New Roman" w:cs="Times New Roman"/>
                <w:color w:val="auto"/>
              </w:rPr>
            </w:pPr>
          </w:p>
        </w:tc>
        <w:tc>
          <w:tcPr>
            <w:tcW w:w="1615" w:type="pct"/>
            <w:vMerge w:val="continue"/>
            <w:shd w:val="clear" w:color="auto" w:fill="auto"/>
            <w:vAlign w:val="center"/>
          </w:tcPr>
          <w:p w14:paraId="2F311DE0">
            <w:pPr>
              <w:pStyle w:val="39"/>
              <w:spacing w:before="0" w:beforeLines="0"/>
              <w:rPr>
                <w:rFonts w:hint="default" w:ascii="Times New Roman" w:hAnsi="Times New Roman" w:cs="Times New Roman"/>
                <w:color w:val="auto"/>
              </w:rPr>
            </w:pPr>
          </w:p>
        </w:tc>
      </w:tr>
      <w:tr w14:paraId="0D4B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59" w:type="pct"/>
            <w:shd w:val="clear" w:color="auto" w:fill="auto"/>
            <w:noWrap/>
            <w:vAlign w:val="center"/>
          </w:tcPr>
          <w:p w14:paraId="6893D148">
            <w:pPr>
              <w:pStyle w:val="39"/>
              <w:spacing w:before="0" w:beforeLines="0"/>
              <w:rPr>
                <w:rFonts w:hint="default" w:ascii="Times New Roman" w:hAnsi="Times New Roman" w:cs="Times New Roman"/>
                <w:color w:val="auto"/>
              </w:rPr>
            </w:pPr>
            <w:r>
              <w:rPr>
                <w:rFonts w:hint="default" w:ascii="Times New Roman" w:hAnsi="Times New Roman" w:cs="Times New Roman"/>
                <w:color w:val="auto"/>
              </w:rPr>
              <w:t>YYH-4</w:t>
            </w:r>
          </w:p>
        </w:tc>
        <w:tc>
          <w:tcPr>
            <w:tcW w:w="951" w:type="pct"/>
            <w:shd w:val="clear" w:color="auto" w:fill="auto"/>
            <w:noWrap/>
            <w:vAlign w:val="center"/>
          </w:tcPr>
          <w:p w14:paraId="54FA798D">
            <w:pPr>
              <w:pStyle w:val="39"/>
              <w:spacing w:before="0" w:beforeLines="0"/>
              <w:rPr>
                <w:rFonts w:hint="default" w:ascii="Times New Roman" w:hAnsi="Times New Roman" w:eastAsia="宋体" w:cs="Times New Roman"/>
                <w:color w:val="auto"/>
                <w:lang w:val="en-US" w:eastAsia="zh-CN"/>
              </w:rPr>
            </w:pPr>
            <w:r>
              <w:rPr>
                <w:rFonts w:hint="default" w:ascii="Times New Roman" w:hAnsi="Times New Roman" w:cs="Times New Roman"/>
                <w:color w:val="auto"/>
              </w:rPr>
              <w:t>70.</w:t>
            </w:r>
            <w:r>
              <w:rPr>
                <w:rFonts w:hint="eastAsia" w:cs="Times New Roman"/>
                <w:color w:val="auto"/>
                <w:lang w:val="en-US" w:eastAsia="zh-CN"/>
              </w:rPr>
              <w:t>65</w:t>
            </w:r>
          </w:p>
        </w:tc>
        <w:tc>
          <w:tcPr>
            <w:tcW w:w="768" w:type="pct"/>
            <w:shd w:val="clear" w:color="auto" w:fill="auto"/>
            <w:noWrap/>
            <w:vAlign w:val="center"/>
          </w:tcPr>
          <w:p w14:paraId="65F7A4A9">
            <w:pPr>
              <w:pStyle w:val="39"/>
              <w:spacing w:before="0" w:beforeLines="0"/>
              <w:rPr>
                <w:rFonts w:hint="default" w:ascii="Times New Roman" w:hAnsi="Times New Roman" w:eastAsia="宋体" w:cs="Times New Roman"/>
                <w:color w:val="auto"/>
                <w:lang w:val="en-US" w:eastAsia="zh-CN"/>
              </w:rPr>
            </w:pPr>
            <w:r>
              <w:rPr>
                <w:rFonts w:hint="eastAsia" w:cs="Times New Roman"/>
                <w:color w:val="auto"/>
                <w:lang w:val="en-US" w:eastAsia="zh-CN"/>
              </w:rPr>
              <w:t>18.50</w:t>
            </w:r>
          </w:p>
        </w:tc>
        <w:tc>
          <w:tcPr>
            <w:tcW w:w="705" w:type="pct"/>
            <w:shd w:val="clear" w:color="auto" w:fill="auto"/>
            <w:noWrap/>
            <w:vAlign w:val="center"/>
          </w:tcPr>
          <w:p w14:paraId="7EBA3E48">
            <w:pPr>
              <w:pStyle w:val="39"/>
              <w:spacing w:before="0" w:beforeLines="0"/>
              <w:rPr>
                <w:rFonts w:hint="default" w:ascii="Times New Roman" w:hAnsi="Times New Roman" w:eastAsia="宋体" w:cs="Times New Roman"/>
                <w:color w:val="auto"/>
                <w:lang w:val="en-US" w:eastAsia="zh-CN"/>
              </w:rPr>
            </w:pPr>
            <w:r>
              <w:rPr>
                <w:rFonts w:hint="eastAsia" w:cs="Times New Roman"/>
                <w:color w:val="auto"/>
                <w:lang w:val="en-US" w:eastAsia="zh-CN"/>
              </w:rPr>
              <w:t>42.12</w:t>
            </w:r>
          </w:p>
        </w:tc>
        <w:tc>
          <w:tcPr>
            <w:tcW w:w="1615" w:type="pct"/>
            <w:shd w:val="clear" w:color="auto" w:fill="auto"/>
            <w:noWrap/>
            <w:vAlign w:val="center"/>
          </w:tcPr>
          <w:p w14:paraId="404BA031">
            <w:pPr>
              <w:pStyle w:val="39"/>
              <w:spacing w:before="0" w:beforeLines="0"/>
              <w:rPr>
                <w:rFonts w:hint="default" w:ascii="Times New Roman" w:hAnsi="Times New Roman" w:cs="Times New Roman"/>
                <w:color w:val="auto"/>
              </w:rPr>
            </w:pPr>
          </w:p>
        </w:tc>
      </w:tr>
      <w:tr w14:paraId="1A3A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59" w:type="pct"/>
            <w:shd w:val="clear" w:color="auto" w:fill="auto"/>
            <w:noWrap/>
            <w:vAlign w:val="center"/>
          </w:tcPr>
          <w:p w14:paraId="6DFF9F6D">
            <w:pPr>
              <w:pStyle w:val="39"/>
              <w:spacing w:before="0" w:beforeLines="0"/>
              <w:rPr>
                <w:rFonts w:hint="eastAsia" w:ascii="Times New Roman" w:hAnsi="Times New Roman" w:eastAsia="宋体" w:cs="Times New Roman"/>
                <w:color w:val="auto"/>
                <w:lang w:eastAsia="zh-CN"/>
              </w:rPr>
            </w:pPr>
            <w:r>
              <w:rPr>
                <w:rFonts w:hint="default" w:ascii="Times New Roman" w:hAnsi="Times New Roman" w:cs="Times New Roman"/>
                <w:color w:val="auto"/>
              </w:rPr>
              <w:t>YYH-</w:t>
            </w:r>
            <w:r>
              <w:rPr>
                <w:rFonts w:hint="eastAsia" w:ascii="Times New Roman" w:hAnsi="Times New Roman" w:cs="Times New Roman"/>
                <w:color w:val="auto"/>
                <w:lang w:val="en-US" w:eastAsia="zh-CN"/>
              </w:rPr>
              <w:t>3</w:t>
            </w:r>
          </w:p>
        </w:tc>
        <w:tc>
          <w:tcPr>
            <w:tcW w:w="951" w:type="pct"/>
            <w:shd w:val="clear" w:color="auto" w:fill="auto"/>
            <w:noWrap/>
            <w:vAlign w:val="center"/>
          </w:tcPr>
          <w:p w14:paraId="2BF71A49">
            <w:pPr>
              <w:pStyle w:val="39"/>
              <w:spacing w:before="0" w:beforeLine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103.69</w:t>
            </w:r>
          </w:p>
        </w:tc>
        <w:tc>
          <w:tcPr>
            <w:tcW w:w="768" w:type="pct"/>
            <w:shd w:val="clear" w:color="auto" w:fill="auto"/>
            <w:noWrap/>
            <w:vAlign w:val="center"/>
          </w:tcPr>
          <w:p w14:paraId="58A6762D">
            <w:pPr>
              <w:pStyle w:val="39"/>
              <w:spacing w:before="0" w:beforeLine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19.05</w:t>
            </w:r>
          </w:p>
        </w:tc>
        <w:tc>
          <w:tcPr>
            <w:tcW w:w="705" w:type="pct"/>
            <w:shd w:val="clear" w:color="auto" w:fill="auto"/>
            <w:noWrap/>
            <w:vAlign w:val="center"/>
          </w:tcPr>
          <w:p w14:paraId="34D5E382">
            <w:pPr>
              <w:pStyle w:val="39"/>
              <w:spacing w:before="0" w:beforeLine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46.34</w:t>
            </w:r>
          </w:p>
        </w:tc>
        <w:tc>
          <w:tcPr>
            <w:tcW w:w="1615" w:type="pct"/>
            <w:shd w:val="clear" w:color="auto" w:fill="auto"/>
            <w:noWrap/>
            <w:vAlign w:val="center"/>
          </w:tcPr>
          <w:p w14:paraId="4A0F62FD">
            <w:pPr>
              <w:pStyle w:val="39"/>
              <w:spacing w:before="0" w:beforeLines="0"/>
              <w:rPr>
                <w:rFonts w:hint="default" w:ascii="Times New Roman" w:hAnsi="Times New Roman" w:eastAsia="宋体" w:cs="Times New Roman"/>
                <w:iCs/>
                <w:color w:val="auto"/>
                <w:sz w:val="21"/>
                <w:lang w:val="en-US" w:eastAsia="zh-CN" w:bidi="ar-SA"/>
              </w:rPr>
            </w:pPr>
            <w:r>
              <w:rPr>
                <w:rFonts w:hint="eastAsia" w:ascii="Times New Roman" w:hAnsi="Times New Roman" w:cs="Times New Roman"/>
                <w:color w:val="auto"/>
                <w:lang w:val="en-US" w:eastAsia="zh-CN"/>
              </w:rPr>
              <w:t>拟建红格水库坝址</w:t>
            </w:r>
          </w:p>
        </w:tc>
      </w:tr>
      <w:tr w14:paraId="5848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959" w:type="pct"/>
            <w:shd w:val="clear" w:color="auto" w:fill="auto"/>
            <w:noWrap/>
            <w:vAlign w:val="center"/>
          </w:tcPr>
          <w:p w14:paraId="7EB8A088">
            <w:pPr>
              <w:pStyle w:val="39"/>
              <w:spacing w:before="0" w:beforeLines="0"/>
              <w:rPr>
                <w:rFonts w:hint="default" w:ascii="Times New Roman" w:hAnsi="Times New Roman" w:cs="Times New Roman"/>
                <w:color w:val="auto"/>
              </w:rPr>
            </w:pPr>
            <w:r>
              <w:rPr>
                <w:rFonts w:hint="default" w:ascii="Times New Roman" w:hAnsi="Times New Roman" w:cs="Times New Roman"/>
                <w:color w:val="auto"/>
              </w:rPr>
              <w:t>YYH-1</w:t>
            </w:r>
          </w:p>
        </w:tc>
        <w:tc>
          <w:tcPr>
            <w:tcW w:w="951" w:type="pct"/>
            <w:shd w:val="clear" w:color="auto" w:fill="auto"/>
            <w:noWrap/>
            <w:vAlign w:val="center"/>
          </w:tcPr>
          <w:p w14:paraId="55B0FA97">
            <w:pPr>
              <w:pStyle w:val="39"/>
              <w:spacing w:before="0" w:beforeLines="0"/>
              <w:rPr>
                <w:rFonts w:hint="default" w:ascii="Times New Roman" w:hAnsi="Times New Roman" w:cs="Times New Roman"/>
                <w:color w:val="auto"/>
              </w:rPr>
            </w:pPr>
            <w:r>
              <w:rPr>
                <w:rFonts w:hint="default" w:ascii="Times New Roman" w:hAnsi="Times New Roman" w:cs="Times New Roman"/>
                <w:color w:val="auto"/>
              </w:rPr>
              <w:t>10</w:t>
            </w:r>
            <w:r>
              <w:rPr>
                <w:rFonts w:hint="eastAsia" w:cs="Times New Roman"/>
                <w:color w:val="auto"/>
                <w:lang w:val="en-US" w:eastAsia="zh-CN"/>
              </w:rPr>
              <w:t>5</w:t>
            </w:r>
            <w:r>
              <w:rPr>
                <w:rFonts w:hint="default" w:ascii="Times New Roman" w:hAnsi="Times New Roman" w:cs="Times New Roman"/>
                <w:color w:val="auto"/>
              </w:rPr>
              <w:t>.</w:t>
            </w:r>
            <w:r>
              <w:rPr>
                <w:rFonts w:hint="eastAsia" w:cs="Times New Roman"/>
                <w:color w:val="auto"/>
                <w:lang w:val="en-US" w:eastAsia="zh-CN"/>
              </w:rPr>
              <w:t>0</w:t>
            </w:r>
            <w:r>
              <w:rPr>
                <w:rFonts w:hint="default" w:ascii="Times New Roman" w:hAnsi="Times New Roman" w:cs="Times New Roman"/>
                <w:color w:val="auto"/>
              </w:rPr>
              <w:t>8</w:t>
            </w:r>
          </w:p>
        </w:tc>
        <w:tc>
          <w:tcPr>
            <w:tcW w:w="768" w:type="pct"/>
            <w:shd w:val="clear" w:color="auto" w:fill="auto"/>
            <w:noWrap/>
            <w:vAlign w:val="center"/>
          </w:tcPr>
          <w:p w14:paraId="6157EBD3">
            <w:pPr>
              <w:pStyle w:val="39"/>
              <w:spacing w:before="0" w:beforeLines="0"/>
              <w:rPr>
                <w:rFonts w:hint="default" w:ascii="Times New Roman" w:hAnsi="Times New Roman" w:eastAsia="宋体" w:cs="Times New Roman"/>
                <w:color w:val="auto"/>
                <w:lang w:val="en-US" w:eastAsia="zh-CN"/>
              </w:rPr>
            </w:pPr>
            <w:r>
              <w:rPr>
                <w:rFonts w:hint="eastAsia" w:cs="Times New Roman"/>
                <w:color w:val="auto"/>
                <w:lang w:val="en-US" w:eastAsia="zh-CN"/>
              </w:rPr>
              <w:t>19.25</w:t>
            </w:r>
          </w:p>
        </w:tc>
        <w:tc>
          <w:tcPr>
            <w:tcW w:w="705" w:type="pct"/>
            <w:shd w:val="clear" w:color="auto" w:fill="auto"/>
            <w:noWrap/>
            <w:vAlign w:val="center"/>
          </w:tcPr>
          <w:p w14:paraId="0DA77E25">
            <w:pPr>
              <w:pStyle w:val="39"/>
              <w:spacing w:before="0" w:beforeLines="0"/>
              <w:rPr>
                <w:rFonts w:hint="default" w:ascii="Times New Roman" w:hAnsi="Times New Roman" w:cs="Times New Roman"/>
                <w:color w:val="auto"/>
              </w:rPr>
            </w:pPr>
            <w:r>
              <w:rPr>
                <w:rFonts w:hint="eastAsia" w:cs="Times New Roman"/>
                <w:color w:val="auto"/>
                <w:lang w:val="en-US" w:eastAsia="zh-CN"/>
              </w:rPr>
              <w:t>46</w:t>
            </w:r>
            <w:r>
              <w:rPr>
                <w:rFonts w:hint="default" w:ascii="Times New Roman" w:hAnsi="Times New Roman" w:cs="Times New Roman"/>
                <w:color w:val="auto"/>
              </w:rPr>
              <w:t>.45</w:t>
            </w:r>
          </w:p>
        </w:tc>
        <w:tc>
          <w:tcPr>
            <w:tcW w:w="1615" w:type="pct"/>
            <w:shd w:val="clear" w:color="auto" w:fill="auto"/>
            <w:noWrap/>
            <w:vAlign w:val="center"/>
          </w:tcPr>
          <w:p w14:paraId="7D7FE3D7">
            <w:pPr>
              <w:pStyle w:val="39"/>
              <w:spacing w:before="0" w:beforeLines="0"/>
              <w:rPr>
                <w:rFonts w:hint="default" w:ascii="Times New Roman" w:hAnsi="Times New Roman" w:cs="Times New Roman"/>
                <w:color w:val="auto"/>
              </w:rPr>
            </w:pPr>
          </w:p>
        </w:tc>
      </w:tr>
    </w:tbl>
    <w:p w14:paraId="584E9371">
      <w:pPr>
        <w:ind w:firstLine="560"/>
        <w:rPr>
          <w:rFonts w:hint="default" w:ascii="Times New Roman" w:hAnsi="Times New Roman" w:cs="Times New Roman"/>
          <w:color w:val="auto"/>
        </w:rPr>
      </w:pPr>
      <w:r>
        <w:rPr>
          <w:rFonts w:hint="default" w:ascii="Times New Roman" w:hAnsi="Times New Roman" w:cs="Times New Roman"/>
          <w:color w:val="auto"/>
        </w:rPr>
        <w:t>（2）设计暴雨</w:t>
      </w:r>
    </w:p>
    <w:p w14:paraId="7CE41011">
      <w:pPr>
        <w:ind w:firstLine="560"/>
        <w:rPr>
          <w:rFonts w:hint="default" w:ascii="Times New Roman" w:hAnsi="Times New Roman" w:cs="Times New Roman"/>
          <w:color w:val="auto"/>
        </w:rPr>
      </w:pPr>
      <w:r>
        <w:rPr>
          <w:rFonts w:hint="default" w:ascii="Times New Roman" w:hAnsi="Times New Roman" w:cs="Times New Roman"/>
          <w:color w:val="auto"/>
        </w:rPr>
        <w:t>根据《四川省暴雨参数图集》（2010版）和设计流域重心位置查算各时段暴雨等值线图，得流域重心处暴雨特征参数</w:t>
      </w:r>
      <w:r>
        <w:rPr>
          <w:rFonts w:hint="eastAsia" w:cs="Times New Roman"/>
          <w:color w:val="auto"/>
          <w:lang w:eastAsia="zh-CN"/>
        </w:rPr>
        <w:t>，</w:t>
      </w:r>
      <w:r>
        <w:rPr>
          <w:rFonts w:hint="eastAsia" w:cs="Times New Roman"/>
          <w:color w:val="auto"/>
          <w:lang w:val="en-US" w:eastAsia="zh-CN"/>
        </w:rPr>
        <w:t>并参考</w:t>
      </w:r>
      <w:r>
        <w:rPr>
          <w:rFonts w:hint="default" w:ascii="Times New Roman" w:hAnsi="Times New Roman" w:cs="Times New Roman"/>
          <w:color w:val="auto"/>
          <w:lang w:val="en-US" w:eastAsia="zh-CN"/>
        </w:rPr>
        <w:t>《盐边县红格水库工程初步设计报告》（报批稿）</w:t>
      </w:r>
      <w:r>
        <w:rPr>
          <w:rFonts w:hint="default" w:ascii="Times New Roman" w:hAnsi="Times New Roman" w:cs="Times New Roman"/>
          <w:color w:val="auto"/>
        </w:rPr>
        <w:t>，其成果见表4.2-4。根据《暴雨洪水计算手册》要求，本次对于面积大于25km²的设计暴雨进行了点面折减。</w:t>
      </w:r>
    </w:p>
    <w:p w14:paraId="476925E4">
      <w:pPr>
        <w:pStyle w:val="2"/>
        <w:rPr>
          <w:rFonts w:hint="default"/>
          <w:color w:val="auto"/>
        </w:rPr>
      </w:pPr>
    </w:p>
    <w:p w14:paraId="544D2FA5">
      <w:pPr>
        <w:pStyle w:val="36"/>
        <w:spacing w:before="156" w:after="156"/>
        <w:rPr>
          <w:rFonts w:hint="default" w:ascii="Times New Roman" w:hAnsi="Times New Roman" w:cs="Times New Roman"/>
          <w:color w:val="auto"/>
        </w:rPr>
      </w:pPr>
      <w:r>
        <w:rPr>
          <w:rFonts w:hint="default" w:ascii="Times New Roman" w:hAnsi="Times New Roman" w:cs="Times New Roman"/>
          <w:color w:val="auto"/>
        </w:rPr>
        <w:t>表4.2-4 设计暴雨统计参数成果表</w:t>
      </w:r>
    </w:p>
    <w:tbl>
      <w:tblPr>
        <w:tblStyle w:val="29"/>
        <w:tblW w:w="49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2125"/>
        <w:gridCol w:w="2125"/>
        <w:gridCol w:w="2126"/>
      </w:tblGrid>
      <w:tr w14:paraId="1AFD9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1248" w:type="pct"/>
            <w:vMerge w:val="restart"/>
            <w:vAlign w:val="center"/>
          </w:tcPr>
          <w:p w14:paraId="47E9C66D">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rPr>
            </w:pPr>
            <w:r>
              <w:rPr>
                <w:rFonts w:hint="default" w:ascii="Times New Roman" w:hAnsi="Times New Roman" w:cs="Times New Roman"/>
                <w:color w:val="auto"/>
              </w:rPr>
              <w:t>时段</w:t>
            </w:r>
          </w:p>
        </w:tc>
        <w:tc>
          <w:tcPr>
            <w:tcW w:w="1250" w:type="pct"/>
            <w:vMerge w:val="restart"/>
            <w:vAlign w:val="center"/>
          </w:tcPr>
          <w:p w14:paraId="672857F6">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rPr>
            </w:pPr>
            <w:r>
              <w:rPr>
                <w:rFonts w:hint="default" w:ascii="Times New Roman" w:hAnsi="Times New Roman" w:cs="Times New Roman"/>
                <w:color w:val="auto"/>
              </w:rPr>
              <w:t>均值</w:t>
            </w:r>
            <w:r>
              <w:rPr>
                <w:rFonts w:hint="eastAsia" w:cs="Times New Roman"/>
                <w:color w:val="auto"/>
                <w:lang w:eastAsia="zh-CN"/>
              </w:rPr>
              <w:t>（</w:t>
            </w:r>
            <w:r>
              <w:rPr>
                <w:rFonts w:hint="default" w:ascii="Times New Roman" w:hAnsi="Times New Roman" w:cs="Times New Roman"/>
                <w:color w:val="auto"/>
              </w:rPr>
              <w:t>mm</w:t>
            </w:r>
            <w:r>
              <w:rPr>
                <w:rFonts w:hint="eastAsia" w:cs="Times New Roman"/>
                <w:color w:val="auto"/>
                <w:lang w:eastAsia="zh-CN"/>
              </w:rPr>
              <w:t>）</w:t>
            </w:r>
          </w:p>
        </w:tc>
        <w:tc>
          <w:tcPr>
            <w:tcW w:w="1250" w:type="pct"/>
            <w:vMerge w:val="restart"/>
            <w:vAlign w:val="center"/>
          </w:tcPr>
          <w:p w14:paraId="24B2DC41">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rPr>
            </w:pPr>
            <w:r>
              <w:rPr>
                <w:rFonts w:hint="default" w:ascii="Times New Roman" w:hAnsi="Times New Roman" w:cs="Times New Roman"/>
                <w:color w:val="auto"/>
              </w:rPr>
              <w:t>Cv</w:t>
            </w:r>
          </w:p>
        </w:tc>
        <w:tc>
          <w:tcPr>
            <w:tcW w:w="1250" w:type="pct"/>
            <w:vMerge w:val="restart"/>
            <w:vAlign w:val="center"/>
          </w:tcPr>
          <w:p w14:paraId="117E39C5">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rPr>
            </w:pPr>
            <w:r>
              <w:rPr>
                <w:rFonts w:hint="default" w:ascii="Times New Roman" w:hAnsi="Times New Roman" w:cs="Times New Roman"/>
                <w:color w:val="auto"/>
              </w:rPr>
              <w:t>Cs/Cv</w:t>
            </w:r>
          </w:p>
        </w:tc>
      </w:tr>
      <w:tr w14:paraId="7987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248" w:type="pct"/>
            <w:vMerge w:val="continue"/>
            <w:vAlign w:val="center"/>
          </w:tcPr>
          <w:p w14:paraId="0C0F5801">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rPr>
            </w:pPr>
          </w:p>
        </w:tc>
        <w:tc>
          <w:tcPr>
            <w:tcW w:w="1250" w:type="pct"/>
            <w:vMerge w:val="continue"/>
            <w:vAlign w:val="center"/>
          </w:tcPr>
          <w:p w14:paraId="2A9BB684">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rPr>
            </w:pPr>
          </w:p>
        </w:tc>
        <w:tc>
          <w:tcPr>
            <w:tcW w:w="1250" w:type="pct"/>
            <w:vMerge w:val="continue"/>
            <w:vAlign w:val="center"/>
          </w:tcPr>
          <w:p w14:paraId="5B2BB588">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rPr>
            </w:pPr>
          </w:p>
        </w:tc>
        <w:tc>
          <w:tcPr>
            <w:tcW w:w="1250" w:type="pct"/>
            <w:vMerge w:val="continue"/>
            <w:vAlign w:val="center"/>
          </w:tcPr>
          <w:p w14:paraId="24293E1A">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rPr>
            </w:pPr>
          </w:p>
        </w:tc>
      </w:tr>
      <w:tr w14:paraId="113A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48" w:type="pct"/>
            <w:vAlign w:val="center"/>
          </w:tcPr>
          <w:p w14:paraId="7F520A47">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rPr>
            </w:pPr>
            <w:r>
              <w:rPr>
                <w:rFonts w:hint="eastAsia" w:cs="Times New Roman"/>
                <w:color w:val="auto"/>
                <w:lang w:eastAsia="zh-CN"/>
              </w:rPr>
              <w:t>1.</w:t>
            </w:r>
            <w:r>
              <w:rPr>
                <w:rFonts w:hint="default" w:ascii="Times New Roman" w:hAnsi="Times New Roman" w:cs="Times New Roman"/>
                <w:color w:val="auto"/>
              </w:rPr>
              <w:t>6小时</w:t>
            </w:r>
          </w:p>
        </w:tc>
        <w:tc>
          <w:tcPr>
            <w:tcW w:w="1250" w:type="pct"/>
            <w:vAlign w:val="center"/>
          </w:tcPr>
          <w:p w14:paraId="4D843827">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szCs w:val="22"/>
              </w:rPr>
            </w:pPr>
            <w:r>
              <w:rPr>
                <w:rFonts w:hint="default" w:ascii="Times New Roman" w:hAnsi="Times New Roman" w:eastAsia="等线" w:cs="Times New Roman"/>
                <w:color w:val="auto"/>
                <w:szCs w:val="21"/>
              </w:rPr>
              <w:t>16</w:t>
            </w:r>
          </w:p>
        </w:tc>
        <w:tc>
          <w:tcPr>
            <w:tcW w:w="1250" w:type="pct"/>
            <w:vAlign w:val="center"/>
          </w:tcPr>
          <w:p w14:paraId="1271D43C">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szCs w:val="22"/>
              </w:rPr>
            </w:pPr>
            <w:r>
              <w:rPr>
                <w:rFonts w:hint="default" w:ascii="Times New Roman" w:hAnsi="Times New Roman" w:eastAsia="等线" w:cs="Times New Roman"/>
                <w:color w:val="auto"/>
                <w:szCs w:val="21"/>
              </w:rPr>
              <w:t>0.35</w:t>
            </w:r>
          </w:p>
        </w:tc>
        <w:tc>
          <w:tcPr>
            <w:tcW w:w="1250" w:type="pct"/>
            <w:vAlign w:val="center"/>
          </w:tcPr>
          <w:p w14:paraId="14CC6F96">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szCs w:val="22"/>
              </w:rPr>
            </w:pPr>
            <w:r>
              <w:rPr>
                <w:rFonts w:hint="default" w:ascii="Times New Roman" w:hAnsi="Times New Roman" w:eastAsia="等线" w:cs="Times New Roman"/>
                <w:color w:val="auto"/>
                <w:szCs w:val="21"/>
              </w:rPr>
              <w:t>3.5</w:t>
            </w:r>
          </w:p>
        </w:tc>
      </w:tr>
      <w:tr w14:paraId="563E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48" w:type="pct"/>
            <w:vAlign w:val="center"/>
          </w:tcPr>
          <w:p w14:paraId="227313F6">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rPr>
            </w:pPr>
            <w:r>
              <w:rPr>
                <w:rFonts w:hint="default" w:ascii="Times New Roman" w:hAnsi="Times New Roman" w:cs="Times New Roman"/>
                <w:color w:val="auto"/>
              </w:rPr>
              <w:t>1小时</w:t>
            </w:r>
          </w:p>
        </w:tc>
        <w:tc>
          <w:tcPr>
            <w:tcW w:w="1250" w:type="pct"/>
            <w:vAlign w:val="center"/>
          </w:tcPr>
          <w:p w14:paraId="5B367332">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szCs w:val="22"/>
              </w:rPr>
            </w:pPr>
            <w:r>
              <w:rPr>
                <w:rFonts w:hint="default" w:ascii="Times New Roman" w:hAnsi="Times New Roman" w:eastAsia="等线" w:cs="Times New Roman"/>
                <w:color w:val="auto"/>
                <w:szCs w:val="21"/>
              </w:rPr>
              <w:t>40</w:t>
            </w:r>
          </w:p>
        </w:tc>
        <w:tc>
          <w:tcPr>
            <w:tcW w:w="1250" w:type="pct"/>
            <w:vAlign w:val="center"/>
          </w:tcPr>
          <w:p w14:paraId="37A45479">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szCs w:val="22"/>
              </w:rPr>
            </w:pPr>
            <w:r>
              <w:rPr>
                <w:rFonts w:hint="default" w:ascii="Times New Roman" w:hAnsi="Times New Roman" w:eastAsia="等线" w:cs="Times New Roman"/>
                <w:color w:val="auto"/>
                <w:szCs w:val="21"/>
              </w:rPr>
              <w:t>0.4</w:t>
            </w:r>
          </w:p>
        </w:tc>
        <w:tc>
          <w:tcPr>
            <w:tcW w:w="1250" w:type="pct"/>
            <w:vAlign w:val="center"/>
          </w:tcPr>
          <w:p w14:paraId="76FC055A">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szCs w:val="22"/>
              </w:rPr>
            </w:pPr>
            <w:r>
              <w:rPr>
                <w:rFonts w:hint="default" w:ascii="Times New Roman" w:hAnsi="Times New Roman" w:eastAsia="等线" w:cs="Times New Roman"/>
                <w:color w:val="auto"/>
                <w:szCs w:val="21"/>
              </w:rPr>
              <w:t>3.5</w:t>
            </w:r>
          </w:p>
        </w:tc>
      </w:tr>
      <w:tr w14:paraId="09BD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48" w:type="pct"/>
            <w:vAlign w:val="center"/>
          </w:tcPr>
          <w:p w14:paraId="3FEB3037">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rPr>
            </w:pPr>
            <w:r>
              <w:rPr>
                <w:rFonts w:hint="default" w:ascii="Times New Roman" w:hAnsi="Times New Roman" w:cs="Times New Roman"/>
                <w:color w:val="auto"/>
              </w:rPr>
              <w:t>6小时</w:t>
            </w:r>
          </w:p>
        </w:tc>
        <w:tc>
          <w:tcPr>
            <w:tcW w:w="1250" w:type="pct"/>
            <w:vAlign w:val="center"/>
          </w:tcPr>
          <w:p w14:paraId="16BB6BFF">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eastAsia" w:ascii="Times New Roman" w:hAnsi="Times New Roman" w:eastAsia="等线" w:cs="Times New Roman"/>
                <w:color w:val="auto"/>
                <w:szCs w:val="22"/>
                <w:lang w:eastAsia="zh-CN"/>
              </w:rPr>
            </w:pPr>
            <w:r>
              <w:rPr>
                <w:rFonts w:hint="default" w:ascii="Times New Roman" w:hAnsi="Times New Roman" w:eastAsia="等线" w:cs="Times New Roman"/>
                <w:color w:val="auto"/>
                <w:szCs w:val="21"/>
              </w:rPr>
              <w:t>6</w:t>
            </w:r>
            <w:r>
              <w:rPr>
                <w:rFonts w:hint="eastAsia" w:eastAsia="等线" w:cs="Times New Roman"/>
                <w:color w:val="auto"/>
                <w:szCs w:val="21"/>
                <w:lang w:val="en-US" w:eastAsia="zh-CN"/>
              </w:rPr>
              <w:t>5</w:t>
            </w:r>
          </w:p>
        </w:tc>
        <w:tc>
          <w:tcPr>
            <w:tcW w:w="1250" w:type="pct"/>
            <w:vAlign w:val="center"/>
          </w:tcPr>
          <w:p w14:paraId="6D2BA45B">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szCs w:val="22"/>
              </w:rPr>
            </w:pPr>
            <w:r>
              <w:rPr>
                <w:rFonts w:hint="default" w:ascii="Times New Roman" w:hAnsi="Times New Roman" w:eastAsia="等线" w:cs="Times New Roman"/>
                <w:color w:val="auto"/>
                <w:szCs w:val="21"/>
              </w:rPr>
              <w:t>0.43</w:t>
            </w:r>
          </w:p>
        </w:tc>
        <w:tc>
          <w:tcPr>
            <w:tcW w:w="1250" w:type="pct"/>
            <w:vAlign w:val="center"/>
          </w:tcPr>
          <w:p w14:paraId="79AE94A0">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szCs w:val="22"/>
              </w:rPr>
            </w:pPr>
            <w:r>
              <w:rPr>
                <w:rFonts w:hint="default" w:ascii="Times New Roman" w:hAnsi="Times New Roman" w:eastAsia="等线" w:cs="Times New Roman"/>
                <w:color w:val="auto"/>
                <w:szCs w:val="21"/>
              </w:rPr>
              <w:t>3.5</w:t>
            </w:r>
          </w:p>
        </w:tc>
      </w:tr>
      <w:tr w14:paraId="5395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48" w:type="pct"/>
            <w:vAlign w:val="center"/>
          </w:tcPr>
          <w:p w14:paraId="02DFB07D">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rPr>
            </w:pPr>
            <w:r>
              <w:rPr>
                <w:rFonts w:hint="default" w:ascii="Times New Roman" w:hAnsi="Times New Roman" w:cs="Times New Roman"/>
                <w:color w:val="auto"/>
              </w:rPr>
              <w:t>24小时</w:t>
            </w:r>
          </w:p>
        </w:tc>
        <w:tc>
          <w:tcPr>
            <w:tcW w:w="1250" w:type="pct"/>
            <w:vAlign w:val="center"/>
          </w:tcPr>
          <w:p w14:paraId="562E4E8A">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eastAsia" w:ascii="Times New Roman" w:hAnsi="Times New Roman" w:eastAsia="等线" w:cs="Times New Roman"/>
                <w:color w:val="auto"/>
                <w:szCs w:val="22"/>
                <w:lang w:eastAsia="zh-CN"/>
              </w:rPr>
            </w:pPr>
            <w:r>
              <w:rPr>
                <w:rFonts w:hint="default" w:ascii="Times New Roman" w:hAnsi="Times New Roman" w:eastAsia="等线" w:cs="Times New Roman"/>
                <w:color w:val="auto"/>
                <w:szCs w:val="21"/>
              </w:rPr>
              <w:t>8</w:t>
            </w:r>
            <w:r>
              <w:rPr>
                <w:rFonts w:hint="eastAsia" w:eastAsia="等线" w:cs="Times New Roman"/>
                <w:color w:val="auto"/>
                <w:szCs w:val="21"/>
                <w:lang w:val="en-US" w:eastAsia="zh-CN"/>
              </w:rPr>
              <w:t>9</w:t>
            </w:r>
          </w:p>
        </w:tc>
        <w:tc>
          <w:tcPr>
            <w:tcW w:w="1250" w:type="pct"/>
            <w:vAlign w:val="center"/>
          </w:tcPr>
          <w:p w14:paraId="3AD309B0">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szCs w:val="22"/>
              </w:rPr>
            </w:pPr>
            <w:r>
              <w:rPr>
                <w:rFonts w:hint="default" w:ascii="Times New Roman" w:hAnsi="Times New Roman" w:eastAsia="等线" w:cs="Times New Roman"/>
                <w:color w:val="auto"/>
                <w:szCs w:val="21"/>
              </w:rPr>
              <w:t>0.4</w:t>
            </w:r>
          </w:p>
        </w:tc>
        <w:tc>
          <w:tcPr>
            <w:tcW w:w="1250" w:type="pct"/>
            <w:vAlign w:val="center"/>
          </w:tcPr>
          <w:p w14:paraId="6D014358">
            <w:pPr>
              <w:pStyle w:val="39"/>
              <w:keepNext w:val="0"/>
              <w:keepLines w:val="0"/>
              <w:pageBreakBefore w:val="0"/>
              <w:widowControl/>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szCs w:val="22"/>
              </w:rPr>
            </w:pPr>
            <w:r>
              <w:rPr>
                <w:rFonts w:hint="default" w:ascii="Times New Roman" w:hAnsi="Times New Roman" w:eastAsia="等线" w:cs="Times New Roman"/>
                <w:color w:val="auto"/>
                <w:szCs w:val="21"/>
              </w:rPr>
              <w:t>3.5</w:t>
            </w:r>
          </w:p>
        </w:tc>
      </w:tr>
    </w:tbl>
    <w:p w14:paraId="5EDDB134">
      <w:pPr>
        <w:spacing w:before="120" w:after="120"/>
        <w:ind w:firstLine="560"/>
        <w:rPr>
          <w:rFonts w:hint="default" w:ascii="Times New Roman" w:hAnsi="Times New Roman" w:cs="Times New Roman"/>
          <w:color w:val="auto"/>
        </w:rPr>
      </w:pPr>
      <w:r>
        <w:rPr>
          <w:rFonts w:hint="default" w:ascii="Times New Roman" w:hAnsi="Times New Roman" w:cs="Times New Roman"/>
          <w:color w:val="auto"/>
        </w:rPr>
        <w:t>根据《四川省中小流域暴雨洪水计算手册》，对面积大于25km²的断面均进行了点面折减。设计流域属Ⅴ2德昌以下区，6h、24h暴雨点面折减上限面积分别为100km²、1</w:t>
      </w:r>
      <w:r>
        <w:rPr>
          <w:rFonts w:hint="eastAsia" w:cs="Times New Roman"/>
          <w:color w:val="auto"/>
          <w:lang w:val="en-US" w:eastAsia="zh-CN"/>
        </w:rPr>
        <w:t>7</w:t>
      </w:r>
      <w:r>
        <w:rPr>
          <w:rFonts w:hint="default" w:ascii="Times New Roman" w:hAnsi="Times New Roman" w:cs="Times New Roman"/>
          <w:color w:val="auto"/>
        </w:rPr>
        <w:t>0km²。本次对流域面积大于点面折减上限面积的断面进行了修正。</w:t>
      </w:r>
    </w:p>
    <w:p w14:paraId="075976A0">
      <w:pPr>
        <w:spacing w:before="156" w:beforeLines="50" w:after="156" w:afterLines="50"/>
        <w:ind w:firstLine="560"/>
        <w:jc w:val="center"/>
        <w:rPr>
          <w:rFonts w:hint="default" w:ascii="Times New Roman" w:hAnsi="Times New Roman" w:eastAsia="黑体" w:cs="Times New Roman"/>
          <w:bCs/>
          <w:color w:val="auto"/>
          <w:szCs w:val="32"/>
        </w:rPr>
      </w:pPr>
      <w:r>
        <w:rPr>
          <w:rFonts w:hint="default" w:ascii="Times New Roman" w:hAnsi="Times New Roman" w:eastAsia="黑体" w:cs="Times New Roman"/>
          <w:bCs/>
          <w:color w:val="auto"/>
          <w:szCs w:val="32"/>
        </w:rPr>
        <w:t>表4.2-5 点面折减系数</w:t>
      </w:r>
    </w:p>
    <w:tbl>
      <w:tblPr>
        <w:tblStyle w:val="29"/>
        <w:tblW w:w="5021" w:type="pct"/>
        <w:tblInd w:w="0" w:type="dxa"/>
        <w:tblLayout w:type="autofit"/>
        <w:tblCellMar>
          <w:top w:w="0" w:type="dxa"/>
          <w:left w:w="108" w:type="dxa"/>
          <w:bottom w:w="0" w:type="dxa"/>
          <w:right w:w="108" w:type="dxa"/>
        </w:tblCellMar>
      </w:tblPr>
      <w:tblGrid>
        <w:gridCol w:w="2132"/>
        <w:gridCol w:w="2142"/>
        <w:gridCol w:w="2142"/>
        <w:gridCol w:w="2142"/>
      </w:tblGrid>
      <w:tr w14:paraId="1C468D26">
        <w:tblPrEx>
          <w:tblCellMar>
            <w:top w:w="0" w:type="dxa"/>
            <w:left w:w="108" w:type="dxa"/>
            <w:bottom w:w="0" w:type="dxa"/>
            <w:right w:w="108" w:type="dxa"/>
          </w:tblCellMar>
        </w:tblPrEx>
        <w:trPr>
          <w:trHeight w:val="495" w:hRule="atLeast"/>
        </w:trPr>
        <w:tc>
          <w:tcPr>
            <w:tcW w:w="1246" w:type="pct"/>
            <w:tcBorders>
              <w:top w:val="single" w:color="auto" w:sz="4" w:space="0"/>
              <w:left w:val="single" w:color="auto" w:sz="4" w:space="0"/>
              <w:bottom w:val="single" w:color="auto" w:sz="4" w:space="0"/>
              <w:right w:val="single" w:color="auto" w:sz="4" w:space="0"/>
              <w:tl2br w:val="single" w:color="auto" w:sz="4" w:space="0"/>
            </w:tcBorders>
            <w:noWrap/>
            <w:vAlign w:val="center"/>
          </w:tcPr>
          <w:p w14:paraId="29EB23DC">
            <w:pPr>
              <w:widowControl/>
              <w:spacing w:line="240" w:lineRule="auto"/>
              <w:ind w:firstLine="0" w:firstLineChars="0"/>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40"/>
                <w:szCs w:val="40"/>
                <w:vertAlign w:val="subscript"/>
              </w:rPr>
              <w:t xml:space="preserve">历时     </w:t>
            </w:r>
            <w:r>
              <w:rPr>
                <w:rFonts w:hint="default" w:ascii="Times New Roman" w:hAnsi="Times New Roman" w:cs="Times New Roman"/>
                <w:color w:val="auto"/>
                <w:kern w:val="0"/>
                <w:sz w:val="22"/>
                <w:szCs w:val="22"/>
                <w:vertAlign w:val="subscript"/>
              </w:rPr>
              <w:t xml:space="preserve"> </w:t>
            </w:r>
            <w:r>
              <w:rPr>
                <w:rFonts w:hint="default" w:ascii="Times New Roman" w:hAnsi="Times New Roman" w:cs="Times New Roman"/>
                <w:color w:val="auto"/>
                <w:kern w:val="0"/>
                <w:sz w:val="40"/>
                <w:szCs w:val="40"/>
                <w:vertAlign w:val="superscript"/>
              </w:rPr>
              <w:t>面积</w:t>
            </w:r>
          </w:p>
        </w:tc>
        <w:tc>
          <w:tcPr>
            <w:tcW w:w="1251" w:type="pct"/>
            <w:tcBorders>
              <w:top w:val="single" w:color="auto" w:sz="4" w:space="0"/>
              <w:left w:val="nil"/>
              <w:bottom w:val="single" w:color="auto" w:sz="4" w:space="0"/>
              <w:right w:val="single" w:color="auto" w:sz="4" w:space="0"/>
            </w:tcBorders>
            <w:noWrap/>
            <w:vAlign w:val="center"/>
          </w:tcPr>
          <w:p w14:paraId="35932DD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rPr>
            </w:pPr>
            <w:r>
              <w:rPr>
                <w:rFonts w:hint="default" w:ascii="Times New Roman" w:hAnsi="Times New Roman" w:cs="Times New Roman"/>
                <w:color w:val="auto"/>
                <w:kern w:val="0"/>
                <w:sz w:val="21"/>
              </w:rPr>
              <w:t>25</w:t>
            </w:r>
            <w:r>
              <w:rPr>
                <w:rFonts w:hint="default" w:ascii="Times New Roman" w:hAnsi="Times New Roman" w:cs="Times New Roman"/>
                <w:color w:val="auto"/>
                <w:sz w:val="21"/>
              </w:rPr>
              <w:t>km²</w:t>
            </w:r>
          </w:p>
        </w:tc>
        <w:tc>
          <w:tcPr>
            <w:tcW w:w="1251" w:type="pct"/>
            <w:tcBorders>
              <w:top w:val="single" w:color="auto" w:sz="4" w:space="0"/>
              <w:left w:val="nil"/>
              <w:bottom w:val="single" w:color="auto" w:sz="4" w:space="0"/>
              <w:right w:val="single" w:color="auto" w:sz="4" w:space="0"/>
            </w:tcBorders>
            <w:noWrap/>
            <w:vAlign w:val="center"/>
          </w:tcPr>
          <w:p w14:paraId="4CA210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rPr>
            </w:pPr>
            <w:r>
              <w:rPr>
                <w:rFonts w:hint="default" w:ascii="Times New Roman" w:hAnsi="Times New Roman" w:cs="Times New Roman"/>
                <w:color w:val="auto"/>
                <w:kern w:val="0"/>
                <w:sz w:val="21"/>
              </w:rPr>
              <w:t>100</w:t>
            </w:r>
            <w:r>
              <w:rPr>
                <w:rFonts w:hint="default" w:ascii="Times New Roman" w:hAnsi="Times New Roman" w:cs="Times New Roman"/>
                <w:color w:val="auto"/>
                <w:sz w:val="21"/>
              </w:rPr>
              <w:t>km²</w:t>
            </w:r>
          </w:p>
        </w:tc>
        <w:tc>
          <w:tcPr>
            <w:tcW w:w="1251" w:type="pct"/>
            <w:tcBorders>
              <w:top w:val="single" w:color="auto" w:sz="4" w:space="0"/>
              <w:left w:val="nil"/>
              <w:bottom w:val="single" w:color="auto" w:sz="4" w:space="0"/>
              <w:right w:val="single" w:color="auto" w:sz="4" w:space="0"/>
            </w:tcBorders>
            <w:noWrap/>
            <w:vAlign w:val="center"/>
          </w:tcPr>
          <w:p w14:paraId="4B6EEC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rPr>
            </w:pPr>
            <w:r>
              <w:rPr>
                <w:rFonts w:hint="default" w:ascii="Times New Roman" w:hAnsi="Times New Roman" w:cs="Times New Roman"/>
                <w:color w:val="auto"/>
                <w:kern w:val="0"/>
                <w:sz w:val="21"/>
              </w:rPr>
              <w:t>300</w:t>
            </w:r>
            <w:r>
              <w:rPr>
                <w:rFonts w:hint="default" w:ascii="Times New Roman" w:hAnsi="Times New Roman" w:cs="Times New Roman"/>
                <w:color w:val="auto"/>
                <w:sz w:val="21"/>
              </w:rPr>
              <w:t>km²</w:t>
            </w:r>
          </w:p>
        </w:tc>
      </w:tr>
      <w:tr w14:paraId="1FF5AFAB">
        <w:tblPrEx>
          <w:tblCellMar>
            <w:top w:w="0" w:type="dxa"/>
            <w:left w:w="108" w:type="dxa"/>
            <w:bottom w:w="0" w:type="dxa"/>
            <w:right w:w="108" w:type="dxa"/>
          </w:tblCellMar>
        </w:tblPrEx>
        <w:trPr>
          <w:trHeight w:val="361" w:hRule="atLeast"/>
        </w:trPr>
        <w:tc>
          <w:tcPr>
            <w:tcW w:w="1246" w:type="pct"/>
            <w:tcBorders>
              <w:top w:val="nil"/>
              <w:left w:val="single" w:color="auto" w:sz="4" w:space="0"/>
              <w:bottom w:val="single" w:color="auto" w:sz="4" w:space="0"/>
              <w:right w:val="single" w:color="auto" w:sz="4" w:space="0"/>
            </w:tcBorders>
            <w:noWrap/>
            <w:vAlign w:val="center"/>
          </w:tcPr>
          <w:p w14:paraId="21D9B5D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Cs/>
                <w:color w:val="auto"/>
                <w:sz w:val="21"/>
                <w:szCs w:val="22"/>
              </w:rPr>
            </w:pPr>
            <w:r>
              <w:rPr>
                <w:rFonts w:hint="default" w:ascii="Times New Roman" w:hAnsi="Times New Roman" w:cs="Times New Roman"/>
                <w:iCs/>
                <w:color w:val="auto"/>
                <w:sz w:val="21"/>
                <w:szCs w:val="22"/>
              </w:rPr>
              <w:t>6小时</w:t>
            </w:r>
          </w:p>
        </w:tc>
        <w:tc>
          <w:tcPr>
            <w:tcW w:w="1251" w:type="pct"/>
            <w:tcBorders>
              <w:top w:val="nil"/>
              <w:left w:val="nil"/>
              <w:bottom w:val="single" w:color="auto" w:sz="4" w:space="0"/>
              <w:right w:val="single" w:color="auto" w:sz="4" w:space="0"/>
            </w:tcBorders>
            <w:noWrap/>
            <w:vAlign w:val="center"/>
          </w:tcPr>
          <w:p w14:paraId="1D49B6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Cs/>
                <w:color w:val="auto"/>
                <w:sz w:val="21"/>
                <w:szCs w:val="22"/>
              </w:rPr>
            </w:pPr>
            <w:r>
              <w:rPr>
                <w:rFonts w:hint="default" w:ascii="Times New Roman" w:hAnsi="Times New Roman" w:cs="Times New Roman"/>
                <w:iCs/>
                <w:color w:val="auto"/>
                <w:sz w:val="21"/>
                <w:szCs w:val="22"/>
              </w:rPr>
              <w:t>1</w:t>
            </w:r>
          </w:p>
        </w:tc>
        <w:tc>
          <w:tcPr>
            <w:tcW w:w="1251" w:type="pct"/>
            <w:tcBorders>
              <w:top w:val="nil"/>
              <w:left w:val="nil"/>
              <w:bottom w:val="single" w:color="auto" w:sz="4" w:space="0"/>
              <w:right w:val="single" w:color="auto" w:sz="4" w:space="0"/>
            </w:tcBorders>
            <w:noWrap/>
            <w:vAlign w:val="center"/>
          </w:tcPr>
          <w:p w14:paraId="232EC3D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Cs/>
                <w:color w:val="auto"/>
                <w:sz w:val="21"/>
                <w:szCs w:val="22"/>
              </w:rPr>
            </w:pPr>
            <w:r>
              <w:rPr>
                <w:rFonts w:hint="default" w:ascii="Times New Roman" w:hAnsi="Times New Roman" w:cs="Times New Roman"/>
                <w:iCs/>
                <w:color w:val="auto"/>
                <w:sz w:val="21"/>
                <w:szCs w:val="22"/>
                <w:lang w:bidi="ar"/>
              </w:rPr>
              <w:t>0.938</w:t>
            </w:r>
          </w:p>
        </w:tc>
        <w:tc>
          <w:tcPr>
            <w:tcW w:w="1251" w:type="pct"/>
            <w:tcBorders>
              <w:top w:val="nil"/>
              <w:left w:val="nil"/>
              <w:bottom w:val="single" w:color="auto" w:sz="4" w:space="0"/>
              <w:right w:val="single" w:color="auto" w:sz="4" w:space="0"/>
            </w:tcBorders>
            <w:noWrap/>
            <w:vAlign w:val="center"/>
          </w:tcPr>
          <w:p w14:paraId="165F89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Cs/>
                <w:color w:val="auto"/>
                <w:sz w:val="21"/>
                <w:szCs w:val="22"/>
              </w:rPr>
            </w:pPr>
            <w:r>
              <w:rPr>
                <w:rFonts w:hint="default" w:ascii="Times New Roman" w:hAnsi="Times New Roman" w:cs="Times New Roman"/>
                <w:iCs/>
                <w:color w:val="auto"/>
                <w:sz w:val="21"/>
                <w:szCs w:val="22"/>
                <w:lang w:bidi="ar"/>
              </w:rPr>
              <w:t>0.813</w:t>
            </w:r>
          </w:p>
        </w:tc>
      </w:tr>
      <w:tr w14:paraId="5AFAE4C3">
        <w:tblPrEx>
          <w:tblCellMar>
            <w:top w:w="0" w:type="dxa"/>
            <w:left w:w="108" w:type="dxa"/>
            <w:bottom w:w="0" w:type="dxa"/>
            <w:right w:w="108" w:type="dxa"/>
          </w:tblCellMar>
        </w:tblPrEx>
        <w:trPr>
          <w:trHeight w:val="367" w:hRule="atLeast"/>
        </w:trPr>
        <w:tc>
          <w:tcPr>
            <w:tcW w:w="1246" w:type="pct"/>
            <w:tcBorders>
              <w:top w:val="nil"/>
              <w:left w:val="single" w:color="auto" w:sz="4" w:space="0"/>
              <w:bottom w:val="single" w:color="auto" w:sz="4" w:space="0"/>
              <w:right w:val="single" w:color="auto" w:sz="4" w:space="0"/>
            </w:tcBorders>
            <w:noWrap/>
            <w:vAlign w:val="center"/>
          </w:tcPr>
          <w:p w14:paraId="6C2231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Cs/>
                <w:color w:val="auto"/>
                <w:sz w:val="21"/>
                <w:szCs w:val="22"/>
              </w:rPr>
            </w:pPr>
            <w:r>
              <w:rPr>
                <w:rFonts w:hint="default" w:ascii="Times New Roman" w:hAnsi="Times New Roman" w:cs="Times New Roman"/>
                <w:iCs/>
                <w:color w:val="auto"/>
                <w:sz w:val="21"/>
                <w:szCs w:val="22"/>
              </w:rPr>
              <w:t>24小时</w:t>
            </w:r>
          </w:p>
        </w:tc>
        <w:tc>
          <w:tcPr>
            <w:tcW w:w="1251" w:type="pct"/>
            <w:tcBorders>
              <w:top w:val="nil"/>
              <w:left w:val="nil"/>
              <w:bottom w:val="single" w:color="auto" w:sz="4" w:space="0"/>
              <w:right w:val="single" w:color="auto" w:sz="4" w:space="0"/>
            </w:tcBorders>
            <w:noWrap/>
            <w:vAlign w:val="center"/>
          </w:tcPr>
          <w:p w14:paraId="250F76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Cs/>
                <w:color w:val="auto"/>
                <w:sz w:val="21"/>
                <w:szCs w:val="22"/>
              </w:rPr>
            </w:pPr>
            <w:r>
              <w:rPr>
                <w:rFonts w:hint="default" w:ascii="Times New Roman" w:hAnsi="Times New Roman" w:cs="Times New Roman"/>
                <w:iCs/>
                <w:color w:val="auto"/>
                <w:sz w:val="21"/>
                <w:szCs w:val="22"/>
              </w:rPr>
              <w:t>1</w:t>
            </w:r>
          </w:p>
        </w:tc>
        <w:tc>
          <w:tcPr>
            <w:tcW w:w="1251" w:type="pct"/>
            <w:tcBorders>
              <w:top w:val="nil"/>
              <w:left w:val="nil"/>
              <w:bottom w:val="single" w:color="auto" w:sz="4" w:space="0"/>
              <w:right w:val="single" w:color="auto" w:sz="4" w:space="0"/>
            </w:tcBorders>
            <w:noWrap/>
            <w:vAlign w:val="center"/>
          </w:tcPr>
          <w:p w14:paraId="5A6287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Cs/>
                <w:color w:val="auto"/>
                <w:sz w:val="21"/>
                <w:szCs w:val="22"/>
              </w:rPr>
            </w:pPr>
            <w:r>
              <w:rPr>
                <w:rFonts w:hint="default" w:ascii="Times New Roman" w:hAnsi="Times New Roman" w:cs="Times New Roman"/>
                <w:iCs/>
                <w:color w:val="auto"/>
                <w:sz w:val="21"/>
                <w:szCs w:val="22"/>
                <w:lang w:bidi="ar"/>
              </w:rPr>
              <w:t>0.962</w:t>
            </w:r>
          </w:p>
        </w:tc>
        <w:tc>
          <w:tcPr>
            <w:tcW w:w="1251" w:type="pct"/>
            <w:tcBorders>
              <w:top w:val="nil"/>
              <w:left w:val="nil"/>
              <w:bottom w:val="single" w:color="auto" w:sz="4" w:space="0"/>
              <w:right w:val="single" w:color="auto" w:sz="4" w:space="0"/>
            </w:tcBorders>
            <w:noWrap/>
            <w:vAlign w:val="center"/>
          </w:tcPr>
          <w:p w14:paraId="48278C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Cs/>
                <w:color w:val="auto"/>
                <w:sz w:val="21"/>
                <w:szCs w:val="22"/>
              </w:rPr>
            </w:pPr>
            <w:r>
              <w:rPr>
                <w:rFonts w:hint="default" w:ascii="Times New Roman" w:hAnsi="Times New Roman" w:cs="Times New Roman"/>
                <w:iCs/>
                <w:color w:val="auto"/>
                <w:sz w:val="21"/>
                <w:szCs w:val="22"/>
                <w:lang w:bidi="ar"/>
              </w:rPr>
              <w:t>0.875</w:t>
            </w:r>
          </w:p>
        </w:tc>
      </w:tr>
    </w:tbl>
    <w:p w14:paraId="4B479E61">
      <w:pPr>
        <w:ind w:firstLine="480"/>
        <w:rPr>
          <w:rFonts w:hint="default" w:ascii="Times New Roman" w:hAnsi="Times New Roman" w:cs="Times New Roman"/>
          <w:color w:val="auto"/>
          <w:sz w:val="24"/>
          <w:szCs w:val="24"/>
        </w:rPr>
      </w:pPr>
    </w:p>
    <w:p w14:paraId="44D80C00">
      <w:pPr>
        <w:ind w:firstLine="560"/>
        <w:rPr>
          <w:rFonts w:hint="default" w:ascii="Times New Roman" w:hAnsi="Times New Roman" w:cs="Times New Roman"/>
          <w:color w:val="auto"/>
        </w:rPr>
      </w:pPr>
      <w:r>
        <w:rPr>
          <w:rFonts w:hint="default" w:ascii="Times New Roman" w:hAnsi="Times New Roman" w:cs="Times New Roman"/>
          <w:color w:val="auto"/>
        </w:rPr>
        <w:t>在上表查出不同设计流域面积对应的6小时、24小时面折减系数α6、α24。按修正公式计算修正系数</w:t>
      </w:r>
      <w:r>
        <w:rPr>
          <w:rFonts w:hint="eastAsia" w:cs="Times New Roman"/>
          <w:color w:val="auto"/>
          <w:lang w:eastAsia="zh-CN"/>
        </w:rPr>
        <w:t>：</w:t>
      </w:r>
      <w:r>
        <w:rPr>
          <w:rFonts w:hint="default" w:ascii="Times New Roman" w:hAnsi="Times New Roman" w:cs="Times New Roman"/>
          <w:color w:val="auto"/>
        </w:rPr>
        <w:t xml:space="preserve"> </w:t>
      </w:r>
    </w:p>
    <w:p w14:paraId="0849B88F">
      <w:pPr>
        <w:ind w:firstLine="1920" w:firstLineChars="8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α</w:t>
      </w:r>
      <w:r>
        <w:rPr>
          <w:rFonts w:hint="default" w:ascii="Times New Roman" w:hAnsi="Times New Roman" w:cs="Times New Roman"/>
          <w:color w:val="auto"/>
          <w:sz w:val="24"/>
          <w:szCs w:val="24"/>
          <w:vertAlign w:val="subscript"/>
        </w:rPr>
        <w:t>6修正</w:t>
      </w:r>
      <w:r>
        <w:rPr>
          <w:rFonts w:hint="default" w:ascii="Times New Roman" w:hAnsi="Times New Roman" w:cs="Times New Roman"/>
          <w:color w:val="auto"/>
          <w:sz w:val="24"/>
          <w:szCs w:val="24"/>
        </w:rPr>
        <w:t>=K</w:t>
      </w:r>
      <w:r>
        <w:rPr>
          <w:rFonts w:hint="default" w:ascii="Times New Roman" w:hAnsi="Times New Roman" w:cs="Times New Roman"/>
          <w:color w:val="auto"/>
          <w:sz w:val="24"/>
          <w:szCs w:val="24"/>
          <w:vertAlign w:val="subscript"/>
        </w:rPr>
        <w:t>6</w:t>
      </w:r>
      <w:r>
        <w:rPr>
          <w:rFonts w:hint="default" w:ascii="Times New Roman" w:hAnsi="Times New Roman" w:cs="Times New Roman"/>
          <w:color w:val="auto"/>
          <w:sz w:val="24"/>
          <w:szCs w:val="24"/>
        </w:rPr>
        <w:t xml:space="preserve"> ▪α</w:t>
      </w:r>
      <w:r>
        <w:rPr>
          <w:rFonts w:hint="default" w:ascii="Times New Roman" w:hAnsi="Times New Roman" w:cs="Times New Roman"/>
          <w:color w:val="auto"/>
          <w:sz w:val="24"/>
          <w:szCs w:val="24"/>
          <w:vertAlign w:val="subscript"/>
        </w:rPr>
        <w:t>6</w:t>
      </w:r>
      <w:r>
        <w:rPr>
          <w:rFonts w:hint="default" w:ascii="Times New Roman" w:hAnsi="Times New Roman" w:cs="Times New Roman"/>
          <w:color w:val="auto"/>
          <w:sz w:val="24"/>
          <w:szCs w:val="24"/>
        </w:rPr>
        <w:t>=0.94α</w:t>
      </w:r>
      <w:r>
        <w:rPr>
          <w:rFonts w:hint="default" w:ascii="Times New Roman" w:hAnsi="Times New Roman" w:cs="Times New Roman"/>
          <w:color w:val="auto"/>
          <w:sz w:val="24"/>
          <w:szCs w:val="24"/>
          <w:vertAlign w:val="subscript"/>
        </w:rPr>
        <w:t>6</w:t>
      </w:r>
    </w:p>
    <w:p w14:paraId="3565EDCE">
      <w:pPr>
        <w:ind w:firstLine="1920" w:firstLineChars="8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α</w:t>
      </w:r>
      <w:r>
        <w:rPr>
          <w:rFonts w:hint="default" w:ascii="Times New Roman" w:hAnsi="Times New Roman" w:cs="Times New Roman"/>
          <w:color w:val="auto"/>
          <w:sz w:val="24"/>
          <w:szCs w:val="24"/>
          <w:vertAlign w:val="subscript"/>
        </w:rPr>
        <w:t>24修正</w:t>
      </w:r>
      <w:r>
        <w:rPr>
          <w:rFonts w:hint="default" w:ascii="Times New Roman" w:hAnsi="Times New Roman" w:cs="Times New Roman"/>
          <w:color w:val="auto"/>
          <w:sz w:val="24"/>
          <w:szCs w:val="24"/>
        </w:rPr>
        <w:t>=K</w:t>
      </w:r>
      <w:r>
        <w:rPr>
          <w:rFonts w:hint="default" w:ascii="Times New Roman" w:hAnsi="Times New Roman" w:cs="Times New Roman"/>
          <w:color w:val="auto"/>
          <w:sz w:val="24"/>
          <w:szCs w:val="24"/>
          <w:vertAlign w:val="subscript"/>
        </w:rPr>
        <w:t>24</w:t>
      </w:r>
      <w:r>
        <w:rPr>
          <w:rFonts w:hint="default" w:ascii="Times New Roman" w:hAnsi="Times New Roman" w:cs="Times New Roman"/>
          <w:color w:val="auto"/>
          <w:sz w:val="24"/>
          <w:szCs w:val="24"/>
        </w:rPr>
        <w:t xml:space="preserve"> ▪α</w:t>
      </w:r>
      <w:r>
        <w:rPr>
          <w:rFonts w:hint="default" w:ascii="Times New Roman" w:hAnsi="Times New Roman" w:cs="Times New Roman"/>
          <w:color w:val="auto"/>
          <w:sz w:val="24"/>
          <w:szCs w:val="24"/>
          <w:vertAlign w:val="subscript"/>
        </w:rPr>
        <w:t>24</w:t>
      </w:r>
      <w:r>
        <w:rPr>
          <w:rFonts w:hint="default" w:ascii="Times New Roman" w:hAnsi="Times New Roman" w:cs="Times New Roman"/>
          <w:color w:val="auto"/>
          <w:sz w:val="24"/>
          <w:szCs w:val="24"/>
        </w:rPr>
        <w:t>=0.94α</w:t>
      </w:r>
      <w:r>
        <w:rPr>
          <w:rFonts w:hint="default" w:ascii="Times New Roman" w:hAnsi="Times New Roman" w:cs="Times New Roman"/>
          <w:color w:val="auto"/>
          <w:sz w:val="24"/>
          <w:szCs w:val="24"/>
          <w:vertAlign w:val="subscript"/>
        </w:rPr>
        <w:t>6</w:t>
      </w:r>
    </w:p>
    <w:p w14:paraId="463F3D5F">
      <w:pPr>
        <w:ind w:firstLine="560"/>
        <w:rPr>
          <w:rFonts w:hint="default" w:ascii="Times New Roman" w:hAnsi="Times New Roman" w:cs="Times New Roman"/>
          <w:color w:val="auto"/>
          <w:szCs w:val="28"/>
        </w:rPr>
      </w:pPr>
      <w:r>
        <w:rPr>
          <w:rFonts w:hint="default" w:ascii="Times New Roman" w:hAnsi="Times New Roman" w:cs="Times New Roman"/>
          <w:color w:val="auto"/>
          <w:szCs w:val="28"/>
        </w:rPr>
        <w:t>式中：α</w:t>
      </w:r>
      <w:r>
        <w:rPr>
          <w:rFonts w:hint="default" w:ascii="Times New Roman" w:hAnsi="Times New Roman" w:cs="Times New Roman"/>
          <w:color w:val="auto"/>
          <w:szCs w:val="28"/>
          <w:vertAlign w:val="subscript"/>
        </w:rPr>
        <w:t>6修正</w:t>
      </w:r>
      <w:r>
        <w:rPr>
          <w:rFonts w:hint="default" w:ascii="Times New Roman" w:hAnsi="Times New Roman" w:cs="Times New Roman"/>
          <w:color w:val="auto"/>
          <w:szCs w:val="28"/>
        </w:rPr>
        <w:t>、α</w:t>
      </w:r>
      <w:r>
        <w:rPr>
          <w:rFonts w:hint="default" w:ascii="Times New Roman" w:hAnsi="Times New Roman" w:cs="Times New Roman"/>
          <w:color w:val="auto"/>
          <w:szCs w:val="28"/>
          <w:vertAlign w:val="subscript"/>
        </w:rPr>
        <w:t>24修正</w:t>
      </w:r>
      <w:r>
        <w:rPr>
          <w:rFonts w:hint="default" w:ascii="Times New Roman" w:hAnsi="Times New Roman" w:cs="Times New Roman"/>
          <w:color w:val="auto"/>
          <w:szCs w:val="28"/>
        </w:rPr>
        <w:t>——修正采用的6、24小时暴雨面折减系数；</w:t>
      </w:r>
    </w:p>
    <w:p w14:paraId="33FDDF31">
      <w:pPr>
        <w:ind w:firstLine="1400" w:firstLineChars="500"/>
        <w:rPr>
          <w:rFonts w:hint="default" w:ascii="Times New Roman" w:hAnsi="Times New Roman" w:cs="Times New Roman"/>
          <w:color w:val="auto"/>
          <w:szCs w:val="28"/>
        </w:rPr>
      </w:pPr>
      <w:r>
        <w:rPr>
          <w:rFonts w:hint="default" w:ascii="Times New Roman" w:hAnsi="Times New Roman" w:cs="Times New Roman"/>
          <w:color w:val="auto"/>
          <w:szCs w:val="28"/>
        </w:rPr>
        <w:t>α</w:t>
      </w:r>
      <w:r>
        <w:rPr>
          <w:rFonts w:hint="default" w:ascii="Times New Roman" w:hAnsi="Times New Roman" w:cs="Times New Roman"/>
          <w:color w:val="auto"/>
          <w:szCs w:val="28"/>
          <w:vertAlign w:val="subscript"/>
        </w:rPr>
        <w:t>6</w:t>
      </w:r>
      <w:r>
        <w:rPr>
          <w:rFonts w:hint="default" w:ascii="Times New Roman" w:hAnsi="Times New Roman" w:cs="Times New Roman"/>
          <w:color w:val="auto"/>
          <w:szCs w:val="28"/>
        </w:rPr>
        <w:t>、α</w:t>
      </w:r>
      <w:r>
        <w:rPr>
          <w:rFonts w:hint="default" w:ascii="Times New Roman" w:hAnsi="Times New Roman" w:cs="Times New Roman"/>
          <w:color w:val="auto"/>
          <w:szCs w:val="28"/>
          <w:vertAlign w:val="subscript"/>
        </w:rPr>
        <w:t>24</w:t>
      </w:r>
      <w:r>
        <w:rPr>
          <w:rFonts w:hint="default" w:ascii="Times New Roman" w:hAnsi="Times New Roman" w:cs="Times New Roman"/>
          <w:color w:val="auto"/>
          <w:szCs w:val="28"/>
        </w:rPr>
        <w:t>——6、24小时暴雨面折减系数。</w:t>
      </w:r>
    </w:p>
    <w:p w14:paraId="6561087E">
      <w:pPr>
        <w:ind w:firstLine="560"/>
        <w:rPr>
          <w:rFonts w:hint="default" w:ascii="Times New Roman" w:hAnsi="Times New Roman" w:cs="Times New Roman"/>
          <w:color w:val="auto"/>
          <w:szCs w:val="28"/>
        </w:rPr>
      </w:pPr>
      <w:r>
        <w:rPr>
          <w:rFonts w:hint="default" w:ascii="Times New Roman" w:hAnsi="Times New Roman" w:cs="Times New Roman"/>
          <w:color w:val="auto"/>
          <w:szCs w:val="28"/>
        </w:rPr>
        <w:t>由上式计算得出修正后的折减系数，见表4.2-6。</w:t>
      </w:r>
    </w:p>
    <w:p w14:paraId="57C8A4CC">
      <w:pPr>
        <w:ind w:firstLine="560"/>
        <w:jc w:val="center"/>
        <w:rPr>
          <w:rFonts w:hint="default" w:ascii="Times New Roman" w:hAnsi="Times New Roman" w:eastAsia="黑体" w:cs="Times New Roman"/>
          <w:bCs/>
          <w:color w:val="auto"/>
          <w:szCs w:val="32"/>
        </w:rPr>
      </w:pPr>
      <w:r>
        <w:rPr>
          <w:rFonts w:hint="default" w:ascii="Times New Roman" w:hAnsi="Times New Roman" w:eastAsia="黑体" w:cs="Times New Roman"/>
          <w:bCs/>
          <w:color w:val="auto"/>
          <w:szCs w:val="32"/>
        </w:rPr>
        <w:t>表4.2-6 岩羊河重点断面点面折减成果表</w:t>
      </w:r>
    </w:p>
    <w:tbl>
      <w:tblPr>
        <w:tblStyle w:val="29"/>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140"/>
        <w:gridCol w:w="744"/>
        <w:gridCol w:w="732"/>
        <w:gridCol w:w="828"/>
        <w:gridCol w:w="720"/>
        <w:gridCol w:w="660"/>
        <w:gridCol w:w="612"/>
        <w:gridCol w:w="600"/>
        <w:gridCol w:w="643"/>
        <w:gridCol w:w="1057"/>
      </w:tblGrid>
      <w:tr w14:paraId="48643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Merge w:val="restart"/>
            <w:shd w:val="clear" w:color="auto" w:fill="auto"/>
            <w:noWrap/>
            <w:vAlign w:val="center"/>
          </w:tcPr>
          <w:p w14:paraId="1FD1B7AF">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断面</w:t>
            </w:r>
          </w:p>
        </w:tc>
        <w:tc>
          <w:tcPr>
            <w:tcW w:w="1140" w:type="dxa"/>
            <w:shd w:val="clear" w:color="auto" w:fill="auto"/>
            <w:noWrap/>
            <w:vAlign w:val="center"/>
          </w:tcPr>
          <w:p w14:paraId="5CEDDF20">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集水面积</w:t>
            </w:r>
          </w:p>
        </w:tc>
        <w:tc>
          <w:tcPr>
            <w:tcW w:w="1476" w:type="dxa"/>
            <w:gridSpan w:val="2"/>
            <w:shd w:val="clear" w:color="auto" w:fill="auto"/>
            <w:noWrap/>
            <w:vAlign w:val="center"/>
          </w:tcPr>
          <w:p w14:paraId="18D1B1AB">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折减系数</w:t>
            </w:r>
          </w:p>
        </w:tc>
        <w:tc>
          <w:tcPr>
            <w:tcW w:w="1548" w:type="dxa"/>
            <w:gridSpan w:val="2"/>
            <w:shd w:val="clear" w:color="auto" w:fill="auto"/>
            <w:noWrap/>
            <w:vAlign w:val="center"/>
          </w:tcPr>
          <w:p w14:paraId="3725BA23">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修正后系数</w:t>
            </w:r>
          </w:p>
        </w:tc>
        <w:tc>
          <w:tcPr>
            <w:tcW w:w="1272" w:type="dxa"/>
            <w:gridSpan w:val="2"/>
            <w:shd w:val="clear" w:color="auto" w:fill="auto"/>
            <w:vAlign w:val="center"/>
          </w:tcPr>
          <w:p w14:paraId="71847F77">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点雨量（mm）</w:t>
            </w:r>
          </w:p>
        </w:tc>
        <w:tc>
          <w:tcPr>
            <w:tcW w:w="1243" w:type="dxa"/>
            <w:gridSpan w:val="2"/>
            <w:shd w:val="clear" w:color="auto" w:fill="auto"/>
            <w:vAlign w:val="center"/>
          </w:tcPr>
          <w:p w14:paraId="0C5A4A43">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面雨量（mm）</w:t>
            </w:r>
          </w:p>
        </w:tc>
        <w:tc>
          <w:tcPr>
            <w:tcW w:w="1057" w:type="dxa"/>
            <w:vMerge w:val="restart"/>
            <w:shd w:val="clear" w:color="auto" w:fill="auto"/>
            <w:noWrap/>
            <w:vAlign w:val="center"/>
          </w:tcPr>
          <w:p w14:paraId="2947A19F">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备注</w:t>
            </w:r>
          </w:p>
        </w:tc>
      </w:tr>
      <w:tr w14:paraId="6B88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09" w:type="dxa"/>
            <w:vMerge w:val="continue"/>
            <w:shd w:val="clear" w:color="auto" w:fill="auto"/>
            <w:noWrap/>
            <w:vAlign w:val="center"/>
          </w:tcPr>
          <w:p w14:paraId="0AB512D6">
            <w:pPr>
              <w:pStyle w:val="39"/>
              <w:spacing w:before="156"/>
              <w:rPr>
                <w:rFonts w:hint="default" w:ascii="Times New Roman" w:hAnsi="Times New Roman" w:cs="Times New Roman"/>
                <w:color w:val="auto"/>
              </w:rPr>
            </w:pPr>
          </w:p>
        </w:tc>
        <w:tc>
          <w:tcPr>
            <w:tcW w:w="1140" w:type="dxa"/>
            <w:shd w:val="clear" w:color="auto" w:fill="auto"/>
            <w:noWrap/>
            <w:vAlign w:val="center"/>
          </w:tcPr>
          <w:p w14:paraId="461A07E3">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(km²)</w:t>
            </w:r>
          </w:p>
        </w:tc>
        <w:tc>
          <w:tcPr>
            <w:tcW w:w="744" w:type="dxa"/>
            <w:shd w:val="clear" w:color="auto" w:fill="auto"/>
            <w:noWrap/>
            <w:vAlign w:val="center"/>
          </w:tcPr>
          <w:p w14:paraId="3399D54D">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α</w:t>
            </w:r>
            <w:r>
              <w:rPr>
                <w:rFonts w:hint="default" w:ascii="Times New Roman" w:hAnsi="Times New Roman" w:cs="Times New Roman"/>
                <w:color w:val="auto"/>
                <w:vertAlign w:val="subscript"/>
              </w:rPr>
              <w:t>6</w:t>
            </w:r>
          </w:p>
        </w:tc>
        <w:tc>
          <w:tcPr>
            <w:tcW w:w="732" w:type="dxa"/>
            <w:shd w:val="clear" w:color="auto" w:fill="auto"/>
            <w:noWrap/>
            <w:vAlign w:val="center"/>
          </w:tcPr>
          <w:p w14:paraId="634E2844">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α</w:t>
            </w:r>
            <w:r>
              <w:rPr>
                <w:rFonts w:hint="default" w:ascii="Times New Roman" w:hAnsi="Times New Roman" w:cs="Times New Roman"/>
                <w:color w:val="auto"/>
                <w:vertAlign w:val="subscript"/>
              </w:rPr>
              <w:t>24</w:t>
            </w:r>
          </w:p>
        </w:tc>
        <w:tc>
          <w:tcPr>
            <w:tcW w:w="828" w:type="dxa"/>
            <w:shd w:val="clear" w:color="auto" w:fill="auto"/>
            <w:noWrap/>
            <w:vAlign w:val="center"/>
          </w:tcPr>
          <w:p w14:paraId="62667BBE">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α</w:t>
            </w:r>
            <w:r>
              <w:rPr>
                <w:rFonts w:hint="default" w:ascii="Times New Roman" w:hAnsi="Times New Roman" w:cs="Times New Roman"/>
                <w:color w:val="auto"/>
                <w:vertAlign w:val="subscript"/>
              </w:rPr>
              <w:t>6修正</w:t>
            </w:r>
          </w:p>
        </w:tc>
        <w:tc>
          <w:tcPr>
            <w:tcW w:w="720" w:type="dxa"/>
            <w:shd w:val="clear" w:color="auto" w:fill="auto"/>
            <w:noWrap/>
            <w:vAlign w:val="center"/>
          </w:tcPr>
          <w:p w14:paraId="45665FA7">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α</w:t>
            </w:r>
            <w:r>
              <w:rPr>
                <w:rFonts w:hint="default" w:ascii="Times New Roman" w:hAnsi="Times New Roman" w:cs="Times New Roman"/>
                <w:color w:val="auto"/>
                <w:vertAlign w:val="subscript"/>
              </w:rPr>
              <w:t>24修正</w:t>
            </w:r>
          </w:p>
        </w:tc>
        <w:tc>
          <w:tcPr>
            <w:tcW w:w="660" w:type="dxa"/>
            <w:shd w:val="clear" w:color="auto" w:fill="auto"/>
            <w:vAlign w:val="center"/>
          </w:tcPr>
          <w:p w14:paraId="032B7291">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6h</w:t>
            </w:r>
          </w:p>
        </w:tc>
        <w:tc>
          <w:tcPr>
            <w:tcW w:w="612" w:type="dxa"/>
            <w:shd w:val="clear" w:color="auto" w:fill="auto"/>
            <w:noWrap/>
            <w:vAlign w:val="center"/>
          </w:tcPr>
          <w:p w14:paraId="3DC2F10C">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24h</w:t>
            </w:r>
          </w:p>
        </w:tc>
        <w:tc>
          <w:tcPr>
            <w:tcW w:w="600" w:type="dxa"/>
            <w:shd w:val="clear" w:color="auto" w:fill="auto"/>
            <w:vAlign w:val="center"/>
          </w:tcPr>
          <w:p w14:paraId="0705B59A">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6h</w:t>
            </w:r>
          </w:p>
        </w:tc>
        <w:tc>
          <w:tcPr>
            <w:tcW w:w="643" w:type="dxa"/>
            <w:shd w:val="clear" w:color="auto" w:fill="auto"/>
            <w:noWrap/>
            <w:vAlign w:val="center"/>
          </w:tcPr>
          <w:p w14:paraId="1FF5476A">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24h</w:t>
            </w:r>
          </w:p>
        </w:tc>
        <w:tc>
          <w:tcPr>
            <w:tcW w:w="1057" w:type="dxa"/>
            <w:vMerge w:val="continue"/>
            <w:shd w:val="clear" w:color="auto" w:fill="auto"/>
            <w:noWrap/>
            <w:vAlign w:val="center"/>
          </w:tcPr>
          <w:p w14:paraId="25F20F71">
            <w:pPr>
              <w:pStyle w:val="39"/>
              <w:spacing w:before="156"/>
              <w:rPr>
                <w:rFonts w:hint="default" w:ascii="Times New Roman" w:hAnsi="Times New Roman" w:cs="Times New Roman"/>
                <w:color w:val="auto"/>
              </w:rPr>
            </w:pPr>
          </w:p>
        </w:tc>
      </w:tr>
      <w:tr w14:paraId="6861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009" w:type="dxa"/>
            <w:shd w:val="clear" w:color="auto" w:fill="auto"/>
            <w:noWrap/>
            <w:vAlign w:val="center"/>
          </w:tcPr>
          <w:p w14:paraId="785A299E">
            <w:pPr>
              <w:pStyle w:val="39"/>
              <w:spacing w:before="156"/>
              <w:textAlignment w:val="center"/>
              <w:rPr>
                <w:rFonts w:hint="eastAsia" w:ascii="Times New Roman" w:hAnsi="Times New Roman" w:eastAsia="宋体" w:cs="Times New Roman"/>
                <w:color w:val="auto"/>
                <w:lang w:eastAsia="zh-CN"/>
              </w:rPr>
            </w:pPr>
            <w:r>
              <w:rPr>
                <w:rFonts w:hint="default" w:ascii="Times New Roman" w:hAnsi="Times New Roman" w:cs="Times New Roman"/>
                <w:color w:val="auto"/>
              </w:rPr>
              <w:t>YYH-</w:t>
            </w:r>
            <w:r>
              <w:rPr>
                <w:rFonts w:hint="eastAsia" w:cs="Times New Roman"/>
                <w:color w:val="auto"/>
                <w:lang w:val="en-US" w:eastAsia="zh-CN"/>
              </w:rPr>
              <w:t>4</w:t>
            </w:r>
          </w:p>
        </w:tc>
        <w:tc>
          <w:tcPr>
            <w:tcW w:w="1140" w:type="dxa"/>
            <w:shd w:val="clear" w:color="auto" w:fill="auto"/>
            <w:noWrap/>
            <w:vAlign w:val="center"/>
          </w:tcPr>
          <w:p w14:paraId="3E8853C3">
            <w:pPr>
              <w:pStyle w:val="39"/>
              <w:spacing w:before="156"/>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70.</w:t>
            </w:r>
            <w:r>
              <w:rPr>
                <w:rFonts w:hint="eastAsia" w:cs="Times New Roman"/>
                <w:color w:val="auto"/>
                <w:lang w:val="en-US" w:eastAsia="zh-CN"/>
              </w:rPr>
              <w:t>65</w:t>
            </w:r>
          </w:p>
        </w:tc>
        <w:tc>
          <w:tcPr>
            <w:tcW w:w="744" w:type="dxa"/>
            <w:shd w:val="clear" w:color="auto" w:fill="auto"/>
            <w:noWrap/>
            <w:vAlign w:val="center"/>
          </w:tcPr>
          <w:p w14:paraId="0FFC4CE2">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0.962</w:t>
            </w:r>
          </w:p>
        </w:tc>
        <w:tc>
          <w:tcPr>
            <w:tcW w:w="732" w:type="dxa"/>
            <w:shd w:val="clear" w:color="auto" w:fill="auto"/>
            <w:noWrap/>
            <w:vAlign w:val="center"/>
          </w:tcPr>
          <w:p w14:paraId="31F45B7A">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0.977</w:t>
            </w:r>
          </w:p>
        </w:tc>
        <w:tc>
          <w:tcPr>
            <w:tcW w:w="828" w:type="dxa"/>
            <w:shd w:val="clear" w:color="auto" w:fill="auto"/>
            <w:noWrap/>
            <w:vAlign w:val="center"/>
          </w:tcPr>
          <w:p w14:paraId="0A05477D">
            <w:pPr>
              <w:pStyle w:val="39"/>
              <w:spacing w:before="156"/>
              <w:rPr>
                <w:rFonts w:hint="default" w:ascii="Times New Roman" w:hAnsi="Times New Roman" w:cs="Times New Roman"/>
                <w:color w:val="auto"/>
              </w:rPr>
            </w:pPr>
          </w:p>
        </w:tc>
        <w:tc>
          <w:tcPr>
            <w:tcW w:w="720" w:type="dxa"/>
            <w:shd w:val="clear" w:color="auto" w:fill="auto"/>
            <w:noWrap/>
            <w:vAlign w:val="center"/>
          </w:tcPr>
          <w:p w14:paraId="757F1FAF">
            <w:pPr>
              <w:pStyle w:val="39"/>
              <w:spacing w:before="156"/>
              <w:rPr>
                <w:rFonts w:hint="default" w:ascii="Times New Roman" w:hAnsi="Times New Roman" w:cs="Times New Roman"/>
                <w:color w:val="auto"/>
              </w:rPr>
            </w:pPr>
          </w:p>
        </w:tc>
        <w:tc>
          <w:tcPr>
            <w:tcW w:w="660" w:type="dxa"/>
            <w:shd w:val="clear" w:color="auto" w:fill="auto"/>
            <w:noWrap/>
            <w:vAlign w:val="center"/>
          </w:tcPr>
          <w:p w14:paraId="27CBA8B9">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63</w:t>
            </w:r>
          </w:p>
        </w:tc>
        <w:tc>
          <w:tcPr>
            <w:tcW w:w="612" w:type="dxa"/>
            <w:shd w:val="clear" w:color="auto" w:fill="auto"/>
            <w:noWrap/>
            <w:vAlign w:val="center"/>
          </w:tcPr>
          <w:p w14:paraId="65E708F2">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87</w:t>
            </w:r>
          </w:p>
        </w:tc>
        <w:tc>
          <w:tcPr>
            <w:tcW w:w="600" w:type="dxa"/>
            <w:shd w:val="clear" w:color="auto" w:fill="auto"/>
            <w:vAlign w:val="center"/>
          </w:tcPr>
          <w:p w14:paraId="02FA8D58">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60.6</w:t>
            </w:r>
          </w:p>
        </w:tc>
        <w:tc>
          <w:tcPr>
            <w:tcW w:w="643" w:type="dxa"/>
            <w:shd w:val="clear" w:color="auto" w:fill="auto"/>
            <w:vAlign w:val="center"/>
          </w:tcPr>
          <w:p w14:paraId="2EA52425">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85.0</w:t>
            </w:r>
          </w:p>
        </w:tc>
        <w:tc>
          <w:tcPr>
            <w:tcW w:w="1057" w:type="dxa"/>
            <w:shd w:val="clear" w:color="auto" w:fill="auto"/>
            <w:noWrap/>
            <w:vAlign w:val="center"/>
          </w:tcPr>
          <w:p w14:paraId="31D464CA">
            <w:pPr>
              <w:pStyle w:val="39"/>
              <w:spacing w:before="156"/>
              <w:rPr>
                <w:rFonts w:hint="default" w:ascii="Times New Roman" w:hAnsi="Times New Roman" w:cs="Times New Roman"/>
                <w:color w:val="auto"/>
              </w:rPr>
            </w:pPr>
            <w:r>
              <w:rPr>
                <w:rFonts w:hint="default" w:ascii="Times New Roman" w:hAnsi="Times New Roman" w:cs="Times New Roman"/>
                <w:color w:val="auto"/>
              </w:rPr>
              <w:t>需进行折减，不需进行修正</w:t>
            </w:r>
          </w:p>
        </w:tc>
      </w:tr>
      <w:tr w14:paraId="1A46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9" w:type="dxa"/>
            <w:shd w:val="clear" w:color="auto" w:fill="auto"/>
            <w:noWrap/>
            <w:vAlign w:val="center"/>
          </w:tcPr>
          <w:p w14:paraId="615929C8">
            <w:pPr>
              <w:pStyle w:val="39"/>
              <w:spacing w:before="156"/>
              <w:textAlignment w:val="center"/>
              <w:rPr>
                <w:rFonts w:hint="eastAsia" w:ascii="Times New Roman" w:hAnsi="Times New Roman" w:eastAsia="宋体" w:cs="Times New Roman"/>
                <w:color w:val="auto"/>
                <w:lang w:eastAsia="zh-CN"/>
              </w:rPr>
            </w:pPr>
            <w:r>
              <w:rPr>
                <w:rFonts w:hint="default" w:ascii="Times New Roman" w:hAnsi="Times New Roman" w:cs="Times New Roman"/>
                <w:color w:val="auto"/>
              </w:rPr>
              <w:t>YYH-1</w:t>
            </w:r>
            <w:r>
              <w:rPr>
                <w:rFonts w:hint="eastAsia" w:cs="Times New Roman"/>
                <w:color w:val="auto"/>
                <w:lang w:eastAsia="zh-CN"/>
              </w:rPr>
              <w:t>、</w:t>
            </w:r>
            <w:r>
              <w:rPr>
                <w:rFonts w:hint="default" w:ascii="Times New Roman" w:hAnsi="Times New Roman" w:cs="Times New Roman"/>
                <w:color w:val="auto"/>
              </w:rPr>
              <w:t>YYH-</w:t>
            </w:r>
            <w:r>
              <w:rPr>
                <w:rFonts w:hint="eastAsia" w:ascii="Times New Roman" w:hAnsi="Times New Roman" w:cs="Times New Roman"/>
                <w:color w:val="auto"/>
                <w:lang w:val="en-US" w:eastAsia="zh-CN"/>
              </w:rPr>
              <w:t>3</w:t>
            </w:r>
          </w:p>
        </w:tc>
        <w:tc>
          <w:tcPr>
            <w:tcW w:w="1140" w:type="dxa"/>
            <w:shd w:val="clear" w:color="auto" w:fill="auto"/>
            <w:noWrap/>
            <w:vAlign w:val="center"/>
          </w:tcPr>
          <w:p w14:paraId="61B8E35A">
            <w:pPr>
              <w:pStyle w:val="39"/>
              <w:spacing w:before="156"/>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105.08、</w:t>
            </w:r>
            <w:r>
              <w:rPr>
                <w:rFonts w:hint="default" w:ascii="Times New Roman" w:hAnsi="Times New Roman" w:cs="Times New Roman"/>
                <w:color w:val="auto"/>
              </w:rPr>
              <w:t>103.</w:t>
            </w:r>
            <w:r>
              <w:rPr>
                <w:rFonts w:hint="eastAsia" w:cs="Times New Roman"/>
                <w:color w:val="auto"/>
                <w:lang w:val="en-US" w:eastAsia="zh-CN"/>
              </w:rPr>
              <w:t>69</w:t>
            </w:r>
          </w:p>
        </w:tc>
        <w:tc>
          <w:tcPr>
            <w:tcW w:w="744" w:type="dxa"/>
            <w:shd w:val="clear" w:color="auto" w:fill="auto"/>
            <w:noWrap/>
            <w:vAlign w:val="center"/>
          </w:tcPr>
          <w:p w14:paraId="1D8D7F9D">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0.936</w:t>
            </w:r>
          </w:p>
        </w:tc>
        <w:tc>
          <w:tcPr>
            <w:tcW w:w="732" w:type="dxa"/>
            <w:shd w:val="clear" w:color="auto" w:fill="auto"/>
            <w:noWrap/>
            <w:vAlign w:val="center"/>
          </w:tcPr>
          <w:p w14:paraId="7A377F2C">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0.961</w:t>
            </w:r>
          </w:p>
        </w:tc>
        <w:tc>
          <w:tcPr>
            <w:tcW w:w="828" w:type="dxa"/>
            <w:shd w:val="clear" w:color="auto" w:fill="auto"/>
            <w:noWrap/>
            <w:vAlign w:val="center"/>
          </w:tcPr>
          <w:p w14:paraId="3CB5997D">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0.880</w:t>
            </w:r>
          </w:p>
        </w:tc>
        <w:tc>
          <w:tcPr>
            <w:tcW w:w="720" w:type="dxa"/>
            <w:shd w:val="clear" w:color="auto" w:fill="auto"/>
            <w:noWrap/>
            <w:vAlign w:val="center"/>
          </w:tcPr>
          <w:p w14:paraId="4D953489">
            <w:pPr>
              <w:pStyle w:val="39"/>
              <w:spacing w:before="156"/>
              <w:rPr>
                <w:rFonts w:hint="default" w:ascii="Times New Roman" w:hAnsi="Times New Roman" w:cs="Times New Roman"/>
                <w:color w:val="auto"/>
              </w:rPr>
            </w:pPr>
          </w:p>
        </w:tc>
        <w:tc>
          <w:tcPr>
            <w:tcW w:w="660" w:type="dxa"/>
            <w:shd w:val="clear" w:color="auto" w:fill="auto"/>
            <w:noWrap/>
            <w:vAlign w:val="center"/>
          </w:tcPr>
          <w:p w14:paraId="2C4C4DB3">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63</w:t>
            </w:r>
          </w:p>
        </w:tc>
        <w:tc>
          <w:tcPr>
            <w:tcW w:w="612" w:type="dxa"/>
            <w:shd w:val="clear" w:color="auto" w:fill="auto"/>
            <w:noWrap/>
            <w:vAlign w:val="center"/>
          </w:tcPr>
          <w:p w14:paraId="1C835C6D">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87</w:t>
            </w:r>
          </w:p>
        </w:tc>
        <w:tc>
          <w:tcPr>
            <w:tcW w:w="600" w:type="dxa"/>
            <w:shd w:val="clear" w:color="auto" w:fill="auto"/>
            <w:noWrap/>
            <w:vAlign w:val="center"/>
          </w:tcPr>
          <w:p w14:paraId="6E086F13">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55.4</w:t>
            </w:r>
          </w:p>
        </w:tc>
        <w:tc>
          <w:tcPr>
            <w:tcW w:w="643" w:type="dxa"/>
            <w:shd w:val="clear" w:color="auto" w:fill="auto"/>
            <w:vAlign w:val="center"/>
          </w:tcPr>
          <w:p w14:paraId="2D9D246D">
            <w:pPr>
              <w:pStyle w:val="39"/>
              <w:spacing w:before="156"/>
              <w:textAlignment w:val="center"/>
              <w:rPr>
                <w:rFonts w:hint="default" w:ascii="Times New Roman" w:hAnsi="Times New Roman" w:cs="Times New Roman"/>
                <w:color w:val="auto"/>
              </w:rPr>
            </w:pPr>
            <w:r>
              <w:rPr>
                <w:rFonts w:hint="default" w:ascii="Times New Roman" w:hAnsi="Times New Roman" w:cs="Times New Roman"/>
                <w:color w:val="auto"/>
              </w:rPr>
              <w:t>83.6</w:t>
            </w:r>
          </w:p>
        </w:tc>
        <w:tc>
          <w:tcPr>
            <w:tcW w:w="1057" w:type="dxa"/>
            <w:shd w:val="clear" w:color="auto" w:fill="auto"/>
            <w:noWrap/>
            <w:vAlign w:val="center"/>
          </w:tcPr>
          <w:p w14:paraId="3DBA9C66">
            <w:pPr>
              <w:pStyle w:val="39"/>
              <w:spacing w:before="0" w:beforeLines="0"/>
              <w:rPr>
                <w:rFonts w:hint="default" w:ascii="Times New Roman" w:hAnsi="Times New Roman" w:cs="Times New Roman"/>
                <w:color w:val="auto"/>
              </w:rPr>
            </w:pPr>
            <w:r>
              <w:rPr>
                <w:rFonts w:hint="default" w:ascii="Times New Roman" w:hAnsi="Times New Roman" w:cs="Times New Roman"/>
                <w:color w:val="auto"/>
              </w:rPr>
              <w:t>仅6h</w:t>
            </w:r>
          </w:p>
          <w:p w14:paraId="44241ECA">
            <w:pPr>
              <w:pStyle w:val="39"/>
              <w:spacing w:before="0" w:beforeLines="0"/>
              <w:rPr>
                <w:rFonts w:hint="default" w:ascii="Times New Roman" w:hAnsi="Times New Roman" w:cs="Times New Roman"/>
                <w:color w:val="auto"/>
              </w:rPr>
            </w:pPr>
            <w:r>
              <w:rPr>
                <w:rFonts w:hint="default" w:ascii="Times New Roman" w:hAnsi="Times New Roman" w:cs="Times New Roman"/>
                <w:color w:val="auto"/>
              </w:rPr>
              <w:t>暴雨</w:t>
            </w:r>
          </w:p>
          <w:p w14:paraId="3CA7B74A">
            <w:pPr>
              <w:pStyle w:val="39"/>
              <w:spacing w:before="0" w:beforeLines="0"/>
              <w:rPr>
                <w:rFonts w:hint="default" w:ascii="Times New Roman" w:hAnsi="Times New Roman" w:cs="Times New Roman"/>
                <w:color w:val="auto"/>
              </w:rPr>
            </w:pPr>
            <w:r>
              <w:rPr>
                <w:rFonts w:hint="default" w:ascii="Times New Roman" w:hAnsi="Times New Roman" w:cs="Times New Roman"/>
                <w:color w:val="auto"/>
              </w:rPr>
              <w:t>需修正</w:t>
            </w:r>
          </w:p>
        </w:tc>
      </w:tr>
    </w:tbl>
    <w:p w14:paraId="7DF9671C">
      <w:pPr>
        <w:spacing w:before="120" w:after="120"/>
        <w:ind w:firstLine="560"/>
        <w:rPr>
          <w:rFonts w:hint="default" w:ascii="Times New Roman" w:hAnsi="Times New Roman" w:cs="Times New Roman"/>
          <w:color w:val="auto"/>
          <w:szCs w:val="28"/>
        </w:rPr>
      </w:pPr>
      <w:r>
        <w:rPr>
          <w:rFonts w:hint="default" w:ascii="Times New Roman" w:hAnsi="Times New Roman" w:cs="Times New Roman"/>
          <w:color w:val="auto"/>
        </w:rPr>
        <w:t>（3）</w:t>
      </w:r>
      <w:r>
        <w:rPr>
          <w:rFonts w:hint="default" w:ascii="Times New Roman" w:hAnsi="Times New Roman" w:cs="Times New Roman"/>
          <w:color w:val="auto"/>
          <w:szCs w:val="28"/>
        </w:rPr>
        <w:t>设计洪峰流量计算</w:t>
      </w:r>
    </w:p>
    <w:p w14:paraId="4B6B78FF">
      <w:pPr>
        <w:ind w:firstLine="560"/>
        <w:rPr>
          <w:rFonts w:hint="default" w:ascii="Times New Roman" w:hAnsi="Times New Roman" w:cs="Times New Roman"/>
          <w:color w:val="auto"/>
          <w:szCs w:val="28"/>
        </w:rPr>
      </w:pPr>
      <w:r>
        <w:rPr>
          <w:rFonts w:hint="default" w:ascii="Times New Roman" w:hAnsi="Times New Roman" w:cs="Times New Roman"/>
          <w:color w:val="auto"/>
          <w:szCs w:val="28"/>
        </w:rPr>
        <w:t>根据流域设计暴雨成果，采用《四川省中小流域暴雨洪水手册》中推理公式法推求设计洪水。基本公式：</w:t>
      </w:r>
    </w:p>
    <w:p w14:paraId="601ADFD5">
      <w:pPr>
        <w:ind w:firstLine="560"/>
        <w:jc w:val="center"/>
        <w:rPr>
          <w:rFonts w:hint="default" w:ascii="Times New Roman" w:hAnsi="Times New Roman" w:cs="Times New Roman"/>
          <w:color w:val="auto"/>
          <w:szCs w:val="28"/>
        </w:rPr>
      </w:pPr>
      <m:oMathPara>
        <m:oMath>
          <m:r>
            <m:rPr>
              <m:nor/>
            </m:rPr>
            <w:rPr>
              <w:rFonts w:hint="default" w:ascii="Times New Roman" w:hAnsi="Times New Roman" w:cs="Times New Roman"/>
              <w:i/>
              <w:color w:val="auto"/>
              <w:szCs w:val="28"/>
            </w:rPr>
            <m:t>Q</m:t>
          </m:r>
          <m:r>
            <m:rPr>
              <m:nor/>
              <m:sty m:val="p"/>
            </m:rPr>
            <w:rPr>
              <w:rFonts w:hint="default" w:ascii="Times New Roman" w:hAnsi="Times New Roman" w:cs="Times New Roman"/>
              <w:b w:val="0"/>
              <w:i w:val="0"/>
              <w:color w:val="auto"/>
              <w:szCs w:val="28"/>
            </w:rPr>
            <m:t>=0.278</m:t>
          </m:r>
          <m:r>
            <m:rPr>
              <m:nor/>
            </m:rPr>
            <w:rPr>
              <w:rFonts w:hint="default" w:ascii="Times New Roman" w:hAnsi="Times New Roman" w:cs="Times New Roman"/>
              <w:i/>
              <w:color w:val="auto"/>
              <w:szCs w:val="28"/>
            </w:rPr>
            <m:t>ψ</m:t>
          </m:r>
          <m:f>
            <m:fPr>
              <m:ctrlPr>
                <w:rPr>
                  <w:rFonts w:hint="default" w:ascii="Cambria Math" w:hAnsi="Cambria Math" w:cs="Times New Roman"/>
                  <w:i/>
                  <w:color w:val="auto"/>
                  <w:szCs w:val="28"/>
                </w:rPr>
              </m:ctrlPr>
            </m:fPr>
            <m:num>
              <m:r>
                <m:rPr>
                  <m:nor/>
                </m:rPr>
                <w:rPr>
                  <w:rFonts w:hint="default" w:ascii="Times New Roman" w:hAnsi="Times New Roman" w:cs="Times New Roman"/>
                  <w:i/>
                  <w:color w:val="auto"/>
                  <w:szCs w:val="28"/>
                </w:rPr>
                <m:t>S</m:t>
              </m:r>
              <m:ctrlPr>
                <w:rPr>
                  <w:rFonts w:hint="default" w:ascii="Cambria Math" w:hAnsi="Cambria Math" w:cs="Times New Roman"/>
                  <w:i/>
                  <w:color w:val="auto"/>
                  <w:szCs w:val="28"/>
                </w:rPr>
              </m:ctrlPr>
            </m:num>
            <m:den>
              <m:sSup>
                <m:sSupPr>
                  <m:ctrlPr>
                    <w:rPr>
                      <w:rFonts w:hint="default" w:ascii="Cambria Math" w:hAnsi="Cambria Math" w:cs="Times New Roman"/>
                      <w:i/>
                      <w:color w:val="auto"/>
                      <w:szCs w:val="28"/>
                    </w:rPr>
                  </m:ctrlPr>
                </m:sSupPr>
                <m:e>
                  <m:r>
                    <m:rPr>
                      <m:nor/>
                    </m:rPr>
                    <w:rPr>
                      <w:rFonts w:hint="default" w:ascii="Times New Roman" w:hAnsi="Times New Roman" w:cs="Times New Roman"/>
                      <w:i/>
                      <w:color w:val="auto"/>
                      <w:szCs w:val="28"/>
                    </w:rPr>
                    <m:t>τ</m:t>
                  </m:r>
                  <m:ctrlPr>
                    <w:rPr>
                      <w:rFonts w:hint="default" w:ascii="Cambria Math" w:hAnsi="Cambria Math" w:cs="Times New Roman"/>
                      <w:i/>
                      <w:color w:val="auto"/>
                      <w:szCs w:val="28"/>
                    </w:rPr>
                  </m:ctrlPr>
                </m:e>
                <m:sup>
                  <m:r>
                    <m:rPr>
                      <m:nor/>
                    </m:rPr>
                    <w:rPr>
                      <w:rFonts w:hint="default" w:ascii="Times New Roman" w:hAnsi="Times New Roman" w:cs="Times New Roman"/>
                      <w:i/>
                      <w:color w:val="auto"/>
                      <w:szCs w:val="28"/>
                    </w:rPr>
                    <m:t>n</m:t>
                  </m:r>
                  <m:ctrlPr>
                    <w:rPr>
                      <w:rFonts w:hint="default" w:ascii="Cambria Math" w:hAnsi="Cambria Math" w:cs="Times New Roman"/>
                      <w:i/>
                      <w:color w:val="auto"/>
                      <w:szCs w:val="28"/>
                    </w:rPr>
                  </m:ctrlPr>
                </m:sup>
              </m:sSup>
              <m:ctrlPr>
                <w:rPr>
                  <w:rFonts w:hint="default" w:ascii="Cambria Math" w:hAnsi="Cambria Math" w:cs="Times New Roman"/>
                  <w:i/>
                  <w:color w:val="auto"/>
                  <w:szCs w:val="28"/>
                </w:rPr>
              </m:ctrlPr>
            </m:den>
          </m:f>
          <m:r>
            <m:rPr>
              <m:nor/>
            </m:rPr>
            <w:rPr>
              <w:rFonts w:hint="default" w:ascii="Times New Roman" w:hAnsi="Times New Roman" w:cs="Times New Roman"/>
              <w:i/>
              <w:color w:val="auto"/>
              <w:szCs w:val="28"/>
            </w:rPr>
            <m:t>F</m:t>
          </m:r>
        </m:oMath>
      </m:oMathPara>
    </w:p>
    <w:p w14:paraId="38963871">
      <w:pPr>
        <w:ind w:firstLine="560"/>
        <w:rPr>
          <w:rFonts w:hint="default" w:ascii="Times New Roman" w:hAnsi="Times New Roman" w:cs="Times New Roman"/>
          <w:color w:val="auto"/>
          <w:szCs w:val="28"/>
        </w:rPr>
      </w:pPr>
      <w:r>
        <w:rPr>
          <w:rFonts w:hint="default" w:ascii="Times New Roman" w:hAnsi="Times New Roman" w:cs="Times New Roman"/>
          <w:color w:val="auto"/>
          <w:szCs w:val="28"/>
        </w:rPr>
        <w:t>式中：Q—最大流量，m³/s；</w:t>
      </w:r>
    </w:p>
    <w:p w14:paraId="59184213">
      <w:pPr>
        <w:ind w:firstLine="1400" w:firstLineChars="500"/>
        <w:rPr>
          <w:rFonts w:hint="default" w:ascii="Times New Roman" w:hAnsi="Times New Roman" w:cs="Times New Roman"/>
          <w:color w:val="auto"/>
          <w:szCs w:val="28"/>
        </w:rPr>
      </w:pPr>
      <w:r>
        <w:rPr>
          <w:rFonts w:hint="default" w:ascii="Times New Roman" w:hAnsi="Times New Roman" w:cs="Times New Roman"/>
          <w:color w:val="auto"/>
          <w:szCs w:val="28"/>
        </w:rPr>
        <w:t>ψ—洪峰径流系数；</w:t>
      </w:r>
    </w:p>
    <w:p w14:paraId="06CC0784">
      <w:pPr>
        <w:ind w:firstLine="1400" w:firstLineChars="500"/>
        <w:rPr>
          <w:rFonts w:hint="default" w:ascii="Times New Roman" w:hAnsi="Times New Roman" w:cs="Times New Roman"/>
          <w:color w:val="auto"/>
          <w:szCs w:val="28"/>
        </w:rPr>
      </w:pPr>
      <w:r>
        <w:rPr>
          <w:rFonts w:hint="default" w:ascii="Times New Roman" w:hAnsi="Times New Roman" w:cs="Times New Roman"/>
          <w:color w:val="auto"/>
          <w:szCs w:val="28"/>
        </w:rPr>
        <w:t>s—暴雨雨力，mm/h；</w:t>
      </w:r>
    </w:p>
    <w:p w14:paraId="3D1D3FC8">
      <w:pPr>
        <w:ind w:firstLine="1400" w:firstLineChars="500"/>
        <w:rPr>
          <w:rFonts w:hint="default" w:ascii="Times New Roman" w:hAnsi="Times New Roman" w:cs="Times New Roman"/>
          <w:color w:val="auto"/>
          <w:szCs w:val="28"/>
        </w:rPr>
      </w:pPr>
      <w:r>
        <w:rPr>
          <w:rFonts w:hint="default" w:ascii="Times New Roman" w:hAnsi="Times New Roman" w:cs="Times New Roman"/>
          <w:color w:val="auto"/>
          <w:szCs w:val="28"/>
        </w:rPr>
        <w:t>τ—流域汇流时间，h；</w:t>
      </w:r>
    </w:p>
    <w:p w14:paraId="49F3E43B">
      <w:pPr>
        <w:ind w:firstLine="1400" w:firstLineChars="500"/>
        <w:rPr>
          <w:rFonts w:hint="default" w:ascii="Times New Roman" w:hAnsi="Times New Roman" w:cs="Times New Roman"/>
          <w:color w:val="auto"/>
          <w:szCs w:val="28"/>
        </w:rPr>
      </w:pPr>
      <w:r>
        <w:rPr>
          <w:rFonts w:hint="default" w:ascii="Times New Roman" w:hAnsi="Times New Roman" w:cs="Times New Roman"/>
          <w:color w:val="auto"/>
          <w:szCs w:val="28"/>
        </w:rPr>
        <w:t>n—暴雨公式指数；</w:t>
      </w:r>
    </w:p>
    <w:p w14:paraId="0142BD8E">
      <w:pPr>
        <w:ind w:firstLine="1400" w:firstLineChars="500"/>
        <w:rPr>
          <w:rFonts w:hint="default" w:ascii="Times New Roman" w:hAnsi="Times New Roman" w:cs="Times New Roman"/>
          <w:color w:val="auto"/>
          <w:szCs w:val="28"/>
        </w:rPr>
      </w:pPr>
      <w:r>
        <w:rPr>
          <w:rFonts w:hint="default" w:ascii="Times New Roman" w:hAnsi="Times New Roman" w:cs="Times New Roman"/>
          <w:color w:val="auto"/>
          <w:szCs w:val="28"/>
        </w:rPr>
        <w:t>F—流域面积，km²。</w:t>
      </w:r>
    </w:p>
    <w:p w14:paraId="22B468AF">
      <w:pPr>
        <w:ind w:firstLine="560"/>
        <w:rPr>
          <w:rFonts w:hint="default" w:ascii="Times New Roman" w:hAnsi="Times New Roman" w:cs="Times New Roman"/>
          <w:color w:val="auto"/>
          <w:szCs w:val="28"/>
        </w:rPr>
      </w:pPr>
      <w:r>
        <w:rPr>
          <w:rFonts w:hint="default" w:ascii="Times New Roman" w:hAnsi="Times New Roman" w:cs="Times New Roman"/>
          <w:color w:val="auto"/>
          <w:szCs w:val="28"/>
        </w:rPr>
        <w:t>根据流域下垫面条件和《四川省中小流域暴雨洪水手册》区划，选取产汇流参数计算公式如下：</w:t>
      </w:r>
    </w:p>
    <w:p w14:paraId="38B486FD">
      <w:pPr>
        <w:ind w:firstLine="560"/>
        <w:rPr>
          <w:rFonts w:hint="default" w:ascii="Times New Roman" w:hAnsi="Times New Roman" w:cs="Times New Roman"/>
          <w:color w:val="auto"/>
          <w:szCs w:val="28"/>
        </w:rPr>
      </w:pPr>
      <w:r>
        <w:rPr>
          <w:rFonts w:hint="default" w:ascii="Times New Roman" w:hAnsi="Times New Roman" w:cs="Times New Roman"/>
          <w:color w:val="auto"/>
          <w:szCs w:val="28"/>
        </w:rPr>
        <w:t>流域</w:t>
      </w:r>
      <w:r>
        <w:rPr>
          <w:rFonts w:hint="eastAsia" w:cs="Times New Roman"/>
          <w:color w:val="auto"/>
          <w:szCs w:val="28"/>
          <w:lang w:eastAsia="zh-CN"/>
        </w:rPr>
        <w:t>径流</w:t>
      </w:r>
      <w:r>
        <w:rPr>
          <w:rFonts w:hint="default" w:ascii="Times New Roman" w:hAnsi="Times New Roman" w:cs="Times New Roman"/>
          <w:color w:val="auto"/>
          <w:szCs w:val="28"/>
        </w:rPr>
        <w:t>参数：属盆缘山区、川西南山地区，计算式如下：</w:t>
      </w:r>
    </w:p>
    <w:p w14:paraId="0A0ED110">
      <w:pPr>
        <w:ind w:firstLine="560"/>
        <w:jc w:val="center"/>
        <w:rPr>
          <w:rFonts w:hint="default" w:ascii="Times New Roman" w:hAnsi="Times New Roman" w:cs="Times New Roman"/>
          <w:color w:val="auto"/>
          <w:szCs w:val="28"/>
        </w:rPr>
      </w:pPr>
      <w:r>
        <w:rPr>
          <w:rFonts w:hint="default" w:ascii="Times New Roman" w:hAnsi="Times New Roman" w:cs="Times New Roman"/>
          <w:color w:val="auto"/>
          <w:szCs w:val="28"/>
        </w:rPr>
        <w:t>μ=3.6F</w:t>
      </w:r>
      <w:r>
        <w:rPr>
          <w:rFonts w:hint="default" w:ascii="Times New Roman" w:hAnsi="Times New Roman" w:cs="Times New Roman"/>
          <w:color w:val="auto"/>
          <w:szCs w:val="28"/>
          <w:vertAlign w:val="superscript"/>
        </w:rPr>
        <w:t>-0.19</w:t>
      </w:r>
      <w:r>
        <w:rPr>
          <w:rFonts w:hint="eastAsia" w:cs="Times New Roman"/>
          <w:color w:val="auto"/>
          <w:szCs w:val="28"/>
          <w:vertAlign w:val="superscript"/>
          <w:lang w:eastAsia="zh-CN"/>
        </w:rPr>
        <w:t xml:space="preserve">, </w:t>
      </w:r>
      <w:r>
        <w:rPr>
          <w:rFonts w:hint="default" w:ascii="Times New Roman" w:hAnsi="Times New Roman" w:cs="Times New Roman"/>
          <w:color w:val="auto"/>
          <w:szCs w:val="28"/>
        </w:rPr>
        <w:t>Cv=0.23</w:t>
      </w:r>
      <w:r>
        <w:rPr>
          <w:rFonts w:hint="eastAsia" w:cs="Times New Roman"/>
          <w:color w:val="auto"/>
          <w:szCs w:val="28"/>
          <w:lang w:eastAsia="zh-CN"/>
        </w:rPr>
        <w:t xml:space="preserve">, </w:t>
      </w:r>
      <w:r>
        <w:rPr>
          <w:rFonts w:hint="default" w:ascii="Times New Roman" w:hAnsi="Times New Roman" w:cs="Times New Roman"/>
          <w:color w:val="auto"/>
          <w:szCs w:val="28"/>
        </w:rPr>
        <w:t>CS=3.5Cv</w:t>
      </w:r>
      <w:r>
        <w:rPr>
          <w:rFonts w:hint="eastAsia" w:cs="Times New Roman"/>
          <w:color w:val="auto"/>
          <w:szCs w:val="28"/>
          <w:lang w:eastAsia="zh-CN"/>
        </w:rPr>
        <w:t>;</w:t>
      </w:r>
    </w:p>
    <w:p w14:paraId="08FC0FC9">
      <w:pPr>
        <w:ind w:firstLine="560"/>
        <w:rPr>
          <w:rFonts w:hint="default" w:ascii="Times New Roman" w:hAnsi="Times New Roman" w:cs="Times New Roman"/>
          <w:color w:val="auto"/>
          <w:szCs w:val="28"/>
        </w:rPr>
      </w:pPr>
      <w:r>
        <w:rPr>
          <w:rFonts w:hint="default" w:ascii="Times New Roman" w:hAnsi="Times New Roman" w:cs="Times New Roman"/>
          <w:color w:val="auto"/>
          <w:szCs w:val="28"/>
        </w:rPr>
        <w:t>流域汇流参数：属川西南山地区，计算式如下：</w:t>
      </w:r>
    </w:p>
    <w:p w14:paraId="74A8C82C">
      <w:pPr>
        <w:ind w:firstLine="560"/>
        <w:jc w:val="center"/>
        <w:rPr>
          <w:rFonts w:hint="default" w:ascii="Times New Roman" w:hAnsi="Times New Roman" w:cs="Times New Roman"/>
          <w:color w:val="auto"/>
          <w:szCs w:val="28"/>
        </w:rPr>
      </w:pPr>
      <w:r>
        <w:rPr>
          <w:rFonts w:hint="default" w:ascii="Times New Roman" w:hAnsi="Times New Roman" w:cs="Times New Roman"/>
          <w:color w:val="auto"/>
          <w:szCs w:val="28"/>
        </w:rPr>
        <w:t>θ=1～30时，m=0.221θ</w:t>
      </w:r>
      <w:r>
        <w:rPr>
          <w:rFonts w:hint="default" w:ascii="Times New Roman" w:hAnsi="Times New Roman" w:cs="Times New Roman"/>
          <w:color w:val="auto"/>
          <w:szCs w:val="28"/>
          <w:vertAlign w:val="superscript"/>
        </w:rPr>
        <w:t>0.204</w:t>
      </w:r>
    </w:p>
    <w:p w14:paraId="28B84E28">
      <w:pPr>
        <w:ind w:firstLine="560"/>
        <w:jc w:val="center"/>
        <w:rPr>
          <w:rFonts w:hint="default" w:ascii="Times New Roman" w:hAnsi="Times New Roman" w:cs="Times New Roman"/>
          <w:color w:val="auto"/>
          <w:szCs w:val="28"/>
        </w:rPr>
      </w:pPr>
      <w:r>
        <w:rPr>
          <w:rFonts w:hint="default" w:ascii="Times New Roman" w:hAnsi="Times New Roman" w:cs="Times New Roman"/>
          <w:color w:val="auto"/>
          <w:szCs w:val="28"/>
        </w:rPr>
        <w:t>θ=30～300时，m=0.025θ</w:t>
      </w:r>
      <w:r>
        <w:rPr>
          <w:rFonts w:hint="default" w:ascii="Times New Roman" w:hAnsi="Times New Roman" w:cs="Times New Roman"/>
          <w:color w:val="auto"/>
          <w:szCs w:val="28"/>
          <w:vertAlign w:val="superscript"/>
        </w:rPr>
        <w:t>0.845</w:t>
      </w:r>
    </w:p>
    <w:p w14:paraId="6E849EBF">
      <w:pPr>
        <w:ind w:firstLine="560"/>
        <w:rPr>
          <w:rFonts w:hint="default" w:ascii="Times New Roman" w:hAnsi="Times New Roman" w:cs="Times New Roman"/>
          <w:color w:val="auto"/>
          <w:szCs w:val="28"/>
        </w:rPr>
      </w:pPr>
      <w:r>
        <w:rPr>
          <w:rFonts w:hint="default" w:ascii="Times New Roman" w:hAnsi="Times New Roman" w:cs="Times New Roman"/>
          <w:color w:val="auto"/>
          <w:szCs w:val="28"/>
        </w:rPr>
        <w:t>式中：θ—流域特征参数，θ=L/（J</w:t>
      </w:r>
      <w:r>
        <w:rPr>
          <w:rFonts w:hint="default" w:ascii="Times New Roman" w:hAnsi="Times New Roman" w:cs="Times New Roman"/>
          <w:color w:val="auto"/>
          <w:szCs w:val="28"/>
          <w:vertAlign w:val="superscript"/>
        </w:rPr>
        <w:t>1/3</w:t>
      </w:r>
      <w:r>
        <w:rPr>
          <w:rFonts w:hint="default" w:ascii="Times New Roman" w:hAnsi="Times New Roman" w:cs="Times New Roman"/>
          <w:color w:val="auto"/>
          <w:szCs w:val="28"/>
        </w:rPr>
        <w:t>×F</w:t>
      </w:r>
      <w:r>
        <w:rPr>
          <w:rFonts w:hint="default" w:ascii="Times New Roman" w:hAnsi="Times New Roman" w:cs="Times New Roman"/>
          <w:color w:val="auto"/>
          <w:szCs w:val="28"/>
          <w:vertAlign w:val="superscript"/>
        </w:rPr>
        <w:t>1/4</w:t>
      </w:r>
      <w:r>
        <w:rPr>
          <w:rFonts w:hint="default" w:ascii="Times New Roman" w:hAnsi="Times New Roman" w:cs="Times New Roman"/>
          <w:color w:val="auto"/>
          <w:szCs w:val="28"/>
        </w:rPr>
        <w:t>）；</w:t>
      </w:r>
    </w:p>
    <w:p w14:paraId="3753E37E">
      <w:pPr>
        <w:ind w:firstLine="1400" w:firstLineChars="500"/>
        <w:rPr>
          <w:rFonts w:hint="default" w:ascii="Times New Roman" w:hAnsi="Times New Roman" w:cs="Times New Roman"/>
          <w:color w:val="auto"/>
          <w:szCs w:val="28"/>
        </w:rPr>
      </w:pPr>
      <w:r>
        <w:rPr>
          <w:rFonts w:hint="default" w:ascii="Times New Roman" w:hAnsi="Times New Roman" w:cs="Times New Roman"/>
          <w:color w:val="auto"/>
          <w:szCs w:val="28"/>
        </w:rPr>
        <w:t>L—河长，km；</w:t>
      </w:r>
    </w:p>
    <w:p w14:paraId="599F3DEA">
      <w:pPr>
        <w:ind w:firstLine="1400" w:firstLineChars="500"/>
        <w:rPr>
          <w:rFonts w:hint="default" w:ascii="Times New Roman" w:hAnsi="Times New Roman" w:cs="Times New Roman"/>
          <w:color w:val="auto"/>
          <w:szCs w:val="28"/>
        </w:rPr>
      </w:pPr>
      <w:r>
        <w:rPr>
          <w:rFonts w:hint="default" w:ascii="Times New Roman" w:hAnsi="Times New Roman" w:cs="Times New Roman"/>
          <w:color w:val="auto"/>
          <w:szCs w:val="28"/>
        </w:rPr>
        <w:t>J—比降，‰；</w:t>
      </w:r>
    </w:p>
    <w:p w14:paraId="5B89BA93">
      <w:pPr>
        <w:ind w:firstLine="1400" w:firstLineChars="500"/>
        <w:rPr>
          <w:rFonts w:hint="default" w:ascii="Times New Roman" w:hAnsi="Times New Roman" w:cs="Times New Roman"/>
          <w:color w:val="auto"/>
          <w:szCs w:val="28"/>
        </w:rPr>
      </w:pPr>
      <w:r>
        <w:rPr>
          <w:rFonts w:hint="default" w:ascii="Times New Roman" w:hAnsi="Times New Roman" w:cs="Times New Roman"/>
          <w:color w:val="auto"/>
          <w:szCs w:val="28"/>
        </w:rPr>
        <w:t>F—流域面积，km²。</w:t>
      </w:r>
    </w:p>
    <w:p w14:paraId="4D33D6E4">
      <w:pPr>
        <w:ind w:firstLine="560"/>
        <w:rPr>
          <w:rFonts w:hint="default" w:ascii="Times New Roman" w:hAnsi="Times New Roman" w:cs="Times New Roman"/>
          <w:color w:val="auto"/>
          <w:szCs w:val="28"/>
        </w:rPr>
      </w:pPr>
      <w:r>
        <w:rPr>
          <w:rFonts w:hint="default" w:ascii="Times New Roman" w:hAnsi="Times New Roman" w:cs="Times New Roman"/>
          <w:color w:val="auto"/>
          <w:szCs w:val="28"/>
        </w:rPr>
        <w:t>采用所选取的产汇流计算参数，用推理公式计算出各区间各频率设计洪峰流量，成果见表4.2-7。</w:t>
      </w:r>
    </w:p>
    <w:p w14:paraId="7FFF9D62">
      <w:pPr>
        <w:pStyle w:val="36"/>
        <w:spacing w:before="156" w:after="156"/>
        <w:rPr>
          <w:rFonts w:hint="default" w:ascii="Times New Roman" w:hAnsi="Times New Roman" w:cs="Times New Roman"/>
          <w:color w:val="auto"/>
        </w:rPr>
      </w:pPr>
      <w:r>
        <w:rPr>
          <w:rFonts w:hint="default" w:ascii="Times New Roman" w:hAnsi="Times New Roman" w:cs="Times New Roman"/>
          <w:color w:val="auto"/>
        </w:rPr>
        <w:t>表4.2-7 设计洪水成果表</w:t>
      </w:r>
    </w:p>
    <w:tbl>
      <w:tblPr>
        <w:tblStyle w:val="29"/>
        <w:tblW w:w="4927" w:type="pct"/>
        <w:tblInd w:w="0" w:type="dxa"/>
        <w:tblLayout w:type="autofit"/>
        <w:tblCellMar>
          <w:top w:w="0" w:type="dxa"/>
          <w:left w:w="108" w:type="dxa"/>
          <w:bottom w:w="0" w:type="dxa"/>
          <w:right w:w="108" w:type="dxa"/>
        </w:tblCellMar>
      </w:tblPr>
      <w:tblGrid>
        <w:gridCol w:w="1293"/>
        <w:gridCol w:w="1160"/>
        <w:gridCol w:w="988"/>
        <w:gridCol w:w="988"/>
        <w:gridCol w:w="988"/>
        <w:gridCol w:w="988"/>
        <w:gridCol w:w="988"/>
        <w:gridCol w:w="1005"/>
      </w:tblGrid>
      <w:tr w14:paraId="73D604DC">
        <w:tblPrEx>
          <w:tblCellMar>
            <w:top w:w="0" w:type="dxa"/>
            <w:left w:w="108" w:type="dxa"/>
            <w:bottom w:w="0" w:type="dxa"/>
            <w:right w:w="108" w:type="dxa"/>
          </w:tblCellMar>
        </w:tblPrEx>
        <w:trPr>
          <w:trHeight w:val="407" w:hRule="atLeast"/>
          <w:tblHeader/>
        </w:trPr>
        <w:tc>
          <w:tcPr>
            <w:tcW w:w="7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5138B">
            <w:pPr>
              <w:pStyle w:val="39"/>
              <w:spacing w:before="156"/>
              <w:rPr>
                <w:rFonts w:hint="default" w:ascii="Times New Roman" w:hAnsi="Times New Roman" w:cs="Times New Roman"/>
                <w:color w:val="auto"/>
              </w:rPr>
            </w:pPr>
            <w:r>
              <w:rPr>
                <w:rFonts w:hint="default" w:ascii="Times New Roman" w:hAnsi="Times New Roman" w:cs="Times New Roman"/>
                <w:color w:val="auto"/>
              </w:rPr>
              <w:t>断面</w:t>
            </w:r>
          </w:p>
        </w:tc>
        <w:tc>
          <w:tcPr>
            <w:tcW w:w="6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2B7753">
            <w:pPr>
              <w:pStyle w:val="39"/>
              <w:spacing w:before="156"/>
              <w:rPr>
                <w:rFonts w:hint="default" w:ascii="Times New Roman" w:hAnsi="Times New Roman" w:cs="Times New Roman"/>
                <w:color w:val="auto"/>
              </w:rPr>
            </w:pPr>
            <w:r>
              <w:rPr>
                <w:rFonts w:hint="default" w:ascii="Times New Roman" w:hAnsi="Times New Roman" w:cs="Times New Roman"/>
                <w:color w:val="auto"/>
              </w:rPr>
              <w:t>面积</w:t>
            </w:r>
          </w:p>
          <w:p w14:paraId="62B56155">
            <w:pPr>
              <w:pStyle w:val="39"/>
              <w:spacing w:before="156"/>
              <w:rPr>
                <w:rFonts w:hint="default" w:ascii="Times New Roman" w:hAnsi="Times New Roman" w:cs="Times New Roman"/>
                <w:color w:val="auto"/>
              </w:rPr>
            </w:pPr>
            <w:r>
              <w:rPr>
                <w:rFonts w:hint="default" w:ascii="Times New Roman" w:hAnsi="Times New Roman" w:cs="Times New Roman"/>
                <w:color w:val="auto"/>
              </w:rPr>
              <w:t>(km²)</w:t>
            </w:r>
          </w:p>
        </w:tc>
        <w:tc>
          <w:tcPr>
            <w:tcW w:w="353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0C2951D">
            <w:pPr>
              <w:pStyle w:val="39"/>
              <w:spacing w:before="156"/>
              <w:rPr>
                <w:rFonts w:hint="default" w:ascii="Times New Roman" w:hAnsi="Times New Roman" w:cs="Times New Roman"/>
                <w:color w:val="auto"/>
              </w:rPr>
            </w:pPr>
            <w:r>
              <w:rPr>
                <w:rFonts w:hint="default" w:ascii="Times New Roman" w:hAnsi="Times New Roman" w:cs="Times New Roman"/>
                <w:color w:val="auto"/>
              </w:rPr>
              <w:t>各频率设计值（m³/s）</w:t>
            </w:r>
          </w:p>
        </w:tc>
      </w:tr>
      <w:tr w14:paraId="4C49EA5F">
        <w:tblPrEx>
          <w:tblCellMar>
            <w:top w:w="0" w:type="dxa"/>
            <w:left w:w="108" w:type="dxa"/>
            <w:bottom w:w="0" w:type="dxa"/>
            <w:right w:w="108" w:type="dxa"/>
          </w:tblCellMar>
        </w:tblPrEx>
        <w:trPr>
          <w:trHeight w:val="407" w:hRule="atLeast"/>
          <w:tblHeader/>
        </w:trPr>
        <w:tc>
          <w:tcPr>
            <w:tcW w:w="7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28347">
            <w:pPr>
              <w:pStyle w:val="39"/>
              <w:spacing w:before="156"/>
              <w:rPr>
                <w:rFonts w:hint="default" w:ascii="Times New Roman" w:hAnsi="Times New Roman" w:cs="Times New Roman"/>
                <w:color w:val="auto"/>
              </w:rPr>
            </w:pPr>
          </w:p>
        </w:tc>
        <w:tc>
          <w:tcPr>
            <w:tcW w:w="6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CC7E5">
            <w:pPr>
              <w:pStyle w:val="39"/>
              <w:spacing w:before="156"/>
              <w:rPr>
                <w:rFonts w:hint="default" w:ascii="Times New Roman" w:hAnsi="Times New Roman" w:cs="Times New Roman"/>
                <w:color w:val="auto"/>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8E6A1">
            <w:pPr>
              <w:pStyle w:val="39"/>
              <w:spacing w:before="156"/>
              <w:rPr>
                <w:rFonts w:hint="default" w:ascii="Times New Roman" w:hAnsi="Times New Roman" w:cs="Times New Roman"/>
                <w:color w:val="auto"/>
              </w:rPr>
            </w:pPr>
            <w:r>
              <w:rPr>
                <w:rFonts w:hint="default" w:ascii="Times New Roman" w:hAnsi="Times New Roman" w:cs="Times New Roman"/>
                <w:color w:val="auto"/>
              </w:rPr>
              <w:t>P=1%</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C40A4">
            <w:pPr>
              <w:pStyle w:val="39"/>
              <w:spacing w:before="156"/>
              <w:rPr>
                <w:rFonts w:hint="default" w:ascii="Times New Roman" w:hAnsi="Times New Roman" w:cs="Times New Roman"/>
                <w:color w:val="auto"/>
              </w:rPr>
            </w:pPr>
            <w:r>
              <w:rPr>
                <w:rFonts w:hint="default" w:ascii="Times New Roman" w:hAnsi="Times New Roman" w:cs="Times New Roman"/>
                <w:color w:val="auto"/>
              </w:rPr>
              <w:t>P=2%</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CE4B0">
            <w:pPr>
              <w:pStyle w:val="39"/>
              <w:spacing w:before="156"/>
              <w:rPr>
                <w:rFonts w:hint="default" w:ascii="Times New Roman" w:hAnsi="Times New Roman" w:cs="Times New Roman"/>
                <w:color w:val="auto"/>
              </w:rPr>
            </w:pPr>
            <w:r>
              <w:rPr>
                <w:rFonts w:hint="default" w:ascii="Times New Roman" w:hAnsi="Times New Roman" w:cs="Times New Roman"/>
                <w:color w:val="auto"/>
              </w:rPr>
              <w:t>P=5%</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17781">
            <w:pPr>
              <w:pStyle w:val="39"/>
              <w:spacing w:before="156"/>
              <w:rPr>
                <w:rFonts w:hint="default" w:ascii="Times New Roman" w:hAnsi="Times New Roman" w:cs="Times New Roman"/>
                <w:color w:val="auto"/>
              </w:rPr>
            </w:pPr>
            <w:r>
              <w:rPr>
                <w:rFonts w:hint="default" w:ascii="Times New Roman" w:hAnsi="Times New Roman" w:cs="Times New Roman"/>
                <w:color w:val="auto"/>
              </w:rPr>
              <w:t>P=10%</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2A52D">
            <w:pPr>
              <w:pStyle w:val="39"/>
              <w:spacing w:before="156"/>
              <w:rPr>
                <w:rFonts w:hint="default" w:ascii="Times New Roman" w:hAnsi="Times New Roman" w:cs="Times New Roman"/>
                <w:color w:val="auto"/>
              </w:rPr>
            </w:pPr>
            <w:r>
              <w:rPr>
                <w:rFonts w:hint="default" w:ascii="Times New Roman" w:hAnsi="Times New Roman" w:cs="Times New Roman"/>
                <w:color w:val="auto"/>
              </w:rPr>
              <w:t>P=20%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9289D">
            <w:pPr>
              <w:pStyle w:val="39"/>
              <w:spacing w:before="156"/>
              <w:rPr>
                <w:rFonts w:hint="default" w:ascii="Times New Roman" w:hAnsi="Times New Roman" w:cs="Times New Roman"/>
                <w:color w:val="auto"/>
              </w:rPr>
            </w:pPr>
            <w:r>
              <w:rPr>
                <w:rFonts w:hint="default" w:ascii="Times New Roman" w:hAnsi="Times New Roman" w:cs="Times New Roman"/>
                <w:color w:val="auto"/>
              </w:rPr>
              <w:t>P=50%</w:t>
            </w:r>
          </w:p>
        </w:tc>
      </w:tr>
      <w:tr w14:paraId="412A1C3D">
        <w:tblPrEx>
          <w:tblCellMar>
            <w:top w:w="0" w:type="dxa"/>
            <w:left w:w="108" w:type="dxa"/>
            <w:bottom w:w="0" w:type="dxa"/>
            <w:right w:w="108" w:type="dxa"/>
          </w:tblCellMar>
        </w:tblPrEx>
        <w:trPr>
          <w:trHeight w:val="407"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46E6D">
            <w:pPr>
              <w:pStyle w:val="39"/>
              <w:spacing w:before="0" w:beforeLines="0"/>
              <w:rPr>
                <w:rFonts w:hint="default" w:ascii="Times New Roman" w:hAnsi="Times New Roman" w:cs="Times New Roman"/>
                <w:color w:val="auto"/>
              </w:rPr>
            </w:pPr>
            <w:r>
              <w:rPr>
                <w:rFonts w:hint="default" w:ascii="Times New Roman" w:hAnsi="Times New Roman" w:cs="Times New Roman"/>
                <w:color w:val="auto"/>
              </w:rPr>
              <w:t>YYH-4</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4D4AB">
            <w:pPr>
              <w:pStyle w:val="39"/>
              <w:spacing w:before="0" w:beforeLines="0"/>
              <w:rPr>
                <w:rFonts w:hint="default" w:ascii="Times New Roman" w:hAnsi="Times New Roman" w:cs="Times New Roman"/>
                <w:color w:val="auto"/>
              </w:rPr>
            </w:pPr>
            <w:r>
              <w:rPr>
                <w:rFonts w:hint="default" w:ascii="Times New Roman" w:hAnsi="Times New Roman" w:cs="Times New Roman"/>
                <w:color w:val="auto"/>
              </w:rPr>
              <w:t>70.72</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7CA11">
            <w:pPr>
              <w:pStyle w:val="39"/>
              <w:spacing w:before="0" w:beforeLine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305</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7FC3">
            <w:pPr>
              <w:pStyle w:val="39"/>
              <w:spacing w:before="0" w:beforeLine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260</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8D2A3">
            <w:pPr>
              <w:pStyle w:val="39"/>
              <w:spacing w:before="0" w:beforeLine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201</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CA0EC">
            <w:pPr>
              <w:pStyle w:val="39"/>
              <w:spacing w:before="0" w:beforeLine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157</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DFE41">
            <w:pPr>
              <w:pStyle w:val="39"/>
              <w:spacing w:before="0" w:beforeLine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8CEDF">
            <w:pPr>
              <w:pStyle w:val="39"/>
              <w:spacing w:before="0" w:beforeLine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60.1</w:t>
            </w:r>
          </w:p>
        </w:tc>
      </w:tr>
      <w:tr w14:paraId="2897E3EC">
        <w:tblPrEx>
          <w:tblCellMar>
            <w:top w:w="0" w:type="dxa"/>
            <w:left w:w="108" w:type="dxa"/>
            <w:bottom w:w="0" w:type="dxa"/>
            <w:right w:w="108" w:type="dxa"/>
          </w:tblCellMar>
        </w:tblPrEx>
        <w:trPr>
          <w:trHeight w:val="407"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72A7A">
            <w:pPr>
              <w:pStyle w:val="39"/>
              <w:spacing w:before="0" w:beforeLines="0"/>
              <w:rPr>
                <w:rFonts w:hint="eastAsia" w:ascii="Times New Roman" w:hAnsi="Times New Roman" w:eastAsia="宋体" w:cs="Times New Roman"/>
                <w:color w:val="auto"/>
                <w:lang w:eastAsia="zh-CN"/>
              </w:rPr>
            </w:pPr>
            <w:r>
              <w:rPr>
                <w:rFonts w:hint="default" w:ascii="Times New Roman" w:hAnsi="Times New Roman" w:cs="Times New Roman"/>
                <w:color w:val="auto"/>
              </w:rPr>
              <w:t>YYH-</w:t>
            </w:r>
            <w:r>
              <w:rPr>
                <w:rFonts w:hint="eastAsia" w:ascii="Times New Roman" w:hAnsi="Times New Roman" w:cs="Times New Roman"/>
                <w:color w:val="auto"/>
                <w:lang w:val="en-US" w:eastAsia="zh-CN"/>
              </w:rPr>
              <w:t>3</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00D2">
            <w:pPr>
              <w:pStyle w:val="39"/>
              <w:spacing w:before="0" w:beforeLines="0"/>
              <w:rPr>
                <w:rFonts w:hint="default" w:ascii="Times New Roman" w:hAnsi="Times New Roman" w:cs="Times New Roman"/>
                <w:color w:val="auto"/>
              </w:rPr>
            </w:pPr>
            <w:r>
              <w:rPr>
                <w:rFonts w:hint="eastAsia" w:ascii="Times New Roman" w:hAnsi="Times New Roman" w:eastAsia="宋体" w:cs="Times New Roman"/>
                <w:color w:val="auto"/>
                <w:lang w:val="en-US" w:eastAsia="zh-CN"/>
              </w:rPr>
              <w:t>103.69</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F9018">
            <w:pPr>
              <w:pStyle w:val="39"/>
              <w:spacing w:before="0" w:beforeLine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591</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BFC0E">
            <w:pPr>
              <w:pStyle w:val="39"/>
              <w:spacing w:before="0" w:beforeLine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508</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D6199">
            <w:pPr>
              <w:pStyle w:val="39"/>
              <w:spacing w:before="0" w:beforeLines="0"/>
              <w:rPr>
                <w:rFonts w:hint="default"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399</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DD545">
            <w:pPr>
              <w:pStyle w:val="39"/>
              <w:spacing w:before="0" w:beforeLine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318</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1079F">
            <w:pPr>
              <w:pStyle w:val="39"/>
              <w:spacing w:before="0" w:beforeLine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238</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A979D">
            <w:pPr>
              <w:pStyle w:val="39"/>
              <w:spacing w:before="0" w:beforeLine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133</w:t>
            </w:r>
          </w:p>
        </w:tc>
      </w:tr>
      <w:tr w14:paraId="41752CEE">
        <w:tblPrEx>
          <w:tblCellMar>
            <w:top w:w="0" w:type="dxa"/>
            <w:left w:w="108" w:type="dxa"/>
            <w:bottom w:w="0" w:type="dxa"/>
            <w:right w:w="108" w:type="dxa"/>
          </w:tblCellMar>
        </w:tblPrEx>
        <w:trPr>
          <w:trHeight w:val="419"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F8C48">
            <w:pPr>
              <w:pStyle w:val="39"/>
              <w:spacing w:before="0" w:beforeLines="0"/>
              <w:rPr>
                <w:rFonts w:hint="default" w:ascii="Times New Roman" w:hAnsi="Times New Roman" w:cs="Times New Roman"/>
                <w:color w:val="auto"/>
              </w:rPr>
            </w:pPr>
            <w:r>
              <w:rPr>
                <w:rFonts w:hint="default" w:ascii="Times New Roman" w:hAnsi="Times New Roman" w:cs="Times New Roman"/>
                <w:color w:val="auto"/>
              </w:rPr>
              <w:t>YYH-1</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164E9">
            <w:pPr>
              <w:pStyle w:val="39"/>
              <w:spacing w:before="0" w:beforeLines="0"/>
              <w:rPr>
                <w:rFonts w:hint="default" w:ascii="Times New Roman" w:hAnsi="Times New Roman" w:cs="Times New Roman"/>
                <w:color w:val="auto"/>
              </w:rPr>
            </w:pPr>
            <w:r>
              <w:rPr>
                <w:rFonts w:hint="default" w:ascii="Times New Roman" w:hAnsi="Times New Roman" w:cs="Times New Roman"/>
                <w:color w:val="auto"/>
              </w:rPr>
              <w:t>10</w:t>
            </w:r>
            <w:r>
              <w:rPr>
                <w:rFonts w:hint="eastAsia" w:cs="Times New Roman"/>
                <w:color w:val="auto"/>
                <w:lang w:val="en-US" w:eastAsia="zh-CN"/>
              </w:rPr>
              <w:t>5</w:t>
            </w:r>
            <w:r>
              <w:rPr>
                <w:rFonts w:hint="default" w:ascii="Times New Roman" w:hAnsi="Times New Roman" w:cs="Times New Roman"/>
                <w:color w:val="auto"/>
              </w:rPr>
              <w:t>.</w:t>
            </w:r>
            <w:r>
              <w:rPr>
                <w:rFonts w:hint="eastAsia" w:cs="Times New Roman"/>
                <w:color w:val="auto"/>
                <w:lang w:val="en-US" w:eastAsia="zh-CN"/>
              </w:rPr>
              <w:t>0</w:t>
            </w:r>
            <w:r>
              <w:rPr>
                <w:rFonts w:hint="default" w:ascii="Times New Roman" w:hAnsi="Times New Roman" w:cs="Times New Roman"/>
                <w:color w:val="auto"/>
              </w:rPr>
              <w:t>8</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31A2">
            <w:pPr>
              <w:pStyle w:val="39"/>
              <w:spacing w:before="0" w:beforeLine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603 </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F113A">
            <w:pPr>
              <w:pStyle w:val="39"/>
              <w:spacing w:before="0" w:beforeLine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518 </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4AB7">
            <w:pPr>
              <w:pStyle w:val="39"/>
              <w:spacing w:before="0" w:beforeLine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408 </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E7C23">
            <w:pPr>
              <w:pStyle w:val="39"/>
              <w:spacing w:before="0" w:beforeLine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324 </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D748">
            <w:pPr>
              <w:pStyle w:val="39"/>
              <w:spacing w:before="0" w:beforeLine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243 </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D1D65">
            <w:pPr>
              <w:pStyle w:val="39"/>
              <w:spacing w:before="0" w:beforeLine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136 </w:t>
            </w:r>
          </w:p>
        </w:tc>
      </w:tr>
    </w:tbl>
    <w:p w14:paraId="5DAF057C">
      <w:pPr>
        <w:ind w:firstLine="560"/>
        <w:rPr>
          <w:rFonts w:hint="default" w:ascii="Times New Roman" w:hAnsi="Times New Roman" w:cs="Times New Roman"/>
          <w:color w:val="auto"/>
          <w:szCs w:val="28"/>
        </w:rPr>
      </w:pPr>
      <w:r>
        <w:rPr>
          <w:rFonts w:hint="default" w:ascii="Times New Roman" w:hAnsi="Times New Roman" w:cs="Times New Roman"/>
          <w:color w:val="auto"/>
        </w:rPr>
        <w:t>（4）成果合理性分析</w:t>
      </w:r>
    </w:p>
    <w:p w14:paraId="6D15B0DB">
      <w:pPr>
        <w:ind w:firstLine="560"/>
        <w:rPr>
          <w:rFonts w:hint="default" w:ascii="Times New Roman" w:hAnsi="Times New Roman" w:cs="Times New Roman"/>
          <w:color w:val="auto"/>
          <w:szCs w:val="28"/>
        </w:rPr>
      </w:pPr>
      <w:r>
        <w:rPr>
          <w:rFonts w:hint="default" w:ascii="Times New Roman" w:hAnsi="Times New Roman" w:cs="Times New Roman"/>
          <w:color w:val="auto"/>
          <w:lang w:val="zh-CN"/>
        </w:rPr>
        <w:t>工程流域属典型小流域，集雨面积小，具有汇流时间短，成峰快的特点。</w:t>
      </w:r>
      <w:r>
        <w:rPr>
          <w:rFonts w:hint="default" w:ascii="Times New Roman" w:hAnsi="Times New Roman" w:cs="Times New Roman"/>
          <w:color w:val="auto"/>
        </w:rPr>
        <w:t>采用《四川省中小流域洪水计算手册》中推荐的半理论半经验公式。该公式是由水利科学研究院研究整理的推理公式。推理公式的暴雨参数、产流参数、汇流参数都是根据四川省各地气象站、雨量站及中、小河流测站的实测暴雨洪水资料分析、</w:t>
      </w:r>
      <w:r>
        <w:rPr>
          <w:rFonts w:hint="eastAsia" w:cs="Times New Roman"/>
          <w:color w:val="auto"/>
          <w:lang w:eastAsia="zh-CN"/>
        </w:rPr>
        <w:t>综合</w:t>
      </w:r>
      <w:r>
        <w:rPr>
          <w:rFonts w:hint="default" w:ascii="Times New Roman" w:hAnsi="Times New Roman" w:cs="Times New Roman"/>
          <w:color w:val="auto"/>
        </w:rPr>
        <w:t>计算公式和相关图表。因而用推理公式计算四川省中、小河流的洪水，是有一定依据的</w:t>
      </w:r>
      <w:r>
        <w:rPr>
          <w:rFonts w:hint="eastAsia" w:cs="Times New Roman"/>
          <w:color w:val="auto"/>
          <w:lang w:eastAsia="zh-CN"/>
        </w:rPr>
        <w:t>，</w:t>
      </w:r>
      <w:r>
        <w:rPr>
          <w:rFonts w:hint="default" w:ascii="Times New Roman" w:hAnsi="Times New Roman" w:cs="Times New Roman"/>
          <w:color w:val="auto"/>
        </w:rPr>
        <w:t>其可靠性较好</w:t>
      </w:r>
      <w:r>
        <w:rPr>
          <w:rFonts w:hint="eastAsia" w:cs="Times New Roman"/>
          <w:color w:val="auto"/>
          <w:lang w:eastAsia="zh-CN"/>
        </w:rPr>
        <w:t>。</w:t>
      </w:r>
    </w:p>
    <w:p w14:paraId="094EDF06">
      <w:pPr>
        <w:pStyle w:val="7"/>
        <w:ind w:firstLine="562"/>
        <w:rPr>
          <w:rFonts w:hint="default" w:ascii="Times New Roman" w:hAnsi="Times New Roman" w:cs="Times New Roman"/>
          <w:color w:val="auto"/>
        </w:rPr>
      </w:pPr>
      <w:r>
        <w:rPr>
          <w:rFonts w:hint="default" w:ascii="Times New Roman" w:hAnsi="Times New Roman" w:cs="Times New Roman"/>
          <w:color w:val="auto"/>
        </w:rPr>
        <w:t>4.4.2.2.3设计洪水过程线</w:t>
      </w:r>
    </w:p>
    <w:p w14:paraId="56AE482C">
      <w:pPr>
        <w:ind w:firstLine="560"/>
        <w:rPr>
          <w:rFonts w:hint="default" w:ascii="Times New Roman" w:hAnsi="Times New Roman" w:cs="Times New Roman"/>
          <w:color w:val="auto"/>
          <w:lang w:val="zh-CN"/>
        </w:rPr>
      </w:pPr>
      <w:r>
        <w:rPr>
          <w:rFonts w:hint="default" w:ascii="Times New Roman" w:hAnsi="Times New Roman" w:cs="Times New Roman"/>
          <w:color w:val="auto"/>
          <w:lang w:val="zh-CN"/>
        </w:rPr>
        <w:t>根据本流域面积较小、河床坡降较大、洪水陡涨陡落等特点，洪水过程按单峰考虑，洪水过程线采用典型洪水放大推求，其中，典型洪水选用我省</w:t>
      </w:r>
      <w:r>
        <w:rPr>
          <w:rFonts w:hint="default" w:ascii="Times New Roman" w:hAnsi="Times New Roman" w:cs="Times New Roman"/>
          <w:color w:val="auto"/>
        </w:rPr>
        <w:t>川西南</w:t>
      </w:r>
      <w:r>
        <w:rPr>
          <w:rFonts w:hint="default" w:ascii="Times New Roman" w:hAnsi="Times New Roman" w:cs="Times New Roman"/>
          <w:color w:val="auto"/>
          <w:lang w:val="zh-CN"/>
        </w:rPr>
        <w:t>地区概化洪水过程线模型，根据设计洪峰流量及设计洪水总量推求设计洪水过程线，既得设计洪水过程线，</w:t>
      </w:r>
      <w:r>
        <w:rPr>
          <w:rFonts w:hint="default" w:ascii="Times New Roman" w:hAnsi="Times New Roman" w:cs="Times New Roman"/>
          <w:color w:val="auto"/>
        </w:rPr>
        <w:t>见下表</w:t>
      </w:r>
      <w:r>
        <w:rPr>
          <w:rFonts w:hint="default" w:ascii="Times New Roman" w:hAnsi="Times New Roman" w:cs="Times New Roman"/>
          <w:color w:val="auto"/>
          <w:lang w:val="zh-CN"/>
        </w:rPr>
        <w:t>。</w:t>
      </w:r>
    </w:p>
    <w:p w14:paraId="7B902BE0">
      <w:pPr>
        <w:pStyle w:val="36"/>
        <w:spacing w:before="156" w:after="156"/>
        <w:rPr>
          <w:rFonts w:hint="default" w:ascii="Times New Roman" w:hAnsi="Times New Roman" w:cs="Times New Roman"/>
          <w:color w:val="auto"/>
        </w:rPr>
      </w:pPr>
      <w:r>
        <w:rPr>
          <w:rFonts w:hint="default" w:ascii="Times New Roman" w:hAnsi="Times New Roman" w:cs="Times New Roman"/>
          <w:color w:val="auto"/>
        </w:rPr>
        <w:t>表4.2-8   设计洪水过程线成果表</w:t>
      </w:r>
    </w:p>
    <w:tbl>
      <w:tblPr>
        <w:tblStyle w:val="29"/>
        <w:tblW w:w="49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1411"/>
        <w:gridCol w:w="1416"/>
        <w:gridCol w:w="1414"/>
        <w:gridCol w:w="1411"/>
        <w:gridCol w:w="1433"/>
      </w:tblGrid>
      <w:tr w14:paraId="1703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30" w:type="pct"/>
            <w:vMerge w:val="restart"/>
            <w:vAlign w:val="center"/>
          </w:tcPr>
          <w:p w14:paraId="6462BD6B">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序  号</w:t>
            </w:r>
          </w:p>
        </w:tc>
        <w:tc>
          <w:tcPr>
            <w:tcW w:w="1663" w:type="pct"/>
            <w:gridSpan w:val="2"/>
            <w:vAlign w:val="center"/>
          </w:tcPr>
          <w:p w14:paraId="792B3ECB">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P=5%设计洪水过程线</w:t>
            </w:r>
          </w:p>
        </w:tc>
        <w:tc>
          <w:tcPr>
            <w:tcW w:w="832" w:type="pct"/>
            <w:vMerge w:val="restart"/>
            <w:vAlign w:val="center"/>
          </w:tcPr>
          <w:p w14:paraId="22780A00">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序  号</w:t>
            </w:r>
          </w:p>
        </w:tc>
        <w:tc>
          <w:tcPr>
            <w:tcW w:w="1673" w:type="pct"/>
            <w:gridSpan w:val="2"/>
            <w:vAlign w:val="center"/>
          </w:tcPr>
          <w:p w14:paraId="4F8F82F0">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P=5%设计洪水过程线</w:t>
            </w:r>
          </w:p>
        </w:tc>
      </w:tr>
      <w:tr w14:paraId="6F1D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30" w:type="pct"/>
            <w:vMerge w:val="continue"/>
            <w:vAlign w:val="center"/>
          </w:tcPr>
          <w:p w14:paraId="69FFB2F1">
            <w:pPr>
              <w:pStyle w:val="78"/>
              <w:spacing w:line="240" w:lineRule="auto"/>
              <w:ind w:firstLine="0" w:firstLineChars="0"/>
              <w:rPr>
                <w:rFonts w:hint="default" w:ascii="Times New Roman" w:hAnsi="Times New Roman" w:cs="Times New Roman"/>
                <w:iCs/>
                <w:color w:val="auto"/>
                <w:sz w:val="21"/>
              </w:rPr>
            </w:pPr>
          </w:p>
        </w:tc>
        <w:tc>
          <w:tcPr>
            <w:tcW w:w="830" w:type="pct"/>
            <w:vAlign w:val="center"/>
          </w:tcPr>
          <w:p w14:paraId="364D79A2">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T(h)</w:t>
            </w:r>
          </w:p>
        </w:tc>
        <w:tc>
          <w:tcPr>
            <w:tcW w:w="832" w:type="pct"/>
            <w:vAlign w:val="center"/>
          </w:tcPr>
          <w:p w14:paraId="733DF9BA">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Q(m³/s)</w:t>
            </w:r>
          </w:p>
        </w:tc>
        <w:tc>
          <w:tcPr>
            <w:tcW w:w="832" w:type="pct"/>
            <w:vMerge w:val="continue"/>
            <w:vAlign w:val="center"/>
          </w:tcPr>
          <w:p w14:paraId="689A949F">
            <w:pPr>
              <w:pStyle w:val="78"/>
              <w:spacing w:line="240" w:lineRule="auto"/>
              <w:ind w:firstLine="0" w:firstLineChars="0"/>
              <w:rPr>
                <w:rFonts w:hint="default" w:ascii="Times New Roman" w:hAnsi="Times New Roman" w:cs="Times New Roman"/>
                <w:iCs/>
                <w:color w:val="auto"/>
                <w:sz w:val="21"/>
              </w:rPr>
            </w:pPr>
          </w:p>
        </w:tc>
        <w:tc>
          <w:tcPr>
            <w:tcW w:w="830" w:type="pct"/>
            <w:vAlign w:val="center"/>
          </w:tcPr>
          <w:p w14:paraId="7BB69F2E">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T(h)</w:t>
            </w:r>
          </w:p>
        </w:tc>
        <w:tc>
          <w:tcPr>
            <w:tcW w:w="842" w:type="pct"/>
            <w:vAlign w:val="center"/>
          </w:tcPr>
          <w:p w14:paraId="72D8BACB">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Q(m³/s)</w:t>
            </w:r>
          </w:p>
        </w:tc>
      </w:tr>
      <w:tr w14:paraId="5CB9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30" w:type="pct"/>
            <w:vAlign w:val="center"/>
          </w:tcPr>
          <w:p w14:paraId="6E5E9423">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1</w:t>
            </w:r>
          </w:p>
        </w:tc>
        <w:tc>
          <w:tcPr>
            <w:tcW w:w="1411" w:type="dxa"/>
            <w:vAlign w:val="bottom"/>
          </w:tcPr>
          <w:p w14:paraId="0B4F7683">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0</w:t>
            </w:r>
          </w:p>
        </w:tc>
        <w:tc>
          <w:tcPr>
            <w:tcW w:w="1416" w:type="dxa"/>
            <w:vAlign w:val="bottom"/>
          </w:tcPr>
          <w:p w14:paraId="5CB03446">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5.67</w:t>
            </w:r>
          </w:p>
        </w:tc>
        <w:tc>
          <w:tcPr>
            <w:tcW w:w="832" w:type="pct"/>
            <w:vAlign w:val="center"/>
          </w:tcPr>
          <w:p w14:paraId="767D7C93">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rPr>
              <w:t>10</w:t>
            </w:r>
          </w:p>
        </w:tc>
        <w:tc>
          <w:tcPr>
            <w:tcW w:w="1411" w:type="dxa"/>
            <w:vAlign w:val="bottom"/>
          </w:tcPr>
          <w:p w14:paraId="620E2A93">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4.4</w:t>
            </w:r>
          </w:p>
        </w:tc>
        <w:tc>
          <w:tcPr>
            <w:tcW w:w="1433" w:type="dxa"/>
            <w:vAlign w:val="bottom"/>
          </w:tcPr>
          <w:p w14:paraId="200A48E1">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384.75</w:t>
            </w:r>
          </w:p>
        </w:tc>
      </w:tr>
      <w:tr w14:paraId="20FE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30" w:type="pct"/>
            <w:vAlign w:val="center"/>
          </w:tcPr>
          <w:p w14:paraId="50AF71FE">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2</w:t>
            </w:r>
          </w:p>
        </w:tc>
        <w:tc>
          <w:tcPr>
            <w:tcW w:w="1411" w:type="dxa"/>
            <w:vAlign w:val="bottom"/>
          </w:tcPr>
          <w:p w14:paraId="07ACE325">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0.9</w:t>
            </w:r>
          </w:p>
        </w:tc>
        <w:tc>
          <w:tcPr>
            <w:tcW w:w="1416" w:type="dxa"/>
            <w:vAlign w:val="bottom"/>
          </w:tcPr>
          <w:p w14:paraId="178D21EA">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25.62</w:t>
            </w:r>
          </w:p>
        </w:tc>
        <w:tc>
          <w:tcPr>
            <w:tcW w:w="832" w:type="pct"/>
            <w:vAlign w:val="center"/>
          </w:tcPr>
          <w:p w14:paraId="2A85CF8C">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rPr>
              <w:t>11</w:t>
            </w:r>
          </w:p>
        </w:tc>
        <w:tc>
          <w:tcPr>
            <w:tcW w:w="1411" w:type="dxa"/>
            <w:vAlign w:val="bottom"/>
          </w:tcPr>
          <w:p w14:paraId="3E6CFE56">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5.38</w:t>
            </w:r>
          </w:p>
        </w:tc>
        <w:tc>
          <w:tcPr>
            <w:tcW w:w="1433" w:type="dxa"/>
            <w:vAlign w:val="bottom"/>
          </w:tcPr>
          <w:p w14:paraId="0331AD56">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324.9</w:t>
            </w:r>
          </w:p>
        </w:tc>
      </w:tr>
      <w:tr w14:paraId="1BF1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30" w:type="pct"/>
            <w:vAlign w:val="center"/>
          </w:tcPr>
          <w:p w14:paraId="4F8EC570">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3</w:t>
            </w:r>
          </w:p>
        </w:tc>
        <w:tc>
          <w:tcPr>
            <w:tcW w:w="1411" w:type="dxa"/>
            <w:vAlign w:val="bottom"/>
          </w:tcPr>
          <w:p w14:paraId="065CD116">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1.17</w:t>
            </w:r>
          </w:p>
        </w:tc>
        <w:tc>
          <w:tcPr>
            <w:tcW w:w="1416" w:type="dxa"/>
            <w:vAlign w:val="bottom"/>
          </w:tcPr>
          <w:p w14:paraId="2AAAF115">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45.57</w:t>
            </w:r>
          </w:p>
        </w:tc>
        <w:tc>
          <w:tcPr>
            <w:tcW w:w="832" w:type="pct"/>
            <w:vAlign w:val="center"/>
          </w:tcPr>
          <w:p w14:paraId="443FFC19">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rPr>
              <w:t>12</w:t>
            </w:r>
          </w:p>
        </w:tc>
        <w:tc>
          <w:tcPr>
            <w:tcW w:w="1411" w:type="dxa"/>
            <w:vAlign w:val="bottom"/>
          </w:tcPr>
          <w:p w14:paraId="4F041C7F">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7</w:t>
            </w:r>
          </w:p>
        </w:tc>
        <w:tc>
          <w:tcPr>
            <w:tcW w:w="1433" w:type="dxa"/>
            <w:vAlign w:val="bottom"/>
          </w:tcPr>
          <w:p w14:paraId="3D2A7388">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245.09</w:t>
            </w:r>
          </w:p>
        </w:tc>
      </w:tr>
      <w:tr w14:paraId="417F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30" w:type="pct"/>
            <w:vAlign w:val="center"/>
          </w:tcPr>
          <w:p w14:paraId="37657BE4">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4</w:t>
            </w:r>
          </w:p>
        </w:tc>
        <w:tc>
          <w:tcPr>
            <w:tcW w:w="1411" w:type="dxa"/>
            <w:vAlign w:val="bottom"/>
          </w:tcPr>
          <w:p w14:paraId="261E2BC2">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1.61</w:t>
            </w:r>
          </w:p>
        </w:tc>
        <w:tc>
          <w:tcPr>
            <w:tcW w:w="1416" w:type="dxa"/>
            <w:vAlign w:val="bottom"/>
          </w:tcPr>
          <w:p w14:paraId="6054A2DA">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85.47</w:t>
            </w:r>
          </w:p>
        </w:tc>
        <w:tc>
          <w:tcPr>
            <w:tcW w:w="832" w:type="pct"/>
            <w:vAlign w:val="center"/>
          </w:tcPr>
          <w:p w14:paraId="7D197525">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rPr>
              <w:t>13</w:t>
            </w:r>
          </w:p>
        </w:tc>
        <w:tc>
          <w:tcPr>
            <w:tcW w:w="1411" w:type="dxa"/>
            <w:vAlign w:val="bottom"/>
          </w:tcPr>
          <w:p w14:paraId="109BA331">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9.6</w:t>
            </w:r>
          </w:p>
        </w:tc>
        <w:tc>
          <w:tcPr>
            <w:tcW w:w="1433" w:type="dxa"/>
            <w:vAlign w:val="bottom"/>
          </w:tcPr>
          <w:p w14:paraId="383CFFC2">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165.28</w:t>
            </w:r>
          </w:p>
        </w:tc>
      </w:tr>
      <w:tr w14:paraId="7083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30" w:type="pct"/>
            <w:vAlign w:val="center"/>
          </w:tcPr>
          <w:p w14:paraId="22532F15">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5</w:t>
            </w:r>
          </w:p>
        </w:tc>
        <w:tc>
          <w:tcPr>
            <w:tcW w:w="1411" w:type="dxa"/>
            <w:vAlign w:val="bottom"/>
          </w:tcPr>
          <w:p w14:paraId="66D6A0F1">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2.06</w:t>
            </w:r>
          </w:p>
        </w:tc>
        <w:tc>
          <w:tcPr>
            <w:tcW w:w="1416" w:type="dxa"/>
            <w:vAlign w:val="bottom"/>
          </w:tcPr>
          <w:p w14:paraId="7779196C">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165.28</w:t>
            </w:r>
          </w:p>
        </w:tc>
        <w:tc>
          <w:tcPr>
            <w:tcW w:w="832" w:type="pct"/>
            <w:vAlign w:val="center"/>
          </w:tcPr>
          <w:p w14:paraId="49C14E04">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rPr>
              <w:t>14</w:t>
            </w:r>
          </w:p>
        </w:tc>
        <w:tc>
          <w:tcPr>
            <w:tcW w:w="1411" w:type="dxa"/>
            <w:vAlign w:val="bottom"/>
          </w:tcPr>
          <w:p w14:paraId="680BE1CA">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16.15</w:t>
            </w:r>
          </w:p>
        </w:tc>
        <w:tc>
          <w:tcPr>
            <w:tcW w:w="1433" w:type="dxa"/>
            <w:vAlign w:val="bottom"/>
          </w:tcPr>
          <w:p w14:paraId="6132DB31">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85.47</w:t>
            </w:r>
          </w:p>
        </w:tc>
      </w:tr>
      <w:tr w14:paraId="35DA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30" w:type="pct"/>
            <w:vAlign w:val="center"/>
          </w:tcPr>
          <w:p w14:paraId="698F9641">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6</w:t>
            </w:r>
          </w:p>
        </w:tc>
        <w:tc>
          <w:tcPr>
            <w:tcW w:w="1411" w:type="dxa"/>
            <w:vAlign w:val="bottom"/>
          </w:tcPr>
          <w:p w14:paraId="451B114B">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2.51</w:t>
            </w:r>
          </w:p>
        </w:tc>
        <w:tc>
          <w:tcPr>
            <w:tcW w:w="1416" w:type="dxa"/>
            <w:vAlign w:val="bottom"/>
          </w:tcPr>
          <w:p w14:paraId="6450126E">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245.09</w:t>
            </w:r>
          </w:p>
        </w:tc>
        <w:tc>
          <w:tcPr>
            <w:tcW w:w="832" w:type="pct"/>
            <w:vAlign w:val="center"/>
          </w:tcPr>
          <w:p w14:paraId="6FF51090">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rPr>
              <w:t>15</w:t>
            </w:r>
          </w:p>
        </w:tc>
        <w:tc>
          <w:tcPr>
            <w:tcW w:w="1411" w:type="dxa"/>
            <w:vAlign w:val="bottom"/>
          </w:tcPr>
          <w:p w14:paraId="5F46FDF5">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23.33</w:t>
            </w:r>
          </w:p>
        </w:tc>
        <w:tc>
          <w:tcPr>
            <w:tcW w:w="1433" w:type="dxa"/>
            <w:vAlign w:val="bottom"/>
          </w:tcPr>
          <w:p w14:paraId="7949D586">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45.57</w:t>
            </w:r>
          </w:p>
        </w:tc>
      </w:tr>
      <w:tr w14:paraId="0878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30" w:type="pct"/>
            <w:vAlign w:val="center"/>
          </w:tcPr>
          <w:p w14:paraId="060D022B">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7</w:t>
            </w:r>
          </w:p>
        </w:tc>
        <w:tc>
          <w:tcPr>
            <w:tcW w:w="1411" w:type="dxa"/>
            <w:vAlign w:val="bottom"/>
          </w:tcPr>
          <w:p w14:paraId="4C7FA54D">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2.96</w:t>
            </w:r>
          </w:p>
        </w:tc>
        <w:tc>
          <w:tcPr>
            <w:tcW w:w="1416" w:type="dxa"/>
            <w:vAlign w:val="bottom"/>
          </w:tcPr>
          <w:p w14:paraId="2FCF2425">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324.9</w:t>
            </w:r>
          </w:p>
        </w:tc>
        <w:tc>
          <w:tcPr>
            <w:tcW w:w="832" w:type="pct"/>
            <w:vAlign w:val="center"/>
          </w:tcPr>
          <w:p w14:paraId="4E51CA0D">
            <w:pPr>
              <w:pStyle w:val="78"/>
              <w:spacing w:line="240" w:lineRule="auto"/>
              <w:ind w:firstLine="0" w:firstLineChars="0"/>
              <w:rPr>
                <w:rFonts w:hint="default" w:ascii="Times New Roman" w:hAnsi="Times New Roman" w:eastAsia="宋体" w:cs="Times New Roman"/>
                <w:iCs/>
                <w:color w:val="auto"/>
                <w:sz w:val="21"/>
              </w:rPr>
            </w:pPr>
          </w:p>
        </w:tc>
        <w:tc>
          <w:tcPr>
            <w:tcW w:w="830" w:type="pct"/>
            <w:vAlign w:val="center"/>
          </w:tcPr>
          <w:p w14:paraId="3AD981FB">
            <w:pPr>
              <w:pStyle w:val="78"/>
              <w:spacing w:line="240" w:lineRule="auto"/>
              <w:ind w:firstLine="0" w:firstLineChars="0"/>
              <w:rPr>
                <w:rFonts w:hint="default" w:ascii="Times New Roman" w:hAnsi="Times New Roman" w:eastAsia="宋体" w:cs="Times New Roman"/>
                <w:iCs/>
                <w:color w:val="auto"/>
                <w:sz w:val="21"/>
              </w:rPr>
            </w:pPr>
          </w:p>
        </w:tc>
        <w:tc>
          <w:tcPr>
            <w:tcW w:w="842" w:type="pct"/>
            <w:vAlign w:val="center"/>
          </w:tcPr>
          <w:p w14:paraId="0E3A0500">
            <w:pPr>
              <w:pStyle w:val="78"/>
              <w:spacing w:line="240" w:lineRule="auto"/>
              <w:ind w:firstLine="0" w:firstLineChars="0"/>
              <w:rPr>
                <w:rFonts w:hint="default" w:ascii="Times New Roman" w:hAnsi="Times New Roman" w:eastAsia="宋体" w:cs="Times New Roman"/>
                <w:iCs/>
                <w:color w:val="auto"/>
                <w:sz w:val="21"/>
              </w:rPr>
            </w:pPr>
          </w:p>
        </w:tc>
      </w:tr>
      <w:tr w14:paraId="13AC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30" w:type="pct"/>
            <w:vAlign w:val="center"/>
          </w:tcPr>
          <w:p w14:paraId="693F845A">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8</w:t>
            </w:r>
          </w:p>
        </w:tc>
        <w:tc>
          <w:tcPr>
            <w:tcW w:w="1411" w:type="dxa"/>
            <w:vAlign w:val="bottom"/>
          </w:tcPr>
          <w:p w14:paraId="6771EDC4">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3.23</w:t>
            </w:r>
          </w:p>
        </w:tc>
        <w:tc>
          <w:tcPr>
            <w:tcW w:w="1416" w:type="dxa"/>
            <w:vAlign w:val="bottom"/>
          </w:tcPr>
          <w:p w14:paraId="43190E8A">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384.75</w:t>
            </w:r>
          </w:p>
        </w:tc>
        <w:tc>
          <w:tcPr>
            <w:tcW w:w="832" w:type="pct"/>
            <w:vAlign w:val="center"/>
          </w:tcPr>
          <w:p w14:paraId="30F7B508">
            <w:pPr>
              <w:pStyle w:val="78"/>
              <w:spacing w:line="240" w:lineRule="auto"/>
              <w:ind w:firstLine="0" w:firstLineChars="0"/>
              <w:rPr>
                <w:rFonts w:hint="default" w:ascii="Times New Roman" w:hAnsi="Times New Roman" w:eastAsia="宋体" w:cs="Times New Roman"/>
                <w:iCs/>
                <w:color w:val="auto"/>
                <w:sz w:val="21"/>
              </w:rPr>
            </w:pPr>
          </w:p>
        </w:tc>
        <w:tc>
          <w:tcPr>
            <w:tcW w:w="830" w:type="pct"/>
            <w:vAlign w:val="center"/>
          </w:tcPr>
          <w:p w14:paraId="0C3935F3">
            <w:pPr>
              <w:pStyle w:val="78"/>
              <w:spacing w:line="240" w:lineRule="auto"/>
              <w:ind w:firstLine="0" w:firstLineChars="0"/>
              <w:rPr>
                <w:rFonts w:hint="default" w:ascii="Times New Roman" w:hAnsi="Times New Roman" w:eastAsia="宋体" w:cs="Times New Roman"/>
                <w:iCs/>
                <w:color w:val="auto"/>
                <w:sz w:val="21"/>
              </w:rPr>
            </w:pPr>
          </w:p>
        </w:tc>
        <w:tc>
          <w:tcPr>
            <w:tcW w:w="842" w:type="pct"/>
            <w:vAlign w:val="center"/>
          </w:tcPr>
          <w:p w14:paraId="36CB5D58">
            <w:pPr>
              <w:pStyle w:val="78"/>
              <w:spacing w:line="240" w:lineRule="auto"/>
              <w:ind w:firstLine="0" w:firstLineChars="0"/>
              <w:rPr>
                <w:rFonts w:hint="default" w:ascii="Times New Roman" w:hAnsi="Times New Roman" w:eastAsia="宋体" w:cs="Times New Roman"/>
                <w:iCs/>
                <w:color w:val="auto"/>
                <w:sz w:val="21"/>
              </w:rPr>
            </w:pPr>
          </w:p>
        </w:tc>
      </w:tr>
      <w:tr w14:paraId="3DE7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30" w:type="pct"/>
            <w:vAlign w:val="center"/>
          </w:tcPr>
          <w:p w14:paraId="43BFAE64">
            <w:pPr>
              <w:pStyle w:val="78"/>
              <w:spacing w:line="240" w:lineRule="auto"/>
              <w:ind w:firstLine="0" w:firstLineChars="0"/>
              <w:rPr>
                <w:rFonts w:hint="default" w:ascii="Times New Roman" w:hAnsi="Times New Roman" w:cs="Times New Roman"/>
                <w:iCs/>
                <w:color w:val="auto"/>
                <w:sz w:val="21"/>
              </w:rPr>
            </w:pPr>
            <w:r>
              <w:rPr>
                <w:rFonts w:hint="default" w:ascii="Times New Roman" w:hAnsi="Times New Roman" w:cs="Times New Roman"/>
                <w:iCs/>
                <w:color w:val="auto"/>
                <w:sz w:val="21"/>
              </w:rPr>
              <w:t>9</w:t>
            </w:r>
          </w:p>
        </w:tc>
        <w:tc>
          <w:tcPr>
            <w:tcW w:w="1411" w:type="dxa"/>
            <w:vAlign w:val="bottom"/>
          </w:tcPr>
          <w:p w14:paraId="58A5101A">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3.59</w:t>
            </w:r>
          </w:p>
        </w:tc>
        <w:tc>
          <w:tcPr>
            <w:tcW w:w="1416" w:type="dxa"/>
            <w:vAlign w:val="bottom"/>
          </w:tcPr>
          <w:p w14:paraId="7B979152">
            <w:pPr>
              <w:pStyle w:val="78"/>
              <w:spacing w:line="240" w:lineRule="auto"/>
              <w:ind w:firstLine="0" w:firstLineChars="0"/>
              <w:rPr>
                <w:rFonts w:hint="default" w:ascii="Times New Roman" w:hAnsi="Times New Roman" w:eastAsia="宋体" w:cs="Times New Roman"/>
                <w:iCs/>
                <w:color w:val="auto"/>
                <w:sz w:val="21"/>
              </w:rPr>
            </w:pPr>
            <w:r>
              <w:rPr>
                <w:rFonts w:hint="default" w:ascii="Times New Roman" w:hAnsi="Times New Roman" w:eastAsia="宋体" w:cs="Times New Roman"/>
                <w:iCs/>
                <w:color w:val="auto"/>
                <w:sz w:val="21"/>
                <w:lang w:val="en-US" w:eastAsia="zh-CN"/>
              </w:rPr>
              <w:t>399.04</w:t>
            </w:r>
          </w:p>
        </w:tc>
        <w:tc>
          <w:tcPr>
            <w:tcW w:w="832" w:type="pct"/>
            <w:vAlign w:val="center"/>
          </w:tcPr>
          <w:p w14:paraId="5099FBF5">
            <w:pPr>
              <w:pStyle w:val="78"/>
              <w:spacing w:line="240" w:lineRule="auto"/>
              <w:ind w:firstLine="0" w:firstLineChars="0"/>
              <w:rPr>
                <w:rFonts w:hint="default" w:ascii="Times New Roman" w:hAnsi="Times New Roman" w:eastAsia="宋体" w:cs="Times New Roman"/>
                <w:iCs/>
                <w:color w:val="auto"/>
                <w:sz w:val="21"/>
              </w:rPr>
            </w:pPr>
          </w:p>
        </w:tc>
        <w:tc>
          <w:tcPr>
            <w:tcW w:w="830" w:type="pct"/>
            <w:vAlign w:val="center"/>
          </w:tcPr>
          <w:p w14:paraId="73FECFB1">
            <w:pPr>
              <w:pStyle w:val="78"/>
              <w:spacing w:line="240" w:lineRule="auto"/>
              <w:ind w:firstLine="0" w:firstLineChars="0"/>
              <w:rPr>
                <w:rFonts w:hint="default" w:ascii="Times New Roman" w:hAnsi="Times New Roman" w:eastAsia="宋体" w:cs="Times New Roman"/>
                <w:iCs/>
                <w:color w:val="auto"/>
                <w:sz w:val="21"/>
              </w:rPr>
            </w:pPr>
          </w:p>
        </w:tc>
        <w:tc>
          <w:tcPr>
            <w:tcW w:w="842" w:type="pct"/>
            <w:vAlign w:val="center"/>
          </w:tcPr>
          <w:p w14:paraId="05CC13D1">
            <w:pPr>
              <w:pStyle w:val="78"/>
              <w:spacing w:line="240" w:lineRule="auto"/>
              <w:ind w:firstLine="0" w:firstLineChars="0"/>
              <w:rPr>
                <w:rFonts w:hint="default" w:ascii="Times New Roman" w:hAnsi="Times New Roman" w:eastAsia="宋体" w:cs="Times New Roman"/>
                <w:iCs/>
                <w:color w:val="auto"/>
                <w:sz w:val="21"/>
              </w:rPr>
            </w:pPr>
          </w:p>
        </w:tc>
      </w:tr>
    </w:tbl>
    <w:p w14:paraId="6603E705">
      <w:pPr>
        <w:pStyle w:val="11"/>
        <w:ind w:firstLine="480"/>
        <w:rPr>
          <w:rFonts w:hint="default" w:ascii="Times New Roman" w:hAnsi="Times New Roman" w:cs="Times New Roman"/>
          <w:color w:val="auto"/>
        </w:rPr>
      </w:pPr>
      <w:r>
        <w:rPr>
          <w:color w:val="auto"/>
        </w:rPr>
        <w:drawing>
          <wp:inline distT="0" distB="0" distL="114300" distR="114300">
            <wp:extent cx="4826000" cy="2743200"/>
            <wp:effectExtent l="4445" t="4445" r="8255" b="14605"/>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50B20D">
      <w:pPr>
        <w:pStyle w:val="5"/>
        <w:spacing w:before="156" w:after="156"/>
        <w:ind w:firstLine="562"/>
        <w:rPr>
          <w:rFonts w:hint="default" w:ascii="Times New Roman" w:hAnsi="Times New Roman" w:cs="Times New Roman"/>
          <w:color w:val="auto"/>
        </w:rPr>
      </w:pPr>
      <w:bookmarkStart w:id="43" w:name="_Toc78769047"/>
      <w:bookmarkStart w:id="44" w:name="_Toc26832237"/>
      <w:bookmarkStart w:id="45" w:name="_Toc26832051"/>
      <w:bookmarkStart w:id="46" w:name="_Toc5074"/>
      <w:bookmarkStart w:id="47" w:name="_Toc20280"/>
      <w:r>
        <w:rPr>
          <w:rFonts w:hint="default" w:ascii="Times New Roman" w:hAnsi="Times New Roman" w:cs="Times New Roman"/>
          <w:color w:val="auto"/>
        </w:rPr>
        <w:t>4.4.3 控制断面水位流量关系</w:t>
      </w:r>
      <w:bookmarkEnd w:id="43"/>
      <w:bookmarkEnd w:id="44"/>
      <w:bookmarkEnd w:id="45"/>
      <w:bookmarkEnd w:id="46"/>
      <w:bookmarkEnd w:id="47"/>
    </w:p>
    <w:p w14:paraId="13799FDD">
      <w:pPr>
        <w:ind w:firstLine="560"/>
        <w:rPr>
          <w:rFonts w:hint="default" w:ascii="Times New Roman" w:hAnsi="Times New Roman" w:cs="Times New Roman"/>
          <w:color w:val="auto"/>
        </w:rPr>
      </w:pPr>
      <w:bookmarkStart w:id="48" w:name="_Toc26832241"/>
      <w:bookmarkStart w:id="49" w:name="_Toc26832055"/>
      <w:bookmarkStart w:id="50" w:name="_Toc29755"/>
      <w:r>
        <w:rPr>
          <w:rFonts w:hint="default" w:ascii="Times New Roman" w:hAnsi="Times New Roman" w:cs="Times New Roman"/>
          <w:color w:val="auto"/>
          <w:szCs w:val="28"/>
        </w:rPr>
        <w:t>根据水面线计算要求需提供划界范围末尾控制断面（</w:t>
      </w:r>
      <w:r>
        <w:rPr>
          <w:rFonts w:hint="default" w:ascii="Times New Roman" w:hAnsi="Times New Roman" w:cs="Times New Roman"/>
          <w:color w:val="auto"/>
        </w:rPr>
        <w:t>YYH-1</w:t>
      </w:r>
      <w:r>
        <w:rPr>
          <w:rFonts w:hint="default" w:ascii="Times New Roman" w:hAnsi="Times New Roman" w:cs="Times New Roman"/>
          <w:color w:val="auto"/>
          <w:szCs w:val="28"/>
        </w:rPr>
        <w:t>）水位流量关系曲线，该断面无实测水位、流量资料，本次采用水力学公式计算。</w:t>
      </w:r>
    </w:p>
    <w:p w14:paraId="184AE4F1">
      <w:pPr>
        <w:ind w:firstLine="560"/>
        <w:rPr>
          <w:rFonts w:hint="default" w:ascii="Times New Roman" w:hAnsi="Times New Roman" w:cs="Times New Roman"/>
          <w:color w:val="auto"/>
          <w:szCs w:val="28"/>
        </w:rPr>
      </w:pPr>
      <w:r>
        <w:rPr>
          <w:rFonts w:hint="default" w:ascii="Times New Roman" w:hAnsi="Times New Roman" w:cs="Times New Roman"/>
          <w:color w:val="auto"/>
          <w:szCs w:val="28"/>
        </w:rPr>
        <w:t>计算公式为：</w:t>
      </w:r>
    </w:p>
    <w:p w14:paraId="5E7DA32B">
      <w:pPr>
        <w:spacing w:line="240" w:lineRule="auto"/>
        <w:ind w:firstLine="0" w:firstLineChars="0"/>
        <w:jc w:val="center"/>
        <w:rPr>
          <w:rFonts w:hint="default" w:ascii="Times New Roman" w:hAnsi="Times New Roman" w:cs="Times New Roman"/>
          <w:color w:val="auto"/>
          <w:szCs w:val="28"/>
        </w:rPr>
      </w:pPr>
      <w:r>
        <w:rPr>
          <w:rFonts w:hint="default" w:ascii="Times New Roman" w:hAnsi="Times New Roman" w:cs="Times New Roman"/>
          <w:color w:val="auto"/>
          <w:szCs w:val="28"/>
        </w:rPr>
        <w:drawing>
          <wp:inline distT="0" distB="0" distL="0" distR="0">
            <wp:extent cx="1019175" cy="390525"/>
            <wp:effectExtent l="0" t="0" r="9525"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19175" cy="390525"/>
                    </a:xfrm>
                    <a:prstGeom prst="rect">
                      <a:avLst/>
                    </a:prstGeom>
                    <a:noFill/>
                    <a:ln>
                      <a:noFill/>
                    </a:ln>
                  </pic:spPr>
                </pic:pic>
              </a:graphicData>
            </a:graphic>
          </wp:inline>
        </w:drawing>
      </w:r>
    </w:p>
    <w:p w14:paraId="0E4F9588">
      <w:pPr>
        <w:ind w:firstLine="560"/>
        <w:rPr>
          <w:rFonts w:hint="default" w:ascii="Times New Roman" w:hAnsi="Times New Roman" w:cs="Times New Roman"/>
          <w:color w:val="auto"/>
          <w:szCs w:val="28"/>
        </w:rPr>
      </w:pPr>
      <w:r>
        <w:rPr>
          <w:rFonts w:hint="default" w:ascii="Times New Roman" w:hAnsi="Times New Roman" w:cs="Times New Roman"/>
          <w:color w:val="auto"/>
          <w:szCs w:val="28"/>
        </w:rPr>
        <w:t>式中：</w:t>
      </w:r>
    </w:p>
    <w:p w14:paraId="17C42A3B">
      <w:pPr>
        <w:ind w:firstLine="1400" w:firstLineChars="500"/>
        <w:rPr>
          <w:rFonts w:hint="default" w:ascii="Times New Roman" w:hAnsi="Times New Roman" w:cs="Times New Roman"/>
          <w:color w:val="auto"/>
          <w:szCs w:val="28"/>
        </w:rPr>
      </w:pPr>
      <w:r>
        <w:rPr>
          <w:rFonts w:hint="default" w:ascii="Times New Roman" w:hAnsi="Times New Roman" w:cs="Times New Roman"/>
          <w:color w:val="auto"/>
          <w:szCs w:val="28"/>
        </w:rPr>
        <w:drawing>
          <wp:inline distT="0" distB="0" distL="0" distR="0">
            <wp:extent cx="152400" cy="209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2400" cy="209550"/>
                    </a:xfrm>
                    <a:prstGeom prst="rect">
                      <a:avLst/>
                    </a:prstGeom>
                    <a:noFill/>
                    <a:ln>
                      <a:noFill/>
                    </a:ln>
                  </pic:spPr>
                </pic:pic>
              </a:graphicData>
            </a:graphic>
          </wp:inline>
        </w:drawing>
      </w:r>
      <w:r>
        <w:rPr>
          <w:rFonts w:hint="default" w:ascii="Times New Roman" w:hAnsi="Times New Roman" w:cs="Times New Roman"/>
          <w:color w:val="auto"/>
          <w:szCs w:val="28"/>
        </w:rPr>
        <w:t>--流量（m³/s），</w:t>
      </w:r>
    </w:p>
    <w:p w14:paraId="52620849">
      <w:pPr>
        <w:ind w:firstLine="1400" w:firstLineChars="500"/>
        <w:rPr>
          <w:rFonts w:hint="default" w:ascii="Times New Roman" w:hAnsi="Times New Roman" w:cs="Times New Roman"/>
          <w:color w:val="auto"/>
          <w:szCs w:val="28"/>
        </w:rPr>
      </w:pPr>
      <w:r>
        <w:rPr>
          <w:rFonts w:hint="default" w:ascii="Times New Roman" w:hAnsi="Times New Roman" w:cs="Times New Roman"/>
          <w:color w:val="auto"/>
          <w:szCs w:val="28"/>
        </w:rPr>
        <w:drawing>
          <wp:inline distT="0" distB="0" distL="0" distR="0">
            <wp:extent cx="133350" cy="142875"/>
            <wp:effectExtent l="0" t="0" r="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33350" cy="142875"/>
                    </a:xfrm>
                    <a:prstGeom prst="rect">
                      <a:avLst/>
                    </a:prstGeom>
                    <a:noFill/>
                    <a:ln>
                      <a:noFill/>
                    </a:ln>
                  </pic:spPr>
                </pic:pic>
              </a:graphicData>
            </a:graphic>
          </wp:inline>
        </w:drawing>
      </w:r>
      <w:r>
        <w:rPr>
          <w:rFonts w:hint="default" w:ascii="Times New Roman" w:hAnsi="Times New Roman" w:cs="Times New Roman"/>
          <w:color w:val="auto"/>
          <w:szCs w:val="28"/>
        </w:rPr>
        <w:t>--糙率，</w:t>
      </w:r>
    </w:p>
    <w:p w14:paraId="5361DAA7">
      <w:pPr>
        <w:ind w:firstLine="1400" w:firstLineChars="500"/>
        <w:rPr>
          <w:rFonts w:hint="default" w:ascii="Times New Roman" w:hAnsi="Times New Roman" w:cs="Times New Roman"/>
          <w:color w:val="auto"/>
          <w:szCs w:val="28"/>
        </w:rPr>
      </w:pPr>
      <w:r>
        <w:rPr>
          <w:rFonts w:hint="default" w:ascii="Times New Roman" w:hAnsi="Times New Roman" w:cs="Times New Roman"/>
          <w:color w:val="auto"/>
          <w:szCs w:val="28"/>
        </w:rPr>
        <w:drawing>
          <wp:inline distT="0" distB="0" distL="0" distR="0">
            <wp:extent cx="152400" cy="16192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Pr>
          <w:rFonts w:hint="default" w:ascii="Times New Roman" w:hAnsi="Times New Roman" w:cs="Times New Roman"/>
          <w:color w:val="auto"/>
          <w:szCs w:val="28"/>
        </w:rPr>
        <w:t>--过水面积（m²），</w:t>
      </w:r>
    </w:p>
    <w:p w14:paraId="23EF4138">
      <w:pPr>
        <w:ind w:firstLine="1400" w:firstLineChars="500"/>
        <w:rPr>
          <w:rFonts w:hint="default" w:ascii="Times New Roman" w:hAnsi="Times New Roman" w:cs="Times New Roman"/>
          <w:color w:val="auto"/>
          <w:szCs w:val="28"/>
        </w:rPr>
      </w:pPr>
      <w:r>
        <w:rPr>
          <w:rFonts w:hint="default" w:ascii="Times New Roman" w:hAnsi="Times New Roman" w:cs="Times New Roman"/>
          <w:color w:val="auto"/>
          <w:szCs w:val="28"/>
        </w:rPr>
        <w:drawing>
          <wp:inline distT="0" distB="0" distL="0" distR="0">
            <wp:extent cx="133350" cy="16192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3350" cy="161925"/>
                    </a:xfrm>
                    <a:prstGeom prst="rect">
                      <a:avLst/>
                    </a:prstGeom>
                    <a:noFill/>
                    <a:ln>
                      <a:noFill/>
                    </a:ln>
                  </pic:spPr>
                </pic:pic>
              </a:graphicData>
            </a:graphic>
          </wp:inline>
        </w:drawing>
      </w:r>
      <w:r>
        <w:rPr>
          <w:rFonts w:hint="default" w:ascii="Times New Roman" w:hAnsi="Times New Roman" w:cs="Times New Roman"/>
          <w:color w:val="auto"/>
          <w:szCs w:val="28"/>
        </w:rPr>
        <w:t>--水面比降，</w:t>
      </w:r>
    </w:p>
    <w:p w14:paraId="4EF262AF">
      <w:pPr>
        <w:ind w:firstLine="1400" w:firstLineChars="500"/>
        <w:rPr>
          <w:rFonts w:hint="default" w:ascii="Times New Roman" w:hAnsi="Times New Roman" w:cs="Times New Roman"/>
          <w:color w:val="auto"/>
          <w:szCs w:val="28"/>
        </w:rPr>
      </w:pPr>
      <w:r>
        <w:rPr>
          <w:rFonts w:hint="default" w:ascii="Times New Roman" w:hAnsi="Times New Roman" w:cs="Times New Roman"/>
          <w:color w:val="auto"/>
          <w:szCs w:val="28"/>
        </w:rPr>
        <w:drawing>
          <wp:inline distT="0" distB="0" distL="0" distR="0">
            <wp:extent cx="152400" cy="161925"/>
            <wp:effectExtent l="0" t="0" r="0"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Pr>
          <w:rFonts w:hint="default" w:ascii="Times New Roman" w:hAnsi="Times New Roman" w:cs="Times New Roman"/>
          <w:color w:val="auto"/>
          <w:szCs w:val="28"/>
        </w:rPr>
        <w:t>--水力半径（m）。</w:t>
      </w:r>
    </w:p>
    <w:p w14:paraId="494EB1B0">
      <w:pPr>
        <w:ind w:firstLine="560"/>
        <w:rPr>
          <w:rFonts w:hint="default" w:ascii="Times New Roman" w:hAnsi="Times New Roman" w:cs="Times New Roman"/>
          <w:color w:val="auto"/>
          <w:szCs w:val="28"/>
        </w:rPr>
      </w:pPr>
      <w:r>
        <w:rPr>
          <w:rFonts w:hint="default" w:ascii="Times New Roman" w:hAnsi="Times New Roman" w:cs="Times New Roman"/>
          <w:color w:val="auto"/>
          <w:szCs w:val="28"/>
        </w:rPr>
        <w:t>水面比降依据河道比降、实测水边线比降及汛期调查洪水比降综合选取。糙率根据河段实际情况，并参考邻近工程糙率取值确定在n=0.038，</w:t>
      </w:r>
      <w:r>
        <w:rPr>
          <w:rFonts w:hint="default" w:ascii="Times New Roman" w:hAnsi="Times New Roman" w:cs="Times New Roman"/>
          <w:color w:val="auto"/>
        </w:rPr>
        <w:t>YYH-1</w:t>
      </w:r>
      <w:r>
        <w:rPr>
          <w:rFonts w:hint="default" w:ascii="Times New Roman" w:hAnsi="Times New Roman" w:cs="Times New Roman"/>
          <w:color w:val="auto"/>
          <w:szCs w:val="28"/>
        </w:rPr>
        <w:t>断面水位流量关系曲线见表4.3-1。</w:t>
      </w:r>
    </w:p>
    <w:p w14:paraId="30E45D17">
      <w:pPr>
        <w:ind w:firstLine="0" w:firstLineChars="0"/>
        <w:jc w:val="center"/>
        <w:rPr>
          <w:rFonts w:hint="default" w:ascii="Times New Roman" w:hAnsi="Times New Roman" w:eastAsia="黑体" w:cs="Times New Roman"/>
          <w:color w:val="auto"/>
        </w:rPr>
      </w:pPr>
      <w:r>
        <w:rPr>
          <w:rFonts w:hint="default" w:ascii="Times New Roman" w:hAnsi="Times New Roman" w:cs="Times New Roman"/>
          <w:color w:val="auto"/>
        </w:rPr>
        <w:t xml:space="preserve">表4.3-1   </w:t>
      </w:r>
      <w:r>
        <w:rPr>
          <w:rFonts w:hint="default" w:ascii="Times New Roman" w:hAnsi="Times New Roman" w:eastAsia="黑体" w:cs="Times New Roman"/>
          <w:color w:val="auto"/>
        </w:rPr>
        <w:t>控制断面水位流量关系曲线成果表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7"/>
        <w:gridCol w:w="2108"/>
        <w:gridCol w:w="2137"/>
        <w:gridCol w:w="2137"/>
      </w:tblGrid>
      <w:tr w14:paraId="4706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254" w:type="pct"/>
            <w:shd w:val="clear" w:color="auto" w:fill="auto"/>
            <w:noWrap/>
            <w:vAlign w:val="center"/>
          </w:tcPr>
          <w:p w14:paraId="13146197">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水位（m）</w:t>
            </w:r>
          </w:p>
        </w:tc>
        <w:tc>
          <w:tcPr>
            <w:tcW w:w="1237" w:type="pct"/>
            <w:shd w:val="clear" w:color="auto" w:fill="auto"/>
            <w:noWrap/>
            <w:vAlign w:val="center"/>
          </w:tcPr>
          <w:p w14:paraId="5D93F1E6">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流量（m³/s）</w:t>
            </w:r>
          </w:p>
        </w:tc>
        <w:tc>
          <w:tcPr>
            <w:tcW w:w="1254" w:type="pct"/>
            <w:shd w:val="clear" w:color="auto" w:fill="auto"/>
            <w:noWrap/>
            <w:vAlign w:val="center"/>
          </w:tcPr>
          <w:p w14:paraId="6BFCD82F">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水位（m）</w:t>
            </w:r>
          </w:p>
        </w:tc>
        <w:tc>
          <w:tcPr>
            <w:tcW w:w="1254" w:type="pct"/>
            <w:shd w:val="clear" w:color="auto" w:fill="auto"/>
            <w:noWrap/>
            <w:vAlign w:val="center"/>
          </w:tcPr>
          <w:p w14:paraId="4660DECE">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流量（m³/s）</w:t>
            </w:r>
          </w:p>
        </w:tc>
      </w:tr>
      <w:tr w14:paraId="5DAF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254" w:type="pct"/>
            <w:shd w:val="clear" w:color="auto" w:fill="auto"/>
            <w:noWrap/>
            <w:vAlign w:val="center"/>
          </w:tcPr>
          <w:p w14:paraId="29D9E09B">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 xml:space="preserve">1174.80 </w:t>
            </w:r>
          </w:p>
        </w:tc>
        <w:tc>
          <w:tcPr>
            <w:tcW w:w="1237" w:type="pct"/>
            <w:shd w:val="clear" w:color="auto" w:fill="auto"/>
            <w:noWrap/>
            <w:vAlign w:val="center"/>
          </w:tcPr>
          <w:p w14:paraId="541762AB">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 xml:space="preserve">0.00 </w:t>
            </w:r>
          </w:p>
        </w:tc>
        <w:tc>
          <w:tcPr>
            <w:tcW w:w="1254" w:type="pct"/>
            <w:shd w:val="clear" w:color="auto" w:fill="auto"/>
            <w:noWrap/>
            <w:vAlign w:val="center"/>
          </w:tcPr>
          <w:p w14:paraId="0A655A8F">
            <w:pPr>
              <w:pStyle w:val="39"/>
              <w:spacing w:before="0" w:beforeLines="0"/>
              <w:textAlignment w:val="center"/>
              <w:rPr>
                <w:rFonts w:hint="default" w:ascii="Times New Roman" w:hAnsi="Times New Roman" w:eastAsia="宋体" w:cs="Times New Roman"/>
                <w:iCs/>
                <w:color w:val="auto"/>
                <w:sz w:val="21"/>
                <w:lang w:val="en-US" w:eastAsia="zh-CN" w:bidi="ar-SA"/>
              </w:rPr>
            </w:pPr>
            <w:r>
              <w:rPr>
                <w:rFonts w:hint="default" w:ascii="Times New Roman" w:hAnsi="Times New Roman" w:cs="Times New Roman"/>
                <w:color w:val="auto"/>
              </w:rPr>
              <w:t xml:space="preserve">1178.00 </w:t>
            </w:r>
          </w:p>
        </w:tc>
        <w:tc>
          <w:tcPr>
            <w:tcW w:w="1254" w:type="pct"/>
            <w:shd w:val="clear" w:color="auto" w:fill="auto"/>
            <w:noWrap/>
            <w:vAlign w:val="center"/>
          </w:tcPr>
          <w:p w14:paraId="3E39E23E">
            <w:pPr>
              <w:pStyle w:val="39"/>
              <w:spacing w:before="0" w:beforeLines="0"/>
              <w:textAlignment w:val="center"/>
              <w:rPr>
                <w:rFonts w:hint="default" w:ascii="Times New Roman" w:hAnsi="Times New Roman" w:eastAsia="宋体" w:cs="Times New Roman"/>
                <w:iCs/>
                <w:color w:val="auto"/>
                <w:sz w:val="21"/>
                <w:lang w:val="en-US" w:eastAsia="zh-CN" w:bidi="ar-SA"/>
              </w:rPr>
            </w:pPr>
            <w:r>
              <w:rPr>
                <w:rFonts w:hint="default" w:ascii="Times New Roman" w:hAnsi="Times New Roman" w:cs="Times New Roman"/>
                <w:color w:val="auto"/>
              </w:rPr>
              <w:t xml:space="preserve">104 </w:t>
            </w:r>
          </w:p>
        </w:tc>
      </w:tr>
      <w:tr w14:paraId="4421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254" w:type="pct"/>
            <w:shd w:val="clear" w:color="auto" w:fill="auto"/>
            <w:noWrap/>
            <w:vAlign w:val="center"/>
          </w:tcPr>
          <w:p w14:paraId="4A5368E4">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 xml:space="preserve">1175.20 </w:t>
            </w:r>
          </w:p>
        </w:tc>
        <w:tc>
          <w:tcPr>
            <w:tcW w:w="1237" w:type="pct"/>
            <w:shd w:val="clear" w:color="auto" w:fill="auto"/>
            <w:noWrap/>
            <w:vAlign w:val="center"/>
          </w:tcPr>
          <w:p w14:paraId="685322EC">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 xml:space="preserve">0.419 </w:t>
            </w:r>
          </w:p>
        </w:tc>
        <w:tc>
          <w:tcPr>
            <w:tcW w:w="1254" w:type="pct"/>
            <w:shd w:val="clear" w:color="auto" w:fill="auto"/>
            <w:noWrap/>
            <w:vAlign w:val="center"/>
          </w:tcPr>
          <w:p w14:paraId="1E2801FB">
            <w:pPr>
              <w:pStyle w:val="39"/>
              <w:spacing w:before="0" w:beforeLines="0"/>
              <w:textAlignment w:val="center"/>
              <w:rPr>
                <w:rFonts w:hint="default" w:ascii="Times New Roman" w:hAnsi="Times New Roman" w:eastAsia="宋体" w:cs="Times New Roman"/>
                <w:iCs/>
                <w:color w:val="auto"/>
                <w:sz w:val="21"/>
                <w:lang w:val="en-US" w:eastAsia="zh-CN" w:bidi="ar-SA"/>
              </w:rPr>
            </w:pPr>
            <w:r>
              <w:rPr>
                <w:rFonts w:hint="default" w:ascii="Times New Roman" w:hAnsi="Times New Roman" w:cs="Times New Roman"/>
                <w:color w:val="auto"/>
              </w:rPr>
              <w:t xml:space="preserve">1178.40 </w:t>
            </w:r>
          </w:p>
        </w:tc>
        <w:tc>
          <w:tcPr>
            <w:tcW w:w="1254" w:type="pct"/>
            <w:shd w:val="clear" w:color="auto" w:fill="auto"/>
            <w:noWrap/>
            <w:vAlign w:val="center"/>
          </w:tcPr>
          <w:p w14:paraId="6566AC7B">
            <w:pPr>
              <w:pStyle w:val="39"/>
              <w:spacing w:before="0" w:beforeLines="0"/>
              <w:textAlignment w:val="center"/>
              <w:rPr>
                <w:rFonts w:hint="default" w:ascii="Times New Roman" w:hAnsi="Times New Roman" w:eastAsia="宋体" w:cs="Times New Roman"/>
                <w:iCs/>
                <w:color w:val="auto"/>
                <w:sz w:val="21"/>
                <w:lang w:val="en-US" w:eastAsia="zh-CN" w:bidi="ar-SA"/>
              </w:rPr>
            </w:pPr>
            <w:r>
              <w:rPr>
                <w:rFonts w:hint="default" w:ascii="Times New Roman" w:hAnsi="Times New Roman" w:cs="Times New Roman"/>
                <w:color w:val="auto"/>
              </w:rPr>
              <w:t xml:space="preserve">176 </w:t>
            </w:r>
          </w:p>
        </w:tc>
      </w:tr>
      <w:tr w14:paraId="5E6C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254" w:type="pct"/>
            <w:shd w:val="clear" w:color="auto" w:fill="auto"/>
            <w:noWrap/>
            <w:vAlign w:val="center"/>
          </w:tcPr>
          <w:p w14:paraId="52D31966">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 xml:space="preserve">1175.60 </w:t>
            </w:r>
          </w:p>
        </w:tc>
        <w:tc>
          <w:tcPr>
            <w:tcW w:w="1237" w:type="pct"/>
            <w:shd w:val="clear" w:color="auto" w:fill="auto"/>
            <w:noWrap/>
            <w:vAlign w:val="center"/>
          </w:tcPr>
          <w:p w14:paraId="05CC65B7">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 xml:space="preserve">1.80 </w:t>
            </w:r>
          </w:p>
        </w:tc>
        <w:tc>
          <w:tcPr>
            <w:tcW w:w="1254" w:type="pct"/>
            <w:shd w:val="clear" w:color="auto" w:fill="auto"/>
            <w:noWrap/>
            <w:vAlign w:val="center"/>
          </w:tcPr>
          <w:p w14:paraId="66657C44">
            <w:pPr>
              <w:pStyle w:val="39"/>
              <w:spacing w:before="0" w:beforeLines="0"/>
              <w:textAlignment w:val="center"/>
              <w:rPr>
                <w:rFonts w:hint="default" w:ascii="Times New Roman" w:hAnsi="Times New Roman" w:eastAsia="宋体" w:cs="Times New Roman"/>
                <w:iCs/>
                <w:color w:val="auto"/>
                <w:sz w:val="21"/>
                <w:lang w:val="en-US" w:eastAsia="zh-CN" w:bidi="ar-SA"/>
              </w:rPr>
            </w:pPr>
            <w:r>
              <w:rPr>
                <w:rFonts w:hint="default" w:ascii="Times New Roman" w:hAnsi="Times New Roman" w:cs="Times New Roman"/>
                <w:color w:val="auto"/>
              </w:rPr>
              <w:t xml:space="preserve">1178.60 </w:t>
            </w:r>
          </w:p>
        </w:tc>
        <w:tc>
          <w:tcPr>
            <w:tcW w:w="1254" w:type="pct"/>
            <w:shd w:val="clear" w:color="auto" w:fill="auto"/>
            <w:noWrap/>
            <w:vAlign w:val="center"/>
          </w:tcPr>
          <w:p w14:paraId="2DDF061A">
            <w:pPr>
              <w:pStyle w:val="39"/>
              <w:spacing w:before="0" w:beforeLines="0"/>
              <w:textAlignment w:val="center"/>
              <w:rPr>
                <w:rFonts w:hint="default" w:ascii="Times New Roman" w:hAnsi="Times New Roman" w:eastAsia="宋体" w:cs="Times New Roman"/>
                <w:iCs/>
                <w:color w:val="auto"/>
                <w:sz w:val="21"/>
                <w:lang w:val="en-US" w:eastAsia="zh-CN" w:bidi="ar-SA"/>
              </w:rPr>
            </w:pPr>
            <w:r>
              <w:rPr>
                <w:rFonts w:hint="default" w:ascii="Times New Roman" w:hAnsi="Times New Roman" w:cs="Times New Roman"/>
                <w:color w:val="auto"/>
              </w:rPr>
              <w:t xml:space="preserve">218 </w:t>
            </w:r>
          </w:p>
        </w:tc>
      </w:tr>
      <w:tr w14:paraId="0030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254" w:type="pct"/>
            <w:shd w:val="clear" w:color="auto" w:fill="auto"/>
            <w:noWrap/>
            <w:vAlign w:val="center"/>
          </w:tcPr>
          <w:p w14:paraId="5FF5D76C">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 xml:space="preserve">1176.00 </w:t>
            </w:r>
          </w:p>
        </w:tc>
        <w:tc>
          <w:tcPr>
            <w:tcW w:w="1237" w:type="pct"/>
            <w:shd w:val="clear" w:color="auto" w:fill="auto"/>
            <w:noWrap/>
            <w:vAlign w:val="center"/>
          </w:tcPr>
          <w:p w14:paraId="66451CFD">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 xml:space="preserve">4.77 </w:t>
            </w:r>
          </w:p>
        </w:tc>
        <w:tc>
          <w:tcPr>
            <w:tcW w:w="1254" w:type="pct"/>
            <w:shd w:val="clear" w:color="auto" w:fill="auto"/>
            <w:noWrap/>
            <w:vAlign w:val="center"/>
          </w:tcPr>
          <w:p w14:paraId="219B952A">
            <w:pPr>
              <w:pStyle w:val="39"/>
              <w:spacing w:before="0" w:beforeLines="0"/>
              <w:textAlignment w:val="center"/>
              <w:rPr>
                <w:rFonts w:hint="default" w:ascii="Times New Roman" w:hAnsi="Times New Roman" w:eastAsia="宋体" w:cs="Times New Roman"/>
                <w:iCs/>
                <w:color w:val="auto"/>
                <w:sz w:val="21"/>
                <w:lang w:val="en-US" w:eastAsia="zh-CN" w:bidi="ar-SA"/>
              </w:rPr>
            </w:pPr>
            <w:r>
              <w:rPr>
                <w:rFonts w:hint="default" w:ascii="Times New Roman" w:hAnsi="Times New Roman" w:cs="Times New Roman"/>
                <w:color w:val="auto"/>
              </w:rPr>
              <w:t xml:space="preserve">1178.80 </w:t>
            </w:r>
          </w:p>
        </w:tc>
        <w:tc>
          <w:tcPr>
            <w:tcW w:w="1254" w:type="pct"/>
            <w:shd w:val="clear" w:color="auto" w:fill="auto"/>
            <w:noWrap/>
            <w:vAlign w:val="center"/>
          </w:tcPr>
          <w:p w14:paraId="5911FF96">
            <w:pPr>
              <w:pStyle w:val="39"/>
              <w:spacing w:before="0" w:beforeLines="0"/>
              <w:textAlignment w:val="center"/>
              <w:rPr>
                <w:rFonts w:hint="default" w:ascii="Times New Roman" w:hAnsi="Times New Roman" w:eastAsia="宋体" w:cs="Times New Roman"/>
                <w:iCs/>
                <w:color w:val="auto"/>
                <w:sz w:val="21"/>
                <w:lang w:val="en-US" w:eastAsia="zh-CN" w:bidi="ar-SA"/>
              </w:rPr>
            </w:pPr>
            <w:r>
              <w:rPr>
                <w:rFonts w:hint="default" w:ascii="Times New Roman" w:hAnsi="Times New Roman" w:cs="Times New Roman"/>
                <w:color w:val="auto"/>
              </w:rPr>
              <w:t xml:space="preserve">264 </w:t>
            </w:r>
          </w:p>
        </w:tc>
      </w:tr>
      <w:tr w14:paraId="5056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254" w:type="pct"/>
            <w:shd w:val="clear" w:color="auto" w:fill="auto"/>
            <w:noWrap/>
            <w:vAlign w:val="center"/>
          </w:tcPr>
          <w:p w14:paraId="08828245">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 xml:space="preserve">1176.40 </w:t>
            </w:r>
          </w:p>
        </w:tc>
        <w:tc>
          <w:tcPr>
            <w:tcW w:w="1237" w:type="pct"/>
            <w:shd w:val="clear" w:color="auto" w:fill="auto"/>
            <w:noWrap/>
            <w:vAlign w:val="center"/>
          </w:tcPr>
          <w:p w14:paraId="28CE1217">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 xml:space="preserve">9.49 </w:t>
            </w:r>
          </w:p>
        </w:tc>
        <w:tc>
          <w:tcPr>
            <w:tcW w:w="1254" w:type="pct"/>
            <w:shd w:val="clear" w:color="auto" w:fill="auto"/>
            <w:noWrap/>
            <w:vAlign w:val="center"/>
          </w:tcPr>
          <w:p w14:paraId="1761E895">
            <w:pPr>
              <w:pStyle w:val="39"/>
              <w:spacing w:before="0" w:beforeLines="0"/>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1179.00 </w:t>
            </w:r>
          </w:p>
        </w:tc>
        <w:tc>
          <w:tcPr>
            <w:tcW w:w="1254" w:type="pct"/>
            <w:shd w:val="clear" w:color="auto" w:fill="auto"/>
            <w:noWrap/>
            <w:vAlign w:val="center"/>
          </w:tcPr>
          <w:p w14:paraId="42337247">
            <w:pPr>
              <w:pStyle w:val="39"/>
              <w:spacing w:before="0" w:beforeLines="0"/>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313 </w:t>
            </w:r>
          </w:p>
        </w:tc>
      </w:tr>
      <w:tr w14:paraId="1684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54" w:type="pct"/>
            <w:shd w:val="clear" w:color="auto" w:fill="auto"/>
            <w:noWrap/>
            <w:vAlign w:val="center"/>
          </w:tcPr>
          <w:p w14:paraId="49F2E391">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 xml:space="preserve">1176.80 </w:t>
            </w:r>
          </w:p>
        </w:tc>
        <w:tc>
          <w:tcPr>
            <w:tcW w:w="1237" w:type="pct"/>
            <w:shd w:val="clear" w:color="auto" w:fill="auto"/>
            <w:noWrap/>
            <w:vAlign w:val="center"/>
          </w:tcPr>
          <w:p w14:paraId="494DCBF3">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 xml:space="preserve">20.0 </w:t>
            </w:r>
          </w:p>
        </w:tc>
        <w:tc>
          <w:tcPr>
            <w:tcW w:w="1254" w:type="pct"/>
            <w:shd w:val="clear" w:color="auto" w:fill="auto"/>
            <w:noWrap/>
            <w:vAlign w:val="center"/>
          </w:tcPr>
          <w:p w14:paraId="6C1AC27E">
            <w:pPr>
              <w:pStyle w:val="39"/>
              <w:spacing w:before="0" w:beforeLines="0"/>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1179.20 </w:t>
            </w:r>
          </w:p>
        </w:tc>
        <w:tc>
          <w:tcPr>
            <w:tcW w:w="1254" w:type="pct"/>
            <w:shd w:val="clear" w:color="auto" w:fill="auto"/>
            <w:noWrap/>
            <w:vAlign w:val="center"/>
          </w:tcPr>
          <w:p w14:paraId="251C2438">
            <w:pPr>
              <w:pStyle w:val="39"/>
              <w:spacing w:before="0" w:beforeLines="0"/>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366 </w:t>
            </w:r>
          </w:p>
        </w:tc>
      </w:tr>
      <w:tr w14:paraId="7CC8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54" w:type="pct"/>
            <w:shd w:val="clear" w:color="auto" w:fill="auto"/>
            <w:noWrap/>
            <w:vAlign w:val="center"/>
          </w:tcPr>
          <w:p w14:paraId="17AB64E3">
            <w:pPr>
              <w:pStyle w:val="39"/>
              <w:spacing w:before="0" w:beforeLines="0"/>
              <w:textAlignment w:val="center"/>
              <w:rPr>
                <w:rFonts w:hint="default" w:ascii="Times New Roman" w:hAnsi="Times New Roman" w:eastAsia="宋体" w:cs="Times New Roman"/>
                <w:iCs/>
                <w:color w:val="auto"/>
                <w:sz w:val="21"/>
                <w:lang w:val="en-US" w:eastAsia="zh-CN" w:bidi="ar-SA"/>
              </w:rPr>
            </w:pPr>
            <w:r>
              <w:rPr>
                <w:rFonts w:hint="default" w:ascii="Times New Roman" w:hAnsi="Times New Roman" w:cs="Times New Roman"/>
                <w:color w:val="auto"/>
              </w:rPr>
              <w:t xml:space="preserve">1177.20 </w:t>
            </w:r>
          </w:p>
        </w:tc>
        <w:tc>
          <w:tcPr>
            <w:tcW w:w="1237" w:type="pct"/>
            <w:shd w:val="clear" w:color="auto" w:fill="auto"/>
            <w:noWrap/>
            <w:vAlign w:val="center"/>
          </w:tcPr>
          <w:p w14:paraId="1EF6641E">
            <w:pPr>
              <w:pStyle w:val="39"/>
              <w:spacing w:before="0" w:beforeLines="0"/>
              <w:textAlignment w:val="center"/>
              <w:rPr>
                <w:rFonts w:hint="default" w:ascii="Times New Roman" w:hAnsi="Times New Roman" w:eastAsia="宋体" w:cs="Times New Roman"/>
                <w:iCs/>
                <w:color w:val="auto"/>
                <w:sz w:val="21"/>
                <w:lang w:val="en-US" w:eastAsia="zh-CN" w:bidi="ar-SA"/>
              </w:rPr>
            </w:pPr>
            <w:r>
              <w:rPr>
                <w:rFonts w:hint="default" w:ascii="Times New Roman" w:hAnsi="Times New Roman" w:cs="Times New Roman"/>
                <w:color w:val="auto"/>
              </w:rPr>
              <w:t xml:space="preserve">36.4 </w:t>
            </w:r>
          </w:p>
        </w:tc>
        <w:tc>
          <w:tcPr>
            <w:tcW w:w="1254" w:type="pct"/>
            <w:shd w:val="clear" w:color="auto" w:fill="auto"/>
            <w:noWrap/>
            <w:vAlign w:val="center"/>
          </w:tcPr>
          <w:p w14:paraId="0F57A320">
            <w:pPr>
              <w:pStyle w:val="39"/>
              <w:spacing w:before="0" w:beforeLines="0"/>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1179.40 </w:t>
            </w:r>
          </w:p>
        </w:tc>
        <w:tc>
          <w:tcPr>
            <w:tcW w:w="1254" w:type="pct"/>
            <w:shd w:val="clear" w:color="auto" w:fill="auto"/>
            <w:noWrap/>
            <w:vAlign w:val="center"/>
          </w:tcPr>
          <w:p w14:paraId="065EDAFC">
            <w:pPr>
              <w:pStyle w:val="39"/>
              <w:spacing w:before="0" w:beforeLines="0"/>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423 </w:t>
            </w:r>
          </w:p>
        </w:tc>
      </w:tr>
      <w:tr w14:paraId="4B94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54" w:type="pct"/>
            <w:shd w:val="clear" w:color="auto" w:fill="auto"/>
            <w:noWrap/>
            <w:vAlign w:val="center"/>
          </w:tcPr>
          <w:p w14:paraId="2B8FC68E">
            <w:pPr>
              <w:pStyle w:val="39"/>
              <w:spacing w:before="0" w:beforeLines="0"/>
              <w:textAlignment w:val="center"/>
              <w:rPr>
                <w:rFonts w:hint="default" w:ascii="Times New Roman" w:hAnsi="Times New Roman" w:eastAsia="宋体" w:cs="Times New Roman"/>
                <w:iCs/>
                <w:color w:val="auto"/>
                <w:sz w:val="21"/>
                <w:lang w:val="en-US" w:eastAsia="zh-CN" w:bidi="ar-SA"/>
              </w:rPr>
            </w:pPr>
            <w:r>
              <w:rPr>
                <w:rFonts w:hint="default" w:ascii="Times New Roman" w:hAnsi="Times New Roman" w:cs="Times New Roman"/>
                <w:color w:val="auto"/>
              </w:rPr>
              <w:t xml:space="preserve">1177.60 </w:t>
            </w:r>
          </w:p>
        </w:tc>
        <w:tc>
          <w:tcPr>
            <w:tcW w:w="1237" w:type="pct"/>
            <w:shd w:val="clear" w:color="auto" w:fill="auto"/>
            <w:noWrap/>
            <w:vAlign w:val="center"/>
          </w:tcPr>
          <w:p w14:paraId="13FCCD07">
            <w:pPr>
              <w:pStyle w:val="39"/>
              <w:spacing w:before="0" w:beforeLines="0"/>
              <w:textAlignment w:val="center"/>
              <w:rPr>
                <w:rFonts w:hint="default" w:ascii="Times New Roman" w:hAnsi="Times New Roman" w:eastAsia="宋体" w:cs="Times New Roman"/>
                <w:iCs/>
                <w:color w:val="auto"/>
                <w:sz w:val="21"/>
                <w:lang w:val="en-US" w:eastAsia="zh-CN" w:bidi="ar-SA"/>
              </w:rPr>
            </w:pPr>
            <w:r>
              <w:rPr>
                <w:rFonts w:hint="default" w:ascii="Times New Roman" w:hAnsi="Times New Roman" w:cs="Times New Roman"/>
                <w:color w:val="auto"/>
              </w:rPr>
              <w:t xml:space="preserve">55.2 </w:t>
            </w:r>
          </w:p>
        </w:tc>
        <w:tc>
          <w:tcPr>
            <w:tcW w:w="1254" w:type="pct"/>
            <w:shd w:val="clear" w:color="auto" w:fill="auto"/>
            <w:noWrap/>
            <w:vAlign w:val="center"/>
          </w:tcPr>
          <w:p w14:paraId="79A4FC93">
            <w:pPr>
              <w:pStyle w:val="39"/>
              <w:spacing w:before="0" w:beforeLines="0"/>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1174.80 </w:t>
            </w:r>
          </w:p>
        </w:tc>
        <w:tc>
          <w:tcPr>
            <w:tcW w:w="1254" w:type="pct"/>
            <w:shd w:val="clear" w:color="auto" w:fill="auto"/>
            <w:noWrap/>
            <w:vAlign w:val="center"/>
          </w:tcPr>
          <w:p w14:paraId="63AD9AF4">
            <w:pPr>
              <w:pStyle w:val="39"/>
              <w:spacing w:before="0" w:beforeLines="0"/>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484 </w:t>
            </w:r>
          </w:p>
        </w:tc>
      </w:tr>
    </w:tbl>
    <w:p w14:paraId="0692EF29">
      <w:pPr>
        <w:pStyle w:val="11"/>
        <w:ind w:firstLine="0" w:firstLineChars="0"/>
        <w:jc w:val="center"/>
        <w:rPr>
          <w:rFonts w:hint="default" w:ascii="Times New Roman" w:hAnsi="Times New Roman" w:cs="Times New Roman"/>
          <w:color w:val="auto"/>
        </w:rPr>
      </w:pPr>
      <w:r>
        <w:rPr>
          <w:color w:val="auto"/>
        </w:rPr>
        <w:drawing>
          <wp:inline distT="0" distB="0" distL="114300" distR="114300">
            <wp:extent cx="5267325" cy="3751580"/>
            <wp:effectExtent l="4445" t="4445" r="5080" b="15875"/>
            <wp:docPr id="1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336749">
      <w:pPr>
        <w:pStyle w:val="5"/>
        <w:spacing w:before="156" w:after="156"/>
        <w:ind w:firstLine="562"/>
        <w:rPr>
          <w:rFonts w:hint="default" w:ascii="Times New Roman" w:hAnsi="Times New Roman" w:cs="Times New Roman"/>
          <w:color w:val="auto"/>
        </w:rPr>
      </w:pPr>
      <w:bookmarkStart w:id="51" w:name="_Toc13258"/>
      <w:bookmarkStart w:id="52" w:name="_Toc78769048"/>
      <w:r>
        <w:rPr>
          <w:rFonts w:hint="default" w:ascii="Times New Roman" w:hAnsi="Times New Roman" w:cs="Times New Roman"/>
          <w:color w:val="auto"/>
        </w:rPr>
        <w:t>4.4.4 河道管理线</w:t>
      </w:r>
      <w:r>
        <w:rPr>
          <w:rFonts w:hint="eastAsia" w:cs="Times New Roman"/>
          <w:color w:val="auto"/>
          <w:lang w:eastAsia="zh-CN"/>
        </w:rPr>
        <w:t>（</w:t>
      </w:r>
      <w:r>
        <w:rPr>
          <w:rFonts w:hint="default" w:ascii="Times New Roman" w:hAnsi="Times New Roman" w:cs="Times New Roman"/>
          <w:color w:val="auto"/>
        </w:rPr>
        <w:t>外缘控制线</w:t>
      </w:r>
      <w:r>
        <w:rPr>
          <w:rFonts w:hint="eastAsia" w:cs="Times New Roman"/>
          <w:color w:val="auto"/>
          <w:lang w:eastAsia="zh-CN"/>
        </w:rPr>
        <w:t>）</w:t>
      </w:r>
      <w:r>
        <w:rPr>
          <w:rFonts w:hint="default" w:ascii="Times New Roman" w:hAnsi="Times New Roman" w:cs="Times New Roman"/>
          <w:color w:val="auto"/>
        </w:rPr>
        <w:t>的计算</w:t>
      </w:r>
      <w:bookmarkEnd w:id="24"/>
      <w:bookmarkEnd w:id="48"/>
      <w:bookmarkEnd w:id="49"/>
      <w:bookmarkEnd w:id="50"/>
      <w:bookmarkEnd w:id="51"/>
      <w:bookmarkEnd w:id="52"/>
    </w:p>
    <w:p w14:paraId="5E7D9A6A">
      <w:pPr>
        <w:pStyle w:val="6"/>
        <w:spacing w:before="156" w:after="156"/>
        <w:ind w:firstLine="562"/>
        <w:rPr>
          <w:rFonts w:hint="default" w:ascii="Times New Roman" w:hAnsi="Times New Roman" w:cs="Times New Roman"/>
          <w:color w:val="auto"/>
        </w:rPr>
      </w:pPr>
      <w:bookmarkStart w:id="53" w:name="_Toc3308"/>
      <w:bookmarkStart w:id="54" w:name="_Toc16154054"/>
      <w:bookmarkStart w:id="55" w:name="_Toc78769049"/>
      <w:bookmarkStart w:id="56" w:name="_Toc16262457"/>
      <w:bookmarkStart w:id="57" w:name="_Toc16262172"/>
      <w:bookmarkStart w:id="58" w:name="_Toc26832056"/>
      <w:bookmarkStart w:id="59" w:name="_Toc26832242"/>
      <w:r>
        <w:rPr>
          <w:rFonts w:hint="default" w:ascii="Times New Roman" w:hAnsi="Times New Roman" w:cs="Times New Roman"/>
          <w:color w:val="auto"/>
        </w:rPr>
        <w:t>4.4.4.1 基本资料</w:t>
      </w:r>
      <w:bookmarkEnd w:id="53"/>
      <w:bookmarkEnd w:id="54"/>
      <w:bookmarkEnd w:id="55"/>
      <w:bookmarkEnd w:id="56"/>
      <w:bookmarkEnd w:id="57"/>
      <w:bookmarkEnd w:id="58"/>
      <w:bookmarkEnd w:id="59"/>
    </w:p>
    <w:p w14:paraId="7EB5EA21">
      <w:pPr>
        <w:ind w:firstLine="560"/>
        <w:rPr>
          <w:rFonts w:hint="default" w:ascii="Times New Roman" w:hAnsi="Times New Roman" w:cs="Times New Roman"/>
          <w:color w:val="auto"/>
        </w:rPr>
      </w:pPr>
      <w:r>
        <w:rPr>
          <w:rFonts w:hint="eastAsia" w:cs="Times New Roman"/>
          <w:color w:val="auto"/>
          <w:lang w:eastAsia="zh-CN"/>
        </w:rPr>
        <w:t>1.</w:t>
      </w:r>
      <w:r>
        <w:rPr>
          <w:rFonts w:hint="default" w:ascii="Times New Roman" w:hAnsi="Times New Roman" w:cs="Times New Roman"/>
          <w:color w:val="auto"/>
        </w:rPr>
        <w:t>计算公式</w:t>
      </w:r>
    </w:p>
    <w:p w14:paraId="332665CE">
      <w:pPr>
        <w:ind w:firstLine="560"/>
        <w:rPr>
          <w:rFonts w:hint="default" w:ascii="Times New Roman" w:hAnsi="Times New Roman" w:cs="Times New Roman"/>
          <w:color w:val="auto"/>
        </w:rPr>
      </w:pPr>
      <w:r>
        <w:rPr>
          <w:rFonts w:hint="default" w:ascii="Times New Roman" w:hAnsi="Times New Roman" w:cs="Times New Roman"/>
          <w:color w:val="auto"/>
        </w:rPr>
        <w:t>计算河道水面线所依据下面水力学公式：</w:t>
      </w:r>
    </w:p>
    <w:p w14:paraId="3C224260">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935" distR="114935">
            <wp:extent cx="3286125" cy="457200"/>
            <wp:effectExtent l="0" t="0" r="0" b="0"/>
            <wp:docPr id="3" name="图片 2"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wps1"/>
                    <pic:cNvPicPr>
                      <a:picLocks noChangeAspect="1"/>
                    </pic:cNvPicPr>
                  </pic:nvPicPr>
                  <pic:blipFill>
                    <a:blip r:embed="rId29"/>
                    <a:stretch>
                      <a:fillRect/>
                    </a:stretch>
                  </pic:blipFill>
                  <pic:spPr>
                    <a:xfrm>
                      <a:off x="0" y="0"/>
                      <a:ext cx="3286125" cy="457200"/>
                    </a:xfrm>
                    <a:prstGeom prst="rect">
                      <a:avLst/>
                    </a:prstGeom>
                    <a:noFill/>
                    <a:ln>
                      <a:noFill/>
                    </a:ln>
                  </pic:spPr>
                </pic:pic>
              </a:graphicData>
            </a:graphic>
          </wp:inline>
        </w:drawing>
      </w:r>
    </w:p>
    <w:p w14:paraId="00C19550">
      <w:pPr>
        <w:ind w:firstLine="560"/>
        <w:rPr>
          <w:rFonts w:hint="default" w:ascii="Times New Roman" w:hAnsi="Times New Roman" w:cs="Times New Roman"/>
          <w:color w:val="auto"/>
        </w:rPr>
      </w:pPr>
      <w:r>
        <w:rPr>
          <w:rFonts w:hint="default" w:ascii="Times New Roman" w:hAnsi="Times New Roman" w:cs="Times New Roman"/>
          <w:color w:val="auto"/>
        </w:rPr>
        <w:t>式中：Zu、Zd——上、下游断面水位，m；</w:t>
      </w:r>
    </w:p>
    <w:p w14:paraId="0BDB828C">
      <w:pPr>
        <w:ind w:firstLine="1400" w:firstLineChars="500"/>
        <w:rPr>
          <w:rFonts w:hint="default" w:ascii="Times New Roman" w:hAnsi="Times New Roman" w:cs="Times New Roman"/>
          <w:color w:val="auto"/>
        </w:rPr>
      </w:pPr>
      <w:r>
        <w:rPr>
          <w:rFonts w:hint="default" w:ascii="Times New Roman" w:hAnsi="Times New Roman" w:cs="Times New Roman"/>
          <w:color w:val="auto"/>
        </w:rPr>
        <w:t>Au、Ad——上、下游断面过水面积，m²；</w:t>
      </w:r>
    </w:p>
    <w:p w14:paraId="3048ABF3">
      <w:pPr>
        <w:ind w:firstLine="1400" w:firstLineChars="500"/>
        <w:rPr>
          <w:rFonts w:hint="default" w:ascii="Times New Roman" w:hAnsi="Times New Roman" w:cs="Times New Roman"/>
          <w:color w:val="auto"/>
        </w:rPr>
      </w:pPr>
      <w:r>
        <w:rPr>
          <w:rFonts w:hint="default" w:ascii="Times New Roman" w:hAnsi="Times New Roman" w:cs="Times New Roman"/>
          <w:color w:val="auto"/>
        </w:rPr>
        <w:t>Ku、Kd——上、下游断面流量模数，m³/s；</w:t>
      </w:r>
    </w:p>
    <w:p w14:paraId="4BE86857">
      <w:pPr>
        <w:ind w:firstLine="1400" w:firstLineChars="500"/>
        <w:rPr>
          <w:rFonts w:hint="default" w:ascii="Times New Roman" w:hAnsi="Times New Roman" w:cs="Times New Roman"/>
          <w:color w:val="auto"/>
        </w:rPr>
      </w:pPr>
      <w:r>
        <w:rPr>
          <w:rFonts w:hint="default" w:ascii="Times New Roman" w:hAnsi="Times New Roman" w:cs="Times New Roman"/>
          <w:color w:val="auto"/>
        </w:rPr>
        <w:fldChar w:fldCharType="begin"/>
      </w:r>
      <w:r>
        <w:rPr>
          <w:color w:val="auto"/>
        </w:rPr>
        <w:instrText xml:space="preserve"> INCLUDEPICTURE "D:\\xwechat_files\\倪川\\ADMINI~1\\AppData\\Local\\Temp\\ksohtml7752\\wps2.png"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color w:val="auto"/>
        </w:rPr>
        <w:instrText xml:space="preserve"> INCLUDEPICTURE "D:\\xwechat_files\\工作\\ADMINI~1\\AppData\\Local\\Temp\\ksohtml7752\\wps2.png"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color w:val="auto"/>
        </w:rPr>
        <w:instrText xml:space="preserve"> INCLUDEPICTURE "D:\\xwechat_files\\工作\\ADMINI~1\\AppData\\Local\\Temp\\ksohtml7752\\wps2.png"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drawing>
          <wp:inline distT="0" distB="0" distL="114300" distR="114300">
            <wp:extent cx="123825" cy="200025"/>
            <wp:effectExtent l="0" t="0" r="0" b="0"/>
            <wp:docPr id="10" name="图片 14"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wps3"/>
                    <pic:cNvPicPr>
                      <a:picLocks noChangeAspect="1"/>
                    </pic:cNvPicPr>
                  </pic:nvPicPr>
                  <pic:blipFill>
                    <a:blip r:embed="rId30"/>
                    <a:stretch>
                      <a:fillRect/>
                    </a:stretch>
                  </pic:blipFill>
                  <pic:spPr>
                    <a:xfrm>
                      <a:off x="0" y="0"/>
                      <a:ext cx="123825" cy="200025"/>
                    </a:xfrm>
                    <a:prstGeom prst="rect">
                      <a:avLst/>
                    </a:prstGeom>
                    <a:noFill/>
                    <a:ln>
                      <a:noFill/>
                    </a:ln>
                  </pic:spPr>
                </pic:pic>
              </a:graphicData>
            </a:graphic>
          </wp:inline>
        </w:drawing>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rPr>
        <w:t>——局部水头损失，对渐变流，</w:t>
      </w:r>
      <w:r>
        <w:rPr>
          <w:rFonts w:hint="default" w:ascii="Times New Roman" w:hAnsi="Times New Roman" w:cs="Times New Roman"/>
          <w:color w:val="auto"/>
        </w:rPr>
        <w:fldChar w:fldCharType="begin"/>
      </w:r>
      <w:r>
        <w:rPr>
          <w:color w:val="auto"/>
        </w:rPr>
        <w:instrText xml:space="preserve"> INCLUDEPICTURE "D:\\xwechat_files\\倪川\\ADMINI~1\\AppData\\Local\\Temp\\ksohtml7752\\wps3.png"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color w:val="auto"/>
        </w:rPr>
        <w:instrText xml:space="preserve"> INCLUDEPICTURE "D:\\xwechat_files\\工作\\ADMINI~1\\AppData\\Local\\Temp\\ksohtml7752\\wps3.png"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color w:val="auto"/>
        </w:rPr>
        <w:instrText xml:space="preserve"> INCLUDEPICTURE "D:\\xwechat_files\\工作\\ADMINI~1\\AppData\\Local\\Temp\\ksohtml7752\\wps3.png"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drawing>
          <wp:inline distT="0" distB="0" distL="114300" distR="114300">
            <wp:extent cx="123825" cy="200025"/>
            <wp:effectExtent l="0" t="0" r="0" b="0"/>
            <wp:docPr id="2" name="图片 15"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wps3"/>
                    <pic:cNvPicPr>
                      <a:picLocks noChangeAspect="1"/>
                    </pic:cNvPicPr>
                  </pic:nvPicPr>
                  <pic:blipFill>
                    <a:blip r:embed="rId30"/>
                    <a:stretch>
                      <a:fillRect/>
                    </a:stretch>
                  </pic:blipFill>
                  <pic:spPr>
                    <a:xfrm>
                      <a:off x="0" y="0"/>
                      <a:ext cx="123825" cy="200025"/>
                    </a:xfrm>
                    <a:prstGeom prst="rect">
                      <a:avLst/>
                    </a:prstGeom>
                    <a:noFill/>
                    <a:ln>
                      <a:noFill/>
                    </a:ln>
                  </pic:spPr>
                </pic:pic>
              </a:graphicData>
            </a:graphic>
          </wp:inline>
        </w:drawing>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rPr>
        <w:t>=1，</w:t>
      </w:r>
      <w:r>
        <w:rPr>
          <w:rFonts w:hint="default" w:ascii="Times New Roman" w:hAnsi="Times New Roman" w:cs="Times New Roman"/>
          <w:color w:val="auto"/>
        </w:rPr>
        <w:fldChar w:fldCharType="begin"/>
      </w:r>
      <w:r>
        <w:rPr>
          <w:color w:val="auto"/>
        </w:rPr>
        <w:instrText xml:space="preserve"> INCLUDEPICTURE "D:\\xwechat_files\\倪川\\ADMINI~1\\AppData\\Local\\Temp\\ksohtml7752\\wps4.png"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color w:val="auto"/>
        </w:rPr>
        <w:instrText xml:space="preserve"> INCLUDEPICTURE "D:\\xwechat_files\\工作\\ADMINI~1\\AppData\\Local\\Temp\\ksohtml7752\\wps4.png"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color w:val="auto"/>
        </w:rPr>
        <w:instrText xml:space="preserve"> INCLUDEPICTURE "D:\\xwechat_files\\工作\\ADMINI~1\\AppData\\Local\\Temp\\ksohtml7752\\wps4.png"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drawing>
          <wp:inline distT="0" distB="0" distL="114300" distR="114300">
            <wp:extent cx="152400" cy="142875"/>
            <wp:effectExtent l="0" t="0" r="9525" b="0"/>
            <wp:docPr id="4" name="图片 16"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wps4"/>
                    <pic:cNvPicPr>
                      <a:picLocks noChangeAspect="1"/>
                    </pic:cNvPicPr>
                  </pic:nvPicPr>
                  <pic:blipFill>
                    <a:blip r:embed="rId31"/>
                    <a:stretch>
                      <a:fillRect/>
                    </a:stretch>
                  </pic:blipFill>
                  <pic:spPr>
                    <a:xfrm>
                      <a:off x="0" y="0"/>
                      <a:ext cx="152400" cy="142875"/>
                    </a:xfrm>
                    <a:prstGeom prst="rect">
                      <a:avLst/>
                    </a:prstGeom>
                    <a:noFill/>
                    <a:ln>
                      <a:noFill/>
                    </a:ln>
                  </pic:spPr>
                </pic:pic>
              </a:graphicData>
            </a:graphic>
          </wp:inline>
        </w:drawing>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rPr>
        <w:t>=0；</w:t>
      </w:r>
    </w:p>
    <w:p w14:paraId="09383B1F">
      <w:pPr>
        <w:ind w:firstLine="1400" w:firstLineChars="500"/>
        <w:rPr>
          <w:rFonts w:hint="default" w:ascii="Times New Roman" w:hAnsi="Times New Roman" w:cs="Times New Roman"/>
          <w:color w:val="auto"/>
        </w:rPr>
      </w:pPr>
      <w:r>
        <w:rPr>
          <w:rFonts w:hint="default" w:ascii="Times New Roman" w:hAnsi="Times New Roman" w:cs="Times New Roman"/>
          <w:color w:val="auto"/>
        </w:rPr>
        <w:t>△s——上、下游断面间距，m；</w:t>
      </w:r>
    </w:p>
    <w:p w14:paraId="771F7594">
      <w:pPr>
        <w:ind w:firstLine="1400" w:firstLineChars="500"/>
        <w:rPr>
          <w:rFonts w:hint="default" w:ascii="Times New Roman" w:hAnsi="Times New Roman" w:cs="Times New Roman"/>
          <w:color w:val="auto"/>
        </w:rPr>
      </w:pPr>
      <w:r>
        <w:rPr>
          <w:rFonts w:hint="default" w:ascii="Times New Roman" w:hAnsi="Times New Roman" w:cs="Times New Roman"/>
          <w:color w:val="auto"/>
        </w:rPr>
        <w:t>Q——断面流量，m³/s；</w:t>
      </w:r>
    </w:p>
    <w:p w14:paraId="742210F8">
      <w:pPr>
        <w:ind w:firstLine="1400" w:firstLineChars="500"/>
        <w:rPr>
          <w:rFonts w:hint="default" w:ascii="Times New Roman" w:hAnsi="Times New Roman" w:cs="Times New Roman"/>
          <w:color w:val="auto"/>
        </w:rPr>
      </w:pPr>
      <w:r>
        <w:rPr>
          <w:rFonts w:hint="default" w:ascii="Times New Roman" w:hAnsi="Times New Roman" w:cs="Times New Roman"/>
          <w:color w:val="auto"/>
        </w:rPr>
        <w:t>g——重力加速度，取9.81m/s</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14:paraId="60EAA72C">
      <w:pPr>
        <w:ind w:firstLine="560"/>
        <w:rPr>
          <w:rFonts w:hint="default" w:ascii="Times New Roman" w:hAnsi="Times New Roman" w:cs="Times New Roman"/>
          <w:color w:val="auto"/>
        </w:rPr>
      </w:pPr>
      <w:r>
        <w:rPr>
          <w:rFonts w:hint="default" w:ascii="Times New Roman" w:hAnsi="Times New Roman" w:cs="Times New Roman"/>
          <w:color w:val="auto"/>
        </w:rPr>
        <w:t>用直接迭代法求解，计算河道洪水水面线。</w:t>
      </w:r>
    </w:p>
    <w:p w14:paraId="70F5A862">
      <w:pPr>
        <w:ind w:firstLine="560"/>
        <w:rPr>
          <w:rFonts w:hint="default" w:ascii="Times New Roman" w:hAnsi="Times New Roman" w:cs="Times New Roman"/>
          <w:color w:val="auto"/>
        </w:rPr>
      </w:pPr>
      <w:r>
        <w:rPr>
          <w:rFonts w:hint="eastAsia" w:cs="Times New Roman"/>
          <w:color w:val="auto"/>
          <w:lang w:eastAsia="zh-CN"/>
        </w:rPr>
        <w:t>2.</w:t>
      </w:r>
      <w:r>
        <w:rPr>
          <w:rFonts w:hint="default" w:ascii="Times New Roman" w:hAnsi="Times New Roman" w:cs="Times New Roman"/>
          <w:color w:val="auto"/>
        </w:rPr>
        <w:t>河道大断面</w:t>
      </w:r>
    </w:p>
    <w:p w14:paraId="423394CC">
      <w:pPr>
        <w:ind w:firstLine="560"/>
        <w:rPr>
          <w:rFonts w:hint="default" w:ascii="Times New Roman" w:hAnsi="Times New Roman" w:cs="Times New Roman"/>
          <w:color w:val="auto"/>
          <w:highlight w:val="none"/>
        </w:rPr>
      </w:pPr>
      <w:r>
        <w:rPr>
          <w:rFonts w:hint="default" w:ascii="Times New Roman" w:hAnsi="Times New Roman" w:cs="Times New Roman"/>
          <w:color w:val="auto"/>
          <w:highlight w:val="none"/>
        </w:rPr>
        <w:t>岩羊河盐边县河段涉及红格镇1个乡镇。本次共布设大断面2</w:t>
      </w:r>
      <w:r>
        <w:rPr>
          <w:rFonts w:hint="eastAsia" w:cs="Times New Roman"/>
          <w:color w:val="auto"/>
          <w:highlight w:val="none"/>
          <w:lang w:val="en-US" w:eastAsia="zh-CN"/>
        </w:rPr>
        <w:t>9</w:t>
      </w:r>
      <w:r>
        <w:rPr>
          <w:rFonts w:hint="default" w:ascii="Times New Roman" w:hAnsi="Times New Roman" w:cs="Times New Roman"/>
          <w:color w:val="auto"/>
          <w:highlight w:val="none"/>
        </w:rPr>
        <w:t>个，划界河长4.19km，断面平均间距</w:t>
      </w:r>
      <w:r>
        <w:rPr>
          <w:rFonts w:hint="eastAsia" w:cs="Times New Roman"/>
          <w:color w:val="auto"/>
          <w:highlight w:val="none"/>
          <w:lang w:val="en-US" w:eastAsia="zh-CN"/>
        </w:rPr>
        <w:t>145</w:t>
      </w:r>
      <w:r>
        <w:rPr>
          <w:rFonts w:hint="default" w:ascii="Times New Roman" w:hAnsi="Times New Roman" w:cs="Times New Roman"/>
          <w:color w:val="auto"/>
          <w:highlight w:val="none"/>
        </w:rPr>
        <w:t>m。</w:t>
      </w:r>
    </w:p>
    <w:p w14:paraId="553A0BBA">
      <w:pPr>
        <w:ind w:firstLine="560"/>
        <w:rPr>
          <w:rFonts w:hint="default" w:ascii="Times New Roman" w:hAnsi="Times New Roman" w:cs="Times New Roman"/>
          <w:color w:val="auto"/>
        </w:rPr>
      </w:pPr>
      <w:r>
        <w:rPr>
          <w:rFonts w:hint="eastAsia" w:cs="Times New Roman"/>
          <w:color w:val="auto"/>
          <w:lang w:eastAsia="zh-CN"/>
        </w:rPr>
        <w:t>3.</w:t>
      </w:r>
      <w:r>
        <w:rPr>
          <w:rFonts w:hint="default" w:ascii="Times New Roman" w:hAnsi="Times New Roman" w:cs="Times New Roman"/>
          <w:color w:val="auto"/>
        </w:rPr>
        <w:t>起算水位与流量</w:t>
      </w:r>
    </w:p>
    <w:p w14:paraId="6B092B8F">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cs="Times New Roman"/>
          <w:color w:val="auto"/>
        </w:rPr>
        <w:t>控制断面（YYH-1）20年一遇洪水流量</w:t>
      </w:r>
      <w:r>
        <w:rPr>
          <w:rFonts w:hint="eastAsia" w:ascii="Times New Roman" w:hAnsi="Times New Roman" w:cs="Times New Roman"/>
          <w:color w:val="auto"/>
          <w:lang w:val="en-US" w:eastAsia="zh-CN"/>
        </w:rPr>
        <w:t>为</w:t>
      </w:r>
      <w:r>
        <w:rPr>
          <w:rFonts w:hint="eastAsia" w:cs="Times New Roman"/>
          <w:color w:val="auto"/>
          <w:lang w:val="en-US" w:eastAsia="zh-CN"/>
        </w:rPr>
        <w:t>408</w:t>
      </w:r>
      <w:r>
        <w:rPr>
          <w:rFonts w:hint="default" w:ascii="Times New Roman" w:hAnsi="Times New Roman" w:cs="Times New Roman"/>
          <w:color w:val="auto"/>
        </w:rPr>
        <w:t>m³/s，查水位流量关系曲线（表4.3-1）得对应洪水位为117</w:t>
      </w:r>
      <w:r>
        <w:rPr>
          <w:rFonts w:hint="eastAsia" w:cs="Times New Roman"/>
          <w:color w:val="auto"/>
          <w:lang w:val="en-US" w:eastAsia="zh-CN"/>
        </w:rPr>
        <w:t>9.35</w:t>
      </w:r>
      <w:r>
        <w:rPr>
          <w:rFonts w:hint="default" w:ascii="Times New Roman" w:hAnsi="Times New Roman" w:cs="Times New Roman"/>
          <w:color w:val="auto"/>
        </w:rPr>
        <w:t>m。YYH-</w:t>
      </w:r>
      <w:r>
        <w:rPr>
          <w:rFonts w:hint="eastAsia" w:cs="Times New Roman"/>
          <w:color w:val="auto"/>
          <w:lang w:val="en-US" w:eastAsia="zh-CN"/>
        </w:rPr>
        <w:t>3</w:t>
      </w:r>
      <w:r>
        <w:rPr>
          <w:rFonts w:hint="eastAsia" w:ascii="Times New Roman" w:hAnsi="Times New Roman" w:cs="Times New Roman"/>
          <w:color w:val="auto"/>
          <w:lang w:val="en-US" w:eastAsia="zh-CN"/>
        </w:rPr>
        <w:t>断面处拟建红格水库大坝，根据《</w:t>
      </w:r>
      <w:r>
        <w:rPr>
          <w:rFonts w:hint="default" w:ascii="Times New Roman" w:hAnsi="Times New Roman" w:cs="Times New Roman"/>
          <w:color w:val="auto"/>
          <w:lang w:val="en-US" w:eastAsia="zh-CN"/>
        </w:rPr>
        <w:t>盐边县红格水库工程初步设计报告</w:t>
      </w:r>
      <w:r>
        <w:rPr>
          <w:rFonts w:hint="eastAsia" w:ascii="Times New Roman" w:hAnsi="Times New Roman" w:cs="Times New Roman"/>
          <w:color w:val="auto"/>
          <w:lang w:val="en-US" w:eastAsia="zh-CN"/>
        </w:rPr>
        <w:t>》（报批稿），</w:t>
      </w:r>
      <w:r>
        <w:rPr>
          <w:rFonts w:hint="default" w:ascii="Times New Roman" w:hAnsi="Times New Roman" w:cs="Times New Roman"/>
          <w:color w:val="auto"/>
        </w:rPr>
        <w:t>YYH-</w:t>
      </w:r>
      <w:r>
        <w:rPr>
          <w:rFonts w:hint="eastAsia" w:cs="Times New Roman"/>
          <w:color w:val="auto"/>
          <w:lang w:val="en-US" w:eastAsia="zh-CN"/>
        </w:rPr>
        <w:t>3</w:t>
      </w:r>
      <w:r>
        <w:rPr>
          <w:rFonts w:hint="eastAsia" w:ascii="Times New Roman" w:hAnsi="Times New Roman" w:cs="Times New Roman"/>
          <w:color w:val="auto"/>
          <w:lang w:val="en-US" w:eastAsia="zh-CN"/>
        </w:rPr>
        <w:t>断面处</w:t>
      </w:r>
      <w:r>
        <w:rPr>
          <w:rFonts w:hint="default" w:ascii="Times New Roman" w:hAnsi="Times New Roman" w:cs="Times New Roman"/>
          <w:color w:val="auto"/>
          <w:lang w:val="en-US" w:eastAsia="zh-CN"/>
        </w:rPr>
        <w:t>20</w:t>
      </w:r>
      <w:r>
        <w:rPr>
          <w:rFonts w:hint="eastAsia" w:ascii="Times New Roman" w:hAnsi="Times New Roman" w:cs="Times New Roman"/>
          <w:color w:val="auto"/>
          <w:lang w:val="en-US" w:eastAsia="zh-CN"/>
        </w:rPr>
        <w:t>年一遇设计洪水位</w:t>
      </w:r>
      <w:r>
        <w:rPr>
          <w:rFonts w:hint="default" w:ascii="Times New Roman" w:hAnsi="Times New Roman" w:cs="Times New Roman"/>
          <w:color w:val="auto"/>
          <w:lang w:val="en-US" w:eastAsia="zh-CN"/>
        </w:rPr>
        <w:t>1194.85</w:t>
      </w:r>
      <w:r>
        <w:rPr>
          <w:rFonts w:hint="eastAsia" w:cs="Times New Roman"/>
          <w:color w:val="auto"/>
          <w:lang w:val="en-US" w:eastAsia="zh-CN"/>
        </w:rPr>
        <w:t>m</w:t>
      </w:r>
      <w:r>
        <w:rPr>
          <w:rFonts w:hint="eastAsia" w:ascii="Times New Roman" w:hAnsi="Times New Roman" w:cs="Times New Roman"/>
          <w:color w:val="auto"/>
          <w:lang w:val="en-US" w:eastAsia="zh-CN"/>
        </w:rPr>
        <w:t>。</w:t>
      </w:r>
      <w:r>
        <w:rPr>
          <w:rFonts w:hint="default" w:ascii="Times New Roman" w:hAnsi="Times New Roman" w:cs="Times New Roman"/>
          <w:color w:val="auto"/>
        </w:rPr>
        <w:t>各控制断面洪峰流量及相应洪水位见表4.4-1。</w:t>
      </w:r>
    </w:p>
    <w:p w14:paraId="38A2DA9B">
      <w:pPr>
        <w:pStyle w:val="36"/>
        <w:spacing w:before="156" w:after="156"/>
        <w:rPr>
          <w:rFonts w:hint="default" w:ascii="Times New Roman" w:hAnsi="Times New Roman" w:cs="Times New Roman"/>
          <w:color w:val="auto"/>
        </w:rPr>
      </w:pPr>
      <w:r>
        <w:rPr>
          <w:rFonts w:hint="default" w:ascii="Times New Roman" w:hAnsi="Times New Roman" w:cs="Times New Roman"/>
          <w:color w:val="auto"/>
        </w:rPr>
        <w:t>表4.4-1 各控制断面洪峰流量及相应洪水位表</w:t>
      </w:r>
    </w:p>
    <w:tbl>
      <w:tblPr>
        <w:tblStyle w:val="29"/>
        <w:tblW w:w="4927" w:type="pct"/>
        <w:jc w:val="center"/>
        <w:tblLayout w:type="autofit"/>
        <w:tblCellMar>
          <w:top w:w="0" w:type="dxa"/>
          <w:left w:w="108" w:type="dxa"/>
          <w:bottom w:w="0" w:type="dxa"/>
          <w:right w:w="108" w:type="dxa"/>
        </w:tblCellMar>
      </w:tblPr>
      <w:tblGrid>
        <w:gridCol w:w="2051"/>
        <w:gridCol w:w="1786"/>
        <w:gridCol w:w="1445"/>
        <w:gridCol w:w="3116"/>
      </w:tblGrid>
      <w:tr w14:paraId="3B07F50A">
        <w:tblPrEx>
          <w:tblCellMar>
            <w:top w:w="0" w:type="dxa"/>
            <w:left w:w="108" w:type="dxa"/>
            <w:bottom w:w="0" w:type="dxa"/>
            <w:right w:w="108" w:type="dxa"/>
          </w:tblCellMar>
        </w:tblPrEx>
        <w:trPr>
          <w:trHeight w:val="403" w:hRule="atLeast"/>
          <w:tblHeader/>
          <w:jc w:val="center"/>
        </w:trPr>
        <w:tc>
          <w:tcPr>
            <w:tcW w:w="12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84A79">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断面</w:t>
            </w:r>
          </w:p>
        </w:tc>
        <w:tc>
          <w:tcPr>
            <w:tcW w:w="19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B4087">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P=5%</w:t>
            </w:r>
          </w:p>
        </w:tc>
        <w:tc>
          <w:tcPr>
            <w:tcW w:w="18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83605">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备注</w:t>
            </w:r>
          </w:p>
        </w:tc>
      </w:tr>
      <w:tr w14:paraId="5946FB8C">
        <w:tblPrEx>
          <w:tblCellMar>
            <w:top w:w="0" w:type="dxa"/>
            <w:left w:w="108" w:type="dxa"/>
            <w:bottom w:w="0" w:type="dxa"/>
            <w:right w:w="108" w:type="dxa"/>
          </w:tblCellMar>
        </w:tblPrEx>
        <w:trPr>
          <w:trHeight w:val="424" w:hRule="atLeast"/>
          <w:tblHeader/>
          <w:jc w:val="center"/>
        </w:trPr>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512ED">
            <w:pPr>
              <w:pStyle w:val="39"/>
              <w:spacing w:before="0" w:beforeLines="0"/>
              <w:textAlignment w:val="center"/>
              <w:rPr>
                <w:rFonts w:hint="default" w:ascii="Times New Roman" w:hAnsi="Times New Roman" w:cs="Times New Roman"/>
                <w:color w:val="auto"/>
              </w:rPr>
            </w:pP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AA19D">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水位（m）</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F4A07">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流量（m³/s）</w:t>
            </w:r>
          </w:p>
        </w:tc>
        <w:tc>
          <w:tcPr>
            <w:tcW w:w="18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4F922">
            <w:pPr>
              <w:pStyle w:val="39"/>
              <w:spacing w:before="0" w:beforeLines="0"/>
              <w:textAlignment w:val="center"/>
              <w:rPr>
                <w:rFonts w:hint="default" w:ascii="Times New Roman" w:hAnsi="Times New Roman" w:cs="Times New Roman"/>
                <w:color w:val="auto"/>
              </w:rPr>
            </w:pPr>
          </w:p>
        </w:tc>
      </w:tr>
      <w:tr w14:paraId="4A0DF40C">
        <w:tblPrEx>
          <w:tblCellMar>
            <w:top w:w="0" w:type="dxa"/>
            <w:left w:w="108" w:type="dxa"/>
            <w:bottom w:w="0" w:type="dxa"/>
            <w:right w:w="108" w:type="dxa"/>
          </w:tblCellMar>
        </w:tblPrEx>
        <w:trPr>
          <w:trHeight w:val="405" w:hRule="atLeast"/>
          <w:jc w:val="center"/>
        </w:trPr>
        <w:tc>
          <w:tcPr>
            <w:tcW w:w="12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2A94B">
            <w:pPr>
              <w:pStyle w:val="39"/>
              <w:spacing w:before="0" w:beforeLines="0"/>
              <w:textAlignment w:val="center"/>
              <w:rPr>
                <w:rFonts w:hint="eastAsia" w:ascii="Times New Roman" w:hAnsi="Times New Roman" w:eastAsia="宋体" w:cs="Times New Roman"/>
                <w:color w:val="auto"/>
                <w:lang w:eastAsia="zh-CN"/>
              </w:rPr>
            </w:pPr>
            <w:r>
              <w:rPr>
                <w:rFonts w:hint="default" w:ascii="Times New Roman" w:hAnsi="Times New Roman" w:cs="Times New Roman"/>
                <w:color w:val="auto"/>
              </w:rPr>
              <w:t>YYH-</w:t>
            </w:r>
            <w:r>
              <w:rPr>
                <w:rFonts w:hint="eastAsia" w:cs="Times New Roman"/>
                <w:color w:val="auto"/>
                <w:lang w:val="en-US" w:eastAsia="zh-CN"/>
              </w:rPr>
              <w:t>3</w:t>
            </w: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EDB57">
            <w:pPr>
              <w:pStyle w:val="39"/>
              <w:spacing w:before="0" w:beforeLines="0"/>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1194.85</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1A419">
            <w:pPr>
              <w:pStyle w:val="39"/>
              <w:spacing w:before="0" w:beforeLines="0"/>
              <w:textAlignment w:val="center"/>
              <w:rPr>
                <w:rFonts w:hint="default" w:ascii="Times New Roman" w:hAnsi="Times New Roman" w:cs="Times New Roman"/>
                <w:color w:val="auto"/>
              </w:rPr>
            </w:pPr>
          </w:p>
        </w:tc>
        <w:tc>
          <w:tcPr>
            <w:tcW w:w="1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C1DFB">
            <w:pPr>
              <w:pStyle w:val="39"/>
              <w:spacing w:before="0" w:beforeLines="0"/>
              <w:textAlignment w:val="center"/>
              <w:rPr>
                <w:rFonts w:hint="default" w:ascii="Times New Roman" w:hAnsi="Times New Roman" w:cs="Times New Roman"/>
                <w:color w:val="auto"/>
              </w:rPr>
            </w:pPr>
            <w:r>
              <w:rPr>
                <w:rFonts w:hint="eastAsia" w:ascii="Times New Roman" w:hAnsi="Times New Roman" w:cs="Times New Roman"/>
                <w:color w:val="auto"/>
                <w:lang w:val="en-US" w:eastAsia="zh-CN"/>
              </w:rPr>
              <w:t>拟建红格水库</w:t>
            </w:r>
            <w:r>
              <w:rPr>
                <w:rFonts w:hint="eastAsia" w:cs="Times New Roman"/>
                <w:color w:val="auto"/>
                <w:lang w:val="en-US" w:eastAsia="zh-CN"/>
              </w:rPr>
              <w:t>坝址</w:t>
            </w:r>
          </w:p>
        </w:tc>
      </w:tr>
      <w:tr w14:paraId="0C68859A">
        <w:tblPrEx>
          <w:tblCellMar>
            <w:top w:w="0" w:type="dxa"/>
            <w:left w:w="108" w:type="dxa"/>
            <w:bottom w:w="0" w:type="dxa"/>
            <w:right w:w="108" w:type="dxa"/>
          </w:tblCellMar>
        </w:tblPrEx>
        <w:trPr>
          <w:trHeight w:val="439" w:hRule="atLeast"/>
          <w:jc w:val="center"/>
        </w:trPr>
        <w:tc>
          <w:tcPr>
            <w:tcW w:w="12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5BB8E">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YYH-1</w:t>
            </w:r>
          </w:p>
        </w:tc>
        <w:tc>
          <w:tcPr>
            <w:tcW w:w="10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D9784">
            <w:pPr>
              <w:pStyle w:val="39"/>
              <w:spacing w:before="0" w:beforeLines="0"/>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117</w:t>
            </w:r>
            <w:r>
              <w:rPr>
                <w:rFonts w:hint="eastAsia" w:cs="Times New Roman"/>
                <w:color w:val="auto"/>
                <w:lang w:val="en-US" w:eastAsia="zh-CN"/>
              </w:rPr>
              <w:t>9.35</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E1953">
            <w:pPr>
              <w:pStyle w:val="39"/>
              <w:spacing w:before="0" w:beforeLines="0"/>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408</w:t>
            </w:r>
          </w:p>
        </w:tc>
        <w:tc>
          <w:tcPr>
            <w:tcW w:w="1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39843">
            <w:pPr>
              <w:pStyle w:val="39"/>
              <w:spacing w:before="0" w:beforeLines="0"/>
              <w:textAlignment w:val="center"/>
              <w:rPr>
                <w:rFonts w:hint="default" w:ascii="Times New Roman" w:hAnsi="Times New Roman" w:cs="Times New Roman"/>
                <w:color w:val="auto"/>
              </w:rPr>
            </w:pPr>
            <w:r>
              <w:rPr>
                <w:rFonts w:hint="default" w:ascii="Times New Roman" w:hAnsi="Times New Roman" w:cs="Times New Roman"/>
                <w:color w:val="auto"/>
              </w:rPr>
              <w:t>起点</w:t>
            </w:r>
          </w:p>
        </w:tc>
      </w:tr>
    </w:tbl>
    <w:p w14:paraId="0A298C1B">
      <w:pPr>
        <w:spacing w:before="156" w:beforeLines="50"/>
        <w:ind w:firstLine="560"/>
        <w:rPr>
          <w:rFonts w:hint="default" w:ascii="Times New Roman" w:hAnsi="Times New Roman" w:cs="Times New Roman"/>
          <w:color w:val="auto"/>
        </w:rPr>
      </w:pPr>
      <w:r>
        <w:rPr>
          <w:rFonts w:hint="eastAsia" w:cs="Times New Roman"/>
          <w:color w:val="auto"/>
          <w:lang w:eastAsia="zh-CN"/>
        </w:rPr>
        <w:t>4.</w:t>
      </w:r>
      <w:r>
        <w:rPr>
          <w:rFonts w:hint="default" w:ascii="Times New Roman" w:hAnsi="Times New Roman" w:cs="Times New Roman"/>
          <w:color w:val="auto"/>
        </w:rPr>
        <w:t>河道糙率的确定</w:t>
      </w:r>
    </w:p>
    <w:p w14:paraId="03713E35">
      <w:pPr>
        <w:ind w:firstLine="560"/>
        <w:rPr>
          <w:rFonts w:hint="default" w:ascii="Times New Roman" w:hAnsi="Times New Roman" w:cs="Times New Roman"/>
          <w:color w:val="auto"/>
        </w:rPr>
      </w:pPr>
      <w:r>
        <w:rPr>
          <w:rFonts w:hint="default" w:ascii="Times New Roman" w:hAnsi="Times New Roman" w:cs="Times New Roman"/>
          <w:color w:val="auto"/>
        </w:rPr>
        <w:t>河道水力计算中糙率n值的确定尤其重要，由于河床形态多种多样而且复杂，床面本身的阻力及河道形态阻力均难以直接求得，在将水流作为一元水流处理时，所有不确定因素均包括在糙率n值中。糙率n值的确定通常是采用河段的水位、流量、水面比降等资料通过水力学公式反求出分段糙率n值，实际上糙率n值是一个表征河道综合阻力的系数。根据河段实际情况，并参考邻近工程糙率取值，确定本次计算河段河道综合糙率n值为0.038。</w:t>
      </w:r>
    </w:p>
    <w:p w14:paraId="15021E0E">
      <w:pPr>
        <w:pStyle w:val="6"/>
        <w:keepNext/>
        <w:keepLines/>
        <w:pageBreakBefore w:val="0"/>
        <w:widowControl/>
        <w:kinsoku/>
        <w:wordWrap/>
        <w:overflowPunct/>
        <w:topLinePunct w:val="0"/>
        <w:autoSpaceDE/>
        <w:autoSpaceDN/>
        <w:bidi w:val="0"/>
        <w:adjustRightInd/>
        <w:snapToGrid/>
        <w:spacing w:before="0" w:beforeLines="0" w:after="0" w:afterLines="0"/>
        <w:ind w:firstLine="561"/>
        <w:textAlignment w:val="auto"/>
        <w:rPr>
          <w:rFonts w:hint="default" w:ascii="Times New Roman" w:hAnsi="Times New Roman" w:cs="Times New Roman"/>
          <w:color w:val="auto"/>
        </w:rPr>
      </w:pPr>
      <w:bookmarkStart w:id="60" w:name="_Toc26832243"/>
      <w:bookmarkStart w:id="61" w:name="_Toc16262458"/>
      <w:bookmarkStart w:id="62" w:name="_Toc16262173"/>
      <w:bookmarkStart w:id="63" w:name="_Toc26832057"/>
      <w:bookmarkStart w:id="64" w:name="_Toc78769050"/>
      <w:bookmarkStart w:id="65" w:name="_Toc16154055"/>
      <w:bookmarkStart w:id="66" w:name="_Toc21728"/>
      <w:r>
        <w:rPr>
          <w:rFonts w:hint="default" w:ascii="Times New Roman" w:hAnsi="Times New Roman" w:cs="Times New Roman"/>
          <w:color w:val="auto"/>
        </w:rPr>
        <w:t>4.4.4.2 设计洪水水面线</w:t>
      </w:r>
      <w:bookmarkEnd w:id="60"/>
      <w:bookmarkEnd w:id="61"/>
      <w:bookmarkEnd w:id="62"/>
      <w:bookmarkEnd w:id="63"/>
      <w:bookmarkEnd w:id="64"/>
      <w:bookmarkEnd w:id="65"/>
      <w:bookmarkEnd w:id="66"/>
    </w:p>
    <w:p w14:paraId="5A776772">
      <w:pPr>
        <w:ind w:firstLine="560"/>
        <w:rPr>
          <w:rFonts w:hint="default" w:ascii="Times New Roman" w:hAnsi="Times New Roman" w:cs="Times New Roman"/>
          <w:color w:val="auto"/>
        </w:rPr>
      </w:pPr>
      <w:r>
        <w:rPr>
          <w:rFonts w:hint="default" w:ascii="Times New Roman" w:hAnsi="Times New Roman" w:cs="Times New Roman"/>
          <w:color w:val="auto"/>
          <w:lang w:val="en-US" w:eastAsia="zh-CN"/>
        </w:rPr>
        <w:t>在河道水面线验证计算的基础上，YYH-1~YYH-2断面的设计洪水位采用水力学公式推算；红格水库范围内水文断面的设计洪水位采用《关于盐边县红格水库工程初步设计报告的批复》（盐边水利〔2024〕260 号）（2024年8月）中已批复的《盐边县红格水库工程初步设计报告》（报批稿）（2024年7月）中水库20年一遇洪水淹没线计算成果</w:t>
      </w:r>
      <w:r>
        <w:rPr>
          <w:rFonts w:hint="eastAsia" w:cs="Times New Roman"/>
          <w:color w:val="auto"/>
          <w:lang w:val="en-US" w:eastAsia="zh-CN"/>
        </w:rPr>
        <w:t>，</w:t>
      </w:r>
      <w:r>
        <w:rPr>
          <w:rFonts w:hint="default" w:ascii="Times New Roman" w:hAnsi="Times New Roman" w:cs="Times New Roman"/>
          <w:color w:val="auto"/>
          <w:lang w:val="en-US" w:eastAsia="zh-CN"/>
        </w:rPr>
        <w:t>水库以上水文断面设计洪水位采用《关于</w:t>
      </w:r>
      <w:r>
        <w:rPr>
          <w:rFonts w:hint="eastAsia" w:cs="Times New Roman"/>
          <w:color w:val="auto"/>
          <w:lang w:val="en-US" w:eastAsia="zh-CN"/>
        </w:rPr>
        <w:t>〈</w:t>
      </w:r>
      <w:r>
        <w:rPr>
          <w:rFonts w:hint="default" w:ascii="Times New Roman" w:hAnsi="Times New Roman" w:cs="Times New Roman"/>
          <w:color w:val="auto"/>
          <w:lang w:val="en-US" w:eastAsia="zh-CN"/>
        </w:rPr>
        <w:t>盐边县农产品物流交易中心项目行洪论证与河势稳定评价报告（报批稿）</w:t>
      </w:r>
      <w:r>
        <w:rPr>
          <w:rFonts w:hint="eastAsia" w:cs="Times New Roman"/>
          <w:color w:val="auto"/>
          <w:lang w:val="en-US" w:eastAsia="zh-CN"/>
        </w:rPr>
        <w:t>〉</w:t>
      </w:r>
      <w:r>
        <w:rPr>
          <w:rFonts w:hint="default" w:ascii="Times New Roman" w:hAnsi="Times New Roman" w:cs="Times New Roman"/>
          <w:color w:val="auto"/>
          <w:lang w:val="en-US" w:eastAsia="zh-CN"/>
        </w:rPr>
        <w:t>的批复》（盐边水利〔2024〕63 号）（2024年3月）中已批复的《盐边县农产品物流交易中心项目行洪论证与河势稳定评价报告》（报批稿）（2024年3月）中的20年一遇洪水水位计算结果</w:t>
      </w:r>
      <w:r>
        <w:rPr>
          <w:rFonts w:hint="default" w:ascii="Times New Roman" w:hAnsi="Times New Roman" w:cs="Times New Roman"/>
          <w:color w:val="auto"/>
          <w:lang w:eastAsia="zh-CN"/>
        </w:rPr>
        <w:t>，</w:t>
      </w:r>
      <w:r>
        <w:rPr>
          <w:rFonts w:hint="default" w:ascii="Times New Roman" w:hAnsi="Times New Roman" w:cs="Times New Roman"/>
          <w:color w:val="auto"/>
        </w:rPr>
        <w:t>洪水水面线成果见表4.4-2。</w:t>
      </w:r>
    </w:p>
    <w:p w14:paraId="62669135">
      <w:pPr>
        <w:pStyle w:val="36"/>
        <w:spacing w:before="156" w:after="156"/>
        <w:rPr>
          <w:rFonts w:hint="default" w:ascii="Times New Roman" w:hAnsi="Times New Roman" w:cs="Times New Roman"/>
          <w:color w:val="auto"/>
        </w:rPr>
      </w:pPr>
      <w:r>
        <w:rPr>
          <w:rFonts w:hint="default" w:ascii="Times New Roman" w:hAnsi="Times New Roman" w:cs="Times New Roman"/>
          <w:color w:val="auto"/>
        </w:rPr>
        <w:t>表4.4-2 岩羊河设计洪水位成果表</w:t>
      </w:r>
    </w:p>
    <w:tbl>
      <w:tblPr>
        <w:tblStyle w:val="29"/>
        <w:tblW w:w="8918" w:type="dxa"/>
        <w:tblInd w:w="0" w:type="dxa"/>
        <w:tblLayout w:type="fixed"/>
        <w:tblCellMar>
          <w:top w:w="0" w:type="dxa"/>
          <w:left w:w="108" w:type="dxa"/>
          <w:bottom w:w="0" w:type="dxa"/>
          <w:right w:w="108" w:type="dxa"/>
        </w:tblCellMar>
      </w:tblPr>
      <w:tblGrid>
        <w:gridCol w:w="944"/>
        <w:gridCol w:w="898"/>
        <w:gridCol w:w="1046"/>
        <w:gridCol w:w="787"/>
        <w:gridCol w:w="892"/>
        <w:gridCol w:w="1046"/>
        <w:gridCol w:w="840"/>
        <w:gridCol w:w="1046"/>
        <w:gridCol w:w="696"/>
        <w:gridCol w:w="723"/>
      </w:tblGrid>
      <w:tr w14:paraId="59151123">
        <w:tblPrEx>
          <w:tblCellMar>
            <w:top w:w="0" w:type="dxa"/>
            <w:left w:w="108" w:type="dxa"/>
            <w:bottom w:w="0" w:type="dxa"/>
            <w:right w:w="108" w:type="dxa"/>
          </w:tblCellMar>
        </w:tblPrEx>
        <w:trPr>
          <w:trHeight w:val="300" w:hRule="atLeast"/>
          <w:tblHeader/>
        </w:trPr>
        <w:tc>
          <w:tcPr>
            <w:tcW w:w="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709222">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断面编号</w:t>
            </w:r>
          </w:p>
        </w:tc>
        <w:tc>
          <w:tcPr>
            <w:tcW w:w="8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F8E1C">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桩号</w:t>
            </w:r>
          </w:p>
        </w:tc>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EAC33">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河底高程</w:t>
            </w:r>
          </w:p>
        </w:tc>
        <w:tc>
          <w:tcPr>
            <w:tcW w:w="530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7EEAE">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P=5%</w:t>
            </w:r>
          </w:p>
        </w:tc>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E64EA">
            <w:pPr>
              <w:pStyle w:val="39"/>
              <w:spacing w:before="156"/>
              <w:rPr>
                <w:rFonts w:hint="default" w:ascii="Times New Roman" w:hAnsi="Times New Roman" w:cs="Times New Roman"/>
                <w:color w:val="auto"/>
                <w:sz w:val="20"/>
                <w:szCs w:val="18"/>
              </w:rPr>
            </w:pPr>
            <w:r>
              <w:rPr>
                <w:rFonts w:hint="default" w:ascii="Times New Roman" w:hAnsi="Times New Roman" w:cs="Times New Roman"/>
                <w:color w:val="auto"/>
                <w:sz w:val="20"/>
                <w:szCs w:val="18"/>
              </w:rPr>
              <w:t>备注</w:t>
            </w:r>
          </w:p>
        </w:tc>
      </w:tr>
      <w:tr w14:paraId="3CD60233">
        <w:tblPrEx>
          <w:tblCellMar>
            <w:top w:w="0" w:type="dxa"/>
            <w:left w:w="108" w:type="dxa"/>
            <w:bottom w:w="0" w:type="dxa"/>
            <w:right w:w="108" w:type="dxa"/>
          </w:tblCellMar>
        </w:tblPrEx>
        <w:trPr>
          <w:trHeight w:val="350" w:hRule="atLeast"/>
          <w:tblHeader/>
        </w:trPr>
        <w:tc>
          <w:tcPr>
            <w:tcW w:w="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7B888">
            <w:pPr>
              <w:pStyle w:val="39"/>
              <w:spacing w:before="0" w:beforeLines="0"/>
              <w:rPr>
                <w:rFonts w:hint="default" w:ascii="Times New Roman" w:hAnsi="Times New Roman" w:cs="Times New Roman"/>
                <w:color w:val="auto"/>
                <w:sz w:val="20"/>
                <w:szCs w:val="18"/>
              </w:rPr>
            </w:pPr>
          </w:p>
        </w:tc>
        <w:tc>
          <w:tcPr>
            <w:tcW w:w="8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C75CA">
            <w:pPr>
              <w:pStyle w:val="39"/>
              <w:spacing w:before="0" w:beforeLines="0"/>
              <w:rPr>
                <w:rFonts w:hint="default" w:ascii="Times New Roman" w:hAnsi="Times New Roman" w:cs="Times New Roman"/>
                <w:color w:val="auto"/>
                <w:sz w:val="20"/>
                <w:szCs w:val="18"/>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DE31B">
            <w:pPr>
              <w:pStyle w:val="39"/>
              <w:spacing w:before="0" w:beforeLines="0"/>
              <w:rPr>
                <w:rFonts w:hint="default" w:ascii="Times New Roman" w:hAnsi="Times New Roman" w:cs="Times New Roman"/>
                <w:color w:val="auto"/>
                <w:sz w:val="20"/>
                <w:szCs w:val="18"/>
              </w:rPr>
            </w:pP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AFC6C">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流量</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F27D2">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水位</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5A2EC">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过水面积</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B2448">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水面宽</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12BC6">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平均流速</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D4603">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水深</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02E8D">
            <w:pPr>
              <w:pStyle w:val="39"/>
              <w:spacing w:before="156"/>
              <w:rPr>
                <w:rFonts w:hint="default" w:ascii="Times New Roman" w:hAnsi="Times New Roman" w:cs="Times New Roman"/>
                <w:color w:val="auto"/>
                <w:sz w:val="20"/>
                <w:szCs w:val="18"/>
              </w:rPr>
            </w:pPr>
          </w:p>
        </w:tc>
      </w:tr>
      <w:tr w14:paraId="0136D184">
        <w:tblPrEx>
          <w:tblCellMar>
            <w:top w:w="0" w:type="dxa"/>
            <w:left w:w="108" w:type="dxa"/>
            <w:bottom w:w="0" w:type="dxa"/>
            <w:right w:w="108" w:type="dxa"/>
          </w:tblCellMar>
        </w:tblPrEx>
        <w:trPr>
          <w:trHeight w:val="268" w:hRule="atLeast"/>
          <w:tblHeader/>
        </w:trPr>
        <w:tc>
          <w:tcPr>
            <w:tcW w:w="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239C0">
            <w:pPr>
              <w:pStyle w:val="39"/>
              <w:spacing w:before="156"/>
              <w:rPr>
                <w:rFonts w:hint="default" w:ascii="Times New Roman" w:hAnsi="Times New Roman" w:cs="Times New Roman"/>
                <w:color w:val="auto"/>
                <w:sz w:val="20"/>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3E2C">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m</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5E51">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m</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F6D2E">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m³/s</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CF76C">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m</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95142">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m²</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D0296">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m</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83211">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m/s</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C276D">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m</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1CEB9">
            <w:pPr>
              <w:pStyle w:val="39"/>
              <w:spacing w:before="156"/>
              <w:rPr>
                <w:rFonts w:hint="default" w:ascii="Times New Roman" w:hAnsi="Times New Roman" w:cs="Times New Roman"/>
                <w:color w:val="auto"/>
                <w:sz w:val="20"/>
                <w:szCs w:val="18"/>
              </w:rPr>
            </w:pPr>
          </w:p>
        </w:tc>
      </w:tr>
      <w:tr w14:paraId="06E55924">
        <w:tblPrEx>
          <w:tblCellMar>
            <w:top w:w="0" w:type="dxa"/>
            <w:left w:w="108" w:type="dxa"/>
            <w:bottom w:w="0" w:type="dxa"/>
            <w:right w:w="108" w:type="dxa"/>
          </w:tblCellMar>
        </w:tblPrEx>
        <w:trPr>
          <w:trHeight w:val="348"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A46EA">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eastAsia" w:ascii="Times New Roman" w:hAnsi="Times New Roman" w:cs="Times New Roman"/>
                <w:iCs/>
                <w:color w:val="auto"/>
                <w:kern w:val="0"/>
                <w:sz w:val="20"/>
                <w:szCs w:val="18"/>
                <w:lang w:val="en-US" w:eastAsia="zh-CN"/>
              </w:rPr>
              <w:t>YYH-29</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E1AB8">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K4+194</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827B5">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1221.92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A978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4B08C">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1224.91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729F8">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57.60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3A6E9">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65.25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DD64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2.97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767F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2.99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FD605">
            <w:pPr>
              <w:pStyle w:val="39"/>
              <w:spacing w:before="0" w:beforeLines="0"/>
              <w:rPr>
                <w:rFonts w:hint="default" w:ascii="Times New Roman" w:hAnsi="Times New Roman" w:cs="Times New Roman"/>
                <w:color w:val="auto"/>
                <w:sz w:val="20"/>
                <w:szCs w:val="18"/>
              </w:rPr>
            </w:pPr>
          </w:p>
        </w:tc>
      </w:tr>
      <w:tr w14:paraId="06AEC3C5">
        <w:tblPrEx>
          <w:tblCellMar>
            <w:top w:w="0" w:type="dxa"/>
            <w:left w:w="108" w:type="dxa"/>
            <w:bottom w:w="0" w:type="dxa"/>
            <w:right w:w="108" w:type="dxa"/>
          </w:tblCellMar>
        </w:tblPrEx>
        <w:trPr>
          <w:trHeight w:val="348"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49247">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eastAsia" w:ascii="Times New Roman" w:hAnsi="Times New Roman" w:cs="Times New Roman"/>
                <w:iCs/>
                <w:color w:val="auto"/>
                <w:kern w:val="0"/>
                <w:sz w:val="20"/>
                <w:szCs w:val="18"/>
                <w:lang w:val="en-US" w:eastAsia="zh-CN"/>
              </w:rPr>
              <w:t>YYH-28</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59E98">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K3+983</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DE94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1221.38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6129">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6CC12">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1224.21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A0309">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61.78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18FFF">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74.80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D6AF4">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2.77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613A8">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2.83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13284">
            <w:pPr>
              <w:pStyle w:val="39"/>
              <w:spacing w:before="0" w:beforeLines="0"/>
              <w:rPr>
                <w:rFonts w:hint="default" w:ascii="Times New Roman" w:hAnsi="Times New Roman" w:cs="Times New Roman"/>
                <w:color w:val="auto"/>
                <w:sz w:val="20"/>
                <w:szCs w:val="18"/>
              </w:rPr>
            </w:pPr>
          </w:p>
        </w:tc>
      </w:tr>
      <w:tr w14:paraId="36160EEB">
        <w:tblPrEx>
          <w:tblCellMar>
            <w:top w:w="0" w:type="dxa"/>
            <w:left w:w="108" w:type="dxa"/>
            <w:bottom w:w="0" w:type="dxa"/>
            <w:right w:w="108" w:type="dxa"/>
          </w:tblCellMar>
        </w:tblPrEx>
        <w:trPr>
          <w:trHeight w:val="348"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E9C2">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eastAsia" w:ascii="Times New Roman" w:hAnsi="Times New Roman" w:cs="Times New Roman"/>
                <w:iCs/>
                <w:color w:val="auto"/>
                <w:kern w:val="0"/>
                <w:sz w:val="20"/>
                <w:szCs w:val="18"/>
                <w:lang w:val="en-US" w:eastAsia="zh-CN"/>
              </w:rPr>
              <w:t>YYH-27</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4B94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K3+848</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D6CC8">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1220.00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C21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B4D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1222.88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2B200">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41.17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7FA8F">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14.30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FA0DB">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4.88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58368">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2.88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FC7EB">
            <w:pPr>
              <w:pStyle w:val="39"/>
              <w:spacing w:before="0" w:beforeLines="0"/>
              <w:rPr>
                <w:rFonts w:hint="default" w:ascii="Times New Roman" w:hAnsi="Times New Roman" w:cs="Times New Roman"/>
                <w:color w:val="auto"/>
                <w:sz w:val="20"/>
                <w:szCs w:val="18"/>
              </w:rPr>
            </w:pPr>
          </w:p>
        </w:tc>
      </w:tr>
      <w:tr w14:paraId="56C245BF">
        <w:tblPrEx>
          <w:tblCellMar>
            <w:top w:w="0" w:type="dxa"/>
            <w:left w:w="108" w:type="dxa"/>
            <w:bottom w:w="0" w:type="dxa"/>
            <w:right w:w="108" w:type="dxa"/>
          </w:tblCellMar>
        </w:tblPrEx>
        <w:trPr>
          <w:trHeight w:val="348"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AE8A2">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eastAsia" w:ascii="Times New Roman" w:hAnsi="Times New Roman" w:cs="Times New Roman"/>
                <w:iCs/>
                <w:color w:val="auto"/>
                <w:kern w:val="0"/>
                <w:sz w:val="20"/>
                <w:szCs w:val="18"/>
                <w:lang w:val="en-US" w:eastAsia="zh-CN"/>
              </w:rPr>
              <w:t>YYH-26</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D74F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K3+735</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12E96">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1219.27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320FC">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9958F">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1222.05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280FC">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38.34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A347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13.80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89846">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5.24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4EE32">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2.78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EB9D3">
            <w:pPr>
              <w:pStyle w:val="39"/>
              <w:spacing w:before="0" w:beforeLines="0"/>
              <w:rPr>
                <w:rFonts w:hint="default" w:ascii="Times New Roman" w:hAnsi="Times New Roman" w:cs="Times New Roman"/>
                <w:color w:val="auto"/>
                <w:sz w:val="20"/>
                <w:szCs w:val="18"/>
              </w:rPr>
            </w:pPr>
          </w:p>
        </w:tc>
      </w:tr>
      <w:tr w14:paraId="74100478">
        <w:tblPrEx>
          <w:tblCellMar>
            <w:top w:w="0" w:type="dxa"/>
            <w:left w:w="108" w:type="dxa"/>
            <w:bottom w:w="0" w:type="dxa"/>
            <w:right w:w="108" w:type="dxa"/>
          </w:tblCellMar>
        </w:tblPrEx>
        <w:trPr>
          <w:trHeight w:val="348"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E5129">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eastAsia" w:ascii="Times New Roman" w:hAnsi="Times New Roman" w:cs="Times New Roman"/>
                <w:iCs/>
                <w:color w:val="auto"/>
                <w:kern w:val="0"/>
                <w:sz w:val="20"/>
                <w:szCs w:val="18"/>
                <w:lang w:val="en-US" w:eastAsia="zh-CN"/>
              </w:rPr>
              <w:t>YYH-25</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EA226">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K3+635</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48B7">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1217.92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2A74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EF90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1221.73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23BA9">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52.58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85F82">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13.80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5848F">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3.82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161CE">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3.81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337D2">
            <w:pPr>
              <w:pStyle w:val="39"/>
              <w:spacing w:before="0" w:beforeLines="0"/>
              <w:rPr>
                <w:rFonts w:hint="default" w:ascii="Times New Roman" w:hAnsi="Times New Roman" w:cs="Times New Roman"/>
                <w:color w:val="auto"/>
                <w:sz w:val="20"/>
                <w:szCs w:val="18"/>
              </w:rPr>
            </w:pPr>
          </w:p>
        </w:tc>
      </w:tr>
      <w:tr w14:paraId="164957CC">
        <w:tblPrEx>
          <w:tblCellMar>
            <w:top w:w="0" w:type="dxa"/>
            <w:left w:w="108" w:type="dxa"/>
            <w:bottom w:w="0" w:type="dxa"/>
            <w:right w:w="108" w:type="dxa"/>
          </w:tblCellMar>
        </w:tblPrEx>
        <w:trPr>
          <w:trHeight w:val="348"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57AFD">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eastAsia" w:ascii="Times New Roman" w:hAnsi="Times New Roman" w:cs="Times New Roman"/>
                <w:iCs/>
                <w:color w:val="auto"/>
                <w:kern w:val="0"/>
                <w:sz w:val="20"/>
                <w:szCs w:val="18"/>
                <w:lang w:val="en-US" w:eastAsia="zh-CN"/>
              </w:rPr>
              <w:t>YYH-24</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69F9B">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K3+535</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FA7CC">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1214.30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60C19">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ACC7A">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1218.47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D45BE">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42.07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6E1D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18.30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DA10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4.78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40F36">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4.17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CE6BA">
            <w:pPr>
              <w:pStyle w:val="39"/>
              <w:spacing w:before="0" w:beforeLines="0"/>
              <w:rPr>
                <w:rFonts w:hint="default" w:ascii="Times New Roman" w:hAnsi="Times New Roman" w:cs="Times New Roman"/>
                <w:color w:val="auto"/>
                <w:sz w:val="20"/>
                <w:szCs w:val="18"/>
              </w:rPr>
            </w:pPr>
          </w:p>
        </w:tc>
      </w:tr>
      <w:tr w14:paraId="0717B675">
        <w:tblPrEx>
          <w:tblCellMar>
            <w:top w:w="0" w:type="dxa"/>
            <w:left w:w="108" w:type="dxa"/>
            <w:bottom w:w="0" w:type="dxa"/>
            <w:right w:w="108" w:type="dxa"/>
          </w:tblCellMar>
        </w:tblPrEx>
        <w:trPr>
          <w:trHeight w:val="348"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1D307">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eastAsia" w:ascii="Times New Roman" w:hAnsi="Times New Roman" w:cs="Times New Roman"/>
                <w:iCs/>
                <w:color w:val="auto"/>
                <w:kern w:val="0"/>
                <w:sz w:val="20"/>
                <w:szCs w:val="18"/>
                <w:lang w:val="en-US" w:eastAsia="zh-CN"/>
              </w:rPr>
              <w:t>YYH-23</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79A0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K3+482</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92C17">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1212.50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F4A5">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4FB0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1216.67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D3735">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42.07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17975">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18.30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9FC3A">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4.78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7DB6F">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4.17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B7E95">
            <w:pPr>
              <w:pStyle w:val="39"/>
              <w:spacing w:before="0" w:beforeLines="0"/>
              <w:rPr>
                <w:rFonts w:hint="default" w:ascii="Times New Roman" w:hAnsi="Times New Roman" w:cs="Times New Roman"/>
                <w:color w:val="auto"/>
                <w:sz w:val="20"/>
                <w:szCs w:val="18"/>
              </w:rPr>
            </w:pPr>
          </w:p>
        </w:tc>
      </w:tr>
      <w:tr w14:paraId="7ACA10B1">
        <w:tblPrEx>
          <w:tblCellMar>
            <w:top w:w="0" w:type="dxa"/>
            <w:left w:w="108" w:type="dxa"/>
            <w:bottom w:w="0" w:type="dxa"/>
            <w:right w:w="108" w:type="dxa"/>
          </w:tblCellMar>
        </w:tblPrEx>
        <w:trPr>
          <w:trHeight w:val="348"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1D991">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eastAsia" w:ascii="Times New Roman" w:hAnsi="Times New Roman" w:cs="Times New Roman"/>
                <w:iCs/>
                <w:color w:val="auto"/>
                <w:kern w:val="0"/>
                <w:sz w:val="20"/>
                <w:szCs w:val="18"/>
                <w:lang w:val="en-US" w:eastAsia="zh-CN"/>
              </w:rPr>
              <w:t>YYH-22</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EDA1F">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K3+332</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81A76">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1211.30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2A88E">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1A0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1215.47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1FA1B">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42.08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71A1C">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18.30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D1912">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4.78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C1AA9">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4.17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69ABD">
            <w:pPr>
              <w:pStyle w:val="39"/>
              <w:spacing w:before="0" w:beforeLines="0"/>
              <w:rPr>
                <w:rFonts w:hint="default" w:ascii="Times New Roman" w:hAnsi="Times New Roman" w:cs="Times New Roman"/>
                <w:color w:val="auto"/>
                <w:sz w:val="20"/>
                <w:szCs w:val="18"/>
              </w:rPr>
            </w:pPr>
          </w:p>
        </w:tc>
      </w:tr>
      <w:tr w14:paraId="13C6F954">
        <w:tblPrEx>
          <w:tblCellMar>
            <w:top w:w="0" w:type="dxa"/>
            <w:left w:w="108" w:type="dxa"/>
            <w:bottom w:w="0" w:type="dxa"/>
            <w:right w:w="108" w:type="dxa"/>
          </w:tblCellMar>
        </w:tblPrEx>
        <w:trPr>
          <w:trHeight w:val="348"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BCFFB">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YYH-21</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BBDD9">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K3+233</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07834">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1210.10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9F4E">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61237">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1214.27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235D7">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42.09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0A018">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18.30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963F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4.78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212B2">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4.17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CFB17">
            <w:pPr>
              <w:pStyle w:val="39"/>
              <w:spacing w:before="0" w:beforeLines="0"/>
              <w:rPr>
                <w:rFonts w:hint="default" w:ascii="Times New Roman" w:hAnsi="Times New Roman" w:cs="Times New Roman"/>
                <w:color w:val="auto"/>
                <w:sz w:val="20"/>
                <w:szCs w:val="18"/>
              </w:rPr>
            </w:pPr>
          </w:p>
        </w:tc>
      </w:tr>
      <w:tr w14:paraId="0FE39316">
        <w:tblPrEx>
          <w:tblCellMar>
            <w:top w:w="0" w:type="dxa"/>
            <w:left w:w="108" w:type="dxa"/>
            <w:bottom w:w="0" w:type="dxa"/>
            <w:right w:w="108" w:type="dxa"/>
          </w:tblCellMar>
        </w:tblPrEx>
        <w:trPr>
          <w:trHeight w:val="348"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FBB42">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YYH-20</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EE0B7">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K3+133</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B5386">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1208.80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DBD2">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E9805">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1212.97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0713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42.11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0E015">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18.30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8A3A6">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4.77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B4FC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4.17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D0A82">
            <w:pPr>
              <w:pStyle w:val="39"/>
              <w:spacing w:before="0" w:beforeLines="0"/>
              <w:rPr>
                <w:rFonts w:hint="default" w:ascii="Times New Roman" w:hAnsi="Times New Roman" w:cs="Times New Roman"/>
                <w:color w:val="auto"/>
                <w:sz w:val="20"/>
                <w:szCs w:val="18"/>
              </w:rPr>
            </w:pPr>
          </w:p>
        </w:tc>
      </w:tr>
      <w:tr w14:paraId="57E9CE91">
        <w:tblPrEx>
          <w:tblCellMar>
            <w:top w:w="0" w:type="dxa"/>
            <w:left w:w="108" w:type="dxa"/>
            <w:bottom w:w="0" w:type="dxa"/>
            <w:right w:w="108" w:type="dxa"/>
          </w:tblCellMar>
        </w:tblPrEx>
        <w:trPr>
          <w:trHeight w:val="348"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32843">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YYH-19</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3F44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K3+034</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0F88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1207.50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3270">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5D08C">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1211.68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7A360">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42.14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FA6DA">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18.31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CF7B5">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4.77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2CA9">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4.18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30DD2">
            <w:pPr>
              <w:pStyle w:val="39"/>
              <w:spacing w:before="0" w:beforeLines="0"/>
              <w:rPr>
                <w:rFonts w:hint="default" w:ascii="Times New Roman" w:hAnsi="Times New Roman" w:cs="Times New Roman"/>
                <w:color w:val="auto"/>
                <w:sz w:val="20"/>
                <w:szCs w:val="18"/>
              </w:rPr>
            </w:pPr>
          </w:p>
        </w:tc>
      </w:tr>
      <w:tr w14:paraId="05888221">
        <w:tblPrEx>
          <w:tblCellMar>
            <w:top w:w="0" w:type="dxa"/>
            <w:left w:w="108" w:type="dxa"/>
            <w:bottom w:w="0" w:type="dxa"/>
            <w:right w:w="108" w:type="dxa"/>
          </w:tblCellMar>
        </w:tblPrEx>
        <w:trPr>
          <w:trHeight w:val="348"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291CF">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YYH-18</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7353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K2+934</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A58B7">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1206.20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CF4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C84C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1210.92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E8D97">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52.01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75C92">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19.94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68F2A">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3.86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BF630">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4.72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B01E5">
            <w:pPr>
              <w:pStyle w:val="39"/>
              <w:spacing w:before="0" w:beforeLines="0"/>
              <w:rPr>
                <w:rFonts w:hint="default" w:ascii="Times New Roman" w:hAnsi="Times New Roman" w:cs="Times New Roman"/>
                <w:color w:val="auto"/>
                <w:sz w:val="20"/>
                <w:szCs w:val="18"/>
              </w:rPr>
            </w:pPr>
          </w:p>
        </w:tc>
      </w:tr>
      <w:tr w14:paraId="7C56894A">
        <w:tblPrEx>
          <w:tblCellMar>
            <w:top w:w="0" w:type="dxa"/>
            <w:left w:w="108" w:type="dxa"/>
            <w:bottom w:w="0" w:type="dxa"/>
            <w:right w:w="108" w:type="dxa"/>
          </w:tblCellMar>
        </w:tblPrEx>
        <w:trPr>
          <w:trHeight w:val="348"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7055E">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YYH-17</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01C58">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K2+835</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AFD9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1204.00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C4D04">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9056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1208.00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1CE4">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32.00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5C236">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8.00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76EAC">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6.28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CEFCB">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4.00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A98C0">
            <w:pPr>
              <w:pStyle w:val="39"/>
              <w:spacing w:before="0" w:beforeLines="0"/>
              <w:rPr>
                <w:rFonts w:hint="default" w:ascii="Times New Roman" w:hAnsi="Times New Roman" w:cs="Times New Roman"/>
                <w:color w:val="auto"/>
                <w:sz w:val="20"/>
                <w:szCs w:val="18"/>
              </w:rPr>
            </w:pPr>
          </w:p>
        </w:tc>
      </w:tr>
      <w:tr w14:paraId="45477DEE">
        <w:tblPrEx>
          <w:tblCellMar>
            <w:top w:w="0" w:type="dxa"/>
            <w:left w:w="108" w:type="dxa"/>
            <w:bottom w:w="0" w:type="dxa"/>
            <w:right w:w="108" w:type="dxa"/>
          </w:tblCellMar>
        </w:tblPrEx>
        <w:trPr>
          <w:trHeight w:val="324"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11D8">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YYH-16</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9A260">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K2+547</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2D12F">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1203.30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F2914">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64F1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1206.84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E4D15">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74.95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90BE">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30.74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F88E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2.68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47E0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3.54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45C27">
            <w:pPr>
              <w:pStyle w:val="39"/>
              <w:spacing w:before="0" w:beforeLines="0"/>
              <w:rPr>
                <w:rFonts w:hint="default" w:ascii="Times New Roman" w:hAnsi="Times New Roman" w:cs="Times New Roman"/>
                <w:color w:val="auto"/>
                <w:sz w:val="20"/>
                <w:szCs w:val="18"/>
              </w:rPr>
            </w:pPr>
          </w:p>
        </w:tc>
      </w:tr>
      <w:tr w14:paraId="54463185">
        <w:tblPrEx>
          <w:tblCellMar>
            <w:top w:w="0" w:type="dxa"/>
            <w:left w:w="108" w:type="dxa"/>
            <w:bottom w:w="0" w:type="dxa"/>
            <w:right w:w="108" w:type="dxa"/>
          </w:tblCellMar>
        </w:tblPrEx>
        <w:trPr>
          <w:trHeight w:val="324"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2DEF1">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YYH-15</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D8B1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K2+422</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121F6">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1202.85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3249">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0BB3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1206.</w:t>
            </w:r>
            <w:r>
              <w:rPr>
                <w:rFonts w:hint="eastAsia" w:cs="Times New Roman"/>
                <w:iCs/>
                <w:color w:val="auto"/>
                <w:kern w:val="0"/>
                <w:sz w:val="20"/>
                <w:szCs w:val="18"/>
                <w:lang w:val="en-US" w:eastAsia="zh-CN"/>
              </w:rPr>
              <w:t>83</w:t>
            </w:r>
            <w:r>
              <w:rPr>
                <w:rFonts w:hint="eastAsia" w:ascii="Times New Roman" w:hAnsi="Times New Roman" w:cs="Times New Roman"/>
                <w:iCs/>
                <w:color w:val="auto"/>
                <w:kern w:val="0"/>
                <w:sz w:val="20"/>
                <w:szCs w:val="18"/>
                <w:lang w:val="en-US" w:eastAsia="zh-CN"/>
              </w:rPr>
              <w:t xml:space="preserve">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5279C">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80.24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62087">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31.07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7260B">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2.50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551FE">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3.92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F9B9D">
            <w:pPr>
              <w:pStyle w:val="39"/>
              <w:spacing w:before="0" w:beforeLines="0"/>
              <w:rPr>
                <w:rFonts w:hint="default" w:ascii="Times New Roman" w:hAnsi="Times New Roman" w:cs="Times New Roman"/>
                <w:color w:val="auto"/>
                <w:sz w:val="20"/>
                <w:szCs w:val="18"/>
              </w:rPr>
            </w:pPr>
          </w:p>
        </w:tc>
      </w:tr>
      <w:tr w14:paraId="477496FB">
        <w:tblPrEx>
          <w:tblCellMar>
            <w:top w:w="0" w:type="dxa"/>
            <w:left w:w="108" w:type="dxa"/>
            <w:bottom w:w="0" w:type="dxa"/>
            <w:right w:w="108" w:type="dxa"/>
          </w:tblCellMar>
        </w:tblPrEx>
        <w:trPr>
          <w:trHeight w:val="324"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AC7E5">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YYH-14</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E8694">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K2+346</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452C4">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1202.40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3847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A9A4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1206.81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75B2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109.07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18DA9">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36.39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39E4C">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1.84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D625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4.41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0DC24">
            <w:pPr>
              <w:pStyle w:val="39"/>
              <w:spacing w:before="0" w:beforeLines="0"/>
              <w:rPr>
                <w:rFonts w:hint="default" w:ascii="Times New Roman" w:hAnsi="Times New Roman" w:cs="Times New Roman"/>
                <w:color w:val="auto"/>
                <w:sz w:val="20"/>
                <w:szCs w:val="18"/>
              </w:rPr>
            </w:pPr>
          </w:p>
        </w:tc>
      </w:tr>
      <w:tr w14:paraId="6EF88DF4">
        <w:tblPrEx>
          <w:tblCellMar>
            <w:top w:w="0" w:type="dxa"/>
            <w:left w:w="108" w:type="dxa"/>
            <w:bottom w:w="0" w:type="dxa"/>
            <w:right w:w="108" w:type="dxa"/>
          </w:tblCellMar>
        </w:tblPrEx>
        <w:trPr>
          <w:trHeight w:val="324"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66FC1">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YYH-13</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36F2C">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K2+270</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037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1203.60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8979F">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7F50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1206.</w:t>
            </w:r>
            <w:r>
              <w:rPr>
                <w:rFonts w:hint="eastAsia" w:cs="Times New Roman"/>
                <w:iCs/>
                <w:color w:val="auto"/>
                <w:kern w:val="0"/>
                <w:sz w:val="20"/>
                <w:szCs w:val="18"/>
                <w:lang w:val="en-US" w:eastAsia="zh-CN"/>
              </w:rPr>
              <w:t>79</w:t>
            </w:r>
            <w:r>
              <w:rPr>
                <w:rFonts w:hint="eastAsia" w:ascii="Times New Roman" w:hAnsi="Times New Roman" w:cs="Times New Roman"/>
                <w:iCs/>
                <w:color w:val="auto"/>
                <w:kern w:val="0"/>
                <w:sz w:val="20"/>
                <w:szCs w:val="18"/>
                <w:lang w:val="en-US" w:eastAsia="zh-CN"/>
              </w:rPr>
              <w:t xml:space="preserve">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87390">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96.89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AE1AB">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40.77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7173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2.07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1D47B">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3.14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88E4B">
            <w:pPr>
              <w:pStyle w:val="39"/>
              <w:spacing w:before="0" w:beforeLines="0"/>
              <w:rPr>
                <w:rFonts w:hint="default" w:ascii="Times New Roman" w:hAnsi="Times New Roman" w:cs="Times New Roman"/>
                <w:color w:val="auto"/>
                <w:sz w:val="20"/>
                <w:szCs w:val="18"/>
              </w:rPr>
            </w:pPr>
          </w:p>
        </w:tc>
      </w:tr>
      <w:tr w14:paraId="14473C83">
        <w:tblPrEx>
          <w:tblCellMar>
            <w:top w:w="0" w:type="dxa"/>
            <w:left w:w="108" w:type="dxa"/>
            <w:bottom w:w="0" w:type="dxa"/>
            <w:right w:w="108" w:type="dxa"/>
          </w:tblCellMar>
        </w:tblPrEx>
        <w:trPr>
          <w:trHeight w:val="324"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3F976">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YYH-12</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1DF7A">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K2+247</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B9EA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1202.04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375A9">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6A0A6">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1206.</w:t>
            </w:r>
            <w:r>
              <w:rPr>
                <w:rFonts w:hint="eastAsia" w:cs="Times New Roman"/>
                <w:iCs/>
                <w:color w:val="auto"/>
                <w:kern w:val="0"/>
                <w:sz w:val="20"/>
                <w:szCs w:val="18"/>
                <w:lang w:val="en-US" w:eastAsia="zh-CN"/>
              </w:rPr>
              <w:t>74</w:t>
            </w:r>
            <w:r>
              <w:rPr>
                <w:rFonts w:hint="eastAsia" w:ascii="Times New Roman" w:hAnsi="Times New Roman" w:cs="Times New Roman"/>
                <w:iCs/>
                <w:color w:val="auto"/>
                <w:kern w:val="0"/>
                <w:sz w:val="20"/>
                <w:szCs w:val="18"/>
                <w:lang w:val="en-US" w:eastAsia="zh-CN"/>
              </w:rPr>
              <w:t xml:space="preserve">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0C838">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164.10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82F52">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46.83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58E15">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1.22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29CA">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4.79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D5674">
            <w:pPr>
              <w:pStyle w:val="39"/>
              <w:spacing w:before="0" w:beforeLines="0"/>
              <w:rPr>
                <w:rFonts w:hint="default" w:ascii="Times New Roman" w:hAnsi="Times New Roman" w:cs="Times New Roman"/>
                <w:color w:val="auto"/>
                <w:sz w:val="20"/>
                <w:szCs w:val="18"/>
              </w:rPr>
            </w:pPr>
          </w:p>
        </w:tc>
      </w:tr>
      <w:tr w14:paraId="3E5CBF9C">
        <w:tblPrEx>
          <w:tblCellMar>
            <w:top w:w="0" w:type="dxa"/>
            <w:left w:w="108" w:type="dxa"/>
            <w:bottom w:w="0" w:type="dxa"/>
            <w:right w:w="108" w:type="dxa"/>
          </w:tblCellMar>
        </w:tblPrEx>
        <w:trPr>
          <w:trHeight w:val="324"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9C25F">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YYH-11</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FD47">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K2+211</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B1764">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1201.58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8438">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0DD8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1206.67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D503E">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99.81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AFF8">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32.58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BA93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C4AD6">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5.09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17F1F">
            <w:pPr>
              <w:pStyle w:val="39"/>
              <w:spacing w:before="0" w:beforeLines="0"/>
              <w:rPr>
                <w:rFonts w:hint="default" w:ascii="Times New Roman" w:hAnsi="Times New Roman" w:cs="Times New Roman"/>
                <w:color w:val="auto"/>
                <w:sz w:val="20"/>
                <w:szCs w:val="18"/>
              </w:rPr>
            </w:pPr>
          </w:p>
        </w:tc>
      </w:tr>
      <w:tr w14:paraId="7B7AE372">
        <w:tblPrEx>
          <w:tblCellMar>
            <w:top w:w="0" w:type="dxa"/>
            <w:left w:w="108" w:type="dxa"/>
            <w:bottom w:w="0" w:type="dxa"/>
            <w:right w:w="108" w:type="dxa"/>
          </w:tblCellMar>
        </w:tblPrEx>
        <w:trPr>
          <w:trHeight w:val="324"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BA3A6">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YYH-10</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C055C">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K2+143</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F18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1201.12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A0CB">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79616">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1206.59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79332">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96.23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D8DFC">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31.00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CC93E">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2.09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15C4">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5.47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6AE2D">
            <w:pPr>
              <w:pStyle w:val="39"/>
              <w:spacing w:before="0" w:beforeLines="0"/>
              <w:rPr>
                <w:rFonts w:hint="default" w:ascii="Times New Roman" w:hAnsi="Times New Roman" w:cs="Times New Roman"/>
                <w:color w:val="auto"/>
                <w:sz w:val="20"/>
                <w:szCs w:val="18"/>
              </w:rPr>
            </w:pPr>
          </w:p>
        </w:tc>
      </w:tr>
      <w:tr w14:paraId="77818BCC">
        <w:tblPrEx>
          <w:tblCellMar>
            <w:top w:w="0" w:type="dxa"/>
            <w:left w:w="108" w:type="dxa"/>
            <w:bottom w:w="0" w:type="dxa"/>
            <w:right w:w="108" w:type="dxa"/>
          </w:tblCellMar>
        </w:tblPrEx>
        <w:trPr>
          <w:trHeight w:val="324"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800A2">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YYH-9</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184AB">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K2+065</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584E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1203.50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C16E">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DC618">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1205.71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1A57E">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49.23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3BA9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29.27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7BB49">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4.08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55C4A">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2.21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C2722">
            <w:pPr>
              <w:pStyle w:val="39"/>
              <w:spacing w:before="0" w:beforeLines="0"/>
              <w:rPr>
                <w:rFonts w:hint="default" w:ascii="Times New Roman" w:hAnsi="Times New Roman" w:cs="Times New Roman"/>
                <w:color w:val="auto"/>
                <w:sz w:val="20"/>
                <w:szCs w:val="18"/>
              </w:rPr>
            </w:pPr>
          </w:p>
        </w:tc>
      </w:tr>
      <w:tr w14:paraId="5521447D">
        <w:tblPrEx>
          <w:tblCellMar>
            <w:top w:w="0" w:type="dxa"/>
            <w:left w:w="108" w:type="dxa"/>
            <w:bottom w:w="0" w:type="dxa"/>
            <w:right w:w="108" w:type="dxa"/>
          </w:tblCellMar>
        </w:tblPrEx>
        <w:trPr>
          <w:trHeight w:val="324"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27828">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YYH-8</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73A9C">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K1+995</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A636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1198.50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9735">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4A81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1202.64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4C1A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44.99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225E7">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15.20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B14B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4.47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F9168">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4.14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D6AC2">
            <w:pPr>
              <w:pStyle w:val="39"/>
              <w:spacing w:before="0" w:beforeLines="0"/>
              <w:rPr>
                <w:rFonts w:hint="default" w:ascii="Times New Roman" w:hAnsi="Times New Roman" w:cs="Times New Roman"/>
                <w:color w:val="auto"/>
                <w:sz w:val="20"/>
                <w:szCs w:val="18"/>
              </w:rPr>
            </w:pPr>
          </w:p>
        </w:tc>
      </w:tr>
      <w:tr w14:paraId="19F5D402">
        <w:tblPrEx>
          <w:tblCellMar>
            <w:top w:w="0" w:type="dxa"/>
            <w:left w:w="108" w:type="dxa"/>
            <w:bottom w:w="0" w:type="dxa"/>
            <w:right w:w="108" w:type="dxa"/>
          </w:tblCellMar>
        </w:tblPrEx>
        <w:trPr>
          <w:trHeight w:val="324"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3EE22">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YYH-7</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9817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K1+895</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AFD8F">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1198.00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4A1C">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782C1">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1202.22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2C99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46.19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A0C42">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15.48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F38EA">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4.35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81A3A">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4.22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3448A">
            <w:pPr>
              <w:pStyle w:val="39"/>
              <w:spacing w:before="0" w:beforeLines="0"/>
              <w:rPr>
                <w:rFonts w:hint="default" w:ascii="Times New Roman" w:hAnsi="Times New Roman" w:cs="Times New Roman"/>
                <w:color w:val="auto"/>
                <w:sz w:val="20"/>
                <w:szCs w:val="18"/>
              </w:rPr>
            </w:pPr>
          </w:p>
        </w:tc>
      </w:tr>
      <w:tr w14:paraId="2FD9FB43">
        <w:tblPrEx>
          <w:tblCellMar>
            <w:top w:w="0" w:type="dxa"/>
            <w:left w:w="108" w:type="dxa"/>
            <w:bottom w:w="0" w:type="dxa"/>
            <w:right w:w="108" w:type="dxa"/>
          </w:tblCellMar>
        </w:tblPrEx>
        <w:trPr>
          <w:trHeight w:val="324"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3F97D">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YYH-6</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6BBB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K1+795</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E3377">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1197.50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C7B6">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ACC58">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1201.15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37C3A">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38.02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3DEAD">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13.45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43027">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5.29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07FBA">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3.65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5FBF3">
            <w:pPr>
              <w:pStyle w:val="39"/>
              <w:spacing w:before="0" w:beforeLines="0"/>
              <w:rPr>
                <w:rFonts w:hint="default" w:ascii="Times New Roman" w:hAnsi="Times New Roman" w:cs="Times New Roman"/>
                <w:color w:val="auto"/>
                <w:sz w:val="20"/>
                <w:szCs w:val="18"/>
              </w:rPr>
            </w:pPr>
          </w:p>
        </w:tc>
      </w:tr>
      <w:tr w14:paraId="42D4428F">
        <w:tblPrEx>
          <w:tblCellMar>
            <w:top w:w="0" w:type="dxa"/>
            <w:left w:w="108" w:type="dxa"/>
            <w:bottom w:w="0" w:type="dxa"/>
            <w:right w:w="108" w:type="dxa"/>
          </w:tblCellMar>
        </w:tblPrEx>
        <w:trPr>
          <w:trHeight w:val="324"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267C3">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YYH-5</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3218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K1+632</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6DA0B">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1195.20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2C2AE">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201.06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A6F70">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1197.81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BAF24">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70.99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117C9">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36.47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26598">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2.83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D1B9F">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eastAsia" w:ascii="Times New Roman" w:hAnsi="Times New Roman" w:cs="Times New Roman"/>
                <w:iCs/>
                <w:color w:val="auto"/>
                <w:kern w:val="0"/>
                <w:sz w:val="20"/>
                <w:szCs w:val="18"/>
                <w:lang w:val="en-US" w:eastAsia="zh-CN"/>
              </w:rPr>
              <w:t xml:space="preserve">2.61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28528">
            <w:pPr>
              <w:pStyle w:val="39"/>
              <w:spacing w:before="0" w:beforeLines="0"/>
              <w:rPr>
                <w:rFonts w:hint="default" w:ascii="Times New Roman" w:hAnsi="Times New Roman" w:cs="Times New Roman"/>
                <w:color w:val="auto"/>
                <w:sz w:val="20"/>
                <w:szCs w:val="18"/>
              </w:rPr>
            </w:pPr>
          </w:p>
        </w:tc>
      </w:tr>
      <w:tr w14:paraId="5C03750B">
        <w:tblPrEx>
          <w:tblCellMar>
            <w:top w:w="0" w:type="dxa"/>
            <w:left w:w="108" w:type="dxa"/>
            <w:bottom w:w="0" w:type="dxa"/>
            <w:right w:w="108" w:type="dxa"/>
          </w:tblCellMar>
        </w:tblPrEx>
        <w:trPr>
          <w:trHeight w:val="324"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534E2">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YYH-4</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0B2A5">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K1+345</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C0C88">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 xml:space="preserve">1192.43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17A6">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179</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1D89F">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1194</w:t>
            </w:r>
            <w:r>
              <w:rPr>
                <w:rFonts w:hint="default" w:ascii="Times New Roman" w:hAnsi="Times New Roman" w:cs="Times New Roman"/>
                <w:color w:val="auto"/>
                <w:sz w:val="20"/>
                <w:szCs w:val="18"/>
                <w:lang w:val="en-US" w:eastAsia="zh-CN"/>
              </w:rPr>
              <w:t>.85</w:t>
            </w:r>
            <w:r>
              <w:rPr>
                <w:rFonts w:hint="default" w:ascii="Times New Roman" w:hAnsi="Times New Roman" w:cs="Times New Roman"/>
                <w:color w:val="auto"/>
                <w:sz w:val="20"/>
                <w:szCs w:val="18"/>
              </w:rPr>
              <w:t xml:space="preserve">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8D65D">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lang w:val="en-US" w:eastAsia="zh-CN"/>
              </w:rPr>
              <w:t>87</w:t>
            </w:r>
            <w:r>
              <w:rPr>
                <w:rFonts w:hint="default" w:ascii="Times New Roman" w:hAnsi="Times New Roman" w:cs="Times New Roman"/>
                <w:color w:val="auto"/>
                <w:sz w:val="20"/>
                <w:szCs w:val="18"/>
              </w:rPr>
              <w:t>.</w:t>
            </w:r>
            <w:r>
              <w:rPr>
                <w:rFonts w:hint="default" w:ascii="Times New Roman" w:hAnsi="Times New Roman" w:cs="Times New Roman"/>
                <w:color w:val="auto"/>
                <w:sz w:val="20"/>
                <w:szCs w:val="18"/>
                <w:lang w:val="en-US" w:eastAsia="zh-CN"/>
              </w:rPr>
              <w:t>4</w:t>
            </w:r>
            <w:r>
              <w:rPr>
                <w:rFonts w:hint="default" w:ascii="Times New Roman" w:hAnsi="Times New Roman" w:cs="Times New Roman"/>
                <w:color w:val="auto"/>
                <w:sz w:val="20"/>
                <w:szCs w:val="18"/>
              </w:rPr>
              <w:t xml:space="preserve">3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1DA71">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lang w:val="en-US" w:eastAsia="zh-CN"/>
              </w:rPr>
              <w:t>52</w:t>
            </w:r>
            <w:r>
              <w:rPr>
                <w:rFonts w:hint="default" w:ascii="Times New Roman" w:hAnsi="Times New Roman" w:cs="Times New Roman"/>
                <w:color w:val="auto"/>
                <w:sz w:val="20"/>
                <w:szCs w:val="18"/>
              </w:rPr>
              <w:t>.</w:t>
            </w:r>
            <w:r>
              <w:rPr>
                <w:rFonts w:hint="default" w:ascii="Times New Roman" w:hAnsi="Times New Roman" w:cs="Times New Roman"/>
                <w:color w:val="auto"/>
                <w:sz w:val="20"/>
                <w:szCs w:val="18"/>
                <w:lang w:val="en-US" w:eastAsia="zh-CN"/>
              </w:rPr>
              <w:t>67</w:t>
            </w:r>
            <w:r>
              <w:rPr>
                <w:rFonts w:hint="default" w:ascii="Times New Roman" w:hAnsi="Times New Roman" w:cs="Times New Roman"/>
                <w:color w:val="auto"/>
                <w:sz w:val="20"/>
                <w:szCs w:val="18"/>
              </w:rPr>
              <w:t xml:space="preserve">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17C6">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lang w:val="en-US" w:eastAsia="zh-CN"/>
              </w:rPr>
              <w:t>2.04</w:t>
            </w:r>
            <w:r>
              <w:rPr>
                <w:rFonts w:hint="default" w:ascii="Times New Roman" w:hAnsi="Times New Roman" w:cs="Times New Roman"/>
                <w:color w:val="auto"/>
                <w:sz w:val="20"/>
                <w:szCs w:val="18"/>
              </w:rPr>
              <w:t xml:space="preserve">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E2CD3">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2.42</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E048A">
            <w:pPr>
              <w:pStyle w:val="39"/>
              <w:spacing w:before="0" w:beforeLines="0"/>
              <w:rPr>
                <w:rFonts w:hint="default" w:ascii="Times New Roman" w:hAnsi="Times New Roman" w:cs="Times New Roman"/>
                <w:color w:val="auto"/>
                <w:sz w:val="20"/>
                <w:szCs w:val="18"/>
              </w:rPr>
            </w:pPr>
          </w:p>
        </w:tc>
      </w:tr>
      <w:tr w14:paraId="228F05E3">
        <w:tblPrEx>
          <w:tblCellMar>
            <w:top w:w="0" w:type="dxa"/>
            <w:left w:w="108" w:type="dxa"/>
            <w:bottom w:w="0" w:type="dxa"/>
            <w:right w:w="108" w:type="dxa"/>
          </w:tblCellMar>
        </w:tblPrEx>
        <w:trPr>
          <w:trHeight w:val="324"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CA237">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YYH-3</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5E0AE">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K0+801</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770B5">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 xml:space="preserve">1181.31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685E">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231</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906A0">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1194</w:t>
            </w:r>
            <w:r>
              <w:rPr>
                <w:rFonts w:hint="default" w:ascii="Times New Roman" w:hAnsi="Times New Roman" w:cs="Times New Roman"/>
                <w:color w:val="auto"/>
                <w:sz w:val="20"/>
                <w:szCs w:val="18"/>
                <w:lang w:val="en-US" w:eastAsia="zh-CN"/>
              </w:rPr>
              <w:t>.85</w:t>
            </w:r>
            <w:r>
              <w:rPr>
                <w:rFonts w:hint="default" w:ascii="Times New Roman" w:hAnsi="Times New Roman" w:cs="Times New Roman"/>
                <w:color w:val="auto"/>
                <w:sz w:val="20"/>
                <w:szCs w:val="18"/>
              </w:rPr>
              <w:t xml:space="preserve">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F1025">
            <w:pPr>
              <w:pStyle w:val="39"/>
              <w:spacing w:before="0" w:beforeLines="0"/>
              <w:rPr>
                <w:rFonts w:hint="default" w:ascii="Times New Roman" w:hAnsi="Times New Roman" w:eastAsia="宋体" w:cs="Times New Roman"/>
                <w:color w:val="auto"/>
                <w:sz w:val="20"/>
                <w:szCs w:val="18"/>
                <w:lang w:val="en-US" w:eastAsia="zh-CN"/>
              </w:rPr>
            </w:pPr>
            <w:r>
              <w:rPr>
                <w:rFonts w:hint="default" w:ascii="Times New Roman" w:hAnsi="Times New Roman" w:cs="Times New Roman"/>
                <w:color w:val="auto"/>
                <w:sz w:val="20"/>
                <w:szCs w:val="18"/>
                <w:lang w:val="en-US" w:eastAsia="zh-CN"/>
              </w:rPr>
              <w:t>1220.23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CF7EC">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lang w:val="en-US" w:eastAsia="zh-CN"/>
              </w:rPr>
              <w:t>123.55</w:t>
            </w:r>
            <w:r>
              <w:rPr>
                <w:rFonts w:hint="default" w:ascii="Times New Roman" w:hAnsi="Times New Roman" w:cs="Times New Roman"/>
                <w:color w:val="auto"/>
                <w:sz w:val="20"/>
                <w:szCs w:val="18"/>
              </w:rPr>
              <w:t xml:space="preserve">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F11AC">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lang w:val="en-US" w:eastAsia="zh-CN"/>
              </w:rPr>
              <w:t>0.19</w:t>
            </w:r>
            <w:r>
              <w:rPr>
                <w:rFonts w:hint="default" w:ascii="Times New Roman" w:hAnsi="Times New Roman" w:cs="Times New Roman"/>
                <w:color w:val="auto"/>
                <w:sz w:val="20"/>
                <w:szCs w:val="18"/>
              </w:rPr>
              <w:t xml:space="preserve">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73975">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13.54</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8B15F">
            <w:pPr>
              <w:pStyle w:val="39"/>
              <w:spacing w:before="0" w:beforeLines="0"/>
              <w:rPr>
                <w:rFonts w:hint="eastAsia" w:ascii="Times New Roman" w:hAnsi="Times New Roman" w:eastAsia="宋体" w:cs="Times New Roman"/>
                <w:color w:val="auto"/>
                <w:sz w:val="20"/>
                <w:szCs w:val="18"/>
                <w:lang w:val="en-US" w:eastAsia="zh-CN"/>
              </w:rPr>
            </w:pPr>
            <w:r>
              <w:rPr>
                <w:rFonts w:hint="eastAsia" w:cs="Times New Roman"/>
                <w:color w:val="auto"/>
                <w:sz w:val="20"/>
                <w:szCs w:val="18"/>
                <w:lang w:val="en-US" w:eastAsia="zh-CN"/>
              </w:rPr>
              <w:t>坝址</w:t>
            </w:r>
          </w:p>
        </w:tc>
      </w:tr>
      <w:tr w14:paraId="1157443C">
        <w:tblPrEx>
          <w:tblCellMar>
            <w:top w:w="0" w:type="dxa"/>
            <w:left w:w="108" w:type="dxa"/>
            <w:bottom w:w="0" w:type="dxa"/>
            <w:right w:w="108" w:type="dxa"/>
          </w:tblCellMar>
        </w:tblPrEx>
        <w:trPr>
          <w:trHeight w:val="324"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20C65">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YYH-2</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886C5">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K0+345</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07CA6">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 xml:space="preserve">1177.35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7D85">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231</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3DCF4">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 xml:space="preserve">1179.85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13C56">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 xml:space="preserve">76.16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4901E">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 xml:space="preserve">56.51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BA9B0">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 xml:space="preserve">3.03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465DA">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 xml:space="preserve">2.50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9BCD">
            <w:pPr>
              <w:pStyle w:val="39"/>
              <w:spacing w:before="0" w:beforeLines="0"/>
              <w:rPr>
                <w:rFonts w:hint="default" w:ascii="Times New Roman" w:hAnsi="Times New Roman" w:cs="Times New Roman"/>
                <w:color w:val="auto"/>
                <w:sz w:val="20"/>
                <w:szCs w:val="18"/>
              </w:rPr>
            </w:pPr>
          </w:p>
        </w:tc>
      </w:tr>
      <w:tr w14:paraId="1FF02AF1">
        <w:tblPrEx>
          <w:tblCellMar>
            <w:top w:w="0" w:type="dxa"/>
            <w:left w:w="108" w:type="dxa"/>
            <w:bottom w:w="0" w:type="dxa"/>
            <w:right w:w="108" w:type="dxa"/>
          </w:tblCellMar>
        </w:tblPrEx>
        <w:trPr>
          <w:trHeight w:val="402" w:hRule="atLeast"/>
        </w:trPr>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64C69">
            <w:pPr>
              <w:widowControl/>
              <w:spacing w:line="240" w:lineRule="auto"/>
              <w:ind w:firstLine="0" w:firstLineChars="0"/>
              <w:jc w:val="center"/>
              <w:textAlignment w:val="center"/>
              <w:rPr>
                <w:rFonts w:hint="default" w:ascii="Times New Roman" w:hAnsi="Times New Roman" w:cs="Times New Roman"/>
                <w:iCs/>
                <w:color w:val="auto"/>
                <w:kern w:val="0"/>
                <w:sz w:val="20"/>
                <w:szCs w:val="18"/>
              </w:rPr>
            </w:pPr>
            <w:r>
              <w:rPr>
                <w:rFonts w:hint="default" w:ascii="Times New Roman" w:hAnsi="Times New Roman" w:cs="Times New Roman"/>
                <w:iCs/>
                <w:color w:val="auto"/>
                <w:kern w:val="0"/>
                <w:sz w:val="20"/>
                <w:szCs w:val="18"/>
              </w:rPr>
              <w:t>YYH-1</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66808">
            <w:pPr>
              <w:widowControl/>
              <w:spacing w:line="240" w:lineRule="auto"/>
              <w:ind w:firstLine="0" w:firstLineChars="0"/>
              <w:jc w:val="center"/>
              <w:textAlignment w:val="center"/>
              <w:rPr>
                <w:rFonts w:hint="default" w:ascii="Times New Roman" w:hAnsi="Times New Roman" w:cs="Times New Roman"/>
                <w:iCs/>
                <w:color w:val="auto"/>
                <w:kern w:val="0"/>
                <w:sz w:val="20"/>
                <w:szCs w:val="18"/>
                <w:lang w:val="en-US" w:eastAsia="zh-CN"/>
              </w:rPr>
            </w:pPr>
            <w:r>
              <w:rPr>
                <w:rFonts w:hint="default" w:ascii="Times New Roman" w:hAnsi="Times New Roman" w:cs="Times New Roman"/>
                <w:iCs/>
                <w:color w:val="auto"/>
                <w:kern w:val="0"/>
                <w:sz w:val="20"/>
                <w:szCs w:val="18"/>
                <w:lang w:val="en-US" w:eastAsia="zh-CN"/>
              </w:rPr>
              <w:t>K0+000</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F69FA">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 xml:space="preserve">1174.80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BEC9">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231</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7B4BC">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117</w:t>
            </w:r>
            <w:r>
              <w:rPr>
                <w:rFonts w:hint="eastAsia" w:cs="Times New Roman"/>
                <w:color w:val="auto"/>
                <w:sz w:val="20"/>
                <w:szCs w:val="18"/>
                <w:lang w:val="en-US" w:eastAsia="zh-CN"/>
              </w:rPr>
              <w:t>9.35</w:t>
            </w:r>
            <w:r>
              <w:rPr>
                <w:rFonts w:hint="default" w:ascii="Times New Roman" w:hAnsi="Times New Roman" w:cs="Times New Roman"/>
                <w:color w:val="auto"/>
                <w:sz w:val="20"/>
                <w:szCs w:val="18"/>
              </w:rPr>
              <w:t xml:space="preserve">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AAB6D">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 xml:space="preserve">156.97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9070D">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 xml:space="preserve">126.75 </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B938C">
            <w:pPr>
              <w:pStyle w:val="39"/>
              <w:spacing w:before="0" w:beforeLines="0"/>
              <w:rPr>
                <w:rFonts w:hint="default" w:ascii="Times New Roman" w:hAnsi="Times New Roman" w:cs="Times New Roman"/>
                <w:color w:val="auto"/>
                <w:sz w:val="20"/>
                <w:szCs w:val="18"/>
              </w:rPr>
            </w:pPr>
            <w:r>
              <w:rPr>
                <w:rFonts w:hint="default" w:ascii="Times New Roman" w:hAnsi="Times New Roman" w:cs="Times New Roman"/>
                <w:color w:val="auto"/>
                <w:sz w:val="20"/>
                <w:szCs w:val="18"/>
              </w:rPr>
              <w:t xml:space="preserve">1.47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05834">
            <w:pPr>
              <w:pStyle w:val="39"/>
              <w:spacing w:before="0" w:beforeLines="0"/>
              <w:rPr>
                <w:rFonts w:hint="default" w:ascii="Times New Roman" w:hAnsi="Times New Roman" w:cs="Times New Roman"/>
                <w:color w:val="auto"/>
                <w:sz w:val="20"/>
                <w:szCs w:val="18"/>
              </w:rPr>
            </w:pPr>
            <w:r>
              <w:rPr>
                <w:rFonts w:hint="eastAsia" w:cs="Times New Roman"/>
                <w:color w:val="auto"/>
                <w:sz w:val="20"/>
                <w:szCs w:val="18"/>
                <w:lang w:val="en-US" w:eastAsia="zh-CN"/>
              </w:rPr>
              <w:t>4.55</w:t>
            </w:r>
            <w:r>
              <w:rPr>
                <w:rFonts w:hint="default" w:ascii="Times New Roman" w:hAnsi="Times New Roman" w:cs="Times New Roman"/>
                <w:color w:val="auto"/>
                <w:sz w:val="20"/>
                <w:szCs w:val="18"/>
              </w:rPr>
              <w:t xml:space="preserve">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C6603">
            <w:pPr>
              <w:pStyle w:val="39"/>
              <w:spacing w:before="0" w:beforeLines="0"/>
              <w:rPr>
                <w:rFonts w:hint="default" w:ascii="Times New Roman" w:hAnsi="Times New Roman" w:cs="Times New Roman"/>
                <w:color w:val="auto"/>
                <w:sz w:val="20"/>
                <w:szCs w:val="18"/>
              </w:rPr>
            </w:pPr>
          </w:p>
        </w:tc>
      </w:tr>
    </w:tbl>
    <w:p w14:paraId="1B661C5F">
      <w:pPr>
        <w:pStyle w:val="6"/>
        <w:spacing w:before="156" w:after="156"/>
        <w:ind w:firstLine="562"/>
        <w:rPr>
          <w:rFonts w:hint="default" w:ascii="Times New Roman" w:hAnsi="Times New Roman" w:cs="Times New Roman"/>
          <w:color w:val="auto"/>
        </w:rPr>
      </w:pPr>
      <w:r>
        <w:rPr>
          <w:rFonts w:hint="default" w:ascii="Times New Roman" w:hAnsi="Times New Roman" w:cs="Times New Roman"/>
          <w:color w:val="auto"/>
        </w:rPr>
        <w:t>4.4.4.3 河道管理范围的确定</w:t>
      </w:r>
    </w:p>
    <w:p w14:paraId="1453F83F">
      <w:pPr>
        <w:tabs>
          <w:tab w:val="left" w:pos="862"/>
        </w:tabs>
        <w:ind w:firstLine="560"/>
        <w:rPr>
          <w:rFonts w:hint="default" w:ascii="Times New Roman" w:hAnsi="Times New Roman" w:cs="Times New Roman"/>
          <w:color w:val="auto"/>
          <w:shd w:val="clear" w:color="auto" w:fill="FFFFFF"/>
        </w:rPr>
        <w:sectPr>
          <w:headerReference r:id="rId11" w:type="default"/>
          <w:footerReference r:id="rId12"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color w:val="auto"/>
          <w:shd w:val="clear" w:color="auto" w:fill="FFFFFF"/>
        </w:rPr>
        <w:t>根据本次划界河段管理范围线确定的原则，结合设计洪水水面线计算结果及河段实际情况，综合确定河道管理范围线。</w:t>
      </w:r>
    </w:p>
    <w:p w14:paraId="0310CFC2">
      <w:pPr>
        <w:pStyle w:val="11"/>
        <w:ind w:firstLine="480"/>
        <w:jc w:val="center"/>
        <w:rPr>
          <w:rFonts w:hint="eastAsia" w:eastAsia="宋体"/>
          <w:color w:val="auto"/>
          <w:lang w:eastAsia="zh-CN"/>
        </w:rPr>
        <w:sectPr>
          <w:headerReference r:id="rId13" w:type="default"/>
          <w:footerReference r:id="rId14" w:type="default"/>
          <w:pgSz w:w="16838" w:h="11906" w:orient="landscape"/>
          <w:pgMar w:top="1800" w:right="1440" w:bottom="1800" w:left="1440" w:header="851" w:footer="992" w:gutter="0"/>
          <w:pgNumType w:fmt="decimal"/>
          <w:cols w:space="425" w:num="1"/>
          <w:docGrid w:type="lines" w:linePitch="312" w:charSpace="0"/>
        </w:sectPr>
      </w:pPr>
      <w:r>
        <w:rPr>
          <w:rFonts w:hint="eastAsia" w:eastAsia="宋体"/>
          <w:color w:val="auto"/>
          <w:lang w:eastAsia="zh-CN"/>
        </w:rPr>
        <w:drawing>
          <wp:inline distT="0" distB="0" distL="114300" distR="114300">
            <wp:extent cx="7456170" cy="5272405"/>
            <wp:effectExtent l="0" t="0" r="11430" b="4445"/>
            <wp:docPr id="16" name="图片 16" descr="岩羊河划界（水文图纸082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岩羊河划界（水文图纸0825）_01"/>
                    <pic:cNvPicPr>
                      <a:picLocks noChangeAspect="1"/>
                    </pic:cNvPicPr>
                  </pic:nvPicPr>
                  <pic:blipFill>
                    <a:blip r:embed="rId32"/>
                    <a:stretch>
                      <a:fillRect/>
                    </a:stretch>
                  </pic:blipFill>
                  <pic:spPr>
                    <a:xfrm>
                      <a:off x="0" y="0"/>
                      <a:ext cx="7456170" cy="5272405"/>
                    </a:xfrm>
                    <a:prstGeom prst="rect">
                      <a:avLst/>
                    </a:prstGeom>
                  </pic:spPr>
                </pic:pic>
              </a:graphicData>
            </a:graphic>
          </wp:inline>
        </w:drawing>
      </w:r>
      <w:r>
        <w:rPr>
          <w:rFonts w:hint="eastAsia" w:eastAsia="宋体"/>
          <w:color w:val="auto"/>
          <w:lang w:eastAsia="zh-CN"/>
        </w:rPr>
        <w:drawing>
          <wp:inline distT="0" distB="0" distL="114300" distR="114300">
            <wp:extent cx="7456170" cy="5272405"/>
            <wp:effectExtent l="0" t="0" r="11430" b="4445"/>
            <wp:docPr id="15" name="图片 15" descr="岩羊河划界（水文图纸082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岩羊河划界（水文图纸0825）_02"/>
                    <pic:cNvPicPr>
                      <a:picLocks noChangeAspect="1"/>
                    </pic:cNvPicPr>
                  </pic:nvPicPr>
                  <pic:blipFill>
                    <a:blip r:embed="rId33"/>
                    <a:stretch>
                      <a:fillRect/>
                    </a:stretch>
                  </pic:blipFill>
                  <pic:spPr>
                    <a:xfrm>
                      <a:off x="0" y="0"/>
                      <a:ext cx="7456170" cy="5272405"/>
                    </a:xfrm>
                    <a:prstGeom prst="rect">
                      <a:avLst/>
                    </a:prstGeom>
                  </pic:spPr>
                </pic:pic>
              </a:graphicData>
            </a:graphic>
          </wp:inline>
        </w:drawing>
      </w:r>
      <w:r>
        <w:rPr>
          <w:rFonts w:hint="eastAsia" w:eastAsia="宋体"/>
          <w:color w:val="auto"/>
          <w:lang w:eastAsia="zh-CN"/>
        </w:rPr>
        <w:drawing>
          <wp:inline distT="0" distB="0" distL="114300" distR="114300">
            <wp:extent cx="7456170" cy="5272405"/>
            <wp:effectExtent l="0" t="0" r="11430" b="4445"/>
            <wp:docPr id="14" name="图片 14" descr="岩羊河划界（水文图纸082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岩羊河划界（水文图纸0825）_03"/>
                    <pic:cNvPicPr>
                      <a:picLocks noChangeAspect="1"/>
                    </pic:cNvPicPr>
                  </pic:nvPicPr>
                  <pic:blipFill>
                    <a:blip r:embed="rId34"/>
                    <a:stretch>
                      <a:fillRect/>
                    </a:stretch>
                  </pic:blipFill>
                  <pic:spPr>
                    <a:xfrm>
                      <a:off x="0" y="0"/>
                      <a:ext cx="7456170" cy="5272405"/>
                    </a:xfrm>
                    <a:prstGeom prst="rect">
                      <a:avLst/>
                    </a:prstGeom>
                  </pic:spPr>
                </pic:pic>
              </a:graphicData>
            </a:graphic>
          </wp:inline>
        </w:drawing>
      </w:r>
      <w:r>
        <w:rPr>
          <w:rFonts w:hint="eastAsia" w:eastAsia="宋体"/>
          <w:color w:val="auto"/>
          <w:lang w:eastAsia="zh-CN"/>
        </w:rPr>
        <w:drawing>
          <wp:inline distT="0" distB="0" distL="114300" distR="114300">
            <wp:extent cx="7456170" cy="5272405"/>
            <wp:effectExtent l="0" t="0" r="11430" b="4445"/>
            <wp:docPr id="13" name="图片 13" descr="岩羊河划界（水文图纸082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岩羊河划界（水文图纸0825）_04"/>
                    <pic:cNvPicPr>
                      <a:picLocks noChangeAspect="1"/>
                    </pic:cNvPicPr>
                  </pic:nvPicPr>
                  <pic:blipFill>
                    <a:blip r:embed="rId35"/>
                    <a:stretch>
                      <a:fillRect/>
                    </a:stretch>
                  </pic:blipFill>
                  <pic:spPr>
                    <a:xfrm>
                      <a:off x="0" y="0"/>
                      <a:ext cx="7456170" cy="5272405"/>
                    </a:xfrm>
                    <a:prstGeom prst="rect">
                      <a:avLst/>
                    </a:prstGeom>
                  </pic:spPr>
                </pic:pic>
              </a:graphicData>
            </a:graphic>
          </wp:inline>
        </w:drawing>
      </w:r>
      <w:r>
        <w:rPr>
          <w:rFonts w:hint="eastAsia" w:eastAsia="宋体"/>
          <w:color w:val="auto"/>
          <w:lang w:eastAsia="zh-CN"/>
        </w:rPr>
        <w:drawing>
          <wp:inline distT="0" distB="0" distL="114300" distR="114300">
            <wp:extent cx="7456170" cy="5272405"/>
            <wp:effectExtent l="0" t="0" r="11430" b="4445"/>
            <wp:docPr id="12" name="图片 12" descr="岩羊河划界（水文图纸082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岩羊河划界（水文图纸0825）_05"/>
                    <pic:cNvPicPr>
                      <a:picLocks noChangeAspect="1"/>
                    </pic:cNvPicPr>
                  </pic:nvPicPr>
                  <pic:blipFill>
                    <a:blip r:embed="rId36"/>
                    <a:stretch>
                      <a:fillRect/>
                    </a:stretch>
                  </pic:blipFill>
                  <pic:spPr>
                    <a:xfrm>
                      <a:off x="0" y="0"/>
                      <a:ext cx="7456170" cy="5272405"/>
                    </a:xfrm>
                    <a:prstGeom prst="rect">
                      <a:avLst/>
                    </a:prstGeom>
                  </pic:spPr>
                </pic:pic>
              </a:graphicData>
            </a:graphic>
          </wp:inline>
        </w:drawing>
      </w:r>
      <w:r>
        <w:rPr>
          <w:rFonts w:hint="eastAsia" w:eastAsia="宋体"/>
          <w:color w:val="auto"/>
          <w:lang w:eastAsia="zh-CN"/>
        </w:rPr>
        <w:drawing>
          <wp:inline distT="0" distB="0" distL="114300" distR="114300">
            <wp:extent cx="7456170" cy="5272405"/>
            <wp:effectExtent l="0" t="0" r="11430" b="4445"/>
            <wp:docPr id="11" name="图片 11" descr="岩羊河划界（水文图纸082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岩羊河划界（水文图纸0825）_06"/>
                    <pic:cNvPicPr>
                      <a:picLocks noChangeAspect="1"/>
                    </pic:cNvPicPr>
                  </pic:nvPicPr>
                  <pic:blipFill>
                    <a:blip r:embed="rId37"/>
                    <a:stretch>
                      <a:fillRect/>
                    </a:stretch>
                  </pic:blipFill>
                  <pic:spPr>
                    <a:xfrm>
                      <a:off x="0" y="0"/>
                      <a:ext cx="7456170" cy="5272405"/>
                    </a:xfrm>
                    <a:prstGeom prst="rect">
                      <a:avLst/>
                    </a:prstGeom>
                  </pic:spPr>
                </pic:pic>
              </a:graphicData>
            </a:graphic>
          </wp:inline>
        </w:drawing>
      </w:r>
      <w:r>
        <w:rPr>
          <w:rFonts w:hint="eastAsia" w:eastAsia="宋体"/>
          <w:color w:val="auto"/>
          <w:lang w:eastAsia="zh-CN"/>
        </w:rPr>
        <w:drawing>
          <wp:inline distT="0" distB="0" distL="114300" distR="114300">
            <wp:extent cx="7456170" cy="5272405"/>
            <wp:effectExtent l="0" t="0" r="11430" b="4445"/>
            <wp:docPr id="9" name="图片 9" descr="岩羊河划界（水文图纸0825）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岩羊河划界（水文图纸0825）_07"/>
                    <pic:cNvPicPr>
                      <a:picLocks noChangeAspect="1"/>
                    </pic:cNvPicPr>
                  </pic:nvPicPr>
                  <pic:blipFill>
                    <a:blip r:embed="rId38"/>
                    <a:stretch>
                      <a:fillRect/>
                    </a:stretch>
                  </pic:blipFill>
                  <pic:spPr>
                    <a:xfrm>
                      <a:off x="0" y="0"/>
                      <a:ext cx="7456170" cy="5272405"/>
                    </a:xfrm>
                    <a:prstGeom prst="rect">
                      <a:avLst/>
                    </a:prstGeom>
                  </pic:spPr>
                </pic:pic>
              </a:graphicData>
            </a:graphic>
          </wp:inline>
        </w:drawing>
      </w:r>
      <w:r>
        <w:rPr>
          <w:rFonts w:hint="eastAsia" w:eastAsia="宋体"/>
          <w:color w:val="auto"/>
          <w:lang w:eastAsia="zh-CN"/>
        </w:rPr>
        <w:drawing>
          <wp:inline distT="0" distB="0" distL="114300" distR="114300">
            <wp:extent cx="7456170" cy="5272405"/>
            <wp:effectExtent l="0" t="0" r="11430" b="4445"/>
            <wp:docPr id="8" name="图片 8" descr="岩羊河划界（水文图纸082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岩羊河划界（水文图纸0825）_08"/>
                    <pic:cNvPicPr>
                      <a:picLocks noChangeAspect="1"/>
                    </pic:cNvPicPr>
                  </pic:nvPicPr>
                  <pic:blipFill>
                    <a:blip r:embed="rId39"/>
                    <a:stretch>
                      <a:fillRect/>
                    </a:stretch>
                  </pic:blipFill>
                  <pic:spPr>
                    <a:xfrm>
                      <a:off x="0" y="0"/>
                      <a:ext cx="7456170" cy="5272405"/>
                    </a:xfrm>
                    <a:prstGeom prst="rect">
                      <a:avLst/>
                    </a:prstGeom>
                  </pic:spPr>
                </pic:pic>
              </a:graphicData>
            </a:graphic>
          </wp:inline>
        </w:drawing>
      </w:r>
    </w:p>
    <w:p w14:paraId="1B8686AA">
      <w:pPr>
        <w:pStyle w:val="4"/>
        <w:spacing w:before="120" w:after="120"/>
        <w:ind w:firstLine="562"/>
        <w:rPr>
          <w:color w:val="auto"/>
        </w:rPr>
      </w:pPr>
      <w:bookmarkStart w:id="67" w:name="_Toc26424"/>
      <w:bookmarkStart w:id="68" w:name="_Toc78769051"/>
      <w:bookmarkStart w:id="69" w:name="_Toc21587"/>
      <w:bookmarkStart w:id="70" w:name="_Toc14682767"/>
      <w:bookmarkStart w:id="71" w:name="_Toc26832060"/>
      <w:bookmarkStart w:id="72" w:name="_Toc26832246"/>
      <w:r>
        <w:rPr>
          <w:rFonts w:hint="eastAsia"/>
          <w:color w:val="auto"/>
        </w:rPr>
        <w:t>5</w:t>
      </w:r>
      <w:r>
        <w:rPr>
          <w:color w:val="auto"/>
        </w:rPr>
        <w:t>管理范围线划定</w:t>
      </w:r>
      <w:bookmarkEnd w:id="67"/>
      <w:bookmarkEnd w:id="68"/>
    </w:p>
    <w:p w14:paraId="70F5FC9B">
      <w:pPr>
        <w:tabs>
          <w:tab w:val="left" w:pos="862"/>
        </w:tabs>
        <w:ind w:firstLine="560"/>
        <w:rPr>
          <w:rFonts w:cs="Times New Roman"/>
          <w:color w:val="auto"/>
          <w:shd w:val="clear" w:color="auto" w:fill="FFFFFF"/>
        </w:rPr>
      </w:pPr>
      <w:r>
        <w:rPr>
          <w:rFonts w:hint="eastAsia" w:cs="Times New Roman"/>
          <w:color w:val="auto"/>
          <w:shd w:val="clear" w:color="auto" w:fill="FFFFFF"/>
        </w:rPr>
        <w:t>1.</w:t>
      </w:r>
      <w:r>
        <w:rPr>
          <w:rFonts w:cs="Times New Roman"/>
          <w:color w:val="auto"/>
          <w:shd w:val="clear" w:color="auto" w:fill="FFFFFF"/>
        </w:rPr>
        <w:t>根据本次划界河段管理范围线确定的原则，结合设计洪水水面线计算结果及河段实际情况，综合确定河道管理范围线。不同河段管理范围确定</w:t>
      </w:r>
      <w:r>
        <w:rPr>
          <w:rFonts w:hint="eastAsia" w:cs="Times New Roman"/>
          <w:color w:val="auto"/>
          <w:shd w:val="clear" w:color="auto" w:fill="FFFFFF"/>
        </w:rPr>
        <w:t>情况</w:t>
      </w:r>
      <w:r>
        <w:rPr>
          <w:rFonts w:cs="Times New Roman"/>
          <w:color w:val="auto"/>
          <w:shd w:val="clear" w:color="auto" w:fill="FFFFFF"/>
        </w:rPr>
        <w:t>见表4</w:t>
      </w:r>
      <w:r>
        <w:rPr>
          <w:rFonts w:hint="eastAsia" w:cs="Times New Roman"/>
          <w:color w:val="auto"/>
          <w:shd w:val="clear" w:color="auto" w:fill="FFFFFF"/>
        </w:rPr>
        <w:t>.4-3</w:t>
      </w:r>
      <w:r>
        <w:rPr>
          <w:rFonts w:cs="Times New Roman"/>
          <w:color w:val="auto"/>
          <w:shd w:val="clear" w:color="auto" w:fill="FFFFFF"/>
        </w:rPr>
        <w:t>。</w:t>
      </w:r>
    </w:p>
    <w:p w14:paraId="11423E49">
      <w:pPr>
        <w:pStyle w:val="36"/>
        <w:spacing w:before="120" w:after="120"/>
        <w:rPr>
          <w:rFonts w:cs="Times New Roman"/>
          <w:color w:val="auto"/>
        </w:rPr>
      </w:pPr>
      <w:r>
        <w:rPr>
          <w:rFonts w:hint="eastAsia" w:cs="Times New Roman"/>
          <w:color w:val="auto"/>
        </w:rPr>
        <w:t xml:space="preserve">表4.4-3  </w:t>
      </w:r>
      <w:r>
        <w:rPr>
          <w:rFonts w:cs="Times New Roman"/>
          <w:color w:val="auto"/>
        </w:rPr>
        <w:t>河道管理范围确定统计表</w:t>
      </w:r>
    </w:p>
    <w:tbl>
      <w:tblPr>
        <w:tblStyle w:val="30"/>
        <w:tblW w:w="4889" w:type="pct"/>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
        <w:gridCol w:w="852"/>
        <w:gridCol w:w="976"/>
        <w:gridCol w:w="1002"/>
        <w:gridCol w:w="1029"/>
        <w:gridCol w:w="900"/>
        <w:gridCol w:w="3187"/>
      </w:tblGrid>
      <w:tr w14:paraId="3EE5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32" w:type="pct"/>
            <w:vAlign w:val="center"/>
          </w:tcPr>
          <w:p w14:paraId="5785D0AA">
            <w:pPr>
              <w:pStyle w:val="39"/>
              <w:spacing w:before="48" w:beforeLines="20"/>
              <w:rPr>
                <w:color w:val="auto"/>
              </w:rPr>
            </w:pPr>
            <w:r>
              <w:rPr>
                <w:color w:val="auto"/>
              </w:rPr>
              <w:t>序号</w:t>
            </w:r>
          </w:p>
        </w:tc>
        <w:tc>
          <w:tcPr>
            <w:tcW w:w="511" w:type="pct"/>
            <w:vAlign w:val="center"/>
          </w:tcPr>
          <w:p w14:paraId="33F4F9B5">
            <w:pPr>
              <w:pStyle w:val="39"/>
              <w:spacing w:before="48" w:beforeLines="20"/>
              <w:rPr>
                <w:color w:val="auto"/>
              </w:rPr>
            </w:pPr>
            <w:r>
              <w:rPr>
                <w:color w:val="auto"/>
              </w:rPr>
              <w:t>河段桩号</w:t>
            </w:r>
          </w:p>
        </w:tc>
        <w:tc>
          <w:tcPr>
            <w:tcW w:w="586" w:type="pct"/>
            <w:vAlign w:val="center"/>
          </w:tcPr>
          <w:p w14:paraId="63385A37">
            <w:pPr>
              <w:pStyle w:val="39"/>
              <w:spacing w:before="48" w:beforeLines="20"/>
              <w:rPr>
                <w:color w:val="auto"/>
              </w:rPr>
            </w:pPr>
            <w:r>
              <w:rPr>
                <w:color w:val="auto"/>
              </w:rPr>
              <w:t>河段起止断面</w:t>
            </w:r>
          </w:p>
        </w:tc>
        <w:tc>
          <w:tcPr>
            <w:tcW w:w="601" w:type="pct"/>
            <w:vAlign w:val="center"/>
          </w:tcPr>
          <w:p w14:paraId="01BCA3C9">
            <w:pPr>
              <w:pStyle w:val="39"/>
              <w:spacing w:before="48" w:beforeLines="20"/>
              <w:rPr>
                <w:color w:val="auto"/>
              </w:rPr>
            </w:pPr>
            <w:r>
              <w:rPr>
                <w:color w:val="auto"/>
              </w:rPr>
              <w:t>岸别</w:t>
            </w:r>
          </w:p>
        </w:tc>
        <w:tc>
          <w:tcPr>
            <w:tcW w:w="617" w:type="pct"/>
            <w:vAlign w:val="center"/>
          </w:tcPr>
          <w:p w14:paraId="79584573">
            <w:pPr>
              <w:pStyle w:val="39"/>
              <w:spacing w:before="48" w:beforeLines="20"/>
              <w:rPr>
                <w:color w:val="auto"/>
              </w:rPr>
            </w:pPr>
            <w:r>
              <w:rPr>
                <w:color w:val="auto"/>
              </w:rPr>
              <w:t>防洪标准</w:t>
            </w:r>
          </w:p>
          <w:p w14:paraId="53A54F87">
            <w:pPr>
              <w:pStyle w:val="39"/>
              <w:spacing w:before="48" w:beforeLines="20"/>
              <w:rPr>
                <w:color w:val="auto"/>
              </w:rPr>
            </w:pPr>
            <w:r>
              <w:rPr>
                <w:rFonts w:hint="eastAsia"/>
                <w:color w:val="auto"/>
                <w:lang w:eastAsia="zh-CN"/>
              </w:rPr>
              <w:t>（</w:t>
            </w:r>
            <w:r>
              <w:rPr>
                <w:color w:val="auto"/>
              </w:rPr>
              <w:t>年一遇</w:t>
            </w:r>
            <w:r>
              <w:rPr>
                <w:rFonts w:hint="eastAsia"/>
                <w:color w:val="auto"/>
                <w:lang w:eastAsia="zh-CN"/>
              </w:rPr>
              <w:t>）</w:t>
            </w:r>
          </w:p>
        </w:tc>
        <w:tc>
          <w:tcPr>
            <w:tcW w:w="540" w:type="pct"/>
            <w:vAlign w:val="center"/>
          </w:tcPr>
          <w:p w14:paraId="4AB9A8B6">
            <w:pPr>
              <w:pStyle w:val="39"/>
              <w:spacing w:before="48" w:beforeLines="20"/>
              <w:rPr>
                <w:color w:val="auto"/>
              </w:rPr>
            </w:pPr>
            <w:r>
              <w:rPr>
                <w:color w:val="auto"/>
              </w:rPr>
              <w:t>划界河段情况</w:t>
            </w:r>
          </w:p>
        </w:tc>
        <w:tc>
          <w:tcPr>
            <w:tcW w:w="1912" w:type="pct"/>
            <w:vAlign w:val="center"/>
          </w:tcPr>
          <w:p w14:paraId="297F63A6">
            <w:pPr>
              <w:pStyle w:val="39"/>
              <w:spacing w:before="48" w:beforeLines="20"/>
              <w:rPr>
                <w:color w:val="auto"/>
              </w:rPr>
            </w:pPr>
            <w:r>
              <w:rPr>
                <w:color w:val="auto"/>
              </w:rPr>
              <w:t>管理范围确定原则</w:t>
            </w:r>
          </w:p>
        </w:tc>
      </w:tr>
      <w:tr w14:paraId="6DC5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32" w:type="pct"/>
            <w:vAlign w:val="center"/>
          </w:tcPr>
          <w:p w14:paraId="246607DE">
            <w:pPr>
              <w:pStyle w:val="39"/>
              <w:spacing w:before="48" w:beforeLines="20"/>
              <w:rPr>
                <w:color w:val="auto"/>
              </w:rPr>
            </w:pPr>
            <w:r>
              <w:rPr>
                <w:rFonts w:hint="eastAsia"/>
                <w:color w:val="auto"/>
              </w:rPr>
              <w:t>1</w:t>
            </w:r>
          </w:p>
        </w:tc>
        <w:tc>
          <w:tcPr>
            <w:tcW w:w="511" w:type="pct"/>
            <w:vAlign w:val="center"/>
          </w:tcPr>
          <w:p w14:paraId="737B7D3E">
            <w:pPr>
              <w:pStyle w:val="39"/>
              <w:spacing w:before="48" w:beforeLines="20"/>
              <w:rPr>
                <w:color w:val="auto"/>
              </w:rPr>
            </w:pPr>
            <w:r>
              <w:rPr>
                <w:rFonts w:hint="eastAsia"/>
                <w:color w:val="auto"/>
              </w:rPr>
              <w:t>K0+000~K46193</w:t>
            </w:r>
          </w:p>
        </w:tc>
        <w:tc>
          <w:tcPr>
            <w:tcW w:w="586" w:type="pct"/>
            <w:vAlign w:val="center"/>
          </w:tcPr>
          <w:p w14:paraId="60FC2001">
            <w:pPr>
              <w:pStyle w:val="39"/>
              <w:spacing w:before="48" w:beforeLines="20"/>
              <w:rPr>
                <w:color w:val="auto"/>
              </w:rPr>
            </w:pPr>
            <w:r>
              <w:rPr>
                <w:rFonts w:hint="eastAsia"/>
                <w:color w:val="auto"/>
              </w:rPr>
              <w:t>YYH-1~YYH-21</w:t>
            </w:r>
          </w:p>
        </w:tc>
        <w:tc>
          <w:tcPr>
            <w:tcW w:w="601" w:type="pct"/>
            <w:vAlign w:val="center"/>
          </w:tcPr>
          <w:p w14:paraId="42C7F525">
            <w:pPr>
              <w:pStyle w:val="39"/>
              <w:spacing w:before="48" w:beforeLines="20"/>
              <w:rPr>
                <w:color w:val="auto"/>
              </w:rPr>
            </w:pPr>
            <w:r>
              <w:rPr>
                <w:color w:val="auto"/>
              </w:rPr>
              <w:t>左、右岸</w:t>
            </w:r>
          </w:p>
        </w:tc>
        <w:tc>
          <w:tcPr>
            <w:tcW w:w="617" w:type="pct"/>
            <w:vAlign w:val="center"/>
          </w:tcPr>
          <w:p w14:paraId="77D0DE49">
            <w:pPr>
              <w:pStyle w:val="39"/>
              <w:spacing w:before="48" w:beforeLines="20"/>
              <w:rPr>
                <w:color w:val="auto"/>
              </w:rPr>
            </w:pPr>
            <w:r>
              <w:rPr>
                <w:rFonts w:hint="eastAsia"/>
                <w:color w:val="auto"/>
              </w:rPr>
              <w:t>20</w:t>
            </w:r>
          </w:p>
        </w:tc>
        <w:tc>
          <w:tcPr>
            <w:tcW w:w="540" w:type="pct"/>
            <w:vAlign w:val="center"/>
          </w:tcPr>
          <w:p w14:paraId="21F8E0BD">
            <w:pPr>
              <w:pStyle w:val="39"/>
              <w:spacing w:before="48" w:beforeLines="20"/>
              <w:rPr>
                <w:color w:val="auto"/>
              </w:rPr>
            </w:pPr>
            <w:r>
              <w:rPr>
                <w:rFonts w:hint="eastAsia"/>
                <w:color w:val="auto"/>
              </w:rPr>
              <w:t>有堤防的城镇</w:t>
            </w:r>
          </w:p>
        </w:tc>
        <w:tc>
          <w:tcPr>
            <w:tcW w:w="1912" w:type="pct"/>
            <w:vAlign w:val="center"/>
          </w:tcPr>
          <w:p w14:paraId="2E520EED">
            <w:pPr>
              <w:pStyle w:val="39"/>
              <w:adjustRightInd/>
              <w:snapToGrid/>
              <w:spacing w:before="48" w:beforeLines="20"/>
              <w:rPr>
                <w:color w:val="auto"/>
              </w:rPr>
            </w:pPr>
            <w:r>
              <w:rPr>
                <w:rFonts w:hint="eastAsia"/>
                <w:color w:val="auto"/>
              </w:rPr>
              <w:t>有堤防段</w:t>
            </w:r>
            <w:r>
              <w:rPr>
                <w:color w:val="auto"/>
              </w:rPr>
              <w:t>以堤脚线为基准线，根据堤防等级以护堤地边界线作为河道管理范围划定依据</w:t>
            </w:r>
            <w:r>
              <w:rPr>
                <w:rFonts w:hint="eastAsia"/>
                <w:color w:val="auto"/>
              </w:rPr>
              <w:t>。</w:t>
            </w:r>
          </w:p>
          <w:p w14:paraId="03A6BF69">
            <w:pPr>
              <w:pStyle w:val="39"/>
              <w:adjustRightInd/>
              <w:snapToGrid/>
              <w:spacing w:before="48" w:beforeLines="20"/>
              <w:rPr>
                <w:color w:val="auto"/>
              </w:rPr>
            </w:pPr>
            <w:r>
              <w:rPr>
                <w:rFonts w:hint="eastAsia"/>
                <w:color w:val="auto"/>
              </w:rPr>
              <w:t>无地方段</w:t>
            </w:r>
            <w:r>
              <w:rPr>
                <w:color w:val="auto"/>
              </w:rPr>
              <w:t>按外缘控制线划定河道管理范围。其中对于河岸线高程低于防洪标准设计洪水位的无堤防河道，则以河岸线向外一定距离</w:t>
            </w:r>
            <w:r>
              <w:rPr>
                <w:rFonts w:hint="eastAsia"/>
                <w:color w:val="auto"/>
                <w:lang w:eastAsia="zh-CN"/>
              </w:rPr>
              <w:t>（</w:t>
            </w:r>
            <w:r>
              <w:rPr>
                <w:color w:val="auto"/>
              </w:rPr>
              <w:t>根据实际情况在0.5</w:t>
            </w:r>
            <w:r>
              <w:rPr>
                <w:rFonts w:hint="eastAsia"/>
                <w:color w:val="auto"/>
                <w:lang w:eastAsia="zh-CN"/>
              </w:rPr>
              <w:t>～</w:t>
            </w:r>
            <w:r>
              <w:rPr>
                <w:color w:val="auto"/>
              </w:rPr>
              <w:t>8米范围取用</w:t>
            </w:r>
            <w:r>
              <w:rPr>
                <w:rFonts w:hint="eastAsia"/>
                <w:color w:val="auto"/>
                <w:lang w:eastAsia="zh-CN"/>
              </w:rPr>
              <w:t>）</w:t>
            </w:r>
            <w:r>
              <w:rPr>
                <w:color w:val="auto"/>
              </w:rPr>
              <w:t>确定管理范围</w:t>
            </w:r>
          </w:p>
        </w:tc>
      </w:tr>
      <w:bookmarkEnd w:id="69"/>
      <w:bookmarkEnd w:id="70"/>
      <w:bookmarkEnd w:id="71"/>
      <w:bookmarkEnd w:id="72"/>
    </w:tbl>
    <w:p w14:paraId="52A6175D">
      <w:pPr>
        <w:tabs>
          <w:tab w:val="left" w:pos="862"/>
        </w:tabs>
        <w:ind w:firstLine="560"/>
        <w:rPr>
          <w:rFonts w:cs="Times New Roman"/>
          <w:color w:val="auto"/>
          <w:shd w:val="clear" w:color="auto" w:fill="FFFFFF"/>
        </w:rPr>
      </w:pPr>
    </w:p>
    <w:p w14:paraId="2EAC7FD8">
      <w:pPr>
        <w:tabs>
          <w:tab w:val="left" w:pos="862"/>
        </w:tabs>
        <w:ind w:firstLine="560"/>
        <w:rPr>
          <w:rFonts w:cs="Times New Roman"/>
          <w:color w:val="auto"/>
          <w:shd w:val="clear" w:color="auto" w:fill="FFFFFF"/>
        </w:rPr>
      </w:pPr>
      <w:r>
        <w:rPr>
          <w:rFonts w:hint="eastAsia" w:cs="Times New Roman"/>
          <w:color w:val="auto"/>
          <w:shd w:val="clear" w:color="auto" w:fill="FFFFFF"/>
        </w:rPr>
        <w:t>2.</w:t>
      </w:r>
      <w:r>
        <w:rPr>
          <w:rFonts w:cs="Times New Roman"/>
          <w:color w:val="auto"/>
          <w:shd w:val="clear" w:color="auto" w:fill="FFFFFF"/>
        </w:rPr>
        <w:t>管理范围线绘制与审核：将划定的管理范围线在 GIS 软件中进行绘制，形成管理范围线图。图中注明管理范围线的坐标、长度、涉及的村落和建筑物等信息。组织相关专家和管理人员对管理范围线图进行审核，征求当地政府和村民的意见，对存在的问题进行修改和完善。审核通过后，将管理范围线图作为本次划界调整的成果之一，为后续的界桩埋设、公告牌设立等工作提供依据。</w:t>
      </w:r>
    </w:p>
    <w:p w14:paraId="2BB9D49D">
      <w:pPr>
        <w:pStyle w:val="11"/>
        <w:ind w:firstLine="480"/>
        <w:rPr>
          <w:color w:val="auto"/>
          <w:shd w:val="clear" w:color="auto" w:fill="FFFFFF"/>
        </w:rPr>
      </w:pPr>
      <w:r>
        <w:rPr>
          <w:color w:val="auto"/>
          <w:shd w:val="clear" w:color="auto" w:fill="FFFFFF"/>
        </w:rPr>
        <w:br w:type="page"/>
      </w:r>
    </w:p>
    <w:p w14:paraId="1B306747">
      <w:pPr>
        <w:pStyle w:val="3"/>
        <w:spacing w:before="120" w:after="120"/>
        <w:rPr>
          <w:rStyle w:val="40"/>
          <w:b w:val="0"/>
          <w:bCs w:val="0"/>
          <w:color w:val="auto"/>
        </w:rPr>
      </w:pPr>
      <w:bookmarkStart w:id="73" w:name="_Toc78769030"/>
      <w:bookmarkStart w:id="74" w:name="_Toc30688"/>
      <w:bookmarkStart w:id="75" w:name="OLE_LINK3"/>
      <w:r>
        <w:rPr>
          <w:rStyle w:val="40"/>
          <w:rFonts w:hint="eastAsia"/>
          <w:b w:val="0"/>
          <w:bCs w:val="0"/>
          <w:color w:val="auto"/>
          <w:lang w:eastAsia="zh-CN"/>
        </w:rPr>
        <w:t>5.</w:t>
      </w:r>
      <w:r>
        <w:rPr>
          <w:rStyle w:val="40"/>
          <w:b w:val="0"/>
          <w:bCs w:val="0"/>
          <w:color w:val="auto"/>
        </w:rPr>
        <w:t>划界标准</w:t>
      </w:r>
      <w:bookmarkEnd w:id="73"/>
      <w:bookmarkEnd w:id="74"/>
    </w:p>
    <w:p w14:paraId="18000929">
      <w:pPr>
        <w:pStyle w:val="4"/>
        <w:spacing w:before="120" w:after="120"/>
        <w:rPr>
          <w:rFonts w:cs="Times New Roman"/>
          <w:color w:val="auto"/>
        </w:rPr>
      </w:pPr>
      <w:bookmarkStart w:id="76" w:name="_Toc11745"/>
      <w:bookmarkStart w:id="77" w:name="_Toc78769031"/>
      <w:bookmarkStart w:id="78" w:name="_Toc26832222"/>
      <w:bookmarkStart w:id="79" w:name="_Toc22080"/>
      <w:bookmarkStart w:id="80" w:name="_Toc26832036"/>
      <w:r>
        <w:rPr>
          <w:rFonts w:hint="eastAsia" w:cs="Times New Roman"/>
          <w:color w:val="auto"/>
        </w:rPr>
        <w:t>5</w:t>
      </w:r>
      <w:r>
        <w:rPr>
          <w:rFonts w:cs="Times New Roman"/>
          <w:color w:val="auto"/>
        </w:rPr>
        <w:t>.1 防洪标准</w:t>
      </w:r>
      <w:bookmarkEnd w:id="76"/>
      <w:bookmarkEnd w:id="77"/>
      <w:bookmarkEnd w:id="78"/>
      <w:bookmarkEnd w:id="79"/>
      <w:bookmarkEnd w:id="80"/>
    </w:p>
    <w:p w14:paraId="75D59F8F">
      <w:pPr>
        <w:ind w:firstLine="560"/>
        <w:rPr>
          <w:rFonts w:cs="Times New Roman"/>
          <w:color w:val="auto"/>
        </w:rPr>
      </w:pPr>
      <w:r>
        <w:rPr>
          <w:rFonts w:hint="eastAsia" w:cs="Times New Roman"/>
          <w:color w:val="auto"/>
        </w:rPr>
        <w:t>岩羊河干流涉及和爱乡、红格镇和益民乡3个乡镇，无临河场镇，只有零星的村庄临河。流域有人口13925人，耕地9882亩，</w:t>
      </w:r>
      <w:r>
        <w:rPr>
          <w:rFonts w:cs="Times New Roman"/>
          <w:color w:val="auto"/>
        </w:rPr>
        <w:t>根据《防洪标准》</w:t>
      </w:r>
      <w:r>
        <w:rPr>
          <w:rFonts w:hint="eastAsia" w:cs="Times New Roman"/>
          <w:color w:val="auto"/>
          <w:lang w:eastAsia="zh-CN"/>
        </w:rPr>
        <w:t>（</w:t>
      </w:r>
      <w:r>
        <w:rPr>
          <w:rFonts w:hint="eastAsia" w:cs="Times New Roman"/>
          <w:color w:val="auto"/>
        </w:rPr>
        <w:t>GB/T50201-2014</w:t>
      </w:r>
      <w:r>
        <w:rPr>
          <w:rFonts w:hint="eastAsia" w:cs="Times New Roman"/>
          <w:color w:val="auto"/>
          <w:lang w:eastAsia="zh-CN"/>
        </w:rPr>
        <w:t>）</w:t>
      </w:r>
      <w:r>
        <w:rPr>
          <w:rFonts w:hint="eastAsia" w:cs="Times New Roman"/>
          <w:color w:val="auto"/>
        </w:rPr>
        <w:t>的乡村防护区防洪等级及防洪标准，岩羊河防洪标准采用</w:t>
      </w:r>
      <w:r>
        <w:rPr>
          <w:rFonts w:hint="eastAsia" w:cs="Times New Roman"/>
          <w:color w:val="auto"/>
          <w:lang w:val="en-US" w:eastAsia="zh-CN"/>
        </w:rPr>
        <w:t>20</w:t>
      </w:r>
      <w:r>
        <w:rPr>
          <w:rFonts w:hint="eastAsia" w:cs="Times New Roman"/>
          <w:color w:val="auto"/>
        </w:rPr>
        <w:t>年一遇。</w:t>
      </w:r>
    </w:p>
    <w:p w14:paraId="44171A0E">
      <w:pPr>
        <w:pStyle w:val="4"/>
        <w:spacing w:before="120" w:after="120"/>
        <w:rPr>
          <w:rFonts w:cs="Times New Roman"/>
          <w:color w:val="auto"/>
        </w:rPr>
      </w:pPr>
      <w:bookmarkStart w:id="81" w:name="_Toc26832223"/>
      <w:bookmarkStart w:id="82" w:name="_Toc5767"/>
      <w:bookmarkStart w:id="83" w:name="_Toc26832037"/>
      <w:bookmarkStart w:id="84" w:name="_Toc32189"/>
      <w:bookmarkStart w:id="85" w:name="_Toc78769032"/>
      <w:r>
        <w:rPr>
          <w:rFonts w:hint="eastAsia" w:cs="Times New Roman"/>
          <w:color w:val="auto"/>
        </w:rPr>
        <w:t>5</w:t>
      </w:r>
      <w:r>
        <w:rPr>
          <w:rFonts w:cs="Times New Roman"/>
          <w:color w:val="auto"/>
        </w:rPr>
        <w:t>.2 河道管理线</w:t>
      </w:r>
      <w:r>
        <w:rPr>
          <w:rFonts w:hint="eastAsia" w:cs="Times New Roman"/>
          <w:color w:val="auto"/>
          <w:lang w:eastAsia="zh-CN"/>
        </w:rPr>
        <w:t>（</w:t>
      </w:r>
      <w:r>
        <w:rPr>
          <w:rFonts w:cs="Times New Roman"/>
          <w:color w:val="auto"/>
        </w:rPr>
        <w:t>外缘控制线</w:t>
      </w:r>
      <w:r>
        <w:rPr>
          <w:rFonts w:hint="eastAsia" w:cs="Times New Roman"/>
          <w:color w:val="auto"/>
          <w:lang w:eastAsia="zh-CN"/>
        </w:rPr>
        <w:t>）</w:t>
      </w:r>
      <w:bookmarkStart w:id="86" w:name="OLE_LINK4"/>
      <w:r>
        <w:rPr>
          <w:rFonts w:cs="Times New Roman"/>
          <w:color w:val="auto"/>
        </w:rPr>
        <w:t>确定标准</w:t>
      </w:r>
      <w:bookmarkEnd w:id="81"/>
      <w:bookmarkEnd w:id="82"/>
      <w:bookmarkEnd w:id="83"/>
      <w:bookmarkEnd w:id="84"/>
      <w:bookmarkEnd w:id="85"/>
      <w:bookmarkEnd w:id="86"/>
    </w:p>
    <w:p w14:paraId="5ED089EA">
      <w:pPr>
        <w:pStyle w:val="5"/>
        <w:spacing w:before="120" w:after="120"/>
        <w:ind w:firstLine="562"/>
        <w:rPr>
          <w:color w:val="auto"/>
        </w:rPr>
      </w:pPr>
      <w:bookmarkStart w:id="87" w:name="_Toc24109"/>
      <w:bookmarkStart w:id="88" w:name="_Toc26832224"/>
      <w:bookmarkStart w:id="89" w:name="_Toc78769033"/>
      <w:bookmarkStart w:id="90" w:name="_Toc26832038"/>
      <w:r>
        <w:rPr>
          <w:rFonts w:hint="eastAsia"/>
          <w:color w:val="auto"/>
        </w:rPr>
        <w:t>5</w:t>
      </w:r>
      <w:r>
        <w:rPr>
          <w:color w:val="auto"/>
        </w:rPr>
        <w:t>.2.1 河道管理范围确定</w:t>
      </w:r>
      <w:bookmarkEnd w:id="87"/>
      <w:bookmarkEnd w:id="88"/>
      <w:bookmarkEnd w:id="89"/>
      <w:bookmarkEnd w:id="90"/>
    </w:p>
    <w:p w14:paraId="79C68924">
      <w:pPr>
        <w:ind w:firstLine="560"/>
        <w:rPr>
          <w:rFonts w:cs="Times New Roman"/>
          <w:color w:val="auto"/>
        </w:rPr>
      </w:pPr>
      <w:r>
        <w:rPr>
          <w:rFonts w:cs="Times New Roman"/>
          <w:color w:val="auto"/>
        </w:rPr>
        <w:t>河道管理范围位于</w:t>
      </w:r>
      <w:r>
        <w:rPr>
          <w:rFonts w:hint="eastAsia" w:cs="Times New Roman"/>
          <w:color w:val="auto"/>
        </w:rPr>
        <w:t>盐边县和爱乡、红格镇和益民乡3个乡镇</w:t>
      </w:r>
      <w:r>
        <w:rPr>
          <w:rFonts w:cs="Times New Roman"/>
          <w:color w:val="auto"/>
        </w:rPr>
        <w:t>，其中：</w:t>
      </w:r>
    </w:p>
    <w:p w14:paraId="2D9DB72B">
      <w:pPr>
        <w:ind w:firstLine="560"/>
        <w:rPr>
          <w:rFonts w:cs="Times New Roman"/>
          <w:color w:val="auto"/>
        </w:rPr>
      </w:pPr>
      <w:r>
        <w:rPr>
          <w:rFonts w:hint="eastAsia" w:cs="Times New Roman"/>
          <w:color w:val="auto"/>
          <w:lang w:eastAsia="zh-CN"/>
        </w:rPr>
        <w:t>1.</w:t>
      </w:r>
      <w:r>
        <w:rPr>
          <w:rFonts w:cs="Times New Roman"/>
          <w:color w:val="auto"/>
        </w:rPr>
        <w:t>有堤防的河道，管理范围为两岸堤防之间的水域、沙洲、滩地</w:t>
      </w:r>
      <w:r>
        <w:rPr>
          <w:rFonts w:hint="eastAsia" w:cs="Times New Roman"/>
          <w:color w:val="auto"/>
          <w:lang w:eastAsia="zh-CN"/>
        </w:rPr>
        <w:t>（</w:t>
      </w:r>
      <w:r>
        <w:rPr>
          <w:rFonts w:cs="Times New Roman"/>
          <w:color w:val="auto"/>
        </w:rPr>
        <w:t>包括可耕地</w:t>
      </w:r>
      <w:r>
        <w:rPr>
          <w:rFonts w:hint="eastAsia" w:cs="Times New Roman"/>
          <w:color w:val="auto"/>
          <w:lang w:eastAsia="zh-CN"/>
        </w:rPr>
        <w:t>）</w:t>
      </w:r>
      <w:r>
        <w:rPr>
          <w:rFonts w:cs="Times New Roman"/>
          <w:color w:val="auto"/>
        </w:rPr>
        <w:t>、行洪区，以及两岸堤防及护堤地。</w:t>
      </w:r>
    </w:p>
    <w:p w14:paraId="4A01A277">
      <w:pPr>
        <w:ind w:firstLine="560"/>
        <w:rPr>
          <w:rFonts w:cs="Times New Roman"/>
          <w:color w:val="auto"/>
        </w:rPr>
      </w:pPr>
      <w:r>
        <w:rPr>
          <w:rFonts w:hint="eastAsia" w:cs="Times New Roman"/>
          <w:color w:val="auto"/>
          <w:lang w:eastAsia="zh-CN"/>
        </w:rPr>
        <w:t>2.</w:t>
      </w:r>
      <w:r>
        <w:rPr>
          <w:rFonts w:cs="Times New Roman"/>
          <w:color w:val="auto"/>
        </w:rPr>
        <w:t>无堤防的山区型河道，管理范围为满足该河道防洪标准的设计洪水位</w:t>
      </w:r>
      <w:r>
        <w:rPr>
          <w:rFonts w:hint="eastAsia" w:cs="Times New Roman"/>
          <w:color w:val="auto"/>
          <w:lang w:eastAsia="zh-CN"/>
        </w:rPr>
        <w:t>（</w:t>
      </w:r>
      <w:r>
        <w:rPr>
          <w:rFonts w:cs="Times New Roman"/>
          <w:color w:val="auto"/>
        </w:rPr>
        <w:t>或历史最高洪水位</w:t>
      </w:r>
      <w:r>
        <w:rPr>
          <w:rFonts w:hint="eastAsia" w:cs="Times New Roman"/>
          <w:color w:val="auto"/>
          <w:lang w:eastAsia="zh-CN"/>
        </w:rPr>
        <w:t>）</w:t>
      </w:r>
      <w:r>
        <w:rPr>
          <w:rFonts w:cs="Times New Roman"/>
          <w:color w:val="auto"/>
        </w:rPr>
        <w:t>与山丘体交线之间的水域、滩地</w:t>
      </w:r>
      <w:r>
        <w:rPr>
          <w:rFonts w:hint="eastAsia" w:cs="Times New Roman"/>
          <w:color w:val="auto"/>
          <w:lang w:eastAsia="zh-CN"/>
        </w:rPr>
        <w:t>（</w:t>
      </w:r>
      <w:r>
        <w:rPr>
          <w:rFonts w:cs="Times New Roman"/>
          <w:color w:val="auto"/>
        </w:rPr>
        <w:t>包括可耕地</w:t>
      </w:r>
      <w:r>
        <w:rPr>
          <w:rFonts w:hint="eastAsia" w:cs="Times New Roman"/>
          <w:color w:val="auto"/>
          <w:lang w:eastAsia="zh-CN"/>
        </w:rPr>
        <w:t>）</w:t>
      </w:r>
      <w:r>
        <w:rPr>
          <w:rFonts w:cs="Times New Roman"/>
          <w:color w:val="auto"/>
        </w:rPr>
        <w:t>、行洪区等。</w:t>
      </w:r>
    </w:p>
    <w:p w14:paraId="36E398B3">
      <w:pPr>
        <w:pStyle w:val="5"/>
        <w:spacing w:before="120" w:after="120"/>
        <w:ind w:firstLine="562"/>
        <w:rPr>
          <w:color w:val="auto"/>
        </w:rPr>
      </w:pPr>
      <w:bookmarkStart w:id="91" w:name="_Toc26832039"/>
      <w:bookmarkStart w:id="92" w:name="_Toc26832225"/>
      <w:bookmarkStart w:id="93" w:name="_Toc23993"/>
      <w:bookmarkStart w:id="94" w:name="_Toc78769034"/>
      <w:r>
        <w:rPr>
          <w:rFonts w:hint="eastAsia"/>
          <w:color w:val="auto"/>
        </w:rPr>
        <w:t>5</w:t>
      </w:r>
      <w:r>
        <w:rPr>
          <w:color w:val="auto"/>
        </w:rPr>
        <w:t>.2.2 有堤防河道管理范围划定</w:t>
      </w:r>
      <w:bookmarkEnd w:id="91"/>
      <w:bookmarkEnd w:id="92"/>
      <w:bookmarkEnd w:id="93"/>
      <w:bookmarkEnd w:id="94"/>
    </w:p>
    <w:p w14:paraId="4E78017D">
      <w:pPr>
        <w:ind w:firstLine="560"/>
        <w:rPr>
          <w:rFonts w:cs="Times New Roman"/>
          <w:color w:val="auto"/>
        </w:rPr>
      </w:pPr>
      <w:r>
        <w:rPr>
          <w:rFonts w:hint="eastAsia" w:cs="Times New Roman"/>
          <w:color w:val="auto"/>
          <w:lang w:eastAsia="zh-CN"/>
        </w:rPr>
        <w:t>1.</w:t>
      </w:r>
      <w:r>
        <w:rPr>
          <w:rFonts w:cs="Times New Roman"/>
          <w:color w:val="auto"/>
        </w:rPr>
        <w:t>有堤防且已达到防洪标准的河道</w:t>
      </w:r>
    </w:p>
    <w:p w14:paraId="4BE77879">
      <w:pPr>
        <w:ind w:firstLine="560"/>
        <w:rPr>
          <w:rFonts w:cs="Times New Roman"/>
          <w:color w:val="auto"/>
        </w:rPr>
      </w:pPr>
      <w:r>
        <w:rPr>
          <w:rFonts w:hint="eastAsia" w:cs="Times New Roman"/>
          <w:color w:val="auto"/>
          <w:lang w:eastAsia="zh-CN"/>
        </w:rPr>
        <w:t>1）</w:t>
      </w:r>
      <w:r>
        <w:rPr>
          <w:rFonts w:hint="eastAsia" w:cs="Times New Roman"/>
          <w:color w:val="auto"/>
        </w:rPr>
        <w:t xml:space="preserve"> </w:t>
      </w:r>
      <w:r>
        <w:rPr>
          <w:rFonts w:cs="Times New Roman"/>
          <w:color w:val="auto"/>
        </w:rPr>
        <w:t>现状堤脚线清晰，以堤脚线为基准线，根据堤防等级以护堤地边界线作为河道管理范围划定依据。</w:t>
      </w:r>
    </w:p>
    <w:p w14:paraId="56C0F356">
      <w:pPr>
        <w:ind w:firstLine="560"/>
        <w:rPr>
          <w:rFonts w:cs="Times New Roman"/>
          <w:color w:val="auto"/>
        </w:rPr>
      </w:pPr>
      <w:r>
        <w:rPr>
          <w:rFonts w:hint="eastAsia" w:cs="Times New Roman"/>
          <w:color w:val="auto"/>
          <w:lang w:eastAsia="zh-CN"/>
        </w:rPr>
        <w:t>（1）</w:t>
      </w:r>
      <w:r>
        <w:rPr>
          <w:rFonts w:cs="Times New Roman"/>
          <w:color w:val="auto"/>
        </w:rPr>
        <w:t>对于斜坡式堤防，以堤防外坡脚线作为基准线；</w:t>
      </w:r>
    </w:p>
    <w:p w14:paraId="0347A99F">
      <w:pPr>
        <w:ind w:firstLine="560"/>
        <w:rPr>
          <w:rFonts w:cs="Times New Roman"/>
          <w:color w:val="auto"/>
        </w:rPr>
      </w:pPr>
      <w:r>
        <w:rPr>
          <w:rFonts w:hint="eastAsia" w:cs="Times New Roman"/>
          <w:color w:val="auto"/>
          <w:lang w:eastAsia="zh-CN"/>
        </w:rPr>
        <w:t>（2）</w:t>
      </w:r>
      <w:r>
        <w:rPr>
          <w:rFonts w:cs="Times New Roman"/>
          <w:color w:val="auto"/>
        </w:rPr>
        <w:t>对于重力式堤和护岸堤，以堤顶临河侧外边线作为基准线；</w:t>
      </w:r>
    </w:p>
    <w:p w14:paraId="5AA3C523">
      <w:pPr>
        <w:ind w:firstLine="560"/>
        <w:rPr>
          <w:rFonts w:cs="Times New Roman"/>
          <w:color w:val="auto"/>
        </w:rPr>
      </w:pPr>
      <w:r>
        <w:rPr>
          <w:rFonts w:hint="eastAsia" w:cs="Times New Roman"/>
          <w:color w:val="auto"/>
          <w:lang w:eastAsia="zh-CN"/>
        </w:rPr>
        <w:t>（3）</w:t>
      </w:r>
      <w:r>
        <w:rPr>
          <w:rFonts w:cs="Times New Roman"/>
          <w:color w:val="auto"/>
        </w:rPr>
        <w:t>对于</w:t>
      </w:r>
      <w:r>
        <w:rPr>
          <w:rFonts w:hint="eastAsia" w:cs="Times New Roman"/>
          <w:color w:val="auto"/>
        </w:rPr>
        <w:t>“</w:t>
      </w:r>
      <w:r>
        <w:rPr>
          <w:rFonts w:cs="Times New Roman"/>
          <w:color w:val="auto"/>
        </w:rPr>
        <w:t>堤带路</w:t>
      </w:r>
      <w:r>
        <w:rPr>
          <w:rFonts w:hint="eastAsia" w:cs="Times New Roman"/>
          <w:color w:val="auto"/>
        </w:rPr>
        <w:t>”</w:t>
      </w:r>
      <w:r>
        <w:rPr>
          <w:rFonts w:cs="Times New Roman"/>
          <w:color w:val="auto"/>
        </w:rPr>
        <w:t>式堤防，以道路外边线作为基准线。</w:t>
      </w:r>
    </w:p>
    <w:p w14:paraId="73579914">
      <w:pPr>
        <w:ind w:firstLine="560"/>
        <w:rPr>
          <w:rFonts w:cs="Times New Roman"/>
          <w:color w:val="auto"/>
        </w:rPr>
      </w:pPr>
      <w:r>
        <w:rPr>
          <w:rFonts w:hint="eastAsia" w:cs="Times New Roman"/>
          <w:color w:val="auto"/>
          <w:lang w:eastAsia="zh-CN"/>
        </w:rPr>
        <w:t>2）</w:t>
      </w:r>
      <w:r>
        <w:rPr>
          <w:rFonts w:hint="eastAsia" w:cs="Times New Roman"/>
          <w:color w:val="auto"/>
        </w:rPr>
        <w:t xml:space="preserve"> </w:t>
      </w:r>
      <w:r>
        <w:rPr>
          <w:rFonts w:cs="Times New Roman"/>
          <w:color w:val="auto"/>
        </w:rPr>
        <w:t>现状堤脚线不清晰，外堤肩线清晰的河道，可以外堤肩线为基准确定堤脚线，根据堤防等级以护堤地边界线作为河道管理范围划定依据</w:t>
      </w:r>
    </w:p>
    <w:p w14:paraId="67343C2E">
      <w:pPr>
        <w:ind w:firstLine="560"/>
        <w:rPr>
          <w:rFonts w:cs="Times New Roman"/>
          <w:color w:val="auto"/>
        </w:rPr>
      </w:pPr>
      <w:r>
        <w:rPr>
          <w:rFonts w:hint="eastAsia" w:cs="Times New Roman"/>
          <w:color w:val="auto"/>
          <w:lang w:eastAsia="zh-CN"/>
        </w:rPr>
        <w:t>2.</w:t>
      </w:r>
      <w:r>
        <w:rPr>
          <w:rFonts w:cs="Times New Roman"/>
          <w:color w:val="auto"/>
        </w:rPr>
        <w:t>有堤防但未达到防洪标准的河道</w:t>
      </w:r>
    </w:p>
    <w:p w14:paraId="70E2979C">
      <w:pPr>
        <w:ind w:firstLine="560"/>
        <w:rPr>
          <w:rFonts w:cs="Times New Roman"/>
          <w:color w:val="auto"/>
        </w:rPr>
      </w:pPr>
      <w:r>
        <w:rPr>
          <w:rFonts w:cs="Times New Roman"/>
          <w:color w:val="auto"/>
        </w:rPr>
        <w:t>现状有堤防，但堤防未达标，可按照达标断面确定堤脚线，以堤脚线为基准线，根据堤防等级以护堤地边界线作为河道管理范围划定依据。</w:t>
      </w:r>
    </w:p>
    <w:p w14:paraId="27B289F8">
      <w:pPr>
        <w:pStyle w:val="5"/>
        <w:spacing w:before="120" w:after="120"/>
        <w:ind w:firstLine="562"/>
        <w:rPr>
          <w:color w:val="auto"/>
        </w:rPr>
      </w:pPr>
      <w:bookmarkStart w:id="95" w:name="_Toc26832226"/>
      <w:bookmarkStart w:id="96" w:name="_Toc19402"/>
      <w:bookmarkStart w:id="97" w:name="_Toc26832040"/>
      <w:bookmarkStart w:id="98" w:name="_Toc78769035"/>
      <w:r>
        <w:rPr>
          <w:rFonts w:hint="eastAsia"/>
          <w:color w:val="auto"/>
        </w:rPr>
        <w:t>5</w:t>
      </w:r>
      <w:r>
        <w:rPr>
          <w:color w:val="auto"/>
        </w:rPr>
        <w:t>.2.3 无堤防河道管理范围划定</w:t>
      </w:r>
      <w:bookmarkEnd w:id="95"/>
      <w:bookmarkEnd w:id="96"/>
      <w:bookmarkEnd w:id="97"/>
      <w:bookmarkEnd w:id="98"/>
    </w:p>
    <w:p w14:paraId="52BC8FB6">
      <w:pPr>
        <w:ind w:firstLine="560"/>
        <w:rPr>
          <w:rFonts w:cs="Times New Roman"/>
          <w:color w:val="auto"/>
        </w:rPr>
      </w:pPr>
      <w:r>
        <w:rPr>
          <w:rFonts w:hint="eastAsia" w:cs="Times New Roman"/>
          <w:color w:val="auto"/>
          <w:lang w:eastAsia="zh-CN"/>
        </w:rPr>
        <w:t>1.</w:t>
      </w:r>
      <w:r>
        <w:rPr>
          <w:rFonts w:cs="Times New Roman"/>
          <w:color w:val="auto"/>
        </w:rPr>
        <w:t>有规划但未实施的无堤防河道</w:t>
      </w:r>
    </w:p>
    <w:p w14:paraId="71288A88">
      <w:pPr>
        <w:ind w:firstLine="560"/>
        <w:rPr>
          <w:rFonts w:cs="Times New Roman"/>
          <w:color w:val="auto"/>
        </w:rPr>
      </w:pPr>
      <w:r>
        <w:rPr>
          <w:rFonts w:cs="Times New Roman"/>
          <w:color w:val="auto"/>
        </w:rPr>
        <w:t>无堤防河道，且有经批复的河道治理规划，按规划设计断面确定堤脚线，以堤脚线为基准线，根据堤防等级以护堤地边界线作为河道管理范围划定依据。</w:t>
      </w:r>
    </w:p>
    <w:p w14:paraId="66906A08">
      <w:pPr>
        <w:ind w:firstLine="560"/>
        <w:rPr>
          <w:rFonts w:cs="Times New Roman"/>
          <w:color w:val="auto"/>
        </w:rPr>
      </w:pPr>
      <w:r>
        <w:rPr>
          <w:rFonts w:hint="eastAsia" w:cs="Times New Roman"/>
          <w:color w:val="auto"/>
          <w:lang w:eastAsia="zh-CN"/>
        </w:rPr>
        <w:t>2.</w:t>
      </w:r>
      <w:r>
        <w:rPr>
          <w:rFonts w:cs="Times New Roman"/>
          <w:color w:val="auto"/>
        </w:rPr>
        <w:t>无规划的天然河道</w:t>
      </w:r>
    </w:p>
    <w:p w14:paraId="0B27A0CB">
      <w:pPr>
        <w:ind w:firstLine="560"/>
        <w:rPr>
          <w:rFonts w:cs="Times New Roman"/>
          <w:color w:val="auto"/>
        </w:rPr>
      </w:pPr>
      <w:r>
        <w:rPr>
          <w:rFonts w:cs="Times New Roman"/>
          <w:color w:val="auto"/>
        </w:rPr>
        <w:t>按外缘控制线划定河道管理范围。其中对于河岸线高程低于防洪标准设计洪水位的无堤防河道，则以河岸线向外一定距离</w:t>
      </w:r>
      <w:r>
        <w:rPr>
          <w:rFonts w:hint="eastAsia" w:cs="Times New Roman"/>
          <w:color w:val="auto"/>
          <w:lang w:eastAsia="zh-CN"/>
        </w:rPr>
        <w:t>（</w:t>
      </w:r>
      <w:r>
        <w:rPr>
          <w:rFonts w:cs="Times New Roman"/>
          <w:color w:val="auto"/>
        </w:rPr>
        <w:t>根据实际情况在0.5</w:t>
      </w:r>
      <w:r>
        <w:rPr>
          <w:rFonts w:hint="eastAsia" w:cs="Times New Roman"/>
          <w:color w:val="auto"/>
          <w:lang w:eastAsia="zh-CN"/>
        </w:rPr>
        <w:t>～</w:t>
      </w:r>
      <w:r>
        <w:rPr>
          <w:rFonts w:cs="Times New Roman"/>
          <w:color w:val="auto"/>
        </w:rPr>
        <w:t>8米范围取用</w:t>
      </w:r>
      <w:r>
        <w:rPr>
          <w:rFonts w:hint="eastAsia" w:cs="Times New Roman"/>
          <w:color w:val="auto"/>
          <w:lang w:eastAsia="zh-CN"/>
        </w:rPr>
        <w:t>）</w:t>
      </w:r>
      <w:r>
        <w:rPr>
          <w:rFonts w:cs="Times New Roman"/>
          <w:color w:val="auto"/>
        </w:rPr>
        <w:t>确定管理范围。</w:t>
      </w:r>
    </w:p>
    <w:p w14:paraId="5ABF3840">
      <w:pPr>
        <w:pStyle w:val="5"/>
        <w:spacing w:before="120" w:after="120"/>
        <w:ind w:firstLine="562"/>
        <w:rPr>
          <w:color w:val="auto"/>
        </w:rPr>
      </w:pPr>
      <w:bookmarkStart w:id="99" w:name="_Toc78769036"/>
      <w:bookmarkStart w:id="100" w:name="_Toc26832041"/>
      <w:bookmarkStart w:id="101" w:name="_Toc26832227"/>
      <w:bookmarkStart w:id="102" w:name="_Toc10984"/>
      <w:r>
        <w:rPr>
          <w:rFonts w:hint="eastAsia"/>
          <w:color w:val="auto"/>
        </w:rPr>
        <w:t>5</w:t>
      </w:r>
      <w:r>
        <w:rPr>
          <w:color w:val="auto"/>
        </w:rPr>
        <w:t>.2.4 水利水电工程库区河道</w:t>
      </w:r>
      <w:bookmarkEnd w:id="99"/>
      <w:bookmarkEnd w:id="100"/>
      <w:bookmarkEnd w:id="101"/>
      <w:bookmarkEnd w:id="102"/>
    </w:p>
    <w:p w14:paraId="13CA653D">
      <w:pPr>
        <w:ind w:firstLine="560"/>
        <w:rPr>
          <w:rFonts w:cs="Times New Roman"/>
          <w:color w:val="auto"/>
        </w:rPr>
      </w:pPr>
      <w:r>
        <w:rPr>
          <w:rFonts w:cs="Times New Roman"/>
          <w:color w:val="auto"/>
        </w:rPr>
        <w:t>水利水电工程库区河道管理范围可以按照以下两种情况划定。</w:t>
      </w:r>
    </w:p>
    <w:p w14:paraId="696F795B">
      <w:pPr>
        <w:ind w:firstLine="560"/>
        <w:rPr>
          <w:rFonts w:cs="Times New Roman"/>
          <w:color w:val="auto"/>
        </w:rPr>
      </w:pPr>
      <w:r>
        <w:rPr>
          <w:rFonts w:hint="eastAsia" w:cs="Times New Roman"/>
          <w:color w:val="auto"/>
          <w:lang w:eastAsia="zh-CN"/>
        </w:rPr>
        <w:t>1.</w:t>
      </w:r>
      <w:r>
        <w:rPr>
          <w:rFonts w:cs="Times New Roman"/>
          <w:color w:val="auto"/>
        </w:rPr>
        <w:t>水库两岸有已建堤防的库区河道，按照上述有堤防河道情况进行库区河道管理范围的划定。</w:t>
      </w:r>
    </w:p>
    <w:p w14:paraId="1D7941A4">
      <w:pPr>
        <w:ind w:firstLine="560"/>
        <w:rPr>
          <w:rFonts w:cs="Times New Roman"/>
          <w:color w:val="auto"/>
        </w:rPr>
      </w:pPr>
      <w:r>
        <w:rPr>
          <w:rFonts w:hint="eastAsia" w:cs="Times New Roman"/>
          <w:color w:val="auto"/>
          <w:lang w:eastAsia="zh-CN"/>
        </w:rPr>
        <w:t>2.</w:t>
      </w:r>
      <w:r>
        <w:rPr>
          <w:rFonts w:cs="Times New Roman"/>
          <w:color w:val="auto"/>
        </w:rPr>
        <w:t>水库两岸无堤防的库区河道，须充分考虑水库运行方式，以满足河道防洪标准设计洪水位与岸边的交界线划定河道管理范围。</w:t>
      </w:r>
    </w:p>
    <w:p w14:paraId="66A10F21">
      <w:pPr>
        <w:pStyle w:val="5"/>
        <w:spacing w:before="120" w:after="120"/>
        <w:ind w:firstLine="562"/>
        <w:rPr>
          <w:color w:val="auto"/>
        </w:rPr>
      </w:pPr>
      <w:bookmarkStart w:id="103" w:name="_Toc78769037"/>
      <w:bookmarkStart w:id="104" w:name="_Toc844"/>
      <w:r>
        <w:rPr>
          <w:rFonts w:hint="eastAsia"/>
          <w:color w:val="auto"/>
        </w:rPr>
        <w:t>5</w:t>
      </w:r>
      <w:r>
        <w:rPr>
          <w:color w:val="auto"/>
        </w:rPr>
        <w:t xml:space="preserve">.2.5 </w:t>
      </w:r>
      <w:r>
        <w:rPr>
          <w:rFonts w:hint="eastAsia"/>
          <w:color w:val="auto"/>
        </w:rPr>
        <w:t>涉河建筑物管理范围</w:t>
      </w:r>
      <w:bookmarkEnd w:id="103"/>
      <w:bookmarkEnd w:id="104"/>
    </w:p>
    <w:p w14:paraId="10E286DC">
      <w:pPr>
        <w:ind w:firstLine="560"/>
        <w:rPr>
          <w:rFonts w:cs="Times New Roman"/>
          <w:color w:val="auto"/>
        </w:rPr>
      </w:pPr>
      <w:r>
        <w:rPr>
          <w:rFonts w:hint="eastAsia" w:cs="Times New Roman"/>
          <w:color w:val="auto"/>
          <w:lang w:eastAsia="zh-CN"/>
        </w:rPr>
        <w:t>1.</w:t>
      </w:r>
      <w:r>
        <w:rPr>
          <w:rFonts w:cs="Times New Roman"/>
          <w:color w:val="auto"/>
        </w:rPr>
        <w:t>公路</w:t>
      </w:r>
    </w:p>
    <w:p w14:paraId="04FD6189">
      <w:pPr>
        <w:ind w:firstLine="560"/>
        <w:rPr>
          <w:rFonts w:cs="Times New Roman"/>
          <w:color w:val="auto"/>
        </w:rPr>
      </w:pPr>
      <w:r>
        <w:rPr>
          <w:rFonts w:cs="Times New Roman"/>
          <w:color w:val="auto"/>
        </w:rPr>
        <w:t>县级以上地方人民政府应当根据保障公路运行安全和节约用地的原则以及公路发展的需要，组织交通运输、国土资源等部门划定公路建筑控制区的范围。</w:t>
      </w:r>
    </w:p>
    <w:p w14:paraId="60CEDCA0">
      <w:pPr>
        <w:ind w:firstLine="560"/>
        <w:rPr>
          <w:rFonts w:cs="Times New Roman"/>
          <w:color w:val="auto"/>
        </w:rPr>
      </w:pPr>
      <w:r>
        <w:rPr>
          <w:rFonts w:cs="Times New Roman"/>
          <w:color w:val="auto"/>
        </w:rPr>
        <w:t>公路建筑控制区的范围，从公路用地外缘起向外的距离标准为：</w:t>
      </w:r>
    </w:p>
    <w:p w14:paraId="2735F77E">
      <w:pPr>
        <w:ind w:firstLine="560"/>
        <w:rPr>
          <w:rFonts w:cs="Times New Roman"/>
          <w:color w:val="auto"/>
        </w:rPr>
      </w:pPr>
      <w:bookmarkStart w:id="105" w:name="bookmark174"/>
      <w:r>
        <w:rPr>
          <w:rFonts w:cs="Times New Roman"/>
          <w:color w:val="auto"/>
        </w:rPr>
        <w:t>（</w:t>
      </w:r>
      <w:bookmarkEnd w:id="105"/>
      <w:r>
        <w:rPr>
          <w:rFonts w:cs="Times New Roman"/>
          <w:color w:val="auto"/>
        </w:rPr>
        <w:t>1）国道不少于20米；</w:t>
      </w:r>
    </w:p>
    <w:p w14:paraId="70106C5E">
      <w:pPr>
        <w:ind w:firstLine="560"/>
        <w:rPr>
          <w:rFonts w:cs="Times New Roman"/>
          <w:color w:val="auto"/>
        </w:rPr>
      </w:pPr>
      <w:bookmarkStart w:id="106" w:name="bookmark175"/>
      <w:r>
        <w:rPr>
          <w:rFonts w:cs="Times New Roman"/>
          <w:color w:val="auto"/>
        </w:rPr>
        <w:t>（</w:t>
      </w:r>
      <w:bookmarkEnd w:id="106"/>
      <w:r>
        <w:rPr>
          <w:rFonts w:cs="Times New Roman"/>
          <w:color w:val="auto"/>
        </w:rPr>
        <w:t>2）省道不少于15米；</w:t>
      </w:r>
    </w:p>
    <w:p w14:paraId="4EED102F">
      <w:pPr>
        <w:ind w:firstLine="560"/>
        <w:rPr>
          <w:rFonts w:cs="Times New Roman"/>
          <w:color w:val="auto"/>
        </w:rPr>
      </w:pPr>
      <w:bookmarkStart w:id="107" w:name="bookmark176"/>
      <w:r>
        <w:rPr>
          <w:rFonts w:cs="Times New Roman"/>
          <w:color w:val="auto"/>
        </w:rPr>
        <w:t>（</w:t>
      </w:r>
      <w:bookmarkEnd w:id="107"/>
      <w:r>
        <w:rPr>
          <w:rFonts w:cs="Times New Roman"/>
          <w:color w:val="auto"/>
        </w:rPr>
        <w:t>3）县道不少于10米；</w:t>
      </w:r>
    </w:p>
    <w:p w14:paraId="5925826D">
      <w:pPr>
        <w:ind w:firstLine="560"/>
        <w:rPr>
          <w:rFonts w:cs="Times New Roman"/>
          <w:color w:val="auto"/>
        </w:rPr>
      </w:pPr>
      <w:bookmarkStart w:id="108" w:name="bookmark177"/>
      <w:r>
        <w:rPr>
          <w:rFonts w:cs="Times New Roman"/>
          <w:color w:val="auto"/>
        </w:rPr>
        <w:t>（</w:t>
      </w:r>
      <w:bookmarkEnd w:id="108"/>
      <w:r>
        <w:rPr>
          <w:rFonts w:cs="Times New Roman"/>
          <w:color w:val="auto"/>
        </w:rPr>
        <w:t>4）乡道不少于5米。</w:t>
      </w:r>
    </w:p>
    <w:p w14:paraId="258199F5">
      <w:pPr>
        <w:ind w:firstLine="560"/>
        <w:rPr>
          <w:rFonts w:cs="Times New Roman"/>
          <w:color w:val="auto"/>
        </w:rPr>
      </w:pPr>
      <w:r>
        <w:rPr>
          <w:rFonts w:hint="eastAsia" w:cs="Times New Roman"/>
          <w:color w:val="auto"/>
          <w:lang w:eastAsia="zh-CN"/>
        </w:rPr>
        <w:t>2.</w:t>
      </w:r>
      <w:r>
        <w:rPr>
          <w:rFonts w:cs="Times New Roman"/>
          <w:color w:val="auto"/>
        </w:rPr>
        <w:t>水库及水闸</w:t>
      </w:r>
    </w:p>
    <w:p w14:paraId="07DA14D9">
      <w:pPr>
        <w:ind w:firstLine="560"/>
        <w:rPr>
          <w:rFonts w:cs="Times New Roman"/>
          <w:color w:val="auto"/>
        </w:rPr>
      </w:pPr>
      <w:r>
        <w:rPr>
          <w:rFonts w:cs="Times New Roman"/>
          <w:color w:val="auto"/>
        </w:rPr>
        <w:t>水利工程应当根据安全管理的需要和国家有关规定以及工程类型、规模，按照以下标准划定管理范围和保护范围：</w:t>
      </w:r>
    </w:p>
    <w:p w14:paraId="45ECFC41">
      <w:pPr>
        <w:ind w:firstLine="560"/>
        <w:rPr>
          <w:rFonts w:cs="Times New Roman"/>
          <w:color w:val="auto"/>
        </w:rPr>
      </w:pPr>
      <w:bookmarkStart w:id="109" w:name="bookmark179"/>
      <w:bookmarkStart w:id="110" w:name="_Toc26832042"/>
      <w:bookmarkStart w:id="111" w:name="_Toc26832228"/>
      <w:r>
        <w:rPr>
          <w:rFonts w:cs="Times New Roman"/>
          <w:color w:val="auto"/>
        </w:rPr>
        <w:t>（</w:t>
      </w:r>
      <w:bookmarkEnd w:id="109"/>
      <w:r>
        <w:rPr>
          <w:rFonts w:cs="Times New Roman"/>
          <w:color w:val="auto"/>
        </w:rPr>
        <w:t>1）水库校核洪水位线以下为水库库区管理范围，校核洪水位线至库周集雨区为保护范围；</w:t>
      </w:r>
    </w:p>
    <w:p w14:paraId="66BA4088">
      <w:pPr>
        <w:ind w:firstLine="560"/>
        <w:rPr>
          <w:rFonts w:cs="Times New Roman"/>
          <w:color w:val="auto"/>
        </w:rPr>
      </w:pPr>
      <w:bookmarkStart w:id="112" w:name="bookmark180"/>
      <w:r>
        <w:rPr>
          <w:rFonts w:cs="Times New Roman"/>
          <w:color w:val="auto"/>
        </w:rPr>
        <w:t>（</w:t>
      </w:r>
      <w:bookmarkEnd w:id="112"/>
      <w:r>
        <w:rPr>
          <w:rFonts w:cs="Times New Roman"/>
          <w:color w:val="auto"/>
        </w:rPr>
        <w:t>2）大型水库主坝的下游坡脚和坝肩外</w:t>
      </w:r>
      <w:r>
        <w:rPr>
          <w:rFonts w:hint="eastAsia" w:cs="Times New Roman"/>
          <w:color w:val="auto"/>
        </w:rPr>
        <w:t>200</w:t>
      </w:r>
      <w:r>
        <w:rPr>
          <w:rFonts w:cs="Times New Roman"/>
          <w:color w:val="auto"/>
        </w:rPr>
        <w:t>米为管理范围，此范围以外</w:t>
      </w:r>
      <w:r>
        <w:rPr>
          <w:rFonts w:hint="eastAsia" w:cs="Times New Roman"/>
          <w:color w:val="auto"/>
        </w:rPr>
        <w:t>300</w:t>
      </w:r>
      <w:r>
        <w:rPr>
          <w:rFonts w:cs="Times New Roman"/>
          <w:color w:val="auto"/>
        </w:rPr>
        <w:t>米的区域为保护范围；中型水库大坝的下游坡脚和坝肩外</w:t>
      </w:r>
      <w:r>
        <w:rPr>
          <w:rFonts w:hint="eastAsia" w:cs="Times New Roman"/>
          <w:color w:val="auto"/>
        </w:rPr>
        <w:t>100</w:t>
      </w:r>
      <w:r>
        <w:rPr>
          <w:rFonts w:cs="Times New Roman"/>
          <w:color w:val="auto"/>
        </w:rPr>
        <w:t>米为管理范围，此范围以外</w:t>
      </w:r>
      <w:r>
        <w:rPr>
          <w:rFonts w:hint="eastAsia" w:cs="Times New Roman"/>
          <w:color w:val="auto"/>
        </w:rPr>
        <w:t>200</w:t>
      </w:r>
      <w:r>
        <w:rPr>
          <w:rFonts w:cs="Times New Roman"/>
          <w:color w:val="auto"/>
        </w:rPr>
        <w:t>米的区域为保护范围；小型水库大坝的下游坡脚和坝肩外</w:t>
      </w:r>
      <w:r>
        <w:rPr>
          <w:rFonts w:hint="eastAsia" w:cs="Times New Roman"/>
          <w:color w:val="auto"/>
        </w:rPr>
        <w:t>50</w:t>
      </w:r>
      <w:r>
        <w:rPr>
          <w:rFonts w:cs="Times New Roman"/>
          <w:color w:val="auto"/>
        </w:rPr>
        <w:t>米为管理范围，此范围以外</w:t>
      </w:r>
      <w:r>
        <w:rPr>
          <w:rFonts w:hint="eastAsia" w:cs="Times New Roman"/>
          <w:color w:val="auto"/>
        </w:rPr>
        <w:t>100</w:t>
      </w:r>
      <w:r>
        <w:rPr>
          <w:rFonts w:cs="Times New Roman"/>
          <w:color w:val="auto"/>
        </w:rPr>
        <w:t>米的区域为保护范围；各类水库副坝的管理范围和保护范围，均按照小型水库大坝的管理范围和保护范围划定；</w:t>
      </w:r>
    </w:p>
    <w:p w14:paraId="1F1915A3">
      <w:pPr>
        <w:ind w:firstLine="560"/>
        <w:rPr>
          <w:rFonts w:cs="Times New Roman"/>
          <w:color w:val="auto"/>
        </w:rPr>
      </w:pPr>
      <w:bookmarkStart w:id="113" w:name="bookmark181"/>
      <w:r>
        <w:rPr>
          <w:rFonts w:cs="Times New Roman"/>
          <w:color w:val="auto"/>
        </w:rPr>
        <w:t>（</w:t>
      </w:r>
      <w:bookmarkEnd w:id="113"/>
      <w:r>
        <w:rPr>
          <w:rFonts w:cs="Times New Roman"/>
          <w:color w:val="auto"/>
        </w:rPr>
        <w:t>3）渠道按输水过流量，分别从填方渠道坡脚或者挖方渠道渠顶向外划定0.5</w:t>
      </w:r>
      <w:r>
        <w:rPr>
          <w:rFonts w:hint="eastAsia" w:cs="Times New Roman"/>
          <w:color w:val="auto"/>
        </w:rPr>
        <w:t>-8米</w:t>
      </w:r>
      <w:r>
        <w:rPr>
          <w:rFonts w:cs="Times New Roman"/>
          <w:color w:val="auto"/>
        </w:rPr>
        <w:t>为管理范围，此范围以外</w:t>
      </w:r>
      <w:r>
        <w:rPr>
          <w:rFonts w:hint="eastAsia" w:cs="Times New Roman"/>
          <w:color w:val="auto"/>
        </w:rPr>
        <w:t>5-10米</w:t>
      </w:r>
      <w:r>
        <w:rPr>
          <w:rFonts w:cs="Times New Roman"/>
          <w:color w:val="auto"/>
        </w:rPr>
        <w:t>为保护范围；</w:t>
      </w:r>
    </w:p>
    <w:p w14:paraId="67BBF9B9">
      <w:pPr>
        <w:ind w:firstLine="560"/>
        <w:rPr>
          <w:rFonts w:cs="Times New Roman"/>
          <w:color w:val="auto"/>
        </w:rPr>
      </w:pPr>
      <w:bookmarkStart w:id="114" w:name="bookmark182"/>
      <w:r>
        <w:rPr>
          <w:rFonts w:cs="Times New Roman"/>
          <w:color w:val="auto"/>
        </w:rPr>
        <w:t>（</w:t>
      </w:r>
      <w:bookmarkEnd w:id="114"/>
      <w:r>
        <w:rPr>
          <w:rFonts w:cs="Times New Roman"/>
          <w:color w:val="auto"/>
        </w:rPr>
        <w:t>4）水闸管理范围：</w:t>
      </w:r>
    </w:p>
    <w:p w14:paraId="1D59EB08">
      <w:pPr>
        <w:ind w:firstLine="560"/>
        <w:rPr>
          <w:rFonts w:cs="Times New Roman"/>
          <w:color w:val="auto"/>
        </w:rPr>
      </w:pPr>
      <w:r>
        <w:rPr>
          <w:rFonts w:cs="Times New Roman"/>
          <w:color w:val="auto"/>
        </w:rPr>
        <w:t>大（1）型水闸的管理范围为水闸上、下游宽度</w:t>
      </w:r>
      <w:r>
        <w:rPr>
          <w:rFonts w:hint="eastAsia" w:cs="Times New Roman"/>
          <w:color w:val="auto"/>
        </w:rPr>
        <w:t>500-1000</w:t>
      </w:r>
      <w:r>
        <w:rPr>
          <w:rFonts w:cs="Times New Roman"/>
          <w:color w:val="auto"/>
        </w:rPr>
        <w:t>米，水闸两侧宽度</w:t>
      </w:r>
      <w:r>
        <w:rPr>
          <w:rFonts w:hint="eastAsia" w:cs="Times New Roman"/>
          <w:color w:val="auto"/>
        </w:rPr>
        <w:t>100-200</w:t>
      </w:r>
      <w:r>
        <w:rPr>
          <w:rFonts w:cs="Times New Roman"/>
          <w:color w:val="auto"/>
        </w:rPr>
        <w:t>米；大（2）型水闸的管理范围为水闸上、下游宽度</w:t>
      </w:r>
      <w:r>
        <w:rPr>
          <w:rFonts w:hint="eastAsia" w:cs="Times New Roman"/>
          <w:color w:val="auto"/>
        </w:rPr>
        <w:t>300-500</w:t>
      </w:r>
      <w:r>
        <w:rPr>
          <w:rFonts w:cs="Times New Roman"/>
          <w:color w:val="auto"/>
        </w:rPr>
        <w:t>米，水闸两侧宽度</w:t>
      </w:r>
      <w:r>
        <w:rPr>
          <w:rFonts w:hint="eastAsia" w:cs="Times New Roman"/>
          <w:color w:val="auto"/>
        </w:rPr>
        <w:t>50-100</w:t>
      </w:r>
      <w:r>
        <w:rPr>
          <w:rFonts w:cs="Times New Roman"/>
          <w:color w:val="auto"/>
        </w:rPr>
        <w:t>米；中型水闸的管理范围为水闸上、下游宽度</w:t>
      </w:r>
      <w:r>
        <w:rPr>
          <w:rFonts w:hint="eastAsia" w:cs="Times New Roman"/>
          <w:color w:val="auto"/>
        </w:rPr>
        <w:t>100-300</w:t>
      </w:r>
      <w:r>
        <w:rPr>
          <w:rFonts w:cs="Times New Roman"/>
          <w:color w:val="auto"/>
        </w:rPr>
        <w:t>米，水闸两侧宽度</w:t>
      </w:r>
      <w:r>
        <w:rPr>
          <w:rFonts w:hint="eastAsia" w:cs="Times New Roman"/>
          <w:color w:val="auto"/>
        </w:rPr>
        <w:t>30-50</w:t>
      </w:r>
      <w:r>
        <w:rPr>
          <w:rFonts w:cs="Times New Roman"/>
          <w:color w:val="auto"/>
        </w:rPr>
        <w:t>米；小型水闸的管理范围为水闸上、下游宽度</w:t>
      </w:r>
      <w:r>
        <w:rPr>
          <w:rFonts w:hint="eastAsia" w:cs="Times New Roman"/>
          <w:color w:val="auto"/>
        </w:rPr>
        <w:t>50-100</w:t>
      </w:r>
      <w:r>
        <w:rPr>
          <w:rFonts w:cs="Times New Roman"/>
          <w:color w:val="auto"/>
        </w:rPr>
        <w:t>米，水闸两侧宽度</w:t>
      </w:r>
      <w:r>
        <w:rPr>
          <w:rFonts w:hint="eastAsia" w:cs="Times New Roman"/>
          <w:color w:val="auto"/>
        </w:rPr>
        <w:t>30-50</w:t>
      </w:r>
      <w:r>
        <w:rPr>
          <w:rFonts w:cs="Times New Roman"/>
          <w:color w:val="auto"/>
        </w:rPr>
        <w:t>米。堤防上的水闸，管理范围应当与堤防管理范围统筹确定。</w:t>
      </w:r>
    </w:p>
    <w:p w14:paraId="2558BDE4">
      <w:pPr>
        <w:ind w:firstLine="560"/>
        <w:rPr>
          <w:rFonts w:cs="Times New Roman"/>
          <w:color w:val="auto"/>
        </w:rPr>
      </w:pPr>
      <w:r>
        <w:rPr>
          <w:rFonts w:cs="Times New Roman"/>
          <w:color w:val="auto"/>
        </w:rPr>
        <w:t>特别重要的水闸工程经过设计论证，可以适当扩大其管理范围。水闸涉及通航的</w:t>
      </w:r>
      <w:r>
        <w:rPr>
          <w:rFonts w:hint="eastAsia" w:cs="Times New Roman"/>
          <w:color w:val="auto"/>
        </w:rPr>
        <w:t>，</w:t>
      </w:r>
      <w:r>
        <w:rPr>
          <w:rFonts w:cs="Times New Roman"/>
          <w:color w:val="auto"/>
        </w:rPr>
        <w:t>由水行政主管部门会同交通运输行政主管部门根据有关法律、法规共同划定水闸管理范围和保护范围。</w:t>
      </w:r>
    </w:p>
    <w:p w14:paraId="2D9A0383">
      <w:pPr>
        <w:pStyle w:val="5"/>
        <w:spacing w:before="120" w:after="120"/>
        <w:ind w:firstLine="562"/>
        <w:rPr>
          <w:color w:val="auto"/>
        </w:rPr>
      </w:pPr>
      <w:bookmarkStart w:id="115" w:name="_Toc78769038"/>
      <w:bookmarkStart w:id="116" w:name="_Toc982"/>
      <w:r>
        <w:rPr>
          <w:rFonts w:hint="eastAsia"/>
          <w:color w:val="auto"/>
        </w:rPr>
        <w:t>5</w:t>
      </w:r>
      <w:r>
        <w:rPr>
          <w:color w:val="auto"/>
        </w:rPr>
        <w:t>.2.</w:t>
      </w:r>
      <w:r>
        <w:rPr>
          <w:rFonts w:hint="eastAsia"/>
          <w:color w:val="auto"/>
        </w:rPr>
        <w:t>6</w:t>
      </w:r>
      <w:r>
        <w:rPr>
          <w:color w:val="auto"/>
        </w:rPr>
        <w:t xml:space="preserve"> 其他情况</w:t>
      </w:r>
      <w:bookmarkEnd w:id="110"/>
      <w:bookmarkEnd w:id="111"/>
      <w:bookmarkEnd w:id="115"/>
      <w:bookmarkEnd w:id="116"/>
    </w:p>
    <w:p w14:paraId="744F6385">
      <w:pPr>
        <w:ind w:firstLine="560"/>
        <w:rPr>
          <w:rFonts w:cs="Times New Roman"/>
          <w:color w:val="auto"/>
        </w:rPr>
      </w:pPr>
      <w:r>
        <w:rPr>
          <w:rFonts w:hint="eastAsia" w:cs="Times New Roman"/>
          <w:color w:val="auto"/>
          <w:lang w:eastAsia="zh-CN"/>
        </w:rPr>
        <w:t>1.</w:t>
      </w:r>
      <w:r>
        <w:rPr>
          <w:rFonts w:cs="Times New Roman"/>
          <w:color w:val="auto"/>
        </w:rPr>
        <w:t>河岸线曲率较大的河道，参照现状河势走向或堤防线走向趋势、地形情况和现状情况，通过上下游平顺衔接划定范围。</w:t>
      </w:r>
    </w:p>
    <w:p w14:paraId="5CB115CF">
      <w:pPr>
        <w:ind w:firstLine="560"/>
        <w:rPr>
          <w:rFonts w:cs="Times New Roman"/>
          <w:color w:val="auto"/>
        </w:rPr>
      </w:pPr>
      <w:r>
        <w:rPr>
          <w:rFonts w:hint="eastAsia" w:cs="Times New Roman"/>
          <w:color w:val="auto"/>
          <w:lang w:eastAsia="zh-CN"/>
        </w:rPr>
        <w:t>2.</w:t>
      </w:r>
      <w:r>
        <w:rPr>
          <w:rFonts w:cs="Times New Roman"/>
          <w:color w:val="auto"/>
        </w:rPr>
        <w:t>如堤防有缺口、不连续，可通过上下游有堤防段平顺连接。</w:t>
      </w:r>
    </w:p>
    <w:p w14:paraId="22C6C772">
      <w:pPr>
        <w:ind w:firstLine="560"/>
        <w:rPr>
          <w:rFonts w:cs="Times New Roman"/>
          <w:color w:val="auto"/>
        </w:rPr>
      </w:pPr>
      <w:r>
        <w:rPr>
          <w:rFonts w:hint="eastAsia" w:cs="Times New Roman"/>
          <w:color w:val="auto"/>
          <w:lang w:eastAsia="zh-CN"/>
        </w:rPr>
        <w:t>3.</w:t>
      </w:r>
      <w:r>
        <w:rPr>
          <w:rFonts w:cs="Times New Roman"/>
          <w:color w:val="auto"/>
        </w:rPr>
        <w:t>交通、市政、土地整理等建设对堤身培厚、加宽后有明显堤脚的堤防，管理范围以外堤脚为基准确定，或以堤后排水沟外口确定；交通、市政、土地整理等建设对堤身培厚、培宽后无明显堤脚的，堤防管理范围线划定至少按达标堤防断面确定堤脚范围，再按管理要求划定管理范围线。</w:t>
      </w:r>
    </w:p>
    <w:p w14:paraId="3FEAA65E">
      <w:pPr>
        <w:ind w:firstLine="560"/>
        <w:rPr>
          <w:rFonts w:cs="Times New Roman"/>
          <w:color w:val="auto"/>
        </w:rPr>
      </w:pPr>
      <w:r>
        <w:rPr>
          <w:rFonts w:hint="eastAsia" w:cs="Times New Roman"/>
          <w:color w:val="auto"/>
          <w:lang w:eastAsia="zh-CN"/>
        </w:rPr>
        <w:t>4.</w:t>
      </w:r>
      <w:r>
        <w:rPr>
          <w:rFonts w:cs="Times New Roman"/>
          <w:color w:val="auto"/>
        </w:rPr>
        <w:t>在城市规划区范围内，如城市规划蓝线在河道管理范围线以外，河湖管理范围线可与城市蓝线协调一致。</w:t>
      </w:r>
    </w:p>
    <w:bookmarkEnd w:id="75"/>
    <w:p w14:paraId="0C6BAF83">
      <w:pPr>
        <w:pStyle w:val="3"/>
        <w:spacing w:before="120" w:after="120"/>
        <w:rPr>
          <w:color w:val="auto"/>
        </w:rPr>
      </w:pPr>
      <w:bookmarkStart w:id="117" w:name="_Toc25670"/>
      <w:r>
        <w:rPr>
          <w:rFonts w:hint="eastAsia"/>
          <w:color w:val="auto"/>
          <w:lang w:eastAsia="zh-CN"/>
        </w:rPr>
        <w:t>6.</w:t>
      </w:r>
      <w:r>
        <w:rPr>
          <w:color w:val="auto"/>
        </w:rPr>
        <w:t>划界成果及应用</w:t>
      </w:r>
      <w:bookmarkEnd w:id="117"/>
      <w:r>
        <w:rPr>
          <w:color w:val="auto"/>
        </w:rPr>
        <w:t xml:space="preserve"> </w:t>
      </w:r>
    </w:p>
    <w:p w14:paraId="44B5F4D9">
      <w:pPr>
        <w:pStyle w:val="4"/>
        <w:spacing w:before="120" w:after="120"/>
        <w:ind w:firstLine="562"/>
        <w:rPr>
          <w:color w:val="auto"/>
        </w:rPr>
      </w:pPr>
      <w:bookmarkStart w:id="118" w:name="_Toc24381"/>
      <w:r>
        <w:rPr>
          <w:rFonts w:hint="eastAsia"/>
          <w:color w:val="auto"/>
        </w:rPr>
        <w:t>6.1</w:t>
      </w:r>
      <w:r>
        <w:rPr>
          <w:color w:val="auto"/>
        </w:rPr>
        <w:t>划界成果</w:t>
      </w:r>
      <w:bookmarkEnd w:id="118"/>
      <w:r>
        <w:rPr>
          <w:color w:val="auto"/>
        </w:rPr>
        <w:t xml:space="preserve"> </w:t>
      </w:r>
    </w:p>
    <w:p w14:paraId="138BD49E">
      <w:pPr>
        <w:ind w:firstLine="560"/>
        <w:rPr>
          <w:rFonts w:cs="Times New Roman"/>
          <w:color w:val="auto"/>
        </w:rPr>
      </w:pPr>
      <w:r>
        <w:rPr>
          <w:rFonts w:cs="Times New Roman"/>
          <w:color w:val="auto"/>
        </w:rPr>
        <w:t xml:space="preserve">管理范围线图：通过 GIS 软件绘制的岩羊河盐边县河段管理范围线图，清晰展示了管理范围线的走向、坐标、长度以及与周边地形、建筑物的关系。图中详细标注了有堤防段、无堤防段、库区河段及其他特殊河段的管理范围，为河道管理提供了直观的空间参考。 </w:t>
      </w:r>
    </w:p>
    <w:p w14:paraId="0EF7BC4A">
      <w:pPr>
        <w:ind w:firstLine="560"/>
        <w:rPr>
          <w:color w:val="auto"/>
        </w:rPr>
      </w:pPr>
      <w:r>
        <w:rPr>
          <w:rFonts w:cs="Times New Roman"/>
          <w:color w:val="auto"/>
        </w:rPr>
        <w:t>界桩和公告牌设置：根据划定的管理范围线，在关键位置埋设界桩</w:t>
      </w:r>
      <w:r>
        <w:rPr>
          <w:rFonts w:hint="eastAsia" w:cs="Times New Roman"/>
          <w:color w:val="auto"/>
        </w:rPr>
        <w:t>8</w:t>
      </w:r>
      <w:r>
        <w:rPr>
          <w:rFonts w:cs="Times New Roman"/>
          <w:color w:val="auto"/>
        </w:rPr>
        <w:t>个，界桩采用混凝土材质，上面标注了界桩编号、管理范围线名称、设置单位和设置时间等信息。同时，在河段入口、重要村落附近、涉河建筑物周边等位置设立公告牌</w:t>
      </w:r>
      <w:r>
        <w:rPr>
          <w:rFonts w:hint="eastAsia" w:cs="Times New Roman"/>
          <w:color w:val="auto"/>
        </w:rPr>
        <w:t>1</w:t>
      </w:r>
      <w:r>
        <w:rPr>
          <w:rFonts w:cs="Times New Roman"/>
          <w:color w:val="auto"/>
        </w:rPr>
        <w:t>块，公告牌上明确标示了</w:t>
      </w:r>
      <w:r>
        <w:rPr>
          <w:color w:val="auto"/>
        </w:rPr>
        <w:t xml:space="preserve">管理范围、禁止行为、管理单位和举报电话等内容，增强了公众的知晓度和监督意识。 </w:t>
      </w:r>
    </w:p>
    <w:p w14:paraId="604EE4EC">
      <w:pPr>
        <w:ind w:firstLine="560"/>
        <w:rPr>
          <w:color w:val="auto"/>
        </w:rPr>
      </w:pPr>
      <w:r>
        <w:rPr>
          <w:color w:val="auto"/>
        </w:rPr>
        <w:t>划界报告及</w:t>
      </w:r>
      <w:r>
        <w:rPr>
          <w:rFonts w:cs="Times New Roman"/>
          <w:color w:val="auto"/>
        </w:rPr>
        <w:t>相关</w:t>
      </w:r>
      <w:r>
        <w:rPr>
          <w:color w:val="auto"/>
        </w:rPr>
        <w:t xml:space="preserve">资料汇编：形成完整的河湖划界成果调整报告，包括概况、调整原因、调整范围及依据、管理范围线重新划定、划界标准等内容。同时，将收集的地形资料、水文资料、涉河建筑物资料、测量数据、洪水位分析计算成果等相关资料进行汇编，形成一套完整的划界成果资料，为后续管理工作提供依据。 </w:t>
      </w:r>
    </w:p>
    <w:p w14:paraId="226BFE22">
      <w:pPr>
        <w:pStyle w:val="4"/>
        <w:spacing w:before="120" w:after="120"/>
        <w:ind w:firstLine="562"/>
        <w:rPr>
          <w:color w:val="auto"/>
        </w:rPr>
      </w:pPr>
      <w:bookmarkStart w:id="119" w:name="_Toc4660"/>
      <w:r>
        <w:rPr>
          <w:rFonts w:hint="eastAsia"/>
          <w:color w:val="auto"/>
        </w:rPr>
        <w:t>6.2</w:t>
      </w:r>
      <w:r>
        <w:rPr>
          <w:color w:val="auto"/>
        </w:rPr>
        <w:t>成果应用</w:t>
      </w:r>
      <w:bookmarkEnd w:id="119"/>
      <w:r>
        <w:rPr>
          <w:color w:val="auto"/>
        </w:rPr>
        <w:t xml:space="preserve"> </w:t>
      </w:r>
    </w:p>
    <w:p w14:paraId="721AFA66">
      <w:pPr>
        <w:ind w:firstLine="560"/>
        <w:rPr>
          <w:color w:val="auto"/>
        </w:rPr>
      </w:pPr>
      <w:r>
        <w:rPr>
          <w:color w:val="auto"/>
        </w:rPr>
        <w:t xml:space="preserve">河道管理执法：将划定的管理范围线作为河道管理执法的重要依据，加大对管理范围内违法行为的查处力度。对在管理范围内乱搭乱建、非法采砂、排放污染物等行为，依法进行处罚和整治，维护河道管理秩序。 </w:t>
      </w:r>
    </w:p>
    <w:p w14:paraId="6217F038">
      <w:pPr>
        <w:ind w:firstLine="560"/>
        <w:rPr>
          <w:color w:val="auto"/>
        </w:rPr>
      </w:pPr>
      <w:r>
        <w:rPr>
          <w:color w:val="auto"/>
        </w:rPr>
        <w:t xml:space="preserve">规划建设审批：在河道周边进行各类建设项目规划和审批时，必须以管理范围线为依据，确保建设项目不侵占河道管理范围，不影响河道行洪和生态环境。水行政主管部门要严格审核建设项目的可行性研究报告和初步设计，对涉及河道管理范围的项目进行专项审查。 </w:t>
      </w:r>
    </w:p>
    <w:p w14:paraId="3457A6B1">
      <w:pPr>
        <w:ind w:firstLine="560"/>
        <w:rPr>
          <w:color w:val="auto"/>
        </w:rPr>
      </w:pPr>
      <w:r>
        <w:rPr>
          <w:color w:val="auto"/>
        </w:rPr>
        <w:t>生态环境保护：依据划界成果，加强对河道</w:t>
      </w:r>
      <w:r>
        <w:rPr>
          <w:rFonts w:hint="eastAsia"/>
          <w:color w:val="auto"/>
          <w:lang w:eastAsia="zh-CN"/>
        </w:rPr>
        <w:t>生态环境保护</w:t>
      </w:r>
      <w:r>
        <w:rPr>
          <w:color w:val="auto"/>
        </w:rPr>
        <w:t xml:space="preserve">和治理。在管理范围内实施生态修复工程，如植树造林、河道清淤、湿地保护等，改善河道生态环境质量。同时，严格控制管理范围内的开发建设活动，防止生态破坏。 </w:t>
      </w:r>
    </w:p>
    <w:p w14:paraId="0E18B07A">
      <w:pPr>
        <w:ind w:firstLine="560"/>
        <w:rPr>
          <w:color w:val="auto"/>
        </w:rPr>
      </w:pPr>
      <w:r>
        <w:rPr>
          <w:color w:val="auto"/>
        </w:rPr>
        <w:t xml:space="preserve">防洪减灾工作：利用管理范围线和洪水位分析成果，制定科学合理的防洪减灾预案。在汛期，加强对管理范围内行洪障碍的排查和清除，确保河道行洪畅通；及时向公众发布洪水预警信息，引导管理范围内的人员和财产转移，减少洪水灾害损失。 </w:t>
      </w:r>
    </w:p>
    <w:p w14:paraId="78FB6006">
      <w:pPr>
        <w:ind w:firstLine="560"/>
        <w:rPr>
          <w:color w:val="auto"/>
        </w:rPr>
      </w:pPr>
      <w:r>
        <w:rPr>
          <w:color w:val="auto"/>
        </w:rPr>
        <w:t xml:space="preserve">信息化管理：将划界成果纳入河道管理信息系统，实现管理范围线、界桩、公告牌等信息的数字化管理。通过信息系统，可实时查询河道管理相关信息，进行动态监测和管理，提高河道管理的效率和水平。 </w:t>
      </w:r>
    </w:p>
    <w:p w14:paraId="6DB7C82F">
      <w:pPr>
        <w:pStyle w:val="3"/>
        <w:spacing w:before="120" w:after="120"/>
        <w:rPr>
          <w:color w:val="auto"/>
        </w:rPr>
      </w:pPr>
      <w:bookmarkStart w:id="120" w:name="_Toc25514"/>
      <w:r>
        <w:rPr>
          <w:rFonts w:hint="eastAsia"/>
          <w:color w:val="auto"/>
          <w:lang w:eastAsia="zh-CN"/>
        </w:rPr>
        <w:t>7.</w:t>
      </w:r>
      <w:r>
        <w:rPr>
          <w:color w:val="auto"/>
        </w:rPr>
        <w:t>保障措施</w:t>
      </w:r>
      <w:bookmarkEnd w:id="120"/>
      <w:r>
        <w:rPr>
          <w:color w:val="auto"/>
        </w:rPr>
        <w:t xml:space="preserve"> </w:t>
      </w:r>
    </w:p>
    <w:p w14:paraId="4019A70D">
      <w:pPr>
        <w:pStyle w:val="4"/>
        <w:spacing w:before="120" w:after="120"/>
        <w:ind w:firstLine="562"/>
        <w:rPr>
          <w:color w:val="auto"/>
        </w:rPr>
      </w:pPr>
      <w:bookmarkStart w:id="121" w:name="_Toc28265"/>
      <w:r>
        <w:rPr>
          <w:rFonts w:hint="eastAsia"/>
          <w:color w:val="auto"/>
        </w:rPr>
        <w:t>7.1</w:t>
      </w:r>
      <w:r>
        <w:rPr>
          <w:color w:val="auto"/>
        </w:rPr>
        <w:t>组织保障</w:t>
      </w:r>
      <w:bookmarkEnd w:id="121"/>
      <w:r>
        <w:rPr>
          <w:color w:val="auto"/>
        </w:rPr>
        <w:t xml:space="preserve"> </w:t>
      </w:r>
    </w:p>
    <w:p w14:paraId="57860537">
      <w:pPr>
        <w:ind w:firstLine="560"/>
        <w:rPr>
          <w:rFonts w:ascii="Times New Roman" w:hAnsi="Times New Roman" w:eastAsia="宋体" w:cstheme="minorBidi"/>
          <w:color w:val="auto"/>
          <w:kern w:val="2"/>
          <w:sz w:val="28"/>
          <w:szCs w:val="21"/>
        </w:rPr>
      </w:pPr>
      <w:r>
        <w:rPr>
          <w:rFonts w:ascii="Times New Roman" w:hAnsi="Times New Roman" w:eastAsia="宋体"/>
          <w:color w:val="auto"/>
          <w:lang w:val="en-US" w:eastAsia="zh-CN"/>
        </w:rPr>
        <w:t>成立由县级政府牵头，水行政主管部门、自然资源部门、生态环境部门、乡镇政府等相关单位组成的河湖划界成果管理领导小组，负责统筹协调划界成果的应用、管理和维护工作。明确各部门的职责分工，加强部门之间的沟通协作，形成工作合力。</w:t>
      </w:r>
      <w:r>
        <w:rPr>
          <w:rFonts w:ascii="Times New Roman" w:hAnsi="Times New Roman" w:eastAsia="宋体"/>
          <w:color w:val="auto"/>
        </w:rPr>
        <w:t xml:space="preserve"> </w:t>
      </w:r>
    </w:p>
    <w:p w14:paraId="5DF03FFC">
      <w:pPr>
        <w:pStyle w:val="4"/>
        <w:spacing w:before="120" w:after="120"/>
        <w:ind w:firstLine="562"/>
        <w:rPr>
          <w:color w:val="auto"/>
        </w:rPr>
      </w:pPr>
      <w:bookmarkStart w:id="122" w:name="_Toc22070"/>
      <w:r>
        <w:rPr>
          <w:rFonts w:hint="eastAsia"/>
          <w:color w:val="auto"/>
        </w:rPr>
        <w:t>7.2</w:t>
      </w:r>
      <w:r>
        <w:rPr>
          <w:color w:val="auto"/>
        </w:rPr>
        <w:t>制度保障</w:t>
      </w:r>
      <w:bookmarkEnd w:id="122"/>
      <w:r>
        <w:rPr>
          <w:color w:val="auto"/>
        </w:rPr>
        <w:t xml:space="preserve"> </w:t>
      </w:r>
    </w:p>
    <w:p w14:paraId="445FCEC0">
      <w:pPr>
        <w:ind w:firstLine="560"/>
        <w:rPr>
          <w:rFonts w:ascii="Times New Roman" w:hAnsi="Times New Roman" w:eastAsia="宋体"/>
          <w:color w:val="auto"/>
          <w:lang w:val="en-US" w:eastAsia="zh-CN"/>
        </w:rPr>
      </w:pPr>
      <w:r>
        <w:rPr>
          <w:rFonts w:ascii="Times New Roman" w:hAnsi="Times New Roman" w:eastAsia="宋体"/>
          <w:color w:val="auto"/>
          <w:lang w:val="en-US" w:eastAsia="zh-CN"/>
        </w:rPr>
        <w:t xml:space="preserve">制定《岩羊河盐边县河段管理范围管理办法》，明确管理范围的划定、调整、保护、利用等方面的规定，使河道管理工作有章可循。建立健全划界成果动态更新机制，定期对管理范围线、界桩、公告牌等进行检查和维护，及时更新相关数据和资料。 </w:t>
      </w:r>
    </w:p>
    <w:p w14:paraId="0E6B1679">
      <w:pPr>
        <w:pStyle w:val="4"/>
        <w:spacing w:before="120" w:after="120"/>
        <w:ind w:firstLine="562"/>
        <w:rPr>
          <w:color w:val="auto"/>
        </w:rPr>
      </w:pPr>
      <w:bookmarkStart w:id="123" w:name="_Toc13925"/>
      <w:r>
        <w:rPr>
          <w:rFonts w:hint="eastAsia"/>
          <w:color w:val="auto"/>
        </w:rPr>
        <w:t>7.3</w:t>
      </w:r>
      <w:r>
        <w:rPr>
          <w:color w:val="auto"/>
        </w:rPr>
        <w:t>资金保障</w:t>
      </w:r>
      <w:bookmarkEnd w:id="123"/>
      <w:r>
        <w:rPr>
          <w:color w:val="auto"/>
        </w:rPr>
        <w:t xml:space="preserve"> </w:t>
      </w:r>
    </w:p>
    <w:p w14:paraId="2A61460C">
      <w:pPr>
        <w:ind w:firstLine="560"/>
        <w:rPr>
          <w:rFonts w:ascii="Times New Roman" w:hAnsi="Times New Roman" w:eastAsia="宋体"/>
          <w:color w:val="auto"/>
          <w:lang w:val="en-US" w:eastAsia="zh-CN"/>
        </w:rPr>
      </w:pPr>
      <w:r>
        <w:rPr>
          <w:rFonts w:ascii="Times New Roman" w:hAnsi="Times New Roman" w:eastAsia="宋体"/>
          <w:color w:val="auto"/>
          <w:lang w:val="en-US" w:eastAsia="zh-CN"/>
        </w:rPr>
        <w:t xml:space="preserve">将河湖划界成果管理、维护、生态修复等所需资金纳入县级财政预算，确保资金足额到位。同时，积极争取上级资金支持，鼓励社会资本参与河道管理和保护，拓宽资金来源渠道。 </w:t>
      </w:r>
    </w:p>
    <w:p w14:paraId="37302F10">
      <w:pPr>
        <w:pStyle w:val="4"/>
        <w:spacing w:before="120" w:after="120"/>
        <w:ind w:firstLine="562"/>
        <w:rPr>
          <w:color w:val="auto"/>
        </w:rPr>
      </w:pPr>
      <w:bookmarkStart w:id="124" w:name="_Toc3"/>
      <w:r>
        <w:rPr>
          <w:rFonts w:hint="eastAsia"/>
          <w:color w:val="auto"/>
        </w:rPr>
        <w:t>7.4</w:t>
      </w:r>
      <w:r>
        <w:rPr>
          <w:color w:val="auto"/>
        </w:rPr>
        <w:t>技术保障</w:t>
      </w:r>
      <w:bookmarkEnd w:id="124"/>
      <w:r>
        <w:rPr>
          <w:color w:val="auto"/>
        </w:rPr>
        <w:t xml:space="preserve"> </w:t>
      </w:r>
    </w:p>
    <w:p w14:paraId="2CF48EF2">
      <w:pPr>
        <w:ind w:firstLine="560"/>
        <w:rPr>
          <w:rFonts w:ascii="Times New Roman" w:hAnsi="Times New Roman" w:eastAsia="宋体"/>
          <w:color w:val="auto"/>
          <w:lang w:val="en-US" w:eastAsia="zh-CN"/>
        </w:rPr>
      </w:pPr>
      <w:r>
        <w:rPr>
          <w:rFonts w:ascii="Times New Roman" w:hAnsi="Times New Roman" w:eastAsia="宋体"/>
          <w:color w:val="auto"/>
          <w:lang w:val="en-US" w:eastAsia="zh-CN"/>
        </w:rPr>
        <w:t xml:space="preserve">建立专业的技术队伍，负责划界成果的技术支持和服务工作。加强对技术人员的培训，提高其业务水平和综合素质。引进先进的测量、监测、信息化管理等技术和设备，提升河道管理的技术水平。 </w:t>
      </w:r>
    </w:p>
    <w:p w14:paraId="1B97AFAE">
      <w:pPr>
        <w:pStyle w:val="4"/>
        <w:spacing w:before="120" w:after="120"/>
        <w:ind w:firstLine="562"/>
        <w:rPr>
          <w:color w:val="auto"/>
        </w:rPr>
      </w:pPr>
      <w:bookmarkStart w:id="125" w:name="_Toc4572"/>
      <w:r>
        <w:rPr>
          <w:rFonts w:hint="eastAsia"/>
          <w:color w:val="auto"/>
        </w:rPr>
        <w:t>7.5</w:t>
      </w:r>
      <w:r>
        <w:rPr>
          <w:color w:val="auto"/>
        </w:rPr>
        <w:t>宣传教育</w:t>
      </w:r>
      <w:bookmarkEnd w:id="125"/>
      <w:r>
        <w:rPr>
          <w:color w:val="auto"/>
        </w:rPr>
        <w:t xml:space="preserve"> </w:t>
      </w:r>
    </w:p>
    <w:p w14:paraId="76389B87">
      <w:pPr>
        <w:ind w:firstLine="560"/>
        <w:rPr>
          <w:rFonts w:ascii="Times New Roman" w:hAnsi="Times New Roman" w:eastAsia="宋体"/>
          <w:color w:val="auto"/>
          <w:lang w:val="en-US" w:eastAsia="zh-CN"/>
        </w:rPr>
      </w:pPr>
      <w:r>
        <w:rPr>
          <w:rFonts w:ascii="Times New Roman" w:hAnsi="Times New Roman" w:eastAsia="宋体"/>
          <w:color w:val="auto"/>
          <w:lang w:val="en-US" w:eastAsia="zh-CN"/>
        </w:rPr>
        <w:t>通过电视、广播、网络、宣传栏等多种渠道，广泛宣传河湖划界的重要意义、相关法律法规和管理规定，提高公众的水患意识、环保意识和</w:t>
      </w:r>
      <w:r>
        <w:rPr>
          <w:rFonts w:hint="eastAsia"/>
          <w:color w:val="auto"/>
          <w:lang w:val="en-US" w:eastAsia="zh-CN"/>
        </w:rPr>
        <w:t>法治</w:t>
      </w:r>
      <w:r>
        <w:rPr>
          <w:rFonts w:ascii="Times New Roman" w:hAnsi="Times New Roman" w:eastAsia="宋体"/>
          <w:color w:val="auto"/>
          <w:lang w:val="en-US" w:eastAsia="zh-CN"/>
        </w:rPr>
        <w:t xml:space="preserve">意识。鼓励公众参与河道管理和保护工作，形成全社会共同关心、支持、参与河道管理的良好氛围。 </w:t>
      </w:r>
    </w:p>
    <w:p w14:paraId="1350BECA">
      <w:pPr>
        <w:pStyle w:val="3"/>
        <w:spacing w:before="120" w:after="120"/>
        <w:rPr>
          <w:color w:val="auto"/>
        </w:rPr>
      </w:pPr>
      <w:bookmarkStart w:id="126" w:name="_Toc18598"/>
      <w:r>
        <w:rPr>
          <w:rFonts w:hint="eastAsia"/>
          <w:color w:val="auto"/>
          <w:lang w:eastAsia="zh-CN"/>
        </w:rPr>
        <w:t>8.</w:t>
      </w:r>
      <w:r>
        <w:rPr>
          <w:color w:val="auto"/>
        </w:rPr>
        <w:t>结论与建议</w:t>
      </w:r>
      <w:bookmarkEnd w:id="126"/>
      <w:r>
        <w:rPr>
          <w:color w:val="auto"/>
        </w:rPr>
        <w:t xml:space="preserve"> </w:t>
      </w:r>
    </w:p>
    <w:p w14:paraId="07D17C22">
      <w:pPr>
        <w:pStyle w:val="4"/>
        <w:spacing w:before="120" w:after="120"/>
        <w:ind w:firstLine="562"/>
        <w:rPr>
          <w:color w:val="auto"/>
        </w:rPr>
      </w:pPr>
      <w:bookmarkStart w:id="127" w:name="_Toc30199"/>
      <w:r>
        <w:rPr>
          <w:rFonts w:hint="eastAsia"/>
          <w:color w:val="auto"/>
        </w:rPr>
        <w:t>8.1</w:t>
      </w:r>
      <w:r>
        <w:rPr>
          <w:color w:val="auto"/>
        </w:rPr>
        <w:t>结论</w:t>
      </w:r>
      <w:bookmarkEnd w:id="127"/>
      <w:r>
        <w:rPr>
          <w:color w:val="auto"/>
        </w:rPr>
        <w:t xml:space="preserve"> </w:t>
      </w:r>
    </w:p>
    <w:p w14:paraId="1F2343EC">
      <w:pPr>
        <w:ind w:firstLine="560"/>
        <w:rPr>
          <w:rFonts w:ascii="Times New Roman" w:hAnsi="Times New Roman" w:eastAsia="宋体"/>
          <w:color w:val="auto"/>
          <w:lang w:val="en-US" w:eastAsia="zh-CN"/>
        </w:rPr>
      </w:pPr>
      <w:r>
        <w:rPr>
          <w:rFonts w:hint="eastAsia"/>
          <w:color w:val="auto"/>
          <w:lang w:val="en-US" w:eastAsia="zh-CN"/>
        </w:rPr>
        <w:t>1.</w:t>
      </w:r>
      <w:r>
        <w:rPr>
          <w:rFonts w:ascii="Times New Roman" w:hAnsi="Times New Roman" w:eastAsia="宋体"/>
          <w:color w:val="auto"/>
          <w:lang w:val="en-US" w:eastAsia="zh-CN"/>
        </w:rPr>
        <w:t>本次对岩羊河盐边县河段的河湖划界成果调整工作，在充分收集资料、深入分析研究的基础上，按照相关法律法规和技术规范，</w:t>
      </w:r>
      <w:r>
        <w:rPr>
          <w:rFonts w:hint="eastAsia" w:ascii="Times New Roman" w:hAnsi="Times New Roman" w:eastAsia="宋体"/>
          <w:color w:val="auto"/>
          <w:lang w:val="en-US" w:eastAsia="zh-CN"/>
        </w:rPr>
        <w:t>对</w:t>
      </w:r>
      <w:r>
        <w:rPr>
          <w:rFonts w:ascii="Times New Roman" w:hAnsi="Times New Roman" w:eastAsia="宋体"/>
          <w:color w:val="auto"/>
          <w:lang w:val="en-US" w:eastAsia="zh-CN"/>
        </w:rPr>
        <w:t>岩羊河</w:t>
      </w:r>
      <w:r>
        <w:rPr>
          <w:rFonts w:hint="eastAsia" w:ascii="Times New Roman" w:hAnsi="Times New Roman" w:eastAsia="宋体"/>
          <w:color w:val="auto"/>
          <w:lang w:val="en-US" w:eastAsia="zh-CN"/>
        </w:rPr>
        <w:t>（红格水库段）</w:t>
      </w:r>
      <w:r>
        <w:rPr>
          <w:rFonts w:ascii="Times New Roman" w:hAnsi="Times New Roman" w:eastAsia="宋体"/>
          <w:color w:val="auto"/>
          <w:lang w:val="en-US" w:eastAsia="zh-CN"/>
        </w:rPr>
        <w:t xml:space="preserve">重新划定了管理范围线，明确了划界标准。调整后的划界成果更符合该河段的实际情况，能够更好地保障河道行洪安全、保护生态环境、规范开发利用行为，为河道的科学管理和可持续发展奠定了坚实基础。 </w:t>
      </w:r>
    </w:p>
    <w:p w14:paraId="7C1B8569">
      <w:pPr>
        <w:ind w:firstLine="560"/>
        <w:rPr>
          <w:rFonts w:ascii="Times New Roman" w:hAnsi="Times New Roman" w:eastAsia="宋体"/>
          <w:color w:val="auto"/>
          <w:lang w:val="en-US" w:eastAsia="zh-CN"/>
        </w:rPr>
      </w:pPr>
      <w:r>
        <w:rPr>
          <w:rFonts w:hint="eastAsia"/>
          <w:color w:val="auto"/>
          <w:lang w:val="en-US" w:eastAsia="zh-CN"/>
        </w:rPr>
        <w:t>2.</w:t>
      </w:r>
      <w:r>
        <w:rPr>
          <w:rFonts w:ascii="Times New Roman" w:hAnsi="Times New Roman" w:eastAsia="宋体"/>
          <w:color w:val="auto"/>
          <w:lang w:val="en-US" w:eastAsia="zh-CN"/>
        </w:rPr>
        <w:t>通过本次调整，解决了</w:t>
      </w:r>
      <w:r>
        <w:rPr>
          <w:rFonts w:hint="eastAsia" w:ascii="Times New Roman" w:hAnsi="Times New Roman" w:eastAsia="宋体"/>
          <w:color w:val="auto"/>
          <w:lang w:val="en-US" w:eastAsia="zh-CN"/>
        </w:rPr>
        <w:t>河道范围与库区范围不一致问题</w:t>
      </w:r>
      <w:r>
        <w:rPr>
          <w:rFonts w:ascii="Times New Roman" w:hAnsi="Times New Roman" w:eastAsia="宋体"/>
          <w:color w:val="auto"/>
          <w:lang w:val="en-US" w:eastAsia="zh-CN"/>
        </w:rPr>
        <w:t xml:space="preserve">，提高了划界成果的准确性和可靠性。划界成果的应用将进一步加强对河道的管理和保护，促进区域经济社会与生态环境的协调发展。 </w:t>
      </w:r>
    </w:p>
    <w:p w14:paraId="024DD322">
      <w:pPr>
        <w:pStyle w:val="4"/>
        <w:spacing w:before="120" w:after="120"/>
        <w:ind w:firstLine="562"/>
        <w:rPr>
          <w:color w:val="auto"/>
        </w:rPr>
      </w:pPr>
      <w:bookmarkStart w:id="128" w:name="_Toc29929"/>
      <w:r>
        <w:rPr>
          <w:rFonts w:hint="eastAsia"/>
          <w:color w:val="auto"/>
        </w:rPr>
        <w:t>8.2</w:t>
      </w:r>
      <w:r>
        <w:rPr>
          <w:color w:val="auto"/>
        </w:rPr>
        <w:t>建议</w:t>
      </w:r>
      <w:bookmarkEnd w:id="128"/>
      <w:r>
        <w:rPr>
          <w:color w:val="auto"/>
        </w:rPr>
        <w:t xml:space="preserve"> </w:t>
      </w:r>
    </w:p>
    <w:p w14:paraId="645F8648">
      <w:pPr>
        <w:ind w:firstLine="560"/>
        <w:rPr>
          <w:rFonts w:hint="eastAsia" w:ascii="Times New Roman" w:hAnsi="Times New Roman" w:eastAsia="宋体"/>
          <w:color w:val="auto"/>
          <w:lang w:val="en-US" w:eastAsia="zh-CN"/>
        </w:rPr>
      </w:pPr>
      <w:bookmarkStart w:id="129" w:name="OLE_LINK2"/>
      <w:r>
        <w:rPr>
          <w:rFonts w:hint="eastAsia"/>
          <w:color w:val="auto"/>
          <w:lang w:val="en-US" w:eastAsia="zh-CN"/>
        </w:rPr>
        <w:t>1.</w:t>
      </w:r>
      <w:bookmarkEnd w:id="129"/>
      <w:r>
        <w:rPr>
          <w:rFonts w:hint="eastAsia" w:ascii="Times New Roman" w:hAnsi="Times New Roman" w:eastAsia="宋体"/>
          <w:color w:val="auto"/>
          <w:lang w:val="en-US" w:eastAsia="zh-CN"/>
        </w:rPr>
        <w:t xml:space="preserve">加强划界成果的落实和监管，确保管理范围内的各项禁止行为得到有效遏制，各项管理措施落到实处。定期开展划界成果执行情况检查，对发现的问题及时整改。 </w:t>
      </w:r>
    </w:p>
    <w:p w14:paraId="4255028D">
      <w:pPr>
        <w:ind w:firstLine="560"/>
        <w:rPr>
          <w:rFonts w:hint="eastAsia" w:ascii="Times New Roman" w:hAnsi="Times New Roman" w:eastAsia="宋体"/>
          <w:color w:val="auto"/>
          <w:lang w:val="en-US" w:eastAsia="zh-CN"/>
        </w:rPr>
      </w:pPr>
      <w:r>
        <w:rPr>
          <w:rFonts w:hint="eastAsia"/>
          <w:color w:val="auto"/>
          <w:lang w:val="en-US" w:eastAsia="zh-CN"/>
        </w:rPr>
        <w:t>2.</w:t>
      </w:r>
      <w:r>
        <w:rPr>
          <w:rFonts w:hint="eastAsia" w:ascii="Times New Roman" w:hAnsi="Times New Roman" w:eastAsia="宋体"/>
          <w:color w:val="auto"/>
          <w:lang w:val="en-US" w:eastAsia="zh-CN"/>
        </w:rPr>
        <w:t xml:space="preserve">进一步完善河道管理信息系统，实现划界成果与其他相关信息的共享和联动，提高管理效率和决策科学性。加强信息系统的维护和更新，确保数据的实时性和准确性。 </w:t>
      </w:r>
    </w:p>
    <w:p w14:paraId="19FCE6DE">
      <w:pPr>
        <w:ind w:firstLine="560"/>
        <w:rPr>
          <w:rFonts w:hint="eastAsia" w:ascii="Times New Roman" w:hAnsi="Times New Roman" w:eastAsia="宋体"/>
          <w:color w:val="auto"/>
          <w:lang w:val="en-US" w:eastAsia="zh-CN"/>
        </w:rPr>
      </w:pPr>
      <w:r>
        <w:rPr>
          <w:rFonts w:hint="eastAsia"/>
          <w:color w:val="auto"/>
          <w:lang w:val="en-US" w:eastAsia="zh-CN"/>
        </w:rPr>
        <w:t>3.</w:t>
      </w:r>
      <w:r>
        <w:rPr>
          <w:rFonts w:hint="eastAsia" w:ascii="Times New Roman" w:hAnsi="Times New Roman" w:eastAsia="宋体"/>
          <w:color w:val="auto"/>
          <w:lang w:val="en-US" w:eastAsia="zh-CN"/>
        </w:rPr>
        <w:t xml:space="preserve">持续关注河道周边地形地貌、水文情势、生态环境等变化情况，定期对划界成果进行评估和调整。建立长效监测机制，及时掌握河道动态，为划界成果的动态管理提供依据。 </w:t>
      </w:r>
    </w:p>
    <w:p w14:paraId="1420EB23">
      <w:pPr>
        <w:ind w:firstLine="560"/>
        <w:rPr>
          <w:rFonts w:hint="eastAsia" w:ascii="Times New Roman" w:hAnsi="Times New Roman" w:eastAsia="宋体"/>
          <w:color w:val="auto"/>
          <w:lang w:val="en-US" w:eastAsia="zh-CN"/>
        </w:rPr>
      </w:pPr>
      <w:r>
        <w:rPr>
          <w:rFonts w:hint="eastAsia"/>
          <w:color w:val="auto"/>
          <w:lang w:val="en-US" w:eastAsia="zh-CN"/>
        </w:rPr>
        <w:t>4.</w:t>
      </w:r>
      <w:r>
        <w:rPr>
          <w:rFonts w:hint="eastAsia" w:ascii="Times New Roman" w:hAnsi="Times New Roman" w:eastAsia="宋体"/>
          <w:color w:val="auto"/>
          <w:lang w:val="en-US" w:eastAsia="zh-CN"/>
        </w:rPr>
        <w:t xml:space="preserve">加大对河道管理和保护的投入，用于界桩和公告牌的维护、生态修复工程、防洪设施建设等方面。同时，积极探索多元化的资金筹措方式，保障河道管理工作的持续开展。 </w:t>
      </w:r>
    </w:p>
    <w:p w14:paraId="3367AE82">
      <w:pPr>
        <w:ind w:firstLine="560"/>
        <w:rPr>
          <w:rFonts w:hint="eastAsia" w:ascii="Times New Roman" w:hAnsi="Times New Roman" w:eastAsia="宋体"/>
          <w:color w:val="auto"/>
          <w:lang w:val="en-US" w:eastAsia="zh-CN"/>
        </w:rPr>
      </w:pPr>
      <w:bookmarkStart w:id="132" w:name="_GoBack"/>
      <w:r>
        <w:rPr>
          <w:rFonts w:hint="eastAsia"/>
          <w:color w:val="auto"/>
          <w:lang w:val="en-US" w:eastAsia="zh-CN"/>
        </w:rPr>
        <w:t>5.</w:t>
      </w:r>
      <w:bookmarkEnd w:id="132"/>
      <w:r>
        <w:rPr>
          <w:rFonts w:hint="eastAsia" w:ascii="Times New Roman" w:hAnsi="Times New Roman" w:eastAsia="宋体"/>
          <w:color w:val="auto"/>
          <w:lang w:val="en-US" w:eastAsia="zh-CN"/>
        </w:rPr>
        <w:t>加强部门之间的协作配合，形成齐抓共管的工作格局。水行政主管部门要加强与自然资源、生态环境、农业农村等部门的沟通协调，共同做好河道管理和保护工作，确保岩羊河盐边县河段的健康发展。</w:t>
      </w:r>
    </w:p>
    <w:p w14:paraId="55EF7FF4">
      <w:pPr>
        <w:ind w:firstLine="0" w:firstLineChars="0"/>
        <w:rPr>
          <w:rFonts w:hint="eastAsia" w:cs="Times New Roman"/>
          <w:color w:val="auto"/>
        </w:rPr>
      </w:pPr>
    </w:p>
    <w:p w14:paraId="6716B3B8">
      <w:pPr>
        <w:ind w:firstLine="0" w:firstLineChars="0"/>
        <w:rPr>
          <w:rFonts w:cs="Times New Roman"/>
          <w:color w:val="auto"/>
        </w:rPr>
      </w:pPr>
      <w:r>
        <w:rPr>
          <w:rFonts w:hint="eastAsia" w:cs="Times New Roman"/>
          <w:color w:val="auto"/>
        </w:rPr>
        <w:t>附件</w:t>
      </w:r>
      <w:r>
        <w:rPr>
          <w:rFonts w:cs="Times New Roman"/>
          <w:color w:val="auto"/>
        </w:rPr>
        <w:t>：</w:t>
      </w:r>
    </w:p>
    <w:p w14:paraId="550A756D">
      <w:pPr>
        <w:ind w:firstLine="560"/>
        <w:rPr>
          <w:rFonts w:hint="default" w:eastAsia="宋体" w:cs="Times New Roman"/>
          <w:color w:val="auto"/>
          <w:lang w:val="en-US" w:eastAsia="zh-CN"/>
        </w:rPr>
      </w:pPr>
      <w:r>
        <w:rPr>
          <w:rFonts w:hint="eastAsia" w:cs="Times New Roman"/>
          <w:color w:val="auto"/>
        </w:rPr>
        <w:t>附件1：岩羊河盐边县河段河道</w:t>
      </w:r>
      <w:r>
        <w:rPr>
          <w:rFonts w:cs="Times New Roman"/>
          <w:color w:val="auto"/>
        </w:rPr>
        <w:t>管理范围划定</w:t>
      </w:r>
      <w:r>
        <w:rPr>
          <w:rFonts w:hint="eastAsia" w:cs="Times New Roman"/>
          <w:color w:val="auto"/>
          <w:lang w:val="en-US" w:eastAsia="zh-CN"/>
        </w:rPr>
        <w:t>成果调整对比表</w:t>
      </w:r>
    </w:p>
    <w:p w14:paraId="78985C21">
      <w:pPr>
        <w:ind w:firstLine="560"/>
        <w:rPr>
          <w:rFonts w:hint="default" w:eastAsia="宋体" w:cs="Times New Roman"/>
          <w:color w:val="auto"/>
          <w:lang w:val="en-US" w:eastAsia="zh-CN"/>
        </w:rPr>
      </w:pPr>
      <w:r>
        <w:rPr>
          <w:rFonts w:hint="eastAsia" w:cs="Times New Roman"/>
          <w:color w:val="auto"/>
        </w:rPr>
        <w:t>附件</w:t>
      </w:r>
      <w:r>
        <w:rPr>
          <w:rFonts w:hint="eastAsia" w:cs="Times New Roman"/>
          <w:color w:val="auto"/>
          <w:lang w:val="en-US" w:eastAsia="zh-CN"/>
        </w:rPr>
        <w:t>2</w:t>
      </w:r>
      <w:r>
        <w:rPr>
          <w:rFonts w:hint="eastAsia" w:cs="Times New Roman"/>
          <w:color w:val="auto"/>
        </w:rPr>
        <w:t>：</w:t>
      </w:r>
      <w:r>
        <w:rPr>
          <w:rFonts w:hint="eastAsia" w:cs="Times New Roman"/>
          <w:color w:val="auto"/>
          <w:lang w:val="en-US" w:eastAsia="zh-CN"/>
        </w:rPr>
        <w:t>盐边县水利局关于盐边县红格水库工程初步设计报告的批复</w:t>
      </w:r>
    </w:p>
    <w:p w14:paraId="4D898DD2">
      <w:pPr>
        <w:ind w:firstLine="560"/>
        <w:rPr>
          <w:rFonts w:hint="eastAsia" w:cs="Times New Roman"/>
          <w:color w:val="auto"/>
          <w:lang w:val="en-US" w:eastAsia="zh-CN"/>
        </w:rPr>
      </w:pPr>
      <w:r>
        <w:rPr>
          <w:rFonts w:hint="eastAsia" w:cs="Times New Roman"/>
          <w:color w:val="auto"/>
        </w:rPr>
        <w:t>附件</w:t>
      </w:r>
      <w:r>
        <w:rPr>
          <w:rFonts w:hint="eastAsia" w:cs="Times New Roman"/>
          <w:color w:val="auto"/>
          <w:lang w:val="en-US" w:eastAsia="zh-CN"/>
        </w:rPr>
        <w:t>3</w:t>
      </w:r>
      <w:r>
        <w:rPr>
          <w:rFonts w:hint="eastAsia" w:cs="Times New Roman"/>
          <w:color w:val="auto"/>
        </w:rPr>
        <w:t>：</w:t>
      </w:r>
      <w:r>
        <w:rPr>
          <w:rFonts w:hint="eastAsia" w:cs="Times New Roman"/>
          <w:color w:val="auto"/>
          <w:lang w:val="en-US" w:eastAsia="zh-CN"/>
        </w:rPr>
        <w:t>盐边县发展和改革局关于盐边县农产品物流交易中心项目可行性研究报告的批复</w:t>
      </w:r>
    </w:p>
    <w:p w14:paraId="15891707">
      <w:pPr>
        <w:pStyle w:val="2"/>
        <w:ind w:left="0" w:leftChars="0" w:firstLine="560" w:firstLineChars="200"/>
        <w:rPr>
          <w:rFonts w:hint="default"/>
          <w:lang w:val="en-US" w:eastAsia="zh-CN"/>
        </w:rPr>
      </w:pPr>
      <w:r>
        <w:rPr>
          <w:rFonts w:hint="eastAsia" w:cs="Times New Roman"/>
          <w:color w:val="auto"/>
        </w:rPr>
        <w:t>附件</w:t>
      </w:r>
      <w:r>
        <w:rPr>
          <w:rFonts w:hint="eastAsia" w:cs="Times New Roman"/>
          <w:color w:val="auto"/>
          <w:lang w:val="en-US" w:eastAsia="zh-CN"/>
        </w:rPr>
        <w:t>4</w:t>
      </w:r>
      <w:r>
        <w:rPr>
          <w:rFonts w:hint="eastAsia" w:cs="Times New Roman"/>
          <w:color w:val="auto"/>
        </w:rPr>
        <w:t>：关于印发《盐边县岩羊河干流防洪规划报告审查意见》的函</w:t>
      </w:r>
    </w:p>
    <w:p w14:paraId="5F78E2DE">
      <w:pPr>
        <w:ind w:firstLine="0" w:firstLineChars="0"/>
        <w:rPr>
          <w:rFonts w:cs="Times New Roman"/>
          <w:color w:val="auto"/>
        </w:rPr>
      </w:pPr>
      <w:r>
        <w:rPr>
          <w:rFonts w:hint="eastAsia" w:cs="Times New Roman"/>
          <w:color w:val="auto"/>
        </w:rPr>
        <w:t>附图</w:t>
      </w:r>
      <w:r>
        <w:rPr>
          <w:rFonts w:cs="Times New Roman"/>
          <w:color w:val="auto"/>
        </w:rPr>
        <w:t>：</w:t>
      </w:r>
    </w:p>
    <w:p w14:paraId="27414AD6">
      <w:pPr>
        <w:ind w:firstLine="560"/>
        <w:rPr>
          <w:rFonts w:cs="Times New Roman"/>
          <w:color w:val="auto"/>
        </w:rPr>
      </w:pPr>
      <w:r>
        <w:rPr>
          <w:rFonts w:hint="eastAsia" w:cs="Times New Roman"/>
          <w:color w:val="auto"/>
        </w:rPr>
        <w:t>见《调整河段的</w:t>
      </w:r>
      <w:r>
        <w:rPr>
          <w:rFonts w:cs="Times New Roman"/>
          <w:color w:val="auto"/>
        </w:rPr>
        <w:t>管理范围划定</w:t>
      </w:r>
      <w:bookmarkStart w:id="130" w:name="_Toc485828903"/>
      <w:bookmarkEnd w:id="130"/>
      <w:bookmarkStart w:id="131" w:name="_Toc486073147"/>
      <w:bookmarkEnd w:id="131"/>
      <w:r>
        <w:rPr>
          <w:rFonts w:hint="eastAsia" w:cs="Times New Roman"/>
          <w:color w:val="auto"/>
        </w:rPr>
        <w:t>成果图册》</w:t>
      </w:r>
    </w:p>
    <w:sectPr>
      <w:headerReference r:id="rId15" w:type="default"/>
      <w:footerReference r:id="rId16"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EFA37">
    <w:pPr>
      <w:pStyle w:val="19"/>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C1C5D">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15FF6">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1DDC5">
    <w:pPr>
      <w:pStyle w:val="19"/>
      <w:tabs>
        <w:tab w:val="clear" w:pos="8306"/>
      </w:tabs>
      <w:ind w:firstLine="0" w:firstLineChars="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2464C">
                          <w:pPr>
                            <w:pStyle w:val="19"/>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B12464C">
                    <w:pPr>
                      <w:pStyle w:val="1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64081">
    <w:pPr>
      <w:pStyle w:val="19"/>
      <w:tabs>
        <w:tab w:val="clear" w:pos="8306"/>
      </w:tabs>
      <w:ind w:firstLine="0" w:firstLineChars="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90A20">
                          <w:pPr>
                            <w:pStyle w:val="1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DF90A20">
                    <w:pPr>
                      <w:pStyle w:val="1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32786">
    <w:pPr>
      <w:pStyle w:val="19"/>
      <w:ind w:firstLine="0" w:firstLineChars="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51A07">
                          <w:pPr>
                            <w:pStyle w:val="1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0D51A07">
                    <w:pPr>
                      <w:pStyle w:val="1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8800E">
    <w:pPr>
      <w:pStyle w:val="20"/>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F8E52">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E9FB2">
    <w:pPr>
      <w:pStyle w:val="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5014B">
    <w:pPr>
      <w:pStyle w:val="20"/>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BBF4C">
    <w:pPr>
      <w:pStyle w:val="20"/>
      <w:pBdr>
        <w:bottom w:val="none" w:color="auto" w:sz="0" w:space="1"/>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D0D99">
    <w:pPr>
      <w:pStyle w:val="20"/>
      <w:pBdr>
        <w:bottom w:val="none" w:color="auto" w:sz="0" w:space="1"/>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A2F"/>
    <w:rsid w:val="000043D0"/>
    <w:rsid w:val="00007822"/>
    <w:rsid w:val="00011760"/>
    <w:rsid w:val="00013232"/>
    <w:rsid w:val="00046C2B"/>
    <w:rsid w:val="00054DDC"/>
    <w:rsid w:val="00057357"/>
    <w:rsid w:val="000728E0"/>
    <w:rsid w:val="0007319D"/>
    <w:rsid w:val="00080223"/>
    <w:rsid w:val="00086188"/>
    <w:rsid w:val="00091846"/>
    <w:rsid w:val="00094260"/>
    <w:rsid w:val="00094BC7"/>
    <w:rsid w:val="000A0A59"/>
    <w:rsid w:val="000A1344"/>
    <w:rsid w:val="000A5AEA"/>
    <w:rsid w:val="000B4C14"/>
    <w:rsid w:val="000D22D1"/>
    <w:rsid w:val="000E7947"/>
    <w:rsid w:val="000F4607"/>
    <w:rsid w:val="000F7B57"/>
    <w:rsid w:val="00103A46"/>
    <w:rsid w:val="0011003C"/>
    <w:rsid w:val="00117F1E"/>
    <w:rsid w:val="00120D86"/>
    <w:rsid w:val="00122C9D"/>
    <w:rsid w:val="00124E16"/>
    <w:rsid w:val="00131A2F"/>
    <w:rsid w:val="0013763F"/>
    <w:rsid w:val="001377D5"/>
    <w:rsid w:val="00153045"/>
    <w:rsid w:val="00153971"/>
    <w:rsid w:val="00155D91"/>
    <w:rsid w:val="001631BD"/>
    <w:rsid w:val="00172A27"/>
    <w:rsid w:val="001731D7"/>
    <w:rsid w:val="00181810"/>
    <w:rsid w:val="001958B9"/>
    <w:rsid w:val="001C4411"/>
    <w:rsid w:val="001D0E10"/>
    <w:rsid w:val="001D11D3"/>
    <w:rsid w:val="001D164B"/>
    <w:rsid w:val="001D4300"/>
    <w:rsid w:val="001D5D4B"/>
    <w:rsid w:val="0020420D"/>
    <w:rsid w:val="00223504"/>
    <w:rsid w:val="00231425"/>
    <w:rsid w:val="002344CD"/>
    <w:rsid w:val="002441EC"/>
    <w:rsid w:val="00246DDB"/>
    <w:rsid w:val="00255470"/>
    <w:rsid w:val="0026141D"/>
    <w:rsid w:val="002711B2"/>
    <w:rsid w:val="00273A16"/>
    <w:rsid w:val="002846DD"/>
    <w:rsid w:val="00295CD0"/>
    <w:rsid w:val="002A4264"/>
    <w:rsid w:val="002A72A3"/>
    <w:rsid w:val="002D0E2A"/>
    <w:rsid w:val="002D79E4"/>
    <w:rsid w:val="002E5308"/>
    <w:rsid w:val="00302319"/>
    <w:rsid w:val="00306759"/>
    <w:rsid w:val="00332DDF"/>
    <w:rsid w:val="00347792"/>
    <w:rsid w:val="003619AB"/>
    <w:rsid w:val="00363D00"/>
    <w:rsid w:val="00377F6C"/>
    <w:rsid w:val="003A768E"/>
    <w:rsid w:val="003A78D5"/>
    <w:rsid w:val="003C1F63"/>
    <w:rsid w:val="003C7F01"/>
    <w:rsid w:val="003D133C"/>
    <w:rsid w:val="003E3C54"/>
    <w:rsid w:val="0041180E"/>
    <w:rsid w:val="00422D4E"/>
    <w:rsid w:val="00431090"/>
    <w:rsid w:val="00440EFF"/>
    <w:rsid w:val="00445AE9"/>
    <w:rsid w:val="0044757C"/>
    <w:rsid w:val="004476A1"/>
    <w:rsid w:val="004847E1"/>
    <w:rsid w:val="00485F6A"/>
    <w:rsid w:val="00490146"/>
    <w:rsid w:val="004A534E"/>
    <w:rsid w:val="004B2F43"/>
    <w:rsid w:val="004B4716"/>
    <w:rsid w:val="004C2514"/>
    <w:rsid w:val="004F20A4"/>
    <w:rsid w:val="00510E1A"/>
    <w:rsid w:val="00511CDC"/>
    <w:rsid w:val="00521999"/>
    <w:rsid w:val="00526DD8"/>
    <w:rsid w:val="00543386"/>
    <w:rsid w:val="00560E55"/>
    <w:rsid w:val="00564445"/>
    <w:rsid w:val="00565053"/>
    <w:rsid w:val="005656B2"/>
    <w:rsid w:val="00583531"/>
    <w:rsid w:val="005947C6"/>
    <w:rsid w:val="00597414"/>
    <w:rsid w:val="005B354E"/>
    <w:rsid w:val="005D625A"/>
    <w:rsid w:val="005D6C8C"/>
    <w:rsid w:val="005E21AE"/>
    <w:rsid w:val="005E6B7C"/>
    <w:rsid w:val="0060153B"/>
    <w:rsid w:val="00613C26"/>
    <w:rsid w:val="006444BD"/>
    <w:rsid w:val="00647BB1"/>
    <w:rsid w:val="006521EA"/>
    <w:rsid w:val="00660024"/>
    <w:rsid w:val="00661B97"/>
    <w:rsid w:val="00661FEB"/>
    <w:rsid w:val="00667BED"/>
    <w:rsid w:val="006720E3"/>
    <w:rsid w:val="00687799"/>
    <w:rsid w:val="006A055F"/>
    <w:rsid w:val="006B4FF7"/>
    <w:rsid w:val="006C74F1"/>
    <w:rsid w:val="006D0331"/>
    <w:rsid w:val="006D51F5"/>
    <w:rsid w:val="006D5CE6"/>
    <w:rsid w:val="006E3DDD"/>
    <w:rsid w:val="006F295F"/>
    <w:rsid w:val="00704751"/>
    <w:rsid w:val="00706946"/>
    <w:rsid w:val="00742C00"/>
    <w:rsid w:val="007605CF"/>
    <w:rsid w:val="0076318D"/>
    <w:rsid w:val="00771B2C"/>
    <w:rsid w:val="0077371E"/>
    <w:rsid w:val="007835B6"/>
    <w:rsid w:val="007A21C9"/>
    <w:rsid w:val="007A243D"/>
    <w:rsid w:val="007A7899"/>
    <w:rsid w:val="007B0BEE"/>
    <w:rsid w:val="007B24E7"/>
    <w:rsid w:val="007B533E"/>
    <w:rsid w:val="007C0736"/>
    <w:rsid w:val="007C561C"/>
    <w:rsid w:val="007D4692"/>
    <w:rsid w:val="007D4D7B"/>
    <w:rsid w:val="007E017F"/>
    <w:rsid w:val="007E60D0"/>
    <w:rsid w:val="00801D42"/>
    <w:rsid w:val="00803925"/>
    <w:rsid w:val="008225EB"/>
    <w:rsid w:val="00826C3B"/>
    <w:rsid w:val="00830D2A"/>
    <w:rsid w:val="008410F7"/>
    <w:rsid w:val="008523A0"/>
    <w:rsid w:val="00861410"/>
    <w:rsid w:val="00876A79"/>
    <w:rsid w:val="00883E55"/>
    <w:rsid w:val="00884295"/>
    <w:rsid w:val="008925ED"/>
    <w:rsid w:val="008926CC"/>
    <w:rsid w:val="00892CB7"/>
    <w:rsid w:val="008A47ED"/>
    <w:rsid w:val="008A7B08"/>
    <w:rsid w:val="008A7D0B"/>
    <w:rsid w:val="008B10F1"/>
    <w:rsid w:val="008B53FF"/>
    <w:rsid w:val="008C266B"/>
    <w:rsid w:val="008D1482"/>
    <w:rsid w:val="008D2CEC"/>
    <w:rsid w:val="008D44AF"/>
    <w:rsid w:val="008D4A90"/>
    <w:rsid w:val="008D4BE8"/>
    <w:rsid w:val="008E25AD"/>
    <w:rsid w:val="008F31FB"/>
    <w:rsid w:val="00906F7D"/>
    <w:rsid w:val="00910335"/>
    <w:rsid w:val="0092001E"/>
    <w:rsid w:val="00924FB3"/>
    <w:rsid w:val="00932212"/>
    <w:rsid w:val="00941C02"/>
    <w:rsid w:val="00944C36"/>
    <w:rsid w:val="00957051"/>
    <w:rsid w:val="00960E5F"/>
    <w:rsid w:val="00961890"/>
    <w:rsid w:val="009672A8"/>
    <w:rsid w:val="00977E9F"/>
    <w:rsid w:val="00981704"/>
    <w:rsid w:val="00994FD6"/>
    <w:rsid w:val="009B21AD"/>
    <w:rsid w:val="009C0497"/>
    <w:rsid w:val="009C0BFC"/>
    <w:rsid w:val="009C22B6"/>
    <w:rsid w:val="009C34F5"/>
    <w:rsid w:val="009E23B4"/>
    <w:rsid w:val="009E43ED"/>
    <w:rsid w:val="00A145B9"/>
    <w:rsid w:val="00A16C04"/>
    <w:rsid w:val="00A21970"/>
    <w:rsid w:val="00A27263"/>
    <w:rsid w:val="00A41567"/>
    <w:rsid w:val="00A4194C"/>
    <w:rsid w:val="00A43D80"/>
    <w:rsid w:val="00A506A7"/>
    <w:rsid w:val="00A5100B"/>
    <w:rsid w:val="00A55AFC"/>
    <w:rsid w:val="00A5646C"/>
    <w:rsid w:val="00A67D50"/>
    <w:rsid w:val="00A742EA"/>
    <w:rsid w:val="00A80E66"/>
    <w:rsid w:val="00A8322B"/>
    <w:rsid w:val="00A85843"/>
    <w:rsid w:val="00A901AC"/>
    <w:rsid w:val="00A93FFB"/>
    <w:rsid w:val="00AA3A06"/>
    <w:rsid w:val="00AB5734"/>
    <w:rsid w:val="00AC181C"/>
    <w:rsid w:val="00AD2D13"/>
    <w:rsid w:val="00AD3F82"/>
    <w:rsid w:val="00AE1F39"/>
    <w:rsid w:val="00AE24EF"/>
    <w:rsid w:val="00AF4B95"/>
    <w:rsid w:val="00AF6620"/>
    <w:rsid w:val="00B1346C"/>
    <w:rsid w:val="00B3657B"/>
    <w:rsid w:val="00B44093"/>
    <w:rsid w:val="00B45352"/>
    <w:rsid w:val="00B4736F"/>
    <w:rsid w:val="00B60EA5"/>
    <w:rsid w:val="00B637BE"/>
    <w:rsid w:val="00B64A27"/>
    <w:rsid w:val="00B7422D"/>
    <w:rsid w:val="00B90907"/>
    <w:rsid w:val="00B91367"/>
    <w:rsid w:val="00B92181"/>
    <w:rsid w:val="00BB030D"/>
    <w:rsid w:val="00BC1BDB"/>
    <w:rsid w:val="00BE048C"/>
    <w:rsid w:val="00C02B25"/>
    <w:rsid w:val="00C13578"/>
    <w:rsid w:val="00C26802"/>
    <w:rsid w:val="00C30C08"/>
    <w:rsid w:val="00C3167F"/>
    <w:rsid w:val="00C44122"/>
    <w:rsid w:val="00C4658D"/>
    <w:rsid w:val="00C66141"/>
    <w:rsid w:val="00C778B4"/>
    <w:rsid w:val="00C84096"/>
    <w:rsid w:val="00C859EF"/>
    <w:rsid w:val="00CA1101"/>
    <w:rsid w:val="00CD4628"/>
    <w:rsid w:val="00CE2CC7"/>
    <w:rsid w:val="00CE60F6"/>
    <w:rsid w:val="00D005E7"/>
    <w:rsid w:val="00D0166D"/>
    <w:rsid w:val="00D105CB"/>
    <w:rsid w:val="00D20413"/>
    <w:rsid w:val="00D361D8"/>
    <w:rsid w:val="00D46427"/>
    <w:rsid w:val="00D515A2"/>
    <w:rsid w:val="00D5447B"/>
    <w:rsid w:val="00D720A4"/>
    <w:rsid w:val="00D75B24"/>
    <w:rsid w:val="00D9022F"/>
    <w:rsid w:val="00D95AE5"/>
    <w:rsid w:val="00DA3304"/>
    <w:rsid w:val="00DA6076"/>
    <w:rsid w:val="00DB0E35"/>
    <w:rsid w:val="00DB40B6"/>
    <w:rsid w:val="00DC51DC"/>
    <w:rsid w:val="00DC7EA1"/>
    <w:rsid w:val="00DD0539"/>
    <w:rsid w:val="00DD4486"/>
    <w:rsid w:val="00DF155E"/>
    <w:rsid w:val="00E10D05"/>
    <w:rsid w:val="00E142C7"/>
    <w:rsid w:val="00E15B42"/>
    <w:rsid w:val="00E2457E"/>
    <w:rsid w:val="00E24F76"/>
    <w:rsid w:val="00E26377"/>
    <w:rsid w:val="00E27604"/>
    <w:rsid w:val="00E523DC"/>
    <w:rsid w:val="00E72298"/>
    <w:rsid w:val="00E859D7"/>
    <w:rsid w:val="00EA63E0"/>
    <w:rsid w:val="00EA6D1C"/>
    <w:rsid w:val="00EC49B5"/>
    <w:rsid w:val="00ED2363"/>
    <w:rsid w:val="00ED73DD"/>
    <w:rsid w:val="00EE7EA6"/>
    <w:rsid w:val="00EF04E0"/>
    <w:rsid w:val="00EF1A66"/>
    <w:rsid w:val="00EF3D04"/>
    <w:rsid w:val="00F1732F"/>
    <w:rsid w:val="00F2077F"/>
    <w:rsid w:val="00F433B8"/>
    <w:rsid w:val="00F5095F"/>
    <w:rsid w:val="00F52E13"/>
    <w:rsid w:val="00F623FF"/>
    <w:rsid w:val="00F64F14"/>
    <w:rsid w:val="00F809E7"/>
    <w:rsid w:val="00FB13CB"/>
    <w:rsid w:val="00FB2F23"/>
    <w:rsid w:val="00FB47F3"/>
    <w:rsid w:val="00FB4AAA"/>
    <w:rsid w:val="00FC6193"/>
    <w:rsid w:val="00FF352F"/>
    <w:rsid w:val="00FF76BC"/>
    <w:rsid w:val="01042CD0"/>
    <w:rsid w:val="01337B3A"/>
    <w:rsid w:val="01C25065"/>
    <w:rsid w:val="01D375BB"/>
    <w:rsid w:val="01F1300F"/>
    <w:rsid w:val="02165FAF"/>
    <w:rsid w:val="0237612B"/>
    <w:rsid w:val="02566820"/>
    <w:rsid w:val="02D1729F"/>
    <w:rsid w:val="02DC07C0"/>
    <w:rsid w:val="030F3A93"/>
    <w:rsid w:val="04305FCA"/>
    <w:rsid w:val="04336B9F"/>
    <w:rsid w:val="046E7C74"/>
    <w:rsid w:val="05196A68"/>
    <w:rsid w:val="055819D5"/>
    <w:rsid w:val="05E208B4"/>
    <w:rsid w:val="06074E35"/>
    <w:rsid w:val="074B307F"/>
    <w:rsid w:val="075A1292"/>
    <w:rsid w:val="07814D68"/>
    <w:rsid w:val="07854B6B"/>
    <w:rsid w:val="078E34CB"/>
    <w:rsid w:val="08097EA6"/>
    <w:rsid w:val="0864481B"/>
    <w:rsid w:val="087534DC"/>
    <w:rsid w:val="08B5322E"/>
    <w:rsid w:val="094139BD"/>
    <w:rsid w:val="09E22697"/>
    <w:rsid w:val="0A691466"/>
    <w:rsid w:val="0A754011"/>
    <w:rsid w:val="0AB110A3"/>
    <w:rsid w:val="0AC57974"/>
    <w:rsid w:val="0AEA265C"/>
    <w:rsid w:val="0AF26342"/>
    <w:rsid w:val="0AF76439"/>
    <w:rsid w:val="0B3E7842"/>
    <w:rsid w:val="0B81012E"/>
    <w:rsid w:val="0BE61950"/>
    <w:rsid w:val="0C014E70"/>
    <w:rsid w:val="0C421505"/>
    <w:rsid w:val="0DEF3092"/>
    <w:rsid w:val="0EC07A7C"/>
    <w:rsid w:val="0EC1155D"/>
    <w:rsid w:val="0EC54049"/>
    <w:rsid w:val="0EF56359"/>
    <w:rsid w:val="0F4D4E16"/>
    <w:rsid w:val="0F81413D"/>
    <w:rsid w:val="0F941365"/>
    <w:rsid w:val="0FBC77EA"/>
    <w:rsid w:val="10440CA6"/>
    <w:rsid w:val="104A5C84"/>
    <w:rsid w:val="10BD419F"/>
    <w:rsid w:val="10CA7A92"/>
    <w:rsid w:val="10EA65AC"/>
    <w:rsid w:val="10F765C1"/>
    <w:rsid w:val="11207F21"/>
    <w:rsid w:val="114E421F"/>
    <w:rsid w:val="11A8779B"/>
    <w:rsid w:val="12071205"/>
    <w:rsid w:val="12433FC4"/>
    <w:rsid w:val="12800530"/>
    <w:rsid w:val="12810624"/>
    <w:rsid w:val="12E54A8E"/>
    <w:rsid w:val="12FA11B0"/>
    <w:rsid w:val="130F0A2A"/>
    <w:rsid w:val="13273D21"/>
    <w:rsid w:val="13557BCB"/>
    <w:rsid w:val="135E53DA"/>
    <w:rsid w:val="13B862C8"/>
    <w:rsid w:val="13E60D13"/>
    <w:rsid w:val="142B624D"/>
    <w:rsid w:val="143143AB"/>
    <w:rsid w:val="144B6867"/>
    <w:rsid w:val="15297246"/>
    <w:rsid w:val="15BA6B35"/>
    <w:rsid w:val="15BD1974"/>
    <w:rsid w:val="17B5021B"/>
    <w:rsid w:val="17C67C43"/>
    <w:rsid w:val="17EF522A"/>
    <w:rsid w:val="17F3380A"/>
    <w:rsid w:val="181A4756"/>
    <w:rsid w:val="189D6728"/>
    <w:rsid w:val="189F4E14"/>
    <w:rsid w:val="18A90E97"/>
    <w:rsid w:val="18D6514D"/>
    <w:rsid w:val="19690540"/>
    <w:rsid w:val="19DA5A86"/>
    <w:rsid w:val="1AC30A10"/>
    <w:rsid w:val="1B01412C"/>
    <w:rsid w:val="1B4062A3"/>
    <w:rsid w:val="1BAA33C2"/>
    <w:rsid w:val="1BC10C12"/>
    <w:rsid w:val="1C091A1E"/>
    <w:rsid w:val="1C0C5403"/>
    <w:rsid w:val="1C2C12F6"/>
    <w:rsid w:val="1C410ABC"/>
    <w:rsid w:val="1C5648D0"/>
    <w:rsid w:val="1D0C6A63"/>
    <w:rsid w:val="1D6D7E4F"/>
    <w:rsid w:val="1D814BA7"/>
    <w:rsid w:val="1E253396"/>
    <w:rsid w:val="1EE2069D"/>
    <w:rsid w:val="1F0D587D"/>
    <w:rsid w:val="1F2C38FB"/>
    <w:rsid w:val="1F556ED9"/>
    <w:rsid w:val="1FA407AE"/>
    <w:rsid w:val="1FAA60C4"/>
    <w:rsid w:val="1FB05589"/>
    <w:rsid w:val="2020322B"/>
    <w:rsid w:val="2024318D"/>
    <w:rsid w:val="206550E2"/>
    <w:rsid w:val="207F7646"/>
    <w:rsid w:val="212F207F"/>
    <w:rsid w:val="2177650D"/>
    <w:rsid w:val="218802BE"/>
    <w:rsid w:val="218B55ED"/>
    <w:rsid w:val="220E30DC"/>
    <w:rsid w:val="22324F62"/>
    <w:rsid w:val="227600E6"/>
    <w:rsid w:val="2353264B"/>
    <w:rsid w:val="23605C45"/>
    <w:rsid w:val="236106BA"/>
    <w:rsid w:val="237D6BE6"/>
    <w:rsid w:val="23C977C5"/>
    <w:rsid w:val="244454FD"/>
    <w:rsid w:val="24A80448"/>
    <w:rsid w:val="24DC2F6B"/>
    <w:rsid w:val="261B3491"/>
    <w:rsid w:val="27740D9E"/>
    <w:rsid w:val="27CE1FC1"/>
    <w:rsid w:val="27DB2345"/>
    <w:rsid w:val="28D91352"/>
    <w:rsid w:val="29680D73"/>
    <w:rsid w:val="298608B4"/>
    <w:rsid w:val="29873F07"/>
    <w:rsid w:val="29986528"/>
    <w:rsid w:val="29EC62B1"/>
    <w:rsid w:val="29ED3F49"/>
    <w:rsid w:val="2B122C21"/>
    <w:rsid w:val="2B603518"/>
    <w:rsid w:val="2B6A3605"/>
    <w:rsid w:val="2B853FEC"/>
    <w:rsid w:val="2B944FE2"/>
    <w:rsid w:val="2CDF33CF"/>
    <w:rsid w:val="2D600851"/>
    <w:rsid w:val="2DA467F1"/>
    <w:rsid w:val="2DE64CDC"/>
    <w:rsid w:val="2E00469C"/>
    <w:rsid w:val="2EB428EF"/>
    <w:rsid w:val="2EE70A19"/>
    <w:rsid w:val="2EFC7C91"/>
    <w:rsid w:val="2F633134"/>
    <w:rsid w:val="30B1123F"/>
    <w:rsid w:val="310F5AB8"/>
    <w:rsid w:val="311346E6"/>
    <w:rsid w:val="313717E8"/>
    <w:rsid w:val="316A69FC"/>
    <w:rsid w:val="316D0C97"/>
    <w:rsid w:val="31E75E3C"/>
    <w:rsid w:val="320F2B2D"/>
    <w:rsid w:val="323A3395"/>
    <w:rsid w:val="328E4552"/>
    <w:rsid w:val="329444E0"/>
    <w:rsid w:val="32D97378"/>
    <w:rsid w:val="333E1EEE"/>
    <w:rsid w:val="336C4143"/>
    <w:rsid w:val="339E0BDF"/>
    <w:rsid w:val="33B91574"/>
    <w:rsid w:val="33D06DEF"/>
    <w:rsid w:val="33D53BFA"/>
    <w:rsid w:val="340A493A"/>
    <w:rsid w:val="342F76F0"/>
    <w:rsid w:val="343C3BE2"/>
    <w:rsid w:val="347F5A95"/>
    <w:rsid w:val="34F0546A"/>
    <w:rsid w:val="34F52A5A"/>
    <w:rsid w:val="35004A6E"/>
    <w:rsid w:val="351075AB"/>
    <w:rsid w:val="35906A0A"/>
    <w:rsid w:val="35987A9C"/>
    <w:rsid w:val="35BD41E5"/>
    <w:rsid w:val="35FE1561"/>
    <w:rsid w:val="368E6AA1"/>
    <w:rsid w:val="37140FBC"/>
    <w:rsid w:val="37387627"/>
    <w:rsid w:val="3740319E"/>
    <w:rsid w:val="37403CE8"/>
    <w:rsid w:val="377F4CEC"/>
    <w:rsid w:val="37992E19"/>
    <w:rsid w:val="38DD43D4"/>
    <w:rsid w:val="39DD52FC"/>
    <w:rsid w:val="39E9692C"/>
    <w:rsid w:val="3A992100"/>
    <w:rsid w:val="3AA50AA5"/>
    <w:rsid w:val="3AF7304B"/>
    <w:rsid w:val="3B1140AF"/>
    <w:rsid w:val="3B385475"/>
    <w:rsid w:val="3B45224D"/>
    <w:rsid w:val="3BD12CBF"/>
    <w:rsid w:val="3BF746F2"/>
    <w:rsid w:val="3C124C2A"/>
    <w:rsid w:val="3C8D7A42"/>
    <w:rsid w:val="3C97048D"/>
    <w:rsid w:val="3D1209C7"/>
    <w:rsid w:val="3D151158"/>
    <w:rsid w:val="3D820C29"/>
    <w:rsid w:val="3DA02D7A"/>
    <w:rsid w:val="3DA53C4C"/>
    <w:rsid w:val="3DBF2584"/>
    <w:rsid w:val="3E053D8E"/>
    <w:rsid w:val="3EB971AD"/>
    <w:rsid w:val="3EC13793"/>
    <w:rsid w:val="3EE3009A"/>
    <w:rsid w:val="3F046DD0"/>
    <w:rsid w:val="3F4C7702"/>
    <w:rsid w:val="3F566811"/>
    <w:rsid w:val="3F8548C3"/>
    <w:rsid w:val="3FF27E43"/>
    <w:rsid w:val="40104C12"/>
    <w:rsid w:val="40C528DD"/>
    <w:rsid w:val="41155282"/>
    <w:rsid w:val="41AC4124"/>
    <w:rsid w:val="42101B11"/>
    <w:rsid w:val="4248304A"/>
    <w:rsid w:val="42E3216A"/>
    <w:rsid w:val="44D31C9D"/>
    <w:rsid w:val="45742080"/>
    <w:rsid w:val="46C077E1"/>
    <w:rsid w:val="471765CF"/>
    <w:rsid w:val="47246E4E"/>
    <w:rsid w:val="47854AC9"/>
    <w:rsid w:val="47EE3102"/>
    <w:rsid w:val="484F019F"/>
    <w:rsid w:val="492B486B"/>
    <w:rsid w:val="49683A09"/>
    <w:rsid w:val="49BA6960"/>
    <w:rsid w:val="49DC6C0C"/>
    <w:rsid w:val="49DE2551"/>
    <w:rsid w:val="4A6608FA"/>
    <w:rsid w:val="4B180E1F"/>
    <w:rsid w:val="4B305387"/>
    <w:rsid w:val="4B797B0F"/>
    <w:rsid w:val="4B816EB5"/>
    <w:rsid w:val="4C770EE0"/>
    <w:rsid w:val="4CC34DBA"/>
    <w:rsid w:val="4CD96940"/>
    <w:rsid w:val="4E125E21"/>
    <w:rsid w:val="4E1408A4"/>
    <w:rsid w:val="4E1E527B"/>
    <w:rsid w:val="4E791BD4"/>
    <w:rsid w:val="4EA410B4"/>
    <w:rsid w:val="4EA5735E"/>
    <w:rsid w:val="4EED756E"/>
    <w:rsid w:val="4F252B70"/>
    <w:rsid w:val="4FFD7F17"/>
    <w:rsid w:val="50272833"/>
    <w:rsid w:val="503B7EC6"/>
    <w:rsid w:val="506D7537"/>
    <w:rsid w:val="52132340"/>
    <w:rsid w:val="525A7F6F"/>
    <w:rsid w:val="53037679"/>
    <w:rsid w:val="53181010"/>
    <w:rsid w:val="532064EF"/>
    <w:rsid w:val="53267B08"/>
    <w:rsid w:val="54E547B8"/>
    <w:rsid w:val="55243C8C"/>
    <w:rsid w:val="5532258D"/>
    <w:rsid w:val="55D3606E"/>
    <w:rsid w:val="56127D7D"/>
    <w:rsid w:val="56293B75"/>
    <w:rsid w:val="56503B63"/>
    <w:rsid w:val="566E6F5B"/>
    <w:rsid w:val="570606C5"/>
    <w:rsid w:val="57B03A3E"/>
    <w:rsid w:val="586C623A"/>
    <w:rsid w:val="58B32F9F"/>
    <w:rsid w:val="58E10BDE"/>
    <w:rsid w:val="5910790A"/>
    <w:rsid w:val="593E6ABE"/>
    <w:rsid w:val="5988716F"/>
    <w:rsid w:val="59A83B01"/>
    <w:rsid w:val="5A102F99"/>
    <w:rsid w:val="5A1065EA"/>
    <w:rsid w:val="5A2B2E81"/>
    <w:rsid w:val="5A5C6C4E"/>
    <w:rsid w:val="5AF65D30"/>
    <w:rsid w:val="5B0322CC"/>
    <w:rsid w:val="5B0A1D31"/>
    <w:rsid w:val="5C121CA4"/>
    <w:rsid w:val="5C544627"/>
    <w:rsid w:val="5C9E352C"/>
    <w:rsid w:val="5CA00F1B"/>
    <w:rsid w:val="5CD10E2D"/>
    <w:rsid w:val="5CD27E93"/>
    <w:rsid w:val="5CE03CE7"/>
    <w:rsid w:val="5CEB0D5F"/>
    <w:rsid w:val="5D246BF6"/>
    <w:rsid w:val="5D78752E"/>
    <w:rsid w:val="5DC8147A"/>
    <w:rsid w:val="5E015742"/>
    <w:rsid w:val="5E666A2A"/>
    <w:rsid w:val="5E6D6B63"/>
    <w:rsid w:val="5ECC37CF"/>
    <w:rsid w:val="5F0670C3"/>
    <w:rsid w:val="5F087E97"/>
    <w:rsid w:val="5F3778B7"/>
    <w:rsid w:val="5F431980"/>
    <w:rsid w:val="5F655A44"/>
    <w:rsid w:val="5F931815"/>
    <w:rsid w:val="5FF72A52"/>
    <w:rsid w:val="6055615B"/>
    <w:rsid w:val="605F3E6F"/>
    <w:rsid w:val="60827446"/>
    <w:rsid w:val="608C17E7"/>
    <w:rsid w:val="60B6671C"/>
    <w:rsid w:val="60C75123"/>
    <w:rsid w:val="611428B1"/>
    <w:rsid w:val="61657C11"/>
    <w:rsid w:val="6184248C"/>
    <w:rsid w:val="61A86B67"/>
    <w:rsid w:val="62EB5C23"/>
    <w:rsid w:val="63B17725"/>
    <w:rsid w:val="63FE2A4B"/>
    <w:rsid w:val="64604482"/>
    <w:rsid w:val="65631422"/>
    <w:rsid w:val="65DA56FC"/>
    <w:rsid w:val="65E0016C"/>
    <w:rsid w:val="65F861BF"/>
    <w:rsid w:val="661A50E2"/>
    <w:rsid w:val="662E1F2F"/>
    <w:rsid w:val="66D2728C"/>
    <w:rsid w:val="671578AA"/>
    <w:rsid w:val="6717357A"/>
    <w:rsid w:val="67621403"/>
    <w:rsid w:val="67A61834"/>
    <w:rsid w:val="68004D43"/>
    <w:rsid w:val="687221BF"/>
    <w:rsid w:val="68782122"/>
    <w:rsid w:val="68C77CB4"/>
    <w:rsid w:val="691057E9"/>
    <w:rsid w:val="69743076"/>
    <w:rsid w:val="698631BF"/>
    <w:rsid w:val="69916154"/>
    <w:rsid w:val="699B0C46"/>
    <w:rsid w:val="6A6D5027"/>
    <w:rsid w:val="6AB3744C"/>
    <w:rsid w:val="6B7C00C5"/>
    <w:rsid w:val="6B8C68DE"/>
    <w:rsid w:val="6C43335D"/>
    <w:rsid w:val="6C61703B"/>
    <w:rsid w:val="6C643E28"/>
    <w:rsid w:val="6C7F08A6"/>
    <w:rsid w:val="6CE579F1"/>
    <w:rsid w:val="6D323B6A"/>
    <w:rsid w:val="6D7E6647"/>
    <w:rsid w:val="6D994B6E"/>
    <w:rsid w:val="6DA24B6A"/>
    <w:rsid w:val="6DA43B5E"/>
    <w:rsid w:val="6DD32C57"/>
    <w:rsid w:val="6E22598D"/>
    <w:rsid w:val="6E3B7848"/>
    <w:rsid w:val="6E5E6964"/>
    <w:rsid w:val="6E6D62A6"/>
    <w:rsid w:val="6EC66318"/>
    <w:rsid w:val="6EEB01CA"/>
    <w:rsid w:val="6FEE03AF"/>
    <w:rsid w:val="700F22EF"/>
    <w:rsid w:val="703508D9"/>
    <w:rsid w:val="70453BB5"/>
    <w:rsid w:val="709D4119"/>
    <w:rsid w:val="70A01FD4"/>
    <w:rsid w:val="7132127F"/>
    <w:rsid w:val="716A262A"/>
    <w:rsid w:val="717D3BDA"/>
    <w:rsid w:val="71B66B18"/>
    <w:rsid w:val="71F41B24"/>
    <w:rsid w:val="72033CAD"/>
    <w:rsid w:val="72850298"/>
    <w:rsid w:val="73837182"/>
    <w:rsid w:val="741F2185"/>
    <w:rsid w:val="74C85941"/>
    <w:rsid w:val="74DA13C4"/>
    <w:rsid w:val="75487E47"/>
    <w:rsid w:val="75CE5563"/>
    <w:rsid w:val="75D96AFB"/>
    <w:rsid w:val="75E377FE"/>
    <w:rsid w:val="75E438CB"/>
    <w:rsid w:val="76191423"/>
    <w:rsid w:val="762943F7"/>
    <w:rsid w:val="763B0553"/>
    <w:rsid w:val="76664090"/>
    <w:rsid w:val="76705698"/>
    <w:rsid w:val="76CE024B"/>
    <w:rsid w:val="77401A16"/>
    <w:rsid w:val="77B95F79"/>
    <w:rsid w:val="781252B3"/>
    <w:rsid w:val="78263FA6"/>
    <w:rsid w:val="78600C07"/>
    <w:rsid w:val="78CD57BE"/>
    <w:rsid w:val="793451C4"/>
    <w:rsid w:val="798A42B2"/>
    <w:rsid w:val="79C1071A"/>
    <w:rsid w:val="7A333A73"/>
    <w:rsid w:val="7A541B84"/>
    <w:rsid w:val="7A831561"/>
    <w:rsid w:val="7AD50460"/>
    <w:rsid w:val="7AF274E4"/>
    <w:rsid w:val="7B7A115B"/>
    <w:rsid w:val="7BDD18CD"/>
    <w:rsid w:val="7C072577"/>
    <w:rsid w:val="7C31485C"/>
    <w:rsid w:val="7C8069A1"/>
    <w:rsid w:val="7D1831D4"/>
    <w:rsid w:val="7D272678"/>
    <w:rsid w:val="7D460801"/>
    <w:rsid w:val="7E253637"/>
    <w:rsid w:val="7E3F6D77"/>
    <w:rsid w:val="7E583D1D"/>
    <w:rsid w:val="7EA15EBC"/>
    <w:rsid w:val="7EB1154A"/>
    <w:rsid w:val="7EBA0FF5"/>
    <w:rsid w:val="7EC565EC"/>
    <w:rsid w:val="7F256C8C"/>
    <w:rsid w:val="7F4044A1"/>
    <w:rsid w:val="7F516BAB"/>
    <w:rsid w:val="7F6D6F00"/>
    <w:rsid w:val="7F8636AA"/>
    <w:rsid w:val="7FF451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name="Body Text Indent 2"/>
    <w:lsdException w:uiPriority="99" w:name="Body Text Indent 3"/>
    <w:lsdException w:uiPriority="99" w:name="Block Text"/>
    <w:lsdException w:qFormat="1" w:uiPriority="99" w:semiHidden="0" w:name="Hyperlink"/>
    <w:lsdException w:qFormat="1" w:uiPriority="99" w:name="FollowedHyperlink"/>
    <w:lsdException w:unhideWhenUsed="0" w:uiPriority="22" w:semiHidden="0" w:name="Strong"/>
    <w:lsdException w:unhideWhenUsed="0" w:uiPriority="20" w:semiHidden="0" w:name="Emphasis"/>
    <w:lsdException w:qFormat="1"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5"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djustRightInd w:val="0"/>
      <w:snapToGrid w:val="0"/>
      <w:spacing w:line="360" w:lineRule="auto"/>
      <w:ind w:firstLine="200" w:firstLineChars="200"/>
      <w:jc w:val="both"/>
    </w:pPr>
    <w:rPr>
      <w:rFonts w:ascii="Times New Roman" w:hAnsi="Times New Roman" w:eastAsia="宋体" w:cstheme="minorBidi"/>
      <w:kern w:val="2"/>
      <w:sz w:val="28"/>
      <w:szCs w:val="21"/>
      <w:lang w:val="en-US" w:eastAsia="zh-CN" w:bidi="ar-SA"/>
    </w:rPr>
  </w:style>
  <w:style w:type="paragraph" w:styleId="3">
    <w:name w:val="heading 1"/>
    <w:next w:val="1"/>
    <w:link w:val="40"/>
    <w:qFormat/>
    <w:uiPriority w:val="0"/>
    <w:pPr>
      <w:keepNext/>
      <w:keepLines/>
      <w:adjustRightInd w:val="0"/>
      <w:snapToGrid w:val="0"/>
      <w:spacing w:before="50" w:beforeLines="50" w:after="50" w:afterLines="50"/>
      <w:outlineLvl w:val="0"/>
    </w:pPr>
    <w:rPr>
      <w:rFonts w:ascii="Times New Roman" w:hAnsi="Times New Roman" w:eastAsia="黑体" w:cs="Times New Roman"/>
      <w:b/>
      <w:bCs/>
      <w:kern w:val="44"/>
      <w:sz w:val="36"/>
      <w:szCs w:val="44"/>
      <w:lang w:val="en-US" w:eastAsia="zh-CN" w:bidi="ar-SA"/>
    </w:rPr>
  </w:style>
  <w:style w:type="paragraph" w:styleId="4">
    <w:name w:val="heading 2"/>
    <w:basedOn w:val="1"/>
    <w:next w:val="1"/>
    <w:link w:val="41"/>
    <w:unhideWhenUsed/>
    <w:qFormat/>
    <w:uiPriority w:val="0"/>
    <w:pPr>
      <w:keepNext/>
      <w:keepLines/>
      <w:spacing w:before="50" w:beforeLines="50" w:after="50" w:afterLines="50"/>
      <w:ind w:firstLine="0" w:firstLineChars="0"/>
      <w:jc w:val="left"/>
      <w:outlineLvl w:val="1"/>
    </w:pPr>
    <w:rPr>
      <w:rFonts w:eastAsia="黑体" w:cstheme="majorBidi"/>
      <w:b/>
      <w:bCs/>
      <w:sz w:val="30"/>
      <w:szCs w:val="32"/>
    </w:rPr>
  </w:style>
  <w:style w:type="paragraph" w:styleId="5">
    <w:name w:val="heading 3"/>
    <w:basedOn w:val="1"/>
    <w:next w:val="1"/>
    <w:link w:val="42"/>
    <w:unhideWhenUsed/>
    <w:qFormat/>
    <w:uiPriority w:val="0"/>
    <w:pPr>
      <w:keepNext/>
      <w:keepLines/>
      <w:spacing w:before="50" w:beforeLines="50" w:after="50" w:afterLines="50"/>
      <w:outlineLvl w:val="2"/>
    </w:pPr>
    <w:rPr>
      <w:rFonts w:cs="Times New Roman"/>
      <w:b/>
      <w:bCs/>
      <w:szCs w:val="32"/>
    </w:rPr>
  </w:style>
  <w:style w:type="paragraph" w:styleId="6">
    <w:name w:val="heading 4"/>
    <w:next w:val="1"/>
    <w:link w:val="43"/>
    <w:unhideWhenUsed/>
    <w:qFormat/>
    <w:uiPriority w:val="0"/>
    <w:pPr>
      <w:keepNext/>
      <w:keepLines/>
      <w:spacing w:before="50" w:beforeLines="50" w:after="50" w:afterLines="50"/>
      <w:outlineLvl w:val="3"/>
    </w:pPr>
    <w:rPr>
      <w:rFonts w:ascii="Times New Roman" w:hAnsi="Times New Roman" w:eastAsia="黑体" w:cstheme="majorBidi"/>
      <w:bCs/>
      <w:sz w:val="28"/>
      <w:szCs w:val="28"/>
      <w:lang w:val="en-US" w:eastAsia="zh-CN" w:bidi="ar-SA"/>
    </w:rPr>
  </w:style>
  <w:style w:type="paragraph" w:styleId="7">
    <w:name w:val="heading 5"/>
    <w:basedOn w:val="1"/>
    <w:next w:val="1"/>
    <w:link w:val="79"/>
    <w:unhideWhenUsed/>
    <w:qFormat/>
    <w:uiPriority w:val="9"/>
    <w:pPr>
      <w:keepNext/>
      <w:keepLines/>
      <w:spacing w:before="280" w:after="290" w:line="376" w:lineRule="auto"/>
      <w:outlineLvl w:val="4"/>
    </w:pPr>
    <w:rPr>
      <w:b/>
      <w:bCs/>
      <w:szCs w:val="28"/>
    </w:rPr>
  </w:style>
  <w:style w:type="paragraph" w:styleId="8">
    <w:name w:val="heading 6"/>
    <w:basedOn w:val="1"/>
    <w:next w:val="1"/>
    <w:link w:val="80"/>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31">
    <w:name w:val="Default Paragraph Font"/>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semiHidden/>
    <w:qFormat/>
    <w:uiPriority w:val="99"/>
    <w:pPr>
      <w:spacing w:line="480" w:lineRule="auto"/>
      <w:ind w:left="420" w:leftChars="200"/>
    </w:pPr>
  </w:style>
  <w:style w:type="paragraph" w:styleId="9">
    <w:name w:val="toc 7"/>
    <w:basedOn w:val="1"/>
    <w:next w:val="1"/>
    <w:unhideWhenUsed/>
    <w:qFormat/>
    <w:uiPriority w:val="39"/>
    <w:pPr>
      <w:adjustRightInd/>
      <w:snapToGrid/>
      <w:spacing w:line="240" w:lineRule="auto"/>
      <w:ind w:left="2520" w:leftChars="1200" w:firstLine="0" w:firstLineChars="0"/>
    </w:pPr>
    <w:rPr>
      <w:rFonts w:asciiTheme="minorHAnsi" w:hAnsiTheme="minorHAnsi" w:eastAsiaTheme="minorEastAsia"/>
      <w:sz w:val="21"/>
      <w:szCs w:val="22"/>
    </w:rPr>
  </w:style>
  <w:style w:type="paragraph" w:styleId="10">
    <w:name w:val="Document Map"/>
    <w:basedOn w:val="1"/>
    <w:link w:val="44"/>
    <w:semiHidden/>
    <w:unhideWhenUsed/>
    <w:qFormat/>
    <w:uiPriority w:val="99"/>
    <w:rPr>
      <w:rFonts w:ascii="宋体"/>
      <w:sz w:val="18"/>
      <w:szCs w:val="18"/>
    </w:rPr>
  </w:style>
  <w:style w:type="paragraph" w:styleId="11">
    <w:name w:val="toa heading"/>
    <w:basedOn w:val="1"/>
    <w:next w:val="1"/>
    <w:unhideWhenUsed/>
    <w:qFormat/>
    <w:uiPriority w:val="99"/>
    <w:pPr>
      <w:spacing w:before="120"/>
    </w:pPr>
    <w:rPr>
      <w:rFonts w:ascii="Calibri Light" w:hAnsi="Calibri Light" w:cs="Times New Roman"/>
      <w:sz w:val="24"/>
    </w:rPr>
  </w:style>
  <w:style w:type="paragraph" w:styleId="12">
    <w:name w:val="annotation text"/>
    <w:basedOn w:val="1"/>
    <w:semiHidden/>
    <w:unhideWhenUsed/>
    <w:qFormat/>
    <w:uiPriority w:val="99"/>
    <w:pPr>
      <w:jc w:val="left"/>
    </w:pPr>
  </w:style>
  <w:style w:type="paragraph" w:styleId="13">
    <w:name w:val="Body Text"/>
    <w:basedOn w:val="1"/>
    <w:link w:val="45"/>
    <w:semiHidden/>
    <w:unhideWhenUsed/>
    <w:qFormat/>
    <w:uiPriority w:val="99"/>
    <w:pPr>
      <w:spacing w:after="120"/>
    </w:pPr>
  </w:style>
  <w:style w:type="paragraph" w:styleId="14">
    <w:name w:val="toc 5"/>
    <w:basedOn w:val="1"/>
    <w:next w:val="1"/>
    <w:unhideWhenUsed/>
    <w:qFormat/>
    <w:uiPriority w:val="39"/>
    <w:pPr>
      <w:adjustRightInd/>
      <w:snapToGrid/>
      <w:spacing w:line="240" w:lineRule="auto"/>
      <w:ind w:left="1680" w:leftChars="800" w:firstLine="0" w:firstLineChars="0"/>
    </w:pPr>
    <w:rPr>
      <w:rFonts w:asciiTheme="minorHAnsi" w:hAnsiTheme="minorHAnsi" w:eastAsiaTheme="minorEastAsia"/>
      <w:sz w:val="21"/>
      <w:szCs w:val="22"/>
    </w:rPr>
  </w:style>
  <w:style w:type="paragraph" w:styleId="15">
    <w:name w:val="toc 3"/>
    <w:basedOn w:val="1"/>
    <w:next w:val="1"/>
    <w:unhideWhenUsed/>
    <w:qFormat/>
    <w:uiPriority w:val="39"/>
    <w:pPr>
      <w:ind w:left="840" w:leftChars="400"/>
    </w:pPr>
  </w:style>
  <w:style w:type="paragraph" w:styleId="16">
    <w:name w:val="Plain Text"/>
    <w:basedOn w:val="1"/>
    <w:link w:val="46"/>
    <w:unhideWhenUsed/>
    <w:qFormat/>
    <w:uiPriority w:val="99"/>
    <w:rPr>
      <w:rFonts w:ascii="宋体" w:hAnsi="Courier New"/>
    </w:rPr>
  </w:style>
  <w:style w:type="paragraph" w:styleId="17">
    <w:name w:val="toc 8"/>
    <w:basedOn w:val="1"/>
    <w:next w:val="1"/>
    <w:unhideWhenUsed/>
    <w:qFormat/>
    <w:uiPriority w:val="39"/>
    <w:pPr>
      <w:adjustRightInd/>
      <w:snapToGrid/>
      <w:spacing w:line="240" w:lineRule="auto"/>
      <w:ind w:left="2940" w:leftChars="1400" w:firstLine="0" w:firstLineChars="0"/>
    </w:pPr>
    <w:rPr>
      <w:rFonts w:asciiTheme="minorHAnsi" w:hAnsiTheme="minorHAnsi" w:eastAsiaTheme="minorEastAsia"/>
      <w:sz w:val="21"/>
      <w:szCs w:val="22"/>
    </w:rPr>
  </w:style>
  <w:style w:type="paragraph" w:styleId="18">
    <w:name w:val="Balloon Text"/>
    <w:basedOn w:val="1"/>
    <w:link w:val="47"/>
    <w:semiHidden/>
    <w:unhideWhenUsed/>
    <w:qFormat/>
    <w:uiPriority w:val="99"/>
    <w:pPr>
      <w:spacing w:line="240" w:lineRule="auto"/>
    </w:pPr>
    <w:rPr>
      <w:sz w:val="18"/>
      <w:szCs w:val="18"/>
    </w:rPr>
  </w:style>
  <w:style w:type="paragraph" w:styleId="19">
    <w:name w:val="footer"/>
    <w:basedOn w:val="1"/>
    <w:link w:val="48"/>
    <w:unhideWhenUsed/>
    <w:qFormat/>
    <w:uiPriority w:val="99"/>
    <w:pPr>
      <w:tabs>
        <w:tab w:val="center" w:pos="4153"/>
        <w:tab w:val="right" w:pos="8306"/>
      </w:tabs>
      <w:jc w:val="left"/>
    </w:pPr>
    <w:rPr>
      <w:sz w:val="18"/>
      <w:szCs w:val="18"/>
    </w:rPr>
  </w:style>
  <w:style w:type="paragraph" w:styleId="20">
    <w:name w:val="header"/>
    <w:basedOn w:val="1"/>
    <w:link w:val="49"/>
    <w:unhideWhenUsed/>
    <w:qFormat/>
    <w:uiPriority w:val="99"/>
    <w:pPr>
      <w:pBdr>
        <w:bottom w:val="single" w:color="auto" w:sz="6" w:space="1"/>
      </w:pBdr>
      <w:tabs>
        <w:tab w:val="center" w:pos="4153"/>
        <w:tab w:val="right" w:pos="8306"/>
      </w:tabs>
      <w:jc w:val="center"/>
    </w:pPr>
    <w:rPr>
      <w:sz w:val="18"/>
      <w:szCs w:val="18"/>
    </w:rPr>
  </w:style>
  <w:style w:type="paragraph" w:styleId="21">
    <w:name w:val="toc 1"/>
    <w:next w:val="1"/>
    <w:unhideWhenUsed/>
    <w:qFormat/>
    <w:uiPriority w:val="39"/>
    <w:rPr>
      <w:rFonts w:ascii="Times New Roman" w:hAnsi="Times New Roman" w:eastAsia="宋体" w:cs="Times New Roman"/>
      <w:sz w:val="28"/>
      <w:lang w:val="en-US" w:eastAsia="zh-CN" w:bidi="ar-SA"/>
    </w:rPr>
  </w:style>
  <w:style w:type="paragraph" w:styleId="22">
    <w:name w:val="toc 4"/>
    <w:basedOn w:val="1"/>
    <w:next w:val="1"/>
    <w:unhideWhenUsed/>
    <w:qFormat/>
    <w:uiPriority w:val="39"/>
    <w:pPr>
      <w:adjustRightInd/>
      <w:snapToGrid/>
      <w:spacing w:line="240" w:lineRule="auto"/>
      <w:ind w:left="1260" w:leftChars="600" w:firstLine="0" w:firstLineChars="0"/>
    </w:pPr>
    <w:rPr>
      <w:rFonts w:asciiTheme="minorHAnsi" w:hAnsiTheme="minorHAnsi" w:eastAsiaTheme="minorEastAsia"/>
      <w:sz w:val="21"/>
      <w:szCs w:val="22"/>
    </w:rPr>
  </w:style>
  <w:style w:type="paragraph" w:styleId="23">
    <w:name w:val="toc 6"/>
    <w:basedOn w:val="1"/>
    <w:next w:val="1"/>
    <w:unhideWhenUsed/>
    <w:qFormat/>
    <w:uiPriority w:val="39"/>
    <w:pPr>
      <w:adjustRightInd/>
      <w:snapToGrid/>
      <w:spacing w:line="240" w:lineRule="auto"/>
      <w:ind w:left="2100" w:leftChars="1000" w:firstLine="0" w:firstLineChars="0"/>
    </w:pPr>
    <w:rPr>
      <w:rFonts w:asciiTheme="minorHAnsi" w:hAnsiTheme="minorHAnsi" w:eastAsiaTheme="minorEastAsia"/>
      <w:sz w:val="21"/>
      <w:szCs w:val="22"/>
    </w:rPr>
  </w:style>
  <w:style w:type="paragraph" w:styleId="24">
    <w:name w:val="table of figures"/>
    <w:basedOn w:val="1"/>
    <w:next w:val="1"/>
    <w:semiHidden/>
    <w:unhideWhenUsed/>
    <w:qFormat/>
    <w:uiPriority w:val="99"/>
    <w:pPr>
      <w:ind w:left="200" w:leftChars="200" w:hanging="200" w:hangingChars="200"/>
    </w:pPr>
  </w:style>
  <w:style w:type="paragraph" w:styleId="25">
    <w:name w:val="toc 2"/>
    <w:basedOn w:val="1"/>
    <w:next w:val="1"/>
    <w:unhideWhenUsed/>
    <w:qFormat/>
    <w:uiPriority w:val="39"/>
    <w:pPr>
      <w:ind w:left="420" w:leftChars="200"/>
    </w:pPr>
  </w:style>
  <w:style w:type="paragraph" w:styleId="26">
    <w:name w:val="toc 9"/>
    <w:basedOn w:val="1"/>
    <w:next w:val="1"/>
    <w:unhideWhenUsed/>
    <w:qFormat/>
    <w:uiPriority w:val="39"/>
    <w:pPr>
      <w:adjustRightInd/>
      <w:snapToGrid/>
      <w:spacing w:line="240" w:lineRule="auto"/>
      <w:ind w:left="3360" w:leftChars="1600" w:firstLine="0" w:firstLineChars="0"/>
    </w:pPr>
    <w:rPr>
      <w:rFonts w:asciiTheme="minorHAnsi" w:hAnsiTheme="minorHAnsi" w:eastAsiaTheme="minorEastAsia"/>
      <w:sz w:val="21"/>
      <w:szCs w:val="22"/>
    </w:rPr>
  </w:style>
  <w:style w:type="paragraph" w:styleId="27">
    <w:name w:val="Normal (Web)"/>
    <w:basedOn w:val="1"/>
    <w:semiHidden/>
    <w:unhideWhenUsed/>
    <w:qFormat/>
    <w:uiPriority w:val="99"/>
    <w:pPr>
      <w:spacing w:beforeAutospacing="1" w:afterAutospacing="1"/>
      <w:jc w:val="left"/>
    </w:pPr>
    <w:rPr>
      <w:rFonts w:cs="Times New Roman"/>
      <w:kern w:val="0"/>
      <w:sz w:val="24"/>
    </w:rPr>
  </w:style>
  <w:style w:type="paragraph" w:styleId="28">
    <w:name w:val="Title"/>
    <w:link w:val="75"/>
    <w:qFormat/>
    <w:uiPriority w:val="10"/>
    <w:pPr>
      <w:spacing w:before="480" w:after="480" w:line="288" w:lineRule="auto"/>
    </w:pPr>
    <w:rPr>
      <w:rFonts w:ascii="Arial" w:hAnsi="Arial" w:eastAsia="等线" w:cs="Arial"/>
      <w:b/>
      <w:bCs/>
      <w:sz w:val="52"/>
      <w:szCs w:val="52"/>
      <w:lang w:val="en-US" w:eastAsia="zh-CN" w:bidi="ar-SA"/>
    </w:rPr>
  </w:style>
  <w:style w:type="table" w:styleId="30">
    <w:name w:val="Table Grid"/>
    <w:basedOn w:val="2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2">
    <w:name w:val="page number"/>
    <w:basedOn w:val="31"/>
    <w:qFormat/>
    <w:uiPriority w:val="0"/>
  </w:style>
  <w:style w:type="character" w:styleId="33">
    <w:name w:val="FollowedHyperlink"/>
    <w:basedOn w:val="31"/>
    <w:semiHidden/>
    <w:unhideWhenUsed/>
    <w:qFormat/>
    <w:uiPriority w:val="99"/>
    <w:rPr>
      <w:color w:val="800080"/>
      <w:u w:val="single"/>
    </w:rPr>
  </w:style>
  <w:style w:type="character" w:styleId="34">
    <w:name w:val="Hyperlink"/>
    <w:basedOn w:val="31"/>
    <w:unhideWhenUsed/>
    <w:qFormat/>
    <w:uiPriority w:val="99"/>
    <w:rPr>
      <w:color w:val="0000FF" w:themeColor="hyperlink"/>
      <w:u w:val="single"/>
      <w14:textFill>
        <w14:solidFill>
          <w14:schemeClr w14:val="hlink"/>
        </w14:solidFill>
      </w14:textFill>
    </w:rPr>
  </w:style>
  <w:style w:type="character" w:styleId="35">
    <w:name w:val="annotation reference"/>
    <w:basedOn w:val="31"/>
    <w:semiHidden/>
    <w:unhideWhenUsed/>
    <w:qFormat/>
    <w:uiPriority w:val="99"/>
    <w:rPr>
      <w:sz w:val="21"/>
      <w:szCs w:val="21"/>
    </w:rPr>
  </w:style>
  <w:style w:type="paragraph" w:customStyle="1" w:styleId="36">
    <w:name w:val="表名"/>
    <w:next w:val="16"/>
    <w:qFormat/>
    <w:uiPriority w:val="2"/>
    <w:pPr>
      <w:adjustRightInd w:val="0"/>
      <w:snapToGrid w:val="0"/>
      <w:spacing w:before="50" w:beforeLines="50" w:after="50" w:afterLines="50"/>
      <w:jc w:val="center"/>
    </w:pPr>
    <w:rPr>
      <w:rFonts w:ascii="Times New Roman" w:hAnsi="Times New Roman" w:eastAsia="黑体" w:cs="宋体"/>
      <w:bCs/>
      <w:color w:val="000000" w:themeColor="text1"/>
      <w:sz w:val="28"/>
      <w:szCs w:val="32"/>
      <w:lang w:val="en-US" w:eastAsia="zh-CN" w:bidi="ar-SA"/>
      <w14:textFill>
        <w14:solidFill>
          <w14:schemeClr w14:val="tx1"/>
        </w14:solidFill>
      </w14:textFill>
    </w:rPr>
  </w:style>
  <w:style w:type="paragraph" w:customStyle="1" w:styleId="37">
    <w:name w:val="表编号"/>
    <w:link w:val="38"/>
    <w:qFormat/>
    <w:uiPriority w:val="3"/>
    <w:pPr>
      <w:adjustRightInd w:val="0"/>
      <w:snapToGrid w:val="0"/>
      <w:spacing w:line="360" w:lineRule="auto"/>
      <w:ind w:firstLine="200" w:firstLineChars="200"/>
    </w:pPr>
    <w:rPr>
      <w:rFonts w:ascii="Times New Roman" w:hAnsi="Times New Roman" w:eastAsia="宋体" w:cstheme="minorBidi"/>
      <w:bCs/>
      <w:kern w:val="2"/>
      <w:sz w:val="24"/>
      <w:szCs w:val="32"/>
      <w:lang w:val="en-US" w:eastAsia="zh-CN" w:bidi="ar-SA"/>
    </w:rPr>
  </w:style>
  <w:style w:type="character" w:customStyle="1" w:styleId="38">
    <w:name w:val="表编号 Char"/>
    <w:basedOn w:val="31"/>
    <w:link w:val="37"/>
    <w:qFormat/>
    <w:uiPriority w:val="3"/>
    <w:rPr>
      <w:rFonts w:ascii="Times New Roman" w:hAnsi="Times New Roman" w:eastAsia="宋体"/>
      <w:bCs/>
      <w:sz w:val="24"/>
      <w:szCs w:val="32"/>
    </w:rPr>
  </w:style>
  <w:style w:type="paragraph" w:customStyle="1" w:styleId="39">
    <w:name w:val="表内容"/>
    <w:next w:val="1"/>
    <w:qFormat/>
    <w:uiPriority w:val="4"/>
    <w:pPr>
      <w:adjustRightInd w:val="0"/>
      <w:snapToGrid w:val="0"/>
      <w:spacing w:before="50" w:beforeLines="50"/>
      <w:jc w:val="center"/>
    </w:pPr>
    <w:rPr>
      <w:rFonts w:ascii="Times New Roman" w:hAnsi="Times New Roman" w:eastAsia="宋体" w:cs="Times New Roman"/>
      <w:iCs/>
      <w:sz w:val="21"/>
      <w:lang w:val="en-US" w:eastAsia="zh-CN" w:bidi="ar-SA"/>
    </w:rPr>
  </w:style>
  <w:style w:type="character" w:customStyle="1" w:styleId="40">
    <w:name w:val="标题 1 字符"/>
    <w:basedOn w:val="31"/>
    <w:link w:val="3"/>
    <w:qFormat/>
    <w:uiPriority w:val="0"/>
    <w:rPr>
      <w:rFonts w:ascii="Times New Roman" w:hAnsi="Times New Roman" w:eastAsia="黑体"/>
      <w:b/>
      <w:bCs/>
      <w:kern w:val="44"/>
      <w:sz w:val="36"/>
      <w:szCs w:val="44"/>
    </w:rPr>
  </w:style>
  <w:style w:type="character" w:customStyle="1" w:styleId="41">
    <w:name w:val="标题 2 字符"/>
    <w:basedOn w:val="31"/>
    <w:link w:val="4"/>
    <w:qFormat/>
    <w:uiPriority w:val="0"/>
    <w:rPr>
      <w:rFonts w:ascii="Times New Roman" w:hAnsi="Times New Roman" w:eastAsia="黑体" w:cstheme="majorBidi"/>
      <w:b/>
      <w:bCs/>
      <w:sz w:val="30"/>
      <w:szCs w:val="32"/>
    </w:rPr>
  </w:style>
  <w:style w:type="character" w:customStyle="1" w:styleId="42">
    <w:name w:val="标题 3 字符"/>
    <w:basedOn w:val="31"/>
    <w:link w:val="5"/>
    <w:qFormat/>
    <w:uiPriority w:val="0"/>
    <w:rPr>
      <w:rFonts w:ascii="Times New Roman" w:hAnsi="Times New Roman" w:eastAsia="宋体"/>
      <w:b/>
      <w:bCs/>
      <w:sz w:val="28"/>
      <w:szCs w:val="32"/>
    </w:rPr>
  </w:style>
  <w:style w:type="character" w:customStyle="1" w:styleId="43">
    <w:name w:val="标题 4 字符"/>
    <w:basedOn w:val="31"/>
    <w:link w:val="6"/>
    <w:qFormat/>
    <w:uiPriority w:val="0"/>
    <w:rPr>
      <w:rFonts w:ascii="Times New Roman" w:hAnsi="Times New Roman" w:eastAsia="黑体" w:cstheme="majorBidi"/>
      <w:bCs/>
      <w:sz w:val="28"/>
      <w:szCs w:val="28"/>
    </w:rPr>
  </w:style>
  <w:style w:type="character" w:customStyle="1" w:styleId="44">
    <w:name w:val="文档结构图 字符"/>
    <w:basedOn w:val="31"/>
    <w:link w:val="10"/>
    <w:semiHidden/>
    <w:qFormat/>
    <w:uiPriority w:val="99"/>
    <w:rPr>
      <w:rFonts w:ascii="宋体" w:eastAsia="宋体"/>
      <w:sz w:val="18"/>
      <w:szCs w:val="18"/>
    </w:rPr>
  </w:style>
  <w:style w:type="character" w:customStyle="1" w:styleId="45">
    <w:name w:val="正文文本 字符"/>
    <w:basedOn w:val="31"/>
    <w:link w:val="13"/>
    <w:semiHidden/>
    <w:qFormat/>
    <w:uiPriority w:val="99"/>
    <w:rPr>
      <w:rFonts w:ascii="Times New Roman" w:hAnsi="Times New Roman" w:eastAsia="华文中宋"/>
      <w:sz w:val="24"/>
    </w:rPr>
  </w:style>
  <w:style w:type="character" w:customStyle="1" w:styleId="46">
    <w:name w:val="纯文本 字符"/>
    <w:basedOn w:val="31"/>
    <w:link w:val="16"/>
    <w:qFormat/>
    <w:uiPriority w:val="99"/>
    <w:rPr>
      <w:rFonts w:ascii="宋体" w:hAnsi="Courier New" w:cstheme="minorBidi"/>
      <w:kern w:val="2"/>
      <w:sz w:val="28"/>
      <w:szCs w:val="21"/>
    </w:rPr>
  </w:style>
  <w:style w:type="character" w:customStyle="1" w:styleId="47">
    <w:name w:val="批注框文本 字符"/>
    <w:basedOn w:val="31"/>
    <w:link w:val="18"/>
    <w:semiHidden/>
    <w:qFormat/>
    <w:uiPriority w:val="99"/>
    <w:rPr>
      <w:rFonts w:cstheme="minorBidi"/>
      <w:kern w:val="2"/>
      <w:sz w:val="18"/>
      <w:szCs w:val="18"/>
    </w:rPr>
  </w:style>
  <w:style w:type="character" w:customStyle="1" w:styleId="48">
    <w:name w:val="页脚 字符"/>
    <w:basedOn w:val="31"/>
    <w:link w:val="19"/>
    <w:qFormat/>
    <w:uiPriority w:val="99"/>
    <w:rPr>
      <w:sz w:val="18"/>
      <w:szCs w:val="18"/>
    </w:rPr>
  </w:style>
  <w:style w:type="character" w:customStyle="1" w:styleId="49">
    <w:name w:val="页眉 字符"/>
    <w:basedOn w:val="31"/>
    <w:link w:val="20"/>
    <w:qFormat/>
    <w:uiPriority w:val="99"/>
    <w:rPr>
      <w:sz w:val="18"/>
      <w:szCs w:val="18"/>
    </w:rPr>
  </w:style>
  <w:style w:type="paragraph" w:styleId="50">
    <w:name w:val="No Spacing"/>
    <w:qFormat/>
    <w:uiPriority w:val="5"/>
    <w:pPr>
      <w:widowControl w:val="0"/>
      <w:ind w:firstLine="200" w:firstLineChars="200"/>
      <w:jc w:val="both"/>
    </w:pPr>
    <w:rPr>
      <w:rFonts w:eastAsia="华文中宋" w:asciiTheme="minorHAnsi" w:hAnsiTheme="minorHAnsi" w:cstheme="minorBidi"/>
      <w:kern w:val="2"/>
      <w:sz w:val="24"/>
      <w:szCs w:val="21"/>
      <w:lang w:val="en-US" w:eastAsia="zh-CN" w:bidi="ar-SA"/>
    </w:rPr>
  </w:style>
  <w:style w:type="paragraph" w:customStyle="1" w:styleId="51">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52">
    <w:name w:val="表格居中"/>
    <w:next w:val="1"/>
    <w:qFormat/>
    <w:uiPriority w:val="1"/>
    <w:pPr>
      <w:suppressAutoHyphens/>
      <w:kinsoku w:val="0"/>
      <w:topLinePunct/>
      <w:spacing w:before="50" w:beforeLines="50"/>
      <w:jc w:val="center"/>
      <w:textAlignment w:val="center"/>
    </w:pPr>
    <w:rPr>
      <w:rFonts w:ascii="Times New Roman" w:hAnsi="Times New Roman" w:eastAsia="宋体" w:cs="Times New Roman"/>
      <w:sz w:val="21"/>
      <w:szCs w:val="15"/>
      <w:lang w:val="en-US" w:eastAsia="zh-CN" w:bidi="ar-SA"/>
    </w:rPr>
  </w:style>
  <w:style w:type="character" w:customStyle="1" w:styleId="53">
    <w:name w:val="font01"/>
    <w:basedOn w:val="31"/>
    <w:qFormat/>
    <w:uiPriority w:val="0"/>
    <w:rPr>
      <w:rFonts w:hint="eastAsia" w:ascii="宋体" w:hAnsi="宋体" w:eastAsia="宋体" w:cs="宋体"/>
      <w:color w:val="000000"/>
      <w:sz w:val="22"/>
      <w:szCs w:val="22"/>
      <w:u w:val="none"/>
    </w:rPr>
  </w:style>
  <w:style w:type="character" w:customStyle="1" w:styleId="54">
    <w:name w:val="font101"/>
    <w:basedOn w:val="31"/>
    <w:qFormat/>
    <w:uiPriority w:val="0"/>
    <w:rPr>
      <w:rFonts w:hint="default" w:ascii="Times New Roman" w:hAnsi="Times New Roman" w:cs="Times New Roman"/>
      <w:color w:val="000000"/>
      <w:sz w:val="21"/>
      <w:szCs w:val="21"/>
      <w:u w:val="none"/>
    </w:rPr>
  </w:style>
  <w:style w:type="character" w:customStyle="1" w:styleId="55">
    <w:name w:val="font11"/>
    <w:basedOn w:val="31"/>
    <w:qFormat/>
    <w:uiPriority w:val="0"/>
    <w:rPr>
      <w:rFonts w:hint="eastAsia" w:ascii="宋体" w:hAnsi="宋体" w:eastAsia="宋体" w:cs="宋体"/>
      <w:color w:val="000000"/>
      <w:sz w:val="21"/>
      <w:szCs w:val="21"/>
      <w:u w:val="none"/>
    </w:rPr>
  </w:style>
  <w:style w:type="character" w:customStyle="1" w:styleId="56">
    <w:name w:val="font31"/>
    <w:basedOn w:val="31"/>
    <w:qFormat/>
    <w:uiPriority w:val="0"/>
    <w:rPr>
      <w:rFonts w:hint="default" w:ascii="Times New Roman" w:hAnsi="Times New Roman" w:cs="Times New Roman"/>
      <w:color w:val="000000"/>
      <w:sz w:val="21"/>
      <w:szCs w:val="21"/>
      <w:u w:val="none"/>
    </w:rPr>
  </w:style>
  <w:style w:type="character" w:customStyle="1" w:styleId="57">
    <w:name w:val="font61"/>
    <w:basedOn w:val="31"/>
    <w:qFormat/>
    <w:uiPriority w:val="0"/>
    <w:rPr>
      <w:rFonts w:hint="default" w:ascii="Times New Roman" w:hAnsi="Times New Roman" w:cs="Times New Roman"/>
      <w:color w:val="000000"/>
      <w:sz w:val="21"/>
      <w:szCs w:val="21"/>
      <w:u w:val="none"/>
    </w:rPr>
  </w:style>
  <w:style w:type="character" w:customStyle="1" w:styleId="58">
    <w:name w:val="font91"/>
    <w:basedOn w:val="31"/>
    <w:qFormat/>
    <w:uiPriority w:val="0"/>
    <w:rPr>
      <w:rFonts w:hint="default" w:ascii="Times New Roman" w:hAnsi="Times New Roman" w:cs="Times New Roman"/>
      <w:color w:val="000000"/>
      <w:sz w:val="21"/>
      <w:szCs w:val="21"/>
      <w:u w:val="none"/>
      <w:vertAlign w:val="superscript"/>
    </w:rPr>
  </w:style>
  <w:style w:type="character" w:customStyle="1" w:styleId="59">
    <w:name w:val="font71"/>
    <w:basedOn w:val="31"/>
    <w:qFormat/>
    <w:uiPriority w:val="0"/>
    <w:rPr>
      <w:rFonts w:hint="default" w:ascii="Times New Roman" w:hAnsi="Times New Roman" w:cs="Times New Roman"/>
      <w:color w:val="000000"/>
      <w:sz w:val="21"/>
      <w:szCs w:val="21"/>
      <w:u w:val="none"/>
    </w:rPr>
  </w:style>
  <w:style w:type="character" w:customStyle="1" w:styleId="60">
    <w:name w:val="font51"/>
    <w:basedOn w:val="31"/>
    <w:qFormat/>
    <w:uiPriority w:val="0"/>
    <w:rPr>
      <w:rFonts w:hint="default" w:ascii="Times New Roman" w:hAnsi="Times New Roman" w:cs="Times New Roman"/>
      <w:color w:val="000000"/>
      <w:sz w:val="21"/>
      <w:szCs w:val="21"/>
      <w:u w:val="none"/>
      <w:vertAlign w:val="superscript"/>
    </w:rPr>
  </w:style>
  <w:style w:type="character" w:customStyle="1" w:styleId="61">
    <w:name w:val="font41"/>
    <w:basedOn w:val="31"/>
    <w:qFormat/>
    <w:uiPriority w:val="0"/>
    <w:rPr>
      <w:rFonts w:hint="eastAsia" w:ascii="宋体" w:hAnsi="宋体" w:eastAsia="宋体" w:cs="宋体"/>
      <w:color w:val="000000"/>
      <w:sz w:val="22"/>
      <w:szCs w:val="22"/>
      <w:u w:val="none"/>
    </w:rPr>
  </w:style>
  <w:style w:type="paragraph" w:customStyle="1" w:styleId="62">
    <w:name w:val="msonormal"/>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63">
    <w:name w:val="font5"/>
    <w:basedOn w:val="1"/>
    <w:qFormat/>
    <w:uiPriority w:val="0"/>
    <w:pPr>
      <w:widowControl/>
      <w:adjustRightInd/>
      <w:snapToGrid/>
      <w:spacing w:before="100" w:beforeAutospacing="1" w:after="100" w:afterAutospacing="1" w:line="240" w:lineRule="auto"/>
      <w:ind w:firstLine="0" w:firstLineChars="0"/>
      <w:jc w:val="left"/>
    </w:pPr>
    <w:rPr>
      <w:rFonts w:cs="Times New Roman"/>
      <w:color w:val="000000"/>
      <w:kern w:val="0"/>
      <w:sz w:val="21"/>
    </w:rPr>
  </w:style>
  <w:style w:type="paragraph" w:customStyle="1" w:styleId="64">
    <w:name w:val="font6"/>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65">
    <w:name w:val="xl6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kern w:val="0"/>
      <w:sz w:val="21"/>
    </w:rPr>
  </w:style>
  <w:style w:type="paragraph" w:customStyle="1" w:styleId="66">
    <w:name w:val="xl6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cs="Times New Roman"/>
      <w:kern w:val="0"/>
      <w:sz w:val="21"/>
    </w:rPr>
  </w:style>
  <w:style w:type="paragraph" w:customStyle="1" w:styleId="67">
    <w:name w:val="xl6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1"/>
    </w:rPr>
  </w:style>
  <w:style w:type="paragraph" w:customStyle="1" w:styleId="68">
    <w:name w:val="xl6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1"/>
    </w:rPr>
  </w:style>
  <w:style w:type="paragraph" w:customStyle="1" w:styleId="69">
    <w:name w:val="xl6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kern w:val="0"/>
      <w:sz w:val="24"/>
      <w:szCs w:val="24"/>
    </w:rPr>
  </w:style>
  <w:style w:type="paragraph" w:customStyle="1" w:styleId="70">
    <w:name w:val="温泉正文"/>
    <w:basedOn w:val="1"/>
    <w:qFormat/>
    <w:uiPriority w:val="0"/>
    <w:pPr>
      <w:topLinePunct/>
    </w:pPr>
    <w:rPr>
      <w:sz w:val="24"/>
      <w:szCs w:val="22"/>
    </w:rPr>
  </w:style>
  <w:style w:type="character" w:customStyle="1" w:styleId="71">
    <w:name w:val="font81"/>
    <w:basedOn w:val="31"/>
    <w:qFormat/>
    <w:uiPriority w:val="0"/>
    <w:rPr>
      <w:rFonts w:hint="eastAsia" w:ascii="宋体" w:hAnsi="宋体" w:eastAsia="宋体" w:cs="宋体"/>
      <w:color w:val="000000"/>
      <w:sz w:val="21"/>
      <w:szCs w:val="21"/>
      <w:u w:val="none"/>
    </w:rPr>
  </w:style>
  <w:style w:type="character" w:customStyle="1" w:styleId="72">
    <w:name w:val="font21"/>
    <w:basedOn w:val="31"/>
    <w:qFormat/>
    <w:uiPriority w:val="0"/>
    <w:rPr>
      <w:rFonts w:hint="default" w:ascii="Times New Roman" w:hAnsi="Times New Roman" w:cs="Times New Roman"/>
      <w:color w:val="000000"/>
      <w:sz w:val="21"/>
      <w:szCs w:val="21"/>
      <w:u w:val="none"/>
    </w:rPr>
  </w:style>
  <w:style w:type="paragraph" w:customStyle="1" w:styleId="73">
    <w:name w:val="表内格式"/>
    <w:qFormat/>
    <w:uiPriority w:val="0"/>
    <w:pPr>
      <w:widowControl w:val="0"/>
      <w:spacing w:line="240" w:lineRule="atLeast"/>
      <w:jc w:val="center"/>
    </w:pPr>
    <w:rPr>
      <w:rFonts w:ascii="Times New Roman" w:hAnsi="Times New Roman" w:eastAsia="宋体" w:cs="Times New Roman"/>
      <w:kern w:val="2"/>
      <w:sz w:val="21"/>
      <w:szCs w:val="21"/>
      <w:lang w:val="en-US" w:eastAsia="zh-CN" w:bidi="ar-SA"/>
    </w:rPr>
  </w:style>
  <w:style w:type="paragraph" w:styleId="74">
    <w:name w:val="List Paragraph"/>
    <w:basedOn w:val="1"/>
    <w:qFormat/>
    <w:uiPriority w:val="99"/>
    <w:pPr>
      <w:ind w:firstLine="420"/>
    </w:pPr>
  </w:style>
  <w:style w:type="character" w:customStyle="1" w:styleId="75">
    <w:name w:val="标题 字符"/>
    <w:basedOn w:val="31"/>
    <w:link w:val="28"/>
    <w:qFormat/>
    <w:uiPriority w:val="10"/>
    <w:rPr>
      <w:rFonts w:ascii="Arial" w:hAnsi="Arial" w:eastAsia="等线" w:cs="Arial"/>
      <w:b/>
      <w:bCs/>
      <w:sz w:val="52"/>
      <w:szCs w:val="52"/>
    </w:rPr>
  </w:style>
  <w:style w:type="paragraph" w:customStyle="1" w:styleId="76">
    <w:name w:val="2"/>
    <w:qFormat/>
    <w:uiPriority w:val="0"/>
    <w:pPr>
      <w:spacing w:before="120" w:after="120" w:line="288" w:lineRule="auto"/>
    </w:pPr>
    <w:rPr>
      <w:rFonts w:ascii="Arial" w:hAnsi="Arial" w:eastAsia="等线" w:cs="Arial"/>
      <w:sz w:val="22"/>
      <w:szCs w:val="22"/>
      <w:lang w:val="en-US" w:eastAsia="zh-CN" w:bidi="ar-SA"/>
    </w:rPr>
  </w:style>
  <w:style w:type="paragraph" w:customStyle="1" w:styleId="77">
    <w:name w:val="1"/>
    <w:qFormat/>
    <w:uiPriority w:val="0"/>
    <w:pPr>
      <w:spacing w:before="120" w:after="120" w:line="288" w:lineRule="auto"/>
    </w:pPr>
    <w:rPr>
      <w:rFonts w:ascii="Arial" w:hAnsi="Arial" w:eastAsia="等线" w:cs="Arial"/>
      <w:color w:val="8F959E"/>
      <w:sz w:val="22"/>
      <w:szCs w:val="22"/>
      <w:lang w:val="en-US" w:eastAsia="zh-CN" w:bidi="ar-SA"/>
    </w:rPr>
  </w:style>
  <w:style w:type="paragraph" w:customStyle="1" w:styleId="78">
    <w:name w:val="表格样式"/>
    <w:basedOn w:val="1"/>
    <w:qFormat/>
    <w:uiPriority w:val="0"/>
    <w:pPr>
      <w:jc w:val="center"/>
    </w:pPr>
    <w:rPr>
      <w:color w:val="000000"/>
      <w:kern w:val="0"/>
    </w:rPr>
  </w:style>
  <w:style w:type="character" w:customStyle="1" w:styleId="79">
    <w:name w:val="标题 5 字符"/>
    <w:basedOn w:val="31"/>
    <w:link w:val="7"/>
    <w:qFormat/>
    <w:uiPriority w:val="9"/>
    <w:rPr>
      <w:rFonts w:cstheme="minorBidi"/>
      <w:b/>
      <w:bCs/>
      <w:kern w:val="2"/>
      <w:sz w:val="28"/>
      <w:szCs w:val="28"/>
    </w:rPr>
  </w:style>
  <w:style w:type="character" w:customStyle="1" w:styleId="80">
    <w:name w:val="标题 6 字符"/>
    <w:basedOn w:val="31"/>
    <w:link w:val="8"/>
    <w:qFormat/>
    <w:uiPriority w:val="9"/>
    <w:rPr>
      <w:rFonts w:asciiTheme="majorHAnsi" w:hAnsiTheme="majorHAnsi" w:eastAsiaTheme="majorEastAsia" w:cstheme="majorBidi"/>
      <w:b/>
      <w:bCs/>
      <w:kern w:val="2"/>
      <w:sz w:val="24"/>
      <w:szCs w:val="24"/>
    </w:rPr>
  </w:style>
  <w:style w:type="paragraph" w:customStyle="1" w:styleId="81">
    <w:name w:val="TOC Heading"/>
    <w:basedOn w:val="3"/>
    <w:next w:val="1"/>
    <w:unhideWhenUsed/>
    <w:qFormat/>
    <w:uiPriority w:val="39"/>
    <w:pPr>
      <w:adjustRightInd/>
      <w:snapToGrid/>
      <w:spacing w:before="240" w:beforeLines="0" w:after="0" w:afterLines="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chart" Target="charts/chart2.xml"/><Relationship Id="rId27" Type="http://schemas.openxmlformats.org/officeDocument/2006/relationships/image" Target="media/image9.wmf"/><Relationship Id="rId26" Type="http://schemas.openxmlformats.org/officeDocument/2006/relationships/image" Target="media/image8.wmf"/><Relationship Id="rId25" Type="http://schemas.openxmlformats.org/officeDocument/2006/relationships/image" Target="media/image7.wmf"/><Relationship Id="rId24" Type="http://schemas.openxmlformats.org/officeDocument/2006/relationships/image" Target="media/image6.wmf"/><Relationship Id="rId23" Type="http://schemas.openxmlformats.org/officeDocument/2006/relationships/image" Target="media/image5.wmf"/><Relationship Id="rId22" Type="http://schemas.openxmlformats.org/officeDocument/2006/relationships/image" Target="media/image4.wmf"/><Relationship Id="rId21" Type="http://schemas.openxmlformats.org/officeDocument/2006/relationships/chart" Target="charts/chart1.xml"/><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ZDC\8.0HST\&#30416;&#36793;&#23721;&#32650;&#27827;&#21010;&#30028;\1.1&#35774;&#35745;&#36807;&#31243;\000&#34892;&#27946;&#35745;&#31639;&#34920;&#26684;&#27719;&#24635;0825&#65288;&#23721;&#32650;&#27827;&#65289;.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ZDC\8.0HST\&#30416;&#36793;&#23721;&#32650;&#27827;&#21010;&#30028;\1.1&#35774;&#35745;&#36807;&#31243;\000&#34892;&#27946;&#35745;&#31639;&#34920;&#26684;&#27719;&#24635;0825&#65288;&#23721;&#32650;&#27827;&#6528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设计洪水过程线</a:t>
            </a:r>
          </a:p>
        </c:rich>
      </c:tx>
      <c:layout/>
      <c:overlay val="0"/>
      <c:spPr>
        <a:noFill/>
        <a:ln>
          <a:noFill/>
        </a:ln>
        <a:effectLst/>
      </c:spPr>
    </c:title>
    <c:autoTitleDeleted val="0"/>
    <c:plotArea>
      <c:layout/>
      <c:scatterChart>
        <c:scatterStyle val="smooth"/>
        <c:varyColors val="0"/>
        <c:ser>
          <c:idx val="0"/>
          <c:order val="0"/>
          <c:spPr>
            <a:ln w="19050" cap="rnd">
              <a:solidFill>
                <a:schemeClr val="accent1"/>
              </a:solidFill>
              <a:round/>
            </a:ln>
            <a:effectLst/>
          </c:spPr>
          <c:marker>
            <c:symbol val="none"/>
          </c:marker>
          <c:dLbls>
            <c:delete val="1"/>
          </c:dLbls>
          <c:xVal>
            <c:numRef>
              <c:f>'[000行洪计算表格汇总0825（岩羊河）.xls]设计洪水位计算表 (3)'!$T$175:$T$189</c:f>
              <c:numCache>
                <c:formatCode>General</c:formatCode>
                <c:ptCount val="15"/>
                <c:pt idx="0">
                  <c:v>0</c:v>
                </c:pt>
                <c:pt idx="1">
                  <c:v>0.9</c:v>
                </c:pt>
                <c:pt idx="2">
                  <c:v>1.17</c:v>
                </c:pt>
                <c:pt idx="3">
                  <c:v>1.61</c:v>
                </c:pt>
                <c:pt idx="4">
                  <c:v>2.06</c:v>
                </c:pt>
                <c:pt idx="5">
                  <c:v>2.51</c:v>
                </c:pt>
                <c:pt idx="6">
                  <c:v>2.96</c:v>
                </c:pt>
                <c:pt idx="7">
                  <c:v>3.23</c:v>
                </c:pt>
                <c:pt idx="8">
                  <c:v>3.59</c:v>
                </c:pt>
                <c:pt idx="9">
                  <c:v>4.4</c:v>
                </c:pt>
                <c:pt idx="10">
                  <c:v>5.38</c:v>
                </c:pt>
                <c:pt idx="11">
                  <c:v>7</c:v>
                </c:pt>
                <c:pt idx="12">
                  <c:v>9.6</c:v>
                </c:pt>
                <c:pt idx="13">
                  <c:v>16.15</c:v>
                </c:pt>
                <c:pt idx="14">
                  <c:v>23.33</c:v>
                </c:pt>
              </c:numCache>
            </c:numRef>
          </c:xVal>
          <c:yVal>
            <c:numRef>
              <c:f>'[000行洪计算表格汇总0825（岩羊河）.xls]设计洪水位计算表 (3)'!$U$175:$U$189</c:f>
              <c:numCache>
                <c:formatCode>General</c:formatCode>
                <c:ptCount val="15"/>
                <c:pt idx="0">
                  <c:v>5.67</c:v>
                </c:pt>
                <c:pt idx="1">
                  <c:v>25.62</c:v>
                </c:pt>
                <c:pt idx="2">
                  <c:v>45.57</c:v>
                </c:pt>
                <c:pt idx="3">
                  <c:v>85.47</c:v>
                </c:pt>
                <c:pt idx="4">
                  <c:v>165.28</c:v>
                </c:pt>
                <c:pt idx="5">
                  <c:v>245.09</c:v>
                </c:pt>
                <c:pt idx="6">
                  <c:v>324.9</c:v>
                </c:pt>
                <c:pt idx="7">
                  <c:v>384.75</c:v>
                </c:pt>
                <c:pt idx="8">
                  <c:v>399.04</c:v>
                </c:pt>
                <c:pt idx="9">
                  <c:v>384.75</c:v>
                </c:pt>
                <c:pt idx="10">
                  <c:v>324.9</c:v>
                </c:pt>
                <c:pt idx="11">
                  <c:v>245.09</c:v>
                </c:pt>
                <c:pt idx="12">
                  <c:v>165.28</c:v>
                </c:pt>
                <c:pt idx="13">
                  <c:v>85.47</c:v>
                </c:pt>
                <c:pt idx="14">
                  <c:v>45.57</c:v>
                </c:pt>
              </c:numCache>
            </c:numRef>
          </c:yVal>
          <c:smooth val="1"/>
        </c:ser>
        <c:dLbls>
          <c:showLegendKey val="0"/>
          <c:showVal val="0"/>
          <c:showCatName val="0"/>
          <c:showSerName val="0"/>
          <c:showPercent val="0"/>
          <c:showBubbleSize val="0"/>
        </c:dLbls>
        <c:axId val="441365333"/>
        <c:axId val="657646785"/>
      </c:scatterChart>
      <c:valAx>
        <c:axId val="441365333"/>
        <c:scaling>
          <c:orientation val="minMax"/>
        </c:scaling>
        <c:delete val="0"/>
        <c:axPos val="b"/>
        <c:majorGridlines>
          <c:spPr>
            <a:ln w="9525" cap="flat" cmpd="sng" algn="ctr">
              <a:solidFill>
                <a:schemeClr val="lt1">
                  <a:lumMod val="902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时间（</a:t>
                </a:r>
                <a:r>
                  <a:rPr lang="en-US" altLang="zh-CN"/>
                  <a:t>h</a:t>
                </a:r>
                <a:r>
                  <a:rPr altLang="en-US"/>
                  <a:t>）</a:t>
                </a:r>
                <a:endParaRPr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7646785"/>
        <c:crosses val="autoZero"/>
        <c:crossBetween val="midCat"/>
      </c:valAx>
      <c:valAx>
        <c:axId val="657646785"/>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流量（</a:t>
                </a:r>
                <a:r>
                  <a:rPr lang="en-US" altLang="zh-CN"/>
                  <a:t>m3/s</a:t>
                </a:r>
                <a:r>
                  <a:rPr altLang="en-US"/>
                  <a:t>）</a:t>
                </a:r>
                <a:endParaRPr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1365333"/>
        <c:crosses val="autoZero"/>
        <c:crossBetween val="midCat"/>
      </c:valAx>
      <c:spPr>
        <a:noFill/>
        <a:ln w="9525" cap="flat" cmpd="sng" algn="ctr">
          <a:solidFill>
            <a:schemeClr val="tx1">
              <a:lumMod val="15000"/>
              <a:lumOff val="85000"/>
            </a:schemeClr>
          </a:solidFill>
          <a:round/>
        </a:ln>
        <a:effectLst/>
      </c:spPr>
    </c:plotArea>
    <c:plotVisOnly val="1"/>
    <c:dispBlanksAs val="gap"/>
    <c:showDLblsOverMax val="0"/>
    <c:extLst>
      <c:ext uri="{0b15fc19-7d7d-44ad-8c2d-2c3a37ce22c3}">
        <chartProps xmlns="https://web.wps.cn/et/2018/main" chartId="{c7789919-889e-4d06-81f2-ff66f2c04da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US" altLang="zh-CN"/>
              <a:t>YYH-1</a:t>
            </a:r>
            <a:r>
              <a:t>断面水位流量关系曲线</a:t>
            </a:r>
          </a:p>
        </c:rich>
      </c:tx>
      <c:layout>
        <c:manualLayout>
          <c:xMode val="edge"/>
          <c:yMode val="edge"/>
          <c:x val="0.327555155335435"/>
          <c:y val="0.0221982426391244"/>
        </c:manualLayout>
      </c:layout>
      <c:overlay val="0"/>
      <c:spPr>
        <a:noFill/>
        <a:ln>
          <a:noFill/>
        </a:ln>
        <a:effectLst/>
      </c:spPr>
    </c:title>
    <c:autoTitleDeleted val="0"/>
    <c:plotArea>
      <c:layout/>
      <c:scatterChart>
        <c:scatterStyle val="smooth"/>
        <c:varyColors val="0"/>
        <c:ser>
          <c:idx val="0"/>
          <c:order val="0"/>
          <c:spPr>
            <a:ln w="19050" cap="rnd">
              <a:solidFill>
                <a:schemeClr val="accent1"/>
              </a:solidFill>
              <a:round/>
            </a:ln>
            <a:effectLst/>
          </c:spPr>
          <c:marker>
            <c:symbol val="none"/>
          </c:marker>
          <c:dLbls>
            <c:delete val="1"/>
          </c:dLbls>
          <c:xVal>
            <c:numRef>
              <c:f>'[000行洪计算表格汇总0825（岩羊河）.xls]控制断面计算(23强胜河)'!$P$27:$P$50</c:f>
              <c:numCache>
                <c:formatCode>0.00_ </c:formatCode>
                <c:ptCount val="24"/>
                <c:pt idx="0">
                  <c:v>0</c:v>
                </c:pt>
                <c:pt idx="1" c:formatCode="0.000_ ">
                  <c:v>0.108163557886081</c:v>
                </c:pt>
                <c:pt idx="2" c:formatCode="0.000_ ">
                  <c:v>0.418625750375709</c:v>
                </c:pt>
                <c:pt idx="3" c:formatCode="0.000_ ">
                  <c:v>0.946900451595233</c:v>
                </c:pt>
                <c:pt idx="4">
                  <c:v>1.79541889527234</c:v>
                </c:pt>
                <c:pt idx="5">
                  <c:v>3.03840370779888</c:v>
                </c:pt>
                <c:pt idx="6">
                  <c:v>4.76690119993098</c:v>
                </c:pt>
                <c:pt idx="7">
                  <c:v>6.27839459180364</c:v>
                </c:pt>
                <c:pt idx="8">
                  <c:v>9.48972375767261</c:v>
                </c:pt>
                <c:pt idx="9" c:formatCode="0.0_ ">
                  <c:v>14.0207879007131</c:v>
                </c:pt>
                <c:pt idx="10" c:formatCode="0.0_ ">
                  <c:v>20.0378159513477</c:v>
                </c:pt>
                <c:pt idx="11" c:formatCode="0.0_ ">
                  <c:v>26.7056134880898</c:v>
                </c:pt>
                <c:pt idx="12" c:formatCode="0.0_ ">
                  <c:v>34.4156278092249</c:v>
                </c:pt>
                <c:pt idx="13" c:formatCode="0.0_ ">
                  <c:v>42.5621364486267</c:v>
                </c:pt>
                <c:pt idx="14" c:formatCode="0.0_ ">
                  <c:v>55.1687417403534</c:v>
                </c:pt>
                <c:pt idx="15" c:formatCode="0.0_ ">
                  <c:v>74.7153965272803</c:v>
                </c:pt>
                <c:pt idx="16" c:formatCode="0_ ">
                  <c:v>104.428079425471</c:v>
                </c:pt>
                <c:pt idx="17" c:formatCode="0_ ">
                  <c:v>138.312996917573</c:v>
                </c:pt>
                <c:pt idx="18" c:formatCode="0_ ">
                  <c:v>176.199322480494</c:v>
                </c:pt>
                <c:pt idx="19" c:formatCode="0_ ">
                  <c:v>217.97218357245</c:v>
                </c:pt>
                <c:pt idx="20" c:formatCode="0_ ">
                  <c:v>263.627395597399</c:v>
                </c:pt>
                <c:pt idx="21" c:formatCode="0_ ">
                  <c:v>313.074635888528</c:v>
                </c:pt>
                <c:pt idx="22" c:formatCode="0_ ">
                  <c:v>366.332940795203</c:v>
                </c:pt>
                <c:pt idx="23" c:formatCode="0_ ">
                  <c:v>423.313997013912</c:v>
                </c:pt>
              </c:numCache>
            </c:numRef>
          </c:xVal>
          <c:yVal>
            <c:numRef>
              <c:f>'[000行洪计算表格汇总0825（岩羊河）.xls]控制断面计算(23强胜河)'!$O$27:$O$50</c:f>
              <c:numCache>
                <c:formatCode>0.00_ </c:formatCode>
                <c:ptCount val="24"/>
                <c:pt idx="0">
                  <c:v>1174.8</c:v>
                </c:pt>
                <c:pt idx="1">
                  <c:v>1175</c:v>
                </c:pt>
                <c:pt idx="2">
                  <c:v>1175.2</c:v>
                </c:pt>
                <c:pt idx="3">
                  <c:v>1175.4</c:v>
                </c:pt>
                <c:pt idx="4">
                  <c:v>1175.6</c:v>
                </c:pt>
                <c:pt idx="5">
                  <c:v>1175.8</c:v>
                </c:pt>
                <c:pt idx="6">
                  <c:v>1176</c:v>
                </c:pt>
                <c:pt idx="7">
                  <c:v>1176.2</c:v>
                </c:pt>
                <c:pt idx="8">
                  <c:v>1176.4</c:v>
                </c:pt>
                <c:pt idx="9">
                  <c:v>1176.6</c:v>
                </c:pt>
                <c:pt idx="10">
                  <c:v>1176.8</c:v>
                </c:pt>
                <c:pt idx="11">
                  <c:v>1177</c:v>
                </c:pt>
                <c:pt idx="12">
                  <c:v>1177.2</c:v>
                </c:pt>
                <c:pt idx="13">
                  <c:v>1177.4</c:v>
                </c:pt>
                <c:pt idx="14">
                  <c:v>1177.6</c:v>
                </c:pt>
                <c:pt idx="15">
                  <c:v>1177.8</c:v>
                </c:pt>
                <c:pt idx="16">
                  <c:v>1178</c:v>
                </c:pt>
                <c:pt idx="17">
                  <c:v>1178.2</c:v>
                </c:pt>
                <c:pt idx="18">
                  <c:v>1178.4</c:v>
                </c:pt>
                <c:pt idx="19">
                  <c:v>1178.6</c:v>
                </c:pt>
                <c:pt idx="20">
                  <c:v>1178.8</c:v>
                </c:pt>
                <c:pt idx="21">
                  <c:v>1179</c:v>
                </c:pt>
                <c:pt idx="22">
                  <c:v>1179.2</c:v>
                </c:pt>
                <c:pt idx="23">
                  <c:v>1179.4</c:v>
                </c:pt>
              </c:numCache>
            </c:numRef>
          </c:yVal>
          <c:smooth val="1"/>
        </c:ser>
        <c:dLbls>
          <c:showLegendKey val="0"/>
          <c:showVal val="0"/>
          <c:showCatName val="0"/>
          <c:showSerName val="0"/>
          <c:showPercent val="0"/>
          <c:showBubbleSize val="0"/>
        </c:dLbls>
        <c:axId val="723774049"/>
        <c:axId val="815218124"/>
      </c:scatterChart>
      <c:valAx>
        <c:axId val="723774049"/>
        <c:scaling>
          <c:orientation val="minMax"/>
        </c:scaling>
        <c:delete val="0"/>
        <c:axPos val="b"/>
        <c:majorGridlines>
          <c:spPr>
            <a:ln w="9525" cap="flat" cmpd="sng" algn="ctr">
              <a:solidFill>
                <a:schemeClr val="lt1">
                  <a:lumMod val="902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流量（m³/s）</a:t>
                </a:r>
              </a:p>
            </c:rich>
          </c:tx>
          <c:layout/>
          <c:overlay val="0"/>
          <c:spPr>
            <a:noFill/>
            <a:ln>
              <a:noFill/>
            </a:ln>
            <a:effectLst/>
          </c:spPr>
        </c:title>
        <c:numFmt formatCode="0_);[Red]\(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5218124"/>
        <c:crosses val="autoZero"/>
        <c:crossBetween val="midCat"/>
      </c:valAx>
      <c:valAx>
        <c:axId val="815218124"/>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水位（</a:t>
                </a:r>
                <a:r>
                  <a:rPr lang="en-US" altLang="zh-CN"/>
                  <a:t>m</a:t>
                </a:r>
                <a:r>
                  <a:rPr altLang="en-US"/>
                  <a:t>）</a:t>
                </a:r>
                <a:endParaRPr altLang="en-US"/>
              </a:p>
            </c:rich>
          </c:tx>
          <c:layout/>
          <c:overlay val="0"/>
          <c:spPr>
            <a:noFill/>
            <a:ln>
              <a:noFill/>
            </a:ln>
            <a:effectLst/>
          </c:spPr>
        </c:title>
        <c:numFmt formatCode="0.0_);[Red]\(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3774049"/>
        <c:crosses val="autoZero"/>
        <c:crossBetween val="midCat"/>
      </c:valAx>
      <c:spPr>
        <a:noFill/>
        <a:ln w="9525" cap="flat" cmpd="sng" algn="ctr">
          <a:solidFill>
            <a:schemeClr val="tx1">
              <a:lumMod val="15000"/>
              <a:lumOff val="85000"/>
            </a:schemeClr>
          </a:solidFill>
          <a:round/>
        </a:ln>
        <a:effectLst/>
      </c:spPr>
    </c:plotArea>
    <c:plotVisOnly val="1"/>
    <c:dispBlanksAs val="gap"/>
    <c:showDLblsOverMax val="0"/>
    <c:extLst>
      <c:ext uri="{0b15fc19-7d7d-44ad-8c2d-2c3a37ce22c3}">
        <chartProps xmlns="https://web.wps.cn/et/2018/main" chartId="{e0de65ab-a354-4cab-8309-34e18b3a26e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9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solidFill>
          <a:schemeClr val="phClr"/>
        </a:solid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9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solidFill>
          <a:schemeClr val="phClr"/>
        </a:solid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0BDB69-E172-4083-8BA0-FF1C4EE6DD43}">
  <ds:schemaRefs/>
</ds:datastoreItem>
</file>

<file path=docProps/app.xml><?xml version="1.0" encoding="utf-8"?>
<Properties xmlns="http://schemas.openxmlformats.org/officeDocument/2006/extended-properties" xmlns:vt="http://schemas.openxmlformats.org/officeDocument/2006/docPropsVTypes">
  <Template>Normal.dotm</Template>
  <Company>a</Company>
  <Pages>46</Pages>
  <Words>5192</Words>
  <Characters>5749</Characters>
  <Lines>174</Lines>
  <Paragraphs>49</Paragraphs>
  <TotalTime>78</TotalTime>
  <ScaleCrop>false</ScaleCrop>
  <LinksUpToDate>false</LinksUpToDate>
  <CharactersWithSpaces>6029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2012-05-16T07:52:00Z</dcterms:created>
  <dc:creator>a</dc:creator>
  <cp:lastModifiedBy>Owner</cp:lastModifiedBy>
  <cp:lastPrinted>2025-09-03T01:06:00Z</cp:lastPrinted>
  <dcterms:modified xsi:type="dcterms:W3CDTF">2025-09-29T09:30:01Z</dcterms:modified>
  <cp:revision>190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D356BEA57C784F3DA1A7DC39388A6DC1_13</vt:lpwstr>
  </property>
  <property fmtid="{D5CDD505-2E9C-101B-9397-08002B2CF9AE}" pid="4" name="KSOTemplateDocerSaveRecord">
    <vt:lpwstr>eyJoZGlkIjoiZDg0NDNiYTUxOWU4N2FhYTE5YTc3OTM5YzA0NWVjYWEiLCJ1c2VySWQiOiIxMzY3NTIyMzE2In0=</vt:lpwstr>
  </property>
</Properties>
</file>