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FB655">
      <w:pPr>
        <w:rPr>
          <w:rFonts w:hint="default" w:ascii="Times New Roman" w:hAnsi="Times New Roman" w:eastAsia="方正仿宋_GBK" w:cs="Times New Roman"/>
          <w:sz w:val="32"/>
          <w:szCs w:val="32"/>
        </w:rPr>
      </w:pPr>
      <w:bookmarkStart w:id="0" w:name="_GoBack"/>
      <w:bookmarkEnd w:id="0"/>
    </w:p>
    <w:p w14:paraId="2B9C07A8">
      <w:pPr>
        <w:rPr>
          <w:rFonts w:hint="default" w:ascii="Times New Roman" w:hAnsi="Times New Roman" w:eastAsia="方正仿宋_GBK" w:cs="Times New Roman"/>
          <w:sz w:val="32"/>
          <w:szCs w:val="32"/>
        </w:rPr>
      </w:pPr>
    </w:p>
    <w:p w14:paraId="04F92D87">
      <w:pPr>
        <w:pStyle w:val="2"/>
        <w:rPr>
          <w:rFonts w:hint="default" w:ascii="Times New Roman" w:hAnsi="Times New Roman" w:eastAsia="方正仿宋_GBK" w:cs="Times New Roman"/>
          <w:sz w:val="32"/>
          <w:szCs w:val="32"/>
        </w:rPr>
      </w:pPr>
    </w:p>
    <w:p w14:paraId="18621FEE">
      <w:pPr>
        <w:pStyle w:val="2"/>
        <w:rPr>
          <w:rFonts w:hint="default" w:ascii="Times New Roman" w:hAnsi="Times New Roman" w:eastAsia="方正仿宋_GBK" w:cs="Times New Roman"/>
          <w:sz w:val="32"/>
          <w:szCs w:val="32"/>
        </w:rPr>
      </w:pPr>
    </w:p>
    <w:p w14:paraId="44E1259A">
      <w:pPr>
        <w:pStyle w:val="2"/>
        <w:rPr>
          <w:rFonts w:hint="default" w:ascii="Times New Roman" w:hAnsi="Times New Roman" w:eastAsia="方正仿宋_GBK" w:cs="Times New Roman"/>
          <w:sz w:val="32"/>
          <w:szCs w:val="32"/>
        </w:rPr>
      </w:pPr>
    </w:p>
    <w:p w14:paraId="48E8BFC4">
      <w:pPr>
        <w:pStyle w:val="2"/>
        <w:rPr>
          <w:rFonts w:hint="default" w:ascii="Times New Roman" w:hAnsi="Times New Roman" w:eastAsia="方正仿宋_GBK" w:cs="Times New Roman"/>
          <w:sz w:val="32"/>
          <w:szCs w:val="32"/>
        </w:rPr>
      </w:pPr>
    </w:p>
    <w:p w14:paraId="376F2AD2">
      <w:pPr>
        <w:pStyle w:val="2"/>
        <w:rPr>
          <w:rFonts w:hint="default" w:ascii="Times New Roman" w:hAnsi="Times New Roman" w:eastAsia="方正仿宋_GBK" w:cs="Times New Roman"/>
          <w:sz w:val="32"/>
          <w:szCs w:val="32"/>
        </w:rPr>
      </w:pPr>
    </w:p>
    <w:p w14:paraId="381B9E55">
      <w:pPr>
        <w:widowControl/>
        <w:shd w:val="clear" w:color="auto" w:fill="FFFFFF"/>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盐边县国胜乡人民政府</w:t>
      </w:r>
    </w:p>
    <w:p w14:paraId="7D5DC576">
      <w:pPr>
        <w:widowControl/>
        <w:shd w:val="clear" w:color="auto" w:fill="FFFFFF"/>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2025年部门预算编制说明</w:t>
      </w:r>
    </w:p>
    <w:p w14:paraId="3DB283D7">
      <w:pPr>
        <w:pStyle w:val="2"/>
        <w:rPr>
          <w:rFonts w:hint="default" w:ascii="Times New Roman" w:hAnsi="Times New Roman" w:eastAsia="方正小标宋_GBK" w:cs="Times New Roman"/>
          <w:sz w:val="44"/>
          <w:szCs w:val="44"/>
        </w:rPr>
      </w:pPr>
    </w:p>
    <w:p w14:paraId="7200286A">
      <w:pPr>
        <w:pStyle w:val="2"/>
        <w:rPr>
          <w:rFonts w:hint="default" w:ascii="Times New Roman" w:hAnsi="Times New Roman" w:eastAsia="方正小标宋_GBK" w:cs="Times New Roman"/>
          <w:sz w:val="44"/>
          <w:szCs w:val="44"/>
        </w:rPr>
      </w:pPr>
    </w:p>
    <w:p w14:paraId="029EBF36">
      <w:pPr>
        <w:pStyle w:val="2"/>
        <w:rPr>
          <w:rFonts w:hint="default" w:ascii="Times New Roman" w:hAnsi="Times New Roman" w:eastAsia="方正小标宋_GBK" w:cs="Times New Roman"/>
          <w:sz w:val="44"/>
          <w:szCs w:val="44"/>
        </w:rPr>
      </w:pPr>
    </w:p>
    <w:p w14:paraId="6E5DEDD7">
      <w:pPr>
        <w:pStyle w:val="2"/>
        <w:rPr>
          <w:rFonts w:hint="default" w:ascii="Times New Roman" w:hAnsi="Times New Roman" w:eastAsia="方正小标宋_GBK" w:cs="Times New Roman"/>
          <w:sz w:val="44"/>
          <w:szCs w:val="44"/>
        </w:rPr>
      </w:pPr>
    </w:p>
    <w:p w14:paraId="657C9492">
      <w:pPr>
        <w:pStyle w:val="2"/>
        <w:rPr>
          <w:rFonts w:hint="default" w:ascii="Times New Roman" w:hAnsi="Times New Roman" w:eastAsia="方正小标宋_GBK" w:cs="Times New Roman"/>
          <w:sz w:val="44"/>
          <w:szCs w:val="44"/>
        </w:rPr>
      </w:pPr>
    </w:p>
    <w:p w14:paraId="2222D8D1">
      <w:pPr>
        <w:pStyle w:val="2"/>
        <w:rPr>
          <w:rFonts w:hint="default" w:ascii="Times New Roman" w:hAnsi="Times New Roman" w:eastAsia="方正小标宋_GBK" w:cs="Times New Roman"/>
          <w:sz w:val="44"/>
          <w:szCs w:val="44"/>
        </w:rPr>
      </w:pPr>
    </w:p>
    <w:p w14:paraId="45DAA429">
      <w:pPr>
        <w:rPr>
          <w:rFonts w:hint="default" w:ascii="Times New Roman" w:hAnsi="Times New Roman" w:eastAsia="方正仿宋_GBK" w:cs="Times New Roman"/>
          <w:sz w:val="32"/>
          <w:szCs w:val="32"/>
        </w:rPr>
      </w:pPr>
    </w:p>
    <w:p w14:paraId="0D81845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28D08CC6">
      <w:pPr>
        <w:widowControl/>
        <w:shd w:val="clear" w:color="auto" w:fill="FFFFFF"/>
        <w:spacing w:line="640" w:lineRule="exact"/>
        <w:jc w:val="center"/>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rPr>
        <w:t>目录</w:t>
      </w:r>
    </w:p>
    <w:p w14:paraId="7686F090">
      <w:pPr>
        <w:pStyle w:val="2"/>
        <w:rPr>
          <w:rFonts w:hint="default" w:ascii="Times New Roman" w:hAnsi="Times New Roman" w:cs="Times New Roman"/>
        </w:rPr>
      </w:pPr>
    </w:p>
    <w:p w14:paraId="0D187CFF">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一、基本职能及主要工作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（4）</w:t>
      </w:r>
    </w:p>
    <w:p w14:paraId="3BA7FF12">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（一）国胜乡政府职能简介</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eastAsia="zh-CN"/>
        </w:rPr>
        <w:t>）</w:t>
      </w:r>
    </w:p>
    <w:p w14:paraId="4D53DC35">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rPr>
        <w:t>（二）国胜乡政府2025年重点工作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eastAsia="zh-CN"/>
        </w:rPr>
        <w:t>）</w:t>
      </w:r>
    </w:p>
    <w:p w14:paraId="67EB7AFB">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二、机构设置情况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（9）</w:t>
      </w:r>
    </w:p>
    <w:p w14:paraId="2818933A">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三、收支预算情况说明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rPr>
        <w:t>）</w:t>
      </w:r>
    </w:p>
    <w:p w14:paraId="4D369E43">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rPr>
        <w:t>（一）收入预算情况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rPr>
        <w:t>）</w:t>
      </w:r>
    </w:p>
    <w:p w14:paraId="2ADECC11">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rPr>
        <w:t>（二）支出预算情况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（10）</w:t>
      </w:r>
    </w:p>
    <w:p w14:paraId="0D2785DC">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四、财政拨款收支预算情况说明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（10）</w:t>
      </w:r>
    </w:p>
    <w:p w14:paraId="6E98E136">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333333"/>
          <w:kern w:val="0"/>
          <w:sz w:val="32"/>
          <w:szCs w:val="32"/>
        </w:rPr>
        <w:t>五、</w:t>
      </w:r>
      <w:r>
        <w:rPr>
          <w:rFonts w:hint="default" w:ascii="Times New Roman" w:hAnsi="Times New Roman" w:eastAsia="方正仿宋_GBK" w:cs="Times New Roman"/>
          <w:b w:val="0"/>
          <w:bCs w:val="0"/>
          <w:color w:val="333333"/>
          <w:kern w:val="0"/>
          <w:sz w:val="32"/>
          <w:szCs w:val="32"/>
          <w:lang w:eastAsia="zh-CN"/>
        </w:rPr>
        <w:t>一般公共预算财政拨款</w:t>
      </w:r>
      <w:r>
        <w:rPr>
          <w:rFonts w:hint="default" w:ascii="Times New Roman" w:hAnsi="Times New Roman" w:eastAsia="方正仿宋_GBK" w:cs="Times New Roman"/>
          <w:b w:val="0"/>
          <w:bCs w:val="0"/>
          <w:color w:val="333333"/>
          <w:kern w:val="0"/>
          <w:sz w:val="32"/>
          <w:szCs w:val="32"/>
        </w:rPr>
        <w:t>情况说明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w:t>
      </w:r>
    </w:p>
    <w:p w14:paraId="68AAB717">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rPr>
        <w:t>（一）</w:t>
      </w:r>
      <w:r>
        <w:rPr>
          <w:rFonts w:hint="default" w:ascii="Times New Roman" w:hAnsi="Times New Roman" w:eastAsia="方正仿宋_GBK" w:cs="Times New Roman"/>
          <w:b w:val="0"/>
          <w:bCs w:val="0"/>
          <w:kern w:val="0"/>
          <w:sz w:val="32"/>
          <w:szCs w:val="32"/>
          <w:lang w:eastAsia="zh-CN"/>
        </w:rPr>
        <w:t>一般公共预算财政拨款</w:t>
      </w:r>
      <w:r>
        <w:rPr>
          <w:rFonts w:hint="default" w:ascii="Times New Roman" w:hAnsi="Times New Roman" w:eastAsia="方正仿宋_GBK" w:cs="Times New Roman"/>
          <w:b w:val="0"/>
          <w:bCs w:val="0"/>
          <w:kern w:val="0"/>
          <w:sz w:val="32"/>
          <w:szCs w:val="32"/>
        </w:rPr>
        <w:t>规模变化情况</w:t>
      </w:r>
      <w:r>
        <w:rPr>
          <w:rFonts w:hint="default"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w:t>
      </w:r>
    </w:p>
    <w:p w14:paraId="622F6C65">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rPr>
        <w:t>（二）</w:t>
      </w:r>
      <w:r>
        <w:rPr>
          <w:rFonts w:hint="default" w:ascii="Times New Roman" w:hAnsi="Times New Roman" w:eastAsia="方正仿宋_GBK" w:cs="Times New Roman"/>
          <w:b w:val="0"/>
          <w:bCs w:val="0"/>
          <w:kern w:val="0"/>
          <w:sz w:val="32"/>
          <w:szCs w:val="32"/>
          <w:lang w:eastAsia="zh-CN"/>
        </w:rPr>
        <w:t>一般公共预算财政拨款</w:t>
      </w:r>
      <w:r>
        <w:rPr>
          <w:rFonts w:hint="default" w:ascii="Times New Roman" w:hAnsi="Times New Roman" w:eastAsia="方正仿宋_GBK" w:cs="Times New Roman"/>
          <w:b w:val="0"/>
          <w:bCs w:val="0"/>
          <w:kern w:val="0"/>
          <w:sz w:val="32"/>
          <w:szCs w:val="32"/>
        </w:rPr>
        <w:t>结构情况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w:t>
      </w:r>
    </w:p>
    <w:p w14:paraId="60505A61">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rPr>
        <w:t>（三）</w:t>
      </w:r>
      <w:r>
        <w:rPr>
          <w:rFonts w:hint="default" w:ascii="Times New Roman" w:hAnsi="Times New Roman" w:eastAsia="方正仿宋_GBK" w:cs="Times New Roman"/>
          <w:b w:val="0"/>
          <w:bCs w:val="0"/>
          <w:kern w:val="0"/>
          <w:sz w:val="32"/>
          <w:szCs w:val="32"/>
          <w:lang w:eastAsia="zh-CN"/>
        </w:rPr>
        <w:t>一般公共预算财政拨款</w:t>
      </w:r>
      <w:r>
        <w:rPr>
          <w:rFonts w:hint="default" w:ascii="Times New Roman" w:hAnsi="Times New Roman" w:eastAsia="方正仿宋_GBK" w:cs="Times New Roman"/>
          <w:b w:val="0"/>
          <w:bCs w:val="0"/>
          <w:kern w:val="0"/>
          <w:sz w:val="32"/>
          <w:szCs w:val="32"/>
        </w:rPr>
        <w:t>具体使用情况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（11）</w:t>
      </w:r>
    </w:p>
    <w:p w14:paraId="53BA93B5">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333333"/>
          <w:kern w:val="0"/>
          <w:sz w:val="32"/>
          <w:szCs w:val="32"/>
        </w:rPr>
        <w:t>六、一般公共预算基本支出情况说明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w:t>
      </w:r>
    </w:p>
    <w:p w14:paraId="53819A28">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七、“三公”经费财政拨款预算安排情况说明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w:t>
      </w:r>
    </w:p>
    <w:p w14:paraId="7FFF96C5">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rPr>
        <w:t>（一）因公出国（境）经费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w:t>
      </w:r>
    </w:p>
    <w:p w14:paraId="278642FC">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rPr>
        <w:t>（二）公务接待费</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w:t>
      </w:r>
    </w:p>
    <w:p w14:paraId="1C1EA474">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rPr>
        <w:t>（三）公务用车购置及运行维护费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w:t>
      </w:r>
    </w:p>
    <w:p w14:paraId="45390B10">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八、政府性基金预算支出情况说明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w:t>
      </w:r>
    </w:p>
    <w:p w14:paraId="0CBFBFEC">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333333"/>
          <w:kern w:val="0"/>
          <w:sz w:val="32"/>
          <w:szCs w:val="32"/>
        </w:rPr>
        <w:t>九、国有资本经营预算情况说明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w:t>
      </w:r>
    </w:p>
    <w:p w14:paraId="527F81B6">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十、其他重要事项的情况说明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w:t>
      </w:r>
    </w:p>
    <w:p w14:paraId="62D85CB1">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kern w:val="0"/>
          <w:sz w:val="32"/>
          <w:szCs w:val="32"/>
        </w:rPr>
        <w:t>（一）机关运行经费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w:t>
      </w:r>
    </w:p>
    <w:p w14:paraId="27A17DC0">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二</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政府采购情况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w:t>
      </w:r>
    </w:p>
    <w:p w14:paraId="64BAC44F">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rPr>
        <w:t>（三）国有资产占有使用情况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w:t>
      </w:r>
    </w:p>
    <w:p w14:paraId="21EEFB43">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kern w:val="0"/>
          <w:sz w:val="32"/>
          <w:szCs w:val="32"/>
        </w:rPr>
        <w:t>（四）预算绩效情况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w:t>
      </w:r>
    </w:p>
    <w:p w14:paraId="4A2B0F13">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十一、名词解释</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w:t>
      </w:r>
    </w:p>
    <w:p w14:paraId="3A2B6784">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333333"/>
          <w:kern w:val="0"/>
          <w:sz w:val="32"/>
          <w:szCs w:val="32"/>
        </w:rPr>
        <w:t>附件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24</w:t>
      </w:r>
      <w:r>
        <w:rPr>
          <w:rFonts w:hint="default" w:ascii="Times New Roman" w:hAnsi="Times New Roman" w:eastAsia="方正仿宋_GBK" w:cs="Times New Roman"/>
          <w:b w:val="0"/>
          <w:bCs w:val="0"/>
          <w:sz w:val="32"/>
          <w:szCs w:val="32"/>
        </w:rPr>
        <w:t>）</w:t>
      </w:r>
    </w:p>
    <w:p w14:paraId="292DC0C1">
      <w:pPr>
        <w:jc w:val="left"/>
        <w:rPr>
          <w:rFonts w:hint="default" w:ascii="Times New Roman" w:hAnsi="Times New Roman" w:eastAsia="方正仿宋_GBK" w:cs="Times New Roman"/>
          <w:sz w:val="32"/>
          <w:szCs w:val="32"/>
        </w:rPr>
      </w:pPr>
    </w:p>
    <w:p w14:paraId="11784993">
      <w:pPr>
        <w:rPr>
          <w:rFonts w:hint="default" w:ascii="Times New Roman" w:hAnsi="Times New Roman" w:eastAsia="方正仿宋_GBK" w:cs="Times New Roman"/>
          <w:sz w:val="32"/>
          <w:szCs w:val="32"/>
        </w:rPr>
      </w:pPr>
    </w:p>
    <w:p w14:paraId="007432E6">
      <w:pPr>
        <w:rPr>
          <w:rFonts w:hint="default" w:ascii="Times New Roman" w:hAnsi="Times New Roman" w:eastAsia="方正仿宋_GBK" w:cs="Times New Roman"/>
          <w:sz w:val="32"/>
          <w:szCs w:val="32"/>
        </w:rPr>
      </w:pPr>
    </w:p>
    <w:p w14:paraId="51345DA3">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4D190E6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盐边县国胜乡第十九届人民代表大会第八次会议批准的国胜乡2025年本级财政预算，2025年8月12日国胜乡政府批复了2025年国胜乡部门预算，并对2025年部门预算公开作了明确要求。现按照《中华人民共和国预算法》和《中华人民共和国预算法实施条例</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相关规定，将我乡2025年部门预算编制说明如下</w:t>
      </w:r>
      <w:r>
        <w:rPr>
          <w:rFonts w:hint="default" w:ascii="Times New Roman" w:hAnsi="Times New Roman" w:eastAsia="方正仿宋_GBK" w:cs="Times New Roman"/>
          <w:sz w:val="32"/>
          <w:szCs w:val="32"/>
          <w:lang w:eastAsia="zh-CN"/>
        </w:rPr>
        <w:t>。</w:t>
      </w:r>
    </w:p>
    <w:p w14:paraId="08A0E6F0">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一、基本职能及主要工作</w:t>
      </w:r>
    </w:p>
    <w:p w14:paraId="3311D845">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（一）国胜乡</w:t>
      </w:r>
      <w:r>
        <w:rPr>
          <w:rFonts w:hint="default" w:ascii="Times New Roman" w:hAnsi="Times New Roman" w:eastAsia="方正楷体_GBK" w:cs="Times New Roman"/>
          <w:b/>
          <w:bCs/>
          <w:sz w:val="32"/>
          <w:szCs w:val="32"/>
          <w:lang w:eastAsia="zh-CN"/>
        </w:rPr>
        <w:t>政府</w:t>
      </w:r>
      <w:r>
        <w:rPr>
          <w:rFonts w:hint="default" w:ascii="Times New Roman" w:hAnsi="Times New Roman" w:eastAsia="方正楷体_GBK" w:cs="Times New Roman"/>
          <w:b/>
          <w:bCs/>
          <w:sz w:val="32"/>
          <w:szCs w:val="32"/>
        </w:rPr>
        <w:t>职能简介</w:t>
      </w:r>
    </w:p>
    <w:p w14:paraId="55E47B7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国胜乡党政机构具有党委和政府两种职能，党委领导政府工作。主要是政治思想和方针政策的领导，干部的选拔，考核和监督，经济和行政工作中重大问题的决策</w:t>
      </w:r>
      <w:r>
        <w:rPr>
          <w:rFonts w:hint="default" w:ascii="Times New Roman" w:hAnsi="Times New Roman" w:eastAsia="方正仿宋_GBK" w:cs="Times New Roman"/>
          <w:sz w:val="32"/>
          <w:szCs w:val="32"/>
          <w:lang w:eastAsia="zh-CN"/>
        </w:rPr>
        <w:t>机构</w:t>
      </w:r>
      <w:r>
        <w:rPr>
          <w:rFonts w:hint="default" w:ascii="Times New Roman" w:hAnsi="Times New Roman" w:eastAsia="方正仿宋_GBK" w:cs="Times New Roman"/>
          <w:sz w:val="32"/>
          <w:szCs w:val="32"/>
        </w:rPr>
        <w:t>。乡政府是基层国家行政机关，行使本行政区的行政职能。</w:t>
      </w:r>
    </w:p>
    <w:p w14:paraId="6B775808">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1.</w:t>
      </w:r>
      <w:r>
        <w:rPr>
          <w:rFonts w:hint="default" w:ascii="Times New Roman" w:hAnsi="Times New Roman" w:eastAsia="方正仿宋_GBK" w:cs="Times New Roman"/>
          <w:b/>
          <w:bCs/>
          <w:sz w:val="32"/>
          <w:szCs w:val="32"/>
        </w:rPr>
        <w:t>党委工作职责</w:t>
      </w:r>
    </w:p>
    <w:p w14:paraId="44DE0E3F">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（1）保证党的路线、方针、政策的坚决贯彻执行。</w:t>
      </w:r>
    </w:p>
    <w:p w14:paraId="57CCF4B3">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（2）保证监督职能。</w:t>
      </w:r>
    </w:p>
    <w:p w14:paraId="3B1E7A7A">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（3）教育和管理职能。</w:t>
      </w:r>
    </w:p>
    <w:p w14:paraId="028D93C1">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（4）服从和服务于经济建设的职能。</w:t>
      </w:r>
    </w:p>
    <w:p w14:paraId="3CE08DA2">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（5）负责抓好本镇党建工作、群团工作、精神文明建设工作、新闻宣传工作。</w:t>
      </w:r>
    </w:p>
    <w:p w14:paraId="20F4BA1F">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（6）完成县委、县政府交给的其他工作任务。</w:t>
      </w:r>
    </w:p>
    <w:p w14:paraId="6873F8D5">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2.</w:t>
      </w:r>
      <w:r>
        <w:rPr>
          <w:rFonts w:hint="default" w:ascii="Times New Roman" w:hAnsi="Times New Roman" w:eastAsia="方正仿宋_GBK" w:cs="Times New Roman"/>
          <w:b/>
          <w:bCs/>
          <w:sz w:val="32"/>
          <w:szCs w:val="32"/>
        </w:rPr>
        <w:t>政府职能</w:t>
      </w:r>
    </w:p>
    <w:p w14:paraId="4B0D655F">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14:paraId="6C0390A6">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（2）制定并组织实施村（社区）建设规划，部署重点工程建设，地方道路建设及公共设施，水利设施的管理，负责土地、林木、水等自然资源和</w:t>
      </w:r>
      <w:r>
        <w:rPr>
          <w:rFonts w:hint="default" w:ascii="Times New Roman" w:hAnsi="Times New Roman" w:eastAsia="方正仿宋_GBK" w:cs="Times New Roman"/>
          <w:sz w:val="32"/>
          <w:szCs w:val="32"/>
          <w:lang w:eastAsia="zh-CN"/>
        </w:rPr>
        <w:t>生态环境保护</w:t>
      </w:r>
      <w:r>
        <w:rPr>
          <w:rFonts w:hint="default" w:ascii="Times New Roman" w:hAnsi="Times New Roman" w:eastAsia="方正仿宋_GBK" w:cs="Times New Roman"/>
          <w:sz w:val="32"/>
          <w:szCs w:val="32"/>
        </w:rPr>
        <w:t>，做好护林防火工作。</w:t>
      </w:r>
    </w:p>
    <w:p w14:paraId="4B6B6EF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14:paraId="63F0403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（4）按计划组织本级财政收入和地方税的征收，完成国家财政计划，不断培植税源，管好财政资金，增强财政实力。</w:t>
      </w:r>
    </w:p>
    <w:p w14:paraId="317F2E24">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（5）抓好精神文明建设，丰富群众文化生活，提倡移风易俗，反对封建迷信，破除陈规陋习，树立社会主义新风尚。</w:t>
      </w:r>
    </w:p>
    <w:p w14:paraId="0810160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（6）完成上级政府交办的其他事项。</w:t>
      </w:r>
    </w:p>
    <w:p w14:paraId="393E610D">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（二）国胜乡政府2025年重点工作</w:t>
      </w:r>
    </w:p>
    <w:p w14:paraId="18C7BF6F">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1.</w:t>
      </w:r>
      <w:r>
        <w:rPr>
          <w:rFonts w:hint="default" w:ascii="Times New Roman" w:hAnsi="Times New Roman" w:eastAsia="方正仿宋_GBK" w:cs="Times New Roman"/>
          <w:b/>
          <w:bCs/>
          <w:sz w:val="32"/>
          <w:szCs w:val="32"/>
        </w:rPr>
        <w:t>着力释放项目投资潜能，不断巩固经济向好态势。</w:t>
      </w:r>
    </w:p>
    <w:p w14:paraId="0F9CCDC3">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夯实项目支撑基础，确保各项工程稳步推进。紧密围绕国胜“柏林山生态经济发展片区”</w:t>
      </w:r>
      <w:r>
        <w:rPr>
          <w:rFonts w:hint="default" w:ascii="Times New Roman" w:hAnsi="Times New Roman" w:eastAsia="方正仿宋_GBK" w:cs="Times New Roman"/>
          <w:sz w:val="32"/>
          <w:szCs w:val="32"/>
          <w:lang w:eastAsia="zh-CN"/>
        </w:rPr>
        <w:t>这一</w:t>
      </w:r>
      <w:r>
        <w:rPr>
          <w:rFonts w:hint="default" w:ascii="Times New Roman" w:hAnsi="Times New Roman" w:eastAsia="方正仿宋_GBK" w:cs="Times New Roman"/>
          <w:sz w:val="32"/>
          <w:szCs w:val="32"/>
        </w:rPr>
        <w:t>中心乡镇的战略定位，持续贯彻落实重点项目专班推进机制，进一步强化项目的跟踪管理和服务保障工作。具体措施包括开工建设面积为500亩的数字茶园，全面启动4200亩水肥药一体化茶园的标准改造工程，改扩建面积为2200平方米的精制茶标准化车间，全力推进大毕村美丽乡村建设项目的实施，着力打造和提升省级优势特色产业的乡镇项目，夯实区域经济发展的坚实基础。紧抓政策机遇，充分利用各项扶持政策。全力争取并高效使用专项债券资金，聚焦“两重”（重点领域和重大项目）和“两新”（新基建和新产业）领域，系统性地推进项目的谋划和储备工作。通过精准滴灌的方式，集中资源支持重大项目的建设，推动城乡冷链物流设施建设、集镇改造工程、大毕村美丽乡村建设项目等一系列工程的落地实施。通过这些项目的建设，旨在打造一批具有基础性、长远性影响的重大项目，为区域经济的持续健康发展奠定坚实基础。</w:t>
      </w:r>
    </w:p>
    <w:p w14:paraId="5D538AA4">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2.</w:t>
      </w:r>
      <w:r>
        <w:rPr>
          <w:rFonts w:hint="default" w:ascii="Times New Roman" w:hAnsi="Times New Roman" w:eastAsia="方正仿宋_GBK" w:cs="Times New Roman"/>
          <w:b/>
          <w:bCs/>
          <w:sz w:val="32"/>
          <w:szCs w:val="32"/>
        </w:rPr>
        <w:t>激活农业项目建设动能，筑牢乡村振兴发展根基。</w:t>
      </w:r>
    </w:p>
    <w:p w14:paraId="4C422B5F">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守住农业基础盘。夯实粮食安全根基，扛起粮食安全的政治责任，认真落实“田长制”，坚决遏制</w:t>
      </w:r>
      <w:r>
        <w:rPr>
          <w:rFonts w:hint="default" w:ascii="Times New Roman" w:hAnsi="Times New Roman" w:eastAsia="方正仿宋_GBK" w:cs="Times New Roman"/>
          <w:sz w:val="32"/>
          <w:szCs w:val="32"/>
          <w:lang w:eastAsia="zh-CN"/>
        </w:rPr>
        <w:t>耕地“非农化”</w:t>
      </w:r>
      <w:r>
        <w:rPr>
          <w:rFonts w:hint="default" w:ascii="Times New Roman" w:hAnsi="Times New Roman" w:eastAsia="方正仿宋_GBK" w:cs="Times New Roman"/>
          <w:sz w:val="32"/>
          <w:szCs w:val="32"/>
        </w:rPr>
        <w:t>、非粮化，持续“三品一标”攻坚，抓好“米袋子”“菜篮子”工程，依托优质稻谷资源，助力打造北部优质稻米品牌。构建现代农业体系。加快实施高标准农田建设、水库整治、河道治理等农田水利基础设施建设，围绕晚熟芒果、优质蚕桑、绿色蔬菜、生态养殖等主导产业，促进农产品稳产增产。发挥地标优势做强特色农业。发展壮大国胜茶产业园区，推进茶叶的提质增效，切实将生产优势转为产业优势，品质优势转为效益优势，致力于茶叶采摘精细化发展；持续打响“国胜茶”品牌、做强茶产业、做特茶文化，增强国胜农旅融合“茶叶园•共富笮坊”辨识度。推广桑树冬管技术，提升桑椹品质，开拓“一村一品”工作思路，大力扶持特色种植、特色养殖、特色食品等产业，实现国胜经济高质量多元发展。</w:t>
      </w:r>
    </w:p>
    <w:p w14:paraId="65417F63">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3.</w:t>
      </w:r>
      <w:r>
        <w:rPr>
          <w:rFonts w:hint="default" w:ascii="Times New Roman" w:hAnsi="Times New Roman" w:eastAsia="方正仿宋_GBK" w:cs="Times New Roman"/>
          <w:b/>
          <w:bCs/>
          <w:sz w:val="32"/>
          <w:szCs w:val="32"/>
        </w:rPr>
        <w:t>拓展民生工程覆盖广度，提升群众生活幸福质感。</w:t>
      </w:r>
    </w:p>
    <w:p w14:paraId="0DE143E3">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持续优化公共服务。全面提升基础设施建设和公共服务水平。加大教育投入，全面提升教育教学质量，办好人民满意的教育。支持乡卫生院升级发展，提升基层医疗卫生服务能力；严格落实稳就业各项措施，全心全意全力办好年度重点民生实事，让群众笑容更多、心里更暖。稳步提高社会保障</w:t>
      </w:r>
      <w:r>
        <w:rPr>
          <w:rFonts w:hint="default" w:ascii="Times New Roman" w:hAnsi="Times New Roman" w:eastAsia="方正仿宋_GBK" w:cs="Times New Roman"/>
          <w:sz w:val="32"/>
          <w:szCs w:val="32"/>
          <w:lang w:eastAsia="zh-CN"/>
        </w:rPr>
        <w:t>水平。</w:t>
      </w:r>
      <w:r>
        <w:rPr>
          <w:rFonts w:hint="default" w:ascii="Times New Roman" w:hAnsi="Times New Roman" w:eastAsia="方正仿宋_GBK" w:cs="Times New Roman"/>
          <w:sz w:val="32"/>
          <w:szCs w:val="32"/>
        </w:rPr>
        <w:t>持续巩固拓展脱贫攻坚成果，确保不发生规模性返贫致贫</w:t>
      </w:r>
      <w:r>
        <w:rPr>
          <w:rFonts w:hint="default" w:ascii="Times New Roman" w:hAnsi="Times New Roman" w:eastAsia="方正仿宋_GBK" w:cs="Times New Roman"/>
          <w:sz w:val="32"/>
          <w:szCs w:val="32"/>
          <w:lang w:eastAsia="zh-CN"/>
        </w:rPr>
        <w:t>问题。</w:t>
      </w:r>
      <w:r>
        <w:rPr>
          <w:rFonts w:hint="default" w:ascii="Times New Roman" w:hAnsi="Times New Roman" w:eastAsia="方正仿宋_GBK" w:cs="Times New Roman"/>
          <w:sz w:val="32"/>
          <w:szCs w:val="32"/>
        </w:rPr>
        <w:t>积极推行基本养老、医疗保险全民参保，全面落实低保、特困供养、临时救助等保障政策，加大对残疾人、留守儿童、空巢老人等特殊群体的关爱帮扶力度，兜牢基本民生底线。完善公共文化服务体系。丰富群众精神文化生活。推动文化惠民工程深入实施，打造温馨舒适的养老环境，注重提升便民服务水平，简化办事流程，推行一站式服务模式，让群众少跑腿、多受益，切实感受到民生工程带来的便利与实惠。通过一系列扎实有效的举措，真正实现民生改善与经济发展同步推进，不断提升群众的获得感、幸福感、安全感。</w:t>
      </w:r>
    </w:p>
    <w:p w14:paraId="1C8437F8">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4.</w:t>
      </w:r>
      <w:r>
        <w:rPr>
          <w:rFonts w:hint="default" w:ascii="Times New Roman" w:hAnsi="Times New Roman" w:eastAsia="方正仿宋_GBK" w:cs="Times New Roman"/>
          <w:b/>
          <w:bCs/>
          <w:sz w:val="32"/>
          <w:szCs w:val="32"/>
        </w:rPr>
        <w:t>强化安全设施建设力度，守牢社会稳定发展底线。</w:t>
      </w:r>
    </w:p>
    <w:p w14:paraId="2C391A75">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持续强化公共安全。持续开展安全生产隐患排查治理行动，进一步完善安全生产责任制，建立健全隐患排查治理长效机制，抓牢防汛抗旱、地质灾害、消防安全、森林草原防灭火等工作，抓实自建房、燃气、小水电安全隐患排查整治等专项行动，畅通柏林山防火通道，充实应急物资储备库。提升应急管理能力。完善应急预案，加强应急演练，提高应急救援能力。加强应急救援队伍建设，提高队伍的专业素质和实战水平，加大应急物资储备投入，确保应急物资充足。加强对群众的防灾减灾宣传教育，</w:t>
      </w:r>
      <w:r>
        <w:rPr>
          <w:rFonts w:hint="default" w:ascii="Times New Roman" w:hAnsi="Times New Roman" w:eastAsia="方正仿宋_GBK" w:cs="Times New Roman"/>
          <w:sz w:val="32"/>
          <w:szCs w:val="32"/>
          <w:lang w:eastAsia="zh-CN"/>
        </w:rPr>
        <w:t>增强</w:t>
      </w:r>
      <w:r>
        <w:rPr>
          <w:rFonts w:hint="default" w:ascii="Times New Roman" w:hAnsi="Times New Roman" w:eastAsia="方正仿宋_GBK" w:cs="Times New Roman"/>
          <w:sz w:val="32"/>
          <w:szCs w:val="32"/>
        </w:rPr>
        <w:t>群众的防灾减灾意识和自救互救能力。防范社会稳定风险。进一步提升社会治理效能，深化矛盾纠纷多元化解“一站式”平台建设，用好人大代表、政协委员“民意直通车”通道，启动国胜派出所迁建。推动法治文化阵地建设，坚持和发展新时代“枫桥经验”，推广运用“六尺巷工作法”，持续化解遗留问题和各类矛盾纠纷，把矛盾纠纷化解在基层、化解在萌芽状态。</w:t>
      </w:r>
    </w:p>
    <w:p w14:paraId="03F49ACB">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5.</w:t>
      </w:r>
      <w:r>
        <w:rPr>
          <w:rFonts w:hint="default" w:ascii="Times New Roman" w:hAnsi="Times New Roman" w:eastAsia="方正仿宋_GBK" w:cs="Times New Roman"/>
          <w:b/>
          <w:bCs/>
          <w:sz w:val="32"/>
          <w:szCs w:val="32"/>
        </w:rPr>
        <w:t>聚合资源要素配置效能，绘就全民共富实景画卷。</w:t>
      </w:r>
    </w:p>
    <w:p w14:paraId="4974D73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完善茶叶创富共同体。持续推进国胜茶叶企业整合“抱团”发展，结合优势特色产业乡镇建设项目，打造四化茶园，即有机茶园运营数字化、生态茶园茶旅一体化、休闲茶园体验场景化、周边区域产业协同化，实现联农带农就业增收，打造共富共享场景，助推乡村全面振兴。加快打造生态渔业创富共同体。充分利用盐边县北部地区溪河丰沛的冷水资源，整合国胜乡现有鲟鱼养殖主体，推广鲟鱼、裂腹鱼、金鳟、虹鳟鱼养殖技术，带领水产养殖户繁育和养殖高品质冷水鱼。按照出口基地养殖技术标准，实行“培训、养殖、管理、销售”统一管理机制，发展高产、优质生态渔业产品，带动周边渔民增产增收，促进渔业多元化发展实现共同富裕。实施强村富民拓富行动。瞄准新质生产力发展前沿，深入推进AI赋能共同富裕，促使乡村特色产业跳出种植、养殖的狭窄出口，加快农旅融合化发展，不断延长产业链条，构建完整产业生态；挖掘“土专家”“田秀才”，培养产业带头人、乡村振兴领军人物；以小坪村蔬菜基地项目为试点，探索以土地为重点的乡村集成改革，盘活各类集体资产、资源要素，增加农民财产性收入。</w:t>
      </w:r>
    </w:p>
    <w:p w14:paraId="33A58929">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二、机构设置情况</w:t>
      </w:r>
    </w:p>
    <w:p w14:paraId="11D62704">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盐边县国胜乡人民政府下属非独立核算单位4个，其中行政单位0个，事业单位4个。主要包括：便民服务中心、农业农村服务中心、村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建设服务中心、宣传文化旅游服务中心。</w:t>
      </w:r>
    </w:p>
    <w:p w14:paraId="167ABB0F">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三、收支预算情况说明</w:t>
      </w:r>
    </w:p>
    <w:p w14:paraId="3E303B1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综合预算的原则，国胜乡政府所有收入和支出均纳入部门预算管理。收入包括：一般公共预算拨款收入150949万元；支出包括：一般公共服务支出46084万元、文化旅游体育与传媒支出4889万元、社会保障和就业支出43786万元、卫生健康支出8699万元、农林水支出39852万元、住房保障支出7639万元。国胜乡政府2025年收支总预算150949万元。比2024年预算数175887万元减少24938万元，主要是2025年重点项目减少，导致预算收入减少。</w:t>
      </w:r>
    </w:p>
    <w:p w14:paraId="40E7BF6D">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（一）收入预算情况</w:t>
      </w:r>
    </w:p>
    <w:p w14:paraId="7D28963A">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国胜乡政府2025年收入预算150949万元，其中：上年结转0万元，占0%；一般公共预算拨款收入150949万元，占100%；政府性基金预算拨款收入0万元，占0%；事业收入0万元，占0%。</w:t>
      </w:r>
    </w:p>
    <w:p w14:paraId="1400F9B5">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（二）支出预算情况</w:t>
      </w:r>
    </w:p>
    <w:p w14:paraId="3F95B58A">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国胜乡政府2025年支出预算150949万元，其中：基本支出123369万元，占8173%；项目支出27580万元，占1827%。</w:t>
      </w:r>
    </w:p>
    <w:p w14:paraId="3561FE4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四、财政拨款收支预算情况说明</w:t>
      </w:r>
    </w:p>
    <w:p w14:paraId="2EC5C87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胜乡政府2025年财政拨款收支总预算150949万元。收入包括：本年一般公共预算拨款收入150949万元、本年政府性基金预算拨款收入0万元；支出包括：一般公共服务支出46084万元、文化旅游体育与传媒支出4889万元、社会保障和就业支出43786万元、卫生健康支出8699万元、农林水支出39852万元、住房保障支出7639万元。</w:t>
      </w:r>
    </w:p>
    <w:p w14:paraId="53E3B08D">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w:t>
      </w:r>
      <w:r>
        <w:rPr>
          <w:rFonts w:hint="default" w:ascii="Times New Roman" w:hAnsi="Times New Roman" w:eastAsia="方正黑体_GBK" w:cs="Times New Roman"/>
          <w:sz w:val="32"/>
          <w:szCs w:val="32"/>
          <w:lang w:eastAsia="zh-CN"/>
        </w:rPr>
        <w:t>一般公共预算财政拨款</w:t>
      </w:r>
      <w:r>
        <w:rPr>
          <w:rFonts w:hint="default" w:ascii="Times New Roman" w:hAnsi="Times New Roman" w:eastAsia="方正黑体_GBK" w:cs="Times New Roman"/>
          <w:sz w:val="32"/>
          <w:szCs w:val="32"/>
        </w:rPr>
        <w:t>情况说明</w:t>
      </w:r>
    </w:p>
    <w:p w14:paraId="2E65A0AD">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w:t>
      </w:r>
      <w:r>
        <w:rPr>
          <w:rFonts w:hint="default" w:ascii="Times New Roman" w:hAnsi="Times New Roman" w:eastAsia="方正楷体_GBK" w:cs="Times New Roman"/>
          <w:b/>
          <w:bCs/>
          <w:sz w:val="32"/>
          <w:szCs w:val="32"/>
          <w:lang w:eastAsia="zh-CN"/>
        </w:rPr>
        <w:t>一般公共预算财政拨款</w:t>
      </w:r>
      <w:r>
        <w:rPr>
          <w:rFonts w:hint="default" w:ascii="Times New Roman" w:hAnsi="Times New Roman" w:eastAsia="方正楷体_GBK" w:cs="Times New Roman"/>
          <w:b/>
          <w:bCs/>
          <w:sz w:val="32"/>
          <w:szCs w:val="32"/>
        </w:rPr>
        <w:t>规模变化情况</w:t>
      </w:r>
    </w:p>
    <w:p w14:paraId="131C47B0">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国胜乡政府2025年一般公共预算当年拨款150949万元，比2024年预算数175887万元减少24938万元，主要是2025年重点项目减少，导致预算收入减少。</w:t>
      </w:r>
    </w:p>
    <w:p w14:paraId="2C17E660">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w:t>
      </w:r>
      <w:r>
        <w:rPr>
          <w:rFonts w:hint="default" w:ascii="Times New Roman" w:hAnsi="Times New Roman" w:eastAsia="方正楷体_GBK" w:cs="Times New Roman"/>
          <w:b/>
          <w:bCs/>
          <w:sz w:val="32"/>
          <w:szCs w:val="32"/>
          <w:lang w:eastAsia="zh-CN"/>
        </w:rPr>
        <w:t>一般公共预算财政拨款</w:t>
      </w:r>
      <w:r>
        <w:rPr>
          <w:rFonts w:hint="default" w:ascii="Times New Roman" w:hAnsi="Times New Roman" w:eastAsia="方正楷体_GBK" w:cs="Times New Roman"/>
          <w:b/>
          <w:bCs/>
          <w:sz w:val="32"/>
          <w:szCs w:val="32"/>
        </w:rPr>
        <w:t>结构情况</w:t>
      </w:r>
    </w:p>
    <w:p w14:paraId="26017F56">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一般公共服务支出46084万元，占3053%；文化旅游体育与传媒支出4889万元，占324%；社会保障和就业支出43786万元，占2901%；卫生健康支出8699万元，占576%；农林水支出39852万元，占2640%；住房保障支出7639万元，占506%。</w:t>
      </w:r>
    </w:p>
    <w:p w14:paraId="597BE8EB">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（三）</w:t>
      </w:r>
      <w:r>
        <w:rPr>
          <w:rFonts w:hint="default" w:ascii="Times New Roman" w:hAnsi="Times New Roman" w:eastAsia="方正楷体_GBK" w:cs="Times New Roman"/>
          <w:b/>
          <w:bCs/>
          <w:sz w:val="32"/>
          <w:szCs w:val="32"/>
          <w:lang w:eastAsia="zh-CN"/>
        </w:rPr>
        <w:t>一般公共预算财政拨款</w:t>
      </w:r>
      <w:r>
        <w:rPr>
          <w:rFonts w:hint="default" w:ascii="Times New Roman" w:hAnsi="Times New Roman" w:eastAsia="方正楷体_GBK" w:cs="Times New Roman"/>
          <w:b/>
          <w:bCs/>
          <w:sz w:val="32"/>
          <w:szCs w:val="32"/>
        </w:rPr>
        <w:t>具体使用情况</w:t>
      </w:r>
    </w:p>
    <w:p w14:paraId="004BE065">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一般公共服务（201类）人大事务（01款）行政运行（01项）2025年预算数为3644万元，主要用于：人员工资保险奖金等支出和经费运行。</w:t>
      </w:r>
    </w:p>
    <w:p w14:paraId="765D1841">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一般公共服务（201类）人大事务（01款）人大会议（04项）2025年预算数为371万元，主要用于：人大会议费用支出。</w:t>
      </w:r>
    </w:p>
    <w:p w14:paraId="0E8C901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一般公共服务（201类）政府办公厅（室）及相关机构事务（03款）行政运行（01项）：2025年预算数为30801万元，主要用于：人员工资保险奖金等支出和经费运行。</w:t>
      </w:r>
    </w:p>
    <w:p w14:paraId="0300F5D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一般公共服务（201类）政府办公厅（室）及相关机构事务（03款）一般行政管理事务（02项）：2025年预算数为251万元，主要用于：乡村治理补助支出。</w:t>
      </w:r>
    </w:p>
    <w:p w14:paraId="331343AD">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一般公共服务（201类）政府办公厅（室）及相关机构事务（03款）事业运行（50项）：2025年预算数为6351万元，主要用于：人员工资保险奖金等支出和经费运行。</w:t>
      </w:r>
    </w:p>
    <w:p w14:paraId="68135C19">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一般公共服务（201类）民族事务（23款）民族工作专项（04项）：2025年预算数为117万元，主要用于：少数民族工作经费支出。</w:t>
      </w:r>
    </w:p>
    <w:p w14:paraId="35FBD614">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一般公共服务（201类）党委办公厅（室）及相关机构事务（31款）行政运行（01项）：2025年预算数为4249万元，主要用于：人员工资保险奖金等支出和经费运行。</w:t>
      </w:r>
    </w:p>
    <w:p w14:paraId="4852EC1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一般公共服务（201类）社会工作事务（39款）选项业务（04项）：2025年预算数为3万元，主要用于：社工日常办公费用。</w:t>
      </w:r>
    </w:p>
    <w:p w14:paraId="199CE61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文化旅游体育与传媒支出（207类）文化和旅游（01款）群众文化（09项）：2025年预算数为4889万元，主要用于：人员工资保险绩效奖等支出和经费运行。</w:t>
      </w:r>
    </w:p>
    <w:p w14:paraId="1812B453">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社会保障和就业支出（208类）人力资源和社会保障管理事务（01款）社会保险经办机构（09项）：2025年预算数为8967万元，主要用于：人员工资保险绩效奖等支出和经费运行。</w:t>
      </w:r>
    </w:p>
    <w:p w14:paraId="0D1D6DE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社会保障和就业支出（208类）人力资源和社会保障管理事务（01款）其他人力资源和社会保障管理事务支出（99项）：2025年预算为13887万元，主要用于：</w:t>
      </w:r>
      <w:r>
        <w:rPr>
          <w:rFonts w:hint="default" w:ascii="Times New Roman" w:hAnsi="Times New Roman" w:eastAsia="方正仿宋_GBK" w:cs="Times New Roman"/>
          <w:sz w:val="32"/>
          <w:szCs w:val="32"/>
          <w:lang w:eastAsia="zh-CN"/>
        </w:rPr>
        <w:t>“三支一扶”</w:t>
      </w:r>
      <w:r>
        <w:rPr>
          <w:rFonts w:hint="default" w:ascii="Times New Roman" w:hAnsi="Times New Roman" w:eastAsia="方正仿宋_GBK" w:cs="Times New Roman"/>
          <w:sz w:val="32"/>
          <w:szCs w:val="32"/>
        </w:rPr>
        <w:t>工资保险等。</w:t>
      </w:r>
    </w:p>
    <w:p w14:paraId="34173ADC">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社会保障和就业支出（208类）民族管理事务（02款）其他民政管理事务支出（99项）：2025年预算数为9582万元，主要用于：敬老院人员工资保险绩效等支出和经费运行。</w:t>
      </w:r>
    </w:p>
    <w:p w14:paraId="1C35799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社会保障和就业支出（208类）行政事业单位养老支出（05款）行政单位离退休（01项）：2022年预算数737万元，主要用于：行政退休人员费用。</w:t>
      </w:r>
    </w:p>
    <w:p w14:paraId="66274EAD">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社会保障和就业支出（208类）行政事业单位养老支出（05款）事业单位离退休（02项）：2025年预算数837万元，主要用于：事业退休人员费用。</w:t>
      </w:r>
    </w:p>
    <w:p w14:paraId="2A7D0ECF">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社会保障和就业支出（208类）行政事业单位养老支出（05款）机关事业单位基本养老保险缴费支出（05项）：2025年预算数8496万元，主要用于：职工养老保险支出。</w:t>
      </w:r>
    </w:p>
    <w:p w14:paraId="23E7FAFE">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社会保障和就业支出（208类）特困人员救助供养（21款）农村特困人员救助供养支出（02项）：2025年预算数1378万元，主要用于：五保户丧葬费，生活费，御寒费等。</w:t>
      </w:r>
    </w:p>
    <w:p w14:paraId="4779028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卫生健康支出（210类）公共卫生（04款）其他公共卫生支出（99项）：2025年预算数为629万元，主要用于：公共卫生支出。</w:t>
      </w:r>
    </w:p>
    <w:p w14:paraId="3A80C72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卫生健康支出（210类）行政事业单位医疗（11款）行政单位医疗（01项）：2025年预算数2634万元，主要用于：职工医疗保险支出。</w:t>
      </w:r>
    </w:p>
    <w:p w14:paraId="4DE79D9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卫生健康支出（210类）行政事业单位医疗（11款）事业单位医疗（02项）：2025年预算数2342万元，主要用于：职工医疗保险支出。</w:t>
      </w:r>
    </w:p>
    <w:p w14:paraId="503A84D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卫生健康支出（210类）行政事业单位医疗（11款）公务员医疗补助（03项）：2025年预算数276万元，主要用于：职工大病医疗保险支出。</w:t>
      </w:r>
    </w:p>
    <w:p w14:paraId="18F7B07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卫生健康支出（210类）行政事业单位医疗（11款）其他行政事业单位医疗支出（99项）：2025年预算数2818万元，主要用于：职工大病医疗保险支出。</w:t>
      </w:r>
    </w:p>
    <w:p w14:paraId="32E9B81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农林水支出（213类）农业农村（01款）事业运行（04项）：2025年预算数10368万元，主要用于：人员工资保险绩效等支出和经费运行。</w:t>
      </w:r>
    </w:p>
    <w:p w14:paraId="5305ECF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农林水支出（213类）农业农村（01款）其他农业农村支出（99项）：2025年预算数15万元，主要用于：驻村第一书记工作经费。</w:t>
      </w:r>
    </w:p>
    <w:p w14:paraId="13F95EB0">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农林水支出（213类）农村综合改革（07款）对村民委员会和村党支部的补助（05项）：2025年预算数29333万元，主要用于：村干部人员工资、绩效等支出和经费运行</w:t>
      </w:r>
    </w:p>
    <w:p w14:paraId="784227AA">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住房保障支出（221类）住房改革支出（02款）住房公积金（01项）：2025年预算数为7639万元，主要用于：人员住房公积金支出。</w:t>
      </w:r>
    </w:p>
    <w:p w14:paraId="24321972">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六、一般公共预算基本支出情况说明</w:t>
      </w:r>
    </w:p>
    <w:p w14:paraId="26E8EF6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国胜乡政府2025年一般公共预算基本支出123369万元，其中：</w:t>
      </w:r>
    </w:p>
    <w:p w14:paraId="5301E66E">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人员经费110216元，主要包括：基本工资20567万元、津贴补贴13065万元、奖金8625万元、绩效工资13979万元、机关事业单位基本养老保险缴费8496万元、 职工基本医疗保险缴费4976万元、公务员医疗补助缴费1645万元、其他社会保障缴费255万元、住房公积金7639万元、医疗费1449万元、 其他工资福利支出4779万元、生活补助23561万元、医疗费补助1173万元、奖励金006万元等。</w:t>
      </w:r>
    </w:p>
    <w:p w14:paraId="1CD439A3">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用经费13153万元，主要包括：办公费5619万元、水费188万元、电费282万元、邮电费188万元、差旅费144万元、维修费012万元、公务接待费034万元、劳务费1188万元、工会经费1146万元、福利费523万元、公务用车维护费445万元、其他交通费用2088万元。</w:t>
      </w:r>
    </w:p>
    <w:p w14:paraId="3B70ECA5">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七、“三公”经费财政拨款预算安排情况说明</w:t>
      </w:r>
    </w:p>
    <w:p w14:paraId="6FF2937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国胜乡政府2025年“三公”经费财政拨款预算数479万元，其中：因公出国（境）经费0万元，公务接待费034万元，公务用车购置及运行维护费445万元。</w:t>
      </w:r>
    </w:p>
    <w:p w14:paraId="0ECAF56C">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（一）因公出国（境）经费与2024年预算持平</w:t>
      </w:r>
    </w:p>
    <w:p w14:paraId="7C8852AE">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主要原因是我单位没有因公出国（境）的情况。</w:t>
      </w:r>
    </w:p>
    <w:p w14:paraId="38721F38">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（二）公务接待费较2024年预算04万元下降15%</w:t>
      </w:r>
    </w:p>
    <w:p w14:paraId="5C18C5D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主要原因是严格按照财政要求压缩公务接待费，厉行节约。</w:t>
      </w:r>
    </w:p>
    <w:p w14:paraId="28C749C3">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2025年公务接待费计划用于执行公务、考察调研、检查指导等公务活动开支的用餐费等。</w:t>
      </w:r>
    </w:p>
    <w:p w14:paraId="039D79C3">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（三）公务用车购置及运行维护费与2024年预算持平</w:t>
      </w:r>
    </w:p>
    <w:p w14:paraId="16AC5290">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主要原因是严格按照财政预算要求及预算编制口径进行预算。</w:t>
      </w:r>
    </w:p>
    <w:p w14:paraId="593D6166">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单位现有公务用车1辆，其中：轿车（含7座以下商务车、城市越野车）1辆，7座以上19座（含19座）以下客车0辆，越野车0辆，货车及19座以上客车0辆，摩托车0辆。</w:t>
      </w:r>
    </w:p>
    <w:p w14:paraId="5E7B135D">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2025年安排公务用车购置费0万元，购置公务用车0辆。</w:t>
      </w:r>
    </w:p>
    <w:p w14:paraId="2ECC5D4F">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2025年安排公务用车运行维护费445万元，用于1辆公务用车燃料费、维修费、保险费等方面支出，主要保障执行公务、检查工作、护林防火、防汛等工作开展。</w:t>
      </w:r>
    </w:p>
    <w:p w14:paraId="72F6991C">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八、政府性基金预算支出情况说明</w:t>
      </w:r>
    </w:p>
    <w:p w14:paraId="12C91113">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国胜乡政府2025年没有政府性基金预算拨款安排的支出。</w:t>
      </w:r>
    </w:p>
    <w:p w14:paraId="71CB1D21">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九、国有资本经营预算情况说明</w:t>
      </w:r>
    </w:p>
    <w:p w14:paraId="56EA228A">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国胜乡政府2025年没有使用国有资本经营预算拨款安排的支出。</w:t>
      </w:r>
    </w:p>
    <w:p w14:paraId="6553DBC6">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十、其他重要事项的情况说明</w:t>
      </w:r>
    </w:p>
    <w:p w14:paraId="719A639B">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（一）机关运行经费</w:t>
      </w:r>
    </w:p>
    <w:p w14:paraId="3780B493">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2025年，国胜乡政府机关运行经费财政拨款预算为13153万元，比2024年预算13218万元减少065万元，下降049%。</w:t>
      </w:r>
    </w:p>
    <w:p w14:paraId="1AB7019F">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经费支出为：办公费5619万元、水费188万元、电费282万元、邮电费188万元、差旅费144万元、维修费012万元、公务接待费034万元、劳务费1188万元、工会经费1146万元、福利费523万元、公务用车维护费445万元、其他交通费用2088万元。</w:t>
      </w:r>
    </w:p>
    <w:p w14:paraId="37D57496">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（二）政府采购情况</w:t>
      </w:r>
    </w:p>
    <w:p w14:paraId="1EB4E49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2025年，国胜乡政府安排政府采购预算0万元，其中：政府采购货物预算0万元；政府采购工程预算0万元；政府采购服务预算0万元。</w:t>
      </w:r>
    </w:p>
    <w:p w14:paraId="3B215CF2">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（三）国有资产占有使用情况</w:t>
      </w:r>
    </w:p>
    <w:p w14:paraId="45D31E86">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截至2024年底，国胜乡政府共有车辆1辆，其中，执法执勤用车0辆。单位价值200万元以上大型设备0台。</w:t>
      </w:r>
    </w:p>
    <w:p w14:paraId="644342E2">
      <w:pPr>
        <w:keepNext w:val="0"/>
        <w:keepLines w:val="0"/>
        <w:pageBreakBefore w:val="0"/>
        <w:widowControl w:val="0"/>
        <w:kinsoku/>
        <w:wordWrap/>
        <w:overflowPunct w:val="0"/>
        <w:topLinePunct w:val="0"/>
        <w:autoSpaceDE/>
        <w:autoSpaceDN/>
        <w:bidi w:val="0"/>
        <w:adjustRightInd/>
        <w:snapToGrid/>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（四）预算绩效情况</w:t>
      </w:r>
    </w:p>
    <w:p w14:paraId="76D2E283">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2025年国胜乡政府开展绩效目标管理的项目10个，涉及预算2758元。其中特定目标类项目10个，涉及预算2758万元。</w:t>
      </w:r>
    </w:p>
    <w:p w14:paraId="6D364AE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十一、名词解释</w:t>
      </w:r>
    </w:p>
    <w:p w14:paraId="6CD0900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一般公共预算拨款收入：指财政当年拨付的一般公共预算资金。</w:t>
      </w:r>
    </w:p>
    <w:p w14:paraId="741D49DF">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一般公共服务（201类）人大事务（01款）行政运行（01项）：反映行政单位（包括实行公务员管理的事业单位）的基本支出。</w:t>
      </w:r>
    </w:p>
    <w:p w14:paraId="636DED3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3一般公共服务（201类）人大事务（01款）人大会议（04项）：反映各级人大召开人民代表大会等专门会议的支出。</w:t>
      </w:r>
    </w:p>
    <w:p w14:paraId="15ADDB3E">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一般公共服务（201类）政府办公厅（室）及相关机构事务（03款）行政运行（01项）：反映行政单位（包括实行公务员管理的事业单位）的基本支出。</w:t>
      </w:r>
    </w:p>
    <w:p w14:paraId="6F6DE0A1">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一般公共服务（201类）政府办公厅（室）及相关机构事务（03款）一般行政管理事务（02项）：反映行政单位（包括实行公务员管理的事业单位）未单独设置项级科目的其他项目支出。</w:t>
      </w:r>
    </w:p>
    <w:p w14:paraId="2B5D77B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一般公共服务（201类）政府办公厅（室）及相关机构事务（03款）事业运行（50项）：反映事业单位的基本支出，不包括行政单位（包括实行公务员管理的事业单位）后勤服务中心、医务室等附属事业单位。</w:t>
      </w:r>
    </w:p>
    <w:p w14:paraId="638FD2E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一般公共服务（201类）民族事务（23款）民族工作专项（04项）：反映用于民族事务管理方面的专项支出。</w:t>
      </w:r>
    </w:p>
    <w:p w14:paraId="23D3BCF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一般公共服务（201类）党委办公厅（室）及相关机构事务（31款）行政运行（01项）：反映行政单位（包括实行公务员管理的事业单位）的基本支出。</w:t>
      </w:r>
    </w:p>
    <w:p w14:paraId="065C5062">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一般公共服务（201类）社会工作事务（39款）专项业务（04项）：反映社会工作部门开展专项业务活动的支出。</w:t>
      </w:r>
    </w:p>
    <w:p w14:paraId="466E1493">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文化旅游体育与传媒支出（207类）文化和旅游（01款）群众文化（09项）：反映群众文化方面的支出，包括基层文化馆（站）、群众艺术馆支出等。</w:t>
      </w:r>
    </w:p>
    <w:p w14:paraId="3F1C2115">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社会保障和就业支出（208类）人力资源和社会保障管理事务（01款）社会保险经办机构（09项）：反映社会保险经办机构开展业务工作的支出。</w:t>
      </w:r>
    </w:p>
    <w:p w14:paraId="5566E7A0">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社会保障和就业支出（208类）人力资源和社会保障管理事务（01款）其他人力资源和社会保障管理事务支出（99项）：反映除上述项目以外其他用于人力资源和社会保障管理事务方面的支出。</w:t>
      </w:r>
    </w:p>
    <w:p w14:paraId="1AA1BDBC">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社会保障和就业支出（208类）民族管理事务（02款）其他民政管理事务支出（99项）：反映除上述项目以外其他用于民政管理事务的支出。</w:t>
      </w:r>
    </w:p>
    <w:p w14:paraId="51BECAAA">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社会保障和就业支出（208类）行政事业单位养老支出（05款）行政单位离退休（01项）：反映行政单位（包括实行公务员管理的事业单位）开支的离退休经费。</w:t>
      </w:r>
    </w:p>
    <w:p w14:paraId="0602A115">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社会保障和就业支出（208类）行政事业单位养老支出（05款）事业单位离退休（02项）：反映事业单位开支的离退休经费。</w:t>
      </w:r>
    </w:p>
    <w:p w14:paraId="564AB9B1">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社会保障和就业支出（208类）行政事业单位养老支出（05款）机关事业单位基本养老保险缴费支出（05项）：反映机关事业单位实施养老保险制度由单位缴纳的基本养老保险费支出。</w:t>
      </w:r>
    </w:p>
    <w:p w14:paraId="5C25231C">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社会保障和就业支出（208类）特困人员救助供养（21款）农村特困人员救助供养支出（02项）：反映农村特困人员救助供养支出。</w:t>
      </w:r>
    </w:p>
    <w:p w14:paraId="3890D1A0">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卫生健康支出（210类）公共卫生（04款）其他公共卫生支出（99项）：反映除上述项目以外的其他用于公共卫生方面的支出。</w:t>
      </w:r>
    </w:p>
    <w:p w14:paraId="6558EC8C">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210类）行政事业单位医疗（11款）行政单位医疗（01项）：反映财政部门安排的行政单位（包括实行公务员管理的事业单位，下同）基本医疗保险缴费经费，未参加医疗保险的行政单位的公费医疗经费，按国家</w:t>
      </w:r>
      <w:r>
        <w:rPr>
          <w:rFonts w:hint="default" w:ascii="Times New Roman" w:hAnsi="Times New Roman" w:eastAsia="方正仿宋_GBK" w:cs="Times New Roman"/>
          <w:sz w:val="32"/>
          <w:szCs w:val="32"/>
          <w:lang w:eastAsia="zh-CN"/>
        </w:rPr>
        <w:t>规定</w:t>
      </w:r>
      <w:r>
        <w:rPr>
          <w:rFonts w:hint="default" w:ascii="Times New Roman" w:hAnsi="Times New Roman" w:eastAsia="方正仿宋_GBK" w:cs="Times New Roman"/>
          <w:sz w:val="32"/>
          <w:szCs w:val="32"/>
        </w:rPr>
        <w:t>享受离休人员、红军老战士待遇人员的医疗经费。</w:t>
      </w:r>
    </w:p>
    <w:p w14:paraId="75971ED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210类）行政事业单位医疗（11款）事业单位医疗（02项）：反映财政部门安排的事业单位基本医疗保险缴费经费，未参加医疗保险的事业单位的公费医疗经费，按国家规定享受离休人员待遇的医疗经费。</w:t>
      </w:r>
    </w:p>
    <w:p w14:paraId="2457FBF6">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卫生健康支出（210类）行政事业单位医疗（11款）公务员医疗补助（03项）：反映财政部门安排的公务员医疗补助经费。</w:t>
      </w:r>
    </w:p>
    <w:p w14:paraId="6B265ACD">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卫生健康支出（210类）行政事业单位医疗（11款）其他行政事业单位医疗支出（99项）：反映除上述项目以外的其他用于行政事业单位医疗方面的支出。</w:t>
      </w:r>
    </w:p>
    <w:p w14:paraId="2D517BD6">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农林水支出（213类）农业农村（01款）事业运行（04项）：反映用于农业事业单位基本支出，事业单位设施、系统运行与资产维护等方面的支出。</w:t>
      </w:r>
    </w:p>
    <w:p w14:paraId="5172F30F">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农林水支出（213类）农业农村（01款）其他农业农村支出（99项）：反映除上述项目以外的其他用于农业农村方面的支出。</w:t>
      </w:r>
    </w:p>
    <w:p w14:paraId="57EC2A49">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农林水支出（213类）农村综合改革（07款）对村民委员会和村党支部的补助（05项）：反映各级财政对村民委员会和村党支部的补助支出，以及支持建立县级基本财力保障机制安排的村级组织运转奖补资金。</w:t>
      </w:r>
    </w:p>
    <w:p w14:paraId="19D6724A">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住房保障支出（221类）住房改革支出（02款）住房公积金（01项）：反映行政事业单位按人力资源和社会保障部、财政部规定的基本工资和津贴补贴以及规定比例为职工缴纳的住房公积金。</w:t>
      </w:r>
    </w:p>
    <w:p w14:paraId="110C302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基本支出：指为保证机构正常运转，完成日常工作任务而发生的人员支出和公用支出。</w:t>
      </w:r>
    </w:p>
    <w:p w14:paraId="71A61F3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项目支出：指在基本支出之外为完成特定行政任务和事业发展目标所发生的支出。</w:t>
      </w:r>
    </w:p>
    <w:p w14:paraId="420A0565">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三公”经费：纳入预算管理的“三公”经费，是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新能源汽车充电费、维修费、过桥过路费、保险费、安全奖励费用等支出；公务接待费反映单位按规定开支的各类公务接待（含外宾接待）费用。</w:t>
      </w:r>
    </w:p>
    <w:p w14:paraId="01153E37">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机关运行经费：为保障行政单位（包括参照公务员法管理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3F8B30AA">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14:paraId="5AEB8975">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14:paraId="749EF904">
      <w:pPr>
        <w:pStyle w:val="2"/>
        <w:rPr>
          <w:rFonts w:hint="default" w:ascii="Times New Roman" w:hAnsi="Times New Roman" w:eastAsia="方正仿宋_GBK" w:cs="Times New Roman"/>
          <w:sz w:val="32"/>
          <w:szCs w:val="32"/>
        </w:rPr>
      </w:pPr>
    </w:p>
    <w:p w14:paraId="23B4687C">
      <w:pPr>
        <w:pStyle w:val="2"/>
        <w:rPr>
          <w:rFonts w:hint="default" w:ascii="Times New Roman" w:hAnsi="Times New Roman" w:eastAsia="方正仿宋_GBK" w:cs="Times New Roman"/>
          <w:sz w:val="32"/>
          <w:szCs w:val="32"/>
        </w:rPr>
      </w:pPr>
    </w:p>
    <w:p w14:paraId="6B719BFD">
      <w:pPr>
        <w:pStyle w:val="2"/>
        <w:rPr>
          <w:rFonts w:hint="default" w:ascii="Times New Roman" w:hAnsi="Times New Roman" w:eastAsia="方正仿宋_GBK" w:cs="Times New Roman"/>
          <w:sz w:val="32"/>
          <w:szCs w:val="32"/>
        </w:rPr>
      </w:pPr>
    </w:p>
    <w:p w14:paraId="515A62F5">
      <w:pPr>
        <w:pStyle w:val="2"/>
        <w:rPr>
          <w:rFonts w:hint="default" w:ascii="Times New Roman" w:hAnsi="Times New Roman" w:eastAsia="方正仿宋_GBK" w:cs="Times New Roman"/>
          <w:sz w:val="32"/>
          <w:szCs w:val="32"/>
        </w:rPr>
      </w:pPr>
    </w:p>
    <w:p w14:paraId="4F89FF57">
      <w:pPr>
        <w:pStyle w:val="2"/>
        <w:rPr>
          <w:rFonts w:hint="default" w:ascii="Times New Roman" w:hAnsi="Times New Roman" w:eastAsia="方正仿宋_GBK" w:cs="Times New Roman"/>
          <w:sz w:val="32"/>
          <w:szCs w:val="32"/>
        </w:rPr>
      </w:pPr>
    </w:p>
    <w:p w14:paraId="2E9E88A4">
      <w:pPr>
        <w:pStyle w:val="2"/>
        <w:rPr>
          <w:rFonts w:hint="default" w:ascii="Times New Roman" w:hAnsi="Times New Roman" w:eastAsia="方正仿宋_GBK" w:cs="Times New Roman"/>
          <w:sz w:val="32"/>
          <w:szCs w:val="32"/>
        </w:rPr>
      </w:pPr>
    </w:p>
    <w:p w14:paraId="657215C4">
      <w:pPr>
        <w:pStyle w:val="2"/>
        <w:rPr>
          <w:rFonts w:hint="default" w:ascii="Times New Roman" w:hAnsi="Times New Roman" w:eastAsia="方正仿宋_GBK" w:cs="Times New Roman"/>
          <w:sz w:val="32"/>
          <w:szCs w:val="32"/>
        </w:rPr>
      </w:pPr>
    </w:p>
    <w:p w14:paraId="7257C580">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附件：表1部门收支总表</w:t>
      </w:r>
    </w:p>
    <w:p w14:paraId="5A006415">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表1-1部门收入总表</w:t>
      </w:r>
    </w:p>
    <w:p w14:paraId="58432A16">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表1-2部门支出总表</w:t>
      </w:r>
    </w:p>
    <w:p w14:paraId="772A1080">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表2财政拨款收支预算总表</w:t>
      </w:r>
    </w:p>
    <w:p w14:paraId="146EE670">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表2-1财政拨款支出预算表</w:t>
      </w:r>
    </w:p>
    <w:p w14:paraId="75B4BE13">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表3一般公共预算支出预算表</w:t>
      </w:r>
    </w:p>
    <w:p w14:paraId="77371DC6">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表3-1一般公共预算基本支出预算表</w:t>
      </w:r>
    </w:p>
    <w:p w14:paraId="24774E87">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表3-2一般公共预算项目支出预算表</w:t>
      </w:r>
    </w:p>
    <w:p w14:paraId="6772DEEB">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表3-3一般公共预算“三公”经费支出预算表</w:t>
      </w:r>
    </w:p>
    <w:p w14:paraId="0845D32F">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表4政府性基金支出预算表</w:t>
      </w:r>
    </w:p>
    <w:p w14:paraId="56393ED9">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表4-1政府性基金预算“三公”经费支出预算表</w:t>
      </w:r>
    </w:p>
    <w:p w14:paraId="4139A385">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表5国有资本经营预算支出预算表</w:t>
      </w:r>
    </w:p>
    <w:p w14:paraId="38F939CC">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表6部门预算项目支出绩效目标表</w:t>
      </w:r>
    </w:p>
    <w:p w14:paraId="6BD45ED8">
      <w:pPr>
        <w:keepNext w:val="0"/>
        <w:keepLines w:val="0"/>
        <w:pageBreakBefore w:val="0"/>
        <w:widowControl w:val="0"/>
        <w:kinsoku/>
        <w:wordWrap/>
        <w:overflowPunct w:val="0"/>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表7部门整体支出绩效目标表</w:t>
      </w:r>
    </w:p>
    <w:p w14:paraId="2F52543C">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755F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BD09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9BD09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4625A"/>
    <w:rsid w:val="0E152FAC"/>
    <w:rsid w:val="1E04625A"/>
    <w:rsid w:val="2C9C64EA"/>
    <w:rsid w:val="50EF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9309</Words>
  <Characters>11093</Characters>
  <Lines>0</Lines>
  <Paragraphs>0</Paragraphs>
  <TotalTime>23</TotalTime>
  <ScaleCrop>false</ScaleCrop>
  <LinksUpToDate>false</LinksUpToDate>
  <CharactersWithSpaces>11095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2025-08-14T07:20:00Z</dcterms:created>
  <dc:creator>Administrator</dc:creator>
  <cp:lastModifiedBy>Administrator</cp:lastModifiedBy>
  <dcterms:modified xsi:type="dcterms:W3CDTF">2025-08-14T07:48:41Z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2FCB10EFB0944BA0ADBF05F18872F529_13</vt:lpwstr>
  </property>
  <property fmtid="{D5CDD505-2E9C-101B-9397-08002B2CF9AE}" pid="4" name="KSOTemplateDocerSaveRecord">
    <vt:lpwstr>eyJoZGlkIjoiMTNhY2E2MDA4Yzg5NjhhM2M5OTEwNTM5MjE1NjkzMDgiLCJ1c2VySWQiOiIyOTI0ODMyNTYifQ==</vt:lpwstr>
  </property>
</Properties>
</file>