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rPr>
        <w:t>关于桐子林镇</w:t>
      </w:r>
      <w:r>
        <w:rPr>
          <w:rFonts w:hint="default" w:ascii="Times New Roman" w:hAnsi="Times New Roman" w:eastAsia="方正小标宋_GBK" w:cs="Times New Roman"/>
          <w:b/>
          <w:bCs/>
          <w:color w:val="000000"/>
          <w:sz w:val="44"/>
          <w:szCs w:val="44"/>
          <w:lang w:val="en-US" w:eastAsia="zh-CN"/>
        </w:rPr>
        <w:t>人民政府</w:t>
      </w:r>
      <w:r>
        <w:rPr>
          <w:rFonts w:hint="default" w:ascii="Times New Roman" w:hAnsi="Times New Roman" w:eastAsia="方正小标宋_GBK" w:cs="Times New Roman"/>
          <w:b/>
          <w:bCs/>
          <w:color w:val="000000"/>
          <w:sz w:val="44"/>
          <w:szCs w:val="44"/>
        </w:rPr>
        <w:t>2024年财政预算执行情况和2025年财政预算草案的报告</w:t>
      </w:r>
    </w:p>
    <w:p>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（2025年7月</w:t>
      </w:r>
      <w:r>
        <w:rPr>
          <w:rFonts w:hint="eastAsia" w:eastAsia="方正仿宋_GBK" w:cs="Times New Roman"/>
          <w:color w:val="000000"/>
          <w:sz w:val="32"/>
          <w:szCs w:val="32"/>
          <w:lang w:val="en-US" w:eastAsia="zh-CN"/>
        </w:rPr>
        <w:t>24</w:t>
      </w:r>
      <w:bookmarkStart w:id="4" w:name="_GoBack"/>
      <w:bookmarkEnd w:id="4"/>
      <w:r>
        <w:rPr>
          <w:rFonts w:hint="default" w:ascii="Times New Roman" w:hAnsi="Times New Roman" w:eastAsia="方正仿宋_GBK" w:cs="Times New Roman"/>
          <w:color w:val="000000"/>
          <w:sz w:val="32"/>
          <w:szCs w:val="32"/>
        </w:rPr>
        <w:t>日桐子林镇第六届八会议）</w:t>
      </w:r>
    </w:p>
    <w:p>
      <w:pPr>
        <w:keepNext w:val="0"/>
        <w:keepLines w:val="0"/>
        <w:pageBreakBefore w:val="0"/>
        <w:widowControl w:val="0"/>
        <w:kinsoku/>
        <w:wordWrap/>
        <w:overflowPunct/>
        <w:topLinePunct w:val="0"/>
        <w:autoSpaceDE/>
        <w:autoSpaceDN/>
        <w:bidi w:val="0"/>
        <w:spacing w:line="0" w:lineRule="atLeast"/>
        <w:ind w:firstLine="2240" w:firstLineChars="7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桐子林镇财政所所长  刘亚</w:t>
      </w:r>
    </w:p>
    <w:p>
      <w:pPr>
        <w:keepNext w:val="0"/>
        <w:keepLines w:val="0"/>
        <w:pageBreakBefore w:val="0"/>
        <w:widowControl w:val="0"/>
        <w:kinsoku/>
        <w:wordWrap/>
        <w:overflowPunct/>
        <w:topLinePunct w:val="0"/>
        <w:autoSpaceDE/>
        <w:autoSpaceDN/>
        <w:bidi w:val="0"/>
        <w:adjustRightInd/>
        <w:snapToGrid/>
        <w:spacing w:line="240" w:lineRule="auto"/>
        <w:ind w:left="640" w:leftChars="0" w:hanging="640" w:hanging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各位代表：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受镇人民政府的委托，我向大会报告桐子林镇2024年财政预算执行情况和2025年财政预算草案，请予审查，并请列席会议人员提出意见。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一、2024年预算执行情况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1.一般公共预算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024年，我镇一般公共预算财政拨款收入2,884.49万元，全年实现支出2,884.49万元。具体支出情况：（1）一般公共服务支出1,578.68万元；（2）文化旅游体育与传媒支出61.01万元；（3）社会保障和就业支出739.23万元；（4）卫生健康支出121.59万元；（5）节能环保支出0.12万元；（6）城乡社区支出29.7万元；（7）农林水支出241.97 万元；（8）住房保障支出112.19万元。预算执行为预算的100％，全年实现一般公共预算收支滚动平衡。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eastAsia="zh-CN"/>
        </w:rPr>
        <w:t>2.</w:t>
      </w:r>
      <w:r>
        <w:rPr>
          <w:rFonts w:hint="default" w:ascii="Times New Roman" w:hAnsi="Times New Roman" w:eastAsia="方正楷体_GBK" w:cs="Times New Roman"/>
          <w:b/>
          <w:sz w:val="32"/>
          <w:szCs w:val="32"/>
        </w:rPr>
        <w:t>政府性基金预算执行情况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政府性基金预算财政拨款收入575.15万元，实现本年支出575.15万元。主要用于城乡社区支出575.15万元，为预算的100％，实现政府性基金预算收支滚动平衡。确保了我镇盐边站站前基础设施配套项目县城南入口道路及管网改扩建工程、睿途游泳馆二期建设等重大项目和重点工作的有序推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sz w:val="32"/>
          <w:szCs w:val="32"/>
          <w:lang w:val="en-US" w:eastAsia="zh-CN"/>
        </w:rPr>
        <w:t>3.</w:t>
      </w:r>
      <w:r>
        <w:rPr>
          <w:rFonts w:hint="default" w:ascii="Times New Roman" w:hAnsi="Times New Roman" w:eastAsia="方正楷体_GBK" w:cs="Times New Roman"/>
          <w:b/>
          <w:sz w:val="32"/>
          <w:szCs w:val="32"/>
        </w:rPr>
        <w:t>国有资本经营预算</w:t>
      </w:r>
      <w:r>
        <w:rPr>
          <w:rFonts w:hint="default" w:ascii="Times New Roman" w:hAnsi="Times New Roman" w:eastAsia="方正楷体_GBK" w:cs="Times New Roman"/>
          <w:b/>
          <w:color w:val="000000"/>
          <w:sz w:val="32"/>
          <w:szCs w:val="32"/>
        </w:rPr>
        <w:t>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2024年，国有资本经营预算财政拨款收入5万元，实现本年国有资本经营预算支出5万元，为预算的100％，实现国有资本经营预算收支滚动平衡。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eastAsia="zh-CN"/>
        </w:rPr>
        <w:t>4.</w:t>
      </w:r>
      <w:r>
        <w:rPr>
          <w:rFonts w:hint="default" w:ascii="Times New Roman" w:hAnsi="Times New Roman" w:eastAsia="方正楷体_GBK" w:cs="Times New Roman"/>
          <w:b/>
          <w:sz w:val="32"/>
          <w:szCs w:val="32"/>
        </w:rPr>
        <w:t>其他收入预算执行情况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024年，其他收入上年结余49.12万元，本年收入15万元，实现本年其他收入支出54.19万元，具体支出情况：（1）森林草原防灭火支出5万元；（2）公路建设30.81万元（3）其他林业和草原支出18.31万元，本年结转结余9.93万元，为预算的85％，基本确保了我镇重大项目和重点工作的有序推进。</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jc w:val="both"/>
        <w:textAlignment w:val="auto"/>
        <w:rPr>
          <w:rFonts w:hint="default" w:ascii="Times New Roman" w:hAnsi="Times New Roman" w:eastAsia="方正仿宋_GBK" w:cs="Times New Roman"/>
          <w:b/>
          <w:bCs/>
          <w:color w:val="000000"/>
          <w:sz w:val="33"/>
          <w:szCs w:val="33"/>
        </w:rPr>
      </w:pPr>
      <w:r>
        <w:rPr>
          <w:rFonts w:hint="default" w:ascii="Times New Roman" w:hAnsi="Times New Roman" w:eastAsia="方正仿宋_GBK" w:cs="Times New Roman"/>
          <w:b/>
          <w:bCs/>
          <w:color w:val="000000"/>
          <w:sz w:val="33"/>
          <w:szCs w:val="33"/>
        </w:rPr>
        <w:t>以上预算执行情况提请本次会议审查。需说明的是，我镇财政预算执行情况为2024年财政总决算报表数，在省财政厅办理完结算后可能会有所变化，届时再向镇人大主席团报告。</w:t>
      </w:r>
    </w:p>
    <w:p>
      <w:pPr>
        <w:spacing w:line="560" w:lineRule="exact"/>
        <w:ind w:firstLine="640"/>
        <w:jc w:val="both"/>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（二）落实镇人大预算决议和重点财政工作情况</w:t>
      </w:r>
    </w:p>
    <w:p>
      <w:pPr>
        <w:spacing w:line="560" w:lineRule="exact"/>
        <w:ind w:firstLine="64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 xml:space="preserve">024年，大力推行法制财政、民生财政、阳光财政建设，严格落实镇人大预算决议和意见，为全镇经济社会高质量发展提供了有力支撑。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合理调度和有效统筹资金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面对收支矛盾十分突出的局面，确保了全镇干部职工工资按时足额发放、单位正常运转，防范了重大风险，公共卫生、森林草原防灭火、防汛抗旱、民生工程、乡村振兴等重点工作有序推进。重点支出情况：（1）一般公共服务支出1,578.68万元</w:t>
      </w:r>
      <w:bookmarkStart w:id="0" w:name="OLE_LINK2"/>
      <w:bookmarkStart w:id="1" w:name="OLE_LINK1"/>
      <w:r>
        <w:rPr>
          <w:rFonts w:hint="default" w:ascii="Times New Roman" w:hAnsi="Times New Roman" w:eastAsia="方正仿宋_GBK" w:cs="Times New Roman"/>
          <w:color w:val="000000"/>
          <w:sz w:val="32"/>
          <w:szCs w:val="32"/>
        </w:rPr>
        <w:t>，占一般公共预算支出55%</w:t>
      </w:r>
      <w:bookmarkEnd w:id="0"/>
      <w:bookmarkEnd w:id="1"/>
      <w:r>
        <w:rPr>
          <w:rFonts w:hint="default" w:ascii="Times New Roman" w:hAnsi="Times New Roman" w:eastAsia="方正仿宋_GBK" w:cs="Times New Roman"/>
          <w:color w:val="000000"/>
          <w:sz w:val="32"/>
          <w:szCs w:val="32"/>
        </w:rPr>
        <w:t>；（2）文化旅游体育与传媒支出61.01万元，占一般公共预算支出2%；（3）社会保障和就业支出739.23万元，占一般公共预算支出26%；（4）卫生健康支出121.59万元，占一般公共预算支出4%；（5）城乡社区支出29.7万，占一般公共预算支出1%；（6）农林水支出241.97 万元，占一般公共预算支出8%；（7）住房保障支出112.19万元，占一般公共预算支出4%。</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加强政府债务常态化管理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严控政府性债务增量、消化存量、稳定总量，多渠道筹资偿债，确保全镇政府综合债务只降不增。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努力做好财政基础管理。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一是继续压缩运行成本</w:t>
      </w:r>
      <w:r>
        <w:rPr>
          <w:rFonts w:hint="default" w:ascii="Times New Roman" w:hAnsi="Times New Roman" w:eastAsia="方正仿宋_GBK" w:cs="Times New Roman"/>
          <w:color w:val="000000"/>
          <w:sz w:val="32"/>
          <w:szCs w:val="32"/>
        </w:rPr>
        <w:t>牢固树立过“紧日子”的思想，按中央、省、市、县财政的要求，严格控制“三公经费”等一般性支出，2024 年我镇“三公”经费支出2.01万元 ，同比下降4% 。</w:t>
      </w:r>
      <w:r>
        <w:rPr>
          <w:rFonts w:hint="default" w:ascii="Times New Roman" w:hAnsi="Times New Roman" w:eastAsia="方正仿宋_GBK" w:cs="Times New Roman"/>
          <w:b/>
          <w:color w:val="000000"/>
          <w:sz w:val="32"/>
          <w:szCs w:val="32"/>
        </w:rPr>
        <w:t>二是严格政府采购监管。</w:t>
      </w:r>
      <w:r>
        <w:rPr>
          <w:rFonts w:hint="default" w:ascii="Times New Roman" w:hAnsi="Times New Roman" w:eastAsia="方正仿宋_GBK" w:cs="Times New Roman"/>
          <w:color w:val="000000"/>
          <w:sz w:val="32"/>
          <w:szCs w:val="32"/>
        </w:rPr>
        <w:t>坚持没有编制政府采购预算的一律不予政府采购；严格遵守政府采购审批流程。</w:t>
      </w:r>
      <w:r>
        <w:rPr>
          <w:rFonts w:hint="default" w:ascii="Times New Roman" w:hAnsi="Times New Roman" w:eastAsia="方正仿宋_GBK" w:cs="Times New Roman"/>
          <w:b/>
          <w:color w:val="000000"/>
          <w:sz w:val="32"/>
          <w:szCs w:val="32"/>
        </w:rPr>
        <w:t>三是充分发挥会计监督职能，确保资金使用安全。</w:t>
      </w:r>
      <w:r>
        <w:rPr>
          <w:rFonts w:hint="default" w:ascii="Times New Roman" w:hAnsi="Times New Roman" w:eastAsia="方正仿宋_GBK" w:cs="Times New Roman"/>
          <w:color w:val="000000"/>
          <w:sz w:val="32"/>
          <w:szCs w:val="32"/>
        </w:rPr>
        <w:t>认真贯彻落实严肃财经纪律要求，强化执纪问责，严格履行监管职责，开展严肃财经纪律及会计信息质量自查。</w:t>
      </w:r>
      <w:r>
        <w:rPr>
          <w:rFonts w:hint="default" w:ascii="Times New Roman" w:hAnsi="Times New Roman" w:eastAsia="方正仿宋_GBK" w:cs="Times New Roman"/>
          <w:b/>
          <w:color w:val="000000"/>
          <w:sz w:val="32"/>
          <w:szCs w:val="32"/>
        </w:rPr>
        <w:t>四是积极推进全面预算绩效管理，确保资金使用绩效目标。</w:t>
      </w:r>
      <w:r>
        <w:rPr>
          <w:rFonts w:hint="default" w:ascii="Times New Roman" w:hAnsi="Times New Roman" w:eastAsia="方正仿宋_GBK" w:cs="Times New Roman"/>
          <w:color w:val="000000"/>
          <w:sz w:val="32"/>
          <w:szCs w:val="32"/>
        </w:rPr>
        <w:t>不断提升财政资金配置和使用绩效，深化绩效目标管理，积极主动作为，认真履职尽责，扎实做好预算绩效管理各项工作。</w:t>
      </w:r>
      <w:r>
        <w:rPr>
          <w:rFonts w:hint="default" w:ascii="Times New Roman" w:hAnsi="Times New Roman" w:eastAsia="方正仿宋_GBK" w:cs="Times New Roman"/>
          <w:b/>
          <w:color w:val="000000"/>
          <w:sz w:val="32"/>
          <w:szCs w:val="32"/>
        </w:rPr>
        <w:t>五是着力提高财政资金使用效益。</w:t>
      </w:r>
      <w:r>
        <w:rPr>
          <w:rFonts w:hint="default" w:ascii="Times New Roman" w:hAnsi="Times New Roman" w:eastAsia="方正仿宋_GBK" w:cs="Times New Roman"/>
          <w:color w:val="000000"/>
          <w:sz w:val="32"/>
          <w:szCs w:val="32"/>
        </w:rPr>
        <w:t>进一步加大财政统筹力度，用足用活积极财政政策，加强财政政策与其他政策协调联动，着力提升促进高质量发展的效果。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rPr>
        <w:t>强化改革，提升治理效能。一是深化预算管理改革</w:t>
      </w:r>
      <w:r>
        <w:rPr>
          <w:rFonts w:hint="default" w:ascii="Times New Roman" w:hAnsi="Times New Roman" w:eastAsia="方正仿宋_GBK" w:cs="Times New Roman"/>
          <w:b/>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落实上级财政加强财政收支预算管理的要求，进一步明确深度挖掘用好政策，深入推进绩效预算评价等方面的要求。用好财政预算管理一体化系统，确保一体化系统预算执行业务全覆盖。规范财政预算编制口径，加强财政预算管理。积极推进预算绩效成果运用，确保资金使用效益。</w:t>
      </w:r>
      <w:r>
        <w:rPr>
          <w:rFonts w:hint="default" w:ascii="Times New Roman" w:hAnsi="Times New Roman" w:eastAsia="方正仿宋_GBK" w:cs="Times New Roman"/>
          <w:b/>
          <w:sz w:val="32"/>
          <w:szCs w:val="32"/>
        </w:rPr>
        <w:t>二是推进“一卡通” 阳光审批。</w:t>
      </w:r>
      <w:r>
        <w:rPr>
          <w:rFonts w:hint="default" w:ascii="Times New Roman" w:hAnsi="Times New Roman" w:eastAsia="方正仿宋_GBK" w:cs="Times New Roman"/>
          <w:color w:val="000000"/>
          <w:sz w:val="32"/>
          <w:szCs w:val="32"/>
        </w:rPr>
        <w:t>依托全市建立的“一卡通”监管平台，规范发放各类惠民惠农补贴，让“一卡通”成为群众的“幸福卡”“明白卡”。</w:t>
      </w:r>
      <w:r>
        <w:rPr>
          <w:rFonts w:hint="default" w:ascii="Times New Roman" w:hAnsi="Times New Roman" w:eastAsia="方正仿宋_GBK" w:cs="Times New Roman"/>
          <w:b/>
          <w:sz w:val="32"/>
          <w:szCs w:val="32"/>
        </w:rPr>
        <w:t>三是加强各类风险防控。</w:t>
      </w:r>
      <w:r>
        <w:rPr>
          <w:rFonts w:hint="default" w:ascii="Times New Roman" w:hAnsi="Times New Roman" w:eastAsia="方正仿宋_GBK" w:cs="Times New Roman"/>
          <w:color w:val="000000"/>
          <w:sz w:val="32"/>
          <w:szCs w:val="32"/>
        </w:rPr>
        <w:t xml:space="preserve">坚决守住不发生区域性系统性风险的底线，债务风险总体可控。加强基本公共卫生服务、森林草原防灭火专项整治、动植物疫病防控、防汛抗旱、农业生产和水利救灾减灾，减轻灾害损失等工作的资金保障。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上成绩的取得，是镇党委、政府正确领导的结果，是镇人大监督指导以及代表大力支持的结果，是各站所办密切配合，扎实工作的结果。同时，我们也清醒的认识到当前财政工作存在的问题和不足：经济增长压力依然较大，民生短板多，财政收支矛盾依然突出。对此，恳请各位代表提出宝贵的意见和建议，我们将认真研究，切实推动解决。</w:t>
      </w:r>
    </w:p>
    <w:p>
      <w:pPr>
        <w:keepNext w:val="0"/>
        <w:keepLines w:val="0"/>
        <w:pageBreakBefore w:val="0"/>
        <w:wordWrap/>
        <w:overflowPunct/>
        <w:topLinePunct w:val="0"/>
        <w:bidi w:val="0"/>
        <w:spacing w:line="240" w:lineRule="auto"/>
        <w:ind w:left="0" w:firstLine="643" w:firstLineChars="200"/>
        <w:jc w:val="both"/>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二、2025年财政预算草案</w:t>
      </w:r>
    </w:p>
    <w:p>
      <w:pPr>
        <w:pStyle w:val="2"/>
        <w:keepNext w:val="0"/>
        <w:keepLines w:val="0"/>
        <w:pageBreakBefore w:val="0"/>
        <w:wordWrap/>
        <w:overflowPunct/>
        <w:topLinePunct w:val="0"/>
        <w:bidi w:val="0"/>
        <w:spacing w:line="240" w:lineRule="auto"/>
        <w:ind w:left="0" w:firstLine="640" w:firstLineChars="200"/>
        <w:jc w:val="both"/>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2025 年是“十四五”规划的收官之年，也是“十五五”规划谋划之年，做好2025年预算编制工作意义重大，事关我镇未来发展和全镇人民切身利益。我们将坚持以习近平新时代中国特色社会主义思想为指导，全面贯彻党的二十届三中全会、省委十二届六次全会、市委十一届八次全会、县委十五届六次全会和中央、省委、市委、县委经济工作会议精神，坚持稳中求进工作总基调，坚决落实管党治党政治责任，落实更加积极的财政政策，狠抓预算执行管理，积极争取上级部门支持，坚决兜牢兜实“三保” 底线，竭力保障民生福祉温暖有力，防范化解政府债务风险，持续提升财政治理效能。</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（一）2025年预算编制原则</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b/>
          <w:bCs/>
          <w:sz w:val="32"/>
          <w:szCs w:val="32"/>
        </w:rPr>
        <w:t>是坚持收支平衡。</w:t>
      </w:r>
      <w:r>
        <w:rPr>
          <w:rFonts w:hint="default" w:ascii="Times New Roman" w:hAnsi="Times New Roman" w:eastAsia="方正仿宋_GBK" w:cs="Times New Roman"/>
          <w:color w:val="000000"/>
          <w:sz w:val="32"/>
          <w:szCs w:val="32"/>
        </w:rPr>
        <w:t>根据2025年我镇综合财力情况，“以收定支”，力争当年实现收支平衡。</w:t>
      </w:r>
      <w:r>
        <w:rPr>
          <w:rFonts w:hint="default" w:ascii="Times New Roman" w:hAnsi="Times New Roman" w:eastAsia="方正仿宋_GBK" w:cs="Times New Roman"/>
          <w:b/>
          <w:bCs/>
          <w:color w:val="000000"/>
          <w:sz w:val="32"/>
          <w:szCs w:val="32"/>
        </w:rPr>
        <w:t>二是坚持厉行勤俭节约过紧日子。</w:t>
      </w:r>
      <w:r>
        <w:rPr>
          <w:rFonts w:hint="default" w:ascii="Times New Roman" w:hAnsi="Times New Roman" w:eastAsia="方正仿宋_GBK" w:cs="Times New Roman"/>
          <w:color w:val="000000"/>
          <w:sz w:val="32"/>
          <w:szCs w:val="32"/>
        </w:rPr>
        <w:t>将政府过紧日子作为长期坚持的方针政策，坚持厉行节约办一切事业，非重点、非刚性的一般性支出项目从严从紧安排预算，对可干可不干的项目不予安排预算。</w:t>
      </w:r>
      <w:r>
        <w:rPr>
          <w:rFonts w:hint="default" w:ascii="Times New Roman" w:hAnsi="Times New Roman" w:eastAsia="方正仿宋_GBK" w:cs="Times New Roman"/>
          <w:b/>
          <w:bCs/>
          <w:color w:val="000000"/>
          <w:sz w:val="32"/>
          <w:szCs w:val="32"/>
        </w:rPr>
        <w:t>三是坚持全面统筹保障重点支出。</w:t>
      </w:r>
      <w:r>
        <w:rPr>
          <w:rFonts w:hint="default" w:ascii="Times New Roman" w:hAnsi="Times New Roman" w:eastAsia="方正仿宋_GBK" w:cs="Times New Roman"/>
          <w:color w:val="000000"/>
          <w:sz w:val="32"/>
          <w:szCs w:val="32"/>
        </w:rPr>
        <w:t>全面落实镇党委重大部署，加大支出结构调整力度，增强重大战略任务财力保障。</w:t>
      </w:r>
      <w:r>
        <w:rPr>
          <w:rFonts w:hint="default" w:ascii="Times New Roman" w:hAnsi="Times New Roman" w:eastAsia="方正仿宋_GBK" w:cs="Times New Roman"/>
          <w:b/>
          <w:bCs/>
          <w:color w:val="000000"/>
          <w:sz w:val="32"/>
          <w:szCs w:val="32"/>
        </w:rPr>
        <w:t>四是坚持绩效理念提升资金效益。</w:t>
      </w:r>
      <w:r>
        <w:rPr>
          <w:rFonts w:hint="default" w:ascii="Times New Roman" w:hAnsi="Times New Roman" w:eastAsia="方正仿宋_GBK" w:cs="Times New Roman"/>
          <w:color w:val="000000"/>
          <w:sz w:val="32"/>
          <w:szCs w:val="32"/>
        </w:rPr>
        <w:t>坚持“花钱必问效”，建立健全绩效导向的预算管理机制，提高财政资源配置效率和资金使用效益。</w:t>
      </w:r>
      <w:r>
        <w:rPr>
          <w:rFonts w:hint="default" w:ascii="Times New Roman" w:hAnsi="Times New Roman" w:eastAsia="方正仿宋_GBK" w:cs="Times New Roman"/>
          <w:b/>
          <w:bCs/>
          <w:color w:val="000000"/>
          <w:sz w:val="32"/>
          <w:szCs w:val="32"/>
        </w:rPr>
        <w:t>五是加强预算管理、严肃财</w:t>
      </w:r>
      <w:r>
        <w:rPr>
          <w:rFonts w:hint="default" w:ascii="Times New Roman" w:hAnsi="Times New Roman" w:eastAsia="方正仿宋_GBK" w:cs="Times New Roman"/>
          <w:b/>
          <w:bCs/>
          <w:sz w:val="32"/>
          <w:szCs w:val="32"/>
        </w:rPr>
        <w:t>经纪律。</w:t>
      </w:r>
      <w:r>
        <w:rPr>
          <w:rFonts w:hint="default" w:ascii="Times New Roman" w:hAnsi="Times New Roman" w:eastAsia="方正仿宋_GBK" w:cs="Times New Roman"/>
          <w:color w:val="000000"/>
          <w:sz w:val="32"/>
          <w:szCs w:val="32"/>
        </w:rPr>
        <w:t xml:space="preserve">要自觉遵守制度，严格执行制度，坚决维护制度，按照制度履行职责、行使权力、开展工作。要坚持先有预算后有支出，严控预算追加事项。 </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（二）2025年的财政收支预算草案编列如下</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1.财政拨款收入安排情况</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2025年一般公共预算拨款收入共计安排1929.88万元。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2.财政拨款预算支出安排情况</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按照收支平衡原则，我镇一般公共预算支出预计完成1929.88万元。具体安排如下：</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（1）一般公共服务支出1095.33万元；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（2）文化旅游体育与传媒支出66.72万元；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（3）社会保障和就业支出259.4万元；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（4）卫生健康支出123.56万元；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（5）农林水支出144.16万元；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（6）住房保障支出</w:t>
      </w:r>
      <w:bookmarkStart w:id="2" w:name="OLE_LINK4"/>
      <w:bookmarkStart w:id="3" w:name="OLE_LINK3"/>
      <w:r>
        <w:rPr>
          <w:rFonts w:hint="default" w:ascii="Times New Roman" w:hAnsi="Times New Roman" w:eastAsia="方正仿宋_GBK" w:cs="Times New Roman"/>
          <w:color w:val="000000"/>
          <w:sz w:val="32"/>
          <w:szCs w:val="32"/>
        </w:rPr>
        <w:t>103.63万元；</w:t>
      </w:r>
      <w:bookmarkEnd w:id="2"/>
      <w:bookmarkEnd w:id="3"/>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（7）其他支出118.08万元（年初预留）；</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（8）预备费19万元。(总预备费）</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黑体_GBK" w:cs="Times New Roman"/>
          <w:b/>
          <w:color w:val="000000"/>
          <w:sz w:val="32"/>
          <w:szCs w:val="32"/>
        </w:rPr>
      </w:pPr>
      <w:r>
        <w:rPr>
          <w:rFonts w:hint="default" w:ascii="Times New Roman" w:hAnsi="Times New Roman" w:eastAsia="方正黑体_GBK" w:cs="Times New Roman"/>
          <w:b/>
          <w:sz w:val="32"/>
          <w:szCs w:val="32"/>
        </w:rPr>
        <w:t>三、2025年财政工作重点</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围绕以上预算安排，2025年财政将重点做好以下工作。</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（一）全面加强预算绩效管理</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2"/>
          <w:szCs w:val="32"/>
        </w:rPr>
        <w:t>完善贯穿预算管理事前、事中、事后闭环的全过程预算绩效管理链条。不断完善全过程预算绩效管理机制，加强绩效管理工作考核，加大绩效结果和预算安排挂钩力度，更加突出绩效导向，将绩效管理实质性嵌入预算管理流程。强化绩效意识，将具体工作与绩效管理融合起来，完善项目全程评价和绩效管理全覆盖工作机制，大力推进绩效信息公开力度，推动绩效目标、绩效评价结果向社会公开，提高财政资金绩效管理质效。</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（二）全面提高资金使用效益</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花钱必问效、无效必收回”的原则，落实清理闲置沉淀资金、清理低效无效预算资金、清理预算结余资金“三项清理”制度，切实加强预算全过程闭环管理。持续开展存量资金清理盘活工作，全面提高财政资源配置效率和使用效益。注重发挥整体效应，探索财政资金综合使用联席会议机制，优化财政资源配置，确保财政资金聚力增效。坚持厉行节约、反对浪费长效机制，提升财政资金管理使用的科学性、准确性、完整性和时效性。</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（三）全面实施预算管理一体化</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继续推进预算管理一体化改革，以项目库为基础，用系统化思维全流程整合预算管理各环节业务规范，将制度规范与信息系统建设紧密结合，通过将规则嵌入系统强化制度执行力，为深化预算制度改革提供基础保障。规范和统一预算管理业务流程、管理要素和控制规则，实现政府预算、部门预算之间以及上下级预算之间的业务环节无缝衔接和有效控制，预算管理全流程合法合规，实现资金分配、管理、使用全程监督。</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（四）优化支出防范财政风险</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坚决兜牢兜实“三保”底线。始终将“三保”摆在财政工作的最优先位置，坚持“三保”支出优先顺序，落实“三保”预算执行监测和保障机制，确保“三保”支出不出现系统性风险。二是减少低效、冗余支出。坚决落实过“紧日子”要求，严控一般性支出，从紧安排必要支出。集中有限财力保重点、办大事，提升镇党委、政府重大决策部署落地的财政保障能力。三是防范化解债务风险。更好统筹发展和安全，严守财政规则与预算约束，科学管理政府债务，防范财政运行风险。</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3" w:firstLineChars="200"/>
        <w:jc w:val="both"/>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（五）全力支持人大预算联网监督</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全面贯彻《中华人民共和国预算法》《中华人民共和国预算法实施条例》《四川省预算审查监督条例》，落实人大对政府审查监督的各项要求，改进预决算草案、预算调整方案等编报工作。加强国有资产管理，做好国有资产管理情况综合报告工作。支持配合人大开展联网监督，按标准规范提供人大预算联网审查监督数据信息，自觉接受人大监督。 </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240" w:lineRule="auto"/>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各位代表，2025年我们将加强自身建设，提高财政管理水平，自觉接受镇人大监督，履职尽责，勇于担当，为桐子林镇高质量发展贡献财政力量！</w:t>
      </w:r>
    </w:p>
    <w:p>
      <w:pPr>
        <w:keepNext w:val="0"/>
        <w:keepLines w:val="0"/>
        <w:pageBreakBefore w:val="0"/>
        <w:widowControl w:val="0"/>
        <w:kinsoku/>
        <w:wordWrap/>
        <w:overflowPunct/>
        <w:topLinePunct w:val="0"/>
        <w:autoSpaceDE/>
        <w:autoSpaceDN/>
        <w:bidi w:val="0"/>
        <w:spacing w:line="240" w:lineRule="auto"/>
        <w:ind w:right="0" w:rightChars="0" w:firstLine="400" w:firstLineChars="200"/>
        <w:jc w:val="both"/>
        <w:textAlignment w:val="auto"/>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ind w:firstLine="360"/>
    </w:pPr>
  </w:p>
  <w:p>
    <w:pPr>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7"/>
      </w:rPr>
    </w:pPr>
    <w:r>
      <w:rPr>
        <w:rStyle w:val="7"/>
      </w:rPr>
      <w:fldChar w:fldCharType="begin"/>
    </w:r>
    <w:r>
      <w:rPr>
        <w:rStyle w:val="7"/>
      </w:rPr>
      <w:instrText xml:space="preserve">PAGE  </w:instrText>
    </w:r>
    <w:r>
      <w:rPr>
        <w:rStyle w:val="7"/>
      </w:rPr>
      <w:fldChar w:fldCharType="end"/>
    </w:r>
  </w:p>
  <w:p>
    <w:pPr>
      <w:pStyle w:val="3"/>
      <w:ind w:firstLine="360"/>
    </w:pPr>
  </w:p>
  <w:p>
    <w:pPr>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6BF4E"/>
    <w:multiLevelType w:val="singleLevel"/>
    <w:tmpl w:val="C476BF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44"/>
    <w:rsid w:val="00032DD8"/>
    <w:rsid w:val="0004026A"/>
    <w:rsid w:val="00074D03"/>
    <w:rsid w:val="0008335C"/>
    <w:rsid w:val="00084901"/>
    <w:rsid w:val="00104595"/>
    <w:rsid w:val="00105F80"/>
    <w:rsid w:val="001A4F71"/>
    <w:rsid w:val="001C1729"/>
    <w:rsid w:val="00200941"/>
    <w:rsid w:val="002720AA"/>
    <w:rsid w:val="002819D9"/>
    <w:rsid w:val="003049CD"/>
    <w:rsid w:val="003170EA"/>
    <w:rsid w:val="00337144"/>
    <w:rsid w:val="00391C64"/>
    <w:rsid w:val="003B00C0"/>
    <w:rsid w:val="003D3241"/>
    <w:rsid w:val="004305DB"/>
    <w:rsid w:val="00463640"/>
    <w:rsid w:val="00474B10"/>
    <w:rsid w:val="004B0636"/>
    <w:rsid w:val="004C02FC"/>
    <w:rsid w:val="004D3849"/>
    <w:rsid w:val="00502A77"/>
    <w:rsid w:val="005D55AF"/>
    <w:rsid w:val="005F13A0"/>
    <w:rsid w:val="00613E32"/>
    <w:rsid w:val="00663C66"/>
    <w:rsid w:val="006B3D05"/>
    <w:rsid w:val="006E31EB"/>
    <w:rsid w:val="0073190E"/>
    <w:rsid w:val="0074119F"/>
    <w:rsid w:val="007B26E4"/>
    <w:rsid w:val="008F6601"/>
    <w:rsid w:val="00942B0C"/>
    <w:rsid w:val="00976798"/>
    <w:rsid w:val="00990521"/>
    <w:rsid w:val="009B0F3D"/>
    <w:rsid w:val="00B104E1"/>
    <w:rsid w:val="00B70C86"/>
    <w:rsid w:val="00B86E4B"/>
    <w:rsid w:val="00B9340B"/>
    <w:rsid w:val="00C64880"/>
    <w:rsid w:val="00C953CE"/>
    <w:rsid w:val="00CE4D74"/>
    <w:rsid w:val="00D71FCC"/>
    <w:rsid w:val="00DA5FE8"/>
    <w:rsid w:val="00DC3B38"/>
    <w:rsid w:val="00DD2AAC"/>
    <w:rsid w:val="00DF7B34"/>
    <w:rsid w:val="00E06981"/>
    <w:rsid w:val="00E12F2D"/>
    <w:rsid w:val="00E24441"/>
    <w:rsid w:val="00EA141C"/>
    <w:rsid w:val="00F059A8"/>
    <w:rsid w:val="00F258CF"/>
    <w:rsid w:val="00F5452A"/>
    <w:rsid w:val="00FA38E5"/>
    <w:rsid w:val="00FC03A4"/>
    <w:rsid w:val="160D72DE"/>
    <w:rsid w:val="1D27A59F"/>
    <w:rsid w:val="3FFDA7C7"/>
    <w:rsid w:val="455B752A"/>
    <w:rsid w:val="524626C3"/>
    <w:rsid w:val="91FFC9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semiHidden/>
    <w:qFormat/>
    <w:uiPriority w:val="99"/>
    <w:pPr>
      <w:widowControl/>
      <w:kinsoku w:val="0"/>
      <w:autoSpaceDE w:val="0"/>
      <w:autoSpaceDN w:val="0"/>
      <w:adjustRightInd w:val="0"/>
      <w:snapToGrid w:val="0"/>
      <w:ind w:firstLine="0" w:firstLineChars="0"/>
      <w:textAlignment w:val="baseline"/>
    </w:pPr>
    <w:rPr>
      <w:rFonts w:ascii="方正仿宋_GBK" w:hAnsi="方正仿宋_GBK" w:eastAsia="方正仿宋_GBK" w:cs="方正仿宋_GBK"/>
      <w:color w:val="000000"/>
      <w:sz w:val="31"/>
      <w:szCs w:val="31"/>
      <w:lang w:eastAsia="en-US"/>
    </w:rPr>
  </w:style>
  <w:style w:type="paragraph" w:styleId="3">
    <w:name w:val="footer"/>
    <w:basedOn w:val="1"/>
    <w:link w:val="8"/>
    <w:qFormat/>
    <w:uiPriority w:val="99"/>
    <w:pPr>
      <w:tabs>
        <w:tab w:val="center" w:pos="4153"/>
        <w:tab w:val="right" w:pos="8306"/>
      </w:tabs>
      <w:snapToGrid w:val="0"/>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脚 Char"/>
    <w:link w:val="3"/>
    <w:qFormat/>
    <w:locked/>
    <w:uiPriority w:val="99"/>
    <w:rPr>
      <w:rFonts w:ascii="Times New Roman" w:hAnsi="Times New Roman" w:eastAsia="宋体" w:cs="Times New Roman"/>
      <w:kern w:val="0"/>
      <w:sz w:val="18"/>
      <w:szCs w:val="18"/>
    </w:rPr>
  </w:style>
  <w:style w:type="character" w:customStyle="1" w:styleId="9">
    <w:name w:val="页眉 Char"/>
    <w:link w:val="4"/>
    <w:qFormat/>
    <w:locked/>
    <w:uiPriority w:val="99"/>
    <w:rPr>
      <w:rFonts w:ascii="Times New Roman" w:hAnsi="Times New Roman" w:eastAsia="宋体" w:cs="Times New Roman"/>
      <w:kern w:val="0"/>
      <w:sz w:val="18"/>
      <w:szCs w:val="18"/>
    </w:rPr>
  </w:style>
  <w:style w:type="character" w:customStyle="1" w:styleId="10">
    <w:name w:val="正文文本 Char"/>
    <w:link w:val="2"/>
    <w:semiHidden/>
    <w:qFormat/>
    <w:locked/>
    <w:uiPriority w:val="99"/>
    <w:rPr>
      <w:rFonts w:ascii="方正仿宋_GBK" w:hAnsi="方正仿宋_GBK" w:eastAsia="方正仿宋_GBK" w:cs="方正仿宋_GBK"/>
      <w:snapToGrid w:val="0"/>
      <w:color w:val="000000"/>
      <w:kern w:val="0"/>
      <w:sz w:val="31"/>
      <w:szCs w:val="3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631</Words>
  <Characters>3603</Characters>
  <Lines>30</Lines>
  <Paragraphs>8</Paragraphs>
  <TotalTime>298</TotalTime>
  <ScaleCrop>false</ScaleCrop>
  <LinksUpToDate>false</LinksUpToDate>
  <CharactersWithSpaces>4226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2025-07-03T03:49:00Z</dcterms:created>
  <dc:creator>Lenovo</dc:creator>
  <cp:lastModifiedBy>Owner</cp:lastModifiedBy>
  <dcterms:modified xsi:type="dcterms:W3CDTF">2025-07-23T08:49:48Z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7993EC44CE35D407DA936768D5EC4C2E</vt:lpwstr>
  </property>
</Properties>
</file>