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bCs/>
          <w:sz w:val="44"/>
          <w:szCs w:val="44"/>
          <w:lang w:eastAsia="zh-CN"/>
        </w:rPr>
      </w:pPr>
      <w:bookmarkStart w:id="0" w:name="_Toc30269"/>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bCs/>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bCs/>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bCs/>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bCs/>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bCs/>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bCs/>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bCs/>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bCs/>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方正小标宋_GBK" w:hAnsi="方正小标宋_GBK" w:eastAsia="方正小标宋_GBK" w:cs="方正小标宋_GBK"/>
          <w:b/>
          <w:bCs/>
          <w:sz w:val="44"/>
          <w:szCs w:val="44"/>
          <w:lang w:eastAsia="zh-CN"/>
        </w:rPr>
      </w:pPr>
    </w:p>
    <w:p>
      <w:pPr>
        <w:widowControl/>
        <w:shd w:val="clear" w:color="auto" w:fill="FFFFFF"/>
        <w:spacing w:line="240" w:lineRule="auto"/>
        <w:jc w:val="center"/>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eastAsia="zh-CN"/>
        </w:rPr>
        <w:t>盐边县</w:t>
      </w:r>
      <w:bookmarkEnd w:id="0"/>
      <w:r>
        <w:rPr>
          <w:rFonts w:hint="eastAsia" w:ascii="Times New Roman" w:hAnsi="Times New Roman" w:eastAsia="方正小标宋_GBK" w:cs="Times New Roman"/>
          <w:b/>
          <w:bCs/>
          <w:sz w:val="44"/>
          <w:szCs w:val="44"/>
          <w:lang w:eastAsia="zh-CN"/>
        </w:rPr>
        <w:t>桐子林镇卫生院</w:t>
      </w:r>
    </w:p>
    <w:p>
      <w:pPr>
        <w:widowControl/>
        <w:shd w:val="clear" w:color="auto" w:fill="FFFFFF"/>
        <w:spacing w:line="240" w:lineRule="auto"/>
        <w:jc w:val="center"/>
        <w:rPr>
          <w:rFonts w:hint="eastAsia"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lang w:val="en-US" w:eastAsia="zh-CN"/>
        </w:rPr>
        <w:t>2025</w:t>
      </w:r>
      <w:r>
        <w:rPr>
          <w:rFonts w:hint="eastAsia" w:ascii="Times New Roman" w:hAnsi="Times New Roman" w:eastAsia="方正小标宋_GBK" w:cs="Times New Roman"/>
          <w:b/>
          <w:bCs/>
          <w:sz w:val="44"/>
          <w:szCs w:val="44"/>
        </w:rPr>
        <w:t>年部门预算编制说明</w:t>
      </w: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b/>
          <w:bCs/>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spacing w:line="640" w:lineRule="exact"/>
        <w:jc w:val="center"/>
        <w:rPr>
          <w:rFonts w:hint="eastAsia" w:ascii="方正小标宋_GBK" w:hAnsi="方正小标宋_GBK" w:eastAsia="方正小标宋_GBK" w:cs="方正小标宋_GBK"/>
          <w:sz w:val="44"/>
          <w:szCs w:val="44"/>
        </w:rPr>
      </w:pPr>
    </w:p>
    <w:p>
      <w:pPr>
        <w:widowControl/>
        <w:shd w:val="clear" w:color="auto" w:fill="FFFFFF"/>
        <w:tabs>
          <w:tab w:val="left" w:pos="3392"/>
        </w:tabs>
        <w:spacing w:line="640" w:lineRule="exact"/>
        <w:jc w:val="left"/>
        <w:rPr>
          <w:rFonts w:hint="eastAsia" w:ascii="方正小标宋_GBK" w:hAnsi="方正小标宋_GBK" w:eastAsia="方正小标宋_GBK" w:cs="方正小标宋_GBK"/>
          <w:sz w:val="44"/>
          <w:szCs w:val="44"/>
          <w:lang w:eastAsia="zh-CN"/>
        </w:rPr>
      </w:pPr>
    </w:p>
    <w:p>
      <w:pPr>
        <w:widowControl/>
        <w:shd w:val="clear" w:color="auto" w:fill="FFFFFF"/>
        <w:spacing w:line="640" w:lineRule="exact"/>
        <w:jc w:val="center"/>
        <w:rPr>
          <w:rFonts w:hint="eastAsia" w:ascii="黑体" w:hAnsi="黑体" w:eastAsia="黑体" w:cs="黑体"/>
        </w:rPr>
        <w:sectPr>
          <w:footerReference r:id="rId3" w:type="default"/>
          <w:footerReference r:id="rId4" w:type="even"/>
          <w:pgSz w:w="11906" w:h="16838"/>
          <w:pgMar w:top="2098" w:right="1474" w:bottom="1984" w:left="1587" w:header="851" w:footer="992" w:gutter="0"/>
          <w:pgNumType w:fmt="numberInDash" w:start="1"/>
          <w:cols w:space="720" w:num="1"/>
          <w:docGrid w:type="lines" w:linePitch="435" w:charSpace="0"/>
        </w:sectPr>
      </w:pPr>
    </w:p>
    <w:p>
      <w:pPr>
        <w:widowControl/>
        <w:shd w:val="clear" w:color="auto" w:fill="FFFFFF"/>
        <w:spacing w:line="640" w:lineRule="exact"/>
        <w:jc w:val="center"/>
        <w:rPr>
          <w:rFonts w:hint="eastAsia" w:ascii="黑体" w:hAnsi="黑体" w:eastAsia="黑体" w:cs="黑体"/>
        </w:rPr>
      </w:pPr>
    </w:p>
    <w:p>
      <w:pPr>
        <w:widowControl/>
        <w:shd w:val="clear" w:color="auto" w:fill="FFFFFF"/>
        <w:spacing w:line="240" w:lineRule="auto"/>
        <w:jc w:val="center"/>
        <w:rPr>
          <w:rFonts w:hint="eastAsia" w:ascii="Times New Roman" w:hAnsi="Times New Roman" w:eastAsia="方正小标宋_GBK" w:cs="Times New Roman"/>
          <w:b/>
          <w:bCs/>
          <w:sz w:val="44"/>
          <w:szCs w:val="44"/>
        </w:rPr>
      </w:pPr>
      <w:r>
        <w:rPr>
          <w:rFonts w:hint="eastAsia" w:ascii="Times New Roman" w:hAnsi="Times New Roman" w:eastAsia="方正小标宋_GBK" w:cs="Times New Roman"/>
          <w:b/>
          <w:bCs/>
          <w:sz w:val="44"/>
          <w:szCs w:val="44"/>
        </w:rPr>
        <w:t>目录</w:t>
      </w:r>
    </w:p>
    <w:p>
      <w:pPr>
        <w:widowControl/>
        <w:shd w:val="clear" w:color="auto" w:fill="FFFFFF"/>
        <w:spacing w:line="240" w:lineRule="auto"/>
        <w:ind w:firstLine="640" w:firstLineChars="200"/>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一、基本职能及主要工作…………………………………</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4</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default"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（一）</w:t>
      </w:r>
      <w:r>
        <w:rPr>
          <w:rFonts w:hint="eastAsia" w:ascii="Times New Roman" w:hAnsi="Times New Roman" w:eastAsia="方正楷体_GBK" w:cs="Times New Roman"/>
          <w:b/>
          <w:bCs/>
          <w:color w:val="333333"/>
          <w:kern w:val="0"/>
          <w:lang w:val="en-US" w:eastAsia="zh-CN"/>
        </w:rPr>
        <w:t>盐边县桐子林镇卫生院</w:t>
      </w:r>
      <w:r>
        <w:rPr>
          <w:rFonts w:hint="default" w:ascii="Times New Roman" w:hAnsi="Times New Roman" w:eastAsia="方正楷体_GBK" w:cs="Times New Roman"/>
          <w:b/>
          <w:bCs/>
          <w:color w:val="333333"/>
          <w:kern w:val="0"/>
        </w:rPr>
        <w:t>职能简介</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4</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default"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（二）</w:t>
      </w:r>
      <w:r>
        <w:rPr>
          <w:rFonts w:hint="eastAsia" w:ascii="Times New Roman" w:hAnsi="Times New Roman" w:eastAsia="方正楷体_GBK" w:cs="Times New Roman"/>
          <w:b/>
          <w:bCs/>
          <w:color w:val="333333"/>
          <w:kern w:val="0"/>
          <w:lang w:val="en-US" w:eastAsia="zh-CN"/>
        </w:rPr>
        <w:t>盐边县桐子林镇卫生院</w:t>
      </w:r>
      <w:r>
        <w:rPr>
          <w:rFonts w:hint="default" w:ascii="Times New Roman" w:hAnsi="Times New Roman" w:eastAsia="方正楷体_GBK" w:cs="Times New Roman"/>
          <w:b/>
          <w:bCs/>
          <w:color w:val="333333"/>
          <w:kern w:val="0"/>
        </w:rPr>
        <w:t>202</w:t>
      </w:r>
      <w:r>
        <w:rPr>
          <w:rFonts w:hint="eastAsia" w:ascii="Times New Roman" w:hAnsi="Times New Roman" w:eastAsia="方正楷体_GBK" w:cs="Times New Roman"/>
          <w:b/>
          <w:bCs/>
          <w:color w:val="333333"/>
          <w:kern w:val="0"/>
          <w:lang w:val="en-US" w:eastAsia="zh-CN"/>
        </w:rPr>
        <w:t>5</w:t>
      </w:r>
      <w:r>
        <w:rPr>
          <w:rFonts w:hint="default" w:ascii="Times New Roman" w:hAnsi="Times New Roman" w:eastAsia="方正楷体_GBK" w:cs="Times New Roman"/>
          <w:b/>
          <w:bCs/>
          <w:color w:val="333333"/>
          <w:kern w:val="0"/>
        </w:rPr>
        <w:t>年重点工作</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4</w:t>
      </w:r>
      <w:r>
        <w:rPr>
          <w:rFonts w:hint="eastAsia" w:ascii="Times New Roman" w:hAnsi="Times New Roman" w:eastAsia="方正黑体_GBK" w:cs="Times New Roman"/>
          <w:color w:val="333333"/>
          <w:kern w:val="0"/>
        </w:rPr>
        <w:t>）</w:t>
      </w:r>
    </w:p>
    <w:p>
      <w:pPr>
        <w:widowControl/>
        <w:shd w:val="clear" w:color="auto" w:fill="FFFFFF"/>
        <w:spacing w:line="240" w:lineRule="auto"/>
        <w:ind w:firstLine="640" w:firstLineChars="200"/>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二、</w:t>
      </w:r>
      <w:r>
        <w:rPr>
          <w:rFonts w:hint="eastAsia" w:ascii="Times New Roman" w:hAnsi="Times New Roman" w:eastAsia="方正黑体_GBK" w:cs="Times New Roman"/>
          <w:color w:val="333333"/>
          <w:kern w:val="0"/>
        </w:rPr>
        <w:t>机构设置</w:t>
      </w:r>
      <w:r>
        <w:rPr>
          <w:rFonts w:hint="default" w:ascii="Times New Roman" w:hAnsi="Times New Roman" w:eastAsia="方正黑体_GBK" w:cs="Times New Roman"/>
          <w:color w:val="333333"/>
          <w:kern w:val="0"/>
        </w:rPr>
        <w:t>情况………………………………</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5</w:t>
      </w:r>
      <w:r>
        <w:rPr>
          <w:rFonts w:hint="eastAsia" w:ascii="Times New Roman" w:hAnsi="Times New Roman" w:eastAsia="方正黑体_GBK" w:cs="Times New Roman"/>
          <w:color w:val="333333"/>
          <w:kern w:val="0"/>
        </w:rPr>
        <w:t>）</w:t>
      </w:r>
    </w:p>
    <w:p>
      <w:pPr>
        <w:widowControl/>
        <w:shd w:val="clear" w:color="auto" w:fill="FFFFFF"/>
        <w:spacing w:line="240" w:lineRule="auto"/>
        <w:ind w:firstLine="640" w:firstLineChars="200"/>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三、收支预算情况说明 …………………………</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5</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default"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（一）收入预算情况</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5</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default"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（二）支出预算情况</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6</w:t>
      </w:r>
      <w:r>
        <w:rPr>
          <w:rFonts w:hint="eastAsia" w:ascii="Times New Roman" w:hAnsi="Times New Roman" w:eastAsia="方正黑体_GBK" w:cs="Times New Roman"/>
          <w:color w:val="333333"/>
          <w:kern w:val="0"/>
        </w:rPr>
        <w:t>）</w:t>
      </w:r>
    </w:p>
    <w:p>
      <w:pPr>
        <w:widowControl/>
        <w:shd w:val="clear" w:color="auto" w:fill="FFFFFF"/>
        <w:spacing w:line="240" w:lineRule="auto"/>
        <w:ind w:firstLine="640" w:firstLineChars="200"/>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四、财政拨款收支预算情况说明………………</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6</w:t>
      </w:r>
      <w:r>
        <w:rPr>
          <w:rFonts w:hint="eastAsia" w:ascii="Times New Roman" w:hAnsi="Times New Roman" w:eastAsia="方正黑体_GBK" w:cs="Times New Roman"/>
          <w:color w:val="333333"/>
          <w:kern w:val="0"/>
        </w:rPr>
        <w:t>）</w:t>
      </w:r>
    </w:p>
    <w:p>
      <w:pPr>
        <w:widowControl/>
        <w:shd w:val="clear" w:color="auto" w:fill="FFFFFF"/>
        <w:spacing w:line="240" w:lineRule="auto"/>
        <w:ind w:firstLine="640" w:firstLineChars="200"/>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五、一般公共预算当年</w:t>
      </w:r>
      <w:r>
        <w:rPr>
          <w:rFonts w:hint="eastAsia" w:ascii="Times New Roman" w:hAnsi="Times New Roman" w:eastAsia="方正黑体_GBK" w:cs="Times New Roman"/>
          <w:color w:val="333333"/>
          <w:kern w:val="0"/>
        </w:rPr>
        <w:t>拨</w:t>
      </w:r>
      <w:r>
        <w:rPr>
          <w:rFonts w:hint="default" w:ascii="Times New Roman" w:hAnsi="Times New Roman" w:eastAsia="方正黑体_GBK" w:cs="Times New Roman"/>
          <w:color w:val="333333"/>
          <w:kern w:val="0"/>
        </w:rPr>
        <w:t>款情况说明……………</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6</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default"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（一）一般公共预算当年</w:t>
      </w:r>
      <w:r>
        <w:rPr>
          <w:rFonts w:hint="eastAsia" w:ascii="Times New Roman" w:hAnsi="Times New Roman" w:eastAsia="方正楷体_GBK" w:cs="Times New Roman"/>
          <w:b/>
          <w:bCs/>
          <w:color w:val="333333"/>
          <w:kern w:val="0"/>
        </w:rPr>
        <w:t>拨</w:t>
      </w:r>
      <w:r>
        <w:rPr>
          <w:rFonts w:hint="default" w:ascii="Times New Roman" w:hAnsi="Times New Roman" w:eastAsia="方正楷体_GBK" w:cs="Times New Roman"/>
          <w:b/>
          <w:bCs/>
          <w:color w:val="333333"/>
          <w:kern w:val="0"/>
        </w:rPr>
        <w:t>款规模变化情况</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6</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default"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（二）一般公共预算当年</w:t>
      </w:r>
      <w:r>
        <w:rPr>
          <w:rFonts w:hint="eastAsia" w:ascii="Times New Roman" w:hAnsi="Times New Roman" w:eastAsia="方正楷体_GBK" w:cs="Times New Roman"/>
          <w:b/>
          <w:bCs/>
          <w:color w:val="333333"/>
          <w:kern w:val="0"/>
        </w:rPr>
        <w:t>拨</w:t>
      </w:r>
      <w:r>
        <w:rPr>
          <w:rFonts w:hint="default" w:ascii="Times New Roman" w:hAnsi="Times New Roman" w:eastAsia="方正楷体_GBK" w:cs="Times New Roman"/>
          <w:b/>
          <w:bCs/>
          <w:color w:val="333333"/>
          <w:kern w:val="0"/>
        </w:rPr>
        <w:t>款结构情况</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7</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default"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（三）一般公共预算当年</w:t>
      </w:r>
      <w:r>
        <w:rPr>
          <w:rFonts w:hint="eastAsia" w:ascii="Times New Roman" w:hAnsi="Times New Roman" w:eastAsia="方正楷体_GBK" w:cs="Times New Roman"/>
          <w:b/>
          <w:bCs/>
          <w:color w:val="333333"/>
          <w:kern w:val="0"/>
        </w:rPr>
        <w:t>拨</w:t>
      </w:r>
      <w:r>
        <w:rPr>
          <w:rFonts w:hint="default" w:ascii="Times New Roman" w:hAnsi="Times New Roman" w:eastAsia="方正楷体_GBK" w:cs="Times New Roman"/>
          <w:b/>
          <w:bCs/>
          <w:color w:val="333333"/>
          <w:kern w:val="0"/>
        </w:rPr>
        <w:t>款具体使用情况</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7</w:t>
      </w:r>
      <w:r>
        <w:rPr>
          <w:rFonts w:hint="eastAsia" w:ascii="Times New Roman" w:hAnsi="Times New Roman" w:eastAsia="方正黑体_GBK" w:cs="Times New Roman"/>
          <w:color w:val="333333"/>
          <w:kern w:val="0"/>
        </w:rPr>
        <w:t>）</w:t>
      </w:r>
    </w:p>
    <w:p>
      <w:pPr>
        <w:widowControl/>
        <w:shd w:val="clear" w:color="auto" w:fill="FFFFFF"/>
        <w:spacing w:line="240" w:lineRule="auto"/>
        <w:ind w:left="640" w:leftChars="200" w:firstLine="0" w:firstLineChars="0"/>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六、一般公共预算基本支出情况说明……………………</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9</w:t>
      </w:r>
      <w:r>
        <w:rPr>
          <w:rFonts w:hint="eastAsia" w:ascii="Times New Roman" w:hAnsi="Times New Roman" w:eastAsia="方正黑体_GBK" w:cs="Times New Roman"/>
          <w:color w:val="333333"/>
          <w:kern w:val="0"/>
        </w:rPr>
        <w:t>）</w:t>
      </w:r>
      <w:r>
        <w:rPr>
          <w:rFonts w:hint="default" w:ascii="Times New Roman" w:hAnsi="Times New Roman" w:eastAsia="方正黑体_GBK" w:cs="Times New Roman"/>
          <w:color w:val="333333"/>
          <w:kern w:val="0"/>
        </w:rPr>
        <w:t>七、“三公”经费财政拨款预算安排情况说明…</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9</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default"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（一）因公出国（境）经费</w:t>
      </w:r>
      <w:r>
        <w:rPr>
          <w:rFonts w:hint="eastAsia" w:ascii="Times New Roman" w:hAnsi="Times New Roman" w:eastAsia="方正黑体_GBK" w:cs="Times New Roman"/>
          <w:color w:val="333333"/>
          <w:kern w:val="0"/>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10</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default"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（二</w:t>
      </w:r>
      <w:r>
        <w:rPr>
          <w:rFonts w:hint="eastAsia" w:ascii="Times New Roman" w:hAnsi="Times New Roman" w:eastAsia="方正楷体_GBK" w:cs="Times New Roman"/>
          <w:b/>
          <w:bCs/>
          <w:color w:val="333333"/>
          <w:kern w:val="0"/>
        </w:rPr>
        <w:t>）</w:t>
      </w:r>
      <w:r>
        <w:rPr>
          <w:rFonts w:hint="default" w:ascii="Times New Roman" w:hAnsi="Times New Roman" w:eastAsia="方正楷体_GBK" w:cs="Times New Roman"/>
          <w:b/>
          <w:bCs/>
          <w:color w:val="333333"/>
          <w:kern w:val="0"/>
        </w:rPr>
        <w:t>公务接待费</w:t>
      </w:r>
      <w:r>
        <w:rPr>
          <w:rFonts w:hint="eastAsia" w:ascii="Times New Roman" w:hAnsi="Times New Roman" w:eastAsia="方正黑体_GBK" w:cs="Times New Roman"/>
          <w:color w:val="333333"/>
          <w:kern w:val="0"/>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10</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default"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（三）公务用车购置及运行维护费</w:t>
      </w:r>
      <w:r>
        <w:rPr>
          <w:rFonts w:hint="eastAsia" w:ascii="Times New Roman" w:hAnsi="Times New Roman" w:eastAsia="方正黑体_GBK" w:cs="Times New Roman"/>
          <w:color w:val="333333"/>
          <w:kern w:val="0"/>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10</w:t>
      </w:r>
      <w:r>
        <w:rPr>
          <w:rFonts w:hint="eastAsia" w:ascii="Times New Roman" w:hAnsi="Times New Roman" w:eastAsia="方正黑体_GBK" w:cs="Times New Roman"/>
          <w:color w:val="333333"/>
          <w:kern w:val="0"/>
        </w:rPr>
        <w:t>）</w:t>
      </w:r>
    </w:p>
    <w:p>
      <w:pPr>
        <w:widowControl/>
        <w:shd w:val="clear" w:color="auto" w:fill="FFFFFF"/>
        <w:spacing w:line="240" w:lineRule="auto"/>
        <w:ind w:firstLine="640" w:firstLineChars="200"/>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八、政府性基金预算支出情况说明………………………</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11</w:t>
      </w:r>
      <w:r>
        <w:rPr>
          <w:rFonts w:hint="eastAsia" w:ascii="Times New Roman" w:hAnsi="Times New Roman" w:eastAsia="方正黑体_GBK" w:cs="Times New Roman"/>
          <w:color w:val="333333"/>
          <w:kern w:val="0"/>
        </w:rPr>
        <w:t>）</w:t>
      </w:r>
    </w:p>
    <w:p>
      <w:pPr>
        <w:widowControl/>
        <w:shd w:val="clear" w:color="auto" w:fill="FFFFFF"/>
        <w:spacing w:line="240" w:lineRule="auto"/>
        <w:ind w:firstLine="640" w:firstLineChars="200"/>
        <w:rPr>
          <w:rFonts w:hint="eastAsia"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九、</w:t>
      </w:r>
      <w:r>
        <w:rPr>
          <w:rFonts w:hint="eastAsia" w:ascii="Times New Roman" w:hAnsi="Times New Roman" w:eastAsia="方正黑体_GBK" w:cs="Times New Roman"/>
          <w:color w:val="333333"/>
          <w:kern w:val="0"/>
        </w:rPr>
        <w:t>国有资本经营预算情况说明</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11</w:t>
      </w:r>
      <w:r>
        <w:rPr>
          <w:rFonts w:hint="eastAsia" w:ascii="Times New Roman" w:hAnsi="Times New Roman" w:eastAsia="方正黑体_GBK" w:cs="Times New Roman"/>
          <w:color w:val="333333"/>
          <w:kern w:val="0"/>
        </w:rPr>
        <w:t>）</w:t>
      </w:r>
    </w:p>
    <w:p>
      <w:pPr>
        <w:widowControl/>
        <w:shd w:val="clear" w:color="auto" w:fill="FFFFFF"/>
        <w:spacing w:line="240" w:lineRule="auto"/>
        <w:ind w:firstLine="640" w:firstLineChars="200"/>
        <w:rPr>
          <w:rFonts w:hint="default" w:ascii="Times New Roman" w:hAnsi="Times New Roman" w:eastAsia="方正黑体_GBK" w:cs="Times New Roman"/>
          <w:color w:val="333333"/>
          <w:kern w:val="0"/>
        </w:rPr>
      </w:pPr>
      <w:r>
        <w:rPr>
          <w:rFonts w:hint="eastAsia" w:ascii="Times New Roman" w:hAnsi="Times New Roman" w:eastAsia="方正黑体_GBK" w:cs="Times New Roman"/>
          <w:color w:val="333333"/>
          <w:kern w:val="0"/>
        </w:rPr>
        <w:t>十、</w:t>
      </w:r>
      <w:r>
        <w:rPr>
          <w:rFonts w:hint="default" w:ascii="Times New Roman" w:hAnsi="Times New Roman" w:eastAsia="方正黑体_GBK" w:cs="Times New Roman"/>
          <w:color w:val="333333"/>
          <w:kern w:val="0"/>
        </w:rPr>
        <w:t>其他重要事项的情况说明……………………………</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11</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default"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（一）</w:t>
      </w:r>
      <w:r>
        <w:rPr>
          <w:rFonts w:hint="eastAsia" w:ascii="Times New Roman" w:hAnsi="Times New Roman" w:eastAsia="方正楷体_GBK" w:cs="Times New Roman"/>
          <w:b/>
          <w:bCs/>
          <w:color w:val="333333"/>
          <w:kern w:val="0"/>
        </w:rPr>
        <w:t>机关</w:t>
      </w:r>
      <w:r>
        <w:rPr>
          <w:rFonts w:hint="default" w:ascii="Times New Roman" w:hAnsi="Times New Roman" w:eastAsia="方正楷体_GBK" w:cs="Times New Roman"/>
          <w:b/>
          <w:bCs/>
          <w:color w:val="333333"/>
          <w:kern w:val="0"/>
        </w:rPr>
        <w:t>运行经费</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11</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default" w:ascii="Times New Roman" w:hAnsi="Times New Roman" w:eastAsia="方正楷体_GBK" w:cs="Times New Roman"/>
          <w:b/>
          <w:bCs/>
          <w:color w:val="333333"/>
          <w:kern w:val="0"/>
        </w:rPr>
      </w:pPr>
      <w:r>
        <w:rPr>
          <w:rFonts w:hint="eastAsia" w:ascii="Times New Roman" w:hAnsi="Times New Roman" w:eastAsia="方正楷体_GBK" w:cs="Times New Roman"/>
          <w:b/>
          <w:bCs/>
          <w:color w:val="333333"/>
          <w:kern w:val="0"/>
        </w:rPr>
        <w:t>（二）政府采购情况</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12</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default"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w:t>
      </w:r>
      <w:r>
        <w:rPr>
          <w:rFonts w:hint="eastAsia" w:ascii="Times New Roman" w:hAnsi="Times New Roman" w:eastAsia="方正楷体_GBK" w:cs="Times New Roman"/>
          <w:b/>
          <w:bCs/>
          <w:color w:val="333333"/>
          <w:kern w:val="0"/>
        </w:rPr>
        <w:t>三</w:t>
      </w:r>
      <w:r>
        <w:rPr>
          <w:rFonts w:hint="default" w:ascii="Times New Roman" w:hAnsi="Times New Roman" w:eastAsia="方正楷体_GBK" w:cs="Times New Roman"/>
          <w:b/>
          <w:bCs/>
          <w:color w:val="333333"/>
          <w:kern w:val="0"/>
        </w:rPr>
        <w:t>）国有资产占</w:t>
      </w:r>
      <w:r>
        <w:rPr>
          <w:rFonts w:hint="eastAsia" w:ascii="Times New Roman" w:hAnsi="Times New Roman" w:eastAsia="方正楷体_GBK" w:cs="Times New Roman"/>
          <w:b/>
          <w:bCs/>
          <w:color w:val="333333"/>
          <w:kern w:val="0"/>
        </w:rPr>
        <w:t>有使</w:t>
      </w:r>
      <w:r>
        <w:rPr>
          <w:rFonts w:hint="default" w:ascii="Times New Roman" w:hAnsi="Times New Roman" w:eastAsia="方正楷体_GBK" w:cs="Times New Roman"/>
          <w:b/>
          <w:bCs/>
          <w:color w:val="333333"/>
          <w:kern w:val="0"/>
        </w:rPr>
        <w:t>用情况</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12</w:t>
      </w:r>
      <w:r>
        <w:rPr>
          <w:rFonts w:hint="eastAsia" w:ascii="Times New Roman" w:hAnsi="Times New Roman" w:eastAsia="方正黑体_GBK" w:cs="Times New Roman"/>
          <w:color w:val="333333"/>
          <w:kern w:val="0"/>
        </w:rPr>
        <w:t>）</w:t>
      </w:r>
    </w:p>
    <w:p>
      <w:pPr>
        <w:widowControl/>
        <w:shd w:val="clear" w:color="auto" w:fill="FFFFFF"/>
        <w:ind w:firstLine="643" w:firstLineChars="200"/>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w:t>
      </w:r>
      <w:r>
        <w:rPr>
          <w:rFonts w:hint="eastAsia" w:ascii="Times New Roman" w:hAnsi="Times New Roman" w:eastAsia="方正楷体_GBK" w:cs="Times New Roman"/>
          <w:b/>
          <w:bCs/>
          <w:color w:val="333333"/>
          <w:kern w:val="0"/>
        </w:rPr>
        <w:t>四</w:t>
      </w:r>
      <w:r>
        <w:rPr>
          <w:rFonts w:hint="default" w:ascii="Times New Roman" w:hAnsi="Times New Roman" w:eastAsia="方正楷体_GBK" w:cs="Times New Roman"/>
          <w:b/>
          <w:bCs/>
          <w:color w:val="333333"/>
          <w:kern w:val="0"/>
        </w:rPr>
        <w:t>）</w:t>
      </w:r>
      <w:r>
        <w:rPr>
          <w:rFonts w:hint="eastAsia" w:ascii="Times New Roman" w:hAnsi="Times New Roman" w:eastAsia="方正楷体_GBK" w:cs="Times New Roman"/>
          <w:b/>
          <w:bCs/>
          <w:color w:val="333333"/>
          <w:kern w:val="0"/>
        </w:rPr>
        <w:t>预算</w:t>
      </w:r>
      <w:r>
        <w:rPr>
          <w:rFonts w:hint="default" w:ascii="Times New Roman" w:hAnsi="Times New Roman" w:eastAsia="方正楷体_GBK" w:cs="Times New Roman"/>
          <w:b/>
          <w:bCs/>
          <w:color w:val="333333"/>
          <w:kern w:val="0"/>
        </w:rPr>
        <w:t>绩效情况</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12</w:t>
      </w:r>
      <w:r>
        <w:rPr>
          <w:rFonts w:hint="eastAsia" w:ascii="Times New Roman" w:hAnsi="Times New Roman" w:eastAsia="方正黑体_GBK" w:cs="Times New Roman"/>
          <w:color w:val="333333"/>
          <w:kern w:val="0"/>
        </w:rPr>
        <w:t>）</w:t>
      </w:r>
    </w:p>
    <w:p>
      <w:pPr>
        <w:widowControl/>
        <w:shd w:val="clear" w:color="auto" w:fill="FFFFFF"/>
        <w:spacing w:line="240" w:lineRule="auto"/>
        <w:ind w:firstLine="640" w:firstLineChars="200"/>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十</w:t>
      </w:r>
      <w:r>
        <w:rPr>
          <w:rFonts w:hint="eastAsia" w:ascii="Times New Roman" w:hAnsi="Times New Roman" w:eastAsia="方正黑体_GBK" w:cs="Times New Roman"/>
          <w:color w:val="333333"/>
          <w:kern w:val="0"/>
        </w:rPr>
        <w:t>一</w:t>
      </w:r>
      <w:r>
        <w:rPr>
          <w:rFonts w:hint="default" w:ascii="Times New Roman" w:hAnsi="Times New Roman" w:eastAsia="方正黑体_GBK" w:cs="Times New Roman"/>
          <w:color w:val="333333"/>
          <w:kern w:val="0"/>
        </w:rPr>
        <w:t>、名词解释 …………………</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13</w:t>
      </w:r>
      <w:r>
        <w:rPr>
          <w:rFonts w:hint="eastAsia" w:ascii="Times New Roman" w:hAnsi="Times New Roman" w:eastAsia="方正黑体_GBK" w:cs="Times New Roman"/>
          <w:color w:val="333333"/>
          <w:kern w:val="0"/>
        </w:rPr>
        <w:t>）</w:t>
      </w:r>
    </w:p>
    <w:p>
      <w:pPr>
        <w:widowControl/>
        <w:shd w:val="clear" w:color="auto" w:fill="FFFFFF"/>
        <w:spacing w:line="240" w:lineRule="auto"/>
        <w:ind w:firstLine="640" w:firstLineChars="200"/>
        <w:rPr>
          <w:rFonts w:hint="default" w:ascii="Times New Roman" w:hAnsi="Times New Roman" w:eastAsia="方正黑体_GBK" w:cs="Times New Roman"/>
          <w:color w:val="333333"/>
          <w:kern w:val="0"/>
          <w:lang w:val="en-US"/>
        </w:rPr>
        <w:sectPr>
          <w:footerReference r:id="rId5" w:type="default"/>
          <w:pgSz w:w="11906" w:h="16838"/>
          <w:pgMar w:top="2098" w:right="1474" w:bottom="1984" w:left="1587" w:header="851" w:footer="992" w:gutter="0"/>
          <w:pgNumType w:fmt="numberInDash" w:start="2"/>
          <w:cols w:space="720" w:num="1"/>
          <w:docGrid w:type="lines" w:linePitch="435" w:charSpace="0"/>
        </w:sectPr>
      </w:pPr>
      <w:r>
        <w:rPr>
          <w:rFonts w:hint="eastAsia" w:ascii="Times New Roman" w:hAnsi="Times New Roman" w:eastAsia="方正黑体_GBK" w:cs="Times New Roman"/>
          <w:color w:val="333333"/>
          <w:kern w:val="0"/>
        </w:rPr>
        <w:t>附件：</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lang w:val="en-US" w:eastAsia="zh-CN"/>
        </w:rPr>
        <w:t>16</w:t>
      </w:r>
      <w:r>
        <w:rPr>
          <w:rFonts w:hint="eastAsia" w:ascii="Times New Roman" w:hAnsi="Times New Roman" w:eastAsia="方正黑体_GBK" w:cs="Times New Roman"/>
          <w:color w:val="333333"/>
          <w:kern w:val="0"/>
        </w:rPr>
        <w:t>）</w:t>
      </w:r>
    </w:p>
    <w:p>
      <w:pPr>
        <w:spacing w:line="240" w:lineRule="auto"/>
      </w:pP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根据盐边县第十</w:t>
      </w:r>
      <w:r>
        <w:rPr>
          <w:rFonts w:hint="eastAsia" w:ascii="Times New Roman" w:hAnsi="Times New Roman" w:eastAsia="方正仿宋_GBK" w:cs="Times New Roman"/>
        </w:rPr>
        <w:t>九</w:t>
      </w:r>
      <w:r>
        <w:rPr>
          <w:rFonts w:hint="default" w:ascii="Times New Roman" w:hAnsi="Times New Roman" w:eastAsia="方正仿宋_GBK" w:cs="Times New Roman"/>
        </w:rPr>
        <w:t>届人民代表大会第</w:t>
      </w:r>
      <w:r>
        <w:rPr>
          <w:rFonts w:hint="eastAsia" w:ascii="Times New Roman" w:hAnsi="Times New Roman" w:eastAsia="方正仿宋_GBK" w:cs="Times New Roman"/>
          <w:lang w:eastAsia="zh-CN"/>
        </w:rPr>
        <w:t>五</w:t>
      </w:r>
      <w:r>
        <w:rPr>
          <w:rFonts w:hint="default" w:ascii="Times New Roman" w:hAnsi="Times New Roman" w:eastAsia="方正仿宋_GBK" w:cs="Times New Roman"/>
        </w:rPr>
        <w:t>次会议批准</w:t>
      </w:r>
      <w:r>
        <w:rPr>
          <w:rFonts w:hint="eastAsia" w:ascii="Times New Roman" w:hAnsi="Times New Roman" w:eastAsia="方正仿宋_GBK" w:cs="Times New Roman"/>
        </w:rPr>
        <w:t>的</w:t>
      </w:r>
      <w:r>
        <w:rPr>
          <w:rFonts w:hint="default" w:ascii="Times New Roman" w:hAnsi="Times New Roman" w:eastAsia="方正仿宋_GBK" w:cs="Times New Roman"/>
        </w:rPr>
        <w:t>盐边县202</w:t>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t>年县本级财政预算，202</w:t>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t>年</w:t>
      </w:r>
      <w:r>
        <w:rPr>
          <w:rFonts w:hint="eastAsia" w:ascii="Times New Roman" w:hAnsi="Times New Roman" w:eastAsia="方正仿宋_GBK" w:cs="Times New Roman"/>
          <w:lang w:val="en-US" w:eastAsia="zh-CN"/>
        </w:rPr>
        <w:t>7</w:t>
      </w:r>
      <w:r>
        <w:rPr>
          <w:rFonts w:hint="default" w:ascii="Times New Roman" w:hAnsi="Times New Roman" w:eastAsia="方正仿宋_GBK" w:cs="Times New Roman"/>
        </w:rPr>
        <w:t>月</w:t>
      </w:r>
      <w:r>
        <w:rPr>
          <w:rFonts w:hint="eastAsia" w:ascii="Times New Roman" w:hAnsi="Times New Roman" w:eastAsia="方正仿宋_GBK" w:cs="Times New Roman"/>
          <w:lang w:val="en-US" w:eastAsia="zh-CN"/>
        </w:rPr>
        <w:t>10</w:t>
      </w:r>
      <w:r>
        <w:rPr>
          <w:rFonts w:hint="default" w:ascii="Times New Roman" w:hAnsi="Times New Roman" w:eastAsia="方正仿宋_GBK" w:cs="Times New Roman"/>
        </w:rPr>
        <w:t>日</w:t>
      </w:r>
      <w:r>
        <w:rPr>
          <w:rFonts w:hint="eastAsia" w:ascii="Times New Roman" w:hAnsi="Times New Roman" w:eastAsia="方正仿宋_GBK" w:cs="Times New Roman"/>
        </w:rPr>
        <w:t>盐边</w:t>
      </w:r>
      <w:r>
        <w:rPr>
          <w:rFonts w:hint="default" w:ascii="Times New Roman" w:hAnsi="Times New Roman" w:eastAsia="方正仿宋_GBK" w:cs="Times New Roman"/>
        </w:rPr>
        <w:t>县财政局批复了</w:t>
      </w:r>
      <w:r>
        <w:rPr>
          <w:rFonts w:hint="eastAsia" w:ascii="Times New Roman" w:hAnsi="Times New Roman" w:eastAsia="方正仿宋_GBK" w:cs="Times New Roman"/>
          <w:lang w:val="en-US" w:eastAsia="zh-CN"/>
        </w:rPr>
        <w:t>2025</w:t>
      </w:r>
      <w:r>
        <w:rPr>
          <w:rFonts w:hint="default" w:ascii="Times New Roman" w:hAnsi="Times New Roman" w:eastAsia="方正仿宋_GBK" w:cs="Times New Roman"/>
        </w:rPr>
        <w:t>年县级部门预算，并对</w:t>
      </w:r>
      <w:r>
        <w:rPr>
          <w:rFonts w:hint="eastAsia" w:ascii="Times New Roman" w:hAnsi="Times New Roman" w:eastAsia="方正仿宋_GBK" w:cs="Times New Roman"/>
          <w:lang w:val="en-US" w:eastAsia="zh-CN"/>
        </w:rPr>
        <w:t>2025</w:t>
      </w:r>
      <w:r>
        <w:rPr>
          <w:rFonts w:hint="default" w:ascii="Times New Roman" w:hAnsi="Times New Roman" w:eastAsia="方正仿宋_GBK" w:cs="Times New Roman"/>
        </w:rPr>
        <w:t>年部门预算公开作了明确要求。现按照《中华人民共和国预算法》</w:t>
      </w:r>
      <w:r>
        <w:rPr>
          <w:rFonts w:hint="eastAsia" w:ascii="Times New Roman" w:hAnsi="Times New Roman" w:eastAsia="方正仿宋_GBK" w:cs="Times New Roman"/>
        </w:rPr>
        <w:t>和</w:t>
      </w:r>
      <w:r>
        <w:rPr>
          <w:rFonts w:hint="default" w:ascii="Times New Roman" w:hAnsi="Times New Roman" w:eastAsia="方正仿宋_GBK" w:cs="Times New Roman"/>
        </w:rPr>
        <w:t>《</w:t>
      </w:r>
      <w:r>
        <w:rPr>
          <w:rFonts w:hint="eastAsia" w:ascii="Times New Roman" w:hAnsi="Times New Roman" w:eastAsia="方正仿宋_GBK" w:cs="Times New Roman"/>
        </w:rPr>
        <w:t>中华人民共和国</w:t>
      </w:r>
      <w:r>
        <w:rPr>
          <w:rFonts w:hint="default" w:ascii="Times New Roman" w:hAnsi="Times New Roman" w:eastAsia="方正仿宋_GBK" w:cs="Times New Roman"/>
        </w:rPr>
        <w:t>预算法</w:t>
      </w:r>
      <w:r>
        <w:rPr>
          <w:rFonts w:hint="eastAsia" w:ascii="Times New Roman" w:hAnsi="Times New Roman" w:eastAsia="方正仿宋_GBK" w:cs="Times New Roman"/>
        </w:rPr>
        <w:t>实施条例</w:t>
      </w:r>
      <w:r>
        <w:rPr>
          <w:rFonts w:hint="default" w:ascii="Times New Roman" w:hAnsi="Times New Roman" w:eastAsia="方正仿宋_GBK" w:cs="Times New Roman"/>
        </w:rPr>
        <w:t>》相关规定，将我单位202</w:t>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t>年部门预算说明如下:</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一、基本职能及主要工作</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default" w:ascii="Times New Roman" w:hAnsi="Times New Roman" w:eastAsia="方正楷体_GBK" w:cs="Times New Roman"/>
          <w:b/>
          <w:bCs/>
          <w:color w:val="333333"/>
          <w:kern w:val="0"/>
          <w:sz w:val="32"/>
          <w:szCs w:val="32"/>
          <w:lang w:val="en-US" w:eastAsia="zh-CN" w:bidi="ar-SA"/>
        </w:rPr>
        <w:t>（一）</w:t>
      </w:r>
      <w:r>
        <w:rPr>
          <w:rFonts w:hint="eastAsia" w:ascii="Times New Roman" w:hAnsi="Times New Roman" w:eastAsia="方正楷体_GBK" w:cs="Times New Roman"/>
          <w:b/>
          <w:bCs/>
          <w:color w:val="333333"/>
          <w:kern w:val="0"/>
          <w:sz w:val="32"/>
          <w:szCs w:val="32"/>
          <w:lang w:val="en-US" w:eastAsia="zh-CN" w:bidi="ar-SA"/>
        </w:rPr>
        <w:t>盐边县桐子林镇卫生院</w:t>
      </w:r>
      <w:r>
        <w:rPr>
          <w:rFonts w:hint="default" w:ascii="Times New Roman" w:hAnsi="Times New Roman" w:eastAsia="方正楷体_GBK" w:cs="Times New Roman"/>
          <w:b/>
          <w:bCs/>
          <w:color w:val="333333"/>
          <w:kern w:val="0"/>
          <w:sz w:val="32"/>
          <w:szCs w:val="32"/>
          <w:lang w:val="en-US" w:eastAsia="zh-CN" w:bidi="ar-SA"/>
        </w:rPr>
        <w:t>职能简介。</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rPr>
        <w:t>本院是一所以事业单位为性质的乡镇卫生院，主要职能是为人民群众的身体健康提供医疗与预防保健服务。包括常见病、多发病的诊断和治疗， 恢复期病人的康复治疗与护理；预防保健 ；卫生技术人员培训； 初级卫生保健实施 ；合作医疗组织与管理 ；卫生监督与卫生信息管理。</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75" w:firstLineChars="210"/>
        <w:textAlignment w:val="auto"/>
        <w:rPr>
          <w:rFonts w:hint="default" w:ascii="Times New Roman" w:hAnsi="Times New Roman" w:eastAsia="方正楷体_GBK" w:cs="Times New Roman"/>
          <w:b/>
          <w:bCs/>
          <w:color w:val="333333"/>
          <w:kern w:val="0"/>
          <w:sz w:val="32"/>
          <w:szCs w:val="32"/>
          <w:lang w:val="en-US" w:eastAsia="zh-CN" w:bidi="ar-SA"/>
        </w:rPr>
      </w:pPr>
      <w:r>
        <w:rPr>
          <w:rFonts w:hint="eastAsia" w:ascii="Times New Roman" w:hAnsi="Times New Roman" w:eastAsia="方正楷体_GBK" w:cs="Times New Roman"/>
          <w:b/>
          <w:bCs/>
          <w:color w:val="333333"/>
          <w:kern w:val="0"/>
          <w:sz w:val="32"/>
          <w:szCs w:val="32"/>
          <w:lang w:val="en-US" w:eastAsia="zh-CN" w:bidi="ar-SA"/>
        </w:rPr>
        <w:t>（二）盐边县桐子林镇卫生院</w:t>
      </w:r>
      <w:r>
        <w:rPr>
          <w:rFonts w:hint="default" w:ascii="Times New Roman" w:hAnsi="Times New Roman" w:eastAsia="方正楷体_GBK" w:cs="Times New Roman"/>
          <w:b/>
          <w:bCs/>
          <w:color w:val="333333"/>
          <w:kern w:val="0"/>
          <w:sz w:val="32"/>
          <w:szCs w:val="32"/>
          <w:lang w:val="en-US" w:eastAsia="zh-CN" w:bidi="ar-SA"/>
        </w:rPr>
        <w:t>202</w:t>
      </w:r>
      <w:r>
        <w:rPr>
          <w:rFonts w:hint="eastAsia" w:ascii="Times New Roman" w:hAnsi="Times New Roman" w:eastAsia="方正楷体_GBK" w:cs="Times New Roman"/>
          <w:b/>
          <w:bCs/>
          <w:color w:val="333333"/>
          <w:kern w:val="0"/>
          <w:sz w:val="32"/>
          <w:szCs w:val="32"/>
          <w:lang w:val="en-US" w:eastAsia="zh-CN" w:bidi="ar-SA"/>
        </w:rPr>
        <w:t>5</w:t>
      </w:r>
      <w:r>
        <w:rPr>
          <w:rFonts w:hint="default" w:ascii="Times New Roman" w:hAnsi="Times New Roman" w:eastAsia="方正楷体_GBK" w:cs="Times New Roman"/>
          <w:b/>
          <w:bCs/>
          <w:color w:val="333333"/>
          <w:kern w:val="0"/>
          <w:sz w:val="32"/>
          <w:szCs w:val="32"/>
          <w:lang w:val="en-US" w:eastAsia="zh-CN" w:bidi="ar-SA"/>
        </w:rPr>
        <w:t>年重点工作。</w:t>
      </w:r>
      <w:r>
        <w:rPr>
          <w:rFonts w:hint="eastAsia" w:ascii="Times New Roman" w:hAnsi="Times New Roman" w:eastAsia="方正楷体_GBK" w:cs="Times New Roman"/>
          <w:b/>
          <w:bCs/>
          <w:color w:val="333333"/>
          <w:kern w:val="0"/>
          <w:sz w:val="32"/>
          <w:szCs w:val="32"/>
          <w:lang w:val="en-US" w:eastAsia="zh-CN" w:bidi="ar-SA"/>
        </w:rPr>
        <w:t xml:space="preserve"> </w:t>
      </w:r>
    </w:p>
    <w:p>
      <w:pPr>
        <w:pStyle w:val="2"/>
        <w:keepNext w:val="0"/>
        <w:keepLines w:val="0"/>
        <w:pageBreakBefore w:val="0"/>
        <w:kinsoku/>
        <w:wordWrap/>
        <w:overflowPunct/>
        <w:topLinePunct w:val="0"/>
        <w:autoSpaceDE/>
        <w:autoSpaceDN/>
        <w:bidi w:val="0"/>
        <w:adjustRightInd w:val="0"/>
        <w:snapToGrid/>
        <w:spacing w:before="0" w:beforeLines="0" w:line="240" w:lineRule="auto"/>
        <w:ind w:firstLine="630" w:firstLineChars="21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在卫生行政部门的领导下开展好预防保健、基本公共卫生服务、基本医疗服务、健康教育,为本辖区内居民提供有效、经济、方便、</w:t>
      </w:r>
    </w:p>
    <w:p>
      <w:pPr>
        <w:pStyle w:val="2"/>
        <w:keepNext w:val="0"/>
        <w:keepLines w:val="0"/>
        <w:pageBreakBefore w:val="0"/>
        <w:kinsoku/>
        <w:wordWrap/>
        <w:overflowPunct/>
        <w:topLinePunct w:val="0"/>
        <w:autoSpaceDE/>
        <w:autoSpaceDN/>
        <w:bidi w:val="0"/>
        <w:adjustRightInd w:val="0"/>
        <w:snapToGrid/>
        <w:spacing w:before="0" w:beforeLines="0"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综合、连续的基层服务。</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二、</w:t>
      </w:r>
      <w:r>
        <w:rPr>
          <w:rFonts w:hint="eastAsia" w:ascii="Times New Roman" w:hAnsi="Times New Roman" w:eastAsia="方正黑体_GBK" w:cs="Times New Roman"/>
          <w:color w:val="333333"/>
          <w:kern w:val="0"/>
        </w:rPr>
        <w:t>机构设置</w:t>
      </w:r>
      <w:r>
        <w:rPr>
          <w:rFonts w:hint="default" w:ascii="Times New Roman" w:hAnsi="Times New Roman" w:eastAsia="方正黑体_GBK" w:cs="Times New Roman"/>
          <w:color w:val="333333"/>
          <w:kern w:val="0"/>
        </w:rPr>
        <w:t>情况</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盐边县桐子林镇卫生院无下属二级预算单位，单位内设科室3个。其中：便民门诊1个、公共卫生科1个、行政科1个。</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三、收支预算情况说明</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按照综合预算的原则，盐边县桐子林镇卫生院所有收入和支</w:t>
      </w:r>
    </w:p>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出均纳入部门预算管理。收入包括：一般公共预算拨款收入共有一般公共预算拨款收入123.12万元；支出包括：一般公共服务支出。其中包括社会保障和就业支出18.36万元、卫生健康支出95.54万元，住房保障支出9.23万元。盐边县桐子林镇卫生院2025年收支总预算123.12万元。比2024年预算数增加2万元，主要是年初进行一次工资大调标，增加相关经费预算。</w:t>
      </w:r>
    </w:p>
    <w:p>
      <w:pPr>
        <w:keepNext w:val="0"/>
        <w:keepLines w:val="0"/>
        <w:pageBreakBefore w:val="0"/>
        <w:widowControl/>
        <w:numPr>
          <w:ilvl w:val="0"/>
          <w:numId w:val="1"/>
        </w:numPr>
        <w:shd w:val="clear" w:color="auto" w:fill="FFFFFF"/>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收入预算情况</w:t>
      </w:r>
      <w:r>
        <w:rPr>
          <w:rFonts w:hint="eastAsia" w:ascii="Times New Roman" w:hAnsi="Times New Roman" w:eastAsia="方正楷体_GBK" w:cs="Times New Roman"/>
          <w:b/>
          <w:bCs/>
          <w:color w:val="333333"/>
          <w:kern w:val="0"/>
        </w:rPr>
        <w:t>。</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240" w:lineRule="auto"/>
        <w:textAlignment w:val="auto"/>
        <w:rPr>
          <w:rFonts w:hint="eastAsia" w:ascii="Times New Roman" w:hAnsi="Times New Roman" w:eastAsia="方正楷体_GBK" w:cs="Times New Roman"/>
          <w:b/>
          <w:bCs/>
          <w:color w:val="333333"/>
          <w:kern w:val="0"/>
        </w:rPr>
      </w:pP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盐边县桐子林镇卫生院2025收入预算123.12万元，其中：</w:t>
      </w:r>
    </w:p>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上年结转0万元，占0%；一般公共预算拨款收入123.12万元，占100%；政府性基金预算拨款收入0万元，占0%；事业收入0万元，占0%。</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（二）支出预算情况</w:t>
      </w:r>
      <w:r>
        <w:rPr>
          <w:rFonts w:hint="eastAsia" w:ascii="Times New Roman" w:hAnsi="Times New Roman" w:eastAsia="方正楷体_GBK" w:cs="Times New Roman"/>
          <w:b/>
          <w:bCs/>
          <w:color w:val="333333"/>
          <w:kern w:val="0"/>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盐边县桐子林镇卫生院2025年支出预算123.12万元，其中：基本支出123.12万元，占100%；项目支出0万元，占0%。</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四、财政拨款收支预算情况说明</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盐边县桐子林镇卫生院2025年财政拨款收支总预算123.12万元。收入包括：本年一般公共预算拨款收入123.12万元；支出包括：一般公共服务支出123.12万元。</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五、一般公共预算当年拨款情况说明</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（一）一般公共预算当年拨款规模变化情况</w:t>
      </w:r>
      <w:r>
        <w:rPr>
          <w:rFonts w:hint="eastAsia" w:ascii="Times New Roman" w:hAnsi="Times New Roman" w:eastAsia="方正楷体_GBK" w:cs="Times New Roman"/>
          <w:b/>
          <w:bCs/>
          <w:color w:val="333333"/>
          <w:kern w:val="0"/>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盐边县桐子林镇卫生院2025年一般公共预算当年拨款123.12万元，比2024年预算数增加2万元，主要是年初进行一</w:t>
      </w:r>
    </w:p>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次工资大调标，增加相关经费预算。</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（二）一般公共预算当年拨款结构情况</w:t>
      </w:r>
      <w:r>
        <w:rPr>
          <w:rFonts w:hint="eastAsia" w:ascii="Times New Roman" w:hAnsi="Times New Roman" w:eastAsia="方正楷体_GBK" w:cs="Times New Roman"/>
          <w:b/>
          <w:bCs/>
          <w:color w:val="333333"/>
          <w:kern w:val="0"/>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一般公共服务支出123.12万元，占100%；外交支出0万元，占0%；其中事业单位离退休6.82万元，占5.54%；机关事业单位基本养老保险缴费支出11.53万元，占9.36%；乡镇卫生院86.26万元，占70.06%；事业单位医疗5.92万元，占4.81%；其他行政事业单位医疗支出3.35万元，占2.72%；住房公积金9.23万元，占7.50%。</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（三）一般公共预算当年拨款具体使用情况</w:t>
      </w:r>
      <w:r>
        <w:rPr>
          <w:rFonts w:hint="eastAsia" w:ascii="Times New Roman" w:hAnsi="Times New Roman" w:eastAsia="方正楷体_GBK" w:cs="Times New Roman"/>
          <w:b/>
          <w:bCs/>
          <w:color w:val="333333"/>
          <w:kern w:val="0"/>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1.社会保障和就业支出（208类）行政事业单位养老支出（05类）事业单位离退休（02项），2025年预算数为6.82万元，主要用于：事业单位开支的离退休经费。</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2.社会保障和就业支出（208类）行政事业单位养老支出（05类）机关事业单位基本养老保险缴费支出（05项），2025年预</w:t>
      </w:r>
    </w:p>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算数为11.53万元，主要用于：机关事业单位实施养老保险制度由单位缴纳的基本养老保险费支出。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3.卫生健康支出（210类）基层医疗卫生机构（03款）乡镇卫生院（02类），2025年预算数为86.26万元，主要用于：乡镇卫生院的支出。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4.卫生健康支出（210类）事业单位医疗（11款）事业单位医疗（02项），2025年预算数为5.92万元，主要用于：事业单</w:t>
      </w:r>
    </w:p>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位基本医疗保险缴费经费，未参加医疗保险的事业单位的公费医疗经费，按国家规定享受离退休待遇的医疗经费。</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5.卫生健康支出（210类）行政事业单位医疗（11款）其他行政事业单位医疗支出（99项），2025年预算数为3.35万元，主要用于：除上述项目以外的其他用于行政事业单位医疗方面的支出。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6.住房保障支出（221类）住房改革支出（02款）住房公积</w:t>
      </w:r>
    </w:p>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金（01项），2025年预算数为9.23万元，主要用于：事业单位按人力资源和社会保障部、财政部规定的基本工资和津贴补贴以及规定比例为职工缴纳的住房公积金。</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六、一般公共预算基本支出情况说明</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盐边县桐子林镇卫生院2025年一般公共预算基本支出123.12万元，其中：</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人员经费121.57万元，主要包括：基本工资、津贴补贴、奖金、社会保险缴费、绩效工资、机关事业单位基本养老保险缴费、职工基本医疗保险缴费、其他社会保障缴费、住房公积金、医疗费。</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公用经费1.55万元，主要包括：维修（护）费、邮电费、办公费、印刷费、会议费、其他商品和服务支出。</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七、“三公”经费财政拨款预算安排情况说明</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盐边县桐子林镇卫生院2025年没有使用财政拨款安排“三公”经费预算。</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楷体_GBK" w:cs="Times New Roman"/>
          <w:b/>
          <w:bCs/>
          <w:color w:val="333333"/>
          <w:kern w:val="0"/>
          <w:lang w:val="en-US" w:eastAsia="zh-CN"/>
        </w:rPr>
        <w:t>（一）因公出国（境）经费与2024年预算持平。</w:t>
      </w:r>
      <w:r>
        <w:rPr>
          <w:rFonts w:hint="eastAsia" w:ascii="Times New Roman" w:hAnsi="Times New Roman" w:eastAsia="方正仿宋_GBK" w:cs="Times New Roman"/>
          <w:lang w:val="en-US" w:eastAsia="zh-CN"/>
        </w:rPr>
        <w:t>主要原因是我院未安排因公出国（境）预算。</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楷体_GBK" w:cs="Times New Roman"/>
          <w:b/>
          <w:bCs/>
          <w:color w:val="333333"/>
          <w:kern w:val="0"/>
          <w:lang w:val="en-US" w:eastAsia="zh-CN"/>
        </w:rPr>
        <w:t>（二）公务接待费与2024年预算持平。</w:t>
      </w:r>
      <w:r>
        <w:rPr>
          <w:rFonts w:hint="eastAsia" w:ascii="Times New Roman" w:hAnsi="Times New Roman" w:eastAsia="方正仿宋_GBK" w:cs="Times New Roman"/>
          <w:lang w:val="en-US" w:eastAsia="zh-CN"/>
        </w:rPr>
        <w:t>主要原因是我单位未纳入财政预算，由自由经费解决。</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楷体_GBK" w:cs="Times New Roman"/>
          <w:b/>
          <w:bCs/>
          <w:color w:val="333333"/>
          <w:kern w:val="0"/>
          <w:lang w:val="en-US" w:eastAsia="zh-CN"/>
        </w:rPr>
        <w:t>（三）公务用车购置及运行维护费与2024年预算持平。</w:t>
      </w:r>
      <w:r>
        <w:rPr>
          <w:rFonts w:hint="eastAsia" w:ascii="Times New Roman" w:hAnsi="Times New Roman" w:eastAsia="方正仿宋_GBK" w:cs="Times New Roman"/>
          <w:lang w:val="en-US" w:eastAsia="zh-CN"/>
        </w:rPr>
        <w:t>主要原因是我院未安排公务用车</w:t>
      </w:r>
      <w:bookmarkStart w:id="1" w:name="_GoBack"/>
      <w:bookmarkEnd w:id="1"/>
      <w:r>
        <w:rPr>
          <w:rFonts w:hint="eastAsia" w:ascii="Times New Roman" w:hAnsi="Times New Roman" w:eastAsia="方正仿宋_GBK" w:cs="Times New Roman"/>
          <w:lang w:val="en-US" w:eastAsia="zh-CN"/>
        </w:rPr>
        <w:t>购置及运行维护费预算，公务用车购置及运行维护费由单位自有经费安排，财政不安排经费。</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单位现有公务用车0辆，其中：轿车（含7座以下商务车、城市越野车）0辆，7座以上19座（含19座）以下客车0辆，越野车0辆，货车及19座以上客车0辆，摩托车0辆。</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2025年安排公务用车购置费0万元，购置公务用车0辆，其中：轿车（含7座以下商务车、城市越野车）0辆，7座以上19座（含19座）以下客车0辆，越野车0辆，货车及19座以</w:t>
      </w:r>
    </w:p>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上客车0辆，摩托车0辆。</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2025年安排公务用车运行维护费0万元。</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八、政府性基金预算支出情况说明</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盐边县桐子林镇卫生院2025年没有使用政府性基金预算拨款安排的支出。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eastAsia" w:ascii="Times New Roman" w:hAnsi="Times New Roman" w:eastAsia="方正黑体_GBK" w:cs="Times New Roman"/>
          <w:color w:val="333333"/>
          <w:kern w:val="0"/>
        </w:rPr>
        <w:t>九</w:t>
      </w:r>
      <w:r>
        <w:rPr>
          <w:rFonts w:hint="default" w:ascii="Times New Roman" w:hAnsi="Times New Roman" w:eastAsia="方正黑体_GBK" w:cs="Times New Roman"/>
          <w:color w:val="333333"/>
          <w:kern w:val="0"/>
        </w:rPr>
        <w:t>、</w:t>
      </w:r>
      <w:r>
        <w:rPr>
          <w:rFonts w:hint="eastAsia" w:ascii="Times New Roman" w:hAnsi="Times New Roman" w:eastAsia="方正黑体_GBK" w:cs="Times New Roman"/>
          <w:color w:val="333333"/>
          <w:kern w:val="0"/>
        </w:rPr>
        <w:t>国有资本经营</w:t>
      </w:r>
      <w:r>
        <w:rPr>
          <w:rFonts w:hint="default" w:ascii="Times New Roman" w:hAnsi="Times New Roman" w:eastAsia="方正黑体_GBK" w:cs="Times New Roman"/>
          <w:color w:val="333333"/>
          <w:kern w:val="0"/>
        </w:rPr>
        <w:t>预算情况说明</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盐边县桐子林镇卫生院2025年没有使用国有资本经营预算拨款安排的支出。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eastAsia" w:ascii="Times New Roman" w:hAnsi="Times New Roman" w:eastAsia="方正黑体_GBK" w:cs="Times New Roman"/>
          <w:color w:val="333333"/>
          <w:kern w:val="0"/>
        </w:rPr>
        <w:t>十</w:t>
      </w:r>
      <w:r>
        <w:rPr>
          <w:rFonts w:hint="default" w:ascii="Times New Roman" w:hAnsi="Times New Roman" w:eastAsia="方正黑体_GBK" w:cs="Times New Roman"/>
          <w:color w:val="333333"/>
          <w:kern w:val="0"/>
        </w:rPr>
        <w:t>、其他重要事项的情况说明</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（一）</w:t>
      </w:r>
      <w:r>
        <w:rPr>
          <w:rFonts w:hint="eastAsia" w:ascii="Times New Roman" w:hAnsi="Times New Roman" w:eastAsia="方正楷体_GBK" w:cs="Times New Roman"/>
          <w:b/>
          <w:bCs/>
          <w:color w:val="333333"/>
          <w:kern w:val="0"/>
        </w:rPr>
        <w:t>机关</w:t>
      </w:r>
      <w:r>
        <w:rPr>
          <w:rFonts w:hint="default" w:ascii="Times New Roman" w:hAnsi="Times New Roman" w:eastAsia="方正楷体_GBK" w:cs="Times New Roman"/>
          <w:b/>
          <w:bCs/>
          <w:color w:val="333333"/>
          <w:kern w:val="0"/>
        </w:rPr>
        <w:t>运行经费</w:t>
      </w:r>
      <w:r>
        <w:rPr>
          <w:rFonts w:hint="eastAsia" w:ascii="Times New Roman" w:hAnsi="Times New Roman" w:eastAsia="方正楷体_GBK" w:cs="Times New Roman"/>
          <w:b/>
          <w:bCs/>
          <w:color w:val="333333"/>
          <w:kern w:val="0"/>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2025年，盐边县桐子林镇卫生院为公益一类事业单位，按规定未使用机关运行的相关科目，机关运行经费财政拨款预算为0万元，与2024年持平。</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具体经费支出为：办公费</w:t>
      </w:r>
      <w:r>
        <w:rPr>
          <w:rFonts w:hint="default" w:ascii="Times New Roman" w:hAnsi="Times New Roman" w:eastAsia="方正仿宋_GBK" w:cs="Times New Roman"/>
          <w:lang w:val="en-US" w:eastAsia="zh-CN"/>
        </w:rPr>
        <w:t>0</w:t>
      </w:r>
      <w:r>
        <w:rPr>
          <w:rFonts w:hint="eastAsia" w:ascii="Times New Roman" w:hAnsi="Times New Roman" w:eastAsia="方正仿宋_GBK" w:cs="Times New Roman"/>
          <w:lang w:val="en-US" w:eastAsia="zh-CN"/>
        </w:rPr>
        <w:t>万元，印刷费</w:t>
      </w:r>
      <w:r>
        <w:rPr>
          <w:rFonts w:hint="default" w:ascii="Times New Roman" w:hAnsi="Times New Roman" w:eastAsia="方正仿宋_GBK" w:cs="Times New Roman"/>
          <w:lang w:val="en-US" w:eastAsia="zh-CN"/>
        </w:rPr>
        <w:t>0</w:t>
      </w:r>
      <w:r>
        <w:rPr>
          <w:rFonts w:hint="eastAsia" w:ascii="Times New Roman" w:hAnsi="Times New Roman" w:eastAsia="方正仿宋_GBK" w:cs="Times New Roman"/>
          <w:lang w:val="en-US" w:eastAsia="zh-CN"/>
        </w:rPr>
        <w:t>万元，手续费</w:t>
      </w:r>
      <w:r>
        <w:rPr>
          <w:rFonts w:hint="default" w:ascii="Times New Roman" w:hAnsi="Times New Roman" w:eastAsia="方正仿宋_GBK" w:cs="Times New Roman"/>
          <w:lang w:val="en-US" w:eastAsia="zh-CN"/>
        </w:rPr>
        <w:t>0</w:t>
      </w:r>
    </w:p>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万元。</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default" w:ascii="Times New Roman" w:hAnsi="Times New Roman" w:eastAsia="方正楷体_GBK" w:cs="Times New Roman"/>
          <w:b/>
          <w:bCs/>
          <w:color w:val="333333"/>
          <w:kern w:val="0"/>
        </w:rPr>
        <w:t>（二）</w:t>
      </w:r>
      <w:r>
        <w:rPr>
          <w:rFonts w:hint="eastAsia" w:ascii="Times New Roman" w:hAnsi="Times New Roman" w:eastAsia="方正楷体_GBK" w:cs="Times New Roman"/>
          <w:b/>
          <w:bCs/>
          <w:color w:val="333333"/>
          <w:kern w:val="0"/>
        </w:rPr>
        <w:t>政府采购情况。</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2025年，桐子林镇卫生院安排政府采购预算0万元，其中：政府采购货物预算0万元；政府采购工程预算0万元；政府采购服务预算0万元。</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eastAsia" w:ascii="Times New Roman" w:hAnsi="Times New Roman" w:eastAsia="方正楷体_GBK" w:cs="Times New Roman"/>
          <w:b/>
          <w:bCs/>
          <w:color w:val="333333"/>
          <w:kern w:val="0"/>
        </w:rPr>
        <w:t>（三）</w:t>
      </w:r>
      <w:r>
        <w:rPr>
          <w:rFonts w:hint="default" w:ascii="Times New Roman" w:hAnsi="Times New Roman" w:eastAsia="方正楷体_GBK" w:cs="Times New Roman"/>
          <w:b/>
          <w:bCs/>
          <w:color w:val="333333"/>
          <w:kern w:val="0"/>
        </w:rPr>
        <w:t>国有资产占有使用情况</w:t>
      </w:r>
      <w:r>
        <w:rPr>
          <w:rFonts w:hint="eastAsia" w:ascii="Times New Roman" w:hAnsi="Times New Roman" w:eastAsia="方正楷体_GBK" w:cs="Times New Roman"/>
          <w:b/>
          <w:bCs/>
          <w:color w:val="333333"/>
          <w:kern w:val="0"/>
        </w:rPr>
        <w:t>。</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截至2024年底，盐边县桐子林镇卫生院及所属的非独立核算单位共有车辆0辆，其中，执法执勤用车0辆。单位价值200万元以上大型设备0台（套）。</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Times New Roman" w:hAnsi="Times New Roman" w:eastAsia="方正楷体_GBK" w:cs="Times New Roman"/>
          <w:b/>
          <w:bCs/>
          <w:color w:val="333333"/>
          <w:kern w:val="0"/>
        </w:rPr>
      </w:pPr>
      <w:r>
        <w:rPr>
          <w:rFonts w:hint="eastAsia" w:ascii="Times New Roman" w:hAnsi="Times New Roman" w:eastAsia="方正楷体_GBK" w:cs="Times New Roman"/>
          <w:b/>
          <w:bCs/>
          <w:color w:val="333333"/>
          <w:kern w:val="0"/>
        </w:rPr>
        <w:t>（四）预算绩效情况。</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2025年盐边县桐子林镇卫生院开展绩效目标管理的项目0个，涉及预算0万元。其中：人员类项目0个，涉及预算0万元；运转类项目0个，涉及预算0万元；特定目标类项目0个，涉及预算0万元。</w:t>
      </w: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textAlignment w:val="auto"/>
        <w:rPr>
          <w:rFonts w:hint="default" w:ascii="Times New Roman" w:hAnsi="Times New Roman" w:eastAsia="方正黑体_GBK" w:cs="Times New Roman"/>
          <w:color w:val="333333"/>
          <w:kern w:val="0"/>
        </w:rPr>
      </w:pPr>
      <w:r>
        <w:rPr>
          <w:rFonts w:hint="default" w:ascii="Times New Roman" w:hAnsi="Times New Roman" w:eastAsia="方正黑体_GBK" w:cs="Times New Roman"/>
          <w:color w:val="333333"/>
          <w:kern w:val="0"/>
        </w:rPr>
        <w:t>十</w:t>
      </w:r>
      <w:r>
        <w:rPr>
          <w:rFonts w:hint="eastAsia" w:ascii="Times New Roman" w:hAnsi="Times New Roman" w:eastAsia="方正黑体_GBK" w:cs="Times New Roman"/>
          <w:color w:val="333333"/>
          <w:kern w:val="0"/>
          <w:lang w:eastAsia="zh-CN"/>
        </w:rPr>
        <w:t>一</w:t>
      </w:r>
      <w:r>
        <w:rPr>
          <w:rFonts w:hint="default" w:ascii="Times New Roman" w:hAnsi="Times New Roman" w:eastAsia="方正黑体_GBK" w:cs="Times New Roman"/>
          <w:color w:val="333333"/>
          <w:kern w:val="0"/>
        </w:rPr>
        <w:t>、名词解释</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1.一般公共预算拨款收入：指财政当年拨付的一般公共预算资金。</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2.卫生健康支出（210类）基层医疗卫生机构（03款）城市社区卫生机构（01项）：城市社区卫生机构的支出。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3.社会保障和就业支出（208类）行政事业单位养老支出（05款）事业单位离退休（02项）：事业单位开支的离退休经费。</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4.社会保障和就业支出（208类）行政事业单位养老支出（05款）机关事业单位基本养老保险缴费支出（05项）：机关事业单位实施养老保险制度由单位缴纳的基本养老保险费支出。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5.社会保障和就业支出（208类）抚恤（08款）死亡抚恤（01项）：烈士和牺牲、病故人员家属的一次性和定期抚恤金、丧葬补助费以及烈士褒扬金。</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6.卫生健康支出（210类）行政事业单位医疗（11款）事业</w:t>
      </w:r>
    </w:p>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单位医疗（02项）：事业单位基本医疗保险缴费经费，未参加医疗保险的事业单位的公费医疗经费，按国家规定享受离退休待遇的医疗经费。</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7.住房保障支出（221类）住房改革支出（02款）住房公积金（01项）：事业单位按人力资源和社会保障部、财政部规定的基本工资和津贴补贴以及规定比例为职工缴纳的住房公积金。</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8.卫生健康支出（210类）其他卫生健康支出（99款）其他卫生健康支出（99项）：除以上项目以外其他用于卫生健康方面的支出。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9.基本支出：指为保证机构正常运转，完成日常工作任务而发生的人员支出和公用支出。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10.项目支出：指在基本支出之外为完成特定工作任务和事业发展目标所发生的支出。</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11.“三公”经费：纳入预算管理的“三公”经费，是指部</w:t>
      </w:r>
    </w:p>
    <w:p>
      <w:pPr>
        <w:keepNext w:val="0"/>
        <w:keepLines w:val="0"/>
        <w:pageBreakBefore w:val="0"/>
        <w:kinsoku/>
        <w:wordWrap/>
        <w:overflowPunct/>
        <w:topLinePunct w:val="0"/>
        <w:autoSpaceDE/>
        <w:autoSpaceDN/>
        <w:bidi w:val="0"/>
        <w:snapToGrid/>
        <w:spacing w:line="240" w:lineRule="auto"/>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新能源汽车充电费、维修费、过桥过路费、保险费、安全奖励费用等支出；公务接待费反映单位按规定开支的各类公务接待（含外宾接待）费用</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12.机关运行经费：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color w:val="000000"/>
        </w:rPr>
      </w:pPr>
      <w:r>
        <w:rPr>
          <w:color w:val="000000"/>
        </w:rPr>
        <w:br w:type="page"/>
      </w:r>
    </w:p>
    <w:p>
      <w:pPr>
        <w:spacing w:line="560" w:lineRule="exact"/>
        <w:ind w:firstLine="640" w:firstLineChars="200"/>
        <w:rPr>
          <w:rFonts w:hint="eastAsia"/>
          <w:lang w:val="en-US" w:eastAsia="zh-CN"/>
        </w:rPr>
        <w:sectPr>
          <w:footerReference r:id="rId6" w:type="default"/>
          <w:pgSz w:w="11906" w:h="16838"/>
          <w:pgMar w:top="2098" w:right="1474" w:bottom="1984" w:left="1587" w:header="851" w:footer="992" w:gutter="0"/>
          <w:pgNumType w:fmt="numberInDash"/>
          <w:cols w:space="720" w:num="1"/>
          <w:docGrid w:type="lines" w:linePitch="435" w:charSpace="0"/>
        </w:sectPr>
      </w:pPr>
    </w:p>
    <w:p>
      <w:pPr>
        <w:keepNext w:val="0"/>
        <w:keepLines w:val="0"/>
        <w:pageBreakBefore w:val="0"/>
        <w:widowControl/>
        <w:shd w:val="clear" w:color="auto" w:fill="FFFFFF"/>
        <w:kinsoku/>
        <w:wordWrap/>
        <w:overflowPunct/>
        <w:topLinePunct w:val="0"/>
        <w:autoSpaceDE/>
        <w:autoSpaceDN/>
        <w:bidi w:val="0"/>
        <w:snapToGrid/>
        <w:spacing w:line="240" w:lineRule="auto"/>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rPr>
        <w:t>附件：</w:t>
      </w:r>
      <w:r>
        <w:rPr>
          <w:rFonts w:hint="default" w:ascii="Times New Roman" w:hAnsi="Times New Roman" w:eastAsia="方正仿宋_GBK" w:cs="Times New Roman"/>
          <w:color w:val="333333"/>
          <w:kern w:val="0"/>
          <w:sz w:val="32"/>
          <w:szCs w:val="32"/>
        </w:rPr>
        <w:t>表1.部门收支总表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表1-1.部门收入总表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表1-2.部门支出总表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表2.财政拨款收支预算总表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表2-1.财政拨款支出预算表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表3.一般公共预算支出预算表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表3-1.一般公共预算基本支出预算表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表3-2.一般公共预算项目支出预算表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表3-3.一般公共预算“三公”经费支出预算表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表4.政府性基金支出预算表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表4-1.政府性基金预算“三公”经费支出预算表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表5.国有资本经营预算支出预算表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表6.部门预算</w:t>
      </w:r>
      <w:r>
        <w:rPr>
          <w:rFonts w:hint="default" w:ascii="Times New Roman" w:hAnsi="Times New Roman" w:eastAsia="方正仿宋_GBK" w:cs="Times New Roman"/>
          <w:color w:val="333333"/>
          <w:kern w:val="0"/>
          <w:sz w:val="32"/>
          <w:szCs w:val="32"/>
          <w:lang w:eastAsia="zh-CN"/>
        </w:rPr>
        <w:t>项目支出</w:t>
      </w:r>
      <w:r>
        <w:rPr>
          <w:rFonts w:hint="default" w:ascii="Times New Roman" w:hAnsi="Times New Roman" w:eastAsia="方正仿宋_GBK" w:cs="Times New Roman"/>
          <w:color w:val="333333"/>
          <w:kern w:val="0"/>
          <w:sz w:val="32"/>
          <w:szCs w:val="32"/>
        </w:rPr>
        <w:t>绩效目标表</w:t>
      </w:r>
    </w:p>
    <w:p>
      <w:pPr>
        <w:keepNext w:val="0"/>
        <w:keepLines w:val="0"/>
        <w:pageBreakBefore w:val="0"/>
        <w:widowControl/>
        <w:shd w:val="clear" w:color="auto" w:fill="FFFFFF"/>
        <w:kinsoku/>
        <w:wordWrap/>
        <w:overflowPunct/>
        <w:topLinePunct w:val="0"/>
        <w:autoSpaceDE/>
        <w:autoSpaceDN/>
        <w:bidi w:val="0"/>
        <w:snapToGrid/>
        <w:spacing w:line="240" w:lineRule="auto"/>
        <w:ind w:firstLine="1600" w:firstLineChars="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rPr>
        <w:t>表7.部门整体支出绩效目标表</w:t>
      </w:r>
    </w:p>
    <w:p>
      <w:pPr>
        <w:spacing w:line="560" w:lineRule="exact"/>
        <w:ind w:firstLine="960" w:firstLineChars="300"/>
        <w:rPr>
          <w:color w:val="FF0000"/>
          <w:u w:val="single"/>
        </w:rPr>
      </w:pPr>
    </w:p>
    <w:sectPr>
      <w:footerReference r:id="rId7" w:type="default"/>
      <w:pgSz w:w="11906" w:h="16838"/>
      <w:pgMar w:top="2098" w:right="1474" w:bottom="1984" w:left="1587" w:header="851" w:footer="992" w:gutter="0"/>
      <w:pgNumType w:fmt="numberInDash" w:start="16"/>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v:textbox>
            </v:shape>
          </w:pict>
        </mc:Fallback>
      </mc:AlternateContent>
    </w: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- 15 -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- 15 -</w:t>
                    </w:r>
                    <w:r>
                      <w:rPr>
                        <w:rFonts w:hint="eastAsia" w:ascii="宋体" w:hAnsi="宋体" w:eastAsia="宋体" w:cs="宋体"/>
                        <w:sz w:val="30"/>
                        <w:szCs w:val="30"/>
                      </w:rPr>
                      <w:fldChar w:fldCharType="end"/>
                    </w:r>
                  </w:p>
                </w:txbxContent>
              </v:textbox>
            </v:shape>
          </w:pict>
        </mc:Fallback>
      </mc:AlternateConten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- 12 -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- 12 -</w:t>
                    </w:r>
                    <w:r>
                      <w:rPr>
                        <w:rFonts w:hint="eastAsia" w:ascii="宋体" w:hAnsi="宋体" w:eastAsia="宋体" w:cs="宋体"/>
                        <w:sz w:val="30"/>
                        <w:szCs w:val="30"/>
                      </w:rPr>
                      <w:fldChar w:fldCharType="end"/>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D6406"/>
    <w:multiLevelType w:val="singleLevel"/>
    <w:tmpl w:val="06FD64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622CE"/>
    <w:rsid w:val="016E69D9"/>
    <w:rsid w:val="05695C48"/>
    <w:rsid w:val="08B6462D"/>
    <w:rsid w:val="0A7666CB"/>
    <w:rsid w:val="0DDD0AE7"/>
    <w:rsid w:val="0E1E1F9A"/>
    <w:rsid w:val="0E4F3AAB"/>
    <w:rsid w:val="109A0F5B"/>
    <w:rsid w:val="11E622CE"/>
    <w:rsid w:val="125D72C6"/>
    <w:rsid w:val="212C050A"/>
    <w:rsid w:val="22B1460E"/>
    <w:rsid w:val="252A06A8"/>
    <w:rsid w:val="26737D5E"/>
    <w:rsid w:val="273656B7"/>
    <w:rsid w:val="281F201A"/>
    <w:rsid w:val="2EB2312B"/>
    <w:rsid w:val="2ED161AC"/>
    <w:rsid w:val="38726196"/>
    <w:rsid w:val="40A7545D"/>
    <w:rsid w:val="4E6B74B7"/>
    <w:rsid w:val="502F3B65"/>
    <w:rsid w:val="53C00225"/>
    <w:rsid w:val="57FA20C3"/>
    <w:rsid w:val="59DE4FE1"/>
    <w:rsid w:val="5B9928B4"/>
    <w:rsid w:val="63AC5241"/>
    <w:rsid w:val="643979E4"/>
    <w:rsid w:val="721A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4209</Words>
  <Characters>4903</Characters>
  <Lines>0</Lines>
  <Paragraphs>0</Paragraphs>
  <TotalTime>8</TotalTime>
  <ScaleCrop>false</ScaleCrop>
  <LinksUpToDate>false</LinksUpToDate>
  <CharactersWithSpaces>4911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2025-07-11T02:38:00Z</dcterms:created>
  <dc:creator>放纵</dc:creator>
  <cp:lastModifiedBy>Administrator</cp:lastModifiedBy>
  <dcterms:modified xsi:type="dcterms:W3CDTF">2025-07-24T02:58:06Z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8C02D0757D144E7B8F921371F75AF62D_13</vt:lpwstr>
  </property>
  <property fmtid="{D5CDD505-2E9C-101B-9397-08002B2CF9AE}" pid="4" name="KSOTemplateDocerSaveRecord">
    <vt:lpwstr>eyJoZGlkIjoiNGM1MjgxYjU2NmI0MGIxYWQxM2JjMTdmYmRkYzgxZmMiLCJ1c2VySWQiOiI3MjQwMTUzNDIifQ==</vt:lpwstr>
  </property>
</Properties>
</file>