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494D7">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8441"/>
      <w:bookmarkStart w:id="3" w:name="_Toc15377425"/>
      <w:bookmarkStart w:id="4" w:name="_Toc15396475"/>
      <w:bookmarkStart w:id="5" w:name="_Toc15306267"/>
    </w:p>
    <w:p w14:paraId="3DD5F2F9">
      <w:pPr>
        <w:spacing w:line="600" w:lineRule="exact"/>
        <w:jc w:val="center"/>
        <w:outlineLvl w:val="0"/>
        <w:rPr>
          <w:rFonts w:ascii="方正小标宋简体" w:hAnsi="宋体" w:eastAsia="方正小标宋简体"/>
          <w:sz w:val="72"/>
          <w:szCs w:val="72"/>
        </w:rPr>
      </w:pPr>
    </w:p>
    <w:p w14:paraId="7162A4ED">
      <w:pPr>
        <w:spacing w:line="600" w:lineRule="exact"/>
        <w:jc w:val="center"/>
        <w:outlineLvl w:val="0"/>
        <w:rPr>
          <w:rFonts w:ascii="方正小标宋简体" w:hAnsi="宋体" w:eastAsia="方正小标宋简体"/>
          <w:sz w:val="72"/>
          <w:szCs w:val="72"/>
        </w:rPr>
      </w:pPr>
    </w:p>
    <w:p w14:paraId="688B672F">
      <w:pPr>
        <w:spacing w:line="600" w:lineRule="exact"/>
        <w:jc w:val="center"/>
        <w:outlineLvl w:val="0"/>
        <w:rPr>
          <w:rFonts w:ascii="方正小标宋简体" w:hAnsi="宋体" w:eastAsia="方正小标宋简体"/>
          <w:sz w:val="72"/>
          <w:szCs w:val="72"/>
        </w:rPr>
      </w:pPr>
    </w:p>
    <w:p w14:paraId="594BA72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65DA9A41">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77426"/>
      <w:bookmarkStart w:id="9" w:name="_Toc15378442"/>
      <w:bookmarkStart w:id="10" w:name="_Toc15396476"/>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司法局部门决算</w:t>
      </w:r>
      <w:bookmarkEnd w:id="6"/>
      <w:bookmarkEnd w:id="7"/>
      <w:bookmarkEnd w:id="8"/>
      <w:bookmarkEnd w:id="9"/>
      <w:bookmarkEnd w:id="10"/>
      <w:bookmarkEnd w:id="11"/>
    </w:p>
    <w:p w14:paraId="11DE8186">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3475FA2">
      <w:pPr>
        <w:widowControl/>
        <w:jc w:val="center"/>
        <w:rPr>
          <w:rFonts w:ascii="黑体" w:hAnsi="黑体" w:eastAsia="黑体" w:cstheme="minorBidi"/>
          <w:sz w:val="28"/>
          <w:szCs w:val="28"/>
        </w:rPr>
      </w:pPr>
    </w:p>
    <w:p w14:paraId="3A483337">
      <w:pPr>
        <w:pStyle w:val="14"/>
      </w:pPr>
      <w:r>
        <w:rPr>
          <w:rFonts w:hint="eastAsia"/>
        </w:rPr>
        <w:t>公开时间：2022年10月24日</w:t>
      </w:r>
    </w:p>
    <w:p w14:paraId="60BD6316"/>
    <w:sdt>
      <w:sdtPr>
        <w:rPr>
          <w:rFonts w:ascii="宋体" w:hAnsi="宋体" w:eastAsia="微软雅黑"/>
          <w:kern w:val="0"/>
          <w:sz w:val="20"/>
          <w:szCs w:val="20"/>
        </w:rPr>
        <w:id w:val="-1354483635"/>
        <w:docPartObj>
          <w:docPartGallery w:val="Table of Contents"/>
          <w:docPartUnique/>
        </w:docPartObj>
      </w:sdtPr>
      <w:sdtEndPr>
        <w:rPr>
          <w:rFonts w:ascii="宋体" w:hAnsi="宋体" w:eastAsia="微软雅黑"/>
          <w:kern w:val="0"/>
          <w:sz w:val="20"/>
          <w:szCs w:val="20"/>
        </w:rPr>
      </w:sdtEndPr>
      <w:sdtContent>
        <w:p w14:paraId="2EE28C28">
          <w:pPr>
            <w:jc w:val="center"/>
          </w:pPr>
          <w:bookmarkStart w:id="12" w:name="_Toc27435_WPSOffice_Type2"/>
        </w:p>
        <w:p w14:paraId="11C4B2D8">
          <w:pPr>
            <w:pStyle w:val="41"/>
            <w:tabs>
              <w:tab w:val="right" w:leader="dot" w:pos="8306"/>
            </w:tabs>
            <w:rPr>
              <w:rFonts w:ascii="仿宋_GB2312" w:hAnsi="仿宋_GB2312" w:eastAsia="仿宋_GB2312" w:cs="仿宋_GB2312"/>
              <w:sz w:val="28"/>
              <w:szCs w:val="28"/>
            </w:rPr>
          </w:pPr>
          <w:r>
            <w:fldChar w:fldCharType="begin"/>
          </w:r>
          <w:r>
            <w:instrText xml:space="preserve"> HYPERLINK \l "_Toc15198_WPSOffice_Level1" </w:instrText>
          </w:r>
          <w:r>
            <w:fldChar w:fldCharType="separate"/>
          </w:r>
          <w:sdt>
            <w:sdtPr>
              <w:rPr>
                <w:rFonts w:hint="eastAsia" w:ascii="仿宋_GB2312" w:hAnsi="仿宋_GB2312" w:eastAsia="仿宋_GB2312" w:cs="仿宋_GB2312"/>
                <w:b/>
                <w:bCs/>
                <w:kern w:val="2"/>
                <w:sz w:val="28"/>
                <w:szCs w:val="28"/>
              </w:rPr>
              <w:id w:val="147477104"/>
              <w:placeholder>
                <w:docPart w:val="{1a8555f8-e10c-408f-9e51-6063ee49ec0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第一部分 部门概况</w:t>
              </w:r>
            </w:sdtContent>
          </w:sdt>
          <w:r>
            <w:rPr>
              <w:rFonts w:hint="eastAsia" w:ascii="仿宋_GB2312" w:hAnsi="仿宋_GB2312" w:eastAsia="仿宋_GB2312" w:cs="仿宋_GB2312"/>
              <w:b/>
              <w:bCs/>
              <w:sz w:val="28"/>
              <w:szCs w:val="28"/>
            </w:rPr>
            <w:tab/>
          </w:r>
          <w:bookmarkStart w:id="13" w:name="_Toc15198_WPSOffice_Level1Page"/>
          <w:r>
            <w:rPr>
              <w:rFonts w:hint="eastAsia" w:ascii="仿宋_GB2312" w:hAnsi="仿宋_GB2312" w:eastAsia="仿宋_GB2312" w:cs="仿宋_GB2312"/>
              <w:b/>
              <w:bCs/>
              <w:sz w:val="28"/>
              <w:szCs w:val="28"/>
            </w:rPr>
            <w:t>4</w:t>
          </w:r>
          <w:bookmarkEnd w:id="13"/>
          <w:r>
            <w:rPr>
              <w:rFonts w:hint="eastAsia" w:ascii="仿宋_GB2312" w:hAnsi="仿宋_GB2312" w:eastAsia="仿宋_GB2312" w:cs="仿宋_GB2312"/>
              <w:b/>
              <w:bCs/>
              <w:sz w:val="28"/>
              <w:szCs w:val="28"/>
            </w:rPr>
            <w:fldChar w:fldCharType="end"/>
          </w:r>
        </w:p>
        <w:p w14:paraId="297718AB">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"_Toc20898_WPSOffice_Level2" </w:instrText>
          </w:r>
          <w:r>
            <w:fldChar w:fldCharType="separate"/>
          </w:r>
          <w:sdt>
            <w:sdtPr>
              <w:rPr>
                <w:rFonts w:hint="eastAsia" w:ascii="仿宋_GB2312" w:hAnsi="仿宋_GB2312" w:eastAsia="仿宋_GB2312" w:cs="仿宋_GB2312"/>
                <w:kern w:val="2"/>
                <w:sz w:val="28"/>
                <w:szCs w:val="28"/>
              </w:rPr>
              <w:id w:val="1449739092"/>
              <w:placeholder>
                <w:docPart w:val="{f41cbe46-effa-41f6-8539-08543f20b4b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一、职能简介</w:t>
              </w:r>
            </w:sdtContent>
          </w:sdt>
          <w:r>
            <w:rPr>
              <w:rFonts w:hint="eastAsia" w:ascii="仿宋_GB2312" w:hAnsi="仿宋_GB2312" w:eastAsia="仿宋_GB2312" w:cs="仿宋_GB2312"/>
              <w:sz w:val="28"/>
              <w:szCs w:val="28"/>
            </w:rPr>
            <w:tab/>
          </w:r>
          <w:bookmarkStart w:id="14" w:name="_Toc20898_WPSOffice_Level2Page"/>
          <w:r>
            <w:rPr>
              <w:rFonts w:hint="eastAsia" w:ascii="仿宋_GB2312" w:hAnsi="仿宋_GB2312" w:eastAsia="仿宋_GB2312" w:cs="仿宋_GB2312"/>
              <w:sz w:val="28"/>
              <w:szCs w:val="28"/>
            </w:rPr>
            <w:t>4</w:t>
          </w:r>
          <w:bookmarkEnd w:id="14"/>
          <w:r>
            <w:rPr>
              <w:rFonts w:hint="eastAsia" w:ascii="仿宋_GB2312" w:hAnsi="仿宋_GB2312" w:eastAsia="仿宋_GB2312" w:cs="仿宋_GB2312"/>
              <w:sz w:val="28"/>
              <w:szCs w:val="28"/>
            </w:rPr>
            <w:fldChar w:fldCharType="end"/>
          </w:r>
        </w:p>
        <w:p w14:paraId="3BAE1526">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"_Toc2060_WPSOffice_Level2" </w:instrText>
          </w:r>
          <w:r>
            <w:fldChar w:fldCharType="separate"/>
          </w:r>
          <w:sdt>
            <w:sdtPr>
              <w:rPr>
                <w:rFonts w:hint="eastAsia" w:ascii="仿宋_GB2312" w:hAnsi="仿宋_GB2312" w:eastAsia="仿宋_GB2312" w:cs="仿宋_GB2312"/>
                <w:kern w:val="2"/>
                <w:sz w:val="28"/>
                <w:szCs w:val="28"/>
              </w:rPr>
              <w:id w:val="864090510"/>
              <w:placeholder>
                <w:docPart w:val="{7f814290-3702-46f9-ab24-3d7478ecc7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二、2021年重点工作完成情况</w:t>
              </w:r>
            </w:sdtContent>
          </w:sdt>
          <w:r>
            <w:rPr>
              <w:rFonts w:hint="eastAsia" w:ascii="仿宋_GB2312" w:hAnsi="仿宋_GB2312" w:eastAsia="仿宋_GB2312" w:cs="仿宋_GB2312"/>
              <w:sz w:val="28"/>
              <w:szCs w:val="28"/>
            </w:rPr>
            <w:tab/>
          </w:r>
          <w:bookmarkStart w:id="15" w:name="_Toc2060_WPSOffice_Level2Page"/>
          <w:r>
            <w:rPr>
              <w:rFonts w:hint="eastAsia" w:ascii="仿宋_GB2312" w:hAnsi="仿宋_GB2312" w:eastAsia="仿宋_GB2312" w:cs="仿宋_GB2312"/>
              <w:sz w:val="28"/>
              <w:szCs w:val="28"/>
            </w:rPr>
            <w:t>5</w:t>
          </w:r>
          <w:bookmarkEnd w:id="15"/>
          <w:r>
            <w:rPr>
              <w:rFonts w:hint="eastAsia" w:ascii="仿宋_GB2312" w:hAnsi="仿宋_GB2312" w:eastAsia="仿宋_GB2312" w:cs="仿宋_GB2312"/>
              <w:sz w:val="28"/>
              <w:szCs w:val="28"/>
            </w:rPr>
            <w:fldChar w:fldCharType="end"/>
          </w:r>
        </w:p>
        <w:p w14:paraId="43DFABB0">
          <w:pPr>
            <w:pStyle w:val="41"/>
            <w:tabs>
              <w:tab w:val="right" w:leader="dot" w:pos="8306"/>
            </w:tabs>
            <w:rPr>
              <w:rFonts w:ascii="仿宋_GB2312" w:hAnsi="仿宋_GB2312" w:eastAsia="仿宋_GB2312" w:cs="仿宋_GB2312"/>
              <w:sz w:val="28"/>
              <w:szCs w:val="28"/>
            </w:rPr>
          </w:pPr>
          <w:r>
            <w:fldChar w:fldCharType="begin"/>
          </w:r>
          <w:r>
            <w:instrText xml:space="preserve"> HYPERLINK \l "_Toc27435_WPSOffice_Level1" </w:instrText>
          </w:r>
          <w:r>
            <w:fldChar w:fldCharType="separate"/>
          </w:r>
          <w:sdt>
            <w:sdtPr>
              <w:rPr>
                <w:rFonts w:hint="eastAsia" w:ascii="仿宋_GB2312" w:hAnsi="仿宋_GB2312" w:eastAsia="仿宋_GB2312" w:cs="仿宋_GB2312"/>
                <w:b/>
                <w:bCs/>
                <w:kern w:val="2"/>
                <w:sz w:val="28"/>
                <w:szCs w:val="28"/>
              </w:rPr>
              <w:id w:val="951748686"/>
              <w:placeholder>
                <w:docPart w:val="{2a13ede9-10ac-4a11-92e4-72d4510057e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第二部分 2021年度部门决算情况说明</w:t>
              </w:r>
            </w:sdtContent>
          </w:sdt>
          <w:r>
            <w:rPr>
              <w:rFonts w:hint="eastAsia" w:ascii="仿宋_GB2312" w:hAnsi="仿宋_GB2312" w:eastAsia="仿宋_GB2312" w:cs="仿宋_GB2312"/>
              <w:b/>
              <w:bCs/>
              <w:sz w:val="28"/>
              <w:szCs w:val="28"/>
            </w:rPr>
            <w:tab/>
          </w:r>
          <w:bookmarkStart w:id="16" w:name="_Toc27435_WPSOffice_Level1Page"/>
          <w:r>
            <w:rPr>
              <w:rFonts w:hint="eastAsia" w:ascii="仿宋_GB2312" w:hAnsi="仿宋_GB2312" w:eastAsia="仿宋_GB2312" w:cs="仿宋_GB2312"/>
              <w:b/>
              <w:bCs/>
              <w:sz w:val="28"/>
              <w:szCs w:val="28"/>
            </w:rPr>
            <w:t>12</w:t>
          </w:r>
          <w:bookmarkEnd w:id="16"/>
          <w:r>
            <w:rPr>
              <w:rFonts w:hint="eastAsia" w:ascii="仿宋_GB2312" w:hAnsi="仿宋_GB2312" w:eastAsia="仿宋_GB2312" w:cs="仿宋_GB2312"/>
              <w:b/>
              <w:bCs/>
              <w:sz w:val="28"/>
              <w:szCs w:val="28"/>
            </w:rPr>
            <w:fldChar w:fldCharType="end"/>
          </w:r>
        </w:p>
        <w:p w14:paraId="2E488408">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"_Toc23074_WPSOffice_Level2" </w:instrText>
          </w:r>
          <w:r>
            <w:fldChar w:fldCharType="separate"/>
          </w:r>
          <w:sdt>
            <w:sdtPr>
              <w:rPr>
                <w:rFonts w:hint="eastAsia" w:ascii="仿宋_GB2312" w:hAnsi="仿宋_GB2312" w:eastAsia="仿宋_GB2312" w:cs="仿宋_GB2312"/>
                <w:kern w:val="2"/>
                <w:sz w:val="28"/>
                <w:szCs w:val="28"/>
              </w:rPr>
              <w:id w:val="1674678127"/>
              <w:placeholder>
                <w:docPart w:val="{48a11a16-0d0b-4ac7-b45f-016a577b21b3}"/>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 收入支出决算总体情况说明</w:t>
              </w:r>
            </w:sdtContent>
          </w:sdt>
          <w:r>
            <w:rPr>
              <w:rFonts w:hint="eastAsia" w:ascii="仿宋_GB2312" w:hAnsi="仿宋_GB2312" w:eastAsia="仿宋_GB2312" w:cs="仿宋_GB2312"/>
              <w:sz w:val="28"/>
              <w:szCs w:val="28"/>
            </w:rPr>
            <w:tab/>
          </w:r>
          <w:bookmarkStart w:id="17" w:name="_Toc23074_WPSOffice_Level2Page"/>
          <w:r>
            <w:rPr>
              <w:rFonts w:hint="eastAsia" w:ascii="仿宋_GB2312" w:hAnsi="仿宋_GB2312" w:eastAsia="仿宋_GB2312" w:cs="仿宋_GB2312"/>
              <w:sz w:val="28"/>
              <w:szCs w:val="28"/>
            </w:rPr>
            <w:t>12</w:t>
          </w:r>
          <w:bookmarkEnd w:id="17"/>
          <w:r>
            <w:rPr>
              <w:rFonts w:hint="eastAsia" w:ascii="仿宋_GB2312" w:hAnsi="仿宋_GB2312" w:eastAsia="仿宋_GB2312" w:cs="仿宋_GB2312"/>
              <w:sz w:val="28"/>
              <w:szCs w:val="28"/>
            </w:rPr>
            <w:fldChar w:fldCharType="end"/>
          </w:r>
        </w:p>
        <w:p w14:paraId="526905FE">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"_Toc23867_WPSOffice_Level2" </w:instrText>
          </w:r>
          <w:r>
            <w:fldChar w:fldCharType="separate"/>
          </w:r>
          <w:sdt>
            <w:sdtPr>
              <w:rPr>
                <w:rFonts w:hint="eastAsia" w:ascii="仿宋_GB2312" w:hAnsi="仿宋_GB2312" w:eastAsia="仿宋_GB2312" w:cs="仿宋_GB2312"/>
                <w:kern w:val="2"/>
                <w:sz w:val="28"/>
                <w:szCs w:val="28"/>
              </w:rPr>
              <w:id w:val="-3519460"/>
              <w:placeholder>
                <w:docPart w:val="{ce4d297c-2b70-42e6-9f71-a8d9c545a74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 收入决算情况说明</w:t>
              </w:r>
            </w:sdtContent>
          </w:sdt>
          <w:r>
            <w:rPr>
              <w:rFonts w:hint="eastAsia" w:ascii="仿宋_GB2312" w:hAnsi="仿宋_GB2312" w:eastAsia="仿宋_GB2312" w:cs="仿宋_GB2312"/>
              <w:sz w:val="28"/>
              <w:szCs w:val="28"/>
            </w:rPr>
            <w:tab/>
          </w:r>
          <w:bookmarkStart w:id="18" w:name="_Toc23867_WPSOffice_Level2Page"/>
          <w:r>
            <w:rPr>
              <w:rFonts w:hint="eastAsia" w:ascii="仿宋_GB2312" w:hAnsi="仿宋_GB2312" w:eastAsia="仿宋_GB2312" w:cs="仿宋_GB2312"/>
              <w:sz w:val="28"/>
              <w:szCs w:val="28"/>
            </w:rPr>
            <w:t>12</w:t>
          </w:r>
          <w:bookmarkEnd w:id="18"/>
          <w:r>
            <w:rPr>
              <w:rFonts w:hint="eastAsia" w:ascii="仿宋_GB2312" w:hAnsi="仿宋_GB2312" w:eastAsia="仿宋_GB2312" w:cs="仿宋_GB2312"/>
              <w:sz w:val="28"/>
              <w:szCs w:val="28"/>
            </w:rPr>
            <w:fldChar w:fldCharType="end"/>
          </w:r>
        </w:p>
        <w:p w14:paraId="4ECEBAA2">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"_Toc22788_WPSOffice_Level2" </w:instrText>
          </w:r>
          <w:r>
            <w:fldChar w:fldCharType="separate"/>
          </w:r>
          <w:sdt>
            <w:sdtPr>
              <w:rPr>
                <w:rFonts w:hint="eastAsia" w:ascii="仿宋_GB2312" w:hAnsi="仿宋_GB2312" w:eastAsia="仿宋_GB2312" w:cs="仿宋_GB2312"/>
                <w:kern w:val="2"/>
                <w:sz w:val="28"/>
                <w:szCs w:val="28"/>
              </w:rPr>
              <w:id w:val="686797677"/>
              <w:placeholder>
                <w:docPart w:val="{e4ffa142-767e-4608-91fc-6aca770076ab}"/>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 支出决算情况说明</w:t>
              </w:r>
            </w:sdtContent>
          </w:sdt>
          <w:r>
            <w:rPr>
              <w:rFonts w:hint="eastAsia" w:ascii="仿宋_GB2312" w:hAnsi="仿宋_GB2312" w:eastAsia="仿宋_GB2312" w:cs="仿宋_GB2312"/>
              <w:sz w:val="28"/>
              <w:szCs w:val="28"/>
            </w:rPr>
            <w:tab/>
          </w:r>
          <w:bookmarkStart w:id="19" w:name="_Toc22788_WPSOffice_Level2Page"/>
          <w:r>
            <w:rPr>
              <w:rFonts w:hint="eastAsia" w:ascii="仿宋_GB2312" w:hAnsi="仿宋_GB2312" w:eastAsia="仿宋_GB2312" w:cs="仿宋_GB2312"/>
              <w:sz w:val="28"/>
              <w:szCs w:val="28"/>
            </w:rPr>
            <w:t>13</w:t>
          </w:r>
          <w:bookmarkEnd w:id="19"/>
          <w:r>
            <w:rPr>
              <w:rFonts w:hint="eastAsia" w:ascii="仿宋_GB2312" w:hAnsi="仿宋_GB2312" w:eastAsia="仿宋_GB2312" w:cs="仿宋_GB2312"/>
              <w:sz w:val="28"/>
              <w:szCs w:val="28"/>
            </w:rPr>
            <w:fldChar w:fldCharType="end"/>
          </w:r>
        </w:p>
        <w:p w14:paraId="7E6CF50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"_Toc11866_WPSOffice_Level2" </w:instrText>
          </w:r>
          <w:r>
            <w:fldChar w:fldCharType="separate"/>
          </w:r>
          <w:sdt>
            <w:sdtPr>
              <w:rPr>
                <w:rFonts w:hint="eastAsia" w:ascii="仿宋_GB2312" w:hAnsi="仿宋_GB2312" w:eastAsia="仿宋_GB2312" w:cs="仿宋_GB2312"/>
                <w:kern w:val="2"/>
                <w:sz w:val="28"/>
                <w:szCs w:val="28"/>
              </w:rPr>
              <w:id w:val="-1114598425"/>
              <w:placeholder>
                <w:docPart w:val="{0efe054b-9fc5-4403-bc1b-12dd11c979b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四、财政拨款收入支出决算总体情况说明</w:t>
              </w:r>
            </w:sdtContent>
          </w:sdt>
          <w:r>
            <w:rPr>
              <w:rFonts w:hint="eastAsia" w:ascii="仿宋_GB2312" w:hAnsi="仿宋_GB2312" w:eastAsia="仿宋_GB2312" w:cs="仿宋_GB2312"/>
              <w:sz w:val="28"/>
              <w:szCs w:val="28"/>
            </w:rPr>
            <w:tab/>
          </w:r>
          <w:bookmarkStart w:id="20" w:name="_Toc11866_WPSOffice_Level2Page"/>
          <w:r>
            <w:rPr>
              <w:rFonts w:hint="eastAsia" w:ascii="仿宋_GB2312" w:hAnsi="仿宋_GB2312" w:eastAsia="仿宋_GB2312" w:cs="仿宋_GB2312"/>
              <w:sz w:val="28"/>
              <w:szCs w:val="28"/>
            </w:rPr>
            <w:t>14</w:t>
          </w:r>
          <w:bookmarkEnd w:id="20"/>
          <w:r>
            <w:rPr>
              <w:rFonts w:hint="eastAsia" w:ascii="仿宋_GB2312" w:hAnsi="仿宋_GB2312" w:eastAsia="仿宋_GB2312" w:cs="仿宋_GB2312"/>
              <w:sz w:val="28"/>
              <w:szCs w:val="28"/>
            </w:rPr>
            <w:fldChar w:fldCharType="end"/>
          </w:r>
        </w:p>
        <w:p w14:paraId="0D90F01E">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"_Toc3192_WPSOffice_Level2" </w:instrText>
          </w:r>
          <w:r>
            <w:fldChar w:fldCharType="separate"/>
          </w:r>
          <w:sdt>
            <w:sdtPr>
              <w:rPr>
                <w:rFonts w:hint="eastAsia" w:ascii="仿宋_GB2312" w:hAnsi="仿宋_GB2312" w:eastAsia="仿宋_GB2312" w:cs="仿宋_GB2312"/>
                <w:kern w:val="2"/>
                <w:sz w:val="28"/>
                <w:szCs w:val="28"/>
              </w:rPr>
              <w:id w:val="1580564177"/>
              <w:placeholder>
                <w:docPart w:val="{f7b02a15-21b7-4b38-8361-ca9ca43b2d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五、一般公共预算财政拨款支出决算情况说明</w:t>
              </w:r>
            </w:sdtContent>
          </w:sdt>
          <w:r>
            <w:rPr>
              <w:rFonts w:hint="eastAsia" w:ascii="仿宋_GB2312" w:hAnsi="仿宋_GB2312" w:eastAsia="仿宋_GB2312" w:cs="仿宋_GB2312"/>
              <w:sz w:val="28"/>
              <w:szCs w:val="28"/>
            </w:rPr>
            <w:tab/>
          </w:r>
          <w:bookmarkStart w:id="21" w:name="_Toc3192_WPSOffice_Level2Page"/>
          <w:r>
            <w:rPr>
              <w:rFonts w:hint="eastAsia" w:ascii="仿宋_GB2312" w:hAnsi="仿宋_GB2312" w:eastAsia="仿宋_GB2312" w:cs="仿宋_GB2312"/>
              <w:sz w:val="28"/>
              <w:szCs w:val="28"/>
            </w:rPr>
            <w:t>14</w:t>
          </w:r>
          <w:bookmarkEnd w:id="21"/>
          <w:r>
            <w:rPr>
              <w:rFonts w:hint="eastAsia" w:ascii="仿宋_GB2312" w:hAnsi="仿宋_GB2312" w:eastAsia="仿宋_GB2312" w:cs="仿宋_GB2312"/>
              <w:sz w:val="28"/>
              <w:szCs w:val="28"/>
            </w:rPr>
            <w:fldChar w:fldCharType="end"/>
          </w:r>
        </w:p>
        <w:p w14:paraId="0623DC98">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"_Toc28462_WPSOffice_Level2" </w:instrText>
          </w:r>
          <w:r>
            <w:fldChar w:fldCharType="separate"/>
          </w:r>
          <w:sdt>
            <w:sdtPr>
              <w:rPr>
                <w:rFonts w:hint="eastAsia" w:ascii="仿宋_GB2312" w:hAnsi="仿宋_GB2312" w:eastAsia="仿宋_GB2312" w:cs="仿宋_GB2312"/>
                <w:kern w:val="2"/>
                <w:sz w:val="28"/>
                <w:szCs w:val="28"/>
              </w:rPr>
              <w:id w:val="2103602457"/>
              <w:placeholder>
                <w:docPart w:val="{2b3f102f-b6de-480b-985c-11fa7583321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六、一般公共预算财政拨款基本支出决算情况说明</w:t>
              </w:r>
            </w:sdtContent>
          </w:sdt>
          <w:r>
            <w:rPr>
              <w:rFonts w:hint="eastAsia" w:ascii="仿宋_GB2312" w:hAnsi="仿宋_GB2312" w:eastAsia="仿宋_GB2312" w:cs="仿宋_GB2312"/>
              <w:sz w:val="28"/>
              <w:szCs w:val="28"/>
            </w:rPr>
            <w:tab/>
          </w:r>
          <w:bookmarkStart w:id="22" w:name="_Toc28462_WPSOffice_Level2Page"/>
          <w:r>
            <w:rPr>
              <w:rFonts w:hint="eastAsia" w:ascii="仿宋_GB2312" w:hAnsi="仿宋_GB2312" w:eastAsia="仿宋_GB2312" w:cs="仿宋_GB2312"/>
              <w:sz w:val="28"/>
              <w:szCs w:val="28"/>
            </w:rPr>
            <w:t>17</w:t>
          </w:r>
          <w:bookmarkEnd w:id="22"/>
          <w:r>
            <w:rPr>
              <w:rFonts w:hint="eastAsia" w:ascii="仿宋_GB2312" w:hAnsi="仿宋_GB2312" w:eastAsia="仿宋_GB2312" w:cs="仿宋_GB2312"/>
              <w:sz w:val="28"/>
              <w:szCs w:val="28"/>
            </w:rPr>
            <w:fldChar w:fldCharType="end"/>
          </w:r>
        </w:p>
        <w:p w14:paraId="2FC11F90">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"_Toc18821_WPSOffice_Level2" </w:instrText>
          </w:r>
          <w:r>
            <w:fldChar w:fldCharType="separate"/>
          </w:r>
          <w:sdt>
            <w:sdtPr>
              <w:rPr>
                <w:rFonts w:hint="eastAsia" w:ascii="仿宋_GB2312" w:hAnsi="仿宋_GB2312" w:eastAsia="仿宋_GB2312" w:cs="仿宋_GB2312"/>
                <w:kern w:val="2"/>
                <w:sz w:val="28"/>
                <w:szCs w:val="28"/>
              </w:rPr>
              <w:id w:val="-1190682364"/>
              <w:placeholder>
                <w:docPart w:val="{81a4def6-4d40-43c7-a418-77dd7e9f8be9}"/>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七、“三公”经费财政拨款支出决算情况说明</w:t>
              </w:r>
            </w:sdtContent>
          </w:sdt>
          <w:r>
            <w:rPr>
              <w:rFonts w:hint="eastAsia" w:ascii="仿宋_GB2312" w:hAnsi="仿宋_GB2312" w:eastAsia="仿宋_GB2312" w:cs="仿宋_GB2312"/>
              <w:sz w:val="28"/>
              <w:szCs w:val="28"/>
            </w:rPr>
            <w:tab/>
          </w:r>
          <w:bookmarkStart w:id="23" w:name="_Toc18821_WPSOffice_Level2Page"/>
          <w:r>
            <w:rPr>
              <w:rFonts w:hint="eastAsia" w:ascii="仿宋_GB2312" w:hAnsi="仿宋_GB2312" w:eastAsia="仿宋_GB2312" w:cs="仿宋_GB2312"/>
              <w:sz w:val="28"/>
              <w:szCs w:val="28"/>
            </w:rPr>
            <w:t>17</w:t>
          </w:r>
          <w:bookmarkEnd w:id="23"/>
          <w:r>
            <w:rPr>
              <w:rFonts w:hint="eastAsia" w:ascii="仿宋_GB2312" w:hAnsi="仿宋_GB2312" w:eastAsia="仿宋_GB2312" w:cs="仿宋_GB2312"/>
              <w:sz w:val="28"/>
              <w:szCs w:val="28"/>
            </w:rPr>
            <w:fldChar w:fldCharType="end"/>
          </w:r>
        </w:p>
        <w:p w14:paraId="256B9748">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"_Toc1546_WPSOffice_Level2" </w:instrText>
          </w:r>
          <w:r>
            <w:fldChar w:fldCharType="separate"/>
          </w:r>
          <w:sdt>
            <w:sdtPr>
              <w:rPr>
                <w:rFonts w:hint="eastAsia" w:ascii="仿宋_GB2312" w:hAnsi="仿宋_GB2312" w:eastAsia="仿宋_GB2312" w:cs="仿宋_GB2312"/>
                <w:kern w:val="2"/>
                <w:sz w:val="28"/>
                <w:szCs w:val="28"/>
              </w:rPr>
              <w:id w:val="1701208989"/>
              <w:placeholder>
                <w:docPart w:val="{689c0db2-b797-4331-b282-60f20fdfd21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八、政府性基金预算支出决算情况说明</w:t>
              </w:r>
            </w:sdtContent>
          </w:sdt>
          <w:r>
            <w:rPr>
              <w:rFonts w:hint="eastAsia" w:ascii="仿宋_GB2312" w:hAnsi="仿宋_GB2312" w:eastAsia="仿宋_GB2312" w:cs="仿宋_GB2312"/>
              <w:sz w:val="28"/>
              <w:szCs w:val="28"/>
            </w:rPr>
            <w:tab/>
          </w:r>
          <w:bookmarkStart w:id="24" w:name="_Toc1546_WPSOffice_Level2Page"/>
          <w:r>
            <w:rPr>
              <w:rFonts w:hint="eastAsia" w:ascii="仿宋_GB2312" w:hAnsi="仿宋_GB2312" w:eastAsia="仿宋_GB2312" w:cs="仿宋_GB2312"/>
              <w:sz w:val="28"/>
              <w:szCs w:val="28"/>
            </w:rPr>
            <w:t>19</w:t>
          </w:r>
          <w:bookmarkEnd w:id="24"/>
          <w:r>
            <w:rPr>
              <w:rFonts w:hint="eastAsia" w:ascii="仿宋_GB2312" w:hAnsi="仿宋_GB2312" w:eastAsia="仿宋_GB2312" w:cs="仿宋_GB2312"/>
              <w:sz w:val="28"/>
              <w:szCs w:val="28"/>
            </w:rPr>
            <w:fldChar w:fldCharType="end"/>
          </w:r>
        </w:p>
        <w:p w14:paraId="15751222">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"_Toc13586_WPSOffice_Level2" </w:instrText>
          </w:r>
          <w:r>
            <w:fldChar w:fldCharType="separate"/>
          </w:r>
          <w:sdt>
            <w:sdtPr>
              <w:rPr>
                <w:rFonts w:hint="eastAsia" w:ascii="仿宋_GB2312" w:hAnsi="仿宋_GB2312" w:eastAsia="仿宋_GB2312" w:cs="仿宋_GB2312"/>
                <w:kern w:val="2"/>
                <w:sz w:val="28"/>
                <w:szCs w:val="28"/>
              </w:rPr>
              <w:id w:val="-577518869"/>
              <w:placeholder>
                <w:docPart w:val="{5d6fb4cf-bfdb-4407-b2f9-243a01edccf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 国有资本经营预算支出决算情况说明</w:t>
              </w:r>
            </w:sdtContent>
          </w:sdt>
          <w:r>
            <w:rPr>
              <w:rFonts w:hint="eastAsia" w:ascii="仿宋_GB2312" w:hAnsi="仿宋_GB2312" w:eastAsia="仿宋_GB2312" w:cs="仿宋_GB2312"/>
              <w:sz w:val="28"/>
              <w:szCs w:val="28"/>
            </w:rPr>
            <w:tab/>
          </w:r>
          <w:bookmarkStart w:id="25" w:name="_Toc13586_WPSOffice_Level2Page"/>
          <w:r>
            <w:rPr>
              <w:rFonts w:hint="eastAsia" w:ascii="仿宋_GB2312" w:hAnsi="仿宋_GB2312" w:eastAsia="仿宋_GB2312" w:cs="仿宋_GB2312"/>
              <w:sz w:val="28"/>
              <w:szCs w:val="28"/>
            </w:rPr>
            <w:t>19</w:t>
          </w:r>
          <w:bookmarkEnd w:id="25"/>
          <w:r>
            <w:rPr>
              <w:rFonts w:hint="eastAsia" w:ascii="仿宋_GB2312" w:hAnsi="仿宋_GB2312" w:eastAsia="仿宋_GB2312" w:cs="仿宋_GB2312"/>
              <w:sz w:val="28"/>
              <w:szCs w:val="28"/>
            </w:rPr>
            <w:fldChar w:fldCharType="end"/>
          </w:r>
        </w:p>
        <w:p w14:paraId="59583D39">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"_Toc25762_WPSOffice_Level2" </w:instrText>
          </w:r>
          <w:r>
            <w:fldChar w:fldCharType="separate"/>
          </w:r>
          <w:sdt>
            <w:sdtPr>
              <w:rPr>
                <w:rFonts w:hint="eastAsia" w:ascii="仿宋_GB2312" w:hAnsi="仿宋_GB2312" w:eastAsia="仿宋_GB2312" w:cs="仿宋_GB2312"/>
                <w:kern w:val="2"/>
                <w:sz w:val="28"/>
                <w:szCs w:val="28"/>
              </w:rPr>
              <w:id w:val="328176802"/>
              <w:placeholder>
                <w:docPart w:val="{782da690-5716-4470-aae3-763b6c772ac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 其他重要事项的情况说明</w:t>
              </w:r>
            </w:sdtContent>
          </w:sdt>
          <w:r>
            <w:rPr>
              <w:rFonts w:hint="eastAsia" w:ascii="仿宋_GB2312" w:hAnsi="仿宋_GB2312" w:eastAsia="仿宋_GB2312" w:cs="仿宋_GB2312"/>
              <w:sz w:val="28"/>
              <w:szCs w:val="28"/>
            </w:rPr>
            <w:tab/>
          </w:r>
          <w:bookmarkStart w:id="26" w:name="_Toc25762_WPSOffice_Level2Page"/>
          <w:r>
            <w:rPr>
              <w:rFonts w:hint="eastAsia" w:ascii="仿宋_GB2312" w:hAnsi="仿宋_GB2312" w:eastAsia="仿宋_GB2312" w:cs="仿宋_GB2312"/>
              <w:sz w:val="28"/>
              <w:szCs w:val="28"/>
            </w:rPr>
            <w:t>19</w:t>
          </w:r>
          <w:bookmarkEnd w:id="26"/>
          <w:r>
            <w:rPr>
              <w:rFonts w:hint="eastAsia" w:ascii="仿宋_GB2312" w:hAnsi="仿宋_GB2312" w:eastAsia="仿宋_GB2312" w:cs="仿宋_GB2312"/>
              <w:sz w:val="28"/>
              <w:szCs w:val="28"/>
            </w:rPr>
            <w:fldChar w:fldCharType="end"/>
          </w:r>
        </w:p>
        <w:p w14:paraId="64E0281C">
          <w:pPr>
            <w:pStyle w:val="41"/>
            <w:tabs>
              <w:tab w:val="right" w:leader="dot" w:pos="8306"/>
            </w:tabs>
            <w:rPr>
              <w:rFonts w:ascii="仿宋_GB2312" w:hAnsi="仿宋_GB2312" w:eastAsia="仿宋_GB2312" w:cs="仿宋_GB2312"/>
              <w:sz w:val="28"/>
              <w:szCs w:val="28"/>
            </w:rPr>
          </w:pPr>
          <w:r>
            <w:fldChar w:fldCharType="begin"/>
          </w:r>
          <w:r>
            <w:instrText xml:space="preserve"> HYPERLINK \l "_Toc20898_WPSOffice_Level1" </w:instrText>
          </w:r>
          <w:r>
            <w:fldChar w:fldCharType="separate"/>
          </w:r>
          <w:sdt>
            <w:sdtPr>
              <w:rPr>
                <w:rFonts w:hint="eastAsia" w:ascii="仿宋_GB2312" w:hAnsi="仿宋_GB2312" w:eastAsia="仿宋_GB2312" w:cs="仿宋_GB2312"/>
                <w:b/>
                <w:bCs/>
                <w:kern w:val="2"/>
                <w:sz w:val="28"/>
                <w:szCs w:val="28"/>
              </w:rPr>
              <w:id w:val="1869401145"/>
              <w:placeholder>
                <w:docPart w:val="{ca18c728-9d8a-4b42-8d1d-1b7565053923}"/>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第三部分 名词解释</w:t>
              </w:r>
            </w:sdtContent>
          </w:sdt>
          <w:r>
            <w:rPr>
              <w:rFonts w:hint="eastAsia" w:ascii="仿宋_GB2312" w:hAnsi="仿宋_GB2312" w:eastAsia="仿宋_GB2312" w:cs="仿宋_GB2312"/>
              <w:b/>
              <w:bCs/>
              <w:sz w:val="28"/>
              <w:szCs w:val="28"/>
            </w:rPr>
            <w:tab/>
          </w:r>
          <w:bookmarkStart w:id="27" w:name="_Toc20898_WPSOffice_Level1Page"/>
          <w:r>
            <w:rPr>
              <w:rFonts w:hint="eastAsia" w:ascii="仿宋_GB2312" w:hAnsi="仿宋_GB2312" w:eastAsia="仿宋_GB2312" w:cs="仿宋_GB2312"/>
              <w:b/>
              <w:bCs/>
              <w:sz w:val="28"/>
              <w:szCs w:val="28"/>
            </w:rPr>
            <w:t>21</w:t>
          </w:r>
          <w:bookmarkEnd w:id="27"/>
          <w:r>
            <w:rPr>
              <w:rFonts w:hint="eastAsia" w:ascii="仿宋_GB2312" w:hAnsi="仿宋_GB2312" w:eastAsia="仿宋_GB2312" w:cs="仿宋_GB2312"/>
              <w:b/>
              <w:bCs/>
              <w:sz w:val="28"/>
              <w:szCs w:val="28"/>
            </w:rPr>
            <w:fldChar w:fldCharType="end"/>
          </w:r>
        </w:p>
        <w:p w14:paraId="0A8564E9">
          <w:pPr>
            <w:pStyle w:val="41"/>
            <w:tabs>
              <w:tab w:val="right" w:leader="dot" w:pos="8306"/>
            </w:tabs>
            <w:rPr>
              <w:rFonts w:ascii="仿宋_GB2312" w:hAnsi="仿宋_GB2312" w:eastAsia="仿宋_GB2312" w:cs="仿宋_GB2312"/>
              <w:sz w:val="28"/>
              <w:szCs w:val="28"/>
            </w:rPr>
          </w:pPr>
          <w:r>
            <w:fldChar w:fldCharType="begin"/>
          </w:r>
          <w:r>
            <w:instrText xml:space="preserve"> HYPERLINK \l "_Toc2060_WPSOffice_Level1" </w:instrText>
          </w:r>
          <w:r>
            <w:fldChar w:fldCharType="separate"/>
          </w:r>
          <w:sdt>
            <w:sdtPr>
              <w:rPr>
                <w:rFonts w:hint="eastAsia" w:ascii="仿宋_GB2312" w:hAnsi="仿宋_GB2312" w:eastAsia="仿宋_GB2312" w:cs="仿宋_GB2312"/>
                <w:b/>
                <w:bCs/>
                <w:kern w:val="2"/>
                <w:sz w:val="28"/>
                <w:szCs w:val="28"/>
              </w:rPr>
              <w:id w:val="304590012"/>
              <w:placeholder>
                <w:docPart w:val="{ad06cc70-8650-457a-8c7f-c095d383fe5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第四部分 附件</w:t>
              </w:r>
            </w:sdtContent>
          </w:sdt>
          <w:r>
            <w:rPr>
              <w:rFonts w:hint="eastAsia" w:ascii="仿宋_GB2312" w:hAnsi="仿宋_GB2312" w:eastAsia="仿宋_GB2312" w:cs="仿宋_GB2312"/>
              <w:b/>
              <w:bCs/>
              <w:sz w:val="28"/>
              <w:szCs w:val="28"/>
            </w:rPr>
            <w:tab/>
          </w:r>
          <w:bookmarkStart w:id="28" w:name="_Toc2060_WPSOffice_Level1Page"/>
          <w:r>
            <w:rPr>
              <w:rFonts w:hint="eastAsia" w:ascii="仿宋_GB2312" w:hAnsi="仿宋_GB2312" w:eastAsia="仿宋_GB2312" w:cs="仿宋_GB2312"/>
              <w:b/>
              <w:bCs/>
              <w:sz w:val="28"/>
              <w:szCs w:val="28"/>
            </w:rPr>
            <w:t>25</w:t>
          </w:r>
          <w:bookmarkEnd w:id="28"/>
          <w:r>
            <w:rPr>
              <w:rFonts w:hint="eastAsia" w:ascii="仿宋_GB2312" w:hAnsi="仿宋_GB2312" w:eastAsia="仿宋_GB2312" w:cs="仿宋_GB2312"/>
              <w:b/>
              <w:bCs/>
              <w:sz w:val="28"/>
              <w:szCs w:val="28"/>
            </w:rPr>
            <w:fldChar w:fldCharType="end"/>
          </w:r>
        </w:p>
        <w:p w14:paraId="23596DE1">
          <w:pPr>
            <w:pStyle w:val="41"/>
            <w:tabs>
              <w:tab w:val="right" w:leader="dot" w:pos="8306"/>
            </w:tabs>
            <w:rPr>
              <w:rFonts w:ascii="仿宋_GB2312" w:hAnsi="仿宋_GB2312" w:eastAsia="仿宋_GB2312" w:cs="仿宋_GB2312"/>
              <w:sz w:val="28"/>
              <w:szCs w:val="28"/>
            </w:rPr>
          </w:pPr>
          <w:r>
            <w:fldChar w:fldCharType="begin"/>
          </w:r>
          <w:r>
            <w:instrText xml:space="preserve"> HYPERLINK \l "_Toc29778_WPSOffice_Level1" </w:instrText>
          </w:r>
          <w:r>
            <w:fldChar w:fldCharType="separate"/>
          </w:r>
          <w:sdt>
            <w:sdtPr>
              <w:rPr>
                <w:rFonts w:hint="eastAsia" w:ascii="仿宋_GB2312" w:hAnsi="仿宋_GB2312" w:eastAsia="仿宋_GB2312" w:cs="仿宋_GB2312"/>
                <w:b/>
                <w:bCs/>
                <w:kern w:val="2"/>
                <w:sz w:val="28"/>
                <w:szCs w:val="28"/>
              </w:rPr>
              <w:id w:val="152563704"/>
              <w:placeholder>
                <w:docPart w:val="{691262eb-7899-4764-899f-d8ac9928c6b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第五部分 附表</w:t>
              </w:r>
            </w:sdtContent>
          </w:sdt>
          <w:r>
            <w:rPr>
              <w:rFonts w:hint="eastAsia" w:ascii="仿宋_GB2312" w:hAnsi="仿宋_GB2312" w:eastAsia="仿宋_GB2312" w:cs="仿宋_GB2312"/>
              <w:b/>
              <w:bCs/>
              <w:sz w:val="28"/>
              <w:szCs w:val="28"/>
            </w:rPr>
            <w:tab/>
          </w:r>
          <w:bookmarkStart w:id="29" w:name="_Toc29778_WPSOffice_Level1Page"/>
          <w:r>
            <w:rPr>
              <w:rFonts w:hint="eastAsia" w:ascii="仿宋_GB2312" w:hAnsi="仿宋_GB2312" w:eastAsia="仿宋_GB2312" w:cs="仿宋_GB2312"/>
              <w:b/>
              <w:bCs/>
              <w:sz w:val="28"/>
              <w:szCs w:val="28"/>
            </w:rPr>
            <w:t>58</w:t>
          </w:r>
          <w:bookmarkEnd w:id="29"/>
          <w:r>
            <w:rPr>
              <w:rFonts w:hint="eastAsia" w:ascii="仿宋_GB2312" w:hAnsi="仿宋_GB2312" w:eastAsia="仿宋_GB2312" w:cs="仿宋_GB2312"/>
              <w:b/>
              <w:bCs/>
              <w:sz w:val="28"/>
              <w:szCs w:val="28"/>
            </w:rPr>
            <w:fldChar w:fldCharType="end"/>
          </w:r>
        </w:p>
        <w:p w14:paraId="7FC49F20">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"_Toc6729_WPSOffice_Level2" </w:instrText>
          </w:r>
          <w:r>
            <w:fldChar w:fldCharType="separate"/>
          </w:r>
          <w:sdt>
            <w:sdtPr>
              <w:rPr>
                <w:rFonts w:hint="eastAsia" w:ascii="仿宋_GB2312" w:hAnsi="仿宋_GB2312" w:eastAsia="仿宋_GB2312" w:cs="仿宋_GB2312"/>
                <w:kern w:val="2"/>
                <w:sz w:val="28"/>
                <w:szCs w:val="28"/>
              </w:rPr>
              <w:id w:val="1637527602"/>
              <w:placeholder>
                <w:docPart w:val="{bad3cb22-b0de-483d-a06e-6d6de808bea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一、收入支出决算总表</w:t>
              </w:r>
            </w:sdtContent>
          </w:sdt>
          <w:r>
            <w:rPr>
              <w:rFonts w:hint="eastAsia" w:ascii="仿宋_GB2312" w:hAnsi="仿宋_GB2312" w:eastAsia="仿宋_GB2312" w:cs="仿宋_GB2312"/>
              <w:sz w:val="28"/>
              <w:szCs w:val="28"/>
            </w:rPr>
            <w:tab/>
          </w:r>
          <w:bookmarkStart w:id="30" w:name="_Toc6729_WPSOffice_Level2Page"/>
          <w:r>
            <w:rPr>
              <w:rFonts w:hint="eastAsia" w:ascii="仿宋_GB2312" w:hAnsi="仿宋_GB2312" w:eastAsia="仿宋_GB2312" w:cs="仿宋_GB2312"/>
              <w:sz w:val="28"/>
              <w:szCs w:val="28"/>
            </w:rPr>
            <w:t>58</w:t>
          </w:r>
          <w:bookmarkEnd w:id="30"/>
          <w:r>
            <w:rPr>
              <w:rFonts w:hint="eastAsia" w:ascii="仿宋_GB2312" w:hAnsi="仿宋_GB2312" w:eastAsia="仿宋_GB2312" w:cs="仿宋_GB2312"/>
              <w:sz w:val="28"/>
              <w:szCs w:val="28"/>
            </w:rPr>
            <w:fldChar w:fldCharType="end"/>
          </w:r>
        </w:p>
        <w:p w14:paraId="21D17E7E">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"_Toc24441_WPSOffice_Level2" </w:instrText>
          </w:r>
          <w:r>
            <w:fldChar w:fldCharType="separate"/>
          </w:r>
          <w:sdt>
            <w:sdtPr>
              <w:rPr>
                <w:rFonts w:hint="eastAsia" w:ascii="仿宋_GB2312" w:hAnsi="仿宋_GB2312" w:eastAsia="仿宋_GB2312" w:cs="仿宋_GB2312"/>
                <w:kern w:val="2"/>
                <w:sz w:val="28"/>
                <w:szCs w:val="28"/>
              </w:rPr>
              <w:id w:val="-541141702"/>
              <w:placeholder>
                <w:docPart w:val="{8e217fe0-855d-4c8d-8854-09715464049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二、收入决算表</w:t>
              </w:r>
            </w:sdtContent>
          </w:sdt>
          <w:r>
            <w:rPr>
              <w:rFonts w:hint="eastAsia" w:ascii="仿宋_GB2312" w:hAnsi="仿宋_GB2312" w:eastAsia="仿宋_GB2312" w:cs="仿宋_GB2312"/>
              <w:sz w:val="28"/>
              <w:szCs w:val="28"/>
            </w:rPr>
            <w:tab/>
          </w:r>
          <w:bookmarkStart w:id="31" w:name="_Toc24441_WPSOffice_Level2Page"/>
          <w:r>
            <w:rPr>
              <w:rFonts w:hint="eastAsia" w:ascii="仿宋_GB2312" w:hAnsi="仿宋_GB2312" w:eastAsia="仿宋_GB2312" w:cs="仿宋_GB2312"/>
              <w:sz w:val="28"/>
              <w:szCs w:val="28"/>
            </w:rPr>
            <w:t>58</w:t>
          </w:r>
          <w:bookmarkEnd w:id="31"/>
          <w:r>
            <w:rPr>
              <w:rFonts w:hint="eastAsia" w:ascii="仿宋_GB2312" w:hAnsi="仿宋_GB2312" w:eastAsia="仿宋_GB2312" w:cs="仿宋_GB2312"/>
              <w:sz w:val="28"/>
              <w:szCs w:val="28"/>
            </w:rPr>
            <w:fldChar w:fldCharType="end"/>
          </w:r>
        </w:p>
        <w:p w14:paraId="5A3436BD">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"_Toc32460_WPSOffice_Level2" </w:instrText>
          </w:r>
          <w:r>
            <w:fldChar w:fldCharType="separate"/>
          </w:r>
          <w:sdt>
            <w:sdtPr>
              <w:rPr>
                <w:rFonts w:hint="eastAsia" w:ascii="仿宋_GB2312" w:hAnsi="仿宋_GB2312" w:eastAsia="仿宋_GB2312" w:cs="仿宋_GB2312"/>
                <w:kern w:val="2"/>
                <w:sz w:val="28"/>
                <w:szCs w:val="28"/>
              </w:rPr>
              <w:id w:val="1784696942"/>
              <w:placeholder>
                <w:docPart w:val="{3facd74b-6939-41bd-b4aa-b532d614e6bf}"/>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三、支出决算表</w:t>
              </w:r>
            </w:sdtContent>
          </w:sdt>
          <w:r>
            <w:rPr>
              <w:rFonts w:hint="eastAsia" w:ascii="仿宋_GB2312" w:hAnsi="仿宋_GB2312" w:eastAsia="仿宋_GB2312" w:cs="仿宋_GB2312"/>
              <w:sz w:val="28"/>
              <w:szCs w:val="28"/>
            </w:rPr>
            <w:tab/>
          </w:r>
          <w:bookmarkStart w:id="32" w:name="_Toc32460_WPSOffice_Level2Page"/>
          <w:r>
            <w:rPr>
              <w:rFonts w:hint="eastAsia" w:ascii="仿宋_GB2312" w:hAnsi="仿宋_GB2312" w:eastAsia="仿宋_GB2312" w:cs="仿宋_GB2312"/>
              <w:sz w:val="28"/>
              <w:szCs w:val="28"/>
            </w:rPr>
            <w:t>58</w:t>
          </w:r>
          <w:bookmarkEnd w:id="32"/>
          <w:r>
            <w:rPr>
              <w:rFonts w:hint="eastAsia" w:ascii="仿宋_GB2312" w:hAnsi="仿宋_GB2312" w:eastAsia="仿宋_GB2312" w:cs="仿宋_GB2312"/>
              <w:sz w:val="28"/>
              <w:szCs w:val="28"/>
            </w:rPr>
            <w:fldChar w:fldCharType="end"/>
          </w:r>
        </w:p>
        <w:p w14:paraId="69D29B71">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"_Toc22939_WPSOffice_Level2" </w:instrText>
          </w:r>
          <w:r>
            <w:fldChar w:fldCharType="separate"/>
          </w:r>
          <w:sdt>
            <w:sdtPr>
              <w:rPr>
                <w:rFonts w:hint="eastAsia" w:ascii="仿宋_GB2312" w:hAnsi="仿宋_GB2312" w:eastAsia="仿宋_GB2312" w:cs="仿宋_GB2312"/>
                <w:kern w:val="2"/>
                <w:sz w:val="28"/>
                <w:szCs w:val="28"/>
              </w:rPr>
              <w:id w:val="-713653584"/>
              <w:placeholder>
                <w:docPart w:val="{290be6d3-50a0-4fb2-a286-da62c5057760}"/>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四、财政拨款收入支出决算总表</w:t>
              </w:r>
            </w:sdtContent>
          </w:sdt>
          <w:r>
            <w:rPr>
              <w:rFonts w:hint="eastAsia" w:ascii="仿宋_GB2312" w:hAnsi="仿宋_GB2312" w:eastAsia="仿宋_GB2312" w:cs="仿宋_GB2312"/>
              <w:sz w:val="28"/>
              <w:szCs w:val="28"/>
            </w:rPr>
            <w:tab/>
          </w:r>
          <w:bookmarkStart w:id="33" w:name="_Toc22939_WPSOffice_Level2Page"/>
          <w:r>
            <w:rPr>
              <w:rFonts w:hint="eastAsia" w:ascii="仿宋_GB2312" w:hAnsi="仿宋_GB2312" w:eastAsia="仿宋_GB2312" w:cs="仿宋_GB2312"/>
              <w:sz w:val="28"/>
              <w:szCs w:val="28"/>
            </w:rPr>
            <w:t>58</w:t>
          </w:r>
          <w:bookmarkEnd w:id="33"/>
          <w:r>
            <w:rPr>
              <w:rFonts w:hint="eastAsia" w:ascii="仿宋_GB2312" w:hAnsi="仿宋_GB2312" w:eastAsia="仿宋_GB2312" w:cs="仿宋_GB2312"/>
              <w:sz w:val="28"/>
              <w:szCs w:val="28"/>
            </w:rPr>
            <w:fldChar w:fldCharType="end"/>
          </w:r>
        </w:p>
        <w:p w14:paraId="1C66ED9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"_Toc20104_WPSOffice_Level2" </w:instrText>
          </w:r>
          <w:r>
            <w:fldChar w:fldCharType="separate"/>
          </w:r>
          <w:sdt>
            <w:sdtPr>
              <w:rPr>
                <w:rFonts w:hint="eastAsia" w:ascii="仿宋_GB2312" w:hAnsi="仿宋_GB2312" w:eastAsia="仿宋_GB2312" w:cs="仿宋_GB2312"/>
                <w:kern w:val="2"/>
                <w:sz w:val="28"/>
                <w:szCs w:val="28"/>
              </w:rPr>
              <w:id w:val="-31659770"/>
              <w:placeholder>
                <w:docPart w:val="{ebc68f09-e910-4fe0-b3a8-6318eab3a0d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五、财政拨款支出决算明细表</w:t>
              </w:r>
            </w:sdtContent>
          </w:sdt>
          <w:r>
            <w:rPr>
              <w:rFonts w:hint="eastAsia" w:ascii="仿宋_GB2312" w:hAnsi="仿宋_GB2312" w:eastAsia="仿宋_GB2312" w:cs="仿宋_GB2312"/>
              <w:sz w:val="28"/>
              <w:szCs w:val="28"/>
            </w:rPr>
            <w:tab/>
          </w:r>
          <w:bookmarkStart w:id="34" w:name="_Toc20104_WPSOffice_Level2Page"/>
          <w:r>
            <w:rPr>
              <w:rFonts w:hint="eastAsia" w:ascii="仿宋_GB2312" w:hAnsi="仿宋_GB2312" w:eastAsia="仿宋_GB2312" w:cs="仿宋_GB2312"/>
              <w:sz w:val="28"/>
              <w:szCs w:val="28"/>
            </w:rPr>
            <w:t>58</w:t>
          </w:r>
          <w:bookmarkEnd w:id="34"/>
          <w:r>
            <w:rPr>
              <w:rFonts w:hint="eastAsia" w:ascii="仿宋_GB2312" w:hAnsi="仿宋_GB2312" w:eastAsia="仿宋_GB2312" w:cs="仿宋_GB2312"/>
              <w:sz w:val="28"/>
              <w:szCs w:val="28"/>
            </w:rPr>
            <w:fldChar w:fldCharType="end"/>
          </w:r>
        </w:p>
        <w:p w14:paraId="6BD4F0F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"_Toc4266_WPSOffice_Level2" </w:instrText>
          </w:r>
          <w:r>
            <w:fldChar w:fldCharType="separate"/>
          </w:r>
          <w:sdt>
            <w:sdtPr>
              <w:rPr>
                <w:rFonts w:hint="eastAsia" w:ascii="仿宋_GB2312" w:hAnsi="仿宋_GB2312" w:eastAsia="仿宋_GB2312" w:cs="仿宋_GB2312"/>
                <w:kern w:val="2"/>
                <w:sz w:val="28"/>
                <w:szCs w:val="28"/>
              </w:rPr>
              <w:id w:val="37784202"/>
              <w:placeholder>
                <w:docPart w:val="{102d1fc5-23ce-4b2d-8226-89302dea06c6}"/>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六、一般公共预算财政拨款支出决算表</w:t>
              </w:r>
            </w:sdtContent>
          </w:sdt>
          <w:r>
            <w:rPr>
              <w:rFonts w:hint="eastAsia" w:ascii="仿宋_GB2312" w:hAnsi="仿宋_GB2312" w:eastAsia="仿宋_GB2312" w:cs="仿宋_GB2312"/>
              <w:sz w:val="28"/>
              <w:szCs w:val="28"/>
            </w:rPr>
            <w:tab/>
          </w:r>
          <w:bookmarkStart w:id="35" w:name="_Toc4266_WPSOffice_Level2Page"/>
          <w:r>
            <w:rPr>
              <w:rFonts w:hint="eastAsia" w:ascii="仿宋_GB2312" w:hAnsi="仿宋_GB2312" w:eastAsia="仿宋_GB2312" w:cs="仿宋_GB2312"/>
              <w:sz w:val="28"/>
              <w:szCs w:val="28"/>
            </w:rPr>
            <w:t>58</w:t>
          </w:r>
          <w:bookmarkEnd w:id="35"/>
          <w:r>
            <w:rPr>
              <w:rFonts w:hint="eastAsia" w:ascii="仿宋_GB2312" w:hAnsi="仿宋_GB2312" w:eastAsia="仿宋_GB2312" w:cs="仿宋_GB2312"/>
              <w:sz w:val="28"/>
              <w:szCs w:val="28"/>
            </w:rPr>
            <w:fldChar w:fldCharType="end"/>
          </w:r>
        </w:p>
        <w:p w14:paraId="4FFB79E3">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"_Toc5303_WPSOffice_Level2" </w:instrText>
          </w:r>
          <w:r>
            <w:fldChar w:fldCharType="separate"/>
          </w:r>
          <w:sdt>
            <w:sdtPr>
              <w:rPr>
                <w:rFonts w:hint="eastAsia" w:ascii="仿宋_GB2312" w:hAnsi="仿宋_GB2312" w:eastAsia="仿宋_GB2312" w:cs="仿宋_GB2312"/>
                <w:kern w:val="2"/>
                <w:sz w:val="28"/>
                <w:szCs w:val="28"/>
              </w:rPr>
              <w:id w:val="959760884"/>
              <w:placeholder>
                <w:docPart w:val="{9bc65dd8-7067-4138-b8e0-dcd3a60a47b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七、一般公共预算财政拨款支出决算明细表</w:t>
              </w:r>
            </w:sdtContent>
          </w:sdt>
          <w:r>
            <w:rPr>
              <w:rFonts w:hint="eastAsia" w:ascii="仿宋_GB2312" w:hAnsi="仿宋_GB2312" w:eastAsia="仿宋_GB2312" w:cs="仿宋_GB2312"/>
              <w:sz w:val="28"/>
              <w:szCs w:val="28"/>
            </w:rPr>
            <w:tab/>
          </w:r>
          <w:bookmarkStart w:id="36" w:name="_Toc5303_WPSOffice_Level2Page"/>
          <w:r>
            <w:rPr>
              <w:rFonts w:hint="eastAsia" w:ascii="仿宋_GB2312" w:hAnsi="仿宋_GB2312" w:eastAsia="仿宋_GB2312" w:cs="仿宋_GB2312"/>
              <w:sz w:val="28"/>
              <w:szCs w:val="28"/>
            </w:rPr>
            <w:t>58</w:t>
          </w:r>
          <w:bookmarkEnd w:id="36"/>
          <w:r>
            <w:rPr>
              <w:rFonts w:hint="eastAsia" w:ascii="仿宋_GB2312" w:hAnsi="仿宋_GB2312" w:eastAsia="仿宋_GB2312" w:cs="仿宋_GB2312"/>
              <w:sz w:val="28"/>
              <w:szCs w:val="28"/>
            </w:rPr>
            <w:fldChar w:fldCharType="end"/>
          </w:r>
        </w:p>
        <w:p w14:paraId="17EEC765">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"_Toc24996_WPSOffice_Level2" </w:instrText>
          </w:r>
          <w:r>
            <w:fldChar w:fldCharType="separate"/>
          </w:r>
          <w:sdt>
            <w:sdtPr>
              <w:rPr>
                <w:rFonts w:hint="eastAsia" w:ascii="仿宋_GB2312" w:hAnsi="仿宋_GB2312" w:eastAsia="仿宋_GB2312" w:cs="仿宋_GB2312"/>
                <w:kern w:val="2"/>
                <w:sz w:val="28"/>
                <w:szCs w:val="28"/>
              </w:rPr>
              <w:id w:val="-310184626"/>
              <w:placeholder>
                <w:docPart w:val="{bf7af394-5787-4f88-95d1-150c285242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八、一般公共预算财政拨款基本支出决算表</w:t>
              </w:r>
            </w:sdtContent>
          </w:sdt>
          <w:r>
            <w:rPr>
              <w:rFonts w:hint="eastAsia" w:ascii="仿宋_GB2312" w:hAnsi="仿宋_GB2312" w:eastAsia="仿宋_GB2312" w:cs="仿宋_GB2312"/>
              <w:sz w:val="28"/>
              <w:szCs w:val="28"/>
            </w:rPr>
            <w:tab/>
          </w:r>
          <w:bookmarkStart w:id="37" w:name="_Toc24996_WPSOffice_Level2Page"/>
          <w:r>
            <w:rPr>
              <w:rFonts w:hint="eastAsia" w:ascii="仿宋_GB2312" w:hAnsi="仿宋_GB2312" w:eastAsia="仿宋_GB2312" w:cs="仿宋_GB2312"/>
              <w:sz w:val="28"/>
              <w:szCs w:val="28"/>
            </w:rPr>
            <w:t>58</w:t>
          </w:r>
          <w:bookmarkEnd w:id="37"/>
          <w:r>
            <w:rPr>
              <w:rFonts w:hint="eastAsia" w:ascii="仿宋_GB2312" w:hAnsi="仿宋_GB2312" w:eastAsia="仿宋_GB2312" w:cs="仿宋_GB2312"/>
              <w:sz w:val="28"/>
              <w:szCs w:val="28"/>
            </w:rPr>
            <w:fldChar w:fldCharType="end"/>
          </w:r>
        </w:p>
        <w:p w14:paraId="03119D91">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"_Toc1611_WPSOffice_Level2" </w:instrText>
          </w:r>
          <w:r>
            <w:fldChar w:fldCharType="separate"/>
          </w:r>
          <w:sdt>
            <w:sdtPr>
              <w:rPr>
                <w:rFonts w:hint="eastAsia" w:ascii="仿宋_GB2312" w:hAnsi="仿宋_GB2312" w:eastAsia="仿宋_GB2312" w:cs="仿宋_GB2312"/>
                <w:kern w:val="2"/>
                <w:sz w:val="28"/>
                <w:szCs w:val="28"/>
              </w:rPr>
              <w:id w:val="417218618"/>
              <w:placeholder>
                <w:docPart w:val="{3971f8a8-9567-4541-8465-261f815ed2a8}"/>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九、一般公共预算财政拨款项目支出决算表</w:t>
              </w:r>
            </w:sdtContent>
          </w:sdt>
          <w:r>
            <w:rPr>
              <w:rFonts w:hint="eastAsia" w:ascii="仿宋_GB2312" w:hAnsi="仿宋_GB2312" w:eastAsia="仿宋_GB2312" w:cs="仿宋_GB2312"/>
              <w:sz w:val="28"/>
              <w:szCs w:val="28"/>
            </w:rPr>
            <w:tab/>
          </w:r>
          <w:bookmarkStart w:id="38" w:name="_Toc1611_WPSOffice_Level2Page"/>
          <w:r>
            <w:rPr>
              <w:rFonts w:hint="eastAsia" w:ascii="仿宋_GB2312" w:hAnsi="仿宋_GB2312" w:eastAsia="仿宋_GB2312" w:cs="仿宋_GB2312"/>
              <w:sz w:val="28"/>
              <w:szCs w:val="28"/>
            </w:rPr>
            <w:t>58</w:t>
          </w:r>
          <w:bookmarkEnd w:id="38"/>
          <w:r>
            <w:rPr>
              <w:rFonts w:hint="eastAsia" w:ascii="仿宋_GB2312" w:hAnsi="仿宋_GB2312" w:eastAsia="仿宋_GB2312" w:cs="仿宋_GB2312"/>
              <w:sz w:val="28"/>
              <w:szCs w:val="28"/>
            </w:rPr>
            <w:fldChar w:fldCharType="end"/>
          </w:r>
        </w:p>
        <w:p w14:paraId="7D9165E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"_Toc29180_WPSOffice_Level2" </w:instrText>
          </w:r>
          <w:r>
            <w:fldChar w:fldCharType="separate"/>
          </w:r>
          <w:sdt>
            <w:sdtPr>
              <w:rPr>
                <w:rFonts w:hint="eastAsia" w:ascii="仿宋_GB2312" w:hAnsi="仿宋_GB2312" w:eastAsia="仿宋_GB2312" w:cs="仿宋_GB2312"/>
                <w:kern w:val="2"/>
                <w:sz w:val="28"/>
                <w:szCs w:val="28"/>
              </w:rPr>
              <w:id w:val="1220476592"/>
              <w:placeholder>
                <w:docPart w:val="{cc0c1020-e4ca-4545-b091-b9ef39d8429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十、一般公共预算财政拨款“三公”经费支出决算表</w:t>
              </w:r>
            </w:sdtContent>
          </w:sdt>
          <w:r>
            <w:rPr>
              <w:rFonts w:hint="eastAsia" w:ascii="仿宋_GB2312" w:hAnsi="仿宋_GB2312" w:eastAsia="仿宋_GB2312" w:cs="仿宋_GB2312"/>
              <w:sz w:val="28"/>
              <w:szCs w:val="28"/>
            </w:rPr>
            <w:tab/>
          </w:r>
          <w:bookmarkStart w:id="39" w:name="_Toc29180_WPSOffice_Level2Page"/>
          <w:r>
            <w:rPr>
              <w:rFonts w:hint="eastAsia" w:ascii="仿宋_GB2312" w:hAnsi="仿宋_GB2312" w:eastAsia="仿宋_GB2312" w:cs="仿宋_GB2312"/>
              <w:sz w:val="28"/>
              <w:szCs w:val="28"/>
            </w:rPr>
            <w:t>58</w:t>
          </w:r>
          <w:bookmarkEnd w:id="39"/>
          <w:r>
            <w:rPr>
              <w:rFonts w:hint="eastAsia" w:ascii="仿宋_GB2312" w:hAnsi="仿宋_GB2312" w:eastAsia="仿宋_GB2312" w:cs="仿宋_GB2312"/>
              <w:sz w:val="28"/>
              <w:szCs w:val="28"/>
            </w:rPr>
            <w:fldChar w:fldCharType="end"/>
          </w:r>
        </w:p>
        <w:p w14:paraId="5A809D22">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"_Toc28201_WPSOffice_Level2" </w:instrText>
          </w:r>
          <w:r>
            <w:fldChar w:fldCharType="separate"/>
          </w:r>
          <w:sdt>
            <w:sdtPr>
              <w:rPr>
                <w:rFonts w:hint="eastAsia" w:ascii="仿宋_GB2312" w:hAnsi="仿宋_GB2312" w:eastAsia="仿宋_GB2312" w:cs="仿宋_GB2312"/>
                <w:kern w:val="2"/>
                <w:sz w:val="28"/>
                <w:szCs w:val="28"/>
              </w:rPr>
              <w:id w:val="356857993"/>
              <w:placeholder>
                <w:docPart w:val="{405ac222-20ef-4eed-b0f6-c5f11a5592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十一、政府性基金预算财政拨款收入支出决算表</w:t>
              </w:r>
            </w:sdtContent>
          </w:sdt>
          <w:r>
            <w:rPr>
              <w:rFonts w:hint="eastAsia" w:ascii="仿宋_GB2312" w:hAnsi="仿宋_GB2312" w:eastAsia="仿宋_GB2312" w:cs="仿宋_GB2312"/>
              <w:sz w:val="28"/>
              <w:szCs w:val="28"/>
            </w:rPr>
            <w:tab/>
          </w:r>
          <w:bookmarkStart w:id="40" w:name="_Toc28201_WPSOffice_Level2Page"/>
          <w:r>
            <w:rPr>
              <w:rFonts w:hint="eastAsia" w:ascii="仿宋_GB2312" w:hAnsi="仿宋_GB2312" w:eastAsia="仿宋_GB2312" w:cs="仿宋_GB2312"/>
              <w:sz w:val="28"/>
              <w:szCs w:val="28"/>
            </w:rPr>
            <w:t>58</w:t>
          </w:r>
          <w:bookmarkEnd w:id="40"/>
          <w:r>
            <w:rPr>
              <w:rFonts w:hint="eastAsia" w:ascii="仿宋_GB2312" w:hAnsi="仿宋_GB2312" w:eastAsia="仿宋_GB2312" w:cs="仿宋_GB2312"/>
              <w:sz w:val="28"/>
              <w:szCs w:val="28"/>
            </w:rPr>
            <w:fldChar w:fldCharType="end"/>
          </w:r>
        </w:p>
        <w:p w14:paraId="0E7818B3">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"_Toc5971_WPSOffice_Level2" </w:instrText>
          </w:r>
          <w:r>
            <w:fldChar w:fldCharType="separate"/>
          </w:r>
          <w:sdt>
            <w:sdtPr>
              <w:rPr>
                <w:rFonts w:hint="eastAsia" w:ascii="仿宋_GB2312" w:hAnsi="仿宋_GB2312" w:eastAsia="仿宋_GB2312" w:cs="仿宋_GB2312"/>
                <w:kern w:val="2"/>
                <w:sz w:val="28"/>
                <w:szCs w:val="28"/>
              </w:rPr>
              <w:id w:val="979506704"/>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十二、政府性基金预算财政拨款“三公”经费支出决算表</w:t>
              </w:r>
            </w:sdtContent>
          </w:sdt>
          <w:r>
            <w:rPr>
              <w:rFonts w:hint="eastAsia" w:ascii="仿宋_GB2312" w:hAnsi="仿宋_GB2312" w:eastAsia="仿宋_GB2312" w:cs="仿宋_GB2312"/>
              <w:sz w:val="28"/>
              <w:szCs w:val="28"/>
            </w:rPr>
            <w:tab/>
          </w:r>
          <w:bookmarkStart w:id="41" w:name="_Toc5971_WPSOffice_Level2Page"/>
          <w:r>
            <w:rPr>
              <w:rFonts w:hint="eastAsia" w:ascii="仿宋_GB2312" w:hAnsi="仿宋_GB2312" w:eastAsia="仿宋_GB2312" w:cs="仿宋_GB2312"/>
              <w:sz w:val="28"/>
              <w:szCs w:val="28"/>
            </w:rPr>
            <w:t>58</w:t>
          </w:r>
          <w:bookmarkEnd w:id="41"/>
          <w:r>
            <w:rPr>
              <w:rFonts w:hint="eastAsia" w:ascii="仿宋_GB2312" w:hAnsi="仿宋_GB2312" w:eastAsia="仿宋_GB2312" w:cs="仿宋_GB2312"/>
              <w:sz w:val="28"/>
              <w:szCs w:val="28"/>
            </w:rPr>
            <w:fldChar w:fldCharType="end"/>
          </w:r>
        </w:p>
        <w:p w14:paraId="05A16984">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"_Toc28789_WPSOffice_Level2" </w:instrText>
          </w:r>
          <w:r>
            <w:fldChar w:fldCharType="separate"/>
          </w:r>
          <w:sdt>
            <w:sdtPr>
              <w:rPr>
                <w:rFonts w:hint="eastAsia" w:ascii="仿宋_GB2312" w:hAnsi="仿宋_GB2312" w:eastAsia="仿宋_GB2312" w:cs="仿宋_GB2312"/>
                <w:kern w:val="2"/>
                <w:sz w:val="28"/>
                <w:szCs w:val="28"/>
              </w:rPr>
              <w:id w:val="-1563638691"/>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十三、国有资本经营预算财政拨款收入支出决算表</w:t>
              </w:r>
            </w:sdtContent>
          </w:sdt>
          <w:r>
            <w:rPr>
              <w:rFonts w:hint="eastAsia" w:ascii="仿宋_GB2312" w:hAnsi="仿宋_GB2312" w:eastAsia="仿宋_GB2312" w:cs="仿宋_GB2312"/>
              <w:sz w:val="28"/>
              <w:szCs w:val="28"/>
            </w:rPr>
            <w:tab/>
          </w:r>
          <w:bookmarkStart w:id="42" w:name="_Toc28789_WPSOffice_Level2Page"/>
          <w:r>
            <w:rPr>
              <w:rFonts w:hint="eastAsia" w:ascii="仿宋_GB2312" w:hAnsi="仿宋_GB2312" w:eastAsia="仿宋_GB2312" w:cs="仿宋_GB2312"/>
              <w:sz w:val="28"/>
              <w:szCs w:val="28"/>
            </w:rPr>
            <w:t>58</w:t>
          </w:r>
          <w:bookmarkEnd w:id="42"/>
          <w:r>
            <w:rPr>
              <w:rFonts w:hint="eastAsia" w:ascii="仿宋_GB2312" w:hAnsi="仿宋_GB2312" w:eastAsia="仿宋_GB2312" w:cs="仿宋_GB2312"/>
              <w:sz w:val="28"/>
              <w:szCs w:val="28"/>
            </w:rPr>
            <w:fldChar w:fldCharType="end"/>
          </w:r>
        </w:p>
        <w:p w14:paraId="484A95A1">
          <w:pPr>
            <w:pStyle w:val="42"/>
            <w:tabs>
              <w:tab w:val="right" w:leader="dot" w:pos="8306"/>
            </w:tabs>
            <w:ind w:left="420"/>
          </w:pPr>
          <w:r>
            <w:fldChar w:fldCharType="begin"/>
          </w:r>
          <w:r>
            <w:instrText xml:space="preserve"> HYPERLINK \l "_Toc7708_WPSOffice_Level2" </w:instrText>
          </w:r>
          <w:r>
            <w:fldChar w:fldCharType="separate"/>
          </w:r>
          <w:sdt>
            <w:sdtPr>
              <w:rPr>
                <w:rFonts w:hint="eastAsia" w:ascii="仿宋_GB2312" w:hAnsi="仿宋_GB2312" w:eastAsia="仿宋_GB2312" w:cs="仿宋_GB2312"/>
                <w:kern w:val="2"/>
                <w:sz w:val="28"/>
                <w:szCs w:val="28"/>
              </w:rPr>
              <w:id w:val="-1804999457"/>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十四、国有资本经营预算财政拨款支出决算表</w:t>
              </w:r>
            </w:sdtContent>
          </w:sdt>
          <w:r>
            <w:rPr>
              <w:rFonts w:hint="eastAsia" w:ascii="仿宋_GB2312" w:hAnsi="仿宋_GB2312" w:eastAsia="仿宋_GB2312" w:cs="仿宋_GB2312"/>
              <w:sz w:val="28"/>
              <w:szCs w:val="28"/>
            </w:rPr>
            <w:tab/>
          </w:r>
          <w:bookmarkStart w:id="43" w:name="_Toc7708_WPSOffice_Level2Page"/>
          <w:r>
            <w:rPr>
              <w:rFonts w:hint="eastAsia" w:ascii="仿宋_GB2312" w:hAnsi="仿宋_GB2312" w:eastAsia="仿宋_GB2312" w:cs="仿宋_GB2312"/>
              <w:sz w:val="28"/>
              <w:szCs w:val="28"/>
            </w:rPr>
            <w:t>58</w:t>
          </w:r>
          <w:bookmarkEnd w:id="43"/>
          <w:r>
            <w:rPr>
              <w:rFonts w:hint="eastAsia" w:ascii="仿宋_GB2312" w:hAnsi="仿宋_GB2312" w:eastAsia="仿宋_GB2312" w:cs="仿宋_GB2312"/>
              <w:sz w:val="28"/>
              <w:szCs w:val="28"/>
            </w:rPr>
            <w:fldChar w:fldCharType="end"/>
          </w:r>
        </w:p>
      </w:sdtContent>
    </w:sdt>
    <w:bookmarkEnd w:id="12"/>
    <w:p w14:paraId="50570341">
      <w:pPr>
        <w:widowControl/>
        <w:spacing w:line="440" w:lineRule="exact"/>
        <w:jc w:val="left"/>
        <w:rPr>
          <w:rFonts w:ascii="仿宋" w:hAnsi="仿宋" w:eastAsia="仿宋"/>
          <w:bCs/>
          <w:kern w:val="44"/>
          <w:sz w:val="24"/>
        </w:rPr>
      </w:pPr>
      <w:bookmarkStart w:id="44" w:name="_Toc15377196"/>
      <w:bookmarkStart w:id="45" w:name="_Toc15396599"/>
      <w:r>
        <w:rPr>
          <w:rFonts w:ascii="仿宋" w:hAnsi="仿宋" w:eastAsia="仿宋"/>
          <w:b/>
          <w:sz w:val="24"/>
        </w:rPr>
        <w:br w:type="page"/>
      </w:r>
    </w:p>
    <w:p w14:paraId="344C933A">
      <w:pPr>
        <w:pStyle w:val="3"/>
        <w:jc w:val="center"/>
        <w:rPr>
          <w:rFonts w:ascii="黑体" w:eastAsia="黑体"/>
          <w:sz w:val="32"/>
          <w:szCs w:val="32"/>
        </w:rPr>
      </w:pPr>
      <w:bookmarkStart w:id="46" w:name="_Toc15198_WPSOffice_Level1"/>
      <w:r>
        <w:rPr>
          <w:rFonts w:hint="eastAsia" w:ascii="黑体" w:hAnsi="黑体" w:eastAsia="黑体"/>
          <w:b w:val="0"/>
        </w:rPr>
        <w:t xml:space="preserve">第一部分 </w:t>
      </w:r>
      <w:r>
        <w:rPr>
          <w:rStyle w:val="31"/>
          <w:rFonts w:hint="eastAsia" w:ascii="黑体" w:hAnsi="黑体" w:eastAsia="黑体"/>
          <w:b w:val="0"/>
          <w:bCs w:val="0"/>
        </w:rPr>
        <w:t>部门概况</w:t>
      </w:r>
      <w:bookmarkEnd w:id="44"/>
      <w:bookmarkEnd w:id="45"/>
      <w:bookmarkEnd w:id="46"/>
    </w:p>
    <w:p w14:paraId="707887EC">
      <w:pPr>
        <w:pStyle w:val="4"/>
        <w:rPr>
          <w:rStyle w:val="32"/>
          <w:rFonts w:ascii="仿宋" w:hAnsi="仿宋" w:eastAsia="仿宋"/>
          <w:b w:val="0"/>
          <w:bCs w:val="0"/>
        </w:rPr>
      </w:pPr>
      <w:bookmarkStart w:id="47" w:name="_Toc15396600"/>
      <w:bookmarkStart w:id="48" w:name="_Toc15377197"/>
      <w:bookmarkStart w:id="49" w:name="_Toc27435_WPSOffice_Level2"/>
      <w:r>
        <w:rPr>
          <w:rFonts w:hint="eastAsia" w:ascii="黑体" w:hAnsi="黑体" w:eastAsia="黑体"/>
          <w:b w:val="0"/>
        </w:rPr>
        <w:t>一、基</w:t>
      </w:r>
      <w:r>
        <w:rPr>
          <w:rStyle w:val="32"/>
          <w:rFonts w:hint="eastAsia" w:ascii="黑体" w:hAnsi="黑体" w:eastAsia="黑体"/>
          <w:b w:val="0"/>
          <w:bCs w:val="0"/>
        </w:rPr>
        <w:t>本职能及主要工作</w:t>
      </w:r>
      <w:bookmarkEnd w:id="47"/>
      <w:bookmarkEnd w:id="48"/>
      <w:bookmarkEnd w:id="49"/>
    </w:p>
    <w:p w14:paraId="4E2B7DB2">
      <w:pPr>
        <w:pStyle w:val="4"/>
        <w:rPr>
          <w:rStyle w:val="32"/>
          <w:rFonts w:ascii="黑体" w:hAnsi="黑体" w:eastAsia="黑体"/>
          <w:b w:val="0"/>
          <w:bCs w:val="0"/>
        </w:rPr>
      </w:pPr>
      <w:bookmarkStart w:id="50" w:name="_Toc20435_WPSOffice_Level2"/>
      <w:bookmarkStart w:id="51" w:name="_Toc20898_WPSOffice_Level2"/>
      <w:bookmarkStart w:id="52" w:name="_Toc15396601"/>
      <w:bookmarkStart w:id="53" w:name="_Toc15377200"/>
      <w:r>
        <w:rPr>
          <w:rStyle w:val="32"/>
          <w:rFonts w:hint="eastAsia" w:ascii="黑体" w:hAnsi="黑体" w:eastAsia="黑体"/>
          <w:b w:val="0"/>
          <w:bCs w:val="0"/>
        </w:rPr>
        <w:t>一、职能简介</w:t>
      </w:r>
      <w:bookmarkEnd w:id="50"/>
      <w:bookmarkEnd w:id="51"/>
    </w:p>
    <w:p w14:paraId="1E396820">
      <w:pPr>
        <w:pStyle w:val="16"/>
        <w:shd w:val="clear" w:color="auto" w:fill="FFFFFF"/>
        <w:spacing w:before="93" w:beforeAutospacing="0" w:after="0" w:afterAutospacing="0" w:line="560" w:lineRule="exact"/>
        <w:ind w:firstLine="672"/>
        <w:jc w:val="both"/>
        <w:rPr>
          <w:color w:val="333333"/>
          <w:sz w:val="32"/>
        </w:rPr>
      </w:pPr>
      <w:bookmarkStart w:id="54" w:name="_Toc2060_WPSOffice_Level2"/>
      <w:bookmarkStart w:id="55" w:name="_Toc9693_WPSOffice_Level2"/>
      <w:r>
        <w:rPr>
          <w:rFonts w:hint="eastAsia" w:ascii="仿宋_GB2312"/>
          <w:color w:val="333333"/>
          <w:sz w:val="32"/>
        </w:rPr>
        <w:t>1.贯彻执行国家关于司法行政工作的方针、政策和法律、法规及规章，制定全县司法行政规范性文件和工作发展规划、工作计划并组织实施。</w:t>
      </w:r>
    </w:p>
    <w:p w14:paraId="22A1C5F2">
      <w:pPr>
        <w:pStyle w:val="16"/>
        <w:shd w:val="clear" w:color="auto" w:fill="FFFFFF"/>
        <w:spacing w:before="93" w:beforeAutospacing="0" w:after="0" w:afterAutospacing="0" w:line="560" w:lineRule="exact"/>
        <w:ind w:firstLine="672"/>
        <w:jc w:val="both"/>
        <w:rPr>
          <w:color w:val="333333"/>
          <w:sz w:val="32"/>
        </w:rPr>
      </w:pPr>
      <w:r>
        <w:rPr>
          <w:rFonts w:hint="eastAsia" w:ascii="仿宋_GB2312"/>
          <w:color w:val="333333"/>
          <w:sz w:val="32"/>
        </w:rPr>
        <w:t>2.拟定全县普及法律常识规划和法制宣传教育计划并组织实施，指导全县各行业的法制宣传和依法治理工作。</w:t>
      </w:r>
    </w:p>
    <w:p w14:paraId="76C1800D">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3.组织开展全面依法治县重大问题的政策研究，协调督促有关方面落实委员会决定事项、工作部署和要求等。</w:t>
      </w:r>
    </w:p>
    <w:p w14:paraId="1D59C9AE">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4.承担统筹推进法治政府建设的责任。</w:t>
      </w:r>
    </w:p>
    <w:p w14:paraId="5B1880D2">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5.负责指导监督全县律师、法律援助、公证、基层法律服务管理工作。</w:t>
      </w:r>
    </w:p>
    <w:p w14:paraId="722202A5">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6.指导全县人民调解工作和基层司法所工作。</w:t>
      </w:r>
    </w:p>
    <w:p w14:paraId="3BEA3C91">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7.指导管理全县社区矫正工作。指导刑满释放人员安置帮教工作。</w:t>
      </w:r>
    </w:p>
    <w:p w14:paraId="6F989BBF">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8.组织开展全县司法行政系统队伍建设和思想政治工作。</w:t>
      </w:r>
    </w:p>
    <w:p w14:paraId="161A3A58">
      <w:pPr>
        <w:pStyle w:val="16"/>
        <w:shd w:val="clear" w:color="auto" w:fill="FFFFFF"/>
        <w:spacing w:before="0" w:beforeAutospacing="0" w:after="0" w:afterAutospacing="0" w:line="560" w:lineRule="exact"/>
        <w:ind w:firstLine="672"/>
        <w:jc w:val="both"/>
        <w:rPr>
          <w:rFonts w:ascii="Times New Roman"/>
          <w:bCs/>
          <w:sz w:val="32"/>
          <w:u w:val="single"/>
        </w:rPr>
      </w:pPr>
      <w:r>
        <w:rPr>
          <w:rFonts w:hint="eastAsia" w:ascii="仿宋_GB2312"/>
          <w:color w:val="333333"/>
          <w:sz w:val="32"/>
        </w:rPr>
        <w:t>9.完成县委、县政府交办的其他任务。</w:t>
      </w:r>
    </w:p>
    <w:p w14:paraId="3E2BA0DF">
      <w:pPr>
        <w:pStyle w:val="4"/>
        <w:rPr>
          <w:rFonts w:ascii="黑体" w:hAnsi="黑体" w:eastAsia="黑体"/>
          <w:b w:val="0"/>
        </w:rPr>
      </w:pPr>
      <w:r>
        <w:rPr>
          <w:rFonts w:hint="eastAsia" w:ascii="黑体" w:hAnsi="黑体" w:eastAsia="黑体"/>
          <w:b w:val="0"/>
        </w:rPr>
        <w:t>二、2021年重点工作完成情况</w:t>
      </w:r>
      <w:bookmarkEnd w:id="54"/>
      <w:bookmarkEnd w:id="55"/>
    </w:p>
    <w:p w14:paraId="657534B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14:paraId="00C8E2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14:paraId="1341B53B">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14:paraId="39F5A82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14:paraId="2A326A8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14:paraId="39CF2FA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14:paraId="1C8C2AEB">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14:paraId="2C53054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14:paraId="1EB690B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14:paraId="4E5C71A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14:paraId="2E668B2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14:paraId="52AC6EC8">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14:paraId="038F71A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14:paraId="18F14D0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14:paraId="1FFA11F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扫黑除恶案件辩护代理工作的监督指导，规范律师办理黑恶势力犯罪案件执业行为。共开展专项排查84次，开展教育学习1500余人次，个别谈话1300余人次，扫黑除恶坦检活动，社区服刑人员检举线索0条。</w:t>
      </w:r>
    </w:p>
    <w:p w14:paraId="0A15AF42">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14:paraId="6C27FFA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14:paraId="51BD5EF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14:paraId="4F3E4C9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学习为牵引，系统组织学习习近平《论中国共产党历史》等指定学习材料，用好《中国共产党的100年》等必读书目，购买党史学习资料210本。开展党史专题讲座学习2次，班子成员带头讲党课5次，集中开展党史学习教育28场次。开展政治轮训，组织集中学习58场次。</w:t>
      </w:r>
      <w:bookmarkStart w:id="174" w:name="_GoBack"/>
      <w:bookmarkEnd w:id="174"/>
    </w:p>
    <w:p w14:paraId="06915B4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14:paraId="5F06D11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14:paraId="2BB59465">
      <w:pPr>
        <w:pStyle w:val="4"/>
        <w:rPr>
          <w:rStyle w:val="32"/>
          <w:b w:val="0"/>
          <w:bCs w:val="0"/>
        </w:rPr>
      </w:pPr>
      <w:bookmarkStart w:id="56" w:name="_Toc29778_WPSOffice_Level2"/>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52"/>
      <w:bookmarkEnd w:id="53"/>
      <w:bookmarkEnd w:id="56"/>
    </w:p>
    <w:p w14:paraId="368E45E5">
      <w:pPr>
        <w:pStyle w:val="8"/>
        <w:adjustRightInd w:val="0"/>
        <w:snapToGrid w:val="0"/>
        <w:spacing w:before="93" w:line="600" w:lineRule="exact"/>
        <w:ind w:firstLine="1120" w:firstLineChars="350"/>
        <w:rPr>
          <w:rFonts w:ascii="仿宋" w:hAnsi="仿宋" w:eastAsia="仿宋"/>
          <w:sz w:val="32"/>
          <w:szCs w:val="32"/>
        </w:rPr>
      </w:pPr>
      <w:bookmarkStart w:id="57" w:name="_Toc15306275"/>
      <w:bookmarkStart w:id="58" w:name="_Toc15377432"/>
      <w:bookmarkStart w:id="59" w:name="_Toc15378448"/>
      <w:bookmarkStart w:id="60" w:name="_Toc15377201"/>
      <w:r>
        <w:rPr>
          <w:rFonts w:hint="eastAsia" w:cs="仿宋_GB2312"/>
          <w:sz w:val="32"/>
          <w:szCs w:val="32"/>
        </w:rPr>
        <w:t>盐边县司法局无下属二级预算单位，在2021年末</w:t>
      </w:r>
      <w:r>
        <w:rPr>
          <w:rFonts w:hint="eastAsia" w:cs="仿宋_GB2312"/>
          <w:sz w:val="32"/>
          <w:szCs w:val="32"/>
          <w:shd w:val="clear" w:color="auto" w:fill="FFFFFF"/>
        </w:rPr>
        <w:t>司法局编制数</w:t>
      </w:r>
      <w:r>
        <w:rPr>
          <w:rFonts w:cs="仿宋_GB2312"/>
          <w:sz w:val="32"/>
          <w:szCs w:val="32"/>
          <w:shd w:val="clear" w:color="auto" w:fill="FFFFFF"/>
        </w:rPr>
        <w:t>4</w:t>
      </w:r>
      <w:r>
        <w:rPr>
          <w:rFonts w:hint="eastAsia" w:cs="仿宋_GB2312"/>
          <w:sz w:val="32"/>
          <w:szCs w:val="32"/>
          <w:shd w:val="clear" w:color="auto" w:fill="FFFFFF"/>
        </w:rPr>
        <w:t>4名，其中行政编制</w:t>
      </w:r>
      <w:r>
        <w:rPr>
          <w:rFonts w:cs="仿宋_GB2312"/>
          <w:sz w:val="32"/>
          <w:szCs w:val="32"/>
          <w:shd w:val="clear" w:color="auto" w:fill="FFFFFF"/>
        </w:rPr>
        <w:t>4</w:t>
      </w:r>
      <w:r>
        <w:rPr>
          <w:rFonts w:hint="eastAsia" w:cs="仿宋_GB2312"/>
          <w:sz w:val="32"/>
          <w:szCs w:val="32"/>
          <w:shd w:val="clear" w:color="auto" w:fill="FFFFFF"/>
        </w:rPr>
        <w:t>0名，机关后勤编制</w:t>
      </w:r>
      <w:r>
        <w:rPr>
          <w:rFonts w:cs="仿宋_GB2312"/>
          <w:sz w:val="32"/>
          <w:szCs w:val="32"/>
          <w:shd w:val="clear" w:color="auto" w:fill="FFFFFF"/>
        </w:rPr>
        <w:t>1</w:t>
      </w:r>
      <w:r>
        <w:rPr>
          <w:rFonts w:hint="eastAsia" w:cs="仿宋_GB2312"/>
          <w:sz w:val="32"/>
          <w:szCs w:val="32"/>
          <w:shd w:val="clear" w:color="auto" w:fill="FFFFFF"/>
        </w:rPr>
        <w:t>名，参照公务员管理编制</w:t>
      </w:r>
      <w:r>
        <w:rPr>
          <w:rFonts w:cs="仿宋_GB2312"/>
          <w:sz w:val="32"/>
          <w:szCs w:val="32"/>
          <w:shd w:val="clear" w:color="auto" w:fill="FFFFFF"/>
        </w:rPr>
        <w:t>3</w:t>
      </w:r>
      <w:r>
        <w:rPr>
          <w:rFonts w:hint="eastAsia" w:cs="仿宋_GB2312"/>
          <w:sz w:val="32"/>
          <w:szCs w:val="32"/>
          <w:shd w:val="clear" w:color="auto" w:fill="FFFFFF"/>
        </w:rPr>
        <w:t>名。</w:t>
      </w:r>
      <w:r>
        <w:rPr>
          <w:rFonts w:ascii="仿宋" w:hAnsi="仿宋" w:eastAsia="仿宋"/>
          <w:color w:val="000000"/>
          <w:sz w:val="32"/>
          <w:szCs w:val="32"/>
        </w:rPr>
        <w:br w:type="page"/>
      </w:r>
      <w:bookmarkEnd w:id="57"/>
      <w:bookmarkEnd w:id="58"/>
      <w:bookmarkEnd w:id="59"/>
      <w:bookmarkEnd w:id="60"/>
    </w:p>
    <w:p w14:paraId="5D0175A6">
      <w:pPr>
        <w:widowControl/>
        <w:jc w:val="center"/>
        <w:rPr>
          <w:rStyle w:val="31"/>
          <w:rFonts w:ascii="黑体" w:hAnsi="黑体" w:eastAsia="黑体"/>
          <w:b w:val="0"/>
        </w:rPr>
      </w:pPr>
      <w:bookmarkStart w:id="61" w:name="_Toc27435_WPSOffice_Level1"/>
      <w:bookmarkStart w:id="62" w:name="_Toc15396602"/>
      <w:bookmarkStart w:id="63" w:name="_Toc15377204"/>
      <w:r>
        <w:rPr>
          <w:rFonts w:hint="eastAsia" w:ascii="黑体" w:hAnsi="黑体" w:eastAsia="黑体"/>
          <w:sz w:val="44"/>
          <w:szCs w:val="44"/>
        </w:rPr>
        <w:t>第二部分 2021年度</w:t>
      </w:r>
      <w:r>
        <w:rPr>
          <w:rStyle w:val="31"/>
          <w:rFonts w:hint="eastAsia" w:ascii="黑体" w:hAnsi="黑体" w:eastAsia="黑体"/>
          <w:b w:val="0"/>
        </w:rPr>
        <w:t>部门决算情况说明</w:t>
      </w:r>
      <w:bookmarkEnd w:id="61"/>
      <w:bookmarkEnd w:id="62"/>
      <w:bookmarkEnd w:id="63"/>
    </w:p>
    <w:p w14:paraId="12F65C5E"/>
    <w:p w14:paraId="3D4DC966">
      <w:pPr>
        <w:pStyle w:val="30"/>
        <w:numPr>
          <w:ilvl w:val="0"/>
          <w:numId w:val="1"/>
        </w:numPr>
        <w:spacing w:line="600" w:lineRule="exact"/>
        <w:ind w:firstLineChars="0"/>
        <w:outlineLvl w:val="1"/>
        <w:rPr>
          <w:rStyle w:val="32"/>
          <w:rFonts w:ascii="黑体" w:hAnsi="黑体" w:eastAsia="黑体"/>
          <w:b w:val="0"/>
        </w:rPr>
      </w:pPr>
      <w:bookmarkStart w:id="64" w:name="_Toc23074_WPSOffice_Level2"/>
      <w:bookmarkStart w:id="65" w:name="_Toc15377205"/>
      <w:bookmarkStart w:id="66"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64"/>
      <w:bookmarkEnd w:id="65"/>
      <w:bookmarkEnd w:id="66"/>
    </w:p>
    <w:p w14:paraId="18C05DA3">
      <w:pPr>
        <w:spacing w:line="600" w:lineRule="exact"/>
        <w:ind w:firstLine="640" w:firstLineChars="200"/>
        <w:rPr>
          <w:rFonts w:ascii="仿宋_GB2312" w:eastAsia="仿宋_GB2312"/>
          <w:sz w:val="32"/>
          <w:szCs w:val="32"/>
        </w:rPr>
      </w:pPr>
      <w:r>
        <w:rPr>
          <w:rFonts w:hint="eastAsia" w:ascii="仿宋" w:hAnsi="仿宋" w:eastAsia="仿宋"/>
          <w:sz w:val="32"/>
          <w:szCs w:val="32"/>
        </w:rPr>
        <w:t>2021年度收、支总计1122.88万元。与2020年相比，收、支总计增加14.29万元，增长1.29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14:paraId="1C84C39B">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BC1DDF">
      <w:pPr>
        <w:pStyle w:val="30"/>
        <w:numPr>
          <w:ilvl w:val="0"/>
          <w:numId w:val="1"/>
        </w:numPr>
        <w:spacing w:line="600" w:lineRule="exact"/>
        <w:ind w:firstLineChars="0"/>
        <w:outlineLvl w:val="1"/>
        <w:rPr>
          <w:rStyle w:val="32"/>
          <w:rFonts w:ascii="黑体" w:hAnsi="黑体" w:eastAsia="黑体"/>
          <w:b w:val="0"/>
        </w:rPr>
      </w:pPr>
      <w:bookmarkStart w:id="67" w:name="_Toc23867_WPSOffice_Level2"/>
      <w:bookmarkStart w:id="68" w:name="_Toc15377206"/>
      <w:bookmarkStart w:id="69" w:name="_Toc15396604"/>
      <w:bookmarkStart w:id="70" w:name="_Toc6443_WPSOffice_Level2"/>
      <w:r>
        <w:rPr>
          <w:rFonts w:hint="eastAsia" w:ascii="黑体" w:hAnsi="黑体" w:eastAsia="黑体"/>
          <w:sz w:val="32"/>
          <w:szCs w:val="32"/>
        </w:rPr>
        <w:t>收</w:t>
      </w:r>
      <w:r>
        <w:rPr>
          <w:rStyle w:val="32"/>
          <w:rFonts w:hint="eastAsia" w:ascii="黑体" w:hAnsi="黑体" w:eastAsia="黑体"/>
          <w:b w:val="0"/>
        </w:rPr>
        <w:t>入决算情况说明</w:t>
      </w:r>
      <w:bookmarkEnd w:id="67"/>
      <w:bookmarkEnd w:id="68"/>
      <w:bookmarkEnd w:id="69"/>
      <w:bookmarkEnd w:id="70"/>
    </w:p>
    <w:p w14:paraId="5C7FAF86">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21年本年收入合计1070.13万元，其中：一般公共预算财政拨款收入1070.13万元，占100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14EAB355">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9E48DD">
      <w:pPr>
        <w:pStyle w:val="30"/>
        <w:numPr>
          <w:ilvl w:val="0"/>
          <w:numId w:val="1"/>
        </w:numPr>
        <w:spacing w:line="600" w:lineRule="exact"/>
        <w:ind w:firstLineChars="0"/>
        <w:outlineLvl w:val="1"/>
        <w:rPr>
          <w:rStyle w:val="32"/>
          <w:rFonts w:ascii="黑体" w:hAnsi="黑体" w:eastAsia="黑体"/>
          <w:b w:val="0"/>
        </w:rPr>
      </w:pPr>
      <w:bookmarkStart w:id="71" w:name="_Toc15396605"/>
      <w:bookmarkStart w:id="72" w:name="_Toc6874_WPSOffice_Level2"/>
      <w:bookmarkStart w:id="73" w:name="_Toc15377207"/>
      <w:bookmarkStart w:id="74" w:name="_Toc22788_WPSOffice_Level2"/>
      <w:r>
        <w:rPr>
          <w:rFonts w:hint="eastAsia" w:ascii="黑体" w:hAnsi="黑体" w:eastAsia="黑体"/>
          <w:sz w:val="32"/>
          <w:szCs w:val="32"/>
        </w:rPr>
        <w:t>支</w:t>
      </w:r>
      <w:r>
        <w:rPr>
          <w:rStyle w:val="32"/>
          <w:rFonts w:hint="eastAsia" w:ascii="黑体" w:hAnsi="黑体" w:eastAsia="黑体"/>
          <w:b w:val="0"/>
        </w:rPr>
        <w:t>出决算情况说明</w:t>
      </w:r>
      <w:bookmarkEnd w:id="71"/>
      <w:bookmarkEnd w:id="72"/>
      <w:bookmarkEnd w:id="73"/>
      <w:bookmarkEnd w:id="74"/>
    </w:p>
    <w:p w14:paraId="4A6603A9">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21年本年支出合计1122.88万元，其中：基本支出912.83万元，占81.29</w:t>
      </w:r>
      <w:r>
        <w:rPr>
          <w:rFonts w:ascii="仿宋" w:hAnsi="仿宋" w:eastAsia="仿宋"/>
          <w:sz w:val="32"/>
          <w:szCs w:val="32"/>
        </w:rPr>
        <w:t>%</w:t>
      </w:r>
      <w:r>
        <w:rPr>
          <w:rFonts w:hint="eastAsia" w:ascii="仿宋" w:hAnsi="仿宋" w:eastAsia="仿宋"/>
          <w:sz w:val="32"/>
          <w:szCs w:val="32"/>
        </w:rPr>
        <w:t>；项目支出210.05万元，占18.71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20D2E05A">
      <w:pPr>
        <w:spacing w:line="600" w:lineRule="exact"/>
        <w:ind w:firstLine="420" w:firstLineChars="200"/>
        <w:rPr>
          <w:rFonts w:ascii="仿宋_GB2312" w:eastAsia="仿宋_GB2312"/>
          <w:sz w:val="32"/>
          <w:szCs w:val="32"/>
        </w:rPr>
      </w:pPr>
      <w:r>
        <w:drawing>
          <wp:anchor distT="0" distB="0" distL="114300" distR="114300" simplePos="0" relativeHeight="251662336" behindDoc="0" locked="0" layoutInCell="1" allowOverlap="1">
            <wp:simplePos x="0" y="0"/>
            <wp:positionH relativeFrom="column">
              <wp:posOffset>90170</wp:posOffset>
            </wp:positionH>
            <wp:positionV relativeFrom="paragraph">
              <wp:posOffset>170815</wp:posOffset>
            </wp:positionV>
            <wp:extent cx="4779645" cy="2645410"/>
            <wp:effectExtent l="4445" t="4445" r="16510" b="17145"/>
            <wp:wrapSquare wrapText="bothSides"/>
            <wp:docPr id="31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A57CDE3">
      <w:pPr>
        <w:pStyle w:val="2"/>
        <w:rPr>
          <w:rFonts w:ascii="仿宋_GB2312" w:eastAsia="仿宋_GB2312"/>
        </w:rPr>
      </w:pPr>
    </w:p>
    <w:p w14:paraId="2945E6A1">
      <w:pPr>
        <w:pStyle w:val="2"/>
        <w:rPr>
          <w:rFonts w:ascii="仿宋_GB2312" w:eastAsia="仿宋_GB2312"/>
        </w:rPr>
      </w:pPr>
    </w:p>
    <w:p w14:paraId="61806BCE">
      <w:pPr>
        <w:pStyle w:val="2"/>
        <w:rPr>
          <w:rFonts w:ascii="仿宋_GB2312" w:eastAsia="仿宋_GB2312"/>
        </w:rPr>
      </w:pPr>
    </w:p>
    <w:p w14:paraId="0A0A2606">
      <w:pPr>
        <w:pStyle w:val="2"/>
        <w:rPr>
          <w:rFonts w:ascii="仿宋_GB2312" w:eastAsia="仿宋_GB2312"/>
        </w:rPr>
      </w:pPr>
    </w:p>
    <w:p w14:paraId="377965DE">
      <w:pPr>
        <w:pStyle w:val="2"/>
        <w:rPr>
          <w:rFonts w:ascii="仿宋_GB2312" w:eastAsia="仿宋_GB2312"/>
        </w:rPr>
      </w:pPr>
    </w:p>
    <w:p w14:paraId="5C886773">
      <w:pPr>
        <w:pStyle w:val="2"/>
        <w:rPr>
          <w:rFonts w:ascii="仿宋_GB2312" w:eastAsia="仿宋_GB2312"/>
        </w:rPr>
      </w:pPr>
    </w:p>
    <w:p w14:paraId="3105FDCA">
      <w:pPr>
        <w:pStyle w:val="2"/>
        <w:rPr>
          <w:rFonts w:ascii="仿宋_GB2312" w:eastAsia="仿宋_GB2312"/>
        </w:rPr>
      </w:pPr>
      <w:r>
        <w:drawing>
          <wp:anchor distT="0" distB="0" distL="114300" distR="114300" simplePos="0" relativeHeight="251661312" behindDoc="1" locked="0" layoutInCell="1" allowOverlap="1">
            <wp:simplePos x="0" y="0"/>
            <wp:positionH relativeFrom="column">
              <wp:posOffset>1917065</wp:posOffset>
            </wp:positionH>
            <wp:positionV relativeFrom="paragraph">
              <wp:posOffset>4765040</wp:posOffset>
            </wp:positionV>
            <wp:extent cx="4156710" cy="2440305"/>
            <wp:effectExtent l="4445" t="4445" r="10795"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drawing>
          <wp:anchor distT="0" distB="0" distL="114300" distR="114300" simplePos="0" relativeHeight="251659264"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479977F">
      <w:pPr>
        <w:pStyle w:val="2"/>
        <w:rPr>
          <w:rFonts w:ascii="仿宋_GB2312" w:eastAsia="仿宋_GB2312"/>
        </w:rPr>
      </w:pPr>
    </w:p>
    <w:p w14:paraId="2EA7477F">
      <w:pPr>
        <w:pStyle w:val="2"/>
        <w:rPr>
          <w:rFonts w:ascii="仿宋_GB2312" w:eastAsia="仿宋_GB2312"/>
        </w:rPr>
      </w:pPr>
    </w:p>
    <w:p w14:paraId="2A9048D1">
      <w:pPr>
        <w:spacing w:line="600" w:lineRule="exact"/>
        <w:outlineLvl w:val="1"/>
        <w:rPr>
          <w:rFonts w:ascii="黑体" w:hAnsi="黑体" w:eastAsia="黑体"/>
          <w:sz w:val="32"/>
          <w:szCs w:val="32"/>
        </w:rPr>
      </w:pPr>
      <w:bookmarkStart w:id="75" w:name="_Toc15396606"/>
      <w:bookmarkStart w:id="76" w:name="_Toc15377208"/>
      <w:r>
        <w:drawing>
          <wp:anchor distT="0" distB="0" distL="114300" distR="114300" simplePos="0" relativeHeight="251660288"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FF4A9BA">
      <w:pPr>
        <w:spacing w:line="600" w:lineRule="exact"/>
        <w:ind w:firstLine="640" w:firstLineChars="200"/>
        <w:outlineLvl w:val="1"/>
        <w:rPr>
          <w:rStyle w:val="32"/>
          <w:rFonts w:ascii="黑体" w:hAnsi="黑体" w:eastAsia="黑体"/>
          <w:b w:val="0"/>
        </w:rPr>
      </w:pPr>
      <w:bookmarkStart w:id="77" w:name="_Toc11866_WPSOffice_Level2"/>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75"/>
      <w:bookmarkEnd w:id="76"/>
      <w:bookmarkEnd w:id="77"/>
    </w:p>
    <w:p w14:paraId="0A9A5209">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21年财政拨款收、支总计1122.88万元。与</w:t>
      </w:r>
      <w:r>
        <w:rPr>
          <w:rFonts w:ascii="仿宋" w:hAnsi="仿宋" w:eastAsia="仿宋"/>
          <w:sz w:val="32"/>
          <w:szCs w:val="32"/>
        </w:rPr>
        <w:t>20</w:t>
      </w:r>
      <w:r>
        <w:rPr>
          <w:rFonts w:hint="eastAsia" w:ascii="仿宋" w:hAnsi="仿宋" w:eastAsia="仿宋"/>
          <w:sz w:val="32"/>
          <w:szCs w:val="32"/>
        </w:rPr>
        <w:t>20年相比，财政拨款收、支总计增加14.29万元，增长1.29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14:paraId="11DEFBF0">
      <w:pPr>
        <w:spacing w:line="600" w:lineRule="exact"/>
        <w:ind w:firstLine="640"/>
        <w:rPr>
          <w:rFonts w:ascii="仿宋" w:hAnsi="仿宋" w:eastAsia="仿宋"/>
          <w:b/>
          <w:sz w:val="32"/>
          <w:szCs w:val="32"/>
        </w:rPr>
      </w:pPr>
    </w:p>
    <w:p w14:paraId="63D187E5">
      <w:pPr>
        <w:pStyle w:val="2"/>
        <w:ind w:firstLine="643"/>
        <w:rPr>
          <w:rFonts w:ascii="仿宋" w:hAnsi="仿宋" w:eastAsia="仿宋"/>
          <w:b/>
        </w:rPr>
      </w:pPr>
    </w:p>
    <w:p w14:paraId="5A8F568D">
      <w:pPr>
        <w:pStyle w:val="2"/>
        <w:ind w:firstLine="643"/>
        <w:rPr>
          <w:rFonts w:ascii="仿宋" w:hAnsi="仿宋" w:eastAsia="仿宋"/>
          <w:b/>
        </w:rPr>
      </w:pPr>
    </w:p>
    <w:p w14:paraId="05AE3DAD">
      <w:pPr>
        <w:pStyle w:val="2"/>
        <w:ind w:firstLine="643"/>
        <w:rPr>
          <w:rFonts w:ascii="仿宋" w:hAnsi="仿宋" w:eastAsia="仿宋"/>
          <w:b/>
        </w:rPr>
      </w:pPr>
    </w:p>
    <w:p w14:paraId="75001BDD">
      <w:pPr>
        <w:pStyle w:val="2"/>
        <w:ind w:firstLine="643"/>
        <w:rPr>
          <w:rFonts w:ascii="仿宋" w:hAnsi="仿宋" w:eastAsia="仿宋"/>
          <w:b/>
        </w:rPr>
      </w:pPr>
    </w:p>
    <w:p w14:paraId="4C9FB102">
      <w:pPr>
        <w:pStyle w:val="2"/>
        <w:rPr>
          <w:rFonts w:ascii="仿宋" w:hAnsi="仿宋" w:eastAsia="仿宋"/>
          <w:b/>
        </w:rPr>
      </w:pPr>
      <w:r>
        <w:drawing>
          <wp:anchor distT="0" distB="0" distL="114300" distR="114300" simplePos="0" relativeHeight="251663360" behindDoc="1" locked="0" layoutInCell="1" allowOverlap="1">
            <wp:simplePos x="0" y="0"/>
            <wp:positionH relativeFrom="column">
              <wp:posOffset>410845</wp:posOffset>
            </wp:positionH>
            <wp:positionV relativeFrom="paragraph">
              <wp:posOffset>-1901825</wp:posOffset>
            </wp:positionV>
            <wp:extent cx="4308475" cy="2112010"/>
            <wp:effectExtent l="4445" t="4445" r="68580" b="55245"/>
            <wp:wrapTight wrapText="bothSides">
              <wp:wrapPolygon>
                <wp:start x="-22" y="-45"/>
                <wp:lineTo x="-22" y="21386"/>
                <wp:lineTo x="21562" y="21386"/>
                <wp:lineTo x="21562" y="-45"/>
                <wp:lineTo x="-22" y="-45"/>
              </wp:wrapPolygon>
            </wp:wrapTight>
            <wp:docPr id="317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F0B51DE">
      <w:pPr>
        <w:spacing w:line="600" w:lineRule="exact"/>
        <w:ind w:firstLine="640" w:firstLineChars="200"/>
        <w:outlineLvl w:val="1"/>
        <w:rPr>
          <w:rStyle w:val="32"/>
          <w:rFonts w:ascii="黑体" w:hAnsi="黑体" w:eastAsia="黑体"/>
          <w:b w:val="0"/>
        </w:rPr>
      </w:pPr>
      <w:bookmarkStart w:id="78" w:name="_Toc3192_WPSOffice_Level2"/>
      <w:bookmarkStart w:id="79" w:name="_Toc15396607"/>
      <w:bookmarkStart w:id="80"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78"/>
      <w:bookmarkEnd w:id="79"/>
      <w:bookmarkEnd w:id="80"/>
    </w:p>
    <w:p w14:paraId="7D88D4F6">
      <w:pPr>
        <w:spacing w:line="600" w:lineRule="exact"/>
        <w:ind w:firstLine="643" w:firstLineChars="200"/>
        <w:outlineLvl w:val="2"/>
        <w:rPr>
          <w:rFonts w:ascii="仿宋" w:hAnsi="仿宋" w:eastAsia="仿宋"/>
          <w:b/>
          <w:sz w:val="32"/>
          <w:szCs w:val="32"/>
        </w:rPr>
      </w:pPr>
      <w:bookmarkStart w:id="81" w:name="_Toc15377210"/>
      <w:r>
        <w:rPr>
          <w:rFonts w:hint="eastAsia" w:ascii="仿宋" w:hAnsi="仿宋" w:eastAsia="仿宋"/>
          <w:b/>
          <w:sz w:val="32"/>
          <w:szCs w:val="32"/>
        </w:rPr>
        <w:t>（一）一般公共预算财政拨款支出决算总体情况</w:t>
      </w:r>
      <w:bookmarkEnd w:id="81"/>
    </w:p>
    <w:p w14:paraId="4CF684C4">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20年相比，一般公共预算财政拨款支出增加74.89万元，增长6.66</w:t>
      </w:r>
      <w:r>
        <w:rPr>
          <w:rFonts w:ascii="仿宋" w:hAnsi="仿宋" w:eastAsia="仿宋"/>
          <w:sz w:val="32"/>
          <w:szCs w:val="32"/>
        </w:rPr>
        <w:t>%</w:t>
      </w:r>
      <w:r>
        <w:rPr>
          <w:rFonts w:hint="eastAsia" w:ascii="仿宋" w:hAnsi="仿宋" w:eastAsia="仿宋"/>
          <w:sz w:val="32"/>
          <w:szCs w:val="32"/>
        </w:rPr>
        <w:t>。主要变动原因是单位业务增多支出增加。</w:t>
      </w:r>
    </w:p>
    <w:p w14:paraId="5A60A4A7">
      <w:pPr>
        <w:spacing w:line="600" w:lineRule="exact"/>
        <w:ind w:firstLine="640" w:firstLineChars="200"/>
        <w:rPr>
          <w:rFonts w:ascii="仿宋" w:hAnsi="仿宋" w:eastAsia="仿宋"/>
          <w:sz w:val="32"/>
          <w:szCs w:val="32"/>
        </w:rPr>
      </w:pPr>
    </w:p>
    <w:p w14:paraId="14680BA4">
      <w:pPr>
        <w:pStyle w:val="2"/>
        <w:rPr>
          <w:rFonts w:ascii="仿宋" w:hAnsi="仿宋" w:eastAsia="仿宋"/>
        </w:rPr>
      </w:pPr>
    </w:p>
    <w:p w14:paraId="4FEEFD4E">
      <w:pPr>
        <w:pStyle w:val="2"/>
        <w:rPr>
          <w:rFonts w:ascii="仿宋" w:hAnsi="仿宋" w:eastAsia="仿宋"/>
        </w:rPr>
      </w:pPr>
    </w:p>
    <w:p w14:paraId="6D3E5B5A">
      <w:pPr>
        <w:pStyle w:val="2"/>
        <w:rPr>
          <w:rFonts w:ascii="仿宋" w:hAnsi="仿宋" w:eastAsia="仿宋"/>
        </w:rPr>
      </w:pPr>
    </w:p>
    <w:p w14:paraId="40F0654B">
      <w:pPr>
        <w:pStyle w:val="2"/>
        <w:rPr>
          <w:rFonts w:ascii="仿宋" w:hAnsi="仿宋" w:eastAsia="仿宋"/>
        </w:rPr>
      </w:pPr>
    </w:p>
    <w:p w14:paraId="2D2CF034">
      <w:pPr>
        <w:pStyle w:val="2"/>
        <w:rPr>
          <w:rFonts w:ascii="仿宋" w:hAnsi="仿宋" w:eastAsia="仿宋"/>
        </w:rPr>
      </w:pPr>
      <w:r>
        <w:drawing>
          <wp:anchor distT="0" distB="0" distL="114300" distR="114300" simplePos="0" relativeHeight="251664384" behindDoc="1" locked="0" layoutInCell="1" allowOverlap="1">
            <wp:simplePos x="0" y="0"/>
            <wp:positionH relativeFrom="column">
              <wp:posOffset>410845</wp:posOffset>
            </wp:positionH>
            <wp:positionV relativeFrom="paragraph">
              <wp:posOffset>-1710690</wp:posOffset>
            </wp:positionV>
            <wp:extent cx="4476115" cy="2354580"/>
            <wp:effectExtent l="4445" t="5080" r="15240" b="21590"/>
            <wp:wrapTight wrapText="bothSides">
              <wp:wrapPolygon>
                <wp:start x="-21" y="-47"/>
                <wp:lineTo x="-21" y="21449"/>
                <wp:lineTo x="21490" y="21449"/>
                <wp:lineTo x="21490" y="-47"/>
                <wp:lineTo x="-21" y="-47"/>
              </wp:wrapPolygon>
            </wp:wrapTight>
            <wp:docPr id="317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539CB3E">
      <w:pPr>
        <w:pStyle w:val="2"/>
        <w:rPr>
          <w:rFonts w:ascii="仿宋" w:hAnsi="仿宋" w:eastAsia="仿宋"/>
        </w:rPr>
      </w:pPr>
    </w:p>
    <w:p w14:paraId="13118289">
      <w:pPr>
        <w:spacing w:line="600" w:lineRule="exact"/>
        <w:ind w:firstLine="643" w:firstLineChars="200"/>
        <w:outlineLvl w:val="2"/>
        <w:rPr>
          <w:rFonts w:ascii="仿宋" w:hAnsi="仿宋" w:eastAsia="仿宋"/>
          <w:b/>
          <w:sz w:val="32"/>
          <w:szCs w:val="32"/>
        </w:rPr>
      </w:pPr>
      <w:bookmarkStart w:id="82" w:name="_Toc15377211"/>
      <w:r>
        <w:rPr>
          <w:rFonts w:hint="eastAsia" w:ascii="仿宋" w:hAnsi="仿宋" w:eastAsia="仿宋"/>
          <w:b/>
          <w:sz w:val="32"/>
          <w:szCs w:val="32"/>
        </w:rPr>
        <w:t>（二）一般公共预算财政拨款支出决算结构情况</w:t>
      </w:r>
      <w:bookmarkEnd w:id="82"/>
    </w:p>
    <w:p w14:paraId="6382F916">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21年一般公共预算财政拨款支出1122.88万元，主要用于以下方面</w:t>
      </w:r>
      <w:r>
        <w:rPr>
          <w:rFonts w:ascii="仿宋" w:hAnsi="仿宋" w:eastAsia="仿宋"/>
          <w:sz w:val="32"/>
          <w:szCs w:val="32"/>
        </w:rPr>
        <w:t>:</w:t>
      </w:r>
      <w:r>
        <w:rPr>
          <w:rFonts w:hint="eastAsia" w:ascii="仿宋_GB2312" w:eastAsia="仿宋_GB2312" w:cs="仿宋_GB2312"/>
          <w:color w:val="000000"/>
          <w:sz w:val="32"/>
          <w:szCs w:val="32"/>
        </w:rPr>
        <w:t>公共安全支出（类）893.65万元，占79.59</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r>
        <w:rPr>
          <w:rFonts w:hint="eastAsia" w:ascii="仿宋" w:hAnsi="仿宋" w:eastAsia="仿宋" w:cs="仿宋"/>
          <w:color w:val="000000"/>
          <w:sz w:val="32"/>
          <w:szCs w:val="32"/>
        </w:rPr>
        <w:t>社会保障和就业（类）支出104.63万元，占9.32</w:t>
      </w:r>
      <w:r>
        <w:rPr>
          <w:rFonts w:ascii="仿宋" w:hAnsi="仿宋" w:eastAsia="仿宋" w:cs="仿宋"/>
          <w:color w:val="000000"/>
          <w:sz w:val="32"/>
          <w:szCs w:val="32"/>
        </w:rPr>
        <w:t>%</w:t>
      </w:r>
      <w:r>
        <w:rPr>
          <w:rFonts w:hint="eastAsia" w:ascii="仿宋" w:hAnsi="仿宋" w:eastAsia="仿宋" w:cs="仿宋"/>
          <w:color w:val="000000"/>
          <w:sz w:val="32"/>
          <w:szCs w:val="32"/>
        </w:rPr>
        <w:t>；卫生健康（类）支出45.3万元，占4.03</w:t>
      </w:r>
      <w:r>
        <w:rPr>
          <w:rFonts w:ascii="仿宋" w:hAnsi="仿宋" w:eastAsia="仿宋" w:cs="仿宋"/>
          <w:color w:val="000000"/>
          <w:sz w:val="32"/>
          <w:szCs w:val="32"/>
        </w:rPr>
        <w:t>%</w:t>
      </w:r>
      <w:r>
        <w:rPr>
          <w:rFonts w:hint="eastAsia" w:ascii="仿宋" w:hAnsi="仿宋" w:eastAsia="仿宋" w:cs="仿宋"/>
          <w:color w:val="000000"/>
          <w:sz w:val="32"/>
          <w:szCs w:val="32"/>
        </w:rPr>
        <w:t>；其他支出（类）6万元，占0.53%；住房保障支出73.31万元，占6.53</w:t>
      </w:r>
      <w:r>
        <w:rPr>
          <w:rFonts w:ascii="仿宋" w:hAnsi="仿宋" w:eastAsia="仿宋" w:cs="仿宋"/>
          <w:color w:val="000000"/>
          <w:sz w:val="32"/>
          <w:szCs w:val="32"/>
        </w:rPr>
        <w:t>%</w:t>
      </w:r>
      <w:r>
        <w:rPr>
          <w:rFonts w:hint="eastAsia" w:ascii="仿宋" w:hAnsi="仿宋" w:eastAsia="仿宋" w:cs="仿宋"/>
          <w:color w:val="000000"/>
          <w:sz w:val="32"/>
          <w:szCs w:val="32"/>
        </w:rPr>
        <w:t>。</w:t>
      </w:r>
      <w:r>
        <w:drawing>
          <wp:anchor distT="0" distB="0" distL="114300" distR="114300" simplePos="0" relativeHeight="251665408" behindDoc="1" locked="0" layoutInCell="1" allowOverlap="1">
            <wp:simplePos x="0" y="0"/>
            <wp:positionH relativeFrom="column">
              <wp:posOffset>410845</wp:posOffset>
            </wp:positionH>
            <wp:positionV relativeFrom="paragraph">
              <wp:posOffset>85725</wp:posOffset>
            </wp:positionV>
            <wp:extent cx="4854575" cy="3194050"/>
            <wp:effectExtent l="4445" t="4445" r="17780" b="20955"/>
            <wp:wrapTight wrapText="bothSides">
              <wp:wrapPolygon>
                <wp:start x="-20" y="-30"/>
                <wp:lineTo x="-20" y="21484"/>
                <wp:lineTo x="21510" y="21484"/>
                <wp:lineTo x="21510" y="-30"/>
                <wp:lineTo x="-20" y="-30"/>
              </wp:wrapPolygon>
            </wp:wrapTight>
            <wp:docPr id="317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83" w:name="_Toc15377212"/>
    </w:p>
    <w:p w14:paraId="6C4059CF">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83"/>
    </w:p>
    <w:p w14:paraId="4F1B1FF3">
      <w:pPr>
        <w:spacing w:line="600" w:lineRule="exact"/>
        <w:ind w:firstLine="643" w:firstLineChars="200"/>
        <w:outlineLvl w:val="2"/>
        <w:rPr>
          <w:rFonts w:ascii="仿宋" w:hAnsi="仿宋" w:eastAsia="仿宋"/>
          <w:sz w:val="32"/>
          <w:szCs w:val="32"/>
        </w:rPr>
      </w:pPr>
      <w:bookmarkStart w:id="84" w:name="_Toc15377213"/>
      <w:bookmarkStart w:id="85" w:name="_Toc15377444"/>
      <w:bookmarkStart w:id="86" w:name="_Toc15378460"/>
      <w:r>
        <w:rPr>
          <w:rFonts w:hint="eastAsia" w:ascii="仿宋" w:hAnsi="仿宋" w:eastAsia="仿宋"/>
          <w:b/>
          <w:sz w:val="32"/>
          <w:szCs w:val="32"/>
        </w:rPr>
        <w:t>2021年一般公共预算支出决算数为1122.88万元</w:t>
      </w:r>
      <w:r>
        <w:rPr>
          <w:rFonts w:hint="eastAsia" w:ascii="仿宋" w:hAnsi="仿宋" w:eastAsia="仿宋"/>
          <w:sz w:val="32"/>
          <w:szCs w:val="32"/>
        </w:rPr>
        <w:t>，</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84"/>
      <w:bookmarkEnd w:id="85"/>
      <w:bookmarkEnd w:id="86"/>
    </w:p>
    <w:p w14:paraId="3E281165">
      <w:pPr>
        <w:spacing w:line="600" w:lineRule="exact"/>
        <w:ind w:firstLine="643" w:firstLineChars="200"/>
        <w:rPr>
          <w:rStyle w:val="20"/>
          <w:rFonts w:ascii="仿宋_GB2312" w:eastAsia="仿宋_GB2312"/>
          <w:color w:val="000000"/>
          <w:sz w:val="32"/>
          <w:szCs w:val="32"/>
        </w:rPr>
      </w:pPr>
      <w:r>
        <w:rPr>
          <w:rStyle w:val="20"/>
          <w:rFonts w:ascii="仿宋_GB2312" w:eastAsia="仿宋_GB2312" w:cs="仿宋_GB2312"/>
          <w:color w:val="000000"/>
          <w:sz w:val="32"/>
          <w:szCs w:val="32"/>
        </w:rPr>
        <w:t>1.</w:t>
      </w:r>
      <w:r>
        <w:rPr>
          <w:rStyle w:val="20"/>
          <w:rFonts w:hint="eastAsia" w:ascii="仿宋_GB2312" w:eastAsia="仿宋_GB2312" w:cs="仿宋_GB2312"/>
          <w:color w:val="000000"/>
          <w:sz w:val="32"/>
          <w:szCs w:val="32"/>
        </w:rPr>
        <w:t>公共安全支出（类）司法（款）</w:t>
      </w:r>
    </w:p>
    <w:p w14:paraId="051E2969">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①、行政运行</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支出决算为689.59万元，完成预算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4E3E17D7">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②、一般行政管理事务：</w:t>
      </w:r>
      <w:r>
        <w:rPr>
          <w:rStyle w:val="20"/>
          <w:rFonts w:hint="eastAsia" w:ascii="仿宋_GB2312" w:eastAsia="仿宋_GB2312" w:cs="仿宋_GB2312"/>
          <w:b w:val="0"/>
          <w:color w:val="000000"/>
          <w:sz w:val="32"/>
          <w:szCs w:val="32"/>
        </w:rPr>
        <w:t>支出决算为46.79万元，完成预算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09CAF9CC">
      <w:pPr>
        <w:spacing w:line="600" w:lineRule="exact"/>
        <w:ind w:firstLine="643" w:firstLineChars="200"/>
        <w:rPr>
          <w:rStyle w:val="20"/>
          <w:rFonts w:ascii="仿宋_GB2312" w:eastAsia="仿宋_GB2312"/>
          <w:b w:val="0"/>
          <w:color w:val="000000"/>
          <w:sz w:val="32"/>
          <w:szCs w:val="32"/>
        </w:rPr>
      </w:pPr>
      <w:r>
        <w:rPr>
          <w:rStyle w:val="20"/>
          <w:rFonts w:hint="eastAsia" w:ascii="宋体" w:hAnsi="宋体" w:cs="宋体"/>
          <w:color w:val="000000"/>
          <w:sz w:val="32"/>
          <w:szCs w:val="32"/>
        </w:rPr>
        <w:t>③、基层司法业务：</w:t>
      </w:r>
      <w:r>
        <w:rPr>
          <w:rStyle w:val="20"/>
          <w:rFonts w:hint="eastAsia" w:ascii="仿宋_GB2312" w:eastAsia="仿宋_GB2312" w:cs="仿宋_GB2312"/>
          <w:b w:val="0"/>
          <w:color w:val="000000"/>
          <w:sz w:val="32"/>
          <w:szCs w:val="32"/>
        </w:rPr>
        <w:t>支出决算为79.70万元，完成预算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783A49B8">
      <w:pPr>
        <w:spacing w:line="600" w:lineRule="exact"/>
        <w:ind w:firstLine="643" w:firstLineChars="200"/>
        <w:rPr>
          <w:rStyle w:val="20"/>
          <w:rFonts w:ascii="仿宋_GB2312" w:eastAsia="仿宋_GB2312"/>
          <w:color w:val="000000"/>
          <w:sz w:val="32"/>
          <w:szCs w:val="32"/>
        </w:rPr>
      </w:pPr>
      <w:r>
        <w:rPr>
          <w:rStyle w:val="20"/>
          <w:rFonts w:hint="eastAsia" w:ascii="宋体" w:hAnsi="宋体" w:cs="宋体"/>
          <w:color w:val="000000"/>
          <w:sz w:val="32"/>
          <w:szCs w:val="32"/>
        </w:rPr>
        <w:t>④、其他司法支出：</w:t>
      </w:r>
      <w:r>
        <w:rPr>
          <w:rStyle w:val="20"/>
          <w:rFonts w:hint="eastAsia" w:ascii="仿宋_GB2312" w:eastAsia="仿宋_GB2312" w:cs="仿宋_GB2312"/>
          <w:b w:val="0"/>
          <w:color w:val="000000"/>
          <w:sz w:val="32"/>
          <w:szCs w:val="32"/>
        </w:rPr>
        <w:t>支出决算为11.18万元，完成预算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193AFEBE">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⑤、公共法律服务：</w:t>
      </w:r>
      <w:r>
        <w:rPr>
          <w:rStyle w:val="20"/>
          <w:rFonts w:hint="eastAsia" w:ascii="仿宋_GB2312" w:eastAsia="仿宋_GB2312" w:cs="仿宋_GB2312"/>
          <w:b w:val="0"/>
          <w:color w:val="000000"/>
          <w:sz w:val="32"/>
          <w:szCs w:val="32"/>
        </w:rPr>
        <w:t>支出决算为29.00万元，完成预算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7B8025BD">
      <w:pPr>
        <w:spacing w:line="600" w:lineRule="exact"/>
        <w:ind w:firstLine="482" w:firstLineChars="150"/>
        <w:rPr>
          <w:rStyle w:val="20"/>
          <w:rFonts w:ascii="仿宋_GB2312" w:eastAsia="仿宋_GB2312"/>
          <w:b w:val="0"/>
          <w:color w:val="000000"/>
          <w:sz w:val="32"/>
          <w:szCs w:val="32"/>
        </w:rPr>
      </w:pPr>
      <w:r>
        <w:rPr>
          <w:rStyle w:val="20"/>
          <w:rFonts w:hint="eastAsia" w:ascii="宋体" w:hAnsi="宋体" w:cs="宋体"/>
          <w:color w:val="000000"/>
          <w:sz w:val="32"/>
          <w:szCs w:val="32"/>
        </w:rPr>
        <w:t>⑥、社区矫正：</w:t>
      </w:r>
      <w:r>
        <w:rPr>
          <w:rStyle w:val="20"/>
          <w:rFonts w:hint="eastAsia" w:ascii="仿宋_GB2312" w:eastAsia="仿宋_GB2312" w:cs="仿宋_GB2312"/>
          <w:b w:val="0"/>
          <w:color w:val="000000"/>
          <w:sz w:val="32"/>
          <w:szCs w:val="32"/>
        </w:rPr>
        <w:t>支出决算为0.02万元，完成预算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6BDAB5F0">
      <w:pPr>
        <w:spacing w:line="600" w:lineRule="exact"/>
        <w:ind w:firstLine="482" w:firstLineChars="150"/>
        <w:rPr>
          <w:rStyle w:val="20"/>
          <w:rFonts w:ascii="仿宋_GB2312" w:eastAsia="仿宋_GB2312" w:cs="仿宋_GB2312"/>
          <w:b w:val="0"/>
          <w:color w:val="000000"/>
          <w:sz w:val="32"/>
          <w:szCs w:val="32"/>
        </w:rPr>
      </w:pPr>
      <w:r>
        <w:rPr>
          <w:rStyle w:val="20"/>
          <w:rFonts w:hint="eastAsia" w:ascii="仿宋_GB2312" w:eastAsia="仿宋_GB2312" w:cs="仿宋_GB2312"/>
          <w:color w:val="000000"/>
          <w:sz w:val="32"/>
          <w:szCs w:val="32"/>
        </w:rPr>
        <w:t>⑦、法制建设：</w:t>
      </w:r>
      <w:r>
        <w:rPr>
          <w:rStyle w:val="20"/>
          <w:rFonts w:hint="eastAsia" w:ascii="仿宋_GB2312" w:eastAsia="仿宋_GB2312" w:cs="仿宋_GB2312"/>
          <w:b w:val="0"/>
          <w:color w:val="000000"/>
          <w:sz w:val="32"/>
          <w:szCs w:val="32"/>
        </w:rPr>
        <w:t>支出决算为10.93万元，完成预算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41FE93A5">
      <w:pPr>
        <w:spacing w:line="600" w:lineRule="exact"/>
        <w:ind w:firstLine="643" w:firstLineChars="200"/>
        <w:rPr>
          <w:rStyle w:val="20"/>
          <w:rFonts w:ascii="仿宋_GB2312" w:eastAsia="仿宋_GB2312" w:cs="仿宋_GB2312"/>
          <w:b w:val="0"/>
          <w:color w:val="000000"/>
          <w:sz w:val="32"/>
          <w:szCs w:val="32"/>
        </w:rPr>
      </w:pPr>
      <w:r>
        <w:rPr>
          <w:rFonts w:hint="eastAsia" w:ascii="仿宋_GB2312" w:hAnsi="仿宋_GB2312" w:eastAsia="仿宋_GB2312" w:cs="仿宋_GB2312"/>
          <w:b/>
          <w:bCs/>
          <w:sz w:val="32"/>
          <w:szCs w:val="32"/>
        </w:rPr>
        <w:t>⑧、普法宣传：</w:t>
      </w:r>
      <w:r>
        <w:rPr>
          <w:rStyle w:val="20"/>
          <w:rFonts w:hint="eastAsia" w:ascii="仿宋_GB2312" w:eastAsia="仿宋_GB2312" w:cs="仿宋_GB2312"/>
          <w:b w:val="0"/>
          <w:color w:val="000000"/>
          <w:sz w:val="32"/>
          <w:szCs w:val="32"/>
        </w:rPr>
        <w:t>支出决算为2.30万元，完成预算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550C3B1A">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⑨、律师管理：</w:t>
      </w:r>
      <w:r>
        <w:rPr>
          <w:rStyle w:val="20"/>
          <w:rFonts w:hint="eastAsia" w:ascii="仿宋_GB2312" w:eastAsia="仿宋_GB2312" w:cs="仿宋_GB2312"/>
          <w:b w:val="0"/>
          <w:color w:val="000000"/>
          <w:sz w:val="32"/>
          <w:szCs w:val="32"/>
        </w:rPr>
        <w:t>支出决算为20.71万元，完成预算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766A663C">
      <w:pPr>
        <w:pStyle w:val="17"/>
        <w:ind w:firstLine="643" w:firstLineChars="200"/>
        <w:jc w:val="both"/>
      </w:pPr>
      <w:r>
        <w:rPr>
          <w:rStyle w:val="20"/>
          <w:rFonts w:hint="eastAsia" w:ascii="仿宋_GB2312" w:eastAsia="仿宋_GB2312" w:cs="仿宋_GB2312"/>
          <w:b/>
          <w:color w:val="000000"/>
          <w:sz w:val="32"/>
        </w:rPr>
        <w:t>2.公共安全支出（类）其他公共安全支出（款）其他公共安全支出（项）：</w:t>
      </w:r>
      <w:r>
        <w:rPr>
          <w:rStyle w:val="20"/>
          <w:rFonts w:hint="eastAsia" w:ascii="仿宋_GB2312" w:eastAsia="仿宋_GB2312" w:cs="仿宋_GB2312"/>
          <w:b w:val="0"/>
          <w:bCs w:val="0"/>
          <w:color w:val="000000"/>
          <w:sz w:val="32"/>
        </w:rPr>
        <w:t>支出决算为3.43万元，完成预算</w:t>
      </w:r>
      <w:r>
        <w:rPr>
          <w:rStyle w:val="20"/>
          <w:rFonts w:ascii="仿宋_GB2312" w:eastAsia="仿宋_GB2312" w:cs="仿宋_GB2312"/>
          <w:b w:val="0"/>
          <w:bCs w:val="0"/>
          <w:color w:val="000000"/>
          <w:sz w:val="32"/>
        </w:rPr>
        <w:t>100%</w:t>
      </w:r>
      <w:r>
        <w:rPr>
          <w:rStyle w:val="20"/>
          <w:rFonts w:hint="eastAsia" w:ascii="仿宋_GB2312" w:eastAsia="仿宋_GB2312" w:cs="仿宋_GB2312"/>
          <w:b w:val="0"/>
          <w:bCs w:val="0"/>
          <w:color w:val="000000"/>
          <w:sz w:val="32"/>
        </w:rPr>
        <w:t>。</w:t>
      </w:r>
    </w:p>
    <w:p w14:paraId="36FA354E">
      <w:pPr>
        <w:spacing w:line="600" w:lineRule="exact"/>
        <w:ind w:firstLine="643" w:firstLineChars="200"/>
        <w:rPr>
          <w:rStyle w:val="20"/>
          <w:rFonts w:ascii="仿宋_GB2312" w:eastAsia="仿宋_GB2312"/>
          <w:color w:val="000000"/>
          <w:sz w:val="32"/>
          <w:szCs w:val="32"/>
        </w:rPr>
      </w:pPr>
      <w:r>
        <w:rPr>
          <w:rStyle w:val="20"/>
          <w:rFonts w:hint="eastAsia" w:ascii="仿宋_GB2312" w:eastAsia="仿宋_GB2312" w:cs="仿宋_GB2312"/>
          <w:color w:val="000000"/>
          <w:sz w:val="32"/>
          <w:szCs w:val="32"/>
        </w:rPr>
        <w:t>3</w:t>
      </w:r>
      <w:r>
        <w:rPr>
          <w:rStyle w:val="20"/>
          <w:rFonts w:ascii="仿宋_GB2312" w:eastAsia="仿宋_GB2312" w:cs="仿宋_GB2312"/>
          <w:color w:val="000000"/>
          <w:sz w:val="32"/>
          <w:szCs w:val="32"/>
        </w:rPr>
        <w:t>.</w:t>
      </w:r>
      <w:r>
        <w:rPr>
          <w:rStyle w:val="20"/>
          <w:rFonts w:hint="eastAsia" w:ascii="仿宋_GB2312" w:eastAsia="仿宋_GB2312" w:cs="仿宋_GB2312"/>
          <w:color w:val="000000"/>
          <w:sz w:val="32"/>
          <w:szCs w:val="32"/>
        </w:rPr>
        <w:t>社会保障和就业（类）行政事业单位养老支出（款）</w:t>
      </w:r>
    </w:p>
    <w:p w14:paraId="0746FB46">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①、行政单位离退休</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支出决算为43.30万元，完成预算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1001AC8F">
      <w:pPr>
        <w:spacing w:line="600" w:lineRule="exact"/>
        <w:ind w:firstLine="643" w:firstLineChars="200"/>
        <w:rPr>
          <w:rStyle w:val="20"/>
          <w:rFonts w:ascii="仿宋_GB2312" w:eastAsia="仿宋_GB2312" w:cs="仿宋_GB2312"/>
          <w:b w:val="0"/>
          <w:color w:val="000000"/>
          <w:sz w:val="32"/>
          <w:szCs w:val="32"/>
        </w:rPr>
      </w:pPr>
      <w:r>
        <w:rPr>
          <w:rFonts w:hint="eastAsia" w:ascii="仿宋_GB2312" w:eastAsia="仿宋_GB2312" w:cs="仿宋_GB2312"/>
          <w:b/>
          <w:bCs/>
          <w:color w:val="000000"/>
          <w:sz w:val="32"/>
          <w:szCs w:val="32"/>
        </w:rPr>
        <w:t>②、机关事业单位基本养老保险缴费支出：</w:t>
      </w:r>
      <w:r>
        <w:rPr>
          <w:rStyle w:val="20"/>
          <w:rFonts w:hint="eastAsia" w:ascii="仿宋_GB2312" w:eastAsia="仿宋_GB2312" w:cs="仿宋_GB2312"/>
          <w:b w:val="0"/>
          <w:color w:val="000000"/>
          <w:sz w:val="32"/>
          <w:szCs w:val="32"/>
        </w:rPr>
        <w:t>支出决算为54.79万元，完成预算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346FB7A1">
      <w:pPr>
        <w:spacing w:line="600" w:lineRule="exact"/>
        <w:ind w:firstLine="643" w:firstLineChars="200"/>
      </w:pPr>
      <w:r>
        <w:rPr>
          <w:rFonts w:hint="eastAsia" w:ascii="仿宋_GB2312" w:eastAsia="仿宋_GB2312" w:cs="仿宋_GB2312"/>
          <w:b/>
          <w:bCs/>
          <w:color w:val="000000"/>
          <w:sz w:val="32"/>
          <w:szCs w:val="32"/>
        </w:rPr>
        <w:sym w:font="Wingdings" w:char="F083"/>
      </w:r>
      <w:r>
        <w:rPr>
          <w:rFonts w:hint="eastAsia" w:ascii="仿宋_GB2312" w:eastAsia="仿宋_GB2312" w:cs="仿宋_GB2312"/>
          <w:b/>
          <w:bCs/>
          <w:color w:val="000000"/>
          <w:sz w:val="32"/>
          <w:szCs w:val="32"/>
        </w:rPr>
        <w:t>、机关事业单位职业年金缴费支出：</w:t>
      </w:r>
      <w:r>
        <w:rPr>
          <w:rStyle w:val="20"/>
          <w:rFonts w:hint="eastAsia" w:ascii="仿宋_GB2312" w:eastAsia="仿宋_GB2312" w:cs="仿宋_GB2312"/>
          <w:b w:val="0"/>
          <w:color w:val="000000"/>
          <w:sz w:val="32"/>
          <w:szCs w:val="32"/>
        </w:rPr>
        <w:t>支出决算为6.54万元，完成预算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64510BD2">
      <w:pPr>
        <w:spacing w:line="600" w:lineRule="exact"/>
        <w:ind w:firstLine="643" w:firstLineChars="200"/>
        <w:rPr>
          <w:rStyle w:val="20"/>
          <w:rFonts w:ascii="仿宋_GB2312" w:eastAsia="仿宋_GB2312" w:cs="仿宋_GB2312"/>
          <w:b w:val="0"/>
          <w:color w:val="000000"/>
          <w:sz w:val="32"/>
          <w:szCs w:val="32"/>
        </w:rPr>
      </w:pPr>
      <w:r>
        <w:rPr>
          <w:rStyle w:val="20"/>
          <w:rFonts w:hint="eastAsia" w:ascii="仿宋_GB2312" w:eastAsia="仿宋_GB2312" w:cs="仿宋_GB2312"/>
          <w:bCs/>
          <w:color w:val="000000"/>
          <w:sz w:val="32"/>
          <w:szCs w:val="32"/>
        </w:rPr>
        <w:t>4.住房保障支出（类）住房改革支出（款）住房公积金（项）：</w:t>
      </w:r>
      <w:r>
        <w:rPr>
          <w:rStyle w:val="20"/>
          <w:rFonts w:hint="eastAsia" w:ascii="仿宋_GB2312" w:eastAsia="仿宋_GB2312" w:cs="仿宋_GB2312"/>
          <w:b w:val="0"/>
          <w:color w:val="000000"/>
          <w:sz w:val="32"/>
          <w:szCs w:val="32"/>
        </w:rPr>
        <w:t>支出决算为73.31万元，完成预算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14:paraId="7934DEE6">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14:paraId="42A219BF">
      <w:pP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sym w:font="Wingdings" w:char="F081"/>
      </w:r>
      <w:r>
        <w:rPr>
          <w:rFonts w:hint="eastAsia" w:ascii="仿宋_GB2312" w:hAnsi="仿宋_GB2312" w:eastAsia="仿宋_GB2312" w:cs="仿宋_GB2312"/>
          <w:b/>
          <w:bCs/>
          <w:sz w:val="32"/>
          <w:szCs w:val="32"/>
        </w:rPr>
        <w:t>行政单位医疗：</w:t>
      </w:r>
      <w:r>
        <w:rPr>
          <w:rFonts w:eastAsia="仿宋_GB2312"/>
          <w:sz w:val="32"/>
          <w:szCs w:val="32"/>
        </w:rPr>
        <w:t>支出决算为</w:t>
      </w:r>
      <w:r>
        <w:rPr>
          <w:rFonts w:hint="eastAsia" w:eastAsia="仿宋_GB2312"/>
          <w:sz w:val="32"/>
          <w:szCs w:val="32"/>
        </w:rPr>
        <w:t>43.30</w:t>
      </w:r>
      <w:r>
        <w:rPr>
          <w:rFonts w:eastAsia="仿宋_GB2312"/>
          <w:sz w:val="32"/>
          <w:szCs w:val="32"/>
        </w:rPr>
        <w:t>万元，完成预算100%，决算数等于预算数。</w:t>
      </w:r>
    </w:p>
    <w:p w14:paraId="5E0B62D4">
      <w:pPr>
        <w:spacing w:line="560" w:lineRule="exact"/>
        <w:ind w:firstLine="643" w:firstLineChars="200"/>
        <w:jc w:val="left"/>
        <w:rPr>
          <w:rFonts w:eastAsia="仿宋_GB2312"/>
          <w:sz w:val="32"/>
          <w:szCs w:val="32"/>
        </w:rPr>
      </w:pPr>
      <w:r>
        <w:rPr>
          <w:rFonts w:hint="eastAsia"/>
          <w:b/>
          <w:bCs/>
          <w:sz w:val="32"/>
          <w:szCs w:val="32"/>
        </w:rPr>
        <w:sym w:font="Wingdings" w:char="F082"/>
      </w:r>
      <w:r>
        <w:rPr>
          <w:rFonts w:hint="eastAsia"/>
          <w:b/>
          <w:bCs/>
          <w:sz w:val="32"/>
          <w:szCs w:val="32"/>
        </w:rPr>
        <w:t>公务员医疗补助：</w:t>
      </w:r>
      <w:r>
        <w:rPr>
          <w:rFonts w:eastAsia="仿宋_GB2312"/>
          <w:sz w:val="32"/>
          <w:szCs w:val="32"/>
        </w:rPr>
        <w:t>支出决算为</w:t>
      </w:r>
      <w:r>
        <w:rPr>
          <w:rFonts w:hint="eastAsia" w:eastAsia="仿宋_GB2312"/>
          <w:sz w:val="32"/>
          <w:szCs w:val="32"/>
        </w:rPr>
        <w:t>4.08</w:t>
      </w:r>
      <w:r>
        <w:rPr>
          <w:rFonts w:eastAsia="仿宋_GB2312"/>
          <w:sz w:val="32"/>
          <w:szCs w:val="32"/>
        </w:rPr>
        <w:t>万元，完成预算100%，决算数等于预算数。</w:t>
      </w:r>
    </w:p>
    <w:p w14:paraId="712E5559">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6</w:t>
      </w:r>
      <w:r>
        <w:rPr>
          <w:rFonts w:eastAsia="仿宋_GB2312"/>
          <w:sz w:val="32"/>
          <w:szCs w:val="32"/>
        </w:rPr>
        <w:t>元，完成预算100%，决算数等于预算数。</w:t>
      </w:r>
    </w:p>
    <w:p w14:paraId="34B10614">
      <w:pPr>
        <w:tabs>
          <w:tab w:val="right" w:pos="8306"/>
        </w:tabs>
        <w:spacing w:line="600" w:lineRule="exact"/>
        <w:ind w:firstLine="640"/>
        <w:outlineLvl w:val="1"/>
        <w:rPr>
          <w:rStyle w:val="32"/>
        </w:rPr>
      </w:pPr>
      <w:bookmarkStart w:id="87" w:name="_Toc15396608"/>
      <w:bookmarkStart w:id="88" w:name="_Toc28462_WPSOffice_Level2"/>
      <w:bookmarkStart w:id="8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87"/>
      <w:bookmarkEnd w:id="88"/>
      <w:bookmarkEnd w:id="89"/>
      <w:r>
        <w:rPr>
          <w:rStyle w:val="32"/>
          <w:rFonts w:ascii="黑体" w:hAnsi="黑体" w:eastAsia="黑体"/>
          <w:b w:val="0"/>
        </w:rPr>
        <w:tab/>
      </w:r>
    </w:p>
    <w:p w14:paraId="48DF8DB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21年一般公共预算财政拨款基本支出912.83万元，其中：</w:t>
      </w:r>
    </w:p>
    <w:p w14:paraId="7A007FFE">
      <w:pPr>
        <w:spacing w:line="600" w:lineRule="exact"/>
        <w:ind w:firstLine="645"/>
        <w:rPr>
          <w:rFonts w:ascii="仿宋" w:hAnsi="仿宋" w:eastAsia="仿宋"/>
          <w:sz w:val="32"/>
          <w:szCs w:val="32"/>
        </w:rPr>
      </w:pPr>
      <w:r>
        <w:rPr>
          <w:rFonts w:hint="eastAsia" w:ascii="仿宋" w:hAnsi="仿宋" w:eastAsia="仿宋"/>
          <w:sz w:val="32"/>
          <w:szCs w:val="32"/>
        </w:rPr>
        <w:t>人员经费821.05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91.78万元，主要包括：办公费、印刷费、手续费、水费、电费、邮电费、差旅费、维修（护）费、租赁费、会议费、培训费、公务接待费、劳务费、工会经费、福利费、公务用车运行维护费、其他交通费、其他商品和服务支出等。</w:t>
      </w:r>
    </w:p>
    <w:p w14:paraId="4B0DBB7D">
      <w:pPr>
        <w:spacing w:line="600" w:lineRule="exact"/>
        <w:ind w:firstLine="640"/>
        <w:outlineLvl w:val="1"/>
        <w:rPr>
          <w:rStyle w:val="32"/>
          <w:rFonts w:ascii="黑体" w:hAnsi="黑体" w:eastAsia="黑体"/>
          <w:b w:val="0"/>
        </w:rPr>
      </w:pPr>
      <w:bookmarkStart w:id="90" w:name="_Toc18821_WPSOffice_Level2"/>
      <w:bookmarkStart w:id="91" w:name="_Toc15377215"/>
      <w:bookmarkStart w:id="92" w:name="_Toc15396609"/>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90"/>
      <w:bookmarkEnd w:id="91"/>
      <w:bookmarkEnd w:id="92"/>
    </w:p>
    <w:p w14:paraId="5C8462F4">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14:paraId="0BC84A6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21年“三公”经费财政拨款支出决算为12.73万元，完成预算100</w:t>
      </w:r>
      <w:r>
        <w:rPr>
          <w:rFonts w:ascii="仿宋" w:hAnsi="仿宋" w:eastAsia="仿宋"/>
          <w:sz w:val="32"/>
          <w:szCs w:val="32"/>
        </w:rPr>
        <w:t>%</w:t>
      </w:r>
      <w:r>
        <w:rPr>
          <w:rFonts w:hint="eastAsia" w:ascii="仿宋" w:hAnsi="仿宋" w:eastAsia="仿宋"/>
          <w:sz w:val="32"/>
          <w:szCs w:val="32"/>
        </w:rPr>
        <w:t>，决算数与预算数持平。</w:t>
      </w:r>
    </w:p>
    <w:p w14:paraId="623A9973">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14:paraId="7915DAA6">
      <w:pPr>
        <w:spacing w:line="600" w:lineRule="exact"/>
        <w:ind w:firstLine="640"/>
        <w:rPr>
          <w:rFonts w:ascii="仿宋_GB2312" w:eastAsia="仿宋_GB2312"/>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；公务用车购置及运行维护费支出决算11.83万元，占93</w:t>
      </w:r>
      <w:r>
        <w:rPr>
          <w:rFonts w:ascii="仿宋" w:hAnsi="仿宋" w:eastAsia="仿宋"/>
          <w:sz w:val="32"/>
          <w:szCs w:val="32"/>
        </w:rPr>
        <w:t>%</w:t>
      </w:r>
      <w:r>
        <w:rPr>
          <w:rFonts w:hint="eastAsia" w:ascii="仿宋" w:hAnsi="仿宋" w:eastAsia="仿宋"/>
          <w:sz w:val="32"/>
          <w:szCs w:val="32"/>
        </w:rPr>
        <w:t>；公务接待费支出决算0.9万元，占7</w:t>
      </w:r>
      <w:r>
        <w:rPr>
          <w:rFonts w:ascii="仿宋" w:hAnsi="仿宋" w:eastAsia="仿宋"/>
          <w:sz w:val="32"/>
          <w:szCs w:val="32"/>
        </w:rPr>
        <w:t>%</w:t>
      </w:r>
      <w:r>
        <w:rPr>
          <w:rFonts w:hint="eastAsia" w:ascii="仿宋" w:hAnsi="仿宋" w:eastAsia="仿宋"/>
          <w:sz w:val="32"/>
          <w:szCs w:val="32"/>
        </w:rPr>
        <w:t>。具体情况如下：</w:t>
      </w:r>
    </w:p>
    <w:p w14:paraId="4F8E23A2">
      <w:pPr>
        <w:pStyle w:val="7"/>
      </w:pPr>
      <w:r>
        <w:drawing>
          <wp:inline distT="0" distB="0" distL="114300" distR="114300">
            <wp:extent cx="5268595" cy="2740660"/>
            <wp:effectExtent l="4445" t="4445" r="22860" b="17145"/>
            <wp:docPr id="317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B2E236">
      <w:pPr>
        <w:spacing w:line="600" w:lineRule="exact"/>
        <w:ind w:firstLine="640"/>
        <w:rPr>
          <w:rFonts w:ascii="仿宋_GB2312" w:eastAsia="仿宋_GB2312"/>
          <w:b/>
          <w:bCs/>
          <w:color w:val="000000"/>
          <w:sz w:val="32"/>
          <w:szCs w:val="32"/>
        </w:rPr>
      </w:pPr>
      <w:bookmarkStart w:id="95" w:name="_Toc15396610"/>
      <w:bookmarkStart w:id="96" w:name="_Toc15377218"/>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人。因公出国（境）支出决算比2020年无增减变动。主要原因是我单位2021年无因公出国（境）支出。</w:t>
      </w:r>
    </w:p>
    <w:p w14:paraId="0A0E69CE">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开支内容包括：（团组名称、出访地点、取得成效）</w:t>
      </w:r>
    </w:p>
    <w:p w14:paraId="1B2D1D00">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rPr>
        <w:t>11.83万元</w:t>
      </w:r>
      <w:r>
        <w:rPr>
          <w:rFonts w:ascii="仿宋_GB2312" w:eastAsia="仿宋_GB2312" w:cs="仿宋_GB2312"/>
          <w:color w:val="000000"/>
          <w:sz w:val="32"/>
          <w:szCs w:val="32"/>
        </w:rPr>
        <w:t>,</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公务用车购置及运行维护费支出决算比2020年减少11.71万元，下降4.97%。主要原因是单位2021年无购置车辆，费用都为车辆运行维护费用。</w:t>
      </w:r>
    </w:p>
    <w:p w14:paraId="6952F575">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0万元。全年按规定更新购置公务用车0辆，金额0万元。截至2021年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辆、执法执勤用车3辆。</w:t>
      </w:r>
    </w:p>
    <w:p w14:paraId="618C8959">
      <w:pPr>
        <w:spacing w:line="600" w:lineRule="exact"/>
        <w:ind w:firstLine="640"/>
        <w:rPr>
          <w:rFonts w:ascii="仿宋_GB2312" w:eastAsia="仿宋_GB2312"/>
          <w:sz w:val="32"/>
          <w:szCs w:val="32"/>
        </w:rPr>
      </w:pP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rPr>
        <w:t>11.83万元。主要</w:t>
      </w:r>
      <w:r>
        <w:rPr>
          <w:rFonts w:hint="eastAsia" w:ascii="仿宋_GB2312" w:eastAsia="仿宋_GB2312" w:cs="仿宋_GB2312"/>
          <w:sz w:val="32"/>
          <w:szCs w:val="32"/>
        </w:rPr>
        <w:t>用于各股室下乡出差等所需的公务用车燃料费、过路过桥费，单位车辆全年所需的维修费、保险费支出</w:t>
      </w:r>
    </w:p>
    <w:p w14:paraId="008DA1C0">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0.9万元，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公务接待费支出决算比2020年增加0.25万元，增长3.85</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。主要原因是经费支出增加。其中：</w:t>
      </w:r>
    </w:p>
    <w:p w14:paraId="4FC700EB">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0.90</w:t>
      </w:r>
      <w:r>
        <w:rPr>
          <w:rFonts w:hint="eastAsia" w:ascii="仿宋_GB2312" w:eastAsia="仿宋_GB2312" w:cs="仿宋_GB2312"/>
          <w:color w:val="000000"/>
          <w:sz w:val="32"/>
          <w:szCs w:val="32"/>
        </w:rPr>
        <w:t>万元，主要用于执行公务、开展业务活动开支的交通费、住宿费、用餐费等。国内公务接待25批次，120人次（不包括陪同人员），共计支出0.90万元，具体内容包括上级单位到我单位检查工作接待支出。</w:t>
      </w:r>
    </w:p>
    <w:p w14:paraId="224ECF3F">
      <w:pPr>
        <w:spacing w:line="600" w:lineRule="exact"/>
        <w:ind w:firstLine="640"/>
        <w:rPr>
          <w:rFonts w:ascii="黑体" w:eastAsia="黑体"/>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14:paraId="18C2769E">
      <w:pPr>
        <w:spacing w:line="600" w:lineRule="exact"/>
        <w:ind w:firstLine="640"/>
        <w:outlineLvl w:val="1"/>
        <w:rPr>
          <w:rStyle w:val="32"/>
          <w:rFonts w:ascii="黑体" w:hAnsi="黑体" w:eastAsia="黑体"/>
        </w:rPr>
      </w:pPr>
      <w:bookmarkStart w:id="97" w:name="_Toc1546_WPSOffice_Level2"/>
      <w:r>
        <w:rPr>
          <w:rFonts w:hint="eastAsia" w:ascii="黑体" w:eastAsia="黑体"/>
          <w:sz w:val="32"/>
          <w:szCs w:val="32"/>
        </w:rPr>
        <w:t>八、</w:t>
      </w:r>
      <w:r>
        <w:rPr>
          <w:rStyle w:val="32"/>
          <w:rFonts w:hint="eastAsia" w:ascii="黑体" w:hAnsi="黑体" w:eastAsia="黑体"/>
          <w:b w:val="0"/>
        </w:rPr>
        <w:t>政府性基金预算支出决算情况说明</w:t>
      </w:r>
      <w:bookmarkEnd w:id="95"/>
      <w:bookmarkEnd w:id="96"/>
      <w:bookmarkEnd w:id="97"/>
    </w:p>
    <w:p w14:paraId="314EEEA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79A9B9E7">
      <w:pPr>
        <w:numPr>
          <w:ilvl w:val="0"/>
          <w:numId w:val="2"/>
        </w:numPr>
        <w:spacing w:line="600" w:lineRule="exact"/>
        <w:ind w:firstLine="640"/>
        <w:outlineLvl w:val="1"/>
        <w:rPr>
          <w:rStyle w:val="32"/>
          <w:rFonts w:ascii="黑体" w:hAnsi="黑体" w:eastAsia="黑体"/>
          <w:b w:val="0"/>
        </w:rPr>
      </w:pPr>
      <w:bookmarkStart w:id="98" w:name="_Toc15377219"/>
      <w:bookmarkStart w:id="99" w:name="_Toc15396611"/>
      <w:bookmarkStart w:id="100" w:name="_Toc13586_WPSOffice_Level2"/>
      <w:r>
        <w:rPr>
          <w:rStyle w:val="32"/>
          <w:rFonts w:hint="eastAsia" w:ascii="黑体" w:hAnsi="黑体" w:eastAsia="黑体"/>
          <w:b w:val="0"/>
        </w:rPr>
        <w:t>国有资本经营预算支出决算情况说明</w:t>
      </w:r>
      <w:bookmarkEnd w:id="98"/>
      <w:bookmarkEnd w:id="99"/>
      <w:bookmarkEnd w:id="100"/>
    </w:p>
    <w:p w14:paraId="396D83F6">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64C79A3">
      <w:pPr>
        <w:numPr>
          <w:ilvl w:val="0"/>
          <w:numId w:val="2"/>
        </w:numPr>
        <w:spacing w:line="600" w:lineRule="exact"/>
        <w:ind w:firstLine="640"/>
        <w:outlineLvl w:val="1"/>
        <w:rPr>
          <w:rStyle w:val="32"/>
          <w:rFonts w:ascii="黑体" w:hAnsi="黑体" w:eastAsia="黑体"/>
          <w:b w:val="0"/>
        </w:rPr>
      </w:pPr>
      <w:bookmarkStart w:id="101" w:name="_Toc25762_WPSOffice_Level2"/>
      <w:bookmarkStart w:id="102" w:name="_Toc15377221"/>
      <w:bookmarkStart w:id="103" w:name="_Toc15396612"/>
      <w:r>
        <w:rPr>
          <w:rStyle w:val="32"/>
          <w:rFonts w:hint="eastAsia" w:ascii="黑体" w:hAnsi="黑体" w:eastAsia="黑体"/>
          <w:b w:val="0"/>
        </w:rPr>
        <w:t>其他重要事项的情况说明</w:t>
      </w:r>
      <w:bookmarkEnd w:id="101"/>
      <w:bookmarkEnd w:id="102"/>
      <w:bookmarkEnd w:id="103"/>
    </w:p>
    <w:p w14:paraId="29BC3867">
      <w:pPr>
        <w:spacing w:line="600" w:lineRule="exact"/>
        <w:ind w:firstLine="643" w:firstLineChars="200"/>
        <w:outlineLvl w:val="2"/>
        <w:rPr>
          <w:rFonts w:ascii="仿宋" w:hAnsi="仿宋" w:eastAsia="仿宋"/>
          <w:sz w:val="32"/>
          <w:szCs w:val="32"/>
        </w:rPr>
      </w:pPr>
      <w:bookmarkStart w:id="104" w:name="_Toc15377222"/>
      <w:r>
        <w:rPr>
          <w:rFonts w:hint="eastAsia" w:ascii="仿宋" w:hAnsi="仿宋" w:eastAsia="仿宋"/>
          <w:b/>
          <w:sz w:val="32"/>
          <w:szCs w:val="32"/>
        </w:rPr>
        <w:t>（一）机关运行经费支出情况</w:t>
      </w:r>
      <w:bookmarkEnd w:id="104"/>
    </w:p>
    <w:p w14:paraId="3A5DBB13">
      <w:pPr>
        <w:spacing w:line="600" w:lineRule="exact"/>
        <w:ind w:firstLine="640" w:firstLineChars="200"/>
        <w:rPr>
          <w:rFonts w:ascii="仿宋" w:hAnsi="仿宋" w:eastAsia="仿宋"/>
          <w:b/>
          <w:sz w:val="32"/>
          <w:szCs w:val="32"/>
        </w:rPr>
      </w:pPr>
      <w:r>
        <w:rPr>
          <w:rFonts w:hint="eastAsia" w:ascii="仿宋_GB2312" w:eastAsia="仿宋_GB2312" w:cs="仿宋_GB2312"/>
          <w:color w:val="000000"/>
          <w:sz w:val="32"/>
          <w:szCs w:val="32"/>
        </w:rPr>
        <w:t>2021年，司法局机关运行经费支出91.78万元，比2019年增加11.44万元，增长12.46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。主要原因是节约经费支出。</w:t>
      </w:r>
    </w:p>
    <w:p w14:paraId="719AFD1E">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5" w:name="_Toc15377223"/>
      <w:r>
        <w:rPr>
          <w:rFonts w:hint="eastAsia" w:ascii="仿宋" w:hAnsi="仿宋" w:eastAsia="仿宋"/>
          <w:b/>
          <w:sz w:val="32"/>
          <w:szCs w:val="32"/>
        </w:rPr>
        <w:t>（二）政府采购支出情况</w:t>
      </w:r>
      <w:bookmarkEnd w:id="105"/>
    </w:p>
    <w:p w14:paraId="2DBF1761">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s="仿宋_GB2312"/>
          <w:color w:val="000000"/>
          <w:sz w:val="32"/>
          <w:szCs w:val="32"/>
        </w:rPr>
        <w:t>司法局政府采购支出总额11.49万元，其中：政府采购货物支出11.49万元、政府采购工程支出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万元。主要用于办公设备购置。授予中小企业合同金额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 xml:space="preserve">，其中：   </w:t>
      </w:r>
    </w:p>
    <w:p w14:paraId="70F71301">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6" w:name="_Toc15377224"/>
      <w:r>
        <w:rPr>
          <w:rFonts w:hint="eastAsia" w:ascii="仿宋" w:hAnsi="仿宋" w:eastAsia="仿宋"/>
          <w:b/>
          <w:sz w:val="32"/>
          <w:szCs w:val="32"/>
        </w:rPr>
        <w:t>（三）国有资产占有使用情况</w:t>
      </w:r>
      <w:bookmarkEnd w:id="106"/>
    </w:p>
    <w:p w14:paraId="144B055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s="仿宋_GB2312"/>
          <w:color w:val="000000"/>
          <w:sz w:val="32"/>
          <w:szCs w:val="32"/>
        </w:rPr>
        <w:t>司法局共有车辆3辆，其中：主要领导干部用车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辆、一般执法执勤用车3辆、其他用车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14:paraId="5A25BB3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AFC8B5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根据预算绩效管理要求，本部门在2021年度预算编制阶段，组织对中央转移支付办案业务费”“全县政法队伍教育整顿工作经费”“人民调解专项经费”“普法工作相关经费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上争取资金奖励金”等22个项目开展了预算事前绩效评估，对4个项目编制了绩效目标，预算执行过程中，选取4个项目开展绩效监控，年终执行完毕后，对4个项目开展了绩效自评。同时，本部门对2021年部门整体开展绩效自评，《2021年盐边县司法局部门整体绩效评价报告》见附件（第四部分）。</w:t>
      </w:r>
    </w:p>
    <w:p w14:paraId="653557A4">
      <w:pPr>
        <w:widowControl/>
        <w:jc w:val="left"/>
        <w:rPr>
          <w:rFonts w:ascii="仿宋_GB2312" w:eastAsia="仿宋_GB2312"/>
          <w:b/>
          <w:sz w:val="32"/>
          <w:szCs w:val="32"/>
        </w:rPr>
      </w:pPr>
      <w:r>
        <w:rPr>
          <w:rFonts w:ascii="仿宋_GB2312" w:eastAsia="仿宋_GB2312"/>
          <w:b/>
          <w:sz w:val="32"/>
          <w:szCs w:val="32"/>
        </w:rPr>
        <w:br w:type="page"/>
      </w:r>
    </w:p>
    <w:p w14:paraId="42E87B97">
      <w:pPr>
        <w:numPr>
          <w:ilvl w:val="0"/>
          <w:numId w:val="3"/>
        </w:numPr>
        <w:spacing w:line="600" w:lineRule="exact"/>
        <w:ind w:firstLine="660" w:firstLineChars="150"/>
        <w:jc w:val="center"/>
        <w:outlineLvl w:val="0"/>
        <w:rPr>
          <w:rStyle w:val="37"/>
          <w:rFonts w:ascii="黑体" w:hAnsi="黑体" w:eastAsia="黑体"/>
          <w:b w:val="0"/>
          <w:bCs w:val="0"/>
        </w:rPr>
      </w:pPr>
      <w:bookmarkStart w:id="107" w:name="_Toc15377225"/>
      <w:bookmarkStart w:id="108" w:name="_Toc52180096"/>
      <w:bookmarkStart w:id="109" w:name="_Toc15396613"/>
      <w:bookmarkStart w:id="110" w:name="_Toc20898_WPSOffice_Level1"/>
      <w:bookmarkStart w:id="111" w:name="_Toc15377226"/>
      <w:r>
        <w:rPr>
          <w:rFonts w:hint="eastAsia" w:ascii="黑体" w:hAnsi="黑体" w:eastAsia="黑体" w:cs="黑体"/>
          <w:color w:val="000000"/>
          <w:sz w:val="44"/>
          <w:szCs w:val="44"/>
        </w:rPr>
        <w:t>名</w:t>
      </w:r>
      <w:r>
        <w:rPr>
          <w:rStyle w:val="37"/>
          <w:rFonts w:hint="eastAsia" w:ascii="黑体" w:hAnsi="黑体" w:eastAsia="黑体" w:cs="黑体"/>
          <w:b w:val="0"/>
          <w:bCs w:val="0"/>
        </w:rPr>
        <w:t>词解释</w:t>
      </w:r>
      <w:bookmarkEnd w:id="107"/>
      <w:bookmarkEnd w:id="108"/>
      <w:bookmarkEnd w:id="109"/>
      <w:bookmarkEnd w:id="110"/>
    </w:p>
    <w:p w14:paraId="5694488E">
      <w:pPr>
        <w:spacing w:line="600" w:lineRule="exact"/>
        <w:jc w:val="left"/>
        <w:rPr>
          <w:rFonts w:ascii="宋体"/>
          <w:b/>
          <w:bCs/>
          <w:color w:val="000000"/>
          <w:sz w:val="44"/>
          <w:szCs w:val="44"/>
        </w:rPr>
      </w:pPr>
    </w:p>
    <w:p w14:paraId="7C5BAE34">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14:paraId="321BF0D1">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14:paraId="782D496D">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14:paraId="45A52A74">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14:paraId="7CB9C223">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F17AC0C">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4E512017">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14:paraId="768DDF0A">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68637610">
      <w:pPr>
        <w:spacing w:line="600" w:lineRule="exact"/>
        <w:ind w:firstLine="640" w:firstLineChars="200"/>
        <w:outlineLvl w:val="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9.公共安全支出（类）司法（款）</w:t>
      </w:r>
    </w:p>
    <w:p w14:paraId="43A3873B">
      <w:pPr>
        <w:widowControl/>
        <w:shd w:val="clear" w:color="auto" w:fill="FFFFFF"/>
        <w:spacing w:line="600" w:lineRule="atLeast"/>
        <w:ind w:firstLine="640" w:firstLineChars="200"/>
        <w:jc w:val="left"/>
        <w:rPr>
          <w:rFonts w:ascii="仿宋_GB2312" w:hAnsi="宋体" w:eastAsia="仿宋_GB2312" w:cs="宋体"/>
          <w:color w:val="333333"/>
          <w:kern w:val="0"/>
          <w:sz w:val="32"/>
          <w:szCs w:val="32"/>
        </w:rPr>
      </w:pPr>
      <w:r>
        <w:rPr>
          <w:rStyle w:val="20"/>
          <w:rFonts w:hint="eastAsia" w:ascii="仿宋_GB2312" w:eastAsia="仿宋_GB2312"/>
          <w:b w:val="0"/>
          <w:color w:val="000000"/>
          <w:sz w:val="32"/>
          <w:szCs w:val="32"/>
        </w:rPr>
        <w:t xml:space="preserve">①、行政运行: </w:t>
      </w:r>
      <w:r>
        <w:rPr>
          <w:rFonts w:hint="eastAsia" w:ascii="仿宋_GB2312" w:hAnsi="宋体" w:eastAsia="仿宋_GB2312" w:cs="宋体"/>
          <w:color w:val="000000"/>
          <w:kern w:val="0"/>
          <w:sz w:val="32"/>
          <w:szCs w:val="32"/>
        </w:rPr>
        <w:t>指行政单位（包括实行公务员管理的事业单位）的基本支出。</w:t>
      </w:r>
    </w:p>
    <w:p w14:paraId="3A14EA7C">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②、一般行政管理事务：指行政单位（包括实行公务员管理的事业单位）未单独设置项级科目的其他项目支出。</w:t>
      </w:r>
    </w:p>
    <w:p w14:paraId="2801C8CD">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③、公共法律服务：指司法行政部门用于法律援助、司法鉴定、公证、仲裁等公共法律服务工作的相关支出。</w:t>
      </w:r>
    </w:p>
    <w:p w14:paraId="6E93485D">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④、基层司法业务：指各级司法行政部门用于基层业务的支出，包括基层工作指导费、调解费、安置帮教费、司法所经费和公共法律服务平台相关支出、人民陪审员选任管理费用、人民监督员选任管理费用支出。</w:t>
      </w:r>
    </w:p>
    <w:p w14:paraId="2221743A">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⑤、其他司法支出：反映除上述项目以外其他用于司法方面的支出。</w:t>
      </w:r>
    </w:p>
    <w:p w14:paraId="0EABAA2C">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⑥、社区矫正：指各级司法行政部门用于社区的支出。</w:t>
      </w:r>
    </w:p>
    <w:p w14:paraId="57331013">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⑦、法制建设：指各级政府用于法制建设方面的支出。</w:t>
      </w:r>
    </w:p>
    <w:p w14:paraId="3F3BA2FA">
      <w:pPr>
        <w:pStyle w:val="7"/>
        <w:ind w:firstLine="640"/>
        <w:rPr>
          <w:rStyle w:val="20"/>
          <w:rFonts w:ascii="仿宋_GB2312" w:eastAsia="仿宋_GB2312"/>
          <w:b w:val="0"/>
          <w:color w:val="000000"/>
          <w:sz w:val="32"/>
          <w:szCs w:val="32"/>
        </w:rPr>
      </w:pPr>
      <w:r>
        <w:rPr>
          <w:rStyle w:val="20"/>
          <w:rFonts w:hint="eastAsia" w:ascii="宋体" w:hAnsi="宋体" w:cs="宋体"/>
          <w:b w:val="0"/>
          <w:color w:val="000000"/>
          <w:sz w:val="32"/>
          <w:szCs w:val="32"/>
        </w:rPr>
        <w:t>⑧</w:t>
      </w:r>
      <w:r>
        <w:rPr>
          <w:rStyle w:val="20"/>
          <w:rFonts w:hint="eastAsia" w:ascii="仿宋_GB2312" w:eastAsia="仿宋_GB2312"/>
          <w:b w:val="0"/>
          <w:color w:val="000000"/>
          <w:sz w:val="32"/>
          <w:szCs w:val="32"/>
        </w:rPr>
        <w:t>、普法宣传：指各级司法行政部门用于组织各种媒体的宣传、普法装备与设施、宣传资料、对外宣传、法制作品的审读评审等方面的支出。</w:t>
      </w:r>
    </w:p>
    <w:p w14:paraId="783070E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⑨、律师管理：指司法行政部门用于律师管理和法律顾问的相关支出。</w:t>
      </w:r>
    </w:p>
    <w:p w14:paraId="0D34A004">
      <w:pPr>
        <w:spacing w:line="600" w:lineRule="exact"/>
        <w:ind w:firstLine="640" w:firstLineChars="200"/>
      </w:pPr>
      <w:r>
        <w:rPr>
          <w:rStyle w:val="20"/>
          <w:rFonts w:hint="eastAsia" w:ascii="仿宋_GB2312" w:eastAsia="仿宋_GB2312"/>
          <w:b w:val="0"/>
          <w:color w:val="000000"/>
          <w:sz w:val="32"/>
          <w:szCs w:val="32"/>
        </w:rPr>
        <w:t>10.公共安全支出（类）其他公共安全支出（款）其他公共安全支出（项）：反映除上述项目以外其他用于公共安全支出方面的支出。</w:t>
      </w:r>
    </w:p>
    <w:p w14:paraId="262A6888">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 xml:space="preserve">11.社会保障和就业（类）行政事业单位离退休（款）  </w:t>
      </w:r>
    </w:p>
    <w:p w14:paraId="4579F15E">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①、行政单位离退休: 指行政单位（包括实行公务员管理的事业单位）开支的离退休支出。</w:t>
      </w:r>
    </w:p>
    <w:p w14:paraId="3916D050">
      <w:pPr>
        <w:spacing w:line="600" w:lineRule="exact"/>
        <w:ind w:firstLine="640" w:firstLineChars="200"/>
        <w:rPr>
          <w:rStyle w:val="20"/>
          <w:rFonts w:ascii="仿宋_GB2312" w:eastAsia="仿宋_GB2312"/>
          <w:b w:val="0"/>
          <w:color w:val="000000"/>
          <w:sz w:val="32"/>
          <w:szCs w:val="32"/>
        </w:rPr>
      </w:pPr>
      <w:r>
        <w:rPr>
          <w:rFonts w:hint="eastAsia" w:ascii="仿宋_GB2312" w:eastAsia="仿宋_GB2312"/>
          <w:color w:val="000000"/>
          <w:sz w:val="32"/>
          <w:szCs w:val="32"/>
        </w:rPr>
        <w:t>②、机关事业单位基本养老保险缴费支出：</w:t>
      </w:r>
      <w:r>
        <w:rPr>
          <w:rStyle w:val="20"/>
          <w:rFonts w:hint="eastAsia" w:ascii="仿宋_GB2312" w:eastAsia="仿宋_GB2312"/>
          <w:b w:val="0"/>
          <w:color w:val="000000"/>
          <w:sz w:val="32"/>
          <w:szCs w:val="32"/>
        </w:rPr>
        <w:t>指机关事业单位实施养老保险制度有单位缴纳的基本养老保险费支出。</w:t>
      </w:r>
    </w:p>
    <w:p w14:paraId="02D37126">
      <w:pPr>
        <w:pStyle w:val="7"/>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w:t>
      </w:r>
      <w:r>
        <w:rPr>
          <w:rFonts w:hint="eastAsia" w:ascii="仿宋_GB2312" w:eastAsia="仿宋_GB2312"/>
          <w:color w:val="000000"/>
          <w:sz w:val="32"/>
          <w:szCs w:val="32"/>
        </w:rPr>
        <w:t>机关事业单位职业年金缴费支出：指机关事业单位实施养老保险制度由单位实际缴纳的职业年金。</w:t>
      </w:r>
    </w:p>
    <w:p w14:paraId="194CF723">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12、住房保障支出（类）住房改革支出（款）住房公积金（项）：指行政事业单位按人力资源和社会保障部、财政部规定的基本工资和津贴补贴以及规定比例为职工缴纳的住房公积金。</w:t>
      </w:r>
    </w:p>
    <w:p w14:paraId="49415039">
      <w:pPr>
        <w:pStyle w:val="7"/>
        <w:spacing w:line="560" w:lineRule="exact"/>
        <w:ind w:firstLine="640" w:firstLineChars="200"/>
        <w:rPr>
          <w:rFonts w:eastAsia="仿宋_GB2312"/>
          <w:bCs/>
          <w:sz w:val="32"/>
          <w:szCs w:val="32"/>
        </w:rPr>
      </w:pPr>
      <w:r>
        <w:rPr>
          <w:rFonts w:eastAsia="仿宋_GB2312"/>
          <w:bCs/>
          <w:sz w:val="32"/>
          <w:szCs w:val="32"/>
        </w:rPr>
        <w:t>13.卫生健康支出（类）</w:t>
      </w:r>
      <w:r>
        <w:rPr>
          <w:rFonts w:hint="eastAsia" w:eastAsia="仿宋_GB2312"/>
          <w:bCs/>
          <w:sz w:val="32"/>
          <w:szCs w:val="32"/>
        </w:rPr>
        <w:t>行政事业单位医疗</w:t>
      </w:r>
      <w:r>
        <w:rPr>
          <w:rFonts w:eastAsia="仿宋_GB2312"/>
          <w:bCs/>
          <w:sz w:val="32"/>
          <w:szCs w:val="32"/>
        </w:rPr>
        <w:t>（款）</w:t>
      </w:r>
    </w:p>
    <w:p w14:paraId="1AF96007">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14:paraId="408C48FD">
      <w:r>
        <w:rPr>
          <w:rFonts w:hint="eastAsia" w:eastAsia="仿宋_GB2312"/>
          <w:bCs/>
          <w:sz w:val="32"/>
          <w:szCs w:val="32"/>
        </w:rPr>
        <w:sym w:font="Wingdings" w:char="F082"/>
      </w:r>
      <w:r>
        <w:rPr>
          <w:rFonts w:hint="eastAsia"/>
          <w:bCs/>
          <w:sz w:val="32"/>
          <w:szCs w:val="32"/>
        </w:rPr>
        <w:t>公务员医疗补助：指财政部门安排的公务员医疗补助经费</w:t>
      </w:r>
    </w:p>
    <w:p w14:paraId="56ECE30F">
      <w:pPr>
        <w:ind w:firstLine="640" w:firstLineChars="200"/>
      </w:pPr>
      <w:r>
        <w:rPr>
          <w:rFonts w:hint="eastAsia" w:ascii="仿宋_GB2312" w:hAnsi="Calibri" w:eastAsia="仿宋_GB2312" w:cs="仿宋"/>
          <w:color w:val="000000"/>
          <w:kern w:val="0"/>
          <w:sz w:val="32"/>
          <w:szCs w:val="32"/>
        </w:rPr>
        <w:t>14、其他支出（类）其他支出（款）其他支出（项）：指除上述项目以外其他不能划分到具体功能科目中的支出项目。</w:t>
      </w:r>
    </w:p>
    <w:p w14:paraId="42865929">
      <w:pPr>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14:paraId="346FB4A8">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16.项目支出：指在基本支出之外为完成特定行政任务和事业发展目标所发生的支出。 </w:t>
      </w:r>
    </w:p>
    <w:p w14:paraId="38481D68">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5A3AB29A">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BAC0868">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E32FD2">
      <w:pPr>
        <w:spacing w:line="600" w:lineRule="exact"/>
        <w:jc w:val="center"/>
        <w:outlineLvl w:val="0"/>
        <w:rPr>
          <w:rStyle w:val="31"/>
          <w:rFonts w:ascii="黑体" w:hAnsi="黑体" w:eastAsia="黑体"/>
          <w:b w:val="0"/>
        </w:rPr>
      </w:pPr>
      <w:r>
        <w:rPr>
          <w:rFonts w:ascii="宋体"/>
          <w:b/>
          <w:sz w:val="44"/>
          <w:szCs w:val="44"/>
        </w:rPr>
        <w:br w:type="page"/>
      </w:r>
      <w:bookmarkStart w:id="112" w:name="_Toc15396614"/>
      <w:bookmarkStart w:id="113" w:name="_Toc2060_WPSOffice_Level1"/>
      <w:r>
        <w:rPr>
          <w:rFonts w:hint="eastAsia" w:ascii="黑体" w:hAnsi="黑体" w:eastAsia="黑体"/>
          <w:sz w:val="44"/>
          <w:szCs w:val="44"/>
        </w:rPr>
        <w:t>第</w:t>
      </w:r>
      <w:r>
        <w:rPr>
          <w:rStyle w:val="31"/>
          <w:rFonts w:hint="eastAsia" w:ascii="黑体" w:hAnsi="黑体" w:eastAsia="黑体"/>
          <w:b w:val="0"/>
        </w:rPr>
        <w:t>四部分 附件</w:t>
      </w:r>
      <w:bookmarkEnd w:id="112"/>
      <w:bookmarkEnd w:id="113"/>
    </w:p>
    <w:p w14:paraId="5772E862">
      <w:pPr>
        <w:spacing w:line="560" w:lineRule="exact"/>
        <w:jc w:val="center"/>
        <w:rPr>
          <w:rFonts w:ascii="方正小标宋_GBK" w:hAnsi="方正小标宋_GBK" w:eastAsia="方正小标宋_GBK" w:cs="方正小标宋_GBK"/>
          <w:sz w:val="36"/>
          <w:szCs w:val="36"/>
        </w:rPr>
      </w:pPr>
      <w:bookmarkStart w:id="114" w:name="_Toc8362_WPSOffice_Level2"/>
      <w:r>
        <w:rPr>
          <w:rFonts w:hint="eastAsia" w:ascii="方正小标宋_GBK" w:hAnsi="方正小标宋_GBK" w:eastAsia="方正小标宋_GBK" w:cs="方正小标宋_GBK"/>
          <w:sz w:val="36"/>
          <w:szCs w:val="36"/>
        </w:rPr>
        <w:t>盐边县司法局</w:t>
      </w:r>
      <w:bookmarkEnd w:id="114"/>
    </w:p>
    <w:p w14:paraId="3FDA1536">
      <w:pPr>
        <w:spacing w:line="560" w:lineRule="exact"/>
        <w:jc w:val="center"/>
        <w:rPr>
          <w:rFonts w:ascii="方正小标宋_GBK" w:hAnsi="方正小标宋_GBK" w:eastAsia="方正小标宋_GBK" w:cs="方正小标宋_GBK"/>
          <w:sz w:val="36"/>
          <w:szCs w:val="36"/>
        </w:rPr>
      </w:pPr>
      <w:bookmarkStart w:id="115" w:name="_Toc19036_WPSOffice_Level2"/>
      <w:r>
        <w:rPr>
          <w:rFonts w:hint="eastAsia" w:ascii="方正小标宋_GBK" w:hAnsi="方正小标宋_GBK" w:eastAsia="方正小标宋_GBK" w:cs="方正小标宋_GBK"/>
          <w:sz w:val="36"/>
          <w:szCs w:val="36"/>
        </w:rPr>
        <w:t>2021年部门整体支出绩效评价报告</w:t>
      </w:r>
      <w:bookmarkEnd w:id="115"/>
    </w:p>
    <w:p w14:paraId="22E54BAC">
      <w:pPr>
        <w:widowControl/>
        <w:adjustRightInd w:val="0"/>
        <w:snapToGrid w:val="0"/>
        <w:spacing w:line="560" w:lineRule="exact"/>
        <w:ind w:firstLine="640"/>
        <w:jc w:val="left"/>
        <w:rPr>
          <w:rFonts w:ascii="方正仿宋_GBK" w:hAnsi="宋体" w:eastAsia="方正仿宋_GBK" w:cs="宋体"/>
          <w:color w:val="000000"/>
          <w:sz w:val="32"/>
          <w:szCs w:val="32"/>
        </w:rPr>
      </w:pPr>
    </w:p>
    <w:p w14:paraId="0584096E">
      <w:pPr>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为牢固树立预算绩效理念，进一步规范财政资金管理，提高资金使用效益及部门预算整体绩效目标管理水平，按照《盐边县财政局关于开展2021年度部门预算整体及项目支出绩效自评工作的通知》（盐边财绩〔2022〕3号）要求，结合我局的实际情况，通过自查收入支出情况、账表一致情况，对相关资料进行收集整理、分析汇总，现将县司法局2021年预算整体绩效评价结果报告如下。</w:t>
      </w:r>
    </w:p>
    <w:p w14:paraId="7D041200">
      <w:pPr>
        <w:spacing w:line="560" w:lineRule="exact"/>
        <w:jc w:val="left"/>
        <w:rPr>
          <w:rFonts w:ascii="仿宋_GB2312" w:hAnsi="仿宋_GB2312" w:eastAsia="仿宋_GB2312" w:cs="仿宋_GB2312"/>
          <w:b/>
          <w:color w:val="000000"/>
          <w:sz w:val="32"/>
          <w:szCs w:val="32"/>
        </w:rPr>
      </w:pPr>
      <w:bookmarkStart w:id="116" w:name="_Toc14866_WPSOffice_Level2"/>
      <w:r>
        <w:rPr>
          <w:rFonts w:hint="eastAsia" w:ascii="仿宋_GB2312" w:hAnsi="仿宋_GB2312" w:eastAsia="仿宋_GB2312" w:cs="仿宋_GB2312"/>
          <w:b/>
          <w:color w:val="000000"/>
          <w:sz w:val="32"/>
          <w:szCs w:val="32"/>
        </w:rPr>
        <w:t>一、部门概况</w:t>
      </w:r>
      <w:bookmarkEnd w:id="116"/>
    </w:p>
    <w:p w14:paraId="37547B3F">
      <w:pPr>
        <w:widowControl/>
        <w:adjustRightInd w:val="0"/>
        <w:snapToGrid w:val="0"/>
        <w:spacing w:line="560" w:lineRule="exact"/>
        <w:jc w:val="left"/>
        <w:rPr>
          <w:rFonts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机构组成。</w:t>
      </w:r>
    </w:p>
    <w:p w14:paraId="6BA9B225">
      <w:pPr>
        <w:widowControl/>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司法局内设9个股室，分别为：办公室、普法与法治指导股、法制综合股、社区矫正管理股、人民参与和促进法治股、公共法律服务管理股、政治部、组织干部人事股、机关党总支；司法局设置12个司法所，作为县司法局的派出机构，分别为盐边县司法局桐子林司法所、盐边县司法局红格司法所、盐边县司法局渔门司法所、盐边县司法局新九司法所、盐边县司法局红果司法所、盐边县司法局共和司法所、盐边县司法局永兴司法所、盐边县司法局红宝司法所、盐边县司法局国胜司法所、盐边县司法局惠民司法所、盐边县司法局温泉司法所、盐边县司法局格萨拉司法所。</w:t>
      </w:r>
    </w:p>
    <w:p w14:paraId="2B83C3A2">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color w:val="000000"/>
          <w:kern w:val="0"/>
          <w:sz w:val="32"/>
          <w:szCs w:val="32"/>
          <w:shd w:val="clear" w:color="auto" w:fill="FFFFFF"/>
          <w:lang w:val="zh-CN"/>
        </w:rPr>
        <w:t>（二）</w:t>
      </w:r>
      <w:r>
        <w:rPr>
          <w:rFonts w:hint="eastAsia" w:ascii="仿宋_GB2312" w:hAnsi="仿宋_GB2312" w:eastAsia="仿宋_GB2312" w:cs="仿宋_GB2312"/>
          <w:b/>
          <w:bCs/>
          <w:sz w:val="32"/>
          <w:szCs w:val="32"/>
          <w:lang w:val="zh-CN"/>
        </w:rPr>
        <w:t>机构职能。</w:t>
      </w:r>
    </w:p>
    <w:p w14:paraId="1C98E7DE">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1、贯彻执行国家关于司法行政工作的方针、政策和法律、法规及规章，制定全县司法行政规范性文件和工作发展规划、工作计划并组织实施。</w:t>
      </w:r>
    </w:p>
    <w:p w14:paraId="7B6D03A8">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2、拟定全县普及法律常识规划和法制宣传教育计划并组织实施，指导全县各行业的法制宣传和依法治理工作。</w:t>
      </w:r>
    </w:p>
    <w:p w14:paraId="0230BD54">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3、负责指导、管理和监督全县律师工作、公证工作、基层法律服务工作，负责行政处罚工作。</w:t>
      </w:r>
    </w:p>
    <w:p w14:paraId="7CF8F9B1">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4、组织实施法律援助工作。</w:t>
      </w:r>
    </w:p>
    <w:p w14:paraId="374D4B85">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5、指导全县人民调解工作和基层司法所工作。</w:t>
      </w:r>
    </w:p>
    <w:p w14:paraId="5160313C">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6、组织开展对非监禁刑罚执行对象的社区矫正工作；协助当地政府做好刑释解教人员的安置帮教工作。</w:t>
      </w:r>
    </w:p>
    <w:p w14:paraId="165D55BE">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7、组织开展全县司法行政系统队伍建设和思想政治工作。</w:t>
      </w:r>
    </w:p>
    <w:p w14:paraId="08570092">
      <w:pPr>
        <w:pStyle w:val="16"/>
        <w:shd w:val="clear" w:color="auto" w:fill="FFFFFF"/>
        <w:spacing w:before="0" w:beforeAutospacing="0" w:after="0" w:afterAutospacing="0" w:line="560" w:lineRule="exact"/>
        <w:ind w:firstLine="672"/>
        <w:jc w:val="both"/>
        <w:rPr>
          <w:rFonts w:ascii="仿宋_GB2312" w:hAnsi="仿宋_GB2312" w:cs="仿宋_GB2312"/>
          <w:bCs/>
          <w:sz w:val="32"/>
          <w:szCs w:val="32"/>
          <w:u w:val="single"/>
        </w:rPr>
      </w:pPr>
      <w:r>
        <w:rPr>
          <w:rFonts w:hint="eastAsia" w:ascii="仿宋_GB2312" w:hAnsi="仿宋_GB2312" w:cs="仿宋_GB2312"/>
          <w:color w:val="333333"/>
          <w:sz w:val="32"/>
          <w:szCs w:val="32"/>
        </w:rPr>
        <w:t>8、承办县政府交办的其他事项。</w:t>
      </w:r>
    </w:p>
    <w:p w14:paraId="375910DC">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（三）人员概况。</w:t>
      </w:r>
    </w:p>
    <w:p w14:paraId="1919EB20">
      <w:pPr>
        <w:pStyle w:val="7"/>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2021年末在职人员38人，其中行政在编人员34人，参照公务员管理人员4人。退休人员12人。</w:t>
      </w:r>
    </w:p>
    <w:p w14:paraId="337133B6">
      <w:pPr>
        <w:pStyle w:val="10"/>
        <w:numPr>
          <w:ilvl w:val="0"/>
          <w:numId w:val="4"/>
        </w:numPr>
        <w:spacing w:line="560" w:lineRule="exact"/>
        <w:ind w:firstLine="643" w:firstLineChars="200"/>
        <w:jc w:val="left"/>
        <w:rPr>
          <w:rFonts w:ascii="仿宋_GB2312" w:hAnsi="仿宋_GB2312" w:eastAsia="仿宋_GB2312" w:cs="仿宋_GB2312"/>
          <w:sz w:val="32"/>
          <w:szCs w:val="32"/>
        </w:rPr>
      </w:pPr>
      <w:bookmarkStart w:id="117" w:name="_Toc20986_WPSOffice_Level2"/>
      <w:r>
        <w:rPr>
          <w:rFonts w:hint="eastAsia" w:ascii="仿宋_GB2312" w:hAnsi="仿宋_GB2312" w:eastAsia="仿宋_GB2312" w:cs="仿宋_GB2312"/>
          <w:b/>
          <w:color w:val="000000"/>
          <w:sz w:val="32"/>
          <w:szCs w:val="32"/>
        </w:rPr>
        <w:t>部门财政资金基本情况</w:t>
      </w:r>
      <w:bookmarkEnd w:id="117"/>
    </w:p>
    <w:p w14:paraId="1B3D6AAC">
      <w:pPr>
        <w:pStyle w:val="10"/>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（一）部门财政资金收入情况</w:t>
      </w:r>
    </w:p>
    <w:p w14:paraId="371BB3CF">
      <w:pPr>
        <w:pStyle w:val="1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2021年年初部门预算安排收入为742.45万元。当年调增及调减后实际预算下达收入1070.13万元</w:t>
      </w:r>
      <w:r>
        <w:rPr>
          <w:rFonts w:hint="eastAsia" w:ascii="仿宋_GB2312" w:hAnsi="仿宋_GB2312" w:eastAsia="仿宋_GB2312" w:cs="仿宋_GB2312"/>
          <w:color w:val="000000"/>
          <w:sz w:val="32"/>
          <w:szCs w:val="32"/>
        </w:rPr>
        <w:t>。</w:t>
      </w:r>
    </w:p>
    <w:p w14:paraId="3C35BA88">
      <w:pPr>
        <w:pStyle w:val="10"/>
        <w:spacing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sz w:val="32"/>
          <w:szCs w:val="32"/>
        </w:rPr>
        <w:t>部门财政资金</w:t>
      </w:r>
      <w:r>
        <w:rPr>
          <w:rFonts w:hint="eastAsia" w:ascii="仿宋_GB2312" w:hAnsi="仿宋_GB2312" w:eastAsia="仿宋_GB2312" w:cs="仿宋_GB2312"/>
          <w:b/>
          <w:bCs/>
          <w:color w:val="000000"/>
          <w:sz w:val="32"/>
          <w:szCs w:val="32"/>
        </w:rPr>
        <w:t>支出情况</w:t>
      </w:r>
    </w:p>
    <w:p w14:paraId="4F8C245D">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1.部门预算基本支出情况</w:t>
      </w:r>
    </w:p>
    <w:p w14:paraId="6B65ED75">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2021年年初部门预算安排基本支出为681.87万元。其中：工资福利支出587.49万元，日常公用支出94.38万元。当年调增及调减后实际预算下达基本支出912.83万元。</w:t>
      </w:r>
    </w:p>
    <w:p w14:paraId="0A5B5B68">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647189DE">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2.部门预算项目安排及支出情况。</w:t>
      </w:r>
    </w:p>
    <w:p w14:paraId="34F5FF2A">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2021年年初部门预算安排项目支出为60.57万元；2021年调增及调减后实际预算下达项目支出210.05万元。</w:t>
      </w:r>
    </w:p>
    <w:p w14:paraId="0832067D">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项目支出主要用于法律援助、社区矫正、人民调解等方面支出。</w:t>
      </w:r>
    </w:p>
    <w:p w14:paraId="48245BB4">
      <w:pPr>
        <w:pStyle w:val="10"/>
        <w:numPr>
          <w:ilvl w:val="0"/>
          <w:numId w:val="5"/>
        </w:num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结转结余情况</w:t>
      </w:r>
    </w:p>
    <w:p w14:paraId="48DB30D7">
      <w:pPr>
        <w:pStyle w:val="10"/>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无结转结余。</w:t>
      </w:r>
    </w:p>
    <w:p w14:paraId="0DEAE727">
      <w:pPr>
        <w:pStyle w:val="10"/>
        <w:spacing w:line="560" w:lineRule="exact"/>
        <w:jc w:val="left"/>
        <w:rPr>
          <w:rFonts w:ascii="仿宋_GB2312" w:hAnsi="仿宋_GB2312" w:eastAsia="仿宋_GB2312" w:cs="仿宋_GB2312"/>
          <w:b/>
          <w:color w:val="000000"/>
          <w:sz w:val="32"/>
          <w:szCs w:val="32"/>
        </w:rPr>
      </w:pPr>
      <w:bookmarkStart w:id="118" w:name="_Toc3284_WPSOffice_Level2"/>
      <w:r>
        <w:rPr>
          <w:rFonts w:hint="eastAsia" w:ascii="仿宋_GB2312" w:hAnsi="仿宋_GB2312" w:eastAsia="仿宋_GB2312" w:cs="仿宋_GB2312"/>
          <w:sz w:val="32"/>
          <w:szCs w:val="32"/>
        </w:rPr>
        <w:t>三</w:t>
      </w:r>
      <w:r>
        <w:rPr>
          <w:rFonts w:hint="eastAsia" w:ascii="仿宋_GB2312" w:hAnsi="仿宋_GB2312" w:eastAsia="仿宋_GB2312" w:cs="仿宋_GB2312"/>
          <w:b/>
          <w:color w:val="000000"/>
          <w:sz w:val="32"/>
          <w:szCs w:val="32"/>
        </w:rPr>
        <w:t>、部门预算绩效管理情况</w:t>
      </w:r>
      <w:bookmarkEnd w:id="118"/>
    </w:p>
    <w:p w14:paraId="092B8E18">
      <w:pPr>
        <w:numPr>
          <w:ilvl w:val="0"/>
          <w:numId w:val="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部门预算绩效管理。</w:t>
      </w:r>
    </w:p>
    <w:p w14:paraId="000058E6">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1.绩效目标制定</w:t>
      </w:r>
    </w:p>
    <w:p w14:paraId="7D0ABA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盐边县司法局坚持以习近平新时代中国特色社会主义思想为指导，立足司法行政职能和盐边工作实际，围绕县委县政府中心工作，切实维护社会和谐稳定，保障和改善民生，促进经济健康发展，维护社会公平正义。</w:t>
      </w:r>
    </w:p>
    <w:p w14:paraId="0572B42D">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绩效目标执行情况</w:t>
      </w:r>
    </w:p>
    <w:p w14:paraId="5428405E">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盐边县司法局2021年度全年资金拨付和使用均按计划进度完成，在资金的使用上，严守法律底线、纪律底线，无违反财务管理、财经纪律情况发生，会计核算真实完整，项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5BE35709">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（1）人员类</w:t>
      </w:r>
    </w:p>
    <w:p w14:paraId="0888DC81">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2021年度人员经费支出821.05万元，主要用于职工工资及福利待遇支出，未将人员工资福利支出等大平台指标挪作他用，基本支出保障有力，确保全年平稳保障职工工资支出，维持基本行政运转，预算执行率100%。</w:t>
      </w:r>
    </w:p>
    <w:p w14:paraId="34E7EB19">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（2）运转类</w:t>
      </w:r>
    </w:p>
    <w:p w14:paraId="112E9ADE">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公用经费支出91.78万元，主要用于办公费、印刷费、水电费、差旅费、维修（护）费等日常公用经费，严格按照资金用途申报、使用资金，均已足额按时支付，有力保障了各项工作的顺利开展。预算执行率100%。</w:t>
      </w:r>
    </w:p>
    <w:p w14:paraId="20B21E7C">
      <w:pPr>
        <w:widowControl/>
        <w:adjustRightInd w:val="0"/>
        <w:snapToGrid w:val="0"/>
        <w:spacing w:line="560" w:lineRule="exact"/>
        <w:ind w:firstLine="643" w:firstLineChars="200"/>
        <w:contextualSpacing/>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（3）特定目标类</w:t>
      </w:r>
    </w:p>
    <w:p w14:paraId="0524B18E">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2021年项目支出210.05万元，有效保障了司法开展法律援助、人民调解、社区矫正等办案业务工作正常运行。预算执行率100%。</w:t>
      </w:r>
    </w:p>
    <w:p w14:paraId="717F356B">
      <w:pPr>
        <w:numPr>
          <w:ilvl w:val="0"/>
          <w:numId w:val="7"/>
        </w:num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绩效目标完成情况</w:t>
      </w:r>
    </w:p>
    <w:p w14:paraId="6E5B029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14:paraId="53BD4C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14:paraId="61B6DE8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14:paraId="4E0D5E0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14:paraId="6190CEE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14:paraId="203119C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14:paraId="5A0F2F3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14:paraId="54327F3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14:paraId="174E52E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14:paraId="1741BF0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14:paraId="084DA6F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14:paraId="22E82973">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14:paraId="1A8176F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14:paraId="6BF1F5C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14:paraId="6E9EE0A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扫黑除恶案件辩护代理工作的监督指导，规范律师办理黑恶势力犯罪案件执业行为。共开展专项排查84次，开展教育学习1500余人次，个别谈话1300余人次，扫黑除恶坦检活动，社区服刑人员检举线索0条。</w:t>
      </w:r>
    </w:p>
    <w:p w14:paraId="183490BC">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14:paraId="6C2EBDF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14:paraId="4909383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14:paraId="525F1A7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学习为牵引，系统组织学习习近平《论中国共产党历史》等指定学习材料，用好《中国共产党的100年》等必读书目，购买党史学习资料210本。开展党史专题讲座学习2次，班子成员带头讲党课5次，集中开展党史学习教育28场次。开展政治轮训，组织集中学习58场次。</w:t>
      </w:r>
    </w:p>
    <w:p w14:paraId="19907B4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14:paraId="5D4EC4D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14:paraId="51137214">
      <w:pPr>
        <w:widowControl/>
        <w:adjustRightInd w:val="0"/>
        <w:snapToGrid w:val="0"/>
        <w:spacing w:line="560" w:lineRule="exact"/>
        <w:contextualSpacing/>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（二）结果应用情况。</w:t>
      </w:r>
    </w:p>
    <w:p w14:paraId="0572E4AE">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14:paraId="021F497B">
      <w:pPr>
        <w:adjustRightInd w:val="0"/>
        <w:snapToGrid w:val="0"/>
        <w:spacing w:line="560"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绩效自评工作完成后将结果在“盐边县公众信息网”财政信息版块下的“财政绩效评价信息专栏”进行公示。</w:t>
      </w:r>
    </w:p>
    <w:p w14:paraId="002F52D5">
      <w:pPr>
        <w:spacing w:line="560" w:lineRule="exact"/>
        <w:ind w:firstLine="640" w:firstLineChars="200"/>
        <w:rPr>
          <w:rFonts w:ascii="仿宋_GB2312" w:hAnsi="仿宋_GB2312" w:eastAsia="仿宋_GB2312" w:cs="仿宋_GB2312"/>
          <w:sz w:val="32"/>
          <w:szCs w:val="32"/>
        </w:rPr>
      </w:pPr>
      <w:bookmarkStart w:id="119" w:name="_Toc28036_WPSOffice_Level2"/>
      <w:r>
        <w:rPr>
          <w:rFonts w:hint="eastAsia" w:ascii="仿宋_GB2312" w:hAnsi="仿宋_GB2312" w:eastAsia="仿宋_GB2312" w:cs="仿宋_GB2312"/>
          <w:sz w:val="32"/>
          <w:szCs w:val="32"/>
        </w:rPr>
        <w:t>五、评价结论及建议</w:t>
      </w:r>
      <w:bookmarkEnd w:id="119"/>
    </w:p>
    <w:p w14:paraId="7CF2563D">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评价结论。</w:t>
      </w:r>
    </w:p>
    <w:p w14:paraId="5794A0FA">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通过自评，20</w:t>
      </w:r>
      <w:r>
        <w:rPr>
          <w:rFonts w:hint="eastAsia" w:ascii="仿宋_GB2312" w:hAnsi="仿宋_GB2312" w:eastAsia="仿宋_GB2312" w:cs="仿宋_GB2312"/>
          <w:color w:val="000000"/>
          <w:sz w:val="32"/>
          <w:szCs w:val="32"/>
          <w:shd w:val="clear" w:color="auto" w:fill="FFFFFF"/>
        </w:rPr>
        <w:t>21</w:t>
      </w:r>
      <w:r>
        <w:rPr>
          <w:rFonts w:hint="eastAsia" w:ascii="仿宋_GB2312" w:hAnsi="仿宋_GB2312" w:eastAsia="仿宋_GB2312" w:cs="仿宋_GB2312"/>
          <w:color w:val="000000"/>
          <w:sz w:val="32"/>
          <w:szCs w:val="32"/>
          <w:shd w:val="clear" w:color="auto" w:fill="FFFFFF"/>
          <w:lang w:val="zh-CN"/>
        </w:rPr>
        <w:t>年度县司法局</w:t>
      </w:r>
      <w:r>
        <w:rPr>
          <w:rFonts w:hint="eastAsia" w:ascii="仿宋_GB2312" w:hAnsi="仿宋_GB2312" w:eastAsia="仿宋_GB2312" w:cs="仿宋_GB2312"/>
          <w:color w:val="000000"/>
          <w:sz w:val="32"/>
          <w:szCs w:val="32"/>
          <w:shd w:val="clear" w:color="auto" w:fill="FFFFFF"/>
        </w:rPr>
        <w:t>各项经费达到对应的绩效目标，圆满完成了县委、县政府下达的各项工作任务。达到预期绩效目标，总体较满意。</w:t>
      </w:r>
    </w:p>
    <w:p w14:paraId="5EE9AF0C">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p>
    <w:p w14:paraId="6E0275E3">
      <w:pPr>
        <w:pStyle w:val="16"/>
        <w:spacing w:before="0" w:beforeAutospacing="0" w:after="0" w:afterAutospacing="0" w:line="560" w:lineRule="exact"/>
        <w:ind w:left="64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14:paraId="27E581ED">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 资金使用效益有待进一步提高。</w:t>
      </w:r>
    </w:p>
    <w:p w14:paraId="238C212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改进建议。</w:t>
      </w:r>
    </w:p>
    <w:p w14:paraId="5245A5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14:paraId="195703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保障预算执行进度。加快推进项目实施进度，加强项目开展进度的跟踪，开展项目绩效的跟踪和评价，确保项目绩效的完成，发挥资金的使用效益，提高预算完成率。</w:t>
      </w:r>
    </w:p>
    <w:p w14:paraId="2CBCBD09">
      <w:pPr>
        <w:spacing w:line="560" w:lineRule="exact"/>
        <w:ind w:firstLine="640" w:firstLineChars="200"/>
        <w:rPr>
          <w:rFonts w:ascii="仿宋_GB2312" w:hAnsi="仿宋_GB2312" w:eastAsia="仿宋_GB2312" w:cs="仿宋_GB2312"/>
          <w:sz w:val="32"/>
          <w:szCs w:val="32"/>
        </w:rPr>
      </w:pPr>
    </w:p>
    <w:p w14:paraId="764D18DF">
      <w:pPr>
        <w:pStyle w:val="10"/>
        <w:spacing w:line="600" w:lineRule="exact"/>
        <w:ind w:firstLine="720" w:firstLineChars="200"/>
        <w:jc w:val="center"/>
        <w:rPr>
          <w:rFonts w:ascii="方正小标宋_GBK" w:hAnsi="黑体" w:eastAsia="方正小标宋_GBK" w:cs="黑体"/>
          <w:sz w:val="36"/>
          <w:szCs w:val="36"/>
        </w:rPr>
      </w:pPr>
      <w:bookmarkStart w:id="120" w:name="_Toc3313_WPSOffice_Level2"/>
      <w:r>
        <w:rPr>
          <w:rFonts w:hint="eastAsia" w:ascii="方正小标宋_GBK" w:hAnsi="方正小标宋_GBK" w:eastAsia="方正小标宋_GBK" w:cs="方正小标宋_GBK"/>
          <w:sz w:val="36"/>
          <w:szCs w:val="36"/>
          <w:shd w:val="clear" w:color="auto" w:fill="FFFFFF"/>
        </w:rPr>
        <w:t>人民调解专项经费</w:t>
      </w:r>
      <w:r>
        <w:rPr>
          <w:rFonts w:hint="eastAsia" w:ascii="方正小标宋_GBK" w:hAnsi="黑体" w:eastAsia="方正小标宋_GBK" w:cs="黑体"/>
          <w:sz w:val="36"/>
          <w:szCs w:val="36"/>
        </w:rPr>
        <w:t>绩效自评报告</w:t>
      </w:r>
      <w:bookmarkEnd w:id="120"/>
    </w:p>
    <w:p w14:paraId="5434E5AB">
      <w:pPr>
        <w:pStyle w:val="10"/>
        <w:spacing w:line="600" w:lineRule="exact"/>
        <w:ind w:firstLine="640" w:firstLineChars="200"/>
        <w:jc w:val="left"/>
        <w:rPr>
          <w:rFonts w:ascii="仿宋_GB2312" w:hAnsi="仿宋_GB2312" w:eastAsia="仿宋_GB2312" w:cs="仿宋_GB2312"/>
          <w:sz w:val="32"/>
          <w:szCs w:val="32"/>
        </w:rPr>
      </w:pPr>
    </w:p>
    <w:p w14:paraId="7750D3D9">
      <w:pPr>
        <w:autoSpaceDE w:val="0"/>
        <w:autoSpaceDN w:val="0"/>
        <w:adjustRightInd w:val="0"/>
        <w:spacing w:line="600" w:lineRule="exact"/>
        <w:ind w:firstLine="640" w:firstLineChars="200"/>
        <w:jc w:val="left"/>
        <w:rPr>
          <w:rFonts w:eastAsia="黑体"/>
          <w:kern w:val="0"/>
          <w:sz w:val="32"/>
          <w:szCs w:val="32"/>
        </w:rPr>
      </w:pPr>
      <w:bookmarkStart w:id="121" w:name="_Toc19106_WPSOffice_Level2"/>
      <w:r>
        <w:rPr>
          <w:rFonts w:eastAsia="黑体"/>
          <w:kern w:val="0"/>
          <w:sz w:val="32"/>
          <w:szCs w:val="32"/>
        </w:rPr>
        <w:t>一、项目概况</w:t>
      </w:r>
      <w:bookmarkEnd w:id="121"/>
    </w:p>
    <w:p w14:paraId="2E64B30F">
      <w:pPr>
        <w:widowControl/>
        <w:shd w:val="clear" w:color="auto" w:fill="FFFFFF"/>
        <w:spacing w:after="225" w:line="580" w:lineRule="exact"/>
        <w:ind w:firstLine="42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我县现有</w:t>
      </w:r>
      <w:r>
        <w:rPr>
          <w:rFonts w:hint="eastAsia" w:ascii="仿宋" w:hAnsi="仿宋" w:eastAsia="仿宋" w:cs="仿宋"/>
          <w:sz w:val="32"/>
          <w:szCs w:val="32"/>
        </w:rPr>
        <w:t>人民调解委员会124个（其中村（社区）人民调解委员会88个、乡（镇）人民调解委员会12个、企事业人民调解委员会20个、专业人民调解委员会4个），人民调解员685名。遵法评理会88个，遵法评理员505名。需要开支人民调解“个案补助”、驻法院调解室和专业调委会坐班补助、参与信访矛盾化解等经费。</w:t>
      </w:r>
    </w:p>
    <w:p w14:paraId="2FE6718D">
      <w:pPr>
        <w:widowControl/>
        <w:shd w:val="clear" w:color="auto" w:fill="FFFFFF"/>
        <w:spacing w:after="225" w:line="580" w:lineRule="exact"/>
        <w:ind w:firstLine="420"/>
        <w:jc w:val="left"/>
        <w:rPr>
          <w:rFonts w:eastAsia="楷体_GB2312"/>
          <w:kern w:val="0"/>
          <w:sz w:val="32"/>
          <w:szCs w:val="32"/>
        </w:rPr>
      </w:pPr>
      <w:r>
        <w:rPr>
          <w:rFonts w:eastAsia="楷体_GB2312"/>
          <w:kern w:val="0"/>
          <w:sz w:val="32"/>
          <w:szCs w:val="32"/>
        </w:rPr>
        <w:t>（二）项目绩效目标。</w:t>
      </w:r>
    </w:p>
    <w:p w14:paraId="416D47DA">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为深入贯彻落实《人民调解法》，按照《人民调解法》《四川省人民调解条例》规定，保障必要的人民调解专项经费，确保人民调解工作正常开展，充分发挥人民调解在促进社会和谐稳定中的重要作用。</w:t>
      </w:r>
    </w:p>
    <w:p w14:paraId="6B25BD4A">
      <w:pPr>
        <w:autoSpaceDE w:val="0"/>
        <w:autoSpaceDN w:val="0"/>
        <w:adjustRightInd w:val="0"/>
        <w:spacing w:line="600" w:lineRule="exact"/>
        <w:ind w:firstLine="640" w:firstLineChars="200"/>
        <w:jc w:val="left"/>
        <w:rPr>
          <w:rFonts w:eastAsia="楷体_GB2312"/>
          <w:kern w:val="0"/>
          <w:sz w:val="32"/>
          <w:szCs w:val="32"/>
        </w:rPr>
      </w:pPr>
      <w:bookmarkStart w:id="122" w:name="_Toc23638_WPSOffice_Level2"/>
      <w:r>
        <w:rPr>
          <w:rFonts w:eastAsia="黑体"/>
          <w:kern w:val="0"/>
          <w:sz w:val="32"/>
          <w:szCs w:val="32"/>
        </w:rPr>
        <w:t>二、项目资金申报及使用情况</w:t>
      </w:r>
      <w:bookmarkEnd w:id="122"/>
    </w:p>
    <w:p w14:paraId="7211422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64D8DA22">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根据盐边财政[2021]394号文件执行中追加批复下达资金18.93万元。</w:t>
      </w:r>
    </w:p>
    <w:p w14:paraId="0D3CAF4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0C4422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该项目计划资金18.93万元，到位资金18.93万元，全部是县级财政资金，到位率100%。项目支出主要包括人民调解员补助经费。</w:t>
      </w:r>
    </w:p>
    <w:p w14:paraId="7A81FB2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28F982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14:paraId="4E875001">
      <w:pPr>
        <w:autoSpaceDE w:val="0"/>
        <w:autoSpaceDN w:val="0"/>
        <w:adjustRightInd w:val="0"/>
        <w:spacing w:line="600" w:lineRule="exact"/>
        <w:ind w:firstLine="640" w:firstLineChars="200"/>
        <w:jc w:val="left"/>
        <w:rPr>
          <w:rFonts w:eastAsia="黑体"/>
          <w:kern w:val="0"/>
          <w:sz w:val="32"/>
          <w:szCs w:val="32"/>
        </w:rPr>
      </w:pPr>
      <w:bookmarkStart w:id="123" w:name="_Toc10960_WPSOffice_Level2"/>
      <w:r>
        <w:rPr>
          <w:rFonts w:eastAsia="黑体"/>
          <w:kern w:val="0"/>
          <w:sz w:val="32"/>
          <w:szCs w:val="32"/>
        </w:rPr>
        <w:t>三、项目实施及管理情况</w:t>
      </w:r>
      <w:bookmarkEnd w:id="123"/>
    </w:p>
    <w:p w14:paraId="7DD3214D">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363FF3E9">
      <w:pPr>
        <w:autoSpaceDE w:val="0"/>
        <w:autoSpaceDN w:val="0"/>
        <w:adjustRightInd w:val="0"/>
        <w:spacing w:line="600" w:lineRule="exact"/>
        <w:ind w:firstLine="640" w:firstLineChars="200"/>
        <w:jc w:val="left"/>
        <w:rPr>
          <w:rFonts w:eastAsia="黑体"/>
          <w:kern w:val="0"/>
          <w:sz w:val="32"/>
          <w:szCs w:val="32"/>
        </w:rPr>
      </w:pPr>
      <w:bookmarkStart w:id="124" w:name="_Toc18637_WPSOffice_Level2"/>
      <w:r>
        <w:rPr>
          <w:rFonts w:eastAsia="黑体"/>
          <w:kern w:val="0"/>
          <w:sz w:val="32"/>
          <w:szCs w:val="32"/>
        </w:rPr>
        <w:t>四、项目绩效情况</w:t>
      </w:r>
      <w:bookmarkEnd w:id="124"/>
    </w:p>
    <w:p w14:paraId="5772B22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479E7DFB">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项目支出主要包括人民调解员补助经费。完成整个项目支出18.93万元。</w:t>
      </w:r>
    </w:p>
    <w:p w14:paraId="01B47159">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14:paraId="21AA9550">
      <w:pPr>
        <w:spacing w:line="580" w:lineRule="exact"/>
        <w:ind w:firstLine="660" w:firstLineChars="200"/>
        <w:rPr>
          <w:rFonts w:ascii="仿宋" w:hAnsi="仿宋" w:eastAsia="仿宋" w:cs="仿宋"/>
          <w:sz w:val="32"/>
          <w:szCs w:val="32"/>
        </w:rPr>
      </w:pPr>
      <w:r>
        <w:rPr>
          <w:rFonts w:eastAsia="方正仿宋_GBK"/>
          <w:sz w:val="33"/>
          <w:szCs w:val="33"/>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r>
        <w:rPr>
          <w:rFonts w:hint="eastAsia" w:ascii="仿宋" w:hAnsi="仿宋" w:eastAsia="仿宋" w:cs="仿宋"/>
          <w:sz w:val="32"/>
          <w:szCs w:val="32"/>
        </w:rPr>
        <w:t>促进了人民调解“第一道防线”的作用，维护盐边社会和谐稳定，为全县经济建设有序发展贡献力量。</w:t>
      </w:r>
    </w:p>
    <w:p w14:paraId="6476955B">
      <w:pPr>
        <w:autoSpaceDE w:val="0"/>
        <w:autoSpaceDN w:val="0"/>
        <w:adjustRightInd w:val="0"/>
        <w:spacing w:line="600" w:lineRule="exact"/>
        <w:ind w:firstLine="640" w:firstLineChars="200"/>
        <w:jc w:val="left"/>
        <w:rPr>
          <w:rFonts w:eastAsia="黑体"/>
          <w:kern w:val="0"/>
          <w:sz w:val="32"/>
          <w:szCs w:val="32"/>
        </w:rPr>
      </w:pPr>
      <w:bookmarkStart w:id="125" w:name="_Toc22024_WPSOffice_Level2"/>
      <w:r>
        <w:rPr>
          <w:rFonts w:eastAsia="黑体"/>
          <w:kern w:val="0"/>
          <w:sz w:val="32"/>
          <w:szCs w:val="32"/>
        </w:rPr>
        <w:t>五、评价结论及建议</w:t>
      </w:r>
      <w:bookmarkEnd w:id="125"/>
    </w:p>
    <w:p w14:paraId="557B8A5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3E28E414">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14:paraId="21E0D87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37051A68">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14:paraId="5EB86CB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77D0C543">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14:paraId="00CD713C">
      <w:pPr>
        <w:pStyle w:val="10"/>
        <w:spacing w:line="600" w:lineRule="exact"/>
        <w:ind w:firstLine="720" w:firstLineChars="200"/>
        <w:jc w:val="center"/>
        <w:rPr>
          <w:rFonts w:ascii="方正小标宋_GBK" w:hAnsi="黑体" w:eastAsia="方正小标宋_GBK" w:cs="黑体"/>
          <w:sz w:val="36"/>
          <w:szCs w:val="36"/>
        </w:rPr>
      </w:pPr>
      <w:bookmarkStart w:id="126" w:name="_Toc11890_WPSOffice_Level2"/>
      <w:r>
        <w:rPr>
          <w:rFonts w:hint="eastAsia" w:ascii="方正小标宋_GBK" w:hAnsi="方正小标宋_GBK" w:eastAsia="方正小标宋_GBK" w:cs="方正小标宋_GBK"/>
          <w:sz w:val="36"/>
          <w:szCs w:val="36"/>
          <w:shd w:val="clear" w:color="auto" w:fill="FFFFFF"/>
        </w:rPr>
        <w:t>普法工作相关经费</w:t>
      </w:r>
      <w:r>
        <w:rPr>
          <w:rFonts w:hint="eastAsia" w:ascii="方正小标宋_GBK" w:hAnsi="黑体" w:eastAsia="方正小标宋_GBK" w:cs="黑体"/>
          <w:sz w:val="36"/>
          <w:szCs w:val="36"/>
        </w:rPr>
        <w:t>绩效自评报告</w:t>
      </w:r>
      <w:bookmarkEnd w:id="126"/>
    </w:p>
    <w:p w14:paraId="21699FAD">
      <w:pPr>
        <w:pStyle w:val="10"/>
        <w:spacing w:line="600" w:lineRule="exact"/>
        <w:ind w:firstLine="640" w:firstLineChars="200"/>
        <w:jc w:val="left"/>
        <w:rPr>
          <w:rFonts w:ascii="仿宋_GB2312" w:hAnsi="仿宋_GB2312" w:eastAsia="仿宋_GB2312" w:cs="仿宋_GB2312"/>
          <w:sz w:val="32"/>
          <w:szCs w:val="32"/>
        </w:rPr>
      </w:pPr>
    </w:p>
    <w:p w14:paraId="00DB663C">
      <w:pPr>
        <w:autoSpaceDE w:val="0"/>
        <w:autoSpaceDN w:val="0"/>
        <w:adjustRightInd w:val="0"/>
        <w:spacing w:line="600" w:lineRule="exact"/>
        <w:ind w:firstLine="640" w:firstLineChars="200"/>
        <w:jc w:val="left"/>
        <w:rPr>
          <w:rFonts w:eastAsia="黑体"/>
          <w:kern w:val="0"/>
          <w:sz w:val="32"/>
          <w:szCs w:val="32"/>
        </w:rPr>
      </w:pPr>
      <w:bookmarkStart w:id="127" w:name="_Toc17363_WPSOffice_Level2"/>
      <w:r>
        <w:rPr>
          <w:rFonts w:eastAsia="黑体"/>
          <w:kern w:val="0"/>
          <w:sz w:val="32"/>
          <w:szCs w:val="32"/>
        </w:rPr>
        <w:t>一、项目概况</w:t>
      </w:r>
      <w:bookmarkEnd w:id="127"/>
    </w:p>
    <w:p w14:paraId="00DFD45D">
      <w:pPr>
        <w:spacing w:line="580" w:lineRule="exact"/>
        <w:ind w:firstLine="640"/>
        <w:rPr>
          <w:rFonts w:ascii="仿宋_GB2312" w:hAnsi="方正小标宋_GBK" w:eastAsia="仿宋_GB2312" w:cs="方正小标宋_GBK"/>
          <w:color w:val="000000"/>
          <w:sz w:val="32"/>
          <w:szCs w:val="32"/>
        </w:rPr>
      </w:pPr>
      <w:r>
        <w:rPr>
          <w:rFonts w:hint="eastAsia" w:ascii="仿宋" w:hAnsi="仿宋" w:eastAsia="仿宋" w:cs="仿宋"/>
          <w:sz w:val="32"/>
          <w:szCs w:val="32"/>
        </w:rPr>
        <w:t>全民普法教育是依法治国的基础性工程，2020年“七五”普法规划实施执行完毕，从2021年进入“八五”普法时期，目前，国家“八五”普法规划已正式印发，四川省、攀枝花市以及我县“八五”普法规划正在谋划制定中。在过去的普法规划中，均对普法经费的保障作出了指示性安排。</w:t>
      </w:r>
    </w:p>
    <w:p w14:paraId="7ACE1A5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5C510925">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普法宣传教育是一项长期的社会系统的工程，为全面贯彻落实国家、省、市、县各级人大常委会关于开展全民法治宣传教育的决议和各级党委、政府制定出台的普法规划，推动全民普法教育深入开展，提升公民法律素养，给予普法保障，推动工作开展，确保全县法治宣传教育决议、规划各项目标任务的完成十分必要。</w:t>
      </w:r>
    </w:p>
    <w:p w14:paraId="39A732AC">
      <w:pPr>
        <w:autoSpaceDE w:val="0"/>
        <w:autoSpaceDN w:val="0"/>
        <w:adjustRightInd w:val="0"/>
        <w:spacing w:line="600" w:lineRule="exact"/>
        <w:ind w:firstLine="640" w:firstLineChars="200"/>
        <w:jc w:val="left"/>
        <w:rPr>
          <w:rFonts w:eastAsia="楷体_GB2312"/>
          <w:kern w:val="0"/>
          <w:sz w:val="32"/>
          <w:szCs w:val="32"/>
        </w:rPr>
      </w:pPr>
      <w:bookmarkStart w:id="128" w:name="_Toc2820_WPSOffice_Level2"/>
      <w:r>
        <w:rPr>
          <w:rFonts w:eastAsia="黑体"/>
          <w:kern w:val="0"/>
          <w:sz w:val="32"/>
          <w:szCs w:val="32"/>
        </w:rPr>
        <w:t>二、项目资金申报及使用情况</w:t>
      </w:r>
      <w:bookmarkEnd w:id="128"/>
    </w:p>
    <w:p w14:paraId="4F6B839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54AB5385">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根据盐边财政[2021]399号文件执行中追加批复下达资金3.94万元。</w:t>
      </w:r>
    </w:p>
    <w:p w14:paraId="3D59C6E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1A873A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该项目计划资金3.94万元，到位资金3.94万元，全部是县级财政资金，到位率100%。项目支出主要包括法治宣传费及资料印刷费。</w:t>
      </w:r>
    </w:p>
    <w:p w14:paraId="79D530B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200F3C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14:paraId="7E0B292B">
      <w:pPr>
        <w:autoSpaceDE w:val="0"/>
        <w:autoSpaceDN w:val="0"/>
        <w:adjustRightInd w:val="0"/>
        <w:spacing w:line="600" w:lineRule="exact"/>
        <w:ind w:firstLine="640" w:firstLineChars="200"/>
        <w:jc w:val="left"/>
        <w:rPr>
          <w:rFonts w:eastAsia="黑体"/>
          <w:kern w:val="0"/>
          <w:sz w:val="32"/>
          <w:szCs w:val="32"/>
        </w:rPr>
      </w:pPr>
      <w:bookmarkStart w:id="129" w:name="_Toc13800_WPSOffice_Level2"/>
      <w:r>
        <w:rPr>
          <w:rFonts w:eastAsia="黑体"/>
          <w:kern w:val="0"/>
          <w:sz w:val="32"/>
          <w:szCs w:val="32"/>
        </w:rPr>
        <w:t>三、项目实施及管理情况</w:t>
      </w:r>
      <w:bookmarkEnd w:id="129"/>
    </w:p>
    <w:p w14:paraId="4B5A32E7">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61D9C5D5">
      <w:pPr>
        <w:autoSpaceDE w:val="0"/>
        <w:autoSpaceDN w:val="0"/>
        <w:adjustRightInd w:val="0"/>
        <w:spacing w:line="600" w:lineRule="exact"/>
        <w:ind w:firstLine="640" w:firstLineChars="200"/>
        <w:jc w:val="left"/>
        <w:rPr>
          <w:rFonts w:eastAsia="黑体"/>
          <w:kern w:val="0"/>
          <w:sz w:val="32"/>
          <w:szCs w:val="32"/>
        </w:rPr>
      </w:pPr>
      <w:bookmarkStart w:id="130" w:name="_Toc12421_WPSOffice_Level2"/>
      <w:r>
        <w:rPr>
          <w:rFonts w:eastAsia="黑体"/>
          <w:kern w:val="0"/>
          <w:sz w:val="32"/>
          <w:szCs w:val="32"/>
        </w:rPr>
        <w:t>四、项目绩效情况</w:t>
      </w:r>
      <w:bookmarkEnd w:id="130"/>
    </w:p>
    <w:p w14:paraId="28DA49E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03FAE89D">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项目支出主要包括法治宣传费及资料印刷费。完成整个项目支出3.94万元。</w:t>
      </w:r>
    </w:p>
    <w:p w14:paraId="665B4C18">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14:paraId="415E15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推动全民普法教育深入开展，提升公民法律素养，给予普法保障，推动工作开展。</w:t>
      </w:r>
    </w:p>
    <w:p w14:paraId="31CC93FB">
      <w:pPr>
        <w:autoSpaceDE w:val="0"/>
        <w:autoSpaceDN w:val="0"/>
        <w:adjustRightInd w:val="0"/>
        <w:spacing w:line="600" w:lineRule="exact"/>
        <w:ind w:firstLine="640" w:firstLineChars="200"/>
        <w:jc w:val="left"/>
        <w:rPr>
          <w:rFonts w:eastAsia="黑体"/>
          <w:kern w:val="0"/>
          <w:sz w:val="32"/>
          <w:szCs w:val="32"/>
        </w:rPr>
      </w:pPr>
      <w:bookmarkStart w:id="131" w:name="_Toc6338_WPSOffice_Level2"/>
      <w:r>
        <w:rPr>
          <w:rFonts w:eastAsia="黑体"/>
          <w:kern w:val="0"/>
          <w:sz w:val="32"/>
          <w:szCs w:val="32"/>
        </w:rPr>
        <w:t>五、评价结论及建议</w:t>
      </w:r>
      <w:bookmarkEnd w:id="131"/>
    </w:p>
    <w:p w14:paraId="7DC78D6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2FC7A703">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14:paraId="03AA9E8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7D6021B0">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14:paraId="47AA562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2B211CF6">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14:paraId="3B79CF16">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2" w:name="_Toc14849_WPSOffice_Level2"/>
      <w:r>
        <w:rPr>
          <w:rFonts w:hint="eastAsia" w:ascii="方正小标宋_GBK" w:hAnsi="方正小标宋_GBK" w:eastAsia="方正小标宋_GBK" w:cs="方正小标宋_GBK"/>
          <w:sz w:val="36"/>
          <w:szCs w:val="36"/>
        </w:rPr>
        <w:t>政法队伍教育整顿工作经费</w:t>
      </w:r>
      <w:bookmarkEnd w:id="132"/>
    </w:p>
    <w:p w14:paraId="0CA3335C">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3" w:name="_Toc25037_WPSOffice_Level2"/>
      <w:r>
        <w:rPr>
          <w:rFonts w:hint="eastAsia" w:ascii="方正小标宋_GBK" w:hAnsi="方正小标宋_GBK" w:eastAsia="方正小标宋_GBK" w:cs="方正小标宋_GBK"/>
          <w:sz w:val="36"/>
          <w:szCs w:val="36"/>
        </w:rPr>
        <w:t>绩效自评报告</w:t>
      </w:r>
      <w:bookmarkEnd w:id="133"/>
    </w:p>
    <w:p w14:paraId="70EC0184">
      <w:pPr>
        <w:autoSpaceDE w:val="0"/>
        <w:autoSpaceDN w:val="0"/>
        <w:adjustRightInd w:val="0"/>
        <w:spacing w:line="600" w:lineRule="exact"/>
        <w:ind w:firstLine="880" w:firstLineChars="200"/>
        <w:jc w:val="left"/>
        <w:rPr>
          <w:rFonts w:ascii="黑体" w:hAnsi="黑体" w:eastAsia="黑体" w:cs="黑体"/>
          <w:sz w:val="44"/>
          <w:szCs w:val="44"/>
        </w:rPr>
      </w:pPr>
    </w:p>
    <w:p w14:paraId="2613FC1A">
      <w:pPr>
        <w:autoSpaceDE w:val="0"/>
        <w:autoSpaceDN w:val="0"/>
        <w:adjustRightInd w:val="0"/>
        <w:spacing w:line="600" w:lineRule="exact"/>
        <w:ind w:firstLine="640" w:firstLineChars="200"/>
        <w:jc w:val="left"/>
        <w:rPr>
          <w:rFonts w:eastAsia="黑体"/>
          <w:kern w:val="0"/>
          <w:sz w:val="32"/>
          <w:szCs w:val="32"/>
        </w:rPr>
      </w:pPr>
      <w:bookmarkStart w:id="134" w:name="_Toc15230_WPSOffice_Level2"/>
      <w:r>
        <w:rPr>
          <w:rFonts w:eastAsia="黑体"/>
          <w:kern w:val="0"/>
          <w:sz w:val="32"/>
          <w:szCs w:val="32"/>
        </w:rPr>
        <w:t>一、项目概况</w:t>
      </w:r>
      <w:bookmarkEnd w:id="134"/>
    </w:p>
    <w:p w14:paraId="7DFADC4B">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14:paraId="22588C8D">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2021年全省开展政法队伍教育整顿工作，为保障政法队伍教育整顿工作有序推进，申请政法队伍教育整顿工作经费11.18万元。</w:t>
      </w:r>
    </w:p>
    <w:p w14:paraId="2A039ECA">
      <w:pPr>
        <w:spacing w:line="560" w:lineRule="exact"/>
        <w:ind w:firstLine="640" w:firstLineChars="200"/>
        <w:rPr>
          <w:rFonts w:eastAsia="仿宋_GB2312"/>
          <w:sz w:val="32"/>
          <w:szCs w:val="32"/>
        </w:rPr>
      </w:pPr>
      <w:r>
        <w:rPr>
          <w:rFonts w:eastAsia="仿宋_GB2312"/>
          <w:sz w:val="32"/>
          <w:szCs w:val="32"/>
        </w:rPr>
        <w:t>2.项目立项、资金申报的依据。</w:t>
      </w:r>
    </w:p>
    <w:p w14:paraId="2EE02A02">
      <w:pPr>
        <w:spacing w:line="560" w:lineRule="exact"/>
        <w:ind w:firstLine="640" w:firstLineChars="200"/>
        <w:jc w:val="left"/>
        <w:rPr>
          <w:rFonts w:eastAsia="仿宋_GB2312"/>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），下达县政法委工作经费11.18万元。</w:t>
      </w:r>
    </w:p>
    <w:p w14:paraId="44FD2385">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14:paraId="68D84FBA">
      <w:pPr>
        <w:spacing w:line="560" w:lineRule="exact"/>
        <w:ind w:firstLine="640" w:firstLineChars="200"/>
        <w:rPr>
          <w:rFonts w:eastAsia="楷体_GB2312"/>
          <w:kern w:val="0"/>
          <w:sz w:val="32"/>
          <w:szCs w:val="32"/>
        </w:rPr>
      </w:pPr>
      <w:r>
        <w:rPr>
          <w:rFonts w:eastAsia="仿宋_GB2312"/>
          <w:sz w:val="32"/>
          <w:szCs w:val="32"/>
        </w:rPr>
        <w:t>4.资金分配的原则及考虑因素。</w:t>
      </w:r>
      <w:r>
        <w:rPr>
          <w:rFonts w:hint="eastAsia" w:eastAsia="仿宋_GB2312"/>
          <w:sz w:val="32"/>
          <w:szCs w:val="32"/>
        </w:rPr>
        <w:t>政法队伍教育整顿工作经费11.18万元，按实际工作开展需求：宣传费及办公费7.04万元，印刷费1.2万元，差旅费1.82万元，车辆运行维护费1.00万元，其他业务费0.13万元。</w:t>
      </w:r>
    </w:p>
    <w:p w14:paraId="038062EC">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14:paraId="3CF7BA2C">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14:paraId="18B41DF3">
      <w:pPr>
        <w:spacing w:line="560" w:lineRule="exact"/>
        <w:ind w:firstLine="640" w:firstLineChars="200"/>
        <w:jc w:val="left"/>
        <w:rPr>
          <w:rFonts w:eastAsia="仿宋_GB2312"/>
          <w:sz w:val="32"/>
          <w:szCs w:val="32"/>
        </w:rPr>
      </w:pPr>
      <w:r>
        <w:rPr>
          <w:rFonts w:hint="eastAsia" w:eastAsia="仿宋_GB2312"/>
          <w:sz w:val="32"/>
          <w:szCs w:val="32"/>
        </w:rPr>
        <w:t>2021年全省开展政法队伍教育整顿工作，为保障政法队伍教育整顿工作有序推进，根据盐边县政法队伍教育整顿领导小组办公室《关于请求拨付全县政法队伍教育整顿工作经费的请示》（盐政整顿办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），下达县司法局工作经费11.18万元。</w:t>
      </w:r>
    </w:p>
    <w:p w14:paraId="1CF088D7">
      <w:pPr>
        <w:spacing w:line="560" w:lineRule="exact"/>
        <w:ind w:firstLine="640" w:firstLineChars="200"/>
        <w:jc w:val="left"/>
        <w:rPr>
          <w:rFonts w:eastAsia="仿宋_GB2312"/>
          <w:sz w:val="32"/>
          <w:szCs w:val="32"/>
        </w:rPr>
      </w:pPr>
      <w:r>
        <w:rPr>
          <w:rFonts w:hint="eastAsia" w:eastAsia="仿宋_GB2312"/>
          <w:sz w:val="32"/>
          <w:szCs w:val="32"/>
        </w:rPr>
        <w:t>2.</w:t>
      </w: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及时下拨支出，</w:t>
      </w:r>
      <w:r>
        <w:rPr>
          <w:rFonts w:hint="eastAsia" w:eastAsia="仿宋_GB2312"/>
          <w:sz w:val="32"/>
          <w:szCs w:val="32"/>
        </w:rPr>
        <w:t>有力保障了县司法局政法队伍教育整顿的顺利开展，对提升司法局整体素质，促进司法局业务的发展具有巨大作用。</w:t>
      </w:r>
    </w:p>
    <w:p w14:paraId="14573C83">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14:paraId="7294D382">
      <w:pPr>
        <w:autoSpaceDE w:val="0"/>
        <w:autoSpaceDN w:val="0"/>
        <w:adjustRightInd w:val="0"/>
        <w:spacing w:line="600" w:lineRule="exact"/>
        <w:ind w:firstLine="640" w:firstLineChars="200"/>
        <w:jc w:val="left"/>
        <w:rPr>
          <w:rFonts w:eastAsia="楷体_GB2312"/>
          <w:kern w:val="0"/>
          <w:sz w:val="32"/>
          <w:szCs w:val="32"/>
        </w:rPr>
      </w:pPr>
      <w:bookmarkStart w:id="135" w:name="_Toc8222_WPSOffice_Level2"/>
      <w:r>
        <w:rPr>
          <w:rFonts w:eastAsia="黑体"/>
          <w:kern w:val="0"/>
          <w:sz w:val="32"/>
          <w:szCs w:val="32"/>
        </w:rPr>
        <w:t>二、项目资金申报及使用情况</w:t>
      </w:r>
      <w:bookmarkEnd w:id="135"/>
    </w:p>
    <w:p w14:paraId="00742F4F">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14:paraId="16444FAA">
      <w:pPr>
        <w:spacing w:line="560" w:lineRule="exact"/>
        <w:ind w:firstLine="640" w:firstLineChars="200"/>
        <w:rPr>
          <w:rFonts w:ascii="仿宋" w:hAnsi="仿宋" w:eastAsia="仿宋" w:cs="仿宋"/>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），经县政府同意，下达政法委政法队伍教育整顿工作经费11.18万元。</w:t>
      </w:r>
    </w:p>
    <w:p w14:paraId="57C558AC">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14:paraId="2BC35E57">
      <w:pPr>
        <w:spacing w:line="560" w:lineRule="exact"/>
        <w:ind w:firstLine="643" w:firstLineChars="200"/>
        <w:rPr>
          <w:rFonts w:eastAsia="仿宋_GB2312"/>
          <w:b/>
          <w:sz w:val="32"/>
          <w:szCs w:val="32"/>
        </w:rPr>
      </w:pPr>
      <w:r>
        <w:rPr>
          <w:rFonts w:eastAsia="仿宋_GB2312"/>
          <w:b/>
          <w:sz w:val="32"/>
          <w:szCs w:val="32"/>
        </w:rPr>
        <w:t>1.资金计划</w:t>
      </w:r>
    </w:p>
    <w:p w14:paraId="0BBD74C4">
      <w:pPr>
        <w:spacing w:line="560" w:lineRule="exact"/>
        <w:ind w:firstLine="660"/>
        <w:rPr>
          <w:rFonts w:eastAsia="仿宋_GB2312"/>
          <w:b/>
          <w:sz w:val="32"/>
          <w:szCs w:val="32"/>
        </w:rPr>
      </w:pPr>
      <w:r>
        <w:rPr>
          <w:rFonts w:hint="eastAsia" w:eastAsia="仿宋_GB2312"/>
          <w:sz w:val="32"/>
          <w:szCs w:val="32"/>
        </w:rPr>
        <w:t>2021年全省开展政法队伍教育整顿工作，为保障政法队伍教育整顿工作有序推进，申请政法队伍教育整顿工作经费11.18万元。</w:t>
      </w:r>
    </w:p>
    <w:p w14:paraId="614FB873">
      <w:pPr>
        <w:spacing w:line="560" w:lineRule="exact"/>
        <w:ind w:firstLine="643" w:firstLineChars="200"/>
        <w:rPr>
          <w:rFonts w:eastAsia="仿宋_GB2312"/>
          <w:b/>
          <w:sz w:val="32"/>
          <w:szCs w:val="32"/>
        </w:rPr>
      </w:pPr>
      <w:r>
        <w:rPr>
          <w:rFonts w:eastAsia="仿宋_GB2312"/>
          <w:b/>
          <w:sz w:val="32"/>
          <w:szCs w:val="32"/>
        </w:rPr>
        <w:t>2.资金到位</w:t>
      </w:r>
    </w:p>
    <w:p w14:paraId="015E7224">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2021年5月由盐财资行【2021】174号文，下达解决盐边县</w:t>
      </w:r>
      <w:r>
        <w:rPr>
          <w:rFonts w:hint="eastAsia" w:eastAsia="仿宋_GB2312"/>
          <w:sz w:val="32"/>
          <w:szCs w:val="32"/>
        </w:rPr>
        <w:t>司法局</w:t>
      </w:r>
      <w:r>
        <w:rPr>
          <w:rFonts w:hint="eastAsia" w:ascii="仿宋" w:hAnsi="仿宋" w:eastAsia="仿宋" w:cs="仿宋"/>
          <w:sz w:val="32"/>
          <w:szCs w:val="32"/>
        </w:rPr>
        <w:t>政法队伍教育整顿工作经费11.18</w:t>
      </w:r>
      <w:r>
        <w:rPr>
          <w:rFonts w:hint="eastAsia" w:eastAsia="仿宋_GB2312"/>
          <w:kern w:val="0"/>
          <w:sz w:val="32"/>
          <w:szCs w:val="32"/>
        </w:rPr>
        <w:t>万元，资金</w:t>
      </w:r>
      <w:r>
        <w:rPr>
          <w:rFonts w:hint="eastAsia" w:ascii="仿宋" w:hAnsi="仿宋" w:eastAsia="仿宋" w:cs="仿宋"/>
          <w:sz w:val="32"/>
          <w:szCs w:val="32"/>
        </w:rPr>
        <w:t>到位率100%。</w:t>
      </w:r>
    </w:p>
    <w:p w14:paraId="476CBE02">
      <w:pPr>
        <w:spacing w:line="560" w:lineRule="exact"/>
        <w:ind w:firstLine="643" w:firstLineChars="200"/>
        <w:rPr>
          <w:rFonts w:eastAsia="仿宋_GB2312"/>
          <w:b/>
          <w:sz w:val="32"/>
          <w:szCs w:val="32"/>
        </w:rPr>
      </w:pPr>
      <w:r>
        <w:rPr>
          <w:rFonts w:eastAsia="仿宋_GB2312"/>
          <w:b/>
          <w:sz w:val="32"/>
          <w:szCs w:val="32"/>
        </w:rPr>
        <w:t>3.资金使用</w:t>
      </w:r>
    </w:p>
    <w:p w14:paraId="444EE639">
      <w:pPr>
        <w:spacing w:line="560" w:lineRule="exact"/>
        <w:ind w:firstLine="640" w:firstLineChars="200"/>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到位后，县司法局严格按财经纪律、财务管理等相关规定，严格审核各项支出，及时支付，专款专用，资金支付完成100%。</w:t>
      </w:r>
    </w:p>
    <w:p w14:paraId="1B8E3975">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14:paraId="1DDD7CBB">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14:paraId="7BA1194B">
      <w:pPr>
        <w:autoSpaceDE w:val="0"/>
        <w:autoSpaceDN w:val="0"/>
        <w:adjustRightInd w:val="0"/>
        <w:spacing w:line="600" w:lineRule="exact"/>
        <w:ind w:firstLine="640" w:firstLineChars="200"/>
        <w:jc w:val="left"/>
        <w:rPr>
          <w:rFonts w:eastAsia="黑体"/>
          <w:kern w:val="0"/>
          <w:sz w:val="32"/>
          <w:szCs w:val="32"/>
        </w:rPr>
      </w:pPr>
      <w:bookmarkStart w:id="136" w:name="_Toc11862_WPSOffice_Level2"/>
      <w:r>
        <w:rPr>
          <w:rFonts w:eastAsia="黑体"/>
          <w:kern w:val="0"/>
          <w:sz w:val="32"/>
          <w:szCs w:val="32"/>
        </w:rPr>
        <w:t>三、项目实施及管理情况</w:t>
      </w:r>
      <w:bookmarkEnd w:id="136"/>
    </w:p>
    <w:p w14:paraId="3234A254">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14:paraId="428AF8E0">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14:paraId="64DABB04">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14:paraId="35FF418D">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支出严格按照财务管理制度执行。凭原始凭证进行审核报销，并对项目实施进度、资金支付真实性、必要性、及时性进行时时跟踪管理。</w:t>
      </w:r>
    </w:p>
    <w:p w14:paraId="6A62A37F">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14:paraId="596F3FC8">
      <w:pPr>
        <w:autoSpaceDE w:val="0"/>
        <w:autoSpaceDN w:val="0"/>
        <w:adjustRightInd w:val="0"/>
        <w:spacing w:line="600" w:lineRule="exact"/>
        <w:ind w:firstLine="640" w:firstLineChars="200"/>
        <w:jc w:val="left"/>
        <w:rPr>
          <w:rFonts w:eastAsia="仿宋_GB2312"/>
          <w:kern w:val="0"/>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支出，县</w:t>
      </w:r>
      <w:r>
        <w:rPr>
          <w:rFonts w:hint="eastAsia" w:eastAsia="仿宋_GB2312"/>
          <w:sz w:val="32"/>
          <w:szCs w:val="32"/>
        </w:rPr>
        <w:t>司法局</w:t>
      </w:r>
      <w:r>
        <w:rPr>
          <w:rFonts w:hint="eastAsia" w:eastAsia="仿宋_GB2312"/>
          <w:kern w:val="0"/>
          <w:sz w:val="32"/>
          <w:szCs w:val="32"/>
        </w:rPr>
        <w:t>严格按照财经纪律，对项目后期实施进度、项目质效进行跟踪管理。</w:t>
      </w:r>
    </w:p>
    <w:p w14:paraId="3A43C58D">
      <w:pPr>
        <w:autoSpaceDE w:val="0"/>
        <w:autoSpaceDN w:val="0"/>
        <w:adjustRightInd w:val="0"/>
        <w:spacing w:line="600" w:lineRule="exact"/>
        <w:ind w:firstLine="640" w:firstLineChars="200"/>
        <w:jc w:val="left"/>
        <w:rPr>
          <w:rFonts w:eastAsia="黑体"/>
          <w:kern w:val="0"/>
          <w:sz w:val="32"/>
          <w:szCs w:val="32"/>
        </w:rPr>
      </w:pPr>
      <w:bookmarkStart w:id="137" w:name="_Toc23509_WPSOffice_Level2"/>
      <w:r>
        <w:rPr>
          <w:rFonts w:eastAsia="黑体"/>
          <w:kern w:val="0"/>
          <w:sz w:val="32"/>
          <w:szCs w:val="32"/>
        </w:rPr>
        <w:t>四、项目绩效情况</w:t>
      </w:r>
      <w:bookmarkEnd w:id="137"/>
    </w:p>
    <w:p w14:paraId="2ADD36A4">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14:paraId="19C5DCE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政法队伍教育整顿开展以来，盐边县司法局始终将政法队伍教育整顿作为首要政治任务，迅速把思想和行动统一到中央和省委、市委、县委部署要求上来，局党组切实扛起全面从严管党治警的主体责任，围绕“五个过硬”要求，突出“四项任务”，狠抓“三个环节”，高标准谋划、高效率推进、高质量落实，确保教育整顿深入开展、取得实效。</w:t>
      </w:r>
    </w:p>
    <w:p w14:paraId="669D5165">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14:paraId="70968866">
      <w:pPr>
        <w:pStyle w:val="6"/>
        <w:spacing w:line="576" w:lineRule="exact"/>
        <w:ind w:firstLine="640"/>
        <w:rPr>
          <w:rFonts w:ascii="仿宋_GB2312" w:eastAsia="仿宋_GB2312"/>
          <w:sz w:val="32"/>
          <w:szCs w:val="32"/>
        </w:rPr>
      </w:pPr>
      <w:r>
        <w:rPr>
          <w:rFonts w:hint="eastAsia" w:ascii="仿宋_GB2312" w:eastAsia="仿宋_GB2312"/>
          <w:sz w:val="32"/>
          <w:szCs w:val="32"/>
        </w:rPr>
        <w:t>盐边县司法局将持续总结教育整顿中暴露的突出问题，探索队伍建设、司法执法的全面从严管党治警制度机制，通过加强干部队伍思政教育和专业培训，进一步增强“四个意识”、坚定“四个自信”、做到“两个维护”，筑牢忠诚干净担当政治本色的思想基础；继续探索“我为群众办实事”常态化工作机制，通过持续开展“遵法评理会”建设、率先探索行政裁决和人民调解购买服务试点工作、全覆盖开通基层司法所“远程探视”平台，继续拓展司法便民、利民各项举措，坚持以奋发有为、昂扬向上的精神状态，将“我为群众办实事”实践活动开展得有声有色，不断提高人民群众的获得感和满意度，以实际行动推动我县司法行政系统队伍教育整顿工作深入开展、抓出成效。</w:t>
      </w:r>
    </w:p>
    <w:p w14:paraId="389FBF0E">
      <w:pPr>
        <w:autoSpaceDE w:val="0"/>
        <w:autoSpaceDN w:val="0"/>
        <w:adjustRightInd w:val="0"/>
        <w:spacing w:line="600" w:lineRule="exact"/>
        <w:ind w:firstLine="640" w:firstLineChars="200"/>
        <w:jc w:val="left"/>
        <w:rPr>
          <w:rFonts w:eastAsia="黑体"/>
          <w:kern w:val="0"/>
          <w:sz w:val="32"/>
          <w:szCs w:val="32"/>
        </w:rPr>
      </w:pPr>
      <w:bookmarkStart w:id="138" w:name="_Toc26004_WPSOffice_Level2"/>
      <w:r>
        <w:rPr>
          <w:rFonts w:eastAsia="黑体"/>
          <w:kern w:val="0"/>
          <w:sz w:val="32"/>
          <w:szCs w:val="32"/>
        </w:rPr>
        <w:t>五、评价结论及建议</w:t>
      </w:r>
      <w:bookmarkEnd w:id="138"/>
    </w:p>
    <w:p w14:paraId="0523544D">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14:paraId="678A40E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该项目的及时、完整实施，</w:t>
      </w:r>
      <w:r>
        <w:rPr>
          <w:rFonts w:hint="eastAsia" w:eastAsia="仿宋_GB2312"/>
          <w:sz w:val="32"/>
          <w:szCs w:val="32"/>
        </w:rPr>
        <w:t>有力保障了县司法局政法队伍教育整顿的顺利开展，对提升司法局整体素质，促进司法局业务的发展具有巨大作用。</w:t>
      </w:r>
      <w:r>
        <w:rPr>
          <w:rFonts w:hint="eastAsia" w:ascii="仿宋" w:hAnsi="仿宋" w:eastAsia="仿宋" w:cs="仿宋"/>
          <w:sz w:val="32"/>
          <w:szCs w:val="32"/>
        </w:rPr>
        <w:t>项目执行率100%，满意度100%。</w:t>
      </w:r>
    </w:p>
    <w:p w14:paraId="4C13FF9F">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14:paraId="6A169277">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14:paraId="2316B83E">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14:paraId="52E07F79">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14:paraId="5B0E23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14:paraId="0041A87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14:paraId="4A383F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14:paraId="29944338"/>
    <w:p w14:paraId="48E26F9A">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9" w:name="_Toc403_WPSOffice_Level2"/>
      <w:r>
        <w:rPr>
          <w:rFonts w:hint="eastAsia" w:ascii="方正小标宋_GBK" w:hAnsi="方正小标宋_GBK" w:eastAsia="方正小标宋_GBK" w:cs="方正小标宋_GBK"/>
          <w:sz w:val="36"/>
          <w:szCs w:val="36"/>
        </w:rPr>
        <w:t>对上争取资金奖励自评报告</w:t>
      </w:r>
      <w:bookmarkEnd w:id="139"/>
    </w:p>
    <w:p w14:paraId="06DC6B28">
      <w:pPr>
        <w:autoSpaceDE w:val="0"/>
        <w:autoSpaceDN w:val="0"/>
        <w:adjustRightInd w:val="0"/>
        <w:spacing w:line="600" w:lineRule="exact"/>
        <w:ind w:firstLine="880" w:firstLineChars="200"/>
        <w:jc w:val="left"/>
        <w:rPr>
          <w:rFonts w:ascii="黑体" w:hAnsi="黑体" w:eastAsia="黑体" w:cs="黑体"/>
          <w:sz w:val="44"/>
          <w:szCs w:val="44"/>
        </w:rPr>
      </w:pPr>
    </w:p>
    <w:p w14:paraId="6DC6C0B1">
      <w:pPr>
        <w:autoSpaceDE w:val="0"/>
        <w:autoSpaceDN w:val="0"/>
        <w:adjustRightInd w:val="0"/>
        <w:spacing w:line="600" w:lineRule="exact"/>
        <w:ind w:firstLine="640" w:firstLineChars="200"/>
        <w:jc w:val="left"/>
        <w:rPr>
          <w:rFonts w:eastAsia="黑体"/>
          <w:kern w:val="0"/>
          <w:sz w:val="32"/>
          <w:szCs w:val="32"/>
        </w:rPr>
      </w:pPr>
      <w:bookmarkStart w:id="140" w:name="_Toc29195_WPSOffice_Level2"/>
      <w:r>
        <w:rPr>
          <w:rFonts w:eastAsia="黑体"/>
          <w:kern w:val="0"/>
          <w:sz w:val="32"/>
          <w:szCs w:val="32"/>
        </w:rPr>
        <w:t>一、项目概况</w:t>
      </w:r>
      <w:bookmarkEnd w:id="140"/>
    </w:p>
    <w:p w14:paraId="2B37B6A6">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14:paraId="156837B8">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1A6D05F6">
      <w:pPr>
        <w:spacing w:line="560" w:lineRule="exact"/>
        <w:ind w:firstLine="640" w:firstLineChars="200"/>
        <w:rPr>
          <w:rFonts w:eastAsia="仿宋_GB2312"/>
          <w:sz w:val="32"/>
          <w:szCs w:val="32"/>
        </w:rPr>
      </w:pPr>
      <w:r>
        <w:rPr>
          <w:rFonts w:eastAsia="仿宋_GB2312"/>
          <w:sz w:val="32"/>
          <w:szCs w:val="32"/>
        </w:rPr>
        <w:t>2.项目立项、资金申报的依据。</w:t>
      </w:r>
    </w:p>
    <w:p w14:paraId="7F5A4794">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下达司法局奖励经费6万元。用于司法业务工作支出</w:t>
      </w:r>
    </w:p>
    <w:p w14:paraId="2096DC6E">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14:paraId="1CAE593D">
      <w:pPr>
        <w:spacing w:line="560" w:lineRule="exact"/>
        <w:ind w:firstLine="640" w:firstLineChars="200"/>
        <w:rPr>
          <w:rFonts w:eastAsia="仿宋_GB2312"/>
          <w:kern w:val="0"/>
          <w:sz w:val="32"/>
          <w:szCs w:val="32"/>
        </w:rPr>
      </w:pPr>
      <w:r>
        <w:rPr>
          <w:rFonts w:eastAsia="仿宋_GB2312"/>
          <w:sz w:val="32"/>
          <w:szCs w:val="32"/>
        </w:rPr>
        <w:t>4.资金分配的原则及考虑因素。</w:t>
      </w:r>
      <w:r>
        <w:rPr>
          <w:rFonts w:hint="eastAsia" w:eastAsia="仿宋_GB2312"/>
          <w:sz w:val="32"/>
          <w:szCs w:val="32"/>
        </w:rPr>
        <w:t>县财政下达司法局对上争取资金奖励经费3万元，用于司法业务工作需要。</w:t>
      </w:r>
    </w:p>
    <w:p w14:paraId="2470139F">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14:paraId="54E6BCE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14:paraId="125F2E09">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530886BA">
      <w:pPr>
        <w:spacing w:line="56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w:t>
      </w:r>
      <w:r>
        <w:rPr>
          <w:rFonts w:hint="eastAsia" w:ascii="Calibri" w:hAnsi="Calibri" w:eastAsia="仿宋_GB2312"/>
          <w:sz w:val="32"/>
          <w:szCs w:val="32"/>
        </w:rPr>
        <w:t>及</w:t>
      </w:r>
      <w:r>
        <w:rPr>
          <w:rFonts w:hint="eastAsia" w:eastAsia="仿宋_GB2312"/>
          <w:kern w:val="0"/>
          <w:sz w:val="32"/>
          <w:szCs w:val="32"/>
        </w:rPr>
        <w:t>时下拨支出，</w:t>
      </w:r>
      <w:r>
        <w:rPr>
          <w:rFonts w:hint="eastAsia" w:eastAsia="仿宋_GB2312"/>
          <w:sz w:val="32"/>
          <w:szCs w:val="32"/>
        </w:rPr>
        <w:t>对促进司法业务工作开展，鼓励县司法局加大对上争取资金具有重要意义。</w:t>
      </w:r>
    </w:p>
    <w:p w14:paraId="78AA6334">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14:paraId="6C8CDFE1">
      <w:pPr>
        <w:autoSpaceDE w:val="0"/>
        <w:autoSpaceDN w:val="0"/>
        <w:adjustRightInd w:val="0"/>
        <w:spacing w:line="600" w:lineRule="exact"/>
        <w:ind w:firstLine="640" w:firstLineChars="200"/>
        <w:jc w:val="left"/>
        <w:rPr>
          <w:rFonts w:eastAsia="楷体_GB2312"/>
          <w:kern w:val="0"/>
          <w:sz w:val="32"/>
          <w:szCs w:val="32"/>
        </w:rPr>
      </w:pPr>
      <w:bookmarkStart w:id="141" w:name="_Toc17076_WPSOffice_Level2"/>
      <w:r>
        <w:rPr>
          <w:rFonts w:eastAsia="黑体"/>
          <w:kern w:val="0"/>
          <w:sz w:val="32"/>
          <w:szCs w:val="32"/>
        </w:rPr>
        <w:t>二、项目资金申报及使用情况</w:t>
      </w:r>
      <w:bookmarkEnd w:id="141"/>
    </w:p>
    <w:p w14:paraId="4CECD1F3">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14:paraId="3B39CC51">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5D88B379">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14:paraId="24E03173">
      <w:pPr>
        <w:spacing w:line="560" w:lineRule="exact"/>
        <w:ind w:firstLine="643" w:firstLineChars="200"/>
        <w:rPr>
          <w:rFonts w:eastAsia="仿宋_GB2312"/>
          <w:b/>
          <w:sz w:val="32"/>
          <w:szCs w:val="32"/>
        </w:rPr>
      </w:pPr>
      <w:r>
        <w:rPr>
          <w:rFonts w:eastAsia="仿宋_GB2312"/>
          <w:b/>
          <w:sz w:val="32"/>
          <w:szCs w:val="32"/>
        </w:rPr>
        <w:t>1.资金计划</w:t>
      </w:r>
    </w:p>
    <w:p w14:paraId="4F32DC64">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14:paraId="3469C8DF">
      <w:pPr>
        <w:spacing w:line="560" w:lineRule="exact"/>
        <w:ind w:firstLine="643" w:firstLineChars="200"/>
        <w:rPr>
          <w:rFonts w:eastAsia="仿宋_GB2312"/>
          <w:b/>
          <w:sz w:val="32"/>
          <w:szCs w:val="32"/>
        </w:rPr>
      </w:pPr>
      <w:r>
        <w:rPr>
          <w:rFonts w:eastAsia="仿宋_GB2312"/>
          <w:b/>
          <w:sz w:val="32"/>
          <w:szCs w:val="32"/>
        </w:rPr>
        <w:t>2.资金到位</w:t>
      </w:r>
    </w:p>
    <w:p w14:paraId="2C5D11DB">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2021年3月由</w:t>
      </w:r>
      <w:r>
        <w:rPr>
          <w:rFonts w:hint="eastAsia" w:eastAsia="仿宋_GB2312"/>
          <w:sz w:val="32"/>
          <w:szCs w:val="32"/>
        </w:rPr>
        <w:t>盐财资预【2021】28号文</w:t>
      </w:r>
      <w:r>
        <w:rPr>
          <w:rFonts w:hint="eastAsia" w:ascii="仿宋" w:hAnsi="仿宋" w:eastAsia="仿宋" w:cs="仿宋"/>
          <w:sz w:val="32"/>
          <w:szCs w:val="32"/>
        </w:rPr>
        <w:t>，</w:t>
      </w:r>
      <w:r>
        <w:rPr>
          <w:rFonts w:hint="eastAsia" w:eastAsia="方正仿宋_GBK"/>
          <w:sz w:val="32"/>
          <w:szCs w:val="32"/>
        </w:rPr>
        <w:t>根据盐财资预〔2021〕80号</w:t>
      </w:r>
      <w:r>
        <w:rPr>
          <w:rFonts w:hint="eastAsia" w:ascii="仿宋" w:hAnsi="仿宋" w:eastAsia="仿宋" w:cs="仿宋"/>
          <w:sz w:val="32"/>
          <w:szCs w:val="32"/>
        </w:rPr>
        <w:t>下达解决</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经费6万元</w:t>
      </w:r>
      <w:r>
        <w:rPr>
          <w:rFonts w:hint="eastAsia" w:eastAsia="仿宋_GB2312"/>
          <w:kern w:val="0"/>
          <w:sz w:val="32"/>
          <w:szCs w:val="32"/>
        </w:rPr>
        <w:t>，资金</w:t>
      </w:r>
      <w:r>
        <w:rPr>
          <w:rFonts w:hint="eastAsia" w:ascii="仿宋" w:hAnsi="仿宋" w:eastAsia="仿宋" w:cs="仿宋"/>
          <w:sz w:val="32"/>
          <w:szCs w:val="32"/>
        </w:rPr>
        <w:t>到位率100%。</w:t>
      </w:r>
    </w:p>
    <w:p w14:paraId="3F56DDDA">
      <w:pPr>
        <w:spacing w:line="560" w:lineRule="exact"/>
        <w:ind w:firstLine="643" w:firstLineChars="200"/>
        <w:rPr>
          <w:rFonts w:eastAsia="仿宋_GB2312"/>
          <w:b/>
          <w:sz w:val="32"/>
          <w:szCs w:val="32"/>
        </w:rPr>
      </w:pPr>
      <w:r>
        <w:rPr>
          <w:rFonts w:eastAsia="仿宋_GB2312"/>
          <w:b/>
          <w:sz w:val="32"/>
          <w:szCs w:val="32"/>
        </w:rPr>
        <w:t>3.资金使用</w:t>
      </w:r>
    </w:p>
    <w:p w14:paraId="7CAA47B0">
      <w:pPr>
        <w:spacing w:line="560" w:lineRule="exact"/>
        <w:ind w:firstLine="640" w:firstLineChars="200"/>
        <w:rPr>
          <w:rFonts w:eastAsia="仿宋_GB2312"/>
          <w:sz w:val="32"/>
          <w:szCs w:val="32"/>
        </w:rPr>
      </w:pPr>
      <w:r>
        <w:rPr>
          <w:rFonts w:hint="eastAsia" w:eastAsia="仿宋_GB2312"/>
          <w:sz w:val="32"/>
          <w:szCs w:val="32"/>
        </w:rPr>
        <w:t>县财政下达司法对上争取资金奖励经费6万元，用于司法业务工作需要。经费到位后，县司法局严格按财经纪律、财务管理等相关规定，严格审核各项支出，及时支付，专款专用，资金支付完成100%。</w:t>
      </w:r>
    </w:p>
    <w:p w14:paraId="4102A343">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14:paraId="394CCD15">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14:paraId="5E532FBE">
      <w:pPr>
        <w:autoSpaceDE w:val="0"/>
        <w:autoSpaceDN w:val="0"/>
        <w:adjustRightInd w:val="0"/>
        <w:spacing w:line="600" w:lineRule="exact"/>
        <w:ind w:firstLine="640" w:firstLineChars="200"/>
        <w:jc w:val="left"/>
        <w:rPr>
          <w:rFonts w:eastAsia="黑体"/>
          <w:kern w:val="0"/>
          <w:sz w:val="32"/>
          <w:szCs w:val="32"/>
        </w:rPr>
      </w:pPr>
      <w:bookmarkStart w:id="142" w:name="_Toc23609_WPSOffice_Level2"/>
      <w:r>
        <w:rPr>
          <w:rFonts w:eastAsia="黑体"/>
          <w:kern w:val="0"/>
          <w:sz w:val="32"/>
          <w:szCs w:val="32"/>
        </w:rPr>
        <w:t>三、项目实施及管理情况</w:t>
      </w:r>
      <w:bookmarkEnd w:id="142"/>
    </w:p>
    <w:p w14:paraId="7B53F75E">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14:paraId="13959BF3">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14:paraId="6ED8C918">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14:paraId="12D854E6">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盐边县司法局对上争取资金奖励经费支出严格按照财务管理制度执行。凭原始凭证进行审核报销，并对项目实施进度、资金支付真实性、必要性、及时性进行时时跟踪管理。</w:t>
      </w:r>
    </w:p>
    <w:p w14:paraId="37F2E2F7">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14:paraId="124A1CDA">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盐边县司法局对上争取资金奖励经费</w:t>
      </w:r>
      <w:r>
        <w:rPr>
          <w:rFonts w:hint="eastAsia" w:eastAsia="仿宋_GB2312"/>
          <w:kern w:val="0"/>
          <w:sz w:val="32"/>
          <w:szCs w:val="32"/>
        </w:rPr>
        <w:t>支出，县司法局严格按照财经纪律，对项目后期实施进度、项目质效进行跟踪管理。</w:t>
      </w:r>
    </w:p>
    <w:p w14:paraId="1B51ECF1">
      <w:pPr>
        <w:autoSpaceDE w:val="0"/>
        <w:autoSpaceDN w:val="0"/>
        <w:adjustRightInd w:val="0"/>
        <w:spacing w:line="600" w:lineRule="exact"/>
        <w:ind w:firstLine="640" w:firstLineChars="200"/>
        <w:jc w:val="left"/>
        <w:rPr>
          <w:rFonts w:eastAsia="黑体"/>
          <w:kern w:val="0"/>
          <w:sz w:val="32"/>
          <w:szCs w:val="32"/>
        </w:rPr>
      </w:pPr>
      <w:bookmarkStart w:id="143" w:name="_Toc22561_WPSOffice_Level2"/>
      <w:r>
        <w:rPr>
          <w:rFonts w:eastAsia="黑体"/>
          <w:kern w:val="0"/>
          <w:sz w:val="32"/>
          <w:szCs w:val="32"/>
        </w:rPr>
        <w:t>四、项目绩效情况</w:t>
      </w:r>
      <w:bookmarkEnd w:id="143"/>
    </w:p>
    <w:p w14:paraId="50B3DDBF">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14:paraId="03DFFC0B">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14:paraId="501CD0ED">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14:paraId="322ABC42">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14:paraId="4397A1BA">
      <w:pPr>
        <w:autoSpaceDE w:val="0"/>
        <w:autoSpaceDN w:val="0"/>
        <w:adjustRightInd w:val="0"/>
        <w:spacing w:line="600" w:lineRule="exact"/>
        <w:ind w:firstLine="640" w:firstLineChars="200"/>
        <w:jc w:val="left"/>
        <w:rPr>
          <w:rFonts w:eastAsia="黑体"/>
          <w:kern w:val="0"/>
          <w:sz w:val="32"/>
          <w:szCs w:val="32"/>
        </w:rPr>
      </w:pPr>
      <w:bookmarkStart w:id="144" w:name="_Toc2614_WPSOffice_Level2"/>
      <w:r>
        <w:rPr>
          <w:rFonts w:eastAsia="黑体"/>
          <w:kern w:val="0"/>
          <w:sz w:val="32"/>
          <w:szCs w:val="32"/>
        </w:rPr>
        <w:t>五、评价结论及建议</w:t>
      </w:r>
      <w:bookmarkEnd w:id="144"/>
    </w:p>
    <w:p w14:paraId="1C6E2C17">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14:paraId="369AAA09">
      <w:pPr>
        <w:spacing w:line="560" w:lineRule="exact"/>
        <w:ind w:firstLine="640" w:firstLineChars="200"/>
        <w:rPr>
          <w:rFonts w:ascii="仿宋" w:hAnsi="仿宋" w:eastAsia="仿宋" w:cs="仿宋"/>
          <w:sz w:val="32"/>
          <w:szCs w:val="32"/>
        </w:rPr>
      </w:pPr>
      <w:r>
        <w:rPr>
          <w:rFonts w:hint="eastAsia" w:eastAsia="仿宋_GB2312"/>
          <w:sz w:val="32"/>
          <w:szCs w:val="32"/>
        </w:rPr>
        <w:t>盐边县司法局对上争取资金奖励经费在当期完成了项目的总体实施，执行率100%。对促进公安业务工作开展，鼓励县司法局加大对上争取资金具有重要意义</w:t>
      </w:r>
      <w:r>
        <w:rPr>
          <w:rFonts w:eastAsia="仿宋_GB2312"/>
          <w:sz w:val="32"/>
          <w:szCs w:val="32"/>
        </w:rPr>
        <w:t>。</w:t>
      </w:r>
      <w:r>
        <w:rPr>
          <w:rFonts w:hint="eastAsia" w:ascii="仿宋" w:hAnsi="仿宋" w:eastAsia="仿宋" w:cs="仿宋"/>
          <w:sz w:val="32"/>
          <w:szCs w:val="32"/>
        </w:rPr>
        <w:t>项目执行率100%，满意度100%。</w:t>
      </w:r>
    </w:p>
    <w:p w14:paraId="1C30A44C">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14:paraId="08D4DF1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r>
        <w:rPr>
          <w:rFonts w:hint="eastAsia" w:ascii="仿宋" w:hAnsi="仿宋" w:eastAsia="仿宋" w:cs="仿宋"/>
          <w:sz w:val="32"/>
          <w:szCs w:val="32"/>
        </w:rPr>
        <w:tab/>
      </w:r>
    </w:p>
    <w:p w14:paraId="4DEF89F7">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14:paraId="4351DCB6">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14:paraId="7B69FF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14:paraId="48ABCA8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14:paraId="4D77EF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14:paraId="2849EB0F"/>
    <w:p w14:paraId="1538CEDD">
      <w:pPr>
        <w:pStyle w:val="8"/>
        <w:spacing w:before="93"/>
        <w:rPr>
          <w:lang w:val="zh-CN"/>
        </w:rPr>
      </w:pP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248E145D">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7DC2B065">
            <w:pPr>
              <w:widowControl/>
              <w:jc w:val="center"/>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color w:val="000000"/>
                <w:kern w:val="0"/>
                <w:sz w:val="32"/>
                <w:szCs w:val="32"/>
              </w:rPr>
              <w:t>对上争取资金奖励</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14:paraId="6BC24EAB">
            <w:pPr>
              <w:widowControl/>
              <w:jc w:val="center"/>
              <w:textAlignment w:val="center"/>
              <w:rPr>
                <w:rFonts w:ascii="宋体" w:hAnsi="宋体" w:cs="宋体"/>
                <w:b/>
                <w:kern w:val="0"/>
                <w:sz w:val="32"/>
                <w:szCs w:val="32"/>
              </w:rPr>
            </w:pPr>
          </w:p>
        </w:tc>
      </w:tr>
    </w:tbl>
    <w:p w14:paraId="01810781">
      <w:pPr>
        <w:widowControl/>
        <w:adjustRightInd w:val="0"/>
        <w:snapToGrid w:val="0"/>
        <w:spacing w:line="580" w:lineRule="exact"/>
        <w:contextualSpacing/>
        <w:jc w:val="left"/>
      </w:pPr>
    </w:p>
    <w:tbl>
      <w:tblPr>
        <w:tblStyle w:val="18"/>
        <w:tblW w:w="8336" w:type="dxa"/>
        <w:tblInd w:w="0" w:type="dxa"/>
        <w:tblLayout w:type="fixed"/>
        <w:tblCellMar>
          <w:top w:w="0" w:type="dxa"/>
          <w:left w:w="0" w:type="dxa"/>
          <w:bottom w:w="0" w:type="dxa"/>
          <w:right w:w="0" w:type="dxa"/>
        </w:tblCellMar>
      </w:tblPr>
      <w:tblGrid>
        <w:gridCol w:w="270"/>
        <w:gridCol w:w="452"/>
        <w:gridCol w:w="452"/>
        <w:gridCol w:w="2840"/>
        <w:gridCol w:w="1231"/>
        <w:gridCol w:w="1691"/>
        <w:gridCol w:w="1009"/>
        <w:gridCol w:w="391"/>
      </w:tblGrid>
      <w:tr w14:paraId="562BBCF8">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8FBF">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DB74">
            <w:pPr>
              <w:widowControl/>
              <w:jc w:val="center"/>
              <w:textAlignment w:val="center"/>
              <w:rPr>
                <w:rFonts w:ascii="宋体" w:hAnsi="宋体" w:cs="宋体"/>
                <w:color w:val="000000"/>
                <w:sz w:val="24"/>
              </w:rPr>
            </w:pPr>
            <w:r>
              <w:rPr>
                <w:rFonts w:hint="eastAsia" w:ascii="宋体" w:hAnsi="宋体" w:cs="宋体"/>
                <w:color w:val="000000"/>
                <w:kern w:val="0"/>
                <w:sz w:val="24"/>
              </w:rPr>
              <w:t>对上争取资金奖励</w:t>
            </w:r>
          </w:p>
        </w:tc>
      </w:tr>
      <w:tr w14:paraId="6208448C">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ADEB">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9060">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10817E1A">
        <w:tblPrEx>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D357">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0E8F">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66108EE7">
        <w:tblPrEx>
          <w:tblCellMar>
            <w:top w:w="0" w:type="dxa"/>
            <w:left w:w="0" w:type="dxa"/>
            <w:bottom w:w="0" w:type="dxa"/>
            <w:right w:w="0" w:type="dxa"/>
          </w:tblCellMar>
        </w:tblPrEx>
        <w:trPr>
          <w:trHeight w:val="439" w:hRule="atLeast"/>
        </w:trPr>
        <w:tc>
          <w:tcPr>
            <w:tcW w:w="11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07BA">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24B6">
            <w:pPr>
              <w:jc w:val="center"/>
              <w:rPr>
                <w:rFonts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D7F5">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7864">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9046">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63A6299D">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BDE5">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453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346CF">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4D7">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B11B">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596E02E3">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B44A">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EE6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DB5E">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BB7B9">
            <w:pPr>
              <w:jc w:val="cente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41B5">
            <w:pPr>
              <w:jc w:val="center"/>
              <w:rPr>
                <w:rFonts w:ascii="宋体" w:hAnsi="宋体" w:cs="宋体"/>
                <w:color w:val="000000"/>
                <w:sz w:val="24"/>
              </w:rPr>
            </w:pPr>
          </w:p>
        </w:tc>
      </w:tr>
      <w:tr w14:paraId="38459F3D">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87CE">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AF1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CF44">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3D64">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BEDF">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4CABD04C">
        <w:tblPrEx>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2ACF">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9BE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C8B2">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9E69">
            <w:pP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642A">
            <w:pPr>
              <w:jc w:val="center"/>
              <w:rPr>
                <w:rFonts w:ascii="宋体" w:hAnsi="宋体" w:cs="宋体"/>
                <w:color w:val="000000"/>
                <w:sz w:val="24"/>
              </w:rPr>
            </w:pPr>
          </w:p>
        </w:tc>
      </w:tr>
      <w:tr w14:paraId="14A3651F">
        <w:tblPrEx>
          <w:tblCellMar>
            <w:top w:w="0" w:type="dxa"/>
            <w:left w:w="0" w:type="dxa"/>
            <w:bottom w:w="0" w:type="dxa"/>
            <w:right w:w="0" w:type="dxa"/>
          </w:tblCellMar>
        </w:tblPrEx>
        <w:trPr>
          <w:trHeight w:val="439"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CABA">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471F">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7A768">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3C804112">
        <w:tblPrEx>
          <w:tblCellMar>
            <w:top w:w="0" w:type="dxa"/>
            <w:left w:w="0" w:type="dxa"/>
            <w:bottom w:w="0" w:type="dxa"/>
            <w:right w:w="0" w:type="dxa"/>
          </w:tblCellMar>
        </w:tblPrEx>
        <w:trPr>
          <w:trHeight w:val="159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51D1">
            <w:pPr>
              <w:jc w:val="center"/>
              <w:rPr>
                <w:rFonts w:ascii="宋体" w:hAnsi="宋体" w:cs="宋体"/>
                <w:color w:val="000000"/>
                <w:sz w:val="24"/>
              </w:rPr>
            </w:pP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7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切实维护社会和谐稳定，保障和改善民生，促进经济健康发展，维护社会公平正义。</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1A6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切实维护社会和谐稳定，保障和改善民生，促进经济健康发展，维护社会公平正义。</w:t>
            </w:r>
          </w:p>
        </w:tc>
      </w:tr>
      <w:tr w14:paraId="60312396">
        <w:tblPrEx>
          <w:tblCellMar>
            <w:top w:w="0" w:type="dxa"/>
            <w:left w:w="0" w:type="dxa"/>
            <w:bottom w:w="0" w:type="dxa"/>
            <w:right w:w="0" w:type="dxa"/>
          </w:tblCellMar>
        </w:tblPrEx>
        <w:trPr>
          <w:trHeight w:val="1543"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ACF4">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378E">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A9FD">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2B7E">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32F6">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F61F">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EB1C">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E63B">
            <w:pPr>
              <w:widowControl/>
              <w:jc w:val="left"/>
              <w:textAlignment w:val="center"/>
              <w:rPr>
                <w:rFonts w:ascii="宋体" w:hAnsi="宋体" w:cs="宋体"/>
                <w:color w:val="000000"/>
                <w:sz w:val="24"/>
              </w:rPr>
            </w:pPr>
          </w:p>
        </w:tc>
      </w:tr>
      <w:tr w14:paraId="44CB2973">
        <w:tblPrEx>
          <w:tblCellMar>
            <w:top w:w="0" w:type="dxa"/>
            <w:left w:w="0" w:type="dxa"/>
            <w:bottom w:w="0" w:type="dxa"/>
            <w:right w:w="0" w:type="dxa"/>
          </w:tblCellMar>
        </w:tblPrEx>
        <w:trPr>
          <w:trHeight w:val="5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0A04">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00193">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469F">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B005">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6B9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按工作计划</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37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DC8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4BFA">
            <w:pPr>
              <w:rPr>
                <w:rFonts w:ascii="宋体" w:hAnsi="宋体" w:cs="宋体"/>
                <w:color w:val="000000"/>
                <w:sz w:val="24"/>
              </w:rPr>
            </w:pPr>
          </w:p>
        </w:tc>
      </w:tr>
      <w:tr w14:paraId="71CB2B7B">
        <w:tblPrEx>
          <w:tblCellMar>
            <w:top w:w="0" w:type="dxa"/>
            <w:left w:w="0" w:type="dxa"/>
            <w:bottom w:w="0" w:type="dxa"/>
            <w:right w:w="0" w:type="dxa"/>
          </w:tblCellMar>
        </w:tblPrEx>
        <w:trPr>
          <w:trHeight w:val="9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6449">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3581">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297D">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D04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保障了盐边县司法局业务经费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5D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弥补了司法局差旅费，确保了司法局工作业务的开展</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F5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190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86FE">
            <w:pPr>
              <w:rPr>
                <w:rFonts w:ascii="宋体" w:hAnsi="宋体" w:cs="宋体"/>
                <w:color w:val="000000"/>
                <w:sz w:val="24"/>
              </w:rPr>
            </w:pPr>
          </w:p>
        </w:tc>
      </w:tr>
      <w:tr w14:paraId="427947A8">
        <w:tblPrEx>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EDA9">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C37A">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E818">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FF7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按工作计划</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F8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613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1A6D">
            <w:pPr>
              <w:rPr>
                <w:rFonts w:ascii="宋体" w:hAnsi="宋体" w:cs="宋体"/>
                <w:color w:val="000000"/>
                <w:sz w:val="24"/>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A163">
            <w:pPr>
              <w:rPr>
                <w:rFonts w:ascii="宋体" w:hAnsi="宋体" w:cs="宋体"/>
                <w:color w:val="000000"/>
                <w:sz w:val="24"/>
              </w:rPr>
            </w:pPr>
          </w:p>
        </w:tc>
      </w:tr>
      <w:tr w14:paraId="4CE86158">
        <w:tblPrEx>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860B">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02E5">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EDBAE">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CE78">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764A">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2AD0">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8B0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158C">
            <w:pPr>
              <w:rPr>
                <w:rFonts w:ascii="宋体" w:hAnsi="宋体" w:cs="宋体"/>
                <w:color w:val="000000"/>
                <w:sz w:val="24"/>
              </w:rPr>
            </w:pPr>
          </w:p>
        </w:tc>
      </w:tr>
      <w:tr w14:paraId="10DB4E10">
        <w:tblPrEx>
          <w:tblCellMar>
            <w:top w:w="0" w:type="dxa"/>
            <w:left w:w="0" w:type="dxa"/>
            <w:bottom w:w="0" w:type="dxa"/>
            <w:right w:w="0" w:type="dxa"/>
          </w:tblCellMar>
        </w:tblPrEx>
        <w:trPr>
          <w:trHeight w:val="224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B485">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5C96">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79F6">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52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25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F1B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68A8">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EF0F">
            <w:pPr>
              <w:rPr>
                <w:rFonts w:ascii="宋体" w:hAnsi="宋体" w:cs="宋体"/>
                <w:color w:val="000000"/>
                <w:sz w:val="24"/>
              </w:rPr>
            </w:pPr>
          </w:p>
        </w:tc>
      </w:tr>
      <w:tr w14:paraId="1DA9240A">
        <w:tblPrEx>
          <w:tblCellMar>
            <w:top w:w="0" w:type="dxa"/>
            <w:left w:w="0" w:type="dxa"/>
            <w:bottom w:w="0" w:type="dxa"/>
            <w:right w:w="0" w:type="dxa"/>
          </w:tblCellMar>
        </w:tblPrEx>
        <w:trPr>
          <w:trHeight w:val="112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929E">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87B4">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5495">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270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D1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98FF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3D2A">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324A">
            <w:pPr>
              <w:rPr>
                <w:rFonts w:ascii="宋体" w:hAnsi="宋体" w:cs="宋体"/>
                <w:color w:val="000000"/>
                <w:sz w:val="24"/>
              </w:rPr>
            </w:pPr>
          </w:p>
        </w:tc>
      </w:tr>
      <w:tr w14:paraId="302F920B">
        <w:tblPrEx>
          <w:tblCellMar>
            <w:top w:w="0" w:type="dxa"/>
            <w:left w:w="0" w:type="dxa"/>
            <w:bottom w:w="0" w:type="dxa"/>
            <w:right w:w="0" w:type="dxa"/>
          </w:tblCellMar>
        </w:tblPrEx>
        <w:trPr>
          <w:trHeight w:val="100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CC34">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C85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FA6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4C26">
            <w:pPr>
              <w:widowControl/>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7A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3C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抽样调查达到基本满意及以上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DDD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02DF">
            <w:pPr>
              <w:rPr>
                <w:rFonts w:ascii="宋体" w:hAnsi="宋体" w:cs="宋体"/>
                <w:color w:val="000000"/>
                <w:sz w:val="24"/>
              </w:rPr>
            </w:pPr>
          </w:p>
        </w:tc>
      </w:tr>
    </w:tbl>
    <w:p w14:paraId="685A98CF">
      <w:pPr>
        <w:widowControl/>
        <w:jc w:val="left"/>
        <w:rPr>
          <w:rStyle w:val="31"/>
          <w:rFonts w:ascii="黑体" w:hAnsi="黑体" w:eastAsia="黑体"/>
          <w:b w:val="0"/>
        </w:rPr>
      </w:pPr>
    </w:p>
    <w:p w14:paraId="22A78F19">
      <w:pPr>
        <w:spacing w:line="580" w:lineRule="exact"/>
        <w:ind w:firstLine="964" w:firstLineChars="300"/>
        <w:jc w:val="center"/>
        <w:rPr>
          <w:rStyle w:val="31"/>
          <w:rFonts w:ascii="黑体" w:hAnsi="黑体" w:eastAsia="黑体"/>
          <w:b w:val="0"/>
        </w:rPr>
      </w:pPr>
      <w:bookmarkStart w:id="145" w:name="_Toc17659_WPSOffice_Level2"/>
      <w:r>
        <w:rPr>
          <w:rFonts w:hint="eastAsia" w:ascii="宋体" w:hAnsi="宋体" w:cs="宋体"/>
          <w:b/>
          <w:sz w:val="32"/>
          <w:szCs w:val="32"/>
        </w:rPr>
        <w:t>2021年</w:t>
      </w:r>
      <w:r>
        <w:rPr>
          <w:rFonts w:hint="eastAsia" w:ascii="宋体" w:hAnsi="宋体" w:cs="宋体"/>
          <w:b/>
          <w:color w:val="000000"/>
          <w:kern w:val="0"/>
          <w:sz w:val="32"/>
          <w:szCs w:val="32"/>
        </w:rPr>
        <w:t>普法工作经费</w:t>
      </w:r>
      <w:r>
        <w:rPr>
          <w:rFonts w:hint="eastAsia" w:ascii="宋体" w:hAnsi="宋体" w:cs="宋体"/>
          <w:b/>
          <w:sz w:val="32"/>
          <w:szCs w:val="32"/>
        </w:rPr>
        <w:t>项目绩效目标自评</w:t>
      </w:r>
      <w:bookmarkEnd w:id="145"/>
    </w:p>
    <w:tbl>
      <w:tblPr>
        <w:tblStyle w:val="18"/>
        <w:tblW w:w="8336" w:type="dxa"/>
        <w:tblInd w:w="0" w:type="dxa"/>
        <w:tblLayout w:type="fixed"/>
        <w:tblCellMar>
          <w:top w:w="0" w:type="dxa"/>
          <w:left w:w="0" w:type="dxa"/>
          <w:bottom w:w="0" w:type="dxa"/>
          <w:right w:w="0" w:type="dxa"/>
        </w:tblCellMar>
      </w:tblPr>
      <w:tblGrid>
        <w:gridCol w:w="233"/>
        <w:gridCol w:w="233"/>
        <w:gridCol w:w="234"/>
        <w:gridCol w:w="2390"/>
        <w:gridCol w:w="2332"/>
        <w:gridCol w:w="1691"/>
        <w:gridCol w:w="1223"/>
      </w:tblGrid>
      <w:tr w14:paraId="54A17D6E">
        <w:tblPrEx>
          <w:tblCellMar>
            <w:top w:w="0" w:type="dxa"/>
            <w:left w:w="0" w:type="dxa"/>
            <w:bottom w:w="0" w:type="dxa"/>
            <w:right w:w="0" w:type="dxa"/>
          </w:tblCellMar>
        </w:tblPrEx>
        <w:trPr>
          <w:trHeight w:val="939"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8058">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0A3B">
            <w:pPr>
              <w:widowControl/>
              <w:jc w:val="center"/>
              <w:textAlignment w:val="center"/>
              <w:rPr>
                <w:rFonts w:ascii="宋体" w:hAnsi="宋体" w:cs="宋体"/>
                <w:color w:val="000000"/>
                <w:sz w:val="24"/>
              </w:rPr>
            </w:pPr>
            <w:r>
              <w:rPr>
                <w:rFonts w:hint="eastAsia" w:ascii="宋体" w:hAnsi="宋体" w:cs="宋体"/>
                <w:color w:val="000000"/>
                <w:kern w:val="0"/>
                <w:sz w:val="24"/>
              </w:rPr>
              <w:t>普法工作相关经费</w:t>
            </w:r>
          </w:p>
        </w:tc>
      </w:tr>
      <w:tr w14:paraId="51D1D68E">
        <w:tblPrEx>
          <w:tblCellMar>
            <w:top w:w="0" w:type="dxa"/>
            <w:left w:w="0" w:type="dxa"/>
            <w:bottom w:w="0" w:type="dxa"/>
            <w:right w:w="0" w:type="dxa"/>
          </w:tblCellMar>
        </w:tblPrEx>
        <w:trPr>
          <w:trHeight w:val="409" w:hRule="atLeast"/>
        </w:trPr>
        <w:tc>
          <w:tcPr>
            <w:tcW w:w="700"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7FCF09">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636"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0F282D">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491DC496">
        <w:tblPrEx>
          <w:tblCellMar>
            <w:top w:w="0" w:type="dxa"/>
            <w:left w:w="0" w:type="dxa"/>
            <w:bottom w:w="0" w:type="dxa"/>
            <w:right w:w="0" w:type="dxa"/>
          </w:tblCellMar>
        </w:tblPrEx>
        <w:trPr>
          <w:trHeight w:val="439" w:hRule="atLeast"/>
        </w:trPr>
        <w:tc>
          <w:tcPr>
            <w:tcW w:w="70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5FC143A">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636" w:type="dxa"/>
            <w:gridSpan w:val="4"/>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E458C09">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0864DBCD">
        <w:tblPrEx>
          <w:tblCellMar>
            <w:top w:w="0" w:type="dxa"/>
            <w:left w:w="0" w:type="dxa"/>
            <w:bottom w:w="0" w:type="dxa"/>
            <w:right w:w="0" w:type="dxa"/>
          </w:tblCellMar>
        </w:tblPrEx>
        <w:trPr>
          <w:trHeight w:val="439" w:hRule="atLeast"/>
        </w:trPr>
        <w:tc>
          <w:tcPr>
            <w:tcW w:w="700" w:type="dxa"/>
            <w:gridSpan w:val="3"/>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A252D">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3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D7F8">
            <w:pPr>
              <w:jc w:val="center"/>
              <w:rPr>
                <w:rFonts w:ascii="宋体" w:hAnsi="宋体" w:cs="宋体"/>
                <w:color w:val="000000"/>
                <w:sz w:val="24"/>
              </w:rPr>
            </w:pPr>
          </w:p>
        </w:tc>
        <w:tc>
          <w:tcPr>
            <w:tcW w:w="23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48CE">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05A768">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9B106BD">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3060A5DB">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13F20">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F25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81CC">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996028">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2BC6C46">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2F8FFD3B">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9072">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C45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8C49">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6792FA">
            <w:pPr>
              <w:jc w:val="cente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559B84">
            <w:pPr>
              <w:jc w:val="center"/>
              <w:rPr>
                <w:rFonts w:ascii="宋体" w:hAnsi="宋体" w:cs="宋体"/>
                <w:color w:val="000000"/>
                <w:sz w:val="24"/>
              </w:rPr>
            </w:pPr>
          </w:p>
        </w:tc>
      </w:tr>
      <w:tr w14:paraId="7CE9FB86">
        <w:tblPrEx>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B33C">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3EF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679A">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DC7CA9">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1CB0CC6">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51E7D1BE">
        <w:tblPrEx>
          <w:tblCellMar>
            <w:top w:w="0" w:type="dxa"/>
            <w:left w:w="0" w:type="dxa"/>
            <w:bottom w:w="0" w:type="dxa"/>
            <w:right w:w="0" w:type="dxa"/>
          </w:tblCellMar>
        </w:tblPrEx>
        <w:trPr>
          <w:trHeight w:val="198"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E1EE">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4A1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133F">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6CF495">
            <w:pP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7A105">
            <w:pPr>
              <w:jc w:val="center"/>
              <w:rPr>
                <w:rFonts w:ascii="宋体" w:hAnsi="宋体" w:cs="宋体"/>
                <w:color w:val="000000"/>
                <w:sz w:val="24"/>
              </w:rPr>
            </w:pPr>
          </w:p>
        </w:tc>
      </w:tr>
      <w:tr w14:paraId="29BD15FC">
        <w:tblPrEx>
          <w:tblCellMar>
            <w:top w:w="0" w:type="dxa"/>
            <w:left w:w="0" w:type="dxa"/>
            <w:bottom w:w="0" w:type="dxa"/>
            <w:right w:w="0" w:type="dxa"/>
          </w:tblCellMar>
        </w:tblPrEx>
        <w:trPr>
          <w:trHeight w:val="439"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F77D">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4B81">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C838">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241EA7F6">
        <w:tblPrEx>
          <w:tblCellMar>
            <w:top w:w="0" w:type="dxa"/>
            <w:left w:w="0" w:type="dxa"/>
            <w:bottom w:w="0" w:type="dxa"/>
            <w:right w:w="0" w:type="dxa"/>
          </w:tblCellMar>
        </w:tblPrEx>
        <w:trPr>
          <w:trHeight w:val="15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1159">
            <w:pPr>
              <w:jc w:val="center"/>
              <w:rPr>
                <w:rFonts w:ascii="宋体" w:hAnsi="宋体" w:cs="宋体"/>
                <w:color w:val="000000"/>
                <w:sz w:val="24"/>
              </w:rPr>
            </w:pP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EAFBBC7">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423B2B4">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r>
      <w:tr w14:paraId="74DD18B5">
        <w:tblPrEx>
          <w:tblCellMar>
            <w:top w:w="0" w:type="dxa"/>
            <w:left w:w="0" w:type="dxa"/>
            <w:bottom w:w="0" w:type="dxa"/>
            <w:right w:w="0" w:type="dxa"/>
          </w:tblCellMar>
        </w:tblPrEx>
        <w:trPr>
          <w:trHeight w:val="1140"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AA7F">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EA25B">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5A7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45A8">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B491">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360B">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BE8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06A48977">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0A82">
            <w:pPr>
              <w:jc w:val="center"/>
              <w:rPr>
                <w:rFonts w:ascii="宋体" w:hAnsi="宋体" w:cs="宋体"/>
                <w:color w:val="000000"/>
                <w:sz w:val="24"/>
              </w:rPr>
            </w:pPr>
          </w:p>
        </w:tc>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F5FCA">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1938">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EBC8">
            <w:pPr>
              <w:widowControl/>
              <w:jc w:val="left"/>
              <w:textAlignment w:val="center"/>
              <w:rPr>
                <w:rFonts w:ascii="宋体" w:hAnsi="宋体" w:cs="宋体"/>
                <w:color w:val="000000"/>
                <w:sz w:val="24"/>
              </w:rPr>
            </w:pPr>
            <w:r>
              <w:rPr>
                <w:rFonts w:hint="eastAsia" w:ascii="宋体" w:hAnsi="宋体" w:cs="宋体"/>
                <w:color w:val="000000"/>
                <w:kern w:val="0"/>
                <w:sz w:val="24"/>
              </w:rPr>
              <w:t>普法宣传活动经费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9CB8">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B229">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647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07EE414D">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5433">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9FE2">
            <w:pPr>
              <w:jc w:val="center"/>
              <w:rPr>
                <w:rFonts w:ascii="宋体" w:hAnsi="宋体" w:cs="宋体"/>
                <w:color w:val="000000"/>
                <w:sz w:val="24"/>
              </w:rPr>
            </w:pPr>
          </w:p>
        </w:tc>
        <w:tc>
          <w:tcPr>
            <w:tcW w:w="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98A2">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A04B">
            <w:pPr>
              <w:widowControl/>
              <w:jc w:val="left"/>
              <w:textAlignment w:val="center"/>
              <w:rPr>
                <w:rFonts w:ascii="宋体" w:hAnsi="宋体" w:cs="宋体"/>
                <w:color w:val="000000"/>
                <w:sz w:val="24"/>
              </w:rPr>
            </w:pPr>
            <w:r>
              <w:rPr>
                <w:rFonts w:hint="eastAsia" w:ascii="宋体" w:hAnsi="宋体" w:cs="宋体"/>
                <w:color w:val="000000"/>
                <w:kern w:val="0"/>
                <w:sz w:val="24"/>
              </w:rPr>
              <w:t>发放普法宣传资料</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DB47">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C368">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6CB7">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4094FF07">
        <w:tblPrEx>
          <w:tblCellMar>
            <w:top w:w="0" w:type="dxa"/>
            <w:left w:w="0" w:type="dxa"/>
            <w:bottom w:w="0" w:type="dxa"/>
            <w:right w:w="0" w:type="dxa"/>
          </w:tblCellMar>
        </w:tblPrEx>
        <w:trPr>
          <w:trHeight w:val="1468"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6950">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422D">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3138">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C6B92">
            <w:pPr>
              <w:widowControl/>
              <w:textAlignment w:val="bottom"/>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7C8B">
            <w:pPr>
              <w:widowControl/>
              <w:jc w:val="left"/>
              <w:textAlignment w:val="center"/>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4781">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BA76">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7BB4E4F9">
        <w:tblPrEx>
          <w:tblCellMar>
            <w:top w:w="0" w:type="dxa"/>
            <w:left w:w="0" w:type="dxa"/>
            <w:bottom w:w="0" w:type="dxa"/>
            <w:right w:w="0" w:type="dxa"/>
          </w:tblCellMar>
        </w:tblPrEx>
        <w:trPr>
          <w:trHeight w:val="98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5094">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30BA">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EBD2">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CB6B">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C6BB">
            <w:pPr>
              <w:widowControl/>
              <w:jc w:val="left"/>
              <w:textAlignment w:val="center"/>
              <w:rPr>
                <w:rFonts w:ascii="宋体" w:hAnsi="宋体" w:cs="宋体"/>
                <w:color w:val="000000"/>
                <w:sz w:val="24"/>
              </w:rPr>
            </w:pPr>
            <w:r>
              <w:rPr>
                <w:rFonts w:hint="eastAsia" w:ascii="宋体" w:hAnsi="宋体" w:cs="宋体"/>
                <w:color w:val="000000"/>
                <w:kern w:val="0"/>
                <w:sz w:val="24"/>
              </w:rPr>
              <w:t>2021全年</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EEFE">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495F">
            <w:pPr>
              <w:rPr>
                <w:rFonts w:ascii="宋体" w:hAnsi="宋体" w:cs="宋体"/>
                <w:color w:val="000000"/>
                <w:sz w:val="24"/>
              </w:rPr>
            </w:pPr>
          </w:p>
        </w:tc>
      </w:tr>
      <w:tr w14:paraId="7F8548CF">
        <w:tblPrEx>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7442">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4436C">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9D6B">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3E4D">
            <w:pPr>
              <w:widowControl/>
              <w:jc w:val="left"/>
              <w:textAlignment w:val="center"/>
              <w:rPr>
                <w:rFonts w:ascii="宋体" w:hAnsi="宋体" w:cs="宋体"/>
                <w:color w:val="000000"/>
                <w:sz w:val="24"/>
              </w:rPr>
            </w:pPr>
            <w:r>
              <w:rPr>
                <w:rFonts w:hint="eastAsia" w:ascii="宋体" w:hAnsi="宋体" w:cs="宋体"/>
                <w:color w:val="000000"/>
                <w:kern w:val="0"/>
                <w:sz w:val="24"/>
              </w:rPr>
              <w:t>普法工作相关经费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C752">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59CA">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C718">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3FB6D386">
        <w:tblPrEx>
          <w:tblCellMar>
            <w:top w:w="0" w:type="dxa"/>
            <w:left w:w="0" w:type="dxa"/>
            <w:bottom w:w="0" w:type="dxa"/>
            <w:right w:w="0" w:type="dxa"/>
          </w:tblCellMar>
        </w:tblPrEx>
        <w:trPr>
          <w:trHeight w:val="199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DB98">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7447">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9BC5">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89D15">
            <w:pPr>
              <w:widowControl/>
              <w:ind w:firstLine="480" w:firstLineChars="2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5F103">
            <w:pPr>
              <w:widowControl/>
              <w:ind w:firstLine="240" w:firstLineChars="1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0D2B">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2B6C">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14:paraId="3B3129C8">
        <w:tblPrEx>
          <w:tblCellMar>
            <w:top w:w="0" w:type="dxa"/>
            <w:left w:w="0" w:type="dxa"/>
            <w:bottom w:w="0" w:type="dxa"/>
            <w:right w:w="0" w:type="dxa"/>
          </w:tblCellMar>
        </w:tblPrEx>
        <w:trPr>
          <w:trHeight w:val="9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F03E">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996D">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C91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9F58">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BF40">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813E">
            <w:pPr>
              <w:widowControl/>
              <w:jc w:val="right"/>
              <w:textAlignment w:val="center"/>
              <w:rPr>
                <w:rFonts w:ascii="宋体" w:hAnsi="宋体" w:cs="宋体"/>
                <w:color w:val="000000"/>
                <w:sz w:val="24"/>
              </w:rPr>
            </w:pPr>
            <w:r>
              <w:rPr>
                <w:rFonts w:hint="eastAsia" w:ascii="宋体" w:hAnsi="宋体" w:cs="宋体"/>
                <w:color w:val="000000"/>
                <w:kern w:val="0"/>
                <w:sz w:val="24"/>
              </w:rPr>
              <w:t>95%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863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bl>
    <w:p w14:paraId="4F0FB390">
      <w:pPr>
        <w:widowControl/>
        <w:jc w:val="left"/>
        <w:rPr>
          <w:rStyle w:val="31"/>
          <w:rFonts w:ascii="黑体" w:hAnsi="黑体" w:eastAsia="黑体"/>
          <w:b w:val="0"/>
        </w:rPr>
      </w:pPr>
      <w:r>
        <w:rPr>
          <w:rStyle w:val="31"/>
          <w:rFonts w:ascii="黑体" w:hAnsi="黑体" w:eastAsia="黑体"/>
          <w:b w:val="0"/>
        </w:rPr>
        <w:br w:type="page"/>
      </w:r>
    </w:p>
    <w:tbl>
      <w:tblPr>
        <w:tblStyle w:val="18"/>
        <w:tblW w:w="8336" w:type="dxa"/>
        <w:tblInd w:w="0" w:type="dxa"/>
        <w:tblLayout w:type="fixed"/>
        <w:tblCellMar>
          <w:top w:w="0" w:type="dxa"/>
          <w:left w:w="0" w:type="dxa"/>
          <w:bottom w:w="0" w:type="dxa"/>
          <w:right w:w="0" w:type="dxa"/>
        </w:tblCellMar>
      </w:tblPr>
      <w:tblGrid>
        <w:gridCol w:w="8336"/>
      </w:tblGrid>
      <w:tr w14:paraId="79E9C3ED">
        <w:tblPrEx>
          <w:tblCellMar>
            <w:top w:w="0" w:type="dxa"/>
            <w:left w:w="0" w:type="dxa"/>
            <w:bottom w:w="0" w:type="dxa"/>
            <w:right w:w="0" w:type="dxa"/>
          </w:tblCellMar>
        </w:tblPrEx>
        <w:trPr>
          <w:trHeight w:val="675" w:hRule="atLeast"/>
        </w:trPr>
        <w:tc>
          <w:tcPr>
            <w:tcW w:w="8336" w:type="dxa"/>
            <w:tcBorders>
              <w:top w:val="nil"/>
              <w:left w:val="nil"/>
              <w:bottom w:val="nil"/>
              <w:right w:val="nil"/>
            </w:tcBorders>
            <w:shd w:val="clear" w:color="auto" w:fill="auto"/>
            <w:tcMar>
              <w:top w:w="15" w:type="dxa"/>
              <w:left w:w="15" w:type="dxa"/>
              <w:right w:w="15" w:type="dxa"/>
            </w:tcMar>
            <w:vAlign w:val="center"/>
          </w:tcPr>
          <w:tbl>
            <w:tblPr>
              <w:tblStyle w:val="18"/>
              <w:tblW w:w="8306" w:type="dxa"/>
              <w:tblInd w:w="0" w:type="dxa"/>
              <w:tblLayout w:type="fixed"/>
              <w:tblCellMar>
                <w:top w:w="0" w:type="dxa"/>
                <w:left w:w="0" w:type="dxa"/>
                <w:bottom w:w="0" w:type="dxa"/>
                <w:right w:w="0" w:type="dxa"/>
              </w:tblCellMar>
            </w:tblPr>
            <w:tblGrid>
              <w:gridCol w:w="362"/>
              <w:gridCol w:w="470"/>
              <w:gridCol w:w="949"/>
              <w:gridCol w:w="1891"/>
              <w:gridCol w:w="1119"/>
              <w:gridCol w:w="971"/>
              <w:gridCol w:w="972"/>
              <w:gridCol w:w="1572"/>
            </w:tblGrid>
            <w:tr w14:paraId="1A536BF0">
              <w:tblPrEx>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1D867784">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2021年人民调解专项资金绩效自评表</w:t>
                  </w:r>
                </w:p>
              </w:tc>
            </w:tr>
            <w:tr w14:paraId="1F4FAAD7">
              <w:tblPrEx>
                <w:tblCellMar>
                  <w:top w:w="0" w:type="dxa"/>
                  <w:left w:w="0" w:type="dxa"/>
                  <w:bottom w:w="0" w:type="dxa"/>
                  <w:right w:w="0" w:type="dxa"/>
                </w:tblCellMar>
              </w:tblPrEx>
              <w:trPr>
                <w:trHeight w:val="319"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17C02A94">
                  <w:pPr>
                    <w:widowControl/>
                    <w:jc w:val="center"/>
                    <w:textAlignment w:val="center"/>
                    <w:rPr>
                      <w:rFonts w:ascii="宋体" w:hAnsi="宋体" w:cs="宋体"/>
                      <w:color w:val="000000"/>
                      <w:sz w:val="24"/>
                    </w:rPr>
                  </w:pPr>
                  <w:r>
                    <w:rPr>
                      <w:rFonts w:hint="eastAsia" w:ascii="宋体" w:hAnsi="宋体" w:cs="宋体"/>
                      <w:color w:val="000000"/>
                      <w:kern w:val="0"/>
                      <w:sz w:val="24"/>
                      <w:lang w:eastAsia="en-US"/>
                    </w:rPr>
                    <w:t>（</w:t>
                  </w:r>
                  <w:r>
                    <w:rPr>
                      <w:color w:val="000000"/>
                      <w:kern w:val="0"/>
                      <w:sz w:val="24"/>
                      <w:lang w:eastAsia="en-US"/>
                    </w:rPr>
                    <w:t>2021</w:t>
                  </w:r>
                  <w:r>
                    <w:rPr>
                      <w:rFonts w:hint="eastAsia" w:ascii="宋体" w:hAnsi="宋体" w:cs="宋体"/>
                      <w:color w:val="000000"/>
                      <w:kern w:val="0"/>
                      <w:sz w:val="24"/>
                      <w:lang w:eastAsia="en-US"/>
                    </w:rPr>
                    <w:t>年度）</w:t>
                  </w:r>
                </w:p>
              </w:tc>
            </w:tr>
            <w:tr w14:paraId="41F10645">
              <w:tblPrEx>
                <w:tblCellMar>
                  <w:top w:w="0" w:type="dxa"/>
                  <w:left w:w="0" w:type="dxa"/>
                  <w:bottom w:w="0" w:type="dxa"/>
                  <w:right w:w="0" w:type="dxa"/>
                </w:tblCellMar>
              </w:tblPrEx>
              <w:trPr>
                <w:trHeight w:val="435" w:hRule="atLeast"/>
              </w:trPr>
              <w:tc>
                <w:tcPr>
                  <w:tcW w:w="362" w:type="dxa"/>
                  <w:tcBorders>
                    <w:top w:val="nil"/>
                    <w:left w:val="nil"/>
                    <w:bottom w:val="single" w:color="000000" w:sz="4" w:space="0"/>
                    <w:right w:val="nil"/>
                  </w:tcBorders>
                  <w:shd w:val="clear" w:color="auto" w:fill="auto"/>
                  <w:noWrap/>
                  <w:tcMar>
                    <w:top w:w="15" w:type="dxa"/>
                    <w:left w:w="15" w:type="dxa"/>
                    <w:right w:w="15" w:type="dxa"/>
                  </w:tcMar>
                  <w:vAlign w:val="center"/>
                </w:tcPr>
                <w:p w14:paraId="57A78645">
                  <w:pPr>
                    <w:rPr>
                      <w:rFonts w:ascii="宋体" w:hAnsi="宋体" w:cs="宋体"/>
                      <w:color w:val="000000"/>
                      <w:sz w:val="24"/>
                    </w:rPr>
                  </w:pPr>
                </w:p>
              </w:tc>
              <w:tc>
                <w:tcPr>
                  <w:tcW w:w="470" w:type="dxa"/>
                  <w:tcBorders>
                    <w:top w:val="nil"/>
                    <w:left w:val="nil"/>
                    <w:bottom w:val="single" w:color="000000" w:sz="4" w:space="0"/>
                    <w:right w:val="nil"/>
                  </w:tcBorders>
                  <w:shd w:val="clear" w:color="auto" w:fill="auto"/>
                  <w:tcMar>
                    <w:top w:w="15" w:type="dxa"/>
                    <w:left w:w="15" w:type="dxa"/>
                    <w:right w:w="15" w:type="dxa"/>
                  </w:tcMar>
                  <w:vAlign w:val="center"/>
                </w:tcPr>
                <w:p w14:paraId="317D8446">
                  <w:pPr>
                    <w:rPr>
                      <w:rFonts w:ascii="宋体" w:hAnsi="宋体" w:cs="宋体"/>
                      <w:color w:val="000000"/>
                      <w:sz w:val="24"/>
                    </w:rPr>
                  </w:pPr>
                </w:p>
              </w:tc>
              <w:tc>
                <w:tcPr>
                  <w:tcW w:w="949" w:type="dxa"/>
                  <w:tcBorders>
                    <w:top w:val="nil"/>
                    <w:left w:val="nil"/>
                    <w:bottom w:val="nil"/>
                    <w:right w:val="nil"/>
                  </w:tcBorders>
                  <w:shd w:val="clear" w:color="auto" w:fill="auto"/>
                  <w:tcMar>
                    <w:top w:w="15" w:type="dxa"/>
                    <w:left w:w="15" w:type="dxa"/>
                    <w:right w:w="15" w:type="dxa"/>
                  </w:tcMar>
                  <w:vAlign w:val="center"/>
                </w:tcPr>
                <w:p w14:paraId="1BE86BB5">
                  <w:pPr>
                    <w:rPr>
                      <w:rFonts w:ascii="宋体" w:hAnsi="宋体" w:cs="宋体"/>
                      <w:color w:val="000000"/>
                      <w:sz w:val="24"/>
                    </w:rPr>
                  </w:pPr>
                </w:p>
              </w:tc>
              <w:tc>
                <w:tcPr>
                  <w:tcW w:w="1891" w:type="dxa"/>
                  <w:tcBorders>
                    <w:top w:val="nil"/>
                    <w:left w:val="nil"/>
                    <w:bottom w:val="nil"/>
                    <w:right w:val="nil"/>
                  </w:tcBorders>
                  <w:shd w:val="clear" w:color="auto" w:fill="auto"/>
                  <w:tcMar>
                    <w:top w:w="15" w:type="dxa"/>
                    <w:left w:w="15" w:type="dxa"/>
                    <w:right w:w="15" w:type="dxa"/>
                  </w:tcMar>
                  <w:vAlign w:val="center"/>
                </w:tcPr>
                <w:p w14:paraId="1D18238A">
                  <w:pPr>
                    <w:rPr>
                      <w:rFonts w:ascii="宋体" w:hAnsi="宋体" w:cs="宋体"/>
                      <w:color w:val="000000"/>
                      <w:sz w:val="24"/>
                    </w:rPr>
                  </w:pPr>
                </w:p>
              </w:tc>
              <w:tc>
                <w:tcPr>
                  <w:tcW w:w="1119" w:type="dxa"/>
                  <w:tcBorders>
                    <w:top w:val="nil"/>
                    <w:left w:val="nil"/>
                    <w:bottom w:val="nil"/>
                    <w:right w:val="nil"/>
                  </w:tcBorders>
                  <w:shd w:val="clear" w:color="auto" w:fill="auto"/>
                  <w:tcMar>
                    <w:top w:w="15" w:type="dxa"/>
                    <w:left w:w="15" w:type="dxa"/>
                    <w:right w:w="15" w:type="dxa"/>
                  </w:tcMar>
                  <w:vAlign w:val="center"/>
                </w:tcPr>
                <w:p w14:paraId="0F3454B6">
                  <w:pPr>
                    <w:rPr>
                      <w:rFonts w:ascii="宋体" w:hAnsi="宋体" w:cs="宋体"/>
                      <w:color w:val="000000"/>
                      <w:sz w:val="24"/>
                    </w:rPr>
                  </w:pPr>
                </w:p>
              </w:tc>
              <w:tc>
                <w:tcPr>
                  <w:tcW w:w="971" w:type="dxa"/>
                  <w:tcBorders>
                    <w:top w:val="nil"/>
                    <w:left w:val="nil"/>
                    <w:bottom w:val="nil"/>
                    <w:right w:val="nil"/>
                  </w:tcBorders>
                  <w:shd w:val="clear" w:color="auto" w:fill="auto"/>
                  <w:tcMar>
                    <w:top w:w="15" w:type="dxa"/>
                    <w:left w:w="15" w:type="dxa"/>
                    <w:right w:w="15" w:type="dxa"/>
                  </w:tcMar>
                  <w:vAlign w:val="center"/>
                </w:tcPr>
                <w:p w14:paraId="01195F99">
                  <w:pPr>
                    <w:rPr>
                      <w:rFonts w:ascii="宋体" w:hAnsi="宋体" w:cs="宋体"/>
                      <w:color w:val="000000"/>
                      <w:sz w:val="24"/>
                    </w:rPr>
                  </w:pPr>
                </w:p>
              </w:tc>
              <w:tc>
                <w:tcPr>
                  <w:tcW w:w="972" w:type="dxa"/>
                  <w:tcBorders>
                    <w:top w:val="nil"/>
                    <w:left w:val="nil"/>
                    <w:bottom w:val="nil"/>
                    <w:right w:val="nil"/>
                  </w:tcBorders>
                  <w:shd w:val="clear" w:color="auto" w:fill="auto"/>
                  <w:tcMar>
                    <w:top w:w="15" w:type="dxa"/>
                    <w:left w:w="15" w:type="dxa"/>
                    <w:right w:w="15" w:type="dxa"/>
                  </w:tcMar>
                  <w:vAlign w:val="center"/>
                </w:tcPr>
                <w:p w14:paraId="632ECA93">
                  <w:pPr>
                    <w:rPr>
                      <w:rFonts w:ascii="宋体" w:hAnsi="宋体" w:cs="宋体"/>
                      <w:color w:val="000000"/>
                      <w:sz w:val="24"/>
                    </w:rPr>
                  </w:pPr>
                </w:p>
              </w:tc>
              <w:tc>
                <w:tcPr>
                  <w:tcW w:w="1572" w:type="dxa"/>
                  <w:tcBorders>
                    <w:top w:val="nil"/>
                    <w:left w:val="nil"/>
                    <w:bottom w:val="nil"/>
                    <w:right w:val="nil"/>
                  </w:tcBorders>
                  <w:shd w:val="clear" w:color="auto" w:fill="auto"/>
                  <w:tcMar>
                    <w:top w:w="15" w:type="dxa"/>
                    <w:left w:w="15" w:type="dxa"/>
                    <w:right w:w="15" w:type="dxa"/>
                  </w:tcMar>
                  <w:vAlign w:val="center"/>
                </w:tcPr>
                <w:p w14:paraId="53900420">
                  <w:pPr>
                    <w:rPr>
                      <w:rFonts w:ascii="宋体" w:hAnsi="宋体" w:cs="宋体"/>
                      <w:color w:val="000000"/>
                      <w:sz w:val="24"/>
                    </w:rPr>
                  </w:pPr>
                </w:p>
              </w:tc>
            </w:tr>
            <w:tr w14:paraId="47A8EAF1">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76718">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D134">
                  <w:pPr>
                    <w:widowControl/>
                    <w:jc w:val="center"/>
                    <w:textAlignment w:val="center"/>
                    <w:rPr>
                      <w:rFonts w:ascii="宋体" w:hAnsi="宋体" w:cs="宋体"/>
                      <w:color w:val="000000"/>
                      <w:sz w:val="24"/>
                    </w:rPr>
                  </w:pPr>
                  <w:r>
                    <w:rPr>
                      <w:rFonts w:hint="eastAsia" w:ascii="宋体" w:hAnsi="宋体" w:cs="宋体"/>
                      <w:color w:val="000000"/>
                      <w:kern w:val="0"/>
                      <w:sz w:val="24"/>
                    </w:rPr>
                    <w:t>人民调解专项经费</w:t>
                  </w:r>
                </w:p>
              </w:tc>
            </w:tr>
            <w:tr w14:paraId="5AA78367">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0EF9">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2B0A">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5B18FB54">
              <w:tblPrEx>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C994">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90DB">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1CEEF59E">
              <w:tblPrEx>
                <w:tblCellMar>
                  <w:top w:w="0" w:type="dxa"/>
                  <w:left w:w="0" w:type="dxa"/>
                  <w:bottom w:w="0" w:type="dxa"/>
                  <w:right w:w="0" w:type="dxa"/>
                </w:tblCellMar>
              </w:tblPrEx>
              <w:trPr>
                <w:trHeight w:val="439" w:hRule="atLeast"/>
              </w:trPr>
              <w:tc>
                <w:tcPr>
                  <w:tcW w:w="17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5774">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B9F6">
                  <w:pPr>
                    <w:jc w:val="center"/>
                    <w:rPr>
                      <w:rFonts w:ascii="宋体" w:hAnsi="宋体" w:cs="宋体"/>
                      <w:color w:val="000000"/>
                      <w:sz w:val="24"/>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67DF">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7100">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D39D">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47BBEE18">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8C1F">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D69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C446">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07EE">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B64D">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5C9B4919">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6351">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D03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F09C">
                  <w:pPr>
                    <w:jc w:val="cente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60E6">
                  <w:pPr>
                    <w:jc w:val="cente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5982">
                  <w:pPr>
                    <w:jc w:val="center"/>
                    <w:rPr>
                      <w:rFonts w:ascii="宋体" w:hAnsi="宋体" w:cs="宋体"/>
                      <w:color w:val="000000"/>
                      <w:sz w:val="24"/>
                    </w:rPr>
                  </w:pPr>
                </w:p>
              </w:tc>
            </w:tr>
            <w:tr w14:paraId="1954B2C3">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3D49">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A89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2DE9">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F0BE">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3EB2">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54D81CDF">
              <w:tblPrEx>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C73F">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11F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5EA3">
                  <w:pP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786D">
                  <w:pP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BEF3">
                  <w:pPr>
                    <w:jc w:val="center"/>
                    <w:rPr>
                      <w:rFonts w:ascii="宋体" w:hAnsi="宋体" w:cs="宋体"/>
                      <w:color w:val="000000"/>
                      <w:sz w:val="24"/>
                    </w:rPr>
                  </w:pPr>
                </w:p>
              </w:tc>
            </w:tr>
            <w:tr w14:paraId="1D5843D8">
              <w:tblPrEx>
                <w:tblCellMar>
                  <w:top w:w="0" w:type="dxa"/>
                  <w:left w:w="0" w:type="dxa"/>
                  <w:bottom w:w="0" w:type="dxa"/>
                  <w:right w:w="0" w:type="dxa"/>
                </w:tblCellMar>
              </w:tblPrEx>
              <w:trPr>
                <w:trHeight w:val="439"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8517">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BC0C">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F0D2">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22508C0E">
              <w:tblPrEx>
                <w:tblCellMar>
                  <w:top w:w="0" w:type="dxa"/>
                  <w:left w:w="0" w:type="dxa"/>
                  <w:bottom w:w="0" w:type="dxa"/>
                  <w:right w:w="0" w:type="dxa"/>
                </w:tblCellMar>
              </w:tblPrEx>
              <w:trPr>
                <w:trHeight w:val="1308"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2C26">
                  <w:pPr>
                    <w:jc w:val="center"/>
                    <w:rPr>
                      <w:rFonts w:ascii="宋体" w:hAnsi="宋体" w:cs="宋体"/>
                      <w:color w:val="000000"/>
                      <w:sz w:val="24"/>
                    </w:rPr>
                  </w:pP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3D78A17">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B7C188">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r>
            <w:tr w14:paraId="5BE13541">
              <w:tblPrEx>
                <w:tblCellMar>
                  <w:top w:w="0" w:type="dxa"/>
                  <w:left w:w="0" w:type="dxa"/>
                  <w:bottom w:w="0" w:type="dxa"/>
                  <w:right w:w="0" w:type="dxa"/>
                </w:tblCellMar>
              </w:tblPrEx>
              <w:trPr>
                <w:trHeight w:val="57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50C0">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79A1">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BCB4">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08E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283E">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73E0">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4B2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A01B">
                  <w:pPr>
                    <w:widowControl/>
                    <w:jc w:val="left"/>
                    <w:textAlignment w:val="center"/>
                    <w:rPr>
                      <w:rFonts w:ascii="宋体" w:hAnsi="宋体" w:cs="宋体"/>
                      <w:color w:val="000000"/>
                      <w:sz w:val="24"/>
                    </w:rPr>
                  </w:pPr>
                </w:p>
              </w:tc>
            </w:tr>
            <w:tr w14:paraId="5A8173CB">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7556">
                  <w:pPr>
                    <w:jc w:val="center"/>
                    <w:rPr>
                      <w:rFonts w:ascii="宋体" w:hAnsi="宋体" w:cs="宋体"/>
                      <w:color w:val="000000"/>
                      <w:sz w:val="24"/>
                    </w:rPr>
                  </w:pP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D2AD">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9BF1">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42D6">
                  <w:pPr>
                    <w:widowControl/>
                    <w:jc w:val="left"/>
                    <w:textAlignment w:val="center"/>
                    <w:rPr>
                      <w:rFonts w:ascii="宋体" w:hAnsi="宋体" w:cs="宋体"/>
                      <w:color w:val="000000"/>
                      <w:sz w:val="24"/>
                    </w:rPr>
                  </w:pPr>
                  <w:r>
                    <w:rPr>
                      <w:rFonts w:hint="eastAsia" w:ascii="宋体" w:hAnsi="宋体" w:cs="宋体"/>
                      <w:color w:val="000000"/>
                      <w:kern w:val="0"/>
                      <w:sz w:val="24"/>
                    </w:rPr>
                    <w:t>专业调委会调解纠纷伤案件数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B21F">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5806">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5A3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C886">
                  <w:pPr>
                    <w:rPr>
                      <w:rFonts w:ascii="宋体" w:hAnsi="宋体" w:cs="宋体"/>
                      <w:color w:val="000000"/>
                      <w:sz w:val="24"/>
                    </w:rPr>
                  </w:pPr>
                </w:p>
              </w:tc>
            </w:tr>
            <w:tr w14:paraId="5CB71861">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8305">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DF58">
                  <w:pPr>
                    <w:jc w:val="center"/>
                    <w:rPr>
                      <w:rFonts w:ascii="宋体" w:hAnsi="宋体" w:cs="宋体"/>
                      <w:color w:val="000000"/>
                      <w:sz w:val="24"/>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52D8">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94EAB">
                  <w:pPr>
                    <w:widowControl/>
                    <w:jc w:val="left"/>
                    <w:textAlignment w:val="center"/>
                    <w:rPr>
                      <w:rFonts w:ascii="宋体" w:hAnsi="宋体" w:cs="宋体"/>
                      <w:color w:val="000000"/>
                      <w:sz w:val="24"/>
                    </w:rPr>
                  </w:pPr>
                  <w:r>
                    <w:rPr>
                      <w:rFonts w:hint="eastAsia" w:ascii="宋体" w:hAnsi="宋体" w:cs="宋体"/>
                      <w:color w:val="000000"/>
                      <w:kern w:val="0"/>
                      <w:sz w:val="24"/>
                    </w:rPr>
                    <w:t>组织人民调解员培训次数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0E7B">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C0AA">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035E">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7EDA">
                  <w:pPr>
                    <w:rPr>
                      <w:rFonts w:ascii="宋体" w:hAnsi="宋体" w:cs="宋体"/>
                      <w:color w:val="000000"/>
                      <w:sz w:val="24"/>
                    </w:rPr>
                  </w:pPr>
                </w:p>
              </w:tc>
            </w:tr>
            <w:tr w14:paraId="75B6AFA5">
              <w:tblPrEx>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F8D6">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CA1D">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3C2A">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9CAC">
                  <w:pPr>
                    <w:widowControl/>
                    <w:jc w:val="left"/>
                    <w:textAlignment w:val="center"/>
                    <w:rPr>
                      <w:rFonts w:ascii="宋体" w:hAnsi="宋体" w:cs="宋体"/>
                      <w:color w:val="000000"/>
                      <w:sz w:val="24"/>
                    </w:rPr>
                  </w:pPr>
                  <w:r>
                    <w:rPr>
                      <w:rFonts w:hint="eastAsia" w:ascii="宋体" w:hAnsi="宋体" w:cs="宋体"/>
                      <w:color w:val="000000"/>
                      <w:kern w:val="0"/>
                      <w:sz w:val="24"/>
                    </w:rPr>
                    <w:t>及时参与矛盾纠纷调解及信访维稳工作，开展矛盾纠纷排查</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F043">
                  <w:pPr>
                    <w:widowControl/>
                    <w:jc w:val="left"/>
                    <w:textAlignment w:val="center"/>
                    <w:rPr>
                      <w:rFonts w:ascii="宋体" w:hAnsi="宋体" w:cs="宋体"/>
                      <w:color w:val="000000"/>
                      <w:sz w:val="24"/>
                    </w:rPr>
                  </w:pPr>
                  <w:r>
                    <w:rPr>
                      <w:rFonts w:hint="eastAsia" w:ascii="宋体" w:hAnsi="宋体" w:cs="宋体"/>
                      <w:color w:val="000000"/>
                      <w:kern w:val="0"/>
                      <w:sz w:val="24"/>
                    </w:rPr>
                    <w:t>参与并成功调解矛盾纠纷</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04AD">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E8B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349D">
                  <w:pPr>
                    <w:rPr>
                      <w:rFonts w:ascii="宋体" w:hAnsi="宋体" w:cs="宋体"/>
                      <w:color w:val="000000"/>
                      <w:sz w:val="24"/>
                    </w:rPr>
                  </w:pPr>
                </w:p>
              </w:tc>
            </w:tr>
            <w:tr w14:paraId="6690EB0A">
              <w:tblPrEx>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04BC">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F55B">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F59C">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C52F">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9CBBC">
                  <w:pPr>
                    <w:widowControl/>
                    <w:jc w:val="left"/>
                    <w:textAlignment w:val="center"/>
                    <w:rPr>
                      <w:rFonts w:ascii="宋体" w:hAnsi="宋体" w:cs="宋体"/>
                      <w:color w:val="000000"/>
                      <w:sz w:val="24"/>
                    </w:rPr>
                  </w:pPr>
                  <w:r>
                    <w:rPr>
                      <w:rFonts w:hint="eastAsia" w:ascii="宋体" w:hAnsi="宋体" w:cs="宋体"/>
                      <w:color w:val="000000"/>
                      <w:kern w:val="0"/>
                      <w:sz w:val="24"/>
                    </w:rPr>
                    <w:t>2021年全年</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96EA">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1F13">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DEA8">
                  <w:pPr>
                    <w:rPr>
                      <w:rFonts w:ascii="宋体" w:hAnsi="宋体" w:cs="宋体"/>
                      <w:color w:val="000000"/>
                      <w:sz w:val="24"/>
                    </w:rPr>
                  </w:pPr>
                </w:p>
              </w:tc>
            </w:tr>
            <w:tr w14:paraId="7A8B792D">
              <w:tblPrEx>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9790">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D1BA">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3DEB">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9D40">
                  <w:pPr>
                    <w:widowControl/>
                    <w:jc w:val="left"/>
                    <w:textAlignment w:val="center"/>
                    <w:rPr>
                      <w:rFonts w:ascii="宋体" w:hAnsi="宋体" w:cs="宋体"/>
                      <w:color w:val="000000"/>
                      <w:sz w:val="24"/>
                    </w:rPr>
                  </w:pPr>
                  <w:r>
                    <w:rPr>
                      <w:rFonts w:hint="eastAsia" w:ascii="宋体" w:hAnsi="宋体" w:cs="宋体"/>
                      <w:color w:val="000000"/>
                      <w:kern w:val="0"/>
                      <w:sz w:val="24"/>
                    </w:rPr>
                    <w:t>人民调解专项经费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5C51">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53EB">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70A8">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4BC6">
                  <w:pPr>
                    <w:rPr>
                      <w:rFonts w:ascii="宋体" w:hAnsi="宋体" w:cs="宋体"/>
                      <w:color w:val="000000"/>
                      <w:sz w:val="24"/>
                    </w:rPr>
                  </w:pPr>
                </w:p>
              </w:tc>
            </w:tr>
            <w:tr w14:paraId="17F7C931">
              <w:tblPrEx>
                <w:tblCellMar>
                  <w:top w:w="0" w:type="dxa"/>
                  <w:left w:w="0" w:type="dxa"/>
                  <w:bottom w:w="0" w:type="dxa"/>
                  <w:right w:w="0" w:type="dxa"/>
                </w:tblCellMar>
              </w:tblPrEx>
              <w:trPr>
                <w:trHeight w:val="199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38F8">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02AB">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E6CD">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DD09">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90D1">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BA3B8">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33C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A6B6">
                  <w:pPr>
                    <w:rPr>
                      <w:rFonts w:ascii="宋体" w:hAnsi="宋体" w:cs="宋体"/>
                      <w:color w:val="000000"/>
                      <w:sz w:val="24"/>
                    </w:rPr>
                  </w:pPr>
                </w:p>
              </w:tc>
            </w:tr>
            <w:tr w14:paraId="6E0F8A37">
              <w:tblPrEx>
                <w:tblCellMar>
                  <w:top w:w="0" w:type="dxa"/>
                  <w:left w:w="0" w:type="dxa"/>
                  <w:bottom w:w="0" w:type="dxa"/>
                  <w:right w:w="0" w:type="dxa"/>
                </w:tblCellMar>
              </w:tblPrEx>
              <w:trPr>
                <w:trHeight w:val="85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503A">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53BE">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86A3">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275C">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989C">
                  <w:pPr>
                    <w:widowControl/>
                    <w:jc w:val="left"/>
                    <w:textAlignment w:val="center"/>
                    <w:rPr>
                      <w:rFonts w:ascii="宋体" w:hAnsi="宋体" w:cs="宋体"/>
                      <w:color w:val="000000"/>
                      <w:sz w:val="24"/>
                    </w:rPr>
                  </w:pPr>
                  <w:r>
                    <w:rPr>
                      <w:rFonts w:hint="eastAsia" w:ascii="宋体" w:hAnsi="宋体" w:cs="宋体"/>
                      <w:color w:val="000000"/>
                      <w:kern w:val="0"/>
                      <w:sz w:val="24"/>
                    </w:rPr>
                    <w:t>95%以上</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A88E">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6551">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5BC1">
                  <w:pPr>
                    <w:rPr>
                      <w:rFonts w:ascii="宋体" w:hAnsi="宋体" w:cs="宋体"/>
                      <w:color w:val="000000"/>
                      <w:sz w:val="24"/>
                    </w:rPr>
                  </w:pPr>
                </w:p>
              </w:tc>
            </w:tr>
          </w:tbl>
          <w:p w14:paraId="4951188E">
            <w:pPr>
              <w:widowControl/>
              <w:jc w:val="center"/>
              <w:textAlignment w:val="center"/>
              <w:rPr>
                <w:rFonts w:ascii="宋体" w:hAnsi="宋体" w:cs="宋体"/>
                <w:b/>
                <w:color w:val="000000"/>
                <w:kern w:val="0"/>
                <w:sz w:val="32"/>
                <w:szCs w:val="32"/>
              </w:rPr>
            </w:pPr>
          </w:p>
          <w:tbl>
            <w:tblPr>
              <w:tblStyle w:val="18"/>
              <w:tblW w:w="8306" w:type="dxa"/>
              <w:tblInd w:w="0" w:type="dxa"/>
              <w:tblLayout w:type="fixed"/>
              <w:tblCellMar>
                <w:top w:w="0" w:type="dxa"/>
                <w:left w:w="0" w:type="dxa"/>
                <w:bottom w:w="0" w:type="dxa"/>
                <w:right w:w="0" w:type="dxa"/>
              </w:tblCellMar>
            </w:tblPr>
            <w:tblGrid>
              <w:gridCol w:w="556"/>
              <w:gridCol w:w="479"/>
              <w:gridCol w:w="479"/>
              <w:gridCol w:w="1410"/>
              <w:gridCol w:w="1602"/>
              <w:gridCol w:w="1602"/>
              <w:gridCol w:w="835"/>
              <w:gridCol w:w="1343"/>
            </w:tblGrid>
            <w:tr w14:paraId="60548BF6">
              <w:tblPrEx>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14:paraId="0ABFD710">
                  <w:pPr>
                    <w:widowControl/>
                    <w:jc w:val="center"/>
                    <w:textAlignment w:val="center"/>
                    <w:rPr>
                      <w:rFonts w:ascii="宋体" w:hAnsi="宋体" w:cs="宋体"/>
                      <w:b/>
                      <w:color w:val="000000"/>
                      <w:kern w:val="0"/>
                      <w:sz w:val="32"/>
                      <w:szCs w:val="32"/>
                    </w:rPr>
                  </w:pPr>
                </w:p>
                <w:p w14:paraId="688FB501">
                  <w:pPr>
                    <w:widowControl/>
                    <w:jc w:val="center"/>
                    <w:textAlignment w:val="center"/>
                    <w:rPr>
                      <w:rFonts w:ascii="宋体" w:hAnsi="宋体" w:cs="宋体"/>
                      <w:b/>
                      <w:color w:val="000000"/>
                      <w:kern w:val="0"/>
                      <w:sz w:val="32"/>
                      <w:szCs w:val="32"/>
                    </w:rPr>
                  </w:pPr>
                </w:p>
                <w:p w14:paraId="2BCFB88E">
                  <w:pPr>
                    <w:widowControl/>
                    <w:jc w:val="center"/>
                    <w:textAlignment w:val="center"/>
                    <w:rPr>
                      <w:rFonts w:ascii="宋体" w:hAnsi="宋体" w:cs="宋体"/>
                      <w:b/>
                      <w:color w:val="000000"/>
                      <w:kern w:val="0"/>
                      <w:sz w:val="32"/>
                      <w:szCs w:val="32"/>
                    </w:rPr>
                  </w:pPr>
                </w:p>
                <w:p w14:paraId="5F2C642A">
                  <w:pPr>
                    <w:widowControl/>
                    <w:jc w:val="center"/>
                    <w:textAlignment w:val="center"/>
                    <w:rPr>
                      <w:rFonts w:ascii="宋体" w:hAnsi="宋体" w:cs="宋体"/>
                      <w:b/>
                      <w:color w:val="000000"/>
                      <w:kern w:val="0"/>
                      <w:sz w:val="32"/>
                      <w:szCs w:val="32"/>
                    </w:rPr>
                  </w:pPr>
                </w:p>
                <w:p w14:paraId="2749492C">
                  <w:pPr>
                    <w:widowControl/>
                    <w:jc w:val="center"/>
                    <w:textAlignment w:val="center"/>
                    <w:rPr>
                      <w:rFonts w:ascii="宋体" w:hAnsi="宋体" w:cs="宋体"/>
                      <w:b/>
                      <w:color w:val="000000"/>
                      <w:kern w:val="0"/>
                      <w:sz w:val="32"/>
                      <w:szCs w:val="32"/>
                    </w:rPr>
                  </w:pPr>
                </w:p>
                <w:p w14:paraId="7430A249">
                  <w:pPr>
                    <w:widowControl/>
                    <w:jc w:val="center"/>
                    <w:textAlignment w:val="center"/>
                    <w:rPr>
                      <w:rFonts w:ascii="宋体" w:hAnsi="宋体" w:cs="宋体"/>
                      <w:b/>
                      <w:color w:val="000000"/>
                      <w:kern w:val="0"/>
                      <w:sz w:val="32"/>
                      <w:szCs w:val="32"/>
                    </w:rPr>
                  </w:pPr>
                </w:p>
                <w:p w14:paraId="58DCD800">
                  <w:pPr>
                    <w:widowControl/>
                    <w:jc w:val="center"/>
                    <w:textAlignment w:val="center"/>
                    <w:rPr>
                      <w:rFonts w:ascii="宋体" w:hAnsi="宋体" w:cs="宋体"/>
                      <w:b/>
                      <w:color w:val="000000"/>
                      <w:kern w:val="0"/>
                      <w:sz w:val="32"/>
                      <w:szCs w:val="32"/>
                    </w:rPr>
                  </w:pPr>
                </w:p>
                <w:p w14:paraId="6D524214">
                  <w:pPr>
                    <w:widowControl/>
                    <w:jc w:val="center"/>
                    <w:textAlignment w:val="center"/>
                    <w:rPr>
                      <w:rFonts w:ascii="宋体" w:hAnsi="宋体" w:cs="宋体"/>
                      <w:b/>
                      <w:color w:val="000000"/>
                      <w:kern w:val="0"/>
                      <w:sz w:val="32"/>
                      <w:szCs w:val="32"/>
                    </w:rPr>
                  </w:pPr>
                </w:p>
                <w:p w14:paraId="39EFB46C">
                  <w:pPr>
                    <w:widowControl/>
                    <w:jc w:val="center"/>
                    <w:textAlignment w:val="center"/>
                    <w:rPr>
                      <w:rFonts w:ascii="宋体" w:hAnsi="宋体" w:cs="宋体"/>
                      <w:b/>
                      <w:color w:val="000000"/>
                      <w:kern w:val="0"/>
                      <w:sz w:val="32"/>
                      <w:szCs w:val="32"/>
                    </w:rPr>
                  </w:pPr>
                </w:p>
                <w:p w14:paraId="7091CC04">
                  <w:pPr>
                    <w:widowControl/>
                    <w:textAlignment w:val="center"/>
                    <w:rPr>
                      <w:rFonts w:ascii="宋体" w:hAnsi="宋体" w:cs="宋体"/>
                      <w:b/>
                      <w:color w:val="000000"/>
                      <w:kern w:val="0"/>
                      <w:sz w:val="32"/>
                      <w:szCs w:val="32"/>
                    </w:rPr>
                  </w:pPr>
                </w:p>
                <w:p w14:paraId="117C4D1E">
                  <w:pPr>
                    <w:pStyle w:val="7"/>
                  </w:pPr>
                </w:p>
                <w:p w14:paraId="79F7DDF8">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政法队伍教育整顿工作经费资金绩效自评表</w:t>
                  </w:r>
                </w:p>
              </w:tc>
            </w:tr>
            <w:tr w14:paraId="32BF2958">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7ABE">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D693">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盐边县司法局政法队伍教育整顿工作经费</w:t>
                  </w:r>
                </w:p>
              </w:tc>
            </w:tr>
            <w:tr w14:paraId="58C1F91C">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8840">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8D91">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2CFA58F4">
              <w:tblPrEx>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8DAC">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7CFB">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14:paraId="377733B0">
              <w:tblPrEx>
                <w:tblCellMar>
                  <w:top w:w="0" w:type="dxa"/>
                  <w:left w:w="0" w:type="dxa"/>
                  <w:bottom w:w="0" w:type="dxa"/>
                  <w:right w:w="0" w:type="dxa"/>
                </w:tblCellMar>
              </w:tblPrEx>
              <w:trPr>
                <w:trHeight w:val="439" w:hRule="atLeast"/>
              </w:trPr>
              <w:tc>
                <w:tcPr>
                  <w:tcW w:w="1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D409">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6AF5">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1EAA">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B43">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192F">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14:paraId="5C35DB28">
              <w:tblPrEx>
                <w:tblCellMar>
                  <w:top w:w="0" w:type="dxa"/>
                  <w:left w:w="0" w:type="dxa"/>
                  <w:bottom w:w="0" w:type="dxa"/>
                  <w:right w:w="0" w:type="dxa"/>
                </w:tblCellMar>
              </w:tblPrEx>
              <w:trPr>
                <w:trHeight w:val="43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625E">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1D7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7093">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8F56">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5DBB">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2C7866F3">
              <w:tblPrEx>
                <w:tblCellMar>
                  <w:top w:w="0" w:type="dxa"/>
                  <w:left w:w="0" w:type="dxa"/>
                  <w:bottom w:w="0" w:type="dxa"/>
                  <w:right w:w="0" w:type="dxa"/>
                </w:tblCellMar>
              </w:tblPrEx>
              <w:trPr>
                <w:trHeight w:val="32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7C78">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2B2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594F">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496E1">
                  <w:pPr>
                    <w:jc w:val="cente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CE04">
                  <w:pPr>
                    <w:jc w:val="center"/>
                    <w:rPr>
                      <w:rFonts w:ascii="宋体" w:hAnsi="宋体" w:cs="宋体"/>
                      <w:color w:val="000000"/>
                      <w:sz w:val="24"/>
                    </w:rPr>
                  </w:pPr>
                </w:p>
              </w:tc>
            </w:tr>
            <w:tr w14:paraId="1EA2279D">
              <w:tblPrEx>
                <w:tblCellMar>
                  <w:top w:w="0" w:type="dxa"/>
                  <w:left w:w="0" w:type="dxa"/>
                  <w:bottom w:w="0" w:type="dxa"/>
                  <w:right w:w="0" w:type="dxa"/>
                </w:tblCellMar>
              </w:tblPrEx>
              <w:trPr>
                <w:trHeight w:val="546"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EB96">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9CD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B4A4">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18692">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BD7C">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14:paraId="64C3B82C">
              <w:tblPrEx>
                <w:tblCellMar>
                  <w:top w:w="0" w:type="dxa"/>
                  <w:left w:w="0" w:type="dxa"/>
                  <w:bottom w:w="0" w:type="dxa"/>
                  <w:right w:w="0" w:type="dxa"/>
                </w:tblCellMar>
              </w:tblPrEx>
              <w:trPr>
                <w:trHeight w:val="17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4C0B">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CCB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6DA5">
                  <w:pP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2A99">
                  <w:pP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2FEF">
                  <w:pPr>
                    <w:jc w:val="center"/>
                    <w:rPr>
                      <w:rFonts w:ascii="宋体" w:hAnsi="宋体" w:cs="宋体"/>
                      <w:color w:val="000000"/>
                      <w:sz w:val="24"/>
                    </w:rPr>
                  </w:pPr>
                </w:p>
              </w:tc>
            </w:tr>
            <w:tr w14:paraId="3378DB0C">
              <w:tblPrEx>
                <w:tblCellMar>
                  <w:top w:w="0" w:type="dxa"/>
                  <w:left w:w="0" w:type="dxa"/>
                  <w:bottom w:w="0" w:type="dxa"/>
                  <w:right w:w="0" w:type="dxa"/>
                </w:tblCellMar>
              </w:tblPrEx>
              <w:trPr>
                <w:trHeight w:val="439"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E773">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DF3B">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651D">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14:paraId="0491B30E">
              <w:tblPrEx>
                <w:tblCellMar>
                  <w:top w:w="0" w:type="dxa"/>
                  <w:left w:w="0" w:type="dxa"/>
                  <w:bottom w:w="0" w:type="dxa"/>
                  <w:right w:w="0" w:type="dxa"/>
                </w:tblCellMar>
              </w:tblPrEx>
              <w:trPr>
                <w:trHeight w:val="159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F697">
                  <w:pPr>
                    <w:jc w:val="center"/>
                    <w:rPr>
                      <w:rFonts w:ascii="宋体" w:hAnsi="宋体" w:cs="宋体"/>
                      <w:color w:val="000000"/>
                      <w:sz w:val="24"/>
                    </w:rPr>
                  </w:pP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4F62521">
                  <w:pPr>
                    <w:widowControl/>
                    <w:jc w:val="center"/>
                    <w:textAlignment w:val="top"/>
                    <w:rPr>
                      <w:rFonts w:ascii="宋体" w:hAnsi="宋体" w:cs="宋体"/>
                      <w:color w:val="000000"/>
                      <w:sz w:val="24"/>
                    </w:rPr>
                  </w:pPr>
                  <w:r>
                    <w:rPr>
                      <w:rFonts w:hint="eastAsia" w:ascii="宋体" w:hAnsi="宋体" w:cs="宋体"/>
                      <w:color w:val="000000"/>
                      <w:kern w:val="0"/>
                      <w:sz w:val="24"/>
                    </w:rPr>
                    <w:br w:type="textWrapping"/>
                  </w:r>
                  <w:r>
                    <w:rPr>
                      <w:rFonts w:hint="eastAsia" w:ascii="宋体" w:hAnsi="宋体" w:cs="宋体"/>
                      <w:color w:val="000000"/>
                      <w:kern w:val="0"/>
                      <w:sz w:val="24"/>
                    </w:rPr>
                    <w:t>2021年全省开展政法队伍教育整顿工作，为保障政法队伍教育整顿工作有序推进，申请政法队伍教育整顿工作经费11.18万元。</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226C76">
                  <w:pPr>
                    <w:widowControl/>
                    <w:jc w:val="center"/>
                    <w:textAlignment w:val="top"/>
                    <w:rPr>
                      <w:rFonts w:ascii="宋体" w:hAnsi="宋体" w:cs="宋体"/>
                      <w:color w:val="000000"/>
                      <w:sz w:val="24"/>
                    </w:rPr>
                  </w:pPr>
                  <w:r>
                    <w:rPr>
                      <w:rFonts w:hint="eastAsia" w:ascii="宋体" w:hAnsi="宋体" w:cs="宋体"/>
                      <w:color w:val="000000"/>
                      <w:kern w:val="0"/>
                      <w:sz w:val="24"/>
                    </w:rPr>
                    <w:t xml:space="preserve">                                                                                                                                                            2021年全省开展政法队伍教育整顿工作，为保障政法队伍教育整顿工作有序推进，申请政法队伍教育整顿工作经费11.18万元。</w:t>
                  </w:r>
                </w:p>
              </w:tc>
            </w:tr>
            <w:tr w14:paraId="67B51F95">
              <w:tblPrEx>
                <w:tblCellMar>
                  <w:top w:w="0" w:type="dxa"/>
                  <w:left w:w="0" w:type="dxa"/>
                  <w:bottom w:w="0" w:type="dxa"/>
                  <w:right w:w="0" w:type="dxa"/>
                </w:tblCellMar>
              </w:tblPrEx>
              <w:trPr>
                <w:trHeight w:val="167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8315E">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7636">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476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AD0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5996">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D710">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9BDB">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25B8">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981C329">
              <w:tblPrEx>
                <w:tblCellMar>
                  <w:top w:w="0" w:type="dxa"/>
                  <w:left w:w="0" w:type="dxa"/>
                  <w:bottom w:w="0" w:type="dxa"/>
                  <w:right w:w="0" w:type="dxa"/>
                </w:tblCellMar>
              </w:tblPrEx>
              <w:trPr>
                <w:trHeight w:val="8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1D8A">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EDC5">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1C80">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42A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99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3D5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B463">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565F">
                  <w:pPr>
                    <w:rPr>
                      <w:rFonts w:ascii="宋体" w:hAnsi="宋体" w:cs="宋体"/>
                      <w:color w:val="000000"/>
                      <w:sz w:val="24"/>
                    </w:rPr>
                  </w:pPr>
                </w:p>
              </w:tc>
            </w:tr>
            <w:tr w14:paraId="42976E87">
              <w:tblPrEx>
                <w:tblCellMar>
                  <w:top w:w="0" w:type="dxa"/>
                  <w:left w:w="0" w:type="dxa"/>
                  <w:bottom w:w="0" w:type="dxa"/>
                  <w:right w:w="0" w:type="dxa"/>
                </w:tblCellMar>
              </w:tblPrEx>
              <w:trPr>
                <w:trHeight w:val="7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F6E6">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E667">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9096">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D9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FF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914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D9EF">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83F4">
                  <w:pPr>
                    <w:rPr>
                      <w:rFonts w:ascii="宋体" w:hAnsi="宋体" w:cs="宋体"/>
                      <w:color w:val="000000"/>
                      <w:sz w:val="24"/>
                    </w:rPr>
                  </w:pPr>
                </w:p>
              </w:tc>
            </w:tr>
            <w:tr w14:paraId="5B608D50">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FAF4">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55E7">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36C4">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09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BB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DEDF">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CC2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3F61">
                  <w:pPr>
                    <w:rPr>
                      <w:rFonts w:ascii="宋体" w:hAnsi="宋体" w:cs="宋体"/>
                      <w:color w:val="000000"/>
                      <w:sz w:val="24"/>
                    </w:rPr>
                  </w:pPr>
                </w:p>
              </w:tc>
            </w:tr>
            <w:tr w14:paraId="7BB58A77">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581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5FE0">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4A2A">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25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按工作计划</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8E0E">
                  <w:pPr>
                    <w:widowControl/>
                    <w:jc w:val="left"/>
                    <w:textAlignment w:val="center"/>
                    <w:rPr>
                      <w:rFonts w:ascii="宋体" w:hAnsi="宋体" w:cs="宋体"/>
                      <w:color w:val="000000"/>
                      <w:sz w:val="24"/>
                    </w:rPr>
                  </w:pPr>
                  <w:r>
                    <w:rPr>
                      <w:rFonts w:hint="eastAsia" w:ascii="宋体" w:hAnsi="宋体" w:cs="宋体"/>
                      <w:color w:val="000000"/>
                      <w:kern w:val="0"/>
                      <w:sz w:val="24"/>
                    </w:rPr>
                    <w:t>2021年</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DEBA">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E19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D77A">
                  <w:pPr>
                    <w:rPr>
                      <w:rFonts w:ascii="宋体" w:hAnsi="宋体" w:cs="宋体"/>
                      <w:color w:val="000000"/>
                      <w:sz w:val="24"/>
                    </w:rPr>
                  </w:pPr>
                </w:p>
              </w:tc>
            </w:tr>
            <w:tr w14:paraId="3D6E9389">
              <w:tblPrEx>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F4C2">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AF9C">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D97F">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199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BC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1EDE">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ABF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6FBE">
                  <w:pPr>
                    <w:rPr>
                      <w:rFonts w:ascii="宋体" w:hAnsi="宋体" w:cs="宋体"/>
                      <w:color w:val="000000"/>
                      <w:sz w:val="24"/>
                    </w:rPr>
                  </w:pPr>
                </w:p>
              </w:tc>
            </w:tr>
            <w:tr w14:paraId="501C60AA">
              <w:tblPrEx>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441B">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9E1D">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8678">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F1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B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26AF">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AC64">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D082">
                  <w:pPr>
                    <w:rPr>
                      <w:rFonts w:ascii="宋体" w:hAnsi="宋体" w:cs="宋体"/>
                      <w:color w:val="000000"/>
                      <w:sz w:val="24"/>
                    </w:rPr>
                  </w:pPr>
                </w:p>
              </w:tc>
            </w:tr>
            <w:tr w14:paraId="15B1BFDD">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AD6C">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E30C">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2764">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F5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2A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15F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4467">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EC62">
                  <w:pPr>
                    <w:rPr>
                      <w:rFonts w:ascii="宋体" w:hAnsi="宋体" w:cs="宋体"/>
                      <w:color w:val="000000"/>
                      <w:sz w:val="24"/>
                    </w:rPr>
                  </w:pPr>
                </w:p>
              </w:tc>
            </w:tr>
            <w:tr w14:paraId="4328966C">
              <w:tblPrEx>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743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86DC">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6B1A">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64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F1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BFFA">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DA4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DB2C">
                  <w:pPr>
                    <w:rPr>
                      <w:rFonts w:ascii="宋体" w:hAnsi="宋体" w:cs="宋体"/>
                      <w:color w:val="000000"/>
                      <w:sz w:val="24"/>
                    </w:rPr>
                  </w:pPr>
                </w:p>
              </w:tc>
            </w:tr>
            <w:tr w14:paraId="7B7E4CDF">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096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138D">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9E4A">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9F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90F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6E0D">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FA29">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7327">
                  <w:pPr>
                    <w:rPr>
                      <w:rFonts w:ascii="宋体" w:hAnsi="宋体" w:cs="宋体"/>
                      <w:color w:val="000000"/>
                      <w:sz w:val="24"/>
                    </w:rPr>
                  </w:pPr>
                </w:p>
              </w:tc>
            </w:tr>
            <w:tr w14:paraId="6D091889">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1F3F">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272B">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E64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9E57">
                  <w:pPr>
                    <w:widowControl/>
                    <w:jc w:val="left"/>
                    <w:textAlignment w:val="center"/>
                    <w:rPr>
                      <w:rFonts w:ascii="宋体" w:hAnsi="宋体" w:cs="宋体"/>
                      <w:color w:val="000000"/>
                      <w:sz w:val="24"/>
                    </w:rPr>
                  </w:pPr>
                  <w:r>
                    <w:rPr>
                      <w:rFonts w:hint="eastAsia" w:ascii="宋体" w:hAnsi="宋体" w:cs="宋体"/>
                      <w:color w:val="000000"/>
                      <w:kern w:val="0"/>
                      <w:sz w:val="24"/>
                    </w:rPr>
                    <w:t>群众满意度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1208">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187B">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7A18">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DA32">
                  <w:pPr>
                    <w:rPr>
                      <w:rFonts w:ascii="宋体" w:hAnsi="宋体" w:cs="宋体"/>
                      <w:color w:val="000000"/>
                      <w:sz w:val="24"/>
                    </w:rPr>
                  </w:pPr>
                </w:p>
              </w:tc>
            </w:tr>
            <w:tr w14:paraId="77412498">
              <w:tblPrEx>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9754">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ECB4">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5C85">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5C0E">
                  <w:pPr>
                    <w:widowControl/>
                    <w:jc w:val="left"/>
                    <w:textAlignment w:val="center"/>
                    <w:rPr>
                      <w:rFonts w:ascii="宋体" w:hAnsi="宋体" w:cs="宋体"/>
                      <w:color w:val="000000"/>
                      <w:sz w:val="24"/>
                    </w:rPr>
                  </w:pPr>
                  <w:r>
                    <w:rPr>
                      <w:rFonts w:hint="eastAsia" w:ascii="宋体" w:hAnsi="宋体" w:cs="宋体"/>
                      <w:color w:val="000000"/>
                      <w:kern w:val="0"/>
                      <w:sz w:val="24"/>
                    </w:rPr>
                    <w:t>职工满意度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8797">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0025">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8013">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3910">
                  <w:pPr>
                    <w:rPr>
                      <w:rFonts w:ascii="宋体" w:hAnsi="宋体" w:cs="宋体"/>
                      <w:color w:val="000000"/>
                      <w:sz w:val="24"/>
                    </w:rPr>
                  </w:pPr>
                </w:p>
              </w:tc>
            </w:tr>
          </w:tbl>
          <w:p w14:paraId="19869CC8">
            <w:pPr>
              <w:pStyle w:val="7"/>
            </w:pPr>
          </w:p>
        </w:tc>
      </w:tr>
      <w:bookmarkEnd w:id="111"/>
    </w:tbl>
    <w:p w14:paraId="2DCB0E34">
      <w:pPr>
        <w:pStyle w:val="4"/>
        <w:jc w:val="center"/>
        <w:rPr>
          <w:rFonts w:ascii="黑体" w:hAnsi="黑体" w:eastAsia="黑体" w:cs="黑体"/>
          <w:b w:val="0"/>
          <w:sz w:val="44"/>
          <w:szCs w:val="44"/>
        </w:rPr>
      </w:pPr>
      <w:bookmarkStart w:id="146" w:name="_Toc29778_WPSOffice_Level1"/>
      <w:bookmarkStart w:id="147" w:name="_Toc15396619"/>
      <w:r>
        <w:rPr>
          <w:rFonts w:hint="eastAsia" w:ascii="黑体" w:hAnsi="黑体" w:eastAsia="黑体" w:cs="黑体"/>
          <w:b w:val="0"/>
          <w:sz w:val="44"/>
          <w:szCs w:val="44"/>
        </w:rPr>
        <w:t>第五部分 附表</w:t>
      </w:r>
      <w:bookmarkEnd w:id="146"/>
    </w:p>
    <w:p w14:paraId="2EC224F1">
      <w:pPr>
        <w:pStyle w:val="4"/>
        <w:rPr>
          <w:rFonts w:ascii="仿宋" w:hAnsi="仿宋" w:eastAsia="仿宋"/>
        </w:rPr>
      </w:pPr>
      <w:bookmarkStart w:id="148" w:name="_Toc6729_WPSOffice_Level2"/>
      <w:r>
        <w:rPr>
          <w:rFonts w:hint="eastAsia" w:ascii="仿宋" w:hAnsi="仿宋" w:eastAsia="仿宋"/>
          <w:b w:val="0"/>
        </w:rPr>
        <w:t>一、收</w:t>
      </w:r>
      <w:r>
        <w:rPr>
          <w:rStyle w:val="32"/>
          <w:rFonts w:hint="eastAsia" w:ascii="仿宋" w:hAnsi="仿宋" w:eastAsia="仿宋"/>
          <w:b w:val="0"/>
          <w:bCs w:val="0"/>
        </w:rPr>
        <w:t>入支出决算总表</w:t>
      </w:r>
      <w:bookmarkEnd w:id="147"/>
      <w:bookmarkEnd w:id="148"/>
    </w:p>
    <w:p w14:paraId="6F9DFF8D">
      <w:pPr>
        <w:pStyle w:val="4"/>
        <w:rPr>
          <w:rFonts w:ascii="仿宋" w:hAnsi="仿宋" w:eastAsia="仿宋"/>
        </w:rPr>
      </w:pPr>
      <w:bookmarkStart w:id="149" w:name="_Toc24441_WPSOffice_Level2"/>
      <w:bookmarkStart w:id="150" w:name="_Toc15396620"/>
      <w:r>
        <w:rPr>
          <w:rFonts w:hint="eastAsia" w:ascii="仿宋" w:hAnsi="仿宋" w:eastAsia="仿宋"/>
          <w:b w:val="0"/>
        </w:rPr>
        <w:t>二、收</w:t>
      </w:r>
      <w:r>
        <w:rPr>
          <w:rStyle w:val="32"/>
          <w:rFonts w:hint="eastAsia" w:ascii="仿宋" w:hAnsi="仿宋" w:eastAsia="仿宋"/>
          <w:b w:val="0"/>
          <w:bCs w:val="0"/>
        </w:rPr>
        <w:t>入决算表</w:t>
      </w:r>
      <w:bookmarkEnd w:id="149"/>
      <w:bookmarkEnd w:id="150"/>
    </w:p>
    <w:p w14:paraId="3140941D">
      <w:pPr>
        <w:pStyle w:val="4"/>
        <w:rPr>
          <w:rFonts w:ascii="仿宋" w:hAnsi="仿宋" w:eastAsia="仿宋"/>
        </w:rPr>
      </w:pPr>
      <w:bookmarkStart w:id="151" w:name="_Toc15396621"/>
      <w:bookmarkStart w:id="152" w:name="_Toc32460_WPSOffice_Level2"/>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51"/>
      <w:bookmarkEnd w:id="152"/>
    </w:p>
    <w:p w14:paraId="580051D3">
      <w:pPr>
        <w:pStyle w:val="4"/>
        <w:rPr>
          <w:rFonts w:ascii="仿宋" w:hAnsi="仿宋" w:eastAsia="仿宋"/>
          <w:b w:val="0"/>
        </w:rPr>
      </w:pPr>
      <w:bookmarkStart w:id="153" w:name="_Toc15396622"/>
      <w:bookmarkStart w:id="154" w:name="_Toc22939_WPSOffice_Level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53"/>
      <w:bookmarkEnd w:id="154"/>
    </w:p>
    <w:p w14:paraId="25B1BDC5">
      <w:pPr>
        <w:pStyle w:val="4"/>
        <w:rPr>
          <w:rStyle w:val="32"/>
          <w:rFonts w:ascii="仿宋" w:hAnsi="仿宋" w:eastAsia="仿宋"/>
          <w:b w:val="0"/>
          <w:bCs w:val="0"/>
        </w:rPr>
      </w:pPr>
      <w:bookmarkStart w:id="155" w:name="_Toc20104_WPSOffice_Level2"/>
      <w:bookmarkStart w:id="156"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55"/>
      <w:bookmarkEnd w:id="156"/>
      <w:bookmarkStart w:id="157" w:name="_Toc15396624"/>
    </w:p>
    <w:p w14:paraId="1F998F80">
      <w:pPr>
        <w:pStyle w:val="4"/>
        <w:rPr>
          <w:rFonts w:ascii="仿宋" w:hAnsi="仿宋" w:eastAsia="仿宋"/>
        </w:rPr>
      </w:pPr>
      <w:bookmarkStart w:id="158" w:name="_Toc4266_WPSOffice_Level2"/>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57"/>
      <w:bookmarkEnd w:id="158"/>
    </w:p>
    <w:p w14:paraId="52B8D5FD">
      <w:pPr>
        <w:pStyle w:val="4"/>
        <w:rPr>
          <w:rFonts w:ascii="仿宋" w:hAnsi="仿宋" w:eastAsia="仿宋"/>
        </w:rPr>
      </w:pPr>
      <w:bookmarkStart w:id="159" w:name="_Toc15396625"/>
      <w:bookmarkStart w:id="160" w:name="_Toc5303_WPSOffice_Level2"/>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59"/>
      <w:bookmarkEnd w:id="160"/>
    </w:p>
    <w:p w14:paraId="3FD8D2F4">
      <w:pPr>
        <w:pStyle w:val="4"/>
        <w:rPr>
          <w:rFonts w:ascii="仿宋" w:hAnsi="仿宋" w:eastAsia="仿宋"/>
        </w:rPr>
      </w:pPr>
      <w:bookmarkStart w:id="161" w:name="_Toc15396626"/>
      <w:bookmarkStart w:id="162" w:name="_Toc24996_WPSOffice_Level2"/>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61"/>
      <w:bookmarkEnd w:id="162"/>
    </w:p>
    <w:p w14:paraId="1E5E4393">
      <w:pPr>
        <w:pStyle w:val="4"/>
        <w:rPr>
          <w:rFonts w:ascii="仿宋" w:hAnsi="仿宋" w:eastAsia="仿宋"/>
        </w:rPr>
      </w:pPr>
      <w:bookmarkStart w:id="163" w:name="_Toc15396627"/>
      <w:bookmarkStart w:id="164" w:name="_Toc1611_WPSOffice_Level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63"/>
      <w:bookmarkEnd w:id="164"/>
    </w:p>
    <w:p w14:paraId="59182A08">
      <w:pPr>
        <w:pStyle w:val="4"/>
        <w:rPr>
          <w:rFonts w:ascii="仿宋" w:hAnsi="仿宋" w:eastAsia="仿宋"/>
        </w:rPr>
      </w:pPr>
      <w:bookmarkStart w:id="165" w:name="_Toc15396628"/>
      <w:bookmarkStart w:id="166" w:name="_Toc29180_WPSOffice_Level2"/>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般公共预算财政拨款“三公”经费支出决算表</w:t>
      </w:r>
      <w:bookmarkEnd w:id="165"/>
      <w:bookmarkEnd w:id="166"/>
    </w:p>
    <w:p w14:paraId="71A14F23">
      <w:pPr>
        <w:pStyle w:val="4"/>
        <w:rPr>
          <w:rFonts w:ascii="仿宋" w:hAnsi="仿宋" w:eastAsia="仿宋"/>
        </w:rPr>
      </w:pPr>
      <w:bookmarkStart w:id="167" w:name="_Toc15396629"/>
      <w:bookmarkStart w:id="168" w:name="_Toc28201_WPSOffice_Level2"/>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67"/>
      <w:bookmarkEnd w:id="168"/>
    </w:p>
    <w:p w14:paraId="7A166566">
      <w:pPr>
        <w:pStyle w:val="4"/>
        <w:rPr>
          <w:rFonts w:ascii="仿宋" w:hAnsi="仿宋" w:eastAsia="仿宋"/>
        </w:rPr>
      </w:pPr>
      <w:bookmarkStart w:id="169" w:name="_Toc15396630"/>
      <w:bookmarkStart w:id="170" w:name="_Toc5971_WPSOffice_Level2"/>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府性基金预算财政拨款“三公”经费支出决算表</w:t>
      </w:r>
      <w:bookmarkEnd w:id="169"/>
      <w:bookmarkEnd w:id="170"/>
    </w:p>
    <w:p w14:paraId="56E40A7A">
      <w:pPr>
        <w:pStyle w:val="4"/>
        <w:rPr>
          <w:rStyle w:val="32"/>
          <w:rFonts w:ascii="仿宋" w:hAnsi="仿宋" w:eastAsia="仿宋"/>
          <w:b w:val="0"/>
          <w:bCs w:val="0"/>
        </w:rPr>
      </w:pPr>
      <w:bookmarkStart w:id="171" w:name="_Toc15396631"/>
      <w:bookmarkStart w:id="172" w:name="_Toc28789_WPSOffice_Level2"/>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71"/>
      <w:bookmarkEnd w:id="172"/>
    </w:p>
    <w:p w14:paraId="0711BC22">
      <w:pPr>
        <w:rPr>
          <w:rFonts w:eastAsia="仿宋"/>
        </w:rPr>
      </w:pPr>
      <w:bookmarkStart w:id="173" w:name="_Toc7708_WPSOffice_Level2"/>
      <w:r>
        <w:rPr>
          <w:rStyle w:val="32"/>
          <w:rFonts w:hint="eastAsia" w:ascii="仿宋" w:hAnsi="仿宋" w:eastAsia="仿宋"/>
          <w:b w:val="0"/>
          <w:bCs w:val="0"/>
        </w:rPr>
        <w:t>十四、国有资本经营预算财政拨款支出决算表</w:t>
      </w:r>
      <w:bookmarkEnd w:id="1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E4CD87A">
        <w:pPr>
          <w:pStyle w:val="12"/>
          <w:jc w:val="center"/>
        </w:pPr>
        <w:r>
          <w:fldChar w:fldCharType="begin"/>
        </w:r>
        <w:r>
          <w:instrText xml:space="preserve">PAGE   \* MERGEFORMAT</w:instrText>
        </w:r>
        <w:r>
          <w:fldChar w:fldCharType="separate"/>
        </w:r>
        <w:r>
          <w:rPr>
            <w:lang w:val="zh-CN"/>
          </w:rPr>
          <w:t>30</w:t>
        </w:r>
        <w:r>
          <w:fldChar w:fldCharType="end"/>
        </w:r>
      </w:p>
    </w:sdtContent>
  </w:sdt>
  <w:p w14:paraId="3E92EC8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A1A0">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8E9B74F"/>
    <w:multiLevelType w:val="singleLevel"/>
    <w:tmpl w:val="F8E9B74F"/>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8519F5"/>
    <w:multiLevelType w:val="singleLevel"/>
    <w:tmpl w:val="5F8519F5"/>
    <w:lvl w:ilvl="0" w:tentative="0">
      <w:start w:val="2"/>
      <w:numFmt w:val="chineseCounting"/>
      <w:suff w:val="nothing"/>
      <w:lvlText w:val="%1、"/>
      <w:lvlJc w:val="left"/>
    </w:lvl>
  </w:abstractNum>
  <w:abstractNum w:abstractNumId="5">
    <w:nsid w:val="5F89045C"/>
    <w:multiLevelType w:val="singleLevel"/>
    <w:tmpl w:val="5F89045C"/>
    <w:lvl w:ilvl="0" w:tentative="0">
      <w:start w:val="3"/>
      <w:numFmt w:val="chineseCounting"/>
      <w:suff w:val="nothing"/>
      <w:lvlText w:val="（%1）"/>
      <w:lvlJc w:val="left"/>
    </w:lvl>
  </w:abstractNum>
  <w:abstractNum w:abstractNumId="6">
    <w:nsid w:val="61319331"/>
    <w:multiLevelType w:val="singleLevel"/>
    <w:tmpl w:val="61319331"/>
    <w:lvl w:ilvl="0" w:tentative="0">
      <w:start w:val="1"/>
      <w:numFmt w:val="chineseCounting"/>
      <w:suff w:val="nothing"/>
      <w:lvlText w:val="（%1）"/>
      <w:lvlJc w:val="left"/>
    </w:lvl>
  </w:abstractNum>
  <w:abstractNum w:abstractNumId="7">
    <w:nsid w:val="6135DEAC"/>
    <w:multiLevelType w:val="singleLevel"/>
    <w:tmpl w:val="6135DEAC"/>
    <w:lvl w:ilvl="0" w:tentative="0">
      <w:start w:val="1"/>
      <w:numFmt w:val="chineseCounting"/>
      <w:suff w:val="nothing"/>
      <w:lvlText w:val="（%1）"/>
      <w:lvlJc w:val="left"/>
    </w:lvl>
  </w:abstractNum>
  <w:abstractNum w:abstractNumId="8">
    <w:nsid w:val="627A298E"/>
    <w:multiLevelType w:val="singleLevel"/>
    <w:tmpl w:val="627A298E"/>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426E"/>
    <w:rsid w:val="000D5782"/>
    <w:rsid w:val="000E419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1CCD"/>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1C72"/>
    <w:rsid w:val="00457321"/>
    <w:rsid w:val="004643DF"/>
    <w:rsid w:val="00471401"/>
    <w:rsid w:val="00473F31"/>
    <w:rsid w:val="0048263A"/>
    <w:rsid w:val="00487E5D"/>
    <w:rsid w:val="004A711F"/>
    <w:rsid w:val="004B199D"/>
    <w:rsid w:val="004B4690"/>
    <w:rsid w:val="004B549A"/>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31A"/>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6049"/>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C40B2"/>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670E4"/>
    <w:rsid w:val="00C87FD8"/>
    <w:rsid w:val="00C91381"/>
    <w:rsid w:val="00C91CBB"/>
    <w:rsid w:val="00C9789A"/>
    <w:rsid w:val="00CB4E70"/>
    <w:rsid w:val="00CC09B6"/>
    <w:rsid w:val="00CC666F"/>
    <w:rsid w:val="00CD1E3F"/>
    <w:rsid w:val="00CE44F6"/>
    <w:rsid w:val="00CE49DA"/>
    <w:rsid w:val="00CE7B61"/>
    <w:rsid w:val="00D00095"/>
    <w:rsid w:val="00D114F0"/>
    <w:rsid w:val="00D20620"/>
    <w:rsid w:val="00D23131"/>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101990"/>
    <w:rsid w:val="066E0107"/>
    <w:rsid w:val="07996F6E"/>
    <w:rsid w:val="0A2032A3"/>
    <w:rsid w:val="0B73047B"/>
    <w:rsid w:val="0BF05825"/>
    <w:rsid w:val="101860EC"/>
    <w:rsid w:val="10C055FF"/>
    <w:rsid w:val="118107EC"/>
    <w:rsid w:val="13C90583"/>
    <w:rsid w:val="13D50BC4"/>
    <w:rsid w:val="147F7AFF"/>
    <w:rsid w:val="16BB723D"/>
    <w:rsid w:val="1A7D0E96"/>
    <w:rsid w:val="1BE8440E"/>
    <w:rsid w:val="1D155CEE"/>
    <w:rsid w:val="23860B96"/>
    <w:rsid w:val="240371BF"/>
    <w:rsid w:val="26F10941"/>
    <w:rsid w:val="29FD04D3"/>
    <w:rsid w:val="2C8A61B5"/>
    <w:rsid w:val="2CB40EEB"/>
    <w:rsid w:val="2DF04E50"/>
    <w:rsid w:val="2E615CDF"/>
    <w:rsid w:val="2EA82C72"/>
    <w:rsid w:val="319F7F4E"/>
    <w:rsid w:val="36AA5135"/>
    <w:rsid w:val="36D17B93"/>
    <w:rsid w:val="37E16F03"/>
    <w:rsid w:val="3D98207C"/>
    <w:rsid w:val="44E268DA"/>
    <w:rsid w:val="4A627F82"/>
    <w:rsid w:val="4B4F25DA"/>
    <w:rsid w:val="4BE068DB"/>
    <w:rsid w:val="4D577224"/>
    <w:rsid w:val="4EAB630A"/>
    <w:rsid w:val="4ECE2238"/>
    <w:rsid w:val="5AF92295"/>
    <w:rsid w:val="5BD939BB"/>
    <w:rsid w:val="5CD71FC4"/>
    <w:rsid w:val="60601885"/>
    <w:rsid w:val="6C4A05C8"/>
    <w:rsid w:val="6E7E3605"/>
    <w:rsid w:val="6FF5CC65"/>
    <w:rsid w:val="715C0E4B"/>
    <w:rsid w:val="72734D90"/>
    <w:rsid w:val="73AD73D5"/>
    <w:rsid w:val="73B6EB34"/>
    <w:rsid w:val="79EE5BA4"/>
    <w:rsid w:val="7A894339"/>
    <w:rsid w:val="7BF0579A"/>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Times New Roman"/>
      <w:sz w:val="32"/>
      <w:szCs w:val="32"/>
    </w:rPr>
  </w:style>
  <w:style w:type="paragraph" w:styleId="6">
    <w:name w:val="Normal Indent"/>
    <w:basedOn w:val="1"/>
    <w:qFormat/>
    <w:uiPriority w:val="0"/>
    <w:pPr>
      <w:ind w:firstLine="420" w:firstLineChars="200"/>
    </w:pPr>
  </w:style>
  <w:style w:type="paragraph" w:styleId="7">
    <w:name w:val="Salutation"/>
    <w:basedOn w:val="1"/>
    <w:next w:val="1"/>
    <w:qFormat/>
    <w:uiPriority w:val="0"/>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17">
    <w:name w:val="Title"/>
    <w:basedOn w:val="1"/>
    <w:qFormat/>
    <w:uiPriority w:val="0"/>
    <w:pPr>
      <w:spacing w:line="240" w:lineRule="atLeast"/>
      <w:jc w:val="center"/>
    </w:pPr>
    <w:rPr>
      <w:rFonts w:ascii="Cambria" w:hAnsi="Cambria"/>
      <w:b/>
      <w:bCs/>
      <w:szCs w:val="32"/>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_Style 4"/>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标题 1 Char1"/>
    <w:basedOn w:val="19"/>
    <w:link w:val="3"/>
    <w:qFormat/>
    <w:locked/>
    <w:uiPriority w:val="0"/>
    <w:rPr>
      <w:rFonts w:ascii="Times New Roman" w:hAnsi="Times New Roman" w:cs="Times New Roman"/>
      <w:b/>
      <w:bCs/>
      <w:kern w:val="44"/>
      <w:sz w:val="44"/>
      <w:szCs w:val="44"/>
    </w:rPr>
  </w:style>
  <w:style w:type="character" w:customStyle="1" w:styleId="38">
    <w:name w:val="font71"/>
    <w:basedOn w:val="19"/>
    <w:qFormat/>
    <w:uiPriority w:val="0"/>
    <w:rPr>
      <w:rFonts w:hint="eastAsia" w:ascii="宋体" w:hAnsi="宋体" w:eastAsia="宋体" w:cs="宋体"/>
      <w:color w:val="000000"/>
      <w:sz w:val="24"/>
      <w:szCs w:val="24"/>
      <w:u w:val="none"/>
    </w:rPr>
  </w:style>
  <w:style w:type="character" w:customStyle="1" w:styleId="39">
    <w:name w:val="font11"/>
    <w:basedOn w:val="19"/>
    <w:qFormat/>
    <w:uiPriority w:val="0"/>
    <w:rPr>
      <w:rFonts w:hint="default" w:ascii="Times New Roman" w:hAnsi="Times New Roman" w:cs="Times New Roman"/>
      <w:color w:val="000000"/>
      <w:sz w:val="24"/>
      <w:szCs w:val="24"/>
      <w:u w:val="none"/>
    </w:rPr>
  </w:style>
  <w:style w:type="character" w:customStyle="1" w:styleId="40">
    <w:name w:val="font41"/>
    <w:basedOn w:val="19"/>
    <w:qFormat/>
    <w:uiPriority w:val="0"/>
    <w:rPr>
      <w:rFonts w:hint="eastAsia" w:ascii="宋体" w:hAnsi="宋体" w:eastAsia="宋体" w:cs="宋体"/>
      <w:color w:val="000000"/>
      <w:sz w:val="24"/>
      <w:szCs w:val="24"/>
      <w:u w:val="none"/>
    </w:rPr>
  </w:style>
  <w:style w:type="paragraph" w:customStyle="1" w:styleId="41">
    <w:name w:val="WPSOffice手动目录 1"/>
    <w:qFormat/>
    <w:uiPriority w:val="0"/>
    <w:rPr>
      <w:rFonts w:ascii="Calibri" w:hAnsi="Calibri" w:eastAsia="微软雅黑" w:cs="Times New Roman"/>
      <w:lang w:val="en-US" w:eastAsia="zh-CN" w:bidi="ar-SA"/>
    </w:rPr>
  </w:style>
  <w:style w:type="paragraph" w:customStyle="1" w:styleId="42">
    <w:name w:val="WPSOffice手动目录 2"/>
    <w:qFormat/>
    <w:uiPriority w:val="0"/>
    <w:pPr>
      <w:ind w:left="200" w:leftChars="200"/>
    </w:pPr>
    <w:rPr>
      <w:rFonts w:ascii="Calibri" w:hAnsi="Calibri" w:eastAsia="微软雅黑"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[2021决算公开图表司法.xls]Sheet1!$B$58:$C$58</c:f>
              <c:strCache>
                <c:ptCount val="2"/>
                <c:pt idx="0">
                  <c:v>2021年</c:v>
                </c:pt>
                <c:pt idx="1">
                  <c:v>2020年</c:v>
                </c:pt>
              </c:strCache>
            </c:strRef>
          </c:cat>
          <c:val>
            <c:numRef>
              <c:f>[2021决算公开图表司法.xls]Sheet1!$B$59:$C$59</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408845696"/>
        <c:axId val="34116736"/>
      </c:barChart>
      <c:catAx>
        <c:axId val="40884569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116736"/>
        <c:crosses val="autoZero"/>
        <c:auto val="1"/>
        <c:lblAlgn val="ctr"/>
        <c:lblOffset val="100"/>
        <c:noMultiLvlLbl val="0"/>
      </c:catAx>
      <c:valAx>
        <c:axId val="3411673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884569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231265611990008"/>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77d69bb-8f3c-4302-b929-c19fb4adad7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7   “</a:t>
            </a:r>
            <a:r>
              <a:rPr lang="zh-CN" altLang="en-US"/>
              <a:t>三公”经费财政拨款支出结构</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manualLayout>
                  <c:x val="0"/>
                  <c:y val="0.0304709141274238"/>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84855465188689"/>
                  <c:y val="0.064414279838287"/>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[2021决算公开图表司法.xls]Sheet1!$C$139:$C$141</c:f>
              <c:numCache>
                <c:formatCode>General</c:formatCode>
                <c:ptCount val="3"/>
                <c:pt idx="0">
                  <c:v>0</c:v>
                </c:pt>
                <c:pt idx="1">
                  <c:v>11.83</c:v>
                </c:pt>
                <c:pt idx="2">
                  <c:v>0.9</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[2021决算公开图表司法.xls]Sheet1!$D$139:$D$141</c:f>
              <c:numCache>
                <c:formatCode>General</c:formatCode>
                <c:ptCount val="3"/>
                <c:pt idx="0">
                  <c:v>0</c:v>
                </c:pt>
                <c:pt idx="1" c:formatCode="0.00%">
                  <c:v>0.93</c:v>
                </c:pt>
                <c:pt idx="2" c:formatCode="0.00%">
                  <c:v>0.07</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55538146317946"/>
          <c:y val="0.400602409638554"/>
          <c:w val="0.338797155598409"/>
          <c:h val="0.506487488415199"/>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e7b67a85-6c92-494d-b7b2-c10cfd2d7ef0}"/>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[2021决算公开图表司法.xls]Sheet1!$C$3:$C$8</c:f>
              <c:numCache>
                <c:formatCode>General</c:formatCode>
                <c:ptCount val="6"/>
                <c:pt idx="0">
                  <c:v>1070.13</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3bd3990b-5218-47aa-823b-99b7638d24bc}"/>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3"/>
              <c:layout>
                <c:manualLayout>
                  <c:x val="0.158347609729998"/>
                  <c:y val="0.06204580716900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[2021决算公开图表司法.xls]Sheet1!$C$34:$C$38</c:f>
              <c:numCache>
                <c:formatCode>General</c:formatCode>
                <c:ptCount val="5"/>
                <c:pt idx="0">
                  <c:v>912.83</c:v>
                </c:pt>
                <c:pt idx="1">
                  <c:v>210.05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[2021决算公开图表司法.xls]Sheet1!$D$34:$D$38</c:f>
              <c:numCache>
                <c:formatCode>0.00%</c:formatCode>
                <c:ptCount val="5"/>
                <c:pt idx="0">
                  <c:v>0.8129</c:v>
                </c:pt>
                <c:pt idx="1">
                  <c:v>0.1871</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35c1b40-e1c5-4bb5-9d86-5e6314d4fff9}"/>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4025ef65-61dd-4446-a9bb-ca95b56b7751}"/>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1661803-5c78-49cd-8da4-25b25057e0ca}"/>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    </a:t>
            </a:r>
            <a:r>
              <a:rPr lang="zh-CN" altLang="en-US"/>
              <a:t>支出决算结构图</a:t>
            </a:r>
            <a:endParaRPr lang="zh-CN" altLang="en-US"/>
          </a:p>
        </c:rich>
      </c:tx>
      <c:layout>
        <c:manualLayout>
          <c:xMode val="edge"/>
          <c:yMode val="edge"/>
          <c:x val="0.380427708042771"/>
          <c:y val="0.0221647580347248"/>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cefd784-8a09-40fb-b62c-ef2b2e9b943a}"/>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[2021决算公开图表司法.xls]Sheet1!$B$169:$C$169</c:f>
              <c:strCache>
                <c:ptCount val="2"/>
                <c:pt idx="0">
                  <c:v>2021年</c:v>
                </c:pt>
                <c:pt idx="1">
                  <c:v>2020年</c:v>
                </c:pt>
              </c:strCache>
            </c:strRef>
          </c:cat>
          <c:val>
            <c:numRef>
              <c:f>[2021决算公开图表司法.xls]Sheet1!$B$170:$C$170</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34377088"/>
        <c:axId val="34403456"/>
      </c:barChart>
      <c:catAx>
        <c:axId val="3437708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03456"/>
        <c:crosses val="autoZero"/>
        <c:auto val="1"/>
        <c:lblAlgn val="ctr"/>
        <c:lblOffset val="100"/>
        <c:noMultiLvlLbl val="0"/>
      </c:catAx>
      <c:valAx>
        <c:axId val="3440345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37708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431834929993"/>
          <c:y val="0.500300661455201"/>
          <c:w val="0.291230655858511"/>
          <c:h val="0.19813589897775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d9b153af-07ba-444d-ba2c-6f13f2d7aa89}"/>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[2021决算公开图表司法.xls]Sheet1!$B$84:$C$84</c:f>
              <c:strCache>
                <c:ptCount val="2"/>
                <c:pt idx="0">
                  <c:v>2021年</c:v>
                </c:pt>
                <c:pt idx="1">
                  <c:v>2020年</c:v>
                </c:pt>
              </c:strCache>
            </c:strRef>
          </c:cat>
          <c:val>
            <c:numRef>
              <c:f>[2021决算公开图表司法.xls]Sheet1!$B$85:$C$85</c:f>
              <c:numCache>
                <c:formatCode>General</c:formatCode>
                <c:ptCount val="2"/>
                <c:pt idx="0">
                  <c:v>1122.88</c:v>
                </c:pt>
                <c:pt idx="1">
                  <c:v>1047.99</c:v>
                </c:pt>
              </c:numCache>
            </c:numRef>
          </c:val>
        </c:ser>
        <c:dLbls>
          <c:showLegendKey val="0"/>
          <c:showVal val="0"/>
          <c:showCatName val="0"/>
          <c:showSerName val="0"/>
          <c:showPercent val="0"/>
          <c:showBubbleSize val="0"/>
        </c:dLbls>
        <c:gapWidth val="150"/>
        <c:axId val="34428416"/>
        <c:axId val="34429952"/>
      </c:barChart>
      <c:catAx>
        <c:axId val="344284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29952"/>
        <c:crosses val="autoZero"/>
        <c:auto val="1"/>
        <c:lblAlgn val="ctr"/>
        <c:lblOffset val="100"/>
        <c:noMultiLvlLbl val="0"/>
      </c:catAx>
      <c:valAx>
        <c:axId val="344299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4284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71334276285"/>
          <c:y val="0.505817174515235"/>
          <c:w val="0.309476661951909"/>
          <c:h val="0.186703601108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ea8f4e53-d793-4994-91af-09ce1c981204}"/>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layout>
                <c:manualLayout>
                  <c:x val="-0.25068870523416"/>
                  <c:y val="0.016565433462175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0721515587162926"/>
                  <c:y val="0.050805786566194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395405625785926"/>
                  <c:y val="0.07077264967459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3597887400671"/>
                  <c:y val="-0.054133053052942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[2021决算公开图表司法.xls]Sheet1!$B$110:$B$114</c:f>
              <c:numCache>
                <c:formatCode>General</c:formatCode>
                <c:ptCount val="5"/>
                <c:pt idx="0">
                  <c:v>6</c:v>
                </c:pt>
                <c:pt idx="1">
                  <c:v>104.63</c:v>
                </c:pt>
                <c:pt idx="2">
                  <c:v>45.3</c:v>
                </c:pt>
                <c:pt idx="3">
                  <c:v>73.31</c:v>
                </c:pt>
                <c:pt idx="4">
                  <c:v>893.65</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[2021决算公开图表司法.xls]Sheet1!$C$110:$C$114</c:f>
              <c:numCache>
                <c:formatCode>0.00%</c:formatCode>
                <c:ptCount val="5"/>
                <c:pt idx="0">
                  <c:v>0.0053</c:v>
                </c:pt>
                <c:pt idx="1">
                  <c:v>0.0931</c:v>
                </c:pt>
                <c:pt idx="2">
                  <c:v>0.0403</c:v>
                </c:pt>
                <c:pt idx="3">
                  <c:v>0.0653</c:v>
                </c:pt>
                <c:pt idx="4">
                  <c:v>0.7959</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6"/>
          <c:y val="0.422"/>
          <c:w val="0.23425"/>
          <c:h val="0.265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fe1dda13-8d04-43e7-900c-bc680442183c}"/>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8555f8-e10c-408f-9e51-6063ee49ec02}"/>
        <w:style w:val=""/>
        <w:category>
          <w:name w:val="常规"/>
          <w:gallery w:val="placeholder"/>
        </w:category>
        <w:types>
          <w:type w:val="bbPlcHdr"/>
        </w:types>
        <w:behaviors>
          <w:behavior w:val="content"/>
        </w:behaviors>
        <w:description w:val=""/>
        <w:guid w:val="{1A8555F8-E10C-408F-9E51-6063EE49EC02}"/>
      </w:docPartPr>
      <w:docPartBody>
        <w:p w14:paraId="2BAF31EE">
          <w:r>
            <w:rPr>
              <w:color w:val="808080"/>
            </w:rPr>
            <w:t>单击此处输入文字。</w:t>
          </w:r>
        </w:p>
      </w:docPartBody>
    </w:docPart>
    <w:docPart>
      <w:docPartPr>
        <w:name w:val="{f41cbe46-effa-41f6-8539-08543f20b4b1}"/>
        <w:style w:val=""/>
        <w:category>
          <w:name w:val="常规"/>
          <w:gallery w:val="placeholder"/>
        </w:category>
        <w:types>
          <w:type w:val="bbPlcHdr"/>
        </w:types>
        <w:behaviors>
          <w:behavior w:val="content"/>
        </w:behaviors>
        <w:description w:val=""/>
        <w:guid w:val="{F41CBE46-EFFA-41F6-8539-08543F20B4B1}"/>
      </w:docPartPr>
      <w:docPartBody>
        <w:p w14:paraId="7EE397FE">
          <w:r>
            <w:rPr>
              <w:color w:val="808080"/>
            </w:rPr>
            <w:t>单击此处输入文字。</w:t>
          </w:r>
        </w:p>
      </w:docPartBody>
    </w:docPart>
    <w:docPart>
      <w:docPartPr>
        <w:name w:val="{7f814290-3702-46f9-ab24-3d7478ecc781}"/>
        <w:style w:val=""/>
        <w:category>
          <w:name w:val="常规"/>
          <w:gallery w:val="placeholder"/>
        </w:category>
        <w:types>
          <w:type w:val="bbPlcHdr"/>
        </w:types>
        <w:behaviors>
          <w:behavior w:val="content"/>
        </w:behaviors>
        <w:description w:val=""/>
        <w:guid w:val="{7F814290-3702-46F9-AB24-3D7478ECC781}"/>
      </w:docPartPr>
      <w:docPartBody>
        <w:p w14:paraId="46C3BD49">
          <w:r>
            <w:rPr>
              <w:color w:val="808080"/>
            </w:rPr>
            <w:t>单击此处输入文字。</w:t>
          </w:r>
        </w:p>
      </w:docPartBody>
    </w:docPart>
    <w:docPart>
      <w:docPartPr>
        <w:name w:val="{2a13ede9-10ac-4a11-92e4-72d4510057e1}"/>
        <w:style w:val=""/>
        <w:category>
          <w:name w:val="常规"/>
          <w:gallery w:val="placeholder"/>
        </w:category>
        <w:types>
          <w:type w:val="bbPlcHdr"/>
        </w:types>
        <w:behaviors>
          <w:behavior w:val="content"/>
        </w:behaviors>
        <w:description w:val=""/>
        <w:guid w:val="{2A13EDE9-10AC-4A11-92E4-72D4510057E1}"/>
      </w:docPartPr>
      <w:docPartBody>
        <w:p w14:paraId="2AC10195">
          <w:r>
            <w:rPr>
              <w:color w:val="808080"/>
            </w:rPr>
            <w:t>单击此处输入文字。</w:t>
          </w:r>
        </w:p>
      </w:docPartBody>
    </w:docPart>
    <w:docPart>
      <w:docPartPr>
        <w:name w:val="{48a11a16-0d0b-4ac7-b45f-016a577b21b3}"/>
        <w:style w:val=""/>
        <w:category>
          <w:name w:val="常规"/>
          <w:gallery w:val="placeholder"/>
        </w:category>
        <w:types>
          <w:type w:val="bbPlcHdr"/>
        </w:types>
        <w:behaviors>
          <w:behavior w:val="content"/>
        </w:behaviors>
        <w:description w:val=""/>
        <w:guid w:val="{48A11A16-0D0B-4AC7-B45F-016A577B21B3}"/>
      </w:docPartPr>
      <w:docPartBody>
        <w:p w14:paraId="5F6E2C05">
          <w:r>
            <w:rPr>
              <w:color w:val="808080"/>
            </w:rPr>
            <w:t>单击此处输入文字。</w:t>
          </w:r>
        </w:p>
      </w:docPartBody>
    </w:docPart>
    <w:docPart>
      <w:docPartPr>
        <w:name w:val="{ce4d297c-2b70-42e6-9f71-a8d9c545a741}"/>
        <w:style w:val=""/>
        <w:category>
          <w:name w:val="常规"/>
          <w:gallery w:val="placeholder"/>
        </w:category>
        <w:types>
          <w:type w:val="bbPlcHdr"/>
        </w:types>
        <w:behaviors>
          <w:behavior w:val="content"/>
        </w:behaviors>
        <w:description w:val=""/>
        <w:guid w:val="{CE4D297C-2B70-42E6-9F71-A8D9C545A741}"/>
      </w:docPartPr>
      <w:docPartBody>
        <w:p w14:paraId="0F992518">
          <w:r>
            <w:rPr>
              <w:color w:val="808080"/>
            </w:rPr>
            <w:t>单击此处输入文字。</w:t>
          </w:r>
        </w:p>
      </w:docPartBody>
    </w:docPart>
    <w:docPart>
      <w:docPartPr>
        <w:name w:val="{e4ffa142-767e-4608-91fc-6aca770076ab}"/>
        <w:style w:val=""/>
        <w:category>
          <w:name w:val="常规"/>
          <w:gallery w:val="placeholder"/>
        </w:category>
        <w:types>
          <w:type w:val="bbPlcHdr"/>
        </w:types>
        <w:behaviors>
          <w:behavior w:val="content"/>
        </w:behaviors>
        <w:description w:val=""/>
        <w:guid w:val="{E4FFA142-767E-4608-91FC-6ACA770076AB}"/>
      </w:docPartPr>
      <w:docPartBody>
        <w:p w14:paraId="63849FB9">
          <w:r>
            <w:rPr>
              <w:color w:val="808080"/>
            </w:rPr>
            <w:t>单击此处输入文字。</w:t>
          </w:r>
        </w:p>
      </w:docPartBody>
    </w:docPart>
    <w:docPart>
      <w:docPartPr>
        <w:name w:val="{0efe054b-9fc5-4403-bc1b-12dd11c979be}"/>
        <w:style w:val=""/>
        <w:category>
          <w:name w:val="常规"/>
          <w:gallery w:val="placeholder"/>
        </w:category>
        <w:types>
          <w:type w:val="bbPlcHdr"/>
        </w:types>
        <w:behaviors>
          <w:behavior w:val="content"/>
        </w:behaviors>
        <w:description w:val=""/>
        <w:guid w:val="{0EFE054B-9FC5-4403-BC1B-12DD11C979BE}"/>
      </w:docPartPr>
      <w:docPartBody>
        <w:p w14:paraId="516AEAEB">
          <w:r>
            <w:rPr>
              <w:color w:val="808080"/>
            </w:rPr>
            <w:t>单击此处输入文字。</w:t>
          </w:r>
        </w:p>
      </w:docPartBody>
    </w:docPart>
    <w:docPart>
      <w:docPartPr>
        <w:name w:val="{f7b02a15-21b7-4b38-8361-ca9ca43b2d4c}"/>
        <w:style w:val=""/>
        <w:category>
          <w:name w:val="常规"/>
          <w:gallery w:val="placeholder"/>
        </w:category>
        <w:types>
          <w:type w:val="bbPlcHdr"/>
        </w:types>
        <w:behaviors>
          <w:behavior w:val="content"/>
        </w:behaviors>
        <w:description w:val=""/>
        <w:guid w:val="{F7B02A15-21B7-4B38-8361-CA9CA43B2D4C}"/>
      </w:docPartPr>
      <w:docPartBody>
        <w:p w14:paraId="2F3418C3">
          <w:r>
            <w:rPr>
              <w:color w:val="808080"/>
            </w:rPr>
            <w:t>单击此处输入文字。</w:t>
          </w:r>
        </w:p>
      </w:docPartBody>
    </w:docPart>
    <w:docPart>
      <w:docPartPr>
        <w:name w:val="{2b3f102f-b6de-480b-985c-11fa7583321d}"/>
        <w:style w:val=""/>
        <w:category>
          <w:name w:val="常规"/>
          <w:gallery w:val="placeholder"/>
        </w:category>
        <w:types>
          <w:type w:val="bbPlcHdr"/>
        </w:types>
        <w:behaviors>
          <w:behavior w:val="content"/>
        </w:behaviors>
        <w:description w:val=""/>
        <w:guid w:val="{2B3F102F-B6DE-480B-985C-11FA7583321D}"/>
      </w:docPartPr>
      <w:docPartBody>
        <w:p w14:paraId="38AFFE30">
          <w:r>
            <w:rPr>
              <w:color w:val="808080"/>
            </w:rPr>
            <w:t>单击此处输入文字。</w:t>
          </w:r>
        </w:p>
      </w:docPartBody>
    </w:docPart>
    <w:docPart>
      <w:docPartPr>
        <w:name w:val="{81a4def6-4d40-43c7-a418-77dd7e9f8be9}"/>
        <w:style w:val=""/>
        <w:category>
          <w:name w:val="常规"/>
          <w:gallery w:val="placeholder"/>
        </w:category>
        <w:types>
          <w:type w:val="bbPlcHdr"/>
        </w:types>
        <w:behaviors>
          <w:behavior w:val="content"/>
        </w:behaviors>
        <w:description w:val=""/>
        <w:guid w:val="{81A4DEF6-4D40-43C7-A418-77DD7E9F8BE9}"/>
      </w:docPartPr>
      <w:docPartBody>
        <w:p w14:paraId="3E71696C">
          <w:r>
            <w:rPr>
              <w:color w:val="808080"/>
            </w:rPr>
            <w:t>单击此处输入文字。</w:t>
          </w:r>
        </w:p>
      </w:docPartBody>
    </w:docPart>
    <w:docPart>
      <w:docPartPr>
        <w:name w:val="{689c0db2-b797-4331-b282-60f20fdfd21a}"/>
        <w:style w:val=""/>
        <w:category>
          <w:name w:val="常规"/>
          <w:gallery w:val="placeholder"/>
        </w:category>
        <w:types>
          <w:type w:val="bbPlcHdr"/>
        </w:types>
        <w:behaviors>
          <w:behavior w:val="content"/>
        </w:behaviors>
        <w:description w:val=""/>
        <w:guid w:val="{689C0DB2-B797-4331-B282-60F20FDFD21A}"/>
      </w:docPartPr>
      <w:docPartBody>
        <w:p w14:paraId="484FF461">
          <w:r>
            <w:rPr>
              <w:color w:val="808080"/>
            </w:rPr>
            <w:t>单击此处输入文字。</w:t>
          </w:r>
        </w:p>
      </w:docPartBody>
    </w:docPart>
    <w:docPart>
      <w:docPartPr>
        <w:name w:val="{5d6fb4cf-bfdb-4407-b2f9-243a01edccfa}"/>
        <w:style w:val=""/>
        <w:category>
          <w:name w:val="常规"/>
          <w:gallery w:val="placeholder"/>
        </w:category>
        <w:types>
          <w:type w:val="bbPlcHdr"/>
        </w:types>
        <w:behaviors>
          <w:behavior w:val="content"/>
        </w:behaviors>
        <w:description w:val=""/>
        <w:guid w:val="{5D6FB4CF-BFDB-4407-B2F9-243A01EDCCFA}"/>
      </w:docPartPr>
      <w:docPartBody>
        <w:p w14:paraId="09EDD26A">
          <w:r>
            <w:rPr>
              <w:color w:val="808080"/>
            </w:rPr>
            <w:t>单击此处输入文字。</w:t>
          </w:r>
        </w:p>
      </w:docPartBody>
    </w:docPart>
    <w:docPart>
      <w:docPartPr>
        <w:name w:val="{782da690-5716-4470-aae3-763b6c772acd}"/>
        <w:style w:val=""/>
        <w:category>
          <w:name w:val="常规"/>
          <w:gallery w:val="placeholder"/>
        </w:category>
        <w:types>
          <w:type w:val="bbPlcHdr"/>
        </w:types>
        <w:behaviors>
          <w:behavior w:val="content"/>
        </w:behaviors>
        <w:description w:val=""/>
        <w:guid w:val="{782DA690-5716-4470-AAE3-763B6C772ACD}"/>
      </w:docPartPr>
      <w:docPartBody>
        <w:p w14:paraId="3321919D">
          <w:r>
            <w:rPr>
              <w:color w:val="808080"/>
            </w:rPr>
            <w:t>单击此处输入文字。</w:t>
          </w:r>
        </w:p>
      </w:docPartBody>
    </w:docPart>
    <w:docPart>
      <w:docPartPr>
        <w:name w:val="{ca18c728-9d8a-4b42-8d1d-1b7565053923}"/>
        <w:style w:val=""/>
        <w:category>
          <w:name w:val="常规"/>
          <w:gallery w:val="placeholder"/>
        </w:category>
        <w:types>
          <w:type w:val="bbPlcHdr"/>
        </w:types>
        <w:behaviors>
          <w:behavior w:val="content"/>
        </w:behaviors>
        <w:description w:val=""/>
        <w:guid w:val="{CA18C728-9D8A-4B42-8D1D-1B7565053923}"/>
      </w:docPartPr>
      <w:docPartBody>
        <w:p w14:paraId="4DB35349">
          <w:r>
            <w:rPr>
              <w:color w:val="808080"/>
            </w:rPr>
            <w:t>单击此处输入文字。</w:t>
          </w:r>
        </w:p>
      </w:docPartBody>
    </w:docPart>
    <w:docPart>
      <w:docPartPr>
        <w:name w:val="{ad06cc70-8650-457a-8c7f-c095d383fe51}"/>
        <w:style w:val=""/>
        <w:category>
          <w:name w:val="常规"/>
          <w:gallery w:val="placeholder"/>
        </w:category>
        <w:types>
          <w:type w:val="bbPlcHdr"/>
        </w:types>
        <w:behaviors>
          <w:behavior w:val="content"/>
        </w:behaviors>
        <w:description w:val=""/>
        <w:guid w:val="{AD06CC70-8650-457A-8C7F-C095D383FE51}"/>
      </w:docPartPr>
      <w:docPartBody>
        <w:p w14:paraId="2F3217E6">
          <w:r>
            <w:rPr>
              <w:color w:val="808080"/>
            </w:rPr>
            <w:t>单击此处输入文字。</w:t>
          </w:r>
        </w:p>
      </w:docPartBody>
    </w:docPart>
    <w:docPart>
      <w:docPartPr>
        <w:name w:val="{691262eb-7899-4764-899f-d8ac9928c6b2}"/>
        <w:style w:val=""/>
        <w:category>
          <w:name w:val="常规"/>
          <w:gallery w:val="placeholder"/>
        </w:category>
        <w:types>
          <w:type w:val="bbPlcHdr"/>
        </w:types>
        <w:behaviors>
          <w:behavior w:val="content"/>
        </w:behaviors>
        <w:description w:val=""/>
        <w:guid w:val="{691262EB-7899-4764-899F-D8AC9928C6B2}"/>
      </w:docPartPr>
      <w:docPartBody>
        <w:p w14:paraId="09D644F5">
          <w:r>
            <w:rPr>
              <w:color w:val="808080"/>
            </w:rPr>
            <w:t>单击此处输入文字。</w:t>
          </w:r>
        </w:p>
      </w:docPartBody>
    </w:docPart>
    <w:docPart>
      <w:docPartPr>
        <w:name w:val="{bad3cb22-b0de-483d-a06e-6d6de808beac}"/>
        <w:style w:val=""/>
        <w:category>
          <w:name w:val="常规"/>
          <w:gallery w:val="placeholder"/>
        </w:category>
        <w:types>
          <w:type w:val="bbPlcHdr"/>
        </w:types>
        <w:behaviors>
          <w:behavior w:val="content"/>
        </w:behaviors>
        <w:description w:val=""/>
        <w:guid w:val="{BAD3CB22-B0DE-483D-A06E-6D6DE808BEAC}"/>
      </w:docPartPr>
      <w:docPartBody>
        <w:p w14:paraId="4A89E026">
          <w:r>
            <w:rPr>
              <w:color w:val="808080"/>
            </w:rPr>
            <w:t>单击此处输入文字。</w:t>
          </w:r>
        </w:p>
      </w:docPartBody>
    </w:docPart>
    <w:docPart>
      <w:docPartPr>
        <w:name w:val="{8e217fe0-855d-4c8d-8854-09715464049c}"/>
        <w:style w:val=""/>
        <w:category>
          <w:name w:val="常规"/>
          <w:gallery w:val="placeholder"/>
        </w:category>
        <w:types>
          <w:type w:val="bbPlcHdr"/>
        </w:types>
        <w:behaviors>
          <w:behavior w:val="content"/>
        </w:behaviors>
        <w:description w:val=""/>
        <w:guid w:val="{8E217FE0-855D-4C8D-8854-09715464049C}"/>
      </w:docPartPr>
      <w:docPartBody>
        <w:p w14:paraId="1F600D9A">
          <w:r>
            <w:rPr>
              <w:color w:val="808080"/>
            </w:rPr>
            <w:t>单击此处输入文字。</w:t>
          </w:r>
        </w:p>
      </w:docPartBody>
    </w:docPart>
    <w:docPart>
      <w:docPartPr>
        <w:name w:val="{3facd74b-6939-41bd-b4aa-b532d614e6bf}"/>
        <w:style w:val=""/>
        <w:category>
          <w:name w:val="常规"/>
          <w:gallery w:val="placeholder"/>
        </w:category>
        <w:types>
          <w:type w:val="bbPlcHdr"/>
        </w:types>
        <w:behaviors>
          <w:behavior w:val="content"/>
        </w:behaviors>
        <w:description w:val=""/>
        <w:guid w:val="{3FACD74B-6939-41BD-B4AA-B532D614E6BF}"/>
      </w:docPartPr>
      <w:docPartBody>
        <w:p w14:paraId="66999970">
          <w:r>
            <w:rPr>
              <w:color w:val="808080"/>
            </w:rPr>
            <w:t>单击此处输入文字。</w:t>
          </w:r>
        </w:p>
      </w:docPartBody>
    </w:docPart>
    <w:docPart>
      <w:docPartPr>
        <w:name w:val="{290be6d3-50a0-4fb2-a286-da62c5057760}"/>
        <w:style w:val=""/>
        <w:category>
          <w:name w:val="常规"/>
          <w:gallery w:val="placeholder"/>
        </w:category>
        <w:types>
          <w:type w:val="bbPlcHdr"/>
        </w:types>
        <w:behaviors>
          <w:behavior w:val="content"/>
        </w:behaviors>
        <w:description w:val=""/>
        <w:guid w:val="{290BE6D3-50A0-4FB2-A286-DA62C5057760}"/>
      </w:docPartPr>
      <w:docPartBody>
        <w:p w14:paraId="1A1A5D35">
          <w:r>
            <w:rPr>
              <w:color w:val="808080"/>
            </w:rPr>
            <w:t>单击此处输入文字。</w:t>
          </w:r>
        </w:p>
      </w:docPartBody>
    </w:docPart>
    <w:docPart>
      <w:docPartPr>
        <w:name w:val="{ebc68f09-e910-4fe0-b3a8-6318eab3a0de}"/>
        <w:style w:val=""/>
        <w:category>
          <w:name w:val="常规"/>
          <w:gallery w:val="placeholder"/>
        </w:category>
        <w:types>
          <w:type w:val="bbPlcHdr"/>
        </w:types>
        <w:behaviors>
          <w:behavior w:val="content"/>
        </w:behaviors>
        <w:description w:val=""/>
        <w:guid w:val="{EBC68F09-E910-4FE0-B3A8-6318EAB3A0DE}"/>
      </w:docPartPr>
      <w:docPartBody>
        <w:p w14:paraId="33F1C628">
          <w:r>
            <w:rPr>
              <w:color w:val="808080"/>
            </w:rPr>
            <w:t>单击此处输入文字。</w:t>
          </w:r>
        </w:p>
      </w:docPartBody>
    </w:docPart>
    <w:docPart>
      <w:docPartPr>
        <w:name w:val="{102d1fc5-23ce-4b2d-8226-89302dea06c6}"/>
        <w:style w:val=""/>
        <w:category>
          <w:name w:val="常规"/>
          <w:gallery w:val="placeholder"/>
        </w:category>
        <w:types>
          <w:type w:val="bbPlcHdr"/>
        </w:types>
        <w:behaviors>
          <w:behavior w:val="content"/>
        </w:behaviors>
        <w:description w:val=""/>
        <w:guid w:val="{102D1FC5-23CE-4B2D-8226-89302DEA06C6}"/>
      </w:docPartPr>
      <w:docPartBody>
        <w:p w14:paraId="3ADE1091">
          <w:r>
            <w:rPr>
              <w:color w:val="808080"/>
            </w:rPr>
            <w:t>单击此处输入文字。</w:t>
          </w:r>
        </w:p>
      </w:docPartBody>
    </w:docPart>
    <w:docPart>
      <w:docPartPr>
        <w:name w:val="{9bc65dd8-7067-4138-b8e0-dcd3a60a47b5}"/>
        <w:style w:val=""/>
        <w:category>
          <w:name w:val="常规"/>
          <w:gallery w:val="placeholder"/>
        </w:category>
        <w:types>
          <w:type w:val="bbPlcHdr"/>
        </w:types>
        <w:behaviors>
          <w:behavior w:val="content"/>
        </w:behaviors>
        <w:description w:val=""/>
        <w:guid w:val="{9BC65DD8-7067-4138-B8E0-DCD3A60A47B5}"/>
      </w:docPartPr>
      <w:docPartBody>
        <w:p w14:paraId="28AAB586">
          <w:r>
            <w:rPr>
              <w:color w:val="808080"/>
            </w:rPr>
            <w:t>单击此处输入文字。</w:t>
          </w:r>
        </w:p>
      </w:docPartBody>
    </w:docPart>
    <w:docPart>
      <w:docPartPr>
        <w:name w:val="{bf7af394-5787-4f88-95d1-150c2852424c}"/>
        <w:style w:val=""/>
        <w:category>
          <w:name w:val="常规"/>
          <w:gallery w:val="placeholder"/>
        </w:category>
        <w:types>
          <w:type w:val="bbPlcHdr"/>
        </w:types>
        <w:behaviors>
          <w:behavior w:val="content"/>
        </w:behaviors>
        <w:description w:val=""/>
        <w:guid w:val="{BF7AF394-5787-4F88-95D1-150C2852424C}"/>
      </w:docPartPr>
      <w:docPartBody>
        <w:p w14:paraId="3211A568">
          <w:r>
            <w:rPr>
              <w:color w:val="808080"/>
            </w:rPr>
            <w:t>单击此处输入文字。</w:t>
          </w:r>
        </w:p>
      </w:docPartBody>
    </w:docPart>
    <w:docPart>
      <w:docPartPr>
        <w:name w:val="{3971f8a8-9567-4541-8465-261f815ed2a8}"/>
        <w:style w:val=""/>
        <w:category>
          <w:name w:val="常规"/>
          <w:gallery w:val="placeholder"/>
        </w:category>
        <w:types>
          <w:type w:val="bbPlcHdr"/>
        </w:types>
        <w:behaviors>
          <w:behavior w:val="content"/>
        </w:behaviors>
        <w:description w:val=""/>
        <w:guid w:val="{3971F8A8-9567-4541-8465-261F815ED2A8}"/>
      </w:docPartPr>
      <w:docPartBody>
        <w:p w14:paraId="6AF032F1">
          <w:r>
            <w:rPr>
              <w:color w:val="808080"/>
            </w:rPr>
            <w:t>单击此处输入文字。</w:t>
          </w:r>
        </w:p>
      </w:docPartBody>
    </w:docPart>
    <w:docPart>
      <w:docPartPr>
        <w:name w:val="{cc0c1020-e4ca-4545-b091-b9ef39d84295}"/>
        <w:style w:val=""/>
        <w:category>
          <w:name w:val="常规"/>
          <w:gallery w:val="placeholder"/>
        </w:category>
        <w:types>
          <w:type w:val="bbPlcHdr"/>
        </w:types>
        <w:behaviors>
          <w:behavior w:val="content"/>
        </w:behaviors>
        <w:description w:val=""/>
        <w:guid w:val="{CC0C1020-E4CA-4545-B091-B9EF39D84295}"/>
      </w:docPartPr>
      <w:docPartBody>
        <w:p w14:paraId="753BA28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A41CB5"/>
    <w:rsid w:val="00594029"/>
    <w:rsid w:val="00A16327"/>
    <w:rsid w:val="00A41CB5"/>
    <w:rsid w:val="00B30798"/>
    <w:rsid w:val="00E1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58</Pages>
  <Words>4651</Words>
  <Characters>4922</Characters>
  <Lines>203</Lines>
  <Paragraphs>57</Paragraphs>
  <TotalTime>18</TotalTime>
  <ScaleCrop>false</ScaleCrop>
  <LinksUpToDate>false</LinksUpToDate>
  <CharactersWithSpaces>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2022-10-24T08:12:00Z</dcterms:created>
  <dc:creator>曹颖</dc:creator>
  <cp:lastModifiedBy>熊秀琳</cp:lastModifiedBy>
  <cp:lastPrinted>2022-08-08T09:11:00Z</cp:lastPrinted>
  <dcterms:modified xsi:type="dcterms:W3CDTF">2025-07-21T08:29:41Z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eyJoZGlkIjoiMTNlNTA2ZjYyM2EwYzZiNTNlZGVlN2E1Yjk5NDIwYmMiLCJ1c2VySWQiOiIyOTUwMzMxNjgifQ==</vt:lpwstr>
  </property>
  <property fmtid="{D5CDD505-2E9C-101B-9397-08002B2CF9AE}" pid="4" name="ICV">
    <vt:lpwstr>8E7CFB3626D1493E80B3581D824532AC_13</vt:lpwstr>
  </property>
</Properties>
</file>