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E3BD82">
      <w:pPr>
        <w:spacing w:line="600" w:lineRule="exact"/>
        <w:jc w:val="center"/>
        <w:outlineLvl w:val="0"/>
        <w:rPr>
          <w:rFonts w:ascii="方正小标宋简体" w:hAnsi="宋体" w:eastAsia="方正小标宋简体"/>
          <w:sz w:val="72"/>
          <w:szCs w:val="72"/>
        </w:rPr>
      </w:pPr>
      <w:bookmarkStart w:id="77" w:name="_GoBack"/>
      <w:bookmarkEnd w:id="77"/>
      <w:bookmarkStart w:id="0" w:name="_Toc15396475"/>
      <w:bookmarkStart w:id="1" w:name="_Toc15396597"/>
      <w:bookmarkStart w:id="2" w:name="_Toc15377193"/>
      <w:bookmarkStart w:id="3" w:name="_Toc15377425"/>
      <w:bookmarkStart w:id="4" w:name="_Toc15378441"/>
      <w:bookmarkStart w:id="5" w:name="_Toc15306267"/>
    </w:p>
    <w:p w14:paraId="47B05AC8">
      <w:pPr>
        <w:spacing w:line="600" w:lineRule="exact"/>
        <w:jc w:val="center"/>
        <w:outlineLvl w:val="0"/>
        <w:rPr>
          <w:rFonts w:ascii="方正小标宋简体" w:hAnsi="宋体" w:eastAsia="方正小标宋简体"/>
          <w:sz w:val="72"/>
          <w:szCs w:val="72"/>
        </w:rPr>
      </w:pPr>
    </w:p>
    <w:p w14:paraId="33A8FBAE">
      <w:pPr>
        <w:spacing w:line="600" w:lineRule="exact"/>
        <w:jc w:val="center"/>
        <w:outlineLvl w:val="0"/>
        <w:rPr>
          <w:rFonts w:ascii="方正小标宋简体" w:hAnsi="宋体" w:eastAsia="方正小标宋简体"/>
          <w:sz w:val="72"/>
          <w:szCs w:val="72"/>
        </w:rPr>
      </w:pPr>
    </w:p>
    <w:p w14:paraId="0A8F6AC2">
      <w:pPr>
        <w:spacing w:line="600" w:lineRule="exact"/>
        <w:jc w:val="center"/>
        <w:outlineLvl w:val="0"/>
        <w:rPr>
          <w:rFonts w:ascii="方正小标宋简体" w:hAnsi="宋体" w:eastAsia="方正小标宋简体"/>
          <w:sz w:val="72"/>
          <w:szCs w:val="72"/>
        </w:rPr>
      </w:pPr>
    </w:p>
    <w:p w14:paraId="20E9F7BB">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2021年度</w:t>
      </w:r>
      <w:bookmarkEnd w:id="0"/>
      <w:bookmarkEnd w:id="1"/>
      <w:bookmarkEnd w:id="2"/>
      <w:bookmarkEnd w:id="3"/>
      <w:bookmarkEnd w:id="4"/>
    </w:p>
    <w:p w14:paraId="26DC2B75">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77194"/>
      <w:bookmarkStart w:id="7" w:name="_Toc15396598"/>
      <w:bookmarkStart w:id="8" w:name="_Toc15396476"/>
      <w:bookmarkStart w:id="9" w:name="_Toc15378442"/>
      <w:bookmarkStart w:id="10" w:name="_Toc15377426"/>
      <w:r>
        <w:rPr>
          <w:rFonts w:hint="eastAsia" w:ascii="方正小标宋简体" w:hAnsi="方正小标宋简体" w:eastAsia="方正小标宋简体" w:cs="方正小标宋简体"/>
          <w:sz w:val="72"/>
          <w:szCs w:val="72"/>
        </w:rPr>
        <w:t>盐边县</w:t>
      </w:r>
      <w:bookmarkEnd w:id="5"/>
      <w:bookmarkStart w:id="11" w:name="_Toc15306268"/>
      <w:r>
        <w:rPr>
          <w:rFonts w:hint="eastAsia" w:ascii="方正小标宋简体" w:hAnsi="方正小标宋简体" w:eastAsia="方正小标宋简体" w:cs="方正小标宋简体"/>
          <w:sz w:val="72"/>
          <w:szCs w:val="72"/>
        </w:rPr>
        <w:t>惠民镇人民政府</w:t>
      </w:r>
    </w:p>
    <w:p w14:paraId="5B94F81F">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部门决算</w:t>
      </w:r>
      <w:bookmarkEnd w:id="6"/>
      <w:bookmarkEnd w:id="7"/>
      <w:bookmarkEnd w:id="8"/>
      <w:bookmarkEnd w:id="9"/>
      <w:bookmarkEnd w:id="10"/>
      <w:bookmarkEnd w:id="11"/>
    </w:p>
    <w:p w14:paraId="39F9EEE0">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4453D72A">
      <w:pPr>
        <w:widowControl/>
        <w:jc w:val="center"/>
        <w:rPr>
          <w:rFonts w:ascii="黑体" w:hAnsi="黑体" w:eastAsia="黑体" w:cstheme="minorBidi"/>
          <w:sz w:val="28"/>
          <w:szCs w:val="28"/>
        </w:rPr>
      </w:pPr>
    </w:p>
    <w:p w14:paraId="3F76F3FF">
      <w:pPr>
        <w:pStyle w:val="11"/>
      </w:pPr>
      <w:r>
        <w:rPr>
          <w:rFonts w:hint="eastAsia"/>
        </w:rPr>
        <w:t>公开时间：2022年10月20日</w:t>
      </w:r>
    </w:p>
    <w:p w14:paraId="6A1D770F"/>
    <w:p w14:paraId="535C9F36">
      <w:pPr>
        <w:pStyle w:val="11"/>
        <w:adjustRightInd w:val="0"/>
        <w:snapToGrid w:val="0"/>
        <w:spacing w:before="0" w:line="440" w:lineRule="exact"/>
        <w:jc w:val="left"/>
        <w:rPr>
          <w:rFonts w:cstheme="minorBidi"/>
          <w:sz w:val="24"/>
          <w:szCs w:val="24"/>
        </w:rPr>
      </w:pPr>
      <w:r>
        <w:rPr>
          <w:rFonts w:hint="eastAsia"/>
          <w:sz w:val="24"/>
        </w:rPr>
        <w:t>第一部分部门概况</w:t>
      </w:r>
    </w:p>
    <w:p w14:paraId="6CB68FFC">
      <w:pPr>
        <w:pStyle w:val="12"/>
        <w:adjustRightInd w:val="0"/>
        <w:snapToGrid w:val="0"/>
        <w:spacing w:line="440" w:lineRule="exact"/>
        <w:jc w:val="left"/>
        <w:rPr>
          <w:rFonts w:ascii="仿宋" w:hAnsi="仿宋" w:eastAsia="仿宋"/>
          <w:sz w:val="24"/>
        </w:rPr>
      </w:pPr>
      <w:r>
        <w:rPr>
          <w:rFonts w:hint="eastAsia"/>
          <w:sz w:val="24"/>
        </w:rPr>
        <w:t>一、基本职能及主要工作</w:t>
      </w:r>
    </w:p>
    <w:p w14:paraId="7E9A360B">
      <w:pPr>
        <w:pStyle w:val="12"/>
        <w:adjustRightInd w:val="0"/>
        <w:snapToGrid w:val="0"/>
        <w:spacing w:line="440" w:lineRule="exact"/>
        <w:jc w:val="left"/>
        <w:rPr>
          <w:rFonts w:ascii="仿宋" w:hAnsi="仿宋" w:eastAsia="仿宋" w:cstheme="minorBidi"/>
          <w:sz w:val="24"/>
        </w:rPr>
      </w:pPr>
      <w:r>
        <w:rPr>
          <w:rFonts w:hint="eastAsia"/>
          <w:sz w:val="24"/>
        </w:rPr>
        <w:t>二、机构设置</w:t>
      </w:r>
    </w:p>
    <w:p w14:paraId="2B5A33F8">
      <w:pPr>
        <w:pStyle w:val="11"/>
        <w:adjustRightInd w:val="0"/>
        <w:snapToGrid w:val="0"/>
        <w:spacing w:before="0" w:line="440" w:lineRule="exact"/>
        <w:jc w:val="left"/>
        <w:rPr>
          <w:sz w:val="24"/>
          <w:szCs w:val="24"/>
        </w:rPr>
      </w:pPr>
      <w:r>
        <w:rPr>
          <w:rFonts w:hint="eastAsia"/>
          <w:sz w:val="24"/>
        </w:rPr>
        <w:t>第二部分 2021年度部门决算情况说明</w:t>
      </w:r>
    </w:p>
    <w:p w14:paraId="63B23785">
      <w:pPr>
        <w:pStyle w:val="12"/>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5CC36EB9">
      <w:pPr>
        <w:pStyle w:val="12"/>
        <w:adjustRightInd w:val="0"/>
        <w:snapToGrid w:val="0"/>
        <w:spacing w:line="440" w:lineRule="exact"/>
        <w:jc w:val="left"/>
        <w:rPr>
          <w:rFonts w:ascii="仿宋" w:hAnsi="仿宋" w:eastAsia="仿宋" w:cstheme="minorBidi"/>
          <w:sz w:val="24"/>
        </w:rPr>
      </w:pPr>
      <w:r>
        <w:rPr>
          <w:rFonts w:hint="eastAsia"/>
          <w:sz w:val="24"/>
        </w:rPr>
        <w:t>二、收入决算情况说明</w:t>
      </w:r>
    </w:p>
    <w:p w14:paraId="5013FA75">
      <w:pPr>
        <w:pStyle w:val="12"/>
        <w:adjustRightInd w:val="0"/>
        <w:snapToGrid w:val="0"/>
        <w:spacing w:line="440" w:lineRule="exact"/>
        <w:jc w:val="left"/>
        <w:rPr>
          <w:rFonts w:ascii="仿宋" w:hAnsi="仿宋" w:eastAsia="仿宋" w:cstheme="minorBidi"/>
          <w:sz w:val="24"/>
        </w:rPr>
      </w:pPr>
      <w:r>
        <w:rPr>
          <w:rFonts w:hint="eastAsia"/>
          <w:sz w:val="24"/>
        </w:rPr>
        <w:t>三、支出决算情况说明</w:t>
      </w:r>
    </w:p>
    <w:p w14:paraId="62F62A6C">
      <w:pPr>
        <w:pStyle w:val="12"/>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6F2D3E07">
      <w:pPr>
        <w:pStyle w:val="12"/>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1C2878C6">
      <w:pPr>
        <w:pStyle w:val="12"/>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35A591BB">
      <w:pPr>
        <w:pStyle w:val="12"/>
        <w:adjustRightInd w:val="0"/>
        <w:snapToGrid w:val="0"/>
        <w:spacing w:line="440" w:lineRule="exact"/>
        <w:jc w:val="left"/>
        <w:rPr>
          <w:rFonts w:ascii="仿宋" w:hAnsi="仿宋" w:eastAsia="仿宋" w:cstheme="minorBidi"/>
          <w:sz w:val="24"/>
        </w:rPr>
      </w:pPr>
      <w:r>
        <w:rPr>
          <w:rFonts w:hint="eastAsia"/>
          <w:sz w:val="24"/>
        </w:rPr>
        <w:t>七、“三公”经费财政拨款支出决算情况说明</w:t>
      </w:r>
    </w:p>
    <w:p w14:paraId="6BD58C4E">
      <w:pPr>
        <w:pStyle w:val="12"/>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6A60E421">
      <w:pPr>
        <w:pStyle w:val="12"/>
        <w:adjustRightInd w:val="0"/>
        <w:snapToGrid w:val="0"/>
        <w:spacing w:line="440" w:lineRule="exact"/>
        <w:ind w:leftChars="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九、国有资本经营预算支出决算情况说明</w:t>
      </w:r>
    </w:p>
    <w:p w14:paraId="2E6F01E8">
      <w:pPr>
        <w:adjustRightInd w:val="0"/>
        <w:snapToGrid w:val="0"/>
        <w:spacing w:line="440" w:lineRule="exact"/>
        <w:ind w:firstLine="420" w:firstLineChars="175"/>
        <w:jc w:val="left"/>
        <w:rPr>
          <w:rFonts w:asciiTheme="minorEastAsia" w:hAnsiTheme="minorEastAsia" w:eastAsiaTheme="minorEastAsia" w:cstheme="minorEastAsia"/>
          <w:sz w:val="24"/>
        </w:rPr>
      </w:pPr>
      <w:r>
        <w:rPr>
          <w:rStyle w:val="16"/>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rFonts w:hint="eastAsia" w:asciiTheme="minorEastAsia" w:hAnsiTheme="minorEastAsia" w:eastAsiaTheme="minorEastAsia" w:cstheme="minorEastAsia"/>
          <w:sz w:val="24"/>
        </w:rPr>
        <w:tab/>
      </w:r>
    </w:p>
    <w:p w14:paraId="68EDDE9C">
      <w:pPr>
        <w:pStyle w:val="11"/>
        <w:adjustRightInd w:val="0"/>
        <w:snapToGrid w:val="0"/>
        <w:spacing w:before="0" w:line="440" w:lineRule="exact"/>
        <w:jc w:val="left"/>
        <w:rPr>
          <w:rFonts w:cstheme="minorBidi"/>
          <w:sz w:val="24"/>
          <w:szCs w:val="24"/>
        </w:rPr>
      </w:pPr>
      <w:r>
        <w:rPr>
          <w:rFonts w:hint="eastAsia"/>
          <w:sz w:val="24"/>
        </w:rPr>
        <w:t>第三部分名词解释</w:t>
      </w:r>
    </w:p>
    <w:p w14:paraId="34BFCDF0">
      <w:pPr>
        <w:pStyle w:val="11"/>
        <w:adjustRightInd w:val="0"/>
        <w:snapToGrid w:val="0"/>
        <w:spacing w:before="0" w:line="440" w:lineRule="exact"/>
        <w:jc w:val="left"/>
        <w:rPr>
          <w:rFonts w:cstheme="minorBidi"/>
          <w:sz w:val="24"/>
          <w:szCs w:val="24"/>
        </w:rPr>
      </w:pPr>
      <w:r>
        <w:rPr>
          <w:rFonts w:hint="eastAsia"/>
          <w:sz w:val="24"/>
        </w:rPr>
        <w:t>第四部分附件</w:t>
      </w:r>
    </w:p>
    <w:p w14:paraId="2883941F">
      <w:pPr>
        <w:pStyle w:val="11"/>
        <w:adjustRightInd w:val="0"/>
        <w:snapToGrid w:val="0"/>
        <w:spacing w:before="0" w:line="440" w:lineRule="exact"/>
        <w:jc w:val="left"/>
        <w:rPr>
          <w:rFonts w:cstheme="minorBidi"/>
          <w:sz w:val="24"/>
          <w:szCs w:val="24"/>
        </w:rPr>
      </w:pPr>
      <w:r>
        <w:rPr>
          <w:rFonts w:hint="eastAsia"/>
          <w:sz w:val="24"/>
        </w:rPr>
        <w:t>第五部分附表</w:t>
      </w:r>
    </w:p>
    <w:p w14:paraId="0188C639">
      <w:pPr>
        <w:pStyle w:val="12"/>
        <w:adjustRightInd w:val="0"/>
        <w:snapToGrid w:val="0"/>
        <w:spacing w:line="440" w:lineRule="exact"/>
        <w:jc w:val="left"/>
        <w:rPr>
          <w:rFonts w:ascii="仿宋" w:hAnsi="仿宋" w:eastAsia="仿宋" w:cstheme="minorBidi"/>
          <w:sz w:val="24"/>
        </w:rPr>
      </w:pPr>
      <w:r>
        <w:rPr>
          <w:rFonts w:hint="eastAsia" w:ascii="仿宋" w:hAnsi="仿宋" w:eastAsia="仿宋"/>
          <w:sz w:val="24"/>
        </w:rPr>
        <w:t>一、</w:t>
      </w:r>
      <w:r>
        <w:rPr>
          <w:rFonts w:hint="eastAsia"/>
          <w:sz w:val="24"/>
        </w:rPr>
        <w:t>收入支出决算总表</w:t>
      </w:r>
    </w:p>
    <w:p w14:paraId="274303D3">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二、收入决算表</w:t>
      </w:r>
    </w:p>
    <w:p w14:paraId="412FE8B1">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三、支出决算表</w:t>
      </w:r>
    </w:p>
    <w:p w14:paraId="7A00B240">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四、财政拨款收入支出决算总表</w:t>
      </w:r>
    </w:p>
    <w:p w14:paraId="76AFE01B">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五、财政拨款支出决算明细表</w:t>
      </w:r>
    </w:p>
    <w:p w14:paraId="46DC6AD6">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六、一般公共预算财政拨款支出决算表</w:t>
      </w:r>
    </w:p>
    <w:p w14:paraId="4CA18737">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七、一般公共预算财政拨款支出决算明细表</w:t>
      </w:r>
    </w:p>
    <w:p w14:paraId="13649065">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八、一般公共预算财政拨款基本支出决算表</w:t>
      </w:r>
    </w:p>
    <w:p w14:paraId="1D1EF909">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九、一般公共预算财政拨款项目支出决算表</w:t>
      </w:r>
    </w:p>
    <w:p w14:paraId="71F67753">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十、一般公共预算财政拨款“三公”经费支出决算表</w:t>
      </w:r>
    </w:p>
    <w:p w14:paraId="0D84888A">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十一、政府性基金预算财政拨款收入支出决算表</w:t>
      </w:r>
    </w:p>
    <w:p w14:paraId="14E52261">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十二、政府性基金预算财政拨款“三公”经费支出决算表</w:t>
      </w:r>
    </w:p>
    <w:p w14:paraId="2FE70773">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十三、国有资本经营预算财政拨款收入支出决算表</w:t>
      </w:r>
    </w:p>
    <w:p w14:paraId="5E4C1340">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十四、国有资本经营预算财政拨款支出决算表</w:t>
      </w:r>
    </w:p>
    <w:p w14:paraId="7AD15F4E">
      <w:pPr>
        <w:spacing w:line="560" w:lineRule="exact"/>
        <w:ind w:firstLine="482" w:firstLineChars="200"/>
        <w:rPr>
          <w:rFonts w:eastAsia="仿宋_GB2312"/>
          <w:sz w:val="32"/>
          <w:szCs w:val="32"/>
        </w:rPr>
      </w:pPr>
      <w:bookmarkStart w:id="12" w:name="_Toc15377196"/>
      <w:bookmarkStart w:id="13" w:name="_Toc15396599"/>
      <w:r>
        <w:rPr>
          <w:rFonts w:ascii="仿宋" w:hAnsi="仿宋" w:eastAsia="仿宋"/>
          <w:b/>
          <w:sz w:val="24"/>
        </w:rPr>
        <w:br w:type="page"/>
      </w:r>
    </w:p>
    <w:p w14:paraId="6B3D2E0A">
      <w:pPr>
        <w:pStyle w:val="3"/>
        <w:ind w:right="440"/>
        <w:jc w:val="center"/>
        <w:rPr>
          <w:rFonts w:ascii="黑体" w:hAnsi="黑体" w:eastAsia="黑体"/>
          <w:b w:val="0"/>
        </w:rPr>
      </w:pPr>
      <w:r>
        <w:rPr>
          <w:rFonts w:hint="eastAsia" w:ascii="黑体" w:hAnsi="黑体" w:eastAsia="黑体"/>
          <w:b w:val="0"/>
        </w:rPr>
        <w:t>第一部分 部门概况</w:t>
      </w:r>
      <w:bookmarkEnd w:id="12"/>
      <w:bookmarkEnd w:id="13"/>
    </w:p>
    <w:p w14:paraId="5FFE8134">
      <w:pPr>
        <w:spacing w:line="560" w:lineRule="exact"/>
        <w:ind w:firstLine="640" w:firstLineChars="200"/>
        <w:rPr>
          <w:rFonts w:eastAsia="仿宋_GB2312"/>
          <w:sz w:val="32"/>
          <w:szCs w:val="32"/>
        </w:rPr>
      </w:pPr>
    </w:p>
    <w:p w14:paraId="397DBF1D">
      <w:pPr>
        <w:pStyle w:val="24"/>
        <w:spacing w:line="600" w:lineRule="exact"/>
        <w:ind w:firstLine="640"/>
        <w:outlineLvl w:val="1"/>
        <w:rPr>
          <w:rFonts w:ascii="黑体" w:hAnsi="黑体" w:eastAsia="黑体"/>
          <w:sz w:val="32"/>
          <w:szCs w:val="32"/>
        </w:rPr>
      </w:pPr>
      <w:bookmarkStart w:id="14" w:name="_Toc15396600"/>
      <w:bookmarkStart w:id="15" w:name="_Toc15377197"/>
      <w:r>
        <w:rPr>
          <w:rFonts w:hint="eastAsia" w:ascii="黑体" w:hAnsi="黑体" w:eastAsia="黑体"/>
          <w:sz w:val="32"/>
          <w:szCs w:val="32"/>
        </w:rPr>
        <w:t>一、基本职能及主要工作</w:t>
      </w:r>
      <w:bookmarkEnd w:id="14"/>
      <w:bookmarkEnd w:id="15"/>
    </w:p>
    <w:p w14:paraId="4B116A72">
      <w:pPr>
        <w:spacing w:line="560" w:lineRule="exact"/>
        <w:ind w:firstLine="640" w:firstLineChars="200"/>
        <w:rPr>
          <w:rFonts w:eastAsia="仿宋_GB2312"/>
          <w:sz w:val="32"/>
          <w:szCs w:val="32"/>
        </w:rPr>
      </w:pPr>
      <w:bookmarkStart w:id="16" w:name="_Toc15377198"/>
      <w:bookmarkStart w:id="17" w:name="_Toc15378445"/>
      <w:r>
        <w:rPr>
          <w:rFonts w:hint="eastAsia" w:eastAsia="仿宋_GB2312"/>
          <w:sz w:val="32"/>
          <w:szCs w:val="32"/>
        </w:rPr>
        <w:t>（一）主要职能。</w:t>
      </w:r>
      <w:bookmarkEnd w:id="16"/>
      <w:bookmarkEnd w:id="17"/>
    </w:p>
    <w:p w14:paraId="6A929AC9">
      <w:pPr>
        <w:pStyle w:val="2"/>
        <w:spacing w:before="93"/>
        <w:ind w:firstLine="640" w:firstLineChars="200"/>
        <w:rPr>
          <w:sz w:val="32"/>
          <w:szCs w:val="32"/>
        </w:rPr>
      </w:pPr>
      <w:r>
        <w:rPr>
          <w:rFonts w:hint="eastAsia"/>
          <w:sz w:val="32"/>
          <w:szCs w:val="32"/>
        </w:rPr>
        <w:t>惠民镇党政机构具有党委和政府两种职能，党委领导政府工作。主要是政治思想和方针政策的领导，干部的选拔，考核和监督，经济和行政工作中重大问题的决策。镇政府是基层国家行政机关，行使本行政区的行政职能。</w:t>
      </w:r>
      <w:r>
        <w:rPr>
          <w:rFonts w:hint="eastAsia"/>
          <w:sz w:val="32"/>
          <w:szCs w:val="32"/>
        </w:rPr>
        <w:br w:type="textWrapping"/>
      </w:r>
      <w:r>
        <w:rPr>
          <w:rStyle w:val="15"/>
          <w:rFonts w:hint="eastAsia" w:hAnsi="仿宋" w:cstheme="minorBidi"/>
          <w:bCs/>
          <w:color w:val="000000"/>
          <w:sz w:val="32"/>
          <w:szCs w:val="32"/>
        </w:rPr>
        <w:t xml:space="preserve">   1、党委工作职责：</w:t>
      </w:r>
      <w:r>
        <w:rPr>
          <w:rFonts w:hint="eastAsia"/>
          <w:sz w:val="32"/>
          <w:szCs w:val="32"/>
        </w:rPr>
        <w:br w:type="textWrapping"/>
      </w:r>
      <w:r>
        <w:rPr>
          <w:rFonts w:hint="eastAsia"/>
          <w:sz w:val="32"/>
          <w:szCs w:val="32"/>
        </w:rPr>
        <w:t xml:space="preserve">    （1）保证党的路线、方针、政策的坚决贯彻执行。</w:t>
      </w:r>
      <w:r>
        <w:rPr>
          <w:rFonts w:hint="eastAsia"/>
          <w:sz w:val="32"/>
          <w:szCs w:val="32"/>
        </w:rPr>
        <w:br w:type="textWrapping"/>
      </w:r>
      <w:r>
        <w:rPr>
          <w:rFonts w:hint="eastAsia"/>
          <w:sz w:val="32"/>
          <w:szCs w:val="32"/>
        </w:rPr>
        <w:t xml:space="preserve">    （2）保证监督职能。</w:t>
      </w:r>
      <w:r>
        <w:rPr>
          <w:rFonts w:hint="eastAsia"/>
          <w:sz w:val="32"/>
          <w:szCs w:val="32"/>
        </w:rPr>
        <w:br w:type="textWrapping"/>
      </w:r>
      <w:r>
        <w:rPr>
          <w:rFonts w:hint="eastAsia"/>
          <w:sz w:val="32"/>
          <w:szCs w:val="32"/>
        </w:rPr>
        <w:t xml:space="preserve">    （3）教育和管理职能。</w:t>
      </w:r>
      <w:r>
        <w:rPr>
          <w:rFonts w:hint="eastAsia"/>
          <w:sz w:val="32"/>
          <w:szCs w:val="32"/>
        </w:rPr>
        <w:br w:type="textWrapping"/>
      </w:r>
      <w:r>
        <w:rPr>
          <w:rFonts w:hint="eastAsia"/>
          <w:sz w:val="32"/>
          <w:szCs w:val="32"/>
        </w:rPr>
        <w:t xml:space="preserve">    （4）服从和服务于经济建设的职能。</w:t>
      </w:r>
      <w:r>
        <w:rPr>
          <w:rFonts w:hint="eastAsia"/>
          <w:sz w:val="32"/>
          <w:szCs w:val="32"/>
        </w:rPr>
        <w:br w:type="textWrapping"/>
      </w:r>
      <w:r>
        <w:rPr>
          <w:rFonts w:hint="eastAsia"/>
          <w:sz w:val="32"/>
          <w:szCs w:val="32"/>
        </w:rPr>
        <w:t xml:space="preserve">    （5）负责抓好本镇党建工作、群团工作、精神文明建设工作、新闻宣传工作。</w:t>
      </w:r>
      <w:r>
        <w:rPr>
          <w:rFonts w:hint="eastAsia"/>
          <w:sz w:val="32"/>
          <w:szCs w:val="32"/>
        </w:rPr>
        <w:br w:type="textWrapping"/>
      </w:r>
      <w:r>
        <w:rPr>
          <w:rFonts w:hint="eastAsia"/>
          <w:sz w:val="32"/>
          <w:szCs w:val="32"/>
        </w:rPr>
        <w:t xml:space="preserve">    （6）完成县委、县政府交给的其他工作任务。</w:t>
      </w:r>
      <w:r>
        <w:rPr>
          <w:rFonts w:hint="eastAsia"/>
          <w:sz w:val="32"/>
          <w:szCs w:val="32"/>
        </w:rPr>
        <w:br w:type="textWrapping"/>
      </w:r>
      <w:r>
        <w:rPr>
          <w:rStyle w:val="15"/>
          <w:rFonts w:hint="eastAsia" w:hAnsi="仿宋" w:cstheme="minorBidi"/>
          <w:bCs/>
          <w:color w:val="000000"/>
          <w:sz w:val="32"/>
          <w:szCs w:val="32"/>
        </w:rPr>
        <w:t xml:space="preserve">     2、政府职能</w:t>
      </w:r>
      <w:r>
        <w:rPr>
          <w:rFonts w:hint="eastAsia"/>
          <w:sz w:val="32"/>
          <w:szCs w:val="32"/>
        </w:rPr>
        <w:br w:type="textWrapping"/>
      </w:r>
      <w:r>
        <w:rPr>
          <w:rFonts w:hint="eastAsia"/>
          <w:sz w:val="32"/>
          <w:szCs w:val="32"/>
        </w:rPr>
        <w:t xml:space="preserve">    （1）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r>
        <w:rPr>
          <w:rFonts w:hint="eastAsia"/>
          <w:sz w:val="32"/>
          <w:szCs w:val="32"/>
        </w:rPr>
        <w:br w:type="textWrapping"/>
      </w:r>
      <w:r>
        <w:rPr>
          <w:rFonts w:hint="eastAsia"/>
          <w:sz w:val="32"/>
          <w:szCs w:val="32"/>
        </w:rPr>
        <w:t xml:space="preserve">    （2）制定并组织实施村（社区）建设规划，部署重点工程建设，地方道路建设及公共设施，水利设施的管理，负责土地、林木、水等自然资源和生态环境的保护，做好护林防火工作。</w:t>
      </w:r>
      <w:r>
        <w:rPr>
          <w:rFonts w:hint="eastAsia"/>
          <w:sz w:val="32"/>
          <w:szCs w:val="32"/>
        </w:rPr>
        <w:br w:type="textWrapping"/>
      </w:r>
      <w:r>
        <w:rPr>
          <w:rFonts w:hint="eastAsia"/>
          <w:sz w:val="32"/>
          <w:szCs w:val="32"/>
        </w:rPr>
        <w:t xml:space="preserve">    （3）负责本行政区域内的民政、计划生育、文化教育、卫生、体育等社会公益事业的综合性工作，维护一切经济单位和个人的正当经济权益，取缔非法经济活动，调解和处理民事纠纷，打击刑事犯罪维护社会稳定。</w:t>
      </w:r>
      <w:r>
        <w:rPr>
          <w:rFonts w:hint="eastAsia"/>
          <w:sz w:val="32"/>
          <w:szCs w:val="32"/>
        </w:rPr>
        <w:br w:type="textWrapping"/>
      </w:r>
      <w:r>
        <w:rPr>
          <w:rFonts w:hint="eastAsia"/>
          <w:sz w:val="32"/>
          <w:szCs w:val="32"/>
        </w:rPr>
        <w:t xml:space="preserve">    （4）按计划组织本级财政收入和地方税的征收，完成国家财政计划，不断培植税源，管好财政资金，增强财政实力。</w:t>
      </w:r>
      <w:r>
        <w:rPr>
          <w:rFonts w:hint="eastAsia"/>
          <w:sz w:val="32"/>
          <w:szCs w:val="32"/>
        </w:rPr>
        <w:br w:type="textWrapping"/>
      </w:r>
      <w:r>
        <w:rPr>
          <w:rFonts w:hint="eastAsia"/>
          <w:sz w:val="32"/>
          <w:szCs w:val="32"/>
        </w:rPr>
        <w:t xml:space="preserve">    （5）抓好精神文明建设，丰富群众文化生活，提倡移风易俗，反对封建迷信，破除陈规陋习，树立社会主义新风尚。</w:t>
      </w:r>
      <w:r>
        <w:rPr>
          <w:rFonts w:hint="eastAsia"/>
          <w:sz w:val="32"/>
          <w:szCs w:val="32"/>
        </w:rPr>
        <w:br w:type="textWrapping"/>
      </w:r>
      <w:r>
        <w:rPr>
          <w:rFonts w:hint="eastAsia"/>
          <w:sz w:val="32"/>
          <w:szCs w:val="32"/>
        </w:rPr>
        <w:t xml:space="preserve">    （6）完成上级政府交办的其它事项</w:t>
      </w:r>
    </w:p>
    <w:p w14:paraId="177F882F">
      <w:pPr>
        <w:spacing w:line="600" w:lineRule="exact"/>
        <w:ind w:firstLine="643" w:firstLineChars="200"/>
        <w:outlineLvl w:val="2"/>
        <w:rPr>
          <w:rFonts w:ascii="仿宋" w:hAnsi="仿宋" w:eastAsia="仿宋"/>
          <w:b/>
          <w:sz w:val="32"/>
          <w:szCs w:val="32"/>
        </w:rPr>
      </w:pPr>
      <w:bookmarkStart w:id="18" w:name="_Toc15378446"/>
      <w:bookmarkStart w:id="19" w:name="_Toc15377199"/>
      <w:r>
        <w:rPr>
          <w:rFonts w:hint="eastAsia" w:ascii="仿宋" w:hAnsi="仿宋" w:eastAsia="仿宋"/>
          <w:b/>
          <w:sz w:val="32"/>
          <w:szCs w:val="32"/>
        </w:rPr>
        <w:t>（二）2021年重点工作完成情况。</w:t>
      </w:r>
      <w:bookmarkEnd w:id="18"/>
      <w:bookmarkEnd w:id="19"/>
    </w:p>
    <w:p w14:paraId="3B8FF046">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1.党建工作</w:t>
      </w:r>
    </w:p>
    <w:p w14:paraId="51C9537C">
      <w:pPr>
        <w:pStyle w:val="2"/>
        <w:adjustRightInd w:val="0"/>
        <w:snapToGrid w:val="0"/>
        <w:spacing w:before="93" w:line="600" w:lineRule="exact"/>
        <w:ind w:firstLine="643" w:firstLineChars="200"/>
        <w:outlineLvl w:val="2"/>
        <w:rPr>
          <w:rFonts w:ascii="Times New Roman"/>
          <w:kern w:val="2"/>
          <w:sz w:val="32"/>
          <w:szCs w:val="32"/>
        </w:rPr>
      </w:pPr>
      <w:r>
        <w:rPr>
          <w:rFonts w:hint="eastAsia" w:ascii="Times New Roman"/>
          <w:b/>
          <w:bCs/>
          <w:kern w:val="2"/>
          <w:sz w:val="32"/>
          <w:szCs w:val="32"/>
        </w:rPr>
        <w:t>党史学习教育工作：</w:t>
      </w:r>
      <w:r>
        <w:rPr>
          <w:rFonts w:hint="eastAsia" w:ascii="Times New Roman"/>
          <w:kern w:val="2"/>
          <w:sz w:val="32"/>
          <w:szCs w:val="32"/>
        </w:rPr>
        <w:t>全年共开展党委理论学习会6次，</w:t>
      </w:r>
      <w:r>
        <w:rPr>
          <w:rFonts w:hint="eastAsia" w:ascii="Times New Roman"/>
          <w:kern w:val="2"/>
          <w:sz w:val="32"/>
          <w:szCs w:val="32"/>
          <w:lang w:eastAsia="zh-CN"/>
        </w:rPr>
        <w:t>党史学习教育</w:t>
      </w:r>
      <w:r>
        <w:rPr>
          <w:rFonts w:hint="eastAsia" w:ascii="Times New Roman"/>
          <w:kern w:val="2"/>
          <w:sz w:val="32"/>
          <w:szCs w:val="32"/>
        </w:rPr>
        <w:t>次数68次，对《习近平新时代中国特色社会主义思想学习纲要》、《民法典》、《攀枝花市森林草原防灭火条例》、《习近平</w:t>
      </w:r>
      <w:r>
        <w:rPr>
          <w:rFonts w:hint="eastAsia" w:ascii="Times New Roman"/>
          <w:kern w:val="2"/>
          <w:sz w:val="32"/>
          <w:szCs w:val="32"/>
          <w:lang w:eastAsia="zh-CN"/>
        </w:rPr>
        <w:t>谈</w:t>
      </w:r>
      <w:r>
        <w:rPr>
          <w:rFonts w:hint="eastAsia" w:ascii="Times New Roman"/>
          <w:kern w:val="2"/>
          <w:sz w:val="32"/>
          <w:szCs w:val="32"/>
        </w:rPr>
        <w:t>治国理政》、《中华人民共和国森林法》以及其他一系列相关精神进行学习，提高党员同志思想水平工作。</w:t>
      </w:r>
      <w:r>
        <w:rPr>
          <w:rFonts w:hint="eastAsia" w:ascii="Times New Roman"/>
          <w:b/>
          <w:bCs/>
          <w:kern w:val="2"/>
          <w:sz w:val="32"/>
          <w:szCs w:val="32"/>
        </w:rPr>
        <w:t>意识形态工作：</w:t>
      </w:r>
      <w:r>
        <w:rPr>
          <w:rFonts w:hint="eastAsia" w:ascii="Times New Roman"/>
          <w:kern w:val="2"/>
          <w:sz w:val="32"/>
          <w:szCs w:val="32"/>
        </w:rPr>
        <w:t>坚持党管意识形态工作不动摇,严格落实意识形态工作责任制，定期召开意识形态分析研判会，研判风险隐患，确保主流意识始终占据主要地位。</w:t>
      </w:r>
    </w:p>
    <w:p w14:paraId="413A9E1F">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2.依法治镇工作</w:t>
      </w:r>
    </w:p>
    <w:p w14:paraId="607BD8BC">
      <w:pPr>
        <w:spacing w:line="576" w:lineRule="exact"/>
        <w:ind w:firstLine="640" w:firstLineChars="200"/>
        <w:rPr>
          <w:rFonts w:eastAsia="仿宋_GB2312"/>
          <w:sz w:val="32"/>
          <w:szCs w:val="32"/>
        </w:rPr>
      </w:pPr>
      <w:r>
        <w:rPr>
          <w:rFonts w:hint="eastAsia" w:eastAsia="仿宋_GB2312"/>
          <w:sz w:val="32"/>
          <w:szCs w:val="32"/>
        </w:rPr>
        <w:t>依法治镇水平持续提高。加大全民普法力度，开展“法律六进”等主题活动，广泛开展法治宣传教育活动，让广大群众知法、信法、守法、用法。扎实做好关键时间关键节点信访维稳工作，全面推进雪亮工程”建设，广泛开展平安创建活动。</w:t>
      </w:r>
    </w:p>
    <w:p w14:paraId="2B3AA13C">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3.产业强镇工作</w:t>
      </w:r>
    </w:p>
    <w:p w14:paraId="36E7EB64">
      <w:pPr>
        <w:spacing w:line="576" w:lineRule="exact"/>
        <w:ind w:firstLine="640" w:firstLineChars="200"/>
        <w:rPr>
          <w:rFonts w:eastAsia="仿宋_GB2312"/>
          <w:sz w:val="32"/>
          <w:szCs w:val="32"/>
        </w:rPr>
      </w:pPr>
      <w:r>
        <w:rPr>
          <w:rFonts w:hint="eastAsia" w:eastAsia="仿宋_GB2312"/>
          <w:sz w:val="32"/>
          <w:szCs w:val="32"/>
        </w:rPr>
        <w:t>大力发展特色农业，形成现代蚕桑、 特色水果和畜牧养殖三大主导产业。2021年桑葚种植面积27669亩、产值12500万元，西瓜面积4230亩、产值3350万元；水稻、玉米、蔬菜等主要粮食作物产量稳中有升。引进广西先进技术，西瓜苗年育苗能力达500万株以上，带动相关产业产值500万元以上。全力支持四喜农业、黑金椹农业、绿苑农业等深加工企业发展壮大，深化桑椹产业开发、产品深加工，加快特色农业产业链条化、规模化、品牌化发展。其中四喜农业2021年实现产值2316万元，利润965万元，税收126万元；投入3000余万元的黑金椹农业一期工程已有三条生产线于第四季度投产，实现产值800余万元。并围绕“滋味盐边”发展定位，抓农文旅融合发展，建成桑椹采摘体验园、“蜀云居”乡村酒店等康养旅游项目。</w:t>
      </w:r>
    </w:p>
    <w:p w14:paraId="73F88469">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4.安全工作</w:t>
      </w:r>
    </w:p>
    <w:p w14:paraId="4BA8F61E">
      <w:pPr>
        <w:spacing w:line="576" w:lineRule="exact"/>
        <w:ind w:firstLine="643" w:firstLineChars="200"/>
        <w:rPr>
          <w:rFonts w:eastAsia="仿宋_GB2312"/>
          <w:sz w:val="32"/>
          <w:szCs w:val="32"/>
        </w:rPr>
      </w:pPr>
      <w:r>
        <w:rPr>
          <w:rFonts w:hint="eastAsia" w:eastAsia="仿宋_GB2312"/>
          <w:b/>
          <w:bCs/>
          <w:sz w:val="32"/>
          <w:szCs w:val="32"/>
        </w:rPr>
        <w:t>新冠疫情防控工作：</w:t>
      </w:r>
      <w:r>
        <w:rPr>
          <w:rFonts w:hint="eastAsia" w:eastAsia="仿宋_GB2312"/>
          <w:sz w:val="32"/>
          <w:szCs w:val="32"/>
        </w:rPr>
        <w:t>2021年以来,面对新冠肺炎疫情防控形势复杂多变形势，惠民镇党委深入贯彻省、市、县各级疫情防控要求，严格落实各项常态化疫情防控措施。今年以来累计排查人数1170人，其中境外返乡人员1人、省外返乡人员418人、省内返乡人员738人、中高风险区返乡人员13人，实现了本土零感染。落实疫苗接种“应接尽接”，截至目前，第一针接种9608人次、第二针接种9090人次，加强针202人次。</w:t>
      </w:r>
      <w:r>
        <w:rPr>
          <w:rFonts w:hint="eastAsia" w:eastAsia="仿宋_GB2312"/>
          <w:b/>
          <w:bCs/>
          <w:sz w:val="32"/>
          <w:szCs w:val="32"/>
        </w:rPr>
        <w:t>森林草原防灭火专项整治工作：</w:t>
      </w:r>
      <w:r>
        <w:rPr>
          <w:rFonts w:hint="eastAsia" w:eastAsia="仿宋_GB2312"/>
          <w:sz w:val="32"/>
          <w:szCs w:val="32"/>
        </w:rPr>
        <w:t>深入学习宣传森林草原防灭火相关指示批示、法律法规，动态完善“四个清单”内容，建立健全“三查三调度”（日常巡查、纪检监察、入户抽查，日调度、周研判、月小结）农事农活申报审批、省际边界联防联控等制度机制，压紧压实七级包保、十户联防、四级包干责任体系，推动森防工作责任末端发力、终端见效。2021年防火期内全镇未发生森林火情（灾）。</w:t>
      </w:r>
      <w:r>
        <w:rPr>
          <w:rFonts w:hint="eastAsia" w:eastAsia="仿宋_GB2312"/>
          <w:b/>
          <w:bCs/>
          <w:sz w:val="32"/>
          <w:szCs w:val="32"/>
        </w:rPr>
        <w:t>河长制工作：</w:t>
      </w:r>
      <w:r>
        <w:rPr>
          <w:rFonts w:hint="eastAsia" w:eastAsia="仿宋_GB2312"/>
          <w:sz w:val="32"/>
          <w:szCs w:val="32"/>
        </w:rPr>
        <w:t>构建完善责任明确、协调有序、监管严格、保护有力的河道管理保护机制，进一步促进河湖政策措施到位、问题整改到位、责任落实到位。全年镇级河长巡河180次，村级河长巡河420次，开展整治“四乱”行动6次，开展“净水保水”行动4次。</w:t>
      </w:r>
      <w:r>
        <w:rPr>
          <w:rFonts w:hint="eastAsia" w:eastAsia="仿宋_GB2312"/>
          <w:b/>
          <w:bCs/>
          <w:sz w:val="32"/>
          <w:szCs w:val="32"/>
        </w:rPr>
        <w:t>生产生活环境安全工作：</w:t>
      </w:r>
      <w:r>
        <w:rPr>
          <w:rFonts w:hint="eastAsia" w:eastAsia="仿宋_GB2312"/>
          <w:sz w:val="32"/>
          <w:szCs w:val="32"/>
        </w:rPr>
        <w:t>严格落实安全生产责任制，扎实推进安全生产专项整治行动，加强企业安全生产检查，全面强化源头管控，坚决遏制重大安全事故。深入开展</w:t>
      </w:r>
      <w:r>
        <w:rPr>
          <w:rFonts w:hint="eastAsia" w:eastAsia="仿宋_GB2312"/>
          <w:sz w:val="32"/>
          <w:szCs w:val="32"/>
          <w:lang w:eastAsia="zh-CN"/>
        </w:rPr>
        <w:t>扫黑除恶</w:t>
      </w:r>
      <w:r>
        <w:rPr>
          <w:rFonts w:hint="eastAsia" w:eastAsia="仿宋_GB2312"/>
          <w:sz w:val="32"/>
          <w:szCs w:val="32"/>
        </w:rPr>
        <w:t>专项行动，扎实做好反邪教宣传管控工作，持续打击网络诈骗、传销，认真开展社区矫正工作，加大禁毒铲毒工作力度。六是深化社会领域风险防控。把化解各种不稳定因素作为加强社会管理的一项基础性、常态性工作，建立起矛盾纠纷排查机制，确保小事不出社、大事不出村，重大疑难纠纷不出镇。及时发现和掌握群体性、突发性事件的苗头和动向，做到预警在先、措施在先，把矛盾纠纷化解在萌芽状态。</w:t>
      </w:r>
    </w:p>
    <w:p w14:paraId="1B89AAE8">
      <w:pPr>
        <w:pStyle w:val="2"/>
        <w:spacing w:before="93"/>
        <w:ind w:firstLine="643" w:firstLineChars="200"/>
        <w:rPr>
          <w:rStyle w:val="15"/>
          <w:rFonts w:hAnsi="仿宋" w:cstheme="minorBidi"/>
          <w:bCs/>
          <w:color w:val="000000"/>
          <w:kern w:val="2"/>
          <w:sz w:val="32"/>
          <w:szCs w:val="32"/>
        </w:rPr>
      </w:pPr>
      <w:r>
        <w:rPr>
          <w:rStyle w:val="15"/>
          <w:rFonts w:hint="eastAsia" w:hAnsi="仿宋" w:cstheme="minorBidi"/>
          <w:bCs/>
          <w:color w:val="000000"/>
          <w:kern w:val="2"/>
          <w:sz w:val="32"/>
          <w:szCs w:val="32"/>
        </w:rPr>
        <w:t>5.民生工作</w:t>
      </w:r>
    </w:p>
    <w:p w14:paraId="690F51A2">
      <w:pPr>
        <w:pStyle w:val="2"/>
        <w:spacing w:before="93"/>
        <w:ind w:firstLine="643" w:firstLineChars="200"/>
        <w:rPr>
          <w:rFonts w:ascii="Times New Roman"/>
          <w:kern w:val="2"/>
          <w:sz w:val="32"/>
          <w:szCs w:val="32"/>
        </w:rPr>
      </w:pPr>
      <w:r>
        <w:rPr>
          <w:rFonts w:hint="eastAsia" w:ascii="Times New Roman"/>
          <w:b/>
          <w:bCs/>
          <w:kern w:val="2"/>
          <w:sz w:val="32"/>
          <w:szCs w:val="32"/>
        </w:rPr>
        <w:t>低保评定工作：</w:t>
      </w:r>
      <w:r>
        <w:rPr>
          <w:rFonts w:hint="eastAsia" w:ascii="Times New Roman"/>
          <w:kern w:val="2"/>
          <w:sz w:val="32"/>
          <w:szCs w:val="32"/>
        </w:rPr>
        <w:t>严格按照“一评、三审、两公示”的程序进行，全镇低保对象共计266户，458人，发放低保金154223元</w:t>
      </w:r>
      <w:r>
        <w:rPr>
          <w:rFonts w:hint="eastAsia" w:ascii="Times New Roman"/>
          <w:b/>
          <w:bCs/>
          <w:kern w:val="2"/>
          <w:sz w:val="32"/>
          <w:szCs w:val="32"/>
        </w:rPr>
        <w:t>。城镇医疗保险和农村合作医疗工作：</w:t>
      </w:r>
      <w:r>
        <w:rPr>
          <w:rFonts w:hint="eastAsia" w:ascii="Times New Roman"/>
          <w:kern w:val="2"/>
          <w:sz w:val="32"/>
          <w:szCs w:val="32"/>
        </w:rPr>
        <w:t>全镇低保户、分散供养特困人员及残疾人全部免费参加城镇和农村医疗保险。</w:t>
      </w:r>
      <w:r>
        <w:rPr>
          <w:rFonts w:hint="eastAsia" w:ascii="Times New Roman"/>
          <w:b/>
          <w:bCs/>
          <w:kern w:val="2"/>
          <w:sz w:val="32"/>
          <w:szCs w:val="32"/>
        </w:rPr>
        <w:t>五保户供养工作：</w:t>
      </w:r>
      <w:r>
        <w:rPr>
          <w:rFonts w:hint="eastAsia" w:ascii="Times New Roman"/>
          <w:kern w:val="2"/>
          <w:sz w:val="32"/>
          <w:szCs w:val="32"/>
        </w:rPr>
        <w:t>全镇共有五保户165人，其中集中供养73人，分散供养92人，五保供养资金已全部发放完成。四是积极配合做好困难家庭失能老人、80周岁以上高龄老人居家养老服务及老年人津贴补贴申报工作。全镇高龄补贴对象共计484人，发放补贴35300元。此外国防教育、国防动员、兵役征集、双拥优抚全面加强。支持工会、共青团、妇联、关工委等群团组织发挥作用。武装国防动员、档案、民族宗教、气象等各项事业取得新进展、新成效。</w:t>
      </w:r>
    </w:p>
    <w:p w14:paraId="055B2EE9">
      <w:pPr>
        <w:pStyle w:val="24"/>
        <w:spacing w:line="600" w:lineRule="exact"/>
        <w:ind w:left="640" w:firstLine="0" w:firstLineChars="0"/>
        <w:outlineLvl w:val="1"/>
        <w:rPr>
          <w:rFonts w:ascii="黑体" w:hAnsi="黑体" w:eastAsia="黑体"/>
          <w:sz w:val="32"/>
          <w:szCs w:val="32"/>
        </w:rPr>
      </w:pPr>
      <w:bookmarkStart w:id="20" w:name="_Toc15396601"/>
      <w:bookmarkStart w:id="21" w:name="_Toc15377200"/>
      <w:r>
        <w:rPr>
          <w:rFonts w:hint="eastAsia" w:ascii="黑体" w:hAnsi="黑体" w:eastAsia="黑体"/>
          <w:sz w:val="32"/>
          <w:szCs w:val="32"/>
        </w:rPr>
        <w:t>二、机构设置</w:t>
      </w:r>
      <w:bookmarkEnd w:id="20"/>
      <w:bookmarkEnd w:id="21"/>
    </w:p>
    <w:p w14:paraId="3D306B2D">
      <w:pPr>
        <w:spacing w:line="560" w:lineRule="exact"/>
        <w:ind w:firstLine="640" w:firstLineChars="200"/>
        <w:rPr>
          <w:rFonts w:ascii="仿宋" w:hAnsi="仿宋" w:eastAsia="仿宋"/>
          <w:kern w:val="0"/>
          <w:sz w:val="32"/>
          <w:szCs w:val="32"/>
        </w:rPr>
      </w:pPr>
      <w:bookmarkStart w:id="22" w:name="_Toc15378449"/>
      <w:bookmarkStart w:id="23" w:name="_Toc15377202"/>
      <w:bookmarkStart w:id="24" w:name="_Toc15377433"/>
      <w:bookmarkStart w:id="25" w:name="_Toc15306276"/>
      <w:r>
        <w:rPr>
          <w:rFonts w:hint="eastAsia" w:eastAsia="仿宋_GB2312"/>
          <w:sz w:val="32"/>
          <w:szCs w:val="32"/>
        </w:rPr>
        <w:t>惠民镇全镇共</w:t>
      </w:r>
      <w:r>
        <w:rPr>
          <w:rFonts w:eastAsia="仿宋_GB2312"/>
          <w:sz w:val="32"/>
          <w:szCs w:val="32"/>
        </w:rPr>
        <w:t>7</w:t>
      </w:r>
      <w:r>
        <w:rPr>
          <w:rFonts w:hint="eastAsia" w:eastAsia="仿宋_GB2312"/>
          <w:sz w:val="32"/>
          <w:szCs w:val="32"/>
        </w:rPr>
        <w:t>个村，村民小组52个。政府机关编制数53人，其中：行政编制2</w:t>
      </w:r>
      <w:r>
        <w:rPr>
          <w:rFonts w:eastAsia="仿宋_GB2312"/>
          <w:sz w:val="32"/>
          <w:szCs w:val="32"/>
        </w:rPr>
        <w:t>4</w:t>
      </w:r>
      <w:r>
        <w:rPr>
          <w:rFonts w:hint="eastAsia" w:eastAsia="仿宋_GB2312"/>
          <w:sz w:val="32"/>
          <w:szCs w:val="32"/>
        </w:rPr>
        <w:t>人，事业编制</w:t>
      </w:r>
      <w:r>
        <w:rPr>
          <w:rFonts w:eastAsia="仿宋_GB2312"/>
          <w:sz w:val="32"/>
          <w:szCs w:val="32"/>
        </w:rPr>
        <w:t>2</w:t>
      </w:r>
      <w:r>
        <w:rPr>
          <w:rFonts w:hint="eastAsia" w:eastAsia="仿宋_GB2312"/>
          <w:sz w:val="32"/>
          <w:szCs w:val="32"/>
        </w:rPr>
        <w:t>6人，工勤人员3人，20</w:t>
      </w:r>
      <w:r>
        <w:rPr>
          <w:rFonts w:eastAsia="仿宋_GB2312"/>
          <w:sz w:val="32"/>
          <w:szCs w:val="32"/>
        </w:rPr>
        <w:t>2</w:t>
      </w:r>
      <w:r>
        <w:rPr>
          <w:rFonts w:hint="eastAsia" w:eastAsia="仿宋_GB2312"/>
          <w:sz w:val="32"/>
          <w:szCs w:val="32"/>
        </w:rPr>
        <w:t>1年末实有人数49人，退休19人，惠民镇政府现有部门</w:t>
      </w:r>
      <w:r>
        <w:rPr>
          <w:rFonts w:eastAsia="仿宋_GB2312"/>
          <w:sz w:val="32"/>
          <w:szCs w:val="32"/>
        </w:rPr>
        <w:t>11</w:t>
      </w:r>
      <w:r>
        <w:rPr>
          <w:rFonts w:hint="eastAsia" w:eastAsia="仿宋_GB2312"/>
          <w:sz w:val="32"/>
          <w:szCs w:val="32"/>
        </w:rPr>
        <w:t>个</w:t>
      </w:r>
      <w:r>
        <w:rPr>
          <w:rFonts w:hint="eastAsia" w:eastAsia="仿宋_GB2312"/>
          <w:color w:val="000000" w:themeColor="text1"/>
          <w:sz w:val="32"/>
          <w:szCs w:val="32"/>
          <w14:textFill>
            <w14:solidFill>
              <w14:schemeClr w14:val="tx1"/>
            </w14:solidFill>
          </w14:textFill>
        </w:rPr>
        <w:t>，</w:t>
      </w:r>
      <w:r>
        <w:rPr>
          <w:rFonts w:hint="eastAsia" w:eastAsia="仿宋_GB2312"/>
          <w:sz w:val="32"/>
          <w:szCs w:val="32"/>
        </w:rPr>
        <w:t>分别为党政办公室，党建办公室，经济发展办公室（乡村振兴办、生态环境办公室），社会事务办公室，综合行政执法办公室，社会治理办公室，财政所，便民服务中心（农民工服务中心、退役军人服务站矛盾纠纷多元化协调中心），农业农村服务中心（林业站、畜牧兽医站），村镇建设服务中心，宣传文化旅游服务中心</w:t>
      </w:r>
      <w:bookmarkEnd w:id="22"/>
      <w:bookmarkEnd w:id="23"/>
      <w:bookmarkEnd w:id="24"/>
      <w:bookmarkEnd w:id="25"/>
      <w:r>
        <w:rPr>
          <w:rFonts w:hint="eastAsia" w:eastAsia="仿宋_GB2312"/>
          <w:sz w:val="32"/>
          <w:szCs w:val="32"/>
        </w:rPr>
        <w:t>（综合文化站、党群服务中心）。</w:t>
      </w:r>
    </w:p>
    <w:p w14:paraId="3F151438">
      <w:pPr>
        <w:pStyle w:val="3"/>
        <w:ind w:right="440"/>
        <w:jc w:val="center"/>
        <w:rPr>
          <w:rStyle w:val="25"/>
          <w:rFonts w:ascii="黑体" w:hAnsi="黑体" w:eastAsia="黑体"/>
          <w:b w:val="0"/>
          <w:bCs/>
        </w:rPr>
      </w:pPr>
      <w:bookmarkStart w:id="26" w:name="_Toc15396602"/>
      <w:bookmarkStart w:id="27" w:name="_Toc15377204"/>
      <w:r>
        <w:rPr>
          <w:rFonts w:hint="eastAsia" w:ascii="黑体" w:hAnsi="黑体" w:eastAsia="黑体"/>
          <w:b w:val="0"/>
        </w:rPr>
        <w:t>第二部分 2021年度</w:t>
      </w:r>
      <w:r>
        <w:rPr>
          <w:rStyle w:val="25"/>
          <w:rFonts w:hint="eastAsia" w:ascii="黑体" w:hAnsi="黑体" w:eastAsia="黑体"/>
          <w:b w:val="0"/>
          <w:bCs/>
        </w:rPr>
        <w:t>部门决算情况说明</w:t>
      </w:r>
      <w:bookmarkEnd w:id="26"/>
      <w:bookmarkEnd w:id="27"/>
    </w:p>
    <w:p w14:paraId="4995E08D"/>
    <w:p w14:paraId="3E797446">
      <w:pPr>
        <w:pStyle w:val="24"/>
        <w:numPr>
          <w:ilvl w:val="0"/>
          <w:numId w:val="1"/>
        </w:numPr>
        <w:spacing w:line="600" w:lineRule="exact"/>
        <w:ind w:firstLineChars="0"/>
        <w:outlineLvl w:val="1"/>
        <w:rPr>
          <w:rStyle w:val="26"/>
          <w:rFonts w:ascii="黑体" w:hAnsi="黑体" w:eastAsia="黑体"/>
          <w:b w:val="0"/>
        </w:rPr>
      </w:pPr>
      <w:bookmarkStart w:id="28" w:name="_Toc15377205"/>
      <w:bookmarkStart w:id="29" w:name="_Toc15396603"/>
      <w:r>
        <w:rPr>
          <w:rFonts w:hint="eastAsia" w:ascii="黑体" w:hAnsi="黑体" w:eastAsia="黑体"/>
          <w:sz w:val="32"/>
          <w:szCs w:val="32"/>
        </w:rPr>
        <w:t>收</w:t>
      </w:r>
      <w:r>
        <w:rPr>
          <w:rStyle w:val="26"/>
          <w:rFonts w:hint="eastAsia" w:ascii="黑体" w:hAnsi="黑体" w:eastAsia="黑体"/>
          <w:b w:val="0"/>
        </w:rPr>
        <w:t>入支出决算总体情况说明</w:t>
      </w:r>
      <w:bookmarkEnd w:id="28"/>
      <w:bookmarkEnd w:id="29"/>
    </w:p>
    <w:p w14:paraId="420CDFA8">
      <w:pPr>
        <w:spacing w:line="600"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1年度收入总计1548万元。与2020年1445</w:t>
      </w:r>
      <w:r>
        <w:rPr>
          <w:rFonts w:hint="eastAsia" w:ascii="方正仿宋_GBK" w:hAnsi="仿宋" w:eastAsia="方正仿宋_GBK"/>
          <w:color w:val="000000"/>
          <w:sz w:val="33"/>
          <w:szCs w:val="33"/>
        </w:rPr>
        <w:t>万元</w:t>
      </w:r>
      <w:r>
        <w:rPr>
          <w:rFonts w:hint="eastAsia" w:eastAsia="仿宋_GB2312"/>
          <w:sz w:val="32"/>
          <w:szCs w:val="32"/>
        </w:rPr>
        <w:t>相比，收入增加103万元，增长7.1</w:t>
      </w:r>
      <w:r>
        <w:rPr>
          <w:rFonts w:eastAsia="仿宋_GB2312"/>
          <w:sz w:val="32"/>
          <w:szCs w:val="32"/>
        </w:rPr>
        <w:t>%</w:t>
      </w:r>
      <w:r>
        <w:rPr>
          <w:rFonts w:hint="eastAsia" w:eastAsia="仿宋_GB2312"/>
          <w:sz w:val="32"/>
          <w:szCs w:val="32"/>
        </w:rPr>
        <w:t>。主要变动原因是</w:t>
      </w:r>
      <w:r>
        <w:rPr>
          <w:rFonts w:hint="eastAsia" w:eastAsia="仿宋_GB2312"/>
          <w:color w:val="000000" w:themeColor="text1"/>
          <w:sz w:val="32"/>
          <w:szCs w:val="32"/>
          <w14:textFill>
            <w14:solidFill>
              <w14:schemeClr w14:val="tx1"/>
            </w14:solidFill>
          </w14:textFill>
        </w:rPr>
        <w:t>项目增加</w:t>
      </w:r>
      <w:r>
        <w:rPr>
          <w:rFonts w:hint="eastAsia" w:eastAsia="仿宋_GB2312"/>
          <w:sz w:val="32"/>
          <w:szCs w:val="32"/>
        </w:rPr>
        <w:t>；2021年支出总计1758.39万元，与2020年1245万元相比，增加513.39万元，增长41.2%，主要变动原因是人员变动，项目增加。</w:t>
      </w:r>
    </w:p>
    <w:p w14:paraId="76276227">
      <w:pPr>
        <w:pStyle w:val="2"/>
        <w:spacing w:before="93"/>
      </w:pPr>
      <w:r>
        <w:drawing>
          <wp:inline distT="0" distB="0" distL="0" distR="0">
            <wp:extent cx="3724275" cy="1966595"/>
            <wp:effectExtent l="19050" t="0" r="28036"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9D2F7CE">
      <w:pPr>
        <w:pStyle w:val="2"/>
        <w:spacing w:before="93"/>
      </w:pPr>
      <w:r>
        <w:rPr>
          <w:rFonts w:hint="eastAsia"/>
        </w:rPr>
        <w:t>（图1：收、支聚酸总计变动情况）</w:t>
      </w:r>
    </w:p>
    <w:p w14:paraId="67E92DBE">
      <w:pPr>
        <w:pStyle w:val="24"/>
        <w:numPr>
          <w:ilvl w:val="0"/>
          <w:numId w:val="1"/>
        </w:numPr>
        <w:spacing w:line="600" w:lineRule="exact"/>
        <w:ind w:firstLineChars="0"/>
        <w:outlineLvl w:val="1"/>
        <w:rPr>
          <w:rStyle w:val="26"/>
          <w:rFonts w:ascii="黑体" w:hAnsi="黑体" w:eastAsia="黑体"/>
          <w:b w:val="0"/>
        </w:rPr>
      </w:pPr>
      <w:bookmarkStart w:id="30" w:name="_Toc15396604"/>
      <w:bookmarkStart w:id="31" w:name="_Toc15377206"/>
      <w:r>
        <w:rPr>
          <w:rFonts w:hint="eastAsia" w:ascii="黑体" w:hAnsi="黑体" w:eastAsia="黑体"/>
          <w:sz w:val="32"/>
          <w:szCs w:val="32"/>
        </w:rPr>
        <w:t>收</w:t>
      </w:r>
      <w:r>
        <w:rPr>
          <w:rStyle w:val="26"/>
          <w:rFonts w:hint="eastAsia" w:ascii="黑体" w:hAnsi="黑体" w:eastAsia="黑体"/>
          <w:b w:val="0"/>
        </w:rPr>
        <w:t>入决算情况说明</w:t>
      </w:r>
      <w:bookmarkEnd w:id="30"/>
      <w:bookmarkEnd w:id="31"/>
    </w:p>
    <w:p w14:paraId="2E3D1EB9">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21年本年收入合计1548万元，其中：一般公共预算财政拨款收入1548万元，占100</w:t>
      </w:r>
      <w:r>
        <w:rPr>
          <w:rFonts w:ascii="仿宋" w:hAnsi="仿宋" w:eastAsia="仿宋"/>
          <w:sz w:val="32"/>
          <w:szCs w:val="32"/>
        </w:rPr>
        <w:t>%</w:t>
      </w:r>
      <w:r>
        <w:rPr>
          <w:rFonts w:hint="eastAsia" w:ascii="仿宋" w:hAnsi="仿宋" w:eastAsia="仿宋"/>
          <w:sz w:val="32"/>
          <w:szCs w:val="32"/>
        </w:rPr>
        <w:t>；</w:t>
      </w:r>
    </w:p>
    <w:p w14:paraId="545A7493">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w:t>
      </w:r>
      <w:r>
        <w:rPr>
          <w:rFonts w:ascii="仿宋" w:hAnsi="仿宋" w:eastAsia="仿宋"/>
          <w:b/>
          <w:sz w:val="32"/>
          <w:szCs w:val="32"/>
        </w:rPr>
        <w:t>）</w:t>
      </w:r>
    </w:p>
    <w:p w14:paraId="152AF2B4">
      <w:pPr>
        <w:pStyle w:val="24"/>
        <w:numPr>
          <w:ilvl w:val="0"/>
          <w:numId w:val="1"/>
        </w:numPr>
        <w:spacing w:line="600" w:lineRule="exact"/>
        <w:ind w:firstLineChars="0"/>
        <w:outlineLvl w:val="1"/>
        <w:rPr>
          <w:rStyle w:val="26"/>
          <w:rFonts w:ascii="黑体" w:hAnsi="黑体" w:eastAsia="黑体"/>
          <w:b w:val="0"/>
        </w:rPr>
      </w:pPr>
      <w:bookmarkStart w:id="32" w:name="_Toc15377207"/>
      <w:bookmarkStart w:id="33" w:name="_Toc15396605"/>
      <w:r>
        <w:rPr>
          <w:rFonts w:hint="eastAsia" w:ascii="黑体" w:hAnsi="黑体" w:eastAsia="黑体"/>
          <w:sz w:val="32"/>
          <w:szCs w:val="32"/>
        </w:rPr>
        <w:t>支</w:t>
      </w:r>
      <w:r>
        <w:rPr>
          <w:rStyle w:val="26"/>
          <w:rFonts w:hint="eastAsia" w:ascii="黑体" w:hAnsi="黑体" w:eastAsia="黑体"/>
          <w:b w:val="0"/>
        </w:rPr>
        <w:t>出决算情况说明</w:t>
      </w:r>
      <w:bookmarkEnd w:id="32"/>
      <w:bookmarkEnd w:id="33"/>
    </w:p>
    <w:p w14:paraId="38282FBC">
      <w:pPr>
        <w:spacing w:line="600"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1年本年支出合计1758.39万元，其中：基本支出1007.33万元，占57.29</w:t>
      </w:r>
      <w:r>
        <w:rPr>
          <w:rFonts w:eastAsia="仿宋_GB2312"/>
          <w:sz w:val="32"/>
          <w:szCs w:val="32"/>
        </w:rPr>
        <w:t>%</w:t>
      </w:r>
      <w:r>
        <w:rPr>
          <w:rFonts w:hint="eastAsia" w:eastAsia="仿宋_GB2312"/>
          <w:sz w:val="32"/>
          <w:szCs w:val="32"/>
        </w:rPr>
        <w:t>；项目支出751.06万元，占42.71</w:t>
      </w:r>
      <w:r>
        <w:rPr>
          <w:rFonts w:eastAsia="仿宋_GB2312"/>
          <w:sz w:val="32"/>
          <w:szCs w:val="32"/>
        </w:rPr>
        <w:t>%</w:t>
      </w:r>
      <w:r>
        <w:rPr>
          <w:rFonts w:hint="eastAsia" w:eastAsia="仿宋_GB2312"/>
          <w:sz w:val="32"/>
          <w:szCs w:val="32"/>
        </w:rPr>
        <w:t>。</w:t>
      </w:r>
    </w:p>
    <w:p w14:paraId="499A92F9">
      <w:pPr>
        <w:pStyle w:val="2"/>
        <w:spacing w:before="93"/>
      </w:pPr>
      <w:r>
        <w:drawing>
          <wp:inline distT="0" distB="0" distL="0" distR="0">
            <wp:extent cx="4043680" cy="2207895"/>
            <wp:effectExtent l="19050" t="0" r="13658" b="1437"/>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3559407">
      <w:pPr>
        <w:pStyle w:val="2"/>
        <w:spacing w:before="93"/>
        <w:ind w:firstLine="450" w:firstLineChars="150"/>
      </w:pPr>
      <w:r>
        <w:rPr>
          <w:rFonts w:hint="eastAsia"/>
        </w:rPr>
        <w:t>（图2：支出决算结构图）</w:t>
      </w:r>
    </w:p>
    <w:p w14:paraId="0F66FADC">
      <w:pPr>
        <w:spacing w:line="600" w:lineRule="exact"/>
        <w:ind w:firstLine="472" w:firstLineChars="147"/>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3表。）</w:t>
      </w:r>
    </w:p>
    <w:p w14:paraId="4D38CD4A">
      <w:pPr>
        <w:spacing w:line="600" w:lineRule="exact"/>
        <w:ind w:firstLine="640" w:firstLineChars="200"/>
        <w:outlineLvl w:val="1"/>
        <w:rPr>
          <w:rStyle w:val="26"/>
          <w:rFonts w:ascii="黑体" w:hAnsi="黑体" w:eastAsia="黑体"/>
          <w:b w:val="0"/>
        </w:rPr>
      </w:pPr>
      <w:bookmarkStart w:id="34" w:name="_Toc15377208"/>
      <w:bookmarkStart w:id="35" w:name="_Toc15396606"/>
      <w:r>
        <w:rPr>
          <w:rFonts w:hint="eastAsia" w:ascii="黑体" w:hAnsi="黑体" w:eastAsia="黑体"/>
          <w:sz w:val="32"/>
          <w:szCs w:val="32"/>
        </w:rPr>
        <w:t>四、财</w:t>
      </w:r>
      <w:r>
        <w:rPr>
          <w:rStyle w:val="26"/>
          <w:rFonts w:hint="eastAsia" w:ascii="黑体" w:hAnsi="黑体" w:eastAsia="黑体"/>
          <w:b w:val="0"/>
        </w:rPr>
        <w:t>政拨款收入支出决算总体情况说明</w:t>
      </w:r>
      <w:bookmarkEnd w:id="34"/>
      <w:bookmarkEnd w:id="35"/>
    </w:p>
    <w:p w14:paraId="56BA9496">
      <w:pPr>
        <w:spacing w:line="600"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1年度财政拨款收入总计1548万元。与2020年1445万元相比，收入增加103万元，增长7.1</w:t>
      </w:r>
      <w:r>
        <w:rPr>
          <w:rFonts w:eastAsia="仿宋_GB2312"/>
          <w:sz w:val="32"/>
          <w:szCs w:val="32"/>
        </w:rPr>
        <w:t>%</w:t>
      </w:r>
      <w:r>
        <w:rPr>
          <w:rFonts w:hint="eastAsia" w:eastAsia="仿宋_GB2312"/>
          <w:sz w:val="32"/>
          <w:szCs w:val="32"/>
        </w:rPr>
        <w:t>。主要变动原因是项目增加；2021年财政拨款支出总计1758.39万元，与2020年1245万元相比，增加513.39万元，增长41.2%，主要变动原因是人员变动，项目增加。</w:t>
      </w:r>
    </w:p>
    <w:p w14:paraId="37C55200">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5C04DBDE">
      <w:pPr>
        <w:pStyle w:val="2"/>
        <w:spacing w:before="93"/>
      </w:pPr>
      <w:r>
        <w:drawing>
          <wp:inline distT="0" distB="0" distL="0" distR="0">
            <wp:extent cx="3923030" cy="2216785"/>
            <wp:effectExtent l="19050" t="0" r="20128"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AC0046">
      <w:pPr>
        <w:pStyle w:val="2"/>
        <w:spacing w:before="93"/>
      </w:pPr>
      <w:r>
        <w:rPr>
          <w:rFonts w:hint="eastAsia"/>
        </w:rPr>
        <w:t>（图三：财政拨款收、支决算总计变动情况）</w:t>
      </w:r>
    </w:p>
    <w:p w14:paraId="6F31D850">
      <w:pPr>
        <w:spacing w:line="600" w:lineRule="exact"/>
        <w:ind w:firstLine="640" w:firstLineChars="200"/>
        <w:outlineLvl w:val="1"/>
        <w:rPr>
          <w:rStyle w:val="26"/>
          <w:rFonts w:ascii="黑体" w:hAnsi="黑体" w:eastAsia="黑体"/>
          <w:b w:val="0"/>
        </w:rPr>
      </w:pPr>
      <w:bookmarkStart w:id="36" w:name="_Toc15377209"/>
      <w:bookmarkStart w:id="37" w:name="_Toc15396607"/>
      <w:r>
        <w:rPr>
          <w:rFonts w:hint="eastAsia" w:ascii="黑体" w:hAnsi="黑体" w:eastAsia="黑体"/>
          <w:sz w:val="32"/>
          <w:szCs w:val="32"/>
        </w:rPr>
        <w:t>五、</w:t>
      </w:r>
      <w:r>
        <w:rPr>
          <w:rFonts w:hint="eastAsia" w:ascii="黑体" w:hAnsi="黑体" w:eastAsia="黑体"/>
          <w:b/>
          <w:sz w:val="32"/>
          <w:szCs w:val="32"/>
        </w:rPr>
        <w:t>一</w:t>
      </w:r>
      <w:r>
        <w:rPr>
          <w:rStyle w:val="26"/>
          <w:rFonts w:hint="eastAsia" w:ascii="黑体" w:hAnsi="黑体" w:eastAsia="黑体"/>
          <w:b w:val="0"/>
        </w:rPr>
        <w:t>般公共预算财政拨款支出决算情况说明</w:t>
      </w:r>
      <w:bookmarkEnd w:id="36"/>
      <w:bookmarkEnd w:id="37"/>
    </w:p>
    <w:p w14:paraId="1DA1C068">
      <w:pPr>
        <w:spacing w:line="600" w:lineRule="exact"/>
        <w:ind w:firstLine="643" w:firstLineChars="200"/>
        <w:outlineLvl w:val="2"/>
        <w:rPr>
          <w:rFonts w:ascii="仿宋" w:hAnsi="仿宋" w:eastAsia="仿宋"/>
          <w:b/>
          <w:sz w:val="32"/>
          <w:szCs w:val="32"/>
        </w:rPr>
      </w:pPr>
      <w:bookmarkStart w:id="38" w:name="_Toc15377210"/>
      <w:r>
        <w:rPr>
          <w:rFonts w:hint="eastAsia" w:ascii="仿宋" w:hAnsi="仿宋" w:eastAsia="仿宋"/>
          <w:b/>
          <w:sz w:val="32"/>
          <w:szCs w:val="32"/>
        </w:rPr>
        <w:t>（一）一般公共预算财政拨款支出决算总体情况</w:t>
      </w:r>
      <w:bookmarkEnd w:id="38"/>
    </w:p>
    <w:p w14:paraId="7C4BEB72">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21年一般公共预算财政拨款支出1758.39万元，占本年支出合计的100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20年相比，一般公共预算财政拨款支出增加524.39万元，增长42.5</w:t>
      </w:r>
      <w:r>
        <w:rPr>
          <w:rFonts w:ascii="仿宋" w:hAnsi="仿宋" w:eastAsia="仿宋"/>
          <w:sz w:val="32"/>
          <w:szCs w:val="32"/>
        </w:rPr>
        <w:t>%</w:t>
      </w:r>
      <w:r>
        <w:rPr>
          <w:rFonts w:hint="eastAsia" w:ascii="仿宋" w:hAnsi="仿宋" w:eastAsia="仿宋"/>
          <w:sz w:val="32"/>
          <w:szCs w:val="32"/>
        </w:rPr>
        <w:t>。主要变动原因是项目的增加。</w:t>
      </w:r>
    </w:p>
    <w:p w14:paraId="25715AC4">
      <w:pPr>
        <w:pStyle w:val="2"/>
        <w:spacing w:before="93"/>
      </w:pPr>
      <w:r>
        <w:drawing>
          <wp:inline distT="0" distB="0" distL="0" distR="0">
            <wp:extent cx="4371340" cy="2070100"/>
            <wp:effectExtent l="19050" t="0" r="9705" b="6111"/>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636B31">
      <w:pPr>
        <w:pStyle w:val="2"/>
        <w:spacing w:before="93"/>
      </w:pPr>
      <w:r>
        <w:rPr>
          <w:rFonts w:hint="eastAsia"/>
        </w:rPr>
        <w:t>（图四：一般公共预算财政拨款支出决算变动情况）</w:t>
      </w:r>
    </w:p>
    <w:p w14:paraId="182F903D">
      <w:pPr>
        <w:spacing w:line="600" w:lineRule="exact"/>
        <w:ind w:firstLine="643" w:firstLineChars="200"/>
        <w:outlineLvl w:val="2"/>
        <w:rPr>
          <w:rFonts w:ascii="仿宋" w:hAnsi="仿宋" w:eastAsia="仿宋"/>
          <w:b/>
          <w:sz w:val="32"/>
          <w:szCs w:val="32"/>
        </w:rPr>
      </w:pPr>
      <w:bookmarkStart w:id="39" w:name="_Toc15377211"/>
      <w:r>
        <w:rPr>
          <w:rFonts w:hint="eastAsia" w:ascii="仿宋" w:hAnsi="仿宋" w:eastAsia="仿宋"/>
          <w:b/>
          <w:sz w:val="32"/>
          <w:szCs w:val="32"/>
        </w:rPr>
        <w:t>（二）一般公共预算财政拨款支出决算结构情况</w:t>
      </w:r>
      <w:bookmarkEnd w:id="39"/>
    </w:p>
    <w:p w14:paraId="7CCFA085">
      <w:pPr>
        <w:spacing w:line="600" w:lineRule="exact"/>
        <w:ind w:firstLine="640" w:firstLineChars="200"/>
        <w:rPr>
          <w:rFonts w:eastAsia="仿宋_GB2312"/>
          <w:sz w:val="32"/>
          <w:szCs w:val="32"/>
        </w:rPr>
      </w:pPr>
      <w:r>
        <w:rPr>
          <w:rFonts w:ascii="仿宋" w:hAnsi="仿宋" w:eastAsia="仿宋"/>
          <w:sz w:val="32"/>
          <w:szCs w:val="32"/>
        </w:rPr>
        <w:t>20</w:t>
      </w:r>
      <w:r>
        <w:rPr>
          <w:rFonts w:hint="eastAsia" w:ascii="仿宋" w:hAnsi="仿宋" w:eastAsia="仿宋"/>
          <w:sz w:val="32"/>
          <w:szCs w:val="32"/>
        </w:rPr>
        <w:t>21年一般公共预算财政拨款支出1758.39万元，主要用于以下方面</w:t>
      </w:r>
      <w:r>
        <w:rPr>
          <w:rFonts w:ascii="仿宋" w:hAnsi="仿宋" w:eastAsia="仿宋"/>
          <w:sz w:val="32"/>
          <w:szCs w:val="32"/>
        </w:rPr>
        <w:t>:</w:t>
      </w:r>
      <w:r>
        <w:rPr>
          <w:rFonts w:hint="eastAsia" w:ascii="仿宋" w:hAnsi="仿宋" w:eastAsia="仿宋"/>
          <w:b/>
          <w:sz w:val="32"/>
          <w:szCs w:val="32"/>
        </w:rPr>
        <w:t>一般公共服务（类）</w:t>
      </w:r>
      <w:r>
        <w:rPr>
          <w:rFonts w:hint="eastAsia" w:ascii="仿宋" w:hAnsi="仿宋" w:eastAsia="仿宋"/>
          <w:sz w:val="32"/>
          <w:szCs w:val="32"/>
        </w:rPr>
        <w:t>支出521.95万元，占29.68</w:t>
      </w:r>
      <w:r>
        <w:rPr>
          <w:rFonts w:ascii="仿宋" w:hAnsi="仿宋" w:eastAsia="仿宋"/>
          <w:sz w:val="32"/>
          <w:szCs w:val="32"/>
        </w:rPr>
        <w:t>%</w:t>
      </w:r>
      <w:r>
        <w:rPr>
          <w:rFonts w:hint="eastAsia" w:ascii="仿宋" w:hAnsi="仿宋" w:eastAsia="仿宋"/>
          <w:sz w:val="32"/>
          <w:szCs w:val="32"/>
        </w:rPr>
        <w:t>；</w:t>
      </w:r>
      <w:r>
        <w:rPr>
          <w:rFonts w:hint="eastAsia" w:eastAsia="仿宋_GB2312"/>
          <w:b/>
          <w:sz w:val="32"/>
          <w:szCs w:val="32"/>
        </w:rPr>
        <w:t>文化旅游体育与传媒（类）支出</w:t>
      </w:r>
      <w:r>
        <w:rPr>
          <w:rFonts w:hint="eastAsia" w:eastAsia="仿宋_GB2312"/>
          <w:sz w:val="32"/>
          <w:szCs w:val="32"/>
        </w:rPr>
        <w:t>38.41万元，占2.2</w:t>
      </w:r>
      <w:r>
        <w:rPr>
          <w:rFonts w:eastAsia="仿宋_GB2312"/>
          <w:sz w:val="32"/>
          <w:szCs w:val="32"/>
        </w:rPr>
        <w:t>%</w:t>
      </w:r>
      <w:r>
        <w:rPr>
          <w:rFonts w:hint="eastAsia" w:eastAsia="仿宋_GB2312"/>
          <w:sz w:val="32"/>
          <w:szCs w:val="32"/>
        </w:rPr>
        <w:t>；</w:t>
      </w:r>
      <w:r>
        <w:rPr>
          <w:rFonts w:hint="eastAsia" w:eastAsia="仿宋_GB2312"/>
          <w:b/>
          <w:sz w:val="32"/>
          <w:szCs w:val="32"/>
        </w:rPr>
        <w:t>社会保障和就业（类）支出</w:t>
      </w:r>
      <w:r>
        <w:rPr>
          <w:rFonts w:hint="eastAsia" w:eastAsia="仿宋_GB2312"/>
          <w:sz w:val="32"/>
          <w:szCs w:val="32"/>
        </w:rPr>
        <w:t>257.49万元，占14.64</w:t>
      </w:r>
      <w:r>
        <w:rPr>
          <w:rFonts w:eastAsia="仿宋_GB2312"/>
          <w:sz w:val="32"/>
          <w:szCs w:val="32"/>
        </w:rPr>
        <w:t>%</w:t>
      </w:r>
      <w:r>
        <w:rPr>
          <w:rFonts w:hint="eastAsia" w:eastAsia="仿宋_GB2312"/>
          <w:sz w:val="32"/>
          <w:szCs w:val="32"/>
        </w:rPr>
        <w:t>；</w:t>
      </w:r>
      <w:r>
        <w:rPr>
          <w:rFonts w:hint="eastAsia" w:eastAsia="仿宋_GB2312"/>
          <w:b/>
          <w:sz w:val="32"/>
          <w:szCs w:val="32"/>
        </w:rPr>
        <w:t>卫生健康支出</w:t>
      </w:r>
      <w:r>
        <w:rPr>
          <w:rFonts w:hint="eastAsia" w:eastAsia="仿宋_GB2312"/>
          <w:sz w:val="32"/>
          <w:szCs w:val="32"/>
        </w:rPr>
        <w:t>51.36万元，占2.9</w:t>
      </w:r>
      <w:r>
        <w:rPr>
          <w:rFonts w:eastAsia="仿宋_GB2312"/>
          <w:sz w:val="32"/>
          <w:szCs w:val="32"/>
        </w:rPr>
        <w:t>%</w:t>
      </w:r>
      <w:r>
        <w:rPr>
          <w:rFonts w:hint="eastAsia" w:eastAsia="仿宋_GB2312"/>
          <w:sz w:val="32"/>
          <w:szCs w:val="32"/>
        </w:rPr>
        <w:t>；</w:t>
      </w:r>
      <w:r>
        <w:rPr>
          <w:rFonts w:hint="eastAsia" w:eastAsia="仿宋_GB2312"/>
          <w:b/>
          <w:sz w:val="32"/>
          <w:szCs w:val="32"/>
        </w:rPr>
        <w:t>农林水（类）支出</w:t>
      </w:r>
      <w:r>
        <w:rPr>
          <w:rFonts w:hint="eastAsia" w:eastAsia="仿宋_GB2312"/>
          <w:sz w:val="32"/>
          <w:szCs w:val="32"/>
        </w:rPr>
        <w:t>804.71万元，占45.76%；</w:t>
      </w:r>
      <w:r>
        <w:rPr>
          <w:rFonts w:hint="eastAsia" w:eastAsia="仿宋_GB2312"/>
          <w:b/>
          <w:sz w:val="32"/>
          <w:szCs w:val="32"/>
        </w:rPr>
        <w:t>住房保障支出</w:t>
      </w:r>
      <w:r>
        <w:rPr>
          <w:rFonts w:hint="eastAsia" w:eastAsia="仿宋_GB2312"/>
          <w:sz w:val="32"/>
          <w:szCs w:val="32"/>
        </w:rPr>
        <w:t>69.45万元，占3.96</w:t>
      </w:r>
      <w:r>
        <w:rPr>
          <w:rFonts w:eastAsia="仿宋_GB2312"/>
          <w:sz w:val="32"/>
          <w:szCs w:val="32"/>
        </w:rPr>
        <w:t>%</w:t>
      </w:r>
      <w:r>
        <w:rPr>
          <w:rFonts w:hint="eastAsia" w:eastAsia="仿宋_GB2312"/>
          <w:sz w:val="32"/>
          <w:szCs w:val="32"/>
        </w:rPr>
        <w:t>；</w:t>
      </w:r>
      <w:r>
        <w:rPr>
          <w:rFonts w:hint="eastAsia" w:eastAsia="仿宋_GB2312"/>
          <w:b/>
          <w:sz w:val="32"/>
          <w:szCs w:val="32"/>
        </w:rPr>
        <w:t>灾害防治及应急管理（类）支出</w:t>
      </w:r>
      <w:r>
        <w:rPr>
          <w:rFonts w:hint="eastAsia" w:eastAsia="仿宋_GB2312"/>
          <w:sz w:val="32"/>
          <w:szCs w:val="32"/>
        </w:rPr>
        <w:t>15.03万元，占0.86%。</w:t>
      </w:r>
    </w:p>
    <w:p w14:paraId="2533B7C7">
      <w:pPr>
        <w:pStyle w:val="2"/>
        <w:spacing w:before="93"/>
      </w:pPr>
      <w:r>
        <w:drawing>
          <wp:inline distT="0" distB="0" distL="0" distR="0">
            <wp:extent cx="5274310" cy="3076575"/>
            <wp:effectExtent l="19050" t="0" r="2159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D69273">
      <w:pPr>
        <w:pStyle w:val="2"/>
        <w:spacing w:before="93"/>
        <w:ind w:firstLine="600" w:firstLineChars="200"/>
      </w:pPr>
      <w:r>
        <w:rPr>
          <w:rFonts w:hint="eastAsia"/>
        </w:rPr>
        <w:t>（图5：一般公共预算财政拨款支出决算结构图）</w:t>
      </w:r>
    </w:p>
    <w:p w14:paraId="13298540">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w:t>
      </w:r>
    </w:p>
    <w:p w14:paraId="0F672866">
      <w:pPr>
        <w:spacing w:line="600" w:lineRule="exact"/>
        <w:ind w:firstLine="643" w:firstLineChars="200"/>
        <w:outlineLvl w:val="2"/>
        <w:rPr>
          <w:rFonts w:ascii="仿宋" w:hAnsi="仿宋" w:eastAsia="仿宋"/>
          <w:b/>
          <w:sz w:val="32"/>
          <w:szCs w:val="32"/>
        </w:rPr>
      </w:pPr>
      <w:bookmarkStart w:id="40" w:name="_Toc15377212"/>
      <w:r>
        <w:rPr>
          <w:rFonts w:hint="eastAsia" w:ascii="仿宋" w:hAnsi="仿宋" w:eastAsia="仿宋"/>
          <w:b/>
          <w:sz w:val="32"/>
          <w:szCs w:val="32"/>
        </w:rPr>
        <w:t>（三）一般公共预算财政拨款支出决算具体情况</w:t>
      </w:r>
      <w:bookmarkEnd w:id="40"/>
    </w:p>
    <w:p w14:paraId="0F7DA4D8">
      <w:pPr>
        <w:spacing w:line="600" w:lineRule="exact"/>
        <w:ind w:firstLine="643" w:firstLineChars="200"/>
        <w:outlineLvl w:val="2"/>
        <w:rPr>
          <w:rFonts w:ascii="仿宋" w:hAnsi="仿宋" w:eastAsia="仿宋"/>
          <w:sz w:val="32"/>
          <w:szCs w:val="32"/>
        </w:rPr>
      </w:pPr>
      <w:bookmarkStart w:id="41" w:name="_Toc15377213"/>
      <w:bookmarkStart w:id="42" w:name="_Toc15378460"/>
      <w:bookmarkStart w:id="43" w:name="_Toc15377444"/>
      <w:r>
        <w:rPr>
          <w:rFonts w:hint="eastAsia" w:ascii="仿宋" w:hAnsi="仿宋" w:eastAsia="仿宋"/>
          <w:b/>
          <w:sz w:val="32"/>
          <w:szCs w:val="32"/>
        </w:rPr>
        <w:t>2021年一般公共预算支出决算数为521.95</w:t>
      </w:r>
      <w:r>
        <w:rPr>
          <w:rFonts w:hint="eastAsia" w:ascii="仿宋" w:hAnsi="仿宋" w:eastAsia="仿宋"/>
          <w:sz w:val="32"/>
          <w:szCs w:val="32"/>
        </w:rPr>
        <w:t>，</w:t>
      </w:r>
      <w:r>
        <w:rPr>
          <w:rStyle w:val="15"/>
          <w:rFonts w:hint="eastAsia" w:ascii="仿宋" w:hAnsi="仿宋" w:eastAsia="仿宋"/>
          <w:bCs/>
          <w:sz w:val="32"/>
          <w:szCs w:val="32"/>
        </w:rPr>
        <w:t>完成预算100</w:t>
      </w:r>
      <w:r>
        <w:rPr>
          <w:rStyle w:val="15"/>
          <w:rFonts w:ascii="仿宋" w:hAnsi="仿宋" w:eastAsia="仿宋"/>
          <w:bCs/>
          <w:sz w:val="32"/>
          <w:szCs w:val="32"/>
        </w:rPr>
        <w:t>%</w:t>
      </w:r>
      <w:r>
        <w:rPr>
          <w:rStyle w:val="15"/>
          <w:rFonts w:hint="eastAsia" w:ascii="仿宋" w:hAnsi="仿宋" w:eastAsia="仿宋"/>
          <w:bCs/>
          <w:sz w:val="32"/>
          <w:szCs w:val="32"/>
        </w:rPr>
        <w:t>。其中：</w:t>
      </w:r>
      <w:bookmarkEnd w:id="41"/>
      <w:bookmarkEnd w:id="42"/>
      <w:bookmarkEnd w:id="43"/>
    </w:p>
    <w:p w14:paraId="12BB2B24">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1.一般公共服务</w:t>
      </w:r>
    </w:p>
    <w:p w14:paraId="121CBEB6">
      <w:pPr>
        <w:spacing w:line="600" w:lineRule="exact"/>
        <w:ind w:firstLine="643" w:firstLineChars="200"/>
        <w:rPr>
          <w:rFonts w:eastAsia="仿宋_GB2312"/>
          <w:b/>
          <w:sz w:val="32"/>
          <w:szCs w:val="32"/>
        </w:rPr>
      </w:pPr>
      <w:r>
        <w:rPr>
          <w:rFonts w:hint="eastAsia" w:eastAsia="仿宋_GB2312"/>
          <w:b/>
          <w:sz w:val="32"/>
          <w:szCs w:val="32"/>
        </w:rPr>
        <w:t>2010101人大事务行政运行:</w:t>
      </w:r>
      <w:r>
        <w:rPr>
          <w:rFonts w:hint="eastAsia" w:eastAsia="仿宋_GB2312"/>
          <w:sz w:val="32"/>
          <w:szCs w:val="32"/>
        </w:rPr>
        <w:t>2021年决算数为19.58万元，完成预算100%；</w:t>
      </w:r>
      <w:r>
        <w:rPr>
          <w:rFonts w:hint="eastAsia" w:eastAsia="仿宋_GB2312"/>
          <w:b/>
          <w:sz w:val="32"/>
          <w:szCs w:val="32"/>
        </w:rPr>
        <w:t>2010104人大会议</w:t>
      </w:r>
      <w:r>
        <w:rPr>
          <w:rFonts w:hint="eastAsia" w:eastAsia="仿宋_GB2312"/>
          <w:sz w:val="32"/>
          <w:szCs w:val="32"/>
        </w:rPr>
        <w:t>：2021年决算数为3.32万元，完成预算100%；</w:t>
      </w:r>
      <w:r>
        <w:rPr>
          <w:rFonts w:hint="eastAsia" w:eastAsia="仿宋_GB2312"/>
          <w:b/>
          <w:sz w:val="32"/>
          <w:szCs w:val="32"/>
        </w:rPr>
        <w:t>2010199其他人大事务</w:t>
      </w:r>
      <w:r>
        <w:rPr>
          <w:rFonts w:hint="eastAsia" w:eastAsia="仿宋_GB2312"/>
          <w:sz w:val="32"/>
          <w:szCs w:val="32"/>
        </w:rPr>
        <w:t>：2021年决算数为8.61万元，完成预算100%；</w:t>
      </w:r>
      <w:r>
        <w:rPr>
          <w:rFonts w:hint="eastAsia" w:eastAsia="仿宋_GB2312"/>
          <w:b/>
          <w:sz w:val="32"/>
          <w:szCs w:val="32"/>
        </w:rPr>
        <w:t>2010301政府行政运行</w:t>
      </w:r>
      <w:r>
        <w:rPr>
          <w:rFonts w:hint="eastAsia" w:eastAsia="仿宋_GB2312"/>
          <w:sz w:val="32"/>
          <w:szCs w:val="32"/>
        </w:rPr>
        <w:t>：2021年决算数为450.94万元，完成预算100%；</w:t>
      </w:r>
      <w:r>
        <w:rPr>
          <w:rFonts w:hint="eastAsia" w:eastAsia="仿宋_GB2312"/>
          <w:b/>
          <w:sz w:val="32"/>
          <w:szCs w:val="32"/>
        </w:rPr>
        <w:t>2010302 一般行政管理事务</w:t>
      </w:r>
      <w:r>
        <w:rPr>
          <w:rFonts w:hint="eastAsia" w:eastAsia="仿宋_GB2312"/>
          <w:sz w:val="32"/>
          <w:szCs w:val="32"/>
        </w:rPr>
        <w:t xml:space="preserve">：2021年决算数为14.62万元，完成预算100%； </w:t>
      </w:r>
      <w:r>
        <w:rPr>
          <w:rFonts w:hint="eastAsia" w:eastAsia="仿宋_GB2312"/>
          <w:b/>
          <w:sz w:val="32"/>
          <w:szCs w:val="32"/>
        </w:rPr>
        <w:t>2012399 其他民族事务支出</w:t>
      </w:r>
      <w:r>
        <w:rPr>
          <w:rFonts w:hint="eastAsia" w:eastAsia="仿宋_GB2312"/>
          <w:sz w:val="32"/>
          <w:szCs w:val="32"/>
        </w:rPr>
        <w:t>：2021年决算数为0.9万元，完成预算100%；</w:t>
      </w:r>
      <w:r>
        <w:rPr>
          <w:rFonts w:hint="eastAsia" w:eastAsia="仿宋_GB2312"/>
          <w:b/>
          <w:sz w:val="32"/>
          <w:szCs w:val="32"/>
        </w:rPr>
        <w:t>2013101行政运行</w:t>
      </w:r>
      <w:r>
        <w:rPr>
          <w:rFonts w:hint="eastAsia" w:eastAsia="仿宋_GB2312"/>
          <w:sz w:val="32"/>
          <w:szCs w:val="32"/>
        </w:rPr>
        <w:t>：2021年决算数为18.19万元，完成预算100%。</w:t>
      </w:r>
    </w:p>
    <w:p w14:paraId="06400A4E">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2</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文化体育与传媒</w:t>
      </w:r>
    </w:p>
    <w:p w14:paraId="3E43EA16">
      <w:pPr>
        <w:spacing w:line="600" w:lineRule="exact"/>
        <w:ind w:firstLine="643" w:firstLineChars="200"/>
        <w:rPr>
          <w:rFonts w:eastAsia="仿宋_GB2312"/>
          <w:sz w:val="32"/>
          <w:szCs w:val="32"/>
        </w:rPr>
      </w:pPr>
      <w:r>
        <w:rPr>
          <w:rFonts w:hint="eastAsia" w:eastAsia="仿宋_GB2312"/>
          <w:b/>
          <w:sz w:val="32"/>
          <w:szCs w:val="32"/>
        </w:rPr>
        <w:t>2070109群众文化</w:t>
      </w:r>
      <w:r>
        <w:rPr>
          <w:rFonts w:hint="eastAsia" w:ascii="方正仿宋_GBK" w:eastAsia="方正仿宋_GBK"/>
          <w:sz w:val="33"/>
          <w:szCs w:val="33"/>
        </w:rPr>
        <w:t>：</w:t>
      </w:r>
      <w:r>
        <w:rPr>
          <w:rFonts w:hint="eastAsia" w:eastAsia="仿宋_GB2312"/>
          <w:sz w:val="32"/>
          <w:szCs w:val="32"/>
        </w:rPr>
        <w:t>2021年决算数为16.01万元，完成预算100%；</w:t>
      </w:r>
      <w:r>
        <w:rPr>
          <w:rFonts w:hint="eastAsia" w:eastAsia="仿宋_GB2312"/>
          <w:b/>
          <w:sz w:val="32"/>
          <w:szCs w:val="32"/>
        </w:rPr>
        <w:t>2070199其他文化和旅游：</w:t>
      </w:r>
      <w:r>
        <w:rPr>
          <w:rFonts w:hint="eastAsia" w:eastAsia="仿宋_GB2312"/>
          <w:sz w:val="32"/>
          <w:szCs w:val="32"/>
        </w:rPr>
        <w:t>2021年决算数为5万元，完成预算100%；</w:t>
      </w:r>
      <w:r>
        <w:rPr>
          <w:rFonts w:hint="eastAsia" w:eastAsia="仿宋_GB2312"/>
          <w:b/>
          <w:sz w:val="32"/>
          <w:szCs w:val="32"/>
        </w:rPr>
        <w:t>2079999其他文化旅游体育与传媒支出</w:t>
      </w:r>
      <w:r>
        <w:rPr>
          <w:rFonts w:hint="eastAsia" w:eastAsia="仿宋_GB2312"/>
          <w:sz w:val="32"/>
          <w:szCs w:val="32"/>
        </w:rPr>
        <w:t>：2021年决算数为17.4万元，完成预算100%。</w:t>
      </w:r>
    </w:p>
    <w:p w14:paraId="60C1D74F">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3</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社会保障和就业</w:t>
      </w:r>
    </w:p>
    <w:p w14:paraId="16F0805D">
      <w:pPr>
        <w:spacing w:line="600" w:lineRule="exact"/>
        <w:ind w:firstLine="643" w:firstLineChars="200"/>
        <w:rPr>
          <w:rFonts w:eastAsia="仿宋_GB2312"/>
          <w:sz w:val="32"/>
          <w:szCs w:val="32"/>
        </w:rPr>
      </w:pPr>
      <w:r>
        <w:rPr>
          <w:rFonts w:hint="eastAsia" w:eastAsia="仿宋_GB2312"/>
          <w:b/>
          <w:sz w:val="32"/>
          <w:szCs w:val="32"/>
        </w:rPr>
        <w:t>2080109社会保险经办机构</w:t>
      </w:r>
      <w:r>
        <w:rPr>
          <w:rFonts w:hint="eastAsia" w:eastAsia="仿宋_GB2312"/>
          <w:sz w:val="32"/>
          <w:szCs w:val="32"/>
        </w:rPr>
        <w:t>：2021年决算数为39.56万元，完成预算100%；</w:t>
      </w:r>
      <w:r>
        <w:rPr>
          <w:rFonts w:hint="eastAsia" w:eastAsia="仿宋_GB2312"/>
          <w:b/>
          <w:sz w:val="32"/>
          <w:szCs w:val="32"/>
        </w:rPr>
        <w:t>2080199其他人力资源和社会保障管理事务支出：</w:t>
      </w:r>
      <w:r>
        <w:rPr>
          <w:rFonts w:hint="eastAsia" w:eastAsia="仿宋_GB2312"/>
          <w:sz w:val="32"/>
          <w:szCs w:val="32"/>
        </w:rPr>
        <w:t>2021年决算数为0.56万元，完成预算100%；</w:t>
      </w:r>
      <w:r>
        <w:rPr>
          <w:rFonts w:hint="eastAsia" w:eastAsia="仿宋_GB2312"/>
          <w:b/>
          <w:sz w:val="32"/>
          <w:szCs w:val="32"/>
        </w:rPr>
        <w:t>2080299其他民政管理事务支出</w:t>
      </w:r>
      <w:r>
        <w:rPr>
          <w:rFonts w:hint="eastAsia" w:eastAsia="仿宋_GB2312"/>
          <w:sz w:val="32"/>
          <w:szCs w:val="32"/>
        </w:rPr>
        <w:t>：2021年决算数为44.31万元，完成预算100%；</w:t>
      </w:r>
      <w:r>
        <w:rPr>
          <w:rFonts w:hint="eastAsia" w:eastAsia="仿宋_GB2312"/>
          <w:b/>
          <w:sz w:val="32"/>
          <w:szCs w:val="32"/>
        </w:rPr>
        <w:t>2080501行政单位离退休</w:t>
      </w:r>
      <w:r>
        <w:rPr>
          <w:rFonts w:hint="eastAsia" w:eastAsia="仿宋_GB2312"/>
          <w:sz w:val="32"/>
          <w:szCs w:val="32"/>
        </w:rPr>
        <w:t>：2021年决算数为24.57万元，完成预算100%；</w:t>
      </w:r>
      <w:r>
        <w:rPr>
          <w:rFonts w:hint="eastAsia" w:eastAsia="仿宋_GB2312"/>
          <w:b/>
          <w:sz w:val="32"/>
          <w:szCs w:val="32"/>
        </w:rPr>
        <w:t>2080502事业单位离退休</w:t>
      </w:r>
      <w:r>
        <w:rPr>
          <w:rFonts w:hint="eastAsia" w:eastAsia="仿宋_GB2312"/>
          <w:sz w:val="32"/>
          <w:szCs w:val="32"/>
        </w:rPr>
        <w:t>：2021年决算数为19.28万元，完成预算100%；</w:t>
      </w:r>
      <w:r>
        <w:rPr>
          <w:rFonts w:hint="eastAsia" w:eastAsia="仿宋_GB2312"/>
          <w:b/>
          <w:sz w:val="32"/>
          <w:szCs w:val="32"/>
        </w:rPr>
        <w:t>2080505机关事业单位基本养老保险缴费支出</w:t>
      </w:r>
      <w:r>
        <w:rPr>
          <w:rFonts w:hint="eastAsia" w:eastAsia="仿宋_GB2312"/>
          <w:sz w:val="32"/>
          <w:szCs w:val="32"/>
        </w:rPr>
        <w:t>：2021年决算数为56.76万元，完成预算100%；</w:t>
      </w:r>
      <w:r>
        <w:rPr>
          <w:rFonts w:hint="eastAsia" w:eastAsia="仿宋_GB2312"/>
          <w:b/>
          <w:sz w:val="32"/>
          <w:szCs w:val="32"/>
        </w:rPr>
        <w:t>2080799其他就业补助支出</w:t>
      </w:r>
      <w:r>
        <w:rPr>
          <w:rFonts w:hint="eastAsia" w:eastAsia="仿宋_GB2312"/>
          <w:sz w:val="32"/>
          <w:szCs w:val="32"/>
        </w:rPr>
        <w:t>：2021年决算数为2万元，完成预算100%；</w:t>
      </w:r>
      <w:r>
        <w:rPr>
          <w:rFonts w:hint="eastAsia" w:eastAsia="仿宋_GB2312"/>
          <w:b/>
          <w:sz w:val="32"/>
          <w:szCs w:val="32"/>
        </w:rPr>
        <w:t>2082102 农村特困人员救助供养支出</w:t>
      </w:r>
      <w:r>
        <w:rPr>
          <w:rFonts w:hint="eastAsia" w:eastAsia="仿宋_GB2312"/>
          <w:sz w:val="32"/>
          <w:szCs w:val="32"/>
        </w:rPr>
        <w:t>：2021年决算数为70.46万元，完成预算100%。</w:t>
      </w:r>
    </w:p>
    <w:p w14:paraId="25696448">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4</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 xml:space="preserve"> 卫生健康支出</w:t>
      </w:r>
    </w:p>
    <w:p w14:paraId="53023A02">
      <w:pPr>
        <w:spacing w:line="600" w:lineRule="exact"/>
        <w:ind w:firstLine="643" w:firstLineChars="200"/>
        <w:rPr>
          <w:rFonts w:eastAsia="仿宋_GB2312"/>
          <w:sz w:val="32"/>
          <w:szCs w:val="32"/>
        </w:rPr>
      </w:pPr>
      <w:r>
        <w:rPr>
          <w:rFonts w:hint="eastAsia" w:eastAsia="仿宋_GB2312"/>
          <w:b/>
          <w:sz w:val="32"/>
          <w:szCs w:val="32"/>
        </w:rPr>
        <w:t>2100799其他计划生育事务支出</w:t>
      </w:r>
      <w:r>
        <w:rPr>
          <w:rFonts w:hint="eastAsia" w:eastAsia="仿宋_GB2312"/>
          <w:sz w:val="32"/>
          <w:szCs w:val="32"/>
        </w:rPr>
        <w:t>：2021年决算数为7.61万元，完成预算100%；</w:t>
      </w:r>
      <w:r>
        <w:rPr>
          <w:rFonts w:hint="eastAsia" w:eastAsia="仿宋_GB2312"/>
          <w:b/>
          <w:sz w:val="32"/>
          <w:szCs w:val="32"/>
        </w:rPr>
        <w:t>2101101行政单位医疗：</w:t>
      </w:r>
      <w:r>
        <w:rPr>
          <w:rFonts w:hint="eastAsia" w:eastAsia="仿宋_GB2312"/>
          <w:sz w:val="32"/>
          <w:szCs w:val="32"/>
        </w:rPr>
        <w:t>2021年决算数为28.46万元，完成预算100%；</w:t>
      </w:r>
      <w:r>
        <w:rPr>
          <w:rFonts w:hint="eastAsia" w:eastAsia="仿宋_GB2312"/>
          <w:b/>
          <w:sz w:val="32"/>
          <w:szCs w:val="32"/>
        </w:rPr>
        <w:t>2101102  事业单位医疗：</w:t>
      </w:r>
      <w:r>
        <w:rPr>
          <w:rFonts w:hint="eastAsia" w:eastAsia="仿宋_GB2312"/>
          <w:sz w:val="32"/>
          <w:szCs w:val="32"/>
        </w:rPr>
        <w:t>2021年决算数为9.93万元，完成预算100%；</w:t>
      </w:r>
      <w:r>
        <w:rPr>
          <w:rFonts w:hint="eastAsia" w:eastAsia="仿宋_GB2312"/>
          <w:b/>
          <w:sz w:val="32"/>
          <w:szCs w:val="32"/>
        </w:rPr>
        <w:t>2101103公务员医疗补助：</w:t>
      </w:r>
      <w:r>
        <w:rPr>
          <w:rFonts w:hint="eastAsia" w:eastAsia="仿宋_GB2312"/>
          <w:sz w:val="32"/>
          <w:szCs w:val="32"/>
        </w:rPr>
        <w:t>2021年决算数为5.36万元，完成预算100%。</w:t>
      </w:r>
    </w:p>
    <w:p w14:paraId="3377CBD4">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5</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 xml:space="preserve"> 农林水支出</w:t>
      </w:r>
    </w:p>
    <w:p w14:paraId="12CCB085">
      <w:pPr>
        <w:spacing w:line="600" w:lineRule="exact"/>
        <w:ind w:firstLine="643" w:firstLineChars="200"/>
        <w:rPr>
          <w:rFonts w:eastAsia="仿宋_GB2312"/>
          <w:sz w:val="32"/>
          <w:szCs w:val="32"/>
        </w:rPr>
      </w:pPr>
      <w:r>
        <w:rPr>
          <w:rFonts w:hint="eastAsia" w:eastAsia="仿宋_GB2312"/>
          <w:b/>
          <w:sz w:val="32"/>
          <w:szCs w:val="32"/>
        </w:rPr>
        <w:t>2130104农业事业运行</w:t>
      </w:r>
      <w:r>
        <w:rPr>
          <w:rFonts w:hint="eastAsia" w:eastAsia="仿宋_GB2312"/>
          <w:sz w:val="32"/>
          <w:szCs w:val="32"/>
        </w:rPr>
        <w:t>:2021年决算数为164万元，完成预算100%；</w:t>
      </w:r>
      <w:r>
        <w:rPr>
          <w:rFonts w:hint="eastAsia" w:eastAsia="仿宋_GB2312"/>
          <w:b/>
          <w:sz w:val="32"/>
          <w:szCs w:val="32"/>
        </w:rPr>
        <w:t>2130108病虫害控制</w:t>
      </w:r>
      <w:r>
        <w:rPr>
          <w:rFonts w:hint="eastAsia" w:eastAsia="仿宋_GB2312"/>
          <w:sz w:val="32"/>
          <w:szCs w:val="32"/>
        </w:rPr>
        <w:t xml:space="preserve">:2021年决算数为39.53万元，完成预算100%； </w:t>
      </w:r>
      <w:r>
        <w:rPr>
          <w:rFonts w:hint="eastAsia" w:eastAsia="仿宋_GB2312"/>
          <w:b/>
          <w:sz w:val="32"/>
          <w:szCs w:val="32"/>
        </w:rPr>
        <w:t>2130122 农业生产发展</w:t>
      </w:r>
      <w:r>
        <w:rPr>
          <w:rFonts w:hint="eastAsia" w:eastAsia="仿宋_GB2312"/>
          <w:sz w:val="32"/>
          <w:szCs w:val="32"/>
        </w:rPr>
        <w:t>：2021年决算数为2.31万元，完成预算100%；</w:t>
      </w:r>
      <w:r>
        <w:rPr>
          <w:rFonts w:hint="eastAsia" w:eastAsia="仿宋_GB2312"/>
          <w:b/>
          <w:sz w:val="32"/>
          <w:szCs w:val="32"/>
        </w:rPr>
        <w:t>2130599其他扶贫支出：</w:t>
      </w:r>
      <w:r>
        <w:rPr>
          <w:rFonts w:hint="eastAsia" w:eastAsia="仿宋_GB2312"/>
          <w:sz w:val="32"/>
          <w:szCs w:val="32"/>
        </w:rPr>
        <w:t>2021年决算数为1.5万元，完成预算100%；</w:t>
      </w:r>
      <w:r>
        <w:rPr>
          <w:rFonts w:hint="eastAsia" w:eastAsia="仿宋_GB2312"/>
          <w:b/>
          <w:sz w:val="32"/>
          <w:szCs w:val="32"/>
        </w:rPr>
        <w:t>2130701 对村级公益事业建设的补助：</w:t>
      </w:r>
      <w:r>
        <w:rPr>
          <w:rFonts w:hint="eastAsia" w:eastAsia="仿宋_GB2312"/>
          <w:sz w:val="32"/>
          <w:szCs w:val="32"/>
        </w:rPr>
        <w:t>2021年决算数为270.19万元，完成预算100%；</w:t>
      </w:r>
      <w:r>
        <w:rPr>
          <w:rFonts w:hint="eastAsia" w:eastAsia="仿宋_GB2312"/>
          <w:b/>
          <w:sz w:val="32"/>
          <w:szCs w:val="32"/>
        </w:rPr>
        <w:t>2130705  对村民委员会和村党支部的补助：</w:t>
      </w:r>
      <w:r>
        <w:rPr>
          <w:rFonts w:hint="eastAsia" w:eastAsia="仿宋_GB2312"/>
          <w:sz w:val="32"/>
          <w:szCs w:val="32"/>
        </w:rPr>
        <w:t>2021年决算数为285.75万元，完成预算100%；</w:t>
      </w:r>
      <w:r>
        <w:rPr>
          <w:rFonts w:hint="eastAsia" w:eastAsia="仿宋_GB2312"/>
          <w:b/>
          <w:sz w:val="32"/>
          <w:szCs w:val="32"/>
        </w:rPr>
        <w:t>2139999其他农林水支出：</w:t>
      </w:r>
      <w:r>
        <w:rPr>
          <w:rFonts w:hint="eastAsia" w:eastAsia="仿宋_GB2312"/>
          <w:sz w:val="32"/>
          <w:szCs w:val="32"/>
        </w:rPr>
        <w:t>2021年决算数为40.54万元，完成预算100%。</w:t>
      </w:r>
    </w:p>
    <w:p w14:paraId="63F3EF65">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6. 住房保障支出</w:t>
      </w:r>
    </w:p>
    <w:p w14:paraId="3DB4A762">
      <w:pPr>
        <w:pStyle w:val="2"/>
        <w:spacing w:before="93"/>
        <w:ind w:firstLine="643" w:firstLineChars="200"/>
      </w:pPr>
      <w:r>
        <w:rPr>
          <w:rFonts w:hint="eastAsia"/>
          <w:b/>
          <w:sz w:val="32"/>
          <w:szCs w:val="32"/>
        </w:rPr>
        <w:t>2210201住房公积金支出</w:t>
      </w:r>
      <w:r>
        <w:rPr>
          <w:rFonts w:hint="eastAsia"/>
          <w:sz w:val="32"/>
          <w:szCs w:val="32"/>
        </w:rPr>
        <w:t>：2021年决算数为69.45万元，完成预算100%。</w:t>
      </w:r>
    </w:p>
    <w:p w14:paraId="608B4476">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7. 灾害防治及应急管理支出</w:t>
      </w:r>
    </w:p>
    <w:p w14:paraId="60961661">
      <w:pPr>
        <w:spacing w:line="600" w:lineRule="exact"/>
        <w:ind w:firstLine="643" w:firstLineChars="200"/>
        <w:rPr>
          <w:rFonts w:eastAsia="仿宋_GB2312"/>
          <w:sz w:val="32"/>
          <w:szCs w:val="32"/>
        </w:rPr>
      </w:pPr>
      <w:r>
        <w:rPr>
          <w:rFonts w:hint="eastAsia" w:eastAsia="仿宋_GB2312"/>
          <w:b/>
          <w:sz w:val="32"/>
          <w:szCs w:val="32"/>
        </w:rPr>
        <w:t>2240106 安全监管</w:t>
      </w:r>
      <w:r>
        <w:rPr>
          <w:rFonts w:hint="eastAsia" w:eastAsia="仿宋_GB2312"/>
          <w:sz w:val="32"/>
          <w:szCs w:val="32"/>
        </w:rPr>
        <w:t>：2021年决算数为10.03万元，完成预算100%；</w:t>
      </w:r>
      <w:r>
        <w:rPr>
          <w:rFonts w:hint="eastAsia" w:eastAsia="仿宋_GB2312"/>
          <w:b/>
          <w:sz w:val="32"/>
          <w:szCs w:val="32"/>
        </w:rPr>
        <w:t>2240602森林草原防灾减灾：</w:t>
      </w:r>
      <w:r>
        <w:rPr>
          <w:rFonts w:hint="eastAsia" w:eastAsia="仿宋_GB2312"/>
          <w:sz w:val="32"/>
          <w:szCs w:val="32"/>
        </w:rPr>
        <w:t>2021年决算数为5万元，完成预算100%。</w:t>
      </w:r>
    </w:p>
    <w:p w14:paraId="5971F03D">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w:t>
      </w:r>
    </w:p>
    <w:p w14:paraId="7E7075FB">
      <w:pPr>
        <w:tabs>
          <w:tab w:val="right" w:pos="8306"/>
        </w:tabs>
        <w:spacing w:line="600" w:lineRule="exact"/>
        <w:ind w:firstLine="640"/>
        <w:outlineLvl w:val="1"/>
        <w:rPr>
          <w:rStyle w:val="26"/>
        </w:rPr>
      </w:pPr>
      <w:bookmarkStart w:id="44" w:name="_Toc15396608"/>
      <w:bookmarkStart w:id="4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6"/>
          <w:rFonts w:hint="eastAsia" w:ascii="黑体" w:hAnsi="黑体" w:eastAsia="黑体"/>
          <w:b w:val="0"/>
        </w:rPr>
        <w:t>般公共预算财政拨款基本支出决算情况说明</w:t>
      </w:r>
      <w:bookmarkEnd w:id="44"/>
      <w:bookmarkEnd w:id="45"/>
      <w:r>
        <w:rPr>
          <w:rStyle w:val="26"/>
          <w:rFonts w:ascii="黑体" w:hAnsi="黑体" w:eastAsia="黑体"/>
          <w:b w:val="0"/>
        </w:rPr>
        <w:tab/>
      </w:r>
    </w:p>
    <w:p w14:paraId="41AFB2A0">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21年一般公共预算财政拨款基本支出1007.33万元，其中：</w:t>
      </w:r>
    </w:p>
    <w:p w14:paraId="631A2E3C">
      <w:pPr>
        <w:spacing w:line="600" w:lineRule="exact"/>
        <w:ind w:firstLine="645"/>
        <w:rPr>
          <w:rFonts w:ascii="仿宋" w:hAnsi="仿宋" w:eastAsia="仿宋"/>
          <w:sz w:val="32"/>
          <w:szCs w:val="32"/>
        </w:rPr>
      </w:pPr>
      <w:r>
        <w:rPr>
          <w:rFonts w:hint="eastAsia" w:ascii="仿宋" w:hAnsi="仿宋" w:eastAsia="仿宋"/>
          <w:sz w:val="32"/>
          <w:szCs w:val="32"/>
        </w:rPr>
        <w:t>人员经费869.23万元，主要包括：基本工资157.5万元、津贴补贴201.46万元、奖金119.87万元、绩效工资56.12万元、机关事业单位基本养老保险缴费56.76万元、职工基本医疗保险缴费38.38万元、公务员医疗补助缴费5.36万元、其他社会保障缴费1.8万元、住房公积金69.45万元、其他工资福利支出34.43万元、生活补助127.96万元、奖励金0.13万元。</w:t>
      </w:r>
      <w:r>
        <w:rPr>
          <w:rFonts w:ascii="仿宋" w:hAnsi="仿宋" w:eastAsia="仿宋"/>
          <w:sz w:val="32"/>
          <w:szCs w:val="32"/>
        </w:rPr>
        <w:br w:type="textWrapping"/>
      </w:r>
      <w:r>
        <w:rPr>
          <w:rFonts w:hint="eastAsia" w:ascii="仿宋" w:hAnsi="仿宋" w:eastAsia="仿宋"/>
          <w:sz w:val="32"/>
          <w:szCs w:val="32"/>
        </w:rPr>
        <w:t>　　公用经费138.1万元，主要包括：办公费30.87万元、电费1.86万元、邮电费9.21万元、差旅费20.34万元、因会议费6.11万元、培训费0.54万元、公务接待费0.29万元、劳务费22.19万元、委托业务费1.21万元、工会经费5.69万元、福利费6.53万元、公务用车运行维护费11.8万元、其他交通费21.47万元。</w:t>
      </w:r>
    </w:p>
    <w:p w14:paraId="155334A6">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w:t>
      </w:r>
    </w:p>
    <w:p w14:paraId="6191AC41">
      <w:pPr>
        <w:spacing w:line="600" w:lineRule="exact"/>
        <w:ind w:firstLine="640"/>
        <w:outlineLvl w:val="1"/>
        <w:rPr>
          <w:rStyle w:val="26"/>
          <w:rFonts w:ascii="黑体" w:hAnsi="黑体" w:eastAsia="黑体"/>
          <w:b w:val="0"/>
        </w:rPr>
      </w:pPr>
      <w:bookmarkStart w:id="46" w:name="_Toc15396609"/>
      <w:bookmarkStart w:id="47" w:name="_Toc15377215"/>
      <w:r>
        <w:rPr>
          <w:rFonts w:hint="eastAsia" w:ascii="黑体" w:eastAsia="黑体"/>
          <w:sz w:val="32"/>
          <w:szCs w:val="32"/>
        </w:rPr>
        <w:t>七、</w:t>
      </w:r>
      <w:r>
        <w:rPr>
          <w:rStyle w:val="26"/>
          <w:rFonts w:hint="eastAsia" w:ascii="黑体" w:hAnsi="黑体" w:eastAsia="黑体"/>
        </w:rPr>
        <w:t>“</w:t>
      </w:r>
      <w:r>
        <w:rPr>
          <w:rStyle w:val="26"/>
          <w:rFonts w:hint="eastAsia" w:ascii="黑体" w:hAnsi="黑体" w:eastAsia="黑体"/>
          <w:b w:val="0"/>
        </w:rPr>
        <w:t>三公”经费财政拨款支出决算情况说明</w:t>
      </w:r>
      <w:bookmarkEnd w:id="46"/>
      <w:bookmarkEnd w:id="47"/>
    </w:p>
    <w:p w14:paraId="2AA56C9F">
      <w:pPr>
        <w:spacing w:line="600" w:lineRule="exact"/>
        <w:ind w:firstLine="640"/>
        <w:outlineLvl w:val="2"/>
        <w:rPr>
          <w:rFonts w:ascii="仿宋" w:hAnsi="仿宋" w:eastAsia="仿宋"/>
          <w:b/>
          <w:sz w:val="32"/>
          <w:szCs w:val="32"/>
        </w:rPr>
      </w:pPr>
      <w:bookmarkStart w:id="48" w:name="_Toc15377216"/>
      <w:r>
        <w:rPr>
          <w:rFonts w:hint="eastAsia" w:ascii="仿宋" w:hAnsi="仿宋" w:eastAsia="仿宋"/>
          <w:b/>
          <w:sz w:val="32"/>
          <w:szCs w:val="32"/>
        </w:rPr>
        <w:t>（一）“三公”经费财政拨款支出决算总体情况说明</w:t>
      </w:r>
      <w:bookmarkEnd w:id="48"/>
    </w:p>
    <w:p w14:paraId="1BB1A536">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21年“三公”经费财政拨款支出决算为14.56万元，完成预算100</w:t>
      </w:r>
      <w:r>
        <w:rPr>
          <w:rFonts w:ascii="仿宋" w:hAnsi="仿宋" w:eastAsia="仿宋"/>
          <w:sz w:val="32"/>
          <w:szCs w:val="32"/>
        </w:rPr>
        <w:t>%</w:t>
      </w:r>
      <w:r>
        <w:rPr>
          <w:rFonts w:hint="eastAsia" w:ascii="仿宋" w:hAnsi="仿宋" w:eastAsia="仿宋"/>
          <w:sz w:val="32"/>
          <w:szCs w:val="32"/>
        </w:rPr>
        <w:t>。</w:t>
      </w:r>
    </w:p>
    <w:p w14:paraId="1CDD810E">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（注：上述“预算”口径为调整预算数。）</w:t>
      </w:r>
    </w:p>
    <w:p w14:paraId="0D1CCBAC">
      <w:pPr>
        <w:spacing w:line="600" w:lineRule="exact"/>
        <w:ind w:firstLine="640"/>
        <w:outlineLvl w:val="2"/>
        <w:rPr>
          <w:rFonts w:ascii="仿宋" w:hAnsi="仿宋" w:eastAsia="仿宋"/>
          <w:b/>
          <w:sz w:val="32"/>
          <w:szCs w:val="32"/>
        </w:rPr>
      </w:pPr>
      <w:bookmarkStart w:id="49" w:name="_Toc15377217"/>
      <w:r>
        <w:rPr>
          <w:rFonts w:hint="eastAsia" w:ascii="仿宋" w:hAnsi="仿宋" w:eastAsia="仿宋"/>
          <w:b/>
          <w:sz w:val="32"/>
          <w:szCs w:val="32"/>
        </w:rPr>
        <w:t>（二）“三公”经费财政拨款支出决算具体情况说明</w:t>
      </w:r>
      <w:bookmarkEnd w:id="49"/>
    </w:p>
    <w:p w14:paraId="41421413">
      <w:pPr>
        <w:spacing w:line="600" w:lineRule="exact"/>
        <w:ind w:firstLine="640"/>
        <w:rPr>
          <w:rFonts w:eastAsia="仿宋_GB2312"/>
          <w:sz w:val="32"/>
          <w:szCs w:val="32"/>
        </w:rPr>
      </w:pPr>
      <w:r>
        <w:rPr>
          <w:rFonts w:eastAsia="仿宋_GB2312"/>
          <w:sz w:val="32"/>
          <w:szCs w:val="32"/>
        </w:rPr>
        <w:t>202</w:t>
      </w:r>
      <w:r>
        <w:rPr>
          <w:rFonts w:hint="eastAsia" w:eastAsia="仿宋_GB2312"/>
          <w:sz w:val="32"/>
          <w:szCs w:val="32"/>
        </w:rPr>
        <w:t>1年“三公”经费财政拨款支出决算中，因公出国（境）费支出决算0万元，占0</w:t>
      </w:r>
      <w:r>
        <w:rPr>
          <w:rFonts w:eastAsia="仿宋_GB2312"/>
          <w:sz w:val="32"/>
          <w:szCs w:val="32"/>
        </w:rPr>
        <w:t>%</w:t>
      </w:r>
      <w:r>
        <w:rPr>
          <w:rFonts w:hint="eastAsia" w:eastAsia="仿宋_GB2312"/>
          <w:sz w:val="32"/>
          <w:szCs w:val="32"/>
        </w:rPr>
        <w:t>；公务用车购置及运行维护费支出决算14.28万元，占98</w:t>
      </w:r>
      <w:r>
        <w:rPr>
          <w:rFonts w:eastAsia="仿宋_GB2312"/>
          <w:sz w:val="32"/>
          <w:szCs w:val="32"/>
        </w:rPr>
        <w:t>%</w:t>
      </w:r>
      <w:r>
        <w:rPr>
          <w:rFonts w:hint="eastAsia" w:eastAsia="仿宋_GB2312"/>
          <w:sz w:val="32"/>
          <w:szCs w:val="32"/>
        </w:rPr>
        <w:t>；公务接待费支出决算0.29万元，占2</w:t>
      </w:r>
      <w:r>
        <w:rPr>
          <w:rFonts w:eastAsia="仿宋_GB2312"/>
          <w:sz w:val="32"/>
          <w:szCs w:val="32"/>
        </w:rPr>
        <w:t>%</w:t>
      </w:r>
      <w:r>
        <w:rPr>
          <w:rFonts w:hint="eastAsia" w:eastAsia="仿宋_GB2312"/>
          <w:sz w:val="32"/>
          <w:szCs w:val="32"/>
        </w:rPr>
        <w:t>。具体情况如下：</w:t>
      </w:r>
    </w:p>
    <w:p w14:paraId="158204D7">
      <w:pPr>
        <w:spacing w:line="600" w:lineRule="exact"/>
        <w:ind w:firstLine="640"/>
        <w:rPr>
          <w:rFonts w:ascii="仿宋_GB2312" w:eastAsia="仿宋_GB2312"/>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color w:val="000000"/>
          <w:sz w:val="32"/>
          <w:szCs w:val="32"/>
        </w:rPr>
        <w:t>0万元，</w:t>
      </w:r>
      <w:r>
        <w:rPr>
          <w:rStyle w:val="15"/>
          <w:rFonts w:hint="eastAsia" w:ascii="仿宋" w:hAnsi="仿宋" w:eastAsia="仿宋"/>
          <w:b w:val="0"/>
          <w:bCs/>
          <w:color w:val="000000"/>
          <w:sz w:val="32"/>
          <w:szCs w:val="32"/>
        </w:rPr>
        <w:t>完成预算0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全年安排因公出国（境）团组0次，出国（境）0人。因公出国（境）支出决算比2020年增加</w:t>
      </w:r>
      <w:r>
        <w:rPr>
          <w:rFonts w:ascii="仿宋_GB2312" w:eastAsia="仿宋_GB2312"/>
          <w:color w:val="000000"/>
          <w:sz w:val="32"/>
          <w:szCs w:val="32"/>
        </w:rPr>
        <w:t>/</w:t>
      </w:r>
      <w:r>
        <w:rPr>
          <w:rFonts w:hint="eastAsia" w:ascii="仿宋_GB2312" w:eastAsia="仿宋_GB2312"/>
          <w:color w:val="000000"/>
          <w:sz w:val="32"/>
          <w:szCs w:val="32"/>
        </w:rPr>
        <w:t>减少0万元，增长</w:t>
      </w:r>
      <w:r>
        <w:rPr>
          <w:rFonts w:ascii="仿宋_GB2312" w:eastAsia="仿宋_GB2312"/>
          <w:color w:val="000000"/>
          <w:sz w:val="32"/>
          <w:szCs w:val="32"/>
        </w:rPr>
        <w:t>/</w:t>
      </w:r>
      <w:r>
        <w:rPr>
          <w:rFonts w:hint="eastAsia" w:ascii="仿宋_GB2312" w:eastAsia="仿宋_GB2312"/>
          <w:color w:val="000000"/>
          <w:sz w:val="32"/>
          <w:szCs w:val="32"/>
        </w:rPr>
        <w:t>下降0</w:t>
      </w:r>
      <w:r>
        <w:rPr>
          <w:rFonts w:ascii="仿宋_GB2312" w:eastAsia="仿宋_GB2312"/>
          <w:color w:val="000000"/>
          <w:sz w:val="32"/>
          <w:szCs w:val="32"/>
        </w:rPr>
        <w:t>%</w:t>
      </w:r>
      <w:r>
        <w:rPr>
          <w:rFonts w:hint="eastAsia" w:ascii="仿宋_GB2312" w:eastAsia="仿宋_GB2312"/>
          <w:color w:val="000000"/>
          <w:sz w:val="32"/>
          <w:szCs w:val="32"/>
        </w:rPr>
        <w:t>。</w:t>
      </w:r>
    </w:p>
    <w:p w14:paraId="238C163F">
      <w:pPr>
        <w:spacing w:line="600" w:lineRule="exact"/>
        <w:ind w:firstLine="640"/>
        <w:rPr>
          <w:rFonts w:ascii="仿宋_GB2312" w:eastAsia="仿宋_GB2312"/>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rPr>
        <w:t>14.56万元</w:t>
      </w:r>
      <w:r>
        <w:rPr>
          <w:rFonts w:ascii="仿宋_GB2312" w:eastAsia="仿宋_GB2312"/>
          <w:color w:val="000000"/>
          <w:sz w:val="32"/>
          <w:szCs w:val="32"/>
        </w:rPr>
        <w:t>,</w:t>
      </w:r>
      <w:r>
        <w:rPr>
          <w:rStyle w:val="15"/>
          <w:rFonts w:hint="eastAsia" w:ascii="仿宋" w:hAnsi="仿宋" w:eastAsia="仿宋"/>
          <w:b w:val="0"/>
          <w:bCs/>
          <w:color w:val="000000"/>
          <w:sz w:val="32"/>
          <w:szCs w:val="32"/>
        </w:rPr>
        <w:t>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公务用车购置及运行维护费支出决算比2020年减少19.44万元，降低57</w:t>
      </w:r>
      <w:r>
        <w:rPr>
          <w:rFonts w:ascii="仿宋_GB2312" w:eastAsia="仿宋_GB2312"/>
          <w:color w:val="000000"/>
          <w:sz w:val="32"/>
          <w:szCs w:val="32"/>
        </w:rPr>
        <w:t>%</w:t>
      </w:r>
      <w:r>
        <w:rPr>
          <w:rFonts w:hint="eastAsia" w:ascii="仿宋_GB2312" w:eastAsia="仿宋_GB2312"/>
          <w:color w:val="000000"/>
          <w:sz w:val="32"/>
          <w:szCs w:val="32"/>
        </w:rPr>
        <w:t>。主要原因是2020年购置公务用车，2021年主要用于公务车运行维护。</w:t>
      </w:r>
    </w:p>
    <w:p w14:paraId="6402893A">
      <w:pPr>
        <w:spacing w:line="600" w:lineRule="exact"/>
        <w:ind w:firstLine="640"/>
        <w:rPr>
          <w:rFonts w:ascii="方正仿宋_GBK" w:eastAsia="方正仿宋_GBK"/>
          <w:color w:val="000000"/>
          <w:sz w:val="33"/>
          <w:szCs w:val="33"/>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rPr>
        <w:t>14.28万元。</w:t>
      </w:r>
      <w:r>
        <w:rPr>
          <w:rFonts w:hint="eastAsia" w:ascii="方正仿宋_GBK" w:eastAsia="方正仿宋_GBK"/>
          <w:color w:val="000000"/>
          <w:sz w:val="33"/>
          <w:szCs w:val="33"/>
        </w:rPr>
        <w:t>要用于公务用车油费，保险费、洗车费，维修费等支出</w:t>
      </w:r>
    </w:p>
    <w:p w14:paraId="57983070">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rPr>
        <w:t>0.29万元，</w:t>
      </w:r>
      <w:r>
        <w:rPr>
          <w:rStyle w:val="15"/>
          <w:rFonts w:hint="eastAsia" w:ascii="仿宋" w:hAnsi="仿宋" w:eastAsia="仿宋"/>
          <w:b w:val="0"/>
          <w:bCs/>
          <w:color w:val="000000"/>
          <w:sz w:val="32"/>
          <w:szCs w:val="32"/>
        </w:rPr>
        <w:t>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公务接待费支出决算与</w:t>
      </w:r>
      <w:r>
        <w:rPr>
          <w:rFonts w:ascii="仿宋_GB2312" w:eastAsia="仿宋_GB2312"/>
          <w:color w:val="000000"/>
          <w:sz w:val="32"/>
          <w:szCs w:val="32"/>
        </w:rPr>
        <w:t>20</w:t>
      </w:r>
      <w:r>
        <w:rPr>
          <w:rFonts w:hint="eastAsia" w:ascii="仿宋_GB2312" w:eastAsia="仿宋_GB2312"/>
          <w:color w:val="000000"/>
          <w:sz w:val="32"/>
          <w:szCs w:val="32"/>
        </w:rPr>
        <w:t>20年持平，其中：</w:t>
      </w:r>
    </w:p>
    <w:p w14:paraId="7133F25C">
      <w:pPr>
        <w:spacing w:line="600" w:lineRule="exact"/>
        <w:ind w:firstLine="640"/>
        <w:rPr>
          <w:rFonts w:ascii="仿宋_GB2312" w:eastAsia="仿宋_GB2312"/>
          <w:color w:val="000000"/>
          <w:sz w:val="32"/>
          <w:szCs w:val="32"/>
        </w:rPr>
      </w:pPr>
      <w:r>
        <w:rPr>
          <w:rFonts w:hint="eastAsia" w:ascii="仿宋" w:hAnsi="仿宋" w:eastAsia="仿宋"/>
          <w:b/>
          <w:color w:val="000000" w:themeColor="text1"/>
          <w:sz w:val="32"/>
          <w:szCs w:val="32"/>
          <w14:textFill>
            <w14:solidFill>
              <w14:schemeClr w14:val="tx1"/>
            </w14:solidFill>
          </w14:textFill>
        </w:rPr>
        <w:t>国内公务接待支出</w:t>
      </w:r>
      <w:r>
        <w:rPr>
          <w:rFonts w:hint="eastAsia" w:ascii="仿宋" w:hAnsi="仿宋" w:eastAsia="仿宋"/>
          <w:color w:val="000000" w:themeColor="text1"/>
          <w:sz w:val="32"/>
          <w:szCs w:val="32"/>
          <w14:textFill>
            <w14:solidFill>
              <w14:schemeClr w14:val="tx1"/>
            </w14:solidFill>
          </w14:textFill>
        </w:rPr>
        <w:t>0.29</w:t>
      </w:r>
      <w:r>
        <w:rPr>
          <w:rFonts w:hint="eastAsia" w:ascii="仿宋_GB2312" w:eastAsia="仿宋_GB2312"/>
          <w:color w:val="000000" w:themeColor="text1"/>
          <w:sz w:val="32"/>
          <w:szCs w:val="32"/>
          <w14:textFill>
            <w14:solidFill>
              <w14:schemeClr w14:val="tx1"/>
            </w14:solidFill>
          </w14:textFill>
        </w:rPr>
        <w:t>万元，</w:t>
      </w:r>
      <w:r>
        <w:rPr>
          <w:rFonts w:hint="eastAsia" w:ascii="仿宋_GB2312" w:eastAsia="仿宋_GB2312"/>
          <w:color w:val="000000"/>
          <w:sz w:val="32"/>
          <w:szCs w:val="32"/>
        </w:rPr>
        <w:t>主要用于</w:t>
      </w:r>
      <w:r>
        <w:rPr>
          <w:rFonts w:hint="eastAsia" w:ascii="方正仿宋_GBK" w:eastAsia="方正仿宋_GBK"/>
          <w:color w:val="000000"/>
          <w:sz w:val="33"/>
          <w:szCs w:val="33"/>
        </w:rPr>
        <w:t>住宿费、用餐费等</w:t>
      </w:r>
      <w:r>
        <w:rPr>
          <w:rFonts w:hint="eastAsia" w:ascii="仿宋_GB2312" w:eastAsia="仿宋_GB2312"/>
          <w:color w:val="000000"/>
          <w:sz w:val="32"/>
          <w:szCs w:val="32"/>
        </w:rPr>
        <w:t>。国内公务接待19批次，116人次（不包括陪同人员），共计支出0.29万元，具体内容包括：</w:t>
      </w:r>
      <w:r>
        <w:rPr>
          <w:rFonts w:hint="eastAsia" w:ascii="方正仿宋_GBK" w:eastAsia="方正仿宋_GBK"/>
          <w:color w:val="000000"/>
          <w:sz w:val="33"/>
          <w:szCs w:val="33"/>
        </w:rPr>
        <w:t>主要是县级各部门以及食堂接待用餐</w:t>
      </w:r>
      <w:r>
        <w:rPr>
          <w:rFonts w:hint="eastAsia" w:ascii="仿宋_GB2312" w:eastAsia="仿宋_GB2312"/>
          <w:color w:val="000000"/>
          <w:sz w:val="32"/>
          <w:szCs w:val="32"/>
        </w:rPr>
        <w:t>。</w:t>
      </w:r>
    </w:p>
    <w:p w14:paraId="2C630FF1">
      <w:pPr>
        <w:spacing w:line="600" w:lineRule="exact"/>
        <w:ind w:firstLine="640"/>
        <w:rPr>
          <w:rFonts w:ascii="仿宋" w:hAnsi="仿宋" w:eastAsia="仿宋"/>
          <w:sz w:val="32"/>
          <w:szCs w:val="32"/>
        </w:rPr>
      </w:pPr>
      <w:r>
        <w:rPr>
          <w:rFonts w:hint="eastAsia" w:ascii="仿宋" w:hAnsi="仿宋" w:eastAsia="仿宋"/>
          <w:b/>
          <w:color w:val="000000"/>
          <w:sz w:val="32"/>
          <w:szCs w:val="32"/>
        </w:rPr>
        <w:t>外事接待支出</w:t>
      </w:r>
      <w:r>
        <w:rPr>
          <w:rFonts w:hint="eastAsia" w:ascii="仿宋" w:hAnsi="仿宋" w:eastAsia="仿宋"/>
          <w:color w:val="000000"/>
          <w:sz w:val="32"/>
          <w:szCs w:val="32"/>
        </w:rPr>
        <w:t>0</w:t>
      </w:r>
      <w:r>
        <w:rPr>
          <w:rFonts w:hint="eastAsia" w:ascii="仿宋_GB2312" w:eastAsia="仿宋_GB2312"/>
          <w:color w:val="000000"/>
          <w:sz w:val="32"/>
          <w:szCs w:val="32"/>
        </w:rPr>
        <w:t>万元，外事接待0批次，0人，共计支出0万元。</w:t>
      </w:r>
    </w:p>
    <w:p w14:paraId="1D281EBD">
      <w:pPr>
        <w:spacing w:line="600" w:lineRule="exact"/>
        <w:ind w:firstLine="640"/>
        <w:outlineLvl w:val="1"/>
        <w:rPr>
          <w:rStyle w:val="26"/>
          <w:rFonts w:ascii="黑体" w:hAnsi="黑体" w:eastAsia="黑体"/>
        </w:rPr>
      </w:pPr>
      <w:bookmarkStart w:id="50" w:name="_Toc15377218"/>
      <w:bookmarkStart w:id="51" w:name="_Toc15396610"/>
      <w:r>
        <w:rPr>
          <w:rFonts w:hint="eastAsia" w:ascii="黑体" w:eastAsia="黑体"/>
          <w:sz w:val="32"/>
          <w:szCs w:val="32"/>
        </w:rPr>
        <w:t>八、</w:t>
      </w:r>
      <w:r>
        <w:rPr>
          <w:rStyle w:val="26"/>
          <w:rFonts w:hint="eastAsia" w:ascii="黑体" w:hAnsi="黑体" w:eastAsia="黑体"/>
          <w:b w:val="0"/>
        </w:rPr>
        <w:t>政府性基金预算支出决算情况说明</w:t>
      </w:r>
      <w:bookmarkEnd w:id="50"/>
      <w:bookmarkEnd w:id="51"/>
    </w:p>
    <w:p w14:paraId="44CCE332">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21年政府性基金预算财政拨款支出0万元。</w:t>
      </w:r>
    </w:p>
    <w:p w14:paraId="496C4110">
      <w:pPr>
        <w:numPr>
          <w:ilvl w:val="0"/>
          <w:numId w:val="2"/>
        </w:numPr>
        <w:spacing w:line="600" w:lineRule="exact"/>
        <w:ind w:firstLine="640"/>
        <w:outlineLvl w:val="1"/>
        <w:rPr>
          <w:rStyle w:val="26"/>
          <w:rFonts w:ascii="黑体" w:hAnsi="黑体" w:eastAsia="黑体"/>
          <w:b w:val="0"/>
        </w:rPr>
      </w:pPr>
      <w:bookmarkStart w:id="52" w:name="_Toc15377219"/>
      <w:bookmarkStart w:id="53" w:name="_Toc15396611"/>
      <w:r>
        <w:rPr>
          <w:rStyle w:val="26"/>
          <w:rFonts w:hint="eastAsia" w:ascii="黑体" w:hAnsi="黑体" w:eastAsia="黑体"/>
          <w:b w:val="0"/>
        </w:rPr>
        <w:t>国有资本经营预算支出决算情况说明</w:t>
      </w:r>
      <w:bookmarkEnd w:id="52"/>
      <w:bookmarkEnd w:id="53"/>
    </w:p>
    <w:p w14:paraId="6A5FB495">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21年国有资本经营预算财政拨款支出0万元。</w:t>
      </w:r>
    </w:p>
    <w:p w14:paraId="0796B841">
      <w:pPr>
        <w:numPr>
          <w:ilvl w:val="0"/>
          <w:numId w:val="2"/>
        </w:numPr>
        <w:spacing w:line="600" w:lineRule="exact"/>
        <w:ind w:firstLine="640"/>
        <w:outlineLvl w:val="1"/>
        <w:rPr>
          <w:rStyle w:val="26"/>
          <w:rFonts w:ascii="黑体" w:hAnsi="黑体" w:eastAsia="黑体"/>
          <w:b w:val="0"/>
        </w:rPr>
      </w:pPr>
      <w:bookmarkStart w:id="54" w:name="_Toc15377221"/>
      <w:bookmarkStart w:id="55" w:name="_Toc15396612"/>
      <w:r>
        <w:rPr>
          <w:rStyle w:val="26"/>
          <w:rFonts w:hint="eastAsia" w:ascii="黑体" w:hAnsi="黑体" w:eastAsia="黑体"/>
          <w:b w:val="0"/>
        </w:rPr>
        <w:t>其他重要事项的情况说明</w:t>
      </w:r>
      <w:bookmarkEnd w:id="54"/>
      <w:bookmarkEnd w:id="55"/>
    </w:p>
    <w:p w14:paraId="3BEE0247">
      <w:pPr>
        <w:spacing w:line="600" w:lineRule="exact"/>
        <w:ind w:firstLine="643" w:firstLineChars="200"/>
        <w:outlineLvl w:val="2"/>
        <w:rPr>
          <w:rFonts w:ascii="仿宋" w:hAnsi="仿宋" w:eastAsia="仿宋"/>
          <w:sz w:val="32"/>
          <w:szCs w:val="32"/>
        </w:rPr>
      </w:pPr>
      <w:bookmarkStart w:id="56" w:name="_Toc15377222"/>
      <w:r>
        <w:rPr>
          <w:rFonts w:hint="eastAsia" w:ascii="仿宋" w:hAnsi="仿宋" w:eastAsia="仿宋"/>
          <w:b/>
          <w:sz w:val="32"/>
          <w:szCs w:val="32"/>
        </w:rPr>
        <w:t>（一）机关运行经费支出情况</w:t>
      </w:r>
      <w:bookmarkEnd w:id="56"/>
    </w:p>
    <w:p w14:paraId="5EB911F7">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21年，惠民镇机关运行经费支出138万元，比</w:t>
      </w:r>
      <w:r>
        <w:rPr>
          <w:rFonts w:ascii="仿宋_GB2312" w:eastAsia="仿宋_GB2312"/>
          <w:sz w:val="32"/>
          <w:szCs w:val="32"/>
        </w:rPr>
        <w:t>20</w:t>
      </w:r>
      <w:r>
        <w:rPr>
          <w:rFonts w:hint="eastAsia" w:ascii="仿宋_GB2312" w:eastAsia="仿宋_GB2312"/>
          <w:sz w:val="32"/>
          <w:szCs w:val="32"/>
        </w:rPr>
        <w:t>20年增加54万元，增长64</w:t>
      </w:r>
      <w:r>
        <w:rPr>
          <w:rFonts w:ascii="仿宋_GB2312" w:eastAsia="仿宋_GB2312"/>
          <w:sz w:val="32"/>
          <w:szCs w:val="32"/>
        </w:rPr>
        <w:t>%</w:t>
      </w:r>
      <w:r>
        <w:rPr>
          <w:rFonts w:hint="eastAsia" w:ascii="仿宋_GB2312" w:eastAsia="仿宋_GB2312"/>
          <w:sz w:val="32"/>
          <w:szCs w:val="32"/>
        </w:rPr>
        <w:t>主要原因是疫情防控工作、森林草原防灭火等专项工作增加，</w:t>
      </w:r>
      <w:r>
        <w:rPr>
          <w:rFonts w:hint="eastAsia" w:ascii="仿宋_GB2312" w:eastAsia="仿宋_GB2312"/>
          <w:color w:val="000000"/>
          <w:sz w:val="32"/>
          <w:szCs w:val="32"/>
        </w:rPr>
        <w:t>并且人员变动，相应经费随之变动。</w:t>
      </w:r>
    </w:p>
    <w:p w14:paraId="12513BA6">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465469A8">
      <w:pPr>
        <w:autoSpaceDE w:val="0"/>
        <w:autoSpaceDN w:val="0"/>
        <w:adjustRightInd w:val="0"/>
        <w:spacing w:line="600" w:lineRule="exact"/>
        <w:ind w:firstLine="643" w:firstLineChars="200"/>
        <w:jc w:val="left"/>
        <w:outlineLvl w:val="2"/>
        <w:rPr>
          <w:rFonts w:ascii="仿宋" w:hAnsi="仿宋" w:eastAsia="仿宋"/>
          <w:b/>
          <w:sz w:val="32"/>
          <w:szCs w:val="32"/>
        </w:rPr>
      </w:pPr>
      <w:bookmarkStart w:id="57" w:name="_Toc15377223"/>
      <w:r>
        <w:rPr>
          <w:rFonts w:hint="eastAsia" w:ascii="仿宋" w:hAnsi="仿宋" w:eastAsia="仿宋"/>
          <w:b/>
          <w:sz w:val="32"/>
          <w:szCs w:val="32"/>
        </w:rPr>
        <w:t>（二）政府采购支出情况</w:t>
      </w:r>
      <w:bookmarkEnd w:id="57"/>
    </w:p>
    <w:p w14:paraId="61DCC78B">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21年，惠民镇政府采购支出总额0万元服务支出</w:t>
      </w:r>
      <w:r>
        <w:rPr>
          <w:rFonts w:ascii="仿宋_GB2312" w:eastAsia="仿宋_GB2312"/>
          <w:sz w:val="32"/>
          <w:szCs w:val="32"/>
        </w:rPr>
        <w:t>**</w:t>
      </w:r>
      <w:r>
        <w:rPr>
          <w:rFonts w:hint="eastAsia" w:ascii="仿宋_GB2312" w:eastAsia="仿宋_GB2312"/>
          <w:sz w:val="32"/>
          <w:szCs w:val="32"/>
        </w:rPr>
        <w:t>万元。</w:t>
      </w:r>
      <w:r>
        <w:rPr>
          <w:rFonts w:ascii="仿宋_GB2312" w:eastAsia="仿宋_GB2312"/>
          <w:sz w:val="32"/>
          <w:szCs w:val="32"/>
        </w:rPr>
        <w:t xml:space="preserve"> </w:t>
      </w:r>
    </w:p>
    <w:p w14:paraId="380B0A3A">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34A7DB66">
      <w:pPr>
        <w:autoSpaceDE w:val="0"/>
        <w:autoSpaceDN w:val="0"/>
        <w:adjustRightInd w:val="0"/>
        <w:spacing w:line="600" w:lineRule="exact"/>
        <w:ind w:firstLine="643" w:firstLineChars="200"/>
        <w:jc w:val="left"/>
        <w:outlineLvl w:val="2"/>
        <w:rPr>
          <w:rFonts w:ascii="仿宋" w:hAnsi="仿宋" w:eastAsia="仿宋"/>
          <w:b/>
          <w:sz w:val="32"/>
          <w:szCs w:val="32"/>
        </w:rPr>
      </w:pPr>
      <w:bookmarkStart w:id="58" w:name="_Toc15377224"/>
      <w:r>
        <w:rPr>
          <w:rFonts w:hint="eastAsia" w:ascii="仿宋" w:hAnsi="仿宋" w:eastAsia="仿宋"/>
          <w:b/>
          <w:sz w:val="32"/>
          <w:szCs w:val="32"/>
        </w:rPr>
        <w:t>（三）国有资产占有使用情况</w:t>
      </w:r>
      <w:bookmarkEnd w:id="58"/>
    </w:p>
    <w:p w14:paraId="69E049A0">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日，惠民镇共有车辆3辆，其中：主要领导干部用车2辆、应急保障用车1辆；单价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14:paraId="5C3B1A24">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753C58AB">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4151D6A1">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惠民镇预算项目开展了预算事前绩效评估，对31个项目编制了绩效目标，预算执行过程中，选取5个项目开展绩效监控，年终执行完毕后，对5个项目开展了绩效目标完成情况自评。（详见第四部分附件）</w:t>
      </w:r>
    </w:p>
    <w:p w14:paraId="2FC32326">
      <w:pPr>
        <w:autoSpaceDE w:val="0"/>
        <w:autoSpaceDN w:val="0"/>
        <w:adjustRightInd w:val="0"/>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1年部门整体支出开展绩效自评，从评价情况来看</w:t>
      </w:r>
      <w:r>
        <w:rPr>
          <w:rFonts w:hint="eastAsia" w:ascii="仿宋_GB2312" w:eastAsia="仿宋_GB2312"/>
          <w:sz w:val="32"/>
          <w:szCs w:val="32"/>
        </w:rPr>
        <w:t>严格落实上级关于绩效管理的有关规定，年初做好预算申报，从严控制预算支出，管控好支出渠道，严格执行单位财务管理制度，强化支出审批、审签，各种票据齐全，符合报账要求，实现了本单位整体支出预期目标。</w:t>
      </w:r>
      <w:r>
        <w:rPr>
          <w:rFonts w:hint="eastAsia" w:ascii="仿宋_GB2312" w:hAnsi="仿宋_GB2312" w:eastAsia="仿宋_GB2312" w:cs="仿宋_GB2312"/>
          <w:sz w:val="32"/>
          <w:szCs w:val="32"/>
        </w:rPr>
        <w:t>本部门还自行组织了5个项目支出绩效评价，从评价情况来看</w:t>
      </w:r>
      <w:r>
        <w:rPr>
          <w:rFonts w:hint="eastAsia" w:ascii="仿宋_GB2312" w:eastAsia="仿宋_GB2312"/>
          <w:sz w:val="32"/>
          <w:szCs w:val="32"/>
        </w:rPr>
        <w:t>本单位主要领导和分管领导认真审核项目预算，对项目支出渠道严格把关，确保各项目支出实现了经济效益、社会效益等预期目标。</w:t>
      </w:r>
    </w:p>
    <w:p w14:paraId="0B52DAFA">
      <w:pPr>
        <w:spacing w:line="58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1.</w:t>
      </w:r>
      <w:r>
        <w:rPr>
          <w:rFonts w:hint="eastAsia" w:ascii="楷体_GB2312" w:hAnsi="楷体_GB2312" w:eastAsia="楷体_GB2312" w:cs="楷体_GB2312"/>
          <w:sz w:val="32"/>
          <w:szCs w:val="32"/>
        </w:rPr>
        <w:t>项目绩效目标完成情况。</w:t>
      </w:r>
      <w:r>
        <w:rPr>
          <w:rFonts w:ascii="楷体_GB2312" w:hAnsi="楷体_GB2312" w:eastAsia="楷体_GB2312" w:cs="楷体_GB2312"/>
          <w:sz w:val="32"/>
          <w:szCs w:val="32"/>
        </w:rPr>
        <w:br w:type="textWrapping"/>
      </w:r>
      <w:r>
        <w:rPr>
          <w:rFonts w:hint="eastAsia" w:ascii="仿宋_GB2312" w:hAnsi="仿宋_GB2312" w:eastAsia="仿宋_GB2312" w:cs="仿宋_GB2312"/>
          <w:sz w:val="32"/>
          <w:szCs w:val="32"/>
        </w:rPr>
        <w:t>本部门在</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1年度部门决算中反映“</w:t>
      </w:r>
      <w:r>
        <w:rPr>
          <w:rFonts w:hint="eastAsia" w:eastAsia="仿宋_GB2312"/>
          <w:sz w:val="32"/>
          <w:szCs w:val="32"/>
        </w:rPr>
        <w:t>盐财资预【2021】84号非洲猪瘟疫情防控专项经费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eastAsia="仿宋_GB2312"/>
          <w:sz w:val="32"/>
          <w:szCs w:val="32"/>
        </w:rPr>
        <w:t>盐财资预【2021】23号非洲猪瘟疫情防控专项经费</w:t>
      </w:r>
      <w:r>
        <w:rPr>
          <w:rFonts w:hint="eastAsia" w:ascii="仿宋_GB2312" w:hAnsi="仿宋_GB2312" w:eastAsia="仿宋_GB2312" w:cs="仿宋_GB2312"/>
          <w:sz w:val="32"/>
          <w:szCs w:val="32"/>
        </w:rPr>
        <w:t>”、“</w:t>
      </w:r>
      <w:r>
        <w:rPr>
          <w:rFonts w:hint="eastAsia" w:eastAsia="仿宋_GB2312"/>
          <w:sz w:val="32"/>
          <w:szCs w:val="32"/>
        </w:rPr>
        <w:t>川财预【2021】69号2021年基层组织活动和公共服务运行经费</w:t>
      </w:r>
      <w:r>
        <w:rPr>
          <w:rFonts w:hint="eastAsia" w:ascii="仿宋_GB2312" w:hAnsi="仿宋_GB2312" w:eastAsia="仿宋_GB2312" w:cs="仿宋_GB2312"/>
          <w:sz w:val="32"/>
          <w:szCs w:val="32"/>
        </w:rPr>
        <w:t>”、“2021村社干部报酬及绩效”、“2021年五保户生活费、丧葬费以及御寒费”等5个项目绩效目标实际完成情况。</w:t>
      </w:r>
    </w:p>
    <w:p w14:paraId="5AF445B8">
      <w:pPr>
        <w:spacing w:line="580" w:lineRule="exact"/>
        <w:ind w:firstLine="640" w:firstLineChars="200"/>
        <w:rPr>
          <w:rFonts w:eastAsia="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eastAsia="仿宋_GB2312"/>
          <w:sz w:val="32"/>
          <w:szCs w:val="32"/>
        </w:rPr>
        <w:t>盐财资预【2021】84号非洲猪瘟疫情防控专项经费</w:t>
      </w:r>
      <w:r>
        <w:rPr>
          <w:rFonts w:hint="eastAsia" w:ascii="仿宋_GB2312" w:hAnsi="仿宋_GB2312" w:eastAsia="仿宋_GB2312" w:cs="仿宋_GB2312"/>
          <w:sz w:val="32"/>
          <w:szCs w:val="32"/>
        </w:rPr>
        <w:t>项目绩效目标完成情况综述。项目全年预算数17.48万元，执行数为17.48万元，完成预算的100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76D3CC04">
      <w:pPr>
        <w:pStyle w:val="2"/>
        <w:spacing w:before="93"/>
        <w:ind w:firstLine="640" w:firstLineChars="200"/>
        <w:rPr>
          <w:sz w:val="32"/>
          <w:szCs w:val="32"/>
        </w:rPr>
      </w:pPr>
      <w:r>
        <w:rPr>
          <w:rFonts w:hint="eastAsia" w:hAnsi="仿宋_GB2312" w:cs="仿宋_GB2312"/>
          <w:sz w:val="32"/>
          <w:szCs w:val="32"/>
        </w:rPr>
        <w:t>（</w:t>
      </w:r>
      <w:r>
        <w:rPr>
          <w:rFonts w:hAnsi="仿宋_GB2312" w:cs="仿宋_GB2312"/>
          <w:sz w:val="32"/>
          <w:szCs w:val="32"/>
        </w:rPr>
        <w:t>2</w:t>
      </w:r>
      <w:r>
        <w:rPr>
          <w:rFonts w:hint="eastAsia" w:hAnsi="仿宋_GB2312" w:cs="仿宋_GB2312"/>
          <w:sz w:val="32"/>
          <w:szCs w:val="32"/>
        </w:rPr>
        <w:t>）</w:t>
      </w:r>
      <w:r>
        <w:rPr>
          <w:rFonts w:hint="eastAsia"/>
          <w:sz w:val="32"/>
          <w:szCs w:val="32"/>
        </w:rPr>
        <w:t>盐财资预【2021】23号非洲猪瘟疫情防控专项经费</w:t>
      </w:r>
      <w:r>
        <w:rPr>
          <w:rFonts w:hint="eastAsia" w:hAnsi="仿宋_GB2312" w:cs="仿宋_GB2312"/>
          <w:sz w:val="32"/>
          <w:szCs w:val="32"/>
        </w:rPr>
        <w:t>项目绩效目标完成情况综述。项目全年预算数16.38万元，执行数为16.38万元，完成预算的100</w:t>
      </w:r>
      <w:r>
        <w:rPr>
          <w:rFonts w:hAnsi="仿宋_GB2312" w:cs="仿宋_GB2312"/>
          <w:sz w:val="32"/>
          <w:szCs w:val="32"/>
        </w:rPr>
        <w:t>%</w:t>
      </w:r>
      <w:r>
        <w:rPr>
          <w:rFonts w:hint="eastAsia" w:hAnsi="仿宋_GB2312" w:cs="仿宋_GB2312"/>
          <w:sz w:val="32"/>
          <w:szCs w:val="32"/>
        </w:rPr>
        <w:t>。</w:t>
      </w:r>
      <w:r>
        <w:rPr>
          <w:rFonts w:hint="eastAsia"/>
          <w:sz w:val="32"/>
          <w:szCs w:val="32"/>
        </w:rPr>
        <w:t>根据财政下达的预算资金额度，严格把控资金使用，不超支；及时报账，不挪作他用，良好的做到</w:t>
      </w:r>
      <w:r>
        <w:rPr>
          <w:sz w:val="32"/>
          <w:szCs w:val="32"/>
        </w:rPr>
        <w:t>账务处理及时，会计核算规范</w:t>
      </w:r>
      <w:r>
        <w:rPr>
          <w:rFonts w:hint="eastAsia"/>
          <w:sz w:val="32"/>
          <w:szCs w:val="32"/>
        </w:rPr>
        <w:t>。</w:t>
      </w:r>
    </w:p>
    <w:p w14:paraId="52FE99E0">
      <w:pPr>
        <w:widowControl/>
        <w:ind w:firstLine="640" w:firstLineChars="200"/>
        <w:jc w:val="left"/>
        <w:rPr>
          <w:rFonts w:eastAsia="仿宋_GB2312"/>
          <w:sz w:val="32"/>
          <w:szCs w:val="32"/>
        </w:rPr>
      </w:pPr>
      <w:r>
        <w:rPr>
          <w:rFonts w:hint="eastAsia" w:ascii="仿宋_GB2312" w:hAnsi="仿宋_GB2312" w:eastAsia="仿宋_GB2312" w:cs="仿宋_GB2312"/>
          <w:sz w:val="32"/>
          <w:szCs w:val="32"/>
        </w:rPr>
        <w:t>（3）</w:t>
      </w:r>
      <w:r>
        <w:rPr>
          <w:rFonts w:hint="eastAsia" w:eastAsia="仿宋_GB2312"/>
          <w:sz w:val="32"/>
          <w:szCs w:val="32"/>
        </w:rPr>
        <w:t>川财预【2021】69号2021年基层组织活动和公共服务运行经费</w:t>
      </w:r>
      <w:r>
        <w:rPr>
          <w:rFonts w:hint="eastAsia" w:ascii="仿宋_GB2312" w:hAnsi="仿宋_GB2312" w:eastAsia="仿宋_GB2312" w:cs="仿宋_GB2312"/>
          <w:sz w:val="32"/>
          <w:szCs w:val="32"/>
        </w:rPr>
        <w:t>项目绩效目标完成情况综述项目全年预算数</w:t>
      </w:r>
      <w:r>
        <w:rPr>
          <w:rFonts w:hint="eastAsia" w:hAnsi="仿宋_GB2312" w:cs="仿宋_GB2312"/>
          <w:sz w:val="32"/>
          <w:szCs w:val="32"/>
        </w:rPr>
        <w:t>44</w:t>
      </w:r>
      <w:r>
        <w:rPr>
          <w:rFonts w:hint="eastAsia" w:ascii="仿宋_GB2312" w:hAnsi="仿宋_GB2312" w:eastAsia="仿宋_GB2312" w:cs="仿宋_GB2312"/>
          <w:sz w:val="32"/>
          <w:szCs w:val="32"/>
        </w:rPr>
        <w:t>万元，执行数为</w:t>
      </w:r>
      <w:r>
        <w:rPr>
          <w:rFonts w:hint="eastAsia" w:hAnsi="仿宋_GB2312" w:cs="仿宋_GB2312"/>
          <w:sz w:val="32"/>
          <w:szCs w:val="32"/>
        </w:rPr>
        <w:t>44</w:t>
      </w:r>
      <w:r>
        <w:rPr>
          <w:rFonts w:hint="eastAsia" w:ascii="仿宋_GB2312" w:hAnsi="仿宋_GB2312" w:eastAsia="仿宋_GB2312" w:cs="仿宋_GB2312"/>
          <w:sz w:val="32"/>
          <w:szCs w:val="32"/>
        </w:rPr>
        <w:t>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r>
        <w:rPr>
          <w:rFonts w:hint="eastAsia" w:eastAsia="仿宋_GB2312"/>
          <w:sz w:val="32"/>
          <w:szCs w:val="32"/>
        </w:rPr>
        <w:t>。</w:t>
      </w:r>
    </w:p>
    <w:p w14:paraId="7DF9B542">
      <w:pPr>
        <w:pStyle w:val="2"/>
        <w:spacing w:before="93"/>
        <w:ind w:firstLine="640" w:firstLineChars="200"/>
      </w:pPr>
      <w:r>
        <w:rPr>
          <w:rFonts w:hint="eastAsia" w:hAnsi="仿宋_GB2312" w:cs="仿宋_GB2312"/>
          <w:sz w:val="32"/>
          <w:szCs w:val="32"/>
        </w:rPr>
        <w:t>（4）2021村社干部报酬及绩效项目绩效目标完成情况综述。项目全年预算数170.05万元，执行数为170.05万元，完成预算的100</w:t>
      </w:r>
      <w:r>
        <w:rPr>
          <w:rFonts w:hAnsi="仿宋_GB2312" w:cs="仿宋_GB2312"/>
          <w:sz w:val="32"/>
          <w:szCs w:val="32"/>
        </w:rPr>
        <w:t>%</w:t>
      </w:r>
      <w:r>
        <w:rPr>
          <w:rFonts w:hint="eastAsia" w:hAnsi="仿宋_GB2312" w:cs="仿宋_GB2312"/>
          <w:sz w:val="32"/>
          <w:szCs w:val="32"/>
        </w:rPr>
        <w:t>。</w:t>
      </w:r>
      <w:r>
        <w:rPr>
          <w:rFonts w:hint="eastAsia"/>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3BDA1A09">
      <w:pPr>
        <w:pStyle w:val="2"/>
        <w:spacing w:before="93"/>
        <w:ind w:firstLine="640" w:firstLineChars="200"/>
      </w:pPr>
      <w:r>
        <w:rPr>
          <w:rFonts w:hint="eastAsia" w:hAnsi="仿宋_GB2312" w:cs="仿宋_GB2312"/>
          <w:sz w:val="32"/>
          <w:szCs w:val="32"/>
        </w:rPr>
        <w:t>（5）2021年五保户生活费、丧葬费以及御寒费项目绩效目标完成情况综述。项目全年预算数70.46万元，执行数为70.46万元，完成预算的100</w:t>
      </w:r>
      <w:r>
        <w:rPr>
          <w:rFonts w:hAnsi="仿宋_GB2312" w:cs="仿宋_GB2312"/>
          <w:sz w:val="32"/>
          <w:szCs w:val="32"/>
        </w:rPr>
        <w:t>%</w:t>
      </w:r>
      <w:r>
        <w:rPr>
          <w:rFonts w:hint="eastAsia" w:hAnsi="仿宋_GB2312" w:cs="仿宋_GB2312"/>
          <w:sz w:val="32"/>
          <w:szCs w:val="32"/>
        </w:rPr>
        <w:t>。</w:t>
      </w:r>
      <w:r>
        <w:rPr>
          <w:rFonts w:hint="eastAsia"/>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37A55A7F">
      <w:pPr>
        <w:numPr>
          <w:ilvl w:val="0"/>
          <w:numId w:val="3"/>
        </w:numPr>
        <w:spacing w:line="600" w:lineRule="exact"/>
        <w:ind w:firstLine="660" w:firstLineChars="150"/>
        <w:jc w:val="center"/>
        <w:outlineLvl w:val="0"/>
        <w:rPr>
          <w:rStyle w:val="25"/>
          <w:rFonts w:ascii="黑体" w:hAnsi="黑体" w:eastAsia="黑体"/>
          <w:b w:val="0"/>
        </w:rPr>
      </w:pPr>
      <w:bookmarkStart w:id="59" w:name="_Toc15396613"/>
      <w:bookmarkStart w:id="60" w:name="_Toc15377225"/>
      <w:r>
        <w:rPr>
          <w:rFonts w:hint="eastAsia" w:ascii="黑体" w:hAnsi="黑体" w:eastAsia="黑体"/>
          <w:sz w:val="44"/>
          <w:szCs w:val="44"/>
        </w:rPr>
        <w:t>名</w:t>
      </w:r>
      <w:r>
        <w:rPr>
          <w:rStyle w:val="25"/>
          <w:rFonts w:hint="eastAsia" w:ascii="黑体" w:hAnsi="黑体" w:eastAsia="黑体"/>
          <w:b w:val="0"/>
        </w:rPr>
        <w:t>词解释</w:t>
      </w:r>
      <w:bookmarkEnd w:id="59"/>
      <w:bookmarkEnd w:id="60"/>
    </w:p>
    <w:p w14:paraId="78548FE0">
      <w:pPr>
        <w:spacing w:line="600" w:lineRule="exact"/>
        <w:jc w:val="left"/>
        <w:rPr>
          <w:rFonts w:ascii="宋体"/>
          <w:b/>
          <w:sz w:val="44"/>
          <w:szCs w:val="44"/>
        </w:rPr>
      </w:pPr>
    </w:p>
    <w:p w14:paraId="64938611">
      <w:pPr>
        <w:spacing w:line="579" w:lineRule="exact"/>
        <w:ind w:firstLine="640"/>
        <w:rPr>
          <w:rFonts w:eastAsia="仿宋_GB2312"/>
          <w:sz w:val="32"/>
          <w:szCs w:val="32"/>
        </w:rPr>
      </w:pPr>
      <w:bookmarkStart w:id="61" w:name="_Toc15377226"/>
      <w:r>
        <w:rPr>
          <w:rFonts w:hint="eastAsia" w:eastAsia="仿宋_GB2312"/>
          <w:sz w:val="32"/>
          <w:szCs w:val="32"/>
        </w:rPr>
        <w:t>1.一般公共预算拨款收入：指同级财政当年拨付的资金。</w:t>
      </w:r>
    </w:p>
    <w:p w14:paraId="55DB5896">
      <w:pPr>
        <w:pStyle w:val="23"/>
        <w:spacing w:line="560" w:lineRule="exact"/>
        <w:ind w:firstLine="640" w:firstLineChars="200"/>
        <w:rPr>
          <w:rFonts w:eastAsia="仿宋_GB2312" w:asciiTheme="minorHAnsi" w:hAnsiTheme="minorHAnsi" w:cstheme="minorBidi"/>
          <w:color w:val="auto"/>
          <w:kern w:val="2"/>
          <w:sz w:val="32"/>
          <w:szCs w:val="32"/>
        </w:rPr>
      </w:pPr>
      <w:r>
        <w:rPr>
          <w:rFonts w:hint="eastAsia" w:eastAsia="仿宋_GB2312" w:asciiTheme="minorHAnsi" w:hAnsiTheme="minorHAnsi" w:cstheme="minorBidi"/>
          <w:color w:val="auto"/>
          <w:kern w:val="2"/>
          <w:sz w:val="32"/>
          <w:szCs w:val="32"/>
        </w:rPr>
        <w:t xml:space="preserve">2.上年结转：指以前年度尚未完成、结转到本年按有关规定继续使用的资金。 </w:t>
      </w:r>
    </w:p>
    <w:p w14:paraId="3444FA5E">
      <w:pPr>
        <w:spacing w:line="579" w:lineRule="exact"/>
        <w:ind w:firstLine="640" w:firstLineChars="200"/>
        <w:rPr>
          <w:rFonts w:eastAsia="仿宋_GB2312"/>
          <w:sz w:val="32"/>
          <w:szCs w:val="32"/>
        </w:rPr>
      </w:pPr>
      <w:r>
        <w:rPr>
          <w:rFonts w:hint="eastAsia" w:eastAsia="仿宋_GB2312"/>
          <w:sz w:val="32"/>
          <w:szCs w:val="32"/>
        </w:rPr>
        <w:t>3.一般公共服务支出</w:t>
      </w:r>
    </w:p>
    <w:p w14:paraId="755EA29E">
      <w:pPr>
        <w:spacing w:line="579" w:lineRule="exact"/>
        <w:ind w:firstLine="640" w:firstLineChars="200"/>
        <w:rPr>
          <w:rFonts w:eastAsia="仿宋_GB2312"/>
          <w:sz w:val="32"/>
          <w:szCs w:val="32"/>
        </w:rPr>
      </w:pPr>
      <w:r>
        <w:rPr>
          <w:rFonts w:hint="eastAsia" w:eastAsia="仿宋_GB2312"/>
          <w:sz w:val="32"/>
          <w:szCs w:val="32"/>
        </w:rPr>
        <w:t>人大事务</w:t>
      </w:r>
    </w:p>
    <w:p w14:paraId="274A234C">
      <w:pPr>
        <w:ind w:firstLine="640" w:firstLineChars="200"/>
        <w:rPr>
          <w:rFonts w:eastAsia="仿宋_GB2312"/>
          <w:sz w:val="32"/>
          <w:szCs w:val="32"/>
        </w:rPr>
      </w:pPr>
      <w:r>
        <w:rPr>
          <w:rFonts w:hint="eastAsia" w:eastAsia="仿宋_GB2312"/>
          <w:sz w:val="32"/>
          <w:szCs w:val="32"/>
        </w:rPr>
        <w:t>2010101行政运行：反映行政单位（包括实行公务员管理的事业单位）的基本支出。</w:t>
      </w:r>
    </w:p>
    <w:p w14:paraId="2DE35B61">
      <w:pPr>
        <w:ind w:firstLine="640" w:firstLineChars="200"/>
        <w:rPr>
          <w:rFonts w:eastAsia="仿宋_GB2312"/>
          <w:sz w:val="32"/>
          <w:szCs w:val="32"/>
        </w:rPr>
      </w:pPr>
      <w:r>
        <w:rPr>
          <w:rFonts w:hint="eastAsia" w:eastAsia="仿宋_GB2312"/>
          <w:sz w:val="32"/>
          <w:szCs w:val="32"/>
        </w:rPr>
        <w:t>2010104人大会议：反映各级人大召开人民代表大会等专门会议的支出。</w:t>
      </w:r>
    </w:p>
    <w:p w14:paraId="2CD71150">
      <w:pPr>
        <w:ind w:firstLine="640" w:firstLineChars="200"/>
        <w:rPr>
          <w:rFonts w:eastAsia="仿宋_GB2312"/>
          <w:sz w:val="32"/>
          <w:szCs w:val="32"/>
        </w:rPr>
      </w:pPr>
      <w:r>
        <w:rPr>
          <w:rFonts w:hint="eastAsia" w:eastAsia="仿宋_GB2312"/>
          <w:sz w:val="32"/>
          <w:szCs w:val="32"/>
        </w:rPr>
        <w:t>政府办公厅（室）及相关机构事务</w:t>
      </w:r>
    </w:p>
    <w:p w14:paraId="02DE6301">
      <w:pPr>
        <w:ind w:firstLine="640" w:firstLineChars="200"/>
        <w:rPr>
          <w:rFonts w:eastAsia="仿宋_GB2312"/>
          <w:sz w:val="32"/>
          <w:szCs w:val="32"/>
        </w:rPr>
      </w:pPr>
      <w:r>
        <w:rPr>
          <w:rFonts w:hint="eastAsia" w:eastAsia="仿宋_GB2312"/>
          <w:sz w:val="32"/>
          <w:szCs w:val="32"/>
        </w:rPr>
        <w:t>2010301行政运行：反映行政单位（包括实行公务员管理的事业单位）的基本支出。</w:t>
      </w:r>
    </w:p>
    <w:p w14:paraId="750A0D94">
      <w:pPr>
        <w:ind w:firstLine="640" w:firstLineChars="200"/>
        <w:rPr>
          <w:rFonts w:eastAsia="仿宋_GB2312"/>
          <w:sz w:val="32"/>
          <w:szCs w:val="32"/>
        </w:rPr>
      </w:pPr>
      <w:r>
        <w:rPr>
          <w:rFonts w:hint="eastAsia" w:eastAsia="仿宋_GB2312"/>
          <w:sz w:val="32"/>
          <w:szCs w:val="32"/>
        </w:rPr>
        <w:t>2010302一般行政管理事务：反映行政单位（包括实行公务员管理的事业单位）未单独设置项级科目的其他项目支出。</w:t>
      </w:r>
    </w:p>
    <w:p w14:paraId="6C541CE1">
      <w:pPr>
        <w:ind w:firstLine="640" w:firstLineChars="200"/>
        <w:rPr>
          <w:rFonts w:eastAsia="仿宋_GB2312"/>
          <w:sz w:val="32"/>
          <w:szCs w:val="32"/>
        </w:rPr>
      </w:pPr>
      <w:r>
        <w:rPr>
          <w:rFonts w:hint="eastAsia" w:eastAsia="仿宋_GB2312"/>
          <w:sz w:val="32"/>
          <w:szCs w:val="32"/>
        </w:rPr>
        <w:t>财政事务</w:t>
      </w:r>
    </w:p>
    <w:p w14:paraId="1C1532B8">
      <w:pPr>
        <w:ind w:firstLine="640" w:firstLineChars="200"/>
        <w:rPr>
          <w:rFonts w:eastAsia="仿宋_GB2312"/>
          <w:sz w:val="32"/>
          <w:szCs w:val="32"/>
        </w:rPr>
      </w:pPr>
      <w:r>
        <w:rPr>
          <w:rFonts w:hint="eastAsia" w:eastAsia="仿宋_GB2312"/>
          <w:sz w:val="32"/>
          <w:szCs w:val="32"/>
        </w:rPr>
        <w:t>2010601行政运行：反映行政单位（包括实行公务员管理的事业单位）的基本支出。</w:t>
      </w:r>
    </w:p>
    <w:p w14:paraId="027B0DFB">
      <w:pPr>
        <w:ind w:firstLine="640" w:firstLineChars="200"/>
        <w:rPr>
          <w:rFonts w:eastAsia="仿宋_GB2312"/>
          <w:sz w:val="32"/>
          <w:szCs w:val="32"/>
        </w:rPr>
      </w:pPr>
      <w:r>
        <w:rPr>
          <w:rFonts w:hint="eastAsia" w:eastAsia="仿宋_GB2312"/>
          <w:sz w:val="32"/>
          <w:szCs w:val="32"/>
        </w:rPr>
        <w:t>2010602一般行政管理事务：反映行政单位（包括实行公务员管理的事业单位）未单独设置项级科目的其他项目支出。</w:t>
      </w:r>
    </w:p>
    <w:p w14:paraId="685105B4">
      <w:pPr>
        <w:ind w:firstLine="640" w:firstLineChars="200"/>
        <w:rPr>
          <w:rFonts w:eastAsia="仿宋_GB2312"/>
          <w:sz w:val="32"/>
          <w:szCs w:val="32"/>
        </w:rPr>
      </w:pPr>
      <w:r>
        <w:rPr>
          <w:rFonts w:hint="eastAsia" w:eastAsia="仿宋_GB2312"/>
          <w:sz w:val="32"/>
          <w:szCs w:val="32"/>
        </w:rPr>
        <w:t>党委办公厅（室）及相关机构事务</w:t>
      </w:r>
    </w:p>
    <w:p w14:paraId="54F24675">
      <w:pPr>
        <w:ind w:firstLine="640" w:firstLineChars="200"/>
        <w:rPr>
          <w:rFonts w:eastAsia="仿宋_GB2312"/>
          <w:sz w:val="32"/>
          <w:szCs w:val="32"/>
        </w:rPr>
      </w:pPr>
      <w:r>
        <w:rPr>
          <w:rFonts w:hint="eastAsia" w:eastAsia="仿宋_GB2312"/>
          <w:sz w:val="32"/>
          <w:szCs w:val="32"/>
        </w:rPr>
        <w:t>2013101行政运行：反映行政单位（包括实行公务员管理的事业单位）的基本支出。</w:t>
      </w:r>
    </w:p>
    <w:p w14:paraId="4CAA03E2">
      <w:pPr>
        <w:ind w:firstLine="640" w:firstLineChars="200"/>
        <w:rPr>
          <w:rFonts w:eastAsia="仿宋_GB2312"/>
          <w:sz w:val="32"/>
          <w:szCs w:val="32"/>
        </w:rPr>
      </w:pPr>
      <w:r>
        <w:rPr>
          <w:rFonts w:hint="eastAsia" w:eastAsia="仿宋_GB2312"/>
          <w:sz w:val="32"/>
          <w:szCs w:val="32"/>
        </w:rPr>
        <w:t>4.文化旅游体育支出</w:t>
      </w:r>
    </w:p>
    <w:p w14:paraId="7F56BF57">
      <w:pPr>
        <w:ind w:firstLine="640" w:firstLineChars="200"/>
        <w:rPr>
          <w:rFonts w:eastAsia="仿宋_GB2312"/>
          <w:sz w:val="32"/>
          <w:szCs w:val="32"/>
        </w:rPr>
      </w:pPr>
      <w:r>
        <w:rPr>
          <w:rFonts w:hint="eastAsia" w:eastAsia="仿宋_GB2312"/>
          <w:sz w:val="32"/>
          <w:szCs w:val="32"/>
        </w:rPr>
        <w:t>文化和旅游</w:t>
      </w:r>
    </w:p>
    <w:p w14:paraId="10A6B040">
      <w:pPr>
        <w:ind w:firstLine="640" w:firstLineChars="200"/>
        <w:rPr>
          <w:rFonts w:eastAsia="仿宋_GB2312"/>
          <w:sz w:val="32"/>
          <w:szCs w:val="32"/>
        </w:rPr>
      </w:pPr>
      <w:r>
        <w:rPr>
          <w:rFonts w:hint="eastAsia" w:eastAsia="仿宋_GB2312"/>
          <w:sz w:val="32"/>
          <w:szCs w:val="32"/>
        </w:rPr>
        <w:t>2070109群众文化：反映群众文化方面的支出，包括基层文化馆（站）、群众艺术馆支出等。</w:t>
      </w:r>
    </w:p>
    <w:p w14:paraId="020FDC36">
      <w:pPr>
        <w:ind w:firstLine="640" w:firstLineChars="200"/>
        <w:rPr>
          <w:rFonts w:eastAsia="仿宋_GB2312"/>
          <w:sz w:val="32"/>
          <w:szCs w:val="32"/>
        </w:rPr>
      </w:pPr>
      <w:r>
        <w:rPr>
          <w:rFonts w:hint="eastAsia" w:eastAsia="仿宋_GB2312"/>
          <w:sz w:val="32"/>
          <w:szCs w:val="32"/>
        </w:rPr>
        <w:t>5.社会保障和就业支出</w:t>
      </w:r>
    </w:p>
    <w:p w14:paraId="118D8B76">
      <w:pPr>
        <w:ind w:firstLine="640" w:firstLineChars="200"/>
        <w:rPr>
          <w:rFonts w:eastAsia="仿宋_GB2312"/>
          <w:sz w:val="32"/>
          <w:szCs w:val="32"/>
        </w:rPr>
      </w:pPr>
      <w:r>
        <w:rPr>
          <w:rFonts w:hint="eastAsia" w:eastAsia="仿宋_GB2312"/>
          <w:sz w:val="32"/>
          <w:szCs w:val="32"/>
        </w:rPr>
        <w:t>人力资源和社会保障管理事务</w:t>
      </w:r>
    </w:p>
    <w:p w14:paraId="54D60D33">
      <w:pPr>
        <w:ind w:firstLine="640" w:firstLineChars="200"/>
        <w:rPr>
          <w:rFonts w:eastAsia="仿宋_GB2312"/>
          <w:sz w:val="32"/>
          <w:szCs w:val="32"/>
        </w:rPr>
      </w:pPr>
      <w:r>
        <w:rPr>
          <w:rFonts w:hint="eastAsia" w:eastAsia="仿宋_GB2312"/>
          <w:sz w:val="32"/>
          <w:szCs w:val="32"/>
        </w:rPr>
        <w:t>2080109社会保险经办机构：反映社会保险经办机构开展业务工作的支出。</w:t>
      </w:r>
    </w:p>
    <w:p w14:paraId="028EA0BE">
      <w:pPr>
        <w:ind w:firstLine="640" w:firstLineChars="200"/>
        <w:rPr>
          <w:rFonts w:eastAsia="仿宋_GB2312"/>
          <w:sz w:val="32"/>
          <w:szCs w:val="32"/>
        </w:rPr>
      </w:pPr>
      <w:r>
        <w:rPr>
          <w:rFonts w:hint="eastAsia" w:eastAsia="仿宋_GB2312"/>
          <w:sz w:val="32"/>
          <w:szCs w:val="32"/>
        </w:rPr>
        <w:t>民政管理事务</w:t>
      </w:r>
    </w:p>
    <w:p w14:paraId="6E871087">
      <w:pPr>
        <w:ind w:firstLine="640" w:firstLineChars="200"/>
        <w:rPr>
          <w:rFonts w:eastAsia="仿宋_GB2312"/>
          <w:sz w:val="32"/>
          <w:szCs w:val="32"/>
        </w:rPr>
      </w:pPr>
      <w:r>
        <w:rPr>
          <w:rFonts w:hint="eastAsia" w:eastAsia="仿宋_GB2312"/>
          <w:sz w:val="32"/>
          <w:szCs w:val="32"/>
        </w:rPr>
        <w:t>2080299 其他民政管理事务支出：反映民政部门接待来访、法制建设、政策宣传方面的支出，以及开展优抚安置、救灾减灾、社会救助、社会福利、婚姻登记、社会事务、信息化建设等专项业务的支出。</w:t>
      </w:r>
    </w:p>
    <w:p w14:paraId="3E88D025">
      <w:pPr>
        <w:ind w:firstLine="640" w:firstLineChars="200"/>
        <w:rPr>
          <w:rFonts w:eastAsia="仿宋_GB2312"/>
          <w:sz w:val="32"/>
          <w:szCs w:val="32"/>
        </w:rPr>
      </w:pPr>
      <w:r>
        <w:rPr>
          <w:rFonts w:hint="eastAsia" w:eastAsia="仿宋_GB2312"/>
          <w:sz w:val="32"/>
          <w:szCs w:val="32"/>
        </w:rPr>
        <w:t>行政事业单位离退休</w:t>
      </w:r>
    </w:p>
    <w:p w14:paraId="1379C0D6">
      <w:pPr>
        <w:ind w:firstLine="640" w:firstLineChars="200"/>
        <w:rPr>
          <w:rFonts w:eastAsia="仿宋_GB2312"/>
          <w:sz w:val="32"/>
          <w:szCs w:val="32"/>
        </w:rPr>
      </w:pPr>
      <w:r>
        <w:rPr>
          <w:rFonts w:hint="eastAsia" w:eastAsia="仿宋_GB2312"/>
          <w:sz w:val="32"/>
          <w:szCs w:val="32"/>
        </w:rPr>
        <w:t>2080501未归口管理的行政单位离退休：反映未实行归口管理的行政单位（包括实行公务员管理的事业单位）开支的离退休支出。</w:t>
      </w:r>
    </w:p>
    <w:p w14:paraId="2CB5D678">
      <w:pPr>
        <w:ind w:firstLine="640" w:firstLineChars="200"/>
        <w:rPr>
          <w:rFonts w:eastAsia="仿宋_GB2312"/>
          <w:sz w:val="32"/>
          <w:szCs w:val="32"/>
        </w:rPr>
      </w:pPr>
      <w:r>
        <w:rPr>
          <w:rFonts w:hint="eastAsia" w:eastAsia="仿宋_GB2312"/>
          <w:sz w:val="32"/>
          <w:szCs w:val="32"/>
        </w:rPr>
        <w:t>2080502未归口管理的事业单位离退休：反映未实行归口管理的事业单位开支的离退休支出。</w:t>
      </w:r>
    </w:p>
    <w:p w14:paraId="0B03DCC9">
      <w:pPr>
        <w:ind w:firstLine="640" w:firstLineChars="200"/>
        <w:rPr>
          <w:rFonts w:eastAsia="仿宋_GB2312"/>
          <w:sz w:val="32"/>
          <w:szCs w:val="32"/>
        </w:rPr>
      </w:pPr>
      <w:r>
        <w:rPr>
          <w:rFonts w:hint="eastAsia" w:eastAsia="仿宋_GB2312"/>
          <w:sz w:val="32"/>
          <w:szCs w:val="32"/>
        </w:rPr>
        <w:t>2080505机关事业单位基本养老保险缴费支出：反映机关事业单位实施养老保险制度由单位缴纳的基本养老保险费支出。</w:t>
      </w:r>
    </w:p>
    <w:p w14:paraId="7112485A">
      <w:pPr>
        <w:ind w:firstLine="640" w:firstLineChars="200"/>
        <w:rPr>
          <w:rFonts w:eastAsia="仿宋_GB2312"/>
          <w:sz w:val="32"/>
          <w:szCs w:val="32"/>
        </w:rPr>
      </w:pPr>
      <w:r>
        <w:rPr>
          <w:rFonts w:hint="eastAsia" w:eastAsia="仿宋_GB2312"/>
          <w:sz w:val="32"/>
          <w:szCs w:val="32"/>
        </w:rPr>
        <w:t>特困人员救助供养</w:t>
      </w:r>
    </w:p>
    <w:p w14:paraId="62F8D3C1">
      <w:pPr>
        <w:ind w:firstLine="640" w:firstLineChars="200"/>
        <w:rPr>
          <w:rFonts w:eastAsia="仿宋_GB2312"/>
          <w:sz w:val="32"/>
          <w:szCs w:val="32"/>
        </w:rPr>
      </w:pPr>
      <w:r>
        <w:rPr>
          <w:rFonts w:hint="eastAsia" w:eastAsia="仿宋_GB2312"/>
          <w:sz w:val="32"/>
          <w:szCs w:val="32"/>
        </w:rPr>
        <w:t>2082102农村特困人员救助供养支出：反映农村特困人员救助供养支出。</w:t>
      </w:r>
    </w:p>
    <w:p w14:paraId="7B210C22">
      <w:pPr>
        <w:ind w:firstLine="640" w:firstLineChars="200"/>
        <w:rPr>
          <w:rFonts w:eastAsia="仿宋_GB2312"/>
          <w:sz w:val="32"/>
          <w:szCs w:val="32"/>
        </w:rPr>
      </w:pPr>
      <w:r>
        <w:rPr>
          <w:rFonts w:hint="eastAsia" w:eastAsia="仿宋_GB2312"/>
          <w:sz w:val="32"/>
          <w:szCs w:val="32"/>
        </w:rPr>
        <w:t>6. 城乡社区支出</w:t>
      </w:r>
    </w:p>
    <w:p w14:paraId="584FA279">
      <w:pPr>
        <w:ind w:firstLine="640" w:firstLineChars="200"/>
        <w:rPr>
          <w:rFonts w:eastAsia="仿宋_GB2312"/>
          <w:sz w:val="32"/>
          <w:szCs w:val="32"/>
        </w:rPr>
      </w:pPr>
      <w:r>
        <w:rPr>
          <w:rFonts w:hint="eastAsia" w:eastAsia="仿宋_GB2312"/>
          <w:sz w:val="32"/>
          <w:szCs w:val="32"/>
        </w:rPr>
        <w:t>城乡社区环境卫生</w:t>
      </w:r>
    </w:p>
    <w:p w14:paraId="7B96FB1E">
      <w:pPr>
        <w:ind w:firstLine="640" w:firstLineChars="200"/>
        <w:rPr>
          <w:rFonts w:eastAsia="仿宋_GB2312"/>
          <w:sz w:val="32"/>
          <w:szCs w:val="32"/>
        </w:rPr>
      </w:pPr>
      <w:r>
        <w:rPr>
          <w:rFonts w:hint="eastAsia" w:eastAsia="仿宋_GB2312"/>
          <w:sz w:val="32"/>
          <w:szCs w:val="32"/>
        </w:rPr>
        <w:t>2120501  城乡社区环境卫生：反映城乡社区道路清扫、垃圾清运与处理、公厕建设与维护、园林绿化等方面的支出。</w:t>
      </w:r>
    </w:p>
    <w:p w14:paraId="10394490">
      <w:pPr>
        <w:ind w:firstLine="640" w:firstLineChars="200"/>
        <w:rPr>
          <w:rFonts w:eastAsia="仿宋_GB2312"/>
          <w:sz w:val="32"/>
          <w:szCs w:val="32"/>
        </w:rPr>
      </w:pPr>
      <w:r>
        <w:rPr>
          <w:rFonts w:hint="eastAsia" w:eastAsia="仿宋_GB2312"/>
          <w:sz w:val="32"/>
          <w:szCs w:val="32"/>
        </w:rPr>
        <w:t>7. 卫生健康支出</w:t>
      </w:r>
    </w:p>
    <w:p w14:paraId="69BEBC5F">
      <w:pPr>
        <w:ind w:firstLine="640" w:firstLineChars="200"/>
        <w:rPr>
          <w:rFonts w:eastAsia="仿宋_GB2312"/>
          <w:sz w:val="32"/>
          <w:szCs w:val="32"/>
        </w:rPr>
      </w:pPr>
      <w:r>
        <w:rPr>
          <w:rFonts w:hint="eastAsia" w:eastAsia="仿宋_GB2312"/>
          <w:sz w:val="32"/>
          <w:szCs w:val="32"/>
        </w:rPr>
        <w:t>行政单位医疗</w:t>
      </w:r>
    </w:p>
    <w:p w14:paraId="6F5B8A18">
      <w:pPr>
        <w:ind w:firstLine="640" w:firstLineChars="200"/>
        <w:rPr>
          <w:rFonts w:eastAsia="仿宋_GB2312"/>
          <w:sz w:val="32"/>
          <w:szCs w:val="32"/>
        </w:rPr>
      </w:pPr>
      <w:r>
        <w:rPr>
          <w:rFonts w:hint="eastAsia" w:eastAsia="仿宋_GB2312"/>
          <w:sz w:val="32"/>
          <w:szCs w:val="32"/>
        </w:rPr>
        <w:t>2101101  行政单位医疗：反映财政部门安排的行政单位（包括实行公务员管理的事业单位）基本医疗保险缴费支出。</w:t>
      </w:r>
    </w:p>
    <w:p w14:paraId="40434D2B">
      <w:pPr>
        <w:ind w:firstLine="640" w:firstLineChars="200"/>
        <w:rPr>
          <w:rFonts w:eastAsia="仿宋_GB2312"/>
          <w:sz w:val="32"/>
          <w:szCs w:val="32"/>
        </w:rPr>
      </w:pPr>
      <w:r>
        <w:rPr>
          <w:rFonts w:hint="eastAsia" w:eastAsia="仿宋_GB2312"/>
          <w:sz w:val="32"/>
          <w:szCs w:val="32"/>
        </w:rPr>
        <w:t>2101102  事业单位医疗：反映财政部门安排的事业单位基本医疗保险缴费支出。</w:t>
      </w:r>
    </w:p>
    <w:p w14:paraId="22D5728E">
      <w:pPr>
        <w:ind w:firstLine="640" w:firstLineChars="200"/>
        <w:rPr>
          <w:rFonts w:eastAsia="仿宋_GB2312"/>
          <w:sz w:val="32"/>
          <w:szCs w:val="32"/>
        </w:rPr>
      </w:pPr>
      <w:r>
        <w:rPr>
          <w:rFonts w:hint="eastAsia" w:eastAsia="仿宋_GB2312"/>
          <w:sz w:val="32"/>
          <w:szCs w:val="32"/>
        </w:rPr>
        <w:t>2101103  公务员医疗补助：反映财政部门安排的公务员医疗补助经费。</w:t>
      </w:r>
    </w:p>
    <w:p w14:paraId="6E95F5B2">
      <w:pPr>
        <w:ind w:firstLine="640" w:firstLineChars="200"/>
        <w:rPr>
          <w:rFonts w:eastAsia="仿宋_GB2312"/>
          <w:sz w:val="32"/>
          <w:szCs w:val="32"/>
        </w:rPr>
      </w:pPr>
      <w:r>
        <w:rPr>
          <w:rFonts w:hint="eastAsia" w:eastAsia="仿宋_GB2312"/>
          <w:sz w:val="32"/>
          <w:szCs w:val="32"/>
        </w:rPr>
        <w:t>8.农林水支出</w:t>
      </w:r>
    </w:p>
    <w:p w14:paraId="328EDF20">
      <w:pPr>
        <w:ind w:firstLine="640" w:firstLineChars="200"/>
        <w:rPr>
          <w:rFonts w:eastAsia="仿宋_GB2312"/>
          <w:sz w:val="32"/>
          <w:szCs w:val="32"/>
        </w:rPr>
      </w:pPr>
      <w:r>
        <w:rPr>
          <w:rFonts w:hint="eastAsia" w:eastAsia="仿宋_GB2312"/>
          <w:sz w:val="32"/>
          <w:szCs w:val="32"/>
        </w:rPr>
        <w:t>农业</w:t>
      </w:r>
    </w:p>
    <w:p w14:paraId="732700DF">
      <w:pPr>
        <w:ind w:firstLine="640" w:firstLineChars="200"/>
        <w:rPr>
          <w:rFonts w:eastAsia="仿宋_GB2312"/>
          <w:sz w:val="32"/>
          <w:szCs w:val="32"/>
        </w:rPr>
      </w:pPr>
      <w:r>
        <w:rPr>
          <w:rFonts w:hint="eastAsia" w:eastAsia="仿宋_GB2312"/>
          <w:sz w:val="32"/>
          <w:szCs w:val="32"/>
        </w:rPr>
        <w:t>2130104事业运行：反映用于农业事业单位基本支出，事业单位设施、系统运行与资产维护等方面的支出。</w:t>
      </w:r>
    </w:p>
    <w:p w14:paraId="1AB95902">
      <w:pPr>
        <w:ind w:firstLine="640" w:firstLineChars="200"/>
        <w:rPr>
          <w:rFonts w:eastAsia="仿宋_GB2312"/>
          <w:sz w:val="32"/>
          <w:szCs w:val="32"/>
        </w:rPr>
      </w:pPr>
      <w:r>
        <w:rPr>
          <w:rFonts w:hint="eastAsia" w:eastAsia="仿宋_GB2312"/>
          <w:sz w:val="32"/>
          <w:szCs w:val="32"/>
        </w:rPr>
        <w:t>2130152 对高校毕业生到基层任职补助：反映按规定对高校毕业生到基层任职的补助支出。</w:t>
      </w:r>
    </w:p>
    <w:p w14:paraId="2FC9A7F5">
      <w:pPr>
        <w:ind w:firstLine="640" w:firstLineChars="200"/>
        <w:rPr>
          <w:rFonts w:eastAsia="仿宋_GB2312"/>
          <w:sz w:val="32"/>
          <w:szCs w:val="32"/>
        </w:rPr>
      </w:pPr>
      <w:r>
        <w:rPr>
          <w:rFonts w:hint="eastAsia" w:eastAsia="仿宋_GB2312"/>
          <w:sz w:val="32"/>
          <w:szCs w:val="32"/>
        </w:rPr>
        <w:t>林业和草原</w:t>
      </w:r>
    </w:p>
    <w:p w14:paraId="353B2D33">
      <w:pPr>
        <w:ind w:firstLine="640" w:firstLineChars="200"/>
        <w:rPr>
          <w:rFonts w:eastAsia="仿宋_GB2312"/>
          <w:sz w:val="32"/>
          <w:szCs w:val="32"/>
        </w:rPr>
      </w:pPr>
      <w:r>
        <w:rPr>
          <w:rFonts w:hint="eastAsia" w:eastAsia="仿宋_GB2312"/>
          <w:sz w:val="32"/>
          <w:szCs w:val="32"/>
        </w:rPr>
        <w:t>2130204 事业机构：反映事业单位的基本支出，不包括行政单位（含实行公务员管理的事业单位）后勤服务中心等附属事业单位的支出。</w:t>
      </w:r>
    </w:p>
    <w:p w14:paraId="6720CF74">
      <w:pPr>
        <w:ind w:firstLine="640" w:firstLineChars="200"/>
        <w:rPr>
          <w:rFonts w:eastAsia="仿宋_GB2312"/>
          <w:sz w:val="32"/>
          <w:szCs w:val="32"/>
        </w:rPr>
      </w:pPr>
      <w:r>
        <w:rPr>
          <w:rFonts w:hint="eastAsia" w:eastAsia="仿宋_GB2312"/>
          <w:sz w:val="32"/>
          <w:szCs w:val="32"/>
        </w:rPr>
        <w:t>农村综合改革</w:t>
      </w:r>
    </w:p>
    <w:p w14:paraId="0D80A08D">
      <w:pPr>
        <w:ind w:firstLine="640" w:firstLineChars="200"/>
        <w:rPr>
          <w:rFonts w:eastAsia="仿宋_GB2312"/>
          <w:sz w:val="32"/>
          <w:szCs w:val="32"/>
        </w:rPr>
      </w:pPr>
      <w:r>
        <w:rPr>
          <w:rFonts w:hint="eastAsia" w:eastAsia="仿宋_GB2312"/>
          <w:sz w:val="32"/>
          <w:szCs w:val="32"/>
        </w:rPr>
        <w:t>2130701 对村级一事一议的补助：反映农村税费改革后对村级公益事业建设一事一议的补助支出。</w:t>
      </w:r>
    </w:p>
    <w:p w14:paraId="4D4498A1">
      <w:pPr>
        <w:ind w:firstLine="640" w:firstLineChars="200"/>
        <w:rPr>
          <w:rFonts w:eastAsia="仿宋_GB2312"/>
          <w:sz w:val="32"/>
          <w:szCs w:val="32"/>
        </w:rPr>
      </w:pPr>
      <w:r>
        <w:rPr>
          <w:rFonts w:hint="eastAsia" w:eastAsia="仿宋_GB2312"/>
          <w:sz w:val="32"/>
          <w:szCs w:val="32"/>
        </w:rPr>
        <w:t>2130705对村民委员会和村党支部的补助：反映各级财政对村民委员会和村党支部的补助支出，以及支持建立县级基本财力保障机制安排的村级组织运转奖补资金。</w:t>
      </w:r>
    </w:p>
    <w:p w14:paraId="48F760BD">
      <w:pPr>
        <w:ind w:firstLine="640" w:firstLineChars="200"/>
        <w:rPr>
          <w:rFonts w:eastAsia="仿宋_GB2312"/>
          <w:sz w:val="32"/>
          <w:szCs w:val="32"/>
        </w:rPr>
      </w:pPr>
      <w:r>
        <w:rPr>
          <w:rFonts w:hint="eastAsia" w:eastAsia="仿宋_GB2312"/>
          <w:sz w:val="32"/>
          <w:szCs w:val="32"/>
        </w:rPr>
        <w:t>9.住房保障支出</w:t>
      </w:r>
    </w:p>
    <w:p w14:paraId="7F0443E5">
      <w:pPr>
        <w:ind w:firstLine="640" w:firstLineChars="200"/>
        <w:rPr>
          <w:rFonts w:eastAsia="仿宋_GB2312"/>
          <w:sz w:val="32"/>
          <w:szCs w:val="32"/>
        </w:rPr>
      </w:pPr>
      <w:r>
        <w:rPr>
          <w:rFonts w:hint="eastAsia" w:eastAsia="仿宋_GB2312"/>
          <w:sz w:val="32"/>
          <w:szCs w:val="32"/>
        </w:rPr>
        <w:t>住房改革支出</w:t>
      </w:r>
    </w:p>
    <w:p w14:paraId="4E33C50E">
      <w:pPr>
        <w:ind w:firstLine="640" w:firstLineChars="200"/>
        <w:rPr>
          <w:rFonts w:eastAsia="仿宋_GB2312"/>
          <w:sz w:val="32"/>
          <w:szCs w:val="32"/>
        </w:rPr>
      </w:pPr>
      <w:r>
        <w:rPr>
          <w:rFonts w:hint="eastAsia" w:eastAsia="仿宋_GB2312"/>
          <w:sz w:val="32"/>
          <w:szCs w:val="32"/>
        </w:rPr>
        <w:t>2210201住房公积金：反映行政事业单位按人力资源和社会保障部、财政部规定的基本工资和津贴补贴以及规定比例为职工缴纳的住房公积金。</w:t>
      </w:r>
    </w:p>
    <w:p w14:paraId="0DBF207E">
      <w:pPr>
        <w:spacing w:line="579" w:lineRule="exact"/>
        <w:ind w:firstLine="640" w:firstLineChars="200"/>
        <w:rPr>
          <w:rFonts w:eastAsia="仿宋_GB2312"/>
          <w:sz w:val="32"/>
          <w:szCs w:val="32"/>
        </w:rPr>
      </w:pPr>
      <w:r>
        <w:rPr>
          <w:rFonts w:hint="eastAsia" w:eastAsia="仿宋_GB2312"/>
          <w:sz w:val="32"/>
          <w:szCs w:val="32"/>
        </w:rPr>
        <w:t>10.基本支出：指为保证机构正常运转，完成日常工作任务而发生的人员支出和公用支出。</w:t>
      </w:r>
    </w:p>
    <w:p w14:paraId="41592338">
      <w:pPr>
        <w:spacing w:line="579" w:lineRule="exact"/>
        <w:ind w:firstLine="640"/>
        <w:rPr>
          <w:rFonts w:eastAsia="仿宋_GB2312"/>
          <w:sz w:val="32"/>
          <w:szCs w:val="32"/>
        </w:rPr>
      </w:pPr>
      <w:r>
        <w:rPr>
          <w:rFonts w:hint="eastAsia" w:eastAsia="仿宋_GB2312"/>
          <w:sz w:val="32"/>
          <w:szCs w:val="32"/>
        </w:rPr>
        <w:t>11.项目支出：指在基本支出之外为完成特定行政任务和事业发展目标所发生的支出。</w:t>
      </w:r>
    </w:p>
    <w:p w14:paraId="496E7BA8">
      <w:pPr>
        <w:spacing w:line="579" w:lineRule="exact"/>
        <w:ind w:firstLine="640"/>
        <w:rPr>
          <w:rFonts w:eastAsia="仿宋_GB2312"/>
          <w:sz w:val="32"/>
          <w:szCs w:val="32"/>
        </w:rPr>
      </w:pPr>
      <w:r>
        <w:rPr>
          <w:rFonts w:hint="eastAsia" w:eastAsia="仿宋_GB2312"/>
          <w:sz w:val="32"/>
          <w:szCs w:val="32"/>
        </w:rPr>
        <w:t>12.“三公”经费：纳入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83F7971">
      <w:pPr>
        <w:spacing w:line="579" w:lineRule="exact"/>
        <w:ind w:firstLine="640"/>
        <w:rPr>
          <w:rFonts w:eastAsia="仿宋_GB2312"/>
          <w:sz w:val="32"/>
          <w:szCs w:val="32"/>
        </w:rPr>
      </w:pPr>
      <w:r>
        <w:rPr>
          <w:rFonts w:hint="eastAsia" w:eastAsia="仿宋_GB2312"/>
          <w:sz w:val="32"/>
          <w:szCs w:val="32"/>
        </w:rPr>
        <w:t>13.业务运行费：为保障行政单位（包含参照公务员法管理的事业单位）运行用于购买货物和服务的各项资金。包括办公及办公费、水费、电费、印刷费、邮电费、差旅费、会议费等费用开支。</w:t>
      </w:r>
    </w:p>
    <w:p w14:paraId="10096326">
      <w:pPr>
        <w:spacing w:line="600" w:lineRule="exact"/>
        <w:jc w:val="center"/>
        <w:outlineLvl w:val="0"/>
        <w:rPr>
          <w:rStyle w:val="25"/>
          <w:rFonts w:ascii="黑体" w:hAnsi="黑体" w:eastAsia="黑体"/>
          <w:b w:val="0"/>
        </w:rPr>
      </w:pPr>
      <w:r>
        <w:rPr>
          <w:rFonts w:ascii="宋体"/>
          <w:b/>
          <w:sz w:val="44"/>
          <w:szCs w:val="44"/>
        </w:rPr>
        <w:br w:type="page"/>
      </w:r>
      <w:bookmarkStart w:id="62" w:name="_Toc15396614"/>
      <w:r>
        <w:rPr>
          <w:rFonts w:hint="eastAsia" w:ascii="黑体" w:hAnsi="黑体" w:eastAsia="黑体"/>
          <w:sz w:val="44"/>
          <w:szCs w:val="44"/>
        </w:rPr>
        <w:t>第</w:t>
      </w:r>
      <w:r>
        <w:rPr>
          <w:rStyle w:val="25"/>
          <w:rFonts w:hint="eastAsia" w:ascii="黑体" w:hAnsi="黑体" w:eastAsia="黑体"/>
          <w:b w:val="0"/>
        </w:rPr>
        <w:t>四部分 附件</w:t>
      </w:r>
      <w:bookmarkEnd w:id="62"/>
    </w:p>
    <w:p w14:paraId="695F12BB">
      <w:pPr>
        <w:spacing w:line="572" w:lineRule="exact"/>
        <w:jc w:val="left"/>
        <w:outlineLvl w:val="0"/>
        <w:rPr>
          <w:rFonts w:ascii="方正小标宋简体" w:hAnsi="方正小标宋简体" w:eastAsia="方正小标宋简体" w:cs="方正小标宋简体"/>
          <w:sz w:val="44"/>
          <w:szCs w:val="44"/>
        </w:rPr>
      </w:pPr>
      <w:r>
        <w:rPr>
          <w:rFonts w:hint="eastAsia" w:ascii="黑体" w:hAnsi="黑体" w:eastAsia="黑体" w:cs="黑体"/>
          <w:sz w:val="32"/>
          <w:szCs w:val="32"/>
        </w:rPr>
        <w:t>附件</w:t>
      </w:r>
    </w:p>
    <w:p w14:paraId="092D38AC">
      <w:pPr>
        <w:spacing w:line="640" w:lineRule="exact"/>
        <w:jc w:val="center"/>
        <w:rPr>
          <w:rFonts w:eastAsia="方正小标宋_GBK"/>
          <w:sz w:val="44"/>
          <w:szCs w:val="44"/>
        </w:rPr>
      </w:pPr>
      <w:bookmarkStart w:id="63" w:name="_Toc15396618"/>
      <w:r>
        <w:rPr>
          <w:rFonts w:hint="eastAsia" w:eastAsia="方正小标宋_GBK"/>
          <w:sz w:val="44"/>
          <w:szCs w:val="44"/>
        </w:rPr>
        <w:t>盐边县惠民镇人民政府</w:t>
      </w:r>
    </w:p>
    <w:p w14:paraId="080B305D">
      <w:pPr>
        <w:spacing w:line="640" w:lineRule="exact"/>
        <w:jc w:val="center"/>
        <w:rPr>
          <w:rFonts w:eastAsia="方正小标宋_GBK"/>
          <w:sz w:val="44"/>
          <w:szCs w:val="44"/>
        </w:rPr>
      </w:pPr>
      <w:r>
        <w:rPr>
          <w:rFonts w:eastAsia="方正小标宋_GBK"/>
          <w:sz w:val="44"/>
          <w:szCs w:val="44"/>
        </w:rPr>
        <w:t>2020年部门整体支出绩效评价报告</w:t>
      </w:r>
    </w:p>
    <w:p w14:paraId="140793FD">
      <w:pPr>
        <w:rPr>
          <w:rFonts w:eastAsia="方正楷体_GBK"/>
          <w:b/>
          <w:sz w:val="32"/>
          <w:szCs w:val="32"/>
        </w:rPr>
      </w:pPr>
    </w:p>
    <w:p w14:paraId="5BF57E5D"/>
    <w:p w14:paraId="3B2B48A2">
      <w:pPr>
        <w:numPr>
          <w:ilvl w:val="0"/>
          <w:numId w:val="4"/>
        </w:numPr>
        <w:spacing w:line="560" w:lineRule="exact"/>
        <w:rPr>
          <w:rFonts w:eastAsia="仿宋_GB2312"/>
          <w:sz w:val="32"/>
          <w:szCs w:val="32"/>
        </w:rPr>
      </w:pPr>
      <w:r>
        <w:rPr>
          <w:rFonts w:eastAsia="黑体"/>
          <w:sz w:val="32"/>
          <w:szCs w:val="32"/>
        </w:rPr>
        <w:t>部门概况。</w:t>
      </w:r>
    </w:p>
    <w:p w14:paraId="51BC0FF3">
      <w:pPr>
        <w:spacing w:line="560" w:lineRule="exact"/>
        <w:ind w:left="640"/>
        <w:rPr>
          <w:rFonts w:eastAsia="仿宋_GB2312"/>
          <w:sz w:val="32"/>
          <w:szCs w:val="32"/>
        </w:rPr>
      </w:pPr>
      <w:r>
        <w:rPr>
          <w:rFonts w:hint="eastAsia" w:ascii="仿宋_GB2312" w:hAnsi="宋体" w:eastAsia="仿宋_GB2312" w:cs="仿宋_GB2312"/>
          <w:color w:val="000000"/>
          <w:kern w:val="0"/>
          <w:sz w:val="32"/>
          <w:szCs w:val="32"/>
          <w:shd w:val="clear" w:color="auto" w:fill="FFFFFF"/>
          <w:lang w:val="zh-CN"/>
        </w:rPr>
        <w:t>（一）机构组成</w:t>
      </w:r>
    </w:p>
    <w:p w14:paraId="5FEFFA5A">
      <w:pPr>
        <w:widowControl/>
        <w:adjustRightInd w:val="0"/>
        <w:snapToGrid w:val="0"/>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惠民镇人民政府属于机关事业一级单位，其中行政单位7个，分别为党政办公室，党建办公事，经济发展办公室（生态环境保护办公室），社会事务办公室，综合行政执法办公室，社会治理办公室（应急管理办公室），财政所；4个直属公益一类事业单位，分别为惠民镇便民服务中心，惠民镇农业农村服务中心，惠民镇村镇建设服务中心，惠民镇宣传文化旅游服务中心。</w:t>
      </w:r>
    </w:p>
    <w:p w14:paraId="6E91FA8C">
      <w:pPr>
        <w:widowControl/>
        <w:adjustRightInd w:val="0"/>
        <w:snapToGrid w:val="0"/>
        <w:spacing w:line="560" w:lineRule="exact"/>
        <w:ind w:left="640"/>
        <w:jc w:val="left"/>
        <w:rPr>
          <w:rFonts w:ascii="仿宋_GB2312" w:hAnsi="宋体" w:eastAsia="仿宋_GB2312" w:cs="仿宋_GB2312"/>
          <w:color w:val="000000"/>
          <w:kern w:val="0"/>
          <w:sz w:val="32"/>
          <w:szCs w:val="32"/>
          <w:shd w:val="clear" w:color="auto" w:fill="FFFFFF"/>
        </w:rPr>
      </w:pPr>
      <w:r>
        <w:rPr>
          <w:rFonts w:hint="eastAsia" w:ascii="仿宋_GB2312" w:hAnsi="宋体" w:eastAsia="仿宋_GB2312" w:cs="仿宋_GB2312"/>
          <w:color w:val="000000"/>
          <w:kern w:val="0"/>
          <w:sz w:val="32"/>
          <w:szCs w:val="32"/>
          <w:shd w:val="clear" w:color="auto" w:fill="FFFFFF"/>
          <w:lang w:val="zh-CN"/>
        </w:rPr>
        <w:t>（二）机构职能</w:t>
      </w:r>
    </w:p>
    <w:p w14:paraId="0A725BA4">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w:t>
      </w:r>
      <w:r>
        <w:rPr>
          <w:rFonts w:ascii="仿宋_GB2312" w:hAnsi="仿宋_GB2312" w:eastAsia="仿宋_GB2312" w:cs="仿宋_GB2312"/>
          <w:color w:val="333333"/>
          <w:sz w:val="32"/>
          <w:szCs w:val="32"/>
          <w:shd w:val="clear" w:color="auto" w:fill="FFFFFF"/>
        </w:rPr>
        <w:t>贯彻执行党的路线、方针、政策和上级党组织及党员代表大会的决议、决定。</w:t>
      </w:r>
    </w:p>
    <w:p w14:paraId="5DBA5704">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2.研究决定全乡经济建设和社会发展中带有全局性的</w:t>
      </w:r>
      <w:r>
        <w:rPr>
          <w:rFonts w:ascii="仿宋_GB2312" w:hAnsi="仿宋_GB2312" w:eastAsia="仿宋_GB2312" w:cs="仿宋_GB2312"/>
          <w:color w:val="333333"/>
          <w:sz w:val="32"/>
          <w:szCs w:val="32"/>
          <w:shd w:val="clear" w:color="auto" w:fill="FFFFFF"/>
        </w:rPr>
        <w:t>重大问题。</w:t>
      </w:r>
    </w:p>
    <w:p w14:paraId="53D38414">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3.</w:t>
      </w:r>
      <w:r>
        <w:rPr>
          <w:rFonts w:hint="eastAsia" w:ascii="仿宋_GB2312" w:hAnsi="仿宋_GB2312" w:eastAsia="仿宋_GB2312" w:cs="仿宋_GB2312"/>
          <w:color w:val="333333"/>
          <w:sz w:val="32"/>
          <w:szCs w:val="32"/>
          <w:shd w:val="clear" w:color="auto" w:fill="FFFFFF"/>
        </w:rPr>
        <w:t>负责抓好所属党组织的思想建设、组织建设、作风建设。负责全面从严治党、党风廉政建设和反腐败工作。</w:t>
      </w:r>
    </w:p>
    <w:p w14:paraId="54B88380">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4.</w:t>
      </w:r>
      <w:r>
        <w:rPr>
          <w:rFonts w:hint="eastAsia" w:ascii="仿宋_GB2312" w:hAnsi="仿宋_GB2312" w:eastAsia="仿宋_GB2312" w:cs="仿宋_GB2312"/>
          <w:color w:val="333333"/>
          <w:sz w:val="32"/>
          <w:szCs w:val="32"/>
          <w:shd w:val="clear" w:color="auto" w:fill="FFFFFF"/>
        </w:rPr>
        <w:t>按照干部管理权限，负责对干部的教育、培养、选拔任免和监督工作，向上级党组织推荐干部。</w:t>
      </w:r>
    </w:p>
    <w:p w14:paraId="432CF52F">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5.</w:t>
      </w:r>
      <w:r>
        <w:rPr>
          <w:rFonts w:hint="eastAsia" w:ascii="仿宋_GB2312" w:hAnsi="仿宋_GB2312" w:eastAsia="仿宋_GB2312" w:cs="仿宋_GB2312"/>
          <w:color w:val="333333"/>
          <w:sz w:val="32"/>
          <w:szCs w:val="32"/>
          <w:shd w:val="clear" w:color="auto" w:fill="FFFFFF"/>
        </w:rPr>
        <w:t>领导工会、共青团、妇联、科协等群团组织，协调党政之间的关系。</w:t>
      </w:r>
    </w:p>
    <w:p w14:paraId="7D703BB8">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6.</w:t>
      </w:r>
      <w:r>
        <w:rPr>
          <w:rFonts w:hint="eastAsia" w:ascii="仿宋_GB2312" w:hAnsi="仿宋_GB2312" w:eastAsia="仿宋_GB2312" w:cs="仿宋_GB2312"/>
          <w:color w:val="333333"/>
          <w:sz w:val="32"/>
          <w:szCs w:val="32"/>
          <w:shd w:val="clear" w:color="auto" w:fill="FFFFFF"/>
        </w:rPr>
        <w:t>负责本行政区域的政治思想、宣传、统战、政法、保密、武装、精神文明建设和民主法制建设等工作。</w:t>
      </w:r>
    </w:p>
    <w:p w14:paraId="27CF83D5">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7.制定并执行本行政区域内经济和社会发展规划、计划。</w:t>
      </w:r>
    </w:p>
    <w:p w14:paraId="48A3DAA8">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8</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负责乡村振兴、新农村建设和推进城乡一体化的组织和实施。</w:t>
      </w:r>
    </w:p>
    <w:p w14:paraId="10CE91FF">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9</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负责辖区经济、文化、教育、科学、卫生健康、民政、社会保障、民族宗教、村乡建设、司法、退役军人、扶贫、信访、安全、统计等行政管理和服务工作。</w:t>
      </w:r>
    </w:p>
    <w:p w14:paraId="506D7957">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10</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负责农业产业结构调整和</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三农</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服务工作。</w:t>
      </w:r>
    </w:p>
    <w:p w14:paraId="41692905">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11</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建立健全社会治理防控体系，开展爱国卫生、环境</w:t>
      </w:r>
      <w:r>
        <w:rPr>
          <w:rFonts w:ascii="仿宋_GB2312" w:hAnsi="仿宋_GB2312" w:eastAsia="仿宋_GB2312" w:cs="仿宋_GB2312"/>
          <w:color w:val="333333"/>
          <w:sz w:val="32"/>
          <w:szCs w:val="32"/>
          <w:shd w:val="clear" w:color="auto" w:fill="FFFFFF"/>
        </w:rPr>
        <w:t>卫生监督检查，承担环境、资源保护等工作，促进人与自然和谐发展。</w:t>
      </w:r>
    </w:p>
    <w:p w14:paraId="6C48B168">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负责应急管理、安全生产、抢险救灾等工作，保护人民群众生命财产安全。</w:t>
      </w:r>
    </w:p>
    <w:p w14:paraId="2D33B62B">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13</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完成上级党委、政府交办的其他工作。</w:t>
      </w:r>
    </w:p>
    <w:p w14:paraId="23624E20">
      <w:pPr>
        <w:widowControl/>
        <w:adjustRightInd w:val="0"/>
        <w:snapToGrid w:val="0"/>
        <w:spacing w:line="560" w:lineRule="exact"/>
        <w:ind w:left="640"/>
        <w:jc w:val="left"/>
        <w:rPr>
          <w:rFonts w:ascii="仿宋_GB2312" w:hAnsi="宋体" w:eastAsia="仿宋_GB2312" w:cs="仿宋_GB2312"/>
          <w:color w:val="000000"/>
          <w:kern w:val="0"/>
          <w:sz w:val="32"/>
          <w:szCs w:val="32"/>
          <w:shd w:val="clear" w:color="auto" w:fill="FFFFFF"/>
          <w:lang w:val="zh-CN"/>
        </w:rPr>
      </w:pPr>
      <w:r>
        <w:rPr>
          <w:rFonts w:hint="eastAsia" w:ascii="仿宋_GB2312" w:hAnsi="宋体" w:eastAsia="仿宋_GB2312" w:cs="仿宋_GB2312"/>
          <w:color w:val="000000"/>
          <w:kern w:val="0"/>
          <w:sz w:val="32"/>
          <w:szCs w:val="32"/>
          <w:shd w:val="clear" w:color="auto" w:fill="FFFFFF"/>
          <w:lang w:val="zh-CN"/>
        </w:rPr>
        <w:t>（三）人员概况</w:t>
      </w:r>
    </w:p>
    <w:p w14:paraId="3A56C704">
      <w:pPr>
        <w:widowControl/>
        <w:adjustRightInd w:val="0"/>
        <w:snapToGrid w:val="0"/>
        <w:spacing w:line="560" w:lineRule="exact"/>
        <w:ind w:firstLine="640" w:firstLineChars="200"/>
        <w:jc w:val="left"/>
        <w:rPr>
          <w:rFonts w:ascii="仿宋_GB2312" w:hAnsi="宋体" w:eastAsia="仿宋_GB2312" w:cs="仿宋_GB2312"/>
          <w:color w:val="000000"/>
          <w:kern w:val="0"/>
          <w:sz w:val="32"/>
          <w:szCs w:val="32"/>
          <w:shd w:val="clear" w:color="auto" w:fill="FFFFFF"/>
          <w:lang w:val="zh-CN"/>
        </w:rPr>
      </w:pPr>
      <w:r>
        <w:rPr>
          <w:rFonts w:hint="eastAsia" w:ascii="仿宋_GB2312" w:hAnsi="仿宋_GB2312" w:eastAsia="仿宋_GB2312" w:cs="仿宋_GB2312"/>
          <w:color w:val="333333"/>
          <w:sz w:val="32"/>
          <w:szCs w:val="32"/>
          <w:shd w:val="clear" w:color="auto" w:fill="FFFFFF"/>
        </w:rPr>
        <w:t>惠民镇人民政府现有编制数</w:t>
      </w:r>
      <w:r>
        <w:rPr>
          <w:rFonts w:hint="eastAsia" w:eastAsia="楷体_GB2312"/>
          <w:sz w:val="32"/>
          <w:szCs w:val="32"/>
        </w:rPr>
        <w:t>53</w:t>
      </w:r>
      <w:r>
        <w:rPr>
          <w:rFonts w:hint="eastAsia" w:ascii="仿宋_GB2312" w:hAnsi="仿宋_GB2312" w:eastAsia="仿宋_GB2312" w:cs="仿宋_GB2312"/>
          <w:color w:val="333333"/>
          <w:sz w:val="32"/>
          <w:szCs w:val="32"/>
          <w:shd w:val="clear" w:color="auto" w:fill="FFFFFF"/>
        </w:rPr>
        <w:t>人，</w:t>
      </w:r>
      <w:r>
        <w:rPr>
          <w:rFonts w:hint="eastAsia" w:ascii="仿宋_GB2312" w:hAnsi="仿宋_GB2312" w:eastAsia="仿宋_GB2312" w:cs="仿宋_GB2312"/>
          <w:color w:val="000000"/>
          <w:sz w:val="32"/>
          <w:szCs w:val="32"/>
          <w:shd w:val="clear" w:color="auto" w:fill="FFFFFF"/>
        </w:rPr>
        <w:t>其中：行政编制24人，</w:t>
      </w:r>
      <w:r>
        <w:rPr>
          <w:rFonts w:hint="eastAsia" w:ascii="仿宋_GB2312" w:hAnsi="仿宋_GB2312" w:eastAsia="仿宋_GB2312" w:cs="仿宋_GB2312"/>
          <w:color w:val="333333"/>
          <w:sz w:val="32"/>
          <w:szCs w:val="32"/>
          <w:shd w:val="clear" w:color="auto" w:fill="FFFFFF"/>
        </w:rPr>
        <w:t>工勤人员3人，事业编制26人，2021年年末在职人员47人，退休19人。</w:t>
      </w:r>
    </w:p>
    <w:p w14:paraId="3463A9FC">
      <w:pPr>
        <w:numPr>
          <w:ilvl w:val="0"/>
          <w:numId w:val="4"/>
        </w:numPr>
        <w:spacing w:line="560" w:lineRule="exact"/>
        <w:rPr>
          <w:rFonts w:eastAsia="黑体"/>
          <w:sz w:val="32"/>
          <w:szCs w:val="32"/>
        </w:rPr>
      </w:pPr>
      <w:r>
        <w:rPr>
          <w:rFonts w:eastAsia="黑体"/>
          <w:sz w:val="32"/>
          <w:szCs w:val="32"/>
        </w:rPr>
        <w:t>评价工作开展情况</w:t>
      </w:r>
    </w:p>
    <w:p w14:paraId="3271D531">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根据预算绩效管理要求，我镇在年初预算编制阶段，展了预算事前绩效评估，对本年31个项目编制了绩效目标，预算执行过程中，对项目开展绩效监控，年终执行完毕后，对项目开展了绩效目标完成情况梳理填报。我镇按要求对2021年部门整体支出开展绩效自评，从评价情况来看，严格落实上级关于绩效管理的有关规定，年初做好预算申报，从严控制预算支出，管控好支出渠道，严格执行单位财务管理制度，强化支出审批、审签，各种票据齐全，符合报账要求，实现了本单位整体支出预期目标。从评价情况来看，结合我镇工作实际，本单位主要领导和分管领导认真审核项目预算，对项目支出渠道严格把关，确保各项目支出实现了经济效益、社会效益等预期目标。</w:t>
      </w:r>
    </w:p>
    <w:p w14:paraId="1AA5DE5D">
      <w:pPr>
        <w:spacing w:line="560" w:lineRule="exact"/>
        <w:ind w:firstLine="640" w:firstLineChars="200"/>
        <w:rPr>
          <w:rFonts w:eastAsia="黑体"/>
          <w:sz w:val="32"/>
          <w:szCs w:val="32"/>
        </w:rPr>
      </w:pPr>
      <w:r>
        <w:rPr>
          <w:rFonts w:eastAsia="黑体"/>
          <w:sz w:val="32"/>
          <w:szCs w:val="32"/>
        </w:rPr>
        <w:t>三、部门资金基本情况</w:t>
      </w:r>
    </w:p>
    <w:p w14:paraId="5BDB4C0C">
      <w:pPr>
        <w:spacing w:line="560" w:lineRule="exact"/>
        <w:ind w:firstLine="640" w:firstLineChars="200"/>
        <w:rPr>
          <w:rFonts w:eastAsia="楷体_GB2312"/>
          <w:sz w:val="32"/>
          <w:szCs w:val="32"/>
        </w:rPr>
      </w:pPr>
      <w:r>
        <w:rPr>
          <w:rFonts w:eastAsia="楷体_GB2312"/>
          <w:sz w:val="32"/>
          <w:szCs w:val="32"/>
        </w:rPr>
        <w:t>（一）部门财政资金收入情况。</w:t>
      </w:r>
    </w:p>
    <w:p w14:paraId="01097F8C">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w:t>
      </w:r>
      <w:r>
        <w:rPr>
          <w:rFonts w:hint="eastAsia" w:ascii="仿宋_GB2312" w:eastAsia="仿宋_GB2312"/>
          <w:sz w:val="32"/>
          <w:szCs w:val="32"/>
        </w:rPr>
        <w:t>1年惠民镇全年收入1548万元，全为一般财政拨款收入。</w:t>
      </w:r>
    </w:p>
    <w:p w14:paraId="4ABDB05F">
      <w:pPr>
        <w:numPr>
          <w:ilvl w:val="0"/>
          <w:numId w:val="5"/>
        </w:numPr>
        <w:spacing w:line="560" w:lineRule="exact"/>
        <w:ind w:firstLine="640" w:firstLineChars="200"/>
        <w:rPr>
          <w:rFonts w:eastAsia="楷体_GB2312"/>
          <w:sz w:val="32"/>
          <w:szCs w:val="32"/>
        </w:rPr>
      </w:pPr>
      <w:r>
        <w:rPr>
          <w:rFonts w:eastAsia="楷体_GB2312"/>
          <w:sz w:val="32"/>
          <w:szCs w:val="32"/>
        </w:rPr>
        <w:t>部门财政资金支出情况。</w:t>
      </w:r>
    </w:p>
    <w:p w14:paraId="6D00C73E">
      <w:pPr>
        <w:ind w:firstLine="800" w:firstLineChars="250"/>
        <w:rPr>
          <w:rFonts w:ascii="仿宋_GB2312" w:hAnsi="仿宋_GB2312" w:eastAsia="仿宋_GB2312"/>
          <w:color w:val="000000"/>
          <w:sz w:val="32"/>
          <w:szCs w:val="32"/>
        </w:rPr>
      </w:pPr>
      <w:r>
        <w:rPr>
          <w:rFonts w:hint="eastAsia" w:ascii="仿宋_GB2312" w:hAnsi="仿宋_GB2312" w:eastAsia="仿宋_GB2312"/>
          <w:color w:val="000000"/>
          <w:sz w:val="32"/>
          <w:szCs w:val="32"/>
        </w:rPr>
        <w:t>2021年全年支出1758.39万元，其中</w:t>
      </w:r>
      <w:r>
        <w:rPr>
          <w:rFonts w:hint="eastAsia" w:eastAsia="仿宋_GB2312"/>
          <w:sz w:val="32"/>
          <w:szCs w:val="32"/>
        </w:rPr>
        <w:t>基本支出1007.33万元，占57.29</w:t>
      </w:r>
      <w:r>
        <w:rPr>
          <w:rFonts w:eastAsia="仿宋_GB2312"/>
          <w:sz w:val="32"/>
          <w:szCs w:val="32"/>
        </w:rPr>
        <w:t>%</w:t>
      </w:r>
      <w:r>
        <w:rPr>
          <w:rFonts w:hint="eastAsia" w:eastAsia="仿宋_GB2312"/>
          <w:sz w:val="32"/>
          <w:szCs w:val="32"/>
        </w:rPr>
        <w:t>；项目支出751.06万元，占42.71</w:t>
      </w:r>
      <w:r>
        <w:rPr>
          <w:rFonts w:eastAsia="仿宋_GB2312"/>
          <w:sz w:val="32"/>
          <w:szCs w:val="32"/>
        </w:rPr>
        <w:t>%</w:t>
      </w:r>
      <w:r>
        <w:rPr>
          <w:rFonts w:hint="eastAsia" w:ascii="仿宋_GB2312" w:hAnsi="仿宋_GB2312" w:eastAsia="仿宋_GB2312"/>
          <w:color w:val="000000"/>
          <w:sz w:val="32"/>
          <w:szCs w:val="32"/>
        </w:rPr>
        <w:t>。</w:t>
      </w:r>
    </w:p>
    <w:p w14:paraId="26AA60DA">
      <w:pPr>
        <w:spacing w:line="600" w:lineRule="exact"/>
        <w:ind w:firstLine="640" w:firstLineChars="200"/>
        <w:rPr>
          <w:rFonts w:eastAsia="仿宋_GB2312"/>
          <w:sz w:val="32"/>
          <w:szCs w:val="32"/>
        </w:rPr>
      </w:pPr>
      <w:r>
        <w:rPr>
          <w:rFonts w:hint="eastAsia" w:ascii="仿宋_GB2312" w:eastAsia="仿宋_GB2312"/>
          <w:sz w:val="32"/>
          <w:szCs w:val="32"/>
        </w:rPr>
        <w:t>按照功能分类：</w:t>
      </w:r>
      <w:r>
        <w:rPr>
          <w:rFonts w:hint="eastAsia" w:ascii="仿宋" w:hAnsi="仿宋" w:eastAsia="仿宋"/>
          <w:b/>
          <w:sz w:val="32"/>
          <w:szCs w:val="32"/>
        </w:rPr>
        <w:t>一般公共服务（类）</w:t>
      </w:r>
      <w:r>
        <w:rPr>
          <w:rFonts w:hint="eastAsia" w:ascii="仿宋" w:hAnsi="仿宋" w:eastAsia="仿宋"/>
          <w:sz w:val="32"/>
          <w:szCs w:val="32"/>
        </w:rPr>
        <w:t>支出521.95万元，占29.68</w:t>
      </w:r>
      <w:r>
        <w:rPr>
          <w:rFonts w:ascii="仿宋" w:hAnsi="仿宋" w:eastAsia="仿宋"/>
          <w:sz w:val="32"/>
          <w:szCs w:val="32"/>
        </w:rPr>
        <w:t>%</w:t>
      </w:r>
      <w:r>
        <w:rPr>
          <w:rFonts w:hint="eastAsia" w:ascii="仿宋" w:hAnsi="仿宋" w:eastAsia="仿宋"/>
          <w:sz w:val="32"/>
          <w:szCs w:val="32"/>
        </w:rPr>
        <w:t>；</w:t>
      </w:r>
      <w:r>
        <w:rPr>
          <w:rFonts w:hint="eastAsia" w:eastAsia="仿宋_GB2312"/>
          <w:b/>
          <w:sz w:val="32"/>
          <w:szCs w:val="32"/>
        </w:rPr>
        <w:t>文化旅游体育与传媒（类）支出</w:t>
      </w:r>
      <w:r>
        <w:rPr>
          <w:rFonts w:hint="eastAsia" w:eastAsia="仿宋_GB2312"/>
          <w:sz w:val="32"/>
          <w:szCs w:val="32"/>
        </w:rPr>
        <w:t>38.41万元，占2.2</w:t>
      </w:r>
      <w:r>
        <w:rPr>
          <w:rFonts w:eastAsia="仿宋_GB2312"/>
          <w:sz w:val="32"/>
          <w:szCs w:val="32"/>
        </w:rPr>
        <w:t>%</w:t>
      </w:r>
      <w:r>
        <w:rPr>
          <w:rFonts w:hint="eastAsia" w:eastAsia="仿宋_GB2312"/>
          <w:sz w:val="32"/>
          <w:szCs w:val="32"/>
        </w:rPr>
        <w:t>；</w:t>
      </w:r>
      <w:r>
        <w:rPr>
          <w:rFonts w:hint="eastAsia" w:eastAsia="仿宋_GB2312"/>
          <w:b/>
          <w:sz w:val="32"/>
          <w:szCs w:val="32"/>
        </w:rPr>
        <w:t>社会保障和就业（类）支出</w:t>
      </w:r>
      <w:r>
        <w:rPr>
          <w:rFonts w:hint="eastAsia" w:eastAsia="仿宋_GB2312"/>
          <w:sz w:val="32"/>
          <w:szCs w:val="32"/>
        </w:rPr>
        <w:t>257.49万元，占14.64</w:t>
      </w:r>
      <w:r>
        <w:rPr>
          <w:rFonts w:eastAsia="仿宋_GB2312"/>
          <w:sz w:val="32"/>
          <w:szCs w:val="32"/>
        </w:rPr>
        <w:t>%</w:t>
      </w:r>
      <w:r>
        <w:rPr>
          <w:rFonts w:hint="eastAsia" w:eastAsia="仿宋_GB2312"/>
          <w:sz w:val="32"/>
          <w:szCs w:val="32"/>
        </w:rPr>
        <w:t>；</w:t>
      </w:r>
      <w:r>
        <w:rPr>
          <w:rFonts w:hint="eastAsia" w:eastAsia="仿宋_GB2312"/>
          <w:b/>
          <w:sz w:val="32"/>
          <w:szCs w:val="32"/>
        </w:rPr>
        <w:t>卫生健康支出</w:t>
      </w:r>
      <w:r>
        <w:rPr>
          <w:rFonts w:hint="eastAsia" w:eastAsia="仿宋_GB2312"/>
          <w:sz w:val="32"/>
          <w:szCs w:val="32"/>
        </w:rPr>
        <w:t>51.36万元，占2.9</w:t>
      </w:r>
      <w:r>
        <w:rPr>
          <w:rFonts w:eastAsia="仿宋_GB2312"/>
          <w:sz w:val="32"/>
          <w:szCs w:val="32"/>
        </w:rPr>
        <w:t>%</w:t>
      </w:r>
      <w:r>
        <w:rPr>
          <w:rFonts w:hint="eastAsia" w:eastAsia="仿宋_GB2312"/>
          <w:sz w:val="32"/>
          <w:szCs w:val="32"/>
        </w:rPr>
        <w:t>；</w:t>
      </w:r>
      <w:r>
        <w:rPr>
          <w:rFonts w:hint="eastAsia" w:eastAsia="仿宋_GB2312"/>
          <w:b/>
          <w:sz w:val="32"/>
          <w:szCs w:val="32"/>
        </w:rPr>
        <w:t>农林水（类）支出</w:t>
      </w:r>
      <w:r>
        <w:rPr>
          <w:rFonts w:hint="eastAsia" w:eastAsia="仿宋_GB2312"/>
          <w:sz w:val="32"/>
          <w:szCs w:val="32"/>
        </w:rPr>
        <w:t>804.71万元，占45.76%；</w:t>
      </w:r>
      <w:r>
        <w:rPr>
          <w:rFonts w:hint="eastAsia" w:eastAsia="仿宋_GB2312"/>
          <w:b/>
          <w:sz w:val="32"/>
          <w:szCs w:val="32"/>
        </w:rPr>
        <w:t>住房保障支出</w:t>
      </w:r>
      <w:r>
        <w:rPr>
          <w:rFonts w:hint="eastAsia" w:eastAsia="仿宋_GB2312"/>
          <w:sz w:val="32"/>
          <w:szCs w:val="32"/>
        </w:rPr>
        <w:t>69.45万元，占3.96</w:t>
      </w:r>
      <w:r>
        <w:rPr>
          <w:rFonts w:eastAsia="仿宋_GB2312"/>
          <w:sz w:val="32"/>
          <w:szCs w:val="32"/>
        </w:rPr>
        <w:t>%</w:t>
      </w:r>
      <w:r>
        <w:rPr>
          <w:rFonts w:hint="eastAsia" w:eastAsia="仿宋_GB2312"/>
          <w:sz w:val="32"/>
          <w:szCs w:val="32"/>
        </w:rPr>
        <w:t>；</w:t>
      </w:r>
      <w:r>
        <w:rPr>
          <w:rFonts w:hint="eastAsia" w:eastAsia="仿宋_GB2312"/>
          <w:b/>
          <w:sz w:val="32"/>
          <w:szCs w:val="32"/>
        </w:rPr>
        <w:t>灾害防治及应急管理（类）支出</w:t>
      </w:r>
      <w:r>
        <w:rPr>
          <w:rFonts w:hint="eastAsia" w:eastAsia="仿宋_GB2312"/>
          <w:sz w:val="32"/>
          <w:szCs w:val="32"/>
        </w:rPr>
        <w:t>15.03万元，占0.86%。与2020年1245万元相比，增加513.39万元，增长41.2%，主要变动原因是人员变动，项目增加。</w:t>
      </w:r>
    </w:p>
    <w:p w14:paraId="5B8FC5EB">
      <w:pPr>
        <w:spacing w:line="560" w:lineRule="exact"/>
        <w:ind w:firstLine="640" w:firstLineChars="200"/>
        <w:rPr>
          <w:rFonts w:eastAsia="楷体_GB2312"/>
          <w:sz w:val="32"/>
          <w:szCs w:val="32"/>
        </w:rPr>
      </w:pPr>
      <w:r>
        <w:rPr>
          <w:rFonts w:eastAsia="楷体_GB2312"/>
          <w:sz w:val="32"/>
          <w:szCs w:val="32"/>
        </w:rPr>
        <w:t>（三）结转和结余情况。</w:t>
      </w:r>
    </w:p>
    <w:p w14:paraId="331BFA6A">
      <w:pPr>
        <w:ind w:firstLine="709"/>
        <w:rPr>
          <w:rFonts w:eastAsia="楷体_GB2312"/>
          <w:sz w:val="32"/>
          <w:szCs w:val="32"/>
        </w:rPr>
      </w:pPr>
      <w:r>
        <w:rPr>
          <w:rFonts w:hint="eastAsia" w:eastAsia="楷体_GB2312"/>
          <w:sz w:val="32"/>
          <w:szCs w:val="32"/>
        </w:rPr>
        <w:t>2</w:t>
      </w:r>
      <w:r>
        <w:rPr>
          <w:rFonts w:eastAsia="楷体_GB2312"/>
          <w:sz w:val="32"/>
          <w:szCs w:val="32"/>
        </w:rPr>
        <w:t>020</w:t>
      </w:r>
      <w:r>
        <w:rPr>
          <w:rFonts w:hint="eastAsia" w:eastAsia="楷体_GB2312"/>
          <w:sz w:val="32"/>
          <w:szCs w:val="32"/>
        </w:rPr>
        <w:t>年度，我镇年末结余数为210.39万元，较去年结余数增加2.39万元，主要原因是年末形成财政应返还额度。</w:t>
      </w:r>
    </w:p>
    <w:p w14:paraId="271673EE">
      <w:pPr>
        <w:spacing w:line="560" w:lineRule="exact"/>
        <w:ind w:firstLine="640" w:firstLineChars="200"/>
        <w:rPr>
          <w:rFonts w:ascii="仿宋_GB2312" w:eastAsia="仿宋_GB2312"/>
          <w:sz w:val="32"/>
          <w:szCs w:val="32"/>
        </w:rPr>
      </w:pPr>
      <w:r>
        <w:rPr>
          <w:rFonts w:hint="eastAsia" w:ascii="仿宋_GB2312" w:hAnsi="仿宋_GB2312" w:eastAsia="仿宋_GB2312"/>
          <w:color w:val="000000"/>
          <w:sz w:val="32"/>
          <w:szCs w:val="32"/>
        </w:rPr>
        <w:t>2020年新形成财政应返还额度：</w:t>
      </w:r>
    </w:p>
    <w:p w14:paraId="5F282459">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根据攀财资农【2020】13号下达2020年市级村级公益事业建设一事一议财政奖补资金（用于“一事一议”库存项目）181.2万元；</w:t>
      </w:r>
    </w:p>
    <w:p w14:paraId="1CC5FD21">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根据川财农【2019】170号下达2020年中央村级公益事业建设一事一议财政奖补资金（用于农村公厕建设项目）3.16万元；</w:t>
      </w:r>
    </w:p>
    <w:p w14:paraId="34B6B9CF">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根据川财农【2019】170号下达2020年中央村级公益事业建设一事一议财政奖补资金（用于“一事一议”库存项目）1.3万元；</w:t>
      </w:r>
    </w:p>
    <w:p w14:paraId="32C2F44F">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根据川财农【2019】170号下达2020年中央村级公益事业建设一事一议财政奖补资金（用于村容村貌建设项目）17.73万元；</w:t>
      </w:r>
    </w:p>
    <w:p w14:paraId="2E8AC95A">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根据盐财资建【2020】203号将原省级资金盘活（用于森林草原防灭火专项整治工作领导小组办公室专项整治工作经费）5万元；</w:t>
      </w:r>
    </w:p>
    <w:p w14:paraId="751022EF">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根据川财社【2019】121号下达2020年度中央和省级财政就业创业补助资金2万元。</w:t>
      </w:r>
    </w:p>
    <w:p w14:paraId="76B76B68">
      <w:pPr>
        <w:spacing w:line="560" w:lineRule="exact"/>
        <w:ind w:firstLine="640" w:firstLineChars="200"/>
        <w:rPr>
          <w:rFonts w:eastAsia="黑体"/>
          <w:sz w:val="32"/>
          <w:szCs w:val="32"/>
        </w:rPr>
      </w:pPr>
      <w:r>
        <w:rPr>
          <w:rFonts w:eastAsia="黑体"/>
          <w:sz w:val="32"/>
          <w:szCs w:val="32"/>
        </w:rPr>
        <w:t>四、部门财政支出管理情况</w:t>
      </w:r>
    </w:p>
    <w:p w14:paraId="03729EF5">
      <w:pPr>
        <w:spacing w:line="560" w:lineRule="exact"/>
        <w:ind w:firstLine="640" w:firstLineChars="200"/>
        <w:rPr>
          <w:rFonts w:eastAsia="楷体_GB2312"/>
          <w:sz w:val="32"/>
          <w:szCs w:val="32"/>
        </w:rPr>
      </w:pPr>
      <w:r>
        <w:rPr>
          <w:rFonts w:eastAsia="楷体_GB2312"/>
          <w:sz w:val="32"/>
          <w:szCs w:val="32"/>
        </w:rPr>
        <w:t>（一）专项资金分配情况。</w:t>
      </w:r>
    </w:p>
    <w:p w14:paraId="077C3FC3">
      <w:pPr>
        <w:spacing w:line="560" w:lineRule="exact"/>
        <w:ind w:firstLine="640" w:firstLineChars="200"/>
        <w:rPr>
          <w:rFonts w:eastAsia="仿宋_GB2312"/>
          <w:sz w:val="32"/>
          <w:szCs w:val="32"/>
        </w:rPr>
      </w:pPr>
      <w:r>
        <w:rPr>
          <w:rFonts w:hint="eastAsia" w:eastAsia="仿宋_GB2312"/>
          <w:sz w:val="32"/>
          <w:szCs w:val="32"/>
        </w:rPr>
        <w:t>科学合理安排专项资金预算支出，实现资金落到实处，专款专用，严禁挤占、截留和挪用，监督使用报账范围</w:t>
      </w:r>
      <w:r>
        <w:rPr>
          <w:rFonts w:eastAsia="仿宋_GB2312"/>
          <w:sz w:val="32"/>
          <w:szCs w:val="32"/>
        </w:rPr>
        <w:t>。</w:t>
      </w:r>
    </w:p>
    <w:p w14:paraId="124777B2">
      <w:pPr>
        <w:spacing w:line="560" w:lineRule="exact"/>
        <w:ind w:firstLine="640" w:firstLineChars="200"/>
        <w:rPr>
          <w:rFonts w:eastAsia="楷体_GB2312"/>
          <w:sz w:val="32"/>
          <w:szCs w:val="32"/>
        </w:rPr>
      </w:pPr>
      <w:r>
        <w:rPr>
          <w:rFonts w:eastAsia="楷体_GB2312"/>
          <w:sz w:val="32"/>
          <w:szCs w:val="32"/>
        </w:rPr>
        <w:t>（二）资产管理。</w:t>
      </w:r>
    </w:p>
    <w:p w14:paraId="1F41AA0E">
      <w:pPr>
        <w:snapToGrid w:val="0"/>
        <w:spacing w:line="560" w:lineRule="exact"/>
        <w:ind w:firstLine="640" w:firstLineChars="200"/>
        <w:rPr>
          <w:rFonts w:eastAsia="仿宋_GB2312"/>
          <w:sz w:val="32"/>
          <w:szCs w:val="32"/>
        </w:rPr>
      </w:pPr>
      <w:r>
        <w:rPr>
          <w:rFonts w:hint="eastAsia" w:eastAsia="仿宋_GB2312"/>
          <w:sz w:val="32"/>
          <w:szCs w:val="32"/>
        </w:rPr>
        <w:t>20</w:t>
      </w:r>
      <w:r>
        <w:rPr>
          <w:rFonts w:eastAsia="仿宋_GB2312"/>
          <w:sz w:val="32"/>
          <w:szCs w:val="32"/>
        </w:rPr>
        <w:t>2</w:t>
      </w:r>
      <w:r>
        <w:rPr>
          <w:rFonts w:hint="eastAsia" w:eastAsia="仿宋_GB2312"/>
          <w:sz w:val="32"/>
          <w:szCs w:val="32"/>
        </w:rPr>
        <w:t>1年，我镇资产合计金额为1011万元，主要为银行存款54万元，其他应收款792万元，固定资产原值664万元。固定资产累计折旧499万元，固定资产净值165万元；负债合计833万元，其他应付款净额833万元；净资产合计178万元。</w:t>
      </w:r>
    </w:p>
    <w:p w14:paraId="637CD69C">
      <w:pPr>
        <w:spacing w:line="560" w:lineRule="exact"/>
        <w:ind w:firstLine="640" w:firstLineChars="200"/>
        <w:rPr>
          <w:rFonts w:eastAsia="楷体_GB2312"/>
          <w:sz w:val="32"/>
          <w:szCs w:val="32"/>
        </w:rPr>
      </w:pPr>
      <w:r>
        <w:rPr>
          <w:rFonts w:eastAsia="楷体_GB2312"/>
          <w:sz w:val="32"/>
          <w:szCs w:val="32"/>
        </w:rPr>
        <w:t>（三）内控制度管理。</w:t>
      </w:r>
    </w:p>
    <w:p w14:paraId="0560FDE6">
      <w:pPr>
        <w:spacing w:line="560" w:lineRule="exact"/>
        <w:ind w:firstLine="640" w:firstLineChars="200"/>
        <w:rPr>
          <w:rFonts w:eastAsia="仿宋_GB2312"/>
          <w:sz w:val="32"/>
          <w:szCs w:val="32"/>
        </w:rPr>
      </w:pPr>
      <w:r>
        <w:rPr>
          <w:rFonts w:eastAsia="仿宋_GB2312"/>
          <w:sz w:val="32"/>
          <w:szCs w:val="32"/>
        </w:rPr>
        <w:t>1.内部控制制度的设置及执行情况。</w:t>
      </w:r>
    </w:p>
    <w:p w14:paraId="14617FB9">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组建领导小组，单位内控工作是一个复杂的体系，工作</w:t>
      </w:r>
      <w:r>
        <w:rPr>
          <w:rFonts w:hint="eastAsia" w:ascii="仿宋_GB2312" w:hAnsi="宋体" w:eastAsia="仿宋_GB2312"/>
          <w:sz w:val="32"/>
          <w:szCs w:val="32"/>
          <w:lang w:eastAsia="zh-CN"/>
        </w:rPr>
        <w:t>涉及</w:t>
      </w:r>
      <w:r>
        <w:rPr>
          <w:rFonts w:hint="eastAsia" w:ascii="仿宋_GB2312" w:hAnsi="宋体" w:eastAsia="仿宋_GB2312"/>
          <w:sz w:val="32"/>
          <w:szCs w:val="32"/>
        </w:rPr>
        <w:t>预算业务、收支业务、采购业务、资产管理、建设项目、合同管理、内外监督等各项经济活动，需要内部各部门的协作和配合。惠民镇在工作中意识到单位领导重视是推动实施内控的关键。工作中与党风廉政建设密切结合，使单位领导树立起风险防控意识，为内控工作的推进奠定了基础。成立了由镇长任组长、各分管领导任副组长、各相关股室为成员的内部控制规范领导小组。对内部控制的建立和实施情况进行监督，及时发现并指出内部控制管理中的问题和薄弱环节，督促落实内部控制的整改计划和措施，确保内部控制体系的有效运行。</w:t>
      </w:r>
    </w:p>
    <w:p w14:paraId="12CBA414">
      <w:pPr>
        <w:spacing w:line="560" w:lineRule="exact"/>
        <w:ind w:firstLine="640" w:firstLineChars="200"/>
        <w:rPr>
          <w:rFonts w:ascii="仿宋_GB2312" w:eastAsia="仿宋_GB2312"/>
          <w:sz w:val="32"/>
          <w:szCs w:val="32"/>
        </w:rPr>
      </w:pPr>
      <w:r>
        <w:rPr>
          <w:rFonts w:hint="eastAsia" w:ascii="仿宋_GB2312" w:hAnsi="宋体" w:eastAsia="仿宋_GB2312"/>
          <w:sz w:val="32"/>
          <w:szCs w:val="32"/>
        </w:rPr>
        <w:t>构建内控机制，保障内控实施，建立了单位层面的内控运行制约机制。主要包括8个方面的内容：内控管理职责分工，经济活动决策机制，关键岗位责任机制，关键人员资质能力，财务信息编报要求，信息技术应用要求，经济活动风险评估，内部控制监督评价。梳理了单位主要经济业务管理制度及流程。针对预(决)算管理、经费收支管理、政府采购管理</w:t>
      </w:r>
      <w:r>
        <w:rPr>
          <w:rFonts w:hint="eastAsia" w:ascii="仿宋_GB2312" w:hAnsi="宋体" w:eastAsia="仿宋_GB2312"/>
          <w:sz w:val="32"/>
          <w:szCs w:val="32"/>
          <w:lang w:eastAsia="zh-CN"/>
        </w:rPr>
        <w:t>以及</w:t>
      </w:r>
      <w:r>
        <w:rPr>
          <w:rFonts w:hint="eastAsia" w:ascii="仿宋_GB2312" w:hAnsi="宋体" w:eastAsia="仿宋_GB2312"/>
          <w:sz w:val="32"/>
          <w:szCs w:val="32"/>
        </w:rPr>
        <w:t>资产管理等业务模块，在规章制度方面，梳理制度文件，汇编成册。通过信息化对制度和流程进行“固化”。要保障内控真正落地，信息化是实施内控的最重要手段。惠民镇在信息系统建设中将内控理念嵌入信息系统中，将制度和流程进行“固化”并达到常态化，真正实现从“人治”管理向“法治”管理和科学管理的转变。内控规范建设政策性强、涉及面广、工作量大且具有相当难度和专业性的工作，单位自身开展内控建设缺乏精力和专业知识和信息化手段，很难保证内控建设的效率和效果。下一步管理中将自我纠正、自我完善和持续改进，确保内控规范实施取得良好效果。</w:t>
      </w:r>
    </w:p>
    <w:p w14:paraId="7DB098F9">
      <w:pPr>
        <w:spacing w:line="560" w:lineRule="exact"/>
        <w:ind w:firstLine="640" w:firstLineChars="200"/>
        <w:rPr>
          <w:rFonts w:eastAsia="仿宋_GB2312"/>
          <w:sz w:val="32"/>
          <w:szCs w:val="32"/>
        </w:rPr>
      </w:pPr>
      <w:r>
        <w:rPr>
          <w:rFonts w:eastAsia="仿宋_GB2312"/>
          <w:sz w:val="32"/>
          <w:szCs w:val="32"/>
        </w:rPr>
        <w:t>2.部门内部控制制度的执行。</w:t>
      </w:r>
    </w:p>
    <w:p w14:paraId="0BD3444F">
      <w:pPr>
        <w:spacing w:line="560" w:lineRule="exact"/>
        <w:ind w:firstLine="640" w:firstLineChars="200"/>
        <w:rPr>
          <w:rFonts w:eastAsia="仿宋_GB2312"/>
          <w:sz w:val="32"/>
          <w:szCs w:val="32"/>
        </w:rPr>
      </w:pPr>
      <w:r>
        <w:rPr>
          <w:rFonts w:hint="eastAsia" w:eastAsia="仿宋_GB2312"/>
          <w:sz w:val="32"/>
          <w:szCs w:val="32"/>
        </w:rPr>
        <w:t>按照我单位编制的内部控制制度执行。</w:t>
      </w:r>
    </w:p>
    <w:p w14:paraId="0BE72F90">
      <w:pPr>
        <w:spacing w:line="560" w:lineRule="exact"/>
        <w:ind w:firstLine="640" w:firstLineChars="200"/>
        <w:rPr>
          <w:rFonts w:eastAsia="楷体_GB2312"/>
          <w:sz w:val="32"/>
          <w:szCs w:val="32"/>
        </w:rPr>
      </w:pPr>
      <w:r>
        <w:rPr>
          <w:rFonts w:eastAsia="楷体_GB2312"/>
          <w:sz w:val="32"/>
          <w:szCs w:val="32"/>
        </w:rPr>
        <w:t>（四）信息公开。</w:t>
      </w:r>
    </w:p>
    <w:p w14:paraId="4A8B2C5C">
      <w:pPr>
        <w:spacing w:line="560" w:lineRule="exact"/>
        <w:ind w:firstLine="640" w:firstLineChars="200"/>
        <w:rPr>
          <w:rFonts w:ascii="仿宋_GB2312" w:eastAsia="仿宋_GB2312"/>
          <w:sz w:val="32"/>
          <w:szCs w:val="32"/>
        </w:rPr>
      </w:pPr>
      <w:r>
        <w:rPr>
          <w:rFonts w:hint="eastAsia" w:ascii="仿宋_GB2312" w:eastAsia="仿宋_GB2312"/>
          <w:sz w:val="32"/>
          <w:szCs w:val="32"/>
        </w:rPr>
        <w:t>1、将编制好的本级部门预算整体绩效评价报告报县财政局；</w:t>
      </w:r>
    </w:p>
    <w:p w14:paraId="2C7E90BC">
      <w:pPr>
        <w:spacing w:line="560" w:lineRule="exact"/>
        <w:ind w:firstLine="640" w:firstLineChars="200"/>
        <w:rPr>
          <w:rFonts w:ascii="仿宋_GB2312" w:eastAsia="仿宋_GB2312"/>
          <w:sz w:val="32"/>
          <w:szCs w:val="32"/>
        </w:rPr>
      </w:pPr>
      <w:r>
        <w:rPr>
          <w:rFonts w:hint="eastAsia" w:ascii="仿宋_GB2312" w:eastAsia="仿宋_GB2312"/>
          <w:sz w:val="32"/>
          <w:szCs w:val="32"/>
        </w:rPr>
        <w:t>2、同时在按照要求在“盐边县公众信息网”财政信息板块下的“财政绩效评价信息专栏”进行公开公示。</w:t>
      </w:r>
    </w:p>
    <w:p w14:paraId="54EE5F97">
      <w:pPr>
        <w:spacing w:line="560" w:lineRule="exact"/>
        <w:ind w:firstLine="640" w:firstLineChars="200"/>
        <w:rPr>
          <w:rFonts w:eastAsia="楷体_GB2312"/>
          <w:sz w:val="32"/>
          <w:szCs w:val="32"/>
        </w:rPr>
      </w:pPr>
      <w:r>
        <w:rPr>
          <w:rFonts w:eastAsia="楷体_GB2312"/>
          <w:sz w:val="32"/>
          <w:szCs w:val="32"/>
        </w:rPr>
        <w:t>（五）绩效监控</w:t>
      </w:r>
      <w:r>
        <w:rPr>
          <w:rFonts w:hint="eastAsia" w:eastAsia="楷体_GB2312"/>
          <w:sz w:val="32"/>
          <w:szCs w:val="32"/>
        </w:rPr>
        <w:t>。</w:t>
      </w:r>
    </w:p>
    <w:p w14:paraId="1DD15139">
      <w:pPr>
        <w:spacing w:line="560" w:lineRule="exact"/>
        <w:ind w:firstLine="640" w:firstLineChars="200"/>
        <w:rPr>
          <w:rFonts w:ascii="仿宋_GB2312" w:eastAsia="仿宋_GB2312"/>
          <w:sz w:val="32"/>
          <w:szCs w:val="32"/>
        </w:rPr>
      </w:pPr>
      <w:r>
        <w:rPr>
          <w:rFonts w:hint="eastAsia" w:ascii="仿宋_GB2312" w:eastAsia="仿宋_GB2312"/>
          <w:sz w:val="32"/>
          <w:szCs w:val="32"/>
        </w:rPr>
        <w:t>2021年预算执行进度监控情况。</w:t>
      </w:r>
    </w:p>
    <w:p w14:paraId="40D67A6D">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w:t>
      </w:r>
      <w:r>
        <w:rPr>
          <w:rFonts w:hint="eastAsia" w:ascii="仿宋_GB2312" w:eastAsia="仿宋_GB2312"/>
          <w:sz w:val="32"/>
          <w:szCs w:val="32"/>
        </w:rPr>
        <w:t>1年惠民镇全年收入1548万元，全年支出1758.39万元，结转财政应返还额度210.39万元，支出执行进度为88%。</w:t>
      </w:r>
    </w:p>
    <w:p w14:paraId="7D0655B0">
      <w:pPr>
        <w:spacing w:line="560" w:lineRule="exact"/>
        <w:ind w:firstLine="640" w:firstLineChars="200"/>
        <w:rPr>
          <w:rFonts w:eastAsia="楷体_GB2312"/>
          <w:sz w:val="32"/>
          <w:szCs w:val="32"/>
        </w:rPr>
      </w:pPr>
      <w:r>
        <w:rPr>
          <w:rFonts w:eastAsia="楷体_GB2312"/>
          <w:sz w:val="32"/>
          <w:szCs w:val="32"/>
        </w:rPr>
        <w:t>（六）部门绩效情况。</w:t>
      </w:r>
    </w:p>
    <w:p w14:paraId="4B94EC1A">
      <w:pPr>
        <w:spacing w:line="560" w:lineRule="exact"/>
        <w:ind w:firstLine="640" w:firstLineChars="200"/>
        <w:rPr>
          <w:rFonts w:eastAsia="仿宋_GB2312"/>
          <w:sz w:val="32"/>
          <w:szCs w:val="32"/>
        </w:rPr>
      </w:pPr>
      <w:r>
        <w:rPr>
          <w:rFonts w:eastAsia="仿宋_GB2312"/>
          <w:sz w:val="32"/>
          <w:szCs w:val="32"/>
        </w:rPr>
        <w:t>1.总体绩效</w:t>
      </w:r>
    </w:p>
    <w:p w14:paraId="7F9E59CB">
      <w:pPr>
        <w:spacing w:line="560" w:lineRule="exact"/>
        <w:ind w:firstLine="640" w:firstLineChars="200"/>
        <w:rPr>
          <w:rFonts w:ascii="仿宋_GB2312" w:eastAsia="仿宋_GB2312"/>
          <w:sz w:val="32"/>
          <w:szCs w:val="32"/>
        </w:rPr>
      </w:pPr>
      <w:r>
        <w:rPr>
          <w:rFonts w:hint="eastAsia" w:ascii="仿宋_GB2312" w:eastAsia="仿宋_GB2312"/>
          <w:sz w:val="32"/>
          <w:szCs w:val="32"/>
        </w:rPr>
        <w:t>2021年总收入1548万元，2019年结转财政应返还额度208万元，2021年总支出1758.39万元，2020年结转财政应返还额度210.39万元。</w:t>
      </w:r>
    </w:p>
    <w:p w14:paraId="3A22B47B">
      <w:pPr>
        <w:spacing w:line="560" w:lineRule="exact"/>
        <w:ind w:firstLine="640" w:firstLineChars="200"/>
        <w:rPr>
          <w:rFonts w:eastAsia="仿宋_GB2312"/>
          <w:sz w:val="32"/>
          <w:szCs w:val="32"/>
        </w:rPr>
      </w:pPr>
      <w:r>
        <w:rPr>
          <w:rFonts w:eastAsia="仿宋_GB2312"/>
          <w:sz w:val="32"/>
          <w:szCs w:val="32"/>
        </w:rPr>
        <w:t>2.主要目标绩效完成情况</w:t>
      </w:r>
    </w:p>
    <w:p w14:paraId="2B8FFA51">
      <w:pPr>
        <w:spacing w:line="560" w:lineRule="exact"/>
        <w:ind w:firstLine="640" w:firstLineChars="200"/>
        <w:rPr>
          <w:rFonts w:ascii="仿宋_GB2312" w:eastAsia="仿宋_GB2312"/>
          <w:sz w:val="32"/>
          <w:szCs w:val="32"/>
        </w:rPr>
      </w:pPr>
      <w:r>
        <w:rPr>
          <w:rFonts w:hint="eastAsia" w:ascii="仿宋_GB2312" w:eastAsia="仿宋_GB2312"/>
          <w:sz w:val="32"/>
          <w:szCs w:val="32"/>
        </w:rPr>
        <w:t>一般公共服务（类）支出521.95万元，占全年支出29.68%；文化旅游体育与传媒（类）支出38.41万元，占全年支出2.2%；社会保障和就业（类）支出257.49万元，占全年支出14.64%；卫生健康支出51.36万元，占全年支出2.9%；农林水（类）支出804.71万元，占占全年支出45.76%；住房保障支出69.45万元，占全年支出3.96%；灾害防治及应急管理（类）支出15.03万元，占全年支出0.86%。</w:t>
      </w:r>
    </w:p>
    <w:p w14:paraId="69518AD2">
      <w:pPr>
        <w:spacing w:line="560" w:lineRule="exact"/>
        <w:ind w:firstLine="640" w:firstLineChars="200"/>
        <w:rPr>
          <w:rFonts w:ascii="仿宋_GB2312" w:hAnsi="微软雅黑" w:eastAsia="仿宋_GB2312"/>
          <w:color w:val="333333"/>
          <w:sz w:val="32"/>
          <w:szCs w:val="32"/>
        </w:rPr>
      </w:pPr>
      <w:r>
        <w:rPr>
          <w:rFonts w:hint="eastAsia" w:ascii="仿宋_GB2312" w:hAnsi="微软雅黑" w:eastAsia="仿宋_GB2312"/>
          <w:color w:val="333333"/>
          <w:sz w:val="32"/>
          <w:szCs w:val="32"/>
        </w:rPr>
        <w:t>3</w:t>
      </w:r>
      <w:r>
        <w:rPr>
          <w:rFonts w:ascii="仿宋_GB2312" w:hAnsi="微软雅黑" w:eastAsia="仿宋_GB2312"/>
          <w:color w:val="333333"/>
          <w:sz w:val="32"/>
          <w:szCs w:val="32"/>
        </w:rPr>
        <w:t>.</w:t>
      </w:r>
      <w:r>
        <w:rPr>
          <w:rFonts w:hint="eastAsia" w:ascii="仿宋_GB2312" w:hAnsi="微软雅黑" w:eastAsia="仿宋_GB2312"/>
          <w:color w:val="333333"/>
          <w:sz w:val="32"/>
          <w:szCs w:val="32"/>
        </w:rPr>
        <w:t>“三公”经费</w:t>
      </w:r>
      <w:r>
        <w:rPr>
          <w:rFonts w:ascii="仿宋_GB2312" w:hAnsi="微软雅黑" w:eastAsia="仿宋_GB2312"/>
          <w:color w:val="333333"/>
          <w:sz w:val="32"/>
          <w:szCs w:val="32"/>
        </w:rPr>
        <w:t>目标绩效完成情况</w:t>
      </w:r>
    </w:p>
    <w:p w14:paraId="13A2165A">
      <w:pPr>
        <w:spacing w:line="560" w:lineRule="exact"/>
        <w:ind w:firstLine="640" w:firstLineChars="200"/>
        <w:rPr>
          <w:rFonts w:ascii="仿宋_GB2312" w:hAnsi="微软雅黑" w:eastAsia="仿宋_GB2312"/>
          <w:color w:val="333333"/>
          <w:sz w:val="32"/>
          <w:szCs w:val="32"/>
        </w:rPr>
      </w:pPr>
      <w:r>
        <w:rPr>
          <w:rFonts w:hint="eastAsia" w:ascii="仿宋_GB2312" w:hAnsi="微软雅黑" w:eastAsia="仿宋_GB2312"/>
          <w:color w:val="333333"/>
          <w:sz w:val="32"/>
          <w:szCs w:val="32"/>
        </w:rPr>
        <w:t>（一）“三公”经费支出情况：2</w:t>
      </w:r>
      <w:r>
        <w:rPr>
          <w:rFonts w:ascii="仿宋_GB2312" w:hAnsi="微软雅黑" w:eastAsia="仿宋_GB2312"/>
          <w:color w:val="333333"/>
          <w:sz w:val="32"/>
          <w:szCs w:val="32"/>
        </w:rPr>
        <w:t>02</w:t>
      </w:r>
      <w:r>
        <w:rPr>
          <w:rFonts w:hint="eastAsia" w:ascii="仿宋_GB2312" w:hAnsi="微软雅黑" w:eastAsia="仿宋_GB2312"/>
          <w:color w:val="333333"/>
          <w:sz w:val="32"/>
          <w:szCs w:val="32"/>
        </w:rPr>
        <w:t>1年，我镇“三公”经费共计支出14.56万元，与年初预算数15万元相比减少0.44万元，与上年决算数34万元相比，减少19.44万元，2</w:t>
      </w:r>
      <w:r>
        <w:rPr>
          <w:rFonts w:ascii="仿宋_GB2312" w:hAnsi="微软雅黑" w:eastAsia="仿宋_GB2312"/>
          <w:color w:val="333333"/>
          <w:sz w:val="32"/>
          <w:szCs w:val="32"/>
        </w:rPr>
        <w:t>02</w:t>
      </w:r>
      <w:r>
        <w:rPr>
          <w:rFonts w:hint="eastAsia" w:ascii="仿宋_GB2312" w:hAnsi="微软雅黑" w:eastAsia="仿宋_GB2312"/>
          <w:color w:val="333333"/>
          <w:sz w:val="32"/>
          <w:szCs w:val="32"/>
        </w:rPr>
        <w:t>1年我镇共接待19批次，116人，公务用车车辆3辆，我镇依然严格压缩“三公”经费支出。</w:t>
      </w:r>
    </w:p>
    <w:p w14:paraId="3BE6A1B8">
      <w:pPr>
        <w:ind w:firstLine="709"/>
        <w:rPr>
          <w:rFonts w:ascii="仿宋_GB2312" w:hAnsi="微软雅黑" w:eastAsia="仿宋_GB2312"/>
          <w:color w:val="333333"/>
          <w:sz w:val="32"/>
          <w:szCs w:val="32"/>
        </w:rPr>
      </w:pPr>
      <w:r>
        <w:rPr>
          <w:rFonts w:hint="eastAsia" w:ascii="仿宋_GB2312" w:hAnsi="微软雅黑" w:eastAsia="仿宋_GB2312"/>
          <w:color w:val="333333"/>
          <w:sz w:val="32"/>
          <w:szCs w:val="32"/>
        </w:rPr>
        <w:t>（二）会议费较去年均有所下降，是因为疫情会议减少。</w:t>
      </w:r>
    </w:p>
    <w:p w14:paraId="2075C3CA">
      <w:pPr>
        <w:ind w:firstLine="709"/>
        <w:rPr>
          <w:rFonts w:ascii="仿宋_GB2312" w:hAnsi="微软雅黑" w:eastAsia="仿宋_GB2312"/>
          <w:color w:val="333333"/>
          <w:sz w:val="32"/>
          <w:szCs w:val="32"/>
        </w:rPr>
      </w:pPr>
      <w:r>
        <w:rPr>
          <w:rFonts w:hint="eastAsia" w:ascii="仿宋_GB2312" w:hAnsi="微软雅黑" w:eastAsia="仿宋_GB2312"/>
          <w:color w:val="333333"/>
          <w:sz w:val="32"/>
          <w:szCs w:val="32"/>
        </w:rPr>
        <w:t>（三）培训费较去年相对持平。</w:t>
      </w:r>
    </w:p>
    <w:p w14:paraId="26DF0AE0">
      <w:pPr>
        <w:spacing w:line="560" w:lineRule="exact"/>
        <w:ind w:firstLine="640" w:firstLineChars="200"/>
        <w:rPr>
          <w:rFonts w:eastAsia="黑体"/>
          <w:sz w:val="32"/>
          <w:szCs w:val="32"/>
        </w:rPr>
      </w:pPr>
      <w:r>
        <w:rPr>
          <w:rFonts w:eastAsia="黑体"/>
          <w:sz w:val="32"/>
          <w:szCs w:val="32"/>
        </w:rPr>
        <w:t>五、评价结论及建议</w:t>
      </w:r>
    </w:p>
    <w:p w14:paraId="3F3DBCBA">
      <w:pPr>
        <w:spacing w:line="560" w:lineRule="exact"/>
        <w:ind w:firstLine="640" w:firstLineChars="200"/>
        <w:rPr>
          <w:rFonts w:eastAsia="楷体_GB2312"/>
          <w:sz w:val="32"/>
          <w:szCs w:val="32"/>
        </w:rPr>
      </w:pPr>
      <w:r>
        <w:rPr>
          <w:rFonts w:eastAsia="楷体_GB2312"/>
          <w:sz w:val="32"/>
          <w:szCs w:val="32"/>
        </w:rPr>
        <w:t>（一）评价结论。</w:t>
      </w:r>
    </w:p>
    <w:p w14:paraId="0D7EF49B">
      <w:pPr>
        <w:spacing w:line="560" w:lineRule="exact"/>
        <w:ind w:firstLine="640" w:firstLineChars="200"/>
        <w:rPr>
          <w:rFonts w:eastAsia="仿宋_GB2312"/>
          <w:sz w:val="32"/>
          <w:szCs w:val="32"/>
        </w:rPr>
      </w:pPr>
      <w:r>
        <w:rPr>
          <w:rFonts w:hint="eastAsia" w:eastAsia="仿宋_GB2312"/>
          <w:sz w:val="32"/>
          <w:szCs w:val="32"/>
        </w:rPr>
        <w:t>我单位根据整体支出绩效评价指标体系，整体自评分数99分。</w:t>
      </w:r>
      <w:r>
        <w:rPr>
          <w:rFonts w:hint="eastAsia" w:ascii="仿宋_GB2312" w:hAnsi="微软雅黑" w:eastAsia="仿宋_GB2312"/>
          <w:color w:val="333333"/>
          <w:sz w:val="32"/>
          <w:szCs w:val="32"/>
        </w:rPr>
        <w:t>从整体情况来看，我单位重视财政资金的支出绩效，在资金的预算、执行、验收、支付等流程中层层把关，严格按照部门预算进行部门整体支出，</w:t>
      </w:r>
      <w:r>
        <w:rPr>
          <w:rFonts w:hint="eastAsia" w:ascii="仿宋_GB2312" w:eastAsia="仿宋_GB2312"/>
          <w:color w:val="333333"/>
          <w:sz w:val="32"/>
          <w:szCs w:val="32"/>
          <w:lang w:eastAsia="zh-CN"/>
        </w:rPr>
        <w:t>“三公”经费</w:t>
      </w:r>
      <w:r>
        <w:rPr>
          <w:rFonts w:hint="eastAsia" w:ascii="仿宋_GB2312" w:hAnsi="微软雅黑" w:eastAsia="仿宋_GB2312"/>
          <w:color w:val="333333"/>
          <w:sz w:val="32"/>
          <w:szCs w:val="32"/>
        </w:rPr>
        <w:t>逐年下降。所有项目资金严格按照项目申报的实施方案组织实施，并要求项目实施科室加强日常监督，依据相应的资金管理办法切实做到项目资金专款专用，无截留、挪用等现象。</w:t>
      </w:r>
    </w:p>
    <w:p w14:paraId="389A80AD">
      <w:pPr>
        <w:spacing w:line="560" w:lineRule="exact"/>
        <w:ind w:firstLine="640" w:firstLineChars="200"/>
        <w:rPr>
          <w:rFonts w:eastAsia="楷体_GB2312"/>
          <w:sz w:val="32"/>
          <w:szCs w:val="32"/>
        </w:rPr>
      </w:pPr>
      <w:r>
        <w:rPr>
          <w:rFonts w:eastAsia="楷体_GB2312"/>
          <w:sz w:val="32"/>
          <w:szCs w:val="32"/>
        </w:rPr>
        <w:t>（二）存在问题。</w:t>
      </w:r>
    </w:p>
    <w:p w14:paraId="50BDF09C">
      <w:pPr>
        <w:pStyle w:val="7"/>
        <w:spacing w:line="600" w:lineRule="exact"/>
        <w:ind w:left="638" w:leftChars="304" w:firstLine="320" w:firstLineChars="100"/>
        <w:jc w:val="left"/>
        <w:rPr>
          <w:rFonts w:ascii="仿宋_GB2312" w:hAnsi="微软雅黑" w:eastAsia="仿宋_GB2312"/>
          <w:color w:val="333333"/>
          <w:sz w:val="32"/>
          <w:szCs w:val="32"/>
        </w:rPr>
      </w:pPr>
      <w:r>
        <w:rPr>
          <w:rFonts w:hint="eastAsia" w:ascii="仿宋_GB2312" w:hAnsi="微软雅黑" w:eastAsia="仿宋_GB2312"/>
          <w:color w:val="333333"/>
          <w:sz w:val="32"/>
          <w:szCs w:val="32"/>
        </w:rPr>
        <w:t>1、年底财政资金紧缺，由于部分项目资金报账拖沓，导致支付进度滞后；</w:t>
      </w:r>
    </w:p>
    <w:p w14:paraId="722ECCEF">
      <w:pPr>
        <w:pStyle w:val="7"/>
        <w:spacing w:line="600" w:lineRule="exact"/>
        <w:ind w:left="638" w:leftChars="304" w:firstLine="320" w:firstLineChars="100"/>
        <w:jc w:val="left"/>
        <w:rPr>
          <w:rFonts w:ascii="仿宋_GB2312" w:hAnsi="Times New Roman" w:eastAsia="仿宋_GB2312"/>
          <w:sz w:val="32"/>
          <w:szCs w:val="32"/>
        </w:rPr>
      </w:pPr>
      <w:r>
        <w:rPr>
          <w:rFonts w:hint="eastAsia" w:ascii="仿宋_GB2312" w:hAnsi="微软雅黑" w:eastAsia="仿宋_GB2312"/>
          <w:color w:val="333333"/>
          <w:sz w:val="32"/>
          <w:szCs w:val="32"/>
        </w:rPr>
        <w:t>2、部分征地拆迁类项目，实际工作中谈判困难，导致资金支出滞后。</w:t>
      </w:r>
    </w:p>
    <w:p w14:paraId="643C018A">
      <w:pPr>
        <w:spacing w:line="560" w:lineRule="exact"/>
        <w:ind w:firstLine="640" w:firstLineChars="200"/>
        <w:rPr>
          <w:rFonts w:eastAsia="楷体_GB2312"/>
          <w:sz w:val="32"/>
          <w:szCs w:val="32"/>
        </w:rPr>
      </w:pPr>
      <w:r>
        <w:rPr>
          <w:rFonts w:eastAsia="楷体_GB2312"/>
          <w:sz w:val="32"/>
          <w:szCs w:val="32"/>
        </w:rPr>
        <w:t>（三）改进建议。</w:t>
      </w:r>
    </w:p>
    <w:p w14:paraId="5CB1E63F">
      <w:pPr>
        <w:spacing w:line="560" w:lineRule="exact"/>
        <w:ind w:firstLine="960" w:firstLineChars="300"/>
        <w:rPr>
          <w:rFonts w:ascii="仿宋_GB2312" w:eastAsia="仿宋_GB2312"/>
          <w:sz w:val="32"/>
          <w:szCs w:val="32"/>
        </w:rPr>
      </w:pPr>
      <w:r>
        <w:rPr>
          <w:rFonts w:hint="eastAsia" w:ascii="仿宋_GB2312" w:eastAsia="仿宋_GB2312"/>
          <w:sz w:val="32"/>
          <w:szCs w:val="32"/>
        </w:rPr>
        <w:t>加大支付力度。</w:t>
      </w:r>
    </w:p>
    <w:p w14:paraId="7C2D0B92">
      <w:pPr>
        <w:pStyle w:val="2"/>
        <w:spacing w:before="93"/>
        <w:rPr>
          <w:sz w:val="32"/>
          <w:szCs w:val="32"/>
        </w:rPr>
      </w:pPr>
    </w:p>
    <w:p w14:paraId="0BAC62DD">
      <w:pPr>
        <w:pStyle w:val="2"/>
        <w:spacing w:before="93"/>
        <w:rPr>
          <w:sz w:val="32"/>
          <w:szCs w:val="32"/>
        </w:rPr>
      </w:pPr>
    </w:p>
    <w:p w14:paraId="2B26D139">
      <w:pPr>
        <w:pStyle w:val="2"/>
        <w:spacing w:before="93"/>
        <w:rPr>
          <w:sz w:val="32"/>
          <w:szCs w:val="32"/>
        </w:rPr>
      </w:pPr>
    </w:p>
    <w:p w14:paraId="17A057DC">
      <w:pPr>
        <w:pStyle w:val="2"/>
        <w:spacing w:before="93"/>
        <w:rPr>
          <w:sz w:val="32"/>
          <w:szCs w:val="32"/>
        </w:rPr>
      </w:pPr>
    </w:p>
    <w:p w14:paraId="75464860">
      <w:pPr>
        <w:pStyle w:val="2"/>
        <w:spacing w:before="93"/>
        <w:rPr>
          <w:sz w:val="32"/>
          <w:szCs w:val="32"/>
        </w:rPr>
      </w:pPr>
    </w:p>
    <w:p w14:paraId="586678C8">
      <w:pPr>
        <w:spacing w:line="640" w:lineRule="exact"/>
        <w:jc w:val="center"/>
        <w:rPr>
          <w:rFonts w:eastAsia="方正小标宋_GBK"/>
          <w:sz w:val="44"/>
          <w:szCs w:val="44"/>
        </w:rPr>
      </w:pPr>
      <w:r>
        <w:rPr>
          <w:rFonts w:eastAsia="方正小标宋_GBK"/>
          <w:sz w:val="44"/>
          <w:szCs w:val="44"/>
        </w:rPr>
        <w:t>202</w:t>
      </w:r>
      <w:r>
        <w:rPr>
          <w:rFonts w:hint="eastAsia" w:eastAsia="方正小标宋_GBK"/>
          <w:sz w:val="44"/>
          <w:szCs w:val="44"/>
        </w:rPr>
        <w:t>1</w:t>
      </w:r>
      <w:r>
        <w:rPr>
          <w:rFonts w:eastAsia="方正小标宋_GBK"/>
          <w:sz w:val="44"/>
          <w:szCs w:val="44"/>
        </w:rPr>
        <w:t>年度专项（项目）资金绩效自评报告</w:t>
      </w:r>
    </w:p>
    <w:p w14:paraId="27E7B31D">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非洲猪瘟疫情防控专项经费</w:t>
      </w:r>
      <w:r>
        <w:rPr>
          <w:rFonts w:eastAsia="方正楷体_GBK"/>
          <w:b/>
          <w:sz w:val="32"/>
          <w:szCs w:val="32"/>
        </w:rPr>
        <w:t>）</w:t>
      </w:r>
    </w:p>
    <w:p w14:paraId="628194CC">
      <w:pPr>
        <w:spacing w:line="600" w:lineRule="exact"/>
        <w:rPr>
          <w:sz w:val="32"/>
          <w:szCs w:val="32"/>
          <w:lang w:val="zh-CN"/>
        </w:rPr>
      </w:pPr>
    </w:p>
    <w:p w14:paraId="72A5BF62">
      <w:pPr>
        <w:spacing w:line="560" w:lineRule="exact"/>
        <w:ind w:firstLine="640" w:firstLineChars="200"/>
        <w:rPr>
          <w:rFonts w:eastAsia="黑体"/>
          <w:sz w:val="32"/>
          <w:szCs w:val="32"/>
        </w:rPr>
      </w:pPr>
      <w:r>
        <w:rPr>
          <w:rFonts w:eastAsia="黑体"/>
          <w:sz w:val="32"/>
          <w:szCs w:val="32"/>
        </w:rPr>
        <w:t>一、项目概况</w:t>
      </w:r>
    </w:p>
    <w:p w14:paraId="1D3D139B">
      <w:pPr>
        <w:spacing w:line="560" w:lineRule="exact"/>
        <w:ind w:firstLine="640" w:firstLineChars="200"/>
        <w:rPr>
          <w:rFonts w:eastAsia="楷体_GB2312"/>
          <w:sz w:val="32"/>
          <w:szCs w:val="32"/>
        </w:rPr>
      </w:pPr>
      <w:r>
        <w:rPr>
          <w:rFonts w:eastAsia="楷体_GB2312"/>
          <w:sz w:val="32"/>
          <w:szCs w:val="32"/>
        </w:rPr>
        <w:t>（一）项目基本情况。</w:t>
      </w:r>
    </w:p>
    <w:p w14:paraId="08AA60DE">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3941A8F5">
      <w:pPr>
        <w:spacing w:line="560" w:lineRule="exact"/>
        <w:ind w:firstLine="800" w:firstLineChars="250"/>
        <w:rPr>
          <w:rFonts w:eastAsia="仿宋_GB2312"/>
          <w:sz w:val="32"/>
          <w:szCs w:val="32"/>
        </w:rPr>
      </w:pPr>
      <w:r>
        <w:rPr>
          <w:rFonts w:hint="eastAsia" w:eastAsia="仿宋_GB2312"/>
          <w:sz w:val="32"/>
          <w:szCs w:val="32"/>
        </w:rPr>
        <w:t>职能：牵头实施项目，编制实施方案，对该资金加强资金管理，确保专款专用，不得挪作他用，提高资金使用绩效</w:t>
      </w:r>
      <w:r>
        <w:rPr>
          <w:rFonts w:eastAsia="仿宋_GB2312"/>
          <w:sz w:val="32"/>
          <w:szCs w:val="32"/>
        </w:rPr>
        <w:t>。</w:t>
      </w:r>
    </w:p>
    <w:p w14:paraId="14125DD4">
      <w:pPr>
        <w:spacing w:line="560" w:lineRule="exact"/>
        <w:ind w:firstLine="640" w:firstLineChars="200"/>
        <w:rPr>
          <w:rFonts w:eastAsia="仿宋_GB2312"/>
          <w:sz w:val="32"/>
          <w:szCs w:val="32"/>
        </w:rPr>
      </w:pPr>
      <w:r>
        <w:rPr>
          <w:rFonts w:eastAsia="仿宋_GB2312"/>
          <w:sz w:val="32"/>
          <w:szCs w:val="32"/>
        </w:rPr>
        <w:t>2. 项目立项、资金申报的依据。</w:t>
      </w:r>
    </w:p>
    <w:p w14:paraId="00DA5A0E">
      <w:pPr>
        <w:spacing w:line="560" w:lineRule="exact"/>
        <w:ind w:firstLine="640" w:firstLineChars="200"/>
        <w:rPr>
          <w:rFonts w:eastAsia="仿宋_GB2312"/>
          <w:sz w:val="32"/>
          <w:szCs w:val="32"/>
        </w:rPr>
      </w:pPr>
      <w:r>
        <w:rPr>
          <w:rFonts w:hint="eastAsia" w:eastAsia="仿宋_GB2312"/>
          <w:sz w:val="32"/>
          <w:szCs w:val="32"/>
        </w:rPr>
        <w:t>根据盐财资预【2021】84号文件，下达非洲猪瘟疫情防控专项经费，专项用于非洲猪瘟疫情防控卡点人员值守补助。</w:t>
      </w:r>
    </w:p>
    <w:p w14:paraId="07D66243">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5CE697B1">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14EDF756">
      <w:pPr>
        <w:spacing w:line="560" w:lineRule="exact"/>
        <w:ind w:firstLine="640" w:firstLineChars="200"/>
        <w:rPr>
          <w:rFonts w:eastAsia="仿宋_GB2312"/>
          <w:sz w:val="32"/>
          <w:szCs w:val="32"/>
        </w:rPr>
      </w:pPr>
      <w:r>
        <w:rPr>
          <w:rFonts w:hint="eastAsia" w:eastAsia="仿宋_GB2312"/>
          <w:sz w:val="32"/>
          <w:szCs w:val="32"/>
        </w:rPr>
        <w:t>资金支付具体项目条件是：支付非洲猪瘟疫情卡点人员值守补助。</w:t>
      </w:r>
    </w:p>
    <w:p w14:paraId="56ADFAF3">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116516DD">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科学合理安排资金预算支出，实现资金落到实处，监督使用报账范围，重点考虑卡点值守人员相应补助</w:t>
      </w:r>
      <w:r>
        <w:rPr>
          <w:rFonts w:eastAsia="仿宋_GB2312"/>
          <w:sz w:val="32"/>
          <w:szCs w:val="32"/>
        </w:rPr>
        <w:t>。</w:t>
      </w:r>
    </w:p>
    <w:p w14:paraId="488D80C2">
      <w:pPr>
        <w:spacing w:line="560" w:lineRule="exact"/>
        <w:ind w:firstLine="640" w:firstLineChars="200"/>
        <w:rPr>
          <w:rFonts w:eastAsia="楷体_GB2312"/>
          <w:sz w:val="32"/>
          <w:szCs w:val="32"/>
        </w:rPr>
      </w:pPr>
      <w:r>
        <w:rPr>
          <w:rFonts w:eastAsia="楷体_GB2312"/>
          <w:sz w:val="32"/>
          <w:szCs w:val="32"/>
        </w:rPr>
        <w:t>（二）项目绩效目标。</w:t>
      </w:r>
    </w:p>
    <w:p w14:paraId="223FC3D2">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：非洲猪瘟疫情卡点人员值守补助。</w:t>
      </w:r>
    </w:p>
    <w:p w14:paraId="1A1398DF">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：非洲猪瘟疫情卡点人员值守补助。</w:t>
      </w:r>
    </w:p>
    <w:p w14:paraId="239E6FA8">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6D85AF3D">
      <w:pPr>
        <w:spacing w:line="560" w:lineRule="exact"/>
        <w:ind w:firstLine="640" w:firstLineChars="200"/>
        <w:rPr>
          <w:rFonts w:eastAsia="楷体_GB2312"/>
          <w:sz w:val="32"/>
          <w:szCs w:val="32"/>
        </w:rPr>
      </w:pPr>
      <w:r>
        <w:rPr>
          <w:rFonts w:eastAsia="楷体_GB2312"/>
          <w:sz w:val="32"/>
          <w:szCs w:val="32"/>
        </w:rPr>
        <w:t>（三）项目自评步骤及方法。</w:t>
      </w:r>
    </w:p>
    <w:p w14:paraId="48E767A1">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41392961">
      <w:pPr>
        <w:spacing w:line="560" w:lineRule="exact"/>
        <w:ind w:firstLine="640" w:firstLineChars="200"/>
        <w:rPr>
          <w:rFonts w:eastAsia="黑体"/>
          <w:sz w:val="32"/>
          <w:szCs w:val="32"/>
        </w:rPr>
      </w:pPr>
      <w:r>
        <w:rPr>
          <w:rFonts w:eastAsia="黑体"/>
          <w:sz w:val="32"/>
          <w:szCs w:val="32"/>
        </w:rPr>
        <w:t>二、项目资金申报及使用情况</w:t>
      </w:r>
    </w:p>
    <w:p w14:paraId="1242C1E9">
      <w:pPr>
        <w:spacing w:line="560" w:lineRule="exact"/>
        <w:ind w:firstLine="640" w:firstLineChars="200"/>
        <w:rPr>
          <w:rFonts w:eastAsia="楷体_GB2312"/>
          <w:sz w:val="32"/>
          <w:szCs w:val="32"/>
        </w:rPr>
      </w:pPr>
      <w:r>
        <w:rPr>
          <w:rFonts w:eastAsia="楷体_GB2312"/>
          <w:sz w:val="32"/>
          <w:szCs w:val="32"/>
        </w:rPr>
        <w:t>（一）项目资金申报及批复情况。</w:t>
      </w:r>
    </w:p>
    <w:p w14:paraId="396407D0">
      <w:pPr>
        <w:spacing w:line="560" w:lineRule="exact"/>
        <w:ind w:firstLine="640" w:firstLineChars="200"/>
        <w:rPr>
          <w:rFonts w:eastAsia="仿宋_GB2312"/>
          <w:sz w:val="32"/>
          <w:szCs w:val="32"/>
        </w:rPr>
      </w:pPr>
      <w:r>
        <w:rPr>
          <w:rFonts w:hint="eastAsia" w:eastAsia="仿宋_GB2312"/>
          <w:sz w:val="32"/>
          <w:szCs w:val="32"/>
        </w:rPr>
        <w:t>该资金为县财政局2021年中途追加下达县级预算，按照正常程序报账，预算大平台申报计划，再由县财政局审核计划，最后支付</w:t>
      </w:r>
      <w:r>
        <w:rPr>
          <w:rFonts w:eastAsia="仿宋_GB2312"/>
          <w:sz w:val="32"/>
          <w:szCs w:val="32"/>
        </w:rPr>
        <w:t>。</w:t>
      </w:r>
    </w:p>
    <w:p w14:paraId="4E77B557">
      <w:pPr>
        <w:spacing w:line="560" w:lineRule="exact"/>
        <w:ind w:firstLine="640" w:firstLineChars="200"/>
        <w:rPr>
          <w:rFonts w:eastAsia="楷体_GB2312"/>
          <w:sz w:val="32"/>
          <w:szCs w:val="32"/>
        </w:rPr>
      </w:pPr>
      <w:r>
        <w:rPr>
          <w:rFonts w:eastAsia="楷体_GB2312"/>
          <w:sz w:val="32"/>
          <w:szCs w:val="32"/>
        </w:rPr>
        <w:t>（二）资金计划、到位及使用情况。</w:t>
      </w:r>
    </w:p>
    <w:p w14:paraId="47D7BD01">
      <w:pPr>
        <w:spacing w:line="560" w:lineRule="exact"/>
        <w:ind w:firstLine="643" w:firstLineChars="200"/>
        <w:rPr>
          <w:rFonts w:eastAsia="仿宋_GB2312"/>
          <w:sz w:val="32"/>
          <w:szCs w:val="32"/>
        </w:rPr>
      </w:pPr>
      <w:r>
        <w:rPr>
          <w:rFonts w:eastAsia="仿宋_GB2312"/>
          <w:b/>
          <w:sz w:val="32"/>
          <w:szCs w:val="32"/>
        </w:rPr>
        <w:t>1.资金计划。</w:t>
      </w:r>
    </w:p>
    <w:p w14:paraId="2478AFF0">
      <w:pPr>
        <w:spacing w:line="560" w:lineRule="exact"/>
        <w:ind w:firstLine="640" w:firstLineChars="200"/>
        <w:rPr>
          <w:rFonts w:eastAsia="仿宋_GB2312"/>
          <w:sz w:val="32"/>
          <w:szCs w:val="32"/>
        </w:rPr>
      </w:pPr>
      <w:r>
        <w:rPr>
          <w:rFonts w:hint="eastAsia" w:eastAsia="仿宋_GB2312"/>
          <w:sz w:val="32"/>
          <w:szCs w:val="32"/>
        </w:rPr>
        <w:t>2021年预算下达17.48万元非洲猪瘟疫情防控专项经费。</w:t>
      </w:r>
    </w:p>
    <w:p w14:paraId="4E2C3600">
      <w:pPr>
        <w:spacing w:line="560" w:lineRule="exact"/>
        <w:ind w:firstLine="643" w:firstLineChars="200"/>
        <w:rPr>
          <w:rFonts w:eastAsia="仿宋_GB2312"/>
          <w:sz w:val="32"/>
          <w:szCs w:val="32"/>
        </w:rPr>
      </w:pPr>
      <w:r>
        <w:rPr>
          <w:rFonts w:eastAsia="仿宋_GB2312"/>
          <w:b/>
          <w:sz w:val="32"/>
          <w:szCs w:val="32"/>
        </w:rPr>
        <w:t>2.资金到位。</w:t>
      </w:r>
    </w:p>
    <w:p w14:paraId="3BA2D4F2">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36CD3BE0">
      <w:pPr>
        <w:spacing w:line="560" w:lineRule="exact"/>
        <w:ind w:firstLine="643" w:firstLineChars="200"/>
        <w:rPr>
          <w:rFonts w:eastAsia="仿宋_GB2312"/>
          <w:sz w:val="32"/>
          <w:szCs w:val="32"/>
        </w:rPr>
      </w:pPr>
      <w:r>
        <w:rPr>
          <w:rFonts w:eastAsia="仿宋_GB2312"/>
          <w:b/>
          <w:sz w:val="32"/>
          <w:szCs w:val="32"/>
        </w:rPr>
        <w:t>3.资金使用。</w:t>
      </w:r>
    </w:p>
    <w:p w14:paraId="692B9195">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66DB31B0">
      <w:pPr>
        <w:spacing w:line="560" w:lineRule="exact"/>
        <w:ind w:firstLine="640" w:firstLineChars="200"/>
        <w:rPr>
          <w:rFonts w:eastAsia="楷体_GB2312"/>
          <w:sz w:val="32"/>
          <w:szCs w:val="32"/>
        </w:rPr>
      </w:pPr>
      <w:r>
        <w:rPr>
          <w:rFonts w:eastAsia="楷体_GB2312"/>
          <w:sz w:val="32"/>
          <w:szCs w:val="32"/>
        </w:rPr>
        <w:t>（三）项目财务管理情况。</w:t>
      </w:r>
    </w:p>
    <w:p w14:paraId="5488B828">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p>
    <w:p w14:paraId="78847AD2">
      <w:pPr>
        <w:spacing w:line="560" w:lineRule="exact"/>
        <w:ind w:firstLine="640" w:firstLineChars="200"/>
        <w:rPr>
          <w:rFonts w:eastAsia="黑体"/>
          <w:sz w:val="32"/>
          <w:szCs w:val="32"/>
        </w:rPr>
      </w:pPr>
      <w:r>
        <w:rPr>
          <w:rFonts w:eastAsia="黑体"/>
          <w:sz w:val="32"/>
          <w:szCs w:val="32"/>
        </w:rPr>
        <w:t>三、项目实施及管理情况</w:t>
      </w:r>
    </w:p>
    <w:p w14:paraId="0A5BEFB5">
      <w:pPr>
        <w:spacing w:line="560" w:lineRule="exact"/>
        <w:ind w:firstLine="640" w:firstLineChars="200"/>
        <w:rPr>
          <w:rFonts w:eastAsia="楷体_GB2312"/>
          <w:sz w:val="32"/>
          <w:szCs w:val="32"/>
        </w:rPr>
      </w:pPr>
      <w:r>
        <w:rPr>
          <w:rFonts w:eastAsia="楷体_GB2312"/>
          <w:sz w:val="32"/>
          <w:szCs w:val="32"/>
        </w:rPr>
        <w:t>（一）项目组织架构及实施流程。</w:t>
      </w:r>
    </w:p>
    <w:p w14:paraId="2F734651">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由我单位牵头，各村、社区协助开展工作。根据项目申报和经费下达情况进行方案编制。</w:t>
      </w:r>
    </w:p>
    <w:p w14:paraId="7409A725">
      <w:pPr>
        <w:spacing w:line="560" w:lineRule="exact"/>
        <w:ind w:firstLine="640" w:firstLineChars="200"/>
        <w:rPr>
          <w:rFonts w:eastAsia="楷体_GB2312"/>
          <w:sz w:val="32"/>
          <w:szCs w:val="32"/>
        </w:rPr>
      </w:pPr>
      <w:r>
        <w:rPr>
          <w:rFonts w:eastAsia="楷体_GB2312"/>
          <w:sz w:val="32"/>
          <w:szCs w:val="32"/>
        </w:rPr>
        <w:t>（二）项目管理情况。</w:t>
      </w:r>
    </w:p>
    <w:p w14:paraId="292EF923">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新冠疫情相关资金，服务全镇辖区群众，县财政局下达预算资金，相关经办人员结合实际发生费用提供相关报账原始凭据报账，我单位进行审核，向财政局统一预算管理平台申报计划，进行支付、核算。</w:t>
      </w:r>
    </w:p>
    <w:p w14:paraId="1928E818">
      <w:pPr>
        <w:spacing w:line="560" w:lineRule="exact"/>
        <w:ind w:firstLine="640" w:firstLineChars="200"/>
        <w:rPr>
          <w:rFonts w:eastAsia="楷体_GB2312"/>
          <w:sz w:val="32"/>
          <w:szCs w:val="32"/>
        </w:rPr>
      </w:pPr>
      <w:r>
        <w:rPr>
          <w:rFonts w:eastAsia="楷体_GB2312"/>
          <w:sz w:val="32"/>
          <w:szCs w:val="32"/>
        </w:rPr>
        <w:t>（三）项目监管情况。</w:t>
      </w:r>
    </w:p>
    <w:p w14:paraId="378D0E8B">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38416AF7">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02B26132">
      <w:pPr>
        <w:spacing w:line="560" w:lineRule="exact"/>
        <w:ind w:firstLine="640" w:firstLineChars="200"/>
        <w:rPr>
          <w:rFonts w:eastAsia="楷体_GB2312"/>
          <w:sz w:val="32"/>
          <w:szCs w:val="32"/>
        </w:rPr>
      </w:pPr>
      <w:r>
        <w:rPr>
          <w:rFonts w:eastAsia="楷体_GB2312"/>
          <w:sz w:val="32"/>
          <w:szCs w:val="32"/>
        </w:rPr>
        <w:t>（一）项目完成情况。</w:t>
      </w:r>
    </w:p>
    <w:p w14:paraId="7E3BE1E3">
      <w:pPr>
        <w:spacing w:line="560" w:lineRule="exact"/>
        <w:ind w:firstLine="640" w:firstLineChars="200"/>
        <w:rPr>
          <w:rFonts w:eastAsia="仿宋_GB2312"/>
          <w:sz w:val="32"/>
          <w:szCs w:val="32"/>
        </w:rPr>
      </w:pPr>
      <w:r>
        <w:rPr>
          <w:rFonts w:hint="eastAsia" w:eastAsia="仿宋_GB2312"/>
          <w:sz w:val="32"/>
          <w:szCs w:val="32"/>
        </w:rPr>
        <w:t>已于2021年全部使用、报账及核算。主要用于卡点值守人员相应补助。</w:t>
      </w:r>
    </w:p>
    <w:p w14:paraId="48F76160">
      <w:pPr>
        <w:spacing w:line="560" w:lineRule="exact"/>
        <w:ind w:firstLine="640" w:firstLineChars="200"/>
        <w:rPr>
          <w:rFonts w:eastAsia="楷体_GB2312"/>
          <w:sz w:val="32"/>
          <w:szCs w:val="32"/>
        </w:rPr>
      </w:pPr>
      <w:r>
        <w:rPr>
          <w:rFonts w:eastAsia="楷体_GB2312"/>
          <w:sz w:val="32"/>
          <w:szCs w:val="32"/>
        </w:rPr>
        <w:t>（二）项目效益情况。</w:t>
      </w:r>
    </w:p>
    <w:p w14:paraId="254757FE">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对突发公共卫生事件反应及时，保障基本民生；良好保持我镇辖区疫情防控常态化的到稳定，大力宣传疫情防控知识，提高群众疫情防控意识水平；辖区内群众满意度较高。</w:t>
      </w:r>
    </w:p>
    <w:p w14:paraId="609BCC0D">
      <w:pPr>
        <w:spacing w:line="560" w:lineRule="exact"/>
        <w:ind w:firstLine="640" w:firstLineChars="200"/>
        <w:rPr>
          <w:rFonts w:eastAsia="黑体"/>
          <w:sz w:val="32"/>
          <w:szCs w:val="32"/>
        </w:rPr>
      </w:pPr>
      <w:r>
        <w:rPr>
          <w:rFonts w:eastAsia="黑体"/>
          <w:sz w:val="32"/>
          <w:szCs w:val="32"/>
        </w:rPr>
        <w:t>五、评价结论及建议</w:t>
      </w:r>
    </w:p>
    <w:p w14:paraId="67A56F85">
      <w:pPr>
        <w:spacing w:line="560" w:lineRule="exact"/>
        <w:ind w:firstLine="640" w:firstLineChars="200"/>
        <w:rPr>
          <w:rFonts w:eastAsia="楷体_GB2312"/>
          <w:sz w:val="32"/>
          <w:szCs w:val="32"/>
        </w:rPr>
      </w:pPr>
      <w:r>
        <w:rPr>
          <w:rFonts w:eastAsia="楷体_GB2312"/>
          <w:sz w:val="32"/>
          <w:szCs w:val="32"/>
        </w:rPr>
        <w:t>（一）评价结论。</w:t>
      </w:r>
    </w:p>
    <w:p w14:paraId="475BA1DC">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3A7A1508">
      <w:pPr>
        <w:spacing w:line="560" w:lineRule="exact"/>
        <w:ind w:firstLine="640" w:firstLineChars="200"/>
        <w:rPr>
          <w:rFonts w:eastAsia="楷体_GB2312"/>
          <w:sz w:val="32"/>
          <w:szCs w:val="32"/>
        </w:rPr>
      </w:pPr>
      <w:r>
        <w:rPr>
          <w:rFonts w:eastAsia="楷体_GB2312"/>
          <w:sz w:val="32"/>
          <w:szCs w:val="32"/>
        </w:rPr>
        <w:t>（二）存在的问题。</w:t>
      </w:r>
    </w:p>
    <w:p w14:paraId="4905174F">
      <w:pPr>
        <w:spacing w:line="560" w:lineRule="exact"/>
        <w:ind w:firstLine="640" w:firstLineChars="200"/>
        <w:rPr>
          <w:rFonts w:eastAsia="仿宋_GB2312"/>
          <w:sz w:val="32"/>
          <w:szCs w:val="32"/>
        </w:rPr>
      </w:pPr>
      <w:r>
        <w:rPr>
          <w:rFonts w:hint="eastAsia" w:eastAsia="仿宋_GB2312"/>
          <w:sz w:val="32"/>
          <w:szCs w:val="32"/>
        </w:rPr>
        <w:t>无问题。</w:t>
      </w:r>
    </w:p>
    <w:p w14:paraId="20A87DA5">
      <w:pPr>
        <w:spacing w:line="560" w:lineRule="exact"/>
        <w:ind w:firstLine="640" w:firstLineChars="200"/>
        <w:rPr>
          <w:rFonts w:eastAsia="楷体_GB2312"/>
          <w:sz w:val="32"/>
          <w:szCs w:val="32"/>
        </w:rPr>
      </w:pPr>
      <w:r>
        <w:rPr>
          <w:rFonts w:eastAsia="楷体_GB2312"/>
          <w:sz w:val="32"/>
          <w:szCs w:val="32"/>
        </w:rPr>
        <w:t>（三）相关建议。</w:t>
      </w:r>
    </w:p>
    <w:p w14:paraId="37225A37">
      <w:pPr>
        <w:spacing w:line="560" w:lineRule="exact"/>
        <w:ind w:firstLine="640" w:firstLineChars="200"/>
        <w:rPr>
          <w:rFonts w:eastAsia="仿宋_GB2312"/>
          <w:sz w:val="32"/>
          <w:szCs w:val="32"/>
        </w:rPr>
      </w:pPr>
      <w:r>
        <w:rPr>
          <w:rFonts w:hint="eastAsia" w:eastAsia="仿宋_GB2312"/>
          <w:sz w:val="32"/>
          <w:szCs w:val="32"/>
        </w:rPr>
        <w:t>无建议。</w:t>
      </w:r>
    </w:p>
    <w:p w14:paraId="48674E37">
      <w:pPr>
        <w:pStyle w:val="2"/>
        <w:spacing w:before="93"/>
      </w:pPr>
    </w:p>
    <w:p w14:paraId="34CB1A8E">
      <w:pPr>
        <w:pStyle w:val="2"/>
        <w:spacing w:before="93"/>
      </w:pPr>
    </w:p>
    <w:p w14:paraId="391435A7">
      <w:pPr>
        <w:pStyle w:val="2"/>
        <w:spacing w:before="93"/>
      </w:pPr>
    </w:p>
    <w:p w14:paraId="177C213A">
      <w:pPr>
        <w:pStyle w:val="2"/>
        <w:spacing w:before="93"/>
      </w:pPr>
    </w:p>
    <w:p w14:paraId="6E40CDF5">
      <w:pPr>
        <w:pStyle w:val="2"/>
        <w:spacing w:before="93"/>
      </w:pPr>
    </w:p>
    <w:p w14:paraId="44FE2C96">
      <w:pPr>
        <w:pStyle w:val="2"/>
        <w:spacing w:before="93"/>
      </w:pPr>
    </w:p>
    <w:p w14:paraId="7CE9A364">
      <w:pPr>
        <w:pStyle w:val="2"/>
        <w:spacing w:before="93"/>
      </w:pPr>
    </w:p>
    <w:p w14:paraId="217EF914">
      <w:pPr>
        <w:pStyle w:val="2"/>
        <w:spacing w:before="93"/>
      </w:pPr>
    </w:p>
    <w:p w14:paraId="1FD04136">
      <w:pPr>
        <w:pStyle w:val="2"/>
        <w:spacing w:before="93"/>
      </w:pPr>
    </w:p>
    <w:p w14:paraId="1852FAF5">
      <w:pPr>
        <w:pStyle w:val="2"/>
        <w:spacing w:before="93"/>
      </w:pPr>
    </w:p>
    <w:p w14:paraId="718062C4">
      <w:pPr>
        <w:pStyle w:val="2"/>
        <w:spacing w:before="93"/>
      </w:pPr>
    </w:p>
    <w:p w14:paraId="1607A0EF">
      <w:pPr>
        <w:pStyle w:val="2"/>
        <w:spacing w:before="93"/>
      </w:pPr>
    </w:p>
    <w:p w14:paraId="163B1D0B">
      <w:pPr>
        <w:pStyle w:val="2"/>
        <w:spacing w:before="93"/>
      </w:pPr>
    </w:p>
    <w:p w14:paraId="0F3EC550">
      <w:pPr>
        <w:pStyle w:val="2"/>
        <w:spacing w:before="93"/>
      </w:pPr>
    </w:p>
    <w:tbl>
      <w:tblPr>
        <w:tblStyle w:val="13"/>
        <w:tblpPr w:leftFromText="180" w:rightFromText="180" w:vertAnchor="text" w:horzAnchor="page" w:tblpX="1281" w:tblpY="660"/>
        <w:tblOverlap w:val="never"/>
        <w:tblW w:w="9525" w:type="dxa"/>
        <w:tblInd w:w="0" w:type="dxa"/>
        <w:tblLayout w:type="fixed"/>
        <w:tblCellMar>
          <w:top w:w="0" w:type="dxa"/>
          <w:left w:w="108" w:type="dxa"/>
          <w:bottom w:w="0" w:type="dxa"/>
          <w:right w:w="108" w:type="dxa"/>
        </w:tblCellMar>
      </w:tblPr>
      <w:tblGrid>
        <w:gridCol w:w="1206"/>
        <w:gridCol w:w="825"/>
        <w:gridCol w:w="994"/>
        <w:gridCol w:w="793"/>
        <w:gridCol w:w="792"/>
        <w:gridCol w:w="1271"/>
        <w:gridCol w:w="1375"/>
        <w:gridCol w:w="963"/>
        <w:gridCol w:w="1070"/>
        <w:gridCol w:w="236"/>
      </w:tblGrid>
      <w:tr w14:paraId="483E7FDE">
        <w:tblPrEx>
          <w:tblCellMar>
            <w:top w:w="0" w:type="dxa"/>
            <w:left w:w="108" w:type="dxa"/>
            <w:bottom w:w="0" w:type="dxa"/>
            <w:right w:w="108" w:type="dxa"/>
          </w:tblCellMar>
        </w:tblPrEx>
        <w:trPr>
          <w:trHeight w:val="803" w:hRule="atLeast"/>
        </w:trPr>
        <w:tc>
          <w:tcPr>
            <w:tcW w:w="9289" w:type="dxa"/>
            <w:gridSpan w:val="9"/>
            <w:tcBorders>
              <w:top w:val="nil"/>
              <w:left w:val="nil"/>
              <w:bottom w:val="nil"/>
              <w:right w:val="nil"/>
            </w:tcBorders>
            <w:shd w:val="clear" w:color="auto" w:fill="auto"/>
            <w:vAlign w:val="center"/>
          </w:tcPr>
          <w:p w14:paraId="288EF5DE">
            <w:pPr>
              <w:widowControl/>
              <w:jc w:val="center"/>
              <w:textAlignment w:val="center"/>
              <w:rPr>
                <w:rFonts w:ascii="宋体" w:hAnsi="宋体" w:cs="宋体"/>
                <w:b/>
                <w:sz w:val="28"/>
                <w:szCs w:val="28"/>
              </w:rPr>
            </w:pPr>
            <w:r>
              <w:rPr>
                <w:rFonts w:hint="eastAsia" w:ascii="宋体" w:hAnsi="宋体" w:cs="宋体"/>
                <w:b/>
                <w:sz w:val="28"/>
                <w:szCs w:val="28"/>
              </w:rPr>
              <w:t>非洲猪瘟疫情防控专项经费部门预算项目绩效目标自评</w:t>
            </w:r>
          </w:p>
        </w:tc>
        <w:tc>
          <w:tcPr>
            <w:tcW w:w="236" w:type="dxa"/>
            <w:tcBorders>
              <w:top w:val="nil"/>
              <w:left w:val="nil"/>
              <w:bottom w:val="nil"/>
              <w:right w:val="nil"/>
            </w:tcBorders>
            <w:shd w:val="clear" w:color="auto" w:fill="auto"/>
            <w:vAlign w:val="center"/>
          </w:tcPr>
          <w:p w14:paraId="02561B8D">
            <w:pPr>
              <w:widowControl/>
              <w:jc w:val="center"/>
              <w:textAlignment w:val="center"/>
              <w:rPr>
                <w:rFonts w:ascii="宋体" w:hAnsi="宋体" w:cs="宋体"/>
                <w:b/>
                <w:kern w:val="0"/>
                <w:sz w:val="32"/>
                <w:szCs w:val="32"/>
              </w:rPr>
            </w:pPr>
          </w:p>
        </w:tc>
      </w:tr>
      <w:tr w14:paraId="18A198D7">
        <w:tblPrEx>
          <w:tblCellMar>
            <w:top w:w="0" w:type="dxa"/>
            <w:left w:w="108" w:type="dxa"/>
            <w:bottom w:w="0" w:type="dxa"/>
            <w:right w:w="108" w:type="dxa"/>
          </w:tblCellMar>
        </w:tblPrEx>
        <w:trPr>
          <w:gridAfter w:val="1"/>
          <w:wAfter w:w="236" w:type="dxa"/>
          <w:trHeight w:val="302" w:hRule="atLeast"/>
        </w:trPr>
        <w:tc>
          <w:tcPr>
            <w:tcW w:w="3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EDE21D">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EABF0D">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7965">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162DE">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60960092">
        <w:tblPrEx>
          <w:tblCellMar>
            <w:top w:w="0" w:type="dxa"/>
            <w:left w:w="108" w:type="dxa"/>
            <w:bottom w:w="0" w:type="dxa"/>
            <w:right w:w="108" w:type="dxa"/>
          </w:tblCellMar>
        </w:tblPrEx>
        <w:trPr>
          <w:gridAfter w:val="1"/>
          <w:wAfter w:w="236" w:type="dxa"/>
          <w:trHeight w:val="405" w:hRule="atLeast"/>
        </w:trPr>
        <w:tc>
          <w:tcPr>
            <w:tcW w:w="30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E8EA36">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37853">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1D82">
            <w:pPr>
              <w:widowControl/>
              <w:spacing w:line="320" w:lineRule="exact"/>
              <w:jc w:val="left"/>
              <w:textAlignment w:val="center"/>
              <w:rPr>
                <w:rFonts w:ascii="宋体" w:hAnsi="宋体" w:cs="宋体"/>
                <w:sz w:val="24"/>
              </w:rPr>
            </w:pPr>
            <w:r>
              <w:rPr>
                <w:rFonts w:hint="eastAsia" w:ascii="宋体" w:hAnsi="宋体" w:cs="宋体"/>
                <w:sz w:val="24"/>
              </w:rPr>
              <w:t>17.48</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DC03">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3E023">
            <w:pPr>
              <w:widowControl/>
              <w:spacing w:line="320" w:lineRule="exact"/>
              <w:jc w:val="center"/>
              <w:textAlignment w:val="center"/>
              <w:rPr>
                <w:rFonts w:ascii="宋体" w:hAnsi="宋体" w:cs="宋体"/>
                <w:sz w:val="24"/>
              </w:rPr>
            </w:pPr>
            <w:r>
              <w:rPr>
                <w:rFonts w:hint="eastAsia" w:ascii="宋体" w:hAnsi="宋体" w:cs="宋体"/>
                <w:sz w:val="24"/>
              </w:rPr>
              <w:t>17.48</w:t>
            </w:r>
          </w:p>
        </w:tc>
      </w:tr>
      <w:tr w14:paraId="64F0E02E">
        <w:tblPrEx>
          <w:tblCellMar>
            <w:top w:w="0" w:type="dxa"/>
            <w:left w:w="108" w:type="dxa"/>
            <w:bottom w:w="0" w:type="dxa"/>
            <w:right w:w="108" w:type="dxa"/>
          </w:tblCellMar>
        </w:tblPrEx>
        <w:trPr>
          <w:gridAfter w:val="1"/>
          <w:wAfter w:w="236" w:type="dxa"/>
          <w:trHeight w:val="660" w:hRule="atLeast"/>
        </w:trPr>
        <w:tc>
          <w:tcPr>
            <w:tcW w:w="30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71E5C">
            <w:pPr>
              <w:spacing w:line="320" w:lineRule="exact"/>
              <w:jc w:val="center"/>
              <w:rPr>
                <w:rFonts w:ascii="宋体" w:hAnsi="宋体" w:cs="宋体"/>
                <w:sz w:val="24"/>
              </w:rPr>
            </w:pPr>
          </w:p>
        </w:tc>
        <w:tc>
          <w:tcPr>
            <w:tcW w:w="1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CD7E1">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18CB6014">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AD01">
            <w:pPr>
              <w:widowControl/>
              <w:spacing w:line="320" w:lineRule="exact"/>
              <w:jc w:val="left"/>
              <w:textAlignment w:val="center"/>
              <w:rPr>
                <w:rFonts w:ascii="宋体" w:hAnsi="宋体" w:cs="宋体"/>
                <w:sz w:val="24"/>
              </w:rPr>
            </w:pPr>
            <w:r>
              <w:rPr>
                <w:rFonts w:hint="eastAsia" w:ascii="宋体" w:hAnsi="宋体" w:cs="宋体"/>
                <w:sz w:val="24"/>
              </w:rPr>
              <w:t>17.48</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8B6B">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770F88BB">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D38334">
            <w:pPr>
              <w:widowControl/>
              <w:spacing w:line="320" w:lineRule="exact"/>
              <w:textAlignment w:val="center"/>
              <w:rPr>
                <w:rFonts w:ascii="宋体" w:hAnsi="宋体" w:cs="宋体"/>
                <w:sz w:val="24"/>
              </w:rPr>
            </w:pPr>
            <w:r>
              <w:rPr>
                <w:rFonts w:hint="eastAsia" w:ascii="宋体" w:hAnsi="宋体" w:cs="宋体"/>
                <w:sz w:val="24"/>
              </w:rPr>
              <w:t>17.48</w:t>
            </w:r>
          </w:p>
        </w:tc>
      </w:tr>
      <w:tr w14:paraId="0B53B10C">
        <w:tblPrEx>
          <w:tblCellMar>
            <w:top w:w="0" w:type="dxa"/>
            <w:left w:w="108" w:type="dxa"/>
            <w:bottom w:w="0" w:type="dxa"/>
            <w:right w:w="108" w:type="dxa"/>
          </w:tblCellMar>
        </w:tblPrEx>
        <w:trPr>
          <w:gridAfter w:val="1"/>
          <w:wAfter w:w="236" w:type="dxa"/>
          <w:trHeight w:val="405" w:hRule="atLeast"/>
        </w:trPr>
        <w:tc>
          <w:tcPr>
            <w:tcW w:w="30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533AC">
            <w:pPr>
              <w:spacing w:line="320" w:lineRule="exact"/>
              <w:jc w:val="center"/>
              <w:rPr>
                <w:rFonts w:ascii="宋体" w:hAnsi="宋体" w:cs="宋体"/>
                <w:sz w:val="24"/>
              </w:rPr>
            </w:pPr>
          </w:p>
        </w:tc>
        <w:tc>
          <w:tcPr>
            <w:tcW w:w="1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29ED0">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BEFF">
            <w:pPr>
              <w:widowControl/>
              <w:spacing w:line="320" w:lineRule="exact"/>
              <w:jc w:val="left"/>
              <w:textAlignment w:val="center"/>
              <w:rPr>
                <w:rFonts w:ascii="宋体" w:hAnsi="宋体" w:cs="宋体"/>
                <w:sz w:val="24"/>
              </w:rPr>
            </w:pP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055D">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B9CA8">
            <w:pPr>
              <w:widowControl/>
              <w:spacing w:line="320" w:lineRule="exact"/>
              <w:jc w:val="center"/>
              <w:textAlignment w:val="center"/>
              <w:rPr>
                <w:rFonts w:ascii="宋体" w:hAnsi="宋体" w:cs="宋体"/>
                <w:sz w:val="24"/>
              </w:rPr>
            </w:pPr>
          </w:p>
        </w:tc>
      </w:tr>
      <w:tr w14:paraId="1D247387">
        <w:tblPrEx>
          <w:tblCellMar>
            <w:top w:w="0" w:type="dxa"/>
            <w:left w:w="108" w:type="dxa"/>
            <w:bottom w:w="0" w:type="dxa"/>
            <w:right w:w="108" w:type="dxa"/>
          </w:tblCellMar>
        </w:tblPrEx>
        <w:trPr>
          <w:gridAfter w:val="1"/>
          <w:wAfter w:w="236" w:type="dxa"/>
          <w:trHeight w:val="258" w:hRule="atLeast"/>
        </w:trPr>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D8C5F">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3CD10CA9">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6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237A99">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4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FB2C3">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70661ED0">
        <w:tblPrEx>
          <w:tblCellMar>
            <w:top w:w="0" w:type="dxa"/>
            <w:left w:w="108" w:type="dxa"/>
            <w:bottom w:w="0" w:type="dxa"/>
            <w:right w:w="108" w:type="dxa"/>
          </w:tblCellMar>
        </w:tblPrEx>
        <w:trPr>
          <w:gridAfter w:val="1"/>
          <w:wAfter w:w="236" w:type="dxa"/>
          <w:trHeight w:val="948" w:hRule="atLeast"/>
        </w:trPr>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FD2C">
            <w:pPr>
              <w:spacing w:line="320" w:lineRule="exact"/>
              <w:jc w:val="center"/>
              <w:rPr>
                <w:rFonts w:ascii="宋体" w:hAnsi="宋体" w:cs="宋体"/>
                <w:sz w:val="24"/>
              </w:rPr>
            </w:pPr>
          </w:p>
        </w:tc>
        <w:tc>
          <w:tcPr>
            <w:tcW w:w="4675" w:type="dxa"/>
            <w:gridSpan w:val="5"/>
            <w:tcBorders>
              <w:top w:val="single" w:color="000000" w:sz="4" w:space="0"/>
              <w:left w:val="single" w:color="000000" w:sz="4" w:space="0"/>
              <w:bottom w:val="single" w:color="000000" w:sz="4" w:space="0"/>
              <w:right w:val="single" w:color="000000" w:sz="4" w:space="0"/>
            </w:tcBorders>
            <w:shd w:val="clear" w:color="auto" w:fill="auto"/>
          </w:tcPr>
          <w:p w14:paraId="0086C6BD">
            <w:pPr>
              <w:widowControl/>
              <w:spacing w:line="320" w:lineRule="exact"/>
              <w:jc w:val="left"/>
              <w:textAlignment w:val="top"/>
              <w:rPr>
                <w:rFonts w:ascii="宋体" w:hAnsi="宋体" w:cs="宋体"/>
                <w:sz w:val="24"/>
              </w:rPr>
            </w:pPr>
            <w:r>
              <w:rPr>
                <w:rFonts w:hint="eastAsia" w:ascii="宋体" w:hAnsi="宋体" w:cs="宋体"/>
                <w:sz w:val="24"/>
              </w:rPr>
              <w:t>保障非洲猪瘟疫情卡点人员值守补助</w:t>
            </w:r>
          </w:p>
        </w:tc>
        <w:tc>
          <w:tcPr>
            <w:tcW w:w="3408" w:type="dxa"/>
            <w:gridSpan w:val="3"/>
            <w:tcBorders>
              <w:top w:val="single" w:color="000000" w:sz="4" w:space="0"/>
              <w:left w:val="single" w:color="000000" w:sz="4" w:space="0"/>
              <w:bottom w:val="single" w:color="000000" w:sz="4" w:space="0"/>
              <w:right w:val="single" w:color="000000" w:sz="4" w:space="0"/>
            </w:tcBorders>
            <w:shd w:val="clear" w:color="auto" w:fill="auto"/>
          </w:tcPr>
          <w:p w14:paraId="64CF302F">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027A0B27">
        <w:tblPrEx>
          <w:tblCellMar>
            <w:top w:w="0" w:type="dxa"/>
            <w:left w:w="108" w:type="dxa"/>
            <w:bottom w:w="0" w:type="dxa"/>
            <w:right w:w="108" w:type="dxa"/>
          </w:tblCellMar>
        </w:tblPrEx>
        <w:trPr>
          <w:gridAfter w:val="1"/>
          <w:wAfter w:w="236" w:type="dxa"/>
          <w:trHeight w:val="824" w:hRule="atLeast"/>
        </w:trPr>
        <w:tc>
          <w:tcPr>
            <w:tcW w:w="1206" w:type="dxa"/>
            <w:vMerge w:val="restart"/>
            <w:tcBorders>
              <w:top w:val="single" w:color="000000" w:sz="4" w:space="0"/>
              <w:left w:val="single" w:color="000000" w:sz="4" w:space="0"/>
              <w:right w:val="single" w:color="000000" w:sz="4" w:space="0"/>
            </w:tcBorders>
            <w:shd w:val="clear" w:color="auto" w:fill="auto"/>
            <w:vAlign w:val="center"/>
          </w:tcPr>
          <w:p w14:paraId="64A3B5DC">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25" w:type="dxa"/>
            <w:tcBorders>
              <w:top w:val="single" w:color="000000" w:sz="4" w:space="0"/>
              <w:left w:val="nil"/>
              <w:bottom w:val="single" w:color="000000" w:sz="4" w:space="0"/>
              <w:right w:val="single" w:color="000000" w:sz="4" w:space="0"/>
            </w:tcBorders>
            <w:shd w:val="clear" w:color="auto" w:fill="auto"/>
            <w:vAlign w:val="center"/>
          </w:tcPr>
          <w:p w14:paraId="1FA88012">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596D9834">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C963D">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22E17727">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57ECD">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28C9CB43">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AECF5">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25AA">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00D4791E">
        <w:tblPrEx>
          <w:tblCellMar>
            <w:top w:w="0" w:type="dxa"/>
            <w:left w:w="108" w:type="dxa"/>
            <w:bottom w:w="0" w:type="dxa"/>
            <w:right w:w="108" w:type="dxa"/>
          </w:tblCellMar>
        </w:tblPrEx>
        <w:trPr>
          <w:gridAfter w:val="1"/>
          <w:wAfter w:w="236" w:type="dxa"/>
          <w:trHeight w:val="493" w:hRule="atLeast"/>
        </w:trPr>
        <w:tc>
          <w:tcPr>
            <w:tcW w:w="1206" w:type="dxa"/>
            <w:vMerge w:val="continue"/>
            <w:tcBorders>
              <w:left w:val="single" w:color="000000" w:sz="4" w:space="0"/>
              <w:right w:val="single" w:color="000000" w:sz="4" w:space="0"/>
            </w:tcBorders>
            <w:shd w:val="clear" w:color="auto" w:fill="auto"/>
            <w:vAlign w:val="center"/>
          </w:tcPr>
          <w:p w14:paraId="411971B8">
            <w:pPr>
              <w:spacing w:line="320" w:lineRule="exact"/>
              <w:jc w:val="center"/>
              <w:rPr>
                <w:rFonts w:ascii="仿宋_GB2312" w:hAnsi="仿宋_GB2312" w:eastAsia="仿宋_GB2312" w:cs="仿宋_GB2312"/>
                <w:szCs w:val="21"/>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3A741">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6BCED36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F939F3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D3BF4A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17.48万元疫情卡点人员值守经费</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CCFB30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340EE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0BE948F">
        <w:tblPrEx>
          <w:tblCellMar>
            <w:top w:w="0" w:type="dxa"/>
            <w:left w:w="108" w:type="dxa"/>
            <w:bottom w:w="0" w:type="dxa"/>
            <w:right w:w="108" w:type="dxa"/>
          </w:tblCellMar>
        </w:tblPrEx>
        <w:trPr>
          <w:gridAfter w:val="1"/>
          <w:wAfter w:w="236" w:type="dxa"/>
          <w:trHeight w:val="493" w:hRule="atLeast"/>
        </w:trPr>
        <w:tc>
          <w:tcPr>
            <w:tcW w:w="1206" w:type="dxa"/>
            <w:vMerge w:val="continue"/>
            <w:tcBorders>
              <w:left w:val="single" w:color="000000" w:sz="4" w:space="0"/>
              <w:right w:val="single" w:color="000000" w:sz="4" w:space="0"/>
            </w:tcBorders>
            <w:shd w:val="clear" w:color="auto" w:fill="auto"/>
            <w:vAlign w:val="center"/>
          </w:tcPr>
          <w:p w14:paraId="6A0ADC00">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D037E74">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D74457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CB3DD4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卡点人员按时按点值守</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1C791C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23D072">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9B611D3">
        <w:tblPrEx>
          <w:tblCellMar>
            <w:top w:w="0" w:type="dxa"/>
            <w:left w:w="108" w:type="dxa"/>
            <w:bottom w:w="0" w:type="dxa"/>
            <w:right w:w="108" w:type="dxa"/>
          </w:tblCellMar>
        </w:tblPrEx>
        <w:trPr>
          <w:gridAfter w:val="1"/>
          <w:wAfter w:w="236" w:type="dxa"/>
          <w:trHeight w:val="493" w:hRule="atLeast"/>
        </w:trPr>
        <w:tc>
          <w:tcPr>
            <w:tcW w:w="1206" w:type="dxa"/>
            <w:vMerge w:val="continue"/>
            <w:tcBorders>
              <w:left w:val="single" w:color="000000" w:sz="4" w:space="0"/>
              <w:right w:val="single" w:color="000000" w:sz="4" w:space="0"/>
            </w:tcBorders>
            <w:shd w:val="clear" w:color="auto" w:fill="auto"/>
            <w:vAlign w:val="center"/>
          </w:tcPr>
          <w:p w14:paraId="53458252">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78BBAC9">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03468D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300A91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发放物资、搭建卡点及时</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6CD570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29559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D208C01">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20CA15A0">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A3F6B64">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994DDE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298F69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17.48万元疫情卡点人员值守经费</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FD80B8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0284E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BE5D652">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118E8A66">
            <w:pPr>
              <w:spacing w:line="320" w:lineRule="exact"/>
              <w:jc w:val="center"/>
              <w:rPr>
                <w:rFonts w:ascii="仿宋_GB2312" w:hAnsi="仿宋_GB2312" w:eastAsia="仿宋_GB2312" w:cs="仿宋_GB2312"/>
                <w:szCs w:val="21"/>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9A53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C7FCC5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CBBAD3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17.48万元疫情卡点人员值守经费</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27B843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7C3B0D">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53CD9EF">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64C119D7">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F63726D">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4965F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CB7EBE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突发公共卫生事件反应，保障基本民生。</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6AD201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9EA6F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C1A5DAA">
        <w:tblPrEx>
          <w:tblCellMar>
            <w:top w:w="0" w:type="dxa"/>
            <w:left w:w="108" w:type="dxa"/>
            <w:bottom w:w="0" w:type="dxa"/>
            <w:right w:w="108" w:type="dxa"/>
          </w:tblCellMar>
        </w:tblPrEx>
        <w:trPr>
          <w:gridAfter w:val="1"/>
          <w:wAfter w:w="236" w:type="dxa"/>
          <w:trHeight w:val="686" w:hRule="atLeast"/>
        </w:trPr>
        <w:tc>
          <w:tcPr>
            <w:tcW w:w="1206" w:type="dxa"/>
            <w:vMerge w:val="continue"/>
            <w:tcBorders>
              <w:left w:val="single" w:color="000000" w:sz="4" w:space="0"/>
              <w:right w:val="single" w:color="000000" w:sz="4" w:space="0"/>
            </w:tcBorders>
            <w:shd w:val="clear" w:color="auto" w:fill="auto"/>
            <w:vAlign w:val="center"/>
          </w:tcPr>
          <w:p w14:paraId="1B13B922">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78E1105">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0DDF92D">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795E3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控制非洲猪瘟疫情传播渠道</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87E4A3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传播渠道减少</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646B7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8035237">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7A1ACFB8">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067FBDB">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616ADE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191525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保持我镇辖区疫情防控常态化的到稳定</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E9724B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A6CA9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B8120D2">
        <w:tblPrEx>
          <w:tblCellMar>
            <w:top w:w="0" w:type="dxa"/>
            <w:left w:w="108" w:type="dxa"/>
            <w:bottom w:w="0" w:type="dxa"/>
            <w:right w:w="108" w:type="dxa"/>
          </w:tblCellMar>
        </w:tblPrEx>
        <w:trPr>
          <w:gridAfter w:val="1"/>
          <w:wAfter w:w="236" w:type="dxa"/>
          <w:trHeight w:val="630" w:hRule="atLeast"/>
        </w:trPr>
        <w:tc>
          <w:tcPr>
            <w:tcW w:w="1206" w:type="dxa"/>
            <w:vMerge w:val="continue"/>
            <w:tcBorders>
              <w:left w:val="single" w:color="000000" w:sz="4" w:space="0"/>
              <w:bottom w:val="single" w:color="000000" w:sz="4" w:space="0"/>
              <w:right w:val="single" w:color="000000" w:sz="4" w:space="0"/>
            </w:tcBorders>
            <w:shd w:val="clear" w:color="auto" w:fill="auto"/>
            <w:vAlign w:val="center"/>
          </w:tcPr>
          <w:p w14:paraId="05CEC5F8">
            <w:pPr>
              <w:spacing w:line="320" w:lineRule="exact"/>
              <w:jc w:val="center"/>
              <w:rPr>
                <w:rFonts w:ascii="仿宋_GB2312" w:hAnsi="仿宋_GB2312" w:eastAsia="仿宋_GB2312" w:cs="仿宋_GB2312"/>
                <w:szCs w:val="21"/>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4312C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CEC27F8">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3C49CBD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8713E4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9CB325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664CD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795816A1">
      <w:pPr>
        <w:spacing w:line="640" w:lineRule="exact"/>
        <w:jc w:val="center"/>
        <w:rPr>
          <w:rFonts w:eastAsia="方正小标宋_GBK"/>
          <w:sz w:val="44"/>
          <w:szCs w:val="44"/>
        </w:rPr>
      </w:pPr>
    </w:p>
    <w:p w14:paraId="115A6181">
      <w:pPr>
        <w:spacing w:line="640" w:lineRule="exact"/>
        <w:jc w:val="center"/>
        <w:rPr>
          <w:rFonts w:eastAsia="方正小标宋_GBK"/>
          <w:sz w:val="44"/>
          <w:szCs w:val="44"/>
        </w:rPr>
      </w:pPr>
    </w:p>
    <w:p w14:paraId="28EF423C">
      <w:pPr>
        <w:spacing w:line="640" w:lineRule="exact"/>
        <w:jc w:val="center"/>
        <w:rPr>
          <w:rFonts w:eastAsia="方正小标宋_GBK"/>
          <w:sz w:val="44"/>
          <w:szCs w:val="44"/>
        </w:rPr>
      </w:pPr>
    </w:p>
    <w:p w14:paraId="65C01D99">
      <w:pPr>
        <w:spacing w:line="640" w:lineRule="exact"/>
        <w:jc w:val="center"/>
        <w:rPr>
          <w:rFonts w:eastAsia="方正小标宋_GBK"/>
          <w:sz w:val="44"/>
          <w:szCs w:val="44"/>
        </w:rPr>
      </w:pPr>
    </w:p>
    <w:p w14:paraId="142C93FE">
      <w:pPr>
        <w:spacing w:line="640" w:lineRule="exact"/>
        <w:jc w:val="center"/>
        <w:rPr>
          <w:rFonts w:eastAsia="方正小标宋_GBK"/>
          <w:sz w:val="44"/>
          <w:szCs w:val="44"/>
        </w:rPr>
      </w:pPr>
      <w:r>
        <w:rPr>
          <w:rFonts w:eastAsia="方正小标宋_GBK"/>
          <w:sz w:val="44"/>
          <w:szCs w:val="44"/>
        </w:rPr>
        <w:t>202</w:t>
      </w:r>
      <w:r>
        <w:rPr>
          <w:rFonts w:hint="eastAsia" w:eastAsia="方正小标宋_GBK"/>
          <w:sz w:val="44"/>
          <w:szCs w:val="44"/>
        </w:rPr>
        <w:t>1</w:t>
      </w:r>
      <w:r>
        <w:rPr>
          <w:rFonts w:eastAsia="方正小标宋_GBK"/>
          <w:sz w:val="44"/>
          <w:szCs w:val="44"/>
        </w:rPr>
        <w:t>年度专项（项目）资金绩效自评报告</w:t>
      </w:r>
    </w:p>
    <w:p w14:paraId="2D127751">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非洲猪瘟疫情防控专项经费</w:t>
      </w:r>
      <w:r>
        <w:rPr>
          <w:rFonts w:eastAsia="方正楷体_GBK"/>
          <w:b/>
          <w:sz w:val="32"/>
          <w:szCs w:val="32"/>
        </w:rPr>
        <w:t>）</w:t>
      </w:r>
    </w:p>
    <w:p w14:paraId="3278D32C">
      <w:pPr>
        <w:spacing w:line="600" w:lineRule="exact"/>
        <w:rPr>
          <w:sz w:val="32"/>
          <w:szCs w:val="32"/>
          <w:lang w:val="zh-CN"/>
        </w:rPr>
      </w:pPr>
    </w:p>
    <w:p w14:paraId="60383CA7">
      <w:pPr>
        <w:spacing w:line="560" w:lineRule="exact"/>
        <w:ind w:firstLine="640" w:firstLineChars="200"/>
        <w:rPr>
          <w:rFonts w:eastAsia="黑体"/>
          <w:sz w:val="32"/>
          <w:szCs w:val="32"/>
        </w:rPr>
      </w:pPr>
      <w:r>
        <w:rPr>
          <w:rFonts w:eastAsia="黑体"/>
          <w:sz w:val="32"/>
          <w:szCs w:val="32"/>
        </w:rPr>
        <w:t>一、项目概况</w:t>
      </w:r>
    </w:p>
    <w:p w14:paraId="742F7108">
      <w:pPr>
        <w:spacing w:line="560" w:lineRule="exact"/>
        <w:ind w:firstLine="640" w:firstLineChars="200"/>
        <w:rPr>
          <w:rFonts w:eastAsia="楷体_GB2312"/>
          <w:sz w:val="32"/>
          <w:szCs w:val="32"/>
        </w:rPr>
      </w:pPr>
      <w:r>
        <w:rPr>
          <w:rFonts w:eastAsia="楷体_GB2312"/>
          <w:sz w:val="32"/>
          <w:szCs w:val="32"/>
        </w:rPr>
        <w:t>（一）项目基本情况。</w:t>
      </w:r>
    </w:p>
    <w:p w14:paraId="52B936FF">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099E237C">
      <w:pPr>
        <w:spacing w:line="560" w:lineRule="exact"/>
        <w:ind w:firstLine="800" w:firstLineChars="250"/>
        <w:rPr>
          <w:rFonts w:eastAsia="仿宋_GB2312"/>
          <w:sz w:val="32"/>
          <w:szCs w:val="32"/>
        </w:rPr>
      </w:pPr>
      <w:r>
        <w:rPr>
          <w:rFonts w:hint="eastAsia" w:eastAsia="仿宋_GB2312"/>
          <w:sz w:val="32"/>
          <w:szCs w:val="32"/>
        </w:rPr>
        <w:t>职能：牵头实施项目，编制实施方案，对该资金加强资金管理，确保专款专用，不得挪作他用，提高资金使用绩效</w:t>
      </w:r>
      <w:r>
        <w:rPr>
          <w:rFonts w:eastAsia="仿宋_GB2312"/>
          <w:sz w:val="32"/>
          <w:szCs w:val="32"/>
        </w:rPr>
        <w:t>。</w:t>
      </w:r>
    </w:p>
    <w:p w14:paraId="49DC996E">
      <w:pPr>
        <w:spacing w:line="560" w:lineRule="exact"/>
        <w:ind w:firstLine="640" w:firstLineChars="200"/>
        <w:rPr>
          <w:rFonts w:eastAsia="仿宋_GB2312"/>
          <w:sz w:val="32"/>
          <w:szCs w:val="32"/>
        </w:rPr>
      </w:pPr>
      <w:r>
        <w:rPr>
          <w:rFonts w:eastAsia="仿宋_GB2312"/>
          <w:sz w:val="32"/>
          <w:szCs w:val="32"/>
        </w:rPr>
        <w:t>2. 项目立项、资金申报的依据。</w:t>
      </w:r>
    </w:p>
    <w:p w14:paraId="5B6ED566">
      <w:pPr>
        <w:spacing w:line="560" w:lineRule="exact"/>
        <w:ind w:firstLine="640" w:firstLineChars="200"/>
        <w:rPr>
          <w:rFonts w:eastAsia="仿宋_GB2312"/>
          <w:sz w:val="32"/>
          <w:szCs w:val="32"/>
        </w:rPr>
      </w:pPr>
      <w:r>
        <w:rPr>
          <w:rFonts w:hint="eastAsia" w:eastAsia="仿宋_GB2312"/>
          <w:sz w:val="32"/>
          <w:szCs w:val="32"/>
        </w:rPr>
        <w:t>根据盐财资预【2021】23号文件，下达非洲猪瘟疫情防控专项经费，专项用于非洲猪瘟疫情防控卡点人员值守补助。</w:t>
      </w:r>
    </w:p>
    <w:p w14:paraId="35B8CA8B">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747DA83E">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2899A946">
      <w:pPr>
        <w:spacing w:line="560" w:lineRule="exact"/>
        <w:ind w:firstLine="640" w:firstLineChars="200"/>
        <w:rPr>
          <w:rFonts w:eastAsia="仿宋_GB2312"/>
          <w:sz w:val="32"/>
          <w:szCs w:val="32"/>
        </w:rPr>
      </w:pPr>
      <w:r>
        <w:rPr>
          <w:rFonts w:hint="eastAsia" w:eastAsia="仿宋_GB2312"/>
          <w:sz w:val="32"/>
          <w:szCs w:val="32"/>
        </w:rPr>
        <w:t>资金支付具体项目条件是：支付非洲猪瘟疫情卡点人员值守补助。</w:t>
      </w:r>
    </w:p>
    <w:p w14:paraId="170810A0">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412E768D">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科学合理安排资金预算支出，实现资金落到实处，监督使用报账范围，重点考虑卡点值守人员相应补助</w:t>
      </w:r>
      <w:r>
        <w:rPr>
          <w:rFonts w:eastAsia="仿宋_GB2312"/>
          <w:sz w:val="32"/>
          <w:szCs w:val="32"/>
        </w:rPr>
        <w:t>。</w:t>
      </w:r>
    </w:p>
    <w:p w14:paraId="10B31488">
      <w:pPr>
        <w:spacing w:line="560" w:lineRule="exact"/>
        <w:ind w:firstLine="640" w:firstLineChars="200"/>
        <w:rPr>
          <w:rFonts w:eastAsia="楷体_GB2312"/>
          <w:sz w:val="32"/>
          <w:szCs w:val="32"/>
        </w:rPr>
      </w:pPr>
      <w:r>
        <w:rPr>
          <w:rFonts w:eastAsia="楷体_GB2312"/>
          <w:sz w:val="32"/>
          <w:szCs w:val="32"/>
        </w:rPr>
        <w:t>（二）项目绩效目标。</w:t>
      </w:r>
    </w:p>
    <w:p w14:paraId="7DF0ECBC">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：非洲猪瘟疫情卡点人员值守补助。</w:t>
      </w:r>
    </w:p>
    <w:p w14:paraId="5455BDC3">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：非洲猪瘟疫情卡点人员值守补助。</w:t>
      </w:r>
    </w:p>
    <w:p w14:paraId="7CC480ED">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2EA192FA">
      <w:pPr>
        <w:spacing w:line="560" w:lineRule="exact"/>
        <w:ind w:firstLine="640" w:firstLineChars="200"/>
        <w:rPr>
          <w:rFonts w:eastAsia="楷体_GB2312"/>
          <w:sz w:val="32"/>
          <w:szCs w:val="32"/>
        </w:rPr>
      </w:pPr>
      <w:r>
        <w:rPr>
          <w:rFonts w:eastAsia="楷体_GB2312"/>
          <w:sz w:val="32"/>
          <w:szCs w:val="32"/>
        </w:rPr>
        <w:t>（三）项目自评步骤及方法。</w:t>
      </w:r>
    </w:p>
    <w:p w14:paraId="662D50F2">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2A81C6EE">
      <w:pPr>
        <w:spacing w:line="560" w:lineRule="exact"/>
        <w:ind w:firstLine="640" w:firstLineChars="200"/>
        <w:rPr>
          <w:rFonts w:eastAsia="黑体"/>
          <w:sz w:val="32"/>
          <w:szCs w:val="32"/>
        </w:rPr>
      </w:pPr>
      <w:r>
        <w:rPr>
          <w:rFonts w:eastAsia="黑体"/>
          <w:sz w:val="32"/>
          <w:szCs w:val="32"/>
        </w:rPr>
        <w:t>二、项目资金申报及使用情况</w:t>
      </w:r>
    </w:p>
    <w:p w14:paraId="528208D3">
      <w:pPr>
        <w:spacing w:line="560" w:lineRule="exact"/>
        <w:ind w:firstLine="640" w:firstLineChars="200"/>
        <w:rPr>
          <w:rFonts w:eastAsia="楷体_GB2312"/>
          <w:sz w:val="32"/>
          <w:szCs w:val="32"/>
        </w:rPr>
      </w:pPr>
      <w:r>
        <w:rPr>
          <w:rFonts w:eastAsia="楷体_GB2312"/>
          <w:sz w:val="32"/>
          <w:szCs w:val="32"/>
        </w:rPr>
        <w:t>（一）项目资金申报及批复情况。</w:t>
      </w:r>
    </w:p>
    <w:p w14:paraId="42F411E8">
      <w:pPr>
        <w:spacing w:line="560" w:lineRule="exact"/>
        <w:ind w:firstLine="640" w:firstLineChars="200"/>
        <w:rPr>
          <w:rFonts w:eastAsia="仿宋_GB2312"/>
          <w:sz w:val="32"/>
          <w:szCs w:val="32"/>
        </w:rPr>
      </w:pPr>
      <w:r>
        <w:rPr>
          <w:rFonts w:hint="eastAsia" w:eastAsia="仿宋_GB2312"/>
          <w:sz w:val="32"/>
          <w:szCs w:val="32"/>
        </w:rPr>
        <w:t>该资金为县财政局2021年中途追加下达县级预算，按照正常程序报账，预算大平台申报计划，再由县财政局审核计划，最后支付</w:t>
      </w:r>
      <w:r>
        <w:rPr>
          <w:rFonts w:eastAsia="仿宋_GB2312"/>
          <w:sz w:val="32"/>
          <w:szCs w:val="32"/>
        </w:rPr>
        <w:t>。</w:t>
      </w:r>
    </w:p>
    <w:p w14:paraId="289DAA21">
      <w:pPr>
        <w:spacing w:line="560" w:lineRule="exact"/>
        <w:ind w:firstLine="640" w:firstLineChars="200"/>
        <w:rPr>
          <w:rFonts w:eastAsia="楷体_GB2312"/>
          <w:sz w:val="32"/>
          <w:szCs w:val="32"/>
        </w:rPr>
      </w:pPr>
      <w:r>
        <w:rPr>
          <w:rFonts w:eastAsia="楷体_GB2312"/>
          <w:sz w:val="32"/>
          <w:szCs w:val="32"/>
        </w:rPr>
        <w:t>（二）资金计划、到位及使用情况。</w:t>
      </w:r>
    </w:p>
    <w:p w14:paraId="598A710C">
      <w:pPr>
        <w:spacing w:line="560" w:lineRule="exact"/>
        <w:ind w:firstLine="643" w:firstLineChars="200"/>
        <w:rPr>
          <w:rFonts w:eastAsia="仿宋_GB2312"/>
          <w:sz w:val="32"/>
          <w:szCs w:val="32"/>
        </w:rPr>
      </w:pPr>
      <w:r>
        <w:rPr>
          <w:rFonts w:eastAsia="仿宋_GB2312"/>
          <w:b/>
          <w:sz w:val="32"/>
          <w:szCs w:val="32"/>
        </w:rPr>
        <w:t>1.资金计划。</w:t>
      </w:r>
    </w:p>
    <w:p w14:paraId="06C45BDE">
      <w:pPr>
        <w:spacing w:line="560" w:lineRule="exact"/>
        <w:ind w:firstLine="640" w:firstLineChars="200"/>
        <w:rPr>
          <w:rFonts w:eastAsia="仿宋_GB2312"/>
          <w:sz w:val="32"/>
          <w:szCs w:val="32"/>
        </w:rPr>
      </w:pPr>
      <w:r>
        <w:rPr>
          <w:rFonts w:hint="eastAsia" w:eastAsia="仿宋_GB2312"/>
          <w:sz w:val="32"/>
          <w:szCs w:val="32"/>
        </w:rPr>
        <w:t>2021年预算下达16.38万元非洲猪瘟疫情防控专项经费。</w:t>
      </w:r>
    </w:p>
    <w:p w14:paraId="421A73DD">
      <w:pPr>
        <w:spacing w:line="560" w:lineRule="exact"/>
        <w:ind w:firstLine="643" w:firstLineChars="200"/>
        <w:rPr>
          <w:rFonts w:eastAsia="仿宋_GB2312"/>
          <w:sz w:val="32"/>
          <w:szCs w:val="32"/>
        </w:rPr>
      </w:pPr>
      <w:r>
        <w:rPr>
          <w:rFonts w:eastAsia="仿宋_GB2312"/>
          <w:b/>
          <w:sz w:val="32"/>
          <w:szCs w:val="32"/>
        </w:rPr>
        <w:t>2.资金到位。</w:t>
      </w:r>
    </w:p>
    <w:p w14:paraId="32021957">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24017B44">
      <w:pPr>
        <w:spacing w:line="560" w:lineRule="exact"/>
        <w:ind w:firstLine="643" w:firstLineChars="200"/>
        <w:rPr>
          <w:rFonts w:eastAsia="仿宋_GB2312"/>
          <w:sz w:val="32"/>
          <w:szCs w:val="32"/>
        </w:rPr>
      </w:pPr>
      <w:r>
        <w:rPr>
          <w:rFonts w:eastAsia="仿宋_GB2312"/>
          <w:b/>
          <w:sz w:val="32"/>
          <w:szCs w:val="32"/>
        </w:rPr>
        <w:t>3.资金使用。</w:t>
      </w:r>
    </w:p>
    <w:p w14:paraId="0065D9FA">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6A2B01DC">
      <w:pPr>
        <w:spacing w:line="560" w:lineRule="exact"/>
        <w:ind w:firstLine="640" w:firstLineChars="200"/>
        <w:rPr>
          <w:rFonts w:eastAsia="楷体_GB2312"/>
          <w:sz w:val="32"/>
          <w:szCs w:val="32"/>
        </w:rPr>
      </w:pPr>
      <w:r>
        <w:rPr>
          <w:rFonts w:eastAsia="楷体_GB2312"/>
          <w:sz w:val="32"/>
          <w:szCs w:val="32"/>
        </w:rPr>
        <w:t>（三）项目财务管理情况。</w:t>
      </w:r>
    </w:p>
    <w:p w14:paraId="3BC4998E">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p>
    <w:p w14:paraId="21B44667">
      <w:pPr>
        <w:spacing w:line="560" w:lineRule="exact"/>
        <w:ind w:firstLine="640" w:firstLineChars="200"/>
        <w:rPr>
          <w:rFonts w:eastAsia="黑体"/>
          <w:sz w:val="32"/>
          <w:szCs w:val="32"/>
        </w:rPr>
      </w:pPr>
      <w:r>
        <w:rPr>
          <w:rFonts w:eastAsia="黑体"/>
          <w:sz w:val="32"/>
          <w:szCs w:val="32"/>
        </w:rPr>
        <w:t>三、项目实施及管理情况</w:t>
      </w:r>
    </w:p>
    <w:p w14:paraId="79AEF923">
      <w:pPr>
        <w:spacing w:line="560" w:lineRule="exact"/>
        <w:ind w:firstLine="640" w:firstLineChars="200"/>
        <w:rPr>
          <w:rFonts w:eastAsia="楷体_GB2312"/>
          <w:sz w:val="32"/>
          <w:szCs w:val="32"/>
        </w:rPr>
      </w:pPr>
      <w:r>
        <w:rPr>
          <w:rFonts w:eastAsia="楷体_GB2312"/>
          <w:sz w:val="32"/>
          <w:szCs w:val="32"/>
        </w:rPr>
        <w:t>（一）项目组织架构及实施流程。</w:t>
      </w:r>
    </w:p>
    <w:p w14:paraId="02F1CDF4">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由我单位牵头，各村、社区协助开展工作。根据项目申报和经费下达情况进行方案编制。</w:t>
      </w:r>
    </w:p>
    <w:p w14:paraId="3B68AA96">
      <w:pPr>
        <w:spacing w:line="560" w:lineRule="exact"/>
        <w:ind w:firstLine="640" w:firstLineChars="200"/>
        <w:rPr>
          <w:rFonts w:eastAsia="楷体_GB2312"/>
          <w:sz w:val="32"/>
          <w:szCs w:val="32"/>
        </w:rPr>
      </w:pPr>
      <w:r>
        <w:rPr>
          <w:rFonts w:eastAsia="楷体_GB2312"/>
          <w:sz w:val="32"/>
          <w:szCs w:val="32"/>
        </w:rPr>
        <w:t>（二）项目管理情况。</w:t>
      </w:r>
    </w:p>
    <w:p w14:paraId="3A933EFD">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新冠疫情相关资金，服务全镇辖区群众，县财政局下达预算资金，相关经办人员结合实际发生费用提供相关报账原始凭据报账，我单位进行审核，向财政局统一预算管理平台申报计划，进行支付、核算。</w:t>
      </w:r>
    </w:p>
    <w:p w14:paraId="70DC362A">
      <w:pPr>
        <w:spacing w:line="560" w:lineRule="exact"/>
        <w:ind w:firstLine="640" w:firstLineChars="200"/>
        <w:rPr>
          <w:rFonts w:eastAsia="楷体_GB2312"/>
          <w:sz w:val="32"/>
          <w:szCs w:val="32"/>
        </w:rPr>
      </w:pPr>
      <w:r>
        <w:rPr>
          <w:rFonts w:eastAsia="楷体_GB2312"/>
          <w:sz w:val="32"/>
          <w:szCs w:val="32"/>
        </w:rPr>
        <w:t>（三）项目监管情况。</w:t>
      </w:r>
    </w:p>
    <w:p w14:paraId="71DBBFC5">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74221ED9">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5DD107A0">
      <w:pPr>
        <w:spacing w:line="560" w:lineRule="exact"/>
        <w:ind w:firstLine="640" w:firstLineChars="200"/>
        <w:rPr>
          <w:rFonts w:eastAsia="楷体_GB2312"/>
          <w:sz w:val="32"/>
          <w:szCs w:val="32"/>
        </w:rPr>
      </w:pPr>
      <w:r>
        <w:rPr>
          <w:rFonts w:eastAsia="楷体_GB2312"/>
          <w:sz w:val="32"/>
          <w:szCs w:val="32"/>
        </w:rPr>
        <w:t>（一）项目完成情况。</w:t>
      </w:r>
    </w:p>
    <w:p w14:paraId="15E64910">
      <w:pPr>
        <w:spacing w:line="560" w:lineRule="exact"/>
        <w:ind w:firstLine="640" w:firstLineChars="200"/>
        <w:rPr>
          <w:rFonts w:eastAsia="仿宋_GB2312"/>
          <w:sz w:val="32"/>
          <w:szCs w:val="32"/>
        </w:rPr>
      </w:pPr>
      <w:r>
        <w:rPr>
          <w:rFonts w:hint="eastAsia" w:eastAsia="仿宋_GB2312"/>
          <w:sz w:val="32"/>
          <w:szCs w:val="32"/>
        </w:rPr>
        <w:t>已于2021年全部使用、报账及核算。主要用于卡点值守人员相应补助。</w:t>
      </w:r>
    </w:p>
    <w:p w14:paraId="61CBD4F6">
      <w:pPr>
        <w:spacing w:line="560" w:lineRule="exact"/>
        <w:ind w:firstLine="640" w:firstLineChars="200"/>
        <w:rPr>
          <w:rFonts w:eastAsia="楷体_GB2312"/>
          <w:sz w:val="32"/>
          <w:szCs w:val="32"/>
        </w:rPr>
      </w:pPr>
      <w:r>
        <w:rPr>
          <w:rFonts w:eastAsia="楷体_GB2312"/>
          <w:sz w:val="32"/>
          <w:szCs w:val="32"/>
        </w:rPr>
        <w:t>（二）项目效益情况。</w:t>
      </w:r>
    </w:p>
    <w:p w14:paraId="7891DF7C">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对突发公共卫生事件反应及时，保障基本民生；良好保持我镇辖区疫情防控常态化的到稳定，大力宣传疫情防控知识，提高群众疫情防控意识水平；辖区内群众满意度较高。</w:t>
      </w:r>
    </w:p>
    <w:p w14:paraId="5E7ADA48">
      <w:pPr>
        <w:spacing w:line="560" w:lineRule="exact"/>
        <w:ind w:firstLine="640" w:firstLineChars="200"/>
        <w:rPr>
          <w:rFonts w:eastAsia="黑体"/>
          <w:sz w:val="32"/>
          <w:szCs w:val="32"/>
        </w:rPr>
      </w:pPr>
      <w:r>
        <w:rPr>
          <w:rFonts w:eastAsia="黑体"/>
          <w:sz w:val="32"/>
          <w:szCs w:val="32"/>
        </w:rPr>
        <w:t>五、评价结论及建议</w:t>
      </w:r>
    </w:p>
    <w:p w14:paraId="6D060E9B">
      <w:pPr>
        <w:spacing w:line="560" w:lineRule="exact"/>
        <w:ind w:firstLine="640" w:firstLineChars="200"/>
        <w:rPr>
          <w:rFonts w:eastAsia="楷体_GB2312"/>
          <w:sz w:val="32"/>
          <w:szCs w:val="32"/>
        </w:rPr>
      </w:pPr>
      <w:r>
        <w:rPr>
          <w:rFonts w:eastAsia="楷体_GB2312"/>
          <w:sz w:val="32"/>
          <w:szCs w:val="32"/>
        </w:rPr>
        <w:t>（一）评价结论。</w:t>
      </w:r>
    </w:p>
    <w:p w14:paraId="29D65011">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79399141">
      <w:pPr>
        <w:spacing w:line="560" w:lineRule="exact"/>
        <w:ind w:firstLine="640" w:firstLineChars="200"/>
        <w:rPr>
          <w:rFonts w:eastAsia="楷体_GB2312"/>
          <w:sz w:val="32"/>
          <w:szCs w:val="32"/>
        </w:rPr>
      </w:pPr>
      <w:r>
        <w:rPr>
          <w:rFonts w:eastAsia="楷体_GB2312"/>
          <w:sz w:val="32"/>
          <w:szCs w:val="32"/>
        </w:rPr>
        <w:t>（二）存在的问题。</w:t>
      </w:r>
    </w:p>
    <w:p w14:paraId="7F840E82">
      <w:pPr>
        <w:spacing w:line="560" w:lineRule="exact"/>
        <w:ind w:firstLine="640" w:firstLineChars="200"/>
        <w:rPr>
          <w:rFonts w:eastAsia="仿宋_GB2312"/>
          <w:sz w:val="32"/>
          <w:szCs w:val="32"/>
        </w:rPr>
      </w:pPr>
      <w:r>
        <w:rPr>
          <w:rFonts w:hint="eastAsia" w:eastAsia="仿宋_GB2312"/>
          <w:sz w:val="32"/>
          <w:szCs w:val="32"/>
        </w:rPr>
        <w:t>无问题。</w:t>
      </w:r>
    </w:p>
    <w:p w14:paraId="082C8EC4">
      <w:pPr>
        <w:spacing w:line="560" w:lineRule="exact"/>
        <w:ind w:firstLine="640" w:firstLineChars="200"/>
        <w:rPr>
          <w:rFonts w:eastAsia="楷体_GB2312"/>
          <w:sz w:val="32"/>
          <w:szCs w:val="32"/>
        </w:rPr>
      </w:pPr>
      <w:r>
        <w:rPr>
          <w:rFonts w:eastAsia="楷体_GB2312"/>
          <w:sz w:val="32"/>
          <w:szCs w:val="32"/>
        </w:rPr>
        <w:t>（三）相关建议。</w:t>
      </w:r>
    </w:p>
    <w:p w14:paraId="6FA2389D">
      <w:pPr>
        <w:spacing w:line="560" w:lineRule="exact"/>
        <w:ind w:firstLine="640" w:firstLineChars="200"/>
        <w:rPr>
          <w:rFonts w:eastAsia="仿宋_GB2312"/>
          <w:sz w:val="32"/>
          <w:szCs w:val="32"/>
        </w:rPr>
      </w:pPr>
      <w:r>
        <w:rPr>
          <w:rFonts w:hint="eastAsia" w:eastAsia="仿宋_GB2312"/>
          <w:sz w:val="32"/>
          <w:szCs w:val="32"/>
        </w:rPr>
        <w:t>无建议。</w:t>
      </w:r>
    </w:p>
    <w:p w14:paraId="6D3B4592">
      <w:pPr>
        <w:spacing w:line="560" w:lineRule="exact"/>
        <w:rPr>
          <w:rFonts w:ascii="仿宋_GB2312" w:eastAsia="仿宋_GB2312"/>
          <w:sz w:val="32"/>
          <w:szCs w:val="32"/>
        </w:rPr>
      </w:pPr>
    </w:p>
    <w:p w14:paraId="0D94274F">
      <w:pPr>
        <w:pStyle w:val="2"/>
        <w:spacing w:before="93"/>
      </w:pPr>
    </w:p>
    <w:p w14:paraId="0A23C670">
      <w:pPr>
        <w:pStyle w:val="2"/>
        <w:spacing w:before="93"/>
      </w:pPr>
    </w:p>
    <w:p w14:paraId="5404EEE8">
      <w:pPr>
        <w:pStyle w:val="2"/>
        <w:spacing w:before="93"/>
      </w:pPr>
    </w:p>
    <w:p w14:paraId="5691292A">
      <w:pPr>
        <w:pStyle w:val="2"/>
        <w:spacing w:before="93"/>
      </w:pPr>
    </w:p>
    <w:p w14:paraId="12513DAC">
      <w:pPr>
        <w:pStyle w:val="2"/>
        <w:spacing w:before="93"/>
      </w:pPr>
    </w:p>
    <w:p w14:paraId="43541BE5">
      <w:pPr>
        <w:pStyle w:val="2"/>
        <w:spacing w:before="93"/>
      </w:pPr>
    </w:p>
    <w:p w14:paraId="767CD3CF">
      <w:pPr>
        <w:pStyle w:val="2"/>
        <w:spacing w:before="93"/>
      </w:pPr>
    </w:p>
    <w:p w14:paraId="27373656">
      <w:pPr>
        <w:pStyle w:val="2"/>
        <w:spacing w:before="93"/>
      </w:pPr>
    </w:p>
    <w:p w14:paraId="34C2445E">
      <w:pPr>
        <w:pStyle w:val="2"/>
        <w:spacing w:before="93"/>
      </w:pPr>
    </w:p>
    <w:p w14:paraId="4C509A15">
      <w:pPr>
        <w:pStyle w:val="2"/>
        <w:spacing w:before="93"/>
      </w:pPr>
    </w:p>
    <w:p w14:paraId="24D9F9FC">
      <w:pPr>
        <w:pStyle w:val="2"/>
        <w:spacing w:before="93"/>
      </w:pPr>
    </w:p>
    <w:p w14:paraId="0EE33CA6">
      <w:pPr>
        <w:pStyle w:val="2"/>
        <w:spacing w:before="93"/>
      </w:pPr>
    </w:p>
    <w:p w14:paraId="665FA370">
      <w:pPr>
        <w:pStyle w:val="2"/>
        <w:spacing w:before="93"/>
      </w:pPr>
    </w:p>
    <w:tbl>
      <w:tblPr>
        <w:tblStyle w:val="13"/>
        <w:tblpPr w:leftFromText="180" w:rightFromText="180" w:vertAnchor="text" w:horzAnchor="page" w:tblpX="1281" w:tblpY="660"/>
        <w:tblOverlap w:val="never"/>
        <w:tblW w:w="9268" w:type="dxa"/>
        <w:tblInd w:w="0" w:type="dxa"/>
        <w:tblLayout w:type="fixed"/>
        <w:tblCellMar>
          <w:top w:w="0" w:type="dxa"/>
          <w:left w:w="108" w:type="dxa"/>
          <w:bottom w:w="0" w:type="dxa"/>
          <w:right w:w="108" w:type="dxa"/>
        </w:tblCellMar>
      </w:tblPr>
      <w:tblGrid>
        <w:gridCol w:w="1203"/>
        <w:gridCol w:w="824"/>
        <w:gridCol w:w="992"/>
        <w:gridCol w:w="791"/>
        <w:gridCol w:w="791"/>
        <w:gridCol w:w="1267"/>
        <w:gridCol w:w="1372"/>
        <w:gridCol w:w="960"/>
        <w:gridCol w:w="1068"/>
      </w:tblGrid>
      <w:tr w14:paraId="21EF65AF">
        <w:tblPrEx>
          <w:tblCellMar>
            <w:top w:w="0" w:type="dxa"/>
            <w:left w:w="108" w:type="dxa"/>
            <w:bottom w:w="0" w:type="dxa"/>
            <w:right w:w="108" w:type="dxa"/>
          </w:tblCellMar>
        </w:tblPrEx>
        <w:trPr>
          <w:trHeight w:val="782" w:hRule="atLeast"/>
        </w:trPr>
        <w:tc>
          <w:tcPr>
            <w:tcW w:w="9268" w:type="dxa"/>
            <w:gridSpan w:val="9"/>
            <w:tcBorders>
              <w:top w:val="nil"/>
              <w:left w:val="nil"/>
              <w:bottom w:val="nil"/>
              <w:right w:val="nil"/>
            </w:tcBorders>
            <w:shd w:val="clear" w:color="auto" w:fill="auto"/>
            <w:vAlign w:val="center"/>
          </w:tcPr>
          <w:p w14:paraId="49250622">
            <w:pPr>
              <w:widowControl/>
              <w:jc w:val="center"/>
              <w:textAlignment w:val="center"/>
              <w:rPr>
                <w:rFonts w:ascii="宋体" w:hAnsi="宋体" w:cs="宋体"/>
                <w:b/>
                <w:sz w:val="28"/>
                <w:szCs w:val="28"/>
              </w:rPr>
            </w:pPr>
            <w:r>
              <w:rPr>
                <w:rFonts w:hint="eastAsia" w:ascii="宋体" w:hAnsi="宋体" w:cs="宋体"/>
                <w:b/>
                <w:sz w:val="28"/>
                <w:szCs w:val="28"/>
              </w:rPr>
              <w:t>非洲猪瘟疫情防控专项经费部门预算项目绩效目标自评</w:t>
            </w:r>
          </w:p>
        </w:tc>
      </w:tr>
      <w:tr w14:paraId="249CADFC">
        <w:tblPrEx>
          <w:tblCellMar>
            <w:top w:w="0" w:type="dxa"/>
            <w:left w:w="108" w:type="dxa"/>
            <w:bottom w:w="0" w:type="dxa"/>
            <w:right w:w="108" w:type="dxa"/>
          </w:tblCellMar>
        </w:tblPrEx>
        <w:trPr>
          <w:trHeight w:val="294" w:hRule="atLeast"/>
        </w:trPr>
        <w:tc>
          <w:tcPr>
            <w:tcW w:w="30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01BEE">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735DFA">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56A7">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69C01">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118AC17E">
        <w:tblPrEx>
          <w:tblCellMar>
            <w:top w:w="0" w:type="dxa"/>
            <w:left w:w="108" w:type="dxa"/>
            <w:bottom w:w="0" w:type="dxa"/>
            <w:right w:w="108" w:type="dxa"/>
          </w:tblCellMar>
        </w:tblPrEx>
        <w:trPr>
          <w:trHeight w:val="395" w:hRule="atLeast"/>
        </w:trPr>
        <w:tc>
          <w:tcPr>
            <w:tcW w:w="301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620D1">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8C413">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2826">
            <w:pPr>
              <w:widowControl/>
              <w:spacing w:line="320" w:lineRule="exact"/>
              <w:jc w:val="left"/>
              <w:textAlignment w:val="center"/>
              <w:rPr>
                <w:rFonts w:ascii="宋体" w:hAnsi="宋体" w:cs="宋体"/>
                <w:sz w:val="24"/>
              </w:rPr>
            </w:pPr>
            <w:r>
              <w:rPr>
                <w:rFonts w:hint="eastAsia" w:ascii="宋体" w:hAnsi="宋体" w:cs="宋体"/>
                <w:sz w:val="24"/>
              </w:rPr>
              <w:t>16.38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DDE7">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13C4A">
            <w:pPr>
              <w:widowControl/>
              <w:spacing w:line="320" w:lineRule="exact"/>
              <w:jc w:val="center"/>
              <w:textAlignment w:val="center"/>
              <w:rPr>
                <w:rFonts w:ascii="宋体" w:hAnsi="宋体" w:cs="宋体"/>
                <w:sz w:val="24"/>
              </w:rPr>
            </w:pPr>
            <w:r>
              <w:rPr>
                <w:rFonts w:hint="eastAsia" w:ascii="宋体" w:hAnsi="宋体" w:cs="宋体"/>
                <w:sz w:val="24"/>
              </w:rPr>
              <w:t>16.38</w:t>
            </w:r>
          </w:p>
        </w:tc>
      </w:tr>
      <w:tr w14:paraId="5E181041">
        <w:tblPrEx>
          <w:tblCellMar>
            <w:top w:w="0" w:type="dxa"/>
            <w:left w:w="108" w:type="dxa"/>
            <w:bottom w:w="0" w:type="dxa"/>
            <w:right w:w="108" w:type="dxa"/>
          </w:tblCellMar>
        </w:tblPrEx>
        <w:trPr>
          <w:trHeight w:val="643" w:hRule="atLeast"/>
        </w:trPr>
        <w:tc>
          <w:tcPr>
            <w:tcW w:w="301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17D57">
            <w:pPr>
              <w:spacing w:line="320" w:lineRule="exact"/>
              <w:jc w:val="center"/>
              <w:rPr>
                <w:rFonts w:ascii="宋体" w:hAnsi="宋体" w:cs="宋体"/>
                <w:sz w:val="24"/>
              </w:rPr>
            </w:pPr>
          </w:p>
        </w:tc>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0E60D">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18080853">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9C0D">
            <w:pPr>
              <w:widowControl/>
              <w:spacing w:line="320" w:lineRule="exact"/>
              <w:jc w:val="left"/>
              <w:textAlignment w:val="center"/>
              <w:rPr>
                <w:rFonts w:ascii="宋体" w:hAnsi="宋体" w:cs="宋体"/>
                <w:sz w:val="24"/>
              </w:rPr>
            </w:pPr>
            <w:r>
              <w:rPr>
                <w:rFonts w:hint="eastAsia" w:ascii="宋体" w:hAnsi="宋体" w:cs="宋体"/>
                <w:sz w:val="24"/>
              </w:rPr>
              <w:t>16.38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5B2D">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27D62785">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6D98D">
            <w:pPr>
              <w:widowControl/>
              <w:spacing w:line="320" w:lineRule="exact"/>
              <w:textAlignment w:val="center"/>
              <w:rPr>
                <w:rFonts w:ascii="宋体" w:hAnsi="宋体" w:cs="宋体"/>
                <w:sz w:val="24"/>
              </w:rPr>
            </w:pPr>
            <w:r>
              <w:rPr>
                <w:rFonts w:hint="eastAsia" w:ascii="宋体" w:hAnsi="宋体" w:cs="宋体"/>
                <w:sz w:val="24"/>
              </w:rPr>
              <w:t>16.38</w:t>
            </w:r>
          </w:p>
        </w:tc>
      </w:tr>
      <w:tr w14:paraId="5AD79782">
        <w:tblPrEx>
          <w:tblCellMar>
            <w:top w:w="0" w:type="dxa"/>
            <w:left w:w="108" w:type="dxa"/>
            <w:bottom w:w="0" w:type="dxa"/>
            <w:right w:w="108" w:type="dxa"/>
          </w:tblCellMar>
        </w:tblPrEx>
        <w:trPr>
          <w:trHeight w:val="395" w:hRule="atLeast"/>
        </w:trPr>
        <w:tc>
          <w:tcPr>
            <w:tcW w:w="301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EBBA3">
            <w:pPr>
              <w:spacing w:line="320" w:lineRule="exact"/>
              <w:jc w:val="center"/>
              <w:rPr>
                <w:rFonts w:ascii="宋体" w:hAnsi="宋体" w:cs="宋体"/>
                <w:sz w:val="24"/>
              </w:rPr>
            </w:pPr>
          </w:p>
        </w:tc>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666F7">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A567">
            <w:pPr>
              <w:widowControl/>
              <w:spacing w:line="320" w:lineRule="exact"/>
              <w:jc w:val="left"/>
              <w:textAlignment w:val="center"/>
              <w:rPr>
                <w:rFonts w:ascii="宋体" w:hAnsi="宋体" w:cs="宋体"/>
                <w:sz w:val="24"/>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F3AF">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39D90">
            <w:pPr>
              <w:widowControl/>
              <w:spacing w:line="320" w:lineRule="exact"/>
              <w:jc w:val="center"/>
              <w:textAlignment w:val="center"/>
              <w:rPr>
                <w:rFonts w:ascii="宋体" w:hAnsi="宋体" w:cs="宋体"/>
                <w:sz w:val="24"/>
              </w:rPr>
            </w:pPr>
          </w:p>
        </w:tc>
      </w:tr>
      <w:tr w14:paraId="098EFDC0">
        <w:tblPrEx>
          <w:tblCellMar>
            <w:top w:w="0" w:type="dxa"/>
            <w:left w:w="108" w:type="dxa"/>
            <w:bottom w:w="0" w:type="dxa"/>
            <w:right w:w="108" w:type="dxa"/>
          </w:tblCellMar>
        </w:tblPrEx>
        <w:trPr>
          <w:trHeight w:val="251" w:hRule="atLeast"/>
        </w:trPr>
        <w:tc>
          <w:tcPr>
            <w:tcW w:w="12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AF5C4">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6C4B56A5">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6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810E18">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4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35095">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50EEBDFA">
        <w:tblPrEx>
          <w:tblCellMar>
            <w:top w:w="0" w:type="dxa"/>
            <w:left w:w="108" w:type="dxa"/>
            <w:bottom w:w="0" w:type="dxa"/>
            <w:right w:w="108" w:type="dxa"/>
          </w:tblCellMar>
        </w:tblPrEx>
        <w:trPr>
          <w:trHeight w:val="924" w:hRule="atLeast"/>
        </w:trPr>
        <w:tc>
          <w:tcPr>
            <w:tcW w:w="12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49D7E">
            <w:pPr>
              <w:spacing w:line="320" w:lineRule="exact"/>
              <w:jc w:val="center"/>
              <w:rPr>
                <w:rFonts w:ascii="宋体" w:hAnsi="宋体" w:cs="宋体"/>
                <w:sz w:val="24"/>
              </w:rPr>
            </w:pPr>
          </w:p>
        </w:tc>
        <w:tc>
          <w:tcPr>
            <w:tcW w:w="4665" w:type="dxa"/>
            <w:gridSpan w:val="5"/>
            <w:tcBorders>
              <w:top w:val="single" w:color="000000" w:sz="4" w:space="0"/>
              <w:left w:val="single" w:color="000000" w:sz="4" w:space="0"/>
              <w:bottom w:val="single" w:color="000000" w:sz="4" w:space="0"/>
              <w:right w:val="single" w:color="000000" w:sz="4" w:space="0"/>
            </w:tcBorders>
            <w:shd w:val="clear" w:color="auto" w:fill="auto"/>
          </w:tcPr>
          <w:p w14:paraId="7E126F4A">
            <w:pPr>
              <w:widowControl/>
              <w:spacing w:line="320" w:lineRule="exact"/>
              <w:jc w:val="left"/>
              <w:textAlignment w:val="top"/>
              <w:rPr>
                <w:rFonts w:ascii="宋体" w:hAnsi="宋体" w:cs="宋体"/>
                <w:sz w:val="24"/>
              </w:rPr>
            </w:pPr>
            <w:r>
              <w:rPr>
                <w:rFonts w:hint="eastAsia" w:ascii="宋体" w:hAnsi="宋体" w:cs="宋体"/>
                <w:sz w:val="24"/>
              </w:rPr>
              <w:t>保障非洲猪瘟疫情卡点人员值守补助</w:t>
            </w:r>
          </w:p>
        </w:tc>
        <w:tc>
          <w:tcPr>
            <w:tcW w:w="3400" w:type="dxa"/>
            <w:gridSpan w:val="3"/>
            <w:tcBorders>
              <w:top w:val="single" w:color="000000" w:sz="4" w:space="0"/>
              <w:left w:val="single" w:color="000000" w:sz="4" w:space="0"/>
              <w:bottom w:val="single" w:color="000000" w:sz="4" w:space="0"/>
              <w:right w:val="single" w:color="000000" w:sz="4" w:space="0"/>
            </w:tcBorders>
            <w:shd w:val="clear" w:color="auto" w:fill="auto"/>
          </w:tcPr>
          <w:p w14:paraId="237080BB">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5E02768C">
        <w:tblPrEx>
          <w:tblCellMar>
            <w:top w:w="0" w:type="dxa"/>
            <w:left w:w="108" w:type="dxa"/>
            <w:bottom w:w="0" w:type="dxa"/>
            <w:right w:w="108" w:type="dxa"/>
          </w:tblCellMar>
        </w:tblPrEx>
        <w:trPr>
          <w:trHeight w:val="803" w:hRule="atLeast"/>
        </w:trPr>
        <w:tc>
          <w:tcPr>
            <w:tcW w:w="1203" w:type="dxa"/>
            <w:vMerge w:val="restart"/>
            <w:tcBorders>
              <w:top w:val="single" w:color="000000" w:sz="4" w:space="0"/>
              <w:left w:val="single" w:color="000000" w:sz="4" w:space="0"/>
              <w:right w:val="single" w:color="000000" w:sz="4" w:space="0"/>
            </w:tcBorders>
            <w:shd w:val="clear" w:color="auto" w:fill="auto"/>
            <w:vAlign w:val="center"/>
          </w:tcPr>
          <w:p w14:paraId="0EC3216F">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24" w:type="dxa"/>
            <w:tcBorders>
              <w:top w:val="single" w:color="000000" w:sz="4" w:space="0"/>
              <w:left w:val="nil"/>
              <w:bottom w:val="single" w:color="000000" w:sz="4" w:space="0"/>
              <w:right w:val="single" w:color="000000" w:sz="4" w:space="0"/>
            </w:tcBorders>
            <w:shd w:val="clear" w:color="auto" w:fill="auto"/>
            <w:vAlign w:val="center"/>
          </w:tcPr>
          <w:p w14:paraId="5BE4F628">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15CA9E14">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4E11B">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2E31BBE7">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407B3">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1EFB38D0">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94A6F">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3B61">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5D1D80BC">
        <w:tblPrEx>
          <w:tblCellMar>
            <w:top w:w="0" w:type="dxa"/>
            <w:left w:w="108" w:type="dxa"/>
            <w:bottom w:w="0" w:type="dxa"/>
            <w:right w:w="108" w:type="dxa"/>
          </w:tblCellMar>
        </w:tblPrEx>
        <w:trPr>
          <w:trHeight w:val="481" w:hRule="atLeast"/>
        </w:trPr>
        <w:tc>
          <w:tcPr>
            <w:tcW w:w="1203" w:type="dxa"/>
            <w:vMerge w:val="continue"/>
            <w:tcBorders>
              <w:left w:val="single" w:color="000000" w:sz="4" w:space="0"/>
              <w:right w:val="single" w:color="000000" w:sz="4" w:space="0"/>
            </w:tcBorders>
            <w:shd w:val="clear" w:color="auto" w:fill="auto"/>
            <w:vAlign w:val="center"/>
          </w:tcPr>
          <w:p w14:paraId="7BBC25F8">
            <w:pPr>
              <w:spacing w:line="320" w:lineRule="exact"/>
              <w:jc w:val="center"/>
              <w:rPr>
                <w:rFonts w:ascii="仿宋_GB2312" w:hAnsi="仿宋_GB2312" w:eastAsia="仿宋_GB2312" w:cs="仿宋_GB2312"/>
                <w:szCs w:val="21"/>
              </w:rPr>
            </w:pP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E2B63">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7FF6029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C8C211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85475A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16.38万元疫情卡点人员值守经费</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B89ECE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EC7E2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909D932">
        <w:tblPrEx>
          <w:tblCellMar>
            <w:top w:w="0" w:type="dxa"/>
            <w:left w:w="108" w:type="dxa"/>
            <w:bottom w:w="0" w:type="dxa"/>
            <w:right w:w="108" w:type="dxa"/>
          </w:tblCellMar>
        </w:tblPrEx>
        <w:trPr>
          <w:trHeight w:val="481" w:hRule="atLeast"/>
        </w:trPr>
        <w:tc>
          <w:tcPr>
            <w:tcW w:w="1203" w:type="dxa"/>
            <w:vMerge w:val="continue"/>
            <w:tcBorders>
              <w:left w:val="single" w:color="000000" w:sz="4" w:space="0"/>
              <w:right w:val="single" w:color="000000" w:sz="4" w:space="0"/>
            </w:tcBorders>
            <w:shd w:val="clear" w:color="auto" w:fill="auto"/>
            <w:vAlign w:val="center"/>
          </w:tcPr>
          <w:p w14:paraId="09929F85">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15B6A3C">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C0C4A9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06F4ED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卡点人员按时按点值守</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E3EF70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75F57A">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0046B5C7">
        <w:tblPrEx>
          <w:tblCellMar>
            <w:top w:w="0" w:type="dxa"/>
            <w:left w:w="108" w:type="dxa"/>
            <w:bottom w:w="0" w:type="dxa"/>
            <w:right w:w="108" w:type="dxa"/>
          </w:tblCellMar>
        </w:tblPrEx>
        <w:trPr>
          <w:trHeight w:val="481" w:hRule="atLeast"/>
        </w:trPr>
        <w:tc>
          <w:tcPr>
            <w:tcW w:w="1203" w:type="dxa"/>
            <w:vMerge w:val="continue"/>
            <w:tcBorders>
              <w:left w:val="single" w:color="000000" w:sz="4" w:space="0"/>
              <w:right w:val="single" w:color="000000" w:sz="4" w:space="0"/>
            </w:tcBorders>
            <w:shd w:val="clear" w:color="auto" w:fill="auto"/>
            <w:vAlign w:val="center"/>
          </w:tcPr>
          <w:p w14:paraId="30D79489">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D8293FA">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7F5171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774FC2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发放物资、搭建卡点及时</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1039F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FB849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D0058B1">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6F0E7CE3">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064167B">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6B45A4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5AE71C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16.38万元疫情卡点人员值守经费</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01E0ED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0688CA">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754AD88F">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6162F61D">
            <w:pPr>
              <w:spacing w:line="320" w:lineRule="exact"/>
              <w:jc w:val="center"/>
              <w:rPr>
                <w:rFonts w:ascii="仿宋_GB2312" w:hAnsi="仿宋_GB2312" w:eastAsia="仿宋_GB2312" w:cs="仿宋_GB2312"/>
                <w:szCs w:val="21"/>
              </w:rPr>
            </w:pP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3C86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0C730D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1C1298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16.38万元疫情卡点人员值守经费</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E81059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D7A896">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B0EBA12">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3154C8D9">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C980124">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5D702B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DAEBF8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突发公共卫生事件反应，保障基本民生。</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D5E702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BE235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0E10A5B">
        <w:tblPrEx>
          <w:tblCellMar>
            <w:top w:w="0" w:type="dxa"/>
            <w:left w:w="108" w:type="dxa"/>
            <w:bottom w:w="0" w:type="dxa"/>
            <w:right w:w="108" w:type="dxa"/>
          </w:tblCellMar>
        </w:tblPrEx>
        <w:trPr>
          <w:trHeight w:val="669" w:hRule="atLeast"/>
        </w:trPr>
        <w:tc>
          <w:tcPr>
            <w:tcW w:w="1203" w:type="dxa"/>
            <w:vMerge w:val="continue"/>
            <w:tcBorders>
              <w:left w:val="single" w:color="000000" w:sz="4" w:space="0"/>
              <w:right w:val="single" w:color="000000" w:sz="4" w:space="0"/>
            </w:tcBorders>
            <w:shd w:val="clear" w:color="auto" w:fill="auto"/>
            <w:vAlign w:val="center"/>
          </w:tcPr>
          <w:p w14:paraId="27B7BB12">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4BC75A9">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53D7CDA">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63B7B4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控制非洲猪瘟疫情传播渠道</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31A40D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传播渠道减少</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96463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90ACDC6">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24144E9B">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2344D3F">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615D4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FEF05C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保持我镇辖区疫情防控常态化的到稳定</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9EF763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D97B36">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08CF82C0">
        <w:tblPrEx>
          <w:tblCellMar>
            <w:top w:w="0" w:type="dxa"/>
            <w:left w:w="108" w:type="dxa"/>
            <w:bottom w:w="0" w:type="dxa"/>
            <w:right w:w="108" w:type="dxa"/>
          </w:tblCellMar>
        </w:tblPrEx>
        <w:trPr>
          <w:trHeight w:val="614" w:hRule="atLeast"/>
        </w:trPr>
        <w:tc>
          <w:tcPr>
            <w:tcW w:w="1203" w:type="dxa"/>
            <w:vMerge w:val="continue"/>
            <w:tcBorders>
              <w:left w:val="single" w:color="000000" w:sz="4" w:space="0"/>
              <w:bottom w:val="single" w:color="000000" w:sz="4" w:space="0"/>
              <w:right w:val="single" w:color="000000" w:sz="4" w:space="0"/>
            </w:tcBorders>
            <w:shd w:val="clear" w:color="auto" w:fill="auto"/>
            <w:vAlign w:val="center"/>
          </w:tcPr>
          <w:p w14:paraId="5F2A973A">
            <w:pPr>
              <w:spacing w:line="320" w:lineRule="exact"/>
              <w:jc w:val="center"/>
              <w:rPr>
                <w:rFonts w:ascii="仿宋_GB2312" w:hAnsi="仿宋_GB2312" w:eastAsia="仿宋_GB2312" w:cs="仿宋_GB2312"/>
                <w:szCs w:val="21"/>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967EF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6CA0ECA">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514CB83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56B792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0D66FC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B96BA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34FA2B13">
      <w:pPr>
        <w:spacing w:line="560" w:lineRule="exact"/>
        <w:rPr>
          <w:rFonts w:ascii="仿宋_GB2312" w:eastAsia="仿宋_GB2312"/>
          <w:sz w:val="32"/>
          <w:szCs w:val="32"/>
        </w:rPr>
      </w:pPr>
    </w:p>
    <w:p w14:paraId="199D8FF0">
      <w:pPr>
        <w:spacing w:line="560" w:lineRule="exact"/>
        <w:rPr>
          <w:rFonts w:ascii="仿宋_GB2312" w:eastAsia="仿宋_GB2312"/>
          <w:sz w:val="32"/>
          <w:szCs w:val="32"/>
        </w:rPr>
      </w:pPr>
    </w:p>
    <w:p w14:paraId="6232C3B7">
      <w:pPr>
        <w:spacing w:line="640" w:lineRule="exact"/>
        <w:jc w:val="center"/>
        <w:rPr>
          <w:rFonts w:eastAsia="方正小标宋_GBK"/>
          <w:sz w:val="44"/>
          <w:szCs w:val="44"/>
        </w:rPr>
      </w:pPr>
      <w:r>
        <w:rPr>
          <w:rFonts w:eastAsia="方正小标宋_GBK"/>
          <w:sz w:val="44"/>
          <w:szCs w:val="44"/>
        </w:rPr>
        <w:t>202</w:t>
      </w:r>
      <w:r>
        <w:rPr>
          <w:rFonts w:hint="eastAsia" w:eastAsia="方正小标宋_GBK"/>
          <w:sz w:val="44"/>
          <w:szCs w:val="44"/>
        </w:rPr>
        <w:t>1</w:t>
      </w:r>
      <w:r>
        <w:rPr>
          <w:rFonts w:eastAsia="方正小标宋_GBK"/>
          <w:sz w:val="44"/>
          <w:szCs w:val="44"/>
        </w:rPr>
        <w:t>年度专项（项目）资金绩效自评报告</w:t>
      </w:r>
    </w:p>
    <w:p w14:paraId="5A4A2D55">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2021年基层组织活动和公共服务运行经费</w:t>
      </w:r>
      <w:r>
        <w:rPr>
          <w:rFonts w:eastAsia="方正楷体_GBK"/>
          <w:b/>
          <w:sz w:val="32"/>
          <w:szCs w:val="32"/>
        </w:rPr>
        <w:t>）</w:t>
      </w:r>
    </w:p>
    <w:p w14:paraId="06B94078">
      <w:pPr>
        <w:spacing w:line="600" w:lineRule="exact"/>
        <w:rPr>
          <w:sz w:val="32"/>
          <w:szCs w:val="32"/>
          <w:lang w:val="zh-CN"/>
        </w:rPr>
      </w:pPr>
    </w:p>
    <w:p w14:paraId="229AFD28">
      <w:pPr>
        <w:spacing w:line="560" w:lineRule="exact"/>
        <w:ind w:firstLine="640" w:firstLineChars="200"/>
        <w:rPr>
          <w:rFonts w:eastAsia="黑体"/>
          <w:sz w:val="32"/>
          <w:szCs w:val="32"/>
        </w:rPr>
      </w:pPr>
      <w:r>
        <w:rPr>
          <w:rFonts w:eastAsia="黑体"/>
          <w:sz w:val="32"/>
          <w:szCs w:val="32"/>
        </w:rPr>
        <w:t>一、项目概况</w:t>
      </w:r>
    </w:p>
    <w:p w14:paraId="10B43A20">
      <w:pPr>
        <w:spacing w:line="560" w:lineRule="exact"/>
        <w:ind w:firstLine="640" w:firstLineChars="200"/>
        <w:rPr>
          <w:rFonts w:eastAsia="楷体_GB2312"/>
          <w:sz w:val="32"/>
          <w:szCs w:val="32"/>
        </w:rPr>
      </w:pPr>
      <w:r>
        <w:rPr>
          <w:rFonts w:eastAsia="楷体_GB2312"/>
          <w:sz w:val="32"/>
          <w:szCs w:val="32"/>
        </w:rPr>
        <w:t>（一）项目基本情况。</w:t>
      </w:r>
    </w:p>
    <w:p w14:paraId="7239794F">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716611C6">
      <w:pPr>
        <w:spacing w:line="560" w:lineRule="exact"/>
        <w:ind w:firstLine="800" w:firstLineChars="250"/>
        <w:rPr>
          <w:rFonts w:eastAsia="仿宋_GB2312"/>
          <w:sz w:val="32"/>
          <w:szCs w:val="32"/>
        </w:rPr>
      </w:pPr>
      <w:r>
        <w:rPr>
          <w:rFonts w:hint="eastAsia" w:eastAsia="仿宋_GB2312"/>
          <w:sz w:val="32"/>
          <w:szCs w:val="32"/>
        </w:rPr>
        <w:t>职能：牵头实施项目，编制实施方案，对该资金加强资金管理，严格按照《四川省抗疫特别国债资金管理办法》等有关规定，依法合规管好用好资金，严禁挤占、截留和挪用。及时建立项目安排和资金使用明细台账，充分反映资金分配、拨付和使用情况。加快资金拨付使用进度，切实提高资金使用效益</w:t>
      </w:r>
      <w:r>
        <w:rPr>
          <w:rFonts w:eastAsia="仿宋_GB2312"/>
          <w:sz w:val="32"/>
          <w:szCs w:val="32"/>
        </w:rPr>
        <w:t>。</w:t>
      </w:r>
    </w:p>
    <w:p w14:paraId="5A3D6129">
      <w:pPr>
        <w:spacing w:line="560" w:lineRule="exact"/>
        <w:ind w:firstLine="640" w:firstLineChars="200"/>
        <w:rPr>
          <w:rFonts w:eastAsia="仿宋_GB2312"/>
          <w:sz w:val="32"/>
          <w:szCs w:val="32"/>
        </w:rPr>
      </w:pPr>
      <w:r>
        <w:rPr>
          <w:rFonts w:eastAsia="仿宋_GB2312"/>
          <w:sz w:val="32"/>
          <w:szCs w:val="32"/>
        </w:rPr>
        <w:t>2. 项目立项、资金申报的依据。</w:t>
      </w:r>
    </w:p>
    <w:p w14:paraId="6C00D1B7">
      <w:pPr>
        <w:spacing w:line="560" w:lineRule="exact"/>
        <w:ind w:firstLine="640" w:firstLineChars="200"/>
        <w:rPr>
          <w:rFonts w:eastAsia="仿宋_GB2312"/>
          <w:sz w:val="32"/>
          <w:szCs w:val="32"/>
        </w:rPr>
      </w:pPr>
      <w:r>
        <w:rPr>
          <w:rFonts w:hint="eastAsia" w:eastAsia="仿宋_GB2312"/>
          <w:sz w:val="32"/>
          <w:szCs w:val="32"/>
        </w:rPr>
        <w:t>根据川财预【2021】69号下达2021年基层组织活动和公共服务运行经费。</w:t>
      </w:r>
    </w:p>
    <w:p w14:paraId="40612C4D">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0222EB25">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6B82005C">
      <w:pPr>
        <w:spacing w:line="560" w:lineRule="exact"/>
        <w:ind w:firstLine="640" w:firstLineChars="200"/>
        <w:rPr>
          <w:rFonts w:eastAsia="仿宋_GB2312"/>
          <w:sz w:val="32"/>
          <w:szCs w:val="32"/>
        </w:rPr>
      </w:pPr>
      <w:r>
        <w:rPr>
          <w:rFonts w:hint="eastAsia" w:eastAsia="仿宋_GB2312"/>
          <w:sz w:val="32"/>
          <w:szCs w:val="32"/>
        </w:rPr>
        <w:t>资金支付具体项目条件是：支付2021年农村基层组织活动和公共服务运行经费。</w:t>
      </w:r>
    </w:p>
    <w:p w14:paraId="36D02C68">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78C7EC08">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w:t>
      </w:r>
    </w:p>
    <w:p w14:paraId="24FCDCC9">
      <w:pPr>
        <w:spacing w:line="560" w:lineRule="exact"/>
        <w:ind w:firstLine="640" w:firstLineChars="200"/>
        <w:rPr>
          <w:rFonts w:eastAsia="楷体_GB2312"/>
          <w:sz w:val="32"/>
          <w:szCs w:val="32"/>
        </w:rPr>
      </w:pPr>
      <w:r>
        <w:rPr>
          <w:rFonts w:eastAsia="楷体_GB2312"/>
          <w:sz w:val="32"/>
          <w:szCs w:val="32"/>
        </w:rPr>
        <w:t>（二）项目绩效目标。</w:t>
      </w:r>
    </w:p>
    <w:p w14:paraId="59848722">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：2021年农村基层组织活动和公共服务运行经费。</w:t>
      </w:r>
    </w:p>
    <w:p w14:paraId="3CE360A6">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：2021年农村基层组织活动和公共服务运行经费。</w:t>
      </w:r>
    </w:p>
    <w:p w14:paraId="474510F1">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0129EB63">
      <w:pPr>
        <w:spacing w:line="560" w:lineRule="exact"/>
        <w:ind w:firstLine="640" w:firstLineChars="200"/>
        <w:rPr>
          <w:rFonts w:eastAsia="楷体_GB2312"/>
          <w:sz w:val="32"/>
          <w:szCs w:val="32"/>
        </w:rPr>
      </w:pPr>
      <w:r>
        <w:rPr>
          <w:rFonts w:eastAsia="楷体_GB2312"/>
          <w:sz w:val="32"/>
          <w:szCs w:val="32"/>
        </w:rPr>
        <w:t>（三）项目自评步骤及方法。</w:t>
      </w:r>
    </w:p>
    <w:p w14:paraId="13464D21">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4C43017B">
      <w:pPr>
        <w:spacing w:line="560" w:lineRule="exact"/>
        <w:ind w:firstLine="640" w:firstLineChars="200"/>
        <w:rPr>
          <w:rFonts w:eastAsia="黑体"/>
          <w:sz w:val="32"/>
          <w:szCs w:val="32"/>
        </w:rPr>
      </w:pPr>
      <w:r>
        <w:rPr>
          <w:rFonts w:eastAsia="黑体"/>
          <w:sz w:val="32"/>
          <w:szCs w:val="32"/>
        </w:rPr>
        <w:t>二、项目资金申报及使用情况</w:t>
      </w:r>
    </w:p>
    <w:p w14:paraId="24B75EC4">
      <w:pPr>
        <w:spacing w:line="560" w:lineRule="exact"/>
        <w:ind w:firstLine="640" w:firstLineChars="200"/>
        <w:rPr>
          <w:rFonts w:eastAsia="楷体_GB2312"/>
          <w:sz w:val="32"/>
          <w:szCs w:val="32"/>
        </w:rPr>
      </w:pPr>
      <w:r>
        <w:rPr>
          <w:rFonts w:eastAsia="楷体_GB2312"/>
          <w:sz w:val="32"/>
          <w:szCs w:val="32"/>
        </w:rPr>
        <w:t>（一）项目资金申报及批复情况。</w:t>
      </w:r>
    </w:p>
    <w:p w14:paraId="06C6C901">
      <w:pPr>
        <w:spacing w:line="560" w:lineRule="exact"/>
        <w:ind w:firstLine="640" w:firstLineChars="200"/>
        <w:rPr>
          <w:rFonts w:eastAsia="仿宋_GB2312"/>
          <w:sz w:val="32"/>
          <w:szCs w:val="32"/>
        </w:rPr>
      </w:pPr>
      <w:r>
        <w:rPr>
          <w:rFonts w:hint="eastAsia" w:eastAsia="仿宋_GB2312"/>
          <w:sz w:val="32"/>
          <w:szCs w:val="32"/>
        </w:rPr>
        <w:t>该资金为县财政局2021年中途追加下达县级预算，按照正常程序报账，预算大平台申报计划，再由县财政局审核计划，最后支付</w:t>
      </w:r>
      <w:r>
        <w:rPr>
          <w:rFonts w:eastAsia="仿宋_GB2312"/>
          <w:sz w:val="32"/>
          <w:szCs w:val="32"/>
        </w:rPr>
        <w:t>。</w:t>
      </w:r>
    </w:p>
    <w:p w14:paraId="5257B2A9">
      <w:pPr>
        <w:spacing w:line="560" w:lineRule="exact"/>
        <w:ind w:firstLine="640" w:firstLineChars="200"/>
        <w:rPr>
          <w:rFonts w:eastAsia="楷体_GB2312"/>
          <w:sz w:val="32"/>
          <w:szCs w:val="32"/>
        </w:rPr>
      </w:pPr>
      <w:r>
        <w:rPr>
          <w:rFonts w:eastAsia="楷体_GB2312"/>
          <w:sz w:val="32"/>
          <w:szCs w:val="32"/>
        </w:rPr>
        <w:t>（二）资金计划、到位及使用情况。</w:t>
      </w:r>
    </w:p>
    <w:p w14:paraId="38864FC0">
      <w:pPr>
        <w:spacing w:line="560" w:lineRule="exact"/>
        <w:ind w:firstLine="643" w:firstLineChars="200"/>
        <w:rPr>
          <w:rFonts w:eastAsia="仿宋_GB2312"/>
          <w:sz w:val="32"/>
          <w:szCs w:val="32"/>
        </w:rPr>
      </w:pPr>
      <w:r>
        <w:rPr>
          <w:rFonts w:eastAsia="仿宋_GB2312"/>
          <w:b/>
          <w:sz w:val="32"/>
          <w:szCs w:val="32"/>
        </w:rPr>
        <w:t>1.资金计划。</w:t>
      </w:r>
    </w:p>
    <w:p w14:paraId="7B0C9810">
      <w:pPr>
        <w:spacing w:line="560" w:lineRule="exact"/>
        <w:ind w:firstLine="640" w:firstLineChars="200"/>
        <w:rPr>
          <w:rFonts w:ascii="仿宋_GB2312" w:eastAsia="仿宋_GB2312"/>
          <w:sz w:val="32"/>
          <w:szCs w:val="32"/>
        </w:rPr>
      </w:pPr>
      <w:r>
        <w:rPr>
          <w:rFonts w:eastAsia="仿宋_GB2312"/>
          <w:sz w:val="32"/>
          <w:szCs w:val="32"/>
        </w:rPr>
        <w:t>202</w:t>
      </w:r>
      <w:r>
        <w:rPr>
          <w:rFonts w:hint="eastAsia" w:eastAsia="仿宋_GB2312"/>
          <w:sz w:val="32"/>
          <w:szCs w:val="32"/>
        </w:rPr>
        <w:t>1</w:t>
      </w:r>
      <w:r>
        <w:rPr>
          <w:rFonts w:hint="eastAsia" w:ascii="仿宋_GB2312" w:eastAsia="仿宋_GB2312"/>
          <w:sz w:val="32"/>
          <w:szCs w:val="32"/>
        </w:rPr>
        <w:t>年预算下达</w:t>
      </w:r>
      <w:r>
        <w:rPr>
          <w:rFonts w:hint="eastAsia" w:eastAsia="仿宋_GB2312"/>
          <w:sz w:val="32"/>
          <w:szCs w:val="32"/>
        </w:rPr>
        <w:t>44</w:t>
      </w:r>
      <w:r>
        <w:rPr>
          <w:rFonts w:hint="eastAsia" w:ascii="仿宋_GB2312" w:eastAsia="仿宋_GB2312"/>
          <w:sz w:val="32"/>
          <w:szCs w:val="32"/>
        </w:rPr>
        <w:t>万元</w:t>
      </w:r>
      <w:r>
        <w:rPr>
          <w:rFonts w:hint="eastAsia" w:eastAsia="仿宋_GB2312"/>
          <w:sz w:val="32"/>
          <w:szCs w:val="32"/>
        </w:rPr>
        <w:t>农村基层组织活动和公共服务运行经费</w:t>
      </w:r>
      <w:r>
        <w:rPr>
          <w:rFonts w:hint="eastAsia" w:ascii="仿宋_GB2312" w:eastAsia="仿宋_GB2312"/>
          <w:sz w:val="32"/>
          <w:szCs w:val="32"/>
        </w:rPr>
        <w:t>。</w:t>
      </w:r>
    </w:p>
    <w:p w14:paraId="02806B43">
      <w:pPr>
        <w:spacing w:line="560" w:lineRule="exact"/>
        <w:ind w:firstLine="643" w:firstLineChars="200"/>
        <w:rPr>
          <w:rFonts w:eastAsia="仿宋_GB2312"/>
          <w:sz w:val="32"/>
          <w:szCs w:val="32"/>
        </w:rPr>
      </w:pPr>
      <w:r>
        <w:rPr>
          <w:rFonts w:eastAsia="仿宋_GB2312"/>
          <w:b/>
          <w:sz w:val="32"/>
          <w:szCs w:val="32"/>
        </w:rPr>
        <w:t>2.资金到位。</w:t>
      </w:r>
    </w:p>
    <w:p w14:paraId="691F4274">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6ECADA02">
      <w:pPr>
        <w:spacing w:line="560" w:lineRule="exact"/>
        <w:ind w:firstLine="643" w:firstLineChars="200"/>
        <w:rPr>
          <w:rFonts w:eastAsia="仿宋_GB2312"/>
          <w:sz w:val="32"/>
          <w:szCs w:val="32"/>
        </w:rPr>
      </w:pPr>
      <w:r>
        <w:rPr>
          <w:rFonts w:eastAsia="仿宋_GB2312"/>
          <w:b/>
          <w:sz w:val="32"/>
          <w:szCs w:val="32"/>
        </w:rPr>
        <w:t>3.资金使用。</w:t>
      </w:r>
    </w:p>
    <w:p w14:paraId="03859447">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740767E0">
      <w:pPr>
        <w:spacing w:line="560" w:lineRule="exact"/>
        <w:ind w:firstLine="640" w:firstLineChars="200"/>
        <w:rPr>
          <w:rFonts w:eastAsia="楷体_GB2312"/>
          <w:sz w:val="32"/>
          <w:szCs w:val="32"/>
        </w:rPr>
      </w:pPr>
      <w:r>
        <w:rPr>
          <w:rFonts w:eastAsia="楷体_GB2312"/>
          <w:sz w:val="32"/>
          <w:szCs w:val="32"/>
        </w:rPr>
        <w:t>（三）项目财务管理情况。</w:t>
      </w:r>
    </w:p>
    <w:p w14:paraId="7AD30280">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p>
    <w:p w14:paraId="55CF1A02">
      <w:pPr>
        <w:spacing w:line="560" w:lineRule="exact"/>
        <w:ind w:firstLine="640" w:firstLineChars="200"/>
        <w:rPr>
          <w:rFonts w:eastAsia="黑体"/>
          <w:sz w:val="32"/>
          <w:szCs w:val="32"/>
        </w:rPr>
      </w:pPr>
      <w:r>
        <w:rPr>
          <w:rFonts w:eastAsia="黑体"/>
          <w:sz w:val="32"/>
          <w:szCs w:val="32"/>
        </w:rPr>
        <w:t>三、项目实施及管理情况</w:t>
      </w:r>
    </w:p>
    <w:p w14:paraId="346C97E0">
      <w:pPr>
        <w:spacing w:line="560" w:lineRule="exact"/>
        <w:ind w:firstLine="640" w:firstLineChars="200"/>
        <w:rPr>
          <w:rFonts w:eastAsia="楷体_GB2312"/>
          <w:sz w:val="32"/>
          <w:szCs w:val="32"/>
        </w:rPr>
      </w:pPr>
      <w:r>
        <w:rPr>
          <w:rFonts w:eastAsia="楷体_GB2312"/>
          <w:sz w:val="32"/>
          <w:szCs w:val="32"/>
        </w:rPr>
        <w:t>（一）项目组织架构及实施流程。</w:t>
      </w:r>
    </w:p>
    <w:p w14:paraId="5A22A24E">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由我单位牵头，各村、社区协助开展工作。根据项目申报和经费下达情况进行方案编制。</w:t>
      </w:r>
    </w:p>
    <w:p w14:paraId="77BFF809">
      <w:pPr>
        <w:spacing w:line="560" w:lineRule="exact"/>
        <w:ind w:firstLine="640" w:firstLineChars="200"/>
        <w:rPr>
          <w:rFonts w:eastAsia="楷体_GB2312"/>
          <w:sz w:val="32"/>
          <w:szCs w:val="32"/>
        </w:rPr>
      </w:pPr>
      <w:r>
        <w:rPr>
          <w:rFonts w:eastAsia="楷体_GB2312"/>
          <w:sz w:val="32"/>
          <w:szCs w:val="32"/>
        </w:rPr>
        <w:t>（二）项目管理情况。</w:t>
      </w:r>
    </w:p>
    <w:p w14:paraId="064FF157">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新冠疫情相关资金，服务全镇辖区群众，县财政局下达预算资金，相关经办人员结合实际发生费用提供相关报账原始凭据报账，我单位进行审核，向财政局统一预算管理平台申报计划，进行支付、核算。</w:t>
      </w:r>
    </w:p>
    <w:p w14:paraId="3A341D03">
      <w:pPr>
        <w:spacing w:line="560" w:lineRule="exact"/>
        <w:ind w:firstLine="640" w:firstLineChars="200"/>
        <w:rPr>
          <w:rFonts w:eastAsia="楷体_GB2312"/>
          <w:sz w:val="32"/>
          <w:szCs w:val="32"/>
        </w:rPr>
      </w:pPr>
      <w:r>
        <w:rPr>
          <w:rFonts w:eastAsia="楷体_GB2312"/>
          <w:sz w:val="32"/>
          <w:szCs w:val="32"/>
        </w:rPr>
        <w:t>（三）项目监管情况。</w:t>
      </w:r>
    </w:p>
    <w:p w14:paraId="544E44CA">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3827FF6F">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4732D4DB">
      <w:pPr>
        <w:spacing w:line="560" w:lineRule="exact"/>
        <w:ind w:firstLine="640" w:firstLineChars="200"/>
        <w:rPr>
          <w:rFonts w:eastAsia="楷体_GB2312"/>
          <w:sz w:val="32"/>
          <w:szCs w:val="32"/>
        </w:rPr>
      </w:pPr>
      <w:r>
        <w:rPr>
          <w:rFonts w:eastAsia="楷体_GB2312"/>
          <w:sz w:val="32"/>
          <w:szCs w:val="32"/>
        </w:rPr>
        <w:t>（一）项目完成情况。</w:t>
      </w:r>
    </w:p>
    <w:p w14:paraId="604FD629">
      <w:pPr>
        <w:spacing w:line="560" w:lineRule="exact"/>
        <w:ind w:firstLine="640" w:firstLineChars="200"/>
        <w:rPr>
          <w:rFonts w:eastAsia="仿宋_GB2312"/>
          <w:sz w:val="32"/>
          <w:szCs w:val="32"/>
        </w:rPr>
      </w:pPr>
      <w:r>
        <w:rPr>
          <w:rFonts w:hint="eastAsia" w:eastAsia="仿宋_GB2312"/>
          <w:sz w:val="32"/>
          <w:szCs w:val="32"/>
        </w:rPr>
        <w:t>已于2021年全部使用、报账及核算。主要用于农村基层组织活动和公共服务运行经费。</w:t>
      </w:r>
    </w:p>
    <w:p w14:paraId="340F9E65">
      <w:pPr>
        <w:spacing w:line="560" w:lineRule="exact"/>
        <w:ind w:firstLine="640" w:firstLineChars="200"/>
        <w:rPr>
          <w:rFonts w:eastAsia="楷体_GB2312"/>
          <w:sz w:val="32"/>
          <w:szCs w:val="32"/>
        </w:rPr>
      </w:pPr>
      <w:r>
        <w:rPr>
          <w:rFonts w:eastAsia="楷体_GB2312"/>
          <w:sz w:val="32"/>
          <w:szCs w:val="32"/>
        </w:rPr>
        <w:t>（二）项目效益情况。</w:t>
      </w:r>
    </w:p>
    <w:p w14:paraId="7C282896">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根据财政下达的预算资金额度，严格把控资金使用，不超支；保障基本民生；维护村基础设施建设，开展集体活动。</w:t>
      </w:r>
    </w:p>
    <w:p w14:paraId="4448890D">
      <w:pPr>
        <w:spacing w:line="560" w:lineRule="exact"/>
        <w:ind w:firstLine="640" w:firstLineChars="200"/>
        <w:rPr>
          <w:rFonts w:eastAsia="黑体"/>
          <w:sz w:val="32"/>
          <w:szCs w:val="32"/>
        </w:rPr>
      </w:pPr>
      <w:r>
        <w:rPr>
          <w:rFonts w:eastAsia="黑体"/>
          <w:sz w:val="32"/>
          <w:szCs w:val="32"/>
        </w:rPr>
        <w:t>五、评价结论及建议</w:t>
      </w:r>
    </w:p>
    <w:p w14:paraId="00A88A2C">
      <w:pPr>
        <w:spacing w:line="560" w:lineRule="exact"/>
        <w:ind w:firstLine="640" w:firstLineChars="200"/>
        <w:rPr>
          <w:rFonts w:eastAsia="楷体_GB2312"/>
          <w:sz w:val="32"/>
          <w:szCs w:val="32"/>
        </w:rPr>
      </w:pPr>
      <w:r>
        <w:rPr>
          <w:rFonts w:eastAsia="楷体_GB2312"/>
          <w:sz w:val="32"/>
          <w:szCs w:val="32"/>
        </w:rPr>
        <w:t>（一）评价结论。</w:t>
      </w:r>
    </w:p>
    <w:p w14:paraId="4419A91A">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424D6EEA">
      <w:pPr>
        <w:spacing w:line="560" w:lineRule="exact"/>
        <w:ind w:firstLine="640" w:firstLineChars="200"/>
        <w:rPr>
          <w:rFonts w:eastAsia="楷体_GB2312"/>
          <w:sz w:val="32"/>
          <w:szCs w:val="32"/>
        </w:rPr>
      </w:pPr>
      <w:r>
        <w:rPr>
          <w:rFonts w:eastAsia="楷体_GB2312"/>
          <w:sz w:val="32"/>
          <w:szCs w:val="32"/>
        </w:rPr>
        <w:t>（二）存在的问题。</w:t>
      </w:r>
    </w:p>
    <w:p w14:paraId="7D8D0729">
      <w:pPr>
        <w:spacing w:line="560" w:lineRule="exact"/>
        <w:ind w:firstLine="640" w:firstLineChars="200"/>
        <w:rPr>
          <w:rFonts w:eastAsia="仿宋_GB2312"/>
          <w:sz w:val="32"/>
          <w:szCs w:val="32"/>
        </w:rPr>
      </w:pPr>
      <w:r>
        <w:rPr>
          <w:rFonts w:hint="eastAsia" w:eastAsia="仿宋_GB2312"/>
          <w:sz w:val="32"/>
          <w:szCs w:val="32"/>
        </w:rPr>
        <w:t>无问题。</w:t>
      </w:r>
    </w:p>
    <w:p w14:paraId="0D075223">
      <w:pPr>
        <w:spacing w:line="560" w:lineRule="exact"/>
        <w:ind w:firstLine="640" w:firstLineChars="200"/>
        <w:rPr>
          <w:rFonts w:eastAsia="楷体_GB2312"/>
          <w:sz w:val="32"/>
          <w:szCs w:val="32"/>
        </w:rPr>
      </w:pPr>
      <w:r>
        <w:rPr>
          <w:rFonts w:eastAsia="楷体_GB2312"/>
          <w:sz w:val="32"/>
          <w:szCs w:val="32"/>
        </w:rPr>
        <w:t>（三）相关建议。</w:t>
      </w:r>
    </w:p>
    <w:p w14:paraId="52AEDA81">
      <w:pPr>
        <w:spacing w:line="560" w:lineRule="exact"/>
        <w:ind w:firstLine="640" w:firstLineChars="200"/>
        <w:rPr>
          <w:rFonts w:eastAsia="仿宋_GB2312"/>
          <w:sz w:val="32"/>
          <w:szCs w:val="32"/>
        </w:rPr>
      </w:pPr>
      <w:r>
        <w:rPr>
          <w:rFonts w:hint="eastAsia" w:eastAsia="仿宋_GB2312"/>
          <w:sz w:val="32"/>
          <w:szCs w:val="32"/>
        </w:rPr>
        <w:t>无建议。</w:t>
      </w:r>
    </w:p>
    <w:p w14:paraId="51424269">
      <w:pPr>
        <w:pStyle w:val="2"/>
        <w:spacing w:before="93"/>
      </w:pPr>
    </w:p>
    <w:p w14:paraId="40149933">
      <w:pPr>
        <w:pStyle w:val="2"/>
        <w:spacing w:before="93"/>
      </w:pPr>
    </w:p>
    <w:p w14:paraId="45D44583">
      <w:pPr>
        <w:pStyle w:val="2"/>
        <w:spacing w:before="93"/>
      </w:pPr>
    </w:p>
    <w:p w14:paraId="1C169929">
      <w:pPr>
        <w:pStyle w:val="2"/>
        <w:spacing w:before="93"/>
      </w:pPr>
    </w:p>
    <w:p w14:paraId="30389A5F">
      <w:pPr>
        <w:pStyle w:val="2"/>
        <w:spacing w:before="93"/>
      </w:pPr>
    </w:p>
    <w:p w14:paraId="257D62D3">
      <w:pPr>
        <w:pStyle w:val="2"/>
        <w:spacing w:before="93"/>
      </w:pPr>
    </w:p>
    <w:p w14:paraId="41BEB4FC">
      <w:pPr>
        <w:pStyle w:val="2"/>
        <w:spacing w:before="93"/>
      </w:pPr>
    </w:p>
    <w:p w14:paraId="0025AD1C">
      <w:pPr>
        <w:pStyle w:val="2"/>
        <w:spacing w:before="93"/>
      </w:pPr>
    </w:p>
    <w:p w14:paraId="642E7C26">
      <w:pPr>
        <w:pStyle w:val="2"/>
        <w:spacing w:before="93"/>
      </w:pPr>
    </w:p>
    <w:p w14:paraId="42B9552B">
      <w:pPr>
        <w:pStyle w:val="2"/>
        <w:spacing w:before="93"/>
      </w:pPr>
    </w:p>
    <w:p w14:paraId="09FC7DDE">
      <w:pPr>
        <w:pStyle w:val="2"/>
        <w:spacing w:before="93"/>
      </w:pPr>
    </w:p>
    <w:p w14:paraId="4CBF637F">
      <w:pPr>
        <w:pStyle w:val="2"/>
        <w:spacing w:before="93"/>
      </w:pPr>
    </w:p>
    <w:tbl>
      <w:tblPr>
        <w:tblStyle w:val="13"/>
        <w:tblpPr w:leftFromText="180" w:rightFromText="180" w:vertAnchor="text" w:horzAnchor="page" w:tblpX="1281" w:tblpY="660"/>
        <w:tblOverlap w:val="never"/>
        <w:tblW w:w="9431" w:type="dxa"/>
        <w:tblInd w:w="0" w:type="dxa"/>
        <w:tblLayout w:type="fixed"/>
        <w:tblCellMar>
          <w:top w:w="0" w:type="dxa"/>
          <w:left w:w="108" w:type="dxa"/>
          <w:bottom w:w="0" w:type="dxa"/>
          <w:right w:w="108" w:type="dxa"/>
        </w:tblCellMar>
      </w:tblPr>
      <w:tblGrid>
        <w:gridCol w:w="1192"/>
        <w:gridCol w:w="817"/>
        <w:gridCol w:w="984"/>
        <w:gridCol w:w="786"/>
        <w:gridCol w:w="784"/>
        <w:gridCol w:w="1258"/>
        <w:gridCol w:w="1361"/>
        <w:gridCol w:w="954"/>
        <w:gridCol w:w="1059"/>
        <w:gridCol w:w="236"/>
      </w:tblGrid>
      <w:tr w14:paraId="42D3EB99">
        <w:tblPrEx>
          <w:tblCellMar>
            <w:top w:w="0" w:type="dxa"/>
            <w:left w:w="108" w:type="dxa"/>
            <w:bottom w:w="0" w:type="dxa"/>
            <w:right w:w="108" w:type="dxa"/>
          </w:tblCellMar>
        </w:tblPrEx>
        <w:trPr>
          <w:trHeight w:val="735" w:hRule="atLeast"/>
        </w:trPr>
        <w:tc>
          <w:tcPr>
            <w:tcW w:w="9195" w:type="dxa"/>
            <w:gridSpan w:val="9"/>
            <w:tcBorders>
              <w:top w:val="nil"/>
              <w:left w:val="nil"/>
              <w:bottom w:val="nil"/>
              <w:right w:val="nil"/>
            </w:tcBorders>
            <w:shd w:val="clear" w:color="auto" w:fill="auto"/>
            <w:vAlign w:val="center"/>
          </w:tcPr>
          <w:p w14:paraId="668091F5">
            <w:pPr>
              <w:widowControl/>
              <w:jc w:val="center"/>
              <w:textAlignment w:val="center"/>
              <w:rPr>
                <w:rFonts w:ascii="宋体" w:hAnsi="宋体" w:cs="宋体"/>
                <w:b/>
                <w:sz w:val="28"/>
                <w:szCs w:val="28"/>
              </w:rPr>
            </w:pPr>
            <w:r>
              <w:rPr>
                <w:rFonts w:hint="eastAsia" w:ascii="宋体" w:hAnsi="宋体" w:cs="宋体"/>
                <w:b/>
                <w:sz w:val="28"/>
                <w:szCs w:val="28"/>
              </w:rPr>
              <w:t>2021年基层组织活动和公共服务运行经费部门预算项目绩效目标自评</w:t>
            </w:r>
          </w:p>
        </w:tc>
        <w:tc>
          <w:tcPr>
            <w:tcW w:w="236" w:type="dxa"/>
            <w:tcBorders>
              <w:top w:val="nil"/>
              <w:left w:val="nil"/>
              <w:bottom w:val="nil"/>
              <w:right w:val="nil"/>
            </w:tcBorders>
            <w:shd w:val="clear" w:color="auto" w:fill="auto"/>
            <w:vAlign w:val="center"/>
          </w:tcPr>
          <w:p w14:paraId="3CF67FDB">
            <w:pPr>
              <w:widowControl/>
              <w:jc w:val="center"/>
              <w:textAlignment w:val="center"/>
              <w:rPr>
                <w:rFonts w:ascii="宋体" w:hAnsi="宋体" w:cs="宋体"/>
                <w:b/>
                <w:kern w:val="0"/>
                <w:sz w:val="32"/>
                <w:szCs w:val="32"/>
              </w:rPr>
            </w:pPr>
          </w:p>
        </w:tc>
      </w:tr>
      <w:tr w14:paraId="4AA78288">
        <w:tblPrEx>
          <w:tblCellMar>
            <w:top w:w="0" w:type="dxa"/>
            <w:left w:w="108" w:type="dxa"/>
            <w:bottom w:w="0" w:type="dxa"/>
            <w:right w:w="108" w:type="dxa"/>
          </w:tblCellMar>
        </w:tblPrEx>
        <w:trPr>
          <w:gridAfter w:val="1"/>
          <w:wAfter w:w="236" w:type="dxa"/>
          <w:trHeight w:val="277" w:hRule="atLeast"/>
        </w:trPr>
        <w:tc>
          <w:tcPr>
            <w:tcW w:w="29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56BC11">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8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2EB7D1">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0A57">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CCB5C">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598582AC">
        <w:tblPrEx>
          <w:tblCellMar>
            <w:top w:w="0" w:type="dxa"/>
            <w:left w:w="108" w:type="dxa"/>
            <w:bottom w:w="0" w:type="dxa"/>
            <w:right w:w="108" w:type="dxa"/>
          </w:tblCellMar>
        </w:tblPrEx>
        <w:trPr>
          <w:gridAfter w:val="1"/>
          <w:wAfter w:w="236" w:type="dxa"/>
          <w:trHeight w:val="371" w:hRule="atLeast"/>
        </w:trPr>
        <w:tc>
          <w:tcPr>
            <w:tcW w:w="299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E173AB">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C3A61">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D523">
            <w:pPr>
              <w:widowControl/>
              <w:spacing w:line="320" w:lineRule="exact"/>
              <w:jc w:val="left"/>
              <w:textAlignment w:val="center"/>
              <w:rPr>
                <w:rFonts w:ascii="宋体" w:hAnsi="宋体" w:cs="宋体"/>
                <w:sz w:val="24"/>
              </w:rPr>
            </w:pPr>
            <w:r>
              <w:rPr>
                <w:rFonts w:hint="eastAsia" w:ascii="宋体" w:hAnsi="宋体" w:cs="宋体"/>
                <w:sz w:val="24"/>
              </w:rPr>
              <w:t>44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08E1">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7CC54">
            <w:pPr>
              <w:widowControl/>
              <w:spacing w:line="320" w:lineRule="exact"/>
              <w:jc w:val="center"/>
              <w:textAlignment w:val="center"/>
              <w:rPr>
                <w:rFonts w:ascii="宋体" w:hAnsi="宋体" w:cs="宋体"/>
                <w:sz w:val="24"/>
              </w:rPr>
            </w:pPr>
            <w:r>
              <w:rPr>
                <w:rFonts w:hint="eastAsia" w:ascii="宋体" w:hAnsi="宋体" w:cs="宋体"/>
                <w:sz w:val="24"/>
              </w:rPr>
              <w:t>44</w:t>
            </w:r>
          </w:p>
        </w:tc>
      </w:tr>
      <w:tr w14:paraId="5B7AD77F">
        <w:tblPrEx>
          <w:tblCellMar>
            <w:top w:w="0" w:type="dxa"/>
            <w:left w:w="108" w:type="dxa"/>
            <w:bottom w:w="0" w:type="dxa"/>
            <w:right w:w="108" w:type="dxa"/>
          </w:tblCellMar>
        </w:tblPrEx>
        <w:trPr>
          <w:gridAfter w:val="1"/>
          <w:wAfter w:w="236" w:type="dxa"/>
          <w:trHeight w:val="604" w:hRule="atLeast"/>
        </w:trPr>
        <w:tc>
          <w:tcPr>
            <w:tcW w:w="299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01224">
            <w:pPr>
              <w:spacing w:line="320" w:lineRule="exact"/>
              <w:jc w:val="center"/>
              <w:rPr>
                <w:rFonts w:ascii="宋体" w:hAnsi="宋体" w:cs="宋体"/>
                <w:sz w:val="24"/>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DC035">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7A7DAF38">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C659">
            <w:pPr>
              <w:widowControl/>
              <w:spacing w:line="320" w:lineRule="exact"/>
              <w:jc w:val="left"/>
              <w:textAlignment w:val="center"/>
              <w:rPr>
                <w:rFonts w:ascii="宋体" w:hAnsi="宋体" w:cs="宋体"/>
                <w:sz w:val="24"/>
              </w:rPr>
            </w:pPr>
            <w:r>
              <w:rPr>
                <w:rFonts w:hint="eastAsia" w:ascii="宋体" w:hAnsi="宋体" w:cs="宋体"/>
                <w:sz w:val="24"/>
              </w:rPr>
              <w:t>44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1FF3">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283E264C">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4BEC4">
            <w:pPr>
              <w:widowControl/>
              <w:spacing w:line="320" w:lineRule="exact"/>
              <w:textAlignment w:val="center"/>
              <w:rPr>
                <w:rFonts w:ascii="宋体" w:hAnsi="宋体" w:cs="宋体"/>
                <w:sz w:val="24"/>
              </w:rPr>
            </w:pPr>
            <w:r>
              <w:rPr>
                <w:rFonts w:hint="eastAsia" w:ascii="宋体" w:hAnsi="宋体" w:cs="宋体"/>
                <w:sz w:val="24"/>
              </w:rPr>
              <w:t>44</w:t>
            </w:r>
          </w:p>
        </w:tc>
      </w:tr>
      <w:tr w14:paraId="1F0A2F55">
        <w:tblPrEx>
          <w:tblCellMar>
            <w:top w:w="0" w:type="dxa"/>
            <w:left w:w="108" w:type="dxa"/>
            <w:bottom w:w="0" w:type="dxa"/>
            <w:right w:w="108" w:type="dxa"/>
          </w:tblCellMar>
        </w:tblPrEx>
        <w:trPr>
          <w:gridAfter w:val="1"/>
          <w:wAfter w:w="236" w:type="dxa"/>
          <w:trHeight w:val="371" w:hRule="atLeast"/>
        </w:trPr>
        <w:tc>
          <w:tcPr>
            <w:tcW w:w="299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D3B30">
            <w:pPr>
              <w:spacing w:line="320" w:lineRule="exact"/>
              <w:jc w:val="center"/>
              <w:rPr>
                <w:rFonts w:ascii="宋体" w:hAnsi="宋体" w:cs="宋体"/>
                <w:sz w:val="24"/>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81E874">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FBF0">
            <w:pPr>
              <w:widowControl/>
              <w:spacing w:line="320" w:lineRule="exact"/>
              <w:jc w:val="left"/>
              <w:textAlignment w:val="center"/>
              <w:rPr>
                <w:rFonts w:ascii="宋体" w:hAnsi="宋体" w:cs="宋体"/>
                <w:sz w:val="24"/>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22CF">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C85D8">
            <w:pPr>
              <w:widowControl/>
              <w:spacing w:line="320" w:lineRule="exact"/>
              <w:jc w:val="center"/>
              <w:textAlignment w:val="center"/>
              <w:rPr>
                <w:rFonts w:ascii="宋体" w:hAnsi="宋体" w:cs="宋体"/>
                <w:sz w:val="24"/>
              </w:rPr>
            </w:pPr>
          </w:p>
        </w:tc>
      </w:tr>
      <w:tr w14:paraId="26AE7ED1">
        <w:tblPrEx>
          <w:tblCellMar>
            <w:top w:w="0" w:type="dxa"/>
            <w:left w:w="108" w:type="dxa"/>
            <w:bottom w:w="0" w:type="dxa"/>
            <w:right w:w="108" w:type="dxa"/>
          </w:tblCellMar>
        </w:tblPrEx>
        <w:trPr>
          <w:gridAfter w:val="1"/>
          <w:wAfter w:w="236" w:type="dxa"/>
          <w:trHeight w:val="236" w:hRule="atLeast"/>
        </w:trPr>
        <w:tc>
          <w:tcPr>
            <w:tcW w:w="1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9CA81">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3E089F02">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62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1764CF">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3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7BC05">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3FA8C026">
        <w:tblPrEx>
          <w:tblCellMar>
            <w:top w:w="0" w:type="dxa"/>
            <w:left w:w="108" w:type="dxa"/>
            <w:bottom w:w="0" w:type="dxa"/>
            <w:right w:w="108" w:type="dxa"/>
          </w:tblCellMar>
        </w:tblPrEx>
        <w:trPr>
          <w:gridAfter w:val="1"/>
          <w:wAfter w:w="236" w:type="dxa"/>
          <w:trHeight w:val="868"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44E83">
            <w:pPr>
              <w:spacing w:line="320" w:lineRule="exact"/>
              <w:jc w:val="center"/>
              <w:rPr>
                <w:rFonts w:ascii="宋体" w:hAnsi="宋体" w:cs="宋体"/>
                <w:sz w:val="24"/>
              </w:rPr>
            </w:pPr>
          </w:p>
        </w:tc>
        <w:tc>
          <w:tcPr>
            <w:tcW w:w="4629" w:type="dxa"/>
            <w:gridSpan w:val="5"/>
            <w:tcBorders>
              <w:top w:val="single" w:color="000000" w:sz="4" w:space="0"/>
              <w:left w:val="single" w:color="000000" w:sz="4" w:space="0"/>
              <w:bottom w:val="single" w:color="000000" w:sz="4" w:space="0"/>
              <w:right w:val="single" w:color="000000" w:sz="4" w:space="0"/>
            </w:tcBorders>
            <w:shd w:val="clear" w:color="auto" w:fill="auto"/>
          </w:tcPr>
          <w:p w14:paraId="161D8F13">
            <w:pPr>
              <w:widowControl/>
              <w:spacing w:line="320" w:lineRule="exact"/>
              <w:jc w:val="left"/>
              <w:textAlignment w:val="top"/>
              <w:rPr>
                <w:rFonts w:ascii="宋体" w:hAnsi="宋体" w:cs="宋体"/>
                <w:sz w:val="24"/>
              </w:rPr>
            </w:pPr>
            <w:r>
              <w:rPr>
                <w:rFonts w:hint="eastAsia" w:ascii="宋体" w:hAnsi="宋体" w:cs="宋体"/>
                <w:sz w:val="24"/>
              </w:rPr>
              <w:t>完成村基础设施维护工作，组织开展集体活动</w:t>
            </w:r>
          </w:p>
        </w:tc>
        <w:tc>
          <w:tcPr>
            <w:tcW w:w="3374" w:type="dxa"/>
            <w:gridSpan w:val="3"/>
            <w:tcBorders>
              <w:top w:val="single" w:color="000000" w:sz="4" w:space="0"/>
              <w:left w:val="single" w:color="000000" w:sz="4" w:space="0"/>
              <w:bottom w:val="single" w:color="000000" w:sz="4" w:space="0"/>
              <w:right w:val="single" w:color="000000" w:sz="4" w:space="0"/>
            </w:tcBorders>
            <w:shd w:val="clear" w:color="auto" w:fill="auto"/>
          </w:tcPr>
          <w:p w14:paraId="60AB76AE">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2404EA45">
        <w:tblPrEx>
          <w:tblCellMar>
            <w:top w:w="0" w:type="dxa"/>
            <w:left w:w="108" w:type="dxa"/>
            <w:bottom w:w="0" w:type="dxa"/>
            <w:right w:w="108" w:type="dxa"/>
          </w:tblCellMar>
        </w:tblPrEx>
        <w:trPr>
          <w:gridAfter w:val="1"/>
          <w:wAfter w:w="236" w:type="dxa"/>
          <w:trHeight w:val="755" w:hRule="atLeast"/>
        </w:trPr>
        <w:tc>
          <w:tcPr>
            <w:tcW w:w="1192" w:type="dxa"/>
            <w:vMerge w:val="restart"/>
            <w:tcBorders>
              <w:top w:val="single" w:color="000000" w:sz="4" w:space="0"/>
              <w:left w:val="single" w:color="000000" w:sz="4" w:space="0"/>
              <w:right w:val="single" w:color="000000" w:sz="4" w:space="0"/>
            </w:tcBorders>
            <w:shd w:val="clear" w:color="auto" w:fill="auto"/>
            <w:vAlign w:val="center"/>
          </w:tcPr>
          <w:p w14:paraId="4BF8BB2E">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17" w:type="dxa"/>
            <w:tcBorders>
              <w:top w:val="single" w:color="000000" w:sz="4" w:space="0"/>
              <w:left w:val="nil"/>
              <w:bottom w:val="single" w:color="000000" w:sz="4" w:space="0"/>
              <w:right w:val="single" w:color="000000" w:sz="4" w:space="0"/>
            </w:tcBorders>
            <w:shd w:val="clear" w:color="auto" w:fill="auto"/>
            <w:vAlign w:val="center"/>
          </w:tcPr>
          <w:p w14:paraId="3594DDE4">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6685EDA2">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7D186">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29EB4A46">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625C0">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4C04F370">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9810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DEC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04B83C86">
        <w:tblPrEx>
          <w:tblCellMar>
            <w:top w:w="0" w:type="dxa"/>
            <w:left w:w="108" w:type="dxa"/>
            <w:bottom w:w="0" w:type="dxa"/>
            <w:right w:w="108" w:type="dxa"/>
          </w:tblCellMar>
        </w:tblPrEx>
        <w:trPr>
          <w:gridAfter w:val="1"/>
          <w:wAfter w:w="236" w:type="dxa"/>
          <w:trHeight w:val="452" w:hRule="atLeast"/>
        </w:trPr>
        <w:tc>
          <w:tcPr>
            <w:tcW w:w="1192" w:type="dxa"/>
            <w:vMerge w:val="continue"/>
            <w:tcBorders>
              <w:left w:val="single" w:color="000000" w:sz="4" w:space="0"/>
              <w:right w:val="single" w:color="000000" w:sz="4" w:space="0"/>
            </w:tcBorders>
            <w:shd w:val="clear" w:color="auto" w:fill="auto"/>
            <w:vAlign w:val="center"/>
          </w:tcPr>
          <w:p w14:paraId="40FA684C">
            <w:pPr>
              <w:spacing w:line="320" w:lineRule="exact"/>
              <w:jc w:val="center"/>
              <w:rPr>
                <w:rFonts w:ascii="仿宋_GB2312" w:hAnsi="仿宋_GB2312" w:eastAsia="仿宋_GB2312" w:cs="仿宋_GB2312"/>
                <w:szCs w:val="21"/>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52C78">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0C16256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2862F5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2593C6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完成村基础设施维护工作，组织开展集体活动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BAA78D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12478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A0AB433">
        <w:tblPrEx>
          <w:tblCellMar>
            <w:top w:w="0" w:type="dxa"/>
            <w:left w:w="108" w:type="dxa"/>
            <w:bottom w:w="0" w:type="dxa"/>
            <w:right w:w="108" w:type="dxa"/>
          </w:tblCellMar>
        </w:tblPrEx>
        <w:trPr>
          <w:gridAfter w:val="1"/>
          <w:wAfter w:w="236" w:type="dxa"/>
          <w:trHeight w:val="452" w:hRule="atLeast"/>
        </w:trPr>
        <w:tc>
          <w:tcPr>
            <w:tcW w:w="1192" w:type="dxa"/>
            <w:vMerge w:val="continue"/>
            <w:tcBorders>
              <w:left w:val="single" w:color="000000" w:sz="4" w:space="0"/>
              <w:right w:val="single" w:color="000000" w:sz="4" w:space="0"/>
            </w:tcBorders>
            <w:shd w:val="clear" w:color="auto" w:fill="auto"/>
            <w:vAlign w:val="center"/>
          </w:tcPr>
          <w:p w14:paraId="4879D938">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3EDD77D">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4DE571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ABA881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C676D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3958F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F26BFE1">
        <w:tblPrEx>
          <w:tblCellMar>
            <w:top w:w="0" w:type="dxa"/>
            <w:left w:w="108" w:type="dxa"/>
            <w:bottom w:w="0" w:type="dxa"/>
            <w:right w:w="108" w:type="dxa"/>
          </w:tblCellMar>
        </w:tblPrEx>
        <w:trPr>
          <w:gridAfter w:val="1"/>
          <w:wAfter w:w="236" w:type="dxa"/>
          <w:trHeight w:val="452" w:hRule="atLeast"/>
        </w:trPr>
        <w:tc>
          <w:tcPr>
            <w:tcW w:w="1192" w:type="dxa"/>
            <w:vMerge w:val="continue"/>
            <w:tcBorders>
              <w:left w:val="single" w:color="000000" w:sz="4" w:space="0"/>
              <w:right w:val="single" w:color="000000" w:sz="4" w:space="0"/>
            </w:tcBorders>
            <w:shd w:val="clear" w:color="auto" w:fill="auto"/>
            <w:vAlign w:val="center"/>
          </w:tcPr>
          <w:p w14:paraId="1E752ADF">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8AF4556">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BA2605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DF9F17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726297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BFE1E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12EE030">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34568786">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E69F04D">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BC4C4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3221A9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141756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0E9D5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0829AD60">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2EC971AC">
            <w:pPr>
              <w:spacing w:line="320" w:lineRule="exact"/>
              <w:jc w:val="center"/>
              <w:rPr>
                <w:rFonts w:ascii="仿宋_GB2312" w:hAnsi="仿宋_GB2312" w:eastAsia="仿宋_GB2312" w:cs="仿宋_GB2312"/>
                <w:szCs w:val="21"/>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A67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B36672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1A25BF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17B97D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2EF11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3AC6E79">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6D5BE46A">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7D0B99">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386603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57230E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7AF35B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7F397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4E6D20D">
        <w:tblPrEx>
          <w:tblCellMar>
            <w:top w:w="0" w:type="dxa"/>
            <w:left w:w="108" w:type="dxa"/>
            <w:bottom w:w="0" w:type="dxa"/>
            <w:right w:w="108" w:type="dxa"/>
          </w:tblCellMar>
        </w:tblPrEx>
        <w:trPr>
          <w:gridAfter w:val="1"/>
          <w:wAfter w:w="236" w:type="dxa"/>
          <w:trHeight w:val="628" w:hRule="atLeast"/>
        </w:trPr>
        <w:tc>
          <w:tcPr>
            <w:tcW w:w="1192" w:type="dxa"/>
            <w:vMerge w:val="continue"/>
            <w:tcBorders>
              <w:left w:val="single" w:color="000000" w:sz="4" w:space="0"/>
              <w:right w:val="single" w:color="000000" w:sz="4" w:space="0"/>
            </w:tcBorders>
            <w:shd w:val="clear" w:color="auto" w:fill="auto"/>
            <w:vAlign w:val="center"/>
          </w:tcPr>
          <w:p w14:paraId="4BADB084">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4F5A59C">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B3294C1">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028C86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FD00B1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传播渠道减少</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501F0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D537613">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110E1BE3">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20BEDA6">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B07C5D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72DD6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9BD58B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0A311F">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1A336663">
        <w:tblPrEx>
          <w:tblCellMar>
            <w:top w:w="0" w:type="dxa"/>
            <w:left w:w="108" w:type="dxa"/>
            <w:bottom w:w="0" w:type="dxa"/>
            <w:right w:w="108" w:type="dxa"/>
          </w:tblCellMar>
        </w:tblPrEx>
        <w:trPr>
          <w:gridAfter w:val="1"/>
          <w:wAfter w:w="236" w:type="dxa"/>
          <w:trHeight w:val="577" w:hRule="atLeast"/>
        </w:trPr>
        <w:tc>
          <w:tcPr>
            <w:tcW w:w="1192" w:type="dxa"/>
            <w:vMerge w:val="continue"/>
            <w:tcBorders>
              <w:left w:val="single" w:color="000000" w:sz="4" w:space="0"/>
              <w:bottom w:val="single" w:color="000000" w:sz="4" w:space="0"/>
              <w:right w:val="single" w:color="000000" w:sz="4" w:space="0"/>
            </w:tcBorders>
            <w:shd w:val="clear" w:color="auto" w:fill="auto"/>
            <w:vAlign w:val="center"/>
          </w:tcPr>
          <w:p w14:paraId="693A477F">
            <w:pPr>
              <w:spacing w:line="320" w:lineRule="exact"/>
              <w:jc w:val="center"/>
              <w:rPr>
                <w:rFonts w:ascii="仿宋_GB2312" w:hAnsi="仿宋_GB2312" w:eastAsia="仿宋_GB2312" w:cs="仿宋_GB2312"/>
                <w:szCs w:val="21"/>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419C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6826F44">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4F0E3B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6D5FEE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228F4F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CE330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0F7C0264">
      <w:pPr>
        <w:widowControl/>
        <w:jc w:val="left"/>
        <w:rPr>
          <w:rStyle w:val="25"/>
          <w:rFonts w:ascii="黑体" w:hAnsi="黑体" w:eastAsia="黑体"/>
          <w:b w:val="0"/>
        </w:rPr>
      </w:pPr>
    </w:p>
    <w:p w14:paraId="7FB659E9">
      <w:pPr>
        <w:pStyle w:val="2"/>
        <w:spacing w:before="93"/>
      </w:pPr>
    </w:p>
    <w:p w14:paraId="3FDD0EE6">
      <w:pPr>
        <w:spacing w:line="560" w:lineRule="exact"/>
        <w:ind w:firstLine="640" w:firstLineChars="200"/>
        <w:rPr>
          <w:rFonts w:eastAsia="仿宋_GB2312"/>
          <w:sz w:val="32"/>
          <w:szCs w:val="32"/>
        </w:rPr>
      </w:pPr>
    </w:p>
    <w:p w14:paraId="0913EE15">
      <w:pPr>
        <w:spacing w:line="640" w:lineRule="exact"/>
        <w:jc w:val="center"/>
        <w:rPr>
          <w:rFonts w:eastAsia="方正小标宋_GBK"/>
          <w:sz w:val="44"/>
          <w:szCs w:val="44"/>
        </w:rPr>
      </w:pPr>
      <w:r>
        <w:rPr>
          <w:rFonts w:eastAsia="方正小标宋_GBK"/>
          <w:sz w:val="44"/>
          <w:szCs w:val="44"/>
        </w:rPr>
        <w:t>2021年度专项（项目）资金绩效自评报告</w:t>
      </w:r>
    </w:p>
    <w:p w14:paraId="12F25BBC">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2021村社干部报酬及绩效</w:t>
      </w:r>
      <w:r>
        <w:rPr>
          <w:rFonts w:eastAsia="方正楷体_GBK"/>
          <w:b/>
          <w:sz w:val="32"/>
          <w:szCs w:val="32"/>
        </w:rPr>
        <w:t>）</w:t>
      </w:r>
    </w:p>
    <w:p w14:paraId="74D6AFBC">
      <w:pPr>
        <w:spacing w:line="600" w:lineRule="exact"/>
        <w:rPr>
          <w:sz w:val="32"/>
          <w:szCs w:val="32"/>
          <w:lang w:val="zh-CN"/>
        </w:rPr>
      </w:pPr>
    </w:p>
    <w:p w14:paraId="2CAA1D1D">
      <w:pPr>
        <w:spacing w:line="560" w:lineRule="exact"/>
        <w:ind w:firstLine="640" w:firstLineChars="200"/>
        <w:rPr>
          <w:rFonts w:eastAsia="黑体"/>
          <w:sz w:val="32"/>
          <w:szCs w:val="32"/>
        </w:rPr>
      </w:pPr>
      <w:r>
        <w:rPr>
          <w:rFonts w:eastAsia="黑体"/>
          <w:sz w:val="32"/>
          <w:szCs w:val="32"/>
        </w:rPr>
        <w:t>一、项目概况</w:t>
      </w:r>
    </w:p>
    <w:p w14:paraId="1671060B">
      <w:pPr>
        <w:spacing w:line="560" w:lineRule="exact"/>
        <w:ind w:firstLine="640" w:firstLineChars="200"/>
        <w:rPr>
          <w:rFonts w:eastAsia="楷体_GB2312"/>
          <w:sz w:val="32"/>
          <w:szCs w:val="32"/>
        </w:rPr>
      </w:pPr>
      <w:r>
        <w:rPr>
          <w:rFonts w:eastAsia="楷体_GB2312"/>
          <w:sz w:val="32"/>
          <w:szCs w:val="32"/>
        </w:rPr>
        <w:t>（一）项目基本情况。</w:t>
      </w:r>
    </w:p>
    <w:p w14:paraId="7FF3108F">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09817EF9">
      <w:pPr>
        <w:spacing w:line="560" w:lineRule="exact"/>
        <w:ind w:firstLine="800" w:firstLineChars="250"/>
        <w:rPr>
          <w:rFonts w:eastAsia="仿宋_GB2312"/>
          <w:sz w:val="32"/>
          <w:szCs w:val="32"/>
        </w:rPr>
      </w:pPr>
      <w:r>
        <w:rPr>
          <w:rFonts w:hint="eastAsia" w:eastAsia="仿宋_GB2312"/>
          <w:sz w:val="32"/>
          <w:szCs w:val="32"/>
        </w:rPr>
        <w:t>职能：</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49AB27A1">
      <w:pPr>
        <w:spacing w:line="560" w:lineRule="exact"/>
        <w:ind w:firstLine="640" w:firstLineChars="200"/>
        <w:rPr>
          <w:rFonts w:eastAsia="仿宋_GB2312"/>
          <w:sz w:val="32"/>
          <w:szCs w:val="32"/>
        </w:rPr>
      </w:pPr>
      <w:r>
        <w:rPr>
          <w:rFonts w:eastAsia="仿宋_GB2312"/>
          <w:sz w:val="32"/>
          <w:szCs w:val="32"/>
        </w:rPr>
        <w:t>2. 项目立项、资金申报的依据。</w:t>
      </w:r>
    </w:p>
    <w:p w14:paraId="7FE51DA8">
      <w:pPr>
        <w:spacing w:line="560" w:lineRule="exact"/>
        <w:ind w:firstLine="640" w:firstLineChars="200"/>
        <w:rPr>
          <w:rFonts w:eastAsia="仿宋_GB2312"/>
          <w:sz w:val="32"/>
          <w:szCs w:val="32"/>
        </w:rPr>
      </w:pPr>
      <w:r>
        <w:rPr>
          <w:rFonts w:hint="eastAsia" w:eastAsia="仿宋_GB2312"/>
          <w:sz w:val="32"/>
          <w:szCs w:val="32"/>
        </w:rPr>
        <w:t>根据《中共中央组织部 财政部关于加强村级组织运转经费保障工作的通知》（中组发〔2016〕22号）《攀枝花市委 攀枝花市人民政府关于全面提升城乡社区建设水平的意见》（攀委发〔2015〕10号）《中共盐边县委盐边县人民政府关于全面推进城乡社区建设工作的意见》（盐边委发〔2015〕6号）《盐边县人民政府办公室关于调整村（社区）干部基本报酬及党员教育培训经费的通知》（盐边府函〔2016〕79号）等文件精神，加大对城乡社区建设经费的保障力度。根据新修订的《中华人民共和国预算法》相关规定，为提高预算编制完整性，按照盐边县人民政府办公室《盐边县乡镇基本财力保障机制实施方案》（盐边府办函〔2018〕58号）等文件要求提前下达各乡（镇）2021年乡镇财政专项转移支付补助资金。</w:t>
      </w:r>
    </w:p>
    <w:p w14:paraId="1381F714">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23F5FB1E">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5BC8C2D0">
      <w:pPr>
        <w:spacing w:line="560" w:lineRule="exact"/>
        <w:ind w:firstLine="640" w:firstLineChars="200"/>
        <w:rPr>
          <w:rFonts w:eastAsia="仿宋_GB2312"/>
          <w:sz w:val="32"/>
          <w:szCs w:val="32"/>
        </w:rPr>
      </w:pPr>
      <w:r>
        <w:rPr>
          <w:rFonts w:hint="eastAsia" w:eastAsia="仿宋_GB2312"/>
          <w:sz w:val="32"/>
          <w:szCs w:val="32"/>
        </w:rPr>
        <w:t>资金支付具体项目条件是：</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187FAA34">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19969CE4">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w:t>
      </w:r>
    </w:p>
    <w:p w14:paraId="5800B370">
      <w:pPr>
        <w:spacing w:line="560" w:lineRule="exact"/>
        <w:ind w:firstLine="640" w:firstLineChars="200"/>
        <w:rPr>
          <w:rFonts w:eastAsia="楷体_GB2312"/>
          <w:sz w:val="32"/>
          <w:szCs w:val="32"/>
        </w:rPr>
      </w:pPr>
      <w:r>
        <w:rPr>
          <w:rFonts w:eastAsia="楷体_GB2312"/>
          <w:sz w:val="32"/>
          <w:szCs w:val="32"/>
        </w:rPr>
        <w:t>（二）项目绩效目标。</w:t>
      </w:r>
    </w:p>
    <w:p w14:paraId="5B5485C8">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1704BEE6">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：保障</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6B4A21E5">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730EE908">
      <w:pPr>
        <w:spacing w:line="560" w:lineRule="exact"/>
        <w:ind w:firstLine="640" w:firstLineChars="200"/>
        <w:rPr>
          <w:rFonts w:eastAsia="楷体_GB2312"/>
          <w:sz w:val="32"/>
          <w:szCs w:val="32"/>
        </w:rPr>
      </w:pPr>
      <w:r>
        <w:rPr>
          <w:rFonts w:eastAsia="楷体_GB2312"/>
          <w:sz w:val="32"/>
          <w:szCs w:val="32"/>
        </w:rPr>
        <w:t>（三）项目自评步骤及方法。</w:t>
      </w:r>
    </w:p>
    <w:p w14:paraId="63A04F1A">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3D63BCA3">
      <w:pPr>
        <w:spacing w:line="560" w:lineRule="exact"/>
        <w:ind w:firstLine="640" w:firstLineChars="200"/>
        <w:rPr>
          <w:rFonts w:eastAsia="黑体"/>
          <w:sz w:val="32"/>
          <w:szCs w:val="32"/>
        </w:rPr>
      </w:pPr>
      <w:r>
        <w:rPr>
          <w:rFonts w:eastAsia="黑体"/>
          <w:sz w:val="32"/>
          <w:szCs w:val="32"/>
        </w:rPr>
        <w:t>二、项目资金申报及使用情况</w:t>
      </w:r>
    </w:p>
    <w:p w14:paraId="626C0978">
      <w:pPr>
        <w:spacing w:line="560" w:lineRule="exact"/>
        <w:ind w:firstLine="640" w:firstLineChars="200"/>
        <w:rPr>
          <w:rFonts w:eastAsia="楷体_GB2312"/>
          <w:sz w:val="32"/>
          <w:szCs w:val="32"/>
        </w:rPr>
      </w:pPr>
      <w:r>
        <w:rPr>
          <w:rFonts w:eastAsia="楷体_GB2312"/>
          <w:sz w:val="32"/>
          <w:szCs w:val="32"/>
        </w:rPr>
        <w:t>（一）项目资金申报及批复情况。</w:t>
      </w:r>
    </w:p>
    <w:p w14:paraId="0EB8510D">
      <w:pPr>
        <w:spacing w:line="560" w:lineRule="exact"/>
        <w:ind w:firstLine="640" w:firstLineChars="200"/>
        <w:rPr>
          <w:rFonts w:eastAsia="仿宋_GB2312"/>
          <w:sz w:val="32"/>
          <w:szCs w:val="32"/>
        </w:rPr>
      </w:pPr>
      <w:r>
        <w:rPr>
          <w:rFonts w:hint="eastAsia" w:eastAsia="仿宋_GB2312"/>
          <w:sz w:val="32"/>
          <w:szCs w:val="32"/>
        </w:rPr>
        <w:t>该资金为县财政局2021年年初下达县级预算，按照正常程序报账，预算大平台申报计划，再由县财政局审核计划，最后支付</w:t>
      </w:r>
      <w:r>
        <w:rPr>
          <w:rFonts w:eastAsia="仿宋_GB2312"/>
          <w:sz w:val="32"/>
          <w:szCs w:val="32"/>
        </w:rPr>
        <w:t>。</w:t>
      </w:r>
    </w:p>
    <w:p w14:paraId="7C037C8F">
      <w:pPr>
        <w:spacing w:line="560" w:lineRule="exact"/>
        <w:ind w:firstLine="640" w:firstLineChars="200"/>
        <w:rPr>
          <w:rFonts w:eastAsia="楷体_GB2312"/>
          <w:sz w:val="32"/>
          <w:szCs w:val="32"/>
        </w:rPr>
      </w:pPr>
      <w:r>
        <w:rPr>
          <w:rFonts w:eastAsia="楷体_GB2312"/>
          <w:sz w:val="32"/>
          <w:szCs w:val="32"/>
        </w:rPr>
        <w:t>（二）资金计划、到位及使用情况。</w:t>
      </w:r>
    </w:p>
    <w:p w14:paraId="3AF4F745">
      <w:pPr>
        <w:spacing w:line="560" w:lineRule="exact"/>
        <w:ind w:firstLine="643" w:firstLineChars="200"/>
        <w:rPr>
          <w:rFonts w:eastAsia="仿宋_GB2312"/>
          <w:sz w:val="32"/>
          <w:szCs w:val="32"/>
        </w:rPr>
      </w:pPr>
      <w:r>
        <w:rPr>
          <w:rFonts w:eastAsia="仿宋_GB2312"/>
          <w:b/>
          <w:sz w:val="32"/>
          <w:szCs w:val="32"/>
        </w:rPr>
        <w:t>1.资金计划。</w:t>
      </w:r>
    </w:p>
    <w:p w14:paraId="33F31A0A">
      <w:pPr>
        <w:spacing w:line="560" w:lineRule="exact"/>
        <w:ind w:firstLine="640" w:firstLineChars="200"/>
        <w:rPr>
          <w:rFonts w:eastAsia="仿宋_GB2312"/>
          <w:sz w:val="32"/>
          <w:szCs w:val="32"/>
        </w:rPr>
      </w:pPr>
      <w:r>
        <w:rPr>
          <w:rFonts w:eastAsia="仿宋_GB2312"/>
          <w:sz w:val="32"/>
          <w:szCs w:val="32"/>
        </w:rPr>
        <w:t>2021</w:t>
      </w:r>
      <w:r>
        <w:rPr>
          <w:rFonts w:hint="eastAsia" w:ascii="仿宋_GB2312" w:eastAsia="仿宋_GB2312"/>
          <w:sz w:val="32"/>
          <w:szCs w:val="32"/>
        </w:rPr>
        <w:t>年预算下达</w:t>
      </w:r>
      <w:r>
        <w:rPr>
          <w:rFonts w:hint="eastAsia" w:eastAsia="仿宋_GB2312"/>
          <w:sz w:val="32"/>
          <w:szCs w:val="32"/>
        </w:rPr>
        <w:t>170.05</w:t>
      </w:r>
      <w:r>
        <w:rPr>
          <w:rFonts w:hint="eastAsia" w:ascii="仿宋_GB2312" w:eastAsia="仿宋_GB2312"/>
          <w:sz w:val="32"/>
          <w:szCs w:val="32"/>
        </w:rPr>
        <w:t>万元，</w:t>
      </w:r>
      <w:r>
        <w:rPr>
          <w:rFonts w:eastAsia="仿宋_GB2312"/>
          <w:sz w:val="32"/>
          <w:szCs w:val="32"/>
        </w:rPr>
        <w:t>2021</w:t>
      </w:r>
      <w:r>
        <w:rPr>
          <w:rFonts w:hint="eastAsia" w:ascii="仿宋_GB2312" w:eastAsia="仿宋_GB2312"/>
          <w:sz w:val="32"/>
          <w:szCs w:val="32"/>
        </w:rPr>
        <w:t>年全镇7个村96名村社干部报酬及绩效。</w:t>
      </w:r>
    </w:p>
    <w:p w14:paraId="74502466">
      <w:pPr>
        <w:spacing w:line="560" w:lineRule="exact"/>
        <w:ind w:firstLine="643" w:firstLineChars="200"/>
        <w:rPr>
          <w:rFonts w:eastAsia="仿宋_GB2312"/>
          <w:sz w:val="32"/>
          <w:szCs w:val="32"/>
        </w:rPr>
      </w:pPr>
      <w:r>
        <w:rPr>
          <w:rFonts w:eastAsia="仿宋_GB2312"/>
          <w:b/>
          <w:sz w:val="32"/>
          <w:szCs w:val="32"/>
        </w:rPr>
        <w:t>2.资金到位。</w:t>
      </w:r>
    </w:p>
    <w:p w14:paraId="1BEA5012">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142C8C4C">
      <w:pPr>
        <w:spacing w:line="560" w:lineRule="exact"/>
        <w:ind w:firstLine="643" w:firstLineChars="200"/>
        <w:rPr>
          <w:rFonts w:eastAsia="仿宋_GB2312"/>
          <w:sz w:val="32"/>
          <w:szCs w:val="32"/>
        </w:rPr>
      </w:pPr>
      <w:r>
        <w:rPr>
          <w:rFonts w:eastAsia="仿宋_GB2312"/>
          <w:b/>
          <w:sz w:val="32"/>
          <w:szCs w:val="32"/>
        </w:rPr>
        <w:t>3.资金使用。</w:t>
      </w:r>
    </w:p>
    <w:p w14:paraId="192083AC">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2C58F87D">
      <w:pPr>
        <w:spacing w:line="560" w:lineRule="exact"/>
        <w:ind w:firstLine="640" w:firstLineChars="200"/>
        <w:rPr>
          <w:rFonts w:eastAsia="楷体_GB2312"/>
          <w:sz w:val="32"/>
          <w:szCs w:val="32"/>
        </w:rPr>
      </w:pPr>
      <w:r>
        <w:rPr>
          <w:rFonts w:eastAsia="楷体_GB2312"/>
          <w:sz w:val="32"/>
          <w:szCs w:val="32"/>
        </w:rPr>
        <w:t>（三）项目财务管理情况。</w:t>
      </w:r>
    </w:p>
    <w:p w14:paraId="62C9F2F0">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保证专款专用，资金支付由财务人员按照财务制度进行审核、支付和核算，所有支出均以代发方式进行，在具体支付时，明细花名册等相关材料，手续完善，不存在虚假会计凭证，会计严格执行财务管理制度，</w:t>
      </w:r>
      <w:r>
        <w:rPr>
          <w:rFonts w:eastAsia="仿宋_GB2312"/>
          <w:sz w:val="32"/>
          <w:szCs w:val="32"/>
        </w:rPr>
        <w:t>账务处理及时，会计核算规范。</w:t>
      </w:r>
    </w:p>
    <w:p w14:paraId="3F7E3430">
      <w:pPr>
        <w:spacing w:line="560" w:lineRule="exact"/>
        <w:ind w:firstLine="640" w:firstLineChars="200"/>
        <w:rPr>
          <w:rFonts w:eastAsia="黑体"/>
          <w:sz w:val="32"/>
          <w:szCs w:val="32"/>
        </w:rPr>
      </w:pPr>
      <w:r>
        <w:rPr>
          <w:rFonts w:eastAsia="黑体"/>
          <w:sz w:val="32"/>
          <w:szCs w:val="32"/>
        </w:rPr>
        <w:t>三、项目实施及管理情况</w:t>
      </w:r>
    </w:p>
    <w:p w14:paraId="447CF7C6">
      <w:pPr>
        <w:spacing w:line="560" w:lineRule="exact"/>
        <w:ind w:firstLine="640" w:firstLineChars="200"/>
        <w:rPr>
          <w:rFonts w:eastAsia="楷体_GB2312"/>
          <w:sz w:val="32"/>
          <w:szCs w:val="32"/>
        </w:rPr>
      </w:pPr>
      <w:r>
        <w:rPr>
          <w:rFonts w:eastAsia="楷体_GB2312"/>
          <w:sz w:val="32"/>
          <w:szCs w:val="32"/>
        </w:rPr>
        <w:t>（一）项目组织架构及实施流程。</w:t>
      </w:r>
    </w:p>
    <w:p w14:paraId="7BA7552B">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由我单位牵头，按照县财政下达预算，民政局提供人员发放文件，按月发放及缴存。</w:t>
      </w:r>
    </w:p>
    <w:p w14:paraId="14EED447">
      <w:pPr>
        <w:spacing w:line="560" w:lineRule="exact"/>
        <w:ind w:firstLine="640" w:firstLineChars="200"/>
        <w:rPr>
          <w:rFonts w:eastAsia="楷体_GB2312"/>
          <w:sz w:val="32"/>
          <w:szCs w:val="32"/>
        </w:rPr>
      </w:pPr>
      <w:r>
        <w:rPr>
          <w:rFonts w:eastAsia="楷体_GB2312"/>
          <w:sz w:val="32"/>
          <w:szCs w:val="32"/>
        </w:rPr>
        <w:t>（二）项目管理情况。</w:t>
      </w:r>
    </w:p>
    <w:p w14:paraId="3844483C">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此项目资金为县财政局下达预算资金，乡财人员按照县民政局提供文件，结合实际情况按月发放及缴存社区人员资金，我单位进行审核，向财政局统一预算管理平台申报计划，进行支付、核算。</w:t>
      </w:r>
    </w:p>
    <w:p w14:paraId="47FD9415">
      <w:pPr>
        <w:spacing w:line="560" w:lineRule="exact"/>
        <w:ind w:firstLine="640" w:firstLineChars="200"/>
        <w:rPr>
          <w:rFonts w:eastAsia="楷体_GB2312"/>
          <w:sz w:val="32"/>
          <w:szCs w:val="32"/>
        </w:rPr>
      </w:pPr>
      <w:r>
        <w:rPr>
          <w:rFonts w:eastAsia="楷体_GB2312"/>
          <w:sz w:val="32"/>
          <w:szCs w:val="32"/>
        </w:rPr>
        <w:t>（三）项目监管情况。</w:t>
      </w:r>
    </w:p>
    <w:p w14:paraId="375E5936">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37FB6BC3">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42EB1C8B">
      <w:pPr>
        <w:spacing w:line="560" w:lineRule="exact"/>
        <w:ind w:firstLine="640" w:firstLineChars="200"/>
        <w:rPr>
          <w:rFonts w:eastAsia="楷体_GB2312"/>
          <w:sz w:val="32"/>
          <w:szCs w:val="32"/>
        </w:rPr>
      </w:pPr>
      <w:r>
        <w:rPr>
          <w:rFonts w:eastAsia="楷体_GB2312"/>
          <w:sz w:val="32"/>
          <w:szCs w:val="32"/>
        </w:rPr>
        <w:t>（一）项目完成情况。</w:t>
      </w:r>
    </w:p>
    <w:p w14:paraId="173438B1">
      <w:pPr>
        <w:spacing w:line="560" w:lineRule="exact"/>
        <w:ind w:firstLine="640" w:firstLineChars="200"/>
        <w:rPr>
          <w:rFonts w:ascii="仿宋_GB2312" w:eastAsia="仿宋_GB2312"/>
          <w:sz w:val="32"/>
          <w:szCs w:val="32"/>
        </w:rPr>
      </w:pPr>
      <w:r>
        <w:rPr>
          <w:rFonts w:hint="eastAsia" w:eastAsia="仿宋_GB2312"/>
          <w:sz w:val="32"/>
          <w:szCs w:val="32"/>
        </w:rPr>
        <w:t>已于2021年全部使用、报账及核算。主要用于</w:t>
      </w:r>
      <w:r>
        <w:rPr>
          <w:rFonts w:eastAsia="仿宋_GB2312"/>
          <w:sz w:val="32"/>
          <w:szCs w:val="32"/>
        </w:rPr>
        <w:t>2021</w:t>
      </w:r>
      <w:r>
        <w:rPr>
          <w:rFonts w:hint="eastAsia" w:ascii="仿宋_GB2312" w:eastAsia="仿宋_GB2312"/>
          <w:sz w:val="32"/>
          <w:szCs w:val="32"/>
        </w:rPr>
        <w:t>年全镇7个村96名村社干部报酬及绩效。</w:t>
      </w:r>
    </w:p>
    <w:p w14:paraId="1A074F5D">
      <w:pPr>
        <w:spacing w:line="560" w:lineRule="exact"/>
        <w:ind w:firstLine="640" w:firstLineChars="200"/>
        <w:rPr>
          <w:rFonts w:eastAsia="楷体_GB2312"/>
          <w:sz w:val="32"/>
          <w:szCs w:val="32"/>
        </w:rPr>
      </w:pPr>
      <w:r>
        <w:rPr>
          <w:rFonts w:eastAsia="楷体_GB2312"/>
          <w:sz w:val="32"/>
          <w:szCs w:val="32"/>
        </w:rPr>
        <w:t>（二）项目效益情况。</w:t>
      </w:r>
    </w:p>
    <w:p w14:paraId="79482BCA">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0DC3867F">
      <w:pPr>
        <w:spacing w:line="560" w:lineRule="exact"/>
        <w:ind w:firstLine="640" w:firstLineChars="200"/>
        <w:rPr>
          <w:rFonts w:eastAsia="黑体"/>
          <w:sz w:val="32"/>
          <w:szCs w:val="32"/>
        </w:rPr>
      </w:pPr>
      <w:r>
        <w:rPr>
          <w:rFonts w:eastAsia="黑体"/>
          <w:sz w:val="32"/>
          <w:szCs w:val="32"/>
        </w:rPr>
        <w:t>五、评价结论及建议</w:t>
      </w:r>
    </w:p>
    <w:p w14:paraId="481A36AC">
      <w:pPr>
        <w:spacing w:line="560" w:lineRule="exact"/>
        <w:ind w:firstLine="640" w:firstLineChars="200"/>
        <w:rPr>
          <w:rFonts w:eastAsia="楷体_GB2312"/>
          <w:sz w:val="32"/>
          <w:szCs w:val="32"/>
        </w:rPr>
      </w:pPr>
      <w:r>
        <w:rPr>
          <w:rFonts w:eastAsia="楷体_GB2312"/>
          <w:sz w:val="32"/>
          <w:szCs w:val="32"/>
        </w:rPr>
        <w:t>（一）评价结论。</w:t>
      </w:r>
    </w:p>
    <w:p w14:paraId="1957D71E">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2952D48E">
      <w:pPr>
        <w:spacing w:line="560" w:lineRule="exact"/>
        <w:ind w:firstLine="640" w:firstLineChars="200"/>
        <w:rPr>
          <w:rFonts w:eastAsia="楷体_GB2312"/>
          <w:sz w:val="32"/>
          <w:szCs w:val="32"/>
        </w:rPr>
      </w:pPr>
      <w:r>
        <w:rPr>
          <w:rFonts w:eastAsia="楷体_GB2312"/>
          <w:sz w:val="32"/>
          <w:szCs w:val="32"/>
        </w:rPr>
        <w:t>（二）存在的问题。</w:t>
      </w:r>
    </w:p>
    <w:p w14:paraId="5602ECC5">
      <w:pPr>
        <w:spacing w:line="560" w:lineRule="exact"/>
        <w:ind w:firstLine="640" w:firstLineChars="200"/>
        <w:rPr>
          <w:rFonts w:eastAsia="仿宋_GB2312"/>
          <w:sz w:val="32"/>
          <w:szCs w:val="32"/>
        </w:rPr>
      </w:pPr>
      <w:r>
        <w:rPr>
          <w:rFonts w:hint="eastAsia" w:eastAsia="仿宋_GB2312"/>
          <w:sz w:val="32"/>
          <w:szCs w:val="32"/>
        </w:rPr>
        <w:t>无问题。</w:t>
      </w:r>
    </w:p>
    <w:p w14:paraId="1A42CF78">
      <w:pPr>
        <w:spacing w:line="560" w:lineRule="exact"/>
        <w:ind w:firstLine="640" w:firstLineChars="200"/>
        <w:rPr>
          <w:rFonts w:eastAsia="楷体_GB2312"/>
          <w:sz w:val="32"/>
          <w:szCs w:val="32"/>
        </w:rPr>
      </w:pPr>
      <w:r>
        <w:rPr>
          <w:rFonts w:eastAsia="楷体_GB2312"/>
          <w:sz w:val="32"/>
          <w:szCs w:val="32"/>
        </w:rPr>
        <w:t>（三）相关建议。</w:t>
      </w:r>
    </w:p>
    <w:p w14:paraId="54236326">
      <w:pPr>
        <w:spacing w:line="560" w:lineRule="exact"/>
        <w:ind w:firstLine="640" w:firstLineChars="200"/>
        <w:rPr>
          <w:rFonts w:eastAsia="仿宋_GB2312"/>
          <w:sz w:val="32"/>
          <w:szCs w:val="32"/>
        </w:rPr>
      </w:pPr>
      <w:r>
        <w:rPr>
          <w:rFonts w:hint="eastAsia" w:eastAsia="仿宋_GB2312"/>
          <w:sz w:val="32"/>
          <w:szCs w:val="32"/>
        </w:rPr>
        <w:t>无建议。</w:t>
      </w:r>
    </w:p>
    <w:p w14:paraId="1EBE5805">
      <w:pPr>
        <w:spacing w:line="560" w:lineRule="exact"/>
        <w:ind w:firstLine="640" w:firstLineChars="200"/>
        <w:rPr>
          <w:rFonts w:eastAsia="仿宋_GB2312"/>
          <w:sz w:val="32"/>
          <w:szCs w:val="32"/>
        </w:rPr>
      </w:pPr>
    </w:p>
    <w:p w14:paraId="57B0D99E">
      <w:pPr>
        <w:spacing w:line="560" w:lineRule="exact"/>
        <w:ind w:firstLine="640" w:firstLineChars="200"/>
        <w:rPr>
          <w:rFonts w:eastAsia="仿宋_GB2312"/>
          <w:sz w:val="32"/>
          <w:szCs w:val="32"/>
        </w:rPr>
      </w:pPr>
    </w:p>
    <w:p w14:paraId="51B0E74A">
      <w:pPr>
        <w:spacing w:line="560" w:lineRule="exact"/>
        <w:ind w:firstLine="640" w:firstLineChars="200"/>
        <w:rPr>
          <w:rFonts w:eastAsia="仿宋_GB2312"/>
          <w:sz w:val="32"/>
          <w:szCs w:val="32"/>
        </w:rPr>
      </w:pPr>
    </w:p>
    <w:p w14:paraId="370A535E">
      <w:pPr>
        <w:spacing w:line="560" w:lineRule="exact"/>
        <w:ind w:firstLine="640" w:firstLineChars="200"/>
        <w:rPr>
          <w:rFonts w:eastAsia="仿宋_GB2312"/>
          <w:sz w:val="32"/>
          <w:szCs w:val="32"/>
        </w:rPr>
      </w:pPr>
    </w:p>
    <w:p w14:paraId="03D71F93">
      <w:pPr>
        <w:spacing w:line="560" w:lineRule="exact"/>
        <w:ind w:firstLine="640" w:firstLineChars="200"/>
        <w:rPr>
          <w:rFonts w:eastAsia="仿宋_GB2312"/>
          <w:sz w:val="32"/>
          <w:szCs w:val="32"/>
        </w:rPr>
      </w:pPr>
    </w:p>
    <w:p w14:paraId="355A1469">
      <w:pPr>
        <w:spacing w:line="560" w:lineRule="exact"/>
        <w:ind w:firstLine="640" w:firstLineChars="200"/>
        <w:rPr>
          <w:rFonts w:eastAsia="仿宋_GB2312"/>
          <w:sz w:val="32"/>
          <w:szCs w:val="32"/>
        </w:rPr>
      </w:pPr>
    </w:p>
    <w:tbl>
      <w:tblPr>
        <w:tblStyle w:val="13"/>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242"/>
        <w:gridCol w:w="851"/>
        <w:gridCol w:w="1025"/>
        <w:gridCol w:w="818"/>
        <w:gridCol w:w="817"/>
        <w:gridCol w:w="1309"/>
        <w:gridCol w:w="1417"/>
        <w:gridCol w:w="993"/>
        <w:gridCol w:w="1103"/>
        <w:gridCol w:w="236"/>
      </w:tblGrid>
      <w:tr w14:paraId="6150B6E1">
        <w:tblPrEx>
          <w:tblCellMar>
            <w:top w:w="0" w:type="dxa"/>
            <w:left w:w="108" w:type="dxa"/>
            <w:bottom w:w="0" w:type="dxa"/>
            <w:right w:w="108" w:type="dxa"/>
          </w:tblCellMar>
        </w:tblPrEx>
        <w:trPr>
          <w:trHeight w:val="675" w:hRule="atLeast"/>
        </w:trPr>
        <w:tc>
          <w:tcPr>
            <w:tcW w:w="9575" w:type="dxa"/>
            <w:gridSpan w:val="9"/>
            <w:tcBorders>
              <w:top w:val="nil"/>
              <w:left w:val="nil"/>
              <w:bottom w:val="nil"/>
              <w:right w:val="nil"/>
            </w:tcBorders>
            <w:shd w:val="clear" w:color="auto" w:fill="auto"/>
            <w:vAlign w:val="center"/>
          </w:tcPr>
          <w:p w14:paraId="0ADFC533">
            <w:pPr>
              <w:widowControl/>
              <w:jc w:val="center"/>
              <w:textAlignment w:val="center"/>
              <w:rPr>
                <w:rFonts w:ascii="宋体" w:hAnsi="宋体" w:cs="宋体"/>
                <w:b/>
                <w:sz w:val="28"/>
                <w:szCs w:val="28"/>
              </w:rPr>
            </w:pPr>
            <w:r>
              <w:rPr>
                <w:rFonts w:hint="eastAsia" w:ascii="宋体" w:hAnsi="宋体" w:cs="宋体"/>
                <w:b/>
                <w:sz w:val="28"/>
                <w:szCs w:val="28"/>
              </w:rPr>
              <w:t>2021村社干部报酬及绩效部门预算项目绩效目标自评</w:t>
            </w:r>
          </w:p>
        </w:tc>
        <w:tc>
          <w:tcPr>
            <w:tcW w:w="236" w:type="dxa"/>
            <w:tcBorders>
              <w:top w:val="nil"/>
              <w:left w:val="nil"/>
              <w:bottom w:val="nil"/>
              <w:right w:val="nil"/>
            </w:tcBorders>
            <w:shd w:val="clear" w:color="auto" w:fill="auto"/>
            <w:vAlign w:val="center"/>
          </w:tcPr>
          <w:p w14:paraId="6B78767A">
            <w:pPr>
              <w:widowControl/>
              <w:jc w:val="center"/>
              <w:textAlignment w:val="center"/>
              <w:rPr>
                <w:rFonts w:ascii="宋体" w:hAnsi="宋体" w:cs="宋体"/>
                <w:b/>
                <w:kern w:val="0"/>
                <w:sz w:val="32"/>
                <w:szCs w:val="32"/>
              </w:rPr>
            </w:pPr>
          </w:p>
        </w:tc>
      </w:tr>
      <w:tr w14:paraId="793D2251">
        <w:tblPrEx>
          <w:tblCellMar>
            <w:top w:w="0" w:type="dxa"/>
            <w:left w:w="108" w:type="dxa"/>
            <w:bottom w:w="0" w:type="dxa"/>
            <w:right w:w="108" w:type="dxa"/>
          </w:tblCellMar>
        </w:tblPrEx>
        <w:trPr>
          <w:gridAfter w:val="1"/>
          <w:wAfter w:w="236" w:type="dxa"/>
          <w:trHeight w:val="254" w:hRule="atLeast"/>
        </w:trPr>
        <w:tc>
          <w:tcPr>
            <w:tcW w:w="31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3B6C1D">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9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32FB7">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6F47">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84B2D">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40A796D1">
        <w:tblPrEx>
          <w:tblCellMar>
            <w:top w:w="0" w:type="dxa"/>
            <w:left w:w="108" w:type="dxa"/>
            <w:bottom w:w="0" w:type="dxa"/>
            <w:right w:w="108" w:type="dxa"/>
          </w:tblCellMar>
        </w:tblPrEx>
        <w:trPr>
          <w:gridAfter w:val="1"/>
          <w:wAfter w:w="236" w:type="dxa"/>
          <w:trHeight w:val="341" w:hRule="atLeast"/>
        </w:trPr>
        <w:tc>
          <w:tcPr>
            <w:tcW w:w="311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168D1">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BAA28">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415F">
            <w:pPr>
              <w:widowControl/>
              <w:spacing w:line="320" w:lineRule="exact"/>
              <w:jc w:val="left"/>
              <w:textAlignment w:val="center"/>
              <w:rPr>
                <w:rFonts w:ascii="宋体" w:hAnsi="宋体" w:cs="宋体"/>
                <w:sz w:val="24"/>
              </w:rPr>
            </w:pPr>
            <w:r>
              <w:rPr>
                <w:rFonts w:hint="eastAsia" w:ascii="宋体" w:hAnsi="宋体" w:cs="宋体"/>
                <w:sz w:val="24"/>
              </w:rPr>
              <w:t>170.05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C575">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889CE">
            <w:pPr>
              <w:widowControl/>
              <w:spacing w:line="320" w:lineRule="exact"/>
              <w:jc w:val="center"/>
              <w:textAlignment w:val="center"/>
              <w:rPr>
                <w:rFonts w:ascii="宋体" w:hAnsi="宋体" w:cs="宋体"/>
                <w:sz w:val="24"/>
              </w:rPr>
            </w:pPr>
            <w:r>
              <w:rPr>
                <w:rFonts w:hint="eastAsia" w:ascii="宋体" w:hAnsi="宋体" w:cs="宋体"/>
                <w:sz w:val="24"/>
              </w:rPr>
              <w:t>170.05</w:t>
            </w:r>
          </w:p>
        </w:tc>
      </w:tr>
      <w:tr w14:paraId="6BE7FE76">
        <w:tblPrEx>
          <w:tblCellMar>
            <w:top w:w="0" w:type="dxa"/>
            <w:left w:w="108" w:type="dxa"/>
            <w:bottom w:w="0" w:type="dxa"/>
            <w:right w:w="108" w:type="dxa"/>
          </w:tblCellMar>
        </w:tblPrEx>
        <w:trPr>
          <w:gridAfter w:val="1"/>
          <w:wAfter w:w="236" w:type="dxa"/>
          <w:trHeight w:val="555"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DF676">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A4446">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495A1600">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6494">
            <w:pPr>
              <w:widowControl/>
              <w:spacing w:line="320" w:lineRule="exact"/>
              <w:jc w:val="left"/>
              <w:textAlignment w:val="center"/>
              <w:rPr>
                <w:rFonts w:ascii="宋体" w:hAnsi="宋体" w:cs="宋体"/>
                <w:sz w:val="24"/>
              </w:rPr>
            </w:pPr>
            <w:r>
              <w:rPr>
                <w:rFonts w:hint="eastAsia" w:ascii="宋体" w:hAnsi="宋体" w:cs="宋体"/>
                <w:sz w:val="24"/>
              </w:rPr>
              <w:t>170.05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9D63">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736C5696">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35240">
            <w:pPr>
              <w:widowControl/>
              <w:spacing w:line="320" w:lineRule="exact"/>
              <w:textAlignment w:val="center"/>
              <w:rPr>
                <w:rFonts w:ascii="宋体" w:hAnsi="宋体" w:cs="宋体"/>
                <w:sz w:val="24"/>
              </w:rPr>
            </w:pPr>
            <w:r>
              <w:rPr>
                <w:rFonts w:hint="eastAsia" w:ascii="宋体" w:hAnsi="宋体" w:cs="宋体"/>
                <w:sz w:val="24"/>
              </w:rPr>
              <w:t>170.05</w:t>
            </w:r>
          </w:p>
        </w:tc>
      </w:tr>
      <w:tr w14:paraId="1B2B4DA3">
        <w:tblPrEx>
          <w:tblCellMar>
            <w:top w:w="0" w:type="dxa"/>
            <w:left w:w="108" w:type="dxa"/>
            <w:bottom w:w="0" w:type="dxa"/>
            <w:right w:w="108" w:type="dxa"/>
          </w:tblCellMar>
        </w:tblPrEx>
        <w:trPr>
          <w:gridAfter w:val="1"/>
          <w:wAfter w:w="236" w:type="dxa"/>
          <w:trHeight w:val="341"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19295">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7F39C8">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E611">
            <w:pPr>
              <w:widowControl/>
              <w:spacing w:line="320" w:lineRule="exact"/>
              <w:jc w:val="left"/>
              <w:textAlignment w:val="center"/>
              <w:rPr>
                <w:rFonts w:ascii="宋体" w:hAnsi="宋体" w:cs="宋体"/>
                <w:sz w:val="24"/>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9FFB">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B517D">
            <w:pPr>
              <w:widowControl/>
              <w:spacing w:line="320" w:lineRule="exact"/>
              <w:jc w:val="center"/>
              <w:textAlignment w:val="center"/>
              <w:rPr>
                <w:rFonts w:ascii="宋体" w:hAnsi="宋体" w:cs="宋体"/>
                <w:sz w:val="24"/>
              </w:rPr>
            </w:pPr>
          </w:p>
        </w:tc>
      </w:tr>
      <w:tr w14:paraId="4C734421">
        <w:tblPrEx>
          <w:tblCellMar>
            <w:top w:w="0" w:type="dxa"/>
            <w:left w:w="108" w:type="dxa"/>
            <w:bottom w:w="0" w:type="dxa"/>
            <w:right w:w="108" w:type="dxa"/>
          </w:tblCellMar>
        </w:tblPrEx>
        <w:trPr>
          <w:gridAfter w:val="1"/>
          <w:wAfter w:w="236" w:type="dxa"/>
          <w:trHeight w:val="217" w:hRule="atLeast"/>
        </w:trPr>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A128C">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5E7E651E">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567B0B">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0BECB2">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7EE9A515">
        <w:tblPrEx>
          <w:tblCellMar>
            <w:top w:w="0" w:type="dxa"/>
            <w:left w:w="108" w:type="dxa"/>
            <w:bottom w:w="0" w:type="dxa"/>
            <w:right w:w="108" w:type="dxa"/>
          </w:tblCellMar>
        </w:tblPrEx>
        <w:trPr>
          <w:gridAfter w:val="1"/>
          <w:wAfter w:w="236" w:type="dxa"/>
          <w:trHeight w:val="797"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2C903">
            <w:pPr>
              <w:spacing w:line="320" w:lineRule="exact"/>
              <w:jc w:val="center"/>
              <w:rPr>
                <w:rFonts w:ascii="宋体" w:hAnsi="宋体" w:cs="宋体"/>
                <w:sz w:val="24"/>
              </w:rPr>
            </w:pP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tcPr>
          <w:p w14:paraId="6D94BA9E">
            <w:pPr>
              <w:widowControl/>
              <w:spacing w:line="320" w:lineRule="exact"/>
              <w:jc w:val="left"/>
              <w:textAlignment w:val="top"/>
              <w:rPr>
                <w:rFonts w:ascii="宋体" w:hAnsi="宋体" w:cs="宋体"/>
                <w:sz w:val="24"/>
              </w:rPr>
            </w:pPr>
            <w:r>
              <w:rPr>
                <w:rFonts w:hint="eastAsia" w:ascii="宋体" w:hAnsi="宋体" w:cs="宋体"/>
                <w:sz w:val="24"/>
              </w:rPr>
              <w:t>完成村基础设施维护工作，组织开展集体活动</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tcPr>
          <w:p w14:paraId="36EEC410">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5A3E5E0E">
        <w:tblPrEx>
          <w:tblCellMar>
            <w:top w:w="0" w:type="dxa"/>
            <w:left w:w="108" w:type="dxa"/>
            <w:bottom w:w="0" w:type="dxa"/>
            <w:right w:w="108" w:type="dxa"/>
          </w:tblCellMar>
        </w:tblPrEx>
        <w:trPr>
          <w:gridAfter w:val="1"/>
          <w:wAfter w:w="236" w:type="dxa"/>
          <w:trHeight w:val="693" w:hRule="atLeast"/>
        </w:trPr>
        <w:tc>
          <w:tcPr>
            <w:tcW w:w="1242" w:type="dxa"/>
            <w:vMerge w:val="restart"/>
            <w:tcBorders>
              <w:top w:val="single" w:color="000000" w:sz="4" w:space="0"/>
              <w:left w:val="single" w:color="000000" w:sz="4" w:space="0"/>
              <w:right w:val="single" w:color="000000" w:sz="4" w:space="0"/>
            </w:tcBorders>
            <w:shd w:val="clear" w:color="auto" w:fill="auto"/>
            <w:vAlign w:val="center"/>
          </w:tcPr>
          <w:p w14:paraId="6DB473A2">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51" w:type="dxa"/>
            <w:tcBorders>
              <w:top w:val="single" w:color="000000" w:sz="4" w:space="0"/>
              <w:left w:val="nil"/>
              <w:bottom w:val="single" w:color="000000" w:sz="4" w:space="0"/>
              <w:right w:val="single" w:color="000000" w:sz="4" w:space="0"/>
            </w:tcBorders>
            <w:shd w:val="clear" w:color="auto" w:fill="auto"/>
            <w:vAlign w:val="center"/>
          </w:tcPr>
          <w:p w14:paraId="6AB2F94D">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7B7A89F4">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A3ADA">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66C25959">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AAD8B">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4AB18DBF">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BF8CE">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E86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7881F270">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7689D9F7">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CB6EB">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6D94987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BE8F90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D51250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ED1A67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7个村</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FC584D">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A8812E5">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1F8B71D0">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78A33B9">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9FF42C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6EF38F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05736C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7个村</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9649F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177B64B">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3C95DCB6">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36D6975">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AB42F4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9A9FE5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42A3C3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7个村</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EF45C4">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3A29B15">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5964B6FB">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4530466">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5104B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EFE473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BCA729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3A11B4">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B60A341">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58D68EFB">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D54F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0216AB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4D4B6C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246F5C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279BA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6597E11">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6762FD25">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54150C4">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F16562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28CC07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稳定工作人员情绪，</w:t>
            </w:r>
            <w:r>
              <w:rPr>
                <w:rFonts w:hint="eastAsia" w:ascii="仿宋_GB2312" w:hAnsi="仿宋_GB2312" w:eastAsia="仿宋_GB2312" w:cs="仿宋_GB2312"/>
                <w:szCs w:val="21"/>
                <w:lang w:eastAsia="zh-CN"/>
              </w:rPr>
              <w:t>更好地为</w:t>
            </w:r>
            <w:r>
              <w:rPr>
                <w:rFonts w:hint="eastAsia" w:ascii="仿宋_GB2312" w:hAnsi="仿宋_GB2312" w:eastAsia="仿宋_GB2312" w:cs="仿宋_GB2312"/>
                <w:szCs w:val="21"/>
              </w:rPr>
              <w:t>辖区内居民服务</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60B610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338565">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709F1888">
        <w:tblPrEx>
          <w:tblCellMar>
            <w:top w:w="0" w:type="dxa"/>
            <w:left w:w="108" w:type="dxa"/>
            <w:bottom w:w="0" w:type="dxa"/>
            <w:right w:w="108" w:type="dxa"/>
          </w:tblCellMar>
        </w:tblPrEx>
        <w:trPr>
          <w:gridAfter w:val="1"/>
          <w:wAfter w:w="236" w:type="dxa"/>
          <w:trHeight w:val="577" w:hRule="atLeast"/>
        </w:trPr>
        <w:tc>
          <w:tcPr>
            <w:tcW w:w="1242" w:type="dxa"/>
            <w:vMerge w:val="continue"/>
            <w:tcBorders>
              <w:left w:val="single" w:color="000000" w:sz="4" w:space="0"/>
              <w:right w:val="single" w:color="000000" w:sz="4" w:space="0"/>
            </w:tcBorders>
            <w:shd w:val="clear" w:color="auto" w:fill="auto"/>
            <w:vAlign w:val="center"/>
          </w:tcPr>
          <w:p w14:paraId="352C2759">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1DE400F">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51C9D33">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928D95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50519CF">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D4BF9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r>
      <w:tr w14:paraId="6E6A487D">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3A140D93">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5C2FF6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0C878C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70B8BE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268F9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1CAD9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r>
      <w:tr w14:paraId="606072B4">
        <w:tblPrEx>
          <w:tblCellMar>
            <w:top w:w="0" w:type="dxa"/>
            <w:left w:w="108" w:type="dxa"/>
            <w:bottom w:w="0" w:type="dxa"/>
            <w:right w:w="108" w:type="dxa"/>
          </w:tblCellMar>
        </w:tblPrEx>
        <w:trPr>
          <w:gridAfter w:val="1"/>
          <w:wAfter w:w="236" w:type="dxa"/>
          <w:trHeight w:val="530" w:hRule="atLeast"/>
        </w:trPr>
        <w:tc>
          <w:tcPr>
            <w:tcW w:w="1242" w:type="dxa"/>
            <w:vMerge w:val="continue"/>
            <w:tcBorders>
              <w:left w:val="single" w:color="000000" w:sz="4" w:space="0"/>
              <w:bottom w:val="single" w:color="000000" w:sz="4" w:space="0"/>
              <w:right w:val="single" w:color="000000" w:sz="4" w:space="0"/>
            </w:tcBorders>
            <w:shd w:val="clear" w:color="auto" w:fill="auto"/>
            <w:vAlign w:val="center"/>
          </w:tcPr>
          <w:p w14:paraId="35418362">
            <w:pPr>
              <w:spacing w:line="320" w:lineRule="exact"/>
              <w:jc w:val="center"/>
              <w:rPr>
                <w:rFonts w:ascii="仿宋_GB2312" w:hAnsi="仿宋_GB2312" w:eastAsia="仿宋_GB2312" w:cs="仿宋_GB2312"/>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023A9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C1E076E">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085B0E9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0C5AE4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1799C8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37F9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6A758F6D">
      <w:pPr>
        <w:pStyle w:val="2"/>
        <w:spacing w:before="93"/>
      </w:pPr>
    </w:p>
    <w:p w14:paraId="7451E565">
      <w:pPr>
        <w:pStyle w:val="2"/>
        <w:spacing w:before="93"/>
      </w:pPr>
    </w:p>
    <w:p w14:paraId="477D61D0">
      <w:pPr>
        <w:spacing w:line="640" w:lineRule="exact"/>
        <w:jc w:val="center"/>
        <w:rPr>
          <w:rFonts w:eastAsia="方正小标宋_GBK"/>
          <w:sz w:val="44"/>
          <w:szCs w:val="44"/>
        </w:rPr>
      </w:pPr>
      <w:r>
        <w:rPr>
          <w:rFonts w:eastAsia="方正小标宋_GBK"/>
          <w:sz w:val="44"/>
          <w:szCs w:val="44"/>
        </w:rPr>
        <w:t>2021年度专项（项目）资金绩效自评报告</w:t>
      </w:r>
    </w:p>
    <w:p w14:paraId="77A554CE">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2021年五保户生活费、丧葬费以及御寒费</w:t>
      </w:r>
      <w:r>
        <w:rPr>
          <w:rFonts w:eastAsia="方正楷体_GBK"/>
          <w:b/>
          <w:sz w:val="32"/>
          <w:szCs w:val="32"/>
        </w:rPr>
        <w:t>）</w:t>
      </w:r>
    </w:p>
    <w:p w14:paraId="58EF3F70">
      <w:pPr>
        <w:spacing w:line="600" w:lineRule="exact"/>
        <w:rPr>
          <w:sz w:val="32"/>
          <w:szCs w:val="32"/>
          <w:lang w:val="zh-CN"/>
        </w:rPr>
      </w:pPr>
    </w:p>
    <w:p w14:paraId="20256358">
      <w:pPr>
        <w:spacing w:line="560" w:lineRule="exact"/>
        <w:ind w:firstLine="640" w:firstLineChars="200"/>
        <w:rPr>
          <w:rFonts w:eastAsia="黑体"/>
          <w:sz w:val="32"/>
          <w:szCs w:val="32"/>
        </w:rPr>
      </w:pPr>
      <w:r>
        <w:rPr>
          <w:rFonts w:eastAsia="黑体"/>
          <w:sz w:val="32"/>
          <w:szCs w:val="32"/>
        </w:rPr>
        <w:t>一、项目概况</w:t>
      </w:r>
    </w:p>
    <w:p w14:paraId="4D004E6F">
      <w:pPr>
        <w:spacing w:line="560" w:lineRule="exact"/>
        <w:ind w:firstLine="640" w:firstLineChars="200"/>
        <w:rPr>
          <w:rFonts w:eastAsia="楷体_GB2312"/>
          <w:sz w:val="32"/>
          <w:szCs w:val="32"/>
        </w:rPr>
      </w:pPr>
      <w:r>
        <w:rPr>
          <w:rFonts w:eastAsia="楷体_GB2312"/>
          <w:sz w:val="32"/>
          <w:szCs w:val="32"/>
        </w:rPr>
        <w:t>（一）项目基本情况。</w:t>
      </w:r>
    </w:p>
    <w:p w14:paraId="2D6CC0AC">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187EA2C4">
      <w:pPr>
        <w:spacing w:line="560" w:lineRule="exact"/>
        <w:ind w:firstLine="640" w:firstLineChars="200"/>
        <w:rPr>
          <w:rFonts w:eastAsia="仿宋_GB2312"/>
          <w:sz w:val="32"/>
          <w:szCs w:val="32"/>
        </w:rPr>
      </w:pPr>
      <w:r>
        <w:rPr>
          <w:rFonts w:hint="eastAsia" w:eastAsia="仿宋_GB2312"/>
          <w:sz w:val="32"/>
          <w:szCs w:val="32"/>
        </w:rPr>
        <w:t>职能：牵头实施项目，编制实施方案，对该资金加强资金管理，确保专款专用，不得挪作他用，提高资金使用绩效</w:t>
      </w:r>
      <w:r>
        <w:rPr>
          <w:rFonts w:eastAsia="仿宋_GB2312"/>
          <w:sz w:val="32"/>
          <w:szCs w:val="32"/>
        </w:rPr>
        <w:t>。</w:t>
      </w:r>
    </w:p>
    <w:p w14:paraId="3DAC75EB">
      <w:pPr>
        <w:spacing w:line="560" w:lineRule="exact"/>
        <w:ind w:firstLine="800" w:firstLineChars="250"/>
        <w:rPr>
          <w:rFonts w:eastAsia="仿宋_GB2312"/>
          <w:sz w:val="32"/>
          <w:szCs w:val="32"/>
        </w:rPr>
      </w:pPr>
      <w:r>
        <w:rPr>
          <w:rFonts w:eastAsia="仿宋_GB2312"/>
          <w:sz w:val="32"/>
          <w:szCs w:val="32"/>
        </w:rPr>
        <w:t>2. 项目立项、资金申报的依据。</w:t>
      </w:r>
    </w:p>
    <w:p w14:paraId="16D3AC38">
      <w:pPr>
        <w:spacing w:line="560" w:lineRule="exact"/>
        <w:ind w:firstLine="640" w:firstLineChars="200"/>
        <w:rPr>
          <w:rFonts w:eastAsia="仿宋_GB2312"/>
          <w:sz w:val="32"/>
          <w:szCs w:val="32"/>
        </w:rPr>
      </w:pPr>
      <w:r>
        <w:rPr>
          <w:rFonts w:hint="eastAsia" w:eastAsia="仿宋_GB2312"/>
          <w:sz w:val="32"/>
          <w:szCs w:val="32"/>
        </w:rPr>
        <w:t>根据民政局《关于2021年7所敬老院经费的函》等文件要求提前下达各乡（镇）2021年乡镇财政专项转移支付补助资金。</w:t>
      </w:r>
    </w:p>
    <w:p w14:paraId="235B7EAB">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0E21FDC8">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18129E1C">
      <w:pPr>
        <w:spacing w:line="560" w:lineRule="exact"/>
        <w:ind w:firstLine="640" w:firstLineChars="200"/>
        <w:rPr>
          <w:rFonts w:eastAsia="仿宋_GB2312"/>
          <w:sz w:val="32"/>
          <w:szCs w:val="32"/>
        </w:rPr>
      </w:pPr>
      <w:r>
        <w:rPr>
          <w:rFonts w:hint="eastAsia" w:eastAsia="仿宋_GB2312"/>
          <w:sz w:val="32"/>
          <w:szCs w:val="32"/>
        </w:rPr>
        <w:t>资金支付具体项目条件是：</w:t>
      </w:r>
      <w:r>
        <w:rPr>
          <w:rFonts w:eastAsia="仿宋_GB2312"/>
          <w:sz w:val="32"/>
          <w:szCs w:val="32"/>
        </w:rPr>
        <w:t>2021</w:t>
      </w:r>
      <w:r>
        <w:rPr>
          <w:rFonts w:hint="eastAsia" w:ascii="仿宋_GB2312" w:eastAsia="仿宋_GB2312"/>
          <w:sz w:val="32"/>
          <w:szCs w:val="32"/>
        </w:rPr>
        <w:t>年全镇74名五保户生活补助，丧葬费以及御寒费</w:t>
      </w:r>
      <w:r>
        <w:rPr>
          <w:rFonts w:hint="eastAsia" w:eastAsia="仿宋_GB2312"/>
          <w:sz w:val="32"/>
          <w:szCs w:val="32"/>
        </w:rPr>
        <w:t>。</w:t>
      </w:r>
    </w:p>
    <w:p w14:paraId="6B4E0386">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766BA775">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w:t>
      </w:r>
    </w:p>
    <w:p w14:paraId="4DBCCB3A">
      <w:pPr>
        <w:spacing w:line="560" w:lineRule="exact"/>
        <w:ind w:firstLine="640" w:firstLineChars="200"/>
        <w:rPr>
          <w:rFonts w:eastAsia="楷体_GB2312"/>
          <w:sz w:val="32"/>
          <w:szCs w:val="32"/>
        </w:rPr>
      </w:pPr>
      <w:r>
        <w:rPr>
          <w:rFonts w:eastAsia="楷体_GB2312"/>
          <w:sz w:val="32"/>
          <w:szCs w:val="32"/>
        </w:rPr>
        <w:t>（二）项目绩效目标。</w:t>
      </w:r>
    </w:p>
    <w:p w14:paraId="328D0AA2">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w:t>
      </w:r>
      <w:r>
        <w:rPr>
          <w:rFonts w:eastAsia="仿宋_GB2312"/>
          <w:sz w:val="32"/>
          <w:szCs w:val="32"/>
        </w:rPr>
        <w:t>2021</w:t>
      </w:r>
      <w:r>
        <w:rPr>
          <w:rFonts w:hint="eastAsia" w:ascii="仿宋_GB2312" w:eastAsia="仿宋_GB2312"/>
          <w:sz w:val="32"/>
          <w:szCs w:val="32"/>
        </w:rPr>
        <w:t>年全镇74名五保户生活补助，丧葬费以及御寒费</w:t>
      </w:r>
      <w:r>
        <w:rPr>
          <w:rFonts w:hint="eastAsia" w:eastAsia="仿宋_GB2312"/>
          <w:sz w:val="32"/>
          <w:szCs w:val="32"/>
        </w:rPr>
        <w:t>。</w:t>
      </w:r>
    </w:p>
    <w:p w14:paraId="36AE058D">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：保障</w:t>
      </w:r>
      <w:r>
        <w:rPr>
          <w:rFonts w:eastAsia="仿宋_GB2312"/>
          <w:sz w:val="32"/>
          <w:szCs w:val="32"/>
        </w:rPr>
        <w:t>2021</w:t>
      </w:r>
      <w:r>
        <w:rPr>
          <w:rFonts w:hint="eastAsia" w:ascii="仿宋_GB2312" w:eastAsia="仿宋_GB2312"/>
          <w:sz w:val="32"/>
          <w:szCs w:val="32"/>
        </w:rPr>
        <w:t>年全镇74名五保户生活补助，丧葬费以及御寒费</w:t>
      </w:r>
      <w:r>
        <w:rPr>
          <w:rFonts w:hint="eastAsia" w:eastAsia="仿宋_GB2312"/>
          <w:sz w:val="32"/>
          <w:szCs w:val="32"/>
        </w:rPr>
        <w:t>。</w:t>
      </w:r>
    </w:p>
    <w:p w14:paraId="4E8F8565">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26C77F5A">
      <w:pPr>
        <w:spacing w:line="560" w:lineRule="exact"/>
        <w:ind w:firstLine="640" w:firstLineChars="200"/>
        <w:rPr>
          <w:rFonts w:eastAsia="楷体_GB2312"/>
          <w:sz w:val="32"/>
          <w:szCs w:val="32"/>
        </w:rPr>
      </w:pPr>
      <w:r>
        <w:rPr>
          <w:rFonts w:eastAsia="楷体_GB2312"/>
          <w:sz w:val="32"/>
          <w:szCs w:val="32"/>
        </w:rPr>
        <w:t>（三）项目自评步骤及方法。</w:t>
      </w:r>
    </w:p>
    <w:p w14:paraId="4DE31B4E">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0D917B0B">
      <w:pPr>
        <w:spacing w:line="560" w:lineRule="exact"/>
        <w:ind w:firstLine="640" w:firstLineChars="200"/>
        <w:rPr>
          <w:rFonts w:eastAsia="黑体"/>
          <w:sz w:val="32"/>
          <w:szCs w:val="32"/>
        </w:rPr>
      </w:pPr>
      <w:r>
        <w:rPr>
          <w:rFonts w:eastAsia="黑体"/>
          <w:sz w:val="32"/>
          <w:szCs w:val="32"/>
        </w:rPr>
        <w:t>二、项目资金申报及使用情况</w:t>
      </w:r>
    </w:p>
    <w:p w14:paraId="1AFF3E9C">
      <w:pPr>
        <w:spacing w:line="560" w:lineRule="exact"/>
        <w:ind w:firstLine="640" w:firstLineChars="200"/>
        <w:rPr>
          <w:rFonts w:eastAsia="楷体_GB2312"/>
          <w:sz w:val="32"/>
          <w:szCs w:val="32"/>
        </w:rPr>
      </w:pPr>
      <w:r>
        <w:rPr>
          <w:rFonts w:eastAsia="楷体_GB2312"/>
          <w:sz w:val="32"/>
          <w:szCs w:val="32"/>
        </w:rPr>
        <w:t>（一）项目资金申报及批复情况。</w:t>
      </w:r>
    </w:p>
    <w:p w14:paraId="71A7D592">
      <w:pPr>
        <w:spacing w:line="560" w:lineRule="exact"/>
        <w:ind w:firstLine="640" w:firstLineChars="200"/>
        <w:rPr>
          <w:rFonts w:eastAsia="仿宋_GB2312"/>
          <w:sz w:val="32"/>
          <w:szCs w:val="32"/>
        </w:rPr>
      </w:pPr>
      <w:r>
        <w:rPr>
          <w:rFonts w:hint="eastAsia" w:eastAsia="仿宋_GB2312"/>
          <w:sz w:val="32"/>
          <w:szCs w:val="32"/>
        </w:rPr>
        <w:t>该资金为县财政局2021年年初下达县级预算，按照正常程序报账，预算大平台申报计划，再由县财政局审核计划，最后支付</w:t>
      </w:r>
      <w:r>
        <w:rPr>
          <w:rFonts w:eastAsia="仿宋_GB2312"/>
          <w:sz w:val="32"/>
          <w:szCs w:val="32"/>
        </w:rPr>
        <w:t>。</w:t>
      </w:r>
    </w:p>
    <w:p w14:paraId="0ED59A14">
      <w:pPr>
        <w:spacing w:line="560" w:lineRule="exact"/>
        <w:ind w:firstLine="640" w:firstLineChars="200"/>
        <w:rPr>
          <w:rFonts w:eastAsia="楷体_GB2312"/>
          <w:sz w:val="32"/>
          <w:szCs w:val="32"/>
        </w:rPr>
      </w:pPr>
      <w:r>
        <w:rPr>
          <w:rFonts w:eastAsia="楷体_GB2312"/>
          <w:sz w:val="32"/>
          <w:szCs w:val="32"/>
        </w:rPr>
        <w:t>（二）资金计划、到位及使用情况。</w:t>
      </w:r>
    </w:p>
    <w:p w14:paraId="53893A56">
      <w:pPr>
        <w:spacing w:line="560" w:lineRule="exact"/>
        <w:ind w:firstLine="643" w:firstLineChars="200"/>
        <w:rPr>
          <w:rFonts w:eastAsia="仿宋_GB2312"/>
          <w:sz w:val="32"/>
          <w:szCs w:val="32"/>
        </w:rPr>
      </w:pPr>
      <w:r>
        <w:rPr>
          <w:rFonts w:eastAsia="仿宋_GB2312"/>
          <w:b/>
          <w:sz w:val="32"/>
          <w:szCs w:val="32"/>
        </w:rPr>
        <w:t>1.资金计划。</w:t>
      </w:r>
    </w:p>
    <w:p w14:paraId="15797424">
      <w:pPr>
        <w:spacing w:line="560" w:lineRule="exact"/>
        <w:ind w:firstLine="640" w:firstLineChars="200"/>
        <w:rPr>
          <w:rFonts w:eastAsia="仿宋_GB2312"/>
          <w:sz w:val="32"/>
          <w:szCs w:val="32"/>
        </w:rPr>
      </w:pPr>
      <w:r>
        <w:rPr>
          <w:rFonts w:eastAsia="仿宋_GB2312"/>
          <w:sz w:val="32"/>
          <w:szCs w:val="32"/>
        </w:rPr>
        <w:t>2021</w:t>
      </w:r>
      <w:r>
        <w:rPr>
          <w:rFonts w:hint="eastAsia" w:ascii="仿宋_GB2312" w:eastAsia="仿宋_GB2312"/>
          <w:sz w:val="32"/>
          <w:szCs w:val="32"/>
        </w:rPr>
        <w:t>年预算下达</w:t>
      </w:r>
      <w:r>
        <w:rPr>
          <w:rFonts w:hint="eastAsia" w:eastAsia="仿宋_GB2312"/>
          <w:sz w:val="32"/>
          <w:szCs w:val="32"/>
        </w:rPr>
        <w:t>70.46</w:t>
      </w:r>
      <w:r>
        <w:rPr>
          <w:rFonts w:hint="eastAsia" w:ascii="仿宋_GB2312" w:eastAsia="仿宋_GB2312"/>
          <w:sz w:val="32"/>
          <w:szCs w:val="32"/>
        </w:rPr>
        <w:t>万元，</w:t>
      </w:r>
      <w:r>
        <w:rPr>
          <w:rFonts w:eastAsia="仿宋_GB2312"/>
          <w:sz w:val="32"/>
          <w:szCs w:val="32"/>
        </w:rPr>
        <w:t>2021</w:t>
      </w:r>
      <w:r>
        <w:rPr>
          <w:rFonts w:hint="eastAsia" w:ascii="仿宋_GB2312" w:eastAsia="仿宋_GB2312"/>
          <w:sz w:val="32"/>
          <w:szCs w:val="32"/>
        </w:rPr>
        <w:t>年全镇74名五保户生活补助，丧葬费以及御寒费。</w:t>
      </w:r>
    </w:p>
    <w:p w14:paraId="24D6808C">
      <w:pPr>
        <w:spacing w:line="560" w:lineRule="exact"/>
        <w:ind w:firstLine="643" w:firstLineChars="200"/>
        <w:rPr>
          <w:rFonts w:eastAsia="仿宋_GB2312"/>
          <w:sz w:val="32"/>
          <w:szCs w:val="32"/>
        </w:rPr>
      </w:pPr>
      <w:r>
        <w:rPr>
          <w:rFonts w:eastAsia="仿宋_GB2312"/>
          <w:b/>
          <w:sz w:val="32"/>
          <w:szCs w:val="32"/>
        </w:rPr>
        <w:t>2.资金到位。</w:t>
      </w:r>
    </w:p>
    <w:p w14:paraId="2034DF56">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44ED277C">
      <w:pPr>
        <w:spacing w:line="560" w:lineRule="exact"/>
        <w:ind w:firstLine="643" w:firstLineChars="200"/>
        <w:rPr>
          <w:rFonts w:eastAsia="仿宋_GB2312"/>
          <w:sz w:val="32"/>
          <w:szCs w:val="32"/>
        </w:rPr>
      </w:pPr>
      <w:r>
        <w:rPr>
          <w:rFonts w:eastAsia="仿宋_GB2312"/>
          <w:b/>
          <w:sz w:val="32"/>
          <w:szCs w:val="32"/>
        </w:rPr>
        <w:t>3.资金使用。</w:t>
      </w:r>
    </w:p>
    <w:p w14:paraId="3E36FCF4">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620C32C3">
      <w:pPr>
        <w:spacing w:line="560" w:lineRule="exact"/>
        <w:ind w:firstLine="640" w:firstLineChars="200"/>
        <w:rPr>
          <w:rFonts w:eastAsia="楷体_GB2312"/>
          <w:sz w:val="32"/>
          <w:szCs w:val="32"/>
        </w:rPr>
      </w:pPr>
      <w:r>
        <w:rPr>
          <w:rFonts w:eastAsia="楷体_GB2312"/>
          <w:sz w:val="32"/>
          <w:szCs w:val="32"/>
        </w:rPr>
        <w:t>（三）项目财务管理情况。</w:t>
      </w:r>
    </w:p>
    <w:p w14:paraId="4002A42C">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保证专款专用，资金支付由财务人员按照财务制度进行审核、支付和核算，所有支出均以代发方式进行，在具体支付时，明细花名册等相关材料，手续完善，不存在虚假会计凭证，会计严格执行财务管理制度，</w:t>
      </w:r>
      <w:r>
        <w:rPr>
          <w:rFonts w:eastAsia="仿宋_GB2312"/>
          <w:sz w:val="32"/>
          <w:szCs w:val="32"/>
        </w:rPr>
        <w:t>账务处理及时，会计核算规范。</w:t>
      </w:r>
    </w:p>
    <w:p w14:paraId="26561E47">
      <w:pPr>
        <w:spacing w:line="560" w:lineRule="exact"/>
        <w:ind w:firstLine="640" w:firstLineChars="200"/>
        <w:rPr>
          <w:rFonts w:eastAsia="黑体"/>
          <w:sz w:val="32"/>
          <w:szCs w:val="32"/>
        </w:rPr>
      </w:pPr>
      <w:r>
        <w:rPr>
          <w:rFonts w:eastAsia="黑体"/>
          <w:sz w:val="32"/>
          <w:szCs w:val="32"/>
        </w:rPr>
        <w:t>三、项目实施及管理情况</w:t>
      </w:r>
    </w:p>
    <w:p w14:paraId="00AFA092">
      <w:pPr>
        <w:spacing w:line="560" w:lineRule="exact"/>
        <w:ind w:firstLine="640" w:firstLineChars="200"/>
        <w:rPr>
          <w:rFonts w:eastAsia="楷体_GB2312"/>
          <w:sz w:val="32"/>
          <w:szCs w:val="32"/>
        </w:rPr>
      </w:pPr>
      <w:r>
        <w:rPr>
          <w:rFonts w:eastAsia="楷体_GB2312"/>
          <w:sz w:val="32"/>
          <w:szCs w:val="32"/>
        </w:rPr>
        <w:t>（一）项目组织架构及实施流程。</w:t>
      </w:r>
    </w:p>
    <w:p w14:paraId="2A0A53CD">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由我单位牵头，按照县财政下达预算，民政局提供人员发放文件，按月发放及缴存。</w:t>
      </w:r>
    </w:p>
    <w:p w14:paraId="74AA9815">
      <w:pPr>
        <w:spacing w:line="560" w:lineRule="exact"/>
        <w:ind w:firstLine="640" w:firstLineChars="200"/>
        <w:rPr>
          <w:rFonts w:eastAsia="楷体_GB2312"/>
          <w:sz w:val="32"/>
          <w:szCs w:val="32"/>
        </w:rPr>
      </w:pPr>
      <w:r>
        <w:rPr>
          <w:rFonts w:eastAsia="楷体_GB2312"/>
          <w:sz w:val="32"/>
          <w:szCs w:val="32"/>
        </w:rPr>
        <w:t>（二）项目管理情况。</w:t>
      </w:r>
    </w:p>
    <w:p w14:paraId="70CB1899">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此项目资金为县财政局下达预算资金，乡财人员按照县民政局提供文件，结合实际情况按月发放及缴存社区人员资金，我单位进行审核，向财政局统一预算管理平台申报计划，进行支付、核算。</w:t>
      </w:r>
    </w:p>
    <w:p w14:paraId="6A1B04B0">
      <w:pPr>
        <w:spacing w:line="560" w:lineRule="exact"/>
        <w:ind w:firstLine="640" w:firstLineChars="200"/>
        <w:rPr>
          <w:rFonts w:eastAsia="楷体_GB2312"/>
          <w:sz w:val="32"/>
          <w:szCs w:val="32"/>
        </w:rPr>
      </w:pPr>
      <w:r>
        <w:rPr>
          <w:rFonts w:eastAsia="楷体_GB2312"/>
          <w:sz w:val="32"/>
          <w:szCs w:val="32"/>
        </w:rPr>
        <w:t>（三）项目监管情况。</w:t>
      </w:r>
    </w:p>
    <w:p w14:paraId="1389839C">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6F719285">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6CCE904F">
      <w:pPr>
        <w:spacing w:line="560" w:lineRule="exact"/>
        <w:ind w:firstLine="640" w:firstLineChars="200"/>
        <w:rPr>
          <w:rFonts w:eastAsia="楷体_GB2312"/>
          <w:sz w:val="32"/>
          <w:szCs w:val="32"/>
        </w:rPr>
      </w:pPr>
      <w:r>
        <w:rPr>
          <w:rFonts w:eastAsia="楷体_GB2312"/>
          <w:sz w:val="32"/>
          <w:szCs w:val="32"/>
        </w:rPr>
        <w:t>（一）项目完成情况。</w:t>
      </w:r>
    </w:p>
    <w:p w14:paraId="414C61BF">
      <w:pPr>
        <w:spacing w:line="560" w:lineRule="exact"/>
        <w:ind w:firstLine="640" w:firstLineChars="200"/>
        <w:rPr>
          <w:rFonts w:ascii="仿宋_GB2312" w:eastAsia="仿宋_GB2312"/>
          <w:sz w:val="32"/>
          <w:szCs w:val="32"/>
        </w:rPr>
      </w:pPr>
      <w:r>
        <w:rPr>
          <w:rFonts w:hint="eastAsia" w:eastAsia="仿宋_GB2312"/>
          <w:sz w:val="32"/>
          <w:szCs w:val="32"/>
        </w:rPr>
        <w:t>已于2021年全部使用、报账及核算。主要用于</w:t>
      </w:r>
      <w:r>
        <w:rPr>
          <w:rFonts w:eastAsia="仿宋_GB2312"/>
          <w:sz w:val="32"/>
          <w:szCs w:val="32"/>
        </w:rPr>
        <w:t>2021</w:t>
      </w:r>
      <w:r>
        <w:rPr>
          <w:rFonts w:hint="eastAsia" w:ascii="仿宋_GB2312" w:eastAsia="仿宋_GB2312"/>
          <w:sz w:val="32"/>
          <w:szCs w:val="32"/>
        </w:rPr>
        <w:t>年全镇74名五保户生活补助，丧葬费以及御寒费。</w:t>
      </w:r>
    </w:p>
    <w:p w14:paraId="2F92657C">
      <w:pPr>
        <w:spacing w:line="560" w:lineRule="exact"/>
        <w:ind w:firstLine="640" w:firstLineChars="200"/>
        <w:rPr>
          <w:rFonts w:eastAsia="楷体_GB2312"/>
          <w:sz w:val="32"/>
          <w:szCs w:val="32"/>
        </w:rPr>
      </w:pPr>
      <w:r>
        <w:rPr>
          <w:rFonts w:eastAsia="楷体_GB2312"/>
          <w:sz w:val="32"/>
          <w:szCs w:val="32"/>
        </w:rPr>
        <w:t>（二）项目效益情况。</w:t>
      </w:r>
    </w:p>
    <w:p w14:paraId="2519CFB0">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28F4B84E">
      <w:pPr>
        <w:spacing w:line="560" w:lineRule="exact"/>
        <w:ind w:firstLine="640" w:firstLineChars="200"/>
        <w:rPr>
          <w:rFonts w:eastAsia="黑体"/>
          <w:sz w:val="32"/>
          <w:szCs w:val="32"/>
        </w:rPr>
      </w:pPr>
      <w:r>
        <w:rPr>
          <w:rFonts w:eastAsia="黑体"/>
          <w:sz w:val="32"/>
          <w:szCs w:val="32"/>
        </w:rPr>
        <w:t>五、评价结论及建议</w:t>
      </w:r>
    </w:p>
    <w:p w14:paraId="6471D711">
      <w:pPr>
        <w:spacing w:line="560" w:lineRule="exact"/>
        <w:ind w:firstLine="640" w:firstLineChars="200"/>
        <w:rPr>
          <w:rFonts w:eastAsia="楷体_GB2312"/>
          <w:sz w:val="32"/>
          <w:szCs w:val="32"/>
        </w:rPr>
      </w:pPr>
      <w:r>
        <w:rPr>
          <w:rFonts w:eastAsia="楷体_GB2312"/>
          <w:sz w:val="32"/>
          <w:szCs w:val="32"/>
        </w:rPr>
        <w:t>（一）评价结论。</w:t>
      </w:r>
    </w:p>
    <w:p w14:paraId="24B3E06E">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3642EA46">
      <w:pPr>
        <w:spacing w:line="560" w:lineRule="exact"/>
        <w:ind w:firstLine="640" w:firstLineChars="200"/>
        <w:rPr>
          <w:rFonts w:eastAsia="楷体_GB2312"/>
          <w:sz w:val="32"/>
          <w:szCs w:val="32"/>
        </w:rPr>
      </w:pPr>
      <w:r>
        <w:rPr>
          <w:rFonts w:eastAsia="楷体_GB2312"/>
          <w:sz w:val="32"/>
          <w:szCs w:val="32"/>
        </w:rPr>
        <w:t>（二）存在的问题。</w:t>
      </w:r>
    </w:p>
    <w:p w14:paraId="4EBCFC17">
      <w:pPr>
        <w:spacing w:line="560" w:lineRule="exact"/>
        <w:ind w:firstLine="640" w:firstLineChars="200"/>
        <w:rPr>
          <w:rFonts w:eastAsia="仿宋_GB2312"/>
          <w:sz w:val="32"/>
          <w:szCs w:val="32"/>
        </w:rPr>
      </w:pPr>
      <w:r>
        <w:rPr>
          <w:rFonts w:hint="eastAsia" w:eastAsia="仿宋_GB2312"/>
          <w:sz w:val="32"/>
          <w:szCs w:val="32"/>
        </w:rPr>
        <w:t>无问题。</w:t>
      </w:r>
    </w:p>
    <w:p w14:paraId="5310807A">
      <w:pPr>
        <w:spacing w:line="560" w:lineRule="exact"/>
        <w:ind w:firstLine="640" w:firstLineChars="200"/>
        <w:rPr>
          <w:rFonts w:eastAsia="楷体_GB2312"/>
          <w:sz w:val="32"/>
          <w:szCs w:val="32"/>
        </w:rPr>
      </w:pPr>
      <w:r>
        <w:rPr>
          <w:rFonts w:eastAsia="楷体_GB2312"/>
          <w:sz w:val="32"/>
          <w:szCs w:val="32"/>
        </w:rPr>
        <w:t>（三）相关建议。</w:t>
      </w:r>
    </w:p>
    <w:p w14:paraId="481F8A20">
      <w:pPr>
        <w:spacing w:line="560" w:lineRule="exact"/>
        <w:ind w:firstLine="640" w:firstLineChars="200"/>
        <w:rPr>
          <w:rFonts w:ascii="仿宋_GB2312" w:eastAsia="仿宋_GB2312"/>
          <w:sz w:val="32"/>
          <w:szCs w:val="32"/>
        </w:rPr>
      </w:pPr>
      <w:r>
        <w:rPr>
          <w:rFonts w:hint="eastAsia" w:eastAsia="仿宋_GB2312"/>
          <w:sz w:val="32"/>
          <w:szCs w:val="32"/>
        </w:rPr>
        <w:t>无建议。</w:t>
      </w:r>
    </w:p>
    <w:p w14:paraId="0B386436">
      <w:pPr>
        <w:spacing w:line="560" w:lineRule="exact"/>
        <w:ind w:firstLine="640" w:firstLineChars="200"/>
        <w:rPr>
          <w:rFonts w:ascii="仿宋_GB2312" w:eastAsia="仿宋_GB2312"/>
          <w:sz w:val="32"/>
          <w:szCs w:val="32"/>
        </w:rPr>
      </w:pPr>
    </w:p>
    <w:p w14:paraId="58DF6D14">
      <w:pPr>
        <w:spacing w:line="600" w:lineRule="exact"/>
        <w:jc w:val="center"/>
        <w:outlineLvl w:val="0"/>
        <w:rPr>
          <w:rFonts w:ascii="黑体" w:hAnsi="黑体" w:eastAsia="黑体"/>
          <w:sz w:val="44"/>
          <w:szCs w:val="44"/>
        </w:rPr>
      </w:pPr>
    </w:p>
    <w:p w14:paraId="2ADBA7A2">
      <w:pPr>
        <w:spacing w:line="600" w:lineRule="exact"/>
        <w:jc w:val="center"/>
        <w:outlineLvl w:val="0"/>
        <w:rPr>
          <w:rFonts w:ascii="黑体" w:hAnsi="黑体" w:eastAsia="黑体"/>
          <w:sz w:val="44"/>
          <w:szCs w:val="44"/>
        </w:rPr>
      </w:pPr>
    </w:p>
    <w:p w14:paraId="533081F3">
      <w:pPr>
        <w:spacing w:line="600" w:lineRule="exact"/>
        <w:jc w:val="center"/>
        <w:outlineLvl w:val="0"/>
        <w:rPr>
          <w:rFonts w:ascii="黑体" w:hAnsi="黑体" w:eastAsia="黑体"/>
          <w:sz w:val="44"/>
          <w:szCs w:val="44"/>
        </w:rPr>
      </w:pPr>
    </w:p>
    <w:p w14:paraId="207FD4BE">
      <w:pPr>
        <w:spacing w:line="600" w:lineRule="exact"/>
        <w:jc w:val="center"/>
        <w:outlineLvl w:val="0"/>
        <w:rPr>
          <w:rFonts w:ascii="黑体" w:hAnsi="黑体" w:eastAsia="黑体"/>
          <w:sz w:val="44"/>
          <w:szCs w:val="44"/>
        </w:rPr>
      </w:pPr>
    </w:p>
    <w:p w14:paraId="4F71C2AC">
      <w:pPr>
        <w:spacing w:line="600" w:lineRule="exact"/>
        <w:jc w:val="center"/>
        <w:outlineLvl w:val="0"/>
        <w:rPr>
          <w:rFonts w:ascii="黑体" w:hAnsi="黑体" w:eastAsia="黑体"/>
          <w:sz w:val="44"/>
          <w:szCs w:val="44"/>
        </w:rPr>
      </w:pPr>
    </w:p>
    <w:p w14:paraId="00F3466C">
      <w:pPr>
        <w:spacing w:line="600" w:lineRule="exact"/>
        <w:jc w:val="center"/>
        <w:outlineLvl w:val="0"/>
        <w:rPr>
          <w:rFonts w:ascii="黑体" w:hAnsi="黑体" w:eastAsia="黑体"/>
          <w:sz w:val="44"/>
          <w:szCs w:val="44"/>
        </w:rPr>
      </w:pPr>
    </w:p>
    <w:p w14:paraId="65BA4108">
      <w:pPr>
        <w:spacing w:line="600" w:lineRule="exact"/>
        <w:jc w:val="center"/>
        <w:outlineLvl w:val="0"/>
        <w:rPr>
          <w:rFonts w:ascii="黑体" w:hAnsi="黑体" w:eastAsia="黑体"/>
          <w:sz w:val="44"/>
          <w:szCs w:val="44"/>
        </w:rPr>
      </w:pPr>
    </w:p>
    <w:p w14:paraId="63431740">
      <w:pPr>
        <w:spacing w:line="600" w:lineRule="exact"/>
        <w:jc w:val="center"/>
        <w:outlineLvl w:val="0"/>
        <w:rPr>
          <w:rFonts w:ascii="黑体" w:hAnsi="黑体" w:eastAsia="黑体"/>
          <w:sz w:val="44"/>
          <w:szCs w:val="44"/>
        </w:rPr>
      </w:pPr>
    </w:p>
    <w:p w14:paraId="7B1B8C53">
      <w:pPr>
        <w:spacing w:line="600" w:lineRule="exact"/>
        <w:jc w:val="center"/>
        <w:outlineLvl w:val="0"/>
        <w:rPr>
          <w:rFonts w:ascii="黑体" w:hAnsi="黑体" w:eastAsia="黑体"/>
          <w:sz w:val="44"/>
          <w:szCs w:val="44"/>
        </w:rPr>
      </w:pPr>
    </w:p>
    <w:p w14:paraId="6CFA15EC">
      <w:pPr>
        <w:spacing w:line="600" w:lineRule="exact"/>
        <w:jc w:val="center"/>
        <w:outlineLvl w:val="0"/>
        <w:rPr>
          <w:rFonts w:ascii="黑体" w:hAnsi="黑体" w:eastAsia="黑体"/>
          <w:sz w:val="44"/>
          <w:szCs w:val="44"/>
        </w:rPr>
      </w:pPr>
    </w:p>
    <w:p w14:paraId="719FA295">
      <w:pPr>
        <w:spacing w:line="600" w:lineRule="exact"/>
        <w:jc w:val="center"/>
        <w:outlineLvl w:val="0"/>
        <w:rPr>
          <w:rFonts w:ascii="黑体" w:hAnsi="黑体" w:eastAsia="黑体"/>
          <w:sz w:val="44"/>
          <w:szCs w:val="44"/>
        </w:rPr>
      </w:pPr>
    </w:p>
    <w:p w14:paraId="62DA8E24">
      <w:pPr>
        <w:spacing w:line="600" w:lineRule="exact"/>
        <w:jc w:val="center"/>
        <w:outlineLvl w:val="0"/>
        <w:rPr>
          <w:rFonts w:ascii="黑体" w:hAnsi="黑体" w:eastAsia="黑体"/>
          <w:sz w:val="44"/>
          <w:szCs w:val="44"/>
        </w:rPr>
      </w:pPr>
    </w:p>
    <w:p w14:paraId="5F3D73C6">
      <w:pPr>
        <w:spacing w:line="600" w:lineRule="exact"/>
        <w:jc w:val="center"/>
        <w:outlineLvl w:val="0"/>
        <w:rPr>
          <w:rFonts w:ascii="黑体" w:hAnsi="黑体" w:eastAsia="黑体"/>
          <w:sz w:val="44"/>
          <w:szCs w:val="44"/>
        </w:rPr>
      </w:pPr>
    </w:p>
    <w:tbl>
      <w:tblPr>
        <w:tblStyle w:val="13"/>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242"/>
        <w:gridCol w:w="851"/>
        <w:gridCol w:w="1025"/>
        <w:gridCol w:w="818"/>
        <w:gridCol w:w="817"/>
        <w:gridCol w:w="1309"/>
        <w:gridCol w:w="1417"/>
        <w:gridCol w:w="993"/>
        <w:gridCol w:w="1103"/>
        <w:gridCol w:w="236"/>
      </w:tblGrid>
      <w:tr w14:paraId="19E3EFC7">
        <w:tblPrEx>
          <w:tblCellMar>
            <w:top w:w="0" w:type="dxa"/>
            <w:left w:w="108" w:type="dxa"/>
            <w:bottom w:w="0" w:type="dxa"/>
            <w:right w:w="108" w:type="dxa"/>
          </w:tblCellMar>
        </w:tblPrEx>
        <w:trPr>
          <w:trHeight w:val="675" w:hRule="atLeast"/>
        </w:trPr>
        <w:tc>
          <w:tcPr>
            <w:tcW w:w="9575" w:type="dxa"/>
            <w:gridSpan w:val="9"/>
            <w:tcBorders>
              <w:top w:val="nil"/>
              <w:left w:val="nil"/>
              <w:bottom w:val="nil"/>
              <w:right w:val="nil"/>
            </w:tcBorders>
            <w:shd w:val="clear" w:color="auto" w:fill="auto"/>
            <w:vAlign w:val="center"/>
          </w:tcPr>
          <w:p w14:paraId="5D55342D">
            <w:pPr>
              <w:widowControl/>
              <w:jc w:val="center"/>
              <w:textAlignment w:val="center"/>
              <w:rPr>
                <w:rFonts w:ascii="宋体" w:hAnsi="宋体" w:cs="宋体"/>
                <w:b/>
                <w:sz w:val="28"/>
                <w:szCs w:val="28"/>
              </w:rPr>
            </w:pPr>
            <w:r>
              <w:rPr>
                <w:rFonts w:hint="eastAsia" w:ascii="宋体" w:hAnsi="宋体" w:cs="宋体"/>
                <w:b/>
                <w:sz w:val="28"/>
                <w:szCs w:val="28"/>
              </w:rPr>
              <w:t>2021年五保户生活费、丧葬费以及御寒费部门预算项目绩效目标自评</w:t>
            </w:r>
          </w:p>
        </w:tc>
        <w:tc>
          <w:tcPr>
            <w:tcW w:w="236" w:type="dxa"/>
            <w:tcBorders>
              <w:top w:val="nil"/>
              <w:left w:val="nil"/>
              <w:bottom w:val="nil"/>
              <w:right w:val="nil"/>
            </w:tcBorders>
            <w:shd w:val="clear" w:color="auto" w:fill="auto"/>
            <w:vAlign w:val="center"/>
          </w:tcPr>
          <w:p w14:paraId="5B3088E0">
            <w:pPr>
              <w:widowControl/>
              <w:jc w:val="center"/>
              <w:textAlignment w:val="center"/>
              <w:rPr>
                <w:rFonts w:ascii="宋体" w:hAnsi="宋体" w:cs="宋体"/>
                <w:b/>
                <w:kern w:val="0"/>
                <w:sz w:val="32"/>
                <w:szCs w:val="32"/>
              </w:rPr>
            </w:pPr>
          </w:p>
        </w:tc>
      </w:tr>
      <w:tr w14:paraId="5909A599">
        <w:tblPrEx>
          <w:tblCellMar>
            <w:top w:w="0" w:type="dxa"/>
            <w:left w:w="108" w:type="dxa"/>
            <w:bottom w:w="0" w:type="dxa"/>
            <w:right w:w="108" w:type="dxa"/>
          </w:tblCellMar>
        </w:tblPrEx>
        <w:trPr>
          <w:gridAfter w:val="1"/>
          <w:wAfter w:w="236" w:type="dxa"/>
          <w:trHeight w:val="254" w:hRule="atLeast"/>
        </w:trPr>
        <w:tc>
          <w:tcPr>
            <w:tcW w:w="31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54278C">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9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EA581F">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380D">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B2CAC">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10BD26D6">
        <w:tblPrEx>
          <w:tblCellMar>
            <w:top w:w="0" w:type="dxa"/>
            <w:left w:w="108" w:type="dxa"/>
            <w:bottom w:w="0" w:type="dxa"/>
            <w:right w:w="108" w:type="dxa"/>
          </w:tblCellMar>
        </w:tblPrEx>
        <w:trPr>
          <w:gridAfter w:val="1"/>
          <w:wAfter w:w="236" w:type="dxa"/>
          <w:trHeight w:val="341" w:hRule="atLeast"/>
        </w:trPr>
        <w:tc>
          <w:tcPr>
            <w:tcW w:w="311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FBD62">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E7007">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0C71">
            <w:pPr>
              <w:widowControl/>
              <w:spacing w:line="320" w:lineRule="exact"/>
              <w:jc w:val="left"/>
              <w:textAlignment w:val="center"/>
              <w:rPr>
                <w:rFonts w:ascii="宋体" w:hAnsi="宋体" w:cs="宋体"/>
                <w:sz w:val="24"/>
              </w:rPr>
            </w:pPr>
            <w:r>
              <w:rPr>
                <w:rFonts w:ascii="宋体" w:hAnsi="宋体" w:cs="宋体"/>
                <w:sz w:val="24"/>
              </w:rPr>
              <w:t>70.46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A199">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41589">
            <w:pPr>
              <w:widowControl/>
              <w:spacing w:line="320" w:lineRule="exact"/>
              <w:jc w:val="right"/>
              <w:textAlignment w:val="center"/>
              <w:rPr>
                <w:rFonts w:ascii="宋体" w:hAnsi="宋体" w:cs="宋体"/>
                <w:sz w:val="24"/>
              </w:rPr>
            </w:pPr>
            <w:r>
              <w:rPr>
                <w:rFonts w:ascii="宋体" w:hAnsi="宋体" w:cs="宋体"/>
                <w:sz w:val="24"/>
              </w:rPr>
              <w:t>70.46</w:t>
            </w:r>
          </w:p>
        </w:tc>
      </w:tr>
      <w:tr w14:paraId="529AED37">
        <w:tblPrEx>
          <w:tblCellMar>
            <w:top w:w="0" w:type="dxa"/>
            <w:left w:w="108" w:type="dxa"/>
            <w:bottom w:w="0" w:type="dxa"/>
            <w:right w:w="108" w:type="dxa"/>
          </w:tblCellMar>
        </w:tblPrEx>
        <w:trPr>
          <w:gridAfter w:val="1"/>
          <w:wAfter w:w="236" w:type="dxa"/>
          <w:trHeight w:val="555"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A7EB7">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A43E3">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1C48A063">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8043">
            <w:pPr>
              <w:widowControl/>
              <w:spacing w:line="320" w:lineRule="exact"/>
              <w:jc w:val="left"/>
              <w:textAlignment w:val="center"/>
              <w:rPr>
                <w:rFonts w:ascii="宋体" w:hAnsi="宋体" w:cs="宋体"/>
                <w:sz w:val="24"/>
              </w:rPr>
            </w:pPr>
            <w:r>
              <w:rPr>
                <w:rFonts w:ascii="宋体" w:hAnsi="宋体" w:cs="宋体"/>
                <w:sz w:val="24"/>
              </w:rPr>
              <w:t>70.46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7040">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5DD95ED8">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E6BF1">
            <w:pPr>
              <w:widowControl/>
              <w:spacing w:line="320" w:lineRule="exact"/>
              <w:textAlignment w:val="center"/>
              <w:rPr>
                <w:rFonts w:ascii="宋体" w:hAnsi="宋体" w:cs="宋体"/>
                <w:sz w:val="24"/>
              </w:rPr>
            </w:pPr>
            <w:r>
              <w:rPr>
                <w:rFonts w:ascii="宋体" w:hAnsi="宋体" w:cs="宋体"/>
                <w:sz w:val="24"/>
              </w:rPr>
              <w:t>70.46</w:t>
            </w:r>
          </w:p>
        </w:tc>
      </w:tr>
      <w:tr w14:paraId="4FAAC5DB">
        <w:tblPrEx>
          <w:tblCellMar>
            <w:top w:w="0" w:type="dxa"/>
            <w:left w:w="108" w:type="dxa"/>
            <w:bottom w:w="0" w:type="dxa"/>
            <w:right w:w="108" w:type="dxa"/>
          </w:tblCellMar>
        </w:tblPrEx>
        <w:trPr>
          <w:gridAfter w:val="1"/>
          <w:wAfter w:w="236" w:type="dxa"/>
          <w:trHeight w:val="341"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59EDE">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770AD">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46CD">
            <w:pPr>
              <w:widowControl/>
              <w:spacing w:line="320" w:lineRule="exact"/>
              <w:jc w:val="left"/>
              <w:textAlignment w:val="center"/>
              <w:rPr>
                <w:rFonts w:ascii="宋体" w:hAnsi="宋体" w:cs="宋体"/>
                <w:sz w:val="24"/>
              </w:rPr>
            </w:pPr>
            <w:r>
              <w:rPr>
                <w:rFonts w:ascii="宋体" w:hAnsi="宋体" w:cs="宋体"/>
                <w:sz w:val="24"/>
              </w:rPr>
              <w:t>已完成</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223B">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1220F5">
            <w:pPr>
              <w:widowControl/>
              <w:spacing w:line="320" w:lineRule="exact"/>
              <w:jc w:val="center"/>
              <w:textAlignment w:val="center"/>
              <w:rPr>
                <w:rFonts w:ascii="宋体" w:hAnsi="宋体" w:cs="宋体"/>
                <w:sz w:val="24"/>
              </w:rPr>
            </w:pPr>
          </w:p>
        </w:tc>
      </w:tr>
      <w:tr w14:paraId="5D2707C4">
        <w:tblPrEx>
          <w:tblCellMar>
            <w:top w:w="0" w:type="dxa"/>
            <w:left w:w="108" w:type="dxa"/>
            <w:bottom w:w="0" w:type="dxa"/>
            <w:right w:w="108" w:type="dxa"/>
          </w:tblCellMar>
        </w:tblPrEx>
        <w:trPr>
          <w:gridAfter w:val="1"/>
          <w:wAfter w:w="236" w:type="dxa"/>
          <w:trHeight w:val="217" w:hRule="atLeast"/>
        </w:trPr>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36B61">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3022F4D6">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1DE0E5">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0E3EB">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4BC1F209">
        <w:tblPrEx>
          <w:tblCellMar>
            <w:top w:w="0" w:type="dxa"/>
            <w:left w:w="108" w:type="dxa"/>
            <w:bottom w:w="0" w:type="dxa"/>
            <w:right w:w="108" w:type="dxa"/>
          </w:tblCellMar>
        </w:tblPrEx>
        <w:trPr>
          <w:gridAfter w:val="1"/>
          <w:wAfter w:w="236" w:type="dxa"/>
          <w:trHeight w:val="797"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A02E0">
            <w:pPr>
              <w:spacing w:line="320" w:lineRule="exact"/>
              <w:jc w:val="center"/>
              <w:rPr>
                <w:rFonts w:ascii="宋体" w:hAnsi="宋体" w:cs="宋体"/>
                <w:sz w:val="24"/>
              </w:rPr>
            </w:pP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tcPr>
          <w:p w14:paraId="02BE566B">
            <w:pPr>
              <w:widowControl/>
              <w:spacing w:line="320" w:lineRule="exact"/>
              <w:jc w:val="left"/>
              <w:textAlignment w:val="top"/>
              <w:rPr>
                <w:rFonts w:ascii="宋体" w:hAnsi="宋体" w:cs="宋体"/>
                <w:sz w:val="24"/>
              </w:rPr>
            </w:pPr>
            <w:r>
              <w:rPr>
                <w:rFonts w:hint="eastAsia" w:ascii="宋体" w:hAnsi="宋体" w:cs="宋体"/>
                <w:sz w:val="24"/>
              </w:rPr>
              <w:t>保证全镇五保户基本生活保障</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tcPr>
          <w:p w14:paraId="51500B61">
            <w:pPr>
              <w:widowControl/>
              <w:spacing w:line="320" w:lineRule="exact"/>
              <w:jc w:val="left"/>
              <w:textAlignment w:val="top"/>
              <w:rPr>
                <w:rFonts w:ascii="宋体" w:hAnsi="宋体" w:cs="宋体"/>
                <w:sz w:val="24"/>
              </w:rPr>
            </w:pPr>
            <w:r>
              <w:rPr>
                <w:rFonts w:hint="eastAsia" w:ascii="宋体" w:hAnsi="宋体" w:cs="宋体"/>
                <w:sz w:val="24"/>
              </w:rPr>
              <w:t>100%</w:t>
            </w:r>
          </w:p>
        </w:tc>
      </w:tr>
      <w:tr w14:paraId="45902938">
        <w:tblPrEx>
          <w:tblCellMar>
            <w:top w:w="0" w:type="dxa"/>
            <w:left w:w="108" w:type="dxa"/>
            <w:bottom w:w="0" w:type="dxa"/>
            <w:right w:w="108" w:type="dxa"/>
          </w:tblCellMar>
        </w:tblPrEx>
        <w:trPr>
          <w:gridAfter w:val="1"/>
          <w:wAfter w:w="236" w:type="dxa"/>
          <w:trHeight w:val="693" w:hRule="atLeast"/>
        </w:trPr>
        <w:tc>
          <w:tcPr>
            <w:tcW w:w="1242" w:type="dxa"/>
            <w:vMerge w:val="restart"/>
            <w:tcBorders>
              <w:top w:val="single" w:color="000000" w:sz="4" w:space="0"/>
              <w:left w:val="single" w:color="000000" w:sz="4" w:space="0"/>
              <w:right w:val="single" w:color="000000" w:sz="4" w:space="0"/>
            </w:tcBorders>
            <w:shd w:val="clear" w:color="auto" w:fill="auto"/>
            <w:vAlign w:val="center"/>
          </w:tcPr>
          <w:p w14:paraId="251FA6C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51" w:type="dxa"/>
            <w:tcBorders>
              <w:top w:val="single" w:color="000000" w:sz="4" w:space="0"/>
              <w:left w:val="nil"/>
              <w:bottom w:val="single" w:color="000000" w:sz="4" w:space="0"/>
              <w:right w:val="single" w:color="000000" w:sz="4" w:space="0"/>
            </w:tcBorders>
            <w:shd w:val="clear" w:color="auto" w:fill="auto"/>
            <w:vAlign w:val="center"/>
          </w:tcPr>
          <w:p w14:paraId="7663E4A4">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44FCDBA7">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F99D2">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16B91E39">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AEC90">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416C7D28">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3A34D">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7AF5">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6DDE9F1C">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6C20846E">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F91E2">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0C93460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037CBB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345E41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B6687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010382">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F512DD0">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04FBC77A">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2C3061F">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C84EF8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D76801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ACF468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4D869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66EEB29">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2DAB0693">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0BEB7B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D2A668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6E8B8A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8E8DC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0EB87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7716D10E">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7DD39736">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7D1C4F8">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3ADCB7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67ABFC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55ED8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70.46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78886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D6CBAD4">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015C332D">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EE9D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3829EA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C264EE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完成社区人员工资、保险、绩效、住房公积金等资金支</w:t>
            </w:r>
            <w:r>
              <w:rPr>
                <w:szCs w:val="21"/>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08D28B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DAAA7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15CFC6D8">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5051A8D8">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7D8A2A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153B8F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8ABC19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稳定社区工作人员情绪，</w:t>
            </w:r>
            <w:r>
              <w:rPr>
                <w:rFonts w:hint="eastAsia" w:ascii="仿宋_GB2312" w:hAnsi="仿宋_GB2312" w:eastAsia="仿宋_GB2312" w:cs="仿宋_GB2312"/>
                <w:szCs w:val="21"/>
                <w:lang w:eastAsia="zh-CN"/>
              </w:rPr>
              <w:t>更好地为</w:t>
            </w:r>
            <w:r>
              <w:rPr>
                <w:rFonts w:hint="eastAsia" w:ascii="仿宋_GB2312" w:hAnsi="仿宋_GB2312" w:eastAsia="仿宋_GB2312" w:cs="仿宋_GB2312"/>
                <w:szCs w:val="21"/>
              </w:rPr>
              <w:t>辖区内居民服务</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1D838E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积极工作</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AE00D5">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47E86D9">
        <w:tblPrEx>
          <w:tblCellMar>
            <w:top w:w="0" w:type="dxa"/>
            <w:left w:w="108" w:type="dxa"/>
            <w:bottom w:w="0" w:type="dxa"/>
            <w:right w:w="108" w:type="dxa"/>
          </w:tblCellMar>
        </w:tblPrEx>
        <w:trPr>
          <w:gridAfter w:val="1"/>
          <w:wAfter w:w="236" w:type="dxa"/>
          <w:trHeight w:val="577" w:hRule="atLeast"/>
        </w:trPr>
        <w:tc>
          <w:tcPr>
            <w:tcW w:w="1242" w:type="dxa"/>
            <w:vMerge w:val="continue"/>
            <w:tcBorders>
              <w:left w:val="single" w:color="000000" w:sz="4" w:space="0"/>
              <w:right w:val="single" w:color="000000" w:sz="4" w:space="0"/>
            </w:tcBorders>
            <w:shd w:val="clear" w:color="auto" w:fill="auto"/>
            <w:vAlign w:val="center"/>
          </w:tcPr>
          <w:p w14:paraId="0A5C36FA">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6F8DCAE">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7F9EBBB">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E8D12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F1F234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C45CD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r>
      <w:tr w14:paraId="108580F1">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4DC97610">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57358F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575E85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C88E2B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0FB94A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45C45F">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r>
      <w:tr w14:paraId="1263042D">
        <w:tblPrEx>
          <w:tblCellMar>
            <w:top w:w="0" w:type="dxa"/>
            <w:left w:w="108" w:type="dxa"/>
            <w:bottom w:w="0" w:type="dxa"/>
            <w:right w:w="108" w:type="dxa"/>
          </w:tblCellMar>
        </w:tblPrEx>
        <w:trPr>
          <w:gridAfter w:val="1"/>
          <w:wAfter w:w="236" w:type="dxa"/>
          <w:trHeight w:val="530" w:hRule="atLeast"/>
        </w:trPr>
        <w:tc>
          <w:tcPr>
            <w:tcW w:w="1242" w:type="dxa"/>
            <w:vMerge w:val="continue"/>
            <w:tcBorders>
              <w:left w:val="single" w:color="000000" w:sz="4" w:space="0"/>
              <w:bottom w:val="single" w:color="000000" w:sz="4" w:space="0"/>
              <w:right w:val="single" w:color="000000" w:sz="4" w:space="0"/>
            </w:tcBorders>
            <w:shd w:val="clear" w:color="auto" w:fill="auto"/>
            <w:vAlign w:val="center"/>
          </w:tcPr>
          <w:p w14:paraId="1D6271DB">
            <w:pPr>
              <w:spacing w:line="320" w:lineRule="exact"/>
              <w:jc w:val="center"/>
              <w:rPr>
                <w:rFonts w:ascii="仿宋_GB2312" w:hAnsi="仿宋_GB2312" w:eastAsia="仿宋_GB2312" w:cs="仿宋_GB2312"/>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F05C1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41169B7">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299AF6A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B39FC4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全镇五保户</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9ED12F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6AC2D6">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13146DFD">
      <w:pPr>
        <w:pStyle w:val="2"/>
        <w:spacing w:before="93"/>
      </w:pPr>
    </w:p>
    <w:p w14:paraId="27388C32">
      <w:pPr>
        <w:spacing w:line="600" w:lineRule="exact"/>
        <w:jc w:val="center"/>
        <w:outlineLvl w:val="0"/>
        <w:rPr>
          <w:rFonts w:ascii="黑体" w:hAnsi="黑体" w:eastAsia="黑体"/>
          <w:sz w:val="44"/>
          <w:szCs w:val="44"/>
        </w:rPr>
      </w:pPr>
    </w:p>
    <w:p w14:paraId="16A9867D">
      <w:pPr>
        <w:spacing w:line="600" w:lineRule="exact"/>
        <w:jc w:val="center"/>
        <w:outlineLvl w:val="0"/>
        <w:rPr>
          <w:rFonts w:ascii="黑体" w:hAnsi="黑体" w:eastAsia="黑体"/>
          <w:sz w:val="44"/>
          <w:szCs w:val="44"/>
        </w:rPr>
      </w:pPr>
    </w:p>
    <w:p w14:paraId="2AC50F61">
      <w:pPr>
        <w:spacing w:line="600" w:lineRule="exact"/>
        <w:jc w:val="center"/>
        <w:outlineLvl w:val="0"/>
        <w:rPr>
          <w:rFonts w:ascii="黑体" w:hAnsi="黑体" w:eastAsia="黑体"/>
          <w:sz w:val="44"/>
          <w:szCs w:val="44"/>
        </w:rPr>
      </w:pPr>
    </w:p>
    <w:p w14:paraId="7094A6D4">
      <w:pPr>
        <w:spacing w:line="600" w:lineRule="exact"/>
        <w:jc w:val="center"/>
        <w:outlineLvl w:val="0"/>
        <w:rPr>
          <w:rFonts w:ascii="黑体" w:hAnsi="黑体" w:eastAsia="黑体"/>
          <w:sz w:val="44"/>
          <w:szCs w:val="44"/>
        </w:rPr>
      </w:pPr>
    </w:p>
    <w:p w14:paraId="76B6E21F">
      <w:pPr>
        <w:spacing w:line="600" w:lineRule="exact"/>
        <w:jc w:val="center"/>
        <w:outlineLvl w:val="0"/>
        <w:rPr>
          <w:rFonts w:ascii="仿宋" w:hAnsi="仿宋" w:eastAsia="仿宋"/>
        </w:rPr>
      </w:pPr>
      <w:r>
        <w:rPr>
          <w:rFonts w:hint="eastAsia" w:ascii="黑体" w:hAnsi="黑体" w:eastAsia="黑体"/>
          <w:sz w:val="44"/>
          <w:szCs w:val="44"/>
        </w:rPr>
        <w:t>第</w:t>
      </w:r>
      <w:r>
        <w:rPr>
          <w:rStyle w:val="25"/>
          <w:rFonts w:hint="eastAsia" w:ascii="黑体" w:hAnsi="黑体" w:eastAsia="黑体"/>
          <w:b w:val="0"/>
        </w:rPr>
        <w:t>五部分 附表</w:t>
      </w:r>
      <w:bookmarkEnd w:id="61"/>
      <w:bookmarkEnd w:id="63"/>
      <w:bookmarkStart w:id="64" w:name="_Toc15396619"/>
    </w:p>
    <w:p w14:paraId="033E4E2A">
      <w:pPr>
        <w:pStyle w:val="4"/>
        <w:rPr>
          <w:rFonts w:ascii="仿宋" w:hAnsi="仿宋" w:eastAsia="仿宋"/>
        </w:rPr>
      </w:pPr>
      <w:r>
        <w:rPr>
          <w:rFonts w:hint="eastAsia" w:ascii="仿宋" w:hAnsi="仿宋" w:eastAsia="仿宋"/>
          <w:b w:val="0"/>
        </w:rPr>
        <w:t>一、收</w:t>
      </w:r>
      <w:r>
        <w:rPr>
          <w:rStyle w:val="26"/>
          <w:rFonts w:hint="eastAsia" w:ascii="仿宋" w:hAnsi="仿宋" w:eastAsia="仿宋"/>
          <w:b w:val="0"/>
          <w:bCs w:val="0"/>
        </w:rPr>
        <w:t>入支出决算总表</w:t>
      </w:r>
      <w:bookmarkEnd w:id="64"/>
    </w:p>
    <w:p w14:paraId="08B5D9DA">
      <w:pPr>
        <w:pStyle w:val="4"/>
        <w:rPr>
          <w:rFonts w:ascii="仿宋" w:hAnsi="仿宋" w:eastAsia="仿宋"/>
        </w:rPr>
      </w:pPr>
      <w:bookmarkStart w:id="65" w:name="_Toc15396620"/>
      <w:r>
        <w:rPr>
          <w:rFonts w:hint="eastAsia" w:ascii="仿宋" w:hAnsi="仿宋" w:eastAsia="仿宋"/>
          <w:b w:val="0"/>
        </w:rPr>
        <w:t>二、收</w:t>
      </w:r>
      <w:r>
        <w:rPr>
          <w:rStyle w:val="26"/>
          <w:rFonts w:hint="eastAsia" w:ascii="仿宋" w:hAnsi="仿宋" w:eastAsia="仿宋"/>
          <w:b w:val="0"/>
          <w:bCs w:val="0"/>
        </w:rPr>
        <w:t>入决算表</w:t>
      </w:r>
      <w:bookmarkEnd w:id="65"/>
    </w:p>
    <w:p w14:paraId="67371DAA">
      <w:pPr>
        <w:pStyle w:val="4"/>
        <w:rPr>
          <w:rFonts w:ascii="仿宋" w:hAnsi="仿宋" w:eastAsia="仿宋"/>
        </w:rPr>
      </w:pPr>
      <w:bookmarkStart w:id="66" w:name="_Toc15396621"/>
      <w:r>
        <w:rPr>
          <w:rStyle w:val="26"/>
          <w:rFonts w:hint="eastAsia" w:ascii="仿宋" w:hAnsi="仿宋" w:eastAsia="仿宋"/>
          <w:b w:val="0"/>
          <w:bCs w:val="0"/>
        </w:rPr>
        <w:t>三、</w:t>
      </w:r>
      <w:r>
        <w:rPr>
          <w:rFonts w:hint="eastAsia" w:ascii="仿宋" w:hAnsi="仿宋" w:eastAsia="仿宋"/>
          <w:b w:val="0"/>
        </w:rPr>
        <w:t>支</w:t>
      </w:r>
      <w:r>
        <w:rPr>
          <w:rStyle w:val="26"/>
          <w:rFonts w:hint="eastAsia" w:ascii="仿宋" w:hAnsi="仿宋" w:eastAsia="仿宋"/>
          <w:b w:val="0"/>
          <w:bCs w:val="0"/>
        </w:rPr>
        <w:t>出决算表</w:t>
      </w:r>
      <w:bookmarkEnd w:id="66"/>
    </w:p>
    <w:p w14:paraId="1B7C898D">
      <w:pPr>
        <w:pStyle w:val="4"/>
        <w:rPr>
          <w:rFonts w:ascii="仿宋" w:hAnsi="仿宋" w:eastAsia="仿宋"/>
          <w:b w:val="0"/>
        </w:rPr>
      </w:pPr>
      <w:bookmarkStart w:id="67" w:name="_Toc15396622"/>
      <w:r>
        <w:rPr>
          <w:rStyle w:val="26"/>
          <w:rFonts w:hint="eastAsia" w:ascii="仿宋" w:hAnsi="仿宋" w:eastAsia="仿宋"/>
          <w:b w:val="0"/>
          <w:bCs w:val="0"/>
        </w:rPr>
        <w:t>四、</w:t>
      </w:r>
      <w:r>
        <w:rPr>
          <w:rFonts w:hint="eastAsia" w:ascii="仿宋" w:hAnsi="仿宋" w:eastAsia="仿宋"/>
          <w:b w:val="0"/>
        </w:rPr>
        <w:t>财</w:t>
      </w:r>
      <w:r>
        <w:rPr>
          <w:rStyle w:val="26"/>
          <w:rFonts w:hint="eastAsia" w:ascii="仿宋" w:hAnsi="仿宋" w:eastAsia="仿宋"/>
          <w:b w:val="0"/>
          <w:bCs w:val="0"/>
        </w:rPr>
        <w:t>政拨款收入支出决算总表</w:t>
      </w:r>
      <w:bookmarkEnd w:id="67"/>
    </w:p>
    <w:p w14:paraId="50859898">
      <w:pPr>
        <w:pStyle w:val="4"/>
        <w:rPr>
          <w:rStyle w:val="26"/>
          <w:rFonts w:ascii="仿宋" w:hAnsi="仿宋" w:eastAsia="仿宋"/>
          <w:b w:val="0"/>
          <w:bCs w:val="0"/>
        </w:rPr>
      </w:pPr>
      <w:bookmarkStart w:id="68" w:name="_Toc15396623"/>
      <w:r>
        <w:rPr>
          <w:rStyle w:val="26"/>
          <w:rFonts w:hint="eastAsia" w:ascii="仿宋" w:hAnsi="仿宋" w:eastAsia="仿宋"/>
          <w:b w:val="0"/>
          <w:bCs w:val="0"/>
        </w:rPr>
        <w:t>五、</w:t>
      </w:r>
      <w:r>
        <w:rPr>
          <w:rFonts w:hint="eastAsia" w:ascii="仿宋" w:hAnsi="仿宋" w:eastAsia="仿宋"/>
          <w:b w:val="0"/>
        </w:rPr>
        <w:t>财</w:t>
      </w:r>
      <w:r>
        <w:rPr>
          <w:rStyle w:val="26"/>
          <w:rFonts w:hint="eastAsia" w:ascii="仿宋" w:hAnsi="仿宋" w:eastAsia="仿宋"/>
          <w:b w:val="0"/>
          <w:bCs w:val="0"/>
        </w:rPr>
        <w:t>政拨款支出决算明细表</w:t>
      </w:r>
      <w:bookmarkEnd w:id="68"/>
      <w:bookmarkStart w:id="69" w:name="_Toc15396624"/>
    </w:p>
    <w:p w14:paraId="0F98C46E">
      <w:pPr>
        <w:pStyle w:val="4"/>
        <w:rPr>
          <w:rFonts w:ascii="仿宋" w:hAnsi="仿宋" w:eastAsia="仿宋"/>
        </w:rPr>
      </w:pPr>
      <w:r>
        <w:rPr>
          <w:rStyle w:val="26"/>
          <w:rFonts w:hint="eastAsia" w:ascii="仿宋" w:hAnsi="仿宋" w:eastAsia="仿宋"/>
          <w:b w:val="0"/>
          <w:bCs w:val="0"/>
        </w:rPr>
        <w:t>六、</w:t>
      </w:r>
      <w:r>
        <w:rPr>
          <w:rFonts w:hint="eastAsia" w:ascii="仿宋" w:hAnsi="仿宋" w:eastAsia="仿宋"/>
          <w:b w:val="0"/>
        </w:rPr>
        <w:t>一</w:t>
      </w:r>
      <w:r>
        <w:rPr>
          <w:rStyle w:val="26"/>
          <w:rFonts w:hint="eastAsia" w:ascii="仿宋" w:hAnsi="仿宋" w:eastAsia="仿宋"/>
          <w:b w:val="0"/>
          <w:bCs w:val="0"/>
        </w:rPr>
        <w:t>般公共预算财政拨款支出决算表</w:t>
      </w:r>
      <w:bookmarkEnd w:id="69"/>
    </w:p>
    <w:p w14:paraId="2EB78637">
      <w:pPr>
        <w:pStyle w:val="4"/>
        <w:rPr>
          <w:rFonts w:ascii="仿宋" w:hAnsi="仿宋" w:eastAsia="仿宋"/>
        </w:rPr>
      </w:pPr>
      <w:bookmarkStart w:id="70" w:name="_Toc15396625"/>
      <w:r>
        <w:rPr>
          <w:rStyle w:val="26"/>
          <w:rFonts w:hint="eastAsia" w:ascii="仿宋" w:hAnsi="仿宋" w:eastAsia="仿宋"/>
          <w:b w:val="0"/>
          <w:bCs w:val="0"/>
        </w:rPr>
        <w:t>七、</w:t>
      </w:r>
      <w:r>
        <w:rPr>
          <w:rFonts w:hint="eastAsia" w:ascii="仿宋" w:hAnsi="仿宋" w:eastAsia="仿宋"/>
          <w:b w:val="0"/>
        </w:rPr>
        <w:t>一</w:t>
      </w:r>
      <w:r>
        <w:rPr>
          <w:rStyle w:val="26"/>
          <w:rFonts w:hint="eastAsia" w:ascii="仿宋" w:hAnsi="仿宋" w:eastAsia="仿宋"/>
          <w:b w:val="0"/>
          <w:bCs w:val="0"/>
        </w:rPr>
        <w:t>般公共预算财政拨款支出决算明细表</w:t>
      </w:r>
      <w:bookmarkEnd w:id="70"/>
    </w:p>
    <w:p w14:paraId="39AF576B">
      <w:pPr>
        <w:pStyle w:val="4"/>
        <w:rPr>
          <w:rFonts w:ascii="仿宋" w:hAnsi="仿宋" w:eastAsia="仿宋"/>
        </w:rPr>
      </w:pPr>
      <w:bookmarkStart w:id="71" w:name="_Toc15396626"/>
      <w:r>
        <w:rPr>
          <w:rStyle w:val="26"/>
          <w:rFonts w:hint="eastAsia" w:ascii="仿宋" w:hAnsi="仿宋" w:eastAsia="仿宋"/>
          <w:b w:val="0"/>
          <w:bCs w:val="0"/>
        </w:rPr>
        <w:t>八、</w:t>
      </w:r>
      <w:r>
        <w:rPr>
          <w:rFonts w:hint="eastAsia" w:ascii="仿宋" w:hAnsi="仿宋" w:eastAsia="仿宋"/>
          <w:b w:val="0"/>
        </w:rPr>
        <w:t>一</w:t>
      </w:r>
      <w:r>
        <w:rPr>
          <w:rStyle w:val="26"/>
          <w:rFonts w:hint="eastAsia" w:ascii="仿宋" w:hAnsi="仿宋" w:eastAsia="仿宋"/>
          <w:b w:val="0"/>
          <w:bCs w:val="0"/>
        </w:rPr>
        <w:t>般公共预算财政拨款基本支出决算表</w:t>
      </w:r>
      <w:bookmarkEnd w:id="71"/>
    </w:p>
    <w:p w14:paraId="1F22F0C0">
      <w:pPr>
        <w:pStyle w:val="4"/>
        <w:rPr>
          <w:rFonts w:ascii="仿宋" w:hAnsi="仿宋" w:eastAsia="仿宋"/>
        </w:rPr>
      </w:pPr>
      <w:bookmarkStart w:id="72" w:name="_Toc15396627"/>
      <w:r>
        <w:rPr>
          <w:rStyle w:val="26"/>
          <w:rFonts w:hint="eastAsia" w:ascii="仿宋" w:hAnsi="仿宋" w:eastAsia="仿宋"/>
          <w:b w:val="0"/>
          <w:bCs w:val="0"/>
        </w:rPr>
        <w:t>九、</w:t>
      </w:r>
      <w:r>
        <w:rPr>
          <w:rFonts w:hint="eastAsia" w:ascii="仿宋" w:hAnsi="仿宋" w:eastAsia="仿宋"/>
          <w:b w:val="0"/>
        </w:rPr>
        <w:t>一</w:t>
      </w:r>
      <w:r>
        <w:rPr>
          <w:rStyle w:val="26"/>
          <w:rFonts w:hint="eastAsia" w:ascii="仿宋" w:hAnsi="仿宋" w:eastAsia="仿宋"/>
          <w:b w:val="0"/>
          <w:bCs w:val="0"/>
        </w:rPr>
        <w:t>般公共预算财政拨款项目支出决算表</w:t>
      </w:r>
      <w:bookmarkEnd w:id="72"/>
    </w:p>
    <w:p w14:paraId="530C42B3">
      <w:pPr>
        <w:pStyle w:val="4"/>
        <w:rPr>
          <w:rFonts w:ascii="仿宋" w:hAnsi="仿宋" w:eastAsia="仿宋"/>
        </w:rPr>
      </w:pPr>
      <w:bookmarkStart w:id="73" w:name="_Toc15396628"/>
      <w:r>
        <w:rPr>
          <w:rStyle w:val="26"/>
          <w:rFonts w:hint="eastAsia" w:ascii="仿宋" w:hAnsi="仿宋" w:eastAsia="仿宋"/>
          <w:b w:val="0"/>
          <w:bCs w:val="0"/>
        </w:rPr>
        <w:t>十、</w:t>
      </w:r>
      <w:r>
        <w:rPr>
          <w:rFonts w:hint="eastAsia" w:ascii="仿宋" w:hAnsi="仿宋" w:eastAsia="仿宋"/>
          <w:b w:val="0"/>
        </w:rPr>
        <w:t>一</w:t>
      </w:r>
      <w:r>
        <w:rPr>
          <w:rStyle w:val="26"/>
          <w:rFonts w:hint="eastAsia" w:ascii="仿宋" w:hAnsi="仿宋" w:eastAsia="仿宋"/>
          <w:b w:val="0"/>
          <w:bCs w:val="0"/>
        </w:rPr>
        <w:t>般公共预算财政拨款“三公”经费支出决算表</w:t>
      </w:r>
      <w:bookmarkEnd w:id="73"/>
    </w:p>
    <w:p w14:paraId="61D99654">
      <w:pPr>
        <w:pStyle w:val="4"/>
        <w:rPr>
          <w:rFonts w:ascii="仿宋" w:hAnsi="仿宋" w:eastAsia="仿宋"/>
        </w:rPr>
      </w:pPr>
      <w:bookmarkStart w:id="74" w:name="_Toc15396629"/>
      <w:r>
        <w:rPr>
          <w:rStyle w:val="26"/>
          <w:rFonts w:hint="eastAsia" w:ascii="仿宋" w:hAnsi="仿宋" w:eastAsia="仿宋"/>
          <w:b w:val="0"/>
          <w:bCs w:val="0"/>
        </w:rPr>
        <w:t>十一、</w:t>
      </w:r>
      <w:r>
        <w:rPr>
          <w:rFonts w:hint="eastAsia" w:ascii="仿宋" w:hAnsi="仿宋" w:eastAsia="仿宋"/>
          <w:b w:val="0"/>
        </w:rPr>
        <w:t>政</w:t>
      </w:r>
      <w:r>
        <w:rPr>
          <w:rStyle w:val="26"/>
          <w:rFonts w:hint="eastAsia" w:ascii="仿宋" w:hAnsi="仿宋" w:eastAsia="仿宋"/>
          <w:b w:val="0"/>
          <w:bCs w:val="0"/>
        </w:rPr>
        <w:t>府性基金预算财政拨款收入支出决算表</w:t>
      </w:r>
      <w:bookmarkEnd w:id="74"/>
    </w:p>
    <w:p w14:paraId="1B4829F7">
      <w:pPr>
        <w:pStyle w:val="4"/>
        <w:rPr>
          <w:rFonts w:ascii="仿宋" w:hAnsi="仿宋" w:eastAsia="仿宋"/>
        </w:rPr>
      </w:pPr>
      <w:bookmarkStart w:id="75" w:name="_Toc15396630"/>
      <w:r>
        <w:rPr>
          <w:rStyle w:val="26"/>
          <w:rFonts w:hint="eastAsia" w:ascii="仿宋" w:hAnsi="仿宋" w:eastAsia="仿宋"/>
          <w:b w:val="0"/>
          <w:bCs w:val="0"/>
        </w:rPr>
        <w:t>十二、</w:t>
      </w:r>
      <w:r>
        <w:rPr>
          <w:rFonts w:hint="eastAsia" w:ascii="仿宋" w:hAnsi="仿宋" w:eastAsia="仿宋"/>
          <w:b w:val="0"/>
        </w:rPr>
        <w:t>政</w:t>
      </w:r>
      <w:r>
        <w:rPr>
          <w:rStyle w:val="26"/>
          <w:rFonts w:hint="eastAsia" w:ascii="仿宋" w:hAnsi="仿宋" w:eastAsia="仿宋"/>
          <w:b w:val="0"/>
          <w:bCs w:val="0"/>
        </w:rPr>
        <w:t>府性基金预算财政拨款“三公”经费支出决算表</w:t>
      </w:r>
      <w:bookmarkEnd w:id="75"/>
    </w:p>
    <w:p w14:paraId="1DF05A03">
      <w:pPr>
        <w:pStyle w:val="4"/>
        <w:rPr>
          <w:rStyle w:val="26"/>
          <w:rFonts w:ascii="仿宋" w:hAnsi="仿宋" w:eastAsia="仿宋"/>
          <w:b w:val="0"/>
          <w:bCs w:val="0"/>
        </w:rPr>
      </w:pPr>
      <w:bookmarkStart w:id="76" w:name="_Toc15396631"/>
      <w:r>
        <w:rPr>
          <w:rStyle w:val="26"/>
          <w:rFonts w:hint="eastAsia" w:ascii="仿宋" w:hAnsi="仿宋" w:eastAsia="仿宋"/>
          <w:b w:val="0"/>
          <w:bCs w:val="0"/>
        </w:rPr>
        <w:t>十三、</w:t>
      </w:r>
      <w:r>
        <w:rPr>
          <w:rFonts w:hint="eastAsia" w:ascii="仿宋" w:hAnsi="仿宋" w:eastAsia="仿宋"/>
          <w:b w:val="0"/>
        </w:rPr>
        <w:t>国</w:t>
      </w:r>
      <w:r>
        <w:rPr>
          <w:rStyle w:val="26"/>
          <w:rFonts w:hint="eastAsia" w:ascii="仿宋" w:hAnsi="仿宋" w:eastAsia="仿宋"/>
          <w:b w:val="0"/>
          <w:bCs w:val="0"/>
        </w:rPr>
        <w:t>有资本经营预算财政拨款收入支出决算表</w:t>
      </w:r>
      <w:bookmarkEnd w:id="76"/>
    </w:p>
    <w:p w14:paraId="1D3B6C9B">
      <w:pPr>
        <w:rPr>
          <w:rFonts w:eastAsia="仿宋"/>
        </w:rPr>
      </w:pPr>
      <w:r>
        <w:rPr>
          <w:rStyle w:val="26"/>
          <w:rFonts w:hint="eastAsia" w:ascii="仿宋" w:hAnsi="仿宋" w:eastAsia="仿宋"/>
          <w:b w:val="0"/>
          <w:bCs w:val="0"/>
        </w:rPr>
        <w:t>十四、国有资本经营预算财政拨款支出决算表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82E9F0-C1A5-4809-B841-7F133510E7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47015C9-653D-451C-AFF9-EFB8488AAFE9}"/>
  </w:font>
  <w:font w:name="Cambria">
    <w:panose1 w:val="02040503050406030204"/>
    <w:charset w:val="00"/>
    <w:family w:val="roman"/>
    <w:pitch w:val="default"/>
    <w:sig w:usb0="E00006FF" w:usb1="420024FF" w:usb2="02000000" w:usb3="00000000" w:csb0="2000019F" w:csb1="00000000"/>
    <w:embedRegular r:id="rId3" w:fontKey="{6179754F-FC0E-4C9E-A801-71545300C6A5}"/>
  </w:font>
  <w:font w:name="仿宋_GB2312">
    <w:panose1 w:val="02010609030101010101"/>
    <w:charset w:val="86"/>
    <w:family w:val="modern"/>
    <w:pitch w:val="default"/>
    <w:sig w:usb0="00000001" w:usb1="080E0000" w:usb2="00000000" w:usb3="00000000" w:csb0="00040000" w:csb1="00000000"/>
    <w:embedRegular r:id="rId4" w:fontKey="{892CEBF6-1F86-4697-B25C-06F8FF7C3526}"/>
  </w:font>
  <w:font w:name="仿宋">
    <w:panose1 w:val="02010609060101010101"/>
    <w:charset w:val="86"/>
    <w:family w:val="modern"/>
    <w:pitch w:val="default"/>
    <w:sig w:usb0="800002BF" w:usb1="38CF7CFA" w:usb2="00000016" w:usb3="00000000" w:csb0="00040001" w:csb1="00000000"/>
    <w:embedRegular r:id="rId5" w:fontKey="{9E799C89-B262-4534-A69B-B4F65E6F064D}"/>
  </w:font>
  <w:font w:name="方正小标宋简体">
    <w:panose1 w:val="02000000000000000000"/>
    <w:charset w:val="86"/>
    <w:family w:val="script"/>
    <w:pitch w:val="default"/>
    <w:sig w:usb0="00000001" w:usb1="08000000" w:usb2="00000000" w:usb3="00000000" w:csb0="00040000" w:csb1="00000000"/>
    <w:embedRegular r:id="rId6" w:fontKey="{362D2477-0BF3-4D0B-A98A-5AFF5FF8A3FD}"/>
  </w:font>
  <w:font w:name="方正仿宋_GBK">
    <w:panose1 w:val="03000509000000000000"/>
    <w:charset w:val="86"/>
    <w:family w:val="script"/>
    <w:pitch w:val="default"/>
    <w:sig w:usb0="00000001" w:usb1="080E0000" w:usb2="00000000" w:usb3="00000000" w:csb0="00040000" w:csb1="00000000"/>
    <w:embedRegular r:id="rId7" w:fontKey="{BC697B9B-5C66-4AE5-AE44-FC1FA1EABEA4}"/>
  </w:font>
  <w:font w:name="楷体_GB2312">
    <w:altName w:val="楷体"/>
    <w:panose1 w:val="02010609030101010101"/>
    <w:charset w:val="86"/>
    <w:family w:val="modern"/>
    <w:pitch w:val="default"/>
    <w:sig w:usb0="00000000" w:usb1="00000000" w:usb2="00000000" w:usb3="00000000" w:csb0="00040000" w:csb1="00000000"/>
    <w:embedRegular r:id="rId8" w:fontKey="{E1D093D4-ABCD-453E-A2EE-E710B4B00E45}"/>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9" w:fontKey="{7407EB26-EB62-45D2-92A3-0A0BE7147E2B}"/>
  </w:font>
  <w:font w:name="方正楷体_GBK">
    <w:panose1 w:val="03000509000000000000"/>
    <w:charset w:val="86"/>
    <w:family w:val="script"/>
    <w:pitch w:val="default"/>
    <w:sig w:usb0="00000001" w:usb1="080E0000" w:usb2="00000000" w:usb3="00000000" w:csb0="00040000" w:csb1="00000000"/>
    <w:embedRegular r:id="rId10" w:fontKey="{3632165C-5830-4C88-AF80-687912095132}"/>
  </w:font>
  <w:font w:name="微软雅黑">
    <w:panose1 w:val="020B0503020204020204"/>
    <w:charset w:val="86"/>
    <w:family w:val="swiss"/>
    <w:pitch w:val="default"/>
    <w:sig w:usb0="80000287" w:usb1="2ACF3C50" w:usb2="00000016" w:usb3="00000000" w:csb0="0004001F" w:csb1="00000000"/>
    <w:embedRegular r:id="rId11" w:fontKey="{D94ADCCB-F5E9-4022-8F21-36BE709F4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7C512379">
        <w:pPr>
          <w:pStyle w:val="9"/>
          <w:jc w:val="center"/>
        </w:pPr>
        <w:r>
          <w:fldChar w:fldCharType="begin"/>
        </w:r>
        <w:r>
          <w:instrText xml:space="preserve">PAGE   \* MERGEFORMAT</w:instrText>
        </w:r>
        <w:r>
          <w:fldChar w:fldCharType="separate"/>
        </w:r>
        <w:r>
          <w:rPr>
            <w:lang w:val="zh-CN"/>
          </w:rPr>
          <w:t>18</w:t>
        </w:r>
        <w:r>
          <w:rPr>
            <w:lang w:val="zh-CN"/>
          </w:rPr>
          <w:fldChar w:fldCharType="end"/>
        </w:r>
      </w:p>
    </w:sdtContent>
  </w:sdt>
  <w:p w14:paraId="0C31391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2C04">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C1F7721"/>
    <w:multiLevelType w:val="multilevel"/>
    <w:tmpl w:val="1C1F7721"/>
    <w:lvl w:ilvl="0" w:tentative="0">
      <w:start w:val="1"/>
      <w:numFmt w:val="japaneseCounting"/>
      <w:lvlText w:val="%1、"/>
      <w:lvlJc w:val="left"/>
      <w:pPr>
        <w:ind w:left="1360" w:hanging="720"/>
      </w:pPr>
      <w:rPr>
        <w:rFonts w:hint="default" w:eastAsia="黑体"/>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69F0AB23"/>
    <w:multiLevelType w:val="singleLevel"/>
    <w:tmpl w:val="69F0AB23"/>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1ZGZiOTFjOTc3MTZlNTQwNjU4MzFjYzUzODIyNjYifQ=="/>
  </w:docVars>
  <w:rsids>
    <w:rsidRoot w:val="00F1361C"/>
    <w:rsid w:val="000222C6"/>
    <w:rsid w:val="00022660"/>
    <w:rsid w:val="0002549F"/>
    <w:rsid w:val="000468DB"/>
    <w:rsid w:val="0006487A"/>
    <w:rsid w:val="00065F8F"/>
    <w:rsid w:val="00070A43"/>
    <w:rsid w:val="000768F2"/>
    <w:rsid w:val="000816D0"/>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5370"/>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27D6"/>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3F75B2"/>
    <w:rsid w:val="00406254"/>
    <w:rsid w:val="00411F7A"/>
    <w:rsid w:val="004223DE"/>
    <w:rsid w:val="00434489"/>
    <w:rsid w:val="00435AAD"/>
    <w:rsid w:val="00437085"/>
    <w:rsid w:val="00443880"/>
    <w:rsid w:val="004464F4"/>
    <w:rsid w:val="00457321"/>
    <w:rsid w:val="00471401"/>
    <w:rsid w:val="00473F31"/>
    <w:rsid w:val="0048263A"/>
    <w:rsid w:val="00487E5D"/>
    <w:rsid w:val="004A711F"/>
    <w:rsid w:val="004B199D"/>
    <w:rsid w:val="004B4690"/>
    <w:rsid w:val="004E0A2D"/>
    <w:rsid w:val="004E206B"/>
    <w:rsid w:val="004E6DF7"/>
    <w:rsid w:val="004F0FBD"/>
    <w:rsid w:val="00504EB3"/>
    <w:rsid w:val="00505A47"/>
    <w:rsid w:val="00512FDA"/>
    <w:rsid w:val="00520DA0"/>
    <w:rsid w:val="00527884"/>
    <w:rsid w:val="005664BB"/>
    <w:rsid w:val="00566FFA"/>
    <w:rsid w:val="0057094B"/>
    <w:rsid w:val="0057481D"/>
    <w:rsid w:val="0058486E"/>
    <w:rsid w:val="00585B33"/>
    <w:rsid w:val="0059014D"/>
    <w:rsid w:val="00594D13"/>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29F4"/>
    <w:rsid w:val="00623DA0"/>
    <w:rsid w:val="00630AEF"/>
    <w:rsid w:val="006325F8"/>
    <w:rsid w:val="00633463"/>
    <w:rsid w:val="00634C9A"/>
    <w:rsid w:val="006440E4"/>
    <w:rsid w:val="006572CB"/>
    <w:rsid w:val="0066343B"/>
    <w:rsid w:val="00664777"/>
    <w:rsid w:val="00666EFE"/>
    <w:rsid w:val="006748A4"/>
    <w:rsid w:val="00680A84"/>
    <w:rsid w:val="00681A31"/>
    <w:rsid w:val="00683E73"/>
    <w:rsid w:val="006A3141"/>
    <w:rsid w:val="006A5E34"/>
    <w:rsid w:val="006B2422"/>
    <w:rsid w:val="006B2B9A"/>
    <w:rsid w:val="006C1937"/>
    <w:rsid w:val="006D7A44"/>
    <w:rsid w:val="006E2ECE"/>
    <w:rsid w:val="006F020C"/>
    <w:rsid w:val="007127B7"/>
    <w:rsid w:val="0071798E"/>
    <w:rsid w:val="007416B6"/>
    <w:rsid w:val="007443BF"/>
    <w:rsid w:val="00746F48"/>
    <w:rsid w:val="0075404D"/>
    <w:rsid w:val="0076182A"/>
    <w:rsid w:val="00767B7E"/>
    <w:rsid w:val="007770C3"/>
    <w:rsid w:val="00784D24"/>
    <w:rsid w:val="00785FBA"/>
    <w:rsid w:val="00786E4A"/>
    <w:rsid w:val="007875EB"/>
    <w:rsid w:val="0079426B"/>
    <w:rsid w:val="007A40B3"/>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943F2"/>
    <w:rsid w:val="008B768C"/>
    <w:rsid w:val="008C44F1"/>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A2E62"/>
    <w:rsid w:val="009B2C43"/>
    <w:rsid w:val="009B4EAE"/>
    <w:rsid w:val="009B7573"/>
    <w:rsid w:val="009C22F4"/>
    <w:rsid w:val="009C2A4B"/>
    <w:rsid w:val="009C2E98"/>
    <w:rsid w:val="009C2F64"/>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96B60"/>
    <w:rsid w:val="00AB64C9"/>
    <w:rsid w:val="00AC3C6A"/>
    <w:rsid w:val="00AD0C25"/>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E6DE1"/>
    <w:rsid w:val="00BF5BD6"/>
    <w:rsid w:val="00C03E31"/>
    <w:rsid w:val="00C22BD0"/>
    <w:rsid w:val="00C33E72"/>
    <w:rsid w:val="00C354B2"/>
    <w:rsid w:val="00C35554"/>
    <w:rsid w:val="00C42709"/>
    <w:rsid w:val="00C533CC"/>
    <w:rsid w:val="00C5751C"/>
    <w:rsid w:val="00C61BFC"/>
    <w:rsid w:val="00C62B85"/>
    <w:rsid w:val="00C65438"/>
    <w:rsid w:val="00C8398A"/>
    <w:rsid w:val="00C87FD8"/>
    <w:rsid w:val="00C91381"/>
    <w:rsid w:val="00C91CBB"/>
    <w:rsid w:val="00CB4E70"/>
    <w:rsid w:val="00CC09B6"/>
    <w:rsid w:val="00CC666F"/>
    <w:rsid w:val="00CD1E3F"/>
    <w:rsid w:val="00CE3F22"/>
    <w:rsid w:val="00CE44F6"/>
    <w:rsid w:val="00CE49DA"/>
    <w:rsid w:val="00CE7B61"/>
    <w:rsid w:val="00D00095"/>
    <w:rsid w:val="00D06D65"/>
    <w:rsid w:val="00D114F0"/>
    <w:rsid w:val="00D20620"/>
    <w:rsid w:val="00D2302B"/>
    <w:rsid w:val="00D254F7"/>
    <w:rsid w:val="00D26091"/>
    <w:rsid w:val="00D2685C"/>
    <w:rsid w:val="00D34E7C"/>
    <w:rsid w:val="00D35489"/>
    <w:rsid w:val="00D36AFE"/>
    <w:rsid w:val="00D51276"/>
    <w:rsid w:val="00D67FD9"/>
    <w:rsid w:val="00D7035F"/>
    <w:rsid w:val="00DA634F"/>
    <w:rsid w:val="00DA65AC"/>
    <w:rsid w:val="00DB1913"/>
    <w:rsid w:val="00DB3617"/>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87CF5"/>
    <w:rsid w:val="00E95831"/>
    <w:rsid w:val="00EA010F"/>
    <w:rsid w:val="00ED1B63"/>
    <w:rsid w:val="00ED3C1F"/>
    <w:rsid w:val="00ED4085"/>
    <w:rsid w:val="00ED420E"/>
    <w:rsid w:val="00ED6FBE"/>
    <w:rsid w:val="00EE2F57"/>
    <w:rsid w:val="00EF37F2"/>
    <w:rsid w:val="00EF4C34"/>
    <w:rsid w:val="00EF77C6"/>
    <w:rsid w:val="00F05438"/>
    <w:rsid w:val="00F1361C"/>
    <w:rsid w:val="00F156F0"/>
    <w:rsid w:val="00F160C7"/>
    <w:rsid w:val="00F2408F"/>
    <w:rsid w:val="00F240E9"/>
    <w:rsid w:val="00F36D8F"/>
    <w:rsid w:val="00F417B1"/>
    <w:rsid w:val="00F45853"/>
    <w:rsid w:val="00F602DF"/>
    <w:rsid w:val="00F73AA4"/>
    <w:rsid w:val="00F754A1"/>
    <w:rsid w:val="00F81FD9"/>
    <w:rsid w:val="00F841AA"/>
    <w:rsid w:val="00F84A94"/>
    <w:rsid w:val="00F87E96"/>
    <w:rsid w:val="00FA23E8"/>
    <w:rsid w:val="00FD3CC1"/>
    <w:rsid w:val="00FF1E02"/>
    <w:rsid w:val="00FF30B4"/>
    <w:rsid w:val="016853DB"/>
    <w:rsid w:val="066E0107"/>
    <w:rsid w:val="07996F6E"/>
    <w:rsid w:val="0A2032A3"/>
    <w:rsid w:val="0B902D69"/>
    <w:rsid w:val="0F1A618F"/>
    <w:rsid w:val="101860EC"/>
    <w:rsid w:val="10C055FF"/>
    <w:rsid w:val="11147323"/>
    <w:rsid w:val="118107EC"/>
    <w:rsid w:val="13D50BC4"/>
    <w:rsid w:val="16BB723D"/>
    <w:rsid w:val="17FF47E9"/>
    <w:rsid w:val="19D71388"/>
    <w:rsid w:val="1BE8440E"/>
    <w:rsid w:val="1D155CEE"/>
    <w:rsid w:val="22F7746D"/>
    <w:rsid w:val="23860B96"/>
    <w:rsid w:val="240371BF"/>
    <w:rsid w:val="240F6BDB"/>
    <w:rsid w:val="250E1BAE"/>
    <w:rsid w:val="265C0BA9"/>
    <w:rsid w:val="277D12AB"/>
    <w:rsid w:val="285218FC"/>
    <w:rsid w:val="295F57ED"/>
    <w:rsid w:val="29FD04D3"/>
    <w:rsid w:val="2C8A61B5"/>
    <w:rsid w:val="2DF04E50"/>
    <w:rsid w:val="319F7F4E"/>
    <w:rsid w:val="35180D4E"/>
    <w:rsid w:val="36AA5135"/>
    <w:rsid w:val="37E16F03"/>
    <w:rsid w:val="3D98207C"/>
    <w:rsid w:val="44185E43"/>
    <w:rsid w:val="44E268DA"/>
    <w:rsid w:val="45097E82"/>
    <w:rsid w:val="47B444A6"/>
    <w:rsid w:val="4A627F82"/>
    <w:rsid w:val="4B4F25DA"/>
    <w:rsid w:val="4BE068DB"/>
    <w:rsid w:val="4D577224"/>
    <w:rsid w:val="4EAB630A"/>
    <w:rsid w:val="4ECE2238"/>
    <w:rsid w:val="5AF92295"/>
    <w:rsid w:val="5C990449"/>
    <w:rsid w:val="5CD71FC4"/>
    <w:rsid w:val="5F9F4F24"/>
    <w:rsid w:val="639B13D6"/>
    <w:rsid w:val="6C4A05C8"/>
    <w:rsid w:val="6D0D4103"/>
    <w:rsid w:val="6E7E3605"/>
    <w:rsid w:val="6FF5CC65"/>
    <w:rsid w:val="715C0E4B"/>
    <w:rsid w:val="72036517"/>
    <w:rsid w:val="72734D90"/>
    <w:rsid w:val="73AD73D5"/>
    <w:rsid w:val="73B6EB34"/>
    <w:rsid w:val="752C0E9F"/>
    <w:rsid w:val="79EE5BA4"/>
    <w:rsid w:val="7A894339"/>
    <w:rsid w:val="7EEF11D3"/>
    <w:rsid w:val="7FA30C79"/>
    <w:rsid w:val="7FC96657"/>
    <w:rsid w:val="D8D6DB89"/>
    <w:rsid w:val="DB6F4CAB"/>
    <w:rsid w:val="DF6F978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Plain Text"/>
    <w:basedOn w:val="1"/>
    <w:qFormat/>
    <w:uiPriority w:val="0"/>
    <w:rPr>
      <w:rFonts w:ascii="宋体" w:hAnsi="Courier New"/>
      <w:szCs w:val="22"/>
    </w:rPr>
  </w:style>
  <w:style w:type="paragraph" w:styleId="8">
    <w:name w:val="Balloon Text"/>
    <w:basedOn w:val="1"/>
    <w:link w:val="28"/>
    <w:semiHidden/>
    <w:unhideWhenUsed/>
    <w:qFormat/>
    <w:uiPriority w:val="99"/>
    <w:rPr>
      <w:sz w:val="18"/>
      <w:szCs w:val="18"/>
    </w:rPr>
  </w:style>
  <w:style w:type="paragraph" w:styleId="9">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10"/>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9"/>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2"/>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3"/>
    <w:qFormat/>
    <w:uiPriority w:val="9"/>
    <w:rPr>
      <w:rFonts w:ascii="Times New Roman" w:hAnsi="Times New Roman"/>
      <w:b/>
      <w:bCs/>
      <w:kern w:val="44"/>
      <w:sz w:val="44"/>
      <w:szCs w:val="44"/>
    </w:rPr>
  </w:style>
  <w:style w:type="character" w:customStyle="1" w:styleId="26">
    <w:name w:val="标题 2 Char"/>
    <w:basedOn w:val="14"/>
    <w:link w:val="4"/>
    <w:qFormat/>
    <w:uiPriority w:val="9"/>
    <w:rPr>
      <w:rFonts w:asciiTheme="majorHAnsi" w:hAnsiTheme="majorHAnsi" w:eastAsiaTheme="majorEastAsia" w:cstheme="majorBidi"/>
      <w:b/>
      <w:bCs/>
      <w:kern w:val="2"/>
      <w:sz w:val="32"/>
      <w:szCs w:val="32"/>
    </w:rPr>
  </w:style>
  <w:style w:type="paragraph" w:customStyle="1" w:styleId="2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8"/>
    <w:semiHidden/>
    <w:qFormat/>
    <w:uiPriority w:val="99"/>
    <w:rPr>
      <w:rFonts w:ascii="Times New Roman" w:hAnsi="Times New Roman"/>
      <w:kern w:val="2"/>
      <w:sz w:val="18"/>
      <w:szCs w:val="18"/>
    </w:rPr>
  </w:style>
  <w:style w:type="character" w:customStyle="1" w:styleId="29">
    <w:name w:val="标题 3 Char"/>
    <w:basedOn w:val="14"/>
    <w:link w:val="5"/>
    <w:qFormat/>
    <w:uiPriority w:val="9"/>
    <w:rPr>
      <w:rFonts w:ascii="Times New Roman" w:hAnsi="Times New Roman"/>
      <w:b/>
      <w:bCs/>
      <w:kern w:val="2"/>
      <w:sz w:val="32"/>
      <w:szCs w:val="32"/>
    </w:rPr>
  </w:style>
  <w:style w:type="paragraph" w:customStyle="1" w:styleId="30">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invertIfNegative val="0"/>
          <c:dLbls>
            <c:delete val="1"/>
          </c:dLbls>
          <c:cat>
            <c:strRef>
              <c:f>Sheet1!$A$2:$A$5</c:f>
              <c:strCache>
                <c:ptCount val="2"/>
                <c:pt idx="0">
                  <c:v>收入</c:v>
                </c:pt>
                <c:pt idx="1">
                  <c:v>支出</c:v>
                </c:pt>
              </c:strCache>
            </c:strRef>
          </c:cat>
          <c:val>
            <c:numRef>
              <c:f>Sheet1!$B$2:$B$5</c:f>
              <c:numCache>
                <c:formatCode>General</c:formatCode>
                <c:ptCount val="4"/>
                <c:pt idx="0">
                  <c:v>1445</c:v>
                </c:pt>
                <c:pt idx="1">
                  <c:v>1245</c:v>
                </c:pt>
                <c:pt idx="2">
                  <c:v>3.5</c:v>
                </c:pt>
                <c:pt idx="3">
                  <c:v>4.5</c:v>
                </c:pt>
              </c:numCache>
            </c:numRef>
          </c:val>
        </c:ser>
        <c:ser>
          <c:idx val="1"/>
          <c:order val="1"/>
          <c:tx>
            <c:strRef>
              <c:f>Sheet1!$C$1</c:f>
              <c:strCache>
                <c:ptCount val="1"/>
                <c:pt idx="0">
                  <c:v>2021</c:v>
                </c:pt>
              </c:strCache>
            </c:strRef>
          </c:tx>
          <c:invertIfNegative val="0"/>
          <c:dLbls>
            <c:delete val="1"/>
          </c:dLbls>
          <c:cat>
            <c:strRef>
              <c:f>Sheet1!$A$2:$A$5</c:f>
              <c:strCache>
                <c:ptCount val="2"/>
                <c:pt idx="0">
                  <c:v>收入</c:v>
                </c:pt>
                <c:pt idx="1">
                  <c:v>支出</c:v>
                </c:pt>
              </c:strCache>
            </c:strRef>
          </c:cat>
          <c:val>
            <c:numRef>
              <c:f>Sheet1!$C$2:$C$5</c:f>
              <c:numCache>
                <c:formatCode>General</c:formatCode>
                <c:ptCount val="4"/>
                <c:pt idx="0">
                  <c:v>1548</c:v>
                </c:pt>
                <c:pt idx="1">
                  <c:v>1758.39</c:v>
                </c:pt>
                <c:pt idx="2">
                  <c:v>1.8</c:v>
                </c:pt>
                <c:pt idx="3">
                  <c:v>2.8</c:v>
                </c:pt>
              </c:numCache>
            </c:numRef>
          </c:val>
        </c:ser>
        <c:dLbls>
          <c:showLegendKey val="0"/>
          <c:showVal val="0"/>
          <c:showCatName val="0"/>
          <c:showSerName val="0"/>
          <c:showPercent val="0"/>
          <c:showBubbleSize val="0"/>
        </c:dLbls>
        <c:gapWidth val="150"/>
        <c:axId val="40426496"/>
        <c:axId val="40747776"/>
      </c:barChart>
      <c:catAx>
        <c:axId val="4042649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747776"/>
        <c:crosses val="autoZero"/>
        <c:auto val="1"/>
        <c:lblAlgn val="ctr"/>
        <c:lblOffset val="100"/>
        <c:noMultiLvlLbl val="0"/>
      </c:catAx>
      <c:valAx>
        <c:axId val="407477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42649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2b9cad5-3312-4d3e-a9e3-791df7f029cd}"/>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2021年支出决算结构图</c:v>
                </c:pt>
              </c:strCache>
            </c:strRef>
          </c:tx>
          <c:explosion val="0"/>
          <c:dPt>
            <c:idx val="0"/>
            <c:bubble3D val="0"/>
          </c:dPt>
          <c:dPt>
            <c:idx val="1"/>
            <c:bubble3D val="0"/>
          </c:dPt>
          <c:dLbls>
            <c:delete val="1"/>
          </c:dLbls>
          <c:cat>
            <c:strRef>
              <c:f>Sheet1!$A$2:$A$3</c:f>
              <c:strCache>
                <c:ptCount val="2"/>
                <c:pt idx="0">
                  <c:v>基本支出</c:v>
                </c:pt>
                <c:pt idx="1">
                  <c:v>项目支出</c:v>
                </c:pt>
              </c:strCache>
            </c:strRef>
          </c:cat>
          <c:val>
            <c:numRef>
              <c:f>Sheet1!$B$2:$B$3</c:f>
              <c:numCache>
                <c:formatCode>General</c:formatCode>
                <c:ptCount val="2"/>
                <c:pt idx="0">
                  <c:v>1007.33</c:v>
                </c:pt>
                <c:pt idx="1">
                  <c:v>751.06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a947d5f-fcac-4403-a5cb-1db52aa8fadf}"/>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收入</c:v>
                </c:pt>
              </c:strCache>
            </c:strRef>
          </c:tx>
          <c:invertIfNegative val="0"/>
          <c:dLbls>
            <c:delete val="1"/>
          </c:dLbls>
          <c:cat>
            <c:numRef>
              <c:f>Sheet1!$A$2:$A$5</c:f>
              <c:numCache>
                <c:formatCode>General</c:formatCode>
                <c:ptCount val="4"/>
                <c:pt idx="0">
                  <c:v>2020</c:v>
                </c:pt>
                <c:pt idx="1">
                  <c:v>2021</c:v>
                </c:pt>
              </c:numCache>
            </c:numRef>
          </c:cat>
          <c:val>
            <c:numRef>
              <c:f>Sheet1!$B$2:$B$5</c:f>
              <c:numCache>
                <c:formatCode>General</c:formatCode>
                <c:ptCount val="4"/>
                <c:pt idx="0">
                  <c:v>1445</c:v>
                </c:pt>
                <c:pt idx="1">
                  <c:v>1548</c:v>
                </c:pt>
              </c:numCache>
            </c:numRef>
          </c:val>
        </c:ser>
        <c:ser>
          <c:idx val="1"/>
          <c:order val="1"/>
          <c:tx>
            <c:strRef>
              <c:f>Sheet1!$C$1</c:f>
              <c:strCache>
                <c:ptCount val="1"/>
                <c:pt idx="0">
                  <c:v>支出</c:v>
                </c:pt>
              </c:strCache>
            </c:strRef>
          </c:tx>
          <c:invertIfNegative val="0"/>
          <c:dLbls>
            <c:delete val="1"/>
          </c:dLbls>
          <c:cat>
            <c:numRef>
              <c:f>Sheet1!$A$2:$A$5</c:f>
              <c:numCache>
                <c:formatCode>General</c:formatCode>
                <c:ptCount val="4"/>
                <c:pt idx="0">
                  <c:v>2020</c:v>
                </c:pt>
                <c:pt idx="1">
                  <c:v>2021</c:v>
                </c:pt>
              </c:numCache>
            </c:numRef>
          </c:cat>
          <c:val>
            <c:numRef>
              <c:f>Sheet1!$C$2:$C$5</c:f>
              <c:numCache>
                <c:formatCode>General</c:formatCode>
                <c:ptCount val="4"/>
                <c:pt idx="0">
                  <c:v>1245</c:v>
                </c:pt>
                <c:pt idx="1">
                  <c:v>1758.39</c:v>
                </c:pt>
              </c:numCache>
            </c:numRef>
          </c:val>
        </c:ser>
        <c:dLbls>
          <c:showLegendKey val="0"/>
          <c:showVal val="0"/>
          <c:showCatName val="0"/>
          <c:showSerName val="0"/>
          <c:showPercent val="0"/>
          <c:showBubbleSize val="0"/>
        </c:dLbls>
        <c:gapWidth val="150"/>
        <c:axId val="41152896"/>
        <c:axId val="41154432"/>
      </c:barChart>
      <c:catAx>
        <c:axId val="4115289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154432"/>
        <c:crosses val="autoZero"/>
        <c:auto val="1"/>
        <c:lblAlgn val="ctr"/>
        <c:lblOffset val="100"/>
        <c:noMultiLvlLbl val="0"/>
      </c:catAx>
      <c:valAx>
        <c:axId val="411544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15289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716b442-2d63-414d-ac20-e1cf05027e91}"/>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一般公共预算支出</c:v>
                </c:pt>
              </c:strCache>
            </c:strRef>
          </c:tx>
          <c:invertIfNegative val="0"/>
          <c:dLbls>
            <c:delete val="1"/>
          </c:dLbls>
          <c:cat>
            <c:numRef>
              <c:f>Sheet1!$A$2:$A$5</c:f>
              <c:numCache>
                <c:formatCode>General</c:formatCode>
                <c:ptCount val="4"/>
                <c:pt idx="0">
                  <c:v>20200</c:v>
                </c:pt>
                <c:pt idx="1">
                  <c:v>2021</c:v>
                </c:pt>
              </c:numCache>
            </c:numRef>
          </c:cat>
          <c:val>
            <c:numRef>
              <c:f>Sheet1!$B$2:$B$5</c:f>
              <c:numCache>
                <c:formatCode>General</c:formatCode>
                <c:ptCount val="4"/>
                <c:pt idx="0">
                  <c:v>1234</c:v>
                </c:pt>
                <c:pt idx="1">
                  <c:v>1758.39</c:v>
                </c:pt>
              </c:numCache>
            </c:numRef>
          </c:val>
        </c:ser>
        <c:dLbls>
          <c:showLegendKey val="0"/>
          <c:showVal val="0"/>
          <c:showCatName val="0"/>
          <c:showSerName val="0"/>
          <c:showPercent val="0"/>
          <c:showBubbleSize val="0"/>
        </c:dLbls>
        <c:gapWidth val="150"/>
        <c:axId val="40658048"/>
        <c:axId val="40659584"/>
      </c:barChart>
      <c:catAx>
        <c:axId val="4065804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659584"/>
        <c:crosses val="autoZero"/>
        <c:auto val="1"/>
        <c:lblAlgn val="ctr"/>
        <c:lblOffset val="100"/>
        <c:noMultiLvlLbl val="0"/>
      </c:catAx>
      <c:valAx>
        <c:axId val="406595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65804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473cee4-e136-4b1b-b532-cf5f0242a945}"/>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一般公共预算支出</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Lbls>
            <c:delete val="1"/>
          </c:dLbls>
          <c:cat>
            <c:strRef>
              <c:f>Sheet1!$A$2:$A$8</c:f>
              <c:strCache>
                <c:ptCount val="7"/>
                <c:pt idx="0">
                  <c:v>一般公共服务支出</c:v>
                </c:pt>
                <c:pt idx="1">
                  <c:v>文化旅游体育与传媒支出</c:v>
                </c:pt>
                <c:pt idx="2">
                  <c:v>社会保障和就业支出</c:v>
                </c:pt>
                <c:pt idx="3">
                  <c:v>卫生健康支出</c:v>
                </c:pt>
                <c:pt idx="4">
                  <c:v>农林水支出</c:v>
                </c:pt>
                <c:pt idx="5">
                  <c:v>住房保障支出</c:v>
                </c:pt>
                <c:pt idx="6">
                  <c:v>灾害防治及应急支出</c:v>
                </c:pt>
              </c:strCache>
            </c:strRef>
          </c:cat>
          <c:val>
            <c:numRef>
              <c:f>Sheet1!$B$2:$B$8</c:f>
              <c:numCache>
                <c:formatCode>General</c:formatCode>
                <c:ptCount val="7"/>
                <c:pt idx="0">
                  <c:v>521.95</c:v>
                </c:pt>
                <c:pt idx="1">
                  <c:v>38.41</c:v>
                </c:pt>
                <c:pt idx="2">
                  <c:v>257.49</c:v>
                </c:pt>
                <c:pt idx="3">
                  <c:v>51.36</c:v>
                </c:pt>
                <c:pt idx="4">
                  <c:v>804.71</c:v>
                </c:pt>
                <c:pt idx="5">
                  <c:v>69.45</c:v>
                </c:pt>
                <c:pt idx="6">
                  <c:v>15.03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e7db50d-7575-48f4-bf01-b77654a6a5f5}"/>
      </c:ext>
    </c:extLst>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58</Pages>
  <Words>4795</Words>
  <Characters>5649</Characters>
  <Lines>177</Lines>
  <Paragraphs>49</Paragraphs>
  <TotalTime>228</TotalTime>
  <ScaleCrop>false</ScaleCrop>
  <LinksUpToDate>false</LinksUpToDate>
  <CharactersWithSpaces>5727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2022-10-07T01:09:00Z</dcterms:created>
  <dc:creator>曹颖</dc:creator>
  <cp:lastModifiedBy>杨璐</cp:lastModifiedBy>
  <cp:lastPrinted>2022-08-08T09:11:00Z</cp:lastPrinted>
  <dcterms:modified xsi:type="dcterms:W3CDTF">2025-06-23T08:33:07Z</dcterms:modified>
  <dc:title>四川省***</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68F72C2B4B2A43FEAA5AB96F3B387399_13</vt:lpwstr>
  </property>
  <property fmtid="{D5CDD505-2E9C-101B-9397-08002B2CF9AE}" pid="4" name="KSOTemplateDocerSaveRecord">
    <vt:lpwstr>eyJoZGlkIjoiZTM2YzQxZTZjYjY5NWZlY2Y2OGQ4YmI5ZjQ1YzIxZjAiLCJ1c2VySWQiOiIzNTQ5NTEwNzMifQ==</vt:lpwstr>
  </property>
</Properties>
</file>