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F4FAA">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425"/>
      <w:bookmarkStart w:id="3" w:name="_Toc15378441"/>
      <w:bookmarkStart w:id="4" w:name="_Toc15377193"/>
      <w:bookmarkStart w:id="5" w:name="_Toc15306267"/>
    </w:p>
    <w:p w14:paraId="68B009D1">
      <w:pPr>
        <w:spacing w:line="600" w:lineRule="exact"/>
        <w:jc w:val="center"/>
        <w:outlineLvl w:val="0"/>
        <w:rPr>
          <w:rFonts w:ascii="方正小标宋简体" w:hAnsi="宋体" w:eastAsia="方正小标宋简体"/>
          <w:sz w:val="72"/>
          <w:szCs w:val="72"/>
        </w:rPr>
      </w:pPr>
    </w:p>
    <w:p w14:paraId="447587B1">
      <w:pPr>
        <w:spacing w:line="600" w:lineRule="exact"/>
        <w:jc w:val="center"/>
        <w:outlineLvl w:val="0"/>
        <w:rPr>
          <w:rFonts w:ascii="方正小标宋简体" w:hAnsi="宋体" w:eastAsia="方正小标宋简体"/>
          <w:sz w:val="72"/>
          <w:szCs w:val="72"/>
        </w:rPr>
      </w:pPr>
    </w:p>
    <w:p w14:paraId="6BE3794D">
      <w:pPr>
        <w:spacing w:line="600" w:lineRule="exact"/>
        <w:jc w:val="center"/>
        <w:outlineLvl w:val="0"/>
        <w:rPr>
          <w:rFonts w:ascii="方正小标宋简体" w:hAnsi="宋体" w:eastAsia="方正小标宋简体"/>
          <w:sz w:val="72"/>
          <w:szCs w:val="72"/>
        </w:rPr>
      </w:pPr>
    </w:p>
    <w:p w14:paraId="10B15D5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7F556D8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7426"/>
      <w:bookmarkStart w:id="8" w:name="_Toc15396598"/>
      <w:bookmarkStart w:id="9" w:name="_Toc15378442"/>
      <w:bookmarkStart w:id="10" w:name="_Toc15396476"/>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幼儿园单位决算</w:t>
      </w:r>
      <w:bookmarkEnd w:id="6"/>
      <w:bookmarkEnd w:id="7"/>
      <w:bookmarkEnd w:id="8"/>
      <w:bookmarkEnd w:id="9"/>
      <w:bookmarkEnd w:id="10"/>
      <w:bookmarkEnd w:id="11"/>
    </w:p>
    <w:p w14:paraId="0B58898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E9FADDE">
      <w:pPr>
        <w:widowControl/>
        <w:jc w:val="center"/>
        <w:rPr>
          <w:rFonts w:ascii="黑体" w:hAnsi="黑体" w:eastAsia="黑体" w:cstheme="minorBidi"/>
          <w:sz w:val="28"/>
          <w:szCs w:val="28"/>
        </w:rPr>
      </w:pPr>
    </w:p>
    <w:p w14:paraId="2EDE0A98">
      <w:pPr>
        <w:pStyle w:val="12"/>
      </w:pPr>
      <w:r>
        <w:rPr>
          <w:rFonts w:hint="eastAsia"/>
        </w:rPr>
        <w:t>公开时间：2022年10月20日</w:t>
      </w:r>
    </w:p>
    <w:p w14:paraId="1749471B"/>
    <w:sdt>
      <w:sdtPr>
        <w:rPr>
          <w:rFonts w:ascii="宋体" w:hAnsi="宋体"/>
          <w:kern w:val="0"/>
          <w:sz w:val="20"/>
          <w:szCs w:val="20"/>
        </w:rPr>
        <w:id w:val="-399210467"/>
        <w15:color w:val="DBDBDB"/>
        <w:docPartObj>
          <w:docPartGallery w:val="Table of Contents"/>
          <w:docPartUnique/>
        </w:docPartObj>
      </w:sdtPr>
      <w:sdtEndPr>
        <w:rPr>
          <w:rFonts w:hint="eastAsia" w:ascii="仿宋" w:hAnsi="仿宋" w:eastAsia="仿宋" w:cs="仿宋"/>
          <w:kern w:val="0"/>
          <w:sz w:val="28"/>
          <w:szCs w:val="28"/>
        </w:rPr>
      </w:sdtEndPr>
      <w:sdtContent>
        <w:p w14:paraId="7139A123">
          <w:pPr>
            <w:jc w:val="center"/>
          </w:pPr>
          <w:bookmarkStart w:id="12" w:name="_Toc121_WPSOffice_Type2"/>
          <w:bookmarkStart w:id="13" w:name="_Toc15377196"/>
          <w:bookmarkStart w:id="14" w:name="_Toc15396599"/>
        </w:p>
        <w:p w14:paraId="4AE79CBF">
          <w:pPr>
            <w:pStyle w:val="33"/>
            <w:tabs>
              <w:tab w:val="right" w:leader="dot" w:pos="8306"/>
            </w:tabs>
            <w:rPr>
              <w:rFonts w:ascii="仿宋" w:hAnsi="仿宋" w:eastAsia="仿宋" w:cs="仿宋"/>
              <w:sz w:val="28"/>
              <w:szCs w:val="28"/>
            </w:rPr>
          </w:pPr>
          <w:r>
            <w:fldChar w:fldCharType="begin"/>
          </w:r>
          <w:r>
            <w:instrText xml:space="preserve"> HYPERLINK \l "_Toc7522_WPSOffice_Level1" </w:instrText>
          </w:r>
          <w:r>
            <w:fldChar w:fldCharType="separate"/>
          </w:r>
          <w:sdt>
            <w:sdtPr>
              <w:rPr>
                <w:rFonts w:hint="eastAsia" w:ascii="仿宋" w:hAnsi="仿宋" w:eastAsia="仿宋" w:cs="仿宋"/>
                <w:b/>
                <w:bCs/>
                <w:kern w:val="2"/>
                <w:sz w:val="28"/>
                <w:szCs w:val="28"/>
              </w:rPr>
              <w:id w:val="147453421"/>
              <w:placeholder>
                <w:docPart w:val="{55824b27-2898-401e-9192-846946663ad9}"/>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第一部分 部门概况</w:t>
              </w:r>
            </w:sdtContent>
          </w:sdt>
          <w:r>
            <w:rPr>
              <w:rFonts w:hint="eastAsia" w:ascii="仿宋" w:hAnsi="仿宋" w:eastAsia="仿宋" w:cs="仿宋"/>
              <w:b/>
              <w:bCs/>
              <w:sz w:val="28"/>
              <w:szCs w:val="28"/>
            </w:rPr>
            <w:tab/>
          </w:r>
          <w:bookmarkStart w:id="15" w:name="_Toc7522_WPSOffice_Level1Page"/>
          <w:r>
            <w:rPr>
              <w:rFonts w:hint="eastAsia" w:ascii="仿宋" w:hAnsi="仿宋" w:eastAsia="仿宋" w:cs="仿宋"/>
              <w:b/>
              <w:bCs/>
              <w:sz w:val="28"/>
              <w:szCs w:val="28"/>
            </w:rPr>
            <w:t>4</w:t>
          </w:r>
          <w:bookmarkEnd w:id="15"/>
          <w:r>
            <w:rPr>
              <w:rFonts w:hint="eastAsia" w:ascii="仿宋" w:hAnsi="仿宋" w:eastAsia="仿宋" w:cs="仿宋"/>
              <w:b/>
              <w:bCs/>
              <w:sz w:val="28"/>
              <w:szCs w:val="28"/>
            </w:rPr>
            <w:fldChar w:fldCharType="end"/>
          </w:r>
        </w:p>
        <w:p w14:paraId="32752DEB">
          <w:pPr>
            <w:pStyle w:val="34"/>
            <w:tabs>
              <w:tab w:val="right" w:leader="dot" w:pos="8306"/>
            </w:tabs>
            <w:ind w:left="420"/>
            <w:rPr>
              <w:rFonts w:ascii="仿宋" w:hAnsi="仿宋" w:eastAsia="仿宋" w:cs="仿宋"/>
              <w:sz w:val="28"/>
              <w:szCs w:val="28"/>
            </w:rPr>
          </w:pPr>
          <w:r>
            <w:fldChar w:fldCharType="begin"/>
          </w:r>
          <w:r>
            <w:instrText xml:space="preserve"> HYPERLINK \l "_Toc121_WPSOffice_Level2" </w:instrText>
          </w:r>
          <w:r>
            <w:fldChar w:fldCharType="separate"/>
          </w:r>
          <w:sdt>
            <w:sdtPr>
              <w:rPr>
                <w:rFonts w:hint="eastAsia" w:ascii="仿宋" w:hAnsi="仿宋" w:eastAsia="仿宋" w:cs="仿宋"/>
                <w:kern w:val="2"/>
                <w:sz w:val="28"/>
                <w:szCs w:val="28"/>
              </w:rPr>
              <w:id w:val="-1646424189"/>
              <w:placeholder>
                <w:docPart w:val="{2548d882-64c5-4e01-9bbd-9d8f8363843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一、基本职能及主要工作</w:t>
              </w:r>
            </w:sdtContent>
          </w:sdt>
          <w:r>
            <w:rPr>
              <w:rFonts w:hint="eastAsia" w:ascii="仿宋" w:hAnsi="仿宋" w:eastAsia="仿宋" w:cs="仿宋"/>
              <w:sz w:val="28"/>
              <w:szCs w:val="28"/>
            </w:rPr>
            <w:tab/>
          </w:r>
          <w:bookmarkStart w:id="16" w:name="_Toc121_WPSOffice_Level2Page"/>
          <w:r>
            <w:rPr>
              <w:rFonts w:hint="eastAsia" w:ascii="仿宋" w:hAnsi="仿宋" w:eastAsia="仿宋" w:cs="仿宋"/>
              <w:sz w:val="28"/>
              <w:szCs w:val="28"/>
            </w:rPr>
            <w:t>4</w:t>
          </w:r>
          <w:bookmarkEnd w:id="16"/>
          <w:r>
            <w:rPr>
              <w:rFonts w:hint="eastAsia" w:ascii="仿宋" w:hAnsi="仿宋" w:eastAsia="仿宋" w:cs="仿宋"/>
              <w:sz w:val="28"/>
              <w:szCs w:val="28"/>
            </w:rPr>
            <w:fldChar w:fldCharType="end"/>
          </w:r>
        </w:p>
        <w:p w14:paraId="546F64BD">
          <w:pPr>
            <w:pStyle w:val="34"/>
            <w:tabs>
              <w:tab w:val="right" w:leader="dot" w:pos="8306"/>
            </w:tabs>
            <w:ind w:left="420"/>
            <w:rPr>
              <w:rFonts w:ascii="仿宋" w:hAnsi="仿宋" w:eastAsia="仿宋" w:cs="仿宋"/>
              <w:sz w:val="28"/>
              <w:szCs w:val="28"/>
            </w:rPr>
          </w:pPr>
          <w:r>
            <w:fldChar w:fldCharType="begin"/>
          </w:r>
          <w:r>
            <w:instrText xml:space="preserve"> HYPERLINK \l "_Toc20300_WPSOffice_Level2" </w:instrText>
          </w:r>
          <w:r>
            <w:fldChar w:fldCharType="separate"/>
          </w:r>
          <w:sdt>
            <w:sdtPr>
              <w:rPr>
                <w:rFonts w:hint="eastAsia" w:ascii="仿宋" w:hAnsi="仿宋" w:eastAsia="仿宋" w:cs="仿宋"/>
                <w:kern w:val="2"/>
                <w:sz w:val="28"/>
                <w:szCs w:val="28"/>
              </w:rPr>
              <w:id w:val="39563240"/>
              <w:placeholder>
                <w:docPart w:val="{eb2dcbb0-3dd6-4b76-b60a-a1dce811b5c2}"/>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二、机构设置</w:t>
              </w:r>
            </w:sdtContent>
          </w:sdt>
          <w:r>
            <w:rPr>
              <w:rFonts w:hint="eastAsia" w:ascii="仿宋" w:hAnsi="仿宋" w:eastAsia="仿宋" w:cs="仿宋"/>
              <w:sz w:val="28"/>
              <w:szCs w:val="28"/>
            </w:rPr>
            <w:tab/>
          </w:r>
          <w:bookmarkStart w:id="17" w:name="_Toc20300_WPSOffice_Level2Page"/>
          <w:r>
            <w:rPr>
              <w:rFonts w:hint="eastAsia" w:ascii="仿宋" w:hAnsi="仿宋" w:eastAsia="仿宋" w:cs="仿宋"/>
              <w:sz w:val="28"/>
              <w:szCs w:val="28"/>
            </w:rPr>
            <w:t>10</w:t>
          </w:r>
          <w:bookmarkEnd w:id="17"/>
          <w:r>
            <w:rPr>
              <w:rFonts w:hint="eastAsia" w:ascii="仿宋" w:hAnsi="仿宋" w:eastAsia="仿宋" w:cs="仿宋"/>
              <w:sz w:val="28"/>
              <w:szCs w:val="28"/>
            </w:rPr>
            <w:fldChar w:fldCharType="end"/>
          </w:r>
        </w:p>
        <w:p w14:paraId="507894BB">
          <w:pPr>
            <w:pStyle w:val="33"/>
            <w:tabs>
              <w:tab w:val="right" w:leader="dot" w:pos="8306"/>
            </w:tabs>
            <w:rPr>
              <w:rFonts w:ascii="仿宋" w:hAnsi="仿宋" w:eastAsia="仿宋" w:cs="仿宋"/>
              <w:sz w:val="28"/>
              <w:szCs w:val="28"/>
            </w:rPr>
          </w:pPr>
          <w:r>
            <w:fldChar w:fldCharType="begin"/>
          </w:r>
          <w:r>
            <w:instrText xml:space="preserve"> HYPERLINK \l "_Toc121_WPSOffice_Level1" </w:instrText>
          </w:r>
          <w:r>
            <w:fldChar w:fldCharType="separate"/>
          </w:r>
          <w:sdt>
            <w:sdtPr>
              <w:rPr>
                <w:rFonts w:hint="eastAsia" w:ascii="仿宋" w:hAnsi="仿宋" w:eastAsia="仿宋" w:cs="仿宋"/>
                <w:b/>
                <w:bCs/>
                <w:kern w:val="2"/>
                <w:sz w:val="28"/>
                <w:szCs w:val="28"/>
              </w:rPr>
              <w:id w:val="-1440835849"/>
              <w:placeholder>
                <w:docPart w:val="{0605f78c-cdef-46fd-af31-ef10b0ce254b}"/>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第二部分 2021年度部门决算情况说明</w:t>
              </w:r>
            </w:sdtContent>
          </w:sdt>
          <w:r>
            <w:rPr>
              <w:rFonts w:hint="eastAsia" w:ascii="仿宋" w:hAnsi="仿宋" w:eastAsia="仿宋" w:cs="仿宋"/>
              <w:b/>
              <w:bCs/>
              <w:sz w:val="28"/>
              <w:szCs w:val="28"/>
            </w:rPr>
            <w:tab/>
          </w:r>
          <w:bookmarkStart w:id="18" w:name="_Toc121_WPSOffice_Level1Page"/>
          <w:r>
            <w:rPr>
              <w:rFonts w:hint="eastAsia" w:ascii="仿宋" w:hAnsi="仿宋" w:eastAsia="仿宋" w:cs="仿宋"/>
              <w:b/>
              <w:bCs/>
              <w:sz w:val="28"/>
              <w:szCs w:val="28"/>
            </w:rPr>
            <w:t>11</w:t>
          </w:r>
          <w:bookmarkEnd w:id="18"/>
          <w:r>
            <w:rPr>
              <w:rFonts w:hint="eastAsia" w:ascii="仿宋" w:hAnsi="仿宋" w:eastAsia="仿宋" w:cs="仿宋"/>
              <w:b/>
              <w:bCs/>
              <w:sz w:val="28"/>
              <w:szCs w:val="28"/>
            </w:rPr>
            <w:fldChar w:fldCharType="end"/>
          </w:r>
        </w:p>
        <w:p w14:paraId="3CEE9D41">
          <w:pPr>
            <w:pStyle w:val="34"/>
            <w:tabs>
              <w:tab w:val="right" w:leader="dot" w:pos="8306"/>
            </w:tabs>
            <w:ind w:left="420"/>
            <w:rPr>
              <w:rFonts w:ascii="仿宋" w:hAnsi="仿宋" w:eastAsia="仿宋" w:cs="仿宋"/>
              <w:sz w:val="28"/>
              <w:szCs w:val="28"/>
            </w:rPr>
          </w:pPr>
          <w:r>
            <w:fldChar w:fldCharType="begin"/>
          </w:r>
          <w:r>
            <w:instrText xml:space="preserve"> HYPERLINK \l "_Toc7151_WPSOffice_Level2" </w:instrText>
          </w:r>
          <w:r>
            <w:fldChar w:fldCharType="separate"/>
          </w:r>
          <w:sdt>
            <w:sdtPr>
              <w:rPr>
                <w:rFonts w:hint="eastAsia" w:ascii="仿宋" w:hAnsi="仿宋" w:eastAsia="仿宋" w:cs="仿宋"/>
                <w:kern w:val="2"/>
                <w:sz w:val="28"/>
                <w:szCs w:val="28"/>
              </w:rPr>
              <w:id w:val="-434911678"/>
              <w:placeholder>
                <w:docPart w:val="{a6e2606d-5c26-4708-b32c-d7e7875d55f1}"/>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 收入支出决算总体情况说明</w:t>
              </w:r>
            </w:sdtContent>
          </w:sdt>
          <w:r>
            <w:rPr>
              <w:rFonts w:hint="eastAsia" w:ascii="仿宋" w:hAnsi="仿宋" w:eastAsia="仿宋" w:cs="仿宋"/>
              <w:sz w:val="28"/>
              <w:szCs w:val="28"/>
            </w:rPr>
            <w:tab/>
          </w:r>
          <w:bookmarkStart w:id="19" w:name="_Toc7151_WPSOffice_Level2Page"/>
          <w:r>
            <w:rPr>
              <w:rFonts w:hint="eastAsia" w:ascii="仿宋" w:hAnsi="仿宋" w:eastAsia="仿宋" w:cs="仿宋"/>
              <w:sz w:val="28"/>
              <w:szCs w:val="28"/>
            </w:rPr>
            <w:t>11</w:t>
          </w:r>
          <w:bookmarkEnd w:id="19"/>
          <w:r>
            <w:rPr>
              <w:rFonts w:hint="eastAsia" w:ascii="仿宋" w:hAnsi="仿宋" w:eastAsia="仿宋" w:cs="仿宋"/>
              <w:sz w:val="28"/>
              <w:szCs w:val="28"/>
            </w:rPr>
            <w:fldChar w:fldCharType="end"/>
          </w:r>
        </w:p>
        <w:p w14:paraId="29139FDB">
          <w:pPr>
            <w:pStyle w:val="34"/>
            <w:tabs>
              <w:tab w:val="right" w:leader="dot" w:pos="8306"/>
            </w:tabs>
            <w:ind w:left="420"/>
            <w:rPr>
              <w:rFonts w:ascii="仿宋" w:hAnsi="仿宋" w:eastAsia="仿宋" w:cs="仿宋"/>
              <w:sz w:val="28"/>
              <w:szCs w:val="28"/>
            </w:rPr>
          </w:pPr>
          <w:r>
            <w:fldChar w:fldCharType="begin"/>
          </w:r>
          <w:r>
            <w:instrText xml:space="preserve"> HYPERLINK \l "_Toc16676_WPSOffice_Level2" </w:instrText>
          </w:r>
          <w:r>
            <w:fldChar w:fldCharType="separate"/>
          </w:r>
          <w:sdt>
            <w:sdtPr>
              <w:rPr>
                <w:rFonts w:hint="eastAsia" w:ascii="仿宋" w:hAnsi="仿宋" w:eastAsia="仿宋" w:cs="仿宋"/>
                <w:kern w:val="2"/>
                <w:sz w:val="28"/>
                <w:szCs w:val="28"/>
              </w:rPr>
              <w:id w:val="802968142"/>
              <w:placeholder>
                <w:docPart w:val="{91b2bbf6-dcda-46a5-9983-f8290a984a46}"/>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 收入决算情况说明</w:t>
              </w:r>
            </w:sdtContent>
          </w:sdt>
          <w:r>
            <w:rPr>
              <w:rFonts w:hint="eastAsia" w:ascii="仿宋" w:hAnsi="仿宋" w:eastAsia="仿宋" w:cs="仿宋"/>
              <w:sz w:val="28"/>
              <w:szCs w:val="28"/>
            </w:rPr>
            <w:tab/>
          </w:r>
          <w:bookmarkStart w:id="20" w:name="_Toc16676_WPSOffice_Level2Page"/>
          <w:r>
            <w:rPr>
              <w:rFonts w:hint="eastAsia" w:ascii="仿宋" w:hAnsi="仿宋" w:eastAsia="仿宋" w:cs="仿宋"/>
              <w:sz w:val="28"/>
              <w:szCs w:val="28"/>
            </w:rPr>
            <w:t>11</w:t>
          </w:r>
          <w:bookmarkEnd w:id="20"/>
          <w:r>
            <w:rPr>
              <w:rFonts w:hint="eastAsia" w:ascii="仿宋" w:hAnsi="仿宋" w:eastAsia="仿宋" w:cs="仿宋"/>
              <w:sz w:val="28"/>
              <w:szCs w:val="28"/>
            </w:rPr>
            <w:fldChar w:fldCharType="end"/>
          </w:r>
        </w:p>
        <w:p w14:paraId="70E854D8">
          <w:pPr>
            <w:pStyle w:val="34"/>
            <w:tabs>
              <w:tab w:val="right" w:leader="dot" w:pos="8306"/>
            </w:tabs>
            <w:ind w:left="420"/>
            <w:rPr>
              <w:rFonts w:ascii="仿宋" w:hAnsi="仿宋" w:eastAsia="仿宋" w:cs="仿宋"/>
              <w:sz w:val="28"/>
              <w:szCs w:val="28"/>
            </w:rPr>
          </w:pPr>
          <w:r>
            <w:fldChar w:fldCharType="begin"/>
          </w:r>
          <w:r>
            <w:instrText xml:space="preserve"> HYPERLINK \l "_Toc19671_WPSOffice_Level2" </w:instrText>
          </w:r>
          <w:r>
            <w:fldChar w:fldCharType="separate"/>
          </w:r>
          <w:sdt>
            <w:sdtPr>
              <w:rPr>
                <w:rFonts w:hint="eastAsia" w:ascii="仿宋" w:hAnsi="仿宋" w:eastAsia="仿宋" w:cs="仿宋"/>
                <w:kern w:val="2"/>
                <w:sz w:val="28"/>
                <w:szCs w:val="28"/>
              </w:rPr>
              <w:id w:val="-747968063"/>
              <w:placeholder>
                <w:docPart w:val="{7db4d32c-2b69-48cd-905d-f6a939fb2cf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三、 支出决算情况说明</w:t>
              </w:r>
            </w:sdtContent>
          </w:sdt>
          <w:r>
            <w:rPr>
              <w:rFonts w:hint="eastAsia" w:ascii="仿宋" w:hAnsi="仿宋" w:eastAsia="仿宋" w:cs="仿宋"/>
              <w:sz w:val="28"/>
              <w:szCs w:val="28"/>
            </w:rPr>
            <w:tab/>
          </w:r>
          <w:bookmarkStart w:id="21" w:name="_Toc19671_WPSOffice_Level2Page"/>
          <w:r>
            <w:rPr>
              <w:rFonts w:hint="eastAsia" w:ascii="仿宋" w:hAnsi="仿宋" w:eastAsia="仿宋" w:cs="仿宋"/>
              <w:sz w:val="28"/>
              <w:szCs w:val="28"/>
            </w:rPr>
            <w:t>12</w:t>
          </w:r>
          <w:bookmarkEnd w:id="21"/>
          <w:r>
            <w:rPr>
              <w:rFonts w:hint="eastAsia" w:ascii="仿宋" w:hAnsi="仿宋" w:eastAsia="仿宋" w:cs="仿宋"/>
              <w:sz w:val="28"/>
              <w:szCs w:val="28"/>
            </w:rPr>
            <w:fldChar w:fldCharType="end"/>
          </w:r>
        </w:p>
        <w:p w14:paraId="1C0BDCD4">
          <w:pPr>
            <w:pStyle w:val="34"/>
            <w:tabs>
              <w:tab w:val="right" w:leader="dot" w:pos="8306"/>
            </w:tabs>
            <w:ind w:left="420"/>
            <w:rPr>
              <w:rFonts w:ascii="仿宋" w:hAnsi="仿宋" w:eastAsia="仿宋" w:cs="仿宋"/>
              <w:sz w:val="28"/>
              <w:szCs w:val="28"/>
            </w:rPr>
          </w:pPr>
          <w:r>
            <w:fldChar w:fldCharType="begin"/>
          </w:r>
          <w:r>
            <w:instrText xml:space="preserve"> HYPERLINK \l "_Toc8632_WPSOffice_Level2" </w:instrText>
          </w:r>
          <w:r>
            <w:fldChar w:fldCharType="separate"/>
          </w:r>
          <w:sdt>
            <w:sdtPr>
              <w:rPr>
                <w:rFonts w:hint="eastAsia" w:ascii="仿宋" w:hAnsi="仿宋" w:eastAsia="仿宋" w:cs="仿宋"/>
                <w:kern w:val="2"/>
                <w:sz w:val="28"/>
                <w:szCs w:val="28"/>
              </w:rPr>
              <w:id w:val="-137034805"/>
              <w:placeholder>
                <w:docPart w:val="{e9c2165f-2a9c-4d45-a0c5-04f1ea3b26fd}"/>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四、财政拨款收入支出决算总体情况说明</w:t>
              </w:r>
            </w:sdtContent>
          </w:sdt>
          <w:r>
            <w:rPr>
              <w:rFonts w:hint="eastAsia" w:ascii="仿宋" w:hAnsi="仿宋" w:eastAsia="仿宋" w:cs="仿宋"/>
              <w:sz w:val="28"/>
              <w:szCs w:val="28"/>
            </w:rPr>
            <w:tab/>
          </w:r>
          <w:bookmarkStart w:id="22" w:name="_Toc8632_WPSOffice_Level2Page"/>
          <w:r>
            <w:rPr>
              <w:rFonts w:hint="eastAsia" w:ascii="仿宋" w:hAnsi="仿宋" w:eastAsia="仿宋" w:cs="仿宋"/>
              <w:sz w:val="28"/>
              <w:szCs w:val="28"/>
            </w:rPr>
            <w:t>12</w:t>
          </w:r>
          <w:bookmarkEnd w:id="22"/>
          <w:r>
            <w:rPr>
              <w:rFonts w:hint="eastAsia" w:ascii="仿宋" w:hAnsi="仿宋" w:eastAsia="仿宋" w:cs="仿宋"/>
              <w:sz w:val="28"/>
              <w:szCs w:val="28"/>
            </w:rPr>
            <w:fldChar w:fldCharType="end"/>
          </w:r>
        </w:p>
        <w:p w14:paraId="0E237C52">
          <w:pPr>
            <w:pStyle w:val="34"/>
            <w:tabs>
              <w:tab w:val="right" w:leader="dot" w:pos="8306"/>
            </w:tabs>
            <w:ind w:left="420"/>
            <w:rPr>
              <w:rFonts w:ascii="仿宋" w:hAnsi="仿宋" w:eastAsia="仿宋" w:cs="仿宋"/>
              <w:sz w:val="28"/>
              <w:szCs w:val="28"/>
            </w:rPr>
          </w:pPr>
          <w:r>
            <w:fldChar w:fldCharType="begin"/>
          </w:r>
          <w:r>
            <w:instrText xml:space="preserve"> HYPERLINK \l "_Toc15701_WPSOffice_Level2" </w:instrText>
          </w:r>
          <w:r>
            <w:fldChar w:fldCharType="separate"/>
          </w:r>
          <w:sdt>
            <w:sdtPr>
              <w:rPr>
                <w:rFonts w:hint="eastAsia" w:ascii="仿宋" w:hAnsi="仿宋" w:eastAsia="仿宋" w:cs="仿宋"/>
                <w:kern w:val="2"/>
                <w:sz w:val="28"/>
                <w:szCs w:val="28"/>
              </w:rPr>
              <w:id w:val="-730464584"/>
              <w:placeholder>
                <w:docPart w:val="{a9056bf5-713b-42b8-93f4-add23ae3a32c}"/>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五、一般公共预算财政拨款支出决算情况说明</w:t>
              </w:r>
            </w:sdtContent>
          </w:sdt>
          <w:r>
            <w:rPr>
              <w:rFonts w:hint="eastAsia" w:ascii="仿宋" w:hAnsi="仿宋" w:eastAsia="仿宋" w:cs="仿宋"/>
              <w:sz w:val="28"/>
              <w:szCs w:val="28"/>
            </w:rPr>
            <w:tab/>
          </w:r>
          <w:bookmarkStart w:id="23" w:name="_Toc15701_WPSOffice_Level2Page"/>
          <w:r>
            <w:rPr>
              <w:rFonts w:hint="eastAsia" w:ascii="仿宋" w:hAnsi="仿宋" w:eastAsia="仿宋" w:cs="仿宋"/>
              <w:sz w:val="28"/>
              <w:szCs w:val="28"/>
            </w:rPr>
            <w:t>13</w:t>
          </w:r>
          <w:bookmarkEnd w:id="23"/>
          <w:r>
            <w:rPr>
              <w:rFonts w:hint="eastAsia" w:ascii="仿宋" w:hAnsi="仿宋" w:eastAsia="仿宋" w:cs="仿宋"/>
              <w:sz w:val="28"/>
              <w:szCs w:val="28"/>
            </w:rPr>
            <w:fldChar w:fldCharType="end"/>
          </w:r>
        </w:p>
        <w:p w14:paraId="02651E53">
          <w:pPr>
            <w:pStyle w:val="34"/>
            <w:tabs>
              <w:tab w:val="right" w:leader="dot" w:pos="8306"/>
            </w:tabs>
            <w:ind w:left="420"/>
            <w:rPr>
              <w:rFonts w:ascii="仿宋" w:hAnsi="仿宋" w:eastAsia="仿宋" w:cs="仿宋"/>
              <w:sz w:val="28"/>
              <w:szCs w:val="28"/>
            </w:rPr>
          </w:pPr>
          <w:r>
            <w:fldChar w:fldCharType="begin"/>
          </w:r>
          <w:r>
            <w:instrText xml:space="preserve"> HYPERLINK \l "_Toc21808_WPSOffice_Level2" </w:instrText>
          </w:r>
          <w:r>
            <w:fldChar w:fldCharType="separate"/>
          </w:r>
          <w:sdt>
            <w:sdtPr>
              <w:rPr>
                <w:rFonts w:hint="eastAsia" w:ascii="仿宋" w:hAnsi="仿宋" w:eastAsia="仿宋" w:cs="仿宋"/>
                <w:kern w:val="2"/>
                <w:sz w:val="28"/>
                <w:szCs w:val="28"/>
              </w:rPr>
              <w:id w:val="1014188056"/>
              <w:placeholder>
                <w:docPart w:val="{77a0c007-5061-433a-8b92-32225974ad6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六、一般公共预算财政拨款基本支出决算情况说明</w:t>
              </w:r>
            </w:sdtContent>
          </w:sdt>
          <w:r>
            <w:rPr>
              <w:rFonts w:hint="eastAsia" w:ascii="仿宋" w:hAnsi="仿宋" w:eastAsia="仿宋" w:cs="仿宋"/>
              <w:sz w:val="28"/>
              <w:szCs w:val="28"/>
            </w:rPr>
            <w:tab/>
          </w:r>
          <w:bookmarkStart w:id="24" w:name="_Toc21808_WPSOffice_Level2Page"/>
          <w:r>
            <w:rPr>
              <w:rFonts w:hint="eastAsia" w:ascii="仿宋" w:hAnsi="仿宋" w:eastAsia="仿宋" w:cs="仿宋"/>
              <w:sz w:val="28"/>
              <w:szCs w:val="28"/>
            </w:rPr>
            <w:t>15</w:t>
          </w:r>
          <w:bookmarkEnd w:id="24"/>
          <w:r>
            <w:rPr>
              <w:rFonts w:hint="eastAsia" w:ascii="仿宋" w:hAnsi="仿宋" w:eastAsia="仿宋" w:cs="仿宋"/>
              <w:sz w:val="28"/>
              <w:szCs w:val="28"/>
            </w:rPr>
            <w:fldChar w:fldCharType="end"/>
          </w:r>
        </w:p>
        <w:p w14:paraId="7C490308">
          <w:pPr>
            <w:pStyle w:val="34"/>
            <w:tabs>
              <w:tab w:val="right" w:leader="dot" w:pos="8306"/>
            </w:tabs>
            <w:ind w:left="420"/>
            <w:rPr>
              <w:rFonts w:ascii="仿宋" w:hAnsi="仿宋" w:eastAsia="仿宋" w:cs="仿宋"/>
              <w:sz w:val="28"/>
              <w:szCs w:val="28"/>
            </w:rPr>
          </w:pPr>
          <w:r>
            <w:fldChar w:fldCharType="begin"/>
          </w:r>
          <w:r>
            <w:instrText xml:space="preserve"> HYPERLINK \l "_Toc24892_WPSOffice_Level2" </w:instrText>
          </w:r>
          <w:r>
            <w:fldChar w:fldCharType="separate"/>
          </w:r>
          <w:sdt>
            <w:sdtPr>
              <w:rPr>
                <w:rFonts w:hint="eastAsia" w:ascii="仿宋" w:hAnsi="仿宋" w:eastAsia="仿宋" w:cs="仿宋"/>
                <w:kern w:val="2"/>
                <w:sz w:val="28"/>
                <w:szCs w:val="28"/>
              </w:rPr>
              <w:id w:val="101377576"/>
              <w:placeholder>
                <w:docPart w:val="{40161692-9326-400e-ae17-c6a205cdd70a}"/>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七、“三公”经费财政拨款支出决算情况说明</w:t>
              </w:r>
            </w:sdtContent>
          </w:sdt>
          <w:r>
            <w:rPr>
              <w:rFonts w:hint="eastAsia" w:ascii="仿宋" w:hAnsi="仿宋" w:eastAsia="仿宋" w:cs="仿宋"/>
              <w:sz w:val="28"/>
              <w:szCs w:val="28"/>
            </w:rPr>
            <w:tab/>
          </w:r>
          <w:bookmarkStart w:id="25" w:name="_Toc24892_WPSOffice_Level2Page"/>
          <w:r>
            <w:rPr>
              <w:rFonts w:hint="eastAsia" w:ascii="仿宋" w:hAnsi="仿宋" w:eastAsia="仿宋" w:cs="仿宋"/>
              <w:sz w:val="28"/>
              <w:szCs w:val="28"/>
            </w:rPr>
            <w:t>15</w:t>
          </w:r>
          <w:bookmarkEnd w:id="25"/>
          <w:r>
            <w:rPr>
              <w:rFonts w:hint="eastAsia" w:ascii="仿宋" w:hAnsi="仿宋" w:eastAsia="仿宋" w:cs="仿宋"/>
              <w:sz w:val="28"/>
              <w:szCs w:val="28"/>
            </w:rPr>
            <w:fldChar w:fldCharType="end"/>
          </w:r>
        </w:p>
        <w:p w14:paraId="1806428C">
          <w:pPr>
            <w:pStyle w:val="34"/>
            <w:tabs>
              <w:tab w:val="right" w:leader="dot" w:pos="8306"/>
            </w:tabs>
            <w:ind w:left="420"/>
            <w:rPr>
              <w:rFonts w:ascii="仿宋" w:hAnsi="仿宋" w:eastAsia="仿宋" w:cs="仿宋"/>
              <w:sz w:val="28"/>
              <w:szCs w:val="28"/>
            </w:rPr>
          </w:pPr>
          <w:r>
            <w:fldChar w:fldCharType="begin"/>
          </w:r>
          <w:r>
            <w:instrText xml:space="preserve"> HYPERLINK \l "_Toc18227_WPSOffice_Level2" </w:instrText>
          </w:r>
          <w:r>
            <w:fldChar w:fldCharType="separate"/>
          </w:r>
          <w:sdt>
            <w:sdtPr>
              <w:rPr>
                <w:rFonts w:hint="eastAsia" w:ascii="仿宋" w:hAnsi="仿宋" w:eastAsia="仿宋" w:cs="仿宋"/>
                <w:kern w:val="2"/>
                <w:sz w:val="28"/>
                <w:szCs w:val="28"/>
              </w:rPr>
              <w:id w:val="186102997"/>
              <w:placeholder>
                <w:docPart w:val="{7bb14df5-6cb8-487c-8388-72ba044aebd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八、政府性基金预算支出决算情况说明</w:t>
              </w:r>
            </w:sdtContent>
          </w:sdt>
          <w:r>
            <w:rPr>
              <w:rFonts w:hint="eastAsia" w:ascii="仿宋" w:hAnsi="仿宋" w:eastAsia="仿宋" w:cs="仿宋"/>
              <w:sz w:val="28"/>
              <w:szCs w:val="28"/>
            </w:rPr>
            <w:tab/>
          </w:r>
          <w:bookmarkStart w:id="26" w:name="_Toc18227_WPSOffice_Level2Page"/>
          <w:r>
            <w:rPr>
              <w:rFonts w:hint="eastAsia" w:ascii="仿宋" w:hAnsi="仿宋" w:eastAsia="仿宋" w:cs="仿宋"/>
              <w:sz w:val="28"/>
              <w:szCs w:val="28"/>
            </w:rPr>
            <w:t>17</w:t>
          </w:r>
          <w:bookmarkEnd w:id="26"/>
          <w:r>
            <w:rPr>
              <w:rFonts w:hint="eastAsia" w:ascii="仿宋" w:hAnsi="仿宋" w:eastAsia="仿宋" w:cs="仿宋"/>
              <w:sz w:val="28"/>
              <w:szCs w:val="28"/>
            </w:rPr>
            <w:fldChar w:fldCharType="end"/>
          </w:r>
        </w:p>
        <w:p w14:paraId="4333A9FC">
          <w:pPr>
            <w:pStyle w:val="34"/>
            <w:tabs>
              <w:tab w:val="right" w:leader="dot" w:pos="8306"/>
            </w:tabs>
            <w:ind w:left="420"/>
            <w:rPr>
              <w:rFonts w:ascii="仿宋" w:hAnsi="仿宋" w:eastAsia="仿宋" w:cs="仿宋"/>
              <w:sz w:val="28"/>
              <w:szCs w:val="28"/>
            </w:rPr>
          </w:pPr>
          <w:r>
            <w:fldChar w:fldCharType="begin"/>
          </w:r>
          <w:r>
            <w:instrText xml:space="preserve"> HYPERLINK \l "_Toc10286_WPSOffice_Level2" </w:instrText>
          </w:r>
          <w:r>
            <w:fldChar w:fldCharType="separate"/>
          </w:r>
          <w:sdt>
            <w:sdtPr>
              <w:rPr>
                <w:rFonts w:hint="eastAsia" w:ascii="仿宋" w:hAnsi="仿宋" w:eastAsia="仿宋" w:cs="仿宋"/>
                <w:kern w:val="2"/>
                <w:sz w:val="28"/>
                <w:szCs w:val="28"/>
              </w:rPr>
              <w:id w:val="-1368824651"/>
              <w:placeholder>
                <w:docPart w:val="{630eaa46-804f-44b4-9a06-fe5e35c88646}"/>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九、 国有资本经营预算支出决算情况说明</w:t>
              </w:r>
            </w:sdtContent>
          </w:sdt>
          <w:r>
            <w:rPr>
              <w:rFonts w:hint="eastAsia" w:ascii="仿宋" w:hAnsi="仿宋" w:eastAsia="仿宋" w:cs="仿宋"/>
              <w:sz w:val="28"/>
              <w:szCs w:val="28"/>
            </w:rPr>
            <w:tab/>
          </w:r>
          <w:bookmarkStart w:id="27" w:name="_Toc10286_WPSOffice_Level2Page"/>
          <w:r>
            <w:rPr>
              <w:rFonts w:hint="eastAsia" w:ascii="仿宋" w:hAnsi="仿宋" w:eastAsia="仿宋" w:cs="仿宋"/>
              <w:sz w:val="28"/>
              <w:szCs w:val="28"/>
            </w:rPr>
            <w:t>17</w:t>
          </w:r>
          <w:bookmarkEnd w:id="27"/>
          <w:r>
            <w:rPr>
              <w:rFonts w:hint="eastAsia" w:ascii="仿宋" w:hAnsi="仿宋" w:eastAsia="仿宋" w:cs="仿宋"/>
              <w:sz w:val="28"/>
              <w:szCs w:val="28"/>
            </w:rPr>
            <w:fldChar w:fldCharType="end"/>
          </w:r>
        </w:p>
        <w:p w14:paraId="300CFA12">
          <w:pPr>
            <w:pStyle w:val="34"/>
            <w:tabs>
              <w:tab w:val="right" w:leader="dot" w:pos="8306"/>
            </w:tabs>
            <w:ind w:left="420"/>
            <w:rPr>
              <w:rFonts w:ascii="仿宋" w:hAnsi="仿宋" w:eastAsia="仿宋" w:cs="仿宋"/>
              <w:sz w:val="28"/>
              <w:szCs w:val="28"/>
            </w:rPr>
          </w:pPr>
          <w:r>
            <w:fldChar w:fldCharType="begin"/>
          </w:r>
          <w:r>
            <w:instrText xml:space="preserve"> HYPERLINK \l "_Toc30988_WPSOffice_Level2" </w:instrText>
          </w:r>
          <w:r>
            <w:fldChar w:fldCharType="separate"/>
          </w:r>
          <w:sdt>
            <w:sdtPr>
              <w:rPr>
                <w:rFonts w:hint="eastAsia" w:ascii="仿宋" w:hAnsi="仿宋" w:eastAsia="仿宋" w:cs="仿宋"/>
                <w:kern w:val="2"/>
                <w:sz w:val="28"/>
                <w:szCs w:val="28"/>
              </w:rPr>
              <w:id w:val="-945534071"/>
              <w:placeholder>
                <w:docPart w:val="{61cd357f-619d-4a86-99eb-4b1f701c1ed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 其他重要事项的情况说明</w:t>
              </w:r>
            </w:sdtContent>
          </w:sdt>
          <w:r>
            <w:rPr>
              <w:rFonts w:hint="eastAsia" w:ascii="仿宋" w:hAnsi="仿宋" w:eastAsia="仿宋" w:cs="仿宋"/>
              <w:sz w:val="28"/>
              <w:szCs w:val="28"/>
            </w:rPr>
            <w:tab/>
          </w:r>
          <w:bookmarkStart w:id="28" w:name="_Toc30988_WPSOffice_Level2Page"/>
          <w:r>
            <w:rPr>
              <w:rFonts w:hint="eastAsia" w:ascii="仿宋" w:hAnsi="仿宋" w:eastAsia="仿宋" w:cs="仿宋"/>
              <w:sz w:val="28"/>
              <w:szCs w:val="28"/>
            </w:rPr>
            <w:t>17</w:t>
          </w:r>
          <w:bookmarkEnd w:id="28"/>
          <w:r>
            <w:rPr>
              <w:rFonts w:hint="eastAsia" w:ascii="仿宋" w:hAnsi="仿宋" w:eastAsia="仿宋" w:cs="仿宋"/>
              <w:sz w:val="28"/>
              <w:szCs w:val="28"/>
            </w:rPr>
            <w:fldChar w:fldCharType="end"/>
          </w:r>
        </w:p>
        <w:p w14:paraId="7CE24FFD">
          <w:pPr>
            <w:pStyle w:val="33"/>
            <w:tabs>
              <w:tab w:val="right" w:leader="dot" w:pos="8306"/>
            </w:tabs>
            <w:rPr>
              <w:rFonts w:ascii="仿宋" w:hAnsi="仿宋" w:eastAsia="仿宋" w:cs="仿宋"/>
              <w:sz w:val="28"/>
              <w:szCs w:val="28"/>
            </w:rPr>
          </w:pPr>
          <w:r>
            <w:fldChar w:fldCharType="begin"/>
          </w:r>
          <w:r>
            <w:instrText xml:space="preserve"> HYPERLINK \l "_Toc20300_WPSOffice_Level1" </w:instrText>
          </w:r>
          <w:r>
            <w:fldChar w:fldCharType="separate"/>
          </w:r>
          <w:sdt>
            <w:sdtPr>
              <w:rPr>
                <w:rFonts w:hint="eastAsia" w:ascii="仿宋" w:hAnsi="仿宋" w:eastAsia="仿宋" w:cs="仿宋"/>
                <w:b/>
                <w:bCs/>
                <w:kern w:val="2"/>
                <w:sz w:val="28"/>
                <w:szCs w:val="28"/>
              </w:rPr>
              <w:id w:val="458150003"/>
              <w:placeholder>
                <w:docPart w:val="{c0d835c5-72c6-44e1-9a6d-73557d30af21}"/>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第三部分 名词解释</w:t>
              </w:r>
            </w:sdtContent>
          </w:sdt>
          <w:r>
            <w:rPr>
              <w:rFonts w:hint="eastAsia" w:ascii="仿宋" w:hAnsi="仿宋" w:eastAsia="仿宋" w:cs="仿宋"/>
              <w:b/>
              <w:bCs/>
              <w:sz w:val="28"/>
              <w:szCs w:val="28"/>
            </w:rPr>
            <w:tab/>
          </w:r>
          <w:bookmarkStart w:id="29" w:name="_Toc20300_WPSOffice_Level1Page"/>
          <w:r>
            <w:rPr>
              <w:rFonts w:hint="eastAsia" w:ascii="仿宋" w:hAnsi="仿宋" w:eastAsia="仿宋" w:cs="仿宋"/>
              <w:b/>
              <w:bCs/>
              <w:sz w:val="28"/>
              <w:szCs w:val="28"/>
            </w:rPr>
            <w:t>19</w:t>
          </w:r>
          <w:bookmarkEnd w:id="29"/>
          <w:r>
            <w:rPr>
              <w:rFonts w:hint="eastAsia" w:ascii="仿宋" w:hAnsi="仿宋" w:eastAsia="仿宋" w:cs="仿宋"/>
              <w:b/>
              <w:bCs/>
              <w:sz w:val="28"/>
              <w:szCs w:val="28"/>
            </w:rPr>
            <w:fldChar w:fldCharType="end"/>
          </w:r>
        </w:p>
        <w:p w14:paraId="112399BE">
          <w:pPr>
            <w:pStyle w:val="33"/>
            <w:tabs>
              <w:tab w:val="right" w:leader="dot" w:pos="8306"/>
            </w:tabs>
            <w:rPr>
              <w:rFonts w:ascii="仿宋" w:hAnsi="仿宋" w:eastAsia="仿宋" w:cs="仿宋"/>
              <w:sz w:val="28"/>
              <w:szCs w:val="28"/>
            </w:rPr>
          </w:pPr>
          <w:r>
            <w:fldChar w:fldCharType="begin"/>
          </w:r>
          <w:r>
            <w:instrText xml:space="preserve"> HYPERLINK \l "_Toc7151_WPSOffice_Level1" </w:instrText>
          </w:r>
          <w:r>
            <w:fldChar w:fldCharType="separate"/>
          </w:r>
          <w:sdt>
            <w:sdtPr>
              <w:rPr>
                <w:rFonts w:hint="eastAsia" w:ascii="仿宋" w:hAnsi="仿宋" w:eastAsia="仿宋" w:cs="仿宋"/>
                <w:b/>
                <w:bCs/>
                <w:kern w:val="2"/>
                <w:sz w:val="28"/>
                <w:szCs w:val="28"/>
              </w:rPr>
              <w:id w:val="694969540"/>
              <w:placeholder>
                <w:docPart w:val="{b4697408-842c-4e0e-80fc-47e018b4227a}"/>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第四部分 附件</w:t>
              </w:r>
            </w:sdtContent>
          </w:sdt>
          <w:r>
            <w:rPr>
              <w:rFonts w:hint="eastAsia" w:ascii="仿宋" w:hAnsi="仿宋" w:eastAsia="仿宋" w:cs="仿宋"/>
              <w:b/>
              <w:bCs/>
              <w:sz w:val="28"/>
              <w:szCs w:val="28"/>
            </w:rPr>
            <w:tab/>
          </w:r>
          <w:bookmarkStart w:id="30" w:name="_Toc7151_WPSOffice_Level1Page"/>
          <w:r>
            <w:rPr>
              <w:rFonts w:hint="eastAsia" w:ascii="仿宋" w:hAnsi="仿宋" w:eastAsia="仿宋" w:cs="仿宋"/>
              <w:b/>
              <w:bCs/>
              <w:sz w:val="28"/>
              <w:szCs w:val="28"/>
            </w:rPr>
            <w:t>22</w:t>
          </w:r>
          <w:bookmarkEnd w:id="30"/>
          <w:r>
            <w:rPr>
              <w:rFonts w:hint="eastAsia" w:ascii="仿宋" w:hAnsi="仿宋" w:eastAsia="仿宋" w:cs="仿宋"/>
              <w:b/>
              <w:bCs/>
              <w:sz w:val="28"/>
              <w:szCs w:val="28"/>
            </w:rPr>
            <w:fldChar w:fldCharType="end"/>
          </w:r>
        </w:p>
        <w:p w14:paraId="1DCDD92E">
          <w:pPr>
            <w:pStyle w:val="33"/>
            <w:tabs>
              <w:tab w:val="right" w:leader="dot" w:pos="8306"/>
            </w:tabs>
            <w:rPr>
              <w:rFonts w:ascii="仿宋" w:hAnsi="仿宋" w:eastAsia="仿宋" w:cs="仿宋"/>
              <w:sz w:val="28"/>
              <w:szCs w:val="28"/>
            </w:rPr>
          </w:pPr>
          <w:r>
            <w:fldChar w:fldCharType="begin"/>
          </w:r>
          <w:r>
            <w:instrText xml:space="preserve"> HYPERLINK \l "_Toc16676_WPSOffice_Level1" </w:instrText>
          </w:r>
          <w:r>
            <w:fldChar w:fldCharType="separate"/>
          </w:r>
          <w:sdt>
            <w:sdtPr>
              <w:rPr>
                <w:rFonts w:hint="eastAsia" w:ascii="仿宋" w:hAnsi="仿宋" w:eastAsia="仿宋" w:cs="仿宋"/>
                <w:b/>
                <w:bCs/>
                <w:kern w:val="2"/>
                <w:sz w:val="28"/>
                <w:szCs w:val="28"/>
              </w:rPr>
              <w:id w:val="-35820532"/>
              <w:placeholder>
                <w:docPart w:val="{cc1e27cc-73e9-42d2-9fee-4963d0b90cc1}"/>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第五部分 附表</w:t>
              </w:r>
            </w:sdtContent>
          </w:sdt>
          <w:r>
            <w:rPr>
              <w:rFonts w:hint="eastAsia" w:ascii="仿宋" w:hAnsi="仿宋" w:eastAsia="仿宋" w:cs="仿宋"/>
              <w:b/>
              <w:bCs/>
              <w:sz w:val="28"/>
              <w:szCs w:val="28"/>
            </w:rPr>
            <w:tab/>
          </w:r>
          <w:bookmarkStart w:id="31" w:name="_Toc16676_WPSOffice_Level1Page"/>
          <w:r>
            <w:rPr>
              <w:rFonts w:hint="eastAsia" w:ascii="仿宋" w:hAnsi="仿宋" w:eastAsia="仿宋" w:cs="仿宋"/>
              <w:b/>
              <w:bCs/>
              <w:sz w:val="28"/>
              <w:szCs w:val="28"/>
            </w:rPr>
            <w:t>34</w:t>
          </w:r>
          <w:bookmarkEnd w:id="31"/>
          <w:r>
            <w:rPr>
              <w:rFonts w:hint="eastAsia" w:ascii="仿宋" w:hAnsi="仿宋" w:eastAsia="仿宋" w:cs="仿宋"/>
              <w:b/>
              <w:bCs/>
              <w:sz w:val="28"/>
              <w:szCs w:val="28"/>
            </w:rPr>
            <w:fldChar w:fldCharType="end"/>
          </w:r>
        </w:p>
        <w:p w14:paraId="7D11744D">
          <w:pPr>
            <w:pStyle w:val="34"/>
            <w:tabs>
              <w:tab w:val="right" w:leader="dot" w:pos="8306"/>
            </w:tabs>
            <w:ind w:left="420"/>
            <w:rPr>
              <w:rFonts w:ascii="仿宋" w:hAnsi="仿宋" w:eastAsia="仿宋" w:cs="仿宋"/>
              <w:sz w:val="28"/>
              <w:szCs w:val="28"/>
            </w:rPr>
          </w:pPr>
          <w:r>
            <w:fldChar w:fldCharType="begin"/>
          </w:r>
          <w:r>
            <w:instrText xml:space="preserve"> HYPERLINK \l "_Toc12104_WPSOffice_Level2" </w:instrText>
          </w:r>
          <w:r>
            <w:fldChar w:fldCharType="separate"/>
          </w:r>
          <w:sdt>
            <w:sdtPr>
              <w:rPr>
                <w:rFonts w:hint="eastAsia" w:ascii="仿宋" w:hAnsi="仿宋" w:eastAsia="仿宋" w:cs="仿宋"/>
                <w:kern w:val="2"/>
                <w:sz w:val="28"/>
                <w:szCs w:val="28"/>
              </w:rPr>
              <w:id w:val="1345975253"/>
              <w:placeholder>
                <w:docPart w:val="{12a96336-642f-48f7-96a1-b6bfb5a9f92e}"/>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一、收入支出决算总表</w:t>
              </w:r>
            </w:sdtContent>
          </w:sdt>
          <w:r>
            <w:rPr>
              <w:rFonts w:hint="eastAsia" w:ascii="仿宋" w:hAnsi="仿宋" w:eastAsia="仿宋" w:cs="仿宋"/>
              <w:sz w:val="28"/>
              <w:szCs w:val="28"/>
            </w:rPr>
            <w:tab/>
          </w:r>
          <w:bookmarkStart w:id="32" w:name="_Toc12104_WPSOffice_Level2Page"/>
          <w:r>
            <w:rPr>
              <w:rFonts w:hint="eastAsia" w:ascii="仿宋" w:hAnsi="仿宋" w:eastAsia="仿宋" w:cs="仿宋"/>
              <w:sz w:val="28"/>
              <w:szCs w:val="28"/>
            </w:rPr>
            <w:t>34</w:t>
          </w:r>
          <w:bookmarkEnd w:id="32"/>
          <w:r>
            <w:rPr>
              <w:rFonts w:hint="eastAsia" w:ascii="仿宋" w:hAnsi="仿宋" w:eastAsia="仿宋" w:cs="仿宋"/>
              <w:sz w:val="28"/>
              <w:szCs w:val="28"/>
            </w:rPr>
            <w:fldChar w:fldCharType="end"/>
          </w:r>
        </w:p>
        <w:p w14:paraId="21A7AFD3">
          <w:pPr>
            <w:pStyle w:val="34"/>
            <w:tabs>
              <w:tab w:val="right" w:leader="dot" w:pos="8306"/>
            </w:tabs>
            <w:ind w:left="420"/>
            <w:rPr>
              <w:rFonts w:ascii="仿宋" w:hAnsi="仿宋" w:eastAsia="仿宋" w:cs="仿宋"/>
              <w:sz w:val="28"/>
              <w:szCs w:val="28"/>
            </w:rPr>
          </w:pPr>
          <w:r>
            <w:fldChar w:fldCharType="begin"/>
          </w:r>
          <w:r>
            <w:instrText xml:space="preserve"> HYPERLINK \l "_Toc25924_WPSOffice_Level2" </w:instrText>
          </w:r>
          <w:r>
            <w:fldChar w:fldCharType="separate"/>
          </w:r>
          <w:sdt>
            <w:sdtPr>
              <w:rPr>
                <w:rFonts w:hint="eastAsia" w:ascii="仿宋" w:hAnsi="仿宋" w:eastAsia="仿宋" w:cs="仿宋"/>
                <w:kern w:val="2"/>
                <w:sz w:val="28"/>
                <w:szCs w:val="28"/>
              </w:rPr>
              <w:id w:val="-1866823719"/>
              <w:placeholder>
                <w:docPart w:val="{6209984e-3088-4b23-9068-f529fe43b9a2}"/>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二、收入决算表</w:t>
              </w:r>
            </w:sdtContent>
          </w:sdt>
          <w:r>
            <w:rPr>
              <w:rFonts w:hint="eastAsia" w:ascii="仿宋" w:hAnsi="仿宋" w:eastAsia="仿宋" w:cs="仿宋"/>
              <w:sz w:val="28"/>
              <w:szCs w:val="28"/>
            </w:rPr>
            <w:tab/>
          </w:r>
          <w:bookmarkStart w:id="33" w:name="_Toc25924_WPSOffice_Level2Page"/>
          <w:r>
            <w:rPr>
              <w:rFonts w:hint="eastAsia" w:ascii="仿宋" w:hAnsi="仿宋" w:eastAsia="仿宋" w:cs="仿宋"/>
              <w:sz w:val="28"/>
              <w:szCs w:val="28"/>
            </w:rPr>
            <w:t>34</w:t>
          </w:r>
          <w:bookmarkEnd w:id="33"/>
          <w:r>
            <w:rPr>
              <w:rFonts w:hint="eastAsia" w:ascii="仿宋" w:hAnsi="仿宋" w:eastAsia="仿宋" w:cs="仿宋"/>
              <w:sz w:val="28"/>
              <w:szCs w:val="28"/>
            </w:rPr>
            <w:fldChar w:fldCharType="end"/>
          </w:r>
        </w:p>
        <w:p w14:paraId="39110340">
          <w:pPr>
            <w:pStyle w:val="34"/>
            <w:tabs>
              <w:tab w:val="right" w:leader="dot" w:pos="8306"/>
            </w:tabs>
            <w:ind w:left="420"/>
            <w:rPr>
              <w:rFonts w:ascii="仿宋" w:hAnsi="仿宋" w:eastAsia="仿宋" w:cs="仿宋"/>
              <w:sz w:val="28"/>
              <w:szCs w:val="28"/>
            </w:rPr>
          </w:pPr>
          <w:r>
            <w:fldChar w:fldCharType="begin"/>
          </w:r>
          <w:r>
            <w:instrText xml:space="preserve"> HYPERLINK \l "_Toc757_WPSOffice_Level2" </w:instrText>
          </w:r>
          <w:r>
            <w:fldChar w:fldCharType="separate"/>
          </w:r>
          <w:sdt>
            <w:sdtPr>
              <w:rPr>
                <w:rFonts w:hint="eastAsia" w:ascii="仿宋" w:hAnsi="仿宋" w:eastAsia="仿宋" w:cs="仿宋"/>
                <w:kern w:val="2"/>
                <w:sz w:val="28"/>
                <w:szCs w:val="28"/>
              </w:rPr>
              <w:id w:val="-485785479"/>
              <w:placeholder>
                <w:docPart w:val="{dbadbabe-cc35-4a65-8e1f-440e4fda40e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三、支出决算表</w:t>
              </w:r>
            </w:sdtContent>
          </w:sdt>
          <w:r>
            <w:rPr>
              <w:rFonts w:hint="eastAsia" w:ascii="仿宋" w:hAnsi="仿宋" w:eastAsia="仿宋" w:cs="仿宋"/>
              <w:sz w:val="28"/>
              <w:szCs w:val="28"/>
            </w:rPr>
            <w:tab/>
          </w:r>
          <w:bookmarkStart w:id="34" w:name="_Toc757_WPSOffice_Level2Page"/>
          <w:r>
            <w:rPr>
              <w:rFonts w:hint="eastAsia" w:ascii="仿宋" w:hAnsi="仿宋" w:eastAsia="仿宋" w:cs="仿宋"/>
              <w:sz w:val="28"/>
              <w:szCs w:val="28"/>
            </w:rPr>
            <w:t>34</w:t>
          </w:r>
          <w:bookmarkEnd w:id="34"/>
          <w:r>
            <w:rPr>
              <w:rFonts w:hint="eastAsia" w:ascii="仿宋" w:hAnsi="仿宋" w:eastAsia="仿宋" w:cs="仿宋"/>
              <w:sz w:val="28"/>
              <w:szCs w:val="28"/>
            </w:rPr>
            <w:fldChar w:fldCharType="end"/>
          </w:r>
        </w:p>
        <w:p w14:paraId="5CB680AB">
          <w:pPr>
            <w:pStyle w:val="34"/>
            <w:tabs>
              <w:tab w:val="right" w:leader="dot" w:pos="8306"/>
            </w:tabs>
            <w:ind w:left="420"/>
            <w:rPr>
              <w:rFonts w:ascii="仿宋" w:hAnsi="仿宋" w:eastAsia="仿宋" w:cs="仿宋"/>
              <w:sz w:val="28"/>
              <w:szCs w:val="28"/>
            </w:rPr>
          </w:pPr>
          <w:r>
            <w:fldChar w:fldCharType="begin"/>
          </w:r>
          <w:r>
            <w:instrText xml:space="preserve"> HYPERLINK \l "_Toc24803_WPSOffice_Level2" </w:instrText>
          </w:r>
          <w:r>
            <w:fldChar w:fldCharType="separate"/>
          </w:r>
          <w:sdt>
            <w:sdtPr>
              <w:rPr>
                <w:rFonts w:hint="eastAsia" w:ascii="仿宋" w:hAnsi="仿宋" w:eastAsia="仿宋" w:cs="仿宋"/>
                <w:kern w:val="2"/>
                <w:sz w:val="28"/>
                <w:szCs w:val="28"/>
              </w:rPr>
              <w:id w:val="177551210"/>
              <w:placeholder>
                <w:docPart w:val="{52c2642a-6e6e-45a0-8956-fe2768f81ebc}"/>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四、财政拨款收入支出决算总表</w:t>
              </w:r>
            </w:sdtContent>
          </w:sdt>
          <w:r>
            <w:rPr>
              <w:rFonts w:hint="eastAsia" w:ascii="仿宋" w:hAnsi="仿宋" w:eastAsia="仿宋" w:cs="仿宋"/>
              <w:sz w:val="28"/>
              <w:szCs w:val="28"/>
            </w:rPr>
            <w:tab/>
          </w:r>
          <w:bookmarkStart w:id="35" w:name="_Toc24803_WPSOffice_Level2Page"/>
          <w:r>
            <w:rPr>
              <w:rFonts w:hint="eastAsia" w:ascii="仿宋" w:hAnsi="仿宋" w:eastAsia="仿宋" w:cs="仿宋"/>
              <w:sz w:val="28"/>
              <w:szCs w:val="28"/>
            </w:rPr>
            <w:t>34</w:t>
          </w:r>
          <w:bookmarkEnd w:id="35"/>
          <w:r>
            <w:rPr>
              <w:rFonts w:hint="eastAsia" w:ascii="仿宋" w:hAnsi="仿宋" w:eastAsia="仿宋" w:cs="仿宋"/>
              <w:sz w:val="28"/>
              <w:szCs w:val="28"/>
            </w:rPr>
            <w:fldChar w:fldCharType="end"/>
          </w:r>
        </w:p>
        <w:p w14:paraId="607318D4">
          <w:pPr>
            <w:pStyle w:val="34"/>
            <w:tabs>
              <w:tab w:val="right" w:leader="dot" w:pos="8306"/>
            </w:tabs>
            <w:ind w:left="420"/>
            <w:rPr>
              <w:rFonts w:ascii="仿宋" w:hAnsi="仿宋" w:eastAsia="仿宋" w:cs="仿宋"/>
              <w:sz w:val="28"/>
              <w:szCs w:val="28"/>
            </w:rPr>
          </w:pPr>
          <w:r>
            <w:fldChar w:fldCharType="begin"/>
          </w:r>
          <w:r>
            <w:instrText xml:space="preserve"> HYPERLINK \l "_Toc69_WPSOffice_Level2" </w:instrText>
          </w:r>
          <w:r>
            <w:fldChar w:fldCharType="separate"/>
          </w:r>
          <w:sdt>
            <w:sdtPr>
              <w:rPr>
                <w:rFonts w:hint="eastAsia" w:ascii="仿宋" w:hAnsi="仿宋" w:eastAsia="仿宋" w:cs="仿宋"/>
                <w:kern w:val="2"/>
                <w:sz w:val="28"/>
                <w:szCs w:val="28"/>
              </w:rPr>
              <w:id w:val="1100684301"/>
              <w:placeholder>
                <w:docPart w:val="{e0fbc6d2-279a-42a4-9f76-7acb745f6f1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五、财政拨款支出决算明细表</w:t>
              </w:r>
            </w:sdtContent>
          </w:sdt>
          <w:r>
            <w:rPr>
              <w:rFonts w:hint="eastAsia" w:ascii="仿宋" w:hAnsi="仿宋" w:eastAsia="仿宋" w:cs="仿宋"/>
              <w:sz w:val="28"/>
              <w:szCs w:val="28"/>
            </w:rPr>
            <w:tab/>
          </w:r>
          <w:bookmarkStart w:id="36" w:name="_Toc69_WPSOffice_Level2Page"/>
          <w:r>
            <w:rPr>
              <w:rFonts w:hint="eastAsia" w:ascii="仿宋" w:hAnsi="仿宋" w:eastAsia="仿宋" w:cs="仿宋"/>
              <w:sz w:val="28"/>
              <w:szCs w:val="28"/>
            </w:rPr>
            <w:t>34</w:t>
          </w:r>
          <w:bookmarkEnd w:id="36"/>
          <w:r>
            <w:rPr>
              <w:rFonts w:hint="eastAsia" w:ascii="仿宋" w:hAnsi="仿宋" w:eastAsia="仿宋" w:cs="仿宋"/>
              <w:sz w:val="28"/>
              <w:szCs w:val="28"/>
            </w:rPr>
            <w:fldChar w:fldCharType="end"/>
          </w:r>
        </w:p>
        <w:p w14:paraId="3A8C6EC2">
          <w:pPr>
            <w:pStyle w:val="34"/>
            <w:tabs>
              <w:tab w:val="right" w:leader="dot" w:pos="8306"/>
            </w:tabs>
            <w:ind w:left="420"/>
            <w:rPr>
              <w:rFonts w:ascii="仿宋" w:hAnsi="仿宋" w:eastAsia="仿宋" w:cs="仿宋"/>
              <w:sz w:val="28"/>
              <w:szCs w:val="28"/>
            </w:rPr>
          </w:pPr>
          <w:r>
            <w:fldChar w:fldCharType="begin"/>
          </w:r>
          <w:r>
            <w:instrText xml:space="preserve"> HYPERLINK \l "_Toc7184_WPSOffice_Level2" </w:instrText>
          </w:r>
          <w:r>
            <w:fldChar w:fldCharType="separate"/>
          </w:r>
          <w:sdt>
            <w:sdtPr>
              <w:rPr>
                <w:rFonts w:hint="eastAsia" w:ascii="仿宋" w:hAnsi="仿宋" w:eastAsia="仿宋" w:cs="仿宋"/>
                <w:kern w:val="2"/>
                <w:sz w:val="28"/>
                <w:szCs w:val="28"/>
              </w:rPr>
              <w:id w:val="2048785940"/>
              <w:placeholder>
                <w:docPart w:val="{d78176a8-c811-4582-b885-30cd14ae8df7}"/>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六、一般公共预算财政拨款支出决算表</w:t>
              </w:r>
            </w:sdtContent>
          </w:sdt>
          <w:r>
            <w:rPr>
              <w:rFonts w:hint="eastAsia" w:ascii="仿宋" w:hAnsi="仿宋" w:eastAsia="仿宋" w:cs="仿宋"/>
              <w:sz w:val="28"/>
              <w:szCs w:val="28"/>
            </w:rPr>
            <w:tab/>
          </w:r>
          <w:bookmarkStart w:id="37" w:name="_Toc7184_WPSOffice_Level2Page"/>
          <w:r>
            <w:rPr>
              <w:rFonts w:hint="eastAsia" w:ascii="仿宋" w:hAnsi="仿宋" w:eastAsia="仿宋" w:cs="仿宋"/>
              <w:sz w:val="28"/>
              <w:szCs w:val="28"/>
            </w:rPr>
            <w:t>34</w:t>
          </w:r>
          <w:bookmarkEnd w:id="37"/>
          <w:r>
            <w:rPr>
              <w:rFonts w:hint="eastAsia" w:ascii="仿宋" w:hAnsi="仿宋" w:eastAsia="仿宋" w:cs="仿宋"/>
              <w:sz w:val="28"/>
              <w:szCs w:val="28"/>
            </w:rPr>
            <w:fldChar w:fldCharType="end"/>
          </w:r>
        </w:p>
        <w:p w14:paraId="3881D7FA">
          <w:pPr>
            <w:pStyle w:val="34"/>
            <w:tabs>
              <w:tab w:val="right" w:leader="dot" w:pos="8306"/>
            </w:tabs>
            <w:ind w:left="420"/>
            <w:rPr>
              <w:rFonts w:ascii="仿宋" w:hAnsi="仿宋" w:eastAsia="仿宋" w:cs="仿宋"/>
              <w:sz w:val="28"/>
              <w:szCs w:val="28"/>
            </w:rPr>
          </w:pPr>
          <w:r>
            <w:fldChar w:fldCharType="begin"/>
          </w:r>
          <w:r>
            <w:instrText xml:space="preserve"> HYPERLINK \l "_Toc10893_WPSOffice_Level2" </w:instrText>
          </w:r>
          <w:r>
            <w:fldChar w:fldCharType="separate"/>
          </w:r>
          <w:sdt>
            <w:sdtPr>
              <w:rPr>
                <w:rFonts w:hint="eastAsia" w:ascii="仿宋" w:hAnsi="仿宋" w:eastAsia="仿宋" w:cs="仿宋"/>
                <w:kern w:val="2"/>
                <w:sz w:val="28"/>
                <w:szCs w:val="28"/>
              </w:rPr>
              <w:id w:val="-1549605056"/>
              <w:placeholder>
                <w:docPart w:val="{62f0d464-f813-4aea-9dba-c6868a63684f}"/>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七、一般公共预算财政拨款支出决算明细表</w:t>
              </w:r>
            </w:sdtContent>
          </w:sdt>
          <w:r>
            <w:rPr>
              <w:rFonts w:hint="eastAsia" w:ascii="仿宋" w:hAnsi="仿宋" w:eastAsia="仿宋" w:cs="仿宋"/>
              <w:sz w:val="28"/>
              <w:szCs w:val="28"/>
            </w:rPr>
            <w:tab/>
          </w:r>
          <w:bookmarkStart w:id="38" w:name="_Toc10893_WPSOffice_Level2Page"/>
          <w:r>
            <w:rPr>
              <w:rFonts w:hint="eastAsia" w:ascii="仿宋" w:hAnsi="仿宋" w:eastAsia="仿宋" w:cs="仿宋"/>
              <w:sz w:val="28"/>
              <w:szCs w:val="28"/>
            </w:rPr>
            <w:t>34</w:t>
          </w:r>
          <w:bookmarkEnd w:id="38"/>
          <w:r>
            <w:rPr>
              <w:rFonts w:hint="eastAsia" w:ascii="仿宋" w:hAnsi="仿宋" w:eastAsia="仿宋" w:cs="仿宋"/>
              <w:sz w:val="28"/>
              <w:szCs w:val="28"/>
            </w:rPr>
            <w:fldChar w:fldCharType="end"/>
          </w:r>
        </w:p>
        <w:p w14:paraId="684760F1">
          <w:pPr>
            <w:pStyle w:val="34"/>
            <w:tabs>
              <w:tab w:val="right" w:leader="dot" w:pos="8306"/>
            </w:tabs>
            <w:ind w:left="420"/>
            <w:rPr>
              <w:rFonts w:ascii="仿宋" w:hAnsi="仿宋" w:eastAsia="仿宋" w:cs="仿宋"/>
              <w:sz w:val="28"/>
              <w:szCs w:val="28"/>
            </w:rPr>
          </w:pPr>
          <w:r>
            <w:fldChar w:fldCharType="begin"/>
          </w:r>
          <w:r>
            <w:instrText xml:space="preserve"> HYPERLINK \l "_Toc10856_WPSOffice_Level2" </w:instrText>
          </w:r>
          <w:r>
            <w:fldChar w:fldCharType="separate"/>
          </w:r>
          <w:sdt>
            <w:sdtPr>
              <w:rPr>
                <w:rFonts w:hint="eastAsia" w:ascii="仿宋" w:hAnsi="仿宋" w:eastAsia="仿宋" w:cs="仿宋"/>
                <w:kern w:val="2"/>
                <w:sz w:val="28"/>
                <w:szCs w:val="28"/>
              </w:rPr>
              <w:id w:val="-327683602"/>
              <w:placeholder>
                <w:docPart w:val="{f12c2982-c6cb-4223-ba86-6e9f0c8aafca}"/>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八、一般公共预算财政拨款基本支出决算表</w:t>
              </w:r>
            </w:sdtContent>
          </w:sdt>
          <w:r>
            <w:rPr>
              <w:rFonts w:hint="eastAsia" w:ascii="仿宋" w:hAnsi="仿宋" w:eastAsia="仿宋" w:cs="仿宋"/>
              <w:sz w:val="28"/>
              <w:szCs w:val="28"/>
            </w:rPr>
            <w:tab/>
          </w:r>
          <w:bookmarkStart w:id="39" w:name="_Toc10856_WPSOffice_Level2Page"/>
          <w:r>
            <w:rPr>
              <w:rFonts w:hint="eastAsia" w:ascii="仿宋" w:hAnsi="仿宋" w:eastAsia="仿宋" w:cs="仿宋"/>
              <w:sz w:val="28"/>
              <w:szCs w:val="28"/>
            </w:rPr>
            <w:t>34</w:t>
          </w:r>
          <w:bookmarkEnd w:id="39"/>
          <w:r>
            <w:rPr>
              <w:rFonts w:hint="eastAsia" w:ascii="仿宋" w:hAnsi="仿宋" w:eastAsia="仿宋" w:cs="仿宋"/>
              <w:sz w:val="28"/>
              <w:szCs w:val="28"/>
            </w:rPr>
            <w:fldChar w:fldCharType="end"/>
          </w:r>
        </w:p>
        <w:p w14:paraId="155EF690">
          <w:pPr>
            <w:pStyle w:val="34"/>
            <w:tabs>
              <w:tab w:val="right" w:leader="dot" w:pos="8306"/>
            </w:tabs>
            <w:ind w:left="420"/>
            <w:rPr>
              <w:rFonts w:ascii="仿宋" w:hAnsi="仿宋" w:eastAsia="仿宋" w:cs="仿宋"/>
              <w:sz w:val="28"/>
              <w:szCs w:val="28"/>
            </w:rPr>
          </w:pPr>
          <w:r>
            <w:fldChar w:fldCharType="begin"/>
          </w:r>
          <w:r>
            <w:instrText xml:space="preserve"> HYPERLINK \l "_Toc30225_WPSOffice_Level2" </w:instrText>
          </w:r>
          <w:r>
            <w:fldChar w:fldCharType="separate"/>
          </w:r>
          <w:sdt>
            <w:sdtPr>
              <w:rPr>
                <w:rFonts w:hint="eastAsia" w:ascii="仿宋" w:hAnsi="仿宋" w:eastAsia="仿宋" w:cs="仿宋"/>
                <w:kern w:val="2"/>
                <w:sz w:val="28"/>
                <w:szCs w:val="28"/>
              </w:rPr>
              <w:id w:val="-1776703030"/>
              <w:placeholder>
                <w:docPart w:val="{9eb562e9-bb6c-4f43-a952-66c08e3885c3}"/>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九、一般公共预算财政拨款项目支出决算表</w:t>
              </w:r>
            </w:sdtContent>
          </w:sdt>
          <w:r>
            <w:rPr>
              <w:rFonts w:hint="eastAsia" w:ascii="仿宋" w:hAnsi="仿宋" w:eastAsia="仿宋" w:cs="仿宋"/>
              <w:sz w:val="28"/>
              <w:szCs w:val="28"/>
            </w:rPr>
            <w:tab/>
          </w:r>
          <w:bookmarkStart w:id="40" w:name="_Toc30225_WPSOffice_Level2Page"/>
          <w:r>
            <w:rPr>
              <w:rFonts w:hint="eastAsia" w:ascii="仿宋" w:hAnsi="仿宋" w:eastAsia="仿宋" w:cs="仿宋"/>
              <w:sz w:val="28"/>
              <w:szCs w:val="28"/>
            </w:rPr>
            <w:t>34</w:t>
          </w:r>
          <w:bookmarkEnd w:id="40"/>
          <w:r>
            <w:rPr>
              <w:rFonts w:hint="eastAsia" w:ascii="仿宋" w:hAnsi="仿宋" w:eastAsia="仿宋" w:cs="仿宋"/>
              <w:sz w:val="28"/>
              <w:szCs w:val="28"/>
            </w:rPr>
            <w:fldChar w:fldCharType="end"/>
          </w:r>
        </w:p>
        <w:p w14:paraId="7725B333">
          <w:pPr>
            <w:pStyle w:val="34"/>
            <w:tabs>
              <w:tab w:val="right" w:leader="dot" w:pos="8306"/>
            </w:tabs>
            <w:ind w:left="420"/>
            <w:rPr>
              <w:rFonts w:ascii="仿宋" w:hAnsi="仿宋" w:eastAsia="仿宋" w:cs="仿宋"/>
              <w:sz w:val="28"/>
              <w:szCs w:val="28"/>
            </w:rPr>
          </w:pPr>
          <w:r>
            <w:fldChar w:fldCharType="begin"/>
          </w:r>
          <w:r>
            <w:instrText xml:space="preserve"> HYPERLINK \l "_Toc2517_WPSOffice_Level2" </w:instrText>
          </w:r>
          <w:r>
            <w:fldChar w:fldCharType="separate"/>
          </w:r>
          <w:sdt>
            <w:sdtPr>
              <w:rPr>
                <w:rFonts w:hint="eastAsia" w:ascii="仿宋" w:hAnsi="仿宋" w:eastAsia="仿宋" w:cs="仿宋"/>
                <w:kern w:val="2"/>
                <w:sz w:val="28"/>
                <w:szCs w:val="28"/>
              </w:rPr>
              <w:id w:val="189575205"/>
              <w:placeholder>
                <w:docPart w:val="{7125954a-bcd3-4800-ae75-f04bb510bd2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十、一般公共预算财政拨款“三公”经费支出决算表</w:t>
              </w:r>
            </w:sdtContent>
          </w:sdt>
          <w:r>
            <w:rPr>
              <w:rFonts w:hint="eastAsia" w:ascii="仿宋" w:hAnsi="仿宋" w:eastAsia="仿宋" w:cs="仿宋"/>
              <w:sz w:val="28"/>
              <w:szCs w:val="28"/>
            </w:rPr>
            <w:tab/>
          </w:r>
          <w:bookmarkStart w:id="41" w:name="_Toc2517_WPSOffice_Level2Page"/>
          <w:r>
            <w:rPr>
              <w:rFonts w:hint="eastAsia" w:ascii="仿宋" w:hAnsi="仿宋" w:eastAsia="仿宋" w:cs="仿宋"/>
              <w:sz w:val="28"/>
              <w:szCs w:val="28"/>
            </w:rPr>
            <w:t>34</w:t>
          </w:r>
          <w:bookmarkEnd w:id="41"/>
          <w:r>
            <w:rPr>
              <w:rFonts w:hint="eastAsia" w:ascii="仿宋" w:hAnsi="仿宋" w:eastAsia="仿宋" w:cs="仿宋"/>
              <w:sz w:val="28"/>
              <w:szCs w:val="28"/>
            </w:rPr>
            <w:fldChar w:fldCharType="end"/>
          </w:r>
        </w:p>
        <w:p w14:paraId="7C5890E7">
          <w:pPr>
            <w:pStyle w:val="34"/>
            <w:tabs>
              <w:tab w:val="right" w:leader="dot" w:pos="8306"/>
            </w:tabs>
            <w:ind w:left="420"/>
            <w:rPr>
              <w:rFonts w:ascii="仿宋" w:hAnsi="仿宋" w:eastAsia="仿宋" w:cs="仿宋"/>
              <w:sz w:val="28"/>
              <w:szCs w:val="28"/>
            </w:rPr>
          </w:pPr>
          <w:r>
            <w:fldChar w:fldCharType="begin"/>
          </w:r>
          <w:r>
            <w:instrText xml:space="preserve"> HYPERLINK \l "_Toc8449_WPSOffice_Level2" </w:instrText>
          </w:r>
          <w:r>
            <w:fldChar w:fldCharType="separate"/>
          </w:r>
          <w:sdt>
            <w:sdtPr>
              <w:rPr>
                <w:rFonts w:hint="eastAsia" w:ascii="仿宋" w:hAnsi="仿宋" w:eastAsia="仿宋" w:cs="仿宋"/>
                <w:kern w:val="2"/>
                <w:sz w:val="28"/>
                <w:szCs w:val="28"/>
              </w:rPr>
              <w:id w:val="-342855393"/>
              <w:placeholder>
                <w:docPart w:val="{244d823e-0c9d-43ed-988a-359a6fb28a5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十一、政府性基金预算财政拨款收入支出决算表</w:t>
              </w:r>
            </w:sdtContent>
          </w:sdt>
          <w:r>
            <w:rPr>
              <w:rFonts w:hint="eastAsia" w:ascii="仿宋" w:hAnsi="仿宋" w:eastAsia="仿宋" w:cs="仿宋"/>
              <w:sz w:val="28"/>
              <w:szCs w:val="28"/>
            </w:rPr>
            <w:tab/>
          </w:r>
          <w:bookmarkStart w:id="42" w:name="_Toc8449_WPSOffice_Level2Page"/>
          <w:r>
            <w:rPr>
              <w:rFonts w:hint="eastAsia" w:ascii="仿宋" w:hAnsi="仿宋" w:eastAsia="仿宋" w:cs="仿宋"/>
              <w:sz w:val="28"/>
              <w:szCs w:val="28"/>
            </w:rPr>
            <w:t>34</w:t>
          </w:r>
          <w:bookmarkEnd w:id="42"/>
          <w:r>
            <w:rPr>
              <w:rFonts w:hint="eastAsia" w:ascii="仿宋" w:hAnsi="仿宋" w:eastAsia="仿宋" w:cs="仿宋"/>
              <w:sz w:val="28"/>
              <w:szCs w:val="28"/>
            </w:rPr>
            <w:fldChar w:fldCharType="end"/>
          </w:r>
        </w:p>
        <w:p w14:paraId="6CBBE4FA">
          <w:pPr>
            <w:pStyle w:val="34"/>
            <w:tabs>
              <w:tab w:val="right" w:leader="dot" w:pos="8306"/>
            </w:tabs>
            <w:ind w:left="420"/>
            <w:rPr>
              <w:rFonts w:ascii="仿宋" w:hAnsi="仿宋" w:eastAsia="仿宋" w:cs="仿宋"/>
              <w:sz w:val="28"/>
              <w:szCs w:val="28"/>
            </w:rPr>
          </w:pPr>
          <w:r>
            <w:fldChar w:fldCharType="begin"/>
          </w:r>
          <w:r>
            <w:instrText xml:space="preserve"> HYPERLINK \l "_Toc9_WPSOffice_Level2" </w:instrText>
          </w:r>
          <w:r>
            <w:fldChar w:fldCharType="separate"/>
          </w:r>
          <w:sdt>
            <w:sdtPr>
              <w:rPr>
                <w:rFonts w:hint="eastAsia" w:ascii="仿宋" w:hAnsi="仿宋" w:eastAsia="仿宋" w:cs="仿宋"/>
                <w:kern w:val="2"/>
                <w:sz w:val="28"/>
                <w:szCs w:val="28"/>
              </w:rPr>
              <w:id w:val="-48313371"/>
              <w:placeholder>
                <w:docPart w:val="{08ddbc36-7dfe-4fe3-b4d8-8900d75fcaa7}"/>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十二、政府性基金预算财政拨款“三公”经费支出决算表</w:t>
              </w:r>
            </w:sdtContent>
          </w:sdt>
          <w:r>
            <w:rPr>
              <w:rFonts w:hint="eastAsia" w:ascii="仿宋" w:hAnsi="仿宋" w:eastAsia="仿宋" w:cs="仿宋"/>
              <w:sz w:val="28"/>
              <w:szCs w:val="28"/>
            </w:rPr>
            <w:tab/>
          </w:r>
          <w:bookmarkStart w:id="43" w:name="_Toc9_WPSOffice_Level2Page"/>
          <w:r>
            <w:rPr>
              <w:rFonts w:hint="eastAsia" w:ascii="仿宋" w:hAnsi="仿宋" w:eastAsia="仿宋" w:cs="仿宋"/>
              <w:sz w:val="28"/>
              <w:szCs w:val="28"/>
            </w:rPr>
            <w:t>34</w:t>
          </w:r>
          <w:bookmarkEnd w:id="43"/>
          <w:r>
            <w:rPr>
              <w:rFonts w:hint="eastAsia" w:ascii="仿宋" w:hAnsi="仿宋" w:eastAsia="仿宋" w:cs="仿宋"/>
              <w:sz w:val="28"/>
              <w:szCs w:val="28"/>
            </w:rPr>
            <w:fldChar w:fldCharType="end"/>
          </w:r>
        </w:p>
        <w:p w14:paraId="7F4C3CC8">
          <w:pPr>
            <w:pStyle w:val="34"/>
            <w:tabs>
              <w:tab w:val="right" w:leader="dot" w:pos="8306"/>
            </w:tabs>
            <w:ind w:left="420"/>
            <w:rPr>
              <w:rFonts w:ascii="仿宋" w:hAnsi="仿宋" w:eastAsia="仿宋" w:cs="仿宋"/>
              <w:sz w:val="28"/>
              <w:szCs w:val="28"/>
            </w:rPr>
          </w:pPr>
          <w:r>
            <w:fldChar w:fldCharType="begin"/>
          </w:r>
          <w:r>
            <w:instrText xml:space="preserve"> HYPERLINK \l "_Toc24952_WPSOffice_Level2" </w:instrText>
          </w:r>
          <w:r>
            <w:fldChar w:fldCharType="separate"/>
          </w:r>
          <w:sdt>
            <w:sdtPr>
              <w:rPr>
                <w:rFonts w:hint="eastAsia" w:ascii="仿宋" w:hAnsi="仿宋" w:eastAsia="仿宋" w:cs="仿宋"/>
                <w:kern w:val="2"/>
                <w:sz w:val="28"/>
                <w:szCs w:val="28"/>
              </w:rPr>
              <w:id w:val="1789238552"/>
              <w:placeholder>
                <w:docPart w:val="{4f7329cc-8072-4607-b47f-66b08fbbee2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十三、国有资本经营预算财政拨款收入支出决算表</w:t>
              </w:r>
            </w:sdtContent>
          </w:sdt>
          <w:r>
            <w:rPr>
              <w:rFonts w:hint="eastAsia" w:ascii="仿宋" w:hAnsi="仿宋" w:eastAsia="仿宋" w:cs="仿宋"/>
              <w:sz w:val="28"/>
              <w:szCs w:val="28"/>
            </w:rPr>
            <w:tab/>
          </w:r>
          <w:bookmarkStart w:id="44" w:name="_Toc24952_WPSOffice_Level2Page"/>
          <w:r>
            <w:rPr>
              <w:rFonts w:hint="eastAsia" w:ascii="仿宋" w:hAnsi="仿宋" w:eastAsia="仿宋" w:cs="仿宋"/>
              <w:sz w:val="28"/>
              <w:szCs w:val="28"/>
            </w:rPr>
            <w:t>34</w:t>
          </w:r>
          <w:bookmarkEnd w:id="44"/>
          <w:r>
            <w:rPr>
              <w:rFonts w:hint="eastAsia" w:ascii="仿宋" w:hAnsi="仿宋" w:eastAsia="仿宋" w:cs="仿宋"/>
              <w:sz w:val="28"/>
              <w:szCs w:val="28"/>
            </w:rPr>
            <w:fldChar w:fldCharType="end"/>
          </w:r>
        </w:p>
        <w:p w14:paraId="2AC4CF80">
          <w:pPr>
            <w:pStyle w:val="34"/>
            <w:tabs>
              <w:tab w:val="right" w:leader="dot" w:pos="8306"/>
            </w:tabs>
            <w:ind w:left="420"/>
            <w:rPr>
              <w:rFonts w:ascii="仿宋" w:hAnsi="仿宋" w:eastAsia="仿宋" w:cs="仿宋"/>
              <w:sz w:val="28"/>
              <w:szCs w:val="28"/>
            </w:rPr>
          </w:pPr>
          <w:r>
            <w:fldChar w:fldCharType="begin"/>
          </w:r>
          <w:r>
            <w:instrText xml:space="preserve"> HYPERLINK \l "_Toc15619_WPSOffice_Level2" </w:instrText>
          </w:r>
          <w:r>
            <w:fldChar w:fldCharType="separate"/>
          </w:r>
          <w:sdt>
            <w:sdtPr>
              <w:rPr>
                <w:rFonts w:hint="eastAsia" w:ascii="仿宋" w:hAnsi="仿宋" w:eastAsia="仿宋" w:cs="仿宋"/>
                <w:kern w:val="2"/>
                <w:sz w:val="28"/>
                <w:szCs w:val="28"/>
              </w:rPr>
              <w:id w:val="83031973"/>
              <w:placeholder>
                <w:docPart w:val="{7b463e84-23ed-4767-b0d3-d5948966e723}"/>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十四、国有资本经营预算财政拨款支出决算表</w:t>
              </w:r>
            </w:sdtContent>
          </w:sdt>
          <w:r>
            <w:rPr>
              <w:rFonts w:hint="eastAsia" w:ascii="仿宋" w:hAnsi="仿宋" w:eastAsia="仿宋" w:cs="仿宋"/>
              <w:sz w:val="28"/>
              <w:szCs w:val="28"/>
            </w:rPr>
            <w:tab/>
          </w:r>
          <w:bookmarkStart w:id="45" w:name="_Toc15619_WPSOffice_Level2Page"/>
          <w:r>
            <w:rPr>
              <w:rFonts w:hint="eastAsia" w:ascii="仿宋" w:hAnsi="仿宋" w:eastAsia="仿宋" w:cs="仿宋"/>
              <w:sz w:val="28"/>
              <w:szCs w:val="28"/>
            </w:rPr>
            <w:t>34</w:t>
          </w:r>
          <w:bookmarkEnd w:id="45"/>
          <w:r>
            <w:rPr>
              <w:rFonts w:hint="eastAsia" w:ascii="仿宋" w:hAnsi="仿宋" w:eastAsia="仿宋" w:cs="仿宋"/>
              <w:sz w:val="28"/>
              <w:szCs w:val="28"/>
            </w:rPr>
            <w:fldChar w:fldCharType="end"/>
          </w:r>
        </w:p>
      </w:sdtContent>
    </w:sdt>
    <w:bookmarkEnd w:id="12"/>
    <w:p w14:paraId="5B592B4E">
      <w:pPr>
        <w:widowControl/>
        <w:spacing w:line="440" w:lineRule="exact"/>
        <w:jc w:val="left"/>
        <w:rPr>
          <w:rFonts w:ascii="仿宋" w:hAnsi="仿宋" w:eastAsia="仿宋"/>
          <w:bCs/>
          <w:kern w:val="44"/>
          <w:sz w:val="24"/>
        </w:rPr>
      </w:pPr>
      <w:r>
        <w:rPr>
          <w:rFonts w:ascii="仿宋" w:hAnsi="仿宋" w:eastAsia="仿宋"/>
          <w:b/>
          <w:sz w:val="24"/>
        </w:rPr>
        <w:br w:type="page"/>
      </w:r>
    </w:p>
    <w:p w14:paraId="06DF25F5">
      <w:pPr>
        <w:pStyle w:val="3"/>
        <w:jc w:val="center"/>
        <w:rPr>
          <w:rFonts w:ascii="黑体" w:eastAsia="黑体"/>
          <w:sz w:val="32"/>
          <w:szCs w:val="32"/>
        </w:rPr>
      </w:pPr>
      <w:bookmarkStart w:id="46" w:name="_Toc7522_WPSOffice_Level1"/>
      <w:r>
        <w:rPr>
          <w:rFonts w:hint="eastAsia" w:ascii="黑体" w:hAnsi="黑体" w:eastAsia="黑体"/>
          <w:b w:val="0"/>
        </w:rPr>
        <w:t xml:space="preserve">第一部分 </w:t>
      </w:r>
      <w:r>
        <w:rPr>
          <w:rStyle w:val="27"/>
          <w:rFonts w:hint="eastAsia" w:ascii="黑体" w:hAnsi="黑体" w:eastAsia="黑体"/>
          <w:b w:val="0"/>
          <w:bCs w:val="0"/>
        </w:rPr>
        <w:t>部门概况</w:t>
      </w:r>
      <w:bookmarkEnd w:id="13"/>
      <w:bookmarkEnd w:id="14"/>
      <w:bookmarkEnd w:id="46"/>
    </w:p>
    <w:p w14:paraId="39BFDA95">
      <w:pPr>
        <w:pStyle w:val="4"/>
        <w:rPr>
          <w:rStyle w:val="28"/>
          <w:rFonts w:ascii="仿宋" w:hAnsi="仿宋" w:eastAsia="仿宋"/>
          <w:b w:val="0"/>
          <w:bCs w:val="0"/>
        </w:rPr>
      </w:pPr>
      <w:bookmarkStart w:id="47" w:name="_Toc15396600"/>
      <w:bookmarkStart w:id="48" w:name="_Toc121_WPSOffice_Level2"/>
      <w:bookmarkStart w:id="49" w:name="_Toc15377197"/>
      <w:r>
        <w:rPr>
          <w:rFonts w:hint="eastAsia" w:ascii="黑体" w:hAnsi="黑体" w:eastAsia="黑体"/>
          <w:b w:val="0"/>
        </w:rPr>
        <w:t>一、基</w:t>
      </w:r>
      <w:r>
        <w:rPr>
          <w:rStyle w:val="28"/>
          <w:rFonts w:hint="eastAsia" w:ascii="黑体" w:hAnsi="黑体" w:eastAsia="黑体"/>
          <w:b w:val="0"/>
          <w:bCs w:val="0"/>
        </w:rPr>
        <w:t>本职能及主要工作</w:t>
      </w:r>
      <w:bookmarkEnd w:id="47"/>
      <w:bookmarkEnd w:id="48"/>
      <w:bookmarkEnd w:id="49"/>
    </w:p>
    <w:p w14:paraId="103150E9">
      <w:pPr>
        <w:pStyle w:val="6"/>
        <w:adjustRightInd w:val="0"/>
        <w:snapToGrid w:val="0"/>
        <w:spacing w:before="93" w:line="600" w:lineRule="exact"/>
        <w:ind w:firstLine="672" w:firstLineChars="210"/>
        <w:outlineLvl w:val="2"/>
        <w:rPr>
          <w:rFonts w:ascii="仿宋" w:hAnsi="仿宋" w:eastAsia="仿宋"/>
          <w:bCs/>
          <w:sz w:val="32"/>
          <w:szCs w:val="32"/>
        </w:rPr>
      </w:pPr>
      <w:bookmarkStart w:id="50" w:name="_Toc15377198"/>
      <w:bookmarkStart w:id="51" w:name="_Toc15378445"/>
      <w:r>
        <w:rPr>
          <w:rFonts w:hint="eastAsia" w:ascii="仿宋" w:hAnsi="仿宋" w:eastAsia="仿宋"/>
          <w:bCs/>
          <w:sz w:val="32"/>
          <w:szCs w:val="32"/>
        </w:rPr>
        <w:t>（一）主要职能。</w:t>
      </w:r>
      <w:bookmarkEnd w:id="50"/>
      <w:bookmarkEnd w:id="51"/>
    </w:p>
    <w:p w14:paraId="4EF9B8C2">
      <w:pPr>
        <w:spacing w:line="60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D31DA91">
      <w:pPr>
        <w:pStyle w:val="6"/>
        <w:adjustRightInd w:val="0"/>
        <w:snapToGrid w:val="0"/>
        <w:spacing w:before="93" w:line="600" w:lineRule="exact"/>
        <w:ind w:firstLine="672" w:firstLineChars="210"/>
        <w:outlineLvl w:val="2"/>
        <w:rPr>
          <w:rFonts w:ascii="仿宋" w:hAnsi="仿宋" w:eastAsia="仿宋"/>
          <w:bCs/>
          <w:sz w:val="32"/>
          <w:szCs w:val="32"/>
        </w:rPr>
      </w:pPr>
      <w:bookmarkStart w:id="52" w:name="_Toc15378446"/>
      <w:bookmarkStart w:id="53"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52"/>
      <w:bookmarkEnd w:id="53"/>
    </w:p>
    <w:p w14:paraId="5C9AE2B0">
      <w:pPr>
        <w:widowControl/>
        <w:spacing w:line="600" w:lineRule="exact"/>
        <w:ind w:firstLine="640" w:firstLineChars="200"/>
        <w:jc w:val="left"/>
        <w:rPr>
          <w:rFonts w:ascii="仿宋" w:hAnsi="仿宋" w:eastAsia="仿宋" w:cs="仿宋"/>
          <w:sz w:val="32"/>
          <w:szCs w:val="32"/>
        </w:rPr>
      </w:pPr>
      <w:bookmarkStart w:id="54" w:name="_Toc15377200"/>
      <w:bookmarkStart w:id="55" w:name="_Toc15396601"/>
      <w:r>
        <w:rPr>
          <w:rFonts w:hint="eastAsia" w:ascii="仿宋" w:hAnsi="仿宋" w:eastAsia="仿宋" w:cs="仿宋"/>
          <w:sz w:val="32"/>
          <w:szCs w:val="32"/>
        </w:rPr>
        <w:t>1、指导思想</w:t>
      </w:r>
    </w:p>
    <w:p w14:paraId="3CF75700">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思想上，认真贯彻落实科学发展观，领导班子各司其职，带领全体教职员工以习近平新时代中国特色社会主义思想为指导，认真开展学党史，强信念活动，认真履行职责，充分发挥班子的整体效能， 紧紧围绕上级各类决策部署，以《纲要》《指南》为准绳，以“规范管理，彰显特色，优质发展”为目标，以贯彻落实“党史学习”主题教育增强“四个意识”、坚定“四个自信”、做到“两个维护”为重点，着力推进师资队伍建设和特色教育，推动幼儿园取得新的成绩和发展。</w:t>
      </w:r>
    </w:p>
    <w:p w14:paraId="77D1656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372C086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2、加强党风廉政建设</w:t>
      </w:r>
    </w:p>
    <w:p w14:paraId="2F4BCF35">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关于增强领导干部作风建设的相关要求，联系思想和工作实际，认真学习了习近平总书记在庆祝中国共产党成立100周年大会上的“七一”重要讲话精神；深入贯彻落实十九届六中全会精神；通过集中学习、自学、主题教育等多种形式组织师幼开展学党史活动；集中组织学习《中国共产党发展史》《中国共产党党员领导干部廉洁从政若干准则》等党纪条规。认真组织广大教职工学习党的上级各部关于防治腐败相关文件、各种警示教育，增强了自己及教职工自身廉政意识，提高拒腐防变能力。</w:t>
      </w:r>
    </w:p>
    <w:p w14:paraId="0A58F208">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1149E53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3、规范财经管理</w:t>
      </w:r>
    </w:p>
    <w:p w14:paraId="5AEB2D52">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本年度召开全园职工一起拟定了《幼儿园考勤制度（试行）》《盐边县幼儿园教师职称岗位补缺聘用方案》《盐边县幼儿园</w:t>
      </w:r>
      <w:r>
        <w:rPr>
          <w:rFonts w:hint="eastAsia" w:ascii="仿宋" w:hAnsi="仿宋" w:eastAsia="仿宋" w:cs="仿宋"/>
          <w:sz w:val="32"/>
          <w:szCs w:val="32"/>
          <w:lang w:eastAsia="zh-CN"/>
        </w:rPr>
        <w:t>“</w:t>
      </w:r>
      <w:bookmarkStart w:id="141" w:name="_GoBack"/>
      <w:r>
        <w:rPr>
          <w:rFonts w:hint="eastAsia" w:ascii="仿宋" w:hAnsi="仿宋" w:eastAsia="仿宋" w:cs="仿宋"/>
          <w:sz w:val="32"/>
          <w:szCs w:val="32"/>
        </w:rPr>
        <w:t>三重一大</w:t>
      </w:r>
      <w:bookmarkEnd w:id="141"/>
      <w:r>
        <w:rPr>
          <w:rFonts w:hint="eastAsia" w:ascii="仿宋" w:hAnsi="仿宋" w:eastAsia="仿宋" w:cs="仿宋"/>
          <w:sz w:val="32"/>
          <w:szCs w:val="32"/>
          <w:lang w:eastAsia="zh-CN"/>
        </w:rPr>
        <w:t>”</w:t>
      </w:r>
      <w:r>
        <w:rPr>
          <w:rFonts w:hint="eastAsia" w:ascii="仿宋" w:hAnsi="仿宋" w:eastAsia="仿宋" w:cs="仿宋"/>
          <w:sz w:val="32"/>
          <w:szCs w:val="32"/>
        </w:rPr>
        <w:t>制度》《盐边县幼儿园幼儿资助管理办法》等制度；对教职工考核、绩效奖金发放、教职工评级晋职等工作，均依据相关制度进行，严格按制度办事，所有考核评定均让职工信服。不因人设岗，不因人定事。</w:t>
      </w:r>
    </w:p>
    <w:p w14:paraId="0B36816D">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不积怨。</w:t>
      </w:r>
    </w:p>
    <w:p w14:paraId="450FF5E2">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4、特色重点亮点工作</w:t>
      </w:r>
    </w:p>
    <w:p w14:paraId="1058BD4A">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以党建促园所发展，取得新成效</w:t>
      </w:r>
    </w:p>
    <w:p w14:paraId="37627FB9">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58CAACC1">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全面加强师德师风建设</w:t>
      </w:r>
    </w:p>
    <w:p w14:paraId="72524C11">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5A3D0DDA">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教师方面通过学习《新时代幼儿教师职业行为十项准则》等文件精神、签订《师德师风承诺书》、 开展师德师风警示教育、举办教职工法制讲座等方式，加强教职工师德师风思想意识； 通过每周开展会前学法，在建党节、教师节等节日开展师德师风主题活动、“抗击疫情、 爱在行动”班级主题墙、游戏区角比赛等活动，努力丰富师德师风教育形式:通过建立健全师德师风长效机制，通过民主评议考核、学期及年度个人考核，以及评优评选、岗位评聘、各类荣誉称号推评等工作，加大师德师风考核力度，有力促进师德师风建设巩固成效。</w:t>
      </w:r>
    </w:p>
    <w:p w14:paraId="734950C3">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特色园本课程初显成效</w:t>
      </w:r>
    </w:p>
    <w:p w14:paraId="5EAC509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所学校发展到一定阶段，必然需要形成具有自身特色的学校文化沉淀。一年来非常注重园本特色课程建设，结合本土实际，初步定位园所发展特色：“自然、传承、运动、阳光”，育“健怡（身体强壮、心理阳光、乐观自信、积极向上）、善思、储善、尚美”的幼儿的教育目标的办学特色。</w:t>
      </w:r>
    </w:p>
    <w:p w14:paraId="139D4F9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将德育工作有效融入教育教学活动中，以符合幼儿年龄特点的活动，通过开展“每周国旗下表演”、“ 书香阅读”读书角、“党史学习教育”、一起打败“冠小毒”等特色主题活动，在幼儿教育教学活动中贯彻落实新冠肺炎常态化防控工作要求，让小朋友们认识新冠病毒，初步了解国家大事，认识和感恩疫情防控英雄，从小坚定爱党爱国理想信念，从小培养爱家乡、爱祖国的情怀。</w:t>
      </w:r>
    </w:p>
    <w:p w14:paraId="1503CC78">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5、家园、社区共育成果</w:t>
      </w:r>
    </w:p>
    <w:p w14:paraId="4DC7E54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融汇，形成社会与家园合力，培养幼儿成为健康活泼、好奇探究、亲近自然、爱护环境、勇敢自信、有初步责任感的幼儿，家园同步、协调地提高孩子的综合素质。</w:t>
      </w:r>
    </w:p>
    <w:p w14:paraId="08B455F3">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6、加强意识形态工作和民族团结工作</w:t>
      </w:r>
    </w:p>
    <w:p w14:paraId="09520DBE">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2BE5E9E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7、健全运行机制，强化幼儿园安全工作</w:t>
      </w:r>
    </w:p>
    <w:p w14:paraId="2E4BC98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牢固树立“安全第一”的大局意识，把安全责任落实到人，实行一岗双责，建立学校安全管理工作档案。在传染病防控方面，坚持做到预防为主、防治结合的原则。扎实开展各项安全防范工作，有效保障幼儿园财产和师幼生命的安全，维护了正常的教学秩序和幼儿园的稳定。</w:t>
      </w:r>
    </w:p>
    <w:p w14:paraId="2C7FA5ED">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380D3310">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完善了重大安全事故应急处理预案，定期开展对师生开展各种安全教育和模拟演练，增强教师和幼儿面对突发事件时自救的能力。</w:t>
      </w:r>
    </w:p>
    <w:p w14:paraId="6D6CCEF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优化了对食品安全的管理。为了保证幼儿膳食科学合理、保证食物的多样性、丰富性，每周由分管园长、保健医师、食堂管理人员制定科学合理的食谱。贯彻落实“制止餐饮浪费”“三爱三节”教育、“光盘行动”主题教育，让孩子们从小就养成爱惜粮食，厉行节约的好习惯。</w:t>
      </w:r>
    </w:p>
    <w:p w14:paraId="024CD7FD">
      <w:pPr>
        <w:pStyle w:val="4"/>
        <w:rPr>
          <w:rStyle w:val="28"/>
          <w:b w:val="0"/>
          <w:bCs w:val="0"/>
        </w:rPr>
      </w:pPr>
      <w:bookmarkStart w:id="56" w:name="_Toc20300_WPSOffice_Level2"/>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54"/>
      <w:bookmarkEnd w:id="55"/>
      <w:bookmarkEnd w:id="56"/>
    </w:p>
    <w:p w14:paraId="5906BAEF">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2021年设大中小教学班12 个，有在园幼儿392人，在编教职工28人，（长病4人，带病坚持上岗4人，借出1人），另有在岗不在编6人；本科学历14人，大专13人，学历达标率100%。有高级教师职称4人，中级职称14人，初级职称9人，技术工1人，市县级骨干教师学科带头人6名。</w:t>
      </w:r>
    </w:p>
    <w:p w14:paraId="723E3B3D">
      <w:pPr>
        <w:ind w:firstLine="800" w:firstLineChars="250"/>
        <w:rPr>
          <w:rFonts w:ascii="仿宋" w:hAnsi="仿宋" w:eastAsia="仿宋"/>
          <w:kern w:val="0"/>
          <w:sz w:val="32"/>
          <w:szCs w:val="32"/>
        </w:rPr>
      </w:pPr>
      <w:r>
        <w:rPr>
          <w:rFonts w:ascii="仿宋" w:hAnsi="仿宋" w:eastAsia="仿宋"/>
          <w:sz w:val="32"/>
          <w:szCs w:val="32"/>
        </w:rPr>
        <w:br w:type="page"/>
      </w:r>
    </w:p>
    <w:p w14:paraId="587390E4">
      <w:pPr>
        <w:pStyle w:val="3"/>
        <w:ind w:right="440"/>
        <w:jc w:val="center"/>
        <w:rPr>
          <w:rStyle w:val="27"/>
          <w:rFonts w:ascii="黑体" w:hAnsi="黑体" w:eastAsia="黑体"/>
          <w:b w:val="0"/>
          <w:bCs/>
        </w:rPr>
      </w:pPr>
      <w:bookmarkStart w:id="57" w:name="_Toc15377204"/>
      <w:bookmarkStart w:id="58" w:name="_Toc121_WPSOffice_Level1"/>
      <w:bookmarkStart w:id="59"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57"/>
      <w:bookmarkEnd w:id="58"/>
      <w:bookmarkEnd w:id="59"/>
    </w:p>
    <w:p w14:paraId="648A4CDF"/>
    <w:p w14:paraId="28B4033F">
      <w:pPr>
        <w:pStyle w:val="26"/>
        <w:numPr>
          <w:ilvl w:val="0"/>
          <w:numId w:val="1"/>
        </w:numPr>
        <w:spacing w:line="600" w:lineRule="exact"/>
        <w:ind w:firstLineChars="0"/>
        <w:outlineLvl w:val="1"/>
        <w:rPr>
          <w:rStyle w:val="28"/>
          <w:rFonts w:ascii="黑体" w:hAnsi="黑体" w:eastAsia="黑体"/>
          <w:b w:val="0"/>
        </w:rPr>
      </w:pPr>
      <w:bookmarkStart w:id="60" w:name="_Toc7151_WPSOffice_Level2"/>
      <w:bookmarkStart w:id="61" w:name="_Toc15396603"/>
      <w:bookmarkStart w:id="62"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60"/>
      <w:bookmarkEnd w:id="61"/>
      <w:bookmarkEnd w:id="62"/>
    </w:p>
    <w:p w14:paraId="1CED4182">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2021年度收、支总计578.41万元。与2020年相比，收、支总计增加50.02万元，增长9.46</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54F6E5DA">
      <w:pPr>
        <w:pStyle w:val="6"/>
        <w:spacing w:before="93"/>
        <w:rPr>
          <w:sz w:val="32"/>
          <w:szCs w:val="32"/>
        </w:rPr>
      </w:pPr>
      <w:r>
        <w:drawing>
          <wp:inline distT="0" distB="0" distL="114300" distR="114300">
            <wp:extent cx="5271135" cy="3058160"/>
            <wp:effectExtent l="4445" t="4445" r="20320" b="23495"/>
            <wp:docPr id="23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EDCBCEE">
      <w:pPr>
        <w:pStyle w:val="26"/>
        <w:numPr>
          <w:ilvl w:val="0"/>
          <w:numId w:val="1"/>
        </w:numPr>
        <w:spacing w:line="600" w:lineRule="exact"/>
        <w:ind w:firstLineChars="0"/>
        <w:outlineLvl w:val="1"/>
        <w:rPr>
          <w:rStyle w:val="28"/>
          <w:rFonts w:ascii="黑体" w:hAnsi="黑体" w:eastAsia="黑体"/>
          <w:b w:val="0"/>
        </w:rPr>
      </w:pPr>
      <w:bookmarkStart w:id="63" w:name="_Toc15396604"/>
      <w:bookmarkStart w:id="64" w:name="_Toc15377206"/>
      <w:bookmarkStart w:id="65" w:name="_Toc16676_WPSOffice_Level2"/>
      <w:r>
        <w:rPr>
          <w:rFonts w:hint="eastAsia" w:ascii="黑体" w:hAnsi="黑体" w:eastAsia="黑体"/>
          <w:sz w:val="32"/>
          <w:szCs w:val="32"/>
        </w:rPr>
        <w:t>收</w:t>
      </w:r>
      <w:r>
        <w:rPr>
          <w:rStyle w:val="28"/>
          <w:rFonts w:hint="eastAsia" w:ascii="黑体" w:hAnsi="黑体" w:eastAsia="黑体"/>
          <w:b w:val="0"/>
        </w:rPr>
        <w:t>入决算情况说明</w:t>
      </w:r>
      <w:bookmarkEnd w:id="63"/>
      <w:bookmarkEnd w:id="64"/>
      <w:bookmarkEnd w:id="65"/>
    </w:p>
    <w:p w14:paraId="1548BD0C">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21年本年收入合计570.74万元，其中：一般公共预算财政拨款收入549.56万元，占96.29</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；事业收入21.18万元，占3.71</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22892CE2">
      <w:pPr>
        <w:pStyle w:val="6"/>
        <w:spacing w:before="93"/>
        <w:rPr>
          <w:sz w:val="32"/>
          <w:szCs w:val="32"/>
        </w:rPr>
      </w:pPr>
    </w:p>
    <w:p w14:paraId="038BA46F">
      <w:pPr>
        <w:pStyle w:val="6"/>
        <w:spacing w:before="93"/>
        <w:rPr>
          <w:sz w:val="32"/>
          <w:szCs w:val="32"/>
        </w:rPr>
      </w:pPr>
      <w:r>
        <w:drawing>
          <wp:inline distT="0" distB="0" distL="114300" distR="114300">
            <wp:extent cx="5269865" cy="2668270"/>
            <wp:effectExtent l="4445" t="4445" r="21590" b="13335"/>
            <wp:docPr id="23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2FF0FF">
      <w:pPr>
        <w:pStyle w:val="26"/>
        <w:numPr>
          <w:ilvl w:val="0"/>
          <w:numId w:val="1"/>
        </w:numPr>
        <w:spacing w:line="600" w:lineRule="exact"/>
        <w:ind w:firstLineChars="0"/>
        <w:outlineLvl w:val="1"/>
        <w:rPr>
          <w:rStyle w:val="28"/>
          <w:rFonts w:ascii="黑体" w:hAnsi="黑体" w:eastAsia="黑体"/>
          <w:b w:val="0"/>
        </w:rPr>
      </w:pPr>
      <w:bookmarkStart w:id="66" w:name="_Toc15377207"/>
      <w:bookmarkStart w:id="67" w:name="_Toc15396605"/>
      <w:bookmarkStart w:id="68" w:name="_Toc19671_WPSOffice_Level2"/>
      <w:r>
        <w:rPr>
          <w:rFonts w:hint="eastAsia" w:ascii="黑体" w:hAnsi="黑体" w:eastAsia="黑体"/>
          <w:sz w:val="32"/>
          <w:szCs w:val="32"/>
        </w:rPr>
        <w:t>支</w:t>
      </w:r>
      <w:r>
        <w:rPr>
          <w:rStyle w:val="28"/>
          <w:rFonts w:hint="eastAsia" w:ascii="黑体" w:hAnsi="黑体" w:eastAsia="黑体"/>
          <w:b w:val="0"/>
        </w:rPr>
        <w:t>出决算情况说明</w:t>
      </w:r>
      <w:bookmarkEnd w:id="66"/>
      <w:bookmarkEnd w:id="67"/>
      <w:bookmarkEnd w:id="68"/>
    </w:p>
    <w:p w14:paraId="0D3D22BC">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21年本年支出合计578.41万元，其中：基本支出514.82万元，占89.01</w:t>
      </w:r>
      <w:r>
        <w:rPr>
          <w:rFonts w:ascii="仿宋" w:hAnsi="仿宋" w:eastAsia="仿宋"/>
          <w:sz w:val="32"/>
          <w:szCs w:val="32"/>
        </w:rPr>
        <w:t>%</w:t>
      </w:r>
      <w:r>
        <w:rPr>
          <w:rFonts w:hint="eastAsia" w:ascii="仿宋" w:hAnsi="仿宋" w:eastAsia="仿宋"/>
          <w:sz w:val="32"/>
          <w:szCs w:val="32"/>
        </w:rPr>
        <w:t>；项目支出63.59万元，占10.99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7D6A2D55">
      <w:pPr>
        <w:pStyle w:val="6"/>
        <w:spacing w:before="93"/>
        <w:rPr>
          <w:sz w:val="32"/>
          <w:szCs w:val="32"/>
        </w:rPr>
      </w:pPr>
      <w:r>
        <w:drawing>
          <wp:inline distT="0" distB="0" distL="114300" distR="114300">
            <wp:extent cx="5272405" cy="2654300"/>
            <wp:effectExtent l="4445" t="4445" r="19050" b="8255"/>
            <wp:docPr id="23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5A0811">
      <w:pPr>
        <w:spacing w:line="600" w:lineRule="exact"/>
        <w:ind w:firstLine="640" w:firstLineChars="200"/>
        <w:outlineLvl w:val="1"/>
        <w:rPr>
          <w:rStyle w:val="28"/>
          <w:rFonts w:ascii="黑体" w:hAnsi="黑体" w:eastAsia="黑体"/>
          <w:b w:val="0"/>
        </w:rPr>
      </w:pPr>
      <w:bookmarkStart w:id="69" w:name="_Toc8632_WPSOffice_Level2"/>
      <w:bookmarkStart w:id="70" w:name="_Toc15396606"/>
      <w:bookmarkStart w:id="71"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69"/>
      <w:bookmarkEnd w:id="70"/>
      <w:bookmarkEnd w:id="71"/>
    </w:p>
    <w:p w14:paraId="31F46D7C">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21年财政拨款收、支总计557.23万元。与</w:t>
      </w:r>
      <w:r>
        <w:rPr>
          <w:rFonts w:ascii="仿宋" w:hAnsi="仿宋" w:eastAsia="仿宋"/>
          <w:sz w:val="32"/>
          <w:szCs w:val="32"/>
        </w:rPr>
        <w:t>20</w:t>
      </w:r>
      <w:r>
        <w:rPr>
          <w:rFonts w:hint="eastAsia" w:ascii="仿宋" w:hAnsi="仿宋" w:eastAsia="仿宋"/>
          <w:sz w:val="32"/>
          <w:szCs w:val="32"/>
        </w:rPr>
        <w:t>20年相比，财政拨款收、支总计增加84.5万元，增长17.87</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09190AE3">
      <w:pPr>
        <w:pStyle w:val="6"/>
        <w:spacing w:before="93"/>
        <w:rPr>
          <w:rFonts w:ascii="仿宋" w:hAnsi="仿宋" w:eastAsia="仿宋"/>
          <w:sz w:val="32"/>
          <w:szCs w:val="32"/>
        </w:rPr>
      </w:pPr>
      <w:r>
        <w:drawing>
          <wp:inline distT="0" distB="0" distL="114300" distR="114300">
            <wp:extent cx="5269230" cy="2743835"/>
            <wp:effectExtent l="4445" t="4445" r="22225" b="13970"/>
            <wp:docPr id="233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C35BF7">
      <w:pPr>
        <w:spacing w:line="600" w:lineRule="exact"/>
        <w:ind w:firstLine="640" w:firstLineChars="200"/>
        <w:outlineLvl w:val="1"/>
        <w:rPr>
          <w:rStyle w:val="28"/>
          <w:rFonts w:ascii="黑体" w:hAnsi="黑体" w:eastAsia="黑体"/>
          <w:b w:val="0"/>
        </w:rPr>
      </w:pPr>
      <w:bookmarkStart w:id="72" w:name="_Toc15701_WPSOffice_Level2"/>
      <w:bookmarkStart w:id="73" w:name="_Toc15377209"/>
      <w:bookmarkStart w:id="74"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72"/>
      <w:bookmarkEnd w:id="73"/>
      <w:bookmarkEnd w:id="74"/>
    </w:p>
    <w:p w14:paraId="01ABE0BC">
      <w:pPr>
        <w:spacing w:line="600" w:lineRule="exact"/>
        <w:ind w:firstLine="643" w:firstLineChars="200"/>
        <w:outlineLvl w:val="2"/>
        <w:rPr>
          <w:rFonts w:ascii="仿宋" w:hAnsi="仿宋" w:eastAsia="仿宋"/>
          <w:b/>
          <w:sz w:val="32"/>
          <w:szCs w:val="32"/>
        </w:rPr>
      </w:pPr>
      <w:bookmarkStart w:id="75" w:name="_Toc15377210"/>
      <w:r>
        <w:rPr>
          <w:rFonts w:hint="eastAsia" w:ascii="仿宋" w:hAnsi="仿宋" w:eastAsia="仿宋"/>
          <w:b/>
          <w:sz w:val="32"/>
          <w:szCs w:val="32"/>
        </w:rPr>
        <w:t>（一）一般公共预算财政拨款支出决算总体情况</w:t>
      </w:r>
      <w:bookmarkEnd w:id="75"/>
    </w:p>
    <w:p w14:paraId="39D94325">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21年一般公共预算财政拨款支出557.23万元，占本年支出合计的96.34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20年相比，一般公共预算财政拨款支出增加增加84.5万元，增长17.87</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5EF1BAC8">
      <w:pPr>
        <w:pStyle w:val="6"/>
        <w:spacing w:before="93"/>
        <w:rPr>
          <w:rFonts w:ascii="仿宋" w:hAnsi="仿宋" w:eastAsia="仿宋"/>
          <w:sz w:val="32"/>
          <w:szCs w:val="32"/>
        </w:rPr>
      </w:pPr>
      <w:r>
        <w:drawing>
          <wp:inline distT="0" distB="0" distL="114300" distR="114300">
            <wp:extent cx="5271135" cy="2699385"/>
            <wp:effectExtent l="4445" t="4445" r="20320" b="20320"/>
            <wp:docPr id="23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97816A">
      <w:pPr>
        <w:pStyle w:val="6"/>
        <w:spacing w:before="93"/>
        <w:rPr>
          <w:rFonts w:ascii="仿宋" w:hAnsi="仿宋" w:eastAsia="仿宋"/>
          <w:sz w:val="32"/>
          <w:szCs w:val="32"/>
        </w:rPr>
      </w:pPr>
    </w:p>
    <w:p w14:paraId="214CBBE4">
      <w:pPr>
        <w:spacing w:line="600" w:lineRule="exact"/>
        <w:ind w:firstLine="643" w:firstLineChars="200"/>
        <w:outlineLvl w:val="2"/>
        <w:rPr>
          <w:rFonts w:ascii="仿宋" w:hAnsi="仿宋" w:eastAsia="仿宋"/>
          <w:b/>
          <w:sz w:val="32"/>
          <w:szCs w:val="32"/>
        </w:rPr>
      </w:pPr>
      <w:bookmarkStart w:id="76" w:name="_Toc15377211"/>
      <w:r>
        <w:rPr>
          <w:rFonts w:hint="eastAsia" w:ascii="仿宋" w:hAnsi="仿宋" w:eastAsia="仿宋"/>
          <w:b/>
          <w:sz w:val="32"/>
          <w:szCs w:val="32"/>
        </w:rPr>
        <w:t>（二）一般公共预算财政拨款支出决算结构情况</w:t>
      </w:r>
      <w:bookmarkEnd w:id="76"/>
    </w:p>
    <w:p w14:paraId="17D0E16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21年一般公共预算财政拨款支出557.23万元，主要用于以下方面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467.46万元，占83.88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支出48.69万元，占8.74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住房保障支出（类）</w:t>
      </w:r>
      <w:r>
        <w:rPr>
          <w:rFonts w:hint="eastAsia" w:ascii="仿宋" w:hAnsi="仿宋" w:eastAsia="仿宋"/>
          <w:sz w:val="32"/>
          <w:szCs w:val="32"/>
        </w:rPr>
        <w:t>41.08万元，占7.38</w:t>
      </w:r>
      <w:r>
        <w:rPr>
          <w:rFonts w:ascii="仿宋" w:hAnsi="仿宋" w:eastAsia="仿宋"/>
          <w:sz w:val="32"/>
          <w:szCs w:val="32"/>
        </w:rPr>
        <w:t>%</w:t>
      </w:r>
      <w:r>
        <w:rPr>
          <w:rFonts w:hint="eastAsia" w:ascii="仿宋" w:hAnsi="仿宋" w:eastAsia="仿宋"/>
          <w:sz w:val="32"/>
          <w:szCs w:val="32"/>
        </w:rPr>
        <w:t>。</w:t>
      </w:r>
    </w:p>
    <w:p w14:paraId="43635859">
      <w:pPr>
        <w:pStyle w:val="6"/>
        <w:spacing w:before="93"/>
        <w:rPr>
          <w:rFonts w:ascii="仿宋" w:hAnsi="仿宋" w:eastAsia="仿宋"/>
          <w:sz w:val="32"/>
          <w:szCs w:val="32"/>
        </w:rPr>
      </w:pPr>
      <w:r>
        <w:drawing>
          <wp:inline distT="0" distB="0" distL="114300" distR="114300">
            <wp:extent cx="5268595" cy="2823210"/>
            <wp:effectExtent l="4445" t="4445" r="22860" b="10795"/>
            <wp:docPr id="23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412FD0">
      <w:pPr>
        <w:spacing w:line="600" w:lineRule="exact"/>
        <w:ind w:firstLine="643" w:firstLineChars="200"/>
        <w:outlineLvl w:val="2"/>
        <w:rPr>
          <w:rFonts w:ascii="仿宋" w:hAnsi="仿宋" w:eastAsia="仿宋"/>
          <w:b/>
          <w:sz w:val="32"/>
          <w:szCs w:val="32"/>
        </w:rPr>
      </w:pPr>
      <w:bookmarkStart w:id="77" w:name="_Toc15377212"/>
      <w:r>
        <w:rPr>
          <w:rFonts w:hint="eastAsia" w:ascii="仿宋" w:hAnsi="仿宋" w:eastAsia="仿宋"/>
          <w:b/>
          <w:sz w:val="32"/>
          <w:szCs w:val="32"/>
        </w:rPr>
        <w:t>（三）一般公共预算财政拨款支出决算具体情况</w:t>
      </w:r>
      <w:bookmarkEnd w:id="77"/>
    </w:p>
    <w:p w14:paraId="40D42477">
      <w:pPr>
        <w:spacing w:line="600" w:lineRule="exact"/>
        <w:ind w:firstLine="643" w:firstLineChars="200"/>
        <w:outlineLvl w:val="2"/>
        <w:rPr>
          <w:rFonts w:ascii="仿宋" w:hAnsi="仿宋" w:eastAsia="仿宋"/>
          <w:sz w:val="32"/>
          <w:szCs w:val="32"/>
        </w:rPr>
      </w:pPr>
      <w:bookmarkStart w:id="78" w:name="_Toc15378460"/>
      <w:bookmarkStart w:id="79" w:name="_Toc15377213"/>
      <w:bookmarkStart w:id="80" w:name="_Toc15377444"/>
      <w:r>
        <w:rPr>
          <w:rFonts w:hint="eastAsia" w:ascii="仿宋" w:hAnsi="仿宋" w:eastAsia="仿宋"/>
          <w:b/>
          <w:sz w:val="32"/>
          <w:szCs w:val="32"/>
        </w:rPr>
        <w:t>2021年一般公共预算支出决算数为557.23万元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78"/>
      <w:bookmarkEnd w:id="79"/>
      <w:bookmarkEnd w:id="80"/>
    </w:p>
    <w:p w14:paraId="2587C445">
      <w:pPr>
        <w:spacing w:line="600" w:lineRule="exact"/>
        <w:ind w:firstLine="643" w:firstLineChars="200"/>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教育（类）普通教育（款）学期教育（项）</w:t>
      </w:r>
      <w:r>
        <w:rPr>
          <w:rStyle w:val="17"/>
          <w:rFonts w:ascii="仿宋" w:hAnsi="仿宋" w:eastAsia="仿宋"/>
          <w:bCs/>
          <w:sz w:val="32"/>
          <w:szCs w:val="32"/>
        </w:rPr>
        <w:t>:</w:t>
      </w:r>
      <w:r>
        <w:rPr>
          <w:rStyle w:val="17"/>
          <w:rFonts w:hint="eastAsia" w:ascii="仿宋" w:hAnsi="仿宋" w:eastAsia="仿宋"/>
          <w:b w:val="0"/>
          <w:bCs/>
          <w:sz w:val="32"/>
          <w:szCs w:val="32"/>
        </w:rPr>
        <w:t>支出决算为444.05万元，完成预算100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，决算数小于等于预算数。</w:t>
      </w:r>
    </w:p>
    <w:p w14:paraId="64815924">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教育（类）教育费附加安排的支出（款）其他教育费附加安排的支出（项）</w:t>
      </w:r>
      <w:r>
        <w:rPr>
          <w:rStyle w:val="17"/>
          <w:rFonts w:ascii="仿宋" w:hAnsi="仿宋" w:eastAsia="仿宋"/>
          <w:bCs/>
          <w:sz w:val="32"/>
          <w:szCs w:val="32"/>
        </w:rPr>
        <w:t>:</w:t>
      </w:r>
      <w:r>
        <w:rPr>
          <w:rStyle w:val="17"/>
          <w:rFonts w:hint="eastAsia" w:ascii="仿宋" w:hAnsi="仿宋" w:eastAsia="仿宋"/>
          <w:b w:val="0"/>
          <w:bCs/>
          <w:sz w:val="32"/>
          <w:szCs w:val="32"/>
        </w:rPr>
        <w:t>支出决算为23.41万元，完成预算100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，决算数小于等于预算数</w:t>
      </w:r>
    </w:p>
    <w:p w14:paraId="51459E42">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w:t>
      </w:r>
      <w:r>
        <w:rPr>
          <w:rStyle w:val="17"/>
          <w:rFonts w:ascii="仿宋" w:hAnsi="仿宋" w:eastAsia="仿宋"/>
          <w:bCs/>
          <w:sz w:val="32"/>
          <w:szCs w:val="32"/>
        </w:rPr>
        <w:t>:</w:t>
      </w:r>
    </w:p>
    <w:p w14:paraId="76D51E31">
      <w:pPr>
        <w:spacing w:line="600" w:lineRule="exact"/>
        <w:ind w:firstLine="640" w:firstLineChars="200"/>
        <w:rPr>
          <w:rStyle w:val="17"/>
          <w:rFonts w:ascii="仿宋" w:hAnsi="仿宋" w:eastAsia="仿宋"/>
          <w:b w:val="0"/>
          <w:bCs/>
          <w:sz w:val="32"/>
          <w:szCs w:val="32"/>
        </w:rPr>
      </w:pPr>
      <w:r>
        <w:rPr>
          <w:rStyle w:val="17"/>
          <w:rFonts w:ascii="仿宋" w:hAnsi="仿宋" w:eastAsia="仿宋"/>
          <w:b w:val="0"/>
          <w:sz w:val="32"/>
          <w:szCs w:val="32"/>
        </w:rPr>
        <w:sym w:font="Wingdings" w:char="F081"/>
      </w:r>
      <w:r>
        <w:rPr>
          <w:rStyle w:val="17"/>
          <w:rFonts w:hint="eastAsia" w:ascii="仿宋" w:hAnsi="仿宋" w:eastAsia="仿宋"/>
          <w:b w:val="0"/>
          <w:sz w:val="32"/>
          <w:szCs w:val="32"/>
        </w:rPr>
        <w:t>机关事业单位基本养老保险缴费支出：</w:t>
      </w:r>
      <w:r>
        <w:rPr>
          <w:rStyle w:val="17"/>
          <w:rFonts w:hint="eastAsia" w:ascii="仿宋" w:hAnsi="仿宋" w:eastAsia="仿宋"/>
          <w:b w:val="0"/>
          <w:bCs/>
          <w:sz w:val="32"/>
          <w:szCs w:val="32"/>
        </w:rPr>
        <w:t>支出决算为42.27万元，完成预算100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68F4444B">
      <w:pPr>
        <w:spacing w:line="600" w:lineRule="exact"/>
        <w:ind w:firstLine="640" w:firstLineChars="200"/>
      </w:pPr>
      <w:r>
        <w:rPr>
          <w:sz w:val="32"/>
          <w:szCs w:val="32"/>
        </w:rPr>
        <w:sym w:font="Wingdings" w:char="F082"/>
      </w:r>
      <w:r>
        <w:rPr>
          <w:rStyle w:val="17"/>
          <w:rFonts w:hint="eastAsia" w:ascii="仿宋" w:hAnsi="仿宋" w:eastAsia="仿宋"/>
          <w:b w:val="0"/>
          <w:sz w:val="32"/>
          <w:szCs w:val="32"/>
        </w:rPr>
        <w:t>机关事业单位职业年金缴费支出：</w:t>
      </w:r>
      <w:r>
        <w:rPr>
          <w:rStyle w:val="17"/>
          <w:rFonts w:hint="eastAsia" w:ascii="仿宋" w:hAnsi="仿宋" w:eastAsia="仿宋"/>
          <w:b w:val="0"/>
          <w:bCs/>
          <w:sz w:val="32"/>
          <w:szCs w:val="32"/>
        </w:rPr>
        <w:t>支出决算为6.42万元，完成预算100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7DECF33E">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w:t>
      </w:r>
      <w:r>
        <w:rPr>
          <w:rStyle w:val="17"/>
          <w:rFonts w:ascii="仿宋" w:hAnsi="仿宋" w:eastAsia="仿宋"/>
          <w:bCs/>
          <w:sz w:val="32"/>
          <w:szCs w:val="32"/>
        </w:rPr>
        <w:t>:</w:t>
      </w:r>
    </w:p>
    <w:p w14:paraId="063C9759">
      <w:pPr>
        <w:spacing w:line="600" w:lineRule="exact"/>
        <w:ind w:firstLine="640" w:firstLineChars="200"/>
        <w:rPr>
          <w:rStyle w:val="17"/>
          <w:rFonts w:ascii="仿宋" w:hAnsi="仿宋" w:eastAsia="仿宋"/>
          <w:b w:val="0"/>
          <w:bCs/>
          <w:sz w:val="32"/>
          <w:szCs w:val="32"/>
        </w:rPr>
      </w:pPr>
      <w:r>
        <w:rPr>
          <w:rStyle w:val="17"/>
          <w:rFonts w:ascii="仿宋" w:hAnsi="仿宋" w:eastAsia="仿宋"/>
          <w:b w:val="0"/>
          <w:sz w:val="32"/>
          <w:szCs w:val="32"/>
        </w:rPr>
        <w:sym w:font="Wingdings" w:char="F081"/>
      </w:r>
      <w:r>
        <w:rPr>
          <w:rStyle w:val="17"/>
          <w:rFonts w:hint="eastAsia" w:ascii="仿宋" w:hAnsi="仿宋" w:eastAsia="仿宋"/>
          <w:b w:val="0"/>
          <w:sz w:val="32"/>
          <w:szCs w:val="32"/>
        </w:rPr>
        <w:t>住房公积金：</w:t>
      </w:r>
      <w:r>
        <w:rPr>
          <w:rStyle w:val="17"/>
          <w:rFonts w:hint="eastAsia" w:ascii="仿宋" w:hAnsi="仿宋" w:eastAsia="仿宋"/>
          <w:b w:val="0"/>
          <w:bCs/>
          <w:sz w:val="32"/>
          <w:szCs w:val="32"/>
        </w:rPr>
        <w:t>支出决算为39.51万元，完成预算100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5D86F4B1">
      <w:pPr>
        <w:spacing w:line="600" w:lineRule="exact"/>
        <w:ind w:firstLine="640" w:firstLineChars="200"/>
        <w:rPr>
          <w:rFonts w:ascii="仿宋" w:hAnsi="仿宋" w:eastAsia="仿宋"/>
          <w:b/>
          <w:sz w:val="32"/>
          <w:szCs w:val="32"/>
        </w:rPr>
      </w:pPr>
      <w:r>
        <w:rPr>
          <w:sz w:val="32"/>
          <w:szCs w:val="32"/>
        </w:rPr>
        <w:sym w:font="Wingdings" w:char="F082"/>
      </w:r>
      <w:r>
        <w:rPr>
          <w:rStyle w:val="17"/>
          <w:rFonts w:hint="eastAsia" w:ascii="仿宋" w:hAnsi="仿宋" w:eastAsia="仿宋"/>
          <w:b w:val="0"/>
          <w:sz w:val="32"/>
          <w:szCs w:val="32"/>
        </w:rPr>
        <w:t>购房补贴：</w:t>
      </w:r>
      <w:r>
        <w:rPr>
          <w:rStyle w:val="17"/>
          <w:rFonts w:hint="eastAsia" w:ascii="仿宋" w:hAnsi="仿宋" w:eastAsia="仿宋"/>
          <w:b w:val="0"/>
          <w:bCs/>
          <w:sz w:val="32"/>
          <w:szCs w:val="32"/>
        </w:rPr>
        <w:t>支出决算为1.57万元，完成预算100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D660F75">
      <w:pPr>
        <w:tabs>
          <w:tab w:val="right" w:pos="8306"/>
        </w:tabs>
        <w:spacing w:line="600" w:lineRule="exact"/>
        <w:ind w:firstLine="640"/>
        <w:outlineLvl w:val="1"/>
        <w:rPr>
          <w:rStyle w:val="28"/>
        </w:rPr>
      </w:pPr>
      <w:bookmarkStart w:id="81" w:name="_Toc15377214"/>
      <w:bookmarkStart w:id="82" w:name="_Toc15396608"/>
      <w:bookmarkStart w:id="83" w:name="_Toc21808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81"/>
      <w:bookmarkEnd w:id="82"/>
      <w:bookmarkEnd w:id="83"/>
      <w:r>
        <w:rPr>
          <w:rStyle w:val="28"/>
          <w:rFonts w:ascii="黑体" w:hAnsi="黑体" w:eastAsia="黑体"/>
          <w:b w:val="0"/>
        </w:rPr>
        <w:tab/>
      </w:r>
    </w:p>
    <w:p w14:paraId="6F6BB738">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21年一般公共预算财政拨款基本支出514.82万元，其中：</w:t>
      </w:r>
    </w:p>
    <w:p w14:paraId="1260D6A2">
      <w:pPr>
        <w:spacing w:line="600" w:lineRule="exact"/>
        <w:ind w:firstLine="645"/>
        <w:rPr>
          <w:rFonts w:ascii="仿宋" w:hAnsi="仿宋" w:eastAsia="仿宋"/>
          <w:b/>
          <w:sz w:val="32"/>
          <w:szCs w:val="32"/>
        </w:rPr>
      </w:pPr>
      <w:r>
        <w:rPr>
          <w:rFonts w:hint="eastAsia" w:ascii="仿宋" w:hAnsi="仿宋" w:eastAsia="仿宋"/>
          <w:sz w:val="32"/>
          <w:szCs w:val="32"/>
        </w:rPr>
        <w:t>人员经费483.69万元，主要包括：基本工资、津贴补贴、绩效工资、机关事业单位基本养老保险缴费、职业年金缴费、其他社会保障缴费、生活补助、医疗费补助、奖励金、住房公积金等。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公用经费31.13万元，主要包括：办公费、水费、电费、邮电费、差旅费、维修（护）费、租赁费、会议费、培训费、劳务费、工会经费、福利费等。</w:t>
      </w:r>
    </w:p>
    <w:p w14:paraId="2816BEEC">
      <w:pPr>
        <w:spacing w:line="600" w:lineRule="exact"/>
        <w:ind w:firstLine="640"/>
        <w:outlineLvl w:val="1"/>
        <w:rPr>
          <w:rStyle w:val="28"/>
          <w:rFonts w:ascii="黑体" w:hAnsi="黑体" w:eastAsia="黑体"/>
          <w:b w:val="0"/>
        </w:rPr>
      </w:pPr>
      <w:bookmarkStart w:id="84" w:name="_Toc15377215"/>
      <w:bookmarkStart w:id="85" w:name="_Toc15396609"/>
      <w:bookmarkStart w:id="86" w:name="_Toc24892_WPSOffice_Level2"/>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84"/>
      <w:bookmarkEnd w:id="85"/>
      <w:bookmarkEnd w:id="86"/>
    </w:p>
    <w:p w14:paraId="0BA734CF">
      <w:pPr>
        <w:spacing w:line="600" w:lineRule="exact"/>
        <w:ind w:firstLine="640"/>
        <w:outlineLvl w:val="2"/>
        <w:rPr>
          <w:rFonts w:ascii="仿宋" w:hAnsi="仿宋" w:eastAsia="仿宋"/>
          <w:b/>
          <w:sz w:val="32"/>
          <w:szCs w:val="32"/>
        </w:rPr>
      </w:pPr>
      <w:bookmarkStart w:id="87" w:name="_Toc15377216"/>
      <w:r>
        <w:rPr>
          <w:rFonts w:hint="eastAsia" w:ascii="仿宋" w:hAnsi="仿宋" w:eastAsia="仿宋"/>
          <w:b/>
          <w:sz w:val="32"/>
          <w:szCs w:val="32"/>
        </w:rPr>
        <w:t>（一）“三公”经费财政拨款支出决算总体情况说明</w:t>
      </w:r>
      <w:bookmarkEnd w:id="87"/>
    </w:p>
    <w:p w14:paraId="28A1B135">
      <w:pPr>
        <w:spacing w:line="600" w:lineRule="exact"/>
        <w:ind w:firstLine="640"/>
        <w:rPr>
          <w:rFonts w:ascii="仿宋" w:hAnsi="仿宋" w:eastAsia="仿宋"/>
          <w:color w:val="000000"/>
          <w:sz w:val="32"/>
          <w:szCs w:val="32"/>
        </w:rPr>
      </w:pPr>
      <w:bookmarkStart w:id="88" w:name="_Toc15377218"/>
      <w:bookmarkStart w:id="89" w:name="_Toc15396610"/>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，决算数与预算数持平的主要原因是本幼儿园年初无“三公”预算经费支出。</w:t>
      </w:r>
    </w:p>
    <w:p w14:paraId="5E180715">
      <w:pPr>
        <w:spacing w:line="600" w:lineRule="exact"/>
        <w:ind w:firstLine="640"/>
        <w:outlineLvl w:val="2"/>
        <w:rPr>
          <w:rFonts w:ascii="仿宋" w:hAnsi="仿宋" w:eastAsia="仿宋"/>
          <w:b/>
          <w:color w:val="000000"/>
          <w:sz w:val="32"/>
          <w:szCs w:val="32"/>
        </w:rPr>
      </w:pPr>
      <w:bookmarkStart w:id="90" w:name="_Toc15377217"/>
      <w:r>
        <w:rPr>
          <w:rFonts w:hint="eastAsia" w:ascii="仿宋" w:hAnsi="仿宋" w:eastAsia="仿宋"/>
          <w:b/>
          <w:color w:val="000000"/>
          <w:sz w:val="32"/>
          <w:szCs w:val="32"/>
        </w:rPr>
        <w:t>（二）“三公”经费财政拨款支出决算具体情况说明</w:t>
      </w:r>
      <w:bookmarkEnd w:id="90"/>
    </w:p>
    <w:p w14:paraId="5AD49FBF">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A014A8A">
      <w:pPr>
        <w:spacing w:line="600" w:lineRule="exact"/>
        <w:ind w:firstLine="640"/>
        <w:rPr>
          <w:rFonts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586740</wp:posOffset>
            </wp:positionH>
            <wp:positionV relativeFrom="paragraph">
              <wp:posOffset>53975</wp:posOffset>
            </wp:positionV>
            <wp:extent cx="4029075" cy="2085340"/>
            <wp:effectExtent l="0" t="0" r="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4029075" cy="2085340"/>
                    </a:xfrm>
                    <a:prstGeom prst="rect">
                      <a:avLst/>
                    </a:prstGeom>
                    <a:noFill/>
                    <a:ln>
                      <a:noFill/>
                    </a:ln>
                  </pic:spPr>
                </pic:pic>
              </a:graphicData>
            </a:graphic>
          </wp:anchor>
        </w:drawing>
      </w:r>
    </w:p>
    <w:p w14:paraId="0E95560B">
      <w:pPr>
        <w:spacing w:line="600" w:lineRule="exact"/>
        <w:ind w:firstLine="640"/>
        <w:rPr>
          <w:rFonts w:ascii="仿宋" w:hAnsi="仿宋" w:eastAsia="仿宋"/>
          <w:color w:val="000000"/>
          <w:sz w:val="32"/>
          <w:szCs w:val="32"/>
        </w:rPr>
      </w:pPr>
    </w:p>
    <w:p w14:paraId="1212A988">
      <w:pPr>
        <w:spacing w:line="600" w:lineRule="exact"/>
        <w:ind w:firstLine="640"/>
        <w:rPr>
          <w:rFonts w:ascii="仿宋" w:hAnsi="仿宋" w:eastAsia="仿宋"/>
          <w:color w:val="000000"/>
          <w:sz w:val="32"/>
          <w:szCs w:val="32"/>
        </w:rPr>
      </w:pPr>
    </w:p>
    <w:p w14:paraId="70FE8F75">
      <w:pPr>
        <w:spacing w:line="600" w:lineRule="exact"/>
        <w:ind w:firstLine="640"/>
        <w:rPr>
          <w:rFonts w:ascii="仿宋" w:hAnsi="仿宋" w:eastAsia="仿宋"/>
          <w:color w:val="000000"/>
          <w:sz w:val="32"/>
          <w:szCs w:val="32"/>
        </w:rPr>
      </w:pPr>
    </w:p>
    <w:p w14:paraId="70D27F86">
      <w:pPr>
        <w:spacing w:line="600" w:lineRule="exact"/>
        <w:ind w:firstLine="640"/>
        <w:rPr>
          <w:rFonts w:ascii="仿宋_GB2312" w:eastAsia="仿宋_GB2312"/>
          <w:b/>
          <w:color w:val="000000"/>
          <w:sz w:val="32"/>
          <w:szCs w:val="32"/>
        </w:rPr>
      </w:pPr>
    </w:p>
    <w:p w14:paraId="567339FB">
      <w:pPr>
        <w:spacing w:line="600" w:lineRule="exact"/>
        <w:ind w:firstLine="640"/>
        <w:rPr>
          <w:rFonts w:ascii="仿宋_GB2312" w:eastAsia="仿宋_GB2312"/>
          <w:b/>
          <w:color w:val="000000"/>
          <w:sz w:val="32"/>
          <w:szCs w:val="32"/>
        </w:rPr>
      </w:pPr>
    </w:p>
    <w:p w14:paraId="1D84273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全年安排因公出国（境）团组0次，出国（境）0人。因公出国（境）支出决算与2020年持平。主要原因是盐边县幼儿园年初无因公出国出境预算支出。</w:t>
      </w:r>
    </w:p>
    <w:p w14:paraId="71E1BC2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公务用车购置及运行维护费支出决算与2020年持平。主要原因是盐边县幼儿园无公务用车支出。</w:t>
      </w:r>
    </w:p>
    <w:p w14:paraId="7BFB1294">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万元。全年按规定更新购置公务用车0辆，其中：轿车0辆、金额0万元，越野车0辆、金额0万元，载客汽车0辆、金额0万元，截至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14:paraId="6A04BAD0">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0万元。主要用于因公所需的公务用车燃料费、维修费、过路过桥费、保险费等支出。</w:t>
      </w:r>
    </w:p>
    <w:p w14:paraId="527FB1E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公务接待费支出决算与2020年持平。主要原因是无公务接待。</w:t>
      </w:r>
    </w:p>
    <w:p w14:paraId="07D9AE50">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万元，主要用于（执行公务、开展业务活动开支的交通费、住宿费、用餐费等）。国内公务接待0批次，0人次（不包括陪同人员），共计支出0万元。</w:t>
      </w:r>
    </w:p>
    <w:p w14:paraId="4500E50A">
      <w:pPr>
        <w:spacing w:line="600" w:lineRule="exact"/>
        <w:ind w:firstLine="643" w:firstLineChars="200"/>
        <w:rPr>
          <w:rFonts w:ascii="黑体" w:eastAsia="黑体"/>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4E5F9064">
      <w:pPr>
        <w:spacing w:line="600" w:lineRule="exact"/>
        <w:ind w:firstLine="640"/>
        <w:outlineLvl w:val="1"/>
        <w:rPr>
          <w:rStyle w:val="28"/>
          <w:rFonts w:ascii="黑体" w:hAnsi="黑体" w:eastAsia="黑体"/>
        </w:rPr>
      </w:pPr>
      <w:bookmarkStart w:id="91" w:name="_Toc18227_WPSOffice_Level2"/>
      <w:r>
        <w:rPr>
          <w:rFonts w:hint="eastAsia" w:ascii="黑体" w:eastAsia="黑体"/>
          <w:sz w:val="32"/>
          <w:szCs w:val="32"/>
        </w:rPr>
        <w:t>八、</w:t>
      </w:r>
      <w:r>
        <w:rPr>
          <w:rStyle w:val="28"/>
          <w:rFonts w:hint="eastAsia" w:ascii="黑体" w:hAnsi="黑体" w:eastAsia="黑体"/>
          <w:b w:val="0"/>
        </w:rPr>
        <w:t>政府性基金预算支出决算情况说明</w:t>
      </w:r>
      <w:bookmarkEnd w:id="88"/>
      <w:bookmarkEnd w:id="89"/>
      <w:bookmarkEnd w:id="91"/>
    </w:p>
    <w:p w14:paraId="43332B6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1D15483E">
      <w:pPr>
        <w:numPr>
          <w:ilvl w:val="0"/>
          <w:numId w:val="2"/>
        </w:numPr>
        <w:spacing w:line="600" w:lineRule="exact"/>
        <w:ind w:firstLine="640"/>
        <w:outlineLvl w:val="1"/>
        <w:rPr>
          <w:rStyle w:val="28"/>
          <w:rFonts w:ascii="黑体" w:hAnsi="黑体" w:eastAsia="黑体"/>
          <w:b w:val="0"/>
        </w:rPr>
      </w:pPr>
      <w:bookmarkStart w:id="92" w:name="_Toc10286_WPSOffice_Level2"/>
      <w:bookmarkStart w:id="93" w:name="_Toc15396611"/>
      <w:bookmarkStart w:id="94" w:name="_Toc15377219"/>
      <w:r>
        <w:rPr>
          <w:rStyle w:val="28"/>
          <w:rFonts w:hint="eastAsia" w:ascii="黑体" w:hAnsi="黑体" w:eastAsia="黑体"/>
          <w:b w:val="0"/>
        </w:rPr>
        <w:t>国有资本经营预算支出决算情况说明</w:t>
      </w:r>
      <w:bookmarkEnd w:id="92"/>
      <w:bookmarkEnd w:id="93"/>
      <w:bookmarkEnd w:id="94"/>
    </w:p>
    <w:p w14:paraId="548137FB">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7C4D80A1">
      <w:pPr>
        <w:numPr>
          <w:ilvl w:val="0"/>
          <w:numId w:val="2"/>
        </w:numPr>
        <w:spacing w:line="600" w:lineRule="exact"/>
        <w:ind w:firstLine="640"/>
        <w:outlineLvl w:val="1"/>
        <w:rPr>
          <w:rStyle w:val="28"/>
          <w:rFonts w:ascii="黑体" w:hAnsi="黑体" w:eastAsia="黑体"/>
          <w:b w:val="0"/>
        </w:rPr>
      </w:pPr>
      <w:bookmarkStart w:id="95" w:name="_Toc15377221"/>
      <w:bookmarkStart w:id="96" w:name="_Toc15396612"/>
      <w:bookmarkStart w:id="97" w:name="_Toc30988_WPSOffice_Level2"/>
      <w:r>
        <w:rPr>
          <w:rStyle w:val="28"/>
          <w:rFonts w:hint="eastAsia" w:ascii="黑体" w:hAnsi="黑体" w:eastAsia="黑体"/>
          <w:b w:val="0"/>
        </w:rPr>
        <w:t>其他重要事项的情况说明</w:t>
      </w:r>
      <w:bookmarkEnd w:id="95"/>
      <w:bookmarkEnd w:id="96"/>
      <w:bookmarkEnd w:id="97"/>
    </w:p>
    <w:p w14:paraId="444CA8A2">
      <w:pPr>
        <w:spacing w:line="600" w:lineRule="exact"/>
        <w:ind w:firstLine="643" w:firstLineChars="200"/>
        <w:outlineLvl w:val="2"/>
        <w:rPr>
          <w:rFonts w:ascii="仿宋" w:hAnsi="仿宋" w:eastAsia="仿宋"/>
          <w:sz w:val="32"/>
          <w:szCs w:val="32"/>
        </w:rPr>
      </w:pPr>
      <w:bookmarkStart w:id="98" w:name="_Toc15377222"/>
      <w:r>
        <w:rPr>
          <w:rFonts w:hint="eastAsia" w:ascii="仿宋" w:hAnsi="仿宋" w:eastAsia="仿宋"/>
          <w:b/>
          <w:sz w:val="32"/>
          <w:szCs w:val="32"/>
        </w:rPr>
        <w:t>（一）机关运行经费支出情况</w:t>
      </w:r>
      <w:bookmarkEnd w:id="98"/>
    </w:p>
    <w:p w14:paraId="4BEE2A57">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21年，盐边幼儿园机关运行经费支出0万元，与</w:t>
      </w:r>
      <w:r>
        <w:rPr>
          <w:rFonts w:ascii="仿宋_GB2312" w:eastAsia="仿宋_GB2312"/>
          <w:sz w:val="32"/>
          <w:szCs w:val="32"/>
        </w:rPr>
        <w:t>20</w:t>
      </w:r>
      <w:r>
        <w:rPr>
          <w:rFonts w:hint="eastAsia" w:ascii="仿宋_GB2312" w:eastAsia="仿宋_GB2312"/>
          <w:sz w:val="32"/>
          <w:szCs w:val="32"/>
        </w:rPr>
        <w:t>20年决算数持平。主要原因是我单位为事业单位不反映机关运行经费。</w:t>
      </w:r>
    </w:p>
    <w:p w14:paraId="0ADB1D22">
      <w:pPr>
        <w:autoSpaceDE w:val="0"/>
        <w:autoSpaceDN w:val="0"/>
        <w:adjustRightInd w:val="0"/>
        <w:spacing w:line="600" w:lineRule="exact"/>
        <w:ind w:firstLine="643" w:firstLineChars="200"/>
        <w:jc w:val="left"/>
        <w:outlineLvl w:val="2"/>
        <w:rPr>
          <w:rFonts w:ascii="仿宋" w:hAnsi="仿宋" w:eastAsia="仿宋"/>
          <w:b/>
          <w:sz w:val="32"/>
          <w:szCs w:val="32"/>
        </w:rPr>
      </w:pPr>
      <w:bookmarkStart w:id="99" w:name="_Toc15377223"/>
      <w:r>
        <w:rPr>
          <w:rFonts w:hint="eastAsia" w:ascii="仿宋" w:hAnsi="仿宋" w:eastAsia="仿宋"/>
          <w:b/>
          <w:sz w:val="32"/>
          <w:szCs w:val="32"/>
        </w:rPr>
        <w:t>（二）政府采购支出情况</w:t>
      </w:r>
      <w:bookmarkEnd w:id="99"/>
    </w:p>
    <w:p w14:paraId="12F94672">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盐边县幼儿园政府采购支出总额0万元，其中：政府采购货物支出0万元、政府采购工程支出0万元、政府采购服务支出0万元。主要用于授予中小企业合同金额0万元，占政府采购支出总额的0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00103386">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0" w:name="_Toc15377224"/>
      <w:r>
        <w:rPr>
          <w:rFonts w:hint="eastAsia" w:ascii="仿宋" w:hAnsi="仿宋" w:eastAsia="仿宋"/>
          <w:b/>
          <w:sz w:val="32"/>
          <w:szCs w:val="32"/>
        </w:rPr>
        <w:t>（三）国有资产占有使用情况</w:t>
      </w:r>
      <w:bookmarkEnd w:id="100"/>
    </w:p>
    <w:p w14:paraId="08954053">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盐边县幼儿园共有车辆0辆，其中：主要领导干部用车0辆、机要通信用车0辆、应急保障用车0辆、其他用车0辆，其他用车主要是用于单价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60D15CC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AE262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0个项目开展了预算事前绩效评估，对0个项目编制了绩效目标，预算执行过程中，选取0个项目开展绩效监控，年终执行完毕后，对0个项目开展了绩效自评。同时，本部门对2021年部门整体开展绩效自评，《2021年县幼儿园部门整体绩效评价报告》见附件（第四部分）。</w:t>
      </w:r>
    </w:p>
    <w:p w14:paraId="39ECDFA5">
      <w:pPr>
        <w:widowControl/>
        <w:jc w:val="left"/>
        <w:rPr>
          <w:rFonts w:ascii="仿宋_GB2312" w:eastAsia="仿宋_GB2312"/>
          <w:b/>
          <w:sz w:val="32"/>
          <w:szCs w:val="32"/>
        </w:rPr>
      </w:pPr>
      <w:r>
        <w:rPr>
          <w:rFonts w:ascii="仿宋_GB2312" w:eastAsia="仿宋_GB2312"/>
          <w:b/>
          <w:sz w:val="32"/>
          <w:szCs w:val="32"/>
        </w:rPr>
        <w:br w:type="page"/>
      </w:r>
    </w:p>
    <w:p w14:paraId="4F4C9DE6">
      <w:pPr>
        <w:pStyle w:val="2"/>
        <w:jc w:val="center"/>
        <w:rPr>
          <w:rFonts w:eastAsia="方正小标宋_GBK"/>
          <w:sz w:val="44"/>
          <w:szCs w:val="44"/>
        </w:rPr>
      </w:pPr>
      <w:bookmarkStart w:id="101" w:name="_Toc20300_WPSOffice_Level1"/>
      <w:bookmarkStart w:id="102" w:name="_Toc1969_WPSOffice_Level1"/>
      <w:bookmarkStart w:id="103" w:name="_Toc15377226"/>
      <w:r>
        <w:rPr>
          <w:rFonts w:eastAsia="方正小标宋_GBK"/>
          <w:sz w:val="44"/>
          <w:szCs w:val="44"/>
        </w:rPr>
        <w:t>第三部分 名词解释</w:t>
      </w:r>
      <w:bookmarkEnd w:id="101"/>
      <w:bookmarkEnd w:id="102"/>
    </w:p>
    <w:p w14:paraId="49525C0B">
      <w:pPr>
        <w:pStyle w:val="2"/>
      </w:pPr>
    </w:p>
    <w:p w14:paraId="77A1E384">
      <w:pPr>
        <w:pStyle w:val="2"/>
        <w:spacing w:line="560" w:lineRule="exact"/>
        <w:ind w:firstLine="643" w:firstLineChars="200"/>
        <w:rPr>
          <w:rFonts w:eastAsia="仿宋_GB2312"/>
          <w:sz w:val="32"/>
          <w:szCs w:val="32"/>
        </w:rPr>
      </w:pPr>
      <w:r>
        <w:rPr>
          <w:rFonts w:eastAsia="仿宋_GB2312"/>
          <w:b/>
          <w:sz w:val="32"/>
          <w:szCs w:val="32"/>
        </w:rPr>
        <w:t>1.财政拨款收入：</w:t>
      </w:r>
      <w:r>
        <w:rPr>
          <w:rFonts w:eastAsia="仿宋_GB2312"/>
          <w:sz w:val="32"/>
          <w:szCs w:val="32"/>
        </w:rPr>
        <w:t>指单位从同级财政部门取得的财政预算资金。</w:t>
      </w:r>
    </w:p>
    <w:p w14:paraId="18A230C6">
      <w:pPr>
        <w:pStyle w:val="2"/>
        <w:spacing w:line="560" w:lineRule="exact"/>
        <w:ind w:firstLine="643" w:firstLineChars="200"/>
        <w:rPr>
          <w:rFonts w:eastAsia="仿宋_GB2312"/>
          <w:sz w:val="32"/>
          <w:szCs w:val="32"/>
        </w:rPr>
      </w:pPr>
      <w:r>
        <w:rPr>
          <w:rFonts w:eastAsia="仿宋_GB2312"/>
          <w:b/>
          <w:sz w:val="32"/>
          <w:szCs w:val="32"/>
        </w:rPr>
        <w:t>2.事业收入：</w:t>
      </w:r>
      <w:r>
        <w:rPr>
          <w:rFonts w:eastAsia="仿宋_GB2312"/>
          <w:sz w:val="32"/>
          <w:szCs w:val="32"/>
        </w:rPr>
        <w:t>指事业单位开展专业业务活动及辅助活动取得的收入。如（二级预算单位事业收入情况）等。</w:t>
      </w:r>
    </w:p>
    <w:p w14:paraId="2135CC1C">
      <w:pPr>
        <w:pStyle w:val="2"/>
        <w:spacing w:line="560" w:lineRule="exact"/>
        <w:ind w:firstLine="643" w:firstLineChars="200"/>
        <w:rPr>
          <w:rFonts w:eastAsia="仿宋_GB2312"/>
          <w:sz w:val="32"/>
          <w:szCs w:val="32"/>
        </w:rPr>
      </w:pPr>
      <w:r>
        <w:rPr>
          <w:rFonts w:eastAsia="仿宋_GB2312"/>
          <w:b/>
          <w:sz w:val="32"/>
          <w:szCs w:val="32"/>
        </w:rPr>
        <w:t>3.经营收入：</w:t>
      </w:r>
      <w:r>
        <w:rPr>
          <w:rFonts w:eastAsia="仿宋_GB2312"/>
          <w:sz w:val="32"/>
          <w:szCs w:val="32"/>
        </w:rPr>
        <w:t>指事业单位在专业业务活动及其辅助活动之外开展非独立核算经营活动取得的收入。如（二级预算单位经营收入情况）等。</w:t>
      </w:r>
    </w:p>
    <w:p w14:paraId="27E42025">
      <w:pPr>
        <w:pStyle w:val="2"/>
        <w:spacing w:line="560" w:lineRule="exact"/>
        <w:ind w:firstLine="643" w:firstLineChars="200"/>
        <w:rPr>
          <w:rFonts w:eastAsia="仿宋_GB2312"/>
          <w:sz w:val="32"/>
          <w:szCs w:val="32"/>
        </w:rPr>
      </w:pPr>
      <w:r>
        <w:rPr>
          <w:rFonts w:eastAsia="仿宋_GB2312"/>
          <w:b/>
          <w:sz w:val="32"/>
          <w:szCs w:val="32"/>
        </w:rPr>
        <w:t>4.其他收入：</w:t>
      </w:r>
      <w:r>
        <w:rPr>
          <w:rFonts w:eastAsia="仿宋_GB2312"/>
          <w:sz w:val="32"/>
          <w:szCs w:val="32"/>
        </w:rPr>
        <w:t xml:space="preserve">指单位取得的除上述收入以外的各项收入。 </w:t>
      </w:r>
    </w:p>
    <w:p w14:paraId="75B1FA57">
      <w:pPr>
        <w:pStyle w:val="2"/>
        <w:spacing w:line="560" w:lineRule="exact"/>
        <w:ind w:firstLine="643" w:firstLineChars="200"/>
        <w:rPr>
          <w:rFonts w:eastAsia="仿宋_GB2312"/>
          <w:sz w:val="32"/>
          <w:szCs w:val="32"/>
        </w:rPr>
      </w:pPr>
      <w:r>
        <w:rPr>
          <w:rFonts w:eastAsia="仿宋_GB2312"/>
          <w:b/>
          <w:sz w:val="32"/>
          <w:szCs w:val="32"/>
        </w:rPr>
        <w:t>5.用事业基金弥补收支差额：</w:t>
      </w:r>
      <w:r>
        <w:rPr>
          <w:rFonts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7DDBFB6">
      <w:pPr>
        <w:pStyle w:val="2"/>
        <w:spacing w:line="560" w:lineRule="exact"/>
        <w:ind w:firstLine="643" w:firstLineChars="200"/>
        <w:rPr>
          <w:rFonts w:eastAsia="仿宋_GB2312"/>
          <w:sz w:val="32"/>
          <w:szCs w:val="32"/>
        </w:rPr>
      </w:pPr>
      <w:r>
        <w:rPr>
          <w:rFonts w:eastAsia="仿宋_GB2312"/>
          <w:b/>
          <w:sz w:val="32"/>
          <w:szCs w:val="32"/>
        </w:rPr>
        <w:t>6.年初结转和结余：</w:t>
      </w:r>
      <w:r>
        <w:rPr>
          <w:rFonts w:eastAsia="仿宋_GB2312"/>
          <w:sz w:val="32"/>
          <w:szCs w:val="32"/>
        </w:rPr>
        <w:t xml:space="preserve">指以前年度尚未完成、结转到本年按有关规定继续使用的资金。 </w:t>
      </w:r>
    </w:p>
    <w:p w14:paraId="2110765F">
      <w:pPr>
        <w:pStyle w:val="2"/>
        <w:spacing w:line="560" w:lineRule="exact"/>
        <w:ind w:firstLine="643" w:firstLineChars="200"/>
        <w:rPr>
          <w:rFonts w:eastAsia="仿宋_GB2312"/>
          <w:sz w:val="32"/>
          <w:szCs w:val="32"/>
        </w:rPr>
      </w:pPr>
      <w:r>
        <w:rPr>
          <w:rFonts w:eastAsia="仿宋_GB2312"/>
          <w:b/>
          <w:sz w:val="32"/>
          <w:szCs w:val="32"/>
        </w:rPr>
        <w:t>7.结余分配：</w:t>
      </w:r>
      <w:r>
        <w:rPr>
          <w:rFonts w:eastAsia="仿宋_GB2312"/>
          <w:sz w:val="32"/>
          <w:szCs w:val="32"/>
        </w:rPr>
        <w:t>指事业单位按照事业单位会计制度的规定从非财政补助结余中分配的事业基金和职工福利基金等。</w:t>
      </w:r>
    </w:p>
    <w:p w14:paraId="0F99D868">
      <w:pPr>
        <w:pStyle w:val="2"/>
        <w:spacing w:line="560" w:lineRule="exact"/>
        <w:ind w:firstLine="643" w:firstLineChars="200"/>
        <w:rPr>
          <w:rFonts w:eastAsia="仿宋_GB2312"/>
          <w:sz w:val="32"/>
          <w:szCs w:val="32"/>
        </w:rPr>
      </w:pPr>
      <w:r>
        <w:rPr>
          <w:rFonts w:eastAsia="仿宋_GB2312"/>
          <w:b/>
          <w:sz w:val="32"/>
          <w:szCs w:val="32"/>
        </w:rPr>
        <w:t>8.年末结转和结余：</w:t>
      </w:r>
      <w:r>
        <w:rPr>
          <w:rFonts w:eastAsia="仿宋_GB2312"/>
          <w:sz w:val="32"/>
          <w:szCs w:val="32"/>
        </w:rPr>
        <w:t>指单位按有关规定结转到下年或以后年度继续使用的资金。</w:t>
      </w:r>
    </w:p>
    <w:p w14:paraId="1C0FC29C">
      <w:pPr>
        <w:pStyle w:val="2"/>
        <w:spacing w:line="560" w:lineRule="exact"/>
        <w:ind w:firstLine="643" w:firstLineChars="200"/>
        <w:rPr>
          <w:rFonts w:eastAsia="仿宋_GB2312"/>
          <w:bCs/>
          <w:sz w:val="32"/>
          <w:szCs w:val="32"/>
        </w:rPr>
      </w:pPr>
      <w:r>
        <w:rPr>
          <w:rFonts w:eastAsia="仿宋_GB2312"/>
          <w:b/>
          <w:sz w:val="32"/>
          <w:szCs w:val="32"/>
        </w:rPr>
        <w:t>9.</w:t>
      </w:r>
      <w:r>
        <w:rPr>
          <w:rFonts w:hint="eastAsia" w:eastAsia="仿宋_GB2312"/>
          <w:b/>
          <w:sz w:val="32"/>
          <w:szCs w:val="32"/>
        </w:rPr>
        <w:t>教育支出</w:t>
      </w:r>
      <w:r>
        <w:rPr>
          <w:rFonts w:eastAsia="仿宋_GB2312"/>
          <w:b/>
          <w:sz w:val="32"/>
          <w:szCs w:val="32"/>
        </w:rPr>
        <w:t>（类）</w:t>
      </w:r>
      <w:r>
        <w:rPr>
          <w:rFonts w:hint="eastAsia" w:eastAsia="仿宋_GB2312"/>
          <w:b/>
          <w:sz w:val="32"/>
          <w:szCs w:val="32"/>
        </w:rPr>
        <w:t>普通教育</w:t>
      </w:r>
      <w:r>
        <w:rPr>
          <w:rFonts w:eastAsia="仿宋_GB2312"/>
          <w:b/>
          <w:sz w:val="32"/>
          <w:szCs w:val="32"/>
        </w:rPr>
        <w:t>（款）</w:t>
      </w:r>
      <w:r>
        <w:rPr>
          <w:rFonts w:hint="eastAsia" w:eastAsia="仿宋_GB2312"/>
          <w:b/>
          <w:sz w:val="32"/>
          <w:szCs w:val="32"/>
        </w:rPr>
        <w:t>学期教育（项）：</w:t>
      </w:r>
      <w:r>
        <w:rPr>
          <w:rFonts w:hint="eastAsia" w:eastAsia="仿宋_GB2312"/>
          <w:bCs/>
          <w:sz w:val="32"/>
          <w:szCs w:val="32"/>
        </w:rPr>
        <w:t>指各部门举办的学期教育支出。政府各部门对社会组织等举办的幼儿园的资助，如捐赠、补贴等，也在本科目中反映。</w:t>
      </w:r>
    </w:p>
    <w:p w14:paraId="23A99053">
      <w:pPr>
        <w:ind w:firstLine="643" w:firstLineChars="200"/>
      </w:pPr>
      <w:r>
        <w:rPr>
          <w:rFonts w:hint="eastAsia" w:eastAsia="仿宋_GB2312"/>
          <w:b/>
          <w:sz w:val="32"/>
          <w:szCs w:val="32"/>
        </w:rPr>
        <w:t>10</w:t>
      </w:r>
      <w:r>
        <w:rPr>
          <w:rFonts w:eastAsia="仿宋_GB2312"/>
          <w:b/>
          <w:sz w:val="32"/>
          <w:szCs w:val="32"/>
        </w:rPr>
        <w:t>.</w:t>
      </w:r>
      <w:r>
        <w:rPr>
          <w:rFonts w:hint="eastAsia" w:eastAsia="仿宋_GB2312"/>
          <w:b/>
          <w:sz w:val="32"/>
          <w:szCs w:val="32"/>
        </w:rPr>
        <w:t>教育支出</w:t>
      </w:r>
      <w:r>
        <w:rPr>
          <w:rFonts w:eastAsia="仿宋_GB2312"/>
          <w:b/>
          <w:sz w:val="32"/>
          <w:szCs w:val="32"/>
        </w:rPr>
        <w:t>（类）</w:t>
      </w:r>
      <w:r>
        <w:rPr>
          <w:rFonts w:hint="eastAsia" w:eastAsia="仿宋_GB2312"/>
          <w:b/>
          <w:sz w:val="32"/>
          <w:szCs w:val="32"/>
        </w:rPr>
        <w:t>教育费附加安排的支出</w:t>
      </w:r>
      <w:r>
        <w:rPr>
          <w:rFonts w:eastAsia="仿宋_GB2312"/>
          <w:b/>
          <w:sz w:val="32"/>
          <w:szCs w:val="32"/>
        </w:rPr>
        <w:t>（款）</w:t>
      </w:r>
      <w:r>
        <w:rPr>
          <w:rFonts w:hint="eastAsia" w:eastAsia="仿宋_GB2312"/>
          <w:b/>
          <w:sz w:val="32"/>
          <w:szCs w:val="32"/>
        </w:rPr>
        <w:t>教育费附加安排的支出（项）：</w:t>
      </w:r>
      <w:r>
        <w:rPr>
          <w:rFonts w:hint="eastAsia" w:eastAsia="仿宋_GB2312"/>
          <w:bCs/>
          <w:sz w:val="32"/>
          <w:szCs w:val="32"/>
        </w:rPr>
        <w:t>指除上述项目以外的教育费附加支出。</w:t>
      </w:r>
    </w:p>
    <w:p w14:paraId="3B1275BA">
      <w:pPr>
        <w:pStyle w:val="2"/>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1</w:t>
      </w:r>
      <w:r>
        <w:rPr>
          <w:rFonts w:eastAsia="仿宋_GB2312"/>
          <w:b/>
          <w:sz w:val="32"/>
          <w:szCs w:val="32"/>
        </w:rPr>
        <w:t xml:space="preserve">.社会保障和就业（类）行政事业单位养老支出（款）  </w:t>
      </w:r>
    </w:p>
    <w:p w14:paraId="4E3B358A">
      <w:pPr>
        <w:pStyle w:val="2"/>
        <w:spacing w:line="560" w:lineRule="exact"/>
        <w:ind w:firstLine="640" w:firstLineChars="200"/>
        <w:rPr>
          <w:rFonts w:eastAsia="仿宋_GB2312"/>
          <w:sz w:val="32"/>
          <w:szCs w:val="32"/>
        </w:rPr>
      </w:pPr>
      <w:r>
        <w:rPr>
          <w:rFonts w:eastAsia="仿宋_GB2312"/>
          <w:sz w:val="32"/>
          <w:szCs w:val="32"/>
        </w:rPr>
        <w:t>①行政单位离退休: 指行政单位（包括实行公务员管理的事业单位）开支的离退休支出。</w:t>
      </w:r>
    </w:p>
    <w:p w14:paraId="5081C839">
      <w:pPr>
        <w:pStyle w:val="2"/>
        <w:spacing w:line="560" w:lineRule="exact"/>
        <w:ind w:firstLine="640" w:firstLineChars="200"/>
        <w:rPr>
          <w:rFonts w:ascii="仿宋_GB2312" w:hAnsi="仿宋_GB2312" w:eastAsia="仿宋_GB2312" w:cs="仿宋_GB2312"/>
          <w:sz w:val="32"/>
          <w:szCs w:val="32"/>
        </w:rPr>
      </w:pPr>
      <w:r>
        <w:rPr>
          <w:rFonts w:eastAsia="仿宋_GB2312"/>
          <w:sz w:val="32"/>
          <w:szCs w:val="32"/>
        </w:rPr>
        <w:t>②</w:t>
      </w:r>
      <w:r>
        <w:rPr>
          <w:rFonts w:hint="eastAsia" w:ascii="仿宋_GB2312" w:hAnsi="仿宋_GB2312" w:eastAsia="仿宋_GB2312" w:cs="仿宋_GB2312"/>
          <w:sz w:val="32"/>
          <w:szCs w:val="32"/>
        </w:rPr>
        <w:t>机关事业单位基本养老保险缴费支出：指机关事业单位实施养老保险制度有单位缴纳的基本养老保险费支出。</w:t>
      </w:r>
    </w:p>
    <w:p w14:paraId="1DEB0B6D">
      <w:pPr>
        <w:pStyle w:val="2"/>
        <w:numPr>
          <w:ilvl w:val="0"/>
          <w:numId w:val="3"/>
        </w:numPr>
        <w:spacing w:line="560" w:lineRule="exact"/>
        <w:ind w:firstLine="643" w:firstLineChars="200"/>
        <w:rPr>
          <w:rFonts w:eastAsia="仿宋_GB2312"/>
          <w:b/>
          <w:sz w:val="32"/>
          <w:szCs w:val="32"/>
        </w:rPr>
      </w:pPr>
      <w:r>
        <w:rPr>
          <w:rFonts w:eastAsia="仿宋_GB2312"/>
          <w:b/>
          <w:sz w:val="32"/>
          <w:szCs w:val="32"/>
        </w:rPr>
        <w:t>住房保障支出（类）住房改革支出（款）</w:t>
      </w:r>
    </w:p>
    <w:p w14:paraId="5D220A78">
      <w:pPr>
        <w:pStyle w:val="2"/>
        <w:spacing w:line="560" w:lineRule="exact"/>
        <w:ind w:firstLine="640" w:firstLineChars="200"/>
        <w:rPr>
          <w:rFonts w:eastAsia="仿宋_GB2312"/>
          <w:sz w:val="32"/>
          <w:szCs w:val="32"/>
        </w:rPr>
      </w:pPr>
      <w:r>
        <w:rPr>
          <w:rFonts w:eastAsia="仿宋_GB2312"/>
          <w:bCs/>
          <w:sz w:val="32"/>
          <w:szCs w:val="32"/>
        </w:rPr>
        <w:sym w:font="Wingdings" w:char="F081"/>
      </w:r>
      <w:r>
        <w:rPr>
          <w:rFonts w:eastAsia="仿宋_GB2312"/>
          <w:bCs/>
          <w:sz w:val="32"/>
          <w:szCs w:val="32"/>
        </w:rPr>
        <w:t>住房公积金：</w:t>
      </w:r>
      <w:r>
        <w:rPr>
          <w:rFonts w:eastAsia="仿宋_GB2312"/>
          <w:sz w:val="32"/>
          <w:szCs w:val="32"/>
        </w:rPr>
        <w:t>指行政事业单位按人力资源和社会保障部、财政部规定的基本工资和津贴补贴以及规定比例为职工缴纳的住房公积金。</w:t>
      </w:r>
    </w:p>
    <w:p w14:paraId="7DF88E6F">
      <w:pPr>
        <w:ind w:firstLine="640" w:firstLineChars="200"/>
        <w:rPr>
          <w:rFonts w:ascii="仿宋_GB2312" w:hAnsi="仿宋_GB2312" w:eastAsia="仿宋_GB2312" w:cs="仿宋_GB2312"/>
          <w:sz w:val="32"/>
          <w:szCs w:val="32"/>
        </w:rPr>
      </w:pPr>
      <w:r>
        <w:rPr>
          <w:sz w:val="32"/>
          <w:szCs w:val="32"/>
        </w:rPr>
        <w:sym w:font="Wingdings" w:char="F082"/>
      </w:r>
      <w:r>
        <w:rPr>
          <w:rFonts w:hint="eastAsia" w:ascii="仿宋_GB2312" w:hAnsi="仿宋_GB2312" w:eastAsia="仿宋_GB2312" w:cs="仿宋_GB2312"/>
          <w:sz w:val="32"/>
          <w:szCs w:val="32"/>
        </w:rPr>
        <w:t>购房补贴：指按房改政策规定，行政事业单位向符合条件职工（含离休人员）、军队（含武警）向转役复员退休人员发放的用于购买住房的补贴。</w:t>
      </w:r>
    </w:p>
    <w:p w14:paraId="437D274B">
      <w:pPr>
        <w:pStyle w:val="2"/>
        <w:spacing w:line="560" w:lineRule="exact"/>
        <w:ind w:firstLine="643" w:firstLineChars="200"/>
        <w:rPr>
          <w:rFonts w:eastAsia="仿宋_GB2312"/>
          <w:sz w:val="32"/>
          <w:szCs w:val="32"/>
        </w:rPr>
      </w:pPr>
      <w:r>
        <w:rPr>
          <w:rFonts w:hint="eastAsia" w:eastAsia="仿宋_GB2312"/>
          <w:b/>
          <w:sz w:val="32"/>
          <w:szCs w:val="32"/>
        </w:rPr>
        <w:t>13</w:t>
      </w:r>
      <w:r>
        <w:rPr>
          <w:rFonts w:eastAsia="仿宋_GB2312"/>
          <w:b/>
          <w:sz w:val="32"/>
          <w:szCs w:val="32"/>
        </w:rPr>
        <w:t>.基本支出：</w:t>
      </w:r>
      <w:r>
        <w:rPr>
          <w:rFonts w:eastAsia="仿宋_GB2312"/>
          <w:sz w:val="32"/>
          <w:szCs w:val="32"/>
        </w:rPr>
        <w:t>指为保障机构正常运转、完成日常工作任务而发生的人员支出和公用支出。</w:t>
      </w:r>
    </w:p>
    <w:p w14:paraId="33594289">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4</w:t>
      </w:r>
      <w:r>
        <w:rPr>
          <w:rFonts w:eastAsia="仿宋_GB2312"/>
          <w:b/>
          <w:sz w:val="32"/>
          <w:szCs w:val="32"/>
        </w:rPr>
        <w:t>.项目支出：</w:t>
      </w:r>
      <w:r>
        <w:rPr>
          <w:rFonts w:eastAsia="仿宋_GB2312"/>
          <w:sz w:val="32"/>
          <w:szCs w:val="32"/>
        </w:rPr>
        <w:t xml:space="preserve">指在基本支出之外为完成特定行政任务和事业发展目标所发生的支出。 </w:t>
      </w:r>
    </w:p>
    <w:p w14:paraId="025A56E4">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5</w:t>
      </w:r>
      <w:r>
        <w:rPr>
          <w:rFonts w:eastAsia="仿宋_GB2312"/>
          <w:b/>
          <w:sz w:val="32"/>
          <w:szCs w:val="32"/>
        </w:rPr>
        <w:t>.经营支出：</w:t>
      </w:r>
      <w:r>
        <w:rPr>
          <w:rFonts w:eastAsia="仿宋_GB2312"/>
          <w:sz w:val="32"/>
          <w:szCs w:val="32"/>
        </w:rPr>
        <w:t>指事业单位在专业业务活动及其辅助活动之外开展非独立核算经营活动发生的支出。</w:t>
      </w:r>
    </w:p>
    <w:p w14:paraId="5EC4297D">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6</w:t>
      </w:r>
      <w:r>
        <w:rPr>
          <w:rFonts w:eastAsia="仿宋_GB2312"/>
          <w:b/>
          <w:sz w:val="32"/>
          <w:szCs w:val="32"/>
        </w:rPr>
        <w:t>.“三公”经费：</w:t>
      </w:r>
      <w:r>
        <w:rPr>
          <w:rFonts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789740">
      <w:pPr>
        <w:pStyle w:val="2"/>
        <w:spacing w:line="560" w:lineRule="exact"/>
        <w:ind w:firstLine="643" w:firstLineChars="200"/>
      </w:pPr>
      <w:r>
        <w:rPr>
          <w:rFonts w:hint="eastAsia" w:eastAsia="仿宋_GB2312"/>
          <w:b/>
          <w:sz w:val="32"/>
          <w:szCs w:val="32"/>
        </w:rPr>
        <w:t>17</w:t>
      </w:r>
      <w:r>
        <w:rPr>
          <w:rFonts w:eastAsia="仿宋_GB2312"/>
          <w:b/>
          <w:sz w:val="32"/>
          <w:szCs w:val="32"/>
        </w:rPr>
        <w:t>.机关运行经费：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4F3FDF">
      <w:pPr>
        <w:spacing w:line="600" w:lineRule="exact"/>
        <w:jc w:val="center"/>
        <w:outlineLvl w:val="0"/>
        <w:rPr>
          <w:rFonts w:ascii="黑体" w:hAnsi="黑体" w:eastAsia="黑体"/>
          <w:sz w:val="44"/>
          <w:szCs w:val="44"/>
        </w:rPr>
      </w:pPr>
    </w:p>
    <w:p w14:paraId="2A52551C">
      <w:pPr>
        <w:spacing w:line="600" w:lineRule="exact"/>
        <w:jc w:val="center"/>
        <w:outlineLvl w:val="0"/>
        <w:rPr>
          <w:rFonts w:ascii="黑体" w:hAnsi="黑体" w:eastAsia="黑体"/>
          <w:sz w:val="44"/>
          <w:szCs w:val="44"/>
        </w:rPr>
      </w:pPr>
    </w:p>
    <w:p w14:paraId="3397D9D5">
      <w:pPr>
        <w:spacing w:line="600" w:lineRule="exact"/>
        <w:jc w:val="center"/>
        <w:outlineLvl w:val="0"/>
        <w:rPr>
          <w:rFonts w:ascii="黑体" w:hAnsi="黑体" w:eastAsia="黑体"/>
          <w:sz w:val="44"/>
          <w:szCs w:val="44"/>
        </w:rPr>
      </w:pPr>
    </w:p>
    <w:p w14:paraId="638C7EDE">
      <w:pPr>
        <w:pStyle w:val="6"/>
        <w:spacing w:before="93"/>
        <w:rPr>
          <w:rFonts w:ascii="黑体" w:hAnsi="黑体" w:eastAsia="黑体"/>
          <w:sz w:val="44"/>
          <w:szCs w:val="44"/>
        </w:rPr>
      </w:pPr>
    </w:p>
    <w:p w14:paraId="1FEBF739">
      <w:pPr>
        <w:pStyle w:val="6"/>
        <w:spacing w:before="93"/>
        <w:rPr>
          <w:rFonts w:ascii="黑体" w:hAnsi="黑体" w:eastAsia="黑体"/>
          <w:sz w:val="44"/>
          <w:szCs w:val="44"/>
        </w:rPr>
      </w:pPr>
    </w:p>
    <w:p w14:paraId="3A7800C0">
      <w:pPr>
        <w:pStyle w:val="6"/>
        <w:spacing w:before="93"/>
        <w:rPr>
          <w:rFonts w:ascii="黑体" w:hAnsi="黑体" w:eastAsia="黑体"/>
          <w:sz w:val="44"/>
          <w:szCs w:val="44"/>
        </w:rPr>
      </w:pPr>
    </w:p>
    <w:p w14:paraId="28C1A4B0">
      <w:pPr>
        <w:pStyle w:val="6"/>
        <w:spacing w:before="93"/>
        <w:rPr>
          <w:rFonts w:ascii="黑体" w:hAnsi="黑体" w:eastAsia="黑体"/>
          <w:sz w:val="44"/>
          <w:szCs w:val="44"/>
        </w:rPr>
      </w:pPr>
    </w:p>
    <w:p w14:paraId="27D7ACBC">
      <w:pPr>
        <w:pStyle w:val="6"/>
        <w:spacing w:before="93"/>
        <w:rPr>
          <w:rFonts w:ascii="黑体" w:hAnsi="黑体" w:eastAsia="黑体"/>
          <w:sz w:val="44"/>
          <w:szCs w:val="44"/>
        </w:rPr>
      </w:pPr>
    </w:p>
    <w:p w14:paraId="180A7600">
      <w:pPr>
        <w:spacing w:line="600" w:lineRule="exact"/>
        <w:jc w:val="center"/>
        <w:outlineLvl w:val="0"/>
        <w:rPr>
          <w:rStyle w:val="27"/>
          <w:rFonts w:ascii="黑体" w:hAnsi="黑体" w:eastAsia="黑体"/>
          <w:b w:val="0"/>
        </w:rPr>
      </w:pPr>
      <w:r>
        <w:rPr>
          <w:rFonts w:ascii="宋体"/>
          <w:b/>
          <w:sz w:val="44"/>
          <w:szCs w:val="44"/>
        </w:rPr>
        <w:br w:type="page"/>
      </w:r>
      <w:bookmarkStart w:id="104" w:name="_Toc15396614"/>
      <w:bookmarkStart w:id="105" w:name="_Toc7151_WPSOffice_Level1"/>
      <w:r>
        <w:rPr>
          <w:rFonts w:hint="eastAsia" w:ascii="黑体" w:hAnsi="黑体" w:eastAsia="黑体"/>
          <w:sz w:val="44"/>
          <w:szCs w:val="44"/>
        </w:rPr>
        <w:t>第</w:t>
      </w:r>
      <w:r>
        <w:rPr>
          <w:rStyle w:val="27"/>
          <w:rFonts w:hint="eastAsia" w:ascii="黑体" w:hAnsi="黑体" w:eastAsia="黑体"/>
          <w:b w:val="0"/>
        </w:rPr>
        <w:t>四部分 附件</w:t>
      </w:r>
      <w:bookmarkEnd w:id="104"/>
      <w:bookmarkEnd w:id="105"/>
    </w:p>
    <w:p w14:paraId="645D9F56">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76B68F10">
      <w:pPr>
        <w:spacing w:line="640" w:lineRule="exact"/>
        <w:jc w:val="center"/>
        <w:rPr>
          <w:rFonts w:ascii="方正小标宋_GBK" w:hAnsi="方正小标宋_GBK" w:eastAsia="方正小标宋_GBK" w:cs="方正小标宋_GBK"/>
          <w:sz w:val="44"/>
          <w:szCs w:val="44"/>
        </w:rPr>
      </w:pPr>
      <w:bookmarkStart w:id="106" w:name="_Toc26037_WPSOffice_Level2"/>
      <w:r>
        <w:rPr>
          <w:rFonts w:hint="eastAsia" w:ascii="方正小标宋_GBK" w:hAnsi="方正小标宋_GBK" w:eastAsia="方正小标宋_GBK" w:cs="方正小标宋_GBK"/>
          <w:sz w:val="44"/>
          <w:szCs w:val="44"/>
        </w:rPr>
        <w:t>2021年盐边县幼儿园</w:t>
      </w:r>
      <w:bookmarkEnd w:id="106"/>
    </w:p>
    <w:p w14:paraId="549B5D6F">
      <w:pPr>
        <w:spacing w:line="640" w:lineRule="exact"/>
        <w:jc w:val="center"/>
        <w:rPr>
          <w:rFonts w:ascii="方正小标宋_GBK" w:hAnsi="方正小标宋_GBK" w:eastAsia="方正小标宋_GBK" w:cs="方正小标宋_GBK"/>
          <w:sz w:val="32"/>
          <w:szCs w:val="32"/>
        </w:rPr>
      </w:pPr>
      <w:bookmarkStart w:id="107" w:name="_Toc4576_WPSOffice_Level2"/>
      <w:r>
        <w:rPr>
          <w:rFonts w:hint="eastAsia" w:ascii="方正小标宋_GBK" w:hAnsi="方正小标宋_GBK" w:eastAsia="方正小标宋_GBK" w:cs="方正小标宋_GBK"/>
          <w:sz w:val="44"/>
          <w:szCs w:val="44"/>
        </w:rPr>
        <w:t>部门整体支出绩效评价报告</w:t>
      </w:r>
      <w:bookmarkEnd w:id="107"/>
    </w:p>
    <w:p w14:paraId="675C58A4">
      <w:pPr>
        <w:rPr>
          <w:rFonts w:ascii="宋体" w:hAnsi="宋体" w:cs="宋体"/>
        </w:rPr>
      </w:pPr>
    </w:p>
    <w:p w14:paraId="5CC18C4E"/>
    <w:p w14:paraId="0830686D">
      <w:pPr>
        <w:spacing w:line="560" w:lineRule="exact"/>
        <w:ind w:firstLine="640" w:firstLineChars="200"/>
        <w:rPr>
          <w:rFonts w:ascii="仿宋_GB2312" w:hAnsi="仿宋_GB2312" w:eastAsia="仿宋_GB2312" w:cs="仿宋_GB2312"/>
          <w:sz w:val="32"/>
          <w:szCs w:val="32"/>
        </w:rPr>
      </w:pPr>
      <w:bookmarkStart w:id="108" w:name="_Toc18202_WPSOffice_Level2"/>
      <w:r>
        <w:rPr>
          <w:rFonts w:hint="eastAsia" w:ascii="仿宋_GB2312" w:hAnsi="仿宋_GB2312" w:eastAsia="仿宋_GB2312" w:cs="仿宋_GB2312"/>
          <w:sz w:val="32"/>
          <w:szCs w:val="32"/>
        </w:rPr>
        <w:t>一、部门概况。</w:t>
      </w:r>
      <w:bookmarkEnd w:id="108"/>
    </w:p>
    <w:p w14:paraId="4422DA24">
      <w:pPr>
        <w:snapToGrid w:val="0"/>
        <w:spacing w:line="52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（一）机构组成：</w:t>
      </w:r>
    </w:p>
    <w:p w14:paraId="081767E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为学龄前儿童提供保育和教育服务。幼儿教育，幼儿保育。</w:t>
      </w:r>
    </w:p>
    <w:p w14:paraId="04FAC891">
      <w:pPr>
        <w:pStyle w:val="6"/>
        <w:adjustRightInd w:val="0"/>
        <w:snapToGrid w:val="0"/>
        <w:spacing w:before="93" w:line="600" w:lineRule="exact"/>
        <w:ind w:firstLine="672" w:firstLineChars="210"/>
        <w:outlineLvl w:val="2"/>
        <w:rPr>
          <w:rFonts w:hAnsi="仿宋_GB2312" w:cs="仿宋_GB2312"/>
          <w:bCs/>
          <w:color w:val="000000"/>
          <w:sz w:val="32"/>
          <w:szCs w:val="32"/>
        </w:rPr>
      </w:pPr>
      <w:r>
        <w:rPr>
          <w:rFonts w:hint="eastAsia" w:hAnsi="仿宋_GB2312" w:cs="仿宋_GB2312"/>
          <w:color w:val="000000"/>
          <w:sz w:val="32"/>
          <w:szCs w:val="32"/>
          <w:shd w:val="clear" w:color="auto" w:fill="FFFFFF"/>
          <w:lang w:val="zh-CN"/>
        </w:rPr>
        <w:t>（二）单位基本职能。</w:t>
      </w:r>
    </w:p>
    <w:p w14:paraId="23ED118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8C56FDB">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2021年设大中小教学班12 个，有在园幼儿392人，在编教职工28人，（长病4人，带病坚持上岗4人，借出1人），另有在岗不在编6人；本科学历14人，大专13人，学历达标率100%。有高级教师职称4人，中级职称14人，初级职称9人，技术工1人，市县级骨干教师学科带头人6名。</w:t>
      </w:r>
    </w:p>
    <w:p w14:paraId="29611747">
      <w:pPr>
        <w:snapToGrid w:val="0"/>
        <w:spacing w:line="52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（三）当年取得的主要事业成效。</w:t>
      </w:r>
    </w:p>
    <w:p w14:paraId="0CC6B5C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1、指导思想</w:t>
      </w:r>
    </w:p>
    <w:p w14:paraId="3E38ECA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思想上，认真贯彻落实科学发展观，领导班子各司其职，带领全体教职员工以习近平新时代中国特色社会主义思想为指导，认真开展学党史，强信念活动，认真履行职责，充分发挥班子的整体效能， 紧紧围绕上级各类决策部署，以《纲要》《指南》为准绳，以“规范管理，彰显特色，优质发展”为目标，以贯彻落实“党史学习”主题教育增强“四个意识”、坚定“四个自信”、做到“两个维护”为重点，着力推进师资队伍建设和特色教育，推动幼儿园取得新的成绩和发展。</w:t>
      </w:r>
    </w:p>
    <w:p w14:paraId="28DBE6EA">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1736587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2、加强党风廉政建设</w:t>
      </w:r>
    </w:p>
    <w:p w14:paraId="1AED2660">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增强领导干部作风建设的相关要求，联系思想和工作实际，认真学习了习近平总书记在庆祝中国共产党成立100周年大会上的“七一”重要讲话精神；深入贯彻落实十九届六中全会精神；通过集中学习、自学、主题教育等多种形式组织师幼开展学党史活动；集中组织学习《中国共产党发展史》《中国共产党党员领导干部廉洁从政若干准则》等党纪条规。认真组织广大教职工学习党的上级各部关于防治腐败相关文件、各种警示教育，增强了自己及教职工自身廉政意识，提高拒腐防变能力。</w:t>
      </w:r>
    </w:p>
    <w:p w14:paraId="16E5F37D">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0EBAC83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3、规范财经管理</w:t>
      </w:r>
    </w:p>
    <w:p w14:paraId="2EA0D77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本年度召开全园职工一起拟定了《幼儿园考勤制度（试行）》《盐边县幼儿园教师职称岗位补缺聘用方案》《盐边县幼儿园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三重一大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制度》《盐边县幼儿园幼儿资助管理办法》等制度；对教职工考核、绩效奖金发放、教职工评级晋职等工作，均依据相关制度进行，严格按制度办事，所有考核评定均让职工信服。不因人设岗，不因人定事。</w:t>
      </w:r>
    </w:p>
    <w:p w14:paraId="6B764A50">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不积怨。</w:t>
      </w:r>
    </w:p>
    <w:p w14:paraId="340DE2B6">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4、特色重点亮点工作</w:t>
      </w:r>
    </w:p>
    <w:p w14:paraId="13BF3F81">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以党建促园所发展，取得新成效</w:t>
      </w:r>
    </w:p>
    <w:p w14:paraId="2AF3F41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6BE88B2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全面加强师德师风建设</w:t>
      </w:r>
    </w:p>
    <w:p w14:paraId="532EF46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4B62742C">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教师方面通过学习《新时代幼儿教师职业行为十项准则》等文件精神、签订《师德师风承诺书》、 开展师德师风警示教育、举办教职工法制讲座等方式，加强教职工师德师风思想意识； 通过每周开展会前学法，在建党节、教师节等节日开展师德师风主题活动、“抗击疫情、 爱在行动”班级主题墙、游戏区角比赛等活动，努力丰富师德师风教育形式:通过建立健全师德师风长效机制，通过民主评议考核、学期及年度个人考核，以及评优评选、岗位评聘、各类荣誉称号推评等工作，加大师德师风考核力度，有力促进师德师风建设巩固成效。</w:t>
      </w:r>
    </w:p>
    <w:p w14:paraId="1B0F9FA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特色园本课程初显成效</w:t>
      </w:r>
    </w:p>
    <w:p w14:paraId="416C2062">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所学校发展到一定阶段，必然需要形成具有自身特色的学校文化沉淀。一年来非常注重园本特色课程建设，结合本土实际，初步定位园所发展特色：“自然、传承、运动、阳光”，育“健怡（身体强壮、心理阳光、乐观自信、积极向上）、善思、储善、尚美”的幼儿的教育目标的办学特色。</w:t>
      </w:r>
    </w:p>
    <w:p w14:paraId="6C232637">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将德育工作有效融入教育教学活动中，以符合幼儿年龄特点的活动，通过开展“每周国旗下表演”、“ 书香阅读”读书角、“党史学习教育”、一起打败“冠小毒”等特色主题活动，在幼儿教育教学活动中贯彻落实新冠肺炎常态化防控工作要求，让小朋友们认识新冠病毒，初步了解国家大事，认识和感恩疫情防控英雄，从小坚定爱党爱国理想信念，从小培养爱家乡、爱祖国的情怀。</w:t>
      </w:r>
    </w:p>
    <w:p w14:paraId="1B7E0B4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5、家园、社区共育成果</w:t>
      </w:r>
    </w:p>
    <w:p w14:paraId="4D83BA5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融汇，形成社会与家园合力，培养幼儿成为健康活泼、好奇探究、亲近自然、爱护环境、勇敢自信、有初步责任感的幼儿，家园同步、协调地提高孩子的综合素质。</w:t>
      </w:r>
    </w:p>
    <w:p w14:paraId="5191B9F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6、加强意识形态工作和民族团结工作</w:t>
      </w:r>
    </w:p>
    <w:p w14:paraId="5E97D7F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024561D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7、健全运行机制，强化幼儿园安全工作</w:t>
      </w:r>
    </w:p>
    <w:p w14:paraId="3AC77502">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安全第一”的大局意识，把安全责任落实到人，实行一岗双责，建立学校安全管理工作档案。在传染病防控方面，坚持做到预防为主、防治结合的原则。扎实开展各项安全防范工作，有效保障幼儿园财产和师幼生命的安全，维护了正常的教学秩序和幼儿园的稳定。</w:t>
      </w:r>
    </w:p>
    <w:p w14:paraId="10E0A9E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15E26A58">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完善了重大安全事故应急处理预案，定期开展对师生开展各种安全教育和模拟演练，增强教师和幼儿面对突发事件时自救的能力。</w:t>
      </w:r>
    </w:p>
    <w:p w14:paraId="2A1675A1">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优化了对食品安全的管理。为了保证幼儿膳食科学合理、保证食物的多样性、丰富性，每周由分管园长、保健医师、食堂管理人员制定科学合理的食谱。贯彻落实“制止餐饮浪费”“三爱三节”教育、“光盘行动”主题教育，让孩子们从小就养成爱惜粮食，厉行节约的好习惯。</w:t>
      </w:r>
    </w:p>
    <w:p w14:paraId="3AAB7C27">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8、存在主要问题</w:t>
      </w:r>
    </w:p>
    <w:p w14:paraId="5FC6B5C3">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一是原定于2021年暑假期间开展的幼儿园维修改造工程因多种原因未能如期实施。</w:t>
      </w:r>
    </w:p>
    <w:p w14:paraId="6537F29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二是内部分工合作不到位，领导班子中存在怕担工作责任的情况。</w:t>
      </w:r>
    </w:p>
    <w:p w14:paraId="2E63B67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9、下步工作思路</w:t>
      </w:r>
    </w:p>
    <w:p w14:paraId="425C0B56">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1.目前幼儿园围墙、挡墙有裂缝、瓷砖脱落严重、未按要求设置消防喷淋系统、监控未全覆盖，存在安全隐患。争取资金，改善办学条件。</w:t>
      </w:r>
    </w:p>
    <w:p w14:paraId="602BB1BD">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2.进一步提高幼儿园办园质量，彰显办园特色。</w:t>
      </w:r>
    </w:p>
    <w:p w14:paraId="074E9527">
      <w:pPr>
        <w:pStyle w:val="8"/>
        <w:spacing w:line="600" w:lineRule="exact"/>
        <w:ind w:firstLine="640" w:firstLineChars="200"/>
        <w:jc w:val="left"/>
        <w:rPr>
          <w:rFonts w:ascii="仿宋_GB2312" w:hAnsi="仿宋_GB2312" w:eastAsia="仿宋_GB2312" w:cs="仿宋_GB2312"/>
          <w:sz w:val="32"/>
          <w:szCs w:val="32"/>
        </w:rPr>
      </w:pPr>
      <w:bookmarkStart w:id="109" w:name="_Toc2469_WPSOffice_Level2"/>
      <w:r>
        <w:rPr>
          <w:rFonts w:hint="eastAsia" w:ascii="仿宋_GB2312" w:hAnsi="仿宋_GB2312" w:eastAsia="仿宋_GB2312" w:cs="仿宋_GB2312"/>
          <w:sz w:val="32"/>
          <w:szCs w:val="32"/>
        </w:rPr>
        <w:t>二、部门财政资金基本情况</w:t>
      </w:r>
      <w:bookmarkEnd w:id="109"/>
    </w:p>
    <w:p w14:paraId="6CBCA573">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（一）财政资金收入情况。</w:t>
      </w:r>
    </w:p>
    <w:p w14:paraId="1C241408">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2021年财政年初预算414.3万元，调整预算数570.7万元，（事业收入21.2）；决算数570.7万元，（事业收入21.2）年末结余结转7.7万元，2021年实现财政资金项目及基本收入总额578.4万元。</w:t>
      </w:r>
    </w:p>
    <w:p w14:paraId="2F213612">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（二）财政资金支出情况。</w:t>
      </w:r>
    </w:p>
    <w:p w14:paraId="28242F1A">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2021年财政年支出初预算414.3万元，调整预算数578.4万元，决算数578.4万元，年末结余结转0万元，2021年实现财政资金项目及基本支出总额578.4万元。</w:t>
      </w:r>
    </w:p>
    <w:p w14:paraId="0F2FB4C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1、基本支出：年初预算数414.3万元，调整预算数513.3万元，决算数513.3万元，分别为</w:t>
      </w:r>
      <w:r>
        <w:rPr>
          <w:rFonts w:hint="eastAsia" w:ascii="仿宋_GB2312" w:hAnsi="仿宋_GB2312" w:eastAsia="仿宋_GB2312" w:cs="仿宋_GB2312"/>
          <w:kern w:val="0"/>
          <w:sz w:val="32"/>
          <w:szCs w:val="32"/>
        </w:rPr>
        <w:t>人员经费年初预算数381.1万元，调整预算数482.1万元，决算数482.1万元；（其中：工资福利支出417.7万元。分别为：基本工资139.5万元、津贴补贴28.5万元、绩效工资131.7万元；机关事业单位基本养老保险缴费42.3万元；职业年金缴费6.4万元；职工基本医疗保险缴费22.6万元，公务员医疗补助缴费2.3万元，其他社会保障缴费4.9万元；住房公积金39.5万元。</w:t>
      </w:r>
    </w:p>
    <w:p w14:paraId="34367F2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用支出年初预算数33.2万元，调整预算数31.1万元，决算31.1万元：（其中商品和服务支出31.1万元；分别为：办公费10.1万元；水费2万元；电费3万元；邮电费0.4万元；差旅费1.5万元；维修（护）费1.6万元；会议费0.1万元；培训费1.1有限元；劳务费5.8万元；工会经费2.4万元；福利费0.05万元。</w:t>
      </w:r>
    </w:p>
    <w:p w14:paraId="29B8944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3、对个人和家庭的补助支出64.5元，分别为：生活补助62.4万元、医疗费2万元、奖励金0.04万元。</w:t>
      </w:r>
    </w:p>
    <w:p w14:paraId="291CEF23">
      <w:pPr>
        <w:spacing w:line="560" w:lineRule="exact"/>
        <w:ind w:firstLine="803" w:firstLineChars="2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4.项目支出：决算数65.2万元，分别为</w:t>
      </w:r>
    </w:p>
    <w:p w14:paraId="560EE3E9">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（1）工资福利支出：1.6万元；分别为：盐边县2018年下达（2013-2042年度）全县机关事业单位退休职工住房补贴1.6万元</w:t>
      </w:r>
    </w:p>
    <w:p w14:paraId="144A4574">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（2）商品和服务支出57.6万元。（其中：办公费10.1万元；水费0.2万元；电费2.3万元；物业管理费0.03万元；差旅费0.5万元；会议费4.8万元；劳务费39万元；其他商品和服务支出0.3万元）。</w:t>
      </w:r>
    </w:p>
    <w:p w14:paraId="00572486">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（3）对个人和家庭的补助6万元。（其中：其他对个人和家庭的补助6万元）</w:t>
      </w:r>
    </w:p>
    <w:p w14:paraId="2A20D0B1">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（三）财政资金结转结余情况。</w:t>
      </w:r>
    </w:p>
    <w:p w14:paraId="47F2EFFE">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我校年末结余根据盐财资行118号文件归集上缴</w:t>
      </w:r>
    </w:p>
    <w:p w14:paraId="4DEDB565">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bookmarkStart w:id="110" w:name="_Toc11531_WPSOffice_Level2"/>
      <w:r>
        <w:rPr>
          <w:rFonts w:hint="eastAsia" w:ascii="仿宋_GB2312" w:hAnsi="仿宋_GB2312" w:eastAsia="仿宋_GB2312" w:cs="仿宋_GB2312"/>
          <w:color w:val="000000"/>
          <w:sz w:val="32"/>
          <w:szCs w:val="32"/>
        </w:rPr>
        <w:t>三、部门预算绩效管理情况</w:t>
      </w:r>
      <w:bookmarkEnd w:id="110"/>
    </w:p>
    <w:p w14:paraId="3354C087">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（一）部门预算绩效管理。</w:t>
      </w:r>
    </w:p>
    <w:p w14:paraId="556AD6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全园债务工作管理，按照“无资金来源项目一律不予实施，已安排资金项目一律不留缺口的原则”进行教学设备采购及教学设施改造，不断优化学校教学环境；二是严格政府采购，园区购置办公设备、教学设备设施严格按照《中华人民共和国政府采购法》相关规定执行，并按照要求报县机关事务管理局、县国资办审批备案，加强固定资产管理，避免造成国有资产流失等现象发生；三是建立健全全园内部管理控制制度，财务管理报账员与会计分设、印章专人管理、园区财产由总务办公室统一管理，并逐一登记台账，主动公开全院财务、园务情况，依法接受财政监督情况等。</w:t>
      </w:r>
    </w:p>
    <w:p w14:paraId="7EC350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2.部门内部控制制度的执行。</w:t>
      </w:r>
    </w:p>
    <w:p w14:paraId="25EBB7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内部控制建设工作方案、成立内部控制领导小组、设立内部控制工作小组办公室；修订原有的内部控制制度、补充新的内部控制制度、重点落实内部控制制度的执行与督查；建立权力运行制衡机制，完善分事行权、分级授权、分岗设权、定期轮岗、明晰职责、集体决策等制度；对预算、收支、采购、资产、建设项目、合同管理等制度的严格执行；清理领导权力清单、部门责任清单、岗位职责清单等，内部控制工作取得了一定的成效。</w:t>
      </w:r>
    </w:p>
    <w:p w14:paraId="5EE669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3.信息公开。</w:t>
      </w:r>
    </w:p>
    <w:p w14:paraId="4869C0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本单位的实际，具有较强的目标性和可操作性，绩效自评结果也可以为下一年度的绩效管理提供参考和帮助。我校将进一步加强绩效管理，更好地履行本部门的职能职责，提高财政资金的使用效率，将有限的财政投入发挥最大的经济效益和社会效益，并及时完整按照上级要求在内网或外网向社会公开。</w:t>
      </w:r>
    </w:p>
    <w:p w14:paraId="1BFE10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4.绩效监控。2021年预算执行进度监控情况。</w:t>
      </w:r>
    </w:p>
    <w:p w14:paraId="7CD3B6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为了改进教学环境，提高校园文化建设，完缮园区的基础建设，增添教学设施设备得到充实，办学条件得到很大改善，大力推动了办学条件达标建设，奠定了坚实基础。</w:t>
      </w:r>
    </w:p>
    <w:p w14:paraId="610C9EDE">
      <w:pPr>
        <w:pStyle w:val="8"/>
        <w:spacing w:line="600" w:lineRule="exact"/>
        <w:ind w:left="420" w:leftChars="200"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（1）、年初我园满意度指标为:调研报告基本达到市委党校和县委县政府要求，并完成结项、教师教学水平达到学员基本满意。全年均按计划有序进行，完成率为100%。</w:t>
      </w:r>
    </w:p>
    <w:p w14:paraId="3C37932D">
      <w:pPr>
        <w:pStyle w:val="8"/>
        <w:spacing w:line="60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（2）、年初我园产出指标为：开展师资培368次、全年均按计划有序进行上级主管部门交办的各项教学任务，完成率为100%。</w:t>
      </w:r>
    </w:p>
    <w:p w14:paraId="3B15E7BC">
      <w:pPr>
        <w:pStyle w:val="8"/>
        <w:spacing w:line="600" w:lineRule="exact"/>
        <w:ind w:firstLine="960" w:firstLineChars="3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（3）、年初我园效益指标为:提升教师教学授课水平。全年均按计划有序进行，完成率为100%。</w:t>
      </w:r>
    </w:p>
    <w:p w14:paraId="5267EE96">
      <w:pPr>
        <w:widowControl/>
        <w:adjustRightInd w:val="0"/>
        <w:snapToGrid w:val="0"/>
        <w:spacing w:line="580" w:lineRule="exact"/>
        <w:ind w:firstLine="960" w:firstLineChars="3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（4）、年初我园满意度指标为:通过学校领导组织统一安排，统一部署，年初有工作计划、课题研讨，促进教教育教学水平达到预期效应，完成率为100%。</w:t>
      </w:r>
    </w:p>
    <w:p w14:paraId="7838E1C8">
      <w:pPr>
        <w:pStyle w:val="14"/>
        <w:spacing w:before="0" w:beforeAutospacing="0" w:after="0" w:afterAutospacing="0"/>
        <w:ind w:firstLine="1280" w:firstLineChars="4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我园整体支出绩效情况：自评优，得分  95   分</w:t>
      </w:r>
    </w:p>
    <w:p w14:paraId="393AA813">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（二）结果应用情况。</w:t>
      </w:r>
    </w:p>
    <w:p w14:paraId="1A4EA2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我园结合盐边县财政局《关于开展2021年度部门预算整体级项目支出绩效自评工作的通知》（盐边财绩</w:t>
      </w:r>
      <w:r>
        <w:rPr>
          <w:rFonts w:hint="eastAsia" w:ascii="仿宋_GB2312" w:hAnsi="仿宋_GB2312" w:eastAsia="仿宋_GB2312" w:cs="仿宋_GB2312"/>
          <w:color w:val="000000"/>
          <w:sz w:val="32"/>
          <w:szCs w:val="32"/>
        </w:rPr>
        <w:t>〔2022〕</w:t>
      </w:r>
      <w:r>
        <w:rPr>
          <w:rFonts w:hint="eastAsia" w:ascii="仿宋_GB2312" w:hAnsi="仿宋_GB2312" w:eastAsia="仿宋_GB2312" w:cs="仿宋_GB2312"/>
          <w:sz w:val="32"/>
          <w:szCs w:val="32"/>
        </w:rPr>
        <w:t>3号）文件要求，对2021年度部门支出绩效进行了认真自评，自评等级为良好。在资金的管理和使用上，严格按照相关法律、法规规定，遵守财经纪律，认真履行部门职能职责，深入了解资金的执行和使用情况，加强预算绩效信息发布管理制度建设，完善绩效信息公开机制，及时将财政部门批复的部门预算及报表等信息按相关规定和要求在盐边县公众信息网“财政信息”栏中进行公开公示。同时对2021年预算绩效情况于近日通过公众信息网站公开，接受广大群众监督。</w:t>
      </w:r>
    </w:p>
    <w:p w14:paraId="55BB8699">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bookmarkStart w:id="111" w:name="_Toc3255_WPSOffice_Level2"/>
      <w:r>
        <w:rPr>
          <w:rFonts w:hint="eastAsia" w:ascii="仿宋_GB2312" w:hAnsi="仿宋_GB2312" w:eastAsia="仿宋_GB2312" w:cs="仿宋_GB2312"/>
          <w:color w:val="000000"/>
          <w:sz w:val="32"/>
          <w:szCs w:val="32"/>
        </w:rPr>
        <w:t>四、评价结论及建议</w:t>
      </w:r>
      <w:bookmarkEnd w:id="111"/>
    </w:p>
    <w:p w14:paraId="16276D7B">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（一）评价结论。</w:t>
      </w:r>
    </w:p>
    <w:p w14:paraId="019FCF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我园的公用金费主要收取幼儿保教费，财政拨款比例较小，公用经费开支比较困难。</w:t>
      </w:r>
    </w:p>
    <w:p w14:paraId="6AECA2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（二）改进建议。</w:t>
      </w:r>
    </w:p>
    <w:p w14:paraId="1319B138">
      <w:pPr>
        <w:pStyle w:val="14"/>
        <w:spacing w:before="0" w:beforeAutospacing="0" w:after="0" w:afterAutospacing="0"/>
        <w:ind w:firstLine="8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切实做好预算编制工作，做好本单位情况调查，仔细测算部门资金需求，努力使预算资金合理。及时支出资金，减少部门资金结转。</w:t>
      </w:r>
    </w:p>
    <w:p w14:paraId="5BB07E4B">
      <w:pPr>
        <w:pStyle w:val="14"/>
        <w:spacing w:before="0" w:beforeAutospacing="0" w:after="0" w:afterAutospacing="0"/>
        <w:ind w:firstLine="560"/>
        <w:jc w:val="both"/>
        <w:rPr>
          <w:rFonts w:ascii="仿宋_GB2312" w:hAnsi="仿宋_GB2312" w:eastAsia="仿宋_GB2312" w:cs="仿宋_GB2312"/>
          <w:color w:val="333333"/>
          <w:sz w:val="32"/>
          <w:szCs w:val="32"/>
        </w:rPr>
      </w:pPr>
      <w:r>
        <w:rPr>
          <w:rFonts w:hint="eastAsia" w:ascii="仿宋_GB2312" w:hAnsi="仿宋_GB2312" w:eastAsia="仿宋_GB2312" w:cs="仿宋_GB2312"/>
          <w:kern w:val="2"/>
          <w:sz w:val="32"/>
          <w:szCs w:val="32"/>
        </w:rPr>
        <w:t>进一步建立健全财务制度，规范财务管理，规范教育教学行为；提高教育教学质量，加强校园文化建设，加强学校廉政建设</w:t>
      </w:r>
      <w:r>
        <w:rPr>
          <w:rFonts w:hint="eastAsia" w:ascii="仿宋_GB2312" w:hAnsi="仿宋_GB2312" w:eastAsia="仿宋_GB2312" w:cs="仿宋_GB2312"/>
          <w:color w:val="333333"/>
          <w:sz w:val="32"/>
          <w:szCs w:val="32"/>
        </w:rPr>
        <w:t>。</w:t>
      </w:r>
    </w:p>
    <w:p w14:paraId="1CE9F1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color w:val="000000"/>
          <w:sz w:val="32"/>
          <w:szCs w:val="32"/>
        </w:rPr>
        <w:t>预算绩效管理</w:t>
      </w:r>
      <w:r>
        <w:rPr>
          <w:rFonts w:hint="eastAsia" w:ascii="仿宋_GB2312" w:hAnsi="仿宋_GB2312" w:eastAsia="仿宋_GB2312" w:cs="仿宋_GB2312"/>
          <w:sz w:val="32"/>
          <w:szCs w:val="32"/>
        </w:rPr>
        <w:t>业务学习及培训，提高业务人员绩效管理意识， 进一步加强预算绩效管理工作，优化项目支出绩效指标体系，完善预算绩效管理制度，推动我单位 2022年预算绩效管理工作常态化、规范化。</w:t>
      </w:r>
    </w:p>
    <w:p w14:paraId="55F56295">
      <w:pPr>
        <w:pStyle w:val="6"/>
        <w:spacing w:before="93"/>
        <w:rPr>
          <w:lang w:val="zh-CN"/>
        </w:rPr>
      </w:pPr>
    </w:p>
    <w:p w14:paraId="41D3C8A4">
      <w:pPr>
        <w:pStyle w:val="6"/>
        <w:spacing w:before="93"/>
        <w:rPr>
          <w:lang w:val="zh-CN"/>
        </w:rPr>
      </w:pPr>
    </w:p>
    <w:p w14:paraId="74C52599">
      <w:pPr>
        <w:pStyle w:val="6"/>
        <w:spacing w:before="93"/>
        <w:rPr>
          <w:lang w:val="zh-CN"/>
        </w:rPr>
      </w:pPr>
    </w:p>
    <w:p w14:paraId="4A405F9C">
      <w:pPr>
        <w:pStyle w:val="6"/>
        <w:spacing w:before="93"/>
        <w:rPr>
          <w:lang w:val="zh-CN"/>
        </w:rPr>
      </w:pPr>
    </w:p>
    <w:p w14:paraId="22A0B56C">
      <w:pPr>
        <w:pStyle w:val="6"/>
        <w:spacing w:before="93"/>
        <w:rPr>
          <w:lang w:val="zh-CN"/>
        </w:rPr>
      </w:pPr>
    </w:p>
    <w:p w14:paraId="0A5CAA3C">
      <w:pPr>
        <w:pStyle w:val="6"/>
        <w:spacing w:before="93"/>
        <w:rPr>
          <w:lang w:val="zh-CN"/>
        </w:rPr>
      </w:pPr>
    </w:p>
    <w:p w14:paraId="1FFB638A">
      <w:pPr>
        <w:pStyle w:val="6"/>
        <w:spacing w:before="93"/>
        <w:rPr>
          <w:lang w:val="zh-CN"/>
        </w:rPr>
      </w:pPr>
    </w:p>
    <w:p w14:paraId="0A267143">
      <w:pPr>
        <w:pStyle w:val="6"/>
        <w:spacing w:before="93"/>
        <w:rPr>
          <w:lang w:val="zh-CN"/>
        </w:rPr>
      </w:pPr>
    </w:p>
    <w:p w14:paraId="7FD3DFCB">
      <w:pPr>
        <w:pStyle w:val="6"/>
        <w:spacing w:before="93"/>
        <w:rPr>
          <w:lang w:val="zh-CN"/>
        </w:rPr>
      </w:pPr>
    </w:p>
    <w:p w14:paraId="7E3D6162">
      <w:pPr>
        <w:pStyle w:val="6"/>
        <w:spacing w:before="93"/>
        <w:rPr>
          <w:lang w:val="zh-CN"/>
        </w:rPr>
      </w:pPr>
    </w:p>
    <w:p w14:paraId="13CDE983">
      <w:pPr>
        <w:pStyle w:val="6"/>
        <w:spacing w:before="93"/>
        <w:rPr>
          <w:lang w:val="zh-CN"/>
        </w:rPr>
      </w:pPr>
    </w:p>
    <w:p w14:paraId="5D83F246">
      <w:pPr>
        <w:pStyle w:val="6"/>
        <w:spacing w:before="93"/>
        <w:rPr>
          <w:lang w:val="zh-CN"/>
        </w:rPr>
      </w:pPr>
    </w:p>
    <w:p w14:paraId="29F23D4D">
      <w:pPr>
        <w:pStyle w:val="6"/>
        <w:spacing w:before="93"/>
        <w:rPr>
          <w:lang w:val="zh-CN"/>
        </w:rPr>
      </w:pPr>
    </w:p>
    <w:p w14:paraId="4D266C98">
      <w:pPr>
        <w:pStyle w:val="6"/>
        <w:spacing w:before="93"/>
        <w:rPr>
          <w:lang w:val="zh-CN"/>
        </w:rPr>
      </w:pPr>
    </w:p>
    <w:p w14:paraId="5620D0D8">
      <w:pPr>
        <w:pStyle w:val="6"/>
        <w:spacing w:before="93"/>
        <w:rPr>
          <w:lang w:val="zh-CN"/>
        </w:rPr>
      </w:pPr>
    </w:p>
    <w:p w14:paraId="43F8CF34">
      <w:pPr>
        <w:pStyle w:val="6"/>
        <w:spacing w:before="93"/>
        <w:rPr>
          <w:lang w:val="zh-CN"/>
        </w:rPr>
      </w:pPr>
    </w:p>
    <w:p w14:paraId="3B31C479">
      <w:pPr>
        <w:pStyle w:val="6"/>
        <w:spacing w:before="93"/>
        <w:rPr>
          <w:lang w:val="zh-CN"/>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2350625">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7F4B33D7">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0310AFCD">
            <w:pPr>
              <w:widowControl/>
              <w:jc w:val="center"/>
              <w:textAlignment w:val="center"/>
              <w:rPr>
                <w:rFonts w:ascii="宋体" w:hAnsi="宋体" w:cs="宋体"/>
                <w:b/>
                <w:kern w:val="0"/>
                <w:sz w:val="32"/>
                <w:szCs w:val="32"/>
              </w:rPr>
            </w:pPr>
          </w:p>
        </w:tc>
      </w:tr>
      <w:tr w14:paraId="5AADB563">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97589">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EED2D">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A1B">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7F1">
            <w:pPr>
              <w:widowControl/>
              <w:spacing w:line="320" w:lineRule="exact"/>
              <w:jc w:val="center"/>
              <w:textAlignment w:val="center"/>
              <w:rPr>
                <w:rFonts w:ascii="宋体" w:hAnsi="宋体" w:cs="宋体"/>
                <w:sz w:val="24"/>
              </w:rPr>
            </w:pPr>
          </w:p>
        </w:tc>
      </w:tr>
      <w:tr w14:paraId="40ECBA57">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472D3">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D05">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5FAB">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D518">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FD7">
            <w:pPr>
              <w:widowControl/>
              <w:spacing w:line="320" w:lineRule="exact"/>
              <w:jc w:val="right"/>
              <w:textAlignment w:val="center"/>
              <w:rPr>
                <w:rFonts w:ascii="宋体" w:hAnsi="宋体" w:cs="宋体"/>
                <w:sz w:val="24"/>
              </w:rPr>
            </w:pPr>
          </w:p>
        </w:tc>
      </w:tr>
      <w:tr w14:paraId="12962A91">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7046">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1102">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11662E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F8D7">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26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D883EDF">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69C">
            <w:pPr>
              <w:widowControl/>
              <w:spacing w:line="320" w:lineRule="exact"/>
              <w:textAlignment w:val="center"/>
              <w:rPr>
                <w:rFonts w:ascii="宋体" w:hAnsi="宋体" w:cs="宋体"/>
                <w:sz w:val="24"/>
              </w:rPr>
            </w:pPr>
          </w:p>
        </w:tc>
      </w:tr>
      <w:tr w14:paraId="48FD671F">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B4F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919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F7F">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15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727">
            <w:pPr>
              <w:widowControl/>
              <w:spacing w:line="320" w:lineRule="exact"/>
              <w:jc w:val="center"/>
              <w:textAlignment w:val="center"/>
              <w:rPr>
                <w:rFonts w:ascii="宋体" w:hAnsi="宋体" w:cs="宋体"/>
                <w:sz w:val="24"/>
              </w:rPr>
            </w:pPr>
          </w:p>
        </w:tc>
      </w:tr>
      <w:tr w14:paraId="6781D039">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9F5F1">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480CE4AF">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DE804">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9E24">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5FD9131C">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125D">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6EB37D0F">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6D18B47">
            <w:pPr>
              <w:widowControl/>
              <w:spacing w:line="320" w:lineRule="exact"/>
              <w:jc w:val="left"/>
              <w:textAlignment w:val="top"/>
              <w:rPr>
                <w:rFonts w:ascii="宋体" w:hAnsi="宋体" w:cs="宋体"/>
                <w:sz w:val="24"/>
              </w:rPr>
            </w:pPr>
          </w:p>
        </w:tc>
      </w:tr>
      <w:tr w14:paraId="06A8C99B">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5BEFDC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2B1B792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803217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FD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9580E4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55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12649C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E9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43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71EF5B4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144AE0F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4B97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256C1FB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9714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B29F9">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6215A">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A691C">
            <w:pPr>
              <w:widowControl/>
              <w:spacing w:line="320" w:lineRule="exact"/>
              <w:jc w:val="center"/>
              <w:textAlignment w:val="bottom"/>
              <w:rPr>
                <w:rFonts w:ascii="仿宋_GB2312" w:hAnsi="仿宋_GB2312" w:eastAsia="仿宋_GB2312" w:cs="仿宋_GB2312"/>
                <w:sz w:val="28"/>
                <w:szCs w:val="28"/>
              </w:rPr>
            </w:pPr>
          </w:p>
        </w:tc>
      </w:tr>
      <w:tr w14:paraId="27CBBBC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68D48E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532698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684C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0BD81">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2D754">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B86B5">
            <w:pPr>
              <w:widowControl/>
              <w:spacing w:line="320" w:lineRule="exact"/>
              <w:jc w:val="center"/>
              <w:textAlignment w:val="bottom"/>
              <w:rPr>
                <w:rFonts w:ascii="仿宋_GB2312" w:hAnsi="仿宋_GB2312" w:eastAsia="仿宋_GB2312" w:cs="仿宋_GB2312"/>
                <w:sz w:val="28"/>
                <w:szCs w:val="28"/>
              </w:rPr>
            </w:pPr>
          </w:p>
        </w:tc>
      </w:tr>
      <w:tr w14:paraId="79D5893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4DEE811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DB9FC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8E881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8980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E0A8E">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7CFA4">
            <w:pPr>
              <w:widowControl/>
              <w:spacing w:line="320" w:lineRule="exact"/>
              <w:jc w:val="center"/>
              <w:textAlignment w:val="bottom"/>
              <w:rPr>
                <w:rFonts w:ascii="仿宋_GB2312" w:hAnsi="仿宋_GB2312" w:eastAsia="仿宋_GB2312" w:cs="仿宋_GB2312"/>
                <w:sz w:val="28"/>
                <w:szCs w:val="28"/>
              </w:rPr>
            </w:pPr>
          </w:p>
        </w:tc>
      </w:tr>
      <w:tr w14:paraId="3F14956D">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0FFCE2A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38F45C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4D6D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286D0">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AC6D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9C699">
            <w:pPr>
              <w:widowControl/>
              <w:spacing w:line="320" w:lineRule="exact"/>
              <w:jc w:val="center"/>
              <w:textAlignment w:val="bottom"/>
              <w:rPr>
                <w:rFonts w:ascii="仿宋_GB2312" w:hAnsi="仿宋_GB2312" w:eastAsia="仿宋_GB2312" w:cs="仿宋_GB2312"/>
                <w:sz w:val="28"/>
                <w:szCs w:val="28"/>
              </w:rPr>
            </w:pPr>
          </w:p>
        </w:tc>
      </w:tr>
      <w:tr w14:paraId="3979F540">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13B5592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91B5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B602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3A54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9A0F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FFDD7">
            <w:pPr>
              <w:widowControl/>
              <w:spacing w:line="320" w:lineRule="exact"/>
              <w:jc w:val="center"/>
              <w:textAlignment w:val="bottom"/>
              <w:rPr>
                <w:rFonts w:ascii="仿宋_GB2312" w:hAnsi="仿宋_GB2312" w:eastAsia="仿宋_GB2312" w:cs="仿宋_GB2312"/>
                <w:sz w:val="28"/>
                <w:szCs w:val="28"/>
              </w:rPr>
            </w:pPr>
          </w:p>
        </w:tc>
      </w:tr>
      <w:tr w14:paraId="160184FF">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16C2716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85CF3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A62E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19C3A">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3223B">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4FE03">
            <w:pPr>
              <w:widowControl/>
              <w:spacing w:line="320" w:lineRule="exact"/>
              <w:jc w:val="center"/>
              <w:textAlignment w:val="bottom"/>
              <w:rPr>
                <w:rFonts w:ascii="仿宋_GB2312" w:hAnsi="仿宋_GB2312" w:eastAsia="仿宋_GB2312" w:cs="仿宋_GB2312"/>
                <w:sz w:val="28"/>
                <w:szCs w:val="28"/>
              </w:rPr>
            </w:pPr>
          </w:p>
        </w:tc>
      </w:tr>
      <w:tr w14:paraId="369DA9A3">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5357DE3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CF3B01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6C488">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E8A86">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4E67D">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AF88B">
            <w:pPr>
              <w:widowControl/>
              <w:spacing w:line="320" w:lineRule="exact"/>
              <w:jc w:val="center"/>
              <w:textAlignment w:val="bottom"/>
              <w:rPr>
                <w:rFonts w:ascii="仿宋_GB2312" w:hAnsi="仿宋_GB2312" w:eastAsia="仿宋_GB2312" w:cs="仿宋_GB2312"/>
                <w:sz w:val="28"/>
                <w:szCs w:val="28"/>
              </w:rPr>
            </w:pPr>
          </w:p>
        </w:tc>
      </w:tr>
      <w:tr w14:paraId="29A246E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5981B47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F4584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B4D9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D9E95">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9A175">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3CB7D">
            <w:pPr>
              <w:widowControl/>
              <w:spacing w:line="320" w:lineRule="exact"/>
              <w:jc w:val="center"/>
              <w:textAlignment w:val="bottom"/>
              <w:rPr>
                <w:rFonts w:ascii="仿宋_GB2312" w:hAnsi="仿宋_GB2312" w:eastAsia="仿宋_GB2312" w:cs="仿宋_GB2312"/>
                <w:sz w:val="28"/>
                <w:szCs w:val="28"/>
              </w:rPr>
            </w:pPr>
          </w:p>
        </w:tc>
      </w:tr>
      <w:tr w14:paraId="2DDFF8AA">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518743F1">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6529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B1CC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9EB174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86EE8">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3A70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A9A59">
            <w:pPr>
              <w:widowControl/>
              <w:spacing w:line="320" w:lineRule="exact"/>
              <w:jc w:val="center"/>
              <w:textAlignment w:val="bottom"/>
              <w:rPr>
                <w:rFonts w:ascii="仿宋_GB2312" w:hAnsi="仿宋_GB2312" w:eastAsia="仿宋_GB2312" w:cs="仿宋_GB2312"/>
                <w:sz w:val="28"/>
                <w:szCs w:val="28"/>
              </w:rPr>
            </w:pPr>
          </w:p>
        </w:tc>
      </w:tr>
    </w:tbl>
    <w:p w14:paraId="04534B4F">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14:paraId="0A7CB5FF">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（注：有两个及以上100万元以上（含）特定目标类部门预算项目的，需分别开展绩效目标自评并填写附表）</w:t>
      </w:r>
    </w:p>
    <w:p w14:paraId="6D5EB620">
      <w:pPr>
        <w:spacing w:line="580" w:lineRule="exact"/>
        <w:rPr>
          <w:rStyle w:val="27"/>
          <w:rFonts w:ascii="黑体" w:hAnsi="黑体" w:eastAsia="黑体"/>
          <w:b w:val="0"/>
        </w:rPr>
      </w:pPr>
    </w:p>
    <w:p w14:paraId="657DD632">
      <w:pPr>
        <w:widowControl/>
        <w:jc w:val="left"/>
        <w:rPr>
          <w:rStyle w:val="27"/>
          <w:rFonts w:ascii="黑体" w:hAnsi="黑体" w:eastAsia="黑体"/>
          <w:b w:val="0"/>
        </w:rPr>
      </w:pPr>
      <w:r>
        <w:rPr>
          <w:rStyle w:val="27"/>
          <w:rFonts w:ascii="黑体" w:hAnsi="黑体" w:eastAsia="黑体"/>
          <w:b w:val="0"/>
        </w:rPr>
        <w:br w:type="page"/>
      </w:r>
    </w:p>
    <w:p w14:paraId="278F1DA6">
      <w:pPr>
        <w:spacing w:line="600" w:lineRule="exact"/>
        <w:jc w:val="center"/>
        <w:outlineLvl w:val="0"/>
        <w:rPr>
          <w:rFonts w:ascii="仿宋" w:hAnsi="仿宋" w:eastAsia="仿宋"/>
        </w:rPr>
      </w:pPr>
      <w:bookmarkStart w:id="112" w:name="_Toc15396618"/>
      <w:bookmarkStart w:id="113" w:name="_Toc16676_WPSOffice_Level1"/>
      <w:r>
        <w:rPr>
          <w:rFonts w:hint="eastAsia" w:ascii="黑体" w:hAnsi="黑体" w:eastAsia="黑体"/>
          <w:sz w:val="44"/>
          <w:szCs w:val="44"/>
        </w:rPr>
        <w:t>第</w:t>
      </w:r>
      <w:r>
        <w:rPr>
          <w:rStyle w:val="27"/>
          <w:rFonts w:hint="eastAsia" w:ascii="黑体" w:hAnsi="黑体" w:eastAsia="黑体"/>
          <w:b w:val="0"/>
        </w:rPr>
        <w:t>五部分 附表</w:t>
      </w:r>
      <w:bookmarkEnd w:id="103"/>
      <w:bookmarkEnd w:id="112"/>
      <w:bookmarkEnd w:id="113"/>
      <w:bookmarkStart w:id="114" w:name="_Toc15396619"/>
    </w:p>
    <w:p w14:paraId="387128D8">
      <w:pPr>
        <w:pStyle w:val="4"/>
        <w:rPr>
          <w:rFonts w:ascii="仿宋" w:hAnsi="仿宋" w:eastAsia="仿宋"/>
        </w:rPr>
      </w:pPr>
      <w:bookmarkStart w:id="115" w:name="_Toc12104_WPSOffice_Level2"/>
      <w:r>
        <w:rPr>
          <w:rFonts w:hint="eastAsia" w:ascii="仿宋" w:hAnsi="仿宋" w:eastAsia="仿宋"/>
          <w:b w:val="0"/>
        </w:rPr>
        <w:t>一、收</w:t>
      </w:r>
      <w:r>
        <w:rPr>
          <w:rStyle w:val="28"/>
          <w:rFonts w:hint="eastAsia" w:ascii="仿宋" w:hAnsi="仿宋" w:eastAsia="仿宋"/>
          <w:b w:val="0"/>
          <w:bCs w:val="0"/>
        </w:rPr>
        <w:t>入支出决算总表</w:t>
      </w:r>
      <w:bookmarkEnd w:id="114"/>
      <w:bookmarkEnd w:id="115"/>
    </w:p>
    <w:p w14:paraId="6838C181">
      <w:pPr>
        <w:pStyle w:val="4"/>
        <w:rPr>
          <w:rFonts w:ascii="仿宋" w:hAnsi="仿宋" w:eastAsia="仿宋"/>
        </w:rPr>
      </w:pPr>
      <w:bookmarkStart w:id="116" w:name="_Toc15396620"/>
      <w:bookmarkStart w:id="117" w:name="_Toc25924_WPSOffice_Level2"/>
      <w:r>
        <w:rPr>
          <w:rFonts w:hint="eastAsia" w:ascii="仿宋" w:hAnsi="仿宋" w:eastAsia="仿宋"/>
          <w:b w:val="0"/>
        </w:rPr>
        <w:t>二、收</w:t>
      </w:r>
      <w:r>
        <w:rPr>
          <w:rStyle w:val="28"/>
          <w:rFonts w:hint="eastAsia" w:ascii="仿宋" w:hAnsi="仿宋" w:eastAsia="仿宋"/>
          <w:b w:val="0"/>
          <w:bCs w:val="0"/>
        </w:rPr>
        <w:t>入决算表</w:t>
      </w:r>
      <w:bookmarkEnd w:id="116"/>
      <w:bookmarkEnd w:id="117"/>
    </w:p>
    <w:p w14:paraId="6464664D">
      <w:pPr>
        <w:pStyle w:val="4"/>
        <w:rPr>
          <w:rFonts w:ascii="仿宋" w:hAnsi="仿宋" w:eastAsia="仿宋"/>
        </w:rPr>
      </w:pPr>
      <w:bookmarkStart w:id="118" w:name="_Toc757_WPSOffice_Level2"/>
      <w:bookmarkStart w:id="11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8"/>
      <w:bookmarkEnd w:id="119"/>
    </w:p>
    <w:p w14:paraId="7AB57C26">
      <w:pPr>
        <w:pStyle w:val="4"/>
        <w:rPr>
          <w:rFonts w:ascii="仿宋" w:hAnsi="仿宋" w:eastAsia="仿宋"/>
          <w:b w:val="0"/>
        </w:rPr>
      </w:pPr>
      <w:bookmarkStart w:id="120" w:name="_Toc15396622"/>
      <w:bookmarkStart w:id="121" w:name="_Toc24803_WPSOffice_Level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20"/>
      <w:bookmarkEnd w:id="121"/>
    </w:p>
    <w:p w14:paraId="1F68B864">
      <w:pPr>
        <w:pStyle w:val="4"/>
        <w:rPr>
          <w:rStyle w:val="28"/>
          <w:rFonts w:ascii="仿宋" w:hAnsi="仿宋" w:eastAsia="仿宋"/>
          <w:b w:val="0"/>
          <w:bCs w:val="0"/>
        </w:rPr>
      </w:pPr>
      <w:bookmarkStart w:id="122" w:name="_Toc15396623"/>
      <w:bookmarkStart w:id="123" w:name="_Toc69_WPSOffice_Level2"/>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22"/>
      <w:bookmarkEnd w:id="123"/>
      <w:bookmarkStart w:id="124" w:name="_Toc15396624"/>
    </w:p>
    <w:p w14:paraId="0F768E1A">
      <w:pPr>
        <w:pStyle w:val="4"/>
        <w:rPr>
          <w:rFonts w:ascii="仿宋" w:hAnsi="仿宋" w:eastAsia="仿宋"/>
        </w:rPr>
      </w:pPr>
      <w:bookmarkStart w:id="125" w:name="_Toc7184_WPSOffice_Level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4"/>
      <w:bookmarkEnd w:id="125"/>
    </w:p>
    <w:p w14:paraId="523630A5">
      <w:pPr>
        <w:pStyle w:val="4"/>
        <w:rPr>
          <w:rFonts w:ascii="仿宋" w:hAnsi="仿宋" w:eastAsia="仿宋"/>
        </w:rPr>
      </w:pPr>
      <w:bookmarkStart w:id="126" w:name="_Toc15396625"/>
      <w:bookmarkStart w:id="127" w:name="_Toc10893_WPSOffice_Level2"/>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26"/>
      <w:bookmarkEnd w:id="127"/>
    </w:p>
    <w:p w14:paraId="03F50270">
      <w:pPr>
        <w:pStyle w:val="4"/>
        <w:rPr>
          <w:rFonts w:ascii="仿宋" w:hAnsi="仿宋" w:eastAsia="仿宋"/>
        </w:rPr>
      </w:pPr>
      <w:bookmarkStart w:id="128" w:name="_Toc10856_WPSOffice_Level2"/>
      <w:bookmarkStart w:id="12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28"/>
      <w:bookmarkEnd w:id="129"/>
    </w:p>
    <w:p w14:paraId="696B23A7">
      <w:pPr>
        <w:pStyle w:val="4"/>
        <w:rPr>
          <w:rFonts w:ascii="仿宋" w:hAnsi="仿宋" w:eastAsia="仿宋"/>
        </w:rPr>
      </w:pPr>
      <w:bookmarkStart w:id="130" w:name="_Toc15396627"/>
      <w:bookmarkStart w:id="131" w:name="_Toc30225_WPSOffice_Level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30"/>
      <w:bookmarkEnd w:id="131"/>
    </w:p>
    <w:p w14:paraId="4E43BADF">
      <w:pPr>
        <w:pStyle w:val="4"/>
        <w:rPr>
          <w:rFonts w:ascii="仿宋" w:hAnsi="仿宋" w:eastAsia="仿宋"/>
        </w:rPr>
      </w:pPr>
      <w:bookmarkStart w:id="132" w:name="_Toc15396628"/>
      <w:bookmarkStart w:id="133" w:name="_Toc2517_WPSOffice_Level2"/>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132"/>
      <w:bookmarkEnd w:id="133"/>
    </w:p>
    <w:p w14:paraId="1764EADC">
      <w:pPr>
        <w:pStyle w:val="4"/>
        <w:rPr>
          <w:rFonts w:ascii="仿宋" w:hAnsi="仿宋" w:eastAsia="仿宋"/>
        </w:rPr>
      </w:pPr>
      <w:bookmarkStart w:id="134" w:name="_Toc8449_WPSOffice_Level2"/>
      <w:bookmarkStart w:id="135"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34"/>
      <w:bookmarkEnd w:id="135"/>
    </w:p>
    <w:p w14:paraId="1592B857">
      <w:pPr>
        <w:pStyle w:val="4"/>
        <w:rPr>
          <w:rFonts w:ascii="仿宋" w:hAnsi="仿宋" w:eastAsia="仿宋"/>
        </w:rPr>
      </w:pPr>
      <w:bookmarkStart w:id="136" w:name="_Toc15396630"/>
      <w:bookmarkStart w:id="137" w:name="_Toc9_WPSOffice_Level2"/>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136"/>
      <w:bookmarkEnd w:id="137"/>
    </w:p>
    <w:p w14:paraId="38B6A0D9">
      <w:pPr>
        <w:pStyle w:val="4"/>
        <w:rPr>
          <w:rStyle w:val="28"/>
          <w:rFonts w:ascii="仿宋" w:hAnsi="仿宋" w:eastAsia="仿宋"/>
          <w:b w:val="0"/>
          <w:bCs w:val="0"/>
        </w:rPr>
      </w:pPr>
      <w:bookmarkStart w:id="138" w:name="_Toc24952_WPSOffice_Level2"/>
      <w:bookmarkStart w:id="139"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38"/>
      <w:bookmarkEnd w:id="139"/>
    </w:p>
    <w:p w14:paraId="514563FF">
      <w:pPr>
        <w:rPr>
          <w:rFonts w:eastAsia="仿宋"/>
        </w:rPr>
      </w:pPr>
      <w:bookmarkStart w:id="140" w:name="_Toc15619_WPSOffice_Level2"/>
      <w:r>
        <w:rPr>
          <w:rStyle w:val="28"/>
          <w:rFonts w:hint="eastAsia" w:ascii="仿宋" w:hAnsi="仿宋" w:eastAsia="仿宋"/>
          <w:b w:val="0"/>
          <w:bCs w:val="0"/>
        </w:rPr>
        <w:t>十四、国有资本经营预算财政拨款支出决算表</w:t>
      </w:r>
      <w:bookmarkEnd w:id="14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96666B4">
        <w:pPr>
          <w:pStyle w:val="10"/>
          <w:jc w:val="center"/>
        </w:pPr>
        <w:r>
          <w:fldChar w:fldCharType="begin"/>
        </w:r>
        <w:r>
          <w:instrText xml:space="preserve">PAGE   \* MERGEFORMAT</w:instrText>
        </w:r>
        <w:r>
          <w:fldChar w:fldCharType="separate"/>
        </w:r>
        <w:r>
          <w:rPr>
            <w:lang w:val="zh-CN"/>
          </w:rPr>
          <w:t>22</w:t>
        </w:r>
        <w:r>
          <w:fldChar w:fldCharType="end"/>
        </w:r>
      </w:p>
    </w:sdtContent>
  </w:sdt>
  <w:p w14:paraId="287EDF3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2F6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815C7B"/>
    <w:multiLevelType w:val="singleLevel"/>
    <w:tmpl w:val="59815C7B"/>
    <w:lvl w:ilvl="0" w:tentative="0">
      <w:start w:val="1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2DFC"/>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1240"/>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233D"/>
    <w:rsid w:val="00280496"/>
    <w:rsid w:val="00287B43"/>
    <w:rsid w:val="00294DC9"/>
    <w:rsid w:val="00295495"/>
    <w:rsid w:val="002A31DE"/>
    <w:rsid w:val="002B2613"/>
    <w:rsid w:val="002D6D05"/>
    <w:rsid w:val="002E25C2"/>
    <w:rsid w:val="002F1818"/>
    <w:rsid w:val="002F410F"/>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50C"/>
    <w:rsid w:val="00566590"/>
    <w:rsid w:val="00566FFA"/>
    <w:rsid w:val="0057481D"/>
    <w:rsid w:val="0058486E"/>
    <w:rsid w:val="00585B33"/>
    <w:rsid w:val="0059014D"/>
    <w:rsid w:val="00596F7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3F0B"/>
    <w:rsid w:val="0075404D"/>
    <w:rsid w:val="0076182A"/>
    <w:rsid w:val="00767B7E"/>
    <w:rsid w:val="007770C3"/>
    <w:rsid w:val="00784D24"/>
    <w:rsid w:val="00785FBA"/>
    <w:rsid w:val="00786E4A"/>
    <w:rsid w:val="007875EB"/>
    <w:rsid w:val="0079426B"/>
    <w:rsid w:val="007D1682"/>
    <w:rsid w:val="007D312A"/>
    <w:rsid w:val="007D3F19"/>
    <w:rsid w:val="007D4186"/>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5FD"/>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6F5"/>
    <w:rsid w:val="00F45853"/>
    <w:rsid w:val="00F602DF"/>
    <w:rsid w:val="00F754A1"/>
    <w:rsid w:val="00F81FD9"/>
    <w:rsid w:val="00F841AA"/>
    <w:rsid w:val="00F84A94"/>
    <w:rsid w:val="00F87E96"/>
    <w:rsid w:val="00FA23E8"/>
    <w:rsid w:val="00FD3CC1"/>
    <w:rsid w:val="00FF1E02"/>
    <w:rsid w:val="00FF30B4"/>
    <w:rsid w:val="03A918CD"/>
    <w:rsid w:val="066E0107"/>
    <w:rsid w:val="07996F6E"/>
    <w:rsid w:val="0A2032A3"/>
    <w:rsid w:val="0BFA3F10"/>
    <w:rsid w:val="101860EC"/>
    <w:rsid w:val="10C055FF"/>
    <w:rsid w:val="118107EC"/>
    <w:rsid w:val="13D50BC4"/>
    <w:rsid w:val="16AD67F6"/>
    <w:rsid w:val="16BB723D"/>
    <w:rsid w:val="1BE8440E"/>
    <w:rsid w:val="1D155CEE"/>
    <w:rsid w:val="229628CB"/>
    <w:rsid w:val="23860B96"/>
    <w:rsid w:val="240371BF"/>
    <w:rsid w:val="29FD04D3"/>
    <w:rsid w:val="2C8A61B5"/>
    <w:rsid w:val="2DF04E50"/>
    <w:rsid w:val="2FF2075E"/>
    <w:rsid w:val="319F7F4E"/>
    <w:rsid w:val="354463AE"/>
    <w:rsid w:val="36AA5135"/>
    <w:rsid w:val="37E16F03"/>
    <w:rsid w:val="38A4415C"/>
    <w:rsid w:val="3D98207C"/>
    <w:rsid w:val="44D97B1C"/>
    <w:rsid w:val="44E268DA"/>
    <w:rsid w:val="493D45B3"/>
    <w:rsid w:val="4A627F82"/>
    <w:rsid w:val="4B4F25DA"/>
    <w:rsid w:val="4BE068DB"/>
    <w:rsid w:val="4D577224"/>
    <w:rsid w:val="4EAB630A"/>
    <w:rsid w:val="4ECE2238"/>
    <w:rsid w:val="4F330FDF"/>
    <w:rsid w:val="518C2B7C"/>
    <w:rsid w:val="5AF92295"/>
    <w:rsid w:val="5CD71FC4"/>
    <w:rsid w:val="68715860"/>
    <w:rsid w:val="6BEC6D6D"/>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uiPriority w:val="0"/>
    <w:rPr>
      <w:rFonts w:ascii="Calibri" w:hAnsi="Calibri" w:eastAsia="宋体" w:cs="Times New Roman"/>
      <w:lang w:val="en-US" w:eastAsia="zh-CN" w:bidi="ar-SA"/>
    </w:rPr>
  </w:style>
  <w:style w:type="paragraph" w:customStyle="1" w:styleId="34">
    <w:name w:val="WPSOffice手动目录 2"/>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[2021决算公开图表.xls]Sheet1!$B$58:$C$58</c:f>
              <c:numCache>
                <c:formatCode>General</c:formatCode>
                <c:ptCount val="2"/>
                <c:pt idx="0">
                  <c:v>2020</c:v>
                </c:pt>
                <c:pt idx="1">
                  <c:v>2021</c:v>
                </c:pt>
              </c:numCache>
            </c:numRef>
          </c:cat>
          <c:val>
            <c:numRef>
              <c:f>[2021决算公开图表.xls]Sheet1!$B$59:$C$59</c:f>
              <c:numCache>
                <c:formatCode>General</c:formatCode>
                <c:ptCount val="2"/>
                <c:pt idx="0">
                  <c:v>528.38</c:v>
                </c:pt>
                <c:pt idx="1">
                  <c:v>578.41</c:v>
                </c:pt>
              </c:numCache>
            </c:numRef>
          </c:val>
        </c:ser>
        <c:dLbls>
          <c:showLegendKey val="0"/>
          <c:showVal val="0"/>
          <c:showCatName val="0"/>
          <c:showSerName val="0"/>
          <c:showPercent val="0"/>
          <c:showBubbleSize val="0"/>
        </c:dLbls>
        <c:gapWidth val="150"/>
        <c:axId val="760506043"/>
        <c:axId val="476093399"/>
      </c:barChart>
      <c:catAx>
        <c:axId val="760506043"/>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76093399"/>
        <c:crosses val="autoZero"/>
        <c:auto val="1"/>
        <c:lblAlgn val="ctr"/>
        <c:lblOffset val="100"/>
        <c:noMultiLvlLbl val="0"/>
      </c:catAx>
      <c:valAx>
        <c:axId val="476093399"/>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760506043"/>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446331767257"/>
          <c:y val="0.507475083056478"/>
          <c:w val="0.198530297554512"/>
          <c:h val="0.232765780730897"/>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2504456-4748-47b1-930e-95f982b55562}"/>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Pt>
            <c:idx val="5"/>
            <c:bubble3D val="0"/>
            <c:spPr>
              <a:solidFill>
                <a:srgbClr val="FF8080"/>
              </a:solidFill>
              <a:ln w="12700">
                <a:solidFill>
                  <a:srgbClr val="000000">
                    <a:alpha val="100000"/>
                  </a:srgbClr>
                </a:solidFill>
                <a:prstDash val="solid"/>
              </a:ln>
              <a:effectLst/>
            </c:spPr>
          </c:dPt>
          <c:dLbls>
            <c:dLbl>
              <c:idx val="0"/>
              <c:layout>
                <c:manualLayout>
                  <c:x val="-0.24496758789383"/>
                  <c:y val="-0.153912599958452"/>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549.56</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96.29</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lang="en-US"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manualLayout>
                      <c:w val="0.243638992649717"/>
                      <c:h val="0.169443122322703"/>
                    </c:manualLayout>
                  </c15:layout>
                </c:ext>
              </c:extLst>
            </c:dLbl>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sz="1200" b="0" i="0" u="none" strike="noStrike" baseline="0">
                        <a:solidFill>
                          <a:srgbClr val="FF0000"/>
                        </a:solidFill>
                        <a:latin typeface="宋体" panose="02010600030101010101" charset="-122"/>
                        <a:ea typeface="宋体" panose="02010600030101010101" charset="-122"/>
                        <a:cs typeface="宋体" panose="02010600030101010101" charset="-122"/>
                      </a:rPr>
                      <a:t>27.08, </a:t>
                    </a:r>
                    <a:r>
                      <a:rPr lang="en-US" altLang="zh-CN" sz="1200" b="0"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2.5</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extLst>
            </c:dLbl>
            <c:dLbl>
              <c:idx val="3"/>
              <c:layout>
                <c:manualLayout>
                  <c:x val="-0.172697681048186"/>
                  <c:y val="0.112956522610458"/>
                </c:manualLayout>
              </c:layout>
              <c:tx>
                <c:rich>
                  <a:bodyPr rot="0" spcFirstLastPara="0" vertOverflow="ellipsis"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r>
                      <a:rPr lang="en-US" altLang="zh-CN"/>
                      <a:t>21.18, 4%</a:t>
                    </a:r>
                    <a:endParaRPr lang="en-US" altLang="zh-CN"/>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143057503506311"/>
                  <c:y val="0.0166204986149584"/>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0310092246493281"/>
                  <c:y val="0.0526186518952927"/>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[2021决算公开图表.xls]Sheet1!$C$3:$C$8</c:f>
              <c:numCache>
                <c:formatCode>General</c:formatCode>
                <c:ptCount val="6"/>
                <c:pt idx="0">
                  <c:v>549.56</c:v>
                </c:pt>
                <c:pt idx="2">
                  <c:v>0</c:v>
                </c:pt>
                <c:pt idx="3">
                  <c:v>21.17</c:v>
                </c:pt>
                <c:pt idx="4">
                  <c:v>0</c:v>
                </c:pt>
                <c:pt idx="5">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[2021决算公开图表.xls]Sheet1!$D$3:$D$8</c:f>
              <c:numCache>
                <c:formatCode>0.00%</c:formatCode>
                <c:ptCount val="6"/>
                <c:pt idx="0">
                  <c:v>0.9659</c:v>
                </c:pt>
                <c:pt idx="2" c:formatCode="0%">
                  <c:v>0</c:v>
                </c:pt>
                <c:pt idx="3" c:formatCode="0%">
                  <c:v>0.0371</c:v>
                </c:pt>
                <c:pt idx="4" c:formatCode="0%">
                  <c:v>0</c:v>
                </c:pt>
                <c:pt idx="5"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5"/>
          <c:y val="0.23575"/>
          <c:w val="0.3345"/>
          <c:h val="0.6647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1369edf-ea6b-44f3-92c9-19b3b1822979}"/>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1"/>
              <c:layout>
                <c:manualLayout>
                  <c:x val="-0.136177847376161"/>
                  <c:y val="-0.011958468404825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28730822873082"/>
                  <c:y val="0.18562984854082"/>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[2021决算公开图表.xls]Sheet1!$C$34:$C$38</c:f>
              <c:numCache>
                <c:formatCode>General</c:formatCode>
                <c:ptCount val="5"/>
                <c:pt idx="0">
                  <c:v>514.82</c:v>
                </c:pt>
                <c:pt idx="1">
                  <c:v>63.59</c:v>
                </c:pt>
                <c:pt idx="2">
                  <c:v>0</c:v>
                </c:pt>
                <c:pt idx="3">
                  <c:v>0</c:v>
                </c:pt>
                <c:pt idx="4">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[2021决算公开图表.xls]Sheet1!$D$34:$D$38</c:f>
              <c:numCache>
                <c:formatCode>0.00%</c:formatCode>
                <c:ptCount val="5"/>
                <c:pt idx="0">
                  <c:v>0.8901</c:v>
                </c:pt>
                <c:pt idx="1">
                  <c:v>0.1099</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ed1c297-115b-4b40-b379-aac742702c19}"/>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[2021决算公开图表.xls]Sheet1!$B$167:$C$167</c:f>
              <c:strCache>
                <c:ptCount val="2"/>
                <c:pt idx="0">
                  <c:v>2020年</c:v>
                </c:pt>
                <c:pt idx="1">
                  <c:v>2021年</c:v>
                </c:pt>
              </c:strCache>
            </c:strRef>
          </c:cat>
          <c:val>
            <c:numRef>
              <c:f>[2021决算公开图表.xls]Sheet1!$B$168:$C$168</c:f>
              <c:numCache>
                <c:formatCode>General</c:formatCode>
                <c:ptCount val="2"/>
                <c:pt idx="0">
                  <c:v>472.73</c:v>
                </c:pt>
                <c:pt idx="1">
                  <c:v>557.23</c:v>
                </c:pt>
              </c:numCache>
            </c:numRef>
          </c:val>
        </c:ser>
        <c:dLbls>
          <c:showLegendKey val="0"/>
          <c:showVal val="0"/>
          <c:showCatName val="0"/>
          <c:showSerName val="0"/>
          <c:showPercent val="0"/>
          <c:showBubbleSize val="0"/>
        </c:dLbls>
        <c:gapWidth val="150"/>
        <c:axId val="375975856"/>
        <c:axId val="54197342"/>
      </c:barChart>
      <c:catAx>
        <c:axId val="375975856"/>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54197342"/>
        <c:crosses val="autoZero"/>
        <c:auto val="1"/>
        <c:lblAlgn val="ctr"/>
        <c:lblOffset val="100"/>
        <c:noMultiLvlLbl val="0"/>
      </c:catAx>
      <c:valAx>
        <c:axId val="5419734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375975856"/>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5"/>
          <c:y val="0.50425"/>
          <c:w val="0.2905"/>
          <c:h val="0.059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0955753-2cda-4bd5-b3ef-1fffacbdb383}"/>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[2021决算公开图表.xls]Sheet1!$B$84:$C$84</c:f>
              <c:strCache>
                <c:ptCount val="2"/>
                <c:pt idx="0">
                  <c:v>2020年</c:v>
                </c:pt>
                <c:pt idx="1">
                  <c:v>2021年</c:v>
                </c:pt>
              </c:strCache>
            </c:strRef>
          </c:cat>
          <c:val>
            <c:numRef>
              <c:f>[2021决算公开图表.xls]Sheet1!$B$85:$C$85</c:f>
              <c:numCache>
                <c:formatCode>General</c:formatCode>
                <c:ptCount val="2"/>
                <c:pt idx="0">
                  <c:v>472.73</c:v>
                </c:pt>
                <c:pt idx="1">
                  <c:v>557.23</c:v>
                </c:pt>
              </c:numCache>
            </c:numRef>
          </c:val>
        </c:ser>
        <c:dLbls>
          <c:showLegendKey val="0"/>
          <c:showVal val="0"/>
          <c:showCatName val="0"/>
          <c:showSerName val="0"/>
          <c:showPercent val="0"/>
          <c:showBubbleSize val="0"/>
        </c:dLbls>
        <c:gapWidth val="150"/>
        <c:axId val="986551235"/>
        <c:axId val="271296611"/>
      </c:barChart>
      <c:catAx>
        <c:axId val="986551235"/>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271296611"/>
        <c:crosses val="autoZero"/>
        <c:auto val="1"/>
        <c:lblAlgn val="ctr"/>
        <c:lblOffset val="100"/>
        <c:noMultiLvlLbl val="0"/>
      </c:catAx>
      <c:valAx>
        <c:axId val="271296611"/>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986551235"/>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7875"/>
          <c:y val="0.50575"/>
          <c:w val="0.31525"/>
          <c:h val="0.0597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42caf95-ed6d-427e-8b59-fcc5856b3a33}"/>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925479618915"/>
          <c:y val="0.0179802217560683"/>
        </c:manualLayout>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Lbls>
            <c:dLbl>
              <c:idx val="1"/>
              <c:layout>
                <c:manualLayout>
                  <c:x val="-0.0552486187845304"/>
                  <c:y val="0.096643691938867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05801104972376"/>
                  <c:y val="0.017980221756068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[2021决算公开图表.xls]Sheet1!$A$110:$A$112</c:f>
              <c:strCache>
                <c:ptCount val="3"/>
                <c:pt idx="0">
                  <c:v>教育支出</c:v>
                </c:pt>
                <c:pt idx="1">
                  <c:v>社会保障和就业支出</c:v>
                </c:pt>
                <c:pt idx="2">
                  <c:v>住房保障支出</c:v>
                </c:pt>
              </c:strCache>
            </c:strRef>
          </c:cat>
          <c:val>
            <c:numRef>
              <c:f>[2021决算公开图表.xls]Sheet1!$B$110:$B$112</c:f>
              <c:numCache>
                <c:formatCode>General</c:formatCode>
                <c:ptCount val="3"/>
                <c:pt idx="0">
                  <c:v>467.46</c:v>
                </c:pt>
                <c:pt idx="1">
                  <c:v>48.69</c:v>
                </c:pt>
                <c:pt idx="2">
                  <c:v>41.08</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Lbls>
            <c:delete val="1"/>
          </c:dLbls>
          <c:cat>
            <c:strRef>
              <c:f>[2021决算公开图表.xls]Sheet1!$A$110:$A$112</c:f>
              <c:strCache>
                <c:ptCount val="3"/>
                <c:pt idx="0">
                  <c:v>教育支出</c:v>
                </c:pt>
                <c:pt idx="1">
                  <c:v>社会保障和就业支出</c:v>
                </c:pt>
                <c:pt idx="2">
                  <c:v>住房保障支出</c:v>
                </c:pt>
              </c:strCache>
            </c:strRef>
          </c:cat>
          <c:val>
            <c:numRef>
              <c:f>[2021决算公开图表.xls]Sheet1!$C$110:$C$112</c:f>
              <c:numCache>
                <c:formatCode>0.00%</c:formatCode>
                <c:ptCount val="3"/>
                <c:pt idx="0">
                  <c:v>0.8388</c:v>
                </c:pt>
                <c:pt idx="1">
                  <c:v>0.0874</c:v>
                </c:pt>
                <c:pt idx="2">
                  <c:v>0.0738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569482945643"/>
          <c:y val="0.421952316689159"/>
          <c:w val="0.238760997951067"/>
          <c:h val="0.47323436797121"/>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bff43b0-bda0-442c-b16d-870edc8e5985}"/>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824b27-2898-401e-9192-846946663ad9}"/>
        <w:style w:val=""/>
        <w:category>
          <w:name w:val="常规"/>
          <w:gallery w:val="placeholder"/>
        </w:category>
        <w:types>
          <w:type w:val="bbPlcHdr"/>
        </w:types>
        <w:behaviors>
          <w:behavior w:val="content"/>
        </w:behaviors>
        <w:description w:val=""/>
        <w:guid w:val="{55824B27-2898-401E-9192-846946663AD9}"/>
      </w:docPartPr>
      <w:docPartBody>
        <w:p w14:paraId="1DB0E1E0">
          <w:r>
            <w:rPr>
              <w:color w:val="808080"/>
            </w:rPr>
            <w:t>单击此处输入文字。</w:t>
          </w:r>
        </w:p>
      </w:docPartBody>
    </w:docPart>
    <w:docPart>
      <w:docPartPr>
        <w:name w:val="{2548d882-64c5-4e01-9bbd-9d8f83638439}"/>
        <w:style w:val=""/>
        <w:category>
          <w:name w:val="常规"/>
          <w:gallery w:val="placeholder"/>
        </w:category>
        <w:types>
          <w:type w:val="bbPlcHdr"/>
        </w:types>
        <w:behaviors>
          <w:behavior w:val="content"/>
        </w:behaviors>
        <w:description w:val=""/>
        <w:guid w:val="{2548D882-64C5-4E01-9BBD-9D8F83638439}"/>
      </w:docPartPr>
      <w:docPartBody>
        <w:p w14:paraId="55F1BDE6">
          <w:r>
            <w:rPr>
              <w:color w:val="808080"/>
            </w:rPr>
            <w:t>单击此处输入文字。</w:t>
          </w:r>
        </w:p>
      </w:docPartBody>
    </w:docPart>
    <w:docPart>
      <w:docPartPr>
        <w:name w:val="{eb2dcbb0-3dd6-4b76-b60a-a1dce811b5c2}"/>
        <w:style w:val=""/>
        <w:category>
          <w:name w:val="常规"/>
          <w:gallery w:val="placeholder"/>
        </w:category>
        <w:types>
          <w:type w:val="bbPlcHdr"/>
        </w:types>
        <w:behaviors>
          <w:behavior w:val="content"/>
        </w:behaviors>
        <w:description w:val=""/>
        <w:guid w:val="{EB2DCBB0-3DD6-4B76-B60A-A1DCE811B5C2}"/>
      </w:docPartPr>
      <w:docPartBody>
        <w:p w14:paraId="2C1128E1">
          <w:r>
            <w:rPr>
              <w:color w:val="808080"/>
            </w:rPr>
            <w:t>单击此处输入文字。</w:t>
          </w:r>
        </w:p>
      </w:docPartBody>
    </w:docPart>
    <w:docPart>
      <w:docPartPr>
        <w:name w:val="{0605f78c-cdef-46fd-af31-ef10b0ce254b}"/>
        <w:style w:val=""/>
        <w:category>
          <w:name w:val="常规"/>
          <w:gallery w:val="placeholder"/>
        </w:category>
        <w:types>
          <w:type w:val="bbPlcHdr"/>
        </w:types>
        <w:behaviors>
          <w:behavior w:val="content"/>
        </w:behaviors>
        <w:description w:val=""/>
        <w:guid w:val="{0605F78C-CDEF-46FD-AF31-EF10B0CE254B}"/>
      </w:docPartPr>
      <w:docPartBody>
        <w:p w14:paraId="764C77A7">
          <w:r>
            <w:rPr>
              <w:color w:val="808080"/>
            </w:rPr>
            <w:t>单击此处输入文字。</w:t>
          </w:r>
        </w:p>
      </w:docPartBody>
    </w:docPart>
    <w:docPart>
      <w:docPartPr>
        <w:name w:val="{a6e2606d-5c26-4708-b32c-d7e7875d55f1}"/>
        <w:style w:val=""/>
        <w:category>
          <w:name w:val="常规"/>
          <w:gallery w:val="placeholder"/>
        </w:category>
        <w:types>
          <w:type w:val="bbPlcHdr"/>
        </w:types>
        <w:behaviors>
          <w:behavior w:val="content"/>
        </w:behaviors>
        <w:description w:val=""/>
        <w:guid w:val="{A6E2606D-5C26-4708-B32C-D7E7875D55F1}"/>
      </w:docPartPr>
      <w:docPartBody>
        <w:p w14:paraId="32981833">
          <w:r>
            <w:rPr>
              <w:color w:val="808080"/>
            </w:rPr>
            <w:t>单击此处输入文字。</w:t>
          </w:r>
        </w:p>
      </w:docPartBody>
    </w:docPart>
    <w:docPart>
      <w:docPartPr>
        <w:name w:val="{91b2bbf6-dcda-46a5-9983-f8290a984a46}"/>
        <w:style w:val=""/>
        <w:category>
          <w:name w:val="常规"/>
          <w:gallery w:val="placeholder"/>
        </w:category>
        <w:types>
          <w:type w:val="bbPlcHdr"/>
        </w:types>
        <w:behaviors>
          <w:behavior w:val="content"/>
        </w:behaviors>
        <w:description w:val=""/>
        <w:guid w:val="{91B2BBF6-DCDA-46A5-9983-F8290A984A46}"/>
      </w:docPartPr>
      <w:docPartBody>
        <w:p w14:paraId="5CC7A338">
          <w:r>
            <w:rPr>
              <w:color w:val="808080"/>
            </w:rPr>
            <w:t>单击此处输入文字。</w:t>
          </w:r>
        </w:p>
      </w:docPartBody>
    </w:docPart>
    <w:docPart>
      <w:docPartPr>
        <w:name w:val="{7db4d32c-2b69-48cd-905d-f6a939fb2cfb}"/>
        <w:style w:val=""/>
        <w:category>
          <w:name w:val="常规"/>
          <w:gallery w:val="placeholder"/>
        </w:category>
        <w:types>
          <w:type w:val="bbPlcHdr"/>
        </w:types>
        <w:behaviors>
          <w:behavior w:val="content"/>
        </w:behaviors>
        <w:description w:val=""/>
        <w:guid w:val="{7DB4D32C-2B69-48CD-905D-F6A939FB2CFB}"/>
      </w:docPartPr>
      <w:docPartBody>
        <w:p w14:paraId="071C7AC2">
          <w:r>
            <w:rPr>
              <w:color w:val="808080"/>
            </w:rPr>
            <w:t>单击此处输入文字。</w:t>
          </w:r>
        </w:p>
      </w:docPartBody>
    </w:docPart>
    <w:docPart>
      <w:docPartPr>
        <w:name w:val="{e9c2165f-2a9c-4d45-a0c5-04f1ea3b26fd}"/>
        <w:style w:val=""/>
        <w:category>
          <w:name w:val="常规"/>
          <w:gallery w:val="placeholder"/>
        </w:category>
        <w:types>
          <w:type w:val="bbPlcHdr"/>
        </w:types>
        <w:behaviors>
          <w:behavior w:val="content"/>
        </w:behaviors>
        <w:description w:val=""/>
        <w:guid w:val="{E9C2165F-2A9C-4D45-A0C5-04F1EA3B26FD}"/>
      </w:docPartPr>
      <w:docPartBody>
        <w:p w14:paraId="35F50686">
          <w:r>
            <w:rPr>
              <w:color w:val="808080"/>
            </w:rPr>
            <w:t>单击此处输入文字。</w:t>
          </w:r>
        </w:p>
      </w:docPartBody>
    </w:docPart>
    <w:docPart>
      <w:docPartPr>
        <w:name w:val="{a9056bf5-713b-42b8-93f4-add23ae3a32c}"/>
        <w:style w:val=""/>
        <w:category>
          <w:name w:val="常规"/>
          <w:gallery w:val="placeholder"/>
        </w:category>
        <w:types>
          <w:type w:val="bbPlcHdr"/>
        </w:types>
        <w:behaviors>
          <w:behavior w:val="content"/>
        </w:behaviors>
        <w:description w:val=""/>
        <w:guid w:val="{A9056BF5-713B-42B8-93F4-ADD23AE3A32C}"/>
      </w:docPartPr>
      <w:docPartBody>
        <w:p w14:paraId="161559B9">
          <w:r>
            <w:rPr>
              <w:color w:val="808080"/>
            </w:rPr>
            <w:t>单击此处输入文字。</w:t>
          </w:r>
        </w:p>
      </w:docPartBody>
    </w:docPart>
    <w:docPart>
      <w:docPartPr>
        <w:name w:val="{77a0c007-5061-433a-8b92-32225974ad65}"/>
        <w:style w:val=""/>
        <w:category>
          <w:name w:val="常规"/>
          <w:gallery w:val="placeholder"/>
        </w:category>
        <w:types>
          <w:type w:val="bbPlcHdr"/>
        </w:types>
        <w:behaviors>
          <w:behavior w:val="content"/>
        </w:behaviors>
        <w:description w:val=""/>
        <w:guid w:val="{77A0C007-5061-433A-8B92-32225974AD65}"/>
      </w:docPartPr>
      <w:docPartBody>
        <w:p w14:paraId="33E1E087">
          <w:r>
            <w:rPr>
              <w:color w:val="808080"/>
            </w:rPr>
            <w:t>单击此处输入文字。</w:t>
          </w:r>
        </w:p>
      </w:docPartBody>
    </w:docPart>
    <w:docPart>
      <w:docPartPr>
        <w:name w:val="{40161692-9326-400e-ae17-c6a205cdd70a}"/>
        <w:style w:val=""/>
        <w:category>
          <w:name w:val="常规"/>
          <w:gallery w:val="placeholder"/>
        </w:category>
        <w:types>
          <w:type w:val="bbPlcHdr"/>
        </w:types>
        <w:behaviors>
          <w:behavior w:val="content"/>
        </w:behaviors>
        <w:description w:val=""/>
        <w:guid w:val="{40161692-9326-400E-AE17-C6A205CDD70A}"/>
      </w:docPartPr>
      <w:docPartBody>
        <w:p w14:paraId="630F593C">
          <w:r>
            <w:rPr>
              <w:color w:val="808080"/>
            </w:rPr>
            <w:t>单击此处输入文字。</w:t>
          </w:r>
        </w:p>
      </w:docPartBody>
    </w:docPart>
    <w:docPart>
      <w:docPartPr>
        <w:name w:val="{7bb14df5-6cb8-487c-8388-72ba044aebd9}"/>
        <w:style w:val=""/>
        <w:category>
          <w:name w:val="常规"/>
          <w:gallery w:val="placeholder"/>
        </w:category>
        <w:types>
          <w:type w:val="bbPlcHdr"/>
        </w:types>
        <w:behaviors>
          <w:behavior w:val="content"/>
        </w:behaviors>
        <w:description w:val=""/>
        <w:guid w:val="{7BB14DF5-6CB8-487C-8388-72BA044AEBD9}"/>
      </w:docPartPr>
      <w:docPartBody>
        <w:p w14:paraId="7FAF055F">
          <w:r>
            <w:rPr>
              <w:color w:val="808080"/>
            </w:rPr>
            <w:t>单击此处输入文字。</w:t>
          </w:r>
        </w:p>
      </w:docPartBody>
    </w:docPart>
    <w:docPart>
      <w:docPartPr>
        <w:name w:val="{630eaa46-804f-44b4-9a06-fe5e35c88646}"/>
        <w:style w:val=""/>
        <w:category>
          <w:name w:val="常规"/>
          <w:gallery w:val="placeholder"/>
        </w:category>
        <w:types>
          <w:type w:val="bbPlcHdr"/>
        </w:types>
        <w:behaviors>
          <w:behavior w:val="content"/>
        </w:behaviors>
        <w:description w:val=""/>
        <w:guid w:val="{630EAA46-804F-44B4-9A06-FE5E35C88646}"/>
      </w:docPartPr>
      <w:docPartBody>
        <w:p w14:paraId="75B1B7A1">
          <w:r>
            <w:rPr>
              <w:color w:val="808080"/>
            </w:rPr>
            <w:t>单击此处输入文字。</w:t>
          </w:r>
        </w:p>
      </w:docPartBody>
    </w:docPart>
    <w:docPart>
      <w:docPartPr>
        <w:name w:val="{61cd357f-619d-4a86-99eb-4b1f701c1ed5}"/>
        <w:style w:val=""/>
        <w:category>
          <w:name w:val="常规"/>
          <w:gallery w:val="placeholder"/>
        </w:category>
        <w:types>
          <w:type w:val="bbPlcHdr"/>
        </w:types>
        <w:behaviors>
          <w:behavior w:val="content"/>
        </w:behaviors>
        <w:description w:val=""/>
        <w:guid w:val="{61CD357F-619D-4A86-99EB-4B1F701C1ED5}"/>
      </w:docPartPr>
      <w:docPartBody>
        <w:p w14:paraId="08301567">
          <w:r>
            <w:rPr>
              <w:color w:val="808080"/>
            </w:rPr>
            <w:t>单击此处输入文字。</w:t>
          </w:r>
        </w:p>
      </w:docPartBody>
    </w:docPart>
    <w:docPart>
      <w:docPartPr>
        <w:name w:val="{c0d835c5-72c6-44e1-9a6d-73557d30af21}"/>
        <w:style w:val=""/>
        <w:category>
          <w:name w:val="常规"/>
          <w:gallery w:val="placeholder"/>
        </w:category>
        <w:types>
          <w:type w:val="bbPlcHdr"/>
        </w:types>
        <w:behaviors>
          <w:behavior w:val="content"/>
        </w:behaviors>
        <w:description w:val=""/>
        <w:guid w:val="{C0D835C5-72C6-44E1-9A6D-73557D30AF21}"/>
      </w:docPartPr>
      <w:docPartBody>
        <w:p w14:paraId="49DA2901">
          <w:r>
            <w:rPr>
              <w:color w:val="808080"/>
            </w:rPr>
            <w:t>单击此处输入文字。</w:t>
          </w:r>
        </w:p>
      </w:docPartBody>
    </w:docPart>
    <w:docPart>
      <w:docPartPr>
        <w:name w:val="{b4697408-842c-4e0e-80fc-47e018b4227a}"/>
        <w:style w:val=""/>
        <w:category>
          <w:name w:val="常规"/>
          <w:gallery w:val="placeholder"/>
        </w:category>
        <w:types>
          <w:type w:val="bbPlcHdr"/>
        </w:types>
        <w:behaviors>
          <w:behavior w:val="content"/>
        </w:behaviors>
        <w:description w:val=""/>
        <w:guid w:val="{B4697408-842C-4E0E-80FC-47E018B4227A}"/>
      </w:docPartPr>
      <w:docPartBody>
        <w:p w14:paraId="5B4111A2">
          <w:r>
            <w:rPr>
              <w:color w:val="808080"/>
            </w:rPr>
            <w:t>单击此处输入文字。</w:t>
          </w:r>
        </w:p>
      </w:docPartBody>
    </w:docPart>
    <w:docPart>
      <w:docPartPr>
        <w:name w:val="{cc1e27cc-73e9-42d2-9fee-4963d0b90cc1}"/>
        <w:style w:val=""/>
        <w:category>
          <w:name w:val="常规"/>
          <w:gallery w:val="placeholder"/>
        </w:category>
        <w:types>
          <w:type w:val="bbPlcHdr"/>
        </w:types>
        <w:behaviors>
          <w:behavior w:val="content"/>
        </w:behaviors>
        <w:description w:val=""/>
        <w:guid w:val="{CC1E27CC-73E9-42D2-9FEE-4963D0B90CC1}"/>
      </w:docPartPr>
      <w:docPartBody>
        <w:p w14:paraId="34834DD6">
          <w:r>
            <w:rPr>
              <w:color w:val="808080"/>
            </w:rPr>
            <w:t>单击此处输入文字。</w:t>
          </w:r>
        </w:p>
      </w:docPartBody>
    </w:docPart>
    <w:docPart>
      <w:docPartPr>
        <w:name w:val="{12a96336-642f-48f7-96a1-b6bfb5a9f92e}"/>
        <w:style w:val=""/>
        <w:category>
          <w:name w:val="常规"/>
          <w:gallery w:val="placeholder"/>
        </w:category>
        <w:types>
          <w:type w:val="bbPlcHdr"/>
        </w:types>
        <w:behaviors>
          <w:behavior w:val="content"/>
        </w:behaviors>
        <w:description w:val=""/>
        <w:guid w:val="{12A96336-642F-48F7-96A1-B6BFB5A9F92E}"/>
      </w:docPartPr>
      <w:docPartBody>
        <w:p w14:paraId="01FB3BA2">
          <w:r>
            <w:rPr>
              <w:color w:val="808080"/>
            </w:rPr>
            <w:t>单击此处输入文字。</w:t>
          </w:r>
        </w:p>
      </w:docPartBody>
    </w:docPart>
    <w:docPart>
      <w:docPartPr>
        <w:name w:val="{6209984e-3088-4b23-9068-f529fe43b9a2}"/>
        <w:style w:val=""/>
        <w:category>
          <w:name w:val="常规"/>
          <w:gallery w:val="placeholder"/>
        </w:category>
        <w:types>
          <w:type w:val="bbPlcHdr"/>
        </w:types>
        <w:behaviors>
          <w:behavior w:val="content"/>
        </w:behaviors>
        <w:description w:val=""/>
        <w:guid w:val="{6209984E-3088-4B23-9068-F529FE43B9A2}"/>
      </w:docPartPr>
      <w:docPartBody>
        <w:p w14:paraId="4D000E64">
          <w:r>
            <w:rPr>
              <w:color w:val="808080"/>
            </w:rPr>
            <w:t>单击此处输入文字。</w:t>
          </w:r>
        </w:p>
      </w:docPartBody>
    </w:docPart>
    <w:docPart>
      <w:docPartPr>
        <w:name w:val="{dbadbabe-cc35-4a65-8e1f-440e4fda40eb}"/>
        <w:style w:val=""/>
        <w:category>
          <w:name w:val="常规"/>
          <w:gallery w:val="placeholder"/>
        </w:category>
        <w:types>
          <w:type w:val="bbPlcHdr"/>
        </w:types>
        <w:behaviors>
          <w:behavior w:val="content"/>
        </w:behaviors>
        <w:description w:val=""/>
        <w:guid w:val="{DBADBABE-CC35-4A65-8E1F-440E4FDA40EB}"/>
      </w:docPartPr>
      <w:docPartBody>
        <w:p w14:paraId="799313FA">
          <w:r>
            <w:rPr>
              <w:color w:val="808080"/>
            </w:rPr>
            <w:t>单击此处输入文字。</w:t>
          </w:r>
        </w:p>
      </w:docPartBody>
    </w:docPart>
    <w:docPart>
      <w:docPartPr>
        <w:name w:val="{52c2642a-6e6e-45a0-8956-fe2768f81ebc}"/>
        <w:style w:val=""/>
        <w:category>
          <w:name w:val="常规"/>
          <w:gallery w:val="placeholder"/>
        </w:category>
        <w:types>
          <w:type w:val="bbPlcHdr"/>
        </w:types>
        <w:behaviors>
          <w:behavior w:val="content"/>
        </w:behaviors>
        <w:description w:val=""/>
        <w:guid w:val="{52C2642A-6E6E-45A0-8956-FE2768F81EBC}"/>
      </w:docPartPr>
      <w:docPartBody>
        <w:p w14:paraId="7A9810CC">
          <w:r>
            <w:rPr>
              <w:color w:val="808080"/>
            </w:rPr>
            <w:t>单击此处输入文字。</w:t>
          </w:r>
        </w:p>
      </w:docPartBody>
    </w:docPart>
    <w:docPart>
      <w:docPartPr>
        <w:name w:val="{e0fbc6d2-279a-42a4-9f76-7acb745f6f19}"/>
        <w:style w:val=""/>
        <w:category>
          <w:name w:val="常规"/>
          <w:gallery w:val="placeholder"/>
        </w:category>
        <w:types>
          <w:type w:val="bbPlcHdr"/>
        </w:types>
        <w:behaviors>
          <w:behavior w:val="content"/>
        </w:behaviors>
        <w:description w:val=""/>
        <w:guid w:val="{E0FBC6D2-279A-42A4-9F76-7ACB745F6F19}"/>
      </w:docPartPr>
      <w:docPartBody>
        <w:p w14:paraId="0F165EB9">
          <w:r>
            <w:rPr>
              <w:color w:val="808080"/>
            </w:rPr>
            <w:t>单击此处输入文字。</w:t>
          </w:r>
        </w:p>
      </w:docPartBody>
    </w:docPart>
    <w:docPart>
      <w:docPartPr>
        <w:name w:val="{d78176a8-c811-4582-b885-30cd14ae8df7}"/>
        <w:style w:val=""/>
        <w:category>
          <w:name w:val="常规"/>
          <w:gallery w:val="placeholder"/>
        </w:category>
        <w:types>
          <w:type w:val="bbPlcHdr"/>
        </w:types>
        <w:behaviors>
          <w:behavior w:val="content"/>
        </w:behaviors>
        <w:description w:val=""/>
        <w:guid w:val="{D78176A8-C811-4582-B885-30CD14AE8DF7}"/>
      </w:docPartPr>
      <w:docPartBody>
        <w:p w14:paraId="4FDEE8B1">
          <w:r>
            <w:rPr>
              <w:color w:val="808080"/>
            </w:rPr>
            <w:t>单击此处输入文字。</w:t>
          </w:r>
        </w:p>
      </w:docPartBody>
    </w:docPart>
    <w:docPart>
      <w:docPartPr>
        <w:name w:val="{62f0d464-f813-4aea-9dba-c6868a63684f}"/>
        <w:style w:val=""/>
        <w:category>
          <w:name w:val="常规"/>
          <w:gallery w:val="placeholder"/>
        </w:category>
        <w:types>
          <w:type w:val="bbPlcHdr"/>
        </w:types>
        <w:behaviors>
          <w:behavior w:val="content"/>
        </w:behaviors>
        <w:description w:val=""/>
        <w:guid w:val="{62F0D464-F813-4AEA-9DBA-C6868A63684F}"/>
      </w:docPartPr>
      <w:docPartBody>
        <w:p w14:paraId="7DBE2880">
          <w:r>
            <w:rPr>
              <w:color w:val="808080"/>
            </w:rPr>
            <w:t>单击此处输入文字。</w:t>
          </w:r>
        </w:p>
      </w:docPartBody>
    </w:docPart>
    <w:docPart>
      <w:docPartPr>
        <w:name w:val="{f12c2982-c6cb-4223-ba86-6e9f0c8aafca}"/>
        <w:style w:val=""/>
        <w:category>
          <w:name w:val="常规"/>
          <w:gallery w:val="placeholder"/>
        </w:category>
        <w:types>
          <w:type w:val="bbPlcHdr"/>
        </w:types>
        <w:behaviors>
          <w:behavior w:val="content"/>
        </w:behaviors>
        <w:description w:val=""/>
        <w:guid w:val="{F12C2982-C6CB-4223-BA86-6E9F0C8AAFCA}"/>
      </w:docPartPr>
      <w:docPartBody>
        <w:p w14:paraId="1578E041">
          <w:r>
            <w:rPr>
              <w:color w:val="808080"/>
            </w:rPr>
            <w:t>单击此处输入文字。</w:t>
          </w:r>
        </w:p>
      </w:docPartBody>
    </w:docPart>
    <w:docPart>
      <w:docPartPr>
        <w:name w:val="{9eb562e9-bb6c-4f43-a952-66c08e3885c3}"/>
        <w:style w:val=""/>
        <w:category>
          <w:name w:val="常规"/>
          <w:gallery w:val="placeholder"/>
        </w:category>
        <w:types>
          <w:type w:val="bbPlcHdr"/>
        </w:types>
        <w:behaviors>
          <w:behavior w:val="content"/>
        </w:behaviors>
        <w:description w:val=""/>
        <w:guid w:val="{9EB562E9-BB6C-4F43-A952-66C08E3885C3}"/>
      </w:docPartPr>
      <w:docPartBody>
        <w:p w14:paraId="20FFB41A">
          <w:r>
            <w:rPr>
              <w:color w:val="808080"/>
            </w:rPr>
            <w:t>单击此处输入文字。</w:t>
          </w:r>
        </w:p>
      </w:docPartBody>
    </w:docPart>
    <w:docPart>
      <w:docPartPr>
        <w:name w:val="{7125954a-bcd3-4800-ae75-f04bb510bd25}"/>
        <w:style w:val=""/>
        <w:category>
          <w:name w:val="常规"/>
          <w:gallery w:val="placeholder"/>
        </w:category>
        <w:types>
          <w:type w:val="bbPlcHdr"/>
        </w:types>
        <w:behaviors>
          <w:behavior w:val="content"/>
        </w:behaviors>
        <w:description w:val=""/>
        <w:guid w:val="{7125954A-BCD3-4800-AE75-F04BB510BD25}"/>
      </w:docPartPr>
      <w:docPartBody>
        <w:p w14:paraId="4064BD32">
          <w:r>
            <w:rPr>
              <w:color w:val="808080"/>
            </w:rPr>
            <w:t>单击此处输入文字。</w:t>
          </w:r>
        </w:p>
      </w:docPartBody>
    </w:docPart>
    <w:docPart>
      <w:docPartPr>
        <w:name w:val="{244d823e-0c9d-43ed-988a-359a6fb28a5b}"/>
        <w:style w:val=""/>
        <w:category>
          <w:name w:val="常规"/>
          <w:gallery w:val="placeholder"/>
        </w:category>
        <w:types>
          <w:type w:val="bbPlcHdr"/>
        </w:types>
        <w:behaviors>
          <w:behavior w:val="content"/>
        </w:behaviors>
        <w:description w:val=""/>
        <w:guid w:val="{244D823E-0C9D-43ED-988A-359A6FB28A5B}"/>
      </w:docPartPr>
      <w:docPartBody>
        <w:p w14:paraId="7E5415ED">
          <w:r>
            <w:rPr>
              <w:color w:val="808080"/>
            </w:rPr>
            <w:t>单击此处输入文字。</w:t>
          </w:r>
        </w:p>
      </w:docPartBody>
    </w:docPart>
    <w:docPart>
      <w:docPartPr>
        <w:name w:val="{08ddbc36-7dfe-4fe3-b4d8-8900d75fcaa7}"/>
        <w:style w:val=""/>
        <w:category>
          <w:name w:val="常规"/>
          <w:gallery w:val="placeholder"/>
        </w:category>
        <w:types>
          <w:type w:val="bbPlcHdr"/>
        </w:types>
        <w:behaviors>
          <w:behavior w:val="content"/>
        </w:behaviors>
        <w:description w:val=""/>
        <w:guid w:val="{08DDBC36-7DFE-4FE3-B4D8-8900D75FCAA7}"/>
      </w:docPartPr>
      <w:docPartBody>
        <w:p w14:paraId="6A4CA010">
          <w:r>
            <w:rPr>
              <w:color w:val="808080"/>
            </w:rPr>
            <w:t>单击此处输入文字。</w:t>
          </w:r>
        </w:p>
      </w:docPartBody>
    </w:docPart>
    <w:docPart>
      <w:docPartPr>
        <w:name w:val="{4f7329cc-8072-4607-b47f-66b08fbbee2b}"/>
        <w:style w:val=""/>
        <w:category>
          <w:name w:val="常规"/>
          <w:gallery w:val="placeholder"/>
        </w:category>
        <w:types>
          <w:type w:val="bbPlcHdr"/>
        </w:types>
        <w:behaviors>
          <w:behavior w:val="content"/>
        </w:behaviors>
        <w:description w:val=""/>
        <w:guid w:val="{4F7329CC-8072-4607-B47F-66B08FBBEE2B}"/>
      </w:docPartPr>
      <w:docPartBody>
        <w:p w14:paraId="0EEB55C0">
          <w:r>
            <w:rPr>
              <w:color w:val="808080"/>
            </w:rPr>
            <w:t>单击此处输入文字。</w:t>
          </w:r>
        </w:p>
      </w:docPartBody>
    </w:docPart>
    <w:docPart>
      <w:docPartPr>
        <w:name w:val="{7b463e84-23ed-4767-b0d3-d5948966e723}"/>
        <w:style w:val=""/>
        <w:category>
          <w:name w:val="常规"/>
          <w:gallery w:val="placeholder"/>
        </w:category>
        <w:types>
          <w:type w:val="bbPlcHdr"/>
        </w:types>
        <w:behaviors>
          <w:behavior w:val="content"/>
        </w:behaviors>
        <w:description w:val=""/>
        <w:guid w:val="{7B463E84-23ED-4767-B0D3-D5948966E723}"/>
      </w:docPartPr>
      <w:docPartBody>
        <w:p w14:paraId="4DE8B34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003978"/>
    <w:rsid w:val="00003978"/>
    <w:rsid w:val="007032A2"/>
    <w:rsid w:val="008701AA"/>
    <w:rsid w:val="00B11B55"/>
    <w:rsid w:val="00BC6D0B"/>
    <w:rsid w:val="00DA616F"/>
    <w:rsid w:val="00E4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36</Pages>
  <Words>3555</Words>
  <Characters>3602</Characters>
  <Lines>113</Lines>
  <Paragraphs>31</Paragraphs>
  <TotalTime>0</TotalTime>
  <ScaleCrop>false</ScaleCrop>
  <LinksUpToDate>false</LinksUpToDate>
  <CharactersWithSpaces>3652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2024-02-26T01:23:00Z</dcterms:created>
  <dc:creator>曹颖</dc:creator>
  <cp:lastModifiedBy>孙子阿伍</cp:lastModifiedBy>
  <cp:lastPrinted>2022-08-08T09:11:00Z</cp:lastPrinted>
  <dcterms:modified xsi:type="dcterms:W3CDTF">2025-06-23T08:33:14Z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eyJoZGlkIjoiNWIwYjgyMzAyYjdlMTc0NjlhNjFkZTU2NDY0NzJjZGIiLCJ1c2VySWQiOiI4ODYzMTI0ODAifQ==</vt:lpwstr>
  </property>
  <property fmtid="{D5CDD505-2E9C-101B-9397-08002B2CF9AE}" pid="4" name="ICV">
    <vt:lpwstr>8F61939C03D44F5A9D10923B6796194A_12</vt:lpwstr>
  </property>
</Properties>
</file>