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1020"/>
        <w:gridCol w:w="1095"/>
        <w:gridCol w:w="885"/>
        <w:gridCol w:w="5415"/>
        <w:gridCol w:w="3645"/>
        <w:gridCol w:w="795"/>
        <w:gridCol w:w="734"/>
      </w:tblGrid>
      <w:tr w14:paraId="2677F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33875F0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序号</w:t>
            </w:r>
          </w:p>
        </w:tc>
        <w:tc>
          <w:tcPr>
            <w:tcW w:w="1020" w:type="dxa"/>
          </w:tcPr>
          <w:p w14:paraId="14A728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问题来源单位</w:t>
            </w:r>
          </w:p>
        </w:tc>
        <w:tc>
          <w:tcPr>
            <w:tcW w:w="1095" w:type="dxa"/>
          </w:tcPr>
          <w:p w14:paraId="721B59F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涉及单位（县区）</w:t>
            </w:r>
          </w:p>
        </w:tc>
        <w:tc>
          <w:tcPr>
            <w:tcW w:w="885" w:type="dxa"/>
          </w:tcPr>
          <w:p w14:paraId="3742E13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发现问题时间</w:t>
            </w:r>
          </w:p>
        </w:tc>
        <w:tc>
          <w:tcPr>
            <w:tcW w:w="5415" w:type="dxa"/>
          </w:tcPr>
          <w:p w14:paraId="05C80B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具体问题</w:t>
            </w:r>
          </w:p>
        </w:tc>
        <w:tc>
          <w:tcPr>
            <w:tcW w:w="3645" w:type="dxa"/>
          </w:tcPr>
          <w:p w14:paraId="1892F8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整改问题</w:t>
            </w:r>
          </w:p>
        </w:tc>
        <w:tc>
          <w:tcPr>
            <w:tcW w:w="795" w:type="dxa"/>
          </w:tcPr>
          <w:p w14:paraId="082D09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问题分类</w:t>
            </w:r>
          </w:p>
        </w:tc>
        <w:tc>
          <w:tcPr>
            <w:tcW w:w="734" w:type="dxa"/>
          </w:tcPr>
          <w:p w14:paraId="0F0937B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美黑_GBK" w:hAnsi="方正美黑_GBK" w:eastAsia="方正美黑_GBK" w:cs="方正美黑_GBK"/>
                <w:vertAlign w:val="baseline"/>
                <w:lang w:val="en-US" w:eastAsia="zh-CN"/>
              </w:rPr>
            </w:pPr>
            <w:r>
              <w:rPr>
                <w:rFonts w:hint="eastAsia" w:ascii="方正美黑_GBK" w:hAnsi="方正美黑_GBK" w:eastAsia="方正美黑_GBK" w:cs="方正美黑_GBK"/>
                <w:vertAlign w:val="baseline"/>
                <w:lang w:val="en-US" w:eastAsia="zh-CN"/>
              </w:rPr>
              <w:t>专项分类</w:t>
            </w:r>
          </w:p>
        </w:tc>
      </w:tr>
      <w:tr w14:paraId="171A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2767D7AF">
            <w:pPr>
              <w:jc w:val="center"/>
              <w:rPr>
                <w:rFonts w:hint="eastAsia" w:eastAsiaTheme="minorEastAsia"/>
                <w:sz w:val="20"/>
                <w:szCs w:val="22"/>
                <w:vertAlign w:val="baseline"/>
                <w:lang w:val="en-US" w:eastAsia="zh-CN"/>
              </w:rPr>
            </w:pPr>
            <w:r>
              <w:rPr>
                <w:rFonts w:hint="eastAsia"/>
                <w:sz w:val="20"/>
                <w:szCs w:val="22"/>
                <w:vertAlign w:val="baseline"/>
                <w:lang w:val="en-US" w:eastAsia="zh-CN"/>
              </w:rPr>
              <w:t>1</w:t>
            </w:r>
          </w:p>
        </w:tc>
        <w:tc>
          <w:tcPr>
            <w:tcW w:w="1020" w:type="dxa"/>
            <w:vAlign w:val="center"/>
          </w:tcPr>
          <w:p w14:paraId="0639823D">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盐边县人民政府行政复议办公室</w:t>
            </w:r>
          </w:p>
        </w:tc>
        <w:tc>
          <w:tcPr>
            <w:tcW w:w="1095" w:type="dxa"/>
            <w:vAlign w:val="center"/>
          </w:tcPr>
          <w:p w14:paraId="1BFEB20C">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盐边县自然资源和规划局</w:t>
            </w:r>
          </w:p>
        </w:tc>
        <w:tc>
          <w:tcPr>
            <w:tcW w:w="885" w:type="dxa"/>
            <w:vAlign w:val="center"/>
          </w:tcPr>
          <w:p w14:paraId="2B80AA42">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2025年3月</w:t>
            </w:r>
          </w:p>
        </w:tc>
        <w:tc>
          <w:tcPr>
            <w:tcW w:w="5415" w:type="dxa"/>
            <w:vAlign w:val="center"/>
          </w:tcPr>
          <w:p w14:paraId="12C20A87">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何章志对盐边县自然资源和规划局未履行土地违法查处法定职责的行为不服，向复议机关申请复议。经复议机关审查：被申请人因案情复杂对案件作出中止调查决定，但案情复杂既不属于不可抗力，又不属于意外事件，被申请人中止调查理由不成立。</w:t>
            </w:r>
          </w:p>
        </w:tc>
        <w:tc>
          <w:tcPr>
            <w:tcW w:w="3645" w:type="dxa"/>
            <w:vAlign w:val="center"/>
          </w:tcPr>
          <w:p w14:paraId="00E3E1E5">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盐边县自然资源和规划局按照行政复议决定书相关要求，在法定期限内履行土地违法查处职责。</w:t>
            </w:r>
          </w:p>
        </w:tc>
        <w:tc>
          <w:tcPr>
            <w:tcW w:w="795" w:type="dxa"/>
            <w:vAlign w:val="center"/>
          </w:tcPr>
          <w:p w14:paraId="4B23C16A">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履行法定职责</w:t>
            </w:r>
          </w:p>
        </w:tc>
        <w:tc>
          <w:tcPr>
            <w:tcW w:w="734" w:type="dxa"/>
            <w:vAlign w:val="center"/>
          </w:tcPr>
          <w:p w14:paraId="567DC7DD">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r>
      <w:tr w14:paraId="4CE45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4C5A9BA2">
            <w:pPr>
              <w:jc w:val="center"/>
              <w:rPr>
                <w:rFonts w:hint="eastAsia" w:eastAsiaTheme="minorEastAsia"/>
                <w:sz w:val="20"/>
                <w:szCs w:val="22"/>
                <w:vertAlign w:val="baseline"/>
                <w:lang w:val="en-US" w:eastAsia="zh-CN"/>
              </w:rPr>
            </w:pPr>
            <w:r>
              <w:rPr>
                <w:rFonts w:hint="eastAsia"/>
                <w:sz w:val="20"/>
                <w:szCs w:val="22"/>
                <w:vertAlign w:val="baseline"/>
                <w:lang w:val="en-US" w:eastAsia="zh-CN"/>
              </w:rPr>
              <w:t>2</w:t>
            </w:r>
          </w:p>
        </w:tc>
        <w:tc>
          <w:tcPr>
            <w:tcW w:w="1020" w:type="dxa"/>
            <w:vAlign w:val="center"/>
          </w:tcPr>
          <w:p w14:paraId="3BA88943">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12345政务服务平台</w:t>
            </w:r>
          </w:p>
        </w:tc>
        <w:tc>
          <w:tcPr>
            <w:tcW w:w="1095" w:type="dxa"/>
            <w:vAlign w:val="center"/>
          </w:tcPr>
          <w:p w14:paraId="666A4A94">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盐边县交通运输局</w:t>
            </w:r>
          </w:p>
        </w:tc>
        <w:tc>
          <w:tcPr>
            <w:tcW w:w="885" w:type="dxa"/>
            <w:vAlign w:val="center"/>
          </w:tcPr>
          <w:p w14:paraId="74E18CEE">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2025年2月</w:t>
            </w:r>
          </w:p>
        </w:tc>
        <w:tc>
          <w:tcPr>
            <w:tcW w:w="5415" w:type="dxa"/>
            <w:vAlign w:val="center"/>
          </w:tcPr>
          <w:p w14:paraId="361FA1DD">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2月14日，当事人驾驶货运车辆超限运输，被执法大队查获，当事人认为处罚不公平、不公正。2月20日，向12345政务服务平台投诉盐边县交通运输局处罚不公平、不公正</w:t>
            </w:r>
          </w:p>
        </w:tc>
        <w:tc>
          <w:tcPr>
            <w:tcW w:w="3645" w:type="dxa"/>
            <w:vAlign w:val="center"/>
          </w:tcPr>
          <w:p w14:paraId="0B15CC5D">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邀请当事人至执法大队阅同时期被查获超限运输行政处罚案件卷宗，向其阐述盐边县交通运输局对其做出行政处罚的依据以及其享有的权利。2月24日，当</w:t>
            </w:r>
            <w:bookmarkStart w:id="0" w:name="_GoBack"/>
            <w:bookmarkEnd w:id="0"/>
            <w:r>
              <w:rPr>
                <w:rFonts w:hint="eastAsia" w:ascii="方正仿宋_GBK" w:hAnsi="方正仿宋_GBK" w:eastAsia="方正仿宋_GBK" w:cs="方正仿宋_GBK"/>
                <w:i w:val="0"/>
                <w:iCs w:val="0"/>
                <w:color w:val="000000"/>
                <w:kern w:val="0"/>
                <w:sz w:val="21"/>
                <w:szCs w:val="21"/>
                <w:u w:val="none"/>
                <w:lang w:val="en-US" w:eastAsia="zh-CN" w:bidi="ar"/>
              </w:rPr>
              <w:t>事人对盐边县交通运输局做出的行政处罚予以认可，接受行政处罚。</w:t>
            </w:r>
          </w:p>
        </w:tc>
        <w:tc>
          <w:tcPr>
            <w:tcW w:w="795" w:type="dxa"/>
            <w:vAlign w:val="center"/>
          </w:tcPr>
          <w:p w14:paraId="062DE6E0">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规范执法</w:t>
            </w:r>
          </w:p>
        </w:tc>
        <w:tc>
          <w:tcPr>
            <w:tcW w:w="734" w:type="dxa"/>
            <w:vAlign w:val="center"/>
          </w:tcPr>
          <w:p w14:paraId="79D8BAEB">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r>
      <w:tr w14:paraId="2A702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285BCBFE">
            <w:pPr>
              <w:jc w:val="center"/>
              <w:rPr>
                <w:rFonts w:hint="eastAsia" w:eastAsiaTheme="minorEastAsia"/>
                <w:sz w:val="20"/>
                <w:szCs w:val="22"/>
                <w:vertAlign w:val="baseline"/>
                <w:lang w:val="en-US" w:eastAsia="zh-CN"/>
              </w:rPr>
            </w:pPr>
            <w:r>
              <w:rPr>
                <w:rFonts w:hint="eastAsia"/>
                <w:sz w:val="20"/>
                <w:szCs w:val="22"/>
                <w:vertAlign w:val="baseline"/>
                <w:lang w:val="en-US" w:eastAsia="zh-CN"/>
              </w:rPr>
              <w:t>3</w:t>
            </w:r>
          </w:p>
        </w:tc>
        <w:tc>
          <w:tcPr>
            <w:tcW w:w="1020" w:type="dxa"/>
            <w:vAlign w:val="center"/>
          </w:tcPr>
          <w:p w14:paraId="3E4BFD34">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盐边县综合行政执法局</w:t>
            </w:r>
          </w:p>
        </w:tc>
        <w:tc>
          <w:tcPr>
            <w:tcW w:w="1095" w:type="dxa"/>
            <w:vAlign w:val="center"/>
          </w:tcPr>
          <w:p w14:paraId="016C4195">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盐边县综合行政执法局</w:t>
            </w:r>
          </w:p>
        </w:tc>
        <w:tc>
          <w:tcPr>
            <w:tcW w:w="885" w:type="dxa"/>
            <w:vAlign w:val="center"/>
          </w:tcPr>
          <w:p w14:paraId="272CE5BB">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2025年3月</w:t>
            </w:r>
          </w:p>
        </w:tc>
        <w:tc>
          <w:tcPr>
            <w:tcW w:w="5415" w:type="dxa"/>
            <w:vAlign w:val="center"/>
          </w:tcPr>
          <w:p w14:paraId="38059270">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日常执法过程中存在执法行为不规范、方式简单化问题。</w:t>
            </w:r>
          </w:p>
        </w:tc>
        <w:tc>
          <w:tcPr>
            <w:tcW w:w="3645" w:type="dxa"/>
            <w:vAlign w:val="center"/>
          </w:tcPr>
          <w:p w14:paraId="4AA79F67">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全面贯彻落实“721”城管执法工作模式，加强对城市管理执法人员的培训和教育力度，提高法律素养和执法能力，确保执法行为更加规范。</w:t>
            </w:r>
          </w:p>
        </w:tc>
        <w:tc>
          <w:tcPr>
            <w:tcW w:w="795" w:type="dxa"/>
            <w:vAlign w:val="center"/>
          </w:tcPr>
          <w:p w14:paraId="08AC0FC1">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规范执法</w:t>
            </w:r>
          </w:p>
        </w:tc>
        <w:tc>
          <w:tcPr>
            <w:tcW w:w="734" w:type="dxa"/>
            <w:vAlign w:val="center"/>
          </w:tcPr>
          <w:p w14:paraId="2CBADF51">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r>
      <w:tr w14:paraId="5AD51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2" w:hRule="atLeast"/>
        </w:trPr>
        <w:tc>
          <w:tcPr>
            <w:tcW w:w="585" w:type="dxa"/>
          </w:tcPr>
          <w:p w14:paraId="1558C858">
            <w:pPr>
              <w:jc w:val="center"/>
              <w:rPr>
                <w:rFonts w:hint="eastAsia" w:eastAsiaTheme="minorEastAsia"/>
                <w:sz w:val="20"/>
                <w:szCs w:val="22"/>
                <w:vertAlign w:val="baseline"/>
                <w:lang w:val="en-US" w:eastAsia="zh-CN"/>
              </w:rPr>
            </w:pPr>
            <w:r>
              <w:rPr>
                <w:rFonts w:hint="eastAsia"/>
                <w:sz w:val="20"/>
                <w:szCs w:val="22"/>
                <w:vertAlign w:val="baseline"/>
                <w:lang w:val="en-US" w:eastAsia="zh-CN"/>
              </w:rPr>
              <w:t>4</w:t>
            </w:r>
          </w:p>
        </w:tc>
        <w:tc>
          <w:tcPr>
            <w:tcW w:w="1020" w:type="dxa"/>
            <w:vAlign w:val="center"/>
          </w:tcPr>
          <w:p w14:paraId="442AD4A4">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盐边县综合行政执法局</w:t>
            </w:r>
          </w:p>
        </w:tc>
        <w:tc>
          <w:tcPr>
            <w:tcW w:w="1095" w:type="dxa"/>
            <w:vAlign w:val="center"/>
          </w:tcPr>
          <w:p w14:paraId="43C7EEB1">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盐边县综合行政执法局</w:t>
            </w:r>
          </w:p>
        </w:tc>
        <w:tc>
          <w:tcPr>
            <w:tcW w:w="885" w:type="dxa"/>
            <w:vAlign w:val="center"/>
          </w:tcPr>
          <w:p w14:paraId="2A5FB287">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2025年3月</w:t>
            </w:r>
          </w:p>
        </w:tc>
        <w:tc>
          <w:tcPr>
            <w:tcW w:w="5415" w:type="dxa"/>
            <w:vAlign w:val="center"/>
          </w:tcPr>
          <w:p w14:paraId="7A4B25AF">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执法文书填写不规范，在案件办理过程中有时存在案件行政处罚审批表、重大案件讨论记录等文书未签字等现象</w:t>
            </w:r>
          </w:p>
        </w:tc>
        <w:tc>
          <w:tcPr>
            <w:tcW w:w="3645" w:type="dxa"/>
            <w:vAlign w:val="center"/>
          </w:tcPr>
          <w:p w14:paraId="3451FAD5">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一是建立健全学法用法制度，加强对执法人员的法律培训和教育，提高执法能</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力和执法水平。二是严格执法制度、执法程序，严格开展案件评查工作，规范落实执法文书制作和使用。</w:t>
            </w:r>
          </w:p>
        </w:tc>
        <w:tc>
          <w:tcPr>
            <w:tcW w:w="795" w:type="dxa"/>
            <w:vAlign w:val="center"/>
          </w:tcPr>
          <w:p w14:paraId="4E0E75A6">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规范执法</w:t>
            </w:r>
          </w:p>
        </w:tc>
        <w:tc>
          <w:tcPr>
            <w:tcW w:w="734" w:type="dxa"/>
            <w:vAlign w:val="center"/>
          </w:tcPr>
          <w:p w14:paraId="57ACF27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r>
      <w:tr w14:paraId="028B7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13D323B6">
            <w:pPr>
              <w:jc w:val="center"/>
              <w:rPr>
                <w:rFonts w:hint="eastAsia" w:eastAsiaTheme="minorEastAsia"/>
                <w:sz w:val="20"/>
                <w:szCs w:val="22"/>
                <w:vertAlign w:val="baseline"/>
                <w:lang w:val="en-US" w:eastAsia="zh-CN"/>
              </w:rPr>
            </w:pPr>
            <w:r>
              <w:rPr>
                <w:rFonts w:hint="eastAsia"/>
                <w:sz w:val="20"/>
                <w:szCs w:val="22"/>
                <w:vertAlign w:val="baseline"/>
                <w:lang w:val="en-US" w:eastAsia="zh-CN"/>
              </w:rPr>
              <w:t>5</w:t>
            </w:r>
          </w:p>
        </w:tc>
        <w:tc>
          <w:tcPr>
            <w:tcW w:w="1020" w:type="dxa"/>
            <w:vAlign w:val="center"/>
          </w:tcPr>
          <w:p w14:paraId="12521B92">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12345政务服务热线</w:t>
            </w:r>
          </w:p>
        </w:tc>
        <w:tc>
          <w:tcPr>
            <w:tcW w:w="1095" w:type="dxa"/>
            <w:vAlign w:val="center"/>
          </w:tcPr>
          <w:p w14:paraId="2F713C86">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盐边县交通运输局</w:t>
            </w:r>
          </w:p>
        </w:tc>
        <w:tc>
          <w:tcPr>
            <w:tcW w:w="885" w:type="dxa"/>
            <w:vAlign w:val="center"/>
          </w:tcPr>
          <w:p w14:paraId="541FDE3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2024年10月6日-7日</w:t>
            </w:r>
          </w:p>
        </w:tc>
        <w:tc>
          <w:tcPr>
            <w:tcW w:w="5415" w:type="dxa"/>
            <w:vAlign w:val="center"/>
          </w:tcPr>
          <w:p w14:paraId="14D93A69">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群众(货车司机)于2024年10月6日、7日先后两次向“12345”政务服务热线来电反映:举报2024年9月29日至10月6日，盐边县路政执法大队的两名工作人员(工号看不清、姓名不知道)开着执法车辆(三菱车型，尾数591)，在和爱乡向红格镇方向路段拦截群众及其他货车车辆，分别于2024年9月29日20:42、9月3000:39、10月6日19:41，在会理往红格方向松鼠凉寨、马脖子加水站、新九镇前往红格路段等处，以群众等人货车超载为由，向群众等人分别收取1500元、1600元、1200元不等的费用(对方使用私人微信二维码收钱，没开具发票)，工作人员删除微信收款记录后，才放行群众等人车辆。群众举报以上2名执法人员的工作作风、执法流程有严重的问题(群众强调手上有截图、视频等证据)，要求相关部门对当天驾驶车辆的2个执法人员的收入进行调查和回复。</w:t>
            </w:r>
          </w:p>
        </w:tc>
        <w:tc>
          <w:tcPr>
            <w:tcW w:w="3645" w:type="dxa"/>
            <w:vAlign w:val="center"/>
          </w:tcPr>
          <w:p w14:paraId="2DCF9043">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2024.10.12，盐边县交通运输局对涉及本案执法人员杨xx，哲xx做出的询问笔录中，杨xx，哲xx自述已经将罚款全部退回。2024.10.16盐边县交通运输局党组第28次会议纪要，议定对杨xx，哲xx做出解除劳动合同关系，作出开除处理。</w:t>
            </w:r>
          </w:p>
        </w:tc>
        <w:tc>
          <w:tcPr>
            <w:tcW w:w="795" w:type="dxa"/>
            <w:vAlign w:val="center"/>
          </w:tcPr>
          <w:p w14:paraId="21888133">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交通运输执法</w:t>
            </w:r>
          </w:p>
        </w:tc>
        <w:tc>
          <w:tcPr>
            <w:tcW w:w="734" w:type="dxa"/>
            <w:vAlign w:val="center"/>
          </w:tcPr>
          <w:p w14:paraId="0A4AC061">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乱收费</w:t>
            </w:r>
          </w:p>
        </w:tc>
      </w:tr>
      <w:tr w14:paraId="6050E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0B83F281">
            <w:pPr>
              <w:jc w:val="center"/>
              <w:rPr>
                <w:rFonts w:hint="eastAsia" w:eastAsiaTheme="minorEastAsia"/>
                <w:sz w:val="20"/>
                <w:szCs w:val="22"/>
                <w:vertAlign w:val="baseline"/>
                <w:lang w:val="en-US" w:eastAsia="zh-CN"/>
              </w:rPr>
            </w:pPr>
            <w:r>
              <w:rPr>
                <w:rFonts w:hint="eastAsia"/>
                <w:sz w:val="20"/>
                <w:szCs w:val="22"/>
                <w:vertAlign w:val="baseline"/>
                <w:lang w:val="en-US" w:eastAsia="zh-CN"/>
              </w:rPr>
              <w:t>6</w:t>
            </w:r>
          </w:p>
        </w:tc>
        <w:tc>
          <w:tcPr>
            <w:tcW w:w="1020" w:type="dxa"/>
            <w:vAlign w:val="center"/>
          </w:tcPr>
          <w:p w14:paraId="763E8DA1">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盐边县司法局</w:t>
            </w:r>
          </w:p>
        </w:tc>
        <w:tc>
          <w:tcPr>
            <w:tcW w:w="1095" w:type="dxa"/>
            <w:vAlign w:val="center"/>
          </w:tcPr>
          <w:p w14:paraId="27A8A5EA">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盐边县林业局</w:t>
            </w:r>
          </w:p>
        </w:tc>
        <w:tc>
          <w:tcPr>
            <w:tcW w:w="885" w:type="dxa"/>
            <w:vAlign w:val="center"/>
          </w:tcPr>
          <w:p w14:paraId="0C8FF37E">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2024年11月</w:t>
            </w:r>
          </w:p>
        </w:tc>
        <w:tc>
          <w:tcPr>
            <w:tcW w:w="5415" w:type="dxa"/>
            <w:vAlign w:val="center"/>
          </w:tcPr>
          <w:p w14:paraId="49AB3E86">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行政执法文书填写不规范。</w:t>
            </w:r>
          </w:p>
        </w:tc>
        <w:tc>
          <w:tcPr>
            <w:tcW w:w="3645" w:type="dxa"/>
            <w:vAlign w:val="center"/>
          </w:tcPr>
          <w:p w14:paraId="3D44587B">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经案卷评查纠正，县林业局已规范行政执法文书相关制作程序。</w:t>
            </w:r>
          </w:p>
        </w:tc>
        <w:tc>
          <w:tcPr>
            <w:tcW w:w="795" w:type="dxa"/>
            <w:vAlign w:val="center"/>
          </w:tcPr>
          <w:p w14:paraId="0623975A">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c>
          <w:tcPr>
            <w:tcW w:w="734" w:type="dxa"/>
            <w:vAlign w:val="center"/>
          </w:tcPr>
          <w:p w14:paraId="0C981F23">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r>
      <w:tr w14:paraId="1C589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tcPr>
          <w:p w14:paraId="204EF9A0">
            <w:pPr>
              <w:jc w:val="center"/>
              <w:rPr>
                <w:rFonts w:hint="eastAsia" w:eastAsiaTheme="minorEastAsia"/>
                <w:sz w:val="20"/>
                <w:szCs w:val="22"/>
                <w:vertAlign w:val="baseline"/>
                <w:lang w:val="en-US" w:eastAsia="zh-CN"/>
              </w:rPr>
            </w:pPr>
            <w:r>
              <w:rPr>
                <w:rFonts w:hint="eastAsia"/>
                <w:sz w:val="20"/>
                <w:szCs w:val="22"/>
                <w:vertAlign w:val="baseline"/>
                <w:lang w:val="en-US" w:eastAsia="zh-CN"/>
              </w:rPr>
              <w:t>7</w:t>
            </w:r>
          </w:p>
        </w:tc>
        <w:tc>
          <w:tcPr>
            <w:tcW w:w="1020" w:type="dxa"/>
            <w:vAlign w:val="center"/>
          </w:tcPr>
          <w:p w14:paraId="3553DB7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盐边县司法局</w:t>
            </w:r>
          </w:p>
        </w:tc>
        <w:tc>
          <w:tcPr>
            <w:tcW w:w="1095" w:type="dxa"/>
            <w:vAlign w:val="center"/>
          </w:tcPr>
          <w:p w14:paraId="3E0EBBA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盐边县农业农村局</w:t>
            </w:r>
          </w:p>
        </w:tc>
        <w:tc>
          <w:tcPr>
            <w:tcW w:w="885" w:type="dxa"/>
            <w:vAlign w:val="center"/>
          </w:tcPr>
          <w:p w14:paraId="67D9BB53">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2024年11月</w:t>
            </w:r>
          </w:p>
        </w:tc>
        <w:tc>
          <w:tcPr>
            <w:tcW w:w="5415" w:type="dxa"/>
            <w:vAlign w:val="center"/>
          </w:tcPr>
          <w:p w14:paraId="2F623870">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行政执法文书填写不规范。</w:t>
            </w:r>
          </w:p>
        </w:tc>
        <w:tc>
          <w:tcPr>
            <w:tcW w:w="3645" w:type="dxa"/>
            <w:vAlign w:val="center"/>
          </w:tcPr>
          <w:p w14:paraId="0E64B0A6">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经案卷评查纠正，县农业农村局已规范行政执法文书相关制作程序。</w:t>
            </w:r>
          </w:p>
        </w:tc>
        <w:tc>
          <w:tcPr>
            <w:tcW w:w="795" w:type="dxa"/>
            <w:vAlign w:val="center"/>
          </w:tcPr>
          <w:p w14:paraId="6653D438">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c>
          <w:tcPr>
            <w:tcW w:w="734" w:type="dxa"/>
            <w:vAlign w:val="center"/>
          </w:tcPr>
          <w:p w14:paraId="5534FDB6">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r>
      <w:tr w14:paraId="7ECE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7" w:hRule="atLeast"/>
        </w:trPr>
        <w:tc>
          <w:tcPr>
            <w:tcW w:w="585" w:type="dxa"/>
          </w:tcPr>
          <w:p w14:paraId="2F85FAFA">
            <w:pPr>
              <w:jc w:val="center"/>
              <w:rPr>
                <w:rFonts w:hint="eastAsia" w:eastAsiaTheme="minorEastAsia"/>
                <w:sz w:val="20"/>
                <w:szCs w:val="22"/>
                <w:vertAlign w:val="baseline"/>
                <w:lang w:val="en-US" w:eastAsia="zh-CN"/>
              </w:rPr>
            </w:pPr>
            <w:r>
              <w:rPr>
                <w:rFonts w:hint="eastAsia"/>
                <w:sz w:val="20"/>
                <w:szCs w:val="22"/>
                <w:vertAlign w:val="baseline"/>
                <w:lang w:val="en-US" w:eastAsia="zh-CN"/>
              </w:rPr>
              <w:t>8</w:t>
            </w:r>
          </w:p>
        </w:tc>
        <w:tc>
          <w:tcPr>
            <w:tcW w:w="1020" w:type="dxa"/>
            <w:vAlign w:val="center"/>
          </w:tcPr>
          <w:p w14:paraId="1EB694D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投诉电话</w:t>
            </w:r>
          </w:p>
        </w:tc>
        <w:tc>
          <w:tcPr>
            <w:tcW w:w="1095" w:type="dxa"/>
            <w:vAlign w:val="center"/>
          </w:tcPr>
          <w:p w14:paraId="34959EAD">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盐边县人力资源和社会保障局</w:t>
            </w:r>
          </w:p>
        </w:tc>
        <w:tc>
          <w:tcPr>
            <w:tcW w:w="885" w:type="dxa"/>
            <w:vAlign w:val="center"/>
          </w:tcPr>
          <w:p w14:paraId="3953405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2025年5月</w:t>
            </w:r>
          </w:p>
        </w:tc>
        <w:tc>
          <w:tcPr>
            <w:tcW w:w="5415" w:type="dxa"/>
            <w:vAlign w:val="center"/>
          </w:tcPr>
          <w:p w14:paraId="2BE9D11B">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未及时办理投诉者的投诉举报</w:t>
            </w:r>
          </w:p>
        </w:tc>
        <w:tc>
          <w:tcPr>
            <w:tcW w:w="3645" w:type="dxa"/>
            <w:vAlign w:val="center"/>
          </w:tcPr>
          <w:p w14:paraId="2A3858C3">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经查，永兴镇高标准农田项目农民工工资逾期未支付，县人社局工作人员未及时办理投诉者反映的诉求，及时督促项目施工方支付农民工工资，收到该线索反映后，已及时督促项目施工方于2025年5月23日足额支付。</w:t>
            </w:r>
          </w:p>
        </w:tc>
        <w:tc>
          <w:tcPr>
            <w:tcW w:w="795" w:type="dxa"/>
            <w:vAlign w:val="center"/>
          </w:tcPr>
          <w:p w14:paraId="443C8B7D">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民生保障领域</w:t>
            </w:r>
          </w:p>
        </w:tc>
        <w:tc>
          <w:tcPr>
            <w:tcW w:w="734" w:type="dxa"/>
            <w:vAlign w:val="center"/>
          </w:tcPr>
          <w:p w14:paraId="20C4E9E8">
            <w:pPr>
              <w:jc w:val="center"/>
              <w:rPr>
                <w:sz w:val="18"/>
                <w:szCs w:val="18"/>
                <w:vertAlign w:val="baseline"/>
              </w:rPr>
            </w:pPr>
          </w:p>
        </w:tc>
      </w:tr>
      <w:tr w14:paraId="65B2A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85" w:type="dxa"/>
          </w:tcPr>
          <w:p w14:paraId="62A03185">
            <w:pPr>
              <w:jc w:val="center"/>
              <w:rPr>
                <w:rFonts w:hint="default"/>
                <w:sz w:val="20"/>
                <w:szCs w:val="22"/>
                <w:vertAlign w:val="baseline"/>
                <w:lang w:val="en-US" w:eastAsia="zh-CN"/>
              </w:rPr>
            </w:pPr>
            <w:r>
              <w:rPr>
                <w:rFonts w:hint="eastAsia"/>
                <w:sz w:val="20"/>
                <w:szCs w:val="22"/>
                <w:vertAlign w:val="baseline"/>
                <w:lang w:val="en-US" w:eastAsia="zh-CN"/>
              </w:rPr>
              <w:t>9</w:t>
            </w:r>
          </w:p>
        </w:tc>
        <w:tc>
          <w:tcPr>
            <w:tcW w:w="1020" w:type="dxa"/>
            <w:vAlign w:val="center"/>
          </w:tcPr>
          <w:p w14:paraId="31266B2B">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攀枝花思园农业有限公司</w:t>
            </w:r>
          </w:p>
        </w:tc>
        <w:tc>
          <w:tcPr>
            <w:tcW w:w="1095" w:type="dxa"/>
            <w:shd w:val="clear" w:color="auto" w:fill="auto"/>
            <w:vAlign w:val="center"/>
          </w:tcPr>
          <w:p w14:paraId="2EB8107D">
            <w:pPr>
              <w:keepNext w:val="0"/>
              <w:keepLines w:val="0"/>
              <w:widowControl/>
              <w:suppressLineNumbers w:val="0"/>
              <w:jc w:val="center"/>
              <w:textAlignment w:val="center"/>
              <w:rPr>
                <w:rFonts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盐边县应急管理局</w:t>
            </w:r>
          </w:p>
        </w:tc>
        <w:tc>
          <w:tcPr>
            <w:tcW w:w="885" w:type="dxa"/>
            <w:shd w:val="clear" w:color="auto" w:fill="auto"/>
            <w:vAlign w:val="center"/>
          </w:tcPr>
          <w:p w14:paraId="5CC62FD5">
            <w:pPr>
              <w:keepNext w:val="0"/>
              <w:keepLines w:val="0"/>
              <w:widowControl/>
              <w:suppressLineNumbers w:val="0"/>
              <w:jc w:val="center"/>
              <w:textAlignment w:val="center"/>
              <w:rPr>
                <w:rFonts w:ascii="方正仿宋_GBK" w:hAnsi="方正仿宋_GBK" w:eastAsia="方正仿宋_GBK" w:cs="方正仿宋_GBK"/>
                <w:i w:val="0"/>
                <w:iCs w:val="0"/>
                <w:color w:val="000000"/>
                <w:kern w:val="2"/>
                <w:sz w:val="21"/>
                <w:szCs w:val="21"/>
                <w:u w:val="none"/>
                <w:lang w:val="en-US" w:eastAsia="zh-CN" w:bidi="ar-SA"/>
              </w:rPr>
            </w:pPr>
            <w:r>
              <w:rPr>
                <w:rFonts w:hint="eastAsia" w:ascii="方正仿宋_GBK" w:hAnsi="方正仿宋_GBK" w:eastAsia="方正仿宋_GBK" w:cs="方正仿宋_GBK"/>
                <w:i w:val="0"/>
                <w:iCs w:val="0"/>
                <w:color w:val="000000"/>
                <w:kern w:val="0"/>
                <w:sz w:val="21"/>
                <w:szCs w:val="21"/>
                <w:u w:val="none"/>
                <w:lang w:val="en-US" w:eastAsia="zh-CN" w:bidi="ar"/>
              </w:rPr>
              <w:t>2024.8.27</w:t>
            </w:r>
          </w:p>
        </w:tc>
        <w:tc>
          <w:tcPr>
            <w:tcW w:w="5415" w:type="dxa"/>
            <w:vAlign w:val="center"/>
          </w:tcPr>
          <w:p w14:paraId="5AB06971">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在自由裁量权限额内，严格按照类案同罚原则确定罚款金额</w:t>
            </w:r>
          </w:p>
        </w:tc>
        <w:tc>
          <w:tcPr>
            <w:tcW w:w="3645" w:type="dxa"/>
            <w:vAlign w:val="center"/>
          </w:tcPr>
          <w:p w14:paraId="21D8EE16">
            <w:pPr>
              <w:keepNext w:val="0"/>
              <w:keepLines w:val="0"/>
              <w:widowControl/>
              <w:suppressLineNumbers w:val="0"/>
              <w:jc w:val="left"/>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行政处罚</w:t>
            </w:r>
          </w:p>
        </w:tc>
        <w:tc>
          <w:tcPr>
            <w:tcW w:w="795" w:type="dxa"/>
            <w:vAlign w:val="center"/>
          </w:tcPr>
          <w:p w14:paraId="304EB76D">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行政执法</w:t>
            </w:r>
          </w:p>
        </w:tc>
        <w:tc>
          <w:tcPr>
            <w:tcW w:w="734" w:type="dxa"/>
            <w:vAlign w:val="center"/>
          </w:tcPr>
          <w:p w14:paraId="137117D9">
            <w:pPr>
              <w:keepNext w:val="0"/>
              <w:keepLines w:val="0"/>
              <w:widowControl/>
              <w:suppressLineNumbers w:val="0"/>
              <w:jc w:val="center"/>
              <w:textAlignment w:val="center"/>
              <w:rPr>
                <w:sz w:val="20"/>
                <w:szCs w:val="22"/>
                <w:vertAlign w:val="baseline"/>
              </w:rPr>
            </w:pPr>
            <w:r>
              <w:rPr>
                <w:rFonts w:hint="eastAsia" w:ascii="方正仿宋_GBK" w:hAnsi="方正仿宋_GBK" w:eastAsia="方正仿宋_GBK" w:cs="方正仿宋_GBK"/>
                <w:i w:val="0"/>
                <w:iCs w:val="0"/>
                <w:color w:val="000000"/>
                <w:kern w:val="0"/>
                <w:sz w:val="21"/>
                <w:szCs w:val="21"/>
                <w:u w:val="none"/>
                <w:lang w:val="en-US" w:eastAsia="zh-CN" w:bidi="ar"/>
              </w:rPr>
              <w:t>在自由裁量权限额内，严格按照类案同罚原则确定罚款金额</w:t>
            </w:r>
          </w:p>
        </w:tc>
      </w:tr>
    </w:tbl>
    <w:p w14:paraId="521F758B">
      <w:pPr>
        <w:jc w:val="center"/>
        <w:rPr>
          <w:sz w:val="20"/>
          <w:szCs w:val="2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美黑_GBK">
    <w:altName w:val="黑体"/>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66B95"/>
    <w:rsid w:val="5D327BF3"/>
    <w:rsid w:val="72B9404D"/>
    <w:rsid w:val="79866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1520</Words>
  <Characters>1646</Characters>
  <Lines>0</Lines>
  <Paragraphs>0</Paragraphs>
  <TotalTime>19</TotalTime>
  <ScaleCrop>false</ScaleCrop>
  <LinksUpToDate>false</LinksUpToDate>
  <CharactersWithSpaces>1646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2025-06-12T07:12:00Z</dcterms:created>
  <dc:creator>柚子</dc:creator>
  <cp:lastModifiedBy>熊秀琳</cp:lastModifiedBy>
  <dcterms:modified xsi:type="dcterms:W3CDTF">2025-06-13T03:38:55Z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FA0DC946AFB44BC082257D8721FDBFBC_11</vt:lpwstr>
  </property>
  <property fmtid="{D5CDD505-2E9C-101B-9397-08002B2CF9AE}" pid="4" name="KSOTemplateDocerSaveRecord">
    <vt:lpwstr>eyJoZGlkIjoiMTNlNTA2ZjYyM2EwYzZiNTNlZGVlN2E1Yjk5NDIwYmMiLCJ1c2VySWQiOiIyOTUwMzMxNjgifQ==</vt:lpwstr>
  </property>
</Properties>
</file>