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7EF11D">
      <w:pPr>
        <w:spacing w:line="600" w:lineRule="exact"/>
        <w:jc w:val="center"/>
        <w:rPr>
          <w:rFonts w:ascii="方正小标宋简体" w:hAnsi="宋体" w:eastAsia="方正小标宋简体"/>
          <w:sz w:val="72"/>
          <w:szCs w:val="72"/>
        </w:rPr>
      </w:pPr>
      <w:bookmarkStart w:id="0" w:name="_Toc15306267"/>
    </w:p>
    <w:p w14:paraId="39F06841">
      <w:pPr>
        <w:spacing w:line="600" w:lineRule="exact"/>
        <w:jc w:val="center"/>
        <w:rPr>
          <w:rFonts w:ascii="方正小标宋简体" w:hAnsi="宋体" w:eastAsia="方正小标宋简体"/>
          <w:sz w:val="72"/>
          <w:szCs w:val="72"/>
        </w:rPr>
      </w:pPr>
    </w:p>
    <w:p w14:paraId="0AFBD987">
      <w:pPr>
        <w:spacing w:line="600" w:lineRule="exact"/>
        <w:jc w:val="center"/>
        <w:rPr>
          <w:rFonts w:ascii="方正小标宋简体" w:hAnsi="宋体" w:eastAsia="方正小标宋简体"/>
          <w:sz w:val="72"/>
          <w:szCs w:val="72"/>
        </w:rPr>
      </w:pPr>
    </w:p>
    <w:p w14:paraId="57C9F294">
      <w:pPr>
        <w:pStyle w:val="2"/>
        <w:spacing w:before="93"/>
        <w:rPr>
          <w:rFonts w:ascii="方正小标宋简体" w:hAnsi="宋体" w:eastAsia="方正小标宋简体"/>
          <w:sz w:val="72"/>
          <w:szCs w:val="72"/>
        </w:rPr>
      </w:pPr>
    </w:p>
    <w:p w14:paraId="6C0CF1A1">
      <w:pPr>
        <w:pStyle w:val="2"/>
        <w:spacing w:before="93"/>
        <w:rPr>
          <w:rFonts w:ascii="方正小标宋简体" w:hAnsi="宋体" w:eastAsia="方正小标宋简体"/>
          <w:sz w:val="72"/>
          <w:szCs w:val="72"/>
        </w:rPr>
      </w:pPr>
    </w:p>
    <w:p w14:paraId="6CEC0597">
      <w:pPr>
        <w:spacing w:line="600" w:lineRule="exact"/>
        <w:jc w:val="center"/>
        <w:rPr>
          <w:rFonts w:ascii="方正小标宋简体" w:hAnsi="宋体" w:eastAsia="方正小标宋简体"/>
          <w:sz w:val="72"/>
          <w:szCs w:val="72"/>
        </w:rPr>
      </w:pPr>
    </w:p>
    <w:p w14:paraId="49F428EF">
      <w:pPr>
        <w:adjustRightInd w:val="0"/>
        <w:snapToGrid w:val="0"/>
        <w:spacing w:line="360" w:lineRule="auto"/>
        <w:jc w:val="center"/>
        <w:outlineLvl w:val="0"/>
        <w:rPr>
          <w:rFonts w:ascii="方正小标宋简体" w:hAnsi="方正小标宋简体" w:eastAsia="方正小标宋简体" w:cs="方正小标宋简体"/>
          <w:sz w:val="72"/>
          <w:szCs w:val="72"/>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 w:name="_Toc15378441"/>
      <w:bookmarkStart w:id="2" w:name="_Toc1452"/>
      <w:bookmarkStart w:id="3" w:name="_Toc15377193"/>
      <w:bookmarkStart w:id="4" w:name="_Toc15396597"/>
      <w:bookmarkStart w:id="5" w:name="_Toc15377425"/>
      <w:bookmarkStart w:id="6" w:name="_Toc1539647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bookmarkEnd w:id="6"/>
      <w:bookmarkStart w:id="7" w:name="_Toc15378442"/>
      <w:bookmarkStart w:id="8" w:name="_Toc15377194"/>
      <w:bookmarkStart w:id="9" w:name="_Toc15396476"/>
      <w:bookmarkStart w:id="10" w:name="_Toc4919"/>
      <w:bookmarkStart w:id="11" w:name="_Toc15377426"/>
      <w:bookmarkStart w:id="12" w:name="_Toc15396598"/>
      <w:r>
        <w:rPr>
          <w:rFonts w:hint="eastAsia" w:ascii="方正小标宋简体" w:hAnsi="方正小标宋简体" w:eastAsia="方正小标宋简体" w:cs="方正小标宋简体"/>
          <w:sz w:val="72"/>
          <w:szCs w:val="72"/>
        </w:rPr>
        <w:t>盐边县</w:t>
      </w:r>
      <w:bookmarkEnd w:id="0"/>
      <w:bookmarkStart w:id="13" w:name="_Toc15306268"/>
      <w:r>
        <w:rPr>
          <w:rFonts w:hint="eastAsia" w:ascii="方正小标宋简体" w:hAnsi="方正小标宋简体" w:eastAsia="方正小标宋简体" w:cs="方正小标宋简体"/>
          <w:sz w:val="72"/>
          <w:szCs w:val="72"/>
        </w:rPr>
        <w:t>城第一小学校决算</w:t>
      </w:r>
      <w:bookmarkEnd w:id="7"/>
      <w:bookmarkEnd w:id="8"/>
      <w:bookmarkEnd w:id="9"/>
      <w:bookmarkEnd w:id="10"/>
      <w:bookmarkEnd w:id="11"/>
      <w:bookmarkEnd w:id="12"/>
      <w:bookmarkEnd w:id="13"/>
      <w:r>
        <w:rPr>
          <w:rFonts w:hint="eastAsia" w:ascii="方正小标宋简体" w:hAnsi="方正小标宋简体" w:eastAsia="方正小标宋简体" w:cs="方正小标宋简体"/>
          <w:sz w:val="72"/>
          <w:szCs w:val="72"/>
        </w:rPr>
        <w:t>公开</w:t>
      </w:r>
    </w:p>
    <w:p w14:paraId="09A0B389">
      <w:pPr>
        <w:widowControl/>
        <w:jc w:val="center"/>
        <w:rPr>
          <w:rFonts w:ascii="黑体" w:hAnsi="黑体" w:eastAsia="黑体"/>
          <w:sz w:val="48"/>
          <w:szCs w:val="48"/>
        </w:rPr>
      </w:pPr>
      <w:r>
        <w:rPr>
          <w:rFonts w:hint="eastAsia" w:ascii="黑体" w:hAnsi="黑体" w:eastAsia="黑体"/>
          <w:sz w:val="48"/>
          <w:szCs w:val="48"/>
        </w:rPr>
        <w:t>目录</w:t>
      </w:r>
    </w:p>
    <w:p w14:paraId="37799B51">
      <w:pPr>
        <w:widowControl/>
        <w:jc w:val="center"/>
        <w:rPr>
          <w:rFonts w:ascii="黑体" w:hAnsi="黑体" w:eastAsia="黑体" w:cstheme="minorBidi"/>
          <w:sz w:val="28"/>
          <w:szCs w:val="28"/>
        </w:rPr>
      </w:pPr>
    </w:p>
    <w:p w14:paraId="4AD77E92">
      <w:pPr>
        <w:pStyle w:val="10"/>
      </w:pPr>
      <w:r>
        <w:rPr>
          <w:rFonts w:hint="eastAsia"/>
        </w:rPr>
        <w:t>公开时间：2022年10月26日</w:t>
      </w:r>
    </w:p>
    <w:sdt>
      <w:sdtPr>
        <w:rPr>
          <w:rFonts w:ascii="宋体" w:hAnsi="宋体"/>
          <w:kern w:val="2"/>
          <w:sz w:val="21"/>
          <w:szCs w:val="24"/>
        </w:rPr>
        <w:id w:val="147460496"/>
        <w:docPartObj>
          <w:docPartGallery w:val="Table of Contents"/>
          <w:docPartUnique/>
        </w:docPartObj>
      </w:sdtPr>
      <w:sdtEndPr>
        <w:rPr>
          <w:rFonts w:ascii="宋体" w:hAnsi="宋体"/>
          <w:b/>
          <w:kern w:val="2"/>
          <w:sz w:val="21"/>
          <w:szCs w:val="24"/>
        </w:rPr>
      </w:sdtEndPr>
      <w:sdtContent>
        <w:p w14:paraId="4743B5E2">
          <w:pPr>
            <w:pStyle w:val="31"/>
            <w:tabs>
              <w:tab w:val="right" w:leader="dot" w:pos="8306"/>
            </w:tabs>
            <w:rPr>
              <w:b/>
            </w:rPr>
          </w:pPr>
          <w:bookmarkStart w:id="14" w:name="_Toc15377196"/>
          <w:bookmarkStart w:id="15" w:name="_Toc15396599"/>
          <w:r>
            <w:fldChar w:fldCharType="begin"/>
          </w:r>
          <w:r>
            <w:instrText xml:space="preserve">TOC \o "1-2" \h \u </w:instrText>
          </w:r>
          <w:r>
            <w:fldChar w:fldCharType="separate"/>
          </w:r>
          <w:r>
            <w:fldChar w:fldCharType="begin"/>
          </w:r>
          <w:r>
            <w:instrText xml:space="preserve"> HYPERLINK \l "_Toc18659" </w:instrText>
          </w:r>
          <w:r>
            <w:fldChar w:fldCharType="separate"/>
          </w:r>
          <w:r>
            <w:rPr>
              <w:rFonts w:hint="eastAsia" w:ascii="黑体" w:hAnsi="黑体" w:eastAsia="黑体"/>
              <w:b/>
            </w:rPr>
            <w:t>第一部分 单位概况</w:t>
          </w:r>
          <w:r>
            <w:rPr>
              <w:b/>
            </w:rPr>
            <w:tab/>
          </w:r>
          <w:r>
            <w:rPr>
              <w:b/>
            </w:rPr>
            <w:fldChar w:fldCharType="begin"/>
          </w:r>
          <w:r>
            <w:rPr>
              <w:b/>
            </w:rPr>
            <w:instrText xml:space="preserve"> PAGEREF _Toc18659 \h </w:instrText>
          </w:r>
          <w:r>
            <w:rPr>
              <w:b/>
            </w:rPr>
            <w:fldChar w:fldCharType="separate"/>
          </w:r>
          <w:r>
            <w:rPr>
              <w:b/>
            </w:rPr>
            <w:t>1</w:t>
          </w:r>
          <w:r>
            <w:rPr>
              <w:b/>
            </w:rPr>
            <w:fldChar w:fldCharType="end"/>
          </w:r>
          <w:r>
            <w:rPr>
              <w:b/>
            </w:rPr>
            <w:fldChar w:fldCharType="end"/>
          </w:r>
        </w:p>
        <w:p w14:paraId="24E4753A">
          <w:pPr>
            <w:pStyle w:val="32"/>
            <w:tabs>
              <w:tab w:val="right" w:leader="dot" w:pos="8306"/>
            </w:tabs>
            <w:ind w:left="420"/>
          </w:pPr>
          <w:r>
            <w:fldChar w:fldCharType="begin"/>
          </w:r>
          <w:r>
            <w:instrText xml:space="preserve"> HYPERLINK \l "_Toc30316" </w:instrText>
          </w:r>
          <w:r>
            <w:fldChar w:fldCharType="separate"/>
          </w:r>
          <w:r>
            <w:rPr>
              <w:rFonts w:hint="eastAsia" w:ascii="仿宋_GB2312" w:hAnsi="宋体" w:eastAsia="仿宋_GB2312" w:cs="仿宋_GB2312"/>
              <w:szCs w:val="31"/>
              <w:lang w:bidi="ar"/>
            </w:rPr>
            <w:t>一、职能简介</w:t>
          </w:r>
          <w:r>
            <w:tab/>
          </w:r>
          <w:r>
            <w:fldChar w:fldCharType="begin"/>
          </w:r>
          <w:r>
            <w:instrText xml:space="preserve"> PAGEREF _Toc30316 \h </w:instrText>
          </w:r>
          <w:r>
            <w:fldChar w:fldCharType="separate"/>
          </w:r>
          <w:r>
            <w:t>1</w:t>
          </w:r>
          <w:r>
            <w:fldChar w:fldCharType="end"/>
          </w:r>
          <w:r>
            <w:fldChar w:fldCharType="end"/>
          </w:r>
        </w:p>
        <w:p w14:paraId="2B90DCC6">
          <w:pPr>
            <w:pStyle w:val="32"/>
            <w:tabs>
              <w:tab w:val="right" w:leader="dot" w:pos="8306"/>
            </w:tabs>
            <w:ind w:left="420"/>
          </w:pPr>
          <w:r>
            <w:fldChar w:fldCharType="begin"/>
          </w:r>
          <w:r>
            <w:instrText xml:space="preserve"> HYPERLINK \l "_Toc1497" </w:instrText>
          </w:r>
          <w:r>
            <w:fldChar w:fldCharType="separate"/>
          </w:r>
          <w:r>
            <w:rPr>
              <w:rFonts w:hint="eastAsia" w:ascii="仿宋_GB2312" w:hAnsi="宋体" w:eastAsia="仿宋_GB2312" w:cs="仿宋_GB2312"/>
              <w:szCs w:val="31"/>
              <w:lang w:bidi="ar"/>
            </w:rPr>
            <w:t>二、2021年重点工作完成情况</w:t>
          </w:r>
          <w:r>
            <w:tab/>
          </w:r>
          <w:r>
            <w:fldChar w:fldCharType="begin"/>
          </w:r>
          <w:r>
            <w:instrText xml:space="preserve"> PAGEREF _Toc1497 \h </w:instrText>
          </w:r>
          <w:r>
            <w:fldChar w:fldCharType="separate"/>
          </w:r>
          <w:r>
            <w:t>2</w:t>
          </w:r>
          <w:r>
            <w:fldChar w:fldCharType="end"/>
          </w:r>
          <w:r>
            <w:fldChar w:fldCharType="end"/>
          </w:r>
        </w:p>
        <w:p w14:paraId="4F9CDA12">
          <w:pPr>
            <w:pStyle w:val="31"/>
            <w:tabs>
              <w:tab w:val="right" w:leader="dot" w:pos="8306"/>
            </w:tabs>
            <w:rPr>
              <w:b/>
            </w:rPr>
          </w:pPr>
          <w:r>
            <w:fldChar w:fldCharType="begin"/>
          </w:r>
          <w:r>
            <w:instrText xml:space="preserve"> HYPERLINK \l "_Toc21202" </w:instrText>
          </w:r>
          <w:r>
            <w:fldChar w:fldCharType="separate"/>
          </w:r>
          <w:r>
            <w:rPr>
              <w:rFonts w:hint="eastAsia" w:ascii="黑体" w:hAnsi="黑体" w:eastAsia="黑体"/>
              <w:b/>
            </w:rPr>
            <w:t>第二部分 2021年度</w:t>
          </w:r>
          <w:r>
            <w:rPr>
              <w:rFonts w:hint="eastAsia" w:ascii="黑体" w:hAnsi="黑体" w:eastAsia="黑体"/>
              <w:b/>
              <w:bCs/>
            </w:rPr>
            <w:t>单位决算情况说明</w:t>
          </w:r>
          <w:r>
            <w:rPr>
              <w:b/>
            </w:rPr>
            <w:tab/>
          </w:r>
          <w:r>
            <w:rPr>
              <w:b/>
            </w:rPr>
            <w:fldChar w:fldCharType="begin"/>
          </w:r>
          <w:r>
            <w:rPr>
              <w:b/>
            </w:rPr>
            <w:instrText xml:space="preserve"> PAGEREF _Toc21202 \h </w:instrText>
          </w:r>
          <w:r>
            <w:rPr>
              <w:b/>
            </w:rPr>
            <w:fldChar w:fldCharType="separate"/>
          </w:r>
          <w:r>
            <w:rPr>
              <w:b/>
            </w:rPr>
            <w:t>12</w:t>
          </w:r>
          <w:r>
            <w:rPr>
              <w:b/>
            </w:rPr>
            <w:fldChar w:fldCharType="end"/>
          </w:r>
          <w:r>
            <w:rPr>
              <w:b/>
            </w:rPr>
            <w:fldChar w:fldCharType="end"/>
          </w:r>
        </w:p>
        <w:p w14:paraId="263A4EFB">
          <w:pPr>
            <w:pStyle w:val="32"/>
            <w:tabs>
              <w:tab w:val="right" w:leader="dot" w:pos="8306"/>
            </w:tabs>
            <w:ind w:left="420"/>
          </w:pPr>
          <w:r>
            <w:fldChar w:fldCharType="begin"/>
          </w:r>
          <w:r>
            <w:instrText xml:space="preserve"> HYPERLINK \l "_Toc18948" </w:instrText>
          </w:r>
          <w:r>
            <w:fldChar w:fldCharType="separate"/>
          </w:r>
          <w:r>
            <w:rPr>
              <w:rFonts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_Toc18948 \h </w:instrText>
          </w:r>
          <w:r>
            <w:fldChar w:fldCharType="separate"/>
          </w:r>
          <w:r>
            <w:t>12</w:t>
          </w:r>
          <w:r>
            <w:fldChar w:fldCharType="end"/>
          </w:r>
          <w:r>
            <w:fldChar w:fldCharType="end"/>
          </w:r>
        </w:p>
        <w:p w14:paraId="0E19A303">
          <w:pPr>
            <w:pStyle w:val="32"/>
            <w:tabs>
              <w:tab w:val="right" w:leader="dot" w:pos="8306"/>
            </w:tabs>
            <w:ind w:left="420"/>
          </w:pPr>
          <w:r>
            <w:fldChar w:fldCharType="begin"/>
          </w:r>
          <w:r>
            <w:instrText xml:space="preserve"> HYPERLINK \l "_Toc26421" </w:instrText>
          </w:r>
          <w:r>
            <w:fldChar w:fldCharType="separate"/>
          </w:r>
          <w:r>
            <w:rPr>
              <w:rFonts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_Toc26421 \h </w:instrText>
          </w:r>
          <w:r>
            <w:fldChar w:fldCharType="separate"/>
          </w:r>
          <w:r>
            <w:t>12</w:t>
          </w:r>
          <w:r>
            <w:fldChar w:fldCharType="end"/>
          </w:r>
          <w:r>
            <w:fldChar w:fldCharType="end"/>
          </w:r>
        </w:p>
        <w:p w14:paraId="13E8E234">
          <w:pPr>
            <w:pStyle w:val="32"/>
            <w:tabs>
              <w:tab w:val="right" w:leader="dot" w:pos="8306"/>
            </w:tabs>
            <w:ind w:left="420"/>
          </w:pPr>
          <w:r>
            <w:fldChar w:fldCharType="begin"/>
          </w:r>
          <w:r>
            <w:instrText xml:space="preserve"> HYPERLINK \l "_Toc473" </w:instrText>
          </w:r>
          <w:r>
            <w:fldChar w:fldCharType="separate"/>
          </w:r>
          <w:r>
            <w:rPr>
              <w:rFonts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_Toc473 \h </w:instrText>
          </w:r>
          <w:r>
            <w:fldChar w:fldCharType="separate"/>
          </w:r>
          <w:r>
            <w:t>13</w:t>
          </w:r>
          <w:r>
            <w:fldChar w:fldCharType="end"/>
          </w:r>
          <w:r>
            <w:fldChar w:fldCharType="end"/>
          </w:r>
        </w:p>
        <w:p w14:paraId="3EA620B0">
          <w:pPr>
            <w:pStyle w:val="32"/>
            <w:tabs>
              <w:tab w:val="right" w:leader="dot" w:pos="8306"/>
            </w:tabs>
            <w:ind w:left="420"/>
          </w:pPr>
          <w:r>
            <w:fldChar w:fldCharType="begin"/>
          </w:r>
          <w:r>
            <w:instrText xml:space="preserve"> HYPERLINK \l "_Toc7476"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_Toc7476 \h </w:instrText>
          </w:r>
          <w:r>
            <w:fldChar w:fldCharType="separate"/>
          </w:r>
          <w:r>
            <w:t>13</w:t>
          </w:r>
          <w:r>
            <w:fldChar w:fldCharType="end"/>
          </w:r>
          <w:r>
            <w:fldChar w:fldCharType="end"/>
          </w:r>
        </w:p>
        <w:p w14:paraId="6F4795C7">
          <w:pPr>
            <w:pStyle w:val="32"/>
            <w:tabs>
              <w:tab w:val="right" w:leader="dot" w:pos="8306"/>
            </w:tabs>
            <w:ind w:left="420"/>
          </w:pPr>
          <w:r>
            <w:fldChar w:fldCharType="begin"/>
          </w:r>
          <w:r>
            <w:instrText xml:space="preserve"> HYPERLINK \l "_Toc26725"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_Toc26725 \h </w:instrText>
          </w:r>
          <w:r>
            <w:fldChar w:fldCharType="separate"/>
          </w:r>
          <w:r>
            <w:t>14</w:t>
          </w:r>
          <w:r>
            <w:fldChar w:fldCharType="end"/>
          </w:r>
          <w:r>
            <w:fldChar w:fldCharType="end"/>
          </w:r>
        </w:p>
        <w:p w14:paraId="5195AD34">
          <w:pPr>
            <w:pStyle w:val="32"/>
            <w:tabs>
              <w:tab w:val="right" w:leader="dot" w:pos="8306"/>
            </w:tabs>
            <w:ind w:left="420"/>
          </w:pPr>
          <w:r>
            <w:fldChar w:fldCharType="begin"/>
          </w:r>
          <w:r>
            <w:instrText xml:space="preserve"> HYPERLINK \l "_Toc7146"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_Toc7146 \h </w:instrText>
          </w:r>
          <w:r>
            <w:fldChar w:fldCharType="separate"/>
          </w:r>
          <w:r>
            <w:t>16</w:t>
          </w:r>
          <w:r>
            <w:fldChar w:fldCharType="end"/>
          </w:r>
          <w:r>
            <w:fldChar w:fldCharType="end"/>
          </w:r>
        </w:p>
        <w:p w14:paraId="13850D01">
          <w:pPr>
            <w:pStyle w:val="32"/>
            <w:tabs>
              <w:tab w:val="right" w:leader="dot" w:pos="8306"/>
            </w:tabs>
            <w:ind w:left="420"/>
          </w:pPr>
          <w:r>
            <w:fldChar w:fldCharType="begin"/>
          </w:r>
          <w:r>
            <w:instrText xml:space="preserve"> HYPERLINK \l "_Toc3729"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_Toc3729 \h </w:instrText>
          </w:r>
          <w:r>
            <w:fldChar w:fldCharType="separate"/>
          </w:r>
          <w:r>
            <w:t>17</w:t>
          </w:r>
          <w:r>
            <w:fldChar w:fldCharType="end"/>
          </w:r>
          <w:r>
            <w:fldChar w:fldCharType="end"/>
          </w:r>
        </w:p>
        <w:p w14:paraId="06E99129">
          <w:pPr>
            <w:pStyle w:val="32"/>
            <w:tabs>
              <w:tab w:val="right" w:leader="dot" w:pos="8306"/>
            </w:tabs>
            <w:ind w:left="420"/>
          </w:pPr>
          <w:r>
            <w:fldChar w:fldCharType="begin"/>
          </w:r>
          <w:r>
            <w:instrText xml:space="preserve"> HYPERLINK \l "_Toc22442"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_Toc22442 \h </w:instrText>
          </w:r>
          <w:r>
            <w:fldChar w:fldCharType="separate"/>
          </w:r>
          <w:r>
            <w:t>18</w:t>
          </w:r>
          <w:r>
            <w:fldChar w:fldCharType="end"/>
          </w:r>
          <w:r>
            <w:fldChar w:fldCharType="end"/>
          </w:r>
        </w:p>
        <w:p w14:paraId="640D6CD0">
          <w:pPr>
            <w:pStyle w:val="32"/>
            <w:tabs>
              <w:tab w:val="right" w:leader="dot" w:pos="8306"/>
            </w:tabs>
            <w:ind w:left="420"/>
          </w:pPr>
          <w:r>
            <w:fldChar w:fldCharType="begin"/>
          </w:r>
          <w:r>
            <w:instrText xml:space="preserve"> HYPERLINK \l "_Toc22119" </w:instrText>
          </w:r>
          <w:r>
            <w:fldChar w:fldCharType="separate"/>
          </w:r>
          <w:r>
            <w:rPr>
              <w:rFonts w:hint="eastAsia" w:ascii="黑体" w:hAnsi="黑体" w:eastAsia="黑体"/>
            </w:rPr>
            <w:t>九、 国有资本经营预算支出决算情况说明</w:t>
          </w:r>
          <w:r>
            <w:tab/>
          </w:r>
          <w:r>
            <w:fldChar w:fldCharType="begin"/>
          </w:r>
          <w:r>
            <w:instrText xml:space="preserve"> PAGEREF _Toc22119 \h </w:instrText>
          </w:r>
          <w:r>
            <w:fldChar w:fldCharType="separate"/>
          </w:r>
          <w:r>
            <w:t>18</w:t>
          </w:r>
          <w:r>
            <w:fldChar w:fldCharType="end"/>
          </w:r>
          <w:r>
            <w:fldChar w:fldCharType="end"/>
          </w:r>
        </w:p>
        <w:p w14:paraId="2449E1F4">
          <w:pPr>
            <w:pStyle w:val="32"/>
            <w:tabs>
              <w:tab w:val="right" w:leader="dot" w:pos="8306"/>
            </w:tabs>
            <w:ind w:left="420"/>
          </w:pPr>
          <w:r>
            <w:fldChar w:fldCharType="begin"/>
          </w:r>
          <w:r>
            <w:instrText xml:space="preserve"> HYPERLINK \l "_Toc21641" </w:instrText>
          </w:r>
          <w:r>
            <w:fldChar w:fldCharType="separate"/>
          </w:r>
          <w:r>
            <w:rPr>
              <w:rFonts w:hint="eastAsia" w:ascii="黑体" w:hAnsi="黑体" w:eastAsia="黑体"/>
            </w:rPr>
            <w:t>十、 其他重要事项的情况说明</w:t>
          </w:r>
          <w:r>
            <w:tab/>
          </w:r>
          <w:r>
            <w:fldChar w:fldCharType="begin"/>
          </w:r>
          <w:r>
            <w:instrText xml:space="preserve"> PAGEREF _Toc21641 \h </w:instrText>
          </w:r>
          <w:r>
            <w:fldChar w:fldCharType="separate"/>
          </w:r>
          <w:r>
            <w:t>18</w:t>
          </w:r>
          <w:r>
            <w:fldChar w:fldCharType="end"/>
          </w:r>
          <w:r>
            <w:fldChar w:fldCharType="end"/>
          </w:r>
        </w:p>
        <w:p w14:paraId="5F6C7EF5">
          <w:pPr>
            <w:pStyle w:val="31"/>
            <w:tabs>
              <w:tab w:val="right" w:leader="dot" w:pos="8306"/>
            </w:tabs>
            <w:rPr>
              <w:b/>
            </w:rPr>
          </w:pPr>
          <w:r>
            <w:fldChar w:fldCharType="begin"/>
          </w:r>
          <w:r>
            <w:instrText xml:space="preserve"> HYPERLINK \l "_Toc4548" </w:instrText>
          </w:r>
          <w:r>
            <w:fldChar w:fldCharType="separate"/>
          </w:r>
          <w:r>
            <w:rPr>
              <w:rFonts w:hint="eastAsia" w:ascii="黑体" w:hAnsi="黑体" w:eastAsia="黑体" w:cs="黑体"/>
              <w:b/>
              <w:szCs w:val="44"/>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_Toc4548 \h </w:instrText>
          </w:r>
          <w:r>
            <w:rPr>
              <w:b/>
            </w:rPr>
            <w:fldChar w:fldCharType="separate"/>
          </w:r>
          <w:r>
            <w:rPr>
              <w:b/>
            </w:rPr>
            <w:t>20</w:t>
          </w:r>
          <w:r>
            <w:rPr>
              <w:b/>
            </w:rPr>
            <w:fldChar w:fldCharType="end"/>
          </w:r>
          <w:r>
            <w:rPr>
              <w:b/>
            </w:rPr>
            <w:fldChar w:fldCharType="end"/>
          </w:r>
        </w:p>
        <w:p w14:paraId="1ACE9AEB">
          <w:pPr>
            <w:pStyle w:val="31"/>
            <w:tabs>
              <w:tab w:val="right" w:leader="dot" w:pos="8306"/>
            </w:tabs>
            <w:rPr>
              <w:b/>
            </w:rPr>
          </w:pPr>
          <w:r>
            <w:fldChar w:fldCharType="begin"/>
          </w:r>
          <w:r>
            <w:instrText xml:space="preserve"> HYPERLINK \l "_Toc9250" </w:instrText>
          </w:r>
          <w: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_Toc9250 \h </w:instrText>
          </w:r>
          <w:r>
            <w:rPr>
              <w:b/>
            </w:rPr>
            <w:fldChar w:fldCharType="separate"/>
          </w:r>
          <w:r>
            <w:rPr>
              <w:b/>
            </w:rPr>
            <w:t>25</w:t>
          </w:r>
          <w:r>
            <w:rPr>
              <w:b/>
            </w:rPr>
            <w:fldChar w:fldCharType="end"/>
          </w:r>
          <w:r>
            <w:rPr>
              <w:b/>
            </w:rPr>
            <w:fldChar w:fldCharType="end"/>
          </w:r>
        </w:p>
        <w:p w14:paraId="28DFF101">
          <w:pPr>
            <w:pStyle w:val="31"/>
            <w:tabs>
              <w:tab w:val="right" w:leader="dot" w:pos="8306"/>
            </w:tabs>
            <w:rPr>
              <w:b/>
            </w:rPr>
          </w:pPr>
          <w:r>
            <w:fldChar w:fldCharType="begin"/>
          </w:r>
          <w:r>
            <w:instrText xml:space="preserve"> HYPERLINK \l "_Toc19178" </w:instrText>
          </w:r>
          <w: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_Toc19178 \h </w:instrText>
          </w:r>
          <w:r>
            <w:rPr>
              <w:b/>
            </w:rPr>
            <w:fldChar w:fldCharType="separate"/>
          </w:r>
          <w:r>
            <w:rPr>
              <w:b/>
            </w:rPr>
            <w:t>26</w:t>
          </w:r>
          <w:r>
            <w:rPr>
              <w:b/>
            </w:rPr>
            <w:fldChar w:fldCharType="end"/>
          </w:r>
          <w:r>
            <w:rPr>
              <w:b/>
            </w:rPr>
            <w:fldChar w:fldCharType="end"/>
          </w:r>
        </w:p>
        <w:p w14:paraId="64C07BAD">
          <w:pPr>
            <w:pStyle w:val="31"/>
            <w:tabs>
              <w:tab w:val="right" w:leader="dot" w:pos="8306"/>
            </w:tabs>
            <w:rPr>
              <w:b/>
            </w:rPr>
          </w:pPr>
          <w:r>
            <w:fldChar w:fldCharType="begin"/>
          </w:r>
          <w:r>
            <w:instrText xml:space="preserve"> HYPERLINK \l "_Toc4345" </w:instrText>
          </w:r>
          <w: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_Toc4345 \h </w:instrText>
          </w:r>
          <w:r>
            <w:rPr>
              <w:b/>
            </w:rPr>
            <w:fldChar w:fldCharType="separate"/>
          </w:r>
          <w:r>
            <w:rPr>
              <w:b/>
            </w:rPr>
            <w:t>31</w:t>
          </w:r>
          <w:r>
            <w:rPr>
              <w:b/>
            </w:rPr>
            <w:fldChar w:fldCharType="end"/>
          </w:r>
          <w:r>
            <w:rPr>
              <w:b/>
            </w:rPr>
            <w:fldChar w:fldCharType="end"/>
          </w:r>
        </w:p>
        <w:p w14:paraId="3CD22EE3">
          <w:pPr>
            <w:pStyle w:val="32"/>
            <w:tabs>
              <w:tab w:val="right" w:leader="dot" w:pos="8306"/>
            </w:tabs>
            <w:ind w:left="420"/>
          </w:pPr>
          <w:r>
            <w:fldChar w:fldCharType="begin"/>
          </w:r>
          <w:r>
            <w:instrText xml:space="preserve"> HYPERLINK \l "_Toc13515" </w:instrText>
          </w:r>
          <w:r>
            <w:fldChar w:fldCharType="separate"/>
          </w:r>
          <w:r>
            <w:rPr>
              <w:rFonts w:hint="eastAsia" w:ascii="仿宋" w:hAnsi="仿宋" w:eastAsia="仿宋"/>
            </w:rPr>
            <w:t>一、收入支出决算总表</w:t>
          </w:r>
          <w:r>
            <w:tab/>
          </w:r>
          <w:r>
            <w:fldChar w:fldCharType="begin"/>
          </w:r>
          <w:r>
            <w:instrText xml:space="preserve"> PAGEREF _Toc13515 \h </w:instrText>
          </w:r>
          <w:r>
            <w:fldChar w:fldCharType="separate"/>
          </w:r>
          <w:r>
            <w:t>31</w:t>
          </w:r>
          <w:r>
            <w:fldChar w:fldCharType="end"/>
          </w:r>
          <w:r>
            <w:fldChar w:fldCharType="end"/>
          </w:r>
        </w:p>
        <w:p w14:paraId="1EDD7621">
          <w:pPr>
            <w:pStyle w:val="32"/>
            <w:tabs>
              <w:tab w:val="right" w:leader="dot" w:pos="8306"/>
            </w:tabs>
            <w:ind w:left="420"/>
          </w:pPr>
          <w:r>
            <w:fldChar w:fldCharType="begin"/>
          </w:r>
          <w:r>
            <w:instrText xml:space="preserve"> HYPERLINK \l "_Toc25888" </w:instrText>
          </w:r>
          <w:r>
            <w:fldChar w:fldCharType="separate"/>
          </w:r>
          <w:r>
            <w:rPr>
              <w:rFonts w:hint="eastAsia" w:ascii="仿宋" w:hAnsi="仿宋" w:eastAsia="仿宋"/>
            </w:rPr>
            <w:t>二、收入决算表</w:t>
          </w:r>
          <w:r>
            <w:tab/>
          </w:r>
          <w:r>
            <w:fldChar w:fldCharType="begin"/>
          </w:r>
          <w:r>
            <w:instrText xml:space="preserve"> PAGEREF _Toc25888 \h </w:instrText>
          </w:r>
          <w:r>
            <w:fldChar w:fldCharType="separate"/>
          </w:r>
          <w:r>
            <w:t>31</w:t>
          </w:r>
          <w:r>
            <w:fldChar w:fldCharType="end"/>
          </w:r>
          <w:r>
            <w:fldChar w:fldCharType="end"/>
          </w:r>
        </w:p>
        <w:p w14:paraId="1A9F7E1F">
          <w:pPr>
            <w:pStyle w:val="32"/>
            <w:tabs>
              <w:tab w:val="right" w:leader="dot" w:pos="8306"/>
            </w:tabs>
            <w:ind w:left="420"/>
          </w:pPr>
          <w:r>
            <w:fldChar w:fldCharType="begin"/>
          </w:r>
          <w:r>
            <w:instrText xml:space="preserve"> HYPERLINK \l "_Toc31857" </w:instrText>
          </w:r>
          <w:r>
            <w:fldChar w:fldCharType="separate"/>
          </w:r>
          <w:r>
            <w:rPr>
              <w:rFonts w:hint="eastAsia" w:ascii="仿宋" w:hAnsi="仿宋" w:eastAsia="仿宋"/>
            </w:rPr>
            <w:t>三、支出决算表</w:t>
          </w:r>
          <w:r>
            <w:tab/>
          </w:r>
          <w:r>
            <w:fldChar w:fldCharType="begin"/>
          </w:r>
          <w:r>
            <w:instrText xml:space="preserve"> PAGEREF _Toc31857 \h </w:instrText>
          </w:r>
          <w:r>
            <w:fldChar w:fldCharType="separate"/>
          </w:r>
          <w:r>
            <w:t>31</w:t>
          </w:r>
          <w:r>
            <w:fldChar w:fldCharType="end"/>
          </w:r>
          <w:r>
            <w:fldChar w:fldCharType="end"/>
          </w:r>
        </w:p>
        <w:p w14:paraId="5B778854">
          <w:pPr>
            <w:pStyle w:val="32"/>
            <w:tabs>
              <w:tab w:val="right" w:leader="dot" w:pos="8306"/>
            </w:tabs>
            <w:ind w:left="420"/>
          </w:pPr>
          <w:r>
            <w:fldChar w:fldCharType="begin"/>
          </w:r>
          <w:r>
            <w:instrText xml:space="preserve"> HYPERLINK \l "_Toc2690" </w:instrText>
          </w:r>
          <w:r>
            <w:fldChar w:fldCharType="separate"/>
          </w:r>
          <w:r>
            <w:rPr>
              <w:rFonts w:hint="eastAsia" w:ascii="仿宋" w:hAnsi="仿宋" w:eastAsia="仿宋"/>
            </w:rPr>
            <w:t>四、财政拨款收入支出决算总表</w:t>
          </w:r>
          <w:r>
            <w:tab/>
          </w:r>
          <w:r>
            <w:fldChar w:fldCharType="begin"/>
          </w:r>
          <w:r>
            <w:instrText xml:space="preserve"> PAGEREF _Toc2690 \h </w:instrText>
          </w:r>
          <w:r>
            <w:fldChar w:fldCharType="separate"/>
          </w:r>
          <w:r>
            <w:t>31</w:t>
          </w:r>
          <w:r>
            <w:fldChar w:fldCharType="end"/>
          </w:r>
          <w:r>
            <w:fldChar w:fldCharType="end"/>
          </w:r>
        </w:p>
        <w:p w14:paraId="1152ED5B">
          <w:pPr>
            <w:pStyle w:val="32"/>
            <w:tabs>
              <w:tab w:val="right" w:leader="dot" w:pos="8306"/>
            </w:tabs>
            <w:ind w:left="420"/>
          </w:pPr>
          <w:r>
            <w:fldChar w:fldCharType="begin"/>
          </w:r>
          <w:r>
            <w:instrText xml:space="preserve"> HYPERLINK \l "_Toc15730" </w:instrText>
          </w:r>
          <w:r>
            <w:fldChar w:fldCharType="separate"/>
          </w:r>
          <w:r>
            <w:rPr>
              <w:rFonts w:hint="eastAsia" w:ascii="仿宋" w:hAnsi="仿宋" w:eastAsia="仿宋"/>
            </w:rPr>
            <w:t>五、财政拨款支出决算明细表</w:t>
          </w:r>
          <w:r>
            <w:tab/>
          </w:r>
          <w:r>
            <w:fldChar w:fldCharType="begin"/>
          </w:r>
          <w:r>
            <w:instrText xml:space="preserve"> PAGEREF _Toc15730 \h </w:instrText>
          </w:r>
          <w:r>
            <w:fldChar w:fldCharType="separate"/>
          </w:r>
          <w:r>
            <w:t>31</w:t>
          </w:r>
          <w:r>
            <w:fldChar w:fldCharType="end"/>
          </w:r>
          <w:r>
            <w:fldChar w:fldCharType="end"/>
          </w:r>
        </w:p>
        <w:p w14:paraId="2A868FF2">
          <w:pPr>
            <w:pStyle w:val="32"/>
            <w:tabs>
              <w:tab w:val="right" w:leader="dot" w:pos="8306"/>
            </w:tabs>
            <w:ind w:left="420"/>
          </w:pPr>
          <w:r>
            <w:fldChar w:fldCharType="begin"/>
          </w:r>
          <w:r>
            <w:instrText xml:space="preserve"> HYPERLINK \l "_Toc16811" </w:instrText>
          </w:r>
          <w:r>
            <w:fldChar w:fldCharType="separate"/>
          </w:r>
          <w:r>
            <w:rPr>
              <w:rFonts w:hint="eastAsia" w:ascii="仿宋" w:hAnsi="仿宋" w:eastAsia="仿宋"/>
            </w:rPr>
            <w:t>六、一般公共预算财政拨款支出决算表</w:t>
          </w:r>
          <w:r>
            <w:tab/>
          </w:r>
          <w:r>
            <w:fldChar w:fldCharType="begin"/>
          </w:r>
          <w:r>
            <w:instrText xml:space="preserve"> PAGEREF _Toc16811 \h </w:instrText>
          </w:r>
          <w:r>
            <w:fldChar w:fldCharType="separate"/>
          </w:r>
          <w:r>
            <w:t>31</w:t>
          </w:r>
          <w:r>
            <w:fldChar w:fldCharType="end"/>
          </w:r>
          <w:r>
            <w:fldChar w:fldCharType="end"/>
          </w:r>
        </w:p>
        <w:p w14:paraId="0D0C5623">
          <w:pPr>
            <w:pStyle w:val="32"/>
            <w:tabs>
              <w:tab w:val="right" w:leader="dot" w:pos="8306"/>
            </w:tabs>
            <w:ind w:left="420"/>
          </w:pPr>
          <w:r>
            <w:fldChar w:fldCharType="begin"/>
          </w:r>
          <w:r>
            <w:instrText xml:space="preserve"> HYPERLINK \l "_Toc149" </w:instrText>
          </w:r>
          <w:r>
            <w:fldChar w:fldCharType="separate"/>
          </w:r>
          <w:r>
            <w:rPr>
              <w:rFonts w:hint="eastAsia" w:ascii="仿宋" w:hAnsi="仿宋" w:eastAsia="仿宋"/>
            </w:rPr>
            <w:t>七、一般公共预算财政拨款支出决算明细表</w:t>
          </w:r>
          <w:r>
            <w:tab/>
          </w:r>
          <w:r>
            <w:fldChar w:fldCharType="begin"/>
          </w:r>
          <w:r>
            <w:instrText xml:space="preserve"> PAGEREF _Toc149 \h </w:instrText>
          </w:r>
          <w:r>
            <w:fldChar w:fldCharType="separate"/>
          </w:r>
          <w:r>
            <w:t>31</w:t>
          </w:r>
          <w:r>
            <w:fldChar w:fldCharType="end"/>
          </w:r>
          <w:r>
            <w:fldChar w:fldCharType="end"/>
          </w:r>
        </w:p>
        <w:p w14:paraId="2B870954">
          <w:pPr>
            <w:pStyle w:val="32"/>
            <w:tabs>
              <w:tab w:val="right" w:leader="dot" w:pos="8306"/>
            </w:tabs>
            <w:ind w:left="420"/>
          </w:pPr>
          <w:r>
            <w:fldChar w:fldCharType="begin"/>
          </w:r>
          <w:r>
            <w:instrText xml:space="preserve"> HYPERLINK \l "_Toc14599" </w:instrText>
          </w:r>
          <w:r>
            <w:fldChar w:fldCharType="separate"/>
          </w:r>
          <w:r>
            <w:rPr>
              <w:rFonts w:hint="eastAsia" w:ascii="仿宋" w:hAnsi="仿宋" w:eastAsia="仿宋"/>
            </w:rPr>
            <w:t>八、一般公共预算财政拨款基本支出决算表</w:t>
          </w:r>
          <w:r>
            <w:tab/>
          </w:r>
          <w:r>
            <w:fldChar w:fldCharType="begin"/>
          </w:r>
          <w:r>
            <w:instrText xml:space="preserve"> PAGEREF _Toc14599 \h </w:instrText>
          </w:r>
          <w:r>
            <w:fldChar w:fldCharType="separate"/>
          </w:r>
          <w:r>
            <w:t>31</w:t>
          </w:r>
          <w:r>
            <w:fldChar w:fldCharType="end"/>
          </w:r>
          <w:r>
            <w:fldChar w:fldCharType="end"/>
          </w:r>
        </w:p>
        <w:p w14:paraId="0139AA21">
          <w:pPr>
            <w:pStyle w:val="32"/>
            <w:tabs>
              <w:tab w:val="right" w:leader="dot" w:pos="8306"/>
            </w:tabs>
            <w:ind w:left="420"/>
          </w:pPr>
          <w:r>
            <w:fldChar w:fldCharType="begin"/>
          </w:r>
          <w:r>
            <w:instrText xml:space="preserve"> HYPERLINK \l "_Toc26704" </w:instrText>
          </w:r>
          <w:r>
            <w:fldChar w:fldCharType="separate"/>
          </w:r>
          <w:r>
            <w:rPr>
              <w:rFonts w:hint="eastAsia" w:ascii="仿宋" w:hAnsi="仿宋" w:eastAsia="仿宋"/>
            </w:rPr>
            <w:t>九、一般公共预算财政拨款项目支出决算表</w:t>
          </w:r>
          <w:r>
            <w:tab/>
          </w:r>
          <w:r>
            <w:fldChar w:fldCharType="begin"/>
          </w:r>
          <w:r>
            <w:instrText xml:space="preserve"> PAGEREF _Toc26704 \h </w:instrText>
          </w:r>
          <w:r>
            <w:fldChar w:fldCharType="separate"/>
          </w:r>
          <w:r>
            <w:t>31</w:t>
          </w:r>
          <w:r>
            <w:fldChar w:fldCharType="end"/>
          </w:r>
          <w:r>
            <w:fldChar w:fldCharType="end"/>
          </w:r>
        </w:p>
        <w:p w14:paraId="0FCDBE1A">
          <w:pPr>
            <w:pStyle w:val="32"/>
            <w:tabs>
              <w:tab w:val="right" w:leader="dot" w:pos="8306"/>
            </w:tabs>
            <w:ind w:left="420"/>
          </w:pPr>
          <w:r>
            <w:fldChar w:fldCharType="begin"/>
          </w:r>
          <w:r>
            <w:instrText xml:space="preserve"> HYPERLINK \l "_Toc26632" </w:instrText>
          </w:r>
          <w:r>
            <w:fldChar w:fldCharType="separate"/>
          </w:r>
          <w:r>
            <w:rPr>
              <w:rFonts w:hint="eastAsia" w:ascii="仿宋" w:hAnsi="仿宋" w:eastAsia="仿宋"/>
            </w:rPr>
            <w:t>十、一般公共预算财政拨款“三公”经费支出决算表</w:t>
          </w:r>
          <w:r>
            <w:tab/>
          </w:r>
          <w:r>
            <w:fldChar w:fldCharType="begin"/>
          </w:r>
          <w:r>
            <w:instrText xml:space="preserve"> PAGEREF _Toc26632 \h </w:instrText>
          </w:r>
          <w:r>
            <w:fldChar w:fldCharType="separate"/>
          </w:r>
          <w:r>
            <w:t>31</w:t>
          </w:r>
          <w:r>
            <w:fldChar w:fldCharType="end"/>
          </w:r>
          <w:r>
            <w:fldChar w:fldCharType="end"/>
          </w:r>
        </w:p>
        <w:p w14:paraId="7E91C3FF">
          <w:pPr>
            <w:pStyle w:val="32"/>
            <w:tabs>
              <w:tab w:val="right" w:leader="dot" w:pos="8306"/>
            </w:tabs>
            <w:ind w:left="420"/>
          </w:pPr>
          <w:r>
            <w:fldChar w:fldCharType="begin"/>
          </w:r>
          <w:r>
            <w:instrText xml:space="preserve"> HYPERLINK \l "_Toc14809" </w:instrText>
          </w:r>
          <w:r>
            <w:fldChar w:fldCharType="separate"/>
          </w:r>
          <w:r>
            <w:rPr>
              <w:rFonts w:hint="eastAsia" w:ascii="仿宋" w:hAnsi="仿宋" w:eastAsia="仿宋"/>
            </w:rPr>
            <w:t>十一、政府性基金预算财政拨款收入支出决算表</w:t>
          </w:r>
          <w:r>
            <w:tab/>
          </w:r>
          <w:r>
            <w:fldChar w:fldCharType="begin"/>
          </w:r>
          <w:r>
            <w:instrText xml:space="preserve"> PAGEREF _Toc14809 \h </w:instrText>
          </w:r>
          <w:r>
            <w:fldChar w:fldCharType="separate"/>
          </w:r>
          <w:r>
            <w:t>31</w:t>
          </w:r>
          <w:r>
            <w:fldChar w:fldCharType="end"/>
          </w:r>
          <w:r>
            <w:fldChar w:fldCharType="end"/>
          </w:r>
        </w:p>
        <w:p w14:paraId="60D23A00">
          <w:pPr>
            <w:pStyle w:val="32"/>
            <w:tabs>
              <w:tab w:val="right" w:leader="dot" w:pos="8306"/>
            </w:tabs>
            <w:ind w:left="420"/>
          </w:pPr>
          <w:r>
            <w:fldChar w:fldCharType="begin"/>
          </w:r>
          <w:r>
            <w:instrText xml:space="preserve"> HYPERLINK \l "_Toc9325" </w:instrText>
          </w:r>
          <w:r>
            <w:fldChar w:fldCharType="separate"/>
          </w:r>
          <w:r>
            <w:rPr>
              <w:rFonts w:hint="eastAsia" w:ascii="仿宋" w:hAnsi="仿宋" w:eastAsia="仿宋"/>
            </w:rPr>
            <w:t>十二、政府性基金预算财政拨款“三公”经费支出决算表</w:t>
          </w:r>
          <w:r>
            <w:tab/>
          </w:r>
          <w:r>
            <w:fldChar w:fldCharType="begin"/>
          </w:r>
          <w:r>
            <w:instrText xml:space="preserve"> PAGEREF _Toc9325 \h </w:instrText>
          </w:r>
          <w:r>
            <w:fldChar w:fldCharType="separate"/>
          </w:r>
          <w:r>
            <w:t>31</w:t>
          </w:r>
          <w:r>
            <w:fldChar w:fldCharType="end"/>
          </w:r>
          <w:r>
            <w:fldChar w:fldCharType="end"/>
          </w:r>
        </w:p>
        <w:p w14:paraId="13F79CBC">
          <w:pPr>
            <w:pStyle w:val="32"/>
            <w:tabs>
              <w:tab w:val="right" w:leader="dot" w:pos="8306"/>
            </w:tabs>
            <w:ind w:left="420"/>
          </w:pPr>
          <w:r>
            <w:fldChar w:fldCharType="begin"/>
          </w:r>
          <w:r>
            <w:instrText xml:space="preserve"> HYPERLINK \l "_Toc3017" </w:instrText>
          </w:r>
          <w:r>
            <w:fldChar w:fldCharType="separate"/>
          </w:r>
          <w:r>
            <w:rPr>
              <w:rFonts w:hint="eastAsia" w:ascii="仿宋" w:hAnsi="仿宋" w:eastAsia="仿宋"/>
            </w:rPr>
            <w:t>十三、国有资本经营预算财政拨款收入支出决算表</w:t>
          </w:r>
          <w:r>
            <w:tab/>
          </w:r>
          <w:r>
            <w:fldChar w:fldCharType="begin"/>
          </w:r>
          <w:r>
            <w:instrText xml:space="preserve"> PAGEREF _Toc3017 \h </w:instrText>
          </w:r>
          <w:r>
            <w:fldChar w:fldCharType="separate"/>
          </w:r>
          <w:r>
            <w:t>31</w:t>
          </w:r>
          <w:r>
            <w:fldChar w:fldCharType="end"/>
          </w:r>
          <w:r>
            <w:fldChar w:fldCharType="end"/>
          </w:r>
        </w:p>
        <w:p w14:paraId="35FDBAE4">
          <w:pPr>
            <w:pStyle w:val="32"/>
            <w:tabs>
              <w:tab w:val="right" w:leader="dot" w:pos="8306"/>
            </w:tabs>
            <w:ind w:left="420"/>
          </w:pPr>
          <w:r>
            <w:fldChar w:fldCharType="begin"/>
          </w:r>
          <w:r>
            <w:instrText xml:space="preserve"> HYPERLINK \l "_Toc19164" </w:instrText>
          </w:r>
          <w:r>
            <w:fldChar w:fldCharType="separate"/>
          </w:r>
          <w:r>
            <w:rPr>
              <w:rFonts w:hint="eastAsia" w:ascii="仿宋" w:hAnsi="仿宋" w:eastAsia="仿宋"/>
            </w:rPr>
            <w:t>十四、国有资本经营预算财政拨款支出决算表</w:t>
          </w:r>
          <w:r>
            <w:tab/>
          </w:r>
          <w:r>
            <w:fldChar w:fldCharType="begin"/>
          </w:r>
          <w:r>
            <w:instrText xml:space="preserve"> PAGEREF _Toc19164 \h </w:instrText>
          </w:r>
          <w:r>
            <w:fldChar w:fldCharType="separate"/>
          </w:r>
          <w:r>
            <w:t>31</w:t>
          </w:r>
          <w:r>
            <w:fldChar w:fldCharType="end"/>
          </w:r>
          <w:r>
            <w:fldChar w:fldCharType="end"/>
          </w:r>
        </w:p>
        <w:p w14:paraId="2F7B59AF">
          <w:pPr>
            <w:rPr>
              <w:b/>
            </w:rPr>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pPr>
          <w:r>
            <w:rPr>
              <w:b/>
            </w:rPr>
            <w:fldChar w:fldCharType="end"/>
          </w:r>
        </w:p>
      </w:sdtContent>
    </w:sdt>
    <w:p w14:paraId="784E4B2B">
      <w:pPr>
        <w:rPr>
          <w:b/>
        </w:rPr>
      </w:pPr>
    </w:p>
    <w:p w14:paraId="2F71D510">
      <w:pPr>
        <w:pStyle w:val="3"/>
        <w:jc w:val="center"/>
        <w:rPr>
          <w:rStyle w:val="24"/>
          <w:rFonts w:ascii="黑体" w:hAnsi="黑体" w:eastAsia="黑体"/>
          <w:b/>
          <w:bCs w:val="0"/>
        </w:rPr>
      </w:pPr>
      <w:bookmarkStart w:id="16" w:name="_Toc18659"/>
      <w:r>
        <w:rPr>
          <w:rFonts w:hint="eastAsia" w:ascii="黑体" w:hAnsi="黑体" w:eastAsia="黑体"/>
          <w:b w:val="0"/>
        </w:rPr>
        <w:t>第一部分 单位</w:t>
      </w:r>
      <w:r>
        <w:rPr>
          <w:rStyle w:val="24"/>
          <w:rFonts w:hint="eastAsia" w:ascii="黑体" w:hAnsi="黑体" w:eastAsia="黑体"/>
          <w:b w:val="0"/>
          <w:bCs w:val="0"/>
        </w:rPr>
        <w:t>概况</w:t>
      </w:r>
      <w:bookmarkEnd w:id="14"/>
      <w:bookmarkEnd w:id="15"/>
      <w:bookmarkEnd w:id="16"/>
    </w:p>
    <w:p w14:paraId="697C7C49">
      <w:pPr>
        <w:widowControl/>
        <w:spacing w:line="560" w:lineRule="exact"/>
        <w:ind w:firstLine="620" w:firstLineChars="200"/>
        <w:jc w:val="left"/>
        <w:rPr>
          <w:rFonts w:ascii="黑体" w:eastAsia="黑体"/>
          <w:sz w:val="32"/>
          <w:szCs w:val="32"/>
        </w:rPr>
      </w:pPr>
      <w:r>
        <w:rPr>
          <w:rFonts w:ascii="仿宋_GB2312" w:hAnsi="宋体" w:eastAsia="仿宋_GB2312" w:cs="仿宋_GB2312"/>
          <w:color w:val="000000"/>
          <w:kern w:val="0"/>
          <w:sz w:val="31"/>
          <w:szCs w:val="31"/>
          <w:lang w:bidi="ar"/>
        </w:rPr>
        <w:t xml:space="preserve">为进一步推进 </w:t>
      </w:r>
      <w:r>
        <w:rPr>
          <w:color w:val="000000"/>
          <w:kern w:val="0"/>
          <w:sz w:val="31"/>
          <w:szCs w:val="31"/>
          <w:lang w:bidi="ar"/>
        </w:rPr>
        <w:t xml:space="preserve">2021 </w:t>
      </w:r>
      <w:r>
        <w:rPr>
          <w:rFonts w:ascii="仿宋_GB2312" w:hAnsi="宋体" w:eastAsia="仿宋_GB2312" w:cs="仿宋_GB2312"/>
          <w:color w:val="000000"/>
          <w:kern w:val="0"/>
          <w:sz w:val="31"/>
          <w:szCs w:val="31"/>
          <w:lang w:bidi="ar"/>
        </w:rPr>
        <w:t xml:space="preserve">年度决算信息公开工作，根据《预算法》及相关文件规定，现就 </w:t>
      </w:r>
      <w:r>
        <w:rPr>
          <w:color w:val="000000"/>
          <w:kern w:val="0"/>
          <w:sz w:val="31"/>
          <w:szCs w:val="31"/>
          <w:lang w:bidi="ar"/>
        </w:rPr>
        <w:t xml:space="preserve">2021 </w:t>
      </w:r>
      <w:r>
        <w:rPr>
          <w:rFonts w:ascii="仿宋_GB2312" w:hAnsi="宋体" w:eastAsia="仿宋_GB2312" w:cs="仿宋_GB2312"/>
          <w:color w:val="000000"/>
          <w:kern w:val="0"/>
          <w:sz w:val="31"/>
          <w:szCs w:val="31"/>
          <w:lang w:bidi="ar"/>
        </w:rPr>
        <w:t>年度</w:t>
      </w:r>
      <w:r>
        <w:rPr>
          <w:rFonts w:hint="eastAsia" w:ascii="仿宋_GB2312" w:hAnsi="宋体" w:eastAsia="仿宋_GB2312" w:cs="仿宋_GB2312"/>
          <w:color w:val="000000"/>
          <w:kern w:val="0"/>
          <w:sz w:val="31"/>
          <w:szCs w:val="31"/>
          <w:lang w:bidi="ar"/>
        </w:rPr>
        <w:t>我校</w:t>
      </w:r>
      <w:r>
        <w:rPr>
          <w:rFonts w:ascii="仿宋_GB2312" w:hAnsi="宋体" w:eastAsia="仿宋_GB2312" w:cs="仿宋_GB2312"/>
          <w:color w:val="000000"/>
          <w:kern w:val="0"/>
          <w:sz w:val="31"/>
          <w:szCs w:val="31"/>
          <w:lang w:bidi="ar"/>
        </w:rPr>
        <w:t>部门决算和</w:t>
      </w:r>
      <w:r>
        <w:rPr>
          <w:color w:val="000000"/>
          <w:kern w:val="0"/>
          <w:sz w:val="31"/>
          <w:szCs w:val="31"/>
          <w:lang w:bidi="ar"/>
        </w:rPr>
        <w:t>“</w:t>
      </w:r>
      <w:r>
        <w:rPr>
          <w:rFonts w:ascii="仿宋_GB2312" w:hAnsi="宋体" w:eastAsia="仿宋_GB2312" w:cs="仿宋_GB2312"/>
          <w:color w:val="000000"/>
          <w:kern w:val="0"/>
          <w:sz w:val="31"/>
          <w:szCs w:val="31"/>
          <w:lang w:bidi="ar"/>
        </w:rPr>
        <w:t>三 公</w:t>
      </w:r>
      <w:r>
        <w:rPr>
          <w:color w:val="000000"/>
          <w:kern w:val="0"/>
          <w:sz w:val="31"/>
          <w:szCs w:val="31"/>
          <w:lang w:bidi="ar"/>
        </w:rPr>
        <w:t>”</w:t>
      </w:r>
      <w:r>
        <w:rPr>
          <w:rFonts w:ascii="仿宋_GB2312" w:hAnsi="宋体" w:eastAsia="仿宋_GB2312" w:cs="仿宋_GB2312"/>
          <w:color w:val="000000"/>
          <w:kern w:val="0"/>
          <w:sz w:val="31"/>
          <w:szCs w:val="31"/>
          <w:lang w:bidi="ar"/>
        </w:rPr>
        <w:t>经费信息公开如下：</w:t>
      </w:r>
    </w:p>
    <w:p w14:paraId="4F0CE18D">
      <w:pPr>
        <w:pStyle w:val="4"/>
        <w:spacing w:before="0" w:after="0" w:line="560" w:lineRule="exact"/>
        <w:ind w:firstLine="620" w:firstLineChars="200"/>
        <w:rPr>
          <w:rFonts w:ascii="仿宋_GB2312" w:hAnsi="宋体" w:eastAsia="仿宋_GB2312" w:cs="仿宋_GB2312"/>
          <w:b w:val="0"/>
          <w:bCs w:val="0"/>
          <w:color w:val="000000"/>
          <w:kern w:val="0"/>
          <w:sz w:val="31"/>
          <w:szCs w:val="31"/>
          <w:lang w:bidi="ar"/>
        </w:rPr>
      </w:pPr>
      <w:bookmarkStart w:id="17" w:name="_Toc30316"/>
      <w:bookmarkStart w:id="18" w:name="_Toc15377197"/>
      <w:bookmarkStart w:id="19" w:name="_Toc15396600"/>
      <w:r>
        <w:rPr>
          <w:rFonts w:hint="eastAsia" w:ascii="仿宋_GB2312" w:hAnsi="宋体" w:eastAsia="仿宋_GB2312" w:cs="仿宋_GB2312"/>
          <w:b w:val="0"/>
          <w:bCs w:val="0"/>
          <w:color w:val="000000"/>
          <w:kern w:val="0"/>
          <w:sz w:val="31"/>
          <w:szCs w:val="31"/>
          <w:lang w:bidi="ar"/>
        </w:rPr>
        <w:t>一、职能简介</w:t>
      </w:r>
      <w:bookmarkEnd w:id="17"/>
    </w:p>
    <w:p w14:paraId="34A914A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(一)．主要职能。</w:t>
      </w:r>
    </w:p>
    <w:p w14:paraId="76DEEE67">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实施小学义务教育,促进基础教育发展,小学学历教育( 相关社会服务)。</w:t>
      </w:r>
    </w:p>
    <w:p w14:paraId="42DD4D5B">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（二）．机构情况，包括当年变动情况及原因。</w:t>
      </w:r>
    </w:p>
    <w:p w14:paraId="4372C87F">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盐边县城第一小学校是盐边县教育和体育局下属独立核算单位1个，其中行政单位0个，参照公务员法管理的事业单位0个，其他事业单位0个。</w:t>
      </w:r>
    </w:p>
    <w:p w14:paraId="216F2E7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（三）.人员情况，包括当年变动情况及原因。</w:t>
      </w:r>
    </w:p>
    <w:p w14:paraId="0DDB693E">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本单位2021年编制</w:t>
      </w:r>
      <w:r>
        <w:rPr>
          <w:rFonts w:ascii="方正仿宋_GB2312" w:hAnsi="方正仿宋_GB2312" w:eastAsia="方正仿宋_GB2312" w:cs="方正仿宋_GB2312"/>
          <w:sz w:val="32"/>
          <w:szCs w:val="32"/>
        </w:rPr>
        <w:t>74</w:t>
      </w:r>
      <w:r>
        <w:rPr>
          <w:rFonts w:hint="eastAsia" w:ascii="方正仿宋_GB2312" w:hAnsi="方正仿宋_GB2312" w:eastAsia="方正仿宋_GB2312" w:cs="方正仿宋_GB2312"/>
          <w:sz w:val="32"/>
          <w:szCs w:val="32"/>
        </w:rPr>
        <w:t>人，人员情况：202</w:t>
      </w:r>
      <w:r>
        <w:rPr>
          <w:rFonts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年末财政供养人数为：在职人员</w:t>
      </w:r>
      <w:r>
        <w:rPr>
          <w:rFonts w:ascii="方正仿宋_GB2312" w:hAnsi="方正仿宋_GB2312" w:eastAsia="方正仿宋_GB2312" w:cs="方正仿宋_GB2312"/>
          <w:sz w:val="32"/>
          <w:szCs w:val="32"/>
        </w:rPr>
        <w:t>64</w:t>
      </w:r>
      <w:r>
        <w:rPr>
          <w:rFonts w:hint="eastAsia" w:ascii="方正仿宋_GB2312" w:hAnsi="方正仿宋_GB2312" w:eastAsia="方正仿宋_GB2312" w:cs="方正仿宋_GB2312"/>
          <w:sz w:val="32"/>
          <w:szCs w:val="32"/>
        </w:rPr>
        <w:t>人，退休人员9</w:t>
      </w:r>
      <w:r>
        <w:rPr>
          <w:rFonts w:ascii="方正仿宋_GB2312" w:hAnsi="方正仿宋_GB2312" w:eastAsia="方正仿宋_GB2312" w:cs="方正仿宋_GB2312"/>
          <w:sz w:val="32"/>
          <w:szCs w:val="32"/>
        </w:rPr>
        <w:t>9</w:t>
      </w:r>
      <w:r>
        <w:rPr>
          <w:rFonts w:hint="eastAsia" w:ascii="方正仿宋_GB2312" w:hAnsi="方正仿宋_GB2312" w:eastAsia="方正仿宋_GB2312" w:cs="方正仿宋_GB2312"/>
          <w:sz w:val="32"/>
          <w:szCs w:val="32"/>
        </w:rPr>
        <w:t>人.遗属人员1人 ；专任教师</w:t>
      </w:r>
      <w:r>
        <w:rPr>
          <w:rFonts w:ascii="方正仿宋_GB2312" w:hAnsi="方正仿宋_GB2312" w:eastAsia="方正仿宋_GB2312" w:cs="方正仿宋_GB2312"/>
          <w:sz w:val="32"/>
          <w:szCs w:val="32"/>
        </w:rPr>
        <w:t>64</w:t>
      </w:r>
      <w:r>
        <w:rPr>
          <w:rFonts w:hint="eastAsia" w:ascii="方正仿宋_GB2312" w:hAnsi="方正仿宋_GB2312" w:eastAsia="方正仿宋_GB2312" w:cs="方正仿宋_GB2312"/>
          <w:sz w:val="32"/>
          <w:szCs w:val="32"/>
        </w:rPr>
        <w:t>人。其中副高职称</w:t>
      </w:r>
      <w:r>
        <w:rPr>
          <w:rFonts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t>人，一级教师4</w:t>
      </w:r>
      <w:r>
        <w:rPr>
          <w:rFonts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rPr>
        <w:t>人，二级教师</w:t>
      </w:r>
      <w:r>
        <w:rPr>
          <w:rFonts w:ascii="方正仿宋_GB2312" w:hAnsi="方正仿宋_GB2312" w:eastAsia="方正仿宋_GB2312" w:cs="方正仿宋_GB2312"/>
          <w:sz w:val="32"/>
          <w:szCs w:val="32"/>
        </w:rPr>
        <w:t>17</w:t>
      </w:r>
      <w:r>
        <w:rPr>
          <w:rFonts w:hint="eastAsia" w:ascii="方正仿宋_GB2312" w:hAnsi="方正仿宋_GB2312" w:eastAsia="方正仿宋_GB2312" w:cs="方正仿宋_GB2312"/>
          <w:sz w:val="32"/>
          <w:szCs w:val="32"/>
        </w:rPr>
        <w:t>人。本科学历33人，大专学历41人。省级骨干教师</w:t>
      </w:r>
      <w:r>
        <w:rPr>
          <w:rFonts w:ascii="方正仿宋_GB2312" w:hAnsi="方正仿宋_GB2312" w:eastAsia="方正仿宋_GB2312" w:cs="方正仿宋_GB2312"/>
          <w:sz w:val="32"/>
          <w:szCs w:val="32"/>
        </w:rPr>
        <w:t>3</w:t>
      </w:r>
      <w:r>
        <w:rPr>
          <w:rFonts w:hint="eastAsia" w:ascii="方正仿宋_GB2312" w:hAnsi="方正仿宋_GB2312" w:eastAsia="方正仿宋_GB2312" w:cs="方正仿宋_GB2312"/>
          <w:sz w:val="32"/>
          <w:szCs w:val="32"/>
        </w:rPr>
        <w:t>人，市级学科带头1人、市级骨干教师</w:t>
      </w:r>
      <w:r>
        <w:rPr>
          <w:rFonts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rPr>
        <w:t>人，县级学科带头5人、县级骨干教师</w:t>
      </w:r>
      <w:r>
        <w:rPr>
          <w:rFonts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rPr>
        <w:t>人。学校建有活动室、运动场、图书室、音乐体育美术室、电教室、电脑室等功能室，设备齐全，学校图书室有各类图书</w:t>
      </w:r>
      <w:r>
        <w:rPr>
          <w:rFonts w:ascii="方正仿宋_GB2312" w:hAnsi="方正仿宋_GB2312" w:eastAsia="方正仿宋_GB2312" w:cs="方正仿宋_GB2312"/>
          <w:sz w:val="32"/>
          <w:szCs w:val="32"/>
        </w:rPr>
        <w:t>31503</w:t>
      </w:r>
      <w:r>
        <w:rPr>
          <w:rFonts w:hint="eastAsia" w:ascii="方正仿宋_GB2312" w:hAnsi="方正仿宋_GB2312" w:eastAsia="方正仿宋_GB2312" w:cs="方正仿宋_GB2312"/>
          <w:sz w:val="32"/>
          <w:szCs w:val="32"/>
        </w:rPr>
        <w:t>册，人均</w:t>
      </w:r>
      <w:r>
        <w:rPr>
          <w:rFonts w:ascii="方正仿宋_GB2312" w:hAnsi="方正仿宋_GB2312" w:eastAsia="方正仿宋_GB2312" w:cs="方正仿宋_GB2312"/>
          <w:sz w:val="32"/>
          <w:szCs w:val="32"/>
        </w:rPr>
        <w:t>24</w:t>
      </w:r>
      <w:r>
        <w:rPr>
          <w:rFonts w:hint="eastAsia" w:ascii="方正仿宋_GB2312" w:hAnsi="方正仿宋_GB2312" w:eastAsia="方正仿宋_GB2312" w:cs="方正仿宋_GB2312"/>
          <w:sz w:val="32"/>
          <w:szCs w:val="32"/>
        </w:rPr>
        <w:t>册，全校有教学班</w:t>
      </w:r>
      <w:r>
        <w:rPr>
          <w:rFonts w:ascii="方正仿宋_GB2312" w:hAnsi="方正仿宋_GB2312" w:eastAsia="方正仿宋_GB2312" w:cs="方正仿宋_GB2312"/>
          <w:sz w:val="32"/>
          <w:szCs w:val="32"/>
        </w:rPr>
        <w:t>29</w:t>
      </w:r>
      <w:r>
        <w:rPr>
          <w:rFonts w:hint="eastAsia" w:ascii="方正仿宋_GB2312" w:hAnsi="方正仿宋_GB2312" w:eastAsia="方正仿宋_GB2312" w:cs="方正仿宋_GB2312"/>
          <w:sz w:val="32"/>
          <w:szCs w:val="32"/>
        </w:rPr>
        <w:t>个，一年级</w:t>
      </w:r>
      <w:r>
        <w:rPr>
          <w:rFonts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t>个，二年级5个；三年级</w:t>
      </w:r>
      <w:r>
        <w:rPr>
          <w:rFonts w:ascii="方正仿宋_GB2312" w:hAnsi="方正仿宋_GB2312" w:eastAsia="方正仿宋_GB2312" w:cs="方正仿宋_GB2312"/>
          <w:sz w:val="32"/>
          <w:szCs w:val="32"/>
        </w:rPr>
        <w:t>6</w:t>
      </w:r>
      <w:r>
        <w:rPr>
          <w:rFonts w:hint="eastAsia" w:ascii="方正仿宋_GB2312" w:hAnsi="方正仿宋_GB2312" w:eastAsia="方正仿宋_GB2312" w:cs="方正仿宋_GB2312"/>
          <w:sz w:val="32"/>
          <w:szCs w:val="32"/>
        </w:rPr>
        <w:t>个；四年级</w:t>
      </w:r>
      <w:r>
        <w:rPr>
          <w:rFonts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t>个；五年级</w:t>
      </w:r>
      <w:r>
        <w:rPr>
          <w:rFonts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t>个；六年级</w:t>
      </w:r>
      <w:r>
        <w:rPr>
          <w:rFonts w:ascii="方正仿宋_GB2312" w:hAnsi="方正仿宋_GB2312" w:eastAsia="方正仿宋_GB2312" w:cs="方正仿宋_GB2312"/>
          <w:sz w:val="32"/>
          <w:szCs w:val="32"/>
        </w:rPr>
        <w:t>4</w:t>
      </w:r>
      <w:r>
        <w:rPr>
          <w:rFonts w:hint="eastAsia" w:ascii="方正仿宋_GB2312" w:hAnsi="方正仿宋_GB2312" w:eastAsia="方正仿宋_GB2312" w:cs="方正仿宋_GB2312"/>
          <w:sz w:val="32"/>
          <w:szCs w:val="32"/>
        </w:rPr>
        <w:t>个班，全校学生</w:t>
      </w:r>
      <w:r>
        <w:rPr>
          <w:rFonts w:ascii="方正仿宋_GB2312" w:hAnsi="方正仿宋_GB2312" w:eastAsia="方正仿宋_GB2312" w:cs="方正仿宋_GB2312"/>
          <w:sz w:val="32"/>
          <w:szCs w:val="32"/>
        </w:rPr>
        <w:t>1276</w:t>
      </w:r>
      <w:r>
        <w:rPr>
          <w:rFonts w:hint="eastAsia" w:ascii="方正仿宋_GB2312" w:hAnsi="方正仿宋_GB2312" w:eastAsia="方正仿宋_GB2312" w:cs="方正仿宋_GB2312"/>
          <w:sz w:val="32"/>
          <w:szCs w:val="32"/>
        </w:rPr>
        <w:t>人，随班就读</w:t>
      </w:r>
      <w:r>
        <w:rPr>
          <w:rFonts w:ascii="方正仿宋_GB2312" w:hAnsi="方正仿宋_GB2312" w:eastAsia="方正仿宋_GB2312" w:cs="方正仿宋_GB2312"/>
          <w:sz w:val="32"/>
          <w:szCs w:val="32"/>
        </w:rPr>
        <w:t>8</w:t>
      </w:r>
      <w:r>
        <w:rPr>
          <w:rFonts w:hint="eastAsia" w:ascii="方正仿宋_GB2312" w:hAnsi="方正仿宋_GB2312" w:eastAsia="方正仿宋_GB2312" w:cs="方正仿宋_GB2312"/>
          <w:sz w:val="32"/>
          <w:szCs w:val="32"/>
        </w:rPr>
        <w:t>人。</w:t>
      </w:r>
    </w:p>
    <w:p w14:paraId="39E248B0">
      <w:pPr>
        <w:pStyle w:val="4"/>
        <w:spacing w:before="0" w:after="0" w:line="500" w:lineRule="exact"/>
        <w:ind w:firstLine="620" w:firstLineChars="200"/>
        <w:rPr>
          <w:rFonts w:ascii="仿宋_GB2312" w:hAnsi="宋体" w:eastAsia="仿宋_GB2312" w:cs="仿宋_GB2312"/>
          <w:b w:val="0"/>
          <w:bCs w:val="0"/>
          <w:color w:val="000000"/>
          <w:kern w:val="0"/>
          <w:sz w:val="31"/>
          <w:szCs w:val="31"/>
          <w:lang w:bidi="ar"/>
        </w:rPr>
      </w:pPr>
      <w:bookmarkStart w:id="20" w:name="_Toc1497"/>
      <w:r>
        <w:rPr>
          <w:rFonts w:hint="eastAsia" w:ascii="仿宋_GB2312" w:hAnsi="宋体" w:eastAsia="仿宋_GB2312" w:cs="仿宋_GB2312"/>
          <w:b w:val="0"/>
          <w:bCs w:val="0"/>
          <w:color w:val="000000"/>
          <w:kern w:val="0"/>
          <w:sz w:val="31"/>
          <w:szCs w:val="31"/>
          <w:lang w:bidi="ar"/>
        </w:rPr>
        <w:t>二、2021年重点工作</w:t>
      </w:r>
      <w:bookmarkEnd w:id="18"/>
      <w:bookmarkEnd w:id="19"/>
      <w:r>
        <w:rPr>
          <w:rFonts w:hint="eastAsia" w:ascii="仿宋_GB2312" w:hAnsi="宋体" w:eastAsia="仿宋_GB2312" w:cs="仿宋_GB2312"/>
          <w:b w:val="0"/>
          <w:bCs w:val="0"/>
          <w:color w:val="000000"/>
          <w:kern w:val="0"/>
          <w:sz w:val="31"/>
          <w:szCs w:val="31"/>
          <w:lang w:bidi="ar"/>
        </w:rPr>
        <w:t>完成情况</w:t>
      </w:r>
      <w:bookmarkEnd w:id="20"/>
    </w:p>
    <w:p w14:paraId="53F9029C">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学校概况</w:t>
      </w:r>
    </w:p>
    <w:p w14:paraId="7AC918F0">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盐边县城第一小学校初建于清•宣统二年（1910年），名为“盐边县立小学堂”。1997年7月， 因二滩水利发电站的落成，原“西郊小学”与“东方红小学”随县城南迁合并命名为盐边县城第一小学校。占地面积12611平方米（19亩），总建筑面积10022平方米。</w:t>
      </w:r>
    </w:p>
    <w:p w14:paraId="477F0F1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（一）教师基本情况</w:t>
      </w:r>
    </w:p>
    <w:p w14:paraId="6A0EAF88">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现有在岗教职工87人，核编人数</w:t>
      </w:r>
      <w:r>
        <w:rPr>
          <w:rFonts w:ascii="方正仿宋_GB2312" w:hAnsi="方正仿宋_GB2312" w:eastAsia="方正仿宋_GB2312" w:cs="方正仿宋_GB2312"/>
          <w:sz w:val="32"/>
          <w:szCs w:val="32"/>
        </w:rPr>
        <w:t>74</w:t>
      </w:r>
      <w:r>
        <w:rPr>
          <w:rFonts w:hint="eastAsia" w:ascii="方正仿宋_GB2312" w:hAnsi="方正仿宋_GB2312" w:eastAsia="方正仿宋_GB2312" w:cs="方正仿宋_GB2312"/>
          <w:sz w:val="32"/>
          <w:szCs w:val="32"/>
        </w:rPr>
        <w:t>人，其中，党员教师32人，学校教师平均年龄45.5</w:t>
      </w:r>
      <w:r>
        <w:rPr>
          <w:rFonts w:hint="eastAsia" w:ascii="宋体" w:hAnsi="宋体" w:cs="宋体"/>
          <w:sz w:val="32"/>
          <w:szCs w:val="32"/>
        </w:rPr>
        <w:t>岁</w:t>
      </w:r>
      <w:r>
        <w:rPr>
          <w:rFonts w:hint="eastAsia" w:ascii="方正仿宋_GB2312" w:hAnsi="方正仿宋_GB2312" w:eastAsia="方正仿宋_GB2312" w:cs="方正仿宋_GB2312"/>
          <w:sz w:val="32"/>
          <w:szCs w:val="32"/>
        </w:rPr>
        <w:t>。各级各类骨干教师、学科带头人2</w:t>
      </w:r>
      <w:r>
        <w:rPr>
          <w:rFonts w:ascii="方正仿宋_GB2312" w:hAnsi="方正仿宋_GB2312" w:eastAsia="方正仿宋_GB2312" w:cs="方正仿宋_GB2312"/>
          <w:sz w:val="32"/>
          <w:szCs w:val="32"/>
        </w:rPr>
        <w:t>5</w:t>
      </w:r>
      <w:r>
        <w:rPr>
          <w:rFonts w:hint="eastAsia" w:ascii="方正仿宋_GB2312" w:hAnsi="方正仿宋_GB2312" w:eastAsia="方正仿宋_GB2312" w:cs="方正仿宋_GB2312"/>
          <w:sz w:val="32"/>
          <w:szCs w:val="32"/>
        </w:rPr>
        <w:t>人，占教师总数的</w:t>
      </w:r>
      <w:r>
        <w:rPr>
          <w:rFonts w:ascii="方正仿宋_GB2312" w:hAnsi="方正仿宋_GB2312" w:eastAsia="方正仿宋_GB2312" w:cs="方正仿宋_GB2312"/>
          <w:sz w:val="32"/>
          <w:szCs w:val="32"/>
        </w:rPr>
        <w:t>29</w:t>
      </w:r>
      <w:r>
        <w:rPr>
          <w:rFonts w:hint="eastAsia" w:ascii="方正仿宋_GB2312" w:hAnsi="方正仿宋_GB2312" w:eastAsia="方正仿宋_GB2312" w:cs="方正仿宋_GB2312"/>
          <w:sz w:val="32"/>
          <w:szCs w:val="32"/>
        </w:rPr>
        <w:t>%。</w:t>
      </w:r>
    </w:p>
    <w:p w14:paraId="1BDAAC9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（二）学生基本情况</w:t>
      </w:r>
    </w:p>
    <w:p w14:paraId="628A1553">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1.学生人数</w:t>
      </w:r>
    </w:p>
    <w:p w14:paraId="1E2E5E27">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2021学年度有29个教学班，毕业生238人，新</w:t>
      </w:r>
      <w:r>
        <w:rPr>
          <w:rFonts w:hint="eastAsia" w:ascii="宋体" w:hAnsi="宋体" w:cs="宋体"/>
          <w:sz w:val="32"/>
          <w:szCs w:val="32"/>
        </w:rPr>
        <w:t>招</w:t>
      </w:r>
      <w:r>
        <w:rPr>
          <w:rFonts w:hint="eastAsia" w:ascii="方正仿宋_GB2312" w:hAnsi="方正仿宋_GB2312" w:eastAsia="方正仿宋_GB2312" w:cs="方正仿宋_GB2312"/>
          <w:sz w:val="32"/>
          <w:szCs w:val="32"/>
        </w:rPr>
        <w:t>生221人，在校学生1276人，少数民族学生438人，精准扶贫子女数65人，残疾学生数8人。</w:t>
      </w:r>
    </w:p>
    <w:p w14:paraId="5EDE5F00">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2.学校生源情况</w:t>
      </w:r>
    </w:p>
    <w:p w14:paraId="185A9B37">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县内正住户口占29.8%，县内进城务工人员和在县城投亲靠友或购房人员的子女42.3%，县外流动人口子女27.9%。</w:t>
      </w:r>
    </w:p>
    <w:p w14:paraId="2690482F">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3.功能室情况</w:t>
      </w:r>
    </w:p>
    <w:p w14:paraId="45EAF96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现有图书室和计算机室各一间，其余功能室在建，有各类图书31503册，人均24册。</w:t>
      </w:r>
    </w:p>
    <w:p w14:paraId="7F4311D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4.学校干部配备情况</w:t>
      </w:r>
    </w:p>
    <w:p w14:paraId="052B2BF2">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校设置校级干部4人。党支部书记谢正云主持学校全面工作；李富荣，支委委员，副校长；王迈，支委委员，副校长；曾正光，副校长。下设德育、党政办、教务、总务、教科、法制安全、少先队大队辅导员、工会等科室。</w:t>
      </w:r>
    </w:p>
    <w:p w14:paraId="60742255">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5.岗位设置情况</w:t>
      </w:r>
    </w:p>
    <w:p w14:paraId="6D191BE0">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高级教师岗位11个（15%），中级教师岗位33（45%），现已超8人。</w:t>
      </w:r>
    </w:p>
    <w:p w14:paraId="42AB654B">
      <w:pPr>
        <w:spacing w:line="560" w:lineRule="exact"/>
        <w:ind w:firstLine="640" w:firstLineChars="200"/>
        <w:outlineLvl w:val="1"/>
        <w:rPr>
          <w:rFonts w:ascii="方正仿宋_GB2312" w:hAnsi="方正仿宋_GB2312" w:eastAsia="方正仿宋_GB2312" w:cs="方正仿宋_GB2312"/>
          <w:sz w:val="32"/>
          <w:szCs w:val="32"/>
        </w:rPr>
      </w:pPr>
      <w:bookmarkStart w:id="21" w:name="_Toc17512"/>
      <w:r>
        <w:rPr>
          <w:rFonts w:hint="eastAsia" w:ascii="方正仿宋_GB2312" w:hAnsi="方正仿宋_GB2312" w:eastAsia="方正仿宋_GB2312" w:cs="方正仿宋_GB2312"/>
          <w:sz w:val="32"/>
          <w:szCs w:val="32"/>
        </w:rPr>
        <w:t>二、学校所开展的工作及成果</w:t>
      </w:r>
      <w:bookmarkEnd w:id="21"/>
    </w:p>
    <w:p w14:paraId="42C1796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（一）加强党建及思想政治工作，筑牢意识形态防线</w:t>
      </w:r>
    </w:p>
    <w:p w14:paraId="2EF50C58">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学校成立了意识形态工作领导小组，学校党支部书记担任组长，是第一责任人，全面负责意识形态工作的常态化、制度化和科学化，主抓推进、落实、督查等工作。党支部及学校领导班子成员根据自身工作分工，按照一岗双责的要求，负责分管年级、科室的意识形态工作。</w:t>
      </w:r>
    </w:p>
    <w:p w14:paraId="7D5A549E">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严格执行党支部工作“十规范”，利用“三会一课”，教职工大会，切实贯彻</w:t>
      </w:r>
      <w:r>
        <w:rPr>
          <w:rFonts w:hint="eastAsia" w:ascii="方正仿宋_GB2312" w:hAnsi="方正仿宋_GB2312" w:eastAsia="方正仿宋_GB2312" w:cs="方正仿宋_GB2312"/>
          <w:sz w:val="32"/>
          <w:szCs w:val="32"/>
          <w:lang w:eastAsia="zh-CN"/>
        </w:rPr>
        <w:t>学习党的十九大</w:t>
      </w:r>
      <w:r>
        <w:rPr>
          <w:rFonts w:hint="eastAsia" w:ascii="方正仿宋_GB2312" w:hAnsi="方正仿宋_GB2312" w:eastAsia="方正仿宋_GB2312" w:cs="方正仿宋_GB2312"/>
          <w:sz w:val="32"/>
          <w:szCs w:val="32"/>
        </w:rPr>
        <w:t>以来的中央、省、市、县各类文件精神，重点学习了习近平新时代中国特色社会主义思想，增强“四个意识”、坚持“四个自信”，</w:t>
      </w:r>
      <w:bookmarkStart w:id="113" w:name="_GoBack"/>
      <w:r>
        <w:rPr>
          <w:rFonts w:hint="eastAsia" w:ascii="方正仿宋_GB2312" w:hAnsi="方正仿宋_GB2312" w:eastAsia="方正仿宋_GB2312" w:cs="方正仿宋_GB2312"/>
          <w:sz w:val="32"/>
          <w:szCs w:val="32"/>
        </w:rPr>
        <w:t>做到</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两个维护</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w:t>
      </w:r>
      <w:bookmarkEnd w:id="113"/>
      <w:r>
        <w:rPr>
          <w:rFonts w:hint="eastAsia" w:ascii="方正仿宋_GB2312" w:hAnsi="方正仿宋_GB2312" w:eastAsia="方正仿宋_GB2312" w:cs="方正仿宋_GB2312"/>
          <w:sz w:val="32"/>
          <w:szCs w:val="32"/>
        </w:rPr>
        <w:t>提高政治站位和政治自觉，强化责任担当。</w:t>
      </w:r>
    </w:p>
    <w:p w14:paraId="1ABBC0F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以“两学一做”学习教育，“不忘初心、牢记使命”，“守纪律、提效能、强执行、做表率”等主题教育，进一步增强了教职工在思想上、政治上、行动上同以</w:t>
      </w:r>
      <w:r>
        <w:rPr>
          <w:rFonts w:hint="eastAsia" w:ascii="方正仿宋_GB2312" w:hAnsi="方正仿宋_GB2312" w:eastAsia="方正仿宋_GB2312" w:cs="方正仿宋_GB2312"/>
          <w:sz w:val="32"/>
          <w:szCs w:val="32"/>
          <w:lang w:eastAsia="zh-CN"/>
        </w:rPr>
        <w:t>习近平同志</w:t>
      </w:r>
      <w:r>
        <w:rPr>
          <w:rFonts w:hint="eastAsia" w:ascii="方正仿宋_GB2312" w:hAnsi="方正仿宋_GB2312" w:eastAsia="方正仿宋_GB2312" w:cs="方正仿宋_GB2312"/>
          <w:sz w:val="32"/>
          <w:szCs w:val="32"/>
        </w:rPr>
        <w:t>为核心的党中央保持高度一致的政治自觉和行动自觉。</w:t>
      </w:r>
    </w:p>
    <w:p w14:paraId="43417F91">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抓好师德师风建设和廉政建设，筑牢思想防线，用制度和警示案例提醒教师，思想道德认识不越红线，坚守党员本分，牢固树立底线思维和红线意识。通过教职工专题政治学习、签订承诺书、评优等途径，坚定理想信念，弘扬高尚师德，严守师德底线，引领广大教工积极投身教育综合改革，以强烈的使命感当好学生引路人，争做“四有”好</w:t>
      </w:r>
      <w:r>
        <w:rPr>
          <w:rFonts w:hint="eastAsia" w:ascii="方正仿宋_GB2312" w:hAnsi="方正仿宋_GB2312" w:eastAsia="方正仿宋_GB2312" w:cs="方正仿宋_GB2312"/>
          <w:sz w:val="32"/>
          <w:szCs w:val="32"/>
          <w:lang w:val="en-US" w:eastAsia="zh-CN"/>
        </w:rPr>
        <w:t>老</w:t>
      </w:r>
      <w:r>
        <w:rPr>
          <w:rFonts w:hint="eastAsia" w:ascii="方正仿宋_GB2312" w:hAnsi="方正仿宋_GB2312" w:eastAsia="方正仿宋_GB2312" w:cs="方正仿宋_GB2312"/>
          <w:sz w:val="32"/>
          <w:szCs w:val="32"/>
        </w:rPr>
        <w:t>师。</w:t>
      </w:r>
    </w:p>
    <w:p w14:paraId="5BEB9FD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（二）规范办学行为，做好常态分班，规范课程设置，认真落实“五项管理”、“双减”工作。</w:t>
      </w:r>
    </w:p>
    <w:p w14:paraId="1585C1A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校认真落实“五项管理”、“双减”工作，做到“五育并举”。学校通过校会、微信群、QQ群等方式组织教师学习和落实“五项管理”、“双减”工作，并通过召开家长会，发放《告家长书》、推送微信公众号等方式，将教育部办公厅关于加强义务教育学校作业、手机、睡眠、读物、体质等五项管理的通知精神，告知家长，确保孩子们有充分的休息时间、锻炼时间、睡眠时间。</w:t>
      </w:r>
    </w:p>
    <w:p w14:paraId="6D00D113">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1.按照上级文件要求，学校结合实际制定作业管理制度和公示制度，做到班级作业有公示，班级作业有登记，班级作业有审核（班主任）。</w:t>
      </w:r>
    </w:p>
    <w:p w14:paraId="4416E152">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学校结合实际制定手机管理制度。各班利用班会、家长群等进行宣传教育，学生使用手机的坏处，并要求原则上学校不允许学生带手机进学校，如特殊情况需带手机就的由家长向学校提出申请，经学校同意后带进学校由班主任统一保管，学生放学后再带回家。</w:t>
      </w:r>
    </w:p>
    <w:p w14:paraId="46D0A65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课外读物管理。我校严格把控校外读物来源，一是由省教同意推荐的数目，并由省教统一配送。二是图书室管理员就图书室所有书目进行全面清理审核登记，凡是不适合的全部清除。三是学生自己带进学校的由班主任进行审核。</w:t>
      </w:r>
    </w:p>
    <w:p w14:paraId="00C10BCB">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4.健康体质管理。一是我校严格执行国家课程标准，开齐体育课（</w:t>
      </w:r>
      <w:r>
        <w:rPr>
          <w:rFonts w:hint="eastAsia" w:ascii="方正仿宋_GB2312" w:hAnsi="方正仿宋_GB2312" w:eastAsia="方正仿宋_GB2312" w:cs="方正仿宋_GB2312"/>
          <w:sz w:val="32"/>
          <w:szCs w:val="32"/>
          <w:lang w:eastAsia="zh-CN"/>
        </w:rPr>
        <w:t>一、二年</w:t>
      </w:r>
      <w:r>
        <w:rPr>
          <w:rFonts w:hint="eastAsia" w:ascii="方正仿宋_GB2312" w:hAnsi="方正仿宋_GB2312" w:eastAsia="方正仿宋_GB2312" w:cs="方正仿宋_GB2312"/>
          <w:sz w:val="32"/>
          <w:szCs w:val="32"/>
        </w:rPr>
        <w:t>级每周4节，三至六年级每周3节。）。二是积极参加上级部门组织的各类赛事。三是认真开展大课间操，确保30分钟的锻炼时间。四是认真开展一年一度的学校运动会、篮球联赛和足球联赛。五是切实搞好学生的体质健康和视力测试，近年来学生体质不断增强，视力也不断变好。</w:t>
      </w:r>
    </w:p>
    <w:p w14:paraId="50ACE8EA">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睡眠管理。我校没有住校生，各班利用班会、家长群等进行宣传教育，小学生每天睡眠时间应达到10小时，小学生上午上课时间一般不早于8:20，学校不得要求学生提前到校参加统一的教育教学活动。小学生就寝时间一般不得晚于21:20。</w:t>
      </w:r>
    </w:p>
    <w:p w14:paraId="327378DA">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6.“双减”工作。切实减轻学生课业负担和校外培训负担，按要求我校严格执行</w:t>
      </w:r>
      <w:r>
        <w:rPr>
          <w:rFonts w:hint="eastAsia" w:ascii="方正仿宋_GB2312" w:hAnsi="方正仿宋_GB2312" w:eastAsia="方正仿宋_GB2312" w:cs="方正仿宋_GB2312"/>
          <w:sz w:val="32"/>
          <w:szCs w:val="32"/>
          <w:lang w:eastAsia="zh-CN"/>
        </w:rPr>
        <w:t>一、二年</w:t>
      </w:r>
      <w:r>
        <w:rPr>
          <w:rFonts w:hint="eastAsia" w:ascii="方正仿宋_GB2312" w:hAnsi="方正仿宋_GB2312" w:eastAsia="方正仿宋_GB2312" w:cs="方正仿宋_GB2312"/>
          <w:sz w:val="32"/>
          <w:szCs w:val="32"/>
        </w:rPr>
        <w:t>级无家庭作业，</w:t>
      </w:r>
      <w:r>
        <w:rPr>
          <w:rFonts w:hint="eastAsia" w:ascii="方正仿宋_GB2312" w:hAnsi="方正仿宋_GB2312" w:eastAsia="方正仿宋_GB2312" w:cs="方正仿宋_GB2312"/>
          <w:sz w:val="32"/>
          <w:szCs w:val="32"/>
          <w:lang w:eastAsia="zh-CN"/>
        </w:rPr>
        <w:t>三、四年</w:t>
      </w:r>
      <w:r>
        <w:rPr>
          <w:rFonts w:hint="eastAsia" w:ascii="方正仿宋_GB2312" w:hAnsi="方正仿宋_GB2312" w:eastAsia="方正仿宋_GB2312" w:cs="方正仿宋_GB2312"/>
          <w:sz w:val="32"/>
          <w:szCs w:val="32"/>
        </w:rPr>
        <w:t>级作业总量控制在60分钟内；学生在校外培训机构不得组织学科类的培训和补课。</w:t>
      </w:r>
    </w:p>
    <w:p w14:paraId="38BFDB2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（三）加强安防设备设施配备，做好疫情防控工作，落实安全责任，加强安全事故应急处置，防范校园欺凌，加强心理健康教育；认真做好安全隐患排查、检查及整改工作。</w:t>
      </w:r>
    </w:p>
    <w:p w14:paraId="091D97D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成立了学校安全管理工作领导小组，建立健全了安全保卫工作领导责任制和责任追究制，拟订了《盐边县城第一小学校各项安全工作管理制度》《学校安全工作考核细则》等安全管理制度及各类安全工作预案。层层签订安全责任书。加强了安全隐患排查和门卫外来人员进出登记制度，建立了</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安全台帐</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加强了对全校师生的安全教育活动。坚持了每月一次的安全应急疏散演练活动。加强了对全校师生及食堂工作人员的安全知识培训。加强家庭与学校之间的联系，让家长参与到学校安全管理之中教育，学校安全工作已形成常态化、课程化、规范化。</w:t>
      </w:r>
    </w:p>
    <w:p w14:paraId="4F9D143E">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2.学校认真落实“三防”建设工作，配齐安全防护、应急处置装备，校园视频监控全覆盖，学校安全管理制度健全。学校积极与相关部门配合，加强校园周边环境治理，排除安全隐患。</w:t>
      </w:r>
    </w:p>
    <w:p w14:paraId="5538BD22">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学校按照上级最新版疫情防控指南，结合实际情况制定了《盐边县城第一小学校新冠肺炎疫情应急处置预案》、《盐边县城第一小学校新型冠状病毒疫情防控工作应急处置预案》、《盐边县城第一小学校新冠肺炎疫情防控具体工作方案》。教师坚持每天扫码、亮码、测温进校园，并进行登记。坚持做好每天两检（晨检和午检），要求班主任做好缺勤登记和因病追踪登记了，认真落实疫情防控工作。</w:t>
      </w:r>
    </w:p>
    <w:p w14:paraId="213F2DD5">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4.学校设立心理辅导室，并建立心理健康辅导咨询热线，定期针对学生、家长、教师开设个别辅导和心理教育活动。每个月的最后一周班主任教师利用班会课根据本班具体情况开展心理活动课。</w:t>
      </w:r>
    </w:p>
    <w:p w14:paraId="461B84D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（四）加强师德师风建设及教师培训，职称评聘规范，切实减轻中小学教师负担，绩效工资发放管理符合要求。</w:t>
      </w:r>
    </w:p>
    <w:p w14:paraId="67615C9B">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我校充分学校利用校会和寒暑假校本培训时间，组织学习《中华人民共和国教师法》《中小学教师职业道德规范》《中小学教师违反职业道德处办法》《新时代中小学教师执业行为十项准则》等法律法规，加强师德师风教育，与教师签订《盐边县城第一小学教师个人师德师风承诺书》。</w:t>
      </w:r>
    </w:p>
    <w:p w14:paraId="09F5BD1A">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加强教师校本培训，结合名师工程，进行骨干培训。通过骨干教师上示范课、年级教师和新进教师上教研课，学科集体评课等形式，推动课改的研究，促进成功课堂教学经验的普及和推广，全面提升学科教师的教学水平。</w:t>
      </w:r>
    </w:p>
    <w:p w14:paraId="6362099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3.学校制定了《盐边县城第一小学校职称评聘方案》《盐边县城第一小学校教职工年度考核细则》《盐边县城第一小学校绩效工资分配方案》等，公平公正公开落实教师职称评定和绩效工资发放。</w:t>
      </w:r>
    </w:p>
    <w:p w14:paraId="2F32F2F8">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（五）教育教学常规、德育常规和艺体、卫生管理规范，促进学校特色发展。</w:t>
      </w:r>
    </w:p>
    <w:p w14:paraId="0F9198B0">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德育工作以优质学校创建为契机，传承百年文化底蕴，设立经典诵读体系，把每周三、五早自习确定为班级学生阅读时间，通过故事会、演讲比赛、经典诵读，“一木环保”的征文等活动，打造书香校园；设立艺术培育体系，通过校园艺术节，运动会、足球、篮球联赛、书画比赛，打造经典校园；设立雅行教育体系，利用班队会，国旗下的讲话，班级学习园地，法律讲堂，宣传栏等教育阵地，以社会主义核心价值观和行为习惯养成教育为核心，打造礼仪校园；设立特色文化体系，以“快乐学习、健康成长”为核心理念，构建学习课堂+运动课堂、兴趣课堂、艺术课堂的“1+N”教学圈，打造品牌校园，构建出盐边县城第一小学校独有的人文特色，促进学生成长，让社会满意，让家长放心。本学年学校开展了国学经典诵、写、讲系列活动、“庆六一跳蚤市场”活动，成功组织了以“学党史 感党恩 红领巾 心向党”新队员入党仪式暨主题队日活动、“童心颂党 筑梦起航”为主题的毕业典礼、“给力新学期 做最好的自己”为主题的秋季学期开学典礼、“请党放心 强国有我”新队员入队仪式等。</w:t>
      </w:r>
    </w:p>
    <w:p w14:paraId="4CA56233">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促进学生的全面发展，我校加强了艺体教育工作，继续推进“城市少年宫”、“足球示范校”、“飞天阳光俱乐部”建设，认真做好冬季田径运动会、足球班级联赛、校园艺术节展演、六一、元旦书画展、夏季跳绳比赛、高年级班级篮球联赛等全校大型艺体活动的开展。2019年，学校篮球队参加“姚基金希望小学篮球季联赛”获全省小组第一名。2020年12月，学校代表队参加“攀枝花市中小学生2020年艺术展演活动”获朗诵类团体一等奖。2020年12月，学校舞蹈《鱼儿欢歌》参加“攀枝花市中小学生2020年艺术展演活动”获舞蹈类一等奖。2021年4月，学校女子、男子篮球队参加“盐边县第十届中小学生校园篮球联赛”分别获得小学女子组第一名、男子组第二名。2021年4月，学校组织学生参加“2020全国青少年儿童世界和平海报”获卓越组织奖。2021年7月1日，学生吕丰吉代表攀枝花市在“百年光辉历程 全面建成小康”四川省青少年爱国主义读书教育活动讲故事比赛中获得一等奖。2021年10月，学校女子足球队参加“攀枝花市青少年足球训练中心布点学校联赛”女子组第四名。</w:t>
      </w:r>
    </w:p>
    <w:p w14:paraId="47C985E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狠抓师德师风建设和教学常规管理，发挥制度优势，深化课堂教学改革，促进教学质量的稳步提升。加强教师队伍建设，努力提高教师的素质，紧抓“打造优质学校”的契机，确立“有效开展校本研修，提升教师核心素养”的团队建设。通过走出去学回来、校本研修、传帮带等方式，营造教研氛围，“倒逼”教师主动更新知识储备，促使工作模式由“经验型”向“科研型”转变，开展“新教师汇报课”、“青年教师展能课”、“中年教师特色课”、“骨干教师示范课”的“四课制”活动，不断提高课堂教学效率。组织教职工网络培训445人次，省级培训7人次，市县培训73人次，校本培训223人次。本学年申报县级课题两个，已经结题的市级课题1个。认真贯彻市县教育帮扶计划和教育援藏计划，选派优秀教师到乡村支教、到学区兄弟学校送教，共同研究探索教学方法，与帮扶学校共同进步。搭建发展平台，以培养专家型名师为龙头带动，通过“名师工作室”、“名师论坛”、“名师大讲堂”等途径，帮助名师总结教育教学经验，参与市县教育系统岗位“大练兵”、“大比武”，在国家教育资源公共服务平台上“晒课”，形成个人鲜明的教育教学主张和教学风格，打造富有归属感的“名师团队”。本学年，学校教师李俊参加盐边县2021年小学语文青年教师赛课获二等奖，卢咏梅参加攀枝花市中小学青年教师教学竞赛获一等奖，唐子淇参加2021年攀枝花市中小学体育教师教学基本功比赛获二等奖，包天亿参加2021年攀枝花市中小学实验教学说课评选活动获二等奖，邓君参加2021年攀枝花市小学英语分级群文阅读课堂教学展评获三等奖。盐边县城第一小学校获2020—2021学年度“攀枝花市义务教育教学质量突出贡献学校”。</w:t>
      </w:r>
    </w:p>
    <w:p w14:paraId="34208C26">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从2017年我校被列为全县唯一一所创建健康学校的单位。学校领导非常重视，成立了以书记为组长的创卫工作领导小组。2018年学校安装了电子显示屏，每天24小时滚动播放三条创卫标语。本学年发放了两次创卫宣传单。学校利用国旗下讲话、主题班队会、手抄小报、黑板报、征文等形式进行创卫宣传，让师生对创卫知晓率达到了100%。</w:t>
      </w:r>
    </w:p>
    <w:p w14:paraId="48258E14">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坚持抓好学生个人卫生和环境卫生；要求班主任老师每天检查孩子的个人卫生，学校教室和公区卫生实行一天三清扫制。利用学生监督岗、行政值日和值周老师每天定时和不定时</w:t>
      </w:r>
      <w:r>
        <w:rPr>
          <w:rFonts w:hint="eastAsia" w:ascii="方正仿宋_GB2312" w:hAnsi="方正仿宋_GB2312" w:eastAsia="方正仿宋_GB2312" w:cs="方正仿宋_GB2312"/>
          <w:sz w:val="32"/>
          <w:szCs w:val="32"/>
          <w:lang w:val="en-US" w:eastAsia="zh-CN"/>
        </w:rPr>
        <w:t>地</w:t>
      </w:r>
      <w:r>
        <w:rPr>
          <w:rFonts w:hint="eastAsia" w:ascii="方正仿宋_GB2312" w:hAnsi="方正仿宋_GB2312" w:eastAsia="方正仿宋_GB2312" w:cs="方正仿宋_GB2312"/>
          <w:sz w:val="32"/>
          <w:szCs w:val="32"/>
        </w:rPr>
        <w:t>对校园卫生进行检查。</w:t>
      </w:r>
    </w:p>
    <w:p w14:paraId="36571C7F">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抓好学校传染防控。抓好入口工作，新生入学前必须到医疗机构体检，做好有结核筛查和肝功检查，资料存档。积极配合社区卫生院做好学生的一年一度的常规体检工作。和督促家长对学生进行疫苗接种和补种，凡是防疫部门要求接种的疫苗都必须接种，从而增强学生的免疫力。学校长期利用国旗下的讲话、黑配板报、手抄小报、展板、主题班队会对学生进行秋、冬季的水痘、感冒、手足口病等的防控，春、夏季感冒、腮腺炎、风疹、水痘、手足口病等的防控的宣传教育活动。</w:t>
      </w:r>
    </w:p>
    <w:p w14:paraId="3DE2CDDD">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充分利用学校资源优势，探索学校特色发展道路。经过多年的努力，学校先后被授予“国家青少年足球示范学校”“国家青少年文明礼仪示范基地”、“全国家长示范学校”、“全国规范化家长学校”、“四川省校本研修基地”、 “攀枝花市小公民道德实践基地”。被评为省级“文明单位”、省级“卫生单位”、省级“少年队红旗大队”、省级“依法治校示范学校”、市级“校风示范学校”、“绿色学校”、“德育工作先进集体”、“攀枝花市示范性小学”。</w:t>
      </w:r>
    </w:p>
    <w:p w14:paraId="7487537C">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（六）积极推行国家通用语言文字教育，深入开展民族团结进步教育。</w:t>
      </w:r>
    </w:p>
    <w:p w14:paraId="55F3D42B">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普通话是我们的校园语言”已成为我校多年来一直坚持的良好的校园风尚，为了进一步促进学生普通话水平的提高，要求教师校内用普通话进行交流，学校每学期还定期开展语言训练的实践活动。如朗诵、读经诵诗、讲故事、演讲比赛</w:t>
      </w:r>
    </w:p>
    <w:p w14:paraId="3DFEB8BB">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2.全面落实民族团结工作，各班均有少数民族学生；利用班会、队会、国旗下的讲话、红领巾广播站等积极开展民族团结教育，提高学生民族团结意识！</w:t>
      </w:r>
    </w:p>
    <w:p w14:paraId="65AB5AE1">
      <w:pPr>
        <w:spacing w:line="560" w:lineRule="exact"/>
        <w:ind w:firstLine="640" w:firstLineChars="200"/>
        <w:outlineLvl w:val="1"/>
        <w:rPr>
          <w:rFonts w:ascii="方正仿宋_GB2312" w:hAnsi="方正仿宋_GB2312" w:eastAsia="方正仿宋_GB2312" w:cs="方正仿宋_GB2312"/>
          <w:sz w:val="32"/>
          <w:szCs w:val="32"/>
        </w:rPr>
      </w:pPr>
      <w:bookmarkStart w:id="22" w:name="_Toc25448"/>
      <w:r>
        <w:rPr>
          <w:rFonts w:hint="eastAsia" w:ascii="方正仿宋_GB2312" w:hAnsi="方正仿宋_GB2312" w:eastAsia="方正仿宋_GB2312" w:cs="方正仿宋_GB2312"/>
          <w:sz w:val="32"/>
          <w:szCs w:val="32"/>
        </w:rPr>
        <w:t>三、存在问题和努力方向</w:t>
      </w:r>
      <w:bookmarkEnd w:id="22"/>
    </w:p>
    <w:p w14:paraId="714F536F">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1、认真总结经验，制订出一套更为科学、完整的学校内部管理体系。</w:t>
      </w:r>
    </w:p>
    <w:p w14:paraId="1CF951C8">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2.进一步改善办学条件，优化育人环境，最大限度确保教育经费的有效使用，搞好办学的硬件建设，改善办学条件，打造一个多元化、个性化和人文化突出的校园环境。</w:t>
      </w:r>
    </w:p>
    <w:p w14:paraId="79ADB1B1">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3.教师的年龄结构与专业技术职称结构比例极不协调，教师的积极性受到影响。</w:t>
      </w:r>
    </w:p>
    <w:p w14:paraId="2BA31269">
      <w:pPr>
        <w:spacing w:line="56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4.根据课改要求开发校本课程，进一步重视对学生特长的培养。</w:t>
      </w:r>
    </w:p>
    <w:p w14:paraId="0A751F91">
      <w:pPr>
        <w:pStyle w:val="3"/>
        <w:spacing w:before="0" w:after="0" w:line="500" w:lineRule="exact"/>
        <w:ind w:right="440"/>
        <w:jc w:val="center"/>
        <w:rPr>
          <w:rStyle w:val="24"/>
          <w:rFonts w:ascii="黑体" w:hAnsi="黑体" w:eastAsia="黑体"/>
          <w:b w:val="0"/>
          <w:bCs/>
        </w:rPr>
      </w:pPr>
      <w:bookmarkStart w:id="23" w:name="_Toc21202"/>
      <w:bookmarkStart w:id="24" w:name="_Toc15396602"/>
      <w:bookmarkStart w:id="25" w:name="_Toc15377204"/>
      <w:r>
        <w:rPr>
          <w:rFonts w:hint="eastAsia" w:ascii="黑体" w:hAnsi="黑体" w:eastAsia="黑体"/>
          <w:b w:val="0"/>
        </w:rPr>
        <w:t>第二部分 2021年度</w:t>
      </w:r>
      <w:r>
        <w:rPr>
          <w:rStyle w:val="24"/>
          <w:rFonts w:hint="eastAsia" w:ascii="黑体" w:hAnsi="黑体" w:eastAsia="黑体"/>
          <w:b w:val="0"/>
          <w:bCs/>
        </w:rPr>
        <w:t>单位决算情况说明</w:t>
      </w:r>
      <w:bookmarkEnd w:id="23"/>
      <w:bookmarkEnd w:id="24"/>
      <w:bookmarkEnd w:id="25"/>
    </w:p>
    <w:p w14:paraId="5F451B12">
      <w:pPr>
        <w:pStyle w:val="23"/>
        <w:numPr>
          <w:ilvl w:val="0"/>
          <w:numId w:val="1"/>
        </w:numPr>
        <w:spacing w:line="500" w:lineRule="exact"/>
        <w:ind w:firstLineChars="0"/>
        <w:outlineLvl w:val="1"/>
        <w:rPr>
          <w:rStyle w:val="25"/>
          <w:rFonts w:ascii="黑体" w:hAnsi="黑体" w:eastAsia="黑体"/>
          <w:b w:val="0"/>
        </w:rPr>
      </w:pPr>
      <w:bookmarkStart w:id="26" w:name="_Toc15396603"/>
      <w:bookmarkStart w:id="27" w:name="_Toc15377205"/>
      <w:bookmarkStart w:id="28" w:name="_Toc18948"/>
      <w:r>
        <w:rPr>
          <w:rFonts w:hint="eastAsia" w:ascii="黑体" w:hAnsi="黑体" w:eastAsia="黑体"/>
          <w:sz w:val="32"/>
          <w:szCs w:val="32"/>
        </w:rPr>
        <w:t>收</w:t>
      </w:r>
      <w:r>
        <w:rPr>
          <w:rStyle w:val="25"/>
          <w:rFonts w:hint="eastAsia" w:ascii="黑体" w:hAnsi="黑体" w:eastAsia="黑体"/>
          <w:b w:val="0"/>
        </w:rPr>
        <w:t>入支出决算总体情况说明</w:t>
      </w:r>
      <w:bookmarkEnd w:id="26"/>
      <w:bookmarkEnd w:id="27"/>
      <w:bookmarkEnd w:id="28"/>
    </w:p>
    <w:p w14:paraId="392C59FA">
      <w:pPr>
        <w:spacing w:line="500" w:lineRule="exact"/>
        <w:ind w:firstLine="640" w:firstLineChars="200"/>
        <w:rPr>
          <w:rFonts w:ascii="仿宋" w:hAnsi="仿宋" w:eastAsia="仿宋"/>
          <w:sz w:val="32"/>
          <w:szCs w:val="32"/>
        </w:rPr>
      </w:pPr>
      <w:r>
        <w:rPr>
          <w:rFonts w:hint="eastAsia" w:ascii="仿宋" w:hAnsi="仿宋" w:eastAsia="仿宋"/>
          <w:sz w:val="32"/>
          <w:szCs w:val="32"/>
        </w:rPr>
        <w:t>2021年度收、支总计1,665.66万元。与2020年相比，收、支总计2,163.27万元，各减少497.61万元，下降29.87</w:t>
      </w:r>
      <w:r>
        <w:rPr>
          <w:rFonts w:ascii="仿宋" w:hAnsi="仿宋" w:eastAsia="仿宋"/>
          <w:sz w:val="32"/>
          <w:szCs w:val="32"/>
        </w:rPr>
        <w:t>%</w:t>
      </w:r>
      <w:r>
        <w:rPr>
          <w:rFonts w:hint="eastAsia" w:ascii="仿宋" w:hAnsi="仿宋" w:eastAsia="仿宋"/>
          <w:sz w:val="32"/>
          <w:szCs w:val="32"/>
        </w:rPr>
        <w:t>。主要变动原因是学校综合教学楼，操场项目工程于2020年竣工，工程项目在2021年经验收，并在当年支付。（图</w:t>
      </w:r>
      <w:r>
        <w:rPr>
          <w:rFonts w:ascii="仿宋" w:hAnsi="仿宋" w:eastAsia="仿宋"/>
          <w:sz w:val="32"/>
          <w:szCs w:val="32"/>
        </w:rPr>
        <w:t>1</w:t>
      </w:r>
      <w:r>
        <w:rPr>
          <w:rFonts w:hint="eastAsia" w:ascii="仿宋" w:hAnsi="仿宋" w:eastAsia="仿宋"/>
          <w:sz w:val="32"/>
          <w:szCs w:val="32"/>
        </w:rPr>
        <w:t>：收、支决算总计变动情况图）（柱状图）</w:t>
      </w:r>
    </w:p>
    <w:p w14:paraId="1FFE4269">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3791585" cy="2021205"/>
            <wp:effectExtent l="0" t="0" r="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791585" cy="2021205"/>
                    </a:xfrm>
                    <a:prstGeom prst="rect">
                      <a:avLst/>
                    </a:prstGeom>
                    <a:noFill/>
                    <a:ln>
                      <a:noFill/>
                    </a:ln>
                  </pic:spPr>
                </pic:pic>
              </a:graphicData>
            </a:graphic>
          </wp:inline>
        </w:drawing>
      </w:r>
    </w:p>
    <w:p w14:paraId="6FA178DE">
      <w:pPr>
        <w:pStyle w:val="23"/>
        <w:numPr>
          <w:ilvl w:val="0"/>
          <w:numId w:val="1"/>
        </w:numPr>
        <w:spacing w:line="500" w:lineRule="exact"/>
        <w:ind w:firstLineChars="0"/>
        <w:outlineLvl w:val="1"/>
        <w:rPr>
          <w:rStyle w:val="25"/>
          <w:rFonts w:ascii="黑体" w:hAnsi="黑体" w:eastAsia="黑体"/>
          <w:b w:val="0"/>
        </w:rPr>
      </w:pPr>
      <w:bookmarkStart w:id="29" w:name="_Toc15377206"/>
      <w:bookmarkStart w:id="30" w:name="_Toc26421"/>
      <w:bookmarkStart w:id="31" w:name="_Toc15396604"/>
      <w:r>
        <w:rPr>
          <w:rFonts w:hint="eastAsia" w:ascii="黑体" w:hAnsi="黑体" w:eastAsia="黑体"/>
          <w:sz w:val="32"/>
          <w:szCs w:val="32"/>
        </w:rPr>
        <w:t>收</w:t>
      </w:r>
      <w:r>
        <w:rPr>
          <w:rStyle w:val="25"/>
          <w:rFonts w:hint="eastAsia" w:ascii="黑体" w:hAnsi="黑体" w:eastAsia="黑体"/>
          <w:b w:val="0"/>
        </w:rPr>
        <w:t>入决算情况说明</w:t>
      </w:r>
      <w:bookmarkEnd w:id="29"/>
      <w:bookmarkEnd w:id="30"/>
      <w:bookmarkEnd w:id="31"/>
    </w:p>
    <w:p w14:paraId="5DCDDE74">
      <w:pPr>
        <w:spacing w:line="500" w:lineRule="exact"/>
        <w:ind w:firstLine="640" w:firstLineChars="200"/>
        <w:outlineLvl w:val="1"/>
        <w:rPr>
          <w:rFonts w:ascii="仿宋" w:hAnsi="仿宋" w:eastAsia="仿宋"/>
          <w:sz w:val="32"/>
          <w:szCs w:val="32"/>
        </w:rPr>
      </w:pPr>
      <w:bookmarkStart w:id="32" w:name="_Toc22875"/>
      <w:r>
        <w:rPr>
          <w:rFonts w:ascii="仿宋" w:hAnsi="仿宋" w:eastAsia="仿宋"/>
          <w:sz w:val="32"/>
          <w:szCs w:val="32"/>
        </w:rPr>
        <w:t>20</w:t>
      </w:r>
      <w:r>
        <w:rPr>
          <w:rFonts w:hint="eastAsia" w:ascii="仿宋" w:hAnsi="仿宋" w:eastAsia="仿宋"/>
          <w:sz w:val="32"/>
          <w:szCs w:val="32"/>
        </w:rPr>
        <w:t>21年本年收入合计1,400.48万元，其中：一般公共预算财政拨款收入1,400.48万元，占100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bookmarkEnd w:id="32"/>
    </w:p>
    <w:p w14:paraId="67B6E01B">
      <w:pPr>
        <w:spacing w:line="5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03FA8C14">
      <w:pPr>
        <w:spacing w:line="500" w:lineRule="exact"/>
        <w:ind w:firstLine="640" w:firstLineChars="200"/>
        <w:rPr>
          <w:rFonts w:ascii="仿宋_GB2312" w:eastAsia="仿宋_GB2312"/>
          <w:sz w:val="32"/>
          <w:szCs w:val="32"/>
        </w:rPr>
      </w:pPr>
    </w:p>
    <w:p w14:paraId="10E1AED8">
      <w:pPr>
        <w:pStyle w:val="2"/>
        <w:spacing w:before="93"/>
        <w:rPr>
          <w:sz w:val="32"/>
          <w:szCs w:val="32"/>
        </w:rPr>
      </w:pPr>
      <w:r>
        <w:drawing>
          <wp:inline distT="0" distB="0" distL="114300" distR="114300">
            <wp:extent cx="4480560" cy="21367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480560" cy="2136775"/>
                    </a:xfrm>
                    <a:prstGeom prst="rect">
                      <a:avLst/>
                    </a:prstGeom>
                    <a:noFill/>
                    <a:ln>
                      <a:noFill/>
                    </a:ln>
                  </pic:spPr>
                </pic:pic>
              </a:graphicData>
            </a:graphic>
          </wp:inline>
        </w:drawing>
      </w:r>
    </w:p>
    <w:p w14:paraId="0604FC49">
      <w:pPr>
        <w:pStyle w:val="23"/>
        <w:numPr>
          <w:ilvl w:val="0"/>
          <w:numId w:val="1"/>
        </w:numPr>
        <w:spacing w:line="500" w:lineRule="exact"/>
        <w:ind w:firstLineChars="0"/>
        <w:outlineLvl w:val="1"/>
        <w:rPr>
          <w:rStyle w:val="25"/>
          <w:rFonts w:ascii="黑体" w:hAnsi="黑体" w:eastAsia="黑体"/>
          <w:b w:val="0"/>
        </w:rPr>
      </w:pPr>
      <w:bookmarkStart w:id="33" w:name="_Toc473"/>
      <w:bookmarkStart w:id="34" w:name="_Toc15377207"/>
      <w:bookmarkStart w:id="35" w:name="_Toc15396605"/>
      <w:r>
        <w:rPr>
          <w:rFonts w:hint="eastAsia" w:ascii="黑体" w:hAnsi="黑体" w:eastAsia="黑体"/>
          <w:sz w:val="32"/>
          <w:szCs w:val="32"/>
        </w:rPr>
        <w:t>支</w:t>
      </w:r>
      <w:r>
        <w:rPr>
          <w:rStyle w:val="25"/>
          <w:rFonts w:hint="eastAsia" w:ascii="黑体" w:hAnsi="黑体" w:eastAsia="黑体"/>
          <w:b w:val="0"/>
        </w:rPr>
        <w:t>出决算情况说明</w:t>
      </w:r>
      <w:bookmarkEnd w:id="33"/>
      <w:bookmarkEnd w:id="34"/>
      <w:bookmarkEnd w:id="35"/>
    </w:p>
    <w:p w14:paraId="6DB46F16">
      <w:pPr>
        <w:spacing w:line="500" w:lineRule="exact"/>
        <w:ind w:firstLine="640" w:firstLineChars="200"/>
        <w:outlineLvl w:val="1"/>
        <w:rPr>
          <w:rFonts w:ascii="仿宋" w:hAnsi="仿宋" w:eastAsia="仿宋"/>
          <w:sz w:val="32"/>
          <w:szCs w:val="32"/>
        </w:rPr>
      </w:pPr>
      <w:bookmarkStart w:id="36" w:name="_Toc18042"/>
      <w:r>
        <w:rPr>
          <w:rFonts w:ascii="仿宋" w:hAnsi="仿宋" w:eastAsia="仿宋"/>
          <w:sz w:val="32"/>
          <w:szCs w:val="32"/>
        </w:rPr>
        <w:t>20</w:t>
      </w:r>
      <w:r>
        <w:rPr>
          <w:rFonts w:hint="eastAsia" w:ascii="仿宋" w:hAnsi="仿宋" w:eastAsia="仿宋"/>
          <w:sz w:val="32"/>
          <w:szCs w:val="32"/>
        </w:rPr>
        <w:t>21年本年支出合计1,665.66万元，其中：基本支出</w:t>
      </w:r>
      <w:bookmarkEnd w:id="36"/>
    </w:p>
    <w:p w14:paraId="7FC070E3">
      <w:pPr>
        <w:spacing w:line="500" w:lineRule="exact"/>
        <w:outlineLvl w:val="1"/>
        <w:rPr>
          <w:rFonts w:ascii="仿宋" w:hAnsi="仿宋" w:eastAsia="仿宋"/>
          <w:sz w:val="32"/>
          <w:szCs w:val="32"/>
        </w:rPr>
      </w:pPr>
      <w:bookmarkStart w:id="37" w:name="_Toc19834"/>
      <w:r>
        <w:rPr>
          <w:rFonts w:hint="eastAsia" w:ascii="仿宋" w:hAnsi="仿宋" w:eastAsia="仿宋"/>
          <w:sz w:val="32"/>
          <w:szCs w:val="32"/>
        </w:rPr>
        <w:t>1,313.48万元，占78.86</w:t>
      </w:r>
      <w:r>
        <w:rPr>
          <w:rFonts w:ascii="仿宋" w:hAnsi="仿宋" w:eastAsia="仿宋"/>
          <w:sz w:val="32"/>
          <w:szCs w:val="32"/>
        </w:rPr>
        <w:t>%</w:t>
      </w:r>
      <w:r>
        <w:rPr>
          <w:rFonts w:hint="eastAsia" w:ascii="仿宋" w:hAnsi="仿宋" w:eastAsia="仿宋"/>
          <w:sz w:val="32"/>
          <w:szCs w:val="32"/>
        </w:rPr>
        <w:t>；项目支出352.18万元，占21.14</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37"/>
    </w:p>
    <w:p w14:paraId="15DCCAB5">
      <w:pPr>
        <w:spacing w:line="500" w:lineRule="exact"/>
        <w:ind w:firstLine="640"/>
        <w:rPr>
          <w:rFonts w:ascii="仿宋" w:hAnsi="仿宋" w:eastAsia="仿宋"/>
          <w:sz w:val="32"/>
          <w:szCs w:val="32"/>
          <w:shd w:val="pct10" w:color="auto" w:fill="FFFFFF"/>
        </w:rPr>
      </w:pPr>
    </w:p>
    <w:p w14:paraId="2CF4601A">
      <w:pPr>
        <w:spacing w:line="5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45102600">
      <w:pPr>
        <w:pStyle w:val="2"/>
        <w:spacing w:before="93"/>
      </w:pPr>
      <w:r>
        <w:drawing>
          <wp:inline distT="0" distB="0" distL="114300" distR="114300">
            <wp:extent cx="4320540" cy="168719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4320540" cy="1687195"/>
                    </a:xfrm>
                    <a:prstGeom prst="rect">
                      <a:avLst/>
                    </a:prstGeom>
                    <a:noFill/>
                    <a:ln>
                      <a:noFill/>
                    </a:ln>
                  </pic:spPr>
                </pic:pic>
              </a:graphicData>
            </a:graphic>
          </wp:inline>
        </w:drawing>
      </w:r>
    </w:p>
    <w:p w14:paraId="6E4116C2">
      <w:pPr>
        <w:spacing w:line="500" w:lineRule="exact"/>
        <w:ind w:firstLine="640" w:firstLineChars="200"/>
        <w:outlineLvl w:val="1"/>
        <w:rPr>
          <w:rStyle w:val="25"/>
          <w:rFonts w:ascii="黑体" w:hAnsi="黑体" w:eastAsia="黑体"/>
          <w:b w:val="0"/>
        </w:rPr>
      </w:pPr>
      <w:bookmarkStart w:id="38" w:name="_Toc7476"/>
      <w:bookmarkStart w:id="39" w:name="_Toc15377208"/>
      <w:bookmarkStart w:id="40"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38"/>
      <w:bookmarkEnd w:id="39"/>
      <w:bookmarkEnd w:id="40"/>
    </w:p>
    <w:p w14:paraId="6158D33A">
      <w:pPr>
        <w:spacing w:line="500" w:lineRule="exact"/>
        <w:ind w:firstLine="640"/>
      </w:pPr>
      <w:r>
        <w:rPr>
          <w:rFonts w:ascii="仿宋" w:hAnsi="仿宋" w:eastAsia="仿宋"/>
          <w:sz w:val="32"/>
          <w:szCs w:val="32"/>
        </w:rPr>
        <w:t>20</w:t>
      </w:r>
      <w:r>
        <w:rPr>
          <w:rFonts w:hint="eastAsia" w:ascii="仿宋" w:hAnsi="仿宋" w:eastAsia="仿宋"/>
          <w:sz w:val="32"/>
          <w:szCs w:val="32"/>
        </w:rPr>
        <w:t>21年财政拨款收、支总计1,665.66万元。与2020年相比，收、支总计2,163.27万元，各减少497.61万元，下降29.87</w:t>
      </w:r>
      <w:r>
        <w:rPr>
          <w:rFonts w:ascii="仿宋" w:hAnsi="仿宋" w:eastAsia="仿宋"/>
          <w:sz w:val="32"/>
          <w:szCs w:val="32"/>
        </w:rPr>
        <w:t>%</w:t>
      </w:r>
      <w:r>
        <w:rPr>
          <w:rFonts w:hint="eastAsia" w:ascii="仿宋" w:hAnsi="仿宋" w:eastAsia="仿宋"/>
          <w:sz w:val="32"/>
          <w:szCs w:val="32"/>
        </w:rPr>
        <w:t>。主要变动原因是学校综合教学楼，操场项目工程于2020年竣工，工程项目在2021年验收，并在当年支付。</w:t>
      </w:r>
    </w:p>
    <w:p w14:paraId="18EF79ED">
      <w:pPr>
        <w:spacing w:line="5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47A2D044">
      <w:pPr>
        <w:spacing w:line="500" w:lineRule="exact"/>
        <w:ind w:firstLine="640"/>
        <w:rPr>
          <w:rFonts w:ascii="仿宋" w:hAnsi="仿宋" w:eastAsia="仿宋"/>
          <w:b/>
          <w:sz w:val="32"/>
          <w:szCs w:val="32"/>
        </w:rPr>
      </w:pPr>
    </w:p>
    <w:p w14:paraId="0E3549C4">
      <w:pPr>
        <w:pStyle w:val="2"/>
        <w:spacing w:before="93"/>
        <w:jc w:val="center"/>
      </w:pPr>
      <w:r>
        <w:drawing>
          <wp:inline distT="0" distB="0" distL="114300" distR="114300">
            <wp:extent cx="3672205" cy="1967865"/>
            <wp:effectExtent l="0" t="0" r="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672205" cy="1967865"/>
                    </a:xfrm>
                    <a:prstGeom prst="rect">
                      <a:avLst/>
                    </a:prstGeom>
                    <a:noFill/>
                    <a:ln>
                      <a:noFill/>
                    </a:ln>
                  </pic:spPr>
                </pic:pic>
              </a:graphicData>
            </a:graphic>
          </wp:inline>
        </w:drawing>
      </w:r>
    </w:p>
    <w:p w14:paraId="6D032242">
      <w:pPr>
        <w:spacing w:line="500" w:lineRule="exact"/>
        <w:ind w:firstLine="640" w:firstLineChars="200"/>
        <w:outlineLvl w:val="1"/>
        <w:rPr>
          <w:rStyle w:val="25"/>
          <w:rFonts w:ascii="黑体" w:hAnsi="黑体" w:eastAsia="黑体"/>
          <w:b w:val="0"/>
        </w:rPr>
      </w:pPr>
      <w:bookmarkStart w:id="41" w:name="_Toc26725"/>
      <w:bookmarkStart w:id="42" w:name="_Toc15396607"/>
      <w:bookmarkStart w:id="43" w:name="_Toc15377209"/>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41"/>
      <w:bookmarkEnd w:id="42"/>
      <w:bookmarkEnd w:id="43"/>
    </w:p>
    <w:p w14:paraId="621F802C">
      <w:pPr>
        <w:spacing w:line="500" w:lineRule="exact"/>
        <w:ind w:firstLine="643" w:firstLineChars="200"/>
        <w:outlineLvl w:val="2"/>
        <w:rPr>
          <w:rFonts w:ascii="仿宋" w:hAnsi="仿宋" w:eastAsia="仿宋"/>
          <w:b/>
          <w:sz w:val="32"/>
          <w:szCs w:val="32"/>
        </w:rPr>
      </w:pPr>
      <w:bookmarkStart w:id="44" w:name="_Toc15377210"/>
      <w:r>
        <w:rPr>
          <w:rFonts w:hint="eastAsia" w:ascii="仿宋" w:hAnsi="仿宋" w:eastAsia="仿宋"/>
          <w:b/>
          <w:sz w:val="32"/>
          <w:szCs w:val="32"/>
        </w:rPr>
        <w:t>（一）一般公共预算财政拨款支出决算总体情况</w:t>
      </w:r>
      <w:bookmarkEnd w:id="44"/>
    </w:p>
    <w:p w14:paraId="1C9CBB03">
      <w:pPr>
        <w:spacing w:line="5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21年一般公共预算财政拨款支出1,665.66万元，占本年支出合计的100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20年一般公共预算财政拨款支出2,163.27万元相比，一般公共预算财政拨款支出减少497.61万元，下降29.87</w:t>
      </w:r>
      <w:r>
        <w:rPr>
          <w:rFonts w:ascii="仿宋" w:hAnsi="仿宋" w:eastAsia="仿宋"/>
          <w:sz w:val="32"/>
          <w:szCs w:val="32"/>
        </w:rPr>
        <w:t>%</w:t>
      </w:r>
      <w:r>
        <w:rPr>
          <w:rFonts w:hint="eastAsia" w:ascii="仿宋" w:hAnsi="仿宋" w:eastAsia="仿宋"/>
          <w:sz w:val="32"/>
          <w:szCs w:val="32"/>
        </w:rPr>
        <w:t>。主要变动原因是学校综合教学楼，操场项目工程于2020年竣工，工程项目在2021年验收，并在当年支付</w:t>
      </w:r>
    </w:p>
    <w:p w14:paraId="65658072">
      <w:pPr>
        <w:spacing w:line="5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4077C643">
      <w:pPr>
        <w:pStyle w:val="2"/>
        <w:spacing w:before="93"/>
      </w:pPr>
      <w:r>
        <w:drawing>
          <wp:inline distT="0" distB="0" distL="114300" distR="114300">
            <wp:extent cx="3469640" cy="1430655"/>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3"/>
                    <a:stretch>
                      <a:fillRect/>
                    </a:stretch>
                  </pic:blipFill>
                  <pic:spPr>
                    <a:xfrm>
                      <a:off x="0" y="0"/>
                      <a:ext cx="3469640" cy="1430655"/>
                    </a:xfrm>
                    <a:prstGeom prst="rect">
                      <a:avLst/>
                    </a:prstGeom>
                    <a:noFill/>
                    <a:ln>
                      <a:noFill/>
                    </a:ln>
                  </pic:spPr>
                </pic:pic>
              </a:graphicData>
            </a:graphic>
          </wp:inline>
        </w:drawing>
      </w:r>
    </w:p>
    <w:p w14:paraId="484F83D8">
      <w:pPr>
        <w:spacing w:line="500" w:lineRule="exact"/>
        <w:ind w:firstLine="643" w:firstLineChars="200"/>
        <w:outlineLvl w:val="2"/>
        <w:rPr>
          <w:rFonts w:ascii="仿宋" w:hAnsi="仿宋" w:eastAsia="仿宋"/>
          <w:b/>
          <w:sz w:val="32"/>
          <w:szCs w:val="32"/>
        </w:rPr>
      </w:pPr>
      <w:bookmarkStart w:id="45" w:name="_Toc15377211"/>
      <w:r>
        <w:rPr>
          <w:rFonts w:hint="eastAsia" w:ascii="仿宋" w:hAnsi="仿宋" w:eastAsia="仿宋"/>
          <w:b/>
          <w:sz w:val="32"/>
          <w:szCs w:val="32"/>
        </w:rPr>
        <w:t>（二）一般公共预算财政拨款支出决算结构情况</w:t>
      </w:r>
      <w:bookmarkEnd w:id="45"/>
    </w:p>
    <w:p w14:paraId="04C08B71">
      <w:pPr>
        <w:spacing w:line="5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21年一般公共预算财政拨款支出1,400.48万元，主要用于以下方面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1,138.63万元，占81.3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支出158.19万元，占11.30</w:t>
      </w:r>
      <w:r>
        <w:rPr>
          <w:rFonts w:ascii="仿宋" w:hAnsi="仿宋" w:eastAsia="仿宋"/>
          <w:sz w:val="32"/>
          <w:szCs w:val="32"/>
        </w:rPr>
        <w:t>%</w:t>
      </w:r>
      <w:r>
        <w:rPr>
          <w:rFonts w:hint="eastAsia" w:ascii="仿宋" w:hAnsi="仿宋" w:eastAsia="仿宋"/>
          <w:sz w:val="32"/>
          <w:szCs w:val="32"/>
        </w:rPr>
        <w:t>；住房保障支出103.67万元，占7.4</w:t>
      </w:r>
      <w:r>
        <w:rPr>
          <w:rFonts w:ascii="仿宋" w:hAnsi="仿宋" w:eastAsia="仿宋"/>
          <w:sz w:val="32"/>
          <w:szCs w:val="32"/>
        </w:rPr>
        <w:t>%</w:t>
      </w:r>
      <w:r>
        <w:rPr>
          <w:rFonts w:hint="eastAsia" w:ascii="仿宋" w:hAnsi="仿宋" w:eastAsia="仿宋"/>
          <w:sz w:val="32"/>
          <w:szCs w:val="32"/>
        </w:rPr>
        <w:t>，.</w:t>
      </w:r>
    </w:p>
    <w:p w14:paraId="105F350A">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205类02款02项  小学教育支出</w:t>
      </w:r>
      <w:r>
        <w:rPr>
          <w:rFonts w:hint="eastAsia" w:ascii="仿宋" w:hAnsi="仿宋" w:eastAsia="仿宋"/>
          <w:sz w:val="32"/>
          <w:szCs w:val="32"/>
        </w:rPr>
        <w:t>1,138.63</w:t>
      </w:r>
      <w:r>
        <w:rPr>
          <w:rFonts w:hint="eastAsia" w:ascii="仿宋" w:hAnsi="仿宋" w:eastAsia="仿宋"/>
          <w:b/>
          <w:color w:val="000000"/>
          <w:sz w:val="32"/>
          <w:szCs w:val="32"/>
        </w:rPr>
        <w:t>万元</w:t>
      </w:r>
    </w:p>
    <w:p w14:paraId="28CF02D8">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208类05款05项  机关事业单位基本养老保险缴费支出</w:t>
      </w:r>
      <w:r>
        <w:rPr>
          <w:rFonts w:hint="eastAsia" w:ascii="仿宋" w:hAnsi="仿宋" w:eastAsia="仿宋"/>
          <w:sz w:val="32"/>
          <w:szCs w:val="32"/>
        </w:rPr>
        <w:t>107.97</w:t>
      </w:r>
      <w:r>
        <w:rPr>
          <w:rFonts w:hint="eastAsia" w:ascii="仿宋" w:hAnsi="仿宋" w:eastAsia="仿宋"/>
          <w:b/>
          <w:color w:val="000000"/>
          <w:sz w:val="32"/>
          <w:szCs w:val="32"/>
        </w:rPr>
        <w:t>万元</w:t>
      </w:r>
    </w:p>
    <w:p w14:paraId="30387C99">
      <w:pPr>
        <w:pStyle w:val="2"/>
        <w:spacing w:before="93"/>
        <w:ind w:firstLine="643" w:firstLineChars="200"/>
      </w:pPr>
      <w:r>
        <w:rPr>
          <w:rFonts w:hint="eastAsia" w:ascii="仿宋" w:hAnsi="仿宋" w:eastAsia="仿宋"/>
          <w:b/>
          <w:color w:val="000000"/>
          <w:sz w:val="32"/>
          <w:szCs w:val="32"/>
        </w:rPr>
        <w:t>208类05款06项</w:t>
      </w:r>
      <w:r>
        <w:rPr>
          <w:rFonts w:hint="eastAsia"/>
        </w:rPr>
        <w:t xml:space="preserve">  机关事业单位职业年金缴费支出50.22万元</w:t>
      </w:r>
    </w:p>
    <w:p w14:paraId="0489C7C5">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221类02款01项  住房公积金支出103.67万元</w:t>
      </w:r>
    </w:p>
    <w:p w14:paraId="1880991C">
      <w:pPr>
        <w:spacing w:line="5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2726DC37">
      <w:pPr>
        <w:pStyle w:val="2"/>
        <w:spacing w:before="93"/>
      </w:pPr>
      <w:r>
        <w:drawing>
          <wp:anchor distT="0" distB="0" distL="114300" distR="114300" simplePos="0" relativeHeight="251660288" behindDoc="0" locked="0" layoutInCell="1" allowOverlap="1">
            <wp:simplePos x="0" y="0"/>
            <wp:positionH relativeFrom="column">
              <wp:posOffset>63500</wp:posOffset>
            </wp:positionH>
            <wp:positionV relativeFrom="paragraph">
              <wp:posOffset>-203200</wp:posOffset>
            </wp:positionV>
            <wp:extent cx="4125595" cy="1791335"/>
            <wp:effectExtent l="0" t="0" r="0" b="18415"/>
            <wp:wrapNone/>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4"/>
                    <a:stretch>
                      <a:fillRect/>
                    </a:stretch>
                  </pic:blipFill>
                  <pic:spPr>
                    <a:xfrm>
                      <a:off x="0" y="0"/>
                      <a:ext cx="4125595" cy="1791335"/>
                    </a:xfrm>
                    <a:prstGeom prst="rect">
                      <a:avLst/>
                    </a:prstGeom>
                    <a:noFill/>
                    <a:ln>
                      <a:noFill/>
                    </a:ln>
                  </pic:spPr>
                </pic:pic>
              </a:graphicData>
            </a:graphic>
          </wp:anchor>
        </w:drawing>
      </w:r>
    </w:p>
    <w:p w14:paraId="32D070F1">
      <w:pPr>
        <w:pStyle w:val="2"/>
        <w:spacing w:before="93"/>
      </w:pPr>
    </w:p>
    <w:p w14:paraId="0D73ABC6">
      <w:pPr>
        <w:pStyle w:val="2"/>
        <w:spacing w:before="93"/>
      </w:pPr>
    </w:p>
    <w:p w14:paraId="1C509DEB">
      <w:pPr>
        <w:pStyle w:val="2"/>
        <w:spacing w:before="93"/>
      </w:pPr>
    </w:p>
    <w:p w14:paraId="47933958">
      <w:pPr>
        <w:spacing w:line="500" w:lineRule="exact"/>
        <w:ind w:firstLine="643" w:firstLineChars="200"/>
        <w:outlineLvl w:val="2"/>
        <w:rPr>
          <w:rFonts w:ascii="仿宋" w:hAnsi="仿宋" w:eastAsia="仿宋"/>
          <w:b/>
          <w:sz w:val="32"/>
          <w:szCs w:val="32"/>
        </w:rPr>
      </w:pPr>
      <w:bookmarkStart w:id="46" w:name="_Toc15377212"/>
      <w:r>
        <w:rPr>
          <w:rFonts w:hint="eastAsia" w:ascii="仿宋" w:hAnsi="仿宋" w:eastAsia="仿宋"/>
          <w:b/>
          <w:sz w:val="32"/>
          <w:szCs w:val="32"/>
        </w:rPr>
        <w:t>（三）一般公共预算财政拨款支出决算具体情况</w:t>
      </w:r>
      <w:bookmarkEnd w:id="46"/>
    </w:p>
    <w:p w14:paraId="17EC47BD">
      <w:pPr>
        <w:spacing w:line="500" w:lineRule="exact"/>
        <w:ind w:firstLine="643" w:firstLineChars="200"/>
        <w:outlineLvl w:val="1"/>
        <w:rPr>
          <w:rFonts w:ascii="仿宋" w:hAnsi="仿宋" w:eastAsia="仿宋"/>
          <w:sz w:val="32"/>
          <w:szCs w:val="32"/>
        </w:rPr>
      </w:pPr>
      <w:bookmarkStart w:id="47" w:name="_Toc15377213"/>
      <w:bookmarkStart w:id="48" w:name="_Toc15378460"/>
      <w:bookmarkStart w:id="49" w:name="_Toc6920"/>
      <w:bookmarkStart w:id="50" w:name="_Toc15377444"/>
      <w:r>
        <w:rPr>
          <w:rFonts w:hint="eastAsia" w:ascii="仿宋" w:hAnsi="仿宋" w:eastAsia="仿宋"/>
          <w:b/>
          <w:sz w:val="32"/>
          <w:szCs w:val="32"/>
        </w:rPr>
        <w:t>2021年一般公共预算支出决算数为</w:t>
      </w:r>
      <w:r>
        <w:rPr>
          <w:rFonts w:hint="eastAsia" w:ascii="仿宋" w:hAnsi="仿宋" w:eastAsia="仿宋"/>
          <w:sz w:val="32"/>
          <w:szCs w:val="32"/>
        </w:rPr>
        <w:t>1,665.66万元，</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47"/>
      <w:bookmarkEnd w:id="48"/>
      <w:bookmarkEnd w:id="49"/>
      <w:bookmarkEnd w:id="50"/>
    </w:p>
    <w:p w14:paraId="49580273">
      <w:pPr>
        <w:numPr>
          <w:ilvl w:val="0"/>
          <w:numId w:val="2"/>
        </w:numPr>
        <w:spacing w:line="600" w:lineRule="exact"/>
        <w:ind w:firstLine="643" w:firstLineChars="200"/>
        <w:rPr>
          <w:rStyle w:val="14"/>
          <w:rFonts w:ascii="仿宋" w:hAnsi="仿宋" w:eastAsia="仿宋"/>
          <w:b w:val="0"/>
          <w:bCs/>
          <w:color w:val="000000"/>
          <w:sz w:val="32"/>
          <w:szCs w:val="32"/>
        </w:rPr>
      </w:pPr>
      <w:r>
        <w:rPr>
          <w:rStyle w:val="14"/>
          <w:rFonts w:hint="eastAsia" w:ascii="仿宋" w:hAnsi="仿宋" w:eastAsia="仿宋"/>
          <w:bCs/>
          <w:color w:val="000000"/>
          <w:sz w:val="32"/>
          <w:szCs w:val="32"/>
        </w:rPr>
        <w:t>教育205（类）02（款）02（项）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w:t>
      </w:r>
      <w:r>
        <w:rPr>
          <w:rFonts w:hint="eastAsia" w:ascii="仿宋" w:hAnsi="仿宋" w:eastAsia="仿宋"/>
          <w:sz w:val="32"/>
          <w:szCs w:val="32"/>
        </w:rPr>
        <w:t>1,247.4</w:t>
      </w:r>
      <w:r>
        <w:rPr>
          <w:rStyle w:val="14"/>
          <w:rFonts w:hint="eastAsia" w:ascii="仿宋" w:hAnsi="仿宋" w:eastAsia="仿宋"/>
          <w:b w:val="0"/>
          <w:bCs/>
          <w:color w:val="000000"/>
          <w:sz w:val="32"/>
          <w:szCs w:val="32"/>
        </w:rPr>
        <w:t>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70F05236">
      <w:pPr>
        <w:pStyle w:val="2"/>
        <w:spacing w:before="93" w:line="440" w:lineRule="exact"/>
        <w:ind w:firstLine="643" w:firstLineChars="200"/>
        <w:rPr>
          <w:rStyle w:val="14"/>
          <w:rFonts w:ascii="仿宋" w:hAnsi="仿宋" w:eastAsia="仿宋"/>
          <w:color w:val="000000"/>
          <w:sz w:val="32"/>
          <w:szCs w:val="32"/>
        </w:rPr>
      </w:pPr>
      <w:r>
        <w:rPr>
          <w:rStyle w:val="14"/>
          <w:rFonts w:hint="eastAsia" w:ascii="仿宋" w:hAnsi="仿宋" w:eastAsia="仿宋"/>
          <w:color w:val="000000"/>
          <w:sz w:val="32"/>
          <w:szCs w:val="32"/>
        </w:rPr>
        <w:t>（1）其中人员经费支出1,287.24万元，分别为：</w:t>
      </w:r>
    </w:p>
    <w:p w14:paraId="61FDA4E9">
      <w:pPr>
        <w:pStyle w:val="2"/>
        <w:spacing w:before="93" w:line="440" w:lineRule="exact"/>
        <w:ind w:firstLine="960" w:firstLineChars="3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30101基本工资支出为366.02万元；</w:t>
      </w:r>
    </w:p>
    <w:p w14:paraId="3C642459">
      <w:pPr>
        <w:pStyle w:val="2"/>
        <w:spacing w:before="93" w:line="440" w:lineRule="exact"/>
        <w:ind w:firstLine="960" w:firstLineChars="3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30102津贴补贴支出为68.9万元；</w:t>
      </w:r>
    </w:p>
    <w:p w14:paraId="12B65717">
      <w:pPr>
        <w:pStyle w:val="2"/>
        <w:spacing w:before="93" w:line="440" w:lineRule="exact"/>
        <w:ind w:firstLine="960" w:firstLineChars="3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30107绩效工资支出为335.9万元</w:t>
      </w:r>
    </w:p>
    <w:p w14:paraId="211FFD60">
      <w:pPr>
        <w:pStyle w:val="2"/>
        <w:spacing w:before="93" w:line="440" w:lineRule="exact"/>
        <w:ind w:firstLine="960" w:firstLineChars="300"/>
        <w:rPr>
          <w:rStyle w:val="14"/>
          <w:rFonts w:ascii="仿宋" w:hAnsi="仿宋" w:eastAsia="仿宋"/>
          <w:b w:val="0"/>
          <w:bCs/>
          <w:color w:val="000000"/>
          <w:sz w:val="32"/>
          <w:szCs w:val="32"/>
        </w:rPr>
      </w:pPr>
      <w:r>
        <w:rPr>
          <w:rStyle w:val="14"/>
          <w:rFonts w:ascii="仿宋" w:hAnsi="仿宋" w:eastAsia="仿宋"/>
          <w:b w:val="0"/>
          <w:bCs/>
          <w:color w:val="000000"/>
          <w:sz w:val="32"/>
          <w:szCs w:val="32"/>
        </w:rPr>
        <w:t>30108机关事业单位基本养老保险费</w:t>
      </w:r>
      <w:r>
        <w:rPr>
          <w:rStyle w:val="14"/>
          <w:rFonts w:hint="eastAsia" w:ascii="仿宋" w:hAnsi="仿宋" w:eastAsia="仿宋"/>
          <w:b w:val="0"/>
          <w:bCs/>
          <w:color w:val="000000"/>
          <w:sz w:val="32"/>
          <w:szCs w:val="32"/>
        </w:rPr>
        <w:t>支出为</w:t>
      </w:r>
      <w:r>
        <w:rPr>
          <w:rStyle w:val="14"/>
          <w:rFonts w:ascii="仿宋" w:hAnsi="仿宋" w:eastAsia="仿宋"/>
          <w:b w:val="0"/>
          <w:bCs/>
          <w:color w:val="000000"/>
          <w:sz w:val="32"/>
          <w:szCs w:val="32"/>
        </w:rPr>
        <w:t>107.97</w:t>
      </w:r>
      <w:r>
        <w:rPr>
          <w:rStyle w:val="14"/>
          <w:rFonts w:hint="eastAsia" w:ascii="仿宋" w:hAnsi="仿宋" w:eastAsia="仿宋"/>
          <w:b w:val="0"/>
          <w:bCs/>
          <w:color w:val="000000"/>
          <w:sz w:val="32"/>
          <w:szCs w:val="32"/>
        </w:rPr>
        <w:t>万元</w:t>
      </w:r>
    </w:p>
    <w:p w14:paraId="421B2E6D">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30109职业年金缴费支出为50.22万元</w:t>
      </w:r>
    </w:p>
    <w:p w14:paraId="3D353B02">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w:t>
      </w:r>
      <w:r>
        <w:rPr>
          <w:rStyle w:val="14"/>
          <w:rFonts w:ascii="仿宋" w:hAnsi="仿宋" w:eastAsia="仿宋"/>
          <w:b w:val="0"/>
          <w:bCs/>
          <w:color w:val="000000"/>
          <w:sz w:val="32"/>
          <w:szCs w:val="32"/>
        </w:rPr>
        <w:t>30110职工基本医疗保险缴费</w:t>
      </w:r>
      <w:r>
        <w:rPr>
          <w:rStyle w:val="14"/>
          <w:rFonts w:hint="eastAsia" w:ascii="仿宋" w:hAnsi="仿宋" w:eastAsia="仿宋"/>
          <w:b w:val="0"/>
          <w:bCs/>
          <w:color w:val="000000"/>
          <w:sz w:val="32"/>
          <w:szCs w:val="32"/>
        </w:rPr>
        <w:t>支出为</w:t>
      </w:r>
      <w:r>
        <w:rPr>
          <w:rStyle w:val="14"/>
          <w:rFonts w:ascii="仿宋" w:hAnsi="仿宋" w:eastAsia="仿宋"/>
          <w:b w:val="0"/>
          <w:bCs/>
          <w:color w:val="000000"/>
          <w:sz w:val="32"/>
          <w:szCs w:val="32"/>
        </w:rPr>
        <w:t>61</w:t>
      </w:r>
      <w:r>
        <w:rPr>
          <w:rStyle w:val="14"/>
          <w:rFonts w:hint="eastAsia" w:ascii="仿宋" w:hAnsi="仿宋" w:eastAsia="仿宋"/>
          <w:b w:val="0"/>
          <w:bCs/>
          <w:color w:val="000000"/>
          <w:sz w:val="32"/>
          <w:szCs w:val="32"/>
        </w:rPr>
        <w:t>万元</w:t>
      </w:r>
    </w:p>
    <w:p w14:paraId="051FEF8D">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30111公务员医疗补助缴费支出为5.76万元</w:t>
      </w:r>
    </w:p>
    <w:p w14:paraId="4CE55C43">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30112其他社会保障缴费支出为10.12万元</w:t>
      </w:r>
    </w:p>
    <w:p w14:paraId="068108F6">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30113住房公积金支出103.67万元</w:t>
      </w:r>
    </w:p>
    <w:p w14:paraId="38DB86B4">
      <w:pPr>
        <w:pStyle w:val="2"/>
        <w:spacing w:before="93" w:line="440" w:lineRule="exact"/>
        <w:ind w:firstLine="640" w:firstLineChars="200"/>
        <w:rPr>
          <w:rStyle w:val="14"/>
          <w:rFonts w:ascii="仿宋" w:hAnsi="仿宋" w:eastAsia="仿宋"/>
          <w:b w:val="0"/>
          <w:bCs/>
          <w:color w:val="000000"/>
          <w:sz w:val="32"/>
          <w:szCs w:val="32"/>
        </w:rPr>
      </w:pPr>
      <w:r>
        <w:rPr>
          <w:rStyle w:val="14"/>
          <w:rFonts w:hint="eastAsia" w:ascii="仿宋" w:hAnsi="仿宋" w:eastAsia="仿宋"/>
          <w:b w:val="0"/>
          <w:bCs/>
          <w:color w:val="000000"/>
          <w:sz w:val="32"/>
          <w:szCs w:val="32"/>
        </w:rPr>
        <w:t xml:space="preserve">  </w:t>
      </w:r>
      <w:r>
        <w:rPr>
          <w:rStyle w:val="14"/>
          <w:rFonts w:ascii="仿宋" w:hAnsi="仿宋" w:eastAsia="仿宋"/>
          <w:b w:val="0"/>
          <w:bCs/>
          <w:color w:val="000000"/>
          <w:sz w:val="32"/>
          <w:szCs w:val="32"/>
        </w:rPr>
        <w:t>30199其他工资福利支出</w:t>
      </w:r>
      <w:r>
        <w:rPr>
          <w:rStyle w:val="14"/>
          <w:rFonts w:hint="eastAsia" w:ascii="仿宋" w:hAnsi="仿宋" w:eastAsia="仿宋"/>
          <w:b w:val="0"/>
          <w:bCs/>
          <w:color w:val="000000"/>
          <w:sz w:val="32"/>
          <w:szCs w:val="32"/>
        </w:rPr>
        <w:t>1.09万元</w:t>
      </w:r>
    </w:p>
    <w:p w14:paraId="5A20ABB0">
      <w:pPr>
        <w:pStyle w:val="2"/>
        <w:spacing w:before="93"/>
        <w:ind w:firstLine="643" w:firstLineChars="200"/>
        <w:rPr>
          <w:rStyle w:val="14"/>
          <w:rFonts w:ascii="仿宋" w:hAnsi="仿宋" w:eastAsia="仿宋"/>
          <w:color w:val="000000"/>
          <w:sz w:val="32"/>
          <w:szCs w:val="32"/>
        </w:rPr>
      </w:pPr>
      <w:r>
        <w:rPr>
          <w:rStyle w:val="14"/>
          <w:rFonts w:hint="eastAsia" w:ascii="仿宋" w:hAnsi="仿宋" w:eastAsia="仿宋"/>
          <w:color w:val="000000"/>
          <w:sz w:val="32"/>
          <w:szCs w:val="32"/>
        </w:rPr>
        <w:t>（2）</w:t>
      </w:r>
      <w:r>
        <w:rPr>
          <w:rStyle w:val="14"/>
          <w:rFonts w:ascii="仿宋" w:hAnsi="仿宋" w:eastAsia="仿宋"/>
          <w:color w:val="000000"/>
          <w:sz w:val="32"/>
          <w:szCs w:val="32"/>
        </w:rPr>
        <w:t>公用经费</w:t>
      </w:r>
      <w:r>
        <w:rPr>
          <w:rStyle w:val="14"/>
          <w:rFonts w:hint="eastAsia" w:ascii="仿宋" w:hAnsi="仿宋" w:eastAsia="仿宋"/>
          <w:color w:val="000000"/>
          <w:sz w:val="32"/>
          <w:szCs w:val="32"/>
        </w:rPr>
        <w:t>支出26.24万元，分别为：</w:t>
      </w:r>
    </w:p>
    <w:p w14:paraId="6D68B3A1">
      <w:pPr>
        <w:pStyle w:val="2"/>
        <w:spacing w:before="93" w:line="44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30201办公费</w:t>
      </w:r>
      <w:r>
        <w:rPr>
          <w:rStyle w:val="14"/>
          <w:rFonts w:hint="eastAsia" w:ascii="仿宋" w:hAnsi="仿宋" w:eastAsia="仿宋"/>
          <w:b w:val="0"/>
          <w:bCs/>
          <w:color w:val="000000"/>
          <w:sz w:val="32"/>
          <w:szCs w:val="32"/>
        </w:rPr>
        <w:t>支出为3.8万元</w:t>
      </w:r>
    </w:p>
    <w:p w14:paraId="57010649">
      <w:pPr>
        <w:pStyle w:val="2"/>
        <w:spacing w:before="93" w:line="44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30213维修（护）费</w:t>
      </w:r>
      <w:r>
        <w:rPr>
          <w:rStyle w:val="14"/>
          <w:rFonts w:hint="eastAsia" w:ascii="仿宋" w:hAnsi="仿宋" w:eastAsia="仿宋"/>
          <w:b w:val="0"/>
          <w:bCs/>
          <w:color w:val="000000"/>
          <w:sz w:val="32"/>
          <w:szCs w:val="32"/>
        </w:rPr>
        <w:t>支出为0.12万元</w:t>
      </w:r>
    </w:p>
    <w:p w14:paraId="6B2080F6">
      <w:pPr>
        <w:pStyle w:val="2"/>
        <w:spacing w:before="93" w:line="44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30228工会经费</w:t>
      </w:r>
      <w:r>
        <w:rPr>
          <w:rStyle w:val="14"/>
          <w:rFonts w:hint="eastAsia" w:ascii="仿宋" w:hAnsi="仿宋" w:eastAsia="仿宋"/>
          <w:b w:val="0"/>
          <w:bCs/>
          <w:color w:val="000000"/>
          <w:sz w:val="32"/>
          <w:szCs w:val="32"/>
        </w:rPr>
        <w:t>支出为14.09万元</w:t>
      </w:r>
    </w:p>
    <w:p w14:paraId="0DD4E073">
      <w:pPr>
        <w:pStyle w:val="2"/>
        <w:spacing w:before="93" w:line="440" w:lineRule="exact"/>
        <w:ind w:firstLine="640" w:firstLineChars="200"/>
        <w:rPr>
          <w:rStyle w:val="14"/>
          <w:rFonts w:ascii="仿宋" w:hAnsi="仿宋" w:eastAsia="仿宋"/>
          <w:b w:val="0"/>
          <w:bCs/>
          <w:color w:val="000000"/>
          <w:sz w:val="32"/>
          <w:szCs w:val="32"/>
        </w:rPr>
      </w:pPr>
      <w:r>
        <w:rPr>
          <w:rStyle w:val="14"/>
          <w:rFonts w:ascii="仿宋" w:hAnsi="仿宋" w:eastAsia="仿宋"/>
          <w:b w:val="0"/>
          <w:bCs/>
          <w:color w:val="000000"/>
          <w:sz w:val="32"/>
          <w:szCs w:val="32"/>
        </w:rPr>
        <w:t>30229</w:t>
      </w:r>
      <w:r>
        <w:rPr>
          <w:rStyle w:val="14"/>
          <w:rFonts w:hint="eastAsia" w:ascii="仿宋" w:hAnsi="仿宋" w:eastAsia="仿宋"/>
          <w:b w:val="0"/>
          <w:bCs/>
          <w:color w:val="000000"/>
          <w:sz w:val="32"/>
          <w:szCs w:val="32"/>
        </w:rPr>
        <w:t>福利费支出为8.23万元</w:t>
      </w:r>
    </w:p>
    <w:p w14:paraId="2CC14F58">
      <w:pPr>
        <w:numPr>
          <w:ilvl w:val="0"/>
          <w:numId w:val="3"/>
        </w:numPr>
        <w:spacing w:line="600" w:lineRule="exact"/>
        <w:ind w:firstLine="643"/>
        <w:rPr>
          <w:rStyle w:val="14"/>
          <w:rFonts w:ascii="仿宋" w:hAnsi="仿宋" w:eastAsia="仿宋"/>
          <w:b w:val="0"/>
          <w:bCs/>
          <w:color w:val="000000"/>
          <w:sz w:val="32"/>
          <w:szCs w:val="32"/>
        </w:rPr>
      </w:pPr>
      <w:r>
        <w:rPr>
          <w:rStyle w:val="14"/>
          <w:rFonts w:hint="eastAsia" w:ascii="仿宋" w:hAnsi="仿宋" w:eastAsia="仿宋"/>
          <w:bCs/>
          <w:color w:val="000000"/>
          <w:sz w:val="32"/>
          <w:szCs w:val="32"/>
        </w:rPr>
        <w:t>其他普通教育支出205（类）02（款）99（项）</w:t>
      </w:r>
      <w:r>
        <w:rPr>
          <w:rStyle w:val="14"/>
          <w:rFonts w:hint="eastAsia" w:ascii="仿宋" w:hAnsi="仿宋" w:eastAsia="仿宋"/>
          <w:b w:val="0"/>
          <w:bCs/>
          <w:color w:val="000000"/>
          <w:sz w:val="32"/>
          <w:szCs w:val="32"/>
        </w:rPr>
        <w:t>：支出决算为153.35万元，完成预算100%</w:t>
      </w:r>
    </w:p>
    <w:p w14:paraId="524C47AD">
      <w:pPr>
        <w:pStyle w:val="2"/>
        <w:spacing w:before="93"/>
      </w:pPr>
      <w:r>
        <w:rPr>
          <w:rStyle w:val="14"/>
          <w:rFonts w:hint="eastAsia" w:ascii="仿宋" w:hAnsi="仿宋" w:eastAsia="仿宋"/>
          <w:b w:val="0"/>
          <w:bCs/>
          <w:color w:val="000000"/>
          <w:sz w:val="32"/>
          <w:szCs w:val="32"/>
        </w:rPr>
        <w:t xml:space="preserve">    30901房屋建筑物购建支出153.35万元</w:t>
      </w:r>
    </w:p>
    <w:p w14:paraId="1EEAC904">
      <w:pPr>
        <w:numPr>
          <w:ilvl w:val="0"/>
          <w:numId w:val="3"/>
        </w:numPr>
        <w:spacing w:line="600" w:lineRule="exact"/>
        <w:ind w:firstLine="640"/>
        <w:rPr>
          <w:rStyle w:val="14"/>
          <w:rFonts w:ascii="仿宋" w:hAnsi="仿宋" w:eastAsia="仿宋"/>
          <w:b w:val="0"/>
          <w:bCs/>
          <w:color w:val="000000"/>
          <w:sz w:val="32"/>
          <w:szCs w:val="32"/>
        </w:rPr>
      </w:pPr>
      <w:r>
        <w:rPr>
          <w:rStyle w:val="14"/>
          <w:rFonts w:ascii="仿宋" w:hAnsi="仿宋" w:eastAsia="仿宋"/>
          <w:bCs/>
          <w:color w:val="000000"/>
          <w:sz w:val="32"/>
          <w:szCs w:val="32"/>
        </w:rPr>
        <w:t>其他教育费附加安排的支出</w:t>
      </w:r>
      <w:r>
        <w:rPr>
          <w:rStyle w:val="14"/>
          <w:rFonts w:hint="eastAsia" w:ascii="仿宋" w:hAnsi="仿宋" w:eastAsia="仿宋"/>
          <w:bCs/>
          <w:color w:val="000000"/>
          <w:sz w:val="32"/>
          <w:szCs w:val="32"/>
        </w:rPr>
        <w:t>229（类）60（款）03（项）其他支出</w:t>
      </w:r>
      <w:r>
        <w:rPr>
          <w:rStyle w:val="14"/>
          <w:rFonts w:hint="eastAsia" w:ascii="仿宋" w:hAnsi="仿宋" w:eastAsia="仿宋"/>
          <w:b w:val="0"/>
          <w:bCs/>
          <w:color w:val="000000"/>
          <w:sz w:val="32"/>
          <w:szCs w:val="32"/>
        </w:rPr>
        <w:t>1.52万元，完成预算的100%。</w:t>
      </w:r>
    </w:p>
    <w:p w14:paraId="5614ADD2">
      <w:pPr>
        <w:pStyle w:val="2"/>
        <w:spacing w:before="93"/>
        <w:ind w:firstLine="600" w:firstLineChars="200"/>
      </w:pPr>
      <w:r>
        <w:t>2296003  用于体育事业的彩票公益金支出</w:t>
      </w:r>
      <w:r>
        <w:rPr>
          <w:rFonts w:hint="eastAsia"/>
        </w:rPr>
        <w:t>1.52万元</w:t>
      </w:r>
    </w:p>
    <w:p w14:paraId="32E7FE15">
      <w:pPr>
        <w:numPr>
          <w:ilvl w:val="0"/>
          <w:numId w:val="3"/>
        </w:numPr>
        <w:spacing w:line="600" w:lineRule="exact"/>
        <w:ind w:firstLine="643"/>
        <w:rPr>
          <w:rStyle w:val="14"/>
          <w:rFonts w:ascii="仿宋" w:hAnsi="仿宋" w:eastAsia="仿宋"/>
          <w:b w:val="0"/>
          <w:bCs/>
          <w:color w:val="000000"/>
          <w:sz w:val="32"/>
          <w:szCs w:val="32"/>
        </w:rPr>
      </w:pPr>
      <w:r>
        <w:rPr>
          <w:rStyle w:val="14"/>
          <w:rFonts w:hint="eastAsia" w:ascii="仿宋" w:hAnsi="仿宋" w:eastAsia="仿宋"/>
          <w:bCs/>
          <w:color w:val="000000"/>
          <w:sz w:val="32"/>
          <w:szCs w:val="32"/>
        </w:rPr>
        <w:t>社会保障和就业208（类）05（款）05（项）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支出决算为158.19万元，完成预算100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10E2DCF1">
      <w:pPr>
        <w:numPr>
          <w:ilvl w:val="0"/>
          <w:numId w:val="3"/>
        </w:numPr>
        <w:spacing w:line="600" w:lineRule="exact"/>
        <w:ind w:firstLine="643"/>
        <w:rPr>
          <w:rStyle w:val="14"/>
          <w:rFonts w:ascii="仿宋" w:hAnsi="仿宋" w:eastAsia="仿宋"/>
          <w:b w:val="0"/>
          <w:bCs/>
          <w:color w:val="000000"/>
          <w:sz w:val="32"/>
          <w:szCs w:val="32"/>
        </w:rPr>
      </w:pPr>
      <w:r>
        <w:rPr>
          <w:rFonts w:hint="eastAsia" w:ascii="仿宋" w:hAnsi="仿宋" w:eastAsia="仿宋"/>
          <w:b/>
          <w:color w:val="000000"/>
          <w:sz w:val="32"/>
          <w:szCs w:val="32"/>
        </w:rPr>
        <w:t>住房公积金</w:t>
      </w:r>
      <w:r>
        <w:rPr>
          <w:rStyle w:val="14"/>
          <w:rFonts w:hint="eastAsia" w:ascii="仿宋" w:hAnsi="仿宋" w:eastAsia="仿宋"/>
          <w:bCs/>
          <w:color w:val="000000"/>
          <w:sz w:val="32"/>
          <w:szCs w:val="32"/>
        </w:rPr>
        <w:t>221（类）02（款）01（项）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支出决算为103.67万元，完成预算100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p>
    <w:p w14:paraId="2159258E">
      <w:pPr>
        <w:pStyle w:val="2"/>
        <w:spacing w:before="93"/>
      </w:pPr>
      <w:r>
        <w:rPr>
          <w:rFonts w:hint="eastAsia"/>
        </w:rPr>
        <w:t xml:space="preserve">  </w:t>
      </w:r>
      <w:r>
        <w:rPr>
          <w:rFonts w:hint="eastAsia" w:ascii="仿宋" w:hAnsi="仿宋" w:eastAsia="仿宋"/>
          <w:b/>
          <w:color w:val="000000"/>
          <w:kern w:val="2"/>
          <w:sz w:val="32"/>
          <w:szCs w:val="32"/>
        </w:rPr>
        <w:t xml:space="preserve"> 6、购房补贴221（类）02（款）03（项）：支出决算为1.52万元，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p>
    <w:p w14:paraId="339B7F1D">
      <w:pPr>
        <w:tabs>
          <w:tab w:val="right" w:pos="8306"/>
        </w:tabs>
        <w:spacing w:line="500" w:lineRule="exact"/>
        <w:ind w:firstLine="640"/>
        <w:outlineLvl w:val="1"/>
        <w:rPr>
          <w:rStyle w:val="25"/>
        </w:rPr>
      </w:pPr>
      <w:bookmarkStart w:id="51" w:name="_Toc15396608"/>
      <w:bookmarkStart w:id="52" w:name="_Toc7146"/>
      <w:bookmarkStart w:id="53"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51"/>
      <w:bookmarkEnd w:id="52"/>
      <w:bookmarkEnd w:id="53"/>
      <w:r>
        <w:rPr>
          <w:rStyle w:val="25"/>
          <w:rFonts w:ascii="黑体" w:hAnsi="黑体" w:eastAsia="黑体"/>
          <w:b w:val="0"/>
        </w:rPr>
        <w:tab/>
      </w:r>
    </w:p>
    <w:p w14:paraId="2E7B2956">
      <w:pPr>
        <w:spacing w:line="5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21年一般公共预算财政拨款基本支出1，313.48万元，其中：</w:t>
      </w:r>
    </w:p>
    <w:p w14:paraId="404BA9E0">
      <w:pPr>
        <w:spacing w:line="500" w:lineRule="exact"/>
        <w:ind w:firstLine="645"/>
        <w:rPr>
          <w:rFonts w:ascii="仿宋" w:hAnsi="仿宋" w:eastAsia="仿宋"/>
          <w:sz w:val="32"/>
          <w:szCs w:val="32"/>
        </w:rPr>
      </w:pPr>
      <w:r>
        <w:rPr>
          <w:rFonts w:hint="eastAsia" w:ascii="仿宋" w:hAnsi="仿宋" w:eastAsia="仿宋"/>
          <w:sz w:val="32"/>
          <w:szCs w:val="32"/>
        </w:rPr>
        <w:t>人员经费1,287.24万元，主要包括：基本工资、津贴补贴、奖金、乡镇补贴、绩效工资、机关事业单位基本养老保险缴费、职业年金缴费、其他社会保障缴费、其他工资福利支出、离休费、退休费、抚恤金、生活补助、医疗费补助、奖励金、住房公积金、其他对个人和家庭的补助支出等。</w:t>
      </w:r>
    </w:p>
    <w:p w14:paraId="1FD4F748">
      <w:pPr>
        <w:spacing w:line="500" w:lineRule="exact"/>
        <w:ind w:firstLine="645"/>
        <w:rPr>
          <w:rFonts w:ascii="仿宋" w:hAnsi="仿宋" w:eastAsia="仿宋"/>
          <w:sz w:val="32"/>
          <w:szCs w:val="32"/>
        </w:rPr>
      </w:pPr>
      <w:r>
        <w:rPr>
          <w:rFonts w:hint="eastAsia" w:ascii="仿宋" w:hAnsi="仿宋" w:eastAsia="仿宋"/>
          <w:sz w:val="32"/>
          <w:szCs w:val="32"/>
        </w:rPr>
        <w:t>公用经费26.24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1426152">
      <w:pPr>
        <w:spacing w:line="500" w:lineRule="exact"/>
        <w:ind w:firstLine="640"/>
        <w:outlineLvl w:val="1"/>
        <w:rPr>
          <w:rStyle w:val="25"/>
          <w:rFonts w:ascii="黑体" w:hAnsi="黑体" w:eastAsia="黑体"/>
          <w:b w:val="0"/>
        </w:rPr>
      </w:pPr>
      <w:bookmarkStart w:id="54" w:name="_Toc15377215"/>
      <w:bookmarkStart w:id="55" w:name="_Toc15396609"/>
      <w:bookmarkStart w:id="56" w:name="_Toc3729"/>
      <w:r>
        <w:rPr>
          <w:rFonts w:hint="eastAsia" w:ascii="黑体" w:eastAsia="黑体"/>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4"/>
      <w:bookmarkEnd w:id="55"/>
      <w:bookmarkEnd w:id="56"/>
    </w:p>
    <w:p w14:paraId="111DBF01">
      <w:pPr>
        <w:spacing w:line="500" w:lineRule="exact"/>
        <w:ind w:firstLine="640"/>
        <w:outlineLvl w:val="2"/>
        <w:rPr>
          <w:rFonts w:ascii="仿宋" w:hAnsi="仿宋" w:eastAsia="仿宋"/>
          <w:b/>
          <w:sz w:val="32"/>
          <w:szCs w:val="32"/>
        </w:rPr>
      </w:pPr>
      <w:bookmarkStart w:id="57" w:name="_Toc15377216"/>
      <w:r>
        <w:rPr>
          <w:rFonts w:hint="eastAsia" w:ascii="仿宋" w:hAnsi="仿宋" w:eastAsia="仿宋"/>
          <w:b/>
          <w:sz w:val="32"/>
          <w:szCs w:val="32"/>
        </w:rPr>
        <w:t>（一）“三公”经费财政拨款支出决算总体情况说明</w:t>
      </w:r>
      <w:bookmarkEnd w:id="57"/>
    </w:p>
    <w:p w14:paraId="2C375FC1">
      <w:pPr>
        <w:spacing w:line="500" w:lineRule="exact"/>
        <w:ind w:firstLine="640"/>
      </w:pPr>
      <w:r>
        <w:rPr>
          <w:rFonts w:ascii="仿宋" w:hAnsi="仿宋" w:eastAsia="仿宋"/>
          <w:sz w:val="32"/>
          <w:szCs w:val="32"/>
        </w:rPr>
        <w:t>20</w:t>
      </w:r>
      <w:r>
        <w:rPr>
          <w:rFonts w:hint="eastAsia" w:ascii="仿宋" w:hAnsi="仿宋" w:eastAsia="仿宋"/>
          <w:sz w:val="32"/>
          <w:szCs w:val="32"/>
        </w:rPr>
        <w:t>21年“三公”经费财政拨款支出决算为0万元，完成预算0</w:t>
      </w:r>
      <w:r>
        <w:rPr>
          <w:rFonts w:ascii="仿宋" w:hAnsi="仿宋" w:eastAsia="仿宋"/>
          <w:sz w:val="32"/>
          <w:szCs w:val="32"/>
        </w:rPr>
        <w:t>%</w:t>
      </w:r>
      <w:r>
        <w:rPr>
          <w:rFonts w:hint="eastAsia" w:ascii="仿宋" w:hAnsi="仿宋" w:eastAsia="仿宋"/>
          <w:sz w:val="32"/>
          <w:szCs w:val="32"/>
        </w:rPr>
        <w:t>，与预算数持平，学校无公务接待支出、元公务用车支出、因公务出国（境）支出。</w:t>
      </w:r>
    </w:p>
    <w:p w14:paraId="654AC450">
      <w:pPr>
        <w:spacing w:line="500" w:lineRule="exact"/>
        <w:ind w:firstLine="640"/>
        <w:outlineLvl w:val="2"/>
        <w:rPr>
          <w:rFonts w:ascii="仿宋" w:hAnsi="仿宋" w:eastAsia="仿宋"/>
          <w:b/>
          <w:sz w:val="32"/>
          <w:szCs w:val="32"/>
        </w:rPr>
      </w:pPr>
      <w:bookmarkStart w:id="58" w:name="_Toc15377217"/>
      <w:r>
        <w:rPr>
          <w:rFonts w:hint="eastAsia" w:ascii="仿宋" w:hAnsi="仿宋" w:eastAsia="仿宋"/>
          <w:b/>
          <w:sz w:val="32"/>
          <w:szCs w:val="32"/>
        </w:rPr>
        <w:t>（二）“三公”经费财政拨款支出决算具体情况说明</w:t>
      </w:r>
      <w:bookmarkEnd w:id="58"/>
    </w:p>
    <w:p w14:paraId="36BEDAD9">
      <w:pPr>
        <w:spacing w:line="5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；公务接待费支出决算0万元，占0</w:t>
      </w:r>
      <w:r>
        <w:rPr>
          <w:rFonts w:ascii="仿宋" w:hAnsi="仿宋" w:eastAsia="仿宋"/>
          <w:sz w:val="32"/>
          <w:szCs w:val="32"/>
        </w:rPr>
        <w:t>%</w:t>
      </w:r>
      <w:r>
        <w:rPr>
          <w:rFonts w:hint="eastAsia" w:ascii="仿宋" w:hAnsi="仿宋" w:eastAsia="仿宋"/>
          <w:sz w:val="32"/>
          <w:szCs w:val="32"/>
        </w:rPr>
        <w:t>。具体情况如下：</w:t>
      </w:r>
    </w:p>
    <w:p w14:paraId="5061E347">
      <w:pPr>
        <w:spacing w:line="500" w:lineRule="exact"/>
        <w:ind w:firstLine="640"/>
        <w:rPr>
          <w:rFonts w:ascii="仿宋" w:hAnsi="仿宋" w:eastAsia="仿宋"/>
          <w:sz w:val="32"/>
          <w:szCs w:val="32"/>
        </w:rPr>
      </w:pPr>
      <w:r>
        <w:drawing>
          <wp:anchor distT="0" distB="0" distL="114300" distR="114300" simplePos="0" relativeHeight="251659264" behindDoc="1" locked="0" layoutInCell="1" allowOverlap="1">
            <wp:simplePos x="0" y="0"/>
            <wp:positionH relativeFrom="column">
              <wp:posOffset>708025</wp:posOffset>
            </wp:positionH>
            <wp:positionV relativeFrom="paragraph">
              <wp:posOffset>267335</wp:posOffset>
            </wp:positionV>
            <wp:extent cx="3618230" cy="1872615"/>
            <wp:effectExtent l="0" t="0" r="1270" b="13335"/>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5"/>
                    <a:stretch>
                      <a:fillRect/>
                    </a:stretch>
                  </pic:blipFill>
                  <pic:spPr>
                    <a:xfrm>
                      <a:off x="0" y="0"/>
                      <a:ext cx="3618230" cy="1872615"/>
                    </a:xfrm>
                    <a:prstGeom prst="rect">
                      <a:avLst/>
                    </a:prstGeom>
                    <a:noFill/>
                    <a:ln>
                      <a:noFill/>
                    </a:ln>
                  </pic:spPr>
                </pic:pic>
              </a:graphicData>
            </a:graphic>
          </wp:anchor>
        </w:drawing>
      </w:r>
      <w:r>
        <w:rPr>
          <w:rFonts w:hint="eastAsia" w:ascii="仿宋" w:hAnsi="仿宋" w:eastAsia="仿宋"/>
          <w:sz w:val="32"/>
          <w:szCs w:val="32"/>
        </w:rPr>
        <w:t>（图7：“三公”经费财政拨款支出结构）（饼状图）</w:t>
      </w:r>
    </w:p>
    <w:p w14:paraId="5C10707F">
      <w:pPr>
        <w:pStyle w:val="2"/>
        <w:spacing w:before="93"/>
      </w:pPr>
    </w:p>
    <w:p w14:paraId="5A3A27A7">
      <w:pPr>
        <w:pStyle w:val="2"/>
        <w:spacing w:before="93"/>
      </w:pPr>
    </w:p>
    <w:p w14:paraId="4A33E3A8">
      <w:pPr>
        <w:pStyle w:val="2"/>
        <w:spacing w:before="93"/>
      </w:pPr>
    </w:p>
    <w:p w14:paraId="15755782">
      <w:pPr>
        <w:pStyle w:val="2"/>
        <w:spacing w:before="93"/>
      </w:pPr>
    </w:p>
    <w:p w14:paraId="324CA123">
      <w:pPr>
        <w:spacing w:line="5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20年持平。主要原因是无出国出境</w:t>
      </w:r>
      <w:r>
        <w:rPr>
          <w:rFonts w:hint="eastAsia" w:ascii="仿宋_GB2312" w:eastAsia="仿宋_GB2312"/>
          <w:sz w:val="32"/>
          <w:szCs w:val="32"/>
          <w:lang w:val="en-US" w:eastAsia="zh-CN"/>
        </w:rPr>
        <w:t>安</w:t>
      </w:r>
      <w:r>
        <w:rPr>
          <w:rFonts w:hint="eastAsia" w:ascii="仿宋_GB2312" w:eastAsia="仿宋_GB2312"/>
          <w:sz w:val="32"/>
          <w:szCs w:val="32"/>
        </w:rPr>
        <w:t>排。</w:t>
      </w:r>
    </w:p>
    <w:p w14:paraId="6834FB66">
      <w:pPr>
        <w:spacing w:line="5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20年持平。主要原因是无公务用车支出。</w:t>
      </w:r>
    </w:p>
    <w:p w14:paraId="03E3CE5C">
      <w:pPr>
        <w:spacing w:line="5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32A27210">
      <w:pPr>
        <w:spacing w:line="5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103E8016">
      <w:pPr>
        <w:spacing w:line="5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20年持平。主要原因是无公务接待支出</w:t>
      </w:r>
    </w:p>
    <w:p w14:paraId="3D44145F">
      <w:pPr>
        <w:spacing w:line="5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14:paraId="7A1BB3F6">
      <w:pPr>
        <w:spacing w:line="5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14:paraId="0042AB5D">
      <w:pPr>
        <w:spacing w:line="500" w:lineRule="exact"/>
        <w:ind w:firstLine="640"/>
        <w:outlineLvl w:val="1"/>
        <w:rPr>
          <w:rStyle w:val="25"/>
          <w:rFonts w:ascii="黑体" w:hAnsi="黑体" w:eastAsia="黑体"/>
        </w:rPr>
      </w:pPr>
      <w:bookmarkStart w:id="59" w:name="_Toc22442"/>
      <w:bookmarkStart w:id="60" w:name="_Toc15377218"/>
      <w:bookmarkStart w:id="61" w:name="_Toc15396610"/>
      <w:r>
        <w:rPr>
          <w:rFonts w:hint="eastAsia" w:ascii="黑体" w:eastAsia="黑体"/>
          <w:sz w:val="32"/>
          <w:szCs w:val="32"/>
        </w:rPr>
        <w:t>八、</w:t>
      </w:r>
      <w:r>
        <w:rPr>
          <w:rStyle w:val="25"/>
          <w:rFonts w:hint="eastAsia" w:ascii="黑体" w:hAnsi="黑体" w:eastAsia="黑体"/>
          <w:b w:val="0"/>
        </w:rPr>
        <w:t>政府性基金预算支出决算情况说明</w:t>
      </w:r>
      <w:bookmarkEnd w:id="59"/>
      <w:bookmarkEnd w:id="60"/>
      <w:bookmarkEnd w:id="61"/>
    </w:p>
    <w:p w14:paraId="03D36564">
      <w:pPr>
        <w:spacing w:line="5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6A7D5D45">
      <w:pPr>
        <w:numPr>
          <w:ilvl w:val="0"/>
          <w:numId w:val="4"/>
        </w:numPr>
        <w:spacing w:line="500" w:lineRule="exact"/>
        <w:ind w:firstLine="640"/>
        <w:outlineLvl w:val="1"/>
        <w:rPr>
          <w:rStyle w:val="25"/>
          <w:rFonts w:ascii="黑体" w:hAnsi="黑体" w:eastAsia="黑体"/>
          <w:b w:val="0"/>
        </w:rPr>
      </w:pPr>
      <w:bookmarkStart w:id="62" w:name="_Toc22119"/>
      <w:bookmarkStart w:id="63" w:name="_Toc15377219"/>
      <w:bookmarkStart w:id="64" w:name="_Toc15396611"/>
      <w:r>
        <w:rPr>
          <w:rStyle w:val="25"/>
          <w:rFonts w:hint="eastAsia" w:ascii="黑体" w:hAnsi="黑体" w:eastAsia="黑体"/>
          <w:b w:val="0"/>
        </w:rPr>
        <w:t>国有资本经营预算支出决算情况说明</w:t>
      </w:r>
      <w:bookmarkEnd w:id="62"/>
      <w:bookmarkEnd w:id="63"/>
      <w:bookmarkEnd w:id="64"/>
    </w:p>
    <w:p w14:paraId="185F5770">
      <w:pPr>
        <w:spacing w:line="5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04445D45">
      <w:pPr>
        <w:numPr>
          <w:ilvl w:val="0"/>
          <w:numId w:val="4"/>
        </w:numPr>
        <w:spacing w:line="500" w:lineRule="exact"/>
        <w:ind w:firstLine="640"/>
        <w:outlineLvl w:val="1"/>
        <w:rPr>
          <w:rStyle w:val="25"/>
          <w:rFonts w:ascii="黑体" w:hAnsi="黑体" w:eastAsia="黑体"/>
          <w:b w:val="0"/>
        </w:rPr>
      </w:pPr>
      <w:bookmarkStart w:id="65" w:name="_Toc21641"/>
      <w:bookmarkStart w:id="66" w:name="_Toc15396612"/>
      <w:bookmarkStart w:id="67" w:name="_Toc15377221"/>
      <w:r>
        <w:rPr>
          <w:rStyle w:val="25"/>
          <w:rFonts w:hint="eastAsia" w:ascii="黑体" w:hAnsi="黑体" w:eastAsia="黑体"/>
          <w:b w:val="0"/>
        </w:rPr>
        <w:t>其他重要事项的情况说明</w:t>
      </w:r>
      <w:bookmarkEnd w:id="65"/>
      <w:bookmarkEnd w:id="66"/>
      <w:bookmarkEnd w:id="67"/>
    </w:p>
    <w:p w14:paraId="29EAF1CD">
      <w:pPr>
        <w:spacing w:line="500" w:lineRule="exact"/>
        <w:ind w:firstLine="643" w:firstLineChars="200"/>
        <w:outlineLvl w:val="2"/>
        <w:rPr>
          <w:rFonts w:ascii="仿宋" w:hAnsi="仿宋" w:eastAsia="仿宋"/>
          <w:sz w:val="32"/>
          <w:szCs w:val="32"/>
        </w:rPr>
      </w:pPr>
      <w:bookmarkStart w:id="68" w:name="_Toc15377222"/>
      <w:r>
        <w:rPr>
          <w:rFonts w:hint="eastAsia" w:ascii="仿宋" w:hAnsi="仿宋" w:eastAsia="仿宋"/>
          <w:b/>
          <w:sz w:val="32"/>
          <w:szCs w:val="32"/>
        </w:rPr>
        <w:t>（一）机关运行经费支出情况</w:t>
      </w:r>
      <w:bookmarkEnd w:id="68"/>
    </w:p>
    <w:p w14:paraId="1EFDA12E">
      <w:pPr>
        <w:spacing w:line="5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21年，盐边县城第一小学校机关运行经费支出0万元，比</w:t>
      </w:r>
      <w:r>
        <w:rPr>
          <w:rFonts w:ascii="仿宋_GB2312" w:eastAsia="仿宋_GB2312"/>
          <w:sz w:val="32"/>
          <w:szCs w:val="32"/>
        </w:rPr>
        <w:t>20</w:t>
      </w:r>
      <w:r>
        <w:rPr>
          <w:rFonts w:hint="eastAsia" w:ascii="仿宋_GB2312" w:eastAsia="仿宋_GB2312"/>
          <w:sz w:val="32"/>
          <w:szCs w:val="32"/>
        </w:rPr>
        <w:t>20年0万元，学校无机关运行经费支出。</w:t>
      </w:r>
    </w:p>
    <w:p w14:paraId="5EF9DF56">
      <w:pPr>
        <w:autoSpaceDE w:val="0"/>
        <w:autoSpaceDN w:val="0"/>
        <w:adjustRightInd w:val="0"/>
        <w:spacing w:line="500" w:lineRule="exact"/>
        <w:ind w:firstLine="643" w:firstLineChars="200"/>
        <w:jc w:val="left"/>
        <w:outlineLvl w:val="2"/>
        <w:rPr>
          <w:rFonts w:ascii="仿宋" w:hAnsi="仿宋" w:eastAsia="仿宋"/>
          <w:b/>
          <w:sz w:val="32"/>
          <w:szCs w:val="32"/>
        </w:rPr>
      </w:pPr>
      <w:bookmarkStart w:id="69" w:name="_Toc15377223"/>
      <w:r>
        <w:rPr>
          <w:rFonts w:hint="eastAsia" w:ascii="仿宋" w:hAnsi="仿宋" w:eastAsia="仿宋"/>
          <w:b/>
          <w:sz w:val="32"/>
          <w:szCs w:val="32"/>
        </w:rPr>
        <w:t>（二）政府采购支出情况</w:t>
      </w:r>
      <w:bookmarkEnd w:id="69"/>
    </w:p>
    <w:p w14:paraId="18835EEF">
      <w:pPr>
        <w:spacing w:line="5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21年，县城一小政府采购支出总额0万元，其中：政府采购货物支出0万元、政府采购工程支出0万元、政府采购服务支出0万元。授予中小企业合同金额</w:t>
      </w:r>
      <w:r>
        <w:rPr>
          <w:rFonts w:ascii="仿宋_GB2312" w:eastAsia="仿宋_GB2312"/>
          <w:sz w:val="32"/>
          <w:szCs w:val="32"/>
        </w:rPr>
        <w:t>0</w:t>
      </w:r>
      <w:r>
        <w:rPr>
          <w:rFonts w:hint="eastAsia" w:ascii="仿宋_GB2312" w:eastAsia="仿宋_GB2312"/>
          <w:sz w:val="32"/>
          <w:szCs w:val="32"/>
        </w:rPr>
        <w:t>万元，占政府采购支出总额的0</w:t>
      </w:r>
      <w:r>
        <w:rPr>
          <w:rFonts w:ascii="仿宋_GB2312" w:eastAsia="仿宋_GB2312"/>
          <w:sz w:val="32"/>
          <w:szCs w:val="32"/>
        </w:rPr>
        <w:t>%</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万元，占政府采购支出总额的0</w:t>
      </w:r>
      <w:r>
        <w:rPr>
          <w:rFonts w:ascii="仿宋_GB2312" w:eastAsia="仿宋_GB2312"/>
          <w:sz w:val="32"/>
          <w:szCs w:val="32"/>
        </w:rPr>
        <w:t>%</w:t>
      </w:r>
      <w:r>
        <w:rPr>
          <w:rFonts w:hint="eastAsia" w:ascii="仿宋_GB2312" w:eastAsia="仿宋_GB2312"/>
          <w:sz w:val="32"/>
          <w:szCs w:val="32"/>
        </w:rPr>
        <w:t>。</w:t>
      </w:r>
    </w:p>
    <w:p w14:paraId="36A059AC">
      <w:pPr>
        <w:autoSpaceDE w:val="0"/>
        <w:autoSpaceDN w:val="0"/>
        <w:adjustRightInd w:val="0"/>
        <w:spacing w:line="500" w:lineRule="exact"/>
        <w:ind w:firstLine="643" w:firstLineChars="200"/>
        <w:jc w:val="left"/>
        <w:outlineLvl w:val="2"/>
        <w:rPr>
          <w:rFonts w:ascii="仿宋" w:hAnsi="仿宋" w:eastAsia="仿宋"/>
          <w:b/>
          <w:sz w:val="32"/>
          <w:szCs w:val="32"/>
        </w:rPr>
      </w:pPr>
      <w:bookmarkStart w:id="70" w:name="_Toc15377224"/>
      <w:r>
        <w:rPr>
          <w:rFonts w:hint="eastAsia" w:ascii="仿宋" w:hAnsi="仿宋" w:eastAsia="仿宋"/>
          <w:b/>
          <w:sz w:val="32"/>
          <w:szCs w:val="32"/>
        </w:rPr>
        <w:t>（三）国有资产占有使用情况</w:t>
      </w:r>
      <w:bookmarkEnd w:id="70"/>
    </w:p>
    <w:p w14:paraId="2F9E14B8">
      <w:pPr>
        <w:autoSpaceDE w:val="0"/>
        <w:autoSpaceDN w:val="0"/>
        <w:adjustRightInd w:val="0"/>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日，我校共有车辆0辆，其中：主要领导干部用车0辆、机要通信用车0辆、应急保障用车0辆、其他用车0辆，单价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14:paraId="5AAD3D9D">
      <w:pPr>
        <w:autoSpaceDE w:val="0"/>
        <w:autoSpaceDN w:val="0"/>
        <w:adjustRightInd w:val="0"/>
        <w:spacing w:line="5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B2486E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会议费、培训费等项目开展了预算事前绩效评估，对9个项目编制了绩效目标，预算执行过程中，选取9个项目开展绩效监控，年终执行完毕后，对9个项目开展了绩效目标完成情况自评。</w:t>
      </w:r>
    </w:p>
    <w:p w14:paraId="0EE07FAA">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按要求对2021年部门整体支出开展绩效自评，从评价情况来看会议费年初预算4.94万元，培训费4.41万元，通过学校科学实施，合理配置很好地达到预期效果如：本部门无专项预算项目，因此未组织开展项目支出绩效评价  </w:t>
      </w:r>
    </w:p>
    <w:p w14:paraId="34D731B0">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1.项目绩效目标完成情况。</w:t>
      </w:r>
    </w:p>
    <w:p w14:paraId="465C0BEB">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本部门在2021年度部门决算中反映“办公费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会议费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印刷费、邮电费、维修维护费”等6个项目绩效目标实际完成情况。（本单位部门项目绩效目标个数在5个以上的，选取5个项目进行公开，目标个数在5个以下的，全部进行公开，公开内容包括选取的全部项目完成情况综述和完成情况表）。</w:t>
      </w:r>
    </w:p>
    <w:p w14:paraId="61EF6E9B">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费、维护费、工会费、福利费等基本支出项目绩效目标完成情况综述。项目全年预算数26.24万元，执行数为26.24万元，完成预算的100%。通过项目实施，保障了学校正常工作的运转，通过走出去参加各类教育教学的培训，结对子帮扶，促进教育教学质量的提高，在教学中做到勤俭节约，有修复使用价值的物体通过修补来节约教学开支，减少浪费，有效地为盐边教育事业发展迈向更高一层。发现的主要问题：在实施过程中培训人选中结合教师所教学科调动人员培训，在培训期间产生的相关费用不能及时兑现，维修中的物品中有些未能及时做到监督检查。</w:t>
      </w:r>
    </w:p>
    <w:p w14:paraId="3BB47B9E">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商品和其他支出项目绩效目标完成情况综述。项目全年预算数160.98万元，执行数为160.98万元，完成预算的100%。通过项目实施，其他商品和服务支出支撑着学校的正常运作，保障学校的基本功能，促进学校全面健康发展</w:t>
      </w:r>
    </w:p>
    <w:p w14:paraId="62D4A6F7">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工资福利支出项目绩效目标完成情况综述。项目全年预算1,110.64万元，执行数为1,110.64万元，完成预算的100%。通过项目实施，保障全校教师的基本工资，社会保障、医疗、住房等，有效促进教师对工作的积极性，向往，提高教育质量</w:t>
      </w:r>
      <w:r>
        <w:rPr>
          <w:rFonts w:hint="eastAsia" w:ascii="仿宋_GB2312" w:hAnsi="仿宋_GB2312" w:eastAsia="仿宋_GB2312" w:cs="仿宋_GB2312"/>
          <w:sz w:val="32"/>
          <w:szCs w:val="32"/>
          <w:lang w:eastAsia="zh-CN"/>
        </w:rPr>
        <w:t>打下坚实基础</w:t>
      </w:r>
      <w:r>
        <w:rPr>
          <w:rFonts w:hint="eastAsia" w:ascii="仿宋_GB2312" w:hAnsi="仿宋_GB2312" w:eastAsia="仿宋_GB2312" w:cs="仿宋_GB2312"/>
          <w:sz w:val="32"/>
          <w:szCs w:val="32"/>
        </w:rPr>
        <w:t>，促进教育事业健康发展，为盐边教育事业贡献作出一份努力年终执行完毕后，2021年特定目标类部门预算项目绩效目标自评表见附件（第四部分）。</w:t>
      </w:r>
    </w:p>
    <w:p w14:paraId="520F7097">
      <w:pPr>
        <w:numPr>
          <w:ilvl w:val="0"/>
          <w:numId w:val="6"/>
        </w:numPr>
        <w:spacing w:line="500" w:lineRule="exact"/>
        <w:ind w:firstLine="660" w:firstLineChars="150"/>
        <w:jc w:val="center"/>
        <w:outlineLvl w:val="0"/>
        <w:rPr>
          <w:rStyle w:val="24"/>
          <w:rFonts w:ascii="黑体" w:hAnsi="黑体" w:eastAsia="黑体"/>
          <w:b w:val="0"/>
        </w:rPr>
      </w:pPr>
      <w:bookmarkStart w:id="71" w:name="_Toc15396613"/>
      <w:bookmarkStart w:id="72" w:name="_Toc4548"/>
      <w:bookmarkStart w:id="73" w:name="_Toc15377225"/>
      <w:r>
        <w:rPr>
          <w:rFonts w:hint="eastAsia" w:ascii="黑体" w:hAnsi="黑体" w:eastAsia="黑体"/>
          <w:sz w:val="44"/>
          <w:szCs w:val="44"/>
        </w:rPr>
        <w:t>名</w:t>
      </w:r>
      <w:r>
        <w:rPr>
          <w:rStyle w:val="24"/>
          <w:rFonts w:hint="eastAsia" w:ascii="黑体" w:hAnsi="黑体" w:eastAsia="黑体"/>
          <w:b w:val="0"/>
        </w:rPr>
        <w:t>词解释</w:t>
      </w:r>
      <w:bookmarkEnd w:id="71"/>
      <w:bookmarkEnd w:id="72"/>
      <w:bookmarkEnd w:id="73"/>
    </w:p>
    <w:p w14:paraId="5DA31B9A">
      <w:pPr>
        <w:spacing w:line="500" w:lineRule="exact"/>
        <w:jc w:val="left"/>
        <w:rPr>
          <w:rFonts w:ascii="宋体"/>
          <w:b/>
          <w:sz w:val="44"/>
          <w:szCs w:val="44"/>
        </w:rPr>
      </w:pPr>
    </w:p>
    <w:p w14:paraId="6BE848D9">
      <w:pPr>
        <w:pStyle w:val="22"/>
        <w:spacing w:line="500" w:lineRule="exact"/>
        <w:ind w:firstLine="640" w:firstLineChars="200"/>
        <w:outlineLvl w:val="1"/>
        <w:rPr>
          <w:rFonts w:ascii="仿宋_GB2312" w:eastAsia="仿宋_GB2312"/>
          <w:color w:val="auto"/>
          <w:sz w:val="32"/>
          <w:szCs w:val="32"/>
        </w:rPr>
      </w:pPr>
      <w:bookmarkStart w:id="74" w:name="_Toc32542"/>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bookmarkEnd w:id="74"/>
    </w:p>
    <w:p w14:paraId="2D7875E4">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233515B5">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2644941D">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p>
    <w:p w14:paraId="1E54AECE">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p>
    <w:p w14:paraId="43CCE097">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p>
    <w:p w14:paraId="425CDE65">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67813E1C">
      <w:pPr>
        <w:pStyle w:val="22"/>
        <w:spacing w:line="50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1F7939A3">
      <w:pPr>
        <w:spacing w:line="600" w:lineRule="exact"/>
        <w:ind w:firstLine="640" w:firstLineChars="200"/>
        <w:rPr>
          <w:rFonts w:ascii="仿宋_GB2312" w:eastAsia="仿宋_GB2312" w:cs="仿宋"/>
          <w:color w:val="000000"/>
          <w:kern w:val="0"/>
          <w:sz w:val="32"/>
          <w:szCs w:val="32"/>
        </w:rPr>
      </w:pPr>
      <w:r>
        <w:rPr>
          <w:rFonts w:ascii="仿宋_GB2312" w:eastAsia="仿宋_GB2312"/>
          <w:color w:val="000000"/>
          <w:sz w:val="32"/>
          <w:szCs w:val="32"/>
        </w:rPr>
        <w:t>9</w:t>
      </w:r>
      <w:r>
        <w:rPr>
          <w:rFonts w:hint="eastAsia" w:ascii="仿宋_GB2312" w:eastAsia="仿宋_GB2312"/>
          <w:color w:val="000000"/>
          <w:sz w:val="32"/>
          <w:szCs w:val="32"/>
        </w:rPr>
        <w:t>、</w:t>
      </w:r>
      <w:r>
        <w:rPr>
          <w:b/>
        </w:rPr>
        <w:t>一</w:t>
      </w:r>
      <w:r>
        <w:rPr>
          <w:rFonts w:hint="eastAsia" w:ascii="仿宋_GB2312" w:eastAsia="仿宋_GB2312" w:cs="仿宋"/>
          <w:color w:val="000000"/>
          <w:kern w:val="0"/>
          <w:sz w:val="32"/>
          <w:szCs w:val="32"/>
        </w:rPr>
        <w:t>般公共预算拨款收入：教育支出（205） 普通教育（20502）小学教育（2050202） 其他普通教育支出，县级财政当年拨付的资金收入。</w:t>
      </w:r>
    </w:p>
    <w:p w14:paraId="2DBD4FC7">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10、其他支出：教育支出（205） 普通教育（20502）学前教育（2050201）其他普通教育支出 指用于学前幼儿保教经费，</w:t>
      </w:r>
    </w:p>
    <w:p w14:paraId="729D510E">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11、基本支出： 教育支出（205） 普通教育（20502） 小学教育（2050202）指其他普通教育支出，为保证事业单位正常运转，完成日常工作任务而发生的人员支出和公用支出。</w:t>
      </w:r>
    </w:p>
    <w:p w14:paraId="400F7C6B">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12、项目支出：教育支出（205） 普通教育（20502）小学教育（2050202） 其他普通教育支出，在基本支出之外为完成特定行政任务和事业发展目标所发生的支出。</w:t>
      </w:r>
    </w:p>
    <w:p w14:paraId="2A221570">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13、业务运行经费：教育支出（205） 普通教育（20502） 小学教育（2050202）为保障事业单位运行用于购买货物和服务的各项资金。包括办公及办公费、维修维护费、工会经费、福利费会议费等费用开支。</w:t>
      </w:r>
    </w:p>
    <w:p w14:paraId="1CDD94A2">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14、“三公”经费：教育支出（205） 普通教育（20502） 小学教育（2050202）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61DCB93">
      <w:pPr>
        <w:spacing w:line="600" w:lineRule="exact"/>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15、 社会保障和就业支出（208） 行政事业单位养老支出（20805） 机关事业单位基本养老保险缴费支出：</w:t>
      </w:r>
    </w:p>
    <w:p w14:paraId="44447263">
      <w:pPr>
        <w:ind w:firstLine="640" w:firstLineChars="200"/>
        <w:rPr>
          <w:rFonts w:ascii="仿宋_GB2312" w:eastAsia="仿宋_GB2312" w:cs="仿宋"/>
          <w:color w:val="000000"/>
          <w:kern w:val="0"/>
          <w:sz w:val="32"/>
          <w:szCs w:val="32"/>
        </w:rPr>
      </w:pPr>
      <w:r>
        <w:rPr>
          <w:rFonts w:hint="eastAsia" w:ascii="仿宋_GB2312" w:eastAsia="仿宋_GB2312" w:cs="仿宋"/>
          <w:color w:val="000000"/>
          <w:kern w:val="0"/>
          <w:sz w:val="32"/>
          <w:szCs w:val="32"/>
        </w:rPr>
        <w:t>16、 住房保障支出：住房改革支出（221） 住房公积金（22102），指事业单位人员住房保障支出 。</w:t>
      </w:r>
    </w:p>
    <w:p w14:paraId="1994BF40">
      <w:pPr>
        <w:ind w:firstLine="640" w:firstLineChars="200"/>
        <w:rPr>
          <w:rFonts w:ascii="仿宋_GB2312" w:eastAsia="仿宋_GB2312"/>
          <w:color w:val="000000"/>
          <w:sz w:val="32"/>
          <w:szCs w:val="32"/>
        </w:rPr>
      </w:pPr>
      <w:r>
        <w:rPr>
          <w:rFonts w:hint="eastAsia" w:ascii="仿宋_GB2312" w:eastAsia="仿宋_GB2312"/>
          <w:color w:val="000000"/>
          <w:sz w:val="32"/>
          <w:szCs w:val="32"/>
        </w:rPr>
        <w:t>17、经营支出：指事业单位在专业业务活动及其辅助活动之外开展非独立核算经营活动发生的支出。</w:t>
      </w:r>
    </w:p>
    <w:p w14:paraId="5B50F0E6">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6A6D2BA">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2FC513A">
      <w:pPr>
        <w:spacing w:line="5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563360C6">
      <w:pPr>
        <w:spacing w:line="5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60FC4808">
      <w:pPr>
        <w:spacing w:line="5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0</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2C753453">
      <w:pPr>
        <w:pStyle w:val="22"/>
        <w:spacing w:line="5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80047B0">
      <w:pPr>
        <w:spacing w:line="600" w:lineRule="exact"/>
        <w:jc w:val="center"/>
        <w:outlineLvl w:val="0"/>
        <w:rPr>
          <w:rStyle w:val="24"/>
          <w:rFonts w:ascii="黑体" w:hAnsi="黑体" w:eastAsia="黑体"/>
          <w:b w:val="0"/>
        </w:rPr>
      </w:pPr>
      <w:bookmarkStart w:id="75" w:name="_Toc15377226"/>
      <w:r>
        <w:rPr>
          <w:rFonts w:ascii="宋体"/>
          <w:b/>
          <w:sz w:val="44"/>
          <w:szCs w:val="44"/>
        </w:rPr>
        <w:br w:type="page"/>
      </w:r>
      <w:bookmarkStart w:id="76" w:name="_Toc15396614"/>
      <w:bookmarkStart w:id="77" w:name="_Toc9250"/>
      <w:r>
        <w:rPr>
          <w:rFonts w:hint="eastAsia" w:ascii="黑体" w:hAnsi="黑体" w:eastAsia="黑体"/>
          <w:sz w:val="44"/>
          <w:szCs w:val="44"/>
        </w:rPr>
        <w:t>第</w:t>
      </w:r>
      <w:r>
        <w:rPr>
          <w:rStyle w:val="24"/>
          <w:rFonts w:hint="eastAsia" w:ascii="黑体" w:hAnsi="黑体" w:eastAsia="黑体"/>
          <w:b w:val="0"/>
        </w:rPr>
        <w:t>四部分 附件</w:t>
      </w:r>
      <w:bookmarkEnd w:id="76"/>
      <w:bookmarkEnd w:id="77"/>
    </w:p>
    <w:p w14:paraId="7540A4EF">
      <w:pPr>
        <w:spacing w:line="572" w:lineRule="exact"/>
        <w:jc w:val="left"/>
        <w:outlineLvl w:val="1"/>
        <w:rPr>
          <w:rFonts w:ascii="仿宋_GB2312" w:hAnsi="仿宋_GB2312" w:eastAsia="仿宋_GB2312" w:cs="仿宋_GB2312"/>
          <w:sz w:val="32"/>
          <w:szCs w:val="32"/>
        </w:rPr>
      </w:pPr>
      <w:bookmarkStart w:id="78" w:name="_Toc6473"/>
      <w:r>
        <w:rPr>
          <w:rFonts w:hint="eastAsia" w:ascii="黑体" w:hAnsi="黑体" w:eastAsia="黑体" w:cs="黑体"/>
          <w:sz w:val="32"/>
          <w:szCs w:val="32"/>
        </w:rPr>
        <w:t>附件</w:t>
      </w:r>
      <w:bookmarkEnd w:id="78"/>
    </w:p>
    <w:tbl>
      <w:tblPr>
        <w:tblStyle w:val="12"/>
        <w:tblpPr w:leftFromText="180" w:rightFromText="180" w:vertAnchor="text" w:horzAnchor="page" w:tblpX="1281" w:tblpY="660"/>
        <w:tblOverlap w:val="never"/>
        <w:tblW w:w="10173" w:type="dxa"/>
        <w:tblInd w:w="0" w:type="dxa"/>
        <w:tblLayout w:type="fixed"/>
        <w:tblCellMar>
          <w:top w:w="0" w:type="dxa"/>
          <w:left w:w="108" w:type="dxa"/>
          <w:bottom w:w="0" w:type="dxa"/>
          <w:right w:w="108" w:type="dxa"/>
        </w:tblCellMar>
      </w:tblPr>
      <w:tblGrid>
        <w:gridCol w:w="1450"/>
        <w:gridCol w:w="1262"/>
        <w:gridCol w:w="1488"/>
        <w:gridCol w:w="850"/>
        <w:gridCol w:w="1425"/>
        <w:gridCol w:w="1625"/>
        <w:gridCol w:w="650"/>
        <w:gridCol w:w="1187"/>
        <w:gridCol w:w="236"/>
      </w:tblGrid>
      <w:tr w14:paraId="7049DA50">
        <w:tblPrEx>
          <w:tblCellMar>
            <w:top w:w="0" w:type="dxa"/>
            <w:left w:w="108" w:type="dxa"/>
            <w:bottom w:w="0" w:type="dxa"/>
            <w:right w:w="108" w:type="dxa"/>
          </w:tblCellMar>
        </w:tblPrEx>
        <w:trPr>
          <w:trHeight w:val="675" w:hRule="atLeast"/>
        </w:trPr>
        <w:tc>
          <w:tcPr>
            <w:tcW w:w="9937" w:type="dxa"/>
            <w:gridSpan w:val="8"/>
            <w:tcBorders>
              <w:top w:val="nil"/>
              <w:left w:val="nil"/>
              <w:bottom w:val="nil"/>
              <w:right w:val="nil"/>
            </w:tcBorders>
            <w:shd w:val="clear" w:color="auto" w:fill="auto"/>
            <w:vAlign w:val="center"/>
          </w:tcPr>
          <w:p w14:paraId="5C49F3AC">
            <w:pPr>
              <w:widowControl/>
              <w:jc w:val="center"/>
              <w:textAlignment w:val="center"/>
              <w:rPr>
                <w:rFonts w:ascii="宋体" w:hAnsi="宋体" w:cs="宋体"/>
                <w:b/>
                <w:sz w:val="32"/>
                <w:szCs w:val="32"/>
              </w:rPr>
            </w:pPr>
            <w:bookmarkStart w:id="79" w:name="_Toc15396618"/>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14:paraId="73BC3E9E">
            <w:pPr>
              <w:widowControl/>
              <w:jc w:val="center"/>
              <w:textAlignment w:val="center"/>
              <w:rPr>
                <w:rFonts w:ascii="宋体" w:hAnsi="宋体" w:cs="宋体"/>
                <w:b/>
                <w:kern w:val="0"/>
                <w:sz w:val="32"/>
                <w:szCs w:val="32"/>
              </w:rPr>
            </w:pPr>
          </w:p>
        </w:tc>
      </w:tr>
      <w:tr w14:paraId="5B3E602D">
        <w:tblPrEx>
          <w:tblCellMar>
            <w:top w:w="0" w:type="dxa"/>
            <w:left w:w="108" w:type="dxa"/>
            <w:bottom w:w="0" w:type="dxa"/>
            <w:right w:w="108" w:type="dxa"/>
          </w:tblCellMar>
        </w:tblPrEx>
        <w:trPr>
          <w:gridAfter w:val="1"/>
          <w:wAfter w:w="236" w:type="dxa"/>
          <w:trHeight w:val="254" w:hRule="atLeast"/>
        </w:trPr>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004D1">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7A4381">
            <w:pPr>
              <w:widowControl/>
              <w:spacing w:line="320" w:lineRule="exact"/>
              <w:textAlignment w:val="center"/>
              <w:rPr>
                <w:rFonts w:ascii="宋体" w:hAnsi="宋体" w:cs="宋体"/>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122C">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73626">
            <w:pPr>
              <w:widowControl/>
              <w:spacing w:line="320" w:lineRule="exact"/>
              <w:jc w:val="center"/>
              <w:textAlignment w:val="center"/>
              <w:rPr>
                <w:rFonts w:ascii="宋体" w:hAnsi="宋体" w:cs="宋体"/>
                <w:sz w:val="24"/>
              </w:rPr>
            </w:pPr>
            <w:r>
              <w:rPr>
                <w:rFonts w:hint="eastAsia" w:ascii="宋体" w:hAnsi="宋体" w:cs="宋体"/>
                <w:sz w:val="24"/>
              </w:rPr>
              <w:t>盐边县城第一小学校</w:t>
            </w:r>
          </w:p>
        </w:tc>
      </w:tr>
      <w:tr w14:paraId="33239FFB">
        <w:tblPrEx>
          <w:tblCellMar>
            <w:top w:w="0" w:type="dxa"/>
            <w:left w:w="108" w:type="dxa"/>
            <w:bottom w:w="0" w:type="dxa"/>
            <w:right w:w="108" w:type="dxa"/>
          </w:tblCellMar>
        </w:tblPrEx>
        <w:trPr>
          <w:gridAfter w:val="1"/>
          <w:wAfter w:w="236" w:type="dxa"/>
          <w:trHeight w:val="341" w:hRule="atLeast"/>
        </w:trPr>
        <w:tc>
          <w:tcPr>
            <w:tcW w:w="27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749C2">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01A4EDAE">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4EDBC885">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27CEF">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9F86">
            <w:pPr>
              <w:widowControl/>
              <w:spacing w:line="320" w:lineRule="exact"/>
              <w:jc w:val="left"/>
              <w:textAlignment w:val="center"/>
              <w:rPr>
                <w:rFonts w:ascii="宋体" w:hAnsi="宋体" w:cs="宋体"/>
                <w:sz w:val="24"/>
              </w:rPr>
            </w:pPr>
            <w:r>
              <w:rPr>
                <w:rFonts w:hint="eastAsia" w:ascii="宋体" w:hAnsi="宋体" w:cs="宋体"/>
                <w:sz w:val="24"/>
              </w:rPr>
              <w:t>619.73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616C">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902D2">
            <w:pPr>
              <w:widowControl/>
              <w:spacing w:line="320" w:lineRule="exact"/>
              <w:jc w:val="right"/>
              <w:textAlignment w:val="center"/>
              <w:rPr>
                <w:rFonts w:ascii="宋体" w:hAnsi="宋体" w:cs="宋体"/>
                <w:sz w:val="24"/>
              </w:rPr>
            </w:pPr>
            <w:r>
              <w:rPr>
                <w:rFonts w:hint="eastAsia" w:ascii="宋体" w:hAnsi="宋体" w:cs="宋体"/>
                <w:sz w:val="24"/>
              </w:rPr>
              <w:t>153.36</w:t>
            </w:r>
          </w:p>
        </w:tc>
      </w:tr>
      <w:tr w14:paraId="15F36BB2">
        <w:tblPrEx>
          <w:tblCellMar>
            <w:top w:w="0" w:type="dxa"/>
            <w:left w:w="108" w:type="dxa"/>
            <w:bottom w:w="0" w:type="dxa"/>
            <w:right w:w="108" w:type="dxa"/>
          </w:tblCellMar>
        </w:tblPrEx>
        <w:trPr>
          <w:gridAfter w:val="1"/>
          <w:wAfter w:w="236" w:type="dxa"/>
          <w:trHeight w:val="555" w:hRule="atLeast"/>
        </w:trPr>
        <w:tc>
          <w:tcPr>
            <w:tcW w:w="2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5E747">
            <w:pPr>
              <w:spacing w:line="320" w:lineRule="exact"/>
              <w:jc w:val="center"/>
              <w:rPr>
                <w:rFonts w:ascii="宋体" w:hAnsi="宋体" w:cs="宋体"/>
                <w:sz w:val="24"/>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6B312E">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1814">
            <w:pPr>
              <w:widowControl/>
              <w:spacing w:line="320" w:lineRule="exact"/>
              <w:jc w:val="left"/>
              <w:textAlignment w:val="center"/>
              <w:rPr>
                <w:rFonts w:ascii="宋体" w:hAnsi="宋体" w:cs="宋体"/>
                <w:sz w:val="24"/>
              </w:rPr>
            </w:pPr>
            <w:r>
              <w:rPr>
                <w:rFonts w:hint="eastAsia" w:ascii="宋体" w:hAnsi="宋体" w:cs="宋体"/>
                <w:sz w:val="24"/>
              </w:rPr>
              <w:t>619.73</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00C2">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9D5D1">
            <w:pPr>
              <w:widowControl/>
              <w:spacing w:line="320" w:lineRule="exact"/>
              <w:textAlignment w:val="center"/>
              <w:rPr>
                <w:rFonts w:ascii="宋体" w:hAnsi="宋体" w:cs="宋体"/>
                <w:sz w:val="24"/>
              </w:rPr>
            </w:pPr>
            <w:r>
              <w:rPr>
                <w:rFonts w:hint="eastAsia" w:ascii="宋体" w:hAnsi="宋体" w:cs="宋体"/>
                <w:sz w:val="24"/>
              </w:rPr>
              <w:t>153.36</w:t>
            </w:r>
          </w:p>
        </w:tc>
      </w:tr>
      <w:tr w14:paraId="49931215">
        <w:tblPrEx>
          <w:tblCellMar>
            <w:top w:w="0" w:type="dxa"/>
            <w:left w:w="108" w:type="dxa"/>
            <w:bottom w:w="0" w:type="dxa"/>
            <w:right w:w="108" w:type="dxa"/>
          </w:tblCellMar>
        </w:tblPrEx>
        <w:trPr>
          <w:gridAfter w:val="1"/>
          <w:wAfter w:w="236" w:type="dxa"/>
          <w:trHeight w:val="341" w:hRule="atLeast"/>
        </w:trPr>
        <w:tc>
          <w:tcPr>
            <w:tcW w:w="2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B8AA6">
            <w:pPr>
              <w:spacing w:line="320" w:lineRule="exact"/>
              <w:jc w:val="center"/>
              <w:rPr>
                <w:rFonts w:ascii="宋体" w:hAnsi="宋体" w:cs="宋体"/>
                <w:sz w:val="24"/>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5D645">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5ADE">
            <w:pPr>
              <w:widowControl/>
              <w:spacing w:line="320" w:lineRule="exact"/>
              <w:jc w:val="left"/>
              <w:textAlignment w:val="center"/>
              <w:rPr>
                <w:rFonts w:ascii="宋体" w:hAnsi="宋体" w:cs="宋体"/>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3B11">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0E6E3">
            <w:pPr>
              <w:widowControl/>
              <w:spacing w:line="320" w:lineRule="exact"/>
              <w:jc w:val="center"/>
              <w:textAlignment w:val="center"/>
              <w:rPr>
                <w:rFonts w:ascii="宋体" w:hAnsi="宋体" w:cs="宋体"/>
                <w:sz w:val="24"/>
              </w:rPr>
            </w:pPr>
          </w:p>
        </w:tc>
      </w:tr>
      <w:tr w14:paraId="7C599CCB">
        <w:tblPrEx>
          <w:tblCellMar>
            <w:top w:w="0" w:type="dxa"/>
            <w:left w:w="108" w:type="dxa"/>
            <w:bottom w:w="0" w:type="dxa"/>
            <w:right w:w="108" w:type="dxa"/>
          </w:tblCellMar>
        </w:tblPrEx>
        <w:trPr>
          <w:gridAfter w:val="1"/>
          <w:wAfter w:w="236" w:type="dxa"/>
          <w:trHeight w:val="217" w:hRule="atLeast"/>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B794E7">
            <w:pPr>
              <w:widowControl/>
              <w:spacing w:line="320" w:lineRule="exact"/>
              <w:jc w:val="center"/>
              <w:textAlignment w:val="center"/>
              <w:rPr>
                <w:rFonts w:ascii="宋体" w:hAnsi="宋体" w:cs="宋体"/>
                <w:sz w:val="24"/>
              </w:rPr>
            </w:pPr>
            <w:r>
              <w:rPr>
                <w:rFonts w:hint="eastAsia" w:ascii="宋体" w:hAnsi="宋体" w:cs="宋体"/>
                <w:kern w:val="0"/>
                <w:sz w:val="24"/>
              </w:rPr>
              <w:t>年度总体目标完成情况</w:t>
            </w:r>
          </w:p>
        </w:tc>
        <w:tc>
          <w:tcPr>
            <w:tcW w:w="50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522967">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DBAF1">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41359BB3">
        <w:tblPrEx>
          <w:tblCellMar>
            <w:top w:w="0" w:type="dxa"/>
            <w:left w:w="108" w:type="dxa"/>
            <w:bottom w:w="0" w:type="dxa"/>
            <w:right w:w="108" w:type="dxa"/>
          </w:tblCellMar>
        </w:tblPrEx>
        <w:trPr>
          <w:gridAfter w:val="1"/>
          <w:wAfter w:w="236" w:type="dxa"/>
          <w:trHeight w:val="870"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2CD79">
            <w:pPr>
              <w:spacing w:line="320" w:lineRule="exact"/>
              <w:jc w:val="center"/>
              <w:rPr>
                <w:rFonts w:ascii="宋体" w:hAnsi="宋体" w:cs="宋体"/>
                <w:sz w:val="24"/>
              </w:rPr>
            </w:pPr>
          </w:p>
        </w:tc>
        <w:tc>
          <w:tcPr>
            <w:tcW w:w="5025" w:type="dxa"/>
            <w:gridSpan w:val="4"/>
            <w:tcBorders>
              <w:top w:val="single" w:color="000000" w:sz="4" w:space="0"/>
              <w:left w:val="single" w:color="000000" w:sz="4" w:space="0"/>
              <w:bottom w:val="single" w:color="000000" w:sz="4" w:space="0"/>
              <w:right w:val="single" w:color="000000" w:sz="4" w:space="0"/>
            </w:tcBorders>
            <w:shd w:val="clear" w:color="auto" w:fill="auto"/>
          </w:tcPr>
          <w:p w14:paraId="2E4C73AB">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2019年新建综合楼一栋、框架结构六层，建筑面积3118.16平方米，实施室外水电工程，地面硬化800平方米，绿化430平方米；。</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tcPr>
          <w:p w14:paraId="5CDD055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项目内容全部建成竣工</w:t>
            </w:r>
          </w:p>
        </w:tc>
      </w:tr>
      <w:tr w14:paraId="1B0F8631">
        <w:tblPrEx>
          <w:tblCellMar>
            <w:top w:w="0" w:type="dxa"/>
            <w:left w:w="108" w:type="dxa"/>
            <w:bottom w:w="0" w:type="dxa"/>
            <w:right w:w="108" w:type="dxa"/>
          </w:tblCellMar>
        </w:tblPrEx>
        <w:trPr>
          <w:gridAfter w:val="1"/>
          <w:wAfter w:w="236" w:type="dxa"/>
          <w:trHeight w:val="693" w:hRule="atLeast"/>
        </w:trPr>
        <w:tc>
          <w:tcPr>
            <w:tcW w:w="1450" w:type="dxa"/>
            <w:vMerge w:val="restart"/>
            <w:tcBorders>
              <w:top w:val="single" w:color="000000" w:sz="4" w:space="0"/>
              <w:left w:val="single" w:color="000000" w:sz="4" w:space="0"/>
              <w:right w:val="single" w:color="000000" w:sz="4" w:space="0"/>
            </w:tcBorders>
            <w:shd w:val="clear" w:color="auto" w:fill="auto"/>
            <w:vAlign w:val="center"/>
          </w:tcPr>
          <w:p w14:paraId="4B95F73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262" w:type="dxa"/>
            <w:tcBorders>
              <w:top w:val="single" w:color="000000" w:sz="4" w:space="0"/>
              <w:left w:val="nil"/>
              <w:bottom w:val="single" w:color="000000" w:sz="4" w:space="0"/>
              <w:right w:val="single" w:color="000000" w:sz="4" w:space="0"/>
            </w:tcBorders>
            <w:shd w:val="clear" w:color="auto" w:fill="auto"/>
            <w:vAlign w:val="center"/>
          </w:tcPr>
          <w:p w14:paraId="7FC6DA00">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24A2D76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3EB2">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03AEA25D">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0607D">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4AF97B3F">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41B61">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E758">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4ED5E330">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3C035E4E">
            <w:pPr>
              <w:spacing w:line="320" w:lineRule="exact"/>
              <w:jc w:val="center"/>
              <w:rPr>
                <w:rFonts w:ascii="仿宋_GB2312" w:hAnsi="仿宋_GB2312" w:eastAsia="仿宋_GB2312" w:cs="仿宋_GB2312"/>
                <w:sz w:val="28"/>
                <w:szCs w:val="28"/>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0CEE7">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3D6EF91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1450BFE5">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40E233D8">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Cs w:val="21"/>
              </w:rPr>
              <w:t>2019年新建综合楼一栋、框架结构六层，建筑面积3118.16平方米，实施室外水电工程，地面硬化800平方米，绿化430平方米</w:t>
            </w:r>
            <w:r>
              <w:rPr>
                <w:rFonts w:hint="eastAsia" w:eastAsia="仿宋_GB2312"/>
                <w:sz w:val="32"/>
                <w:szCs w:val="32"/>
              </w:rPr>
              <w:t>；</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03F029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项目内容全部建成竣工，工程未验收，未完成支付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04FF130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完成100%</w:t>
            </w:r>
          </w:p>
        </w:tc>
      </w:tr>
      <w:tr w14:paraId="1F6431BA">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7856D9D9">
            <w:pPr>
              <w:spacing w:line="320" w:lineRule="exact"/>
              <w:jc w:val="center"/>
              <w:rPr>
                <w:rFonts w:ascii="仿宋_GB2312" w:hAnsi="仿宋_GB2312" w:eastAsia="仿宋_GB2312" w:cs="仿宋_GB2312"/>
                <w:sz w:val="28"/>
                <w:szCs w:val="28"/>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98D02A2">
            <w:pPr>
              <w:spacing w:line="320" w:lineRule="exact"/>
              <w:jc w:val="center"/>
              <w:rPr>
                <w:rFonts w:ascii="仿宋_GB2312" w:hAnsi="仿宋_GB2312" w:eastAsia="仿宋_GB2312" w:cs="仿宋_GB2312"/>
                <w:sz w:val="28"/>
                <w:szCs w:val="28"/>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66CCECC8">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CDD50F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进场材料 、设备检测合格率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47C07C3D">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所有子项目均应在年内竣工验收，因无法抗力或有正当理由的，已向主管部门报备的，可延后验收</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12F1619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完成100%</w:t>
            </w:r>
          </w:p>
        </w:tc>
      </w:tr>
      <w:tr w14:paraId="01ACC0EE">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14BA68B2">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3BE2606">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63814A2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6F7611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2019年新建综合楼一栋、框架结构六层，建筑面积3118.16平方米，实施室外水电工程，地面硬化800平方米，绿化430平方米；</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FAD4DC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如期完成工程内容</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3F768AF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0F021776">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78A3A030">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BD28F10">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6E007731">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3AF55B9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成本节约</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C4C7B9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在计划成本内完成建设任务，总体不超过合同约定的，各子项目均不超过计划成本</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13C48CD">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5A89CC24">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22D606F6">
            <w:pPr>
              <w:widowControl/>
              <w:spacing w:line="320" w:lineRule="exact"/>
              <w:jc w:val="center"/>
              <w:textAlignment w:val="bottom"/>
              <w:rPr>
                <w:rFonts w:ascii="仿宋_GB2312" w:hAnsi="仿宋_GB2312" w:eastAsia="仿宋_GB2312" w:cs="仿宋_GB2312"/>
                <w:kern w:val="0"/>
                <w:szCs w:val="21"/>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B25FE">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效益</w:t>
            </w:r>
          </w:p>
          <w:p w14:paraId="205BEF5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706BC848">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经济效益  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032BCB4F">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成本节约，定期检查</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67E96DD">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对该项目每月至少定期检查1次</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AD6F1A9">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443ABE46">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29BDB589">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2D4C618">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51647A50">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社会效益  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4B0DC31">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工作和学习环境</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51DC713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提升学校整体教学质量，营造良好的工作和学习环境</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1F4B44B0">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691064D4">
        <w:tblPrEx>
          <w:tblCellMar>
            <w:top w:w="0" w:type="dxa"/>
            <w:left w:w="108" w:type="dxa"/>
            <w:bottom w:w="0" w:type="dxa"/>
            <w:right w:w="108" w:type="dxa"/>
          </w:tblCellMar>
        </w:tblPrEx>
        <w:trPr>
          <w:gridAfter w:val="1"/>
          <w:wAfter w:w="236" w:type="dxa"/>
          <w:trHeight w:val="577" w:hRule="atLeast"/>
        </w:trPr>
        <w:tc>
          <w:tcPr>
            <w:tcW w:w="1450" w:type="dxa"/>
            <w:vMerge w:val="continue"/>
            <w:tcBorders>
              <w:left w:val="single" w:color="000000" w:sz="4" w:space="0"/>
              <w:right w:val="single" w:color="000000" w:sz="4" w:space="0"/>
            </w:tcBorders>
            <w:shd w:val="clear" w:color="auto" w:fill="auto"/>
            <w:vAlign w:val="center"/>
          </w:tcPr>
          <w:p w14:paraId="2570C6DC">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0CE8BB45">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23967F1E">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生态效益指标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4ECB4066">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文明施工</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82759F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实施了文明施工措施，施工过程中未出现粉尘、废气、废水、固体废弃物，有毒气体，噪声、振动、施工照明等对人和环境的危害和污染，施工垃圾清理及时</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1AC2777B">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0FFF926C">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7874D5B4">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5E3650B">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7DE4DE26">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可持续影响指标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61C4E00D">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有效提高小学就近入学目标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D52ABE0">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大大减少了学生家庭远程入学，提高了社会效益，长久发展</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6E28DEF9">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6B16A937">
        <w:tblPrEx>
          <w:tblCellMar>
            <w:top w:w="0" w:type="dxa"/>
            <w:left w:w="108" w:type="dxa"/>
            <w:bottom w:w="0" w:type="dxa"/>
            <w:right w:w="108" w:type="dxa"/>
          </w:tblCellMar>
        </w:tblPrEx>
        <w:trPr>
          <w:gridAfter w:val="1"/>
          <w:wAfter w:w="236" w:type="dxa"/>
          <w:trHeight w:val="530" w:hRule="atLeast"/>
        </w:trPr>
        <w:tc>
          <w:tcPr>
            <w:tcW w:w="1450" w:type="dxa"/>
            <w:vMerge w:val="continue"/>
            <w:tcBorders>
              <w:left w:val="single" w:color="000000" w:sz="4" w:space="0"/>
              <w:bottom w:val="single" w:color="000000" w:sz="4" w:space="0"/>
              <w:right w:val="single" w:color="000000" w:sz="4" w:space="0"/>
            </w:tcBorders>
            <w:shd w:val="clear" w:color="auto" w:fill="auto"/>
            <w:vAlign w:val="center"/>
          </w:tcPr>
          <w:p w14:paraId="57A3D3C7">
            <w:pPr>
              <w:widowControl/>
              <w:spacing w:line="320" w:lineRule="exact"/>
              <w:jc w:val="center"/>
              <w:textAlignment w:val="bottom"/>
              <w:rPr>
                <w:rFonts w:ascii="仿宋_GB2312" w:hAnsi="仿宋_GB2312" w:eastAsia="仿宋_GB2312" w:cs="仿宋_GB2312"/>
                <w:kern w:val="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BBF376">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w:t>
            </w:r>
          </w:p>
          <w:p w14:paraId="2EF0BCAF">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度指标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007A734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满意度</w:t>
            </w:r>
          </w:p>
          <w:p w14:paraId="0C5007D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52F9CE6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群众满意度达到</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3D97762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满意或基本满意</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26B54831">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95%</w:t>
            </w:r>
          </w:p>
        </w:tc>
      </w:tr>
    </w:tbl>
    <w:p w14:paraId="4EC5C52C">
      <w:pPr>
        <w:adjustRightInd w:val="0"/>
        <w:snapToGrid w:val="0"/>
        <w:spacing w:line="600" w:lineRule="exact"/>
        <w:ind w:firstLine="720"/>
        <w:rPr>
          <w:rFonts w:ascii="仿宋_GB2312" w:hAnsi="宋体" w:eastAsia="仿宋_GB2312"/>
          <w:sz w:val="32"/>
          <w:szCs w:val="32"/>
          <w:lang w:val="zh-CN"/>
        </w:rPr>
      </w:pPr>
    </w:p>
    <w:p w14:paraId="49BE25C9">
      <w:pPr>
        <w:spacing w:line="600" w:lineRule="exact"/>
        <w:jc w:val="center"/>
        <w:outlineLvl w:val="0"/>
        <w:rPr>
          <w:rStyle w:val="24"/>
          <w:rFonts w:ascii="黑体" w:hAnsi="黑体" w:eastAsia="黑体"/>
          <w:b w:val="0"/>
        </w:rPr>
      </w:pPr>
      <w:bookmarkStart w:id="80" w:name="_Toc19178"/>
      <w:r>
        <w:rPr>
          <w:rFonts w:hint="eastAsia" w:ascii="黑体" w:hAnsi="黑体" w:eastAsia="黑体"/>
          <w:sz w:val="44"/>
          <w:szCs w:val="44"/>
        </w:rPr>
        <w:t>第</w:t>
      </w:r>
      <w:r>
        <w:rPr>
          <w:rStyle w:val="24"/>
          <w:rFonts w:hint="eastAsia" w:ascii="黑体" w:hAnsi="黑体" w:eastAsia="黑体"/>
          <w:b w:val="0"/>
        </w:rPr>
        <w:t>四部分 附件</w:t>
      </w:r>
      <w:bookmarkEnd w:id="80"/>
    </w:p>
    <w:p w14:paraId="0853C167">
      <w:pPr>
        <w:spacing w:line="572" w:lineRule="exact"/>
        <w:jc w:val="left"/>
        <w:outlineLvl w:val="1"/>
        <w:rPr>
          <w:rFonts w:ascii="仿宋_GB2312" w:hAnsi="仿宋_GB2312" w:eastAsia="仿宋_GB2312" w:cs="仿宋_GB2312"/>
          <w:sz w:val="32"/>
          <w:szCs w:val="32"/>
        </w:rPr>
      </w:pPr>
      <w:bookmarkStart w:id="81" w:name="_Toc2490"/>
      <w:r>
        <w:rPr>
          <w:rFonts w:hint="eastAsia" w:ascii="黑体" w:hAnsi="黑体" w:eastAsia="黑体" w:cs="黑体"/>
          <w:sz w:val="32"/>
          <w:szCs w:val="32"/>
        </w:rPr>
        <w:t>附件</w:t>
      </w:r>
      <w:bookmarkEnd w:id="81"/>
    </w:p>
    <w:tbl>
      <w:tblPr>
        <w:tblStyle w:val="12"/>
        <w:tblpPr w:leftFromText="180" w:rightFromText="180" w:vertAnchor="text" w:horzAnchor="page" w:tblpX="1281" w:tblpY="660"/>
        <w:tblOverlap w:val="never"/>
        <w:tblW w:w="10173" w:type="dxa"/>
        <w:tblInd w:w="0" w:type="dxa"/>
        <w:tblLayout w:type="fixed"/>
        <w:tblCellMar>
          <w:top w:w="0" w:type="dxa"/>
          <w:left w:w="108" w:type="dxa"/>
          <w:bottom w:w="0" w:type="dxa"/>
          <w:right w:w="108" w:type="dxa"/>
        </w:tblCellMar>
      </w:tblPr>
      <w:tblGrid>
        <w:gridCol w:w="1450"/>
        <w:gridCol w:w="1262"/>
        <w:gridCol w:w="1488"/>
        <w:gridCol w:w="850"/>
        <w:gridCol w:w="1425"/>
        <w:gridCol w:w="1625"/>
        <w:gridCol w:w="650"/>
        <w:gridCol w:w="1187"/>
        <w:gridCol w:w="236"/>
      </w:tblGrid>
      <w:tr w14:paraId="66FB0451">
        <w:tblPrEx>
          <w:tblCellMar>
            <w:top w:w="0" w:type="dxa"/>
            <w:left w:w="108" w:type="dxa"/>
            <w:bottom w:w="0" w:type="dxa"/>
            <w:right w:w="108" w:type="dxa"/>
          </w:tblCellMar>
        </w:tblPrEx>
        <w:trPr>
          <w:trHeight w:val="675" w:hRule="atLeast"/>
        </w:trPr>
        <w:tc>
          <w:tcPr>
            <w:tcW w:w="9937" w:type="dxa"/>
            <w:gridSpan w:val="8"/>
            <w:tcBorders>
              <w:top w:val="nil"/>
              <w:left w:val="nil"/>
              <w:bottom w:val="nil"/>
              <w:right w:val="nil"/>
            </w:tcBorders>
            <w:shd w:val="clear" w:color="auto" w:fill="auto"/>
            <w:vAlign w:val="center"/>
          </w:tcPr>
          <w:p w14:paraId="448152E8">
            <w:pPr>
              <w:widowControl/>
              <w:jc w:val="center"/>
              <w:textAlignment w:val="center"/>
              <w:rPr>
                <w:rFonts w:ascii="宋体" w:hAnsi="宋体" w:cs="宋体"/>
                <w:b/>
                <w:sz w:val="32"/>
                <w:szCs w:val="32"/>
              </w:rPr>
            </w:pPr>
            <w:r>
              <w:rPr>
                <w:rFonts w:hint="eastAsia" w:ascii="宋体" w:hAnsi="宋体" w:cs="宋体"/>
                <w:b/>
                <w:sz w:val="32"/>
                <w:szCs w:val="32"/>
              </w:rPr>
              <w:t>2021年部门预算项目绩效目标自评</w:t>
            </w:r>
          </w:p>
        </w:tc>
        <w:tc>
          <w:tcPr>
            <w:tcW w:w="236" w:type="dxa"/>
            <w:tcBorders>
              <w:top w:val="nil"/>
              <w:left w:val="nil"/>
              <w:bottom w:val="nil"/>
              <w:right w:val="nil"/>
            </w:tcBorders>
            <w:shd w:val="clear" w:color="auto" w:fill="auto"/>
            <w:vAlign w:val="center"/>
          </w:tcPr>
          <w:p w14:paraId="6CE25AFF">
            <w:pPr>
              <w:widowControl/>
              <w:jc w:val="center"/>
              <w:textAlignment w:val="center"/>
              <w:rPr>
                <w:rFonts w:ascii="宋体" w:hAnsi="宋体" w:cs="宋体"/>
                <w:b/>
                <w:kern w:val="0"/>
                <w:sz w:val="32"/>
                <w:szCs w:val="32"/>
              </w:rPr>
            </w:pPr>
          </w:p>
        </w:tc>
      </w:tr>
      <w:tr w14:paraId="4F5A47F6">
        <w:tblPrEx>
          <w:tblCellMar>
            <w:top w:w="0" w:type="dxa"/>
            <w:left w:w="108" w:type="dxa"/>
            <w:bottom w:w="0" w:type="dxa"/>
            <w:right w:w="108" w:type="dxa"/>
          </w:tblCellMar>
        </w:tblPrEx>
        <w:trPr>
          <w:gridAfter w:val="1"/>
          <w:wAfter w:w="236" w:type="dxa"/>
          <w:trHeight w:val="254" w:hRule="atLeast"/>
        </w:trPr>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17123">
            <w:pPr>
              <w:widowControl/>
              <w:spacing w:line="320" w:lineRule="exact"/>
              <w:jc w:val="center"/>
              <w:textAlignment w:val="center"/>
              <w:rPr>
                <w:rFonts w:ascii="宋体" w:hAnsi="宋体" w:cs="宋体"/>
                <w:sz w:val="24"/>
              </w:rPr>
            </w:pPr>
            <w:r>
              <w:rPr>
                <w:rFonts w:hint="eastAsia" w:ascii="宋体" w:hAnsi="宋体" w:cs="宋体"/>
                <w:kern w:val="0"/>
                <w:sz w:val="24"/>
              </w:rPr>
              <w:t>主管部门及代码</w:t>
            </w:r>
          </w:p>
        </w:tc>
        <w:tc>
          <w:tcPr>
            <w:tcW w:w="3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FFFD4D">
            <w:pPr>
              <w:widowControl/>
              <w:spacing w:line="320" w:lineRule="exact"/>
              <w:textAlignment w:val="center"/>
              <w:rPr>
                <w:rFonts w:ascii="宋体" w:hAnsi="宋体" w:cs="宋体"/>
                <w:sz w:val="24"/>
              </w:rPr>
            </w:pPr>
            <w:r>
              <w:rPr>
                <w:rFonts w:hint="eastAsia" w:eastAsia="仿宋_GB2312"/>
                <w:sz w:val="32"/>
                <w:szCs w:val="32"/>
              </w:rPr>
              <w:t>食堂改造</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C171">
            <w:pPr>
              <w:widowControl/>
              <w:spacing w:line="320" w:lineRule="exact"/>
              <w:jc w:val="center"/>
              <w:textAlignment w:val="center"/>
              <w:rPr>
                <w:rFonts w:ascii="宋体" w:hAnsi="宋体" w:cs="宋体"/>
                <w:sz w:val="24"/>
              </w:rPr>
            </w:pPr>
            <w:r>
              <w:rPr>
                <w:rFonts w:hint="eastAsia" w:ascii="宋体" w:hAnsi="宋体" w:cs="宋体"/>
                <w:kern w:val="0"/>
                <w:sz w:val="24"/>
              </w:rPr>
              <w:t>实施单位</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1D1F5">
            <w:pPr>
              <w:widowControl/>
              <w:spacing w:line="320" w:lineRule="exact"/>
              <w:jc w:val="center"/>
              <w:textAlignment w:val="center"/>
              <w:rPr>
                <w:rFonts w:ascii="宋体" w:hAnsi="宋体" w:cs="宋体"/>
                <w:sz w:val="24"/>
              </w:rPr>
            </w:pPr>
            <w:r>
              <w:rPr>
                <w:rFonts w:hint="eastAsia" w:ascii="宋体" w:hAnsi="宋体" w:cs="宋体"/>
                <w:sz w:val="24"/>
              </w:rPr>
              <w:t>盐边县城第一小学校</w:t>
            </w:r>
          </w:p>
        </w:tc>
      </w:tr>
      <w:tr w14:paraId="764000B1">
        <w:tblPrEx>
          <w:tblCellMar>
            <w:top w:w="0" w:type="dxa"/>
            <w:left w:w="108" w:type="dxa"/>
            <w:bottom w:w="0" w:type="dxa"/>
            <w:right w:w="108" w:type="dxa"/>
          </w:tblCellMar>
        </w:tblPrEx>
        <w:trPr>
          <w:gridAfter w:val="1"/>
          <w:wAfter w:w="236" w:type="dxa"/>
          <w:trHeight w:val="341" w:hRule="atLeast"/>
        </w:trPr>
        <w:tc>
          <w:tcPr>
            <w:tcW w:w="27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BD55E">
            <w:pPr>
              <w:widowControl/>
              <w:spacing w:line="320" w:lineRule="exact"/>
              <w:jc w:val="center"/>
              <w:textAlignment w:val="center"/>
              <w:rPr>
                <w:rFonts w:ascii="宋体" w:hAnsi="宋体" w:cs="宋体"/>
                <w:kern w:val="0"/>
                <w:sz w:val="24"/>
              </w:rPr>
            </w:pPr>
            <w:r>
              <w:rPr>
                <w:rFonts w:hint="eastAsia" w:ascii="宋体" w:hAnsi="宋体" w:cs="宋体"/>
                <w:kern w:val="0"/>
                <w:sz w:val="24"/>
              </w:rPr>
              <w:t>项目预算</w:t>
            </w:r>
          </w:p>
          <w:p w14:paraId="2177FDA5">
            <w:pPr>
              <w:widowControl/>
              <w:spacing w:line="320" w:lineRule="exact"/>
              <w:jc w:val="center"/>
              <w:textAlignment w:val="center"/>
              <w:rPr>
                <w:rFonts w:ascii="宋体" w:hAnsi="宋体" w:cs="宋体"/>
                <w:kern w:val="0"/>
                <w:sz w:val="24"/>
              </w:rPr>
            </w:pPr>
            <w:r>
              <w:rPr>
                <w:rFonts w:hint="eastAsia" w:ascii="宋体" w:hAnsi="宋体" w:cs="宋体"/>
                <w:kern w:val="0"/>
                <w:sz w:val="24"/>
              </w:rPr>
              <w:t>执行情况</w:t>
            </w:r>
          </w:p>
          <w:p w14:paraId="144F7216">
            <w:pPr>
              <w:widowControl/>
              <w:spacing w:line="320" w:lineRule="exact"/>
              <w:jc w:val="center"/>
              <w:textAlignment w:val="center"/>
              <w:rPr>
                <w:rFonts w:ascii="宋体" w:hAnsi="宋体" w:cs="宋体"/>
                <w:sz w:val="24"/>
              </w:rPr>
            </w:pPr>
            <w:r>
              <w:rPr>
                <w:rFonts w:hint="eastAsia" w:ascii="宋体" w:hAnsi="宋体" w:cs="宋体"/>
                <w:kern w:val="0"/>
                <w:sz w:val="24"/>
              </w:rPr>
              <w:t>（万元）</w:t>
            </w: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F8D25">
            <w:pPr>
              <w:widowControl/>
              <w:spacing w:line="320" w:lineRule="exact"/>
              <w:jc w:val="left"/>
              <w:textAlignment w:val="center"/>
              <w:rPr>
                <w:rFonts w:ascii="宋体" w:hAnsi="宋体" w:cs="宋体"/>
                <w:sz w:val="24"/>
              </w:rPr>
            </w:pPr>
            <w:r>
              <w:rPr>
                <w:rFonts w:hint="eastAsia" w:ascii="宋体" w:hAnsi="宋体" w:cs="宋体"/>
                <w:kern w:val="0"/>
                <w:sz w:val="24"/>
              </w:rPr>
              <w:t xml:space="preserve"> 预算数：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CAD0">
            <w:pPr>
              <w:widowControl/>
              <w:spacing w:line="320" w:lineRule="exact"/>
              <w:jc w:val="left"/>
              <w:textAlignment w:val="center"/>
              <w:rPr>
                <w:rFonts w:ascii="宋体" w:hAnsi="宋体" w:cs="宋体"/>
                <w:sz w:val="24"/>
              </w:rPr>
            </w:pPr>
            <w:r>
              <w:rPr>
                <w:rFonts w:hint="eastAsia" w:ascii="宋体" w:hAnsi="宋体" w:cs="宋体"/>
                <w:sz w:val="24"/>
              </w:rPr>
              <w:t>1.4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F505">
            <w:pPr>
              <w:widowControl/>
              <w:spacing w:line="320" w:lineRule="exact"/>
              <w:jc w:val="left"/>
              <w:textAlignment w:val="center"/>
              <w:rPr>
                <w:rFonts w:ascii="宋体" w:hAnsi="宋体" w:cs="宋体"/>
                <w:sz w:val="24"/>
              </w:rPr>
            </w:pPr>
            <w:r>
              <w:rPr>
                <w:rFonts w:hint="eastAsia" w:ascii="宋体" w:hAnsi="宋体" w:cs="宋体"/>
                <w:kern w:val="0"/>
                <w:sz w:val="24"/>
              </w:rPr>
              <w:t xml:space="preserve"> 执行数：</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D2378">
            <w:pPr>
              <w:widowControl/>
              <w:spacing w:line="320" w:lineRule="exact"/>
              <w:jc w:val="center"/>
              <w:textAlignment w:val="center"/>
              <w:rPr>
                <w:rFonts w:ascii="宋体" w:hAnsi="宋体" w:cs="宋体"/>
                <w:sz w:val="24"/>
              </w:rPr>
            </w:pPr>
            <w:r>
              <w:rPr>
                <w:rFonts w:hint="eastAsia" w:ascii="宋体" w:hAnsi="宋体" w:cs="宋体"/>
                <w:sz w:val="24"/>
              </w:rPr>
              <w:t>1.4</w:t>
            </w:r>
          </w:p>
        </w:tc>
      </w:tr>
      <w:tr w14:paraId="5505FC9B">
        <w:tblPrEx>
          <w:tblCellMar>
            <w:top w:w="0" w:type="dxa"/>
            <w:left w:w="108" w:type="dxa"/>
            <w:bottom w:w="0" w:type="dxa"/>
            <w:right w:w="108" w:type="dxa"/>
          </w:tblCellMar>
        </w:tblPrEx>
        <w:trPr>
          <w:gridAfter w:val="1"/>
          <w:wAfter w:w="236" w:type="dxa"/>
          <w:trHeight w:val="555" w:hRule="atLeast"/>
        </w:trPr>
        <w:tc>
          <w:tcPr>
            <w:tcW w:w="2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F8F5">
            <w:pPr>
              <w:spacing w:line="320" w:lineRule="exact"/>
              <w:jc w:val="center"/>
              <w:rPr>
                <w:rFonts w:ascii="宋体" w:hAnsi="宋体" w:cs="宋体"/>
                <w:sz w:val="24"/>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14237">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263D">
            <w:pPr>
              <w:widowControl/>
              <w:spacing w:line="320" w:lineRule="exact"/>
              <w:jc w:val="left"/>
              <w:textAlignment w:val="center"/>
              <w:rPr>
                <w:rFonts w:ascii="宋体" w:hAnsi="宋体" w:cs="宋体"/>
                <w:sz w:val="24"/>
              </w:rPr>
            </w:pPr>
            <w:r>
              <w:rPr>
                <w:rFonts w:hint="eastAsia" w:ascii="宋体" w:hAnsi="宋体" w:cs="宋体"/>
                <w:sz w:val="24"/>
              </w:rPr>
              <w:t>1.4</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6D3">
            <w:pPr>
              <w:widowControl/>
              <w:spacing w:line="320" w:lineRule="exact"/>
              <w:jc w:val="left"/>
              <w:textAlignment w:val="center"/>
              <w:rPr>
                <w:rFonts w:ascii="宋体" w:hAnsi="宋体" w:cs="宋体"/>
                <w:sz w:val="24"/>
              </w:rPr>
            </w:pPr>
            <w:r>
              <w:rPr>
                <w:rFonts w:hint="eastAsia" w:ascii="宋体" w:hAnsi="宋体" w:cs="宋体"/>
                <w:kern w:val="0"/>
                <w:sz w:val="24"/>
              </w:rPr>
              <w:t>其中：财政拨款</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9520D">
            <w:pPr>
              <w:widowControl/>
              <w:spacing w:line="320" w:lineRule="exact"/>
              <w:textAlignment w:val="center"/>
              <w:rPr>
                <w:rFonts w:ascii="宋体" w:hAnsi="宋体" w:cs="宋体"/>
                <w:sz w:val="24"/>
              </w:rPr>
            </w:pPr>
            <w:r>
              <w:rPr>
                <w:rFonts w:hint="eastAsia" w:ascii="宋体" w:hAnsi="宋体" w:cs="宋体"/>
                <w:sz w:val="24"/>
              </w:rPr>
              <w:t>1.4</w:t>
            </w:r>
          </w:p>
        </w:tc>
      </w:tr>
      <w:tr w14:paraId="6F0B8389">
        <w:tblPrEx>
          <w:tblCellMar>
            <w:top w:w="0" w:type="dxa"/>
            <w:left w:w="108" w:type="dxa"/>
            <w:bottom w:w="0" w:type="dxa"/>
            <w:right w:w="108" w:type="dxa"/>
          </w:tblCellMar>
        </w:tblPrEx>
        <w:trPr>
          <w:gridAfter w:val="1"/>
          <w:wAfter w:w="236" w:type="dxa"/>
          <w:trHeight w:val="341" w:hRule="atLeast"/>
        </w:trPr>
        <w:tc>
          <w:tcPr>
            <w:tcW w:w="2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7C41">
            <w:pPr>
              <w:spacing w:line="320" w:lineRule="exact"/>
              <w:jc w:val="center"/>
              <w:rPr>
                <w:rFonts w:ascii="宋体" w:hAnsi="宋体" w:cs="宋体"/>
                <w:sz w:val="24"/>
              </w:rPr>
            </w:pPr>
          </w:p>
        </w:tc>
        <w:tc>
          <w:tcPr>
            <w:tcW w:w="23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83F48">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B8E2">
            <w:pPr>
              <w:widowControl/>
              <w:spacing w:line="320" w:lineRule="exact"/>
              <w:jc w:val="left"/>
              <w:textAlignment w:val="center"/>
              <w:rPr>
                <w:rFonts w:ascii="宋体" w:hAnsi="宋体" w:cs="宋体"/>
                <w:sz w:val="24"/>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B2EF">
            <w:pPr>
              <w:widowControl/>
              <w:spacing w:line="320" w:lineRule="exact"/>
              <w:jc w:val="left"/>
              <w:textAlignment w:val="center"/>
              <w:rPr>
                <w:rFonts w:ascii="宋体" w:hAnsi="宋体" w:cs="宋体"/>
                <w:sz w:val="24"/>
              </w:rPr>
            </w:pPr>
            <w:r>
              <w:rPr>
                <w:rFonts w:hint="eastAsia" w:ascii="宋体" w:hAnsi="宋体" w:cs="宋体"/>
                <w:kern w:val="0"/>
                <w:sz w:val="24"/>
              </w:rPr>
              <w:t>其他资金</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2ACCA">
            <w:pPr>
              <w:widowControl/>
              <w:spacing w:line="320" w:lineRule="exact"/>
              <w:jc w:val="center"/>
              <w:textAlignment w:val="center"/>
              <w:rPr>
                <w:rFonts w:ascii="宋体" w:hAnsi="宋体" w:cs="宋体"/>
                <w:sz w:val="24"/>
              </w:rPr>
            </w:pPr>
          </w:p>
        </w:tc>
      </w:tr>
      <w:tr w14:paraId="3B9E05C4">
        <w:tblPrEx>
          <w:tblCellMar>
            <w:top w:w="0" w:type="dxa"/>
            <w:left w:w="108" w:type="dxa"/>
            <w:bottom w:w="0" w:type="dxa"/>
            <w:right w:w="108" w:type="dxa"/>
          </w:tblCellMar>
        </w:tblPrEx>
        <w:trPr>
          <w:gridAfter w:val="1"/>
          <w:wAfter w:w="236" w:type="dxa"/>
          <w:trHeight w:val="217" w:hRule="atLeast"/>
        </w:trPr>
        <w:tc>
          <w:tcPr>
            <w:tcW w:w="1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F8C5A">
            <w:pPr>
              <w:widowControl/>
              <w:spacing w:line="320" w:lineRule="exact"/>
              <w:jc w:val="center"/>
              <w:textAlignment w:val="center"/>
              <w:rPr>
                <w:rFonts w:ascii="宋体" w:hAnsi="宋体" w:cs="宋体"/>
                <w:sz w:val="24"/>
              </w:rPr>
            </w:pPr>
            <w:r>
              <w:rPr>
                <w:rFonts w:hint="eastAsia" w:ascii="宋体" w:hAnsi="宋体" w:cs="宋体"/>
                <w:kern w:val="0"/>
                <w:sz w:val="24"/>
              </w:rPr>
              <w:t>年度总体目标完成情况</w:t>
            </w:r>
          </w:p>
        </w:tc>
        <w:tc>
          <w:tcPr>
            <w:tcW w:w="50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8B8CFE">
            <w:pPr>
              <w:widowControl/>
              <w:spacing w:line="320" w:lineRule="exact"/>
              <w:jc w:val="center"/>
              <w:textAlignment w:val="center"/>
              <w:rPr>
                <w:rFonts w:ascii="宋体" w:hAnsi="宋体" w:cs="宋体"/>
                <w:sz w:val="24"/>
              </w:rPr>
            </w:pPr>
            <w:r>
              <w:rPr>
                <w:rFonts w:hint="eastAsia" w:ascii="宋体" w:hAnsi="宋体" w:cs="宋体"/>
                <w:kern w:val="0"/>
                <w:sz w:val="24"/>
              </w:rPr>
              <w:t>预期目标</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1824AF">
            <w:pPr>
              <w:widowControl/>
              <w:spacing w:line="320" w:lineRule="exact"/>
              <w:jc w:val="center"/>
              <w:textAlignment w:val="center"/>
              <w:rPr>
                <w:rFonts w:ascii="宋体" w:hAnsi="宋体" w:cs="宋体"/>
                <w:sz w:val="24"/>
              </w:rPr>
            </w:pPr>
            <w:r>
              <w:rPr>
                <w:rFonts w:hint="eastAsia" w:ascii="宋体" w:hAnsi="宋体" w:cs="宋体"/>
                <w:kern w:val="0"/>
                <w:sz w:val="24"/>
              </w:rPr>
              <w:t>目标实际完成情况</w:t>
            </w:r>
          </w:p>
        </w:tc>
      </w:tr>
      <w:tr w14:paraId="33E3D5B0">
        <w:tblPrEx>
          <w:tblCellMar>
            <w:top w:w="0" w:type="dxa"/>
            <w:left w:w="108" w:type="dxa"/>
            <w:bottom w:w="0" w:type="dxa"/>
            <w:right w:w="108" w:type="dxa"/>
          </w:tblCellMar>
        </w:tblPrEx>
        <w:trPr>
          <w:gridAfter w:val="1"/>
          <w:wAfter w:w="236" w:type="dxa"/>
          <w:trHeight w:val="870" w:hRule="atLeast"/>
        </w:trPr>
        <w:tc>
          <w:tcPr>
            <w:tcW w:w="1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3DB03">
            <w:pPr>
              <w:spacing w:line="320" w:lineRule="exact"/>
              <w:jc w:val="center"/>
              <w:rPr>
                <w:rFonts w:ascii="宋体" w:hAnsi="宋体" w:cs="宋体"/>
                <w:sz w:val="24"/>
              </w:rPr>
            </w:pPr>
          </w:p>
        </w:tc>
        <w:tc>
          <w:tcPr>
            <w:tcW w:w="5025" w:type="dxa"/>
            <w:gridSpan w:val="4"/>
            <w:tcBorders>
              <w:top w:val="single" w:color="000000" w:sz="4" w:space="0"/>
              <w:left w:val="single" w:color="000000" w:sz="4" w:space="0"/>
              <w:bottom w:val="single" w:color="000000" w:sz="4" w:space="0"/>
              <w:right w:val="single" w:color="000000" w:sz="4" w:space="0"/>
            </w:tcBorders>
            <w:shd w:val="clear" w:color="auto" w:fill="auto"/>
          </w:tcPr>
          <w:p w14:paraId="48487234">
            <w:pPr>
              <w:widowControl/>
              <w:spacing w:line="320" w:lineRule="exact"/>
              <w:jc w:val="center"/>
              <w:textAlignment w:val="bottom"/>
              <w:rPr>
                <w:rFonts w:ascii="仿宋_GB2312" w:hAnsi="仿宋_GB2312" w:eastAsia="仿宋_GB2312" w:cs="仿宋_GB2312"/>
                <w:kern w:val="0"/>
                <w:szCs w:val="21"/>
              </w:rPr>
            </w:pPr>
            <w:r>
              <w:rPr>
                <w:rFonts w:hint="eastAsia" w:eastAsia="仿宋_GB2312"/>
                <w:sz w:val="32"/>
                <w:szCs w:val="32"/>
              </w:rPr>
              <w:t>食堂改造</w:t>
            </w:r>
            <w:r>
              <w:rPr>
                <w:rFonts w:hint="eastAsia" w:ascii="仿宋_GB2312" w:hAnsi="仿宋_GB2312" w:eastAsia="仿宋_GB2312" w:cs="仿宋_GB2312"/>
                <w:kern w:val="0"/>
                <w:szCs w:val="21"/>
              </w:rPr>
              <w:t>。</w:t>
            </w:r>
          </w:p>
        </w:tc>
        <w:tc>
          <w:tcPr>
            <w:tcW w:w="3462" w:type="dxa"/>
            <w:gridSpan w:val="3"/>
            <w:tcBorders>
              <w:top w:val="single" w:color="000000" w:sz="4" w:space="0"/>
              <w:left w:val="single" w:color="000000" w:sz="4" w:space="0"/>
              <w:bottom w:val="single" w:color="000000" w:sz="4" w:space="0"/>
              <w:right w:val="single" w:color="000000" w:sz="4" w:space="0"/>
            </w:tcBorders>
            <w:shd w:val="clear" w:color="auto" w:fill="auto"/>
          </w:tcPr>
          <w:p w14:paraId="1C1EC3C9">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项目内容全部建成竣工</w:t>
            </w:r>
          </w:p>
        </w:tc>
      </w:tr>
      <w:tr w14:paraId="4349245B">
        <w:tblPrEx>
          <w:tblCellMar>
            <w:top w:w="0" w:type="dxa"/>
            <w:left w:w="108" w:type="dxa"/>
            <w:bottom w:w="0" w:type="dxa"/>
            <w:right w:w="108" w:type="dxa"/>
          </w:tblCellMar>
        </w:tblPrEx>
        <w:trPr>
          <w:gridAfter w:val="1"/>
          <w:wAfter w:w="236" w:type="dxa"/>
          <w:trHeight w:val="693" w:hRule="atLeast"/>
        </w:trPr>
        <w:tc>
          <w:tcPr>
            <w:tcW w:w="1450" w:type="dxa"/>
            <w:vMerge w:val="restart"/>
            <w:tcBorders>
              <w:top w:val="single" w:color="000000" w:sz="4" w:space="0"/>
              <w:left w:val="single" w:color="000000" w:sz="4" w:space="0"/>
              <w:right w:val="single" w:color="000000" w:sz="4" w:space="0"/>
            </w:tcBorders>
            <w:shd w:val="clear" w:color="auto" w:fill="auto"/>
            <w:vAlign w:val="center"/>
          </w:tcPr>
          <w:p w14:paraId="119FF4AA">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年度绩效指标完成情况</w:t>
            </w:r>
          </w:p>
        </w:tc>
        <w:tc>
          <w:tcPr>
            <w:tcW w:w="1262" w:type="dxa"/>
            <w:tcBorders>
              <w:top w:val="single" w:color="000000" w:sz="4" w:space="0"/>
              <w:left w:val="nil"/>
              <w:bottom w:val="single" w:color="000000" w:sz="4" w:space="0"/>
              <w:right w:val="single" w:color="000000" w:sz="4" w:space="0"/>
            </w:tcBorders>
            <w:shd w:val="clear" w:color="auto" w:fill="auto"/>
            <w:vAlign w:val="center"/>
          </w:tcPr>
          <w:p w14:paraId="27BB6399">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一级</w:t>
            </w:r>
          </w:p>
          <w:p w14:paraId="5B659E59">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323A">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二级</w:t>
            </w:r>
          </w:p>
          <w:p w14:paraId="418BBBF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6B88C">
            <w:pPr>
              <w:widowControl/>
              <w:spacing w:line="32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三级</w:t>
            </w:r>
          </w:p>
          <w:p w14:paraId="0E408C62">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56890C">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预期指标值</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19B5">
            <w:pPr>
              <w:widowControl/>
              <w:spacing w:line="32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实际完成指标值</w:t>
            </w:r>
          </w:p>
        </w:tc>
      </w:tr>
      <w:tr w14:paraId="46C77769">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448ACB5F">
            <w:pPr>
              <w:spacing w:line="320" w:lineRule="exact"/>
              <w:jc w:val="center"/>
              <w:rPr>
                <w:rFonts w:ascii="仿宋_GB2312" w:hAnsi="仿宋_GB2312" w:eastAsia="仿宋_GB2312" w:cs="仿宋_GB2312"/>
                <w:sz w:val="28"/>
                <w:szCs w:val="28"/>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5C779">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完成</w:t>
            </w:r>
          </w:p>
          <w:p w14:paraId="3E951EB7">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332B34ED">
            <w:pPr>
              <w:widowControl/>
              <w:spacing w:line="320" w:lineRule="exact"/>
              <w:jc w:val="center"/>
              <w:textAlignment w:val="bottom"/>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数量指标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7815C26F">
            <w:pPr>
              <w:widowControl/>
              <w:spacing w:line="320" w:lineRule="exact"/>
              <w:jc w:val="center"/>
              <w:textAlignment w:val="bottom"/>
              <w:rPr>
                <w:rFonts w:ascii="仿宋_GB2312" w:hAnsi="仿宋_GB2312" w:eastAsia="仿宋_GB2312" w:cs="仿宋_GB2312"/>
                <w:kern w:val="0"/>
                <w:sz w:val="28"/>
                <w:szCs w:val="28"/>
              </w:rPr>
            </w:pPr>
            <w:r>
              <w:rPr>
                <w:rFonts w:hint="eastAsia" w:ascii="仿宋_GB2312" w:hAnsi="仿宋_GB2312" w:eastAsia="仿宋_GB2312" w:cs="仿宋_GB2312"/>
                <w:kern w:val="0"/>
                <w:szCs w:val="21"/>
              </w:rPr>
              <w:t>2019年食堂改造</w:t>
            </w:r>
            <w:r>
              <w:rPr>
                <w:rFonts w:hint="eastAsia" w:eastAsia="仿宋_GB2312"/>
                <w:sz w:val="32"/>
                <w:szCs w:val="32"/>
              </w:rPr>
              <w:t>；</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7027B94A">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项目内容全部建成竣工，并支付</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D7BFA2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完成100%</w:t>
            </w:r>
          </w:p>
        </w:tc>
      </w:tr>
      <w:tr w14:paraId="686A6B90">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626C110F">
            <w:pPr>
              <w:spacing w:line="320" w:lineRule="exact"/>
              <w:jc w:val="center"/>
              <w:rPr>
                <w:rFonts w:ascii="仿宋_GB2312" w:hAnsi="仿宋_GB2312" w:eastAsia="仿宋_GB2312" w:cs="仿宋_GB2312"/>
                <w:sz w:val="28"/>
                <w:szCs w:val="28"/>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F8D5592">
            <w:pPr>
              <w:spacing w:line="320" w:lineRule="exact"/>
              <w:jc w:val="center"/>
              <w:rPr>
                <w:rFonts w:ascii="仿宋_GB2312" w:hAnsi="仿宋_GB2312" w:eastAsia="仿宋_GB2312" w:cs="仿宋_GB2312"/>
                <w:sz w:val="28"/>
                <w:szCs w:val="28"/>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07BA0746">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8454DBB">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进场材料 、设备检测合格率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54CD480D">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所有子项目均应在年内竣工验收，因无法抗力或有正当理由的，已向主管部门报备的，可延后验收</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3DEB1640">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完成100%</w:t>
            </w:r>
          </w:p>
        </w:tc>
      </w:tr>
      <w:tr w14:paraId="586B39E4">
        <w:tblPrEx>
          <w:tblCellMar>
            <w:top w:w="0" w:type="dxa"/>
            <w:left w:w="108" w:type="dxa"/>
            <w:bottom w:w="0" w:type="dxa"/>
            <w:right w:w="108" w:type="dxa"/>
          </w:tblCellMar>
        </w:tblPrEx>
        <w:trPr>
          <w:gridAfter w:val="1"/>
          <w:wAfter w:w="236" w:type="dxa"/>
          <w:trHeight w:val="415" w:hRule="atLeast"/>
        </w:trPr>
        <w:tc>
          <w:tcPr>
            <w:tcW w:w="1450" w:type="dxa"/>
            <w:vMerge w:val="continue"/>
            <w:tcBorders>
              <w:left w:val="single" w:color="000000" w:sz="4" w:space="0"/>
              <w:right w:val="single" w:color="000000" w:sz="4" w:space="0"/>
            </w:tcBorders>
            <w:shd w:val="clear" w:color="auto" w:fill="auto"/>
            <w:vAlign w:val="center"/>
          </w:tcPr>
          <w:p w14:paraId="776BA9FA">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2FD220F5">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3B00D60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28BD1251">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在合同期内完成</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38921AB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如期完成工程内容</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F57A6C3">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45E07026">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202B9959">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A5B45A5">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2CD14B9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784EF92E">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成本节约</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EA78B0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在计划成本内完成建设任务，总体不超过合同约定的，各子项目均不超过计划成本</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EA5D1B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34182807">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57FF2E24">
            <w:pPr>
              <w:widowControl/>
              <w:spacing w:line="320" w:lineRule="exact"/>
              <w:jc w:val="center"/>
              <w:textAlignment w:val="bottom"/>
              <w:rPr>
                <w:rFonts w:ascii="仿宋_GB2312" w:hAnsi="仿宋_GB2312" w:eastAsia="仿宋_GB2312" w:cs="仿宋_GB2312"/>
                <w:kern w:val="0"/>
                <w:szCs w:val="21"/>
              </w:rPr>
            </w:pP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7D9E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效益</w:t>
            </w:r>
          </w:p>
          <w:p w14:paraId="34E5C549">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7314A9A8">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经济效益  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09C72A2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成本节约，定期检查</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440D741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对该项目每月至少定期检查1次</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6E1DA3E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4EEBD101">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704D7105">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9104BDB">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762ADC46">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社会效益  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417BA73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工作和学习环境</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BD1ECE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提升学校整体教学质量，营造良好的工作和学习环境</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5CFE97F5">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61FB1645">
        <w:tblPrEx>
          <w:tblCellMar>
            <w:top w:w="0" w:type="dxa"/>
            <w:left w:w="108" w:type="dxa"/>
            <w:bottom w:w="0" w:type="dxa"/>
            <w:right w:w="108" w:type="dxa"/>
          </w:tblCellMar>
        </w:tblPrEx>
        <w:trPr>
          <w:gridAfter w:val="1"/>
          <w:wAfter w:w="236" w:type="dxa"/>
          <w:trHeight w:val="577" w:hRule="atLeast"/>
        </w:trPr>
        <w:tc>
          <w:tcPr>
            <w:tcW w:w="1450" w:type="dxa"/>
            <w:vMerge w:val="continue"/>
            <w:tcBorders>
              <w:left w:val="single" w:color="000000" w:sz="4" w:space="0"/>
              <w:right w:val="single" w:color="000000" w:sz="4" w:space="0"/>
            </w:tcBorders>
            <w:shd w:val="clear" w:color="auto" w:fill="auto"/>
            <w:vAlign w:val="center"/>
          </w:tcPr>
          <w:p w14:paraId="20263DF5">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5667352F">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0887045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生态效益指标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5CDF0EA8">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文明施工</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7210A8C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实施了文明施工措施，施工过程中未出现粉尘、废气、废水、固体废弃物，有毒气体，噪声、振动、施工照明等对人和环境的危害和污染，施工垃圾清理及时</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4F819F1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45D6281B">
        <w:tblPrEx>
          <w:tblCellMar>
            <w:top w:w="0" w:type="dxa"/>
            <w:left w:w="108" w:type="dxa"/>
            <w:bottom w:w="0" w:type="dxa"/>
            <w:right w:w="108" w:type="dxa"/>
          </w:tblCellMar>
        </w:tblPrEx>
        <w:trPr>
          <w:gridAfter w:val="1"/>
          <w:wAfter w:w="236" w:type="dxa"/>
          <w:trHeight w:val="480" w:hRule="atLeast"/>
        </w:trPr>
        <w:tc>
          <w:tcPr>
            <w:tcW w:w="1450" w:type="dxa"/>
            <w:vMerge w:val="continue"/>
            <w:tcBorders>
              <w:left w:val="single" w:color="000000" w:sz="4" w:space="0"/>
              <w:right w:val="single" w:color="000000" w:sz="4" w:space="0"/>
            </w:tcBorders>
            <w:shd w:val="clear" w:color="auto" w:fill="auto"/>
            <w:vAlign w:val="center"/>
          </w:tcPr>
          <w:p w14:paraId="6031FFA0">
            <w:pPr>
              <w:widowControl/>
              <w:spacing w:line="320" w:lineRule="exact"/>
              <w:jc w:val="center"/>
              <w:textAlignment w:val="bottom"/>
              <w:rPr>
                <w:rFonts w:ascii="仿宋_GB2312" w:hAnsi="仿宋_GB2312" w:eastAsia="仿宋_GB2312" w:cs="仿宋_GB2312"/>
                <w:kern w:val="0"/>
                <w:szCs w:val="21"/>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54AAD2F">
            <w:pPr>
              <w:widowControl/>
              <w:spacing w:line="320" w:lineRule="exact"/>
              <w:jc w:val="center"/>
              <w:textAlignment w:val="bottom"/>
              <w:rPr>
                <w:rFonts w:ascii="仿宋_GB2312" w:hAnsi="仿宋_GB2312" w:eastAsia="仿宋_GB2312" w:cs="仿宋_GB2312"/>
                <w:kern w:val="0"/>
                <w:szCs w:val="21"/>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33F1DD9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可持续影响指标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1462F2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明厨亮灶</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581C6CB8">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提高了学生的爱卫环境，保护了广大师生的身心健康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1B8BEF84">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r w14:paraId="5971063F">
        <w:tblPrEx>
          <w:tblCellMar>
            <w:top w:w="0" w:type="dxa"/>
            <w:left w:w="108" w:type="dxa"/>
            <w:bottom w:w="0" w:type="dxa"/>
            <w:right w:w="108" w:type="dxa"/>
          </w:tblCellMar>
        </w:tblPrEx>
        <w:trPr>
          <w:gridAfter w:val="1"/>
          <w:wAfter w:w="236" w:type="dxa"/>
          <w:trHeight w:val="530" w:hRule="atLeast"/>
        </w:trPr>
        <w:tc>
          <w:tcPr>
            <w:tcW w:w="1450" w:type="dxa"/>
            <w:vMerge w:val="continue"/>
            <w:tcBorders>
              <w:left w:val="single" w:color="000000" w:sz="4" w:space="0"/>
              <w:bottom w:val="single" w:color="000000" w:sz="4" w:space="0"/>
              <w:right w:val="single" w:color="000000" w:sz="4" w:space="0"/>
            </w:tcBorders>
            <w:shd w:val="clear" w:color="auto" w:fill="auto"/>
            <w:vAlign w:val="center"/>
          </w:tcPr>
          <w:p w14:paraId="4483D742">
            <w:pPr>
              <w:widowControl/>
              <w:spacing w:line="320" w:lineRule="exact"/>
              <w:jc w:val="center"/>
              <w:textAlignment w:val="bottom"/>
              <w:rPr>
                <w:rFonts w:ascii="仿宋_GB2312" w:hAnsi="仿宋_GB2312" w:eastAsia="仿宋_GB2312" w:cs="仿宋_GB2312"/>
                <w:kern w:val="0"/>
                <w:szCs w:val="21"/>
              </w:rPr>
            </w:pP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7DE9A7C">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w:t>
            </w:r>
          </w:p>
          <w:p w14:paraId="37367680">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度指标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tcPr>
          <w:p w14:paraId="01A2EFAF">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满意度</w:t>
            </w:r>
          </w:p>
          <w:p w14:paraId="24BF2151">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指标</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738FA309">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群众满意度达到</w:t>
            </w:r>
          </w:p>
        </w:tc>
        <w:tc>
          <w:tcPr>
            <w:tcW w:w="2275" w:type="dxa"/>
            <w:gridSpan w:val="2"/>
            <w:tcBorders>
              <w:top w:val="single" w:color="000000" w:sz="4" w:space="0"/>
              <w:left w:val="single" w:color="000000" w:sz="4" w:space="0"/>
              <w:bottom w:val="single" w:color="000000" w:sz="4" w:space="0"/>
              <w:right w:val="single" w:color="000000" w:sz="4" w:space="0"/>
            </w:tcBorders>
            <w:shd w:val="clear" w:color="auto" w:fill="auto"/>
          </w:tcPr>
          <w:p w14:paraId="16AE9E47">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满意或基本满意</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14:paraId="24D2FAC2">
            <w:pPr>
              <w:widowControl/>
              <w:spacing w:line="320" w:lineRule="exact"/>
              <w:jc w:val="center"/>
              <w:textAlignment w:val="bottom"/>
              <w:rPr>
                <w:rFonts w:ascii="仿宋_GB2312" w:hAnsi="仿宋_GB2312" w:eastAsia="仿宋_GB2312" w:cs="仿宋_GB2312"/>
                <w:kern w:val="0"/>
                <w:szCs w:val="21"/>
              </w:rPr>
            </w:pPr>
            <w:r>
              <w:rPr>
                <w:rFonts w:hint="eastAsia" w:ascii="仿宋_GB2312" w:hAnsi="仿宋_GB2312" w:eastAsia="仿宋_GB2312" w:cs="仿宋_GB2312"/>
                <w:kern w:val="0"/>
                <w:szCs w:val="21"/>
              </w:rPr>
              <w:t>95%</w:t>
            </w:r>
          </w:p>
        </w:tc>
      </w:tr>
    </w:tbl>
    <w:p w14:paraId="014B2A72">
      <w:pPr>
        <w:adjustRightInd w:val="0"/>
        <w:snapToGrid w:val="0"/>
        <w:spacing w:line="600" w:lineRule="exact"/>
        <w:ind w:firstLine="720"/>
        <w:outlineLvl w:val="1"/>
        <w:rPr>
          <w:rFonts w:ascii="仿宋_GB2312" w:hAnsi="宋体" w:eastAsia="仿宋_GB2312"/>
          <w:sz w:val="32"/>
          <w:szCs w:val="32"/>
          <w:lang w:val="zh-CN"/>
        </w:rPr>
      </w:pPr>
      <w:bookmarkStart w:id="82" w:name="_Toc32102"/>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bookmarkEnd w:id="82"/>
    </w:p>
    <w:p w14:paraId="0293129A">
      <w:pPr>
        <w:spacing w:line="560" w:lineRule="exact"/>
        <w:ind w:firstLine="640" w:firstLineChars="200"/>
        <w:rPr>
          <w:rFonts w:eastAsia="仿宋_GB2312"/>
          <w:sz w:val="32"/>
          <w:szCs w:val="32"/>
        </w:rPr>
      </w:pPr>
      <w:r>
        <w:rPr>
          <w:rFonts w:hint="eastAsia" w:eastAsia="仿宋_GB2312"/>
          <w:sz w:val="32"/>
          <w:szCs w:val="32"/>
        </w:rPr>
        <w:t>食堂改造、新建综合楼一栋</w:t>
      </w:r>
    </w:p>
    <w:p w14:paraId="296C0185">
      <w:pPr>
        <w:spacing w:line="560" w:lineRule="exact"/>
        <w:ind w:firstLine="640" w:firstLineChars="200"/>
        <w:rPr>
          <w:rFonts w:eastAsia="仿宋_GB2312"/>
          <w:sz w:val="32"/>
          <w:szCs w:val="32"/>
        </w:rPr>
      </w:pPr>
      <w:r>
        <w:rPr>
          <w:rFonts w:eastAsia="仿宋_GB2312"/>
          <w:sz w:val="32"/>
          <w:szCs w:val="32"/>
        </w:rPr>
        <w:t>2.项目应实现的具体绩效目标，包括目标的量化、细化情况以及项目实施进度计划等。</w:t>
      </w:r>
    </w:p>
    <w:p w14:paraId="10433148">
      <w:pPr>
        <w:spacing w:line="560" w:lineRule="exact"/>
        <w:ind w:firstLine="640" w:firstLineChars="200"/>
        <w:rPr>
          <w:rFonts w:eastAsia="仿宋_GB2312"/>
          <w:sz w:val="32"/>
          <w:szCs w:val="32"/>
        </w:rPr>
      </w:pPr>
      <w:r>
        <w:rPr>
          <w:rFonts w:hint="eastAsia" w:eastAsia="仿宋_GB2312"/>
          <w:sz w:val="32"/>
          <w:szCs w:val="32"/>
        </w:rPr>
        <w:t>（1）、2019年新建综合楼一栋、框架结构六层，建筑面积3118.16平方米，实施室外水电工程，地面硬化800平方米，绿化430平方米；项目内容全部建成竣工。</w:t>
      </w:r>
    </w:p>
    <w:p w14:paraId="771CFAC2">
      <w:pPr>
        <w:spacing w:line="560" w:lineRule="exact"/>
        <w:ind w:firstLine="640" w:firstLineChars="200"/>
        <w:rPr>
          <w:rFonts w:eastAsia="仿宋_GB2312"/>
          <w:sz w:val="32"/>
          <w:szCs w:val="32"/>
        </w:rPr>
      </w:pPr>
      <w:r>
        <w:rPr>
          <w:rFonts w:hint="eastAsia" w:eastAsia="仿宋_GB2312"/>
          <w:sz w:val="32"/>
          <w:szCs w:val="32"/>
        </w:rPr>
        <w:t>（2）、食堂改造所有项目</w:t>
      </w:r>
    </w:p>
    <w:p w14:paraId="0FFD1DA4">
      <w:pPr>
        <w:adjustRightInd w:val="0"/>
        <w:snapToGrid w:val="0"/>
        <w:spacing w:line="600" w:lineRule="exact"/>
        <w:ind w:firstLine="720"/>
        <w:outlineLvl w:val="1"/>
        <w:rPr>
          <w:rFonts w:ascii="仿宋_GB2312" w:hAnsi="宋体" w:eastAsia="仿宋_GB2312"/>
          <w:sz w:val="32"/>
          <w:szCs w:val="32"/>
          <w:lang w:val="zh-CN"/>
        </w:rPr>
      </w:pPr>
      <w:bookmarkStart w:id="83" w:name="_Toc20603"/>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w:t>
      </w:r>
      <w:bookmarkEnd w:id="83"/>
    </w:p>
    <w:p w14:paraId="06305C5E">
      <w:pPr>
        <w:adjustRightInd w:val="0"/>
        <w:snapToGrid w:val="0"/>
        <w:spacing w:line="600" w:lineRule="exact"/>
        <w:ind w:firstLine="720"/>
        <w:rPr>
          <w:rFonts w:eastAsia="仿宋_GB2312"/>
          <w:sz w:val="32"/>
          <w:szCs w:val="32"/>
        </w:rPr>
      </w:pPr>
      <w:r>
        <w:rPr>
          <w:rFonts w:hint="eastAsia" w:eastAsia="仿宋_GB2312"/>
          <w:sz w:val="32"/>
          <w:szCs w:val="32"/>
        </w:rPr>
        <w:t>项目所申报内容与实际相符，申报目标合理可行。</w:t>
      </w:r>
    </w:p>
    <w:p w14:paraId="02A0BC9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14:paraId="3DFE0109">
      <w:pPr>
        <w:spacing w:line="560" w:lineRule="exact"/>
        <w:ind w:firstLine="640" w:firstLineChars="200"/>
        <w:rPr>
          <w:rFonts w:eastAsia="仿宋_GB2312"/>
          <w:sz w:val="32"/>
          <w:szCs w:val="32"/>
        </w:rPr>
      </w:pPr>
      <w:r>
        <w:rPr>
          <w:rFonts w:hint="eastAsia" w:eastAsia="仿宋_GB2312"/>
          <w:sz w:val="32"/>
          <w:szCs w:val="32"/>
        </w:rPr>
        <w:t>目标项目通过学校领导小组可行性研究报告、评估、</w:t>
      </w:r>
      <w:r>
        <w:rPr>
          <w:rFonts w:hint="eastAsia" w:eastAsia="仿宋_GB2312"/>
          <w:sz w:val="32"/>
          <w:szCs w:val="32"/>
          <w:lang w:eastAsia="zh-CN"/>
        </w:rPr>
        <w:t>制定目标</w:t>
      </w:r>
      <w:r>
        <w:rPr>
          <w:rFonts w:hint="eastAsia" w:eastAsia="仿宋_GB2312"/>
          <w:sz w:val="32"/>
          <w:szCs w:val="32"/>
        </w:rPr>
        <w:t>制度，考核评分细则、公示。</w:t>
      </w:r>
    </w:p>
    <w:p w14:paraId="054588F7">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14:paraId="71FD2DD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14:paraId="050118B8">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说明项目资金申报、批复及预算调整等程序的相关情况。</w:t>
      </w:r>
    </w:p>
    <w:p w14:paraId="3CCAE6B4">
      <w:pPr>
        <w:spacing w:line="560" w:lineRule="exact"/>
        <w:ind w:firstLine="640" w:firstLineChars="200"/>
        <w:rPr>
          <w:rFonts w:eastAsia="仿宋_GB2312"/>
          <w:sz w:val="32"/>
          <w:szCs w:val="32"/>
        </w:rPr>
      </w:pPr>
      <w:r>
        <w:rPr>
          <w:rFonts w:hint="eastAsia" w:eastAsia="仿宋_GB2312"/>
          <w:sz w:val="32"/>
          <w:szCs w:val="32"/>
        </w:rPr>
        <w:t>根据川财教〔2017〕231号食堂改造；根据川财教〔2019〕55号、〔2018〕171号下达新建教学综合楼；</w:t>
      </w:r>
    </w:p>
    <w:p w14:paraId="4C547047">
      <w:pPr>
        <w:numPr>
          <w:ilvl w:val="0"/>
          <w:numId w:val="3"/>
        </w:numPr>
        <w:adjustRightInd w:val="0"/>
        <w:snapToGrid w:val="0"/>
        <w:spacing w:line="600" w:lineRule="exact"/>
        <w:ind w:firstLine="643"/>
        <w:rPr>
          <w:rFonts w:eastAsia="仿宋_GB2312"/>
          <w:sz w:val="32"/>
          <w:szCs w:val="32"/>
        </w:rPr>
      </w:pPr>
      <w:r>
        <w:rPr>
          <w:rFonts w:hint="eastAsia" w:eastAsia="仿宋_GB2312"/>
          <w:sz w:val="32"/>
          <w:szCs w:val="32"/>
        </w:rPr>
        <w:t>根据川财教【2017】231号下达2018义务教育校舍维修改造省级补助资金（食堂改造） 1.4万元。</w:t>
      </w:r>
    </w:p>
    <w:p w14:paraId="6C9FDF7A">
      <w:pPr>
        <w:adjustRightInd w:val="0"/>
        <w:snapToGrid w:val="0"/>
        <w:spacing w:line="600" w:lineRule="exact"/>
        <w:ind w:left="63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14:paraId="58D0C7A7">
      <w:pPr>
        <w:numPr>
          <w:ilvl w:val="0"/>
          <w:numId w:val="7"/>
        </w:numPr>
        <w:spacing w:line="560" w:lineRule="exact"/>
        <w:ind w:firstLine="640" w:firstLineChars="200"/>
        <w:rPr>
          <w:rFonts w:eastAsia="仿宋_GB2312"/>
          <w:sz w:val="32"/>
          <w:szCs w:val="32"/>
        </w:rPr>
      </w:pPr>
      <w:r>
        <w:rPr>
          <w:rFonts w:hint="eastAsia" w:ascii="楷体_GB2312" w:hAnsi="宋体" w:eastAsia="楷体_GB2312"/>
          <w:sz w:val="32"/>
          <w:szCs w:val="32"/>
          <w:lang w:val="zh-CN"/>
        </w:rPr>
        <w:t>资金计划。</w:t>
      </w:r>
      <w:r>
        <w:rPr>
          <w:rFonts w:hint="eastAsia" w:eastAsia="仿宋_GB2312"/>
          <w:sz w:val="32"/>
          <w:szCs w:val="32"/>
        </w:rPr>
        <w:t>6、根据川财教【2017】231号下达2018义务教育校舍维修改造省级补助资金（食堂改造） 1.4万元。</w:t>
      </w:r>
    </w:p>
    <w:p w14:paraId="23FD37DD">
      <w:pPr>
        <w:spacing w:line="560" w:lineRule="exact"/>
        <w:ind w:firstLine="640" w:firstLineChars="200"/>
        <w:rPr>
          <w:rFonts w:eastAsia="仿宋_GB2312"/>
          <w:sz w:val="32"/>
          <w:szCs w:val="32"/>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eastAsia="仿宋_GB2312"/>
          <w:sz w:val="32"/>
          <w:szCs w:val="32"/>
        </w:rPr>
        <w:t>本校所有项目资金在年初预算时及修建项目的通过学校报告、政府采购、财评、立项等完成相关程序后财政部门及时下拨该款项到学校金财网平台。没有不到位不及时情况。</w:t>
      </w:r>
    </w:p>
    <w:p w14:paraId="43D59BA6">
      <w:pPr>
        <w:spacing w:line="560" w:lineRule="exact"/>
        <w:ind w:firstLine="640" w:firstLineChars="200"/>
        <w:rPr>
          <w:rFonts w:eastAsia="仿宋_GB2312"/>
          <w:sz w:val="32"/>
          <w:szCs w:val="32"/>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eastAsia="仿宋_GB2312"/>
          <w:sz w:val="32"/>
          <w:szCs w:val="32"/>
        </w:rPr>
        <w:t>建立健全校产登记、使用和维护制度，对全校校产进一步做好各室财产登记分类、造册、归档、存放工作。对现有教育教学设备设施要定期进行检查维修，确保使用。在以现有教学教育设备的使用为突破口，用足用好现有设备的基础上，有计划有质量的添置教学设备。</w:t>
      </w:r>
    </w:p>
    <w:p w14:paraId="1577A255">
      <w:pPr>
        <w:spacing w:line="560" w:lineRule="exact"/>
        <w:ind w:firstLine="640" w:firstLineChars="200"/>
        <w:rPr>
          <w:rFonts w:eastAsia="仿宋_GB2312"/>
          <w:sz w:val="32"/>
          <w:szCs w:val="32"/>
        </w:rPr>
      </w:pPr>
      <w:r>
        <w:rPr>
          <w:rFonts w:hint="eastAsia" w:eastAsia="仿宋_GB2312"/>
          <w:sz w:val="32"/>
          <w:szCs w:val="32"/>
        </w:rPr>
        <w:t>本单位项目实施财务管理制度健全，严格执行财务管理制度，账务处理及时，会计核算规范。</w:t>
      </w:r>
    </w:p>
    <w:p w14:paraId="4A1AFCAC">
      <w:pPr>
        <w:numPr>
          <w:ilvl w:val="0"/>
          <w:numId w:val="8"/>
        </w:numPr>
        <w:spacing w:line="560" w:lineRule="exact"/>
        <w:ind w:firstLine="640" w:firstLineChars="200"/>
        <w:rPr>
          <w:rFonts w:eastAsia="仿宋_GB2312"/>
          <w:sz w:val="32"/>
          <w:szCs w:val="32"/>
        </w:rPr>
      </w:pPr>
      <w:r>
        <w:rPr>
          <w:rFonts w:eastAsia="楷体_GB2312"/>
          <w:sz w:val="32"/>
          <w:szCs w:val="32"/>
        </w:rPr>
        <w:t>项目财务管理情况。</w:t>
      </w:r>
      <w:r>
        <w:rPr>
          <w:rFonts w:hint="eastAsia" w:eastAsia="仿宋_GB2312"/>
          <w:sz w:val="32"/>
          <w:szCs w:val="32"/>
        </w:rPr>
        <w:t>本单位项目实施细则中财务管理制度健全，严格执行财务管理制度，账务处理及时无迟延情况，会计核算规范合理</w:t>
      </w:r>
    </w:p>
    <w:p w14:paraId="6A29D136">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14:paraId="0BE62636">
      <w:pPr>
        <w:spacing w:line="560" w:lineRule="exact"/>
        <w:ind w:firstLine="640" w:firstLineChars="200"/>
        <w:rPr>
          <w:rFonts w:eastAsia="楷体_GB2312"/>
          <w:sz w:val="32"/>
          <w:szCs w:val="32"/>
        </w:rPr>
      </w:pPr>
      <w:r>
        <w:rPr>
          <w:rFonts w:eastAsia="楷体_GB2312"/>
          <w:sz w:val="32"/>
          <w:szCs w:val="32"/>
        </w:rPr>
        <w:t>（一）项目组织架构及实施流程。</w:t>
      </w:r>
    </w:p>
    <w:p w14:paraId="30EA2A5D">
      <w:pPr>
        <w:spacing w:line="560" w:lineRule="exact"/>
        <w:ind w:left="319" w:leftChars="15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我校建立健全了资金分配规程和各项财务管理制度，成立了教育财务审核中心，制定了财务报账审批制度，修订完善了项目申报管理办法。由核算中心进行会计核算和财务管理，严格执行政府采购制度，做到先申报后采购，按流程办理。</w:t>
      </w:r>
    </w:p>
    <w:p w14:paraId="4C119639">
      <w:pPr>
        <w:spacing w:line="560" w:lineRule="exact"/>
        <w:ind w:left="319" w:leftChars="15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支出：教育发展信息技术经费、教育发展校方责任经费、教学仪器设备经费，在教育局装备站的指导下，为加大学校建设力度，提高师生信息水平，抓好教研教改工作，促进学校教育协调发展。根据学校预算金额，专款专用，无违规超范围使用情况。</w:t>
      </w:r>
    </w:p>
    <w:p w14:paraId="307945B9">
      <w:pPr>
        <w:spacing w:line="560" w:lineRule="exact"/>
        <w:ind w:firstLine="640" w:firstLineChars="200"/>
        <w:rPr>
          <w:rFonts w:eastAsia="仿宋_GB2312"/>
          <w:sz w:val="32"/>
          <w:szCs w:val="32"/>
        </w:rPr>
      </w:pPr>
      <w:r>
        <w:rPr>
          <w:rFonts w:eastAsia="楷体_GB2312"/>
          <w:sz w:val="32"/>
          <w:szCs w:val="32"/>
        </w:rPr>
        <w:t>（二）项目管理情况。</w:t>
      </w:r>
    </w:p>
    <w:p w14:paraId="3108BB8F">
      <w:pPr>
        <w:spacing w:line="560" w:lineRule="exact"/>
        <w:ind w:left="319" w:leftChars="15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我校建立健全了资金分配规程和各项财务管理制度，成立了教育财务审核中心，制定了财务报账审批制度，修订完善了项目申报管理办法。由核算中心进行会计核算和财务管理，严格执行政府采购制度，做到先申报后采购，按流程办理。</w:t>
      </w:r>
    </w:p>
    <w:p w14:paraId="1C106C25">
      <w:pPr>
        <w:spacing w:line="560" w:lineRule="exact"/>
        <w:ind w:left="319" w:leftChars="152"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支出：教育发展信息技术经费、教育发展校方责任经费、教学仪器设备经费，在教育局装备站的指导下，为加大学校建设力度，提高师生信息水平，抓好教研教改工作，促进学校教育协调发展。根据学校预算金额，专款专用，无违规超范围使用情况。</w:t>
      </w:r>
    </w:p>
    <w:p w14:paraId="3B18BEBA">
      <w:pPr>
        <w:spacing w:line="560" w:lineRule="exact"/>
        <w:ind w:firstLine="640" w:firstLineChars="200"/>
        <w:rPr>
          <w:rFonts w:eastAsia="仿宋_GB2312"/>
          <w:sz w:val="32"/>
          <w:szCs w:val="32"/>
        </w:rPr>
      </w:pPr>
      <w:r>
        <w:rPr>
          <w:rFonts w:eastAsia="楷体_GB2312"/>
          <w:sz w:val="32"/>
          <w:szCs w:val="32"/>
        </w:rPr>
        <w:t>（三）项目监管情况。</w:t>
      </w:r>
      <w:r>
        <w:rPr>
          <w:rFonts w:hint="eastAsia" w:eastAsia="仿宋_GB2312"/>
          <w:sz w:val="32"/>
          <w:szCs w:val="32"/>
        </w:rPr>
        <w:t>在项目实施过程中采取对监理进行监督，对施工作业流程进行督导，严格按照施工图进行监督验收，实现效能高效，施工质量达标。</w:t>
      </w:r>
    </w:p>
    <w:p w14:paraId="1D3E9F02">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14:paraId="45305FA6">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14:paraId="15E19F84">
      <w:pPr>
        <w:spacing w:line="560" w:lineRule="exact"/>
        <w:ind w:firstLine="640" w:firstLineChars="200"/>
        <w:outlineLvl w:val="1"/>
        <w:rPr>
          <w:rFonts w:eastAsia="仿宋_GB2312"/>
          <w:sz w:val="32"/>
          <w:szCs w:val="32"/>
        </w:rPr>
      </w:pPr>
      <w:bookmarkStart w:id="84" w:name="_Toc20895"/>
      <w:r>
        <w:rPr>
          <w:rFonts w:hint="eastAsia" w:eastAsia="仿宋_GB2312"/>
          <w:sz w:val="32"/>
          <w:szCs w:val="32"/>
        </w:rPr>
        <w:t>1、食堂改造所有项目。</w:t>
      </w:r>
      <w:bookmarkEnd w:id="84"/>
    </w:p>
    <w:p w14:paraId="3B23008A">
      <w:pPr>
        <w:spacing w:line="560" w:lineRule="exact"/>
        <w:ind w:firstLine="640" w:firstLineChars="200"/>
        <w:rPr>
          <w:rFonts w:eastAsia="楷体_GB2312"/>
          <w:sz w:val="32"/>
          <w:szCs w:val="32"/>
        </w:rPr>
      </w:pPr>
      <w:r>
        <w:rPr>
          <w:rFonts w:hint="eastAsia" w:eastAsia="仿宋_GB2312"/>
          <w:sz w:val="32"/>
          <w:szCs w:val="32"/>
        </w:rPr>
        <w:t>2、2019年新建综合楼一栋、框架结构六层，建筑面积3118.16平方米，实施室外水电工程，地面硬化800平方米，绿化430平方米；项目内容全部建成竣工。</w:t>
      </w:r>
      <w:r>
        <w:rPr>
          <w:rFonts w:hint="eastAsia" w:eastAsia="楷体_GB2312"/>
          <w:sz w:val="32"/>
          <w:szCs w:val="32"/>
        </w:rPr>
        <w:t>在项目实施中均保质保量，按时完成。</w:t>
      </w:r>
    </w:p>
    <w:p w14:paraId="17291412">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14:paraId="028FCAE0">
      <w:pPr>
        <w:spacing w:line="560" w:lineRule="exact"/>
        <w:ind w:firstLine="640" w:firstLineChars="200"/>
        <w:rPr>
          <w:rFonts w:eastAsia="仿宋_GB2312"/>
          <w:sz w:val="32"/>
          <w:szCs w:val="32"/>
        </w:rPr>
      </w:pPr>
      <w:r>
        <w:rPr>
          <w:rFonts w:hint="eastAsia" w:eastAsia="仿宋_GB2312"/>
          <w:sz w:val="32"/>
          <w:szCs w:val="32"/>
        </w:rPr>
        <w:t>在项目实施过程中为节约成本，降低环境污染环境，施工中采取废水回收沉淀再次利用，废旧垃圾运到统一销毁处理，很好地保护了生态环境，为可持续发展提供了有力保障，减轻学生就近入学负担，为家庭节约开支，提到了社会及家长的好评。</w:t>
      </w:r>
    </w:p>
    <w:p w14:paraId="314EF212">
      <w:pPr>
        <w:pStyle w:val="2"/>
        <w:spacing w:before="93"/>
        <w:rPr>
          <w:sz w:val="32"/>
          <w:szCs w:val="32"/>
        </w:rPr>
      </w:pPr>
    </w:p>
    <w:p w14:paraId="0E3A5606">
      <w:pPr>
        <w:pStyle w:val="2"/>
        <w:spacing w:before="93"/>
        <w:rPr>
          <w:sz w:val="32"/>
          <w:szCs w:val="32"/>
        </w:rPr>
      </w:pPr>
    </w:p>
    <w:p w14:paraId="645FA584">
      <w:pPr>
        <w:pStyle w:val="2"/>
        <w:spacing w:before="93"/>
        <w:rPr>
          <w:sz w:val="32"/>
          <w:szCs w:val="32"/>
        </w:rPr>
      </w:pPr>
    </w:p>
    <w:p w14:paraId="1FFDD24D">
      <w:pPr>
        <w:spacing w:line="600" w:lineRule="exact"/>
        <w:jc w:val="center"/>
        <w:rPr>
          <w:rFonts w:ascii="黑体" w:hAnsi="黑体" w:eastAsia="黑体"/>
          <w:sz w:val="44"/>
          <w:szCs w:val="44"/>
        </w:rPr>
      </w:pPr>
    </w:p>
    <w:p w14:paraId="746492E2">
      <w:pPr>
        <w:spacing w:line="600" w:lineRule="exact"/>
        <w:jc w:val="center"/>
        <w:outlineLvl w:val="0"/>
        <w:rPr>
          <w:rStyle w:val="24"/>
          <w:rFonts w:ascii="黑体" w:hAnsi="黑体" w:eastAsia="黑体"/>
          <w:b w:val="0"/>
        </w:rPr>
      </w:pPr>
      <w:bookmarkStart w:id="85" w:name="_Toc4345"/>
      <w:r>
        <w:rPr>
          <w:rFonts w:hint="eastAsia" w:ascii="黑体" w:hAnsi="黑体" w:eastAsia="黑体"/>
          <w:sz w:val="44"/>
          <w:szCs w:val="44"/>
        </w:rPr>
        <w:t>第</w:t>
      </w:r>
      <w:r>
        <w:rPr>
          <w:rStyle w:val="24"/>
          <w:rFonts w:hint="eastAsia" w:ascii="黑体" w:hAnsi="黑体" w:eastAsia="黑体"/>
          <w:b w:val="0"/>
        </w:rPr>
        <w:t>五部分 附表</w:t>
      </w:r>
      <w:bookmarkEnd w:id="75"/>
      <w:bookmarkEnd w:id="79"/>
      <w:bookmarkEnd w:id="85"/>
      <w:bookmarkStart w:id="86" w:name="_Toc15396619"/>
    </w:p>
    <w:p w14:paraId="004741B1">
      <w:pPr>
        <w:pStyle w:val="4"/>
        <w:rPr>
          <w:rFonts w:ascii="仿宋" w:hAnsi="仿宋" w:eastAsia="仿宋"/>
        </w:rPr>
      </w:pPr>
      <w:bookmarkStart w:id="87" w:name="_Toc13515"/>
      <w:r>
        <w:rPr>
          <w:rFonts w:hint="eastAsia" w:ascii="仿宋" w:hAnsi="仿宋" w:eastAsia="仿宋"/>
          <w:b w:val="0"/>
        </w:rPr>
        <w:t>一、收</w:t>
      </w:r>
      <w:r>
        <w:rPr>
          <w:rStyle w:val="25"/>
          <w:rFonts w:hint="eastAsia" w:ascii="仿宋" w:hAnsi="仿宋" w:eastAsia="仿宋"/>
          <w:b w:val="0"/>
          <w:bCs w:val="0"/>
        </w:rPr>
        <w:t>入支出决算总表</w:t>
      </w:r>
      <w:bookmarkEnd w:id="86"/>
      <w:bookmarkEnd w:id="87"/>
    </w:p>
    <w:p w14:paraId="520144EB">
      <w:pPr>
        <w:pStyle w:val="4"/>
        <w:rPr>
          <w:rFonts w:ascii="仿宋" w:hAnsi="仿宋" w:eastAsia="仿宋"/>
        </w:rPr>
      </w:pPr>
      <w:bookmarkStart w:id="88" w:name="_Toc15396620"/>
      <w:bookmarkStart w:id="89" w:name="_Toc25888"/>
      <w:r>
        <w:rPr>
          <w:rFonts w:hint="eastAsia" w:ascii="仿宋" w:hAnsi="仿宋" w:eastAsia="仿宋"/>
          <w:b w:val="0"/>
        </w:rPr>
        <w:t>二、收</w:t>
      </w:r>
      <w:r>
        <w:rPr>
          <w:rStyle w:val="25"/>
          <w:rFonts w:hint="eastAsia" w:ascii="仿宋" w:hAnsi="仿宋" w:eastAsia="仿宋"/>
          <w:b w:val="0"/>
          <w:bCs w:val="0"/>
        </w:rPr>
        <w:t>入决算表</w:t>
      </w:r>
      <w:bookmarkEnd w:id="88"/>
      <w:bookmarkEnd w:id="89"/>
    </w:p>
    <w:p w14:paraId="4E80DC79">
      <w:pPr>
        <w:pStyle w:val="4"/>
        <w:rPr>
          <w:rFonts w:ascii="仿宋" w:hAnsi="仿宋" w:eastAsia="仿宋"/>
        </w:rPr>
      </w:pPr>
      <w:bookmarkStart w:id="90" w:name="_Toc15396621"/>
      <w:bookmarkStart w:id="91" w:name="_Toc31857"/>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90"/>
      <w:bookmarkEnd w:id="91"/>
    </w:p>
    <w:p w14:paraId="3C1CFA9D">
      <w:pPr>
        <w:pStyle w:val="4"/>
        <w:rPr>
          <w:rFonts w:ascii="仿宋" w:hAnsi="仿宋" w:eastAsia="仿宋"/>
          <w:b w:val="0"/>
        </w:rPr>
      </w:pPr>
      <w:bookmarkStart w:id="92" w:name="_Toc15396622"/>
      <w:bookmarkStart w:id="93" w:name="_Toc2690"/>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92"/>
      <w:bookmarkEnd w:id="93"/>
    </w:p>
    <w:p w14:paraId="7D910119">
      <w:pPr>
        <w:pStyle w:val="4"/>
        <w:rPr>
          <w:rStyle w:val="25"/>
          <w:rFonts w:ascii="仿宋" w:hAnsi="仿宋" w:eastAsia="仿宋"/>
          <w:b w:val="0"/>
          <w:bCs w:val="0"/>
        </w:rPr>
      </w:pPr>
      <w:bookmarkStart w:id="94" w:name="_Toc15730"/>
      <w:bookmarkStart w:id="95"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94"/>
      <w:bookmarkEnd w:id="95"/>
      <w:bookmarkStart w:id="96" w:name="_Toc15396624"/>
    </w:p>
    <w:p w14:paraId="4D5151DA">
      <w:pPr>
        <w:pStyle w:val="4"/>
        <w:rPr>
          <w:rFonts w:ascii="仿宋" w:hAnsi="仿宋" w:eastAsia="仿宋"/>
        </w:rPr>
      </w:pPr>
      <w:bookmarkStart w:id="97" w:name="_Toc16811"/>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96"/>
      <w:bookmarkEnd w:id="97"/>
    </w:p>
    <w:p w14:paraId="0588C4E2">
      <w:pPr>
        <w:pStyle w:val="4"/>
        <w:rPr>
          <w:rFonts w:ascii="仿宋" w:hAnsi="仿宋" w:eastAsia="仿宋"/>
        </w:rPr>
      </w:pPr>
      <w:bookmarkStart w:id="98" w:name="_Toc15396625"/>
      <w:bookmarkStart w:id="99" w:name="_Toc149"/>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98"/>
      <w:bookmarkEnd w:id="99"/>
    </w:p>
    <w:p w14:paraId="2FCAE4DB">
      <w:pPr>
        <w:pStyle w:val="4"/>
        <w:rPr>
          <w:rFonts w:ascii="仿宋" w:hAnsi="仿宋" w:eastAsia="仿宋"/>
        </w:rPr>
      </w:pPr>
      <w:bookmarkStart w:id="100" w:name="_Toc14599"/>
      <w:bookmarkStart w:id="10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100"/>
      <w:bookmarkEnd w:id="101"/>
    </w:p>
    <w:p w14:paraId="5F477749">
      <w:pPr>
        <w:pStyle w:val="4"/>
        <w:rPr>
          <w:rFonts w:ascii="仿宋" w:hAnsi="仿宋" w:eastAsia="仿宋"/>
        </w:rPr>
      </w:pPr>
      <w:bookmarkStart w:id="102" w:name="_Toc15396627"/>
      <w:bookmarkStart w:id="103" w:name="_Toc26704"/>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102"/>
      <w:bookmarkEnd w:id="103"/>
    </w:p>
    <w:p w14:paraId="2E99794B">
      <w:pPr>
        <w:pStyle w:val="4"/>
        <w:rPr>
          <w:rFonts w:ascii="仿宋" w:hAnsi="仿宋" w:eastAsia="仿宋"/>
        </w:rPr>
      </w:pPr>
      <w:bookmarkStart w:id="104" w:name="_Toc15396628"/>
      <w:bookmarkStart w:id="105" w:name="_Toc26632"/>
      <w:r>
        <w:rPr>
          <w:rStyle w:val="25"/>
          <w:rFonts w:hint="eastAsia" w:ascii="仿宋" w:hAnsi="仿宋" w:eastAsia="仿宋"/>
          <w:b w:val="0"/>
          <w:bCs w:val="0"/>
        </w:rPr>
        <w:t>十、</w:t>
      </w:r>
      <w:r>
        <w:rPr>
          <w:rFonts w:hint="eastAsia" w:ascii="仿宋" w:hAnsi="仿宋" w:eastAsia="仿宋"/>
          <w:b w:val="0"/>
        </w:rPr>
        <w:t>一</w:t>
      </w:r>
      <w:r>
        <w:rPr>
          <w:rStyle w:val="25"/>
          <w:rFonts w:hint="eastAsia" w:ascii="仿宋" w:hAnsi="仿宋" w:eastAsia="仿宋"/>
          <w:b w:val="0"/>
          <w:bCs w:val="0"/>
        </w:rPr>
        <w:t>般公共预算财政拨款“三公”经费支出决算表</w:t>
      </w:r>
      <w:bookmarkEnd w:id="104"/>
      <w:bookmarkEnd w:id="105"/>
    </w:p>
    <w:p w14:paraId="00528868">
      <w:pPr>
        <w:pStyle w:val="4"/>
        <w:rPr>
          <w:rFonts w:ascii="仿宋" w:hAnsi="仿宋" w:eastAsia="仿宋"/>
        </w:rPr>
      </w:pPr>
      <w:bookmarkStart w:id="106" w:name="_Toc14809"/>
      <w:bookmarkStart w:id="107" w:name="_Toc15396629"/>
      <w:r>
        <w:rPr>
          <w:rStyle w:val="25"/>
          <w:rFonts w:hint="eastAsia" w:ascii="仿宋" w:hAnsi="仿宋" w:eastAsia="仿宋"/>
          <w:b w:val="0"/>
          <w:bCs w:val="0"/>
        </w:rPr>
        <w:t>十一、</w:t>
      </w:r>
      <w:r>
        <w:rPr>
          <w:rFonts w:hint="eastAsia" w:ascii="仿宋" w:hAnsi="仿宋" w:eastAsia="仿宋"/>
          <w:b w:val="0"/>
        </w:rPr>
        <w:t>政</w:t>
      </w:r>
      <w:r>
        <w:rPr>
          <w:rStyle w:val="25"/>
          <w:rFonts w:hint="eastAsia" w:ascii="仿宋" w:hAnsi="仿宋" w:eastAsia="仿宋"/>
          <w:b w:val="0"/>
          <w:bCs w:val="0"/>
        </w:rPr>
        <w:t>府性基金预算财政拨款收入支出决算表</w:t>
      </w:r>
      <w:bookmarkEnd w:id="106"/>
      <w:bookmarkEnd w:id="107"/>
    </w:p>
    <w:p w14:paraId="68733987">
      <w:pPr>
        <w:pStyle w:val="4"/>
        <w:rPr>
          <w:rFonts w:ascii="仿宋" w:hAnsi="仿宋" w:eastAsia="仿宋"/>
        </w:rPr>
      </w:pPr>
      <w:bookmarkStart w:id="108" w:name="_Toc15396630"/>
      <w:bookmarkStart w:id="109" w:name="_Toc9325"/>
      <w:r>
        <w:rPr>
          <w:rStyle w:val="25"/>
          <w:rFonts w:hint="eastAsia" w:ascii="仿宋" w:hAnsi="仿宋" w:eastAsia="仿宋"/>
          <w:b w:val="0"/>
          <w:bCs w:val="0"/>
        </w:rPr>
        <w:t>十二、</w:t>
      </w:r>
      <w:r>
        <w:rPr>
          <w:rFonts w:hint="eastAsia" w:ascii="仿宋" w:hAnsi="仿宋" w:eastAsia="仿宋"/>
          <w:b w:val="0"/>
        </w:rPr>
        <w:t>政</w:t>
      </w:r>
      <w:r>
        <w:rPr>
          <w:rStyle w:val="25"/>
          <w:rFonts w:hint="eastAsia" w:ascii="仿宋" w:hAnsi="仿宋" w:eastAsia="仿宋"/>
          <w:b w:val="0"/>
          <w:bCs w:val="0"/>
        </w:rPr>
        <w:t>府性基金预算财政拨款“三公”经费支出决算表</w:t>
      </w:r>
      <w:bookmarkEnd w:id="108"/>
      <w:bookmarkEnd w:id="109"/>
    </w:p>
    <w:p w14:paraId="33914022">
      <w:pPr>
        <w:pStyle w:val="4"/>
        <w:rPr>
          <w:rStyle w:val="25"/>
          <w:rFonts w:ascii="仿宋" w:hAnsi="仿宋" w:eastAsia="仿宋"/>
          <w:b w:val="0"/>
          <w:bCs w:val="0"/>
        </w:rPr>
      </w:pPr>
      <w:bookmarkStart w:id="110" w:name="_Toc3017"/>
      <w:bookmarkStart w:id="111" w:name="_Toc15396631"/>
      <w:r>
        <w:rPr>
          <w:rStyle w:val="25"/>
          <w:rFonts w:hint="eastAsia" w:ascii="仿宋" w:hAnsi="仿宋" w:eastAsia="仿宋"/>
          <w:b w:val="0"/>
          <w:bCs w:val="0"/>
        </w:rPr>
        <w:t>十三、</w:t>
      </w:r>
      <w:r>
        <w:rPr>
          <w:rFonts w:hint="eastAsia" w:ascii="仿宋" w:hAnsi="仿宋" w:eastAsia="仿宋"/>
          <w:b w:val="0"/>
        </w:rPr>
        <w:t>国</w:t>
      </w:r>
      <w:r>
        <w:rPr>
          <w:rStyle w:val="25"/>
          <w:rFonts w:hint="eastAsia" w:ascii="仿宋" w:hAnsi="仿宋" w:eastAsia="仿宋"/>
          <w:b w:val="0"/>
          <w:bCs w:val="0"/>
        </w:rPr>
        <w:t>有资本经营预算财政拨款收入支出决算表</w:t>
      </w:r>
      <w:bookmarkEnd w:id="110"/>
      <w:bookmarkEnd w:id="111"/>
    </w:p>
    <w:p w14:paraId="7227612F">
      <w:pPr>
        <w:rPr>
          <w:rFonts w:eastAsia="仿宋"/>
        </w:rPr>
      </w:pPr>
      <w:bookmarkStart w:id="112" w:name="_Toc19164"/>
      <w:r>
        <w:rPr>
          <w:rStyle w:val="25"/>
          <w:rFonts w:hint="eastAsia" w:ascii="仿宋" w:hAnsi="仿宋" w:eastAsia="仿宋"/>
          <w:b w:val="0"/>
          <w:bCs w:val="0"/>
        </w:rPr>
        <w:t>十四、国有资本经营预算财政拨款支出决算表</w:t>
      </w:r>
      <w:bookmarkEnd w:id="112"/>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F8E350-A9E2-4E07-9A1E-2DEB5E8B6A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4733188B-821A-4B7F-96DB-B99CCED8AC29}"/>
  </w:font>
  <w:font w:name="仿宋_GB2312">
    <w:panose1 w:val="02010609030101010101"/>
    <w:charset w:val="86"/>
    <w:family w:val="modern"/>
    <w:pitch w:val="default"/>
    <w:sig w:usb0="00000001" w:usb1="080E0000" w:usb2="00000000" w:usb3="00000000" w:csb0="00040000" w:csb1="00000000"/>
    <w:embedRegular r:id="rId3" w:fontKey="{7EA65CE7-2726-4BCB-BE1B-5336DE6CF038}"/>
  </w:font>
  <w:font w:name="仿宋">
    <w:panose1 w:val="02010609060101010101"/>
    <w:charset w:val="86"/>
    <w:family w:val="modern"/>
    <w:pitch w:val="default"/>
    <w:sig w:usb0="800002BF" w:usb1="38CF7CFA" w:usb2="00000016" w:usb3="00000000" w:csb0="00040001" w:csb1="00000000"/>
    <w:embedRegular r:id="rId4" w:fontKey="{25E3CFF5-704C-41A0-9230-2DC06DE680D2}"/>
  </w:font>
  <w:font w:name="方正小标宋简体">
    <w:panose1 w:val="03000509000000000000"/>
    <w:charset w:val="86"/>
    <w:family w:val="script"/>
    <w:pitch w:val="default"/>
    <w:sig w:usb0="00000001" w:usb1="080E0000" w:usb2="00000000" w:usb3="00000000" w:csb0="00040000" w:csb1="00000000"/>
    <w:embedRegular r:id="rId5" w:fontKey="{FD9A262F-8116-4E96-8BD1-DB743EC9DEAA}"/>
  </w:font>
  <w:font w:name="方正仿宋_GB2312">
    <w:panose1 w:val="02000000000000000000"/>
    <w:charset w:val="86"/>
    <w:family w:val="auto"/>
    <w:pitch w:val="default"/>
    <w:sig w:usb0="A00002BF" w:usb1="184F6CFA" w:usb2="00000012" w:usb3="00000000" w:csb0="00040001" w:csb1="00000000"/>
    <w:embedRegular r:id="rId6" w:fontKey="{350A067C-9404-4F7A-A1F0-48A5AD211E61}"/>
  </w:font>
  <w:font w:name="楷体_GB2312">
    <w:panose1 w:val="02010609030101010101"/>
    <w:charset w:val="86"/>
    <w:family w:val="modern"/>
    <w:pitch w:val="default"/>
    <w:sig w:usb0="00000001" w:usb1="080E0000" w:usb2="00000000" w:usb3="00000000" w:csb0="00040000" w:csb1="00000000"/>
    <w:embedRegular r:id="rId7" w:fontKey="{AD01EDED-2909-4D44-8400-5CCFFB7CF3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65463D1F">
        <w:pPr>
          <w:pStyle w:val="8"/>
          <w:jc w:val="center"/>
        </w:pPr>
        <w:r>
          <w:fldChar w:fldCharType="begin"/>
        </w:r>
        <w:r>
          <w:instrText xml:space="preserve">PAGE   \* MERGEFORMAT</w:instrText>
        </w:r>
        <w:r>
          <w:fldChar w:fldCharType="separate"/>
        </w:r>
        <w:r>
          <w:rPr>
            <w:lang w:val="zh-CN"/>
          </w:rPr>
          <w:t>17</w:t>
        </w:r>
        <w:r>
          <w:fldChar w:fldCharType="end"/>
        </w:r>
      </w:p>
    </w:sdtContent>
  </w:sdt>
  <w:p w14:paraId="14E783D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7557B">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16B8D">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158328"/>
    </w:sdtPr>
    <w:sdtContent>
      <w:p w14:paraId="386DFE3C">
        <w:pPr>
          <w:pStyle w:val="8"/>
          <w:jc w:val="center"/>
        </w:pPr>
        <w:r>
          <w:fldChar w:fldCharType="begin"/>
        </w:r>
        <w:r>
          <w:instrText xml:space="preserve">PAGE   \* MERGEFORMAT</w:instrText>
        </w:r>
        <w:r>
          <w:fldChar w:fldCharType="separate"/>
        </w:r>
        <w:r>
          <w:rPr>
            <w:lang w:val="zh-CN"/>
          </w:rPr>
          <w:t>2</w:t>
        </w:r>
        <w:r>
          <w:fldChar w:fldCharType="end"/>
        </w:r>
      </w:p>
    </w:sdtContent>
  </w:sdt>
  <w:p w14:paraId="78C57EE5">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1AC11">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04A3"/>
    <w:multiLevelType w:val="singleLevel"/>
    <w:tmpl w:val="91DC04A3"/>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09C3F99F"/>
    <w:multiLevelType w:val="singleLevel"/>
    <w:tmpl w:val="09C3F99F"/>
    <w:lvl w:ilvl="0" w:tentative="0">
      <w:start w:val="1"/>
      <w:numFmt w:val="decimal"/>
      <w:suff w:val="nothing"/>
      <w:lvlText w:val="（%1）"/>
      <w:lvlJc w:val="left"/>
    </w:lvl>
  </w:abstractNum>
  <w:abstractNum w:abstractNumId="4">
    <w:nsid w:val="0F2BA5B3"/>
    <w:multiLevelType w:val="singleLevel"/>
    <w:tmpl w:val="0F2BA5B3"/>
    <w:lvl w:ilvl="0" w:tentative="0">
      <w:start w:val="3"/>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2DE85302"/>
    <w:multiLevelType w:val="singleLevel"/>
    <w:tmpl w:val="2DE85302"/>
    <w:lvl w:ilvl="0" w:tentative="0">
      <w:start w:val="2"/>
      <w:numFmt w:val="decimal"/>
      <w:suff w:val="nothing"/>
      <w:lvlText w:val="%1、"/>
      <w:lvlJc w:val="left"/>
      <w:pPr>
        <w:ind w:left="-13"/>
      </w:pPr>
    </w:lvl>
  </w:abstractNum>
  <w:abstractNum w:abstractNumId="7">
    <w:nsid w:val="49D0D3AA"/>
    <w:multiLevelType w:val="singleLevel"/>
    <w:tmpl w:val="49D0D3AA"/>
    <w:lvl w:ilvl="0" w:tentative="0">
      <w:start w:val="1"/>
      <w:numFmt w:val="decimal"/>
      <w:suff w:val="nothing"/>
      <w:lvlText w:val="%1．"/>
      <w:lvlJc w:val="left"/>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2M1NTFhOWJlYzhmMmY4NGUyZmIwMjYxOGE3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0F08"/>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5F4F"/>
    <w:rsid w:val="00196687"/>
    <w:rsid w:val="001C0962"/>
    <w:rsid w:val="001D7531"/>
    <w:rsid w:val="001E737D"/>
    <w:rsid w:val="001F0592"/>
    <w:rsid w:val="001F7506"/>
    <w:rsid w:val="002006CD"/>
    <w:rsid w:val="00202B36"/>
    <w:rsid w:val="00204B7A"/>
    <w:rsid w:val="00204CDE"/>
    <w:rsid w:val="0021101A"/>
    <w:rsid w:val="00220536"/>
    <w:rsid w:val="00220DA9"/>
    <w:rsid w:val="00235629"/>
    <w:rsid w:val="00260C38"/>
    <w:rsid w:val="002616C0"/>
    <w:rsid w:val="00265372"/>
    <w:rsid w:val="002662AA"/>
    <w:rsid w:val="00280496"/>
    <w:rsid w:val="00294DC9"/>
    <w:rsid w:val="00295495"/>
    <w:rsid w:val="002A31DE"/>
    <w:rsid w:val="002B2613"/>
    <w:rsid w:val="002D6D05"/>
    <w:rsid w:val="002F1818"/>
    <w:rsid w:val="002F567B"/>
    <w:rsid w:val="00307F16"/>
    <w:rsid w:val="003216A9"/>
    <w:rsid w:val="00335A74"/>
    <w:rsid w:val="0036561B"/>
    <w:rsid w:val="0037013F"/>
    <w:rsid w:val="00380C92"/>
    <w:rsid w:val="003A484F"/>
    <w:rsid w:val="003A4883"/>
    <w:rsid w:val="003B0BE0"/>
    <w:rsid w:val="003B0C1B"/>
    <w:rsid w:val="003B688C"/>
    <w:rsid w:val="003C0291"/>
    <w:rsid w:val="003C1B99"/>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B48CF"/>
    <w:rsid w:val="004B4992"/>
    <w:rsid w:val="004E0A2D"/>
    <w:rsid w:val="004E206B"/>
    <w:rsid w:val="004E6DF7"/>
    <w:rsid w:val="004F0FBD"/>
    <w:rsid w:val="00505A47"/>
    <w:rsid w:val="00512FDA"/>
    <w:rsid w:val="00520DA0"/>
    <w:rsid w:val="00565D8C"/>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12C5"/>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5BC0"/>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E1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50BB"/>
    <w:rsid w:val="00F36D8F"/>
    <w:rsid w:val="00F417B1"/>
    <w:rsid w:val="00F45853"/>
    <w:rsid w:val="00F602DF"/>
    <w:rsid w:val="00F754A1"/>
    <w:rsid w:val="00F81FD9"/>
    <w:rsid w:val="00F841AA"/>
    <w:rsid w:val="00F84A94"/>
    <w:rsid w:val="00F87E96"/>
    <w:rsid w:val="00FA23E8"/>
    <w:rsid w:val="00FA45C5"/>
    <w:rsid w:val="00FC22E2"/>
    <w:rsid w:val="00FD3CC1"/>
    <w:rsid w:val="00FF1E02"/>
    <w:rsid w:val="00FF30B4"/>
    <w:rsid w:val="030F0592"/>
    <w:rsid w:val="06946A73"/>
    <w:rsid w:val="09555A2C"/>
    <w:rsid w:val="0A2032A3"/>
    <w:rsid w:val="0B8A37D8"/>
    <w:rsid w:val="0FEC3561"/>
    <w:rsid w:val="10C055FF"/>
    <w:rsid w:val="10F07D4C"/>
    <w:rsid w:val="118107EC"/>
    <w:rsid w:val="11DD6519"/>
    <w:rsid w:val="1257468E"/>
    <w:rsid w:val="16BB723D"/>
    <w:rsid w:val="18015F3F"/>
    <w:rsid w:val="1BE8440E"/>
    <w:rsid w:val="1CF00C1C"/>
    <w:rsid w:val="1D155CEE"/>
    <w:rsid w:val="20F57F95"/>
    <w:rsid w:val="240371BF"/>
    <w:rsid w:val="242E6F10"/>
    <w:rsid w:val="25070F08"/>
    <w:rsid w:val="25C741E6"/>
    <w:rsid w:val="26C91AF9"/>
    <w:rsid w:val="27842671"/>
    <w:rsid w:val="29FD04D3"/>
    <w:rsid w:val="2ABE7A3E"/>
    <w:rsid w:val="2B014492"/>
    <w:rsid w:val="2C9A0CFB"/>
    <w:rsid w:val="2EFA178C"/>
    <w:rsid w:val="301663F8"/>
    <w:rsid w:val="30B46D73"/>
    <w:rsid w:val="319F7F4E"/>
    <w:rsid w:val="39AE70AB"/>
    <w:rsid w:val="3C0C0783"/>
    <w:rsid w:val="3DEB67F8"/>
    <w:rsid w:val="3F9F3A96"/>
    <w:rsid w:val="4079488F"/>
    <w:rsid w:val="438C5820"/>
    <w:rsid w:val="48B3438D"/>
    <w:rsid w:val="493C27E9"/>
    <w:rsid w:val="496F39ED"/>
    <w:rsid w:val="49FF41D3"/>
    <w:rsid w:val="4AF405C8"/>
    <w:rsid w:val="4BCF1350"/>
    <w:rsid w:val="4BE068DB"/>
    <w:rsid w:val="4BF6002B"/>
    <w:rsid w:val="4ECE2238"/>
    <w:rsid w:val="51DB4B86"/>
    <w:rsid w:val="55333C3E"/>
    <w:rsid w:val="56544296"/>
    <w:rsid w:val="58A67A6A"/>
    <w:rsid w:val="5F942D12"/>
    <w:rsid w:val="64CA39A1"/>
    <w:rsid w:val="68C44831"/>
    <w:rsid w:val="6BE77976"/>
    <w:rsid w:val="6C4A05C8"/>
    <w:rsid w:val="6C595BDA"/>
    <w:rsid w:val="6EAE4044"/>
    <w:rsid w:val="6ED9364E"/>
    <w:rsid w:val="720B719B"/>
    <w:rsid w:val="72734D90"/>
    <w:rsid w:val="79E7B28D"/>
    <w:rsid w:val="7ABF2F1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NormalCharacter"/>
    <w:qFormat/>
    <w:uiPriority w:val="99"/>
    <w:rPr>
      <w:rFonts w:ascii="Times New Roman" w:hAnsi="Times New Roman" w:eastAsia="宋体"/>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7.emf"/><Relationship Id="rId14" Type="http://schemas.openxmlformats.org/officeDocument/2006/relationships/image" Target="media/image6.emf"/><Relationship Id="rId13" Type="http://schemas.openxmlformats.org/officeDocument/2006/relationships/image" Target="media/image5.emf"/><Relationship Id="rId12" Type="http://schemas.openxmlformats.org/officeDocument/2006/relationships/image" Target="media/image4.emf"/><Relationship Id="rId11" Type="http://schemas.openxmlformats.org/officeDocument/2006/relationships/image" Target="media/image3.emf"/><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33</Pages>
  <Words>7940</Words>
  <Characters>8649</Characters>
  <Lines>129</Lines>
  <Paragraphs>36</Paragraphs>
  <TotalTime>0</TotalTime>
  <ScaleCrop>false</ScaleCrop>
  <LinksUpToDate>false</LinksUpToDate>
  <CharactersWithSpaces>8807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2022-10-07T01:09:00Z</dcterms:created>
  <dc:creator>曹颖</dc:creator>
  <cp:lastModifiedBy>唐天贵</cp:lastModifiedBy>
  <cp:lastPrinted>2022-08-06T02:23:00Z</cp:lastPrinted>
  <dcterms:modified xsi:type="dcterms:W3CDTF">2025-04-22T02:03:58Z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DD9909F513984F278360192EC2FC33DD</vt:lpwstr>
  </property>
  <property fmtid="{D5CDD505-2E9C-101B-9397-08002B2CF9AE}" pid="4" name="KSOTemplateDocerSaveRecord">
    <vt:lpwstr>eyJoZGlkIjoiNWIwYjgyMzAyYjdlMTc0NjlhNjFkZTU2NDY0NzJjZGIiLCJ1c2VySWQiOiI4ODYzMTI0ODAifQ==</vt:lpwstr>
  </property>
</Properties>
</file>